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62817" w:rsidR="008C4433" w:rsidP="008C4433" w:rsidRDefault="008C4433" w14:paraId="48B06040" w14:textId="77777777">
      <w:pPr>
        <w:ind w:firstLine="709"/>
        <w:jc w:val="right"/>
        <w:rPr>
          <w:rFonts w:ascii="Arial" w:hAnsi="Arial" w:eastAsia="Calibri" w:cs="Arial"/>
          <w:b/>
          <w:color w:val="000000"/>
          <w:sz w:val="20"/>
          <w:szCs w:val="20"/>
          <w:lang w:val="es-ES_tradnl"/>
        </w:rPr>
      </w:pPr>
      <w:bookmarkStart w:name="_Hlk28946138" w:id="0"/>
      <w:bookmarkStart w:name="_Hlk29548183" w:id="1"/>
      <w:bookmarkStart w:name="_Hlk95237798" w:id="2"/>
      <w:r w:rsidRPr="00362817">
        <w:rPr>
          <w:rFonts w:ascii="Arial" w:hAnsi="Arial" w:cs="Arial"/>
          <w:bCs/>
          <w:color w:val="000000"/>
          <w:sz w:val="16"/>
          <w:szCs w:val="16"/>
          <w:lang w:val="es-ES_tradnl" w:eastAsia="es-ES"/>
        </w:rPr>
        <w:t>CCE-DES-FM-17</w:t>
      </w:r>
      <w:bookmarkEnd w:id="0"/>
      <w:bookmarkEnd w:id="1"/>
    </w:p>
    <w:p w:rsidRPr="00362817" w:rsidR="008C4433" w:rsidP="008C4433" w:rsidRDefault="008C4433" w14:paraId="31695510" w14:textId="77777777">
      <w:pPr>
        <w:spacing w:line="276" w:lineRule="auto"/>
        <w:ind w:firstLine="709"/>
        <w:jc w:val="both"/>
        <w:rPr>
          <w:rFonts w:ascii="Arial" w:hAnsi="Arial" w:cs="Arial"/>
          <w:noProof/>
          <w:color w:val="000000"/>
          <w:lang w:val="es-ES_tradnl"/>
        </w:rPr>
      </w:pPr>
    </w:p>
    <w:p w:rsidRPr="008C4433" w:rsidR="008C4433" w:rsidP="008C4433" w:rsidRDefault="008C4433" w14:paraId="54A1A01B" w14:textId="77777777">
      <w:pPr>
        <w:ind w:firstLine="709"/>
        <w:jc w:val="both"/>
        <w:rPr>
          <w:rFonts w:ascii="Arial" w:hAnsi="Arial" w:eastAsia="Calibri" w:cs="Arial"/>
          <w:color w:val="000000"/>
          <w:sz w:val="20"/>
          <w:szCs w:val="20"/>
          <w:lang w:val="es-ES_tradnl"/>
        </w:rPr>
      </w:pPr>
    </w:p>
    <w:p w:rsidRPr="00D858CB" w:rsidR="00F053A6" w:rsidP="00F053A6" w:rsidRDefault="00F053A6" w14:paraId="5509B418" w14:textId="77777777">
      <w:pPr>
        <w:jc w:val="both"/>
        <w:rPr>
          <w:rFonts w:ascii="Arial" w:hAnsi="Arial" w:eastAsia="Calibri" w:cs="Arial"/>
          <w:b/>
          <w:sz w:val="20"/>
          <w:szCs w:val="20"/>
        </w:rPr>
      </w:pPr>
      <w:r w:rsidRPr="00D858CB">
        <w:rPr>
          <w:rFonts w:ascii="Arial" w:hAnsi="Arial" w:eastAsia="Calibri" w:cs="Arial"/>
          <w:b/>
          <w:sz w:val="20"/>
          <w:szCs w:val="20"/>
        </w:rPr>
        <w:t xml:space="preserve">LEY DE EMPRENDIMIENTO – Ley 2069 de 2020 – Finalidad </w:t>
      </w:r>
    </w:p>
    <w:p w:rsidRPr="00D858CB" w:rsidR="00F053A6" w:rsidP="00F053A6" w:rsidRDefault="00F053A6" w14:paraId="704EE89D" w14:textId="77777777">
      <w:pPr>
        <w:jc w:val="both"/>
        <w:rPr>
          <w:rFonts w:ascii="Arial" w:hAnsi="Arial" w:eastAsia="Calibri" w:cs="Arial"/>
          <w:sz w:val="20"/>
          <w:szCs w:val="20"/>
        </w:rPr>
      </w:pPr>
    </w:p>
    <w:p w:rsidRPr="00D858CB" w:rsidR="00F053A6" w:rsidP="00F053A6" w:rsidRDefault="00F053A6" w14:paraId="1E3EBE75" w14:textId="77777777">
      <w:pPr>
        <w:jc w:val="both"/>
        <w:rPr>
          <w:rFonts w:ascii="Arial" w:hAnsi="Arial" w:eastAsia="Calibri" w:cs="Arial"/>
          <w:bCs/>
          <w:sz w:val="20"/>
          <w:szCs w:val="20"/>
          <w:lang w:val="es-ES_tradnl"/>
        </w:rPr>
      </w:pPr>
      <w:r w:rsidRPr="00D858CB">
        <w:rPr>
          <w:rFonts w:ascii="Arial" w:hAnsi="Arial" w:eastAsia="Calibri" w:cs="Arial"/>
          <w:bCs/>
          <w:sz w:val="20"/>
          <w:szCs w:val="20"/>
          <w:lang w:val="es-ES_tradnl"/>
        </w:rPr>
        <w:t>El 31 de diciembre de 2020 se promulgó la Ley 2069, «Por medio de la cual se impulsa el emprendimiento en Colombia». De acuerdo con el artículo 84, «La presente Ley rige a partir del momento de su promulgación […]», lo que significa que es obligatoria para sus destinatarios desde esa fecha. Lo anterior, sin perjuicio de la posibilidad de que el gobierno nacional, en ejercicio de la potestad reglamentaria que le confiere el artículo 189, numeral 11, de la Constitución Política, expida los decretos correspondientes que permitan la cumplida ejecución de esta Ley.</w:t>
      </w:r>
    </w:p>
    <w:p w:rsidRPr="00D858CB" w:rsidR="00F053A6" w:rsidP="00F053A6" w:rsidRDefault="00F053A6" w14:paraId="681D45E0" w14:textId="77777777">
      <w:pPr>
        <w:jc w:val="both"/>
        <w:rPr>
          <w:rFonts w:ascii="Arial" w:hAnsi="Arial" w:eastAsia="Calibri" w:cs="Arial"/>
          <w:bCs/>
          <w:sz w:val="20"/>
          <w:szCs w:val="20"/>
          <w:lang w:val="es-ES_tradnl"/>
        </w:rPr>
      </w:pPr>
    </w:p>
    <w:p w:rsidRPr="00D858CB" w:rsidR="00F053A6" w:rsidP="57F95CD5" w:rsidRDefault="00F053A6" w14:paraId="460E8521" w14:textId="77777777">
      <w:pPr>
        <w:jc w:val="both"/>
        <w:rPr>
          <w:rFonts w:ascii="Arial" w:hAnsi="Arial" w:eastAsia="Calibri" w:cs="Arial"/>
          <w:sz w:val="20"/>
          <w:szCs w:val="20"/>
          <w:lang w:val="es-ES"/>
        </w:rPr>
      </w:pPr>
      <w:r w:rsidRPr="57F95CD5" w:rsidR="00F053A6">
        <w:rPr>
          <w:rFonts w:ascii="Arial" w:hAnsi="Arial" w:eastAsia="Calibri" w:cs="Arial"/>
          <w:sz w:val="20"/>
          <w:szCs w:val="20"/>
          <w:lang w:val="es-ES"/>
        </w:rPr>
        <w:t>En cuanto a su contenido, es importante señalar que, como dispone el artículo 1, aquella «tiene por objeto establecer un marco regulatorio que propicie el emprendimiento y el crecimiento, consolidación y sostenibilidad de las empresas, con el fin de aumentar el bienestar social y generar equidad».</w:t>
      </w:r>
      <w:r w:rsidRPr="57F95CD5" w:rsidR="00F053A6">
        <w:rPr>
          <w:rFonts w:ascii="Arial" w:hAnsi="Arial" w:eastAsia="Calibri" w:cs="Arial"/>
          <w:sz w:val="20"/>
          <w:szCs w:val="20"/>
          <w:lang w:val="es-ES"/>
        </w:rPr>
        <w:t xml:space="preserve"> Esto, a partir de «[…] un enfoque regionalizado </w:t>
      </w:r>
      <w:r w:rsidRPr="57F95CD5" w:rsidR="00F053A6">
        <w:rPr>
          <w:rFonts w:ascii="Arial" w:hAnsi="Arial" w:eastAsia="Calibri" w:cs="Arial"/>
          <w:sz w:val="20"/>
          <w:szCs w:val="20"/>
          <w:lang w:val="es-ES"/>
        </w:rPr>
        <w:t>de acuerdo a</w:t>
      </w:r>
      <w:r w:rsidRPr="57F95CD5" w:rsidR="00F053A6">
        <w:rPr>
          <w:rFonts w:ascii="Arial" w:hAnsi="Arial" w:eastAsia="Calibri" w:cs="Arial"/>
          <w:sz w:val="20"/>
          <w:szCs w:val="20"/>
          <w:lang w:val="es-ES"/>
        </w:rPr>
        <w:t xml:space="preserve"> las realidades socioeconómicas de cada región». En desarrollo de esta finalidad, se establecen medidas de apoyo para las micro, pequeñas y medianas empresas –</w:t>
      </w:r>
      <w:r w:rsidRPr="57F95CD5" w:rsidR="00F053A6">
        <w:rPr>
          <w:rFonts w:ascii="Arial" w:hAnsi="Arial" w:eastAsia="Calibri" w:cs="Arial"/>
          <w:sz w:val="20"/>
          <w:szCs w:val="20"/>
          <w:lang w:val="es-ES"/>
        </w:rPr>
        <w:t>mipymes</w:t>
      </w:r>
      <w:r w:rsidRPr="57F95CD5" w:rsidR="00F053A6">
        <w:rPr>
          <w:rFonts w:ascii="Arial" w:hAnsi="Arial" w:eastAsia="Calibri" w:cs="Arial"/>
          <w:sz w:val="20"/>
          <w:szCs w:val="20"/>
          <w:lang w:val="es-ES"/>
        </w:rPr>
        <w:t xml:space="preserve">–, mediante la racionalización y simplificación de los trámites y tarifas, así como incentivos a favor de aquellas dentro del sistema de compras y contratación pública. También se consagran mecanismos de acceso al financiamiento, se unifican las fuentes de emprendimiento y de desarrollo empresarial, para fortalecer y promover los distintos sectores de la economía y se prevén medidas de educación para el emprendimiento y la innovación. </w:t>
      </w:r>
    </w:p>
    <w:p w:rsidRPr="00D858CB" w:rsidR="00F053A6" w:rsidP="00F053A6" w:rsidRDefault="00F053A6" w14:paraId="36162C43" w14:textId="77777777">
      <w:pPr>
        <w:jc w:val="both"/>
        <w:rPr>
          <w:rFonts w:ascii="Arial" w:hAnsi="Arial" w:eastAsia="Calibri" w:cs="Arial"/>
          <w:b/>
          <w:sz w:val="20"/>
          <w:szCs w:val="20"/>
          <w:lang w:val="es-ES_tradnl"/>
        </w:rPr>
      </w:pPr>
    </w:p>
    <w:p w:rsidRPr="00D858CB" w:rsidR="00F053A6" w:rsidP="00F053A6" w:rsidRDefault="00F053A6" w14:paraId="0BACE80D" w14:textId="77777777">
      <w:pPr>
        <w:spacing w:after="160" w:line="259" w:lineRule="auto"/>
        <w:jc w:val="both"/>
        <w:rPr>
          <w:rFonts w:ascii="Arial" w:hAnsi="Arial" w:eastAsia="Calibri" w:cs="Arial"/>
          <w:b/>
          <w:sz w:val="20"/>
          <w:szCs w:val="20"/>
        </w:rPr>
      </w:pPr>
      <w:r w:rsidRPr="00D858CB">
        <w:rPr>
          <w:rFonts w:ascii="Arial" w:hAnsi="Arial" w:eastAsia="Calibri" w:cs="Arial"/>
          <w:b/>
          <w:sz w:val="20"/>
          <w:szCs w:val="20"/>
        </w:rPr>
        <w:t>LEY DE EMPRENDIMIENTO – Ley 2069 de 2020 – Artículo 32 – Criterios diferenciales – Emprendimientos de mujeres – Empresas de mujeres – Necesidad de reglamentación – Decreto 1860 de 2021</w:t>
      </w:r>
    </w:p>
    <w:p w:rsidRPr="00D858CB" w:rsidR="00F053A6" w:rsidP="00F053A6" w:rsidRDefault="00F053A6" w14:paraId="67E871CA" w14:textId="183E9E02">
      <w:pPr>
        <w:jc w:val="both"/>
        <w:rPr>
          <w:rFonts w:ascii="Arial" w:hAnsi="Arial" w:eastAsia="Calibri" w:cs="Arial"/>
          <w:bCs/>
          <w:sz w:val="20"/>
          <w:szCs w:val="20"/>
          <w:lang w:val="es-ES_tradnl"/>
        </w:rPr>
      </w:pPr>
      <w:r w:rsidRPr="00D858CB">
        <w:rPr>
          <w:rFonts w:ascii="Arial" w:hAnsi="Arial" w:eastAsia="Calibri" w:cs="Arial"/>
          <w:bCs/>
          <w:sz w:val="20"/>
          <w:szCs w:val="20"/>
        </w:rPr>
        <w:t>[…]</w:t>
      </w:r>
      <w:r w:rsidRPr="00D858CB">
        <w:rPr>
          <w:rFonts w:ascii="Arial" w:hAnsi="Arial" w:eastAsia="Calibri" w:cs="Arial"/>
          <w:bCs/>
          <w:sz w:val="20"/>
          <w:szCs w:val="20"/>
          <w:lang w:val="es-ES_tradnl"/>
        </w:rPr>
        <w:t xml:space="preserve">  En lo relativo al artículo 32 de la Ley 2069 de 2020, el artículo 3 del Decreto 1860 de 2021 adiciona los artículos 2.2.1.2.4.2.14 y 2.2.1.2.4.2.15 a la Subsección 2 de la Sección 4 del Capítulo 2 del Título 1 de la Parte 2 del Libro 2 del Decreto 1082 de 2015. La primera de las normas adicionadas consagra la definición de emprendimientos y empresas de mujeres, mientras que la segunda establece los criterios diferenciales y regula su aplicación. </w:t>
      </w:r>
    </w:p>
    <w:p w:rsidRPr="00D858CB" w:rsidR="00F053A6" w:rsidP="00F053A6" w:rsidRDefault="00F053A6" w14:paraId="5B6242FD" w14:textId="77777777">
      <w:pPr>
        <w:jc w:val="both"/>
        <w:rPr>
          <w:rFonts w:ascii="Arial" w:hAnsi="Arial" w:eastAsia="Calibri" w:cs="Arial"/>
          <w:bCs/>
          <w:sz w:val="20"/>
          <w:szCs w:val="20"/>
          <w:lang w:val="es-ES"/>
        </w:rPr>
      </w:pPr>
    </w:p>
    <w:p w:rsidRPr="00D858CB" w:rsidR="00F053A6" w:rsidP="00F053A6" w:rsidRDefault="00F053A6" w14:paraId="63B0D50D" w14:textId="77777777">
      <w:pPr>
        <w:jc w:val="both"/>
        <w:rPr>
          <w:rFonts w:ascii="Arial" w:hAnsi="Arial" w:eastAsia="Calibri" w:cs="Arial"/>
          <w:b/>
          <w:sz w:val="20"/>
          <w:szCs w:val="20"/>
          <w:lang w:val="es-ES"/>
        </w:rPr>
      </w:pPr>
      <w:r w:rsidRPr="00D858CB">
        <w:rPr>
          <w:rFonts w:ascii="Arial" w:hAnsi="Arial" w:eastAsia="Calibri" w:cs="Arial"/>
          <w:b/>
          <w:sz w:val="20"/>
          <w:szCs w:val="20"/>
          <w:lang w:val="es-ES"/>
        </w:rPr>
        <w:t>DECRETO 1860 DE 2021 – Vigencia</w:t>
      </w:r>
    </w:p>
    <w:p w:rsidRPr="00D858CB" w:rsidR="00F053A6" w:rsidP="00F053A6" w:rsidRDefault="00F053A6" w14:paraId="11EA3834" w14:textId="77777777">
      <w:pPr>
        <w:jc w:val="both"/>
        <w:rPr>
          <w:rFonts w:ascii="Arial" w:hAnsi="Arial" w:eastAsia="Calibri" w:cs="Arial"/>
          <w:b/>
          <w:sz w:val="20"/>
          <w:szCs w:val="20"/>
          <w:lang w:val="es-ES"/>
        </w:rPr>
      </w:pPr>
    </w:p>
    <w:p w:rsidRPr="00D858CB" w:rsidR="00F053A6" w:rsidP="00F053A6" w:rsidRDefault="00F053A6" w14:paraId="617AEC9E" w14:textId="77777777">
      <w:pPr>
        <w:jc w:val="both"/>
        <w:rPr>
          <w:rFonts w:ascii="Arial" w:hAnsi="Arial" w:eastAsia="Calibri" w:cs="Arial"/>
          <w:bCs/>
          <w:sz w:val="20"/>
          <w:szCs w:val="20"/>
          <w:lang w:val="es-ES"/>
        </w:rPr>
      </w:pPr>
      <w:r w:rsidRPr="00D858CB">
        <w:rPr>
          <w:rFonts w:ascii="Arial" w:hAnsi="Arial" w:eastAsia="Calibri" w:cs="Arial"/>
          <w:bCs/>
          <w:sz w:val="20"/>
          <w:szCs w:val="20"/>
          <w:lang w:val="es-ES"/>
        </w:rPr>
        <w:t>Debe precisarse que la vigencia del Decreto 1860 de 2021 está regida por lo establecido en su artículo 8, el cual señala que «Las disposiciones contenidas en el presente Decreto se aplicarán a los procedimientos de selección cuya invitación, aviso de convocatoria o documento equivalente se publique a los tres (3) meses contados a partir de su expedición», es decir, a partir del 24 de marzo de 2022, por lo que actualmente esta es la regulación vigente</w:t>
      </w:r>
    </w:p>
    <w:p w:rsidRPr="00D858CB" w:rsidR="008C4433" w:rsidP="008C4433" w:rsidRDefault="008C4433" w14:paraId="5788092B" w14:textId="77777777">
      <w:pPr>
        <w:ind w:firstLine="709"/>
        <w:jc w:val="both"/>
        <w:rPr>
          <w:rFonts w:ascii="Arial" w:hAnsi="Arial" w:cs="Arial"/>
          <w:noProof/>
          <w:color w:val="000000"/>
          <w:sz w:val="20"/>
          <w:szCs w:val="20"/>
          <w:lang w:val="es-ES_tradnl"/>
        </w:rPr>
      </w:pPr>
    </w:p>
    <w:p w:rsidRPr="00D858CB" w:rsidR="008C4433" w:rsidP="008C4433" w:rsidRDefault="008C4433" w14:paraId="18D49CE7" w14:textId="77777777">
      <w:pPr>
        <w:ind w:firstLine="709"/>
        <w:jc w:val="both"/>
        <w:rPr>
          <w:rFonts w:ascii="Arial" w:hAnsi="Arial" w:cs="Arial"/>
          <w:noProof/>
          <w:color w:val="000000"/>
          <w:sz w:val="20"/>
          <w:szCs w:val="20"/>
          <w:lang w:val="es-ES_tradnl"/>
        </w:rPr>
      </w:pPr>
    </w:p>
    <w:p w:rsidRPr="00D858CB" w:rsidR="008C4433" w:rsidP="008C4433" w:rsidRDefault="008C4433" w14:paraId="2F93FB12" w14:textId="77777777">
      <w:pPr>
        <w:ind w:firstLine="709"/>
        <w:jc w:val="both"/>
        <w:rPr>
          <w:rFonts w:ascii="Arial" w:hAnsi="Arial" w:cs="Arial"/>
          <w:noProof/>
          <w:color w:val="000000"/>
          <w:sz w:val="20"/>
          <w:szCs w:val="20"/>
          <w:lang w:val="es-ES_tradnl"/>
        </w:rPr>
      </w:pPr>
    </w:p>
    <w:p w:rsidRPr="00D858CB" w:rsidR="008C4433" w:rsidP="008C4433" w:rsidRDefault="008C4433" w14:paraId="5B13C15F" w14:textId="77777777">
      <w:pPr>
        <w:ind w:firstLine="709"/>
        <w:jc w:val="both"/>
        <w:rPr>
          <w:rFonts w:ascii="Arial" w:hAnsi="Arial" w:cs="Arial"/>
          <w:noProof/>
          <w:color w:val="000000"/>
          <w:sz w:val="20"/>
          <w:szCs w:val="20"/>
          <w:lang w:val="es-ES_tradnl"/>
        </w:rPr>
      </w:pPr>
    </w:p>
    <w:p w:rsidRPr="00D858CB" w:rsidR="008C4433" w:rsidP="008C4433" w:rsidRDefault="008C4433" w14:paraId="1FEE3F91" w14:textId="77777777">
      <w:pPr>
        <w:ind w:firstLine="709"/>
        <w:jc w:val="both"/>
        <w:rPr>
          <w:rFonts w:ascii="Arial" w:hAnsi="Arial" w:cs="Arial"/>
          <w:noProof/>
          <w:color w:val="000000"/>
          <w:sz w:val="20"/>
          <w:szCs w:val="20"/>
          <w:lang w:val="es-ES_tradnl"/>
        </w:rPr>
      </w:pPr>
    </w:p>
    <w:p w:rsidRPr="00D858CB" w:rsidR="008C4433" w:rsidP="008C4433" w:rsidRDefault="008C4433" w14:paraId="1209604A" w14:textId="77777777">
      <w:pPr>
        <w:ind w:firstLine="709"/>
        <w:jc w:val="both"/>
        <w:rPr>
          <w:rFonts w:ascii="Arial" w:hAnsi="Arial" w:cs="Arial"/>
          <w:noProof/>
          <w:color w:val="000000"/>
          <w:sz w:val="20"/>
          <w:szCs w:val="20"/>
          <w:lang w:val="es-ES_tradnl"/>
        </w:rPr>
      </w:pPr>
    </w:p>
    <w:p w:rsidRPr="00D858CB" w:rsidR="008C4433" w:rsidP="008C4433" w:rsidRDefault="008C4433" w14:paraId="0CBFBCB8" w14:textId="77777777">
      <w:pPr>
        <w:ind w:firstLine="709"/>
        <w:jc w:val="both"/>
        <w:rPr>
          <w:rFonts w:ascii="Arial" w:hAnsi="Arial" w:cs="Arial"/>
          <w:b/>
          <w:bCs/>
          <w:noProof/>
          <w:color w:val="000000"/>
          <w:sz w:val="20"/>
          <w:szCs w:val="20"/>
          <w:lang w:val="es-ES_tradnl"/>
        </w:rPr>
      </w:pPr>
    </w:p>
    <w:p w:rsidRPr="00D858CB" w:rsidR="008C4433" w:rsidP="00F053A6" w:rsidRDefault="00F053A6" w14:paraId="32B79D69" w14:textId="21A2E79A">
      <w:pPr>
        <w:spacing w:line="276" w:lineRule="auto"/>
        <w:jc w:val="both"/>
        <w:rPr>
          <w:rFonts w:ascii="Arial" w:hAnsi="Arial" w:cs="Arial"/>
          <w:b/>
          <w:bCs/>
          <w:noProof/>
          <w:color w:val="000000"/>
          <w:sz w:val="20"/>
          <w:szCs w:val="20"/>
          <w:lang w:val="es-ES_tradnl"/>
        </w:rPr>
      </w:pPr>
      <w:r w:rsidRPr="00D858CB">
        <w:rPr>
          <w:rFonts w:ascii="Arial" w:hAnsi="Arial" w:cs="Arial"/>
          <w:b/>
          <w:bCs/>
          <w:noProof/>
          <w:color w:val="000000"/>
          <w:sz w:val="20"/>
          <w:szCs w:val="20"/>
          <w:lang w:val="es-ES_tradnl"/>
        </w:rPr>
        <w:t xml:space="preserve">EMPRENDIMIENTO DE MUJERES – FUNDACIONES – Aplicación de criterios </w:t>
      </w:r>
    </w:p>
    <w:p w:rsidRPr="00D858CB" w:rsidR="00F053A6" w:rsidP="00F053A6" w:rsidRDefault="00F053A6" w14:paraId="019BB246" w14:textId="4D12EB2A">
      <w:pPr>
        <w:spacing w:line="276" w:lineRule="auto"/>
        <w:jc w:val="both"/>
        <w:rPr>
          <w:rFonts w:ascii="Arial" w:hAnsi="Arial" w:cs="Arial"/>
          <w:b/>
          <w:bCs/>
          <w:noProof/>
          <w:color w:val="000000"/>
          <w:sz w:val="20"/>
          <w:szCs w:val="20"/>
          <w:lang w:val="es-ES_tradnl"/>
        </w:rPr>
      </w:pPr>
    </w:p>
    <w:p w:rsidRPr="00DB0DCC" w:rsidR="0053394C" w:rsidP="0053394C" w:rsidRDefault="00D858CB" w14:paraId="09288C19" w14:textId="136A6449">
      <w:pPr>
        <w:jc w:val="both"/>
        <w:rPr>
          <w:rFonts w:ascii="Arial" w:hAnsi="Arial" w:cs="Arial"/>
          <w:sz w:val="22"/>
          <w:szCs w:val="22"/>
          <w:lang w:eastAsia="es-CO"/>
        </w:rPr>
      </w:pPr>
      <w:r w:rsidRPr="00D858CB">
        <w:rPr>
          <w:rFonts w:ascii="Arial" w:hAnsi="Arial" w:cs="Arial"/>
          <w:sz w:val="20"/>
          <w:szCs w:val="20"/>
        </w:rPr>
        <w:t xml:space="preserve">[…] </w:t>
      </w:r>
      <w:r w:rsidRPr="00DB0DCC" w:rsidR="0053394C">
        <w:rPr>
          <w:rFonts w:ascii="Arial" w:hAnsi="Arial" w:eastAsia="Calibri" w:cs="Arial"/>
          <w:sz w:val="22"/>
          <w:szCs w:val="22"/>
          <w:lang w:val="es-ES_tradnl"/>
        </w:rPr>
        <w:t>De acuerdo con lo anterior, fundaciones p</w:t>
      </w:r>
      <w:r w:rsidRPr="001A6E4A" w:rsidR="0053394C">
        <w:rPr>
          <w:rFonts w:ascii="Arial" w:hAnsi="Arial" w:eastAsia="Calibri" w:cs="Arial"/>
          <w:sz w:val="22"/>
          <w:szCs w:val="22"/>
          <w:lang w:val="es-ES_tradnl"/>
        </w:rPr>
        <w:t xml:space="preserve">ueden </w:t>
      </w:r>
      <w:r w:rsidRPr="00DB0DCC" w:rsidR="0053394C">
        <w:rPr>
          <w:rFonts w:ascii="Arial" w:hAnsi="Arial" w:eastAsia="Calibri" w:cs="Arial"/>
          <w:sz w:val="22"/>
          <w:szCs w:val="22"/>
          <w:lang w:val="es-ES_tradnl"/>
        </w:rPr>
        <w:t>participar en</w:t>
      </w:r>
      <w:r w:rsidRPr="001A6E4A" w:rsidR="0053394C">
        <w:rPr>
          <w:rFonts w:ascii="Arial" w:hAnsi="Arial" w:eastAsia="Calibri" w:cs="Arial"/>
          <w:sz w:val="22"/>
          <w:szCs w:val="22"/>
          <w:lang w:val="es-ES_tradnl"/>
        </w:rPr>
        <w:t xml:space="preserve"> </w:t>
      </w:r>
      <w:r w:rsidRPr="00DB0DCC" w:rsidR="0053394C">
        <w:rPr>
          <w:rFonts w:ascii="Arial" w:hAnsi="Arial" w:eastAsia="Calibri" w:cs="Arial"/>
          <w:sz w:val="22"/>
          <w:szCs w:val="22"/>
          <w:lang w:val="es-ES_tradnl"/>
        </w:rPr>
        <w:t>proceso</w:t>
      </w:r>
      <w:r w:rsidRPr="001A6E4A" w:rsidR="0053394C">
        <w:rPr>
          <w:rFonts w:ascii="Arial" w:hAnsi="Arial" w:eastAsia="Calibri" w:cs="Arial"/>
          <w:sz w:val="22"/>
          <w:szCs w:val="22"/>
          <w:lang w:val="es-ES_tradnl"/>
        </w:rPr>
        <w:t>s</w:t>
      </w:r>
      <w:r w:rsidRPr="00DB0DCC" w:rsidR="0053394C">
        <w:rPr>
          <w:rFonts w:ascii="Arial" w:hAnsi="Arial" w:eastAsia="Calibri" w:cs="Arial"/>
          <w:sz w:val="22"/>
          <w:szCs w:val="22"/>
          <w:lang w:val="es-ES_tradnl"/>
        </w:rPr>
        <w:t xml:space="preserve"> de contratación en </w:t>
      </w:r>
      <w:r w:rsidRPr="001A6E4A" w:rsidR="0053394C">
        <w:rPr>
          <w:rFonts w:ascii="Arial" w:hAnsi="Arial" w:eastAsia="Calibri" w:cs="Arial"/>
          <w:sz w:val="22"/>
          <w:szCs w:val="22"/>
          <w:lang w:val="es-ES_tradnl"/>
        </w:rPr>
        <w:t>los</w:t>
      </w:r>
      <w:r w:rsidRPr="00DB0DCC" w:rsidR="0053394C">
        <w:rPr>
          <w:rFonts w:ascii="Arial" w:hAnsi="Arial" w:eastAsia="Calibri" w:cs="Arial"/>
          <w:sz w:val="22"/>
          <w:szCs w:val="22"/>
          <w:lang w:val="es-ES_tradnl"/>
        </w:rPr>
        <w:t xml:space="preserve"> que se incluyan criterios diferenciales en favor de emprendimientos y empresas de mujeres, según lo dispuesto en el artículo </w:t>
      </w:r>
      <w:r w:rsidRPr="001A6E4A" w:rsidR="0053394C">
        <w:rPr>
          <w:rFonts w:ascii="Arial" w:hAnsi="Arial" w:cs="Arial"/>
          <w:sz w:val="22"/>
          <w:szCs w:val="22"/>
          <w:lang w:eastAsia="es-CO"/>
        </w:rPr>
        <w:t>2.2.1.2.4.2.15 del Decreto 1082 de 2015</w:t>
      </w:r>
      <w:r w:rsidRPr="00DB0DCC" w:rsidR="0053394C">
        <w:rPr>
          <w:rFonts w:ascii="Arial" w:hAnsi="Arial" w:cs="Arial"/>
          <w:sz w:val="22"/>
          <w:szCs w:val="22"/>
          <w:lang w:eastAsia="es-CO"/>
        </w:rPr>
        <w:t>, no obstante, no</w:t>
      </w:r>
      <w:r w:rsidRPr="001A6E4A" w:rsidR="0053394C">
        <w:rPr>
          <w:rFonts w:ascii="Arial" w:hAnsi="Arial" w:cs="Arial"/>
          <w:sz w:val="22"/>
          <w:szCs w:val="22"/>
          <w:lang w:eastAsia="es-CO"/>
        </w:rPr>
        <w:t xml:space="preserve"> es</w:t>
      </w:r>
      <w:r w:rsidRPr="00DB0DCC" w:rsidR="0053394C">
        <w:rPr>
          <w:rFonts w:ascii="Arial" w:hAnsi="Arial" w:cs="Arial"/>
          <w:sz w:val="22"/>
          <w:szCs w:val="22"/>
          <w:lang w:eastAsia="es-CO"/>
        </w:rPr>
        <w:t xml:space="preserve"> posible que se beneficien de la aplicación de los mismos. Esto comoquiera que, en virtud de la naturaleza de entidades sin ánimo de lucro de las fundaciones, no les resultan aplicables los supuestos de hecho de los numerales 1 y 2 del artículo 2.2.1.2.4.2.14 del Decreto 1082 de 2015, los cuales solo pueden ser acreditados por empresas o sociedades comerciales. Esto además comoquiera que, tampoco le son aplicables a las fundaciones las definiciones de los numerales 3 y 4 del artículo 2.2.1.2.4.2.14, dirigidos exclusivamente a persona naturales, asociaciones y cooperativas, respectivamente. </w:t>
      </w:r>
    </w:p>
    <w:p w:rsidRPr="00D858CB" w:rsidR="00F053A6" w:rsidP="0053394C" w:rsidRDefault="00F053A6" w14:paraId="2BB19E4E" w14:textId="73935EF7">
      <w:pPr>
        <w:jc w:val="both"/>
        <w:rPr>
          <w:rFonts w:ascii="Calibri" w:hAnsi="Calibri" w:cs="Calibri"/>
          <w:color w:val="000000"/>
          <w:sz w:val="20"/>
          <w:szCs w:val="20"/>
        </w:rPr>
      </w:pPr>
    </w:p>
    <w:p w:rsidR="00F053A6" w:rsidP="00F053A6" w:rsidRDefault="00F053A6" w14:paraId="69D48BE3" w14:textId="1A0782C5">
      <w:pPr>
        <w:spacing w:line="276" w:lineRule="auto"/>
        <w:jc w:val="both"/>
        <w:rPr>
          <w:rFonts w:ascii="Arial" w:hAnsi="Arial" w:cs="Arial"/>
          <w:b/>
          <w:bCs/>
          <w:noProof/>
          <w:color w:val="000000"/>
          <w:sz w:val="20"/>
          <w:szCs w:val="20"/>
          <w:lang w:val="es-ES_tradnl"/>
        </w:rPr>
      </w:pPr>
    </w:p>
    <w:p w:rsidR="00F053A6" w:rsidP="00F053A6" w:rsidRDefault="00F053A6" w14:paraId="2D308A59" w14:textId="3A383673">
      <w:pPr>
        <w:spacing w:line="276" w:lineRule="auto"/>
        <w:jc w:val="both"/>
        <w:rPr>
          <w:rFonts w:ascii="Arial" w:hAnsi="Arial" w:cs="Arial"/>
          <w:b/>
          <w:bCs/>
          <w:noProof/>
          <w:color w:val="000000"/>
          <w:sz w:val="20"/>
          <w:szCs w:val="20"/>
          <w:lang w:val="es-ES_tradnl"/>
        </w:rPr>
      </w:pPr>
    </w:p>
    <w:p w:rsidR="00F053A6" w:rsidP="00F053A6" w:rsidRDefault="00F053A6" w14:paraId="198DA382" w14:textId="69C681E0">
      <w:pPr>
        <w:spacing w:line="276" w:lineRule="auto"/>
        <w:jc w:val="both"/>
        <w:rPr>
          <w:rFonts w:ascii="Arial" w:hAnsi="Arial" w:cs="Arial"/>
          <w:b/>
          <w:bCs/>
          <w:noProof/>
          <w:color w:val="000000"/>
          <w:sz w:val="20"/>
          <w:szCs w:val="20"/>
          <w:lang w:val="es-ES_tradnl"/>
        </w:rPr>
      </w:pPr>
    </w:p>
    <w:p w:rsidR="00F053A6" w:rsidP="00F053A6" w:rsidRDefault="00F053A6" w14:paraId="7F714B6F" w14:textId="3867D218">
      <w:pPr>
        <w:spacing w:line="276" w:lineRule="auto"/>
        <w:jc w:val="both"/>
        <w:rPr>
          <w:rFonts w:ascii="Arial" w:hAnsi="Arial" w:cs="Arial"/>
          <w:b/>
          <w:bCs/>
          <w:noProof/>
          <w:color w:val="000000"/>
          <w:sz w:val="20"/>
          <w:szCs w:val="20"/>
          <w:lang w:val="es-ES_tradnl"/>
        </w:rPr>
      </w:pPr>
    </w:p>
    <w:p w:rsidRPr="00F053A6" w:rsidR="00F053A6" w:rsidP="00F053A6" w:rsidRDefault="00F053A6" w14:paraId="01F3A46F" w14:textId="77777777">
      <w:pPr>
        <w:spacing w:line="276" w:lineRule="auto"/>
        <w:jc w:val="both"/>
        <w:rPr>
          <w:rFonts w:ascii="Arial" w:hAnsi="Arial" w:cs="Arial"/>
          <w:b/>
          <w:bCs/>
          <w:noProof/>
          <w:color w:val="000000"/>
          <w:sz w:val="20"/>
          <w:szCs w:val="20"/>
          <w:lang w:val="es-ES_tradnl"/>
        </w:rPr>
      </w:pPr>
    </w:p>
    <w:p w:rsidR="00F053A6" w:rsidP="00F053A6" w:rsidRDefault="00F053A6" w14:paraId="53ACDBB1" w14:textId="2974F91B">
      <w:pPr>
        <w:spacing w:line="276" w:lineRule="auto"/>
        <w:jc w:val="both"/>
        <w:rPr>
          <w:rFonts w:ascii="Arial" w:hAnsi="Arial" w:cs="Arial"/>
          <w:noProof/>
          <w:color w:val="000000"/>
          <w:lang w:val="es-ES_tradnl"/>
        </w:rPr>
      </w:pPr>
    </w:p>
    <w:p w:rsidRPr="00362817" w:rsidR="00F053A6" w:rsidP="00F053A6" w:rsidRDefault="00F053A6" w14:paraId="0785588E" w14:textId="77777777">
      <w:pPr>
        <w:spacing w:line="276" w:lineRule="auto"/>
        <w:jc w:val="both"/>
        <w:rPr>
          <w:rFonts w:ascii="Arial" w:hAnsi="Arial" w:cs="Arial"/>
          <w:noProof/>
          <w:color w:val="000000"/>
          <w:lang w:val="es-ES_tradnl"/>
        </w:rPr>
      </w:pPr>
    </w:p>
    <w:p w:rsidRPr="00362817" w:rsidR="008C4433" w:rsidP="008C4433" w:rsidRDefault="008C4433" w14:paraId="491E9252" w14:textId="77777777">
      <w:pPr>
        <w:spacing w:line="276" w:lineRule="auto"/>
        <w:ind w:firstLine="709"/>
        <w:jc w:val="both"/>
        <w:rPr>
          <w:rFonts w:ascii="Arial" w:hAnsi="Arial" w:cs="Arial"/>
          <w:noProof/>
          <w:color w:val="000000"/>
          <w:lang w:val="es-ES_tradnl"/>
        </w:rPr>
      </w:pPr>
    </w:p>
    <w:p w:rsidRPr="00362817" w:rsidR="008C4433" w:rsidP="008C4433" w:rsidRDefault="008C4433" w14:paraId="34E03113" w14:textId="77777777">
      <w:pPr>
        <w:spacing w:line="276" w:lineRule="auto"/>
        <w:ind w:firstLine="709"/>
        <w:jc w:val="both"/>
        <w:rPr>
          <w:rFonts w:ascii="Arial" w:hAnsi="Arial" w:cs="Arial"/>
          <w:noProof/>
          <w:color w:val="000000"/>
          <w:lang w:val="es-ES_tradnl"/>
        </w:rPr>
      </w:pPr>
    </w:p>
    <w:p w:rsidRPr="00362817" w:rsidR="008C4433" w:rsidP="008C4433" w:rsidRDefault="008C4433" w14:paraId="17C78537" w14:textId="77777777">
      <w:pPr>
        <w:spacing w:line="276" w:lineRule="auto"/>
        <w:ind w:firstLine="709"/>
        <w:jc w:val="both"/>
        <w:rPr>
          <w:rFonts w:ascii="Arial" w:hAnsi="Arial" w:cs="Arial"/>
          <w:noProof/>
          <w:color w:val="000000"/>
          <w:lang w:val="es-ES_tradnl"/>
        </w:rPr>
      </w:pPr>
    </w:p>
    <w:p w:rsidRPr="00362817" w:rsidR="008C4433" w:rsidP="008C4433" w:rsidRDefault="008C4433" w14:paraId="5C4E4441" w14:textId="77777777">
      <w:pPr>
        <w:spacing w:line="276" w:lineRule="auto"/>
        <w:ind w:firstLine="709"/>
        <w:jc w:val="both"/>
        <w:rPr>
          <w:rFonts w:ascii="Arial" w:hAnsi="Arial" w:cs="Arial"/>
          <w:noProof/>
          <w:color w:val="000000"/>
          <w:lang w:val="es-ES_tradnl"/>
        </w:rPr>
      </w:pPr>
    </w:p>
    <w:p w:rsidRPr="00362817" w:rsidR="008C4433" w:rsidP="008C4433" w:rsidRDefault="008C4433" w14:paraId="419D5112" w14:textId="77777777">
      <w:pPr>
        <w:spacing w:line="276" w:lineRule="auto"/>
        <w:ind w:firstLine="709"/>
        <w:jc w:val="both"/>
        <w:rPr>
          <w:rFonts w:ascii="Arial" w:hAnsi="Arial" w:cs="Arial"/>
          <w:noProof/>
          <w:color w:val="000000"/>
          <w:lang w:val="es-ES_tradnl"/>
        </w:rPr>
      </w:pPr>
    </w:p>
    <w:p w:rsidRPr="00362817" w:rsidR="008C4433" w:rsidP="008C4433" w:rsidRDefault="008C4433" w14:paraId="4B3C091D" w14:textId="77777777">
      <w:pPr>
        <w:spacing w:line="276" w:lineRule="auto"/>
        <w:ind w:firstLine="709"/>
        <w:jc w:val="both"/>
        <w:rPr>
          <w:rFonts w:ascii="Arial" w:hAnsi="Arial" w:cs="Arial"/>
          <w:noProof/>
          <w:color w:val="000000"/>
          <w:lang w:val="es-ES_tradnl"/>
        </w:rPr>
      </w:pPr>
    </w:p>
    <w:p w:rsidRPr="00362817" w:rsidR="008C4433" w:rsidP="008C4433" w:rsidRDefault="008C4433" w14:paraId="593674C0" w14:textId="77777777">
      <w:pPr>
        <w:spacing w:line="276" w:lineRule="auto"/>
        <w:ind w:firstLine="709"/>
        <w:jc w:val="both"/>
        <w:rPr>
          <w:rFonts w:ascii="Arial" w:hAnsi="Arial" w:cs="Arial"/>
          <w:noProof/>
          <w:color w:val="000000"/>
          <w:lang w:val="es-ES_tradnl"/>
        </w:rPr>
      </w:pPr>
    </w:p>
    <w:p w:rsidRPr="00362817" w:rsidR="008C4433" w:rsidP="008C4433" w:rsidRDefault="008C4433" w14:paraId="1929D413" w14:textId="77777777">
      <w:pPr>
        <w:spacing w:line="276" w:lineRule="auto"/>
        <w:ind w:firstLine="709"/>
        <w:jc w:val="both"/>
        <w:rPr>
          <w:rFonts w:ascii="Arial" w:hAnsi="Arial" w:cs="Arial"/>
          <w:noProof/>
          <w:color w:val="000000"/>
          <w:lang w:val="es-ES_tradnl"/>
        </w:rPr>
      </w:pPr>
    </w:p>
    <w:p w:rsidR="009C6278" w:rsidP="00F053A6" w:rsidRDefault="009C6278" w14:paraId="18F3C657" w14:textId="7395F8BE">
      <w:pPr>
        <w:spacing w:line="276" w:lineRule="auto"/>
        <w:rPr>
          <w:rFonts w:ascii="Arial" w:hAnsi="Arial" w:cs="Arial"/>
          <w:noProof/>
          <w:color w:val="000000"/>
          <w:lang w:val="es-ES_tradnl"/>
        </w:rPr>
      </w:pPr>
    </w:p>
    <w:p w:rsidR="0053394C" w:rsidP="00F053A6" w:rsidRDefault="0053394C" w14:paraId="5B748204" w14:textId="1FACA9FF">
      <w:pPr>
        <w:spacing w:line="276" w:lineRule="auto"/>
        <w:rPr>
          <w:rFonts w:ascii="Arial" w:hAnsi="Arial" w:cs="Arial"/>
          <w:noProof/>
          <w:color w:val="000000"/>
          <w:lang w:val="es-ES_tradnl"/>
        </w:rPr>
      </w:pPr>
    </w:p>
    <w:p w:rsidR="0053394C" w:rsidP="00F053A6" w:rsidRDefault="0053394C" w14:paraId="3E026D9C" w14:textId="7E33C891">
      <w:pPr>
        <w:spacing w:line="276" w:lineRule="auto"/>
        <w:rPr>
          <w:rFonts w:ascii="Arial" w:hAnsi="Arial" w:cs="Arial"/>
          <w:noProof/>
          <w:color w:val="000000"/>
          <w:lang w:val="es-ES_tradnl"/>
        </w:rPr>
      </w:pPr>
    </w:p>
    <w:p w:rsidR="0053394C" w:rsidP="00F053A6" w:rsidRDefault="0053394C" w14:paraId="23A26D25" w14:textId="2941F1B2">
      <w:pPr>
        <w:spacing w:line="276" w:lineRule="auto"/>
        <w:rPr>
          <w:rFonts w:ascii="Arial" w:hAnsi="Arial" w:cs="Arial"/>
          <w:noProof/>
          <w:color w:val="000000"/>
          <w:lang w:val="es-ES_tradnl"/>
        </w:rPr>
      </w:pPr>
    </w:p>
    <w:p w:rsidR="0053394C" w:rsidP="00F053A6" w:rsidRDefault="0053394C" w14:paraId="61E1F78E" w14:textId="34E2DDC6">
      <w:pPr>
        <w:spacing w:line="276" w:lineRule="auto"/>
        <w:rPr>
          <w:rFonts w:ascii="Arial" w:hAnsi="Arial" w:cs="Arial"/>
          <w:noProof/>
          <w:color w:val="000000"/>
          <w:lang w:val="es-ES_tradnl"/>
        </w:rPr>
      </w:pPr>
    </w:p>
    <w:p w:rsidR="0053394C" w:rsidP="00F053A6" w:rsidRDefault="0053394C" w14:paraId="7E62D0F0" w14:textId="2FF6897D">
      <w:pPr>
        <w:spacing w:line="276" w:lineRule="auto"/>
        <w:rPr>
          <w:rFonts w:ascii="Arial" w:hAnsi="Arial" w:cs="Arial"/>
          <w:noProof/>
          <w:color w:val="000000"/>
          <w:lang w:val="es-ES_tradnl"/>
        </w:rPr>
      </w:pPr>
    </w:p>
    <w:p w:rsidR="0053394C" w:rsidP="00F053A6" w:rsidRDefault="0053394C" w14:paraId="20055575" w14:textId="77777777">
      <w:pPr>
        <w:spacing w:line="276" w:lineRule="auto"/>
        <w:rPr>
          <w:rFonts w:ascii="Arial" w:hAnsi="Arial" w:cs="Arial"/>
          <w:noProof/>
          <w:color w:val="000000"/>
          <w:lang w:val="es-ES_tradnl"/>
        </w:rPr>
      </w:pPr>
    </w:p>
    <w:p w:rsidR="009C6278" w:rsidP="008C4433" w:rsidRDefault="009C6278" w14:paraId="13593048" w14:textId="77777777">
      <w:pPr>
        <w:spacing w:line="276" w:lineRule="auto"/>
        <w:jc w:val="right"/>
        <w:rPr>
          <w:rFonts w:ascii="Arial" w:hAnsi="Arial" w:cs="Arial"/>
          <w:noProof/>
          <w:color w:val="000000"/>
          <w:lang w:val="es-ES_tradnl"/>
        </w:rPr>
      </w:pPr>
    </w:p>
    <w:p w:rsidR="00721BD9" w:rsidP="008C4433" w:rsidRDefault="00721BD9" w14:paraId="240D8279" w14:textId="77777777">
      <w:pPr>
        <w:spacing w:line="276" w:lineRule="auto"/>
        <w:rPr>
          <w:rFonts w:ascii="Arial" w:hAnsi="Arial" w:cs="Arial"/>
          <w:sz w:val="22"/>
          <w:szCs w:val="22"/>
        </w:rPr>
      </w:pPr>
    </w:p>
    <w:p w:rsidR="00003E0D" w:rsidP="00003E0D" w:rsidRDefault="008C4433" w14:paraId="79645403" w14:textId="77777777">
      <w:pPr>
        <w:rPr>
          <w:rFonts w:ascii="Arial" w:hAnsi="Arial" w:cs="Arial"/>
          <w:sz w:val="22"/>
          <w:szCs w:val="22"/>
        </w:rPr>
      </w:pPr>
      <w:r w:rsidRPr="0091077E">
        <w:rPr>
          <w:rFonts w:ascii="Arial" w:hAnsi="Arial" w:cs="Arial"/>
          <w:sz w:val="22"/>
          <w:szCs w:val="22"/>
        </w:rPr>
        <w:t>Bogotá,</w:t>
      </w:r>
    </w:p>
    <w:p w:rsidR="00003E0D" w:rsidP="00003E0D" w:rsidRDefault="008C4433" w14:paraId="5D7611CC" w14:textId="5A7298FF">
      <w:pPr>
        <w:jc w:val="right"/>
      </w:pPr>
      <w:r w:rsidRPr="0091077E">
        <w:rPr>
          <w:rFonts w:ascii="Arial" w:hAnsi="Arial" w:cs="Arial"/>
          <w:sz w:val="22"/>
          <w:szCs w:val="22"/>
        </w:rPr>
        <w:t xml:space="preserve"> </w:t>
      </w:r>
      <w:r w:rsidR="00003E0D">
        <w:fldChar w:fldCharType="begin"/>
      </w:r>
      <w:r w:rsidR="00003E0D">
        <w:instrText xml:space="preserve"> INCLUDEPICTURE "/var/folders/tb/0fmk9b510f57pz5rwhv8lnpw0000gp/T/com.microsoft.Word/WebArchiveCopyPasteTempFiles/page1image26615104" \* MERGEFORMATINET </w:instrText>
      </w:r>
      <w:r w:rsidR="00003E0D">
        <w:fldChar w:fldCharType="separate"/>
      </w:r>
      <w:r w:rsidR="00003E0D">
        <w:rPr>
          <w:noProof/>
        </w:rPr>
        <w:drawing>
          <wp:inline distT="0" distB="0" distL="0" distR="0" wp14:anchorId="6D5B2A63" wp14:editId="76ED313A">
            <wp:extent cx="2400300" cy="612775"/>
            <wp:effectExtent l="0" t="0" r="0" b="0"/>
            <wp:docPr id="1" name="Imagen 1" descr="page1image266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6615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612775"/>
                    </a:xfrm>
                    <a:prstGeom prst="rect">
                      <a:avLst/>
                    </a:prstGeom>
                    <a:noFill/>
                    <a:ln>
                      <a:noFill/>
                    </a:ln>
                  </pic:spPr>
                </pic:pic>
              </a:graphicData>
            </a:graphic>
          </wp:inline>
        </w:drawing>
      </w:r>
      <w:r w:rsidR="00003E0D">
        <w:fldChar w:fldCharType="end"/>
      </w:r>
    </w:p>
    <w:p w:rsidRPr="0091077E" w:rsidR="008C4433" w:rsidP="008C4433" w:rsidRDefault="008C4433" w14:paraId="0F164254" w14:textId="1595A670">
      <w:pPr>
        <w:spacing w:line="276" w:lineRule="auto"/>
        <w:rPr>
          <w:rFonts w:ascii="Arial" w:hAnsi="Arial" w:eastAsia="Calibri" w:cs="Arial"/>
          <w:sz w:val="22"/>
          <w:szCs w:val="22"/>
          <w:lang w:val="es-MX"/>
        </w:rPr>
      </w:pPr>
    </w:p>
    <w:p w:rsidRPr="0091077E" w:rsidR="008C4433" w:rsidP="008C4433" w:rsidRDefault="008C4433" w14:paraId="63FB4F87" w14:textId="77777777">
      <w:pPr>
        <w:jc w:val="both"/>
        <w:rPr>
          <w:rFonts w:ascii="Arial" w:hAnsi="Arial" w:cs="Arial"/>
          <w:b/>
          <w:color w:val="000000"/>
          <w:sz w:val="22"/>
          <w:szCs w:val="22"/>
          <w:lang w:val="es-ES_tradnl"/>
        </w:rPr>
      </w:pPr>
    </w:p>
    <w:p w:rsidR="008C4433" w:rsidP="008C4433" w:rsidRDefault="008C4433" w14:paraId="3B26E508" w14:textId="25003CAF">
      <w:pPr>
        <w:spacing w:line="276" w:lineRule="auto"/>
        <w:jc w:val="both"/>
        <w:rPr>
          <w:rFonts w:ascii="Arial" w:hAnsi="Arial" w:eastAsia="Calibri" w:cs="Arial"/>
          <w:bCs/>
          <w:color w:val="000000"/>
          <w:sz w:val="22"/>
          <w:szCs w:val="22"/>
          <w:lang w:val="es-ES_tradnl"/>
        </w:rPr>
      </w:pPr>
      <w:r w:rsidRPr="0091077E">
        <w:rPr>
          <w:rFonts w:ascii="Arial" w:hAnsi="Arial" w:eastAsia="Calibri" w:cs="Arial"/>
          <w:bCs/>
          <w:color w:val="000000"/>
          <w:sz w:val="22"/>
          <w:szCs w:val="22"/>
          <w:lang w:val="es-ES_tradnl"/>
        </w:rPr>
        <w:t>Señor</w:t>
      </w:r>
      <w:r w:rsidR="00026FDA">
        <w:rPr>
          <w:rFonts w:ascii="Arial" w:hAnsi="Arial" w:eastAsia="Calibri" w:cs="Arial"/>
          <w:bCs/>
          <w:color w:val="000000"/>
          <w:sz w:val="22"/>
          <w:szCs w:val="22"/>
          <w:lang w:val="es-ES_tradnl"/>
        </w:rPr>
        <w:t>a</w:t>
      </w:r>
    </w:p>
    <w:p w:rsidR="00026FDA" w:rsidP="008C4433" w:rsidRDefault="00026FDA" w14:paraId="1524D5C0" w14:textId="0DE1C1DB">
      <w:pPr>
        <w:spacing w:line="276" w:lineRule="auto"/>
        <w:jc w:val="both"/>
        <w:rPr>
          <w:rFonts w:ascii="Arial" w:hAnsi="Arial" w:eastAsia="Calibri" w:cs="Arial"/>
          <w:b/>
          <w:color w:val="000000"/>
          <w:sz w:val="22"/>
          <w:szCs w:val="22"/>
          <w:lang w:val="es-ES_tradnl"/>
        </w:rPr>
      </w:pPr>
      <w:r>
        <w:rPr>
          <w:rFonts w:ascii="Arial" w:hAnsi="Arial" w:eastAsia="Calibri" w:cs="Arial"/>
          <w:b/>
          <w:color w:val="000000"/>
          <w:sz w:val="22"/>
          <w:szCs w:val="22"/>
          <w:lang w:val="es-ES_tradnl"/>
        </w:rPr>
        <w:t xml:space="preserve">Cindy Paola Benavides </w:t>
      </w:r>
    </w:p>
    <w:p w:rsidRPr="00070795" w:rsidR="00070795" w:rsidP="008C4433" w:rsidRDefault="00070795" w14:paraId="28D69C91" w14:textId="435DBA12">
      <w:pPr>
        <w:spacing w:line="276" w:lineRule="auto"/>
        <w:jc w:val="both"/>
        <w:rPr>
          <w:rFonts w:ascii="Arial" w:hAnsi="Arial" w:eastAsia="Calibri" w:cs="Arial"/>
          <w:bCs/>
          <w:color w:val="000000"/>
          <w:sz w:val="22"/>
          <w:szCs w:val="22"/>
          <w:lang w:val="es-ES_tradnl"/>
        </w:rPr>
      </w:pPr>
      <w:r>
        <w:rPr>
          <w:rFonts w:ascii="Arial" w:hAnsi="Arial" w:eastAsia="Calibri" w:cs="Arial"/>
          <w:bCs/>
          <w:color w:val="000000"/>
          <w:sz w:val="22"/>
          <w:szCs w:val="22"/>
          <w:lang w:val="es-ES_tradnl"/>
        </w:rPr>
        <w:t>Bogotá, D.C</w:t>
      </w:r>
      <w:r w:rsidR="00D23E94">
        <w:rPr>
          <w:rFonts w:ascii="Arial" w:hAnsi="Arial" w:eastAsia="Calibri" w:cs="Arial"/>
          <w:bCs/>
          <w:color w:val="000000"/>
          <w:sz w:val="22"/>
          <w:szCs w:val="22"/>
          <w:lang w:val="es-ES_tradnl"/>
        </w:rPr>
        <w:t>.</w:t>
      </w:r>
      <w:r>
        <w:rPr>
          <w:rFonts w:ascii="Arial" w:hAnsi="Arial" w:eastAsia="Calibri" w:cs="Arial"/>
          <w:bCs/>
          <w:color w:val="000000"/>
          <w:sz w:val="22"/>
          <w:szCs w:val="22"/>
          <w:lang w:val="es-ES_tradnl"/>
        </w:rPr>
        <w:t xml:space="preserve"> </w:t>
      </w:r>
    </w:p>
    <w:p w:rsidRPr="00026FDA" w:rsidR="00026FDA" w:rsidP="008C4433" w:rsidRDefault="00026FDA" w14:paraId="43616835" w14:textId="77777777">
      <w:pPr>
        <w:spacing w:line="276" w:lineRule="auto"/>
        <w:jc w:val="both"/>
        <w:rPr>
          <w:rFonts w:ascii="Arial" w:hAnsi="Arial" w:eastAsia="Calibri" w:cs="Arial"/>
          <w:b/>
          <w:color w:val="000000"/>
          <w:sz w:val="22"/>
          <w:szCs w:val="22"/>
          <w:lang w:val="es-ES_tradnl"/>
        </w:rPr>
      </w:pPr>
    </w:p>
    <w:p w:rsidRPr="0091077E" w:rsidR="008C4433" w:rsidP="00A357FA" w:rsidRDefault="00A357FA" w14:paraId="05763ECA" w14:textId="19BC13A9">
      <w:pPr>
        <w:ind w:left="707" w:firstLine="709"/>
        <w:rPr>
          <w:rFonts w:ascii="Arial" w:hAnsi="Arial" w:eastAsia="Calibri" w:cs="Arial"/>
          <w:b/>
          <w:bCs/>
          <w:color w:val="000000"/>
          <w:sz w:val="22"/>
          <w:szCs w:val="22"/>
          <w:lang w:val="es-ES_tradnl"/>
        </w:rPr>
      </w:pPr>
      <w:r>
        <w:rPr>
          <w:rFonts w:ascii="Arial" w:hAnsi="Arial" w:eastAsia="Calibri" w:cs="Arial"/>
          <w:b/>
          <w:bCs/>
          <w:color w:val="000000"/>
          <w:sz w:val="22"/>
          <w:szCs w:val="22"/>
          <w:lang w:val="es-ES_tradnl"/>
        </w:rPr>
        <w:t xml:space="preserve"> </w:t>
      </w:r>
      <w:r w:rsidRPr="0091077E" w:rsidR="008C4433">
        <w:rPr>
          <w:rFonts w:ascii="Arial" w:hAnsi="Arial" w:eastAsia="Calibri" w:cs="Arial"/>
          <w:b/>
          <w:bCs/>
          <w:color w:val="000000"/>
          <w:sz w:val="22"/>
          <w:szCs w:val="22"/>
          <w:lang w:val="es-ES_tradnl"/>
        </w:rPr>
        <w:t xml:space="preserve">                    Concepto C ‒ 5</w:t>
      </w:r>
      <w:r w:rsidR="009C6278">
        <w:rPr>
          <w:rFonts w:ascii="Arial" w:hAnsi="Arial" w:eastAsia="Calibri" w:cs="Arial"/>
          <w:b/>
          <w:bCs/>
          <w:color w:val="000000"/>
          <w:sz w:val="22"/>
          <w:szCs w:val="22"/>
          <w:lang w:val="es-ES_tradnl"/>
        </w:rPr>
        <w:t>40</w:t>
      </w:r>
      <w:r w:rsidRPr="0091077E" w:rsidR="008C4433">
        <w:rPr>
          <w:rFonts w:ascii="Arial" w:hAnsi="Arial" w:eastAsia="Calibri" w:cs="Arial"/>
          <w:b/>
          <w:bCs/>
          <w:color w:val="000000"/>
          <w:sz w:val="22"/>
          <w:szCs w:val="22"/>
          <w:lang w:val="es-ES_tradnl"/>
        </w:rPr>
        <w:t xml:space="preserve"> de 2022</w:t>
      </w:r>
    </w:p>
    <w:p w:rsidRPr="0091077E" w:rsidR="008C4433" w:rsidP="008C4433" w:rsidRDefault="008C4433" w14:paraId="245391E4" w14:textId="77777777">
      <w:pPr>
        <w:ind w:firstLine="709"/>
        <w:jc w:val="both"/>
        <w:rPr>
          <w:rFonts w:ascii="Arial" w:hAnsi="Arial" w:eastAsia="Calibri" w:cs="Arial"/>
          <w:color w:val="000000"/>
          <w:sz w:val="22"/>
          <w:szCs w:val="22"/>
          <w:lang w:val="es-ES_tradnl"/>
        </w:rPr>
      </w:pPr>
    </w:p>
    <w:tbl>
      <w:tblPr>
        <w:tblStyle w:val="Tablaconcuadrcula1"/>
        <w:tblW w:w="89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689"/>
        <w:gridCol w:w="6237"/>
      </w:tblGrid>
      <w:tr w:rsidRPr="0091077E" w:rsidR="008C4433" w:rsidTr="0014795E" w14:paraId="5D9F1408" w14:textId="77777777">
        <w:tc>
          <w:tcPr>
            <w:tcW w:w="2689" w:type="dxa"/>
          </w:tcPr>
          <w:p w:rsidRPr="0091077E" w:rsidR="008C4433" w:rsidP="0014795E" w:rsidRDefault="008C4433" w14:paraId="3510AEBF" w14:textId="0265130C">
            <w:pPr>
              <w:rPr>
                <w:rFonts w:ascii="Arial" w:hAnsi="Arial" w:eastAsia="Calibri" w:cs="Arial"/>
                <w:color w:val="000000"/>
                <w:sz w:val="22"/>
                <w:szCs w:val="22"/>
                <w:lang w:val="es-ES_tradnl"/>
              </w:rPr>
            </w:pPr>
            <w:r w:rsidRPr="0091077E">
              <w:rPr>
                <w:rFonts w:ascii="Arial" w:hAnsi="Arial" w:eastAsia="Calibri" w:cs="Arial"/>
                <w:b/>
                <w:color w:val="000000"/>
                <w:sz w:val="22"/>
                <w:szCs w:val="22"/>
                <w:lang w:val="es-ES_tradnl"/>
              </w:rPr>
              <w:t>Temas:</w:t>
            </w:r>
            <w:r w:rsidRPr="0091077E">
              <w:rPr>
                <w:rFonts w:ascii="Arial" w:hAnsi="Arial" w:eastAsia="Calibri" w:cs="Arial"/>
                <w:color w:val="000000"/>
                <w:sz w:val="22"/>
                <w:szCs w:val="22"/>
                <w:lang w:val="es-ES_tradnl"/>
              </w:rPr>
              <w:t xml:space="preserve">                                  </w:t>
            </w:r>
          </w:p>
        </w:tc>
        <w:tc>
          <w:tcPr>
            <w:tcW w:w="6237" w:type="dxa"/>
          </w:tcPr>
          <w:p w:rsidR="00070795" w:rsidP="009C6278" w:rsidRDefault="00F053A6" w14:paraId="0F2628EC" w14:textId="63B21F0A">
            <w:pPr>
              <w:rPr>
                <w:rFonts w:ascii="Arial" w:hAnsi="Arial" w:eastAsia="Calibri" w:cs="Arial"/>
                <w:color w:val="000000"/>
                <w:sz w:val="22"/>
                <w:szCs w:val="22"/>
                <w:lang w:val="es-ES_tradnl"/>
              </w:rPr>
            </w:pPr>
            <w:r w:rsidRPr="004A0290">
              <w:rPr>
                <w:rFonts w:ascii="Arial" w:hAnsi="Arial" w:eastAsia="Calibri" w:cs="Arial"/>
                <w:bCs/>
                <w:color w:val="000000" w:themeColor="text1"/>
                <w:sz w:val="22"/>
                <w:szCs w:val="22"/>
                <w:lang w:val="es-ES_tradnl"/>
              </w:rPr>
              <w:t>LEY DE EMPRENDIMIENTO – Ley 2069 de 2020– Finalidad / LEY DE EM</w:t>
            </w:r>
            <w:r w:rsidRPr="00D23E94">
              <w:rPr>
                <w:rFonts w:ascii="Arial" w:hAnsi="Arial" w:eastAsia="Calibri" w:cs="Arial"/>
                <w:bCs/>
                <w:color w:val="000000" w:themeColor="text1"/>
                <w:sz w:val="22"/>
                <w:szCs w:val="22"/>
                <w:lang w:val="es-ES_tradnl"/>
              </w:rPr>
              <w:t xml:space="preserve">PRENDIMIENTO – Ley 2069 de 2020 – Artículo 32 – Criterios diferenciales – Emprendimientos de mujeres – Empresas de mujeres – Necesidad de reglamentación – Decreto 1860 de 2021 / DECRETO 1860 DE 2021 – Vigencia / </w:t>
            </w:r>
            <w:r w:rsidRPr="00D23E94">
              <w:rPr>
                <w:rFonts w:ascii="Arial" w:hAnsi="Arial" w:cs="Arial"/>
                <w:noProof/>
                <w:color w:val="000000"/>
                <w:sz w:val="22"/>
                <w:szCs w:val="22"/>
                <w:lang w:val="es-ES_tradnl"/>
              </w:rPr>
              <w:t xml:space="preserve">EMPRENDIMIENTO DE MUJERES – FUNDACIONES – Aplicación de criterios </w:t>
            </w:r>
          </w:p>
          <w:p w:rsidRPr="0091077E" w:rsidR="00070795" w:rsidP="009C6278" w:rsidRDefault="00070795" w14:paraId="6BF62966" w14:textId="3979C277">
            <w:pPr>
              <w:rPr>
                <w:rFonts w:ascii="Arial" w:hAnsi="Arial" w:eastAsia="Calibri" w:cs="Arial"/>
                <w:color w:val="000000"/>
                <w:sz w:val="22"/>
                <w:szCs w:val="22"/>
                <w:lang w:val="es-ES_tradnl"/>
              </w:rPr>
            </w:pPr>
          </w:p>
        </w:tc>
      </w:tr>
      <w:tr w:rsidRPr="0091077E" w:rsidR="008C4433" w:rsidTr="0014795E" w14:paraId="278B7DA3" w14:textId="77777777">
        <w:trPr>
          <w:trHeight w:val="67"/>
        </w:trPr>
        <w:tc>
          <w:tcPr>
            <w:tcW w:w="2689" w:type="dxa"/>
          </w:tcPr>
          <w:p w:rsidRPr="0091077E" w:rsidR="008C4433" w:rsidP="0014795E" w:rsidRDefault="008C4433" w14:paraId="3AD058FD" w14:textId="77777777">
            <w:pPr>
              <w:spacing w:before="120"/>
              <w:rPr>
                <w:rFonts w:ascii="Arial" w:hAnsi="Arial" w:eastAsia="Calibri" w:cs="Arial"/>
                <w:b/>
                <w:color w:val="000000"/>
                <w:sz w:val="22"/>
                <w:szCs w:val="22"/>
                <w:lang w:val="es-ES_tradnl"/>
              </w:rPr>
            </w:pPr>
            <w:r w:rsidRPr="0091077E">
              <w:rPr>
                <w:rFonts w:ascii="Arial" w:hAnsi="Arial" w:eastAsia="Calibri" w:cs="Arial"/>
                <w:b/>
                <w:color w:val="000000"/>
                <w:sz w:val="22"/>
                <w:szCs w:val="22"/>
                <w:lang w:val="es-ES_tradnl"/>
              </w:rPr>
              <w:t>Radicación:</w:t>
            </w:r>
            <w:r w:rsidRPr="0091077E">
              <w:rPr>
                <w:rFonts w:ascii="Arial" w:hAnsi="Arial" w:eastAsia="Calibri" w:cs="Arial"/>
                <w:color w:val="000000"/>
                <w:sz w:val="22"/>
                <w:szCs w:val="22"/>
                <w:lang w:val="es-ES_tradnl"/>
              </w:rPr>
              <w:t xml:space="preserve">                              </w:t>
            </w:r>
          </w:p>
        </w:tc>
        <w:tc>
          <w:tcPr>
            <w:tcW w:w="6237" w:type="dxa"/>
          </w:tcPr>
          <w:p w:rsidRPr="0091077E" w:rsidR="008C4433" w:rsidP="0014795E" w:rsidRDefault="008C4433" w14:paraId="65F2B2D5" w14:textId="7AFEB240">
            <w:pPr>
              <w:rPr>
                <w:rFonts w:ascii="Arial" w:hAnsi="Arial" w:cs="Arial"/>
                <w:sz w:val="22"/>
                <w:szCs w:val="22"/>
              </w:rPr>
            </w:pPr>
            <w:r w:rsidRPr="0091077E">
              <w:rPr>
                <w:rFonts w:ascii="Arial" w:hAnsi="Arial" w:eastAsia="Calibri" w:cs="Arial"/>
                <w:color w:val="000000"/>
                <w:sz w:val="22"/>
                <w:szCs w:val="22"/>
                <w:lang w:val="es-ES_tradnl"/>
              </w:rPr>
              <w:t xml:space="preserve">Respuesta a consulta </w:t>
            </w:r>
            <w:r w:rsidRPr="006C3AE7" w:rsidR="009C6278">
              <w:rPr>
                <w:rFonts w:ascii="Arial" w:hAnsi="Arial" w:cs="Arial"/>
                <w:sz w:val="22"/>
                <w:szCs w:val="22"/>
              </w:rPr>
              <w:t>P20220714006888</w:t>
            </w:r>
          </w:p>
          <w:p w:rsidRPr="0091077E" w:rsidR="008C4433" w:rsidP="0014795E" w:rsidRDefault="008C4433" w14:paraId="2AC375D0" w14:textId="77777777">
            <w:pPr>
              <w:spacing w:before="120"/>
              <w:rPr>
                <w:rFonts w:ascii="Arial" w:hAnsi="Arial" w:eastAsia="Calibri" w:cs="Arial"/>
                <w:color w:val="000000"/>
                <w:sz w:val="22"/>
                <w:szCs w:val="22"/>
                <w:lang w:val="es-ES_tradnl"/>
              </w:rPr>
            </w:pPr>
          </w:p>
        </w:tc>
      </w:tr>
    </w:tbl>
    <w:p w:rsidRPr="0091077E" w:rsidR="008C4433" w:rsidP="008C4433" w:rsidRDefault="008C4433" w14:paraId="4845B98A" w14:textId="77777777">
      <w:pPr>
        <w:ind w:firstLine="709"/>
        <w:jc w:val="both"/>
        <w:rPr>
          <w:rFonts w:ascii="Arial" w:hAnsi="Arial" w:eastAsia="Calibri" w:cs="Arial"/>
          <w:color w:val="000000"/>
          <w:sz w:val="22"/>
          <w:szCs w:val="22"/>
          <w:lang w:val="es-ES_tradnl"/>
        </w:rPr>
      </w:pPr>
    </w:p>
    <w:p w:rsidRPr="0091077E" w:rsidR="008C4433" w:rsidP="008C4433" w:rsidRDefault="008C4433" w14:paraId="35EBABE4" w14:textId="6F69555E">
      <w:pPr>
        <w:jc w:val="both"/>
        <w:rPr>
          <w:rFonts w:ascii="Arial" w:hAnsi="Arial" w:eastAsia="Calibri" w:cs="Arial"/>
          <w:color w:val="000000"/>
          <w:sz w:val="22"/>
          <w:szCs w:val="22"/>
          <w:lang w:val="es-ES_tradnl"/>
        </w:rPr>
      </w:pPr>
      <w:r w:rsidRPr="0091077E">
        <w:rPr>
          <w:rFonts w:ascii="Arial" w:hAnsi="Arial" w:eastAsia="Calibri" w:cs="Arial"/>
          <w:color w:val="000000"/>
          <w:sz w:val="22"/>
          <w:szCs w:val="22"/>
          <w:lang w:val="es-ES_tradnl"/>
        </w:rPr>
        <w:t>Estimad</w:t>
      </w:r>
      <w:r w:rsidR="00026FDA">
        <w:rPr>
          <w:rFonts w:ascii="Arial" w:hAnsi="Arial" w:eastAsia="Calibri" w:cs="Arial"/>
          <w:color w:val="000000"/>
          <w:sz w:val="22"/>
          <w:szCs w:val="22"/>
          <w:lang w:val="es-ES_tradnl"/>
        </w:rPr>
        <w:t>a Señora Benavides</w:t>
      </w:r>
      <w:r w:rsidRPr="0091077E">
        <w:rPr>
          <w:rFonts w:ascii="Arial" w:hAnsi="Arial" w:eastAsia="Calibri" w:cs="Arial"/>
          <w:color w:val="000000"/>
          <w:sz w:val="22"/>
          <w:szCs w:val="22"/>
          <w:lang w:val="es-ES_tradnl"/>
        </w:rPr>
        <w:t>:</w:t>
      </w:r>
    </w:p>
    <w:p w:rsidRPr="0091077E" w:rsidR="008C4433" w:rsidP="008C4433" w:rsidRDefault="008C4433" w14:paraId="2D2E0B9E" w14:textId="77777777">
      <w:pPr>
        <w:ind w:firstLine="709"/>
        <w:jc w:val="both"/>
        <w:rPr>
          <w:rFonts w:ascii="Arial" w:hAnsi="Arial" w:eastAsia="Calibri" w:cs="Arial"/>
          <w:color w:val="000000"/>
          <w:sz w:val="22"/>
          <w:szCs w:val="22"/>
          <w:lang w:val="es-ES_tradnl"/>
        </w:rPr>
      </w:pPr>
    </w:p>
    <w:p w:rsidRPr="0091077E" w:rsidR="008C4433" w:rsidP="00F00603" w:rsidRDefault="008C4433" w14:paraId="5A80724E" w14:textId="41C8533C">
      <w:pPr>
        <w:spacing w:line="276" w:lineRule="auto"/>
        <w:jc w:val="both"/>
        <w:rPr>
          <w:rFonts w:ascii="Arial" w:hAnsi="Arial" w:eastAsia="Calibri" w:cs="Arial"/>
          <w:color w:val="000000"/>
          <w:sz w:val="22"/>
          <w:szCs w:val="22"/>
          <w:lang w:val="es-ES_tradnl"/>
        </w:rPr>
      </w:pPr>
      <w:r w:rsidRPr="0091077E">
        <w:rPr>
          <w:rFonts w:ascii="Arial" w:hAnsi="Arial" w:eastAsia="Calibri" w:cs="Arial"/>
          <w:color w:val="000000"/>
          <w:sz w:val="22"/>
          <w:szCs w:val="22"/>
          <w:lang w:val="es-ES_tradnl"/>
        </w:rPr>
        <w:t>En ejercicio de la competencia otorgada por el numeral 8 del artículo 11 y el numeral 5 del artículo 3 del Decreto Ley 4170 de 2011, la Agencia Nacional de Contratación Pública ― Colombia Compra Eficiente responde su consulta del 1</w:t>
      </w:r>
      <w:r w:rsidR="009C6278">
        <w:rPr>
          <w:rFonts w:ascii="Arial" w:hAnsi="Arial" w:eastAsia="Calibri" w:cs="Arial"/>
          <w:color w:val="000000"/>
          <w:sz w:val="22"/>
          <w:szCs w:val="22"/>
          <w:lang w:val="es-ES_tradnl"/>
        </w:rPr>
        <w:t>4</w:t>
      </w:r>
      <w:r w:rsidRPr="0091077E">
        <w:rPr>
          <w:rFonts w:ascii="Arial" w:hAnsi="Arial" w:eastAsia="Calibri" w:cs="Arial"/>
          <w:color w:val="000000"/>
          <w:sz w:val="22"/>
          <w:szCs w:val="22"/>
          <w:lang w:val="es-ES_tradnl"/>
        </w:rPr>
        <w:t xml:space="preserve"> de julio de 2022.</w:t>
      </w:r>
    </w:p>
    <w:p w:rsidRPr="0091077E" w:rsidR="008C4433" w:rsidP="008C4433" w:rsidRDefault="008C4433" w14:paraId="0CAE063C" w14:textId="77777777">
      <w:pPr>
        <w:spacing w:line="276" w:lineRule="auto"/>
        <w:ind w:firstLine="709"/>
        <w:jc w:val="both"/>
        <w:rPr>
          <w:rFonts w:ascii="Arial" w:hAnsi="Arial" w:eastAsia="Calibri" w:cs="Arial"/>
          <w:b/>
          <w:color w:val="000000"/>
          <w:sz w:val="22"/>
          <w:szCs w:val="22"/>
          <w:lang w:val="es-ES_tradnl"/>
        </w:rPr>
      </w:pPr>
    </w:p>
    <w:p w:rsidRPr="0091077E" w:rsidR="008C4433" w:rsidP="008C4433" w:rsidRDefault="008C4433" w14:paraId="0B31F4DB" w14:textId="77777777">
      <w:pPr>
        <w:pStyle w:val="Prrafodelista"/>
        <w:numPr>
          <w:ilvl w:val="0"/>
          <w:numId w:val="42"/>
        </w:numPr>
        <w:tabs>
          <w:tab w:val="left" w:pos="0"/>
          <w:tab w:val="left" w:pos="142"/>
          <w:tab w:val="left" w:pos="284"/>
        </w:tabs>
        <w:spacing w:line="276" w:lineRule="auto"/>
        <w:ind w:left="360"/>
        <w:jc w:val="both"/>
        <w:rPr>
          <w:rFonts w:ascii="Arial" w:hAnsi="Arial" w:eastAsia="Calibri" w:cs="Arial"/>
          <w:b/>
          <w:color w:val="000000"/>
          <w:sz w:val="22"/>
          <w:lang w:val="es-ES_tradnl"/>
        </w:rPr>
      </w:pPr>
      <w:r w:rsidRPr="0091077E">
        <w:rPr>
          <w:rFonts w:ascii="Arial" w:hAnsi="Arial" w:eastAsia="Calibri" w:cs="Arial"/>
          <w:b/>
          <w:color w:val="000000"/>
          <w:sz w:val="22"/>
          <w:lang w:val="es-ES_tradnl"/>
        </w:rPr>
        <w:t xml:space="preserve">Problema planteado </w:t>
      </w:r>
    </w:p>
    <w:p w:rsidRPr="0091077E" w:rsidR="008C4433" w:rsidP="008C4433" w:rsidRDefault="008C4433" w14:paraId="168B2CDC" w14:textId="77777777">
      <w:pPr>
        <w:spacing w:line="276" w:lineRule="auto"/>
        <w:jc w:val="both"/>
        <w:rPr>
          <w:rFonts w:ascii="Arial" w:hAnsi="Arial" w:cs="Arial"/>
          <w:color w:val="000000"/>
          <w:sz w:val="22"/>
          <w:szCs w:val="22"/>
          <w:lang w:val="es-ES_tradnl"/>
        </w:rPr>
      </w:pPr>
    </w:p>
    <w:p w:rsidRPr="0091077E" w:rsidR="008C4433" w:rsidP="008C4433" w:rsidRDefault="008C4433" w14:paraId="7444A958" w14:textId="410988D8">
      <w:pPr>
        <w:spacing w:line="276" w:lineRule="auto"/>
        <w:jc w:val="both"/>
        <w:rPr>
          <w:rFonts w:ascii="Arial" w:hAnsi="Arial" w:cs="Arial"/>
          <w:sz w:val="22"/>
          <w:szCs w:val="22"/>
        </w:rPr>
      </w:pPr>
      <w:r w:rsidRPr="0091077E">
        <w:rPr>
          <w:rFonts w:ascii="Arial" w:hAnsi="Arial" w:cs="Arial"/>
          <w:color w:val="000000" w:themeColor="text1"/>
          <w:sz w:val="22"/>
          <w:szCs w:val="22"/>
          <w:lang w:val="es-ES_tradnl"/>
        </w:rPr>
        <w:t xml:space="preserve">En su solicitud usted indaga </w:t>
      </w:r>
      <w:r w:rsidR="009C6278">
        <w:rPr>
          <w:rFonts w:ascii="Arial" w:hAnsi="Arial" w:cs="Arial"/>
          <w:color w:val="000000" w:themeColor="text1"/>
          <w:sz w:val="22"/>
          <w:szCs w:val="22"/>
          <w:lang w:val="es-ES_tradnl"/>
        </w:rPr>
        <w:t>sobre la aplicación del artículo 2.2.1.2.4.2.14 respecto de las fundaciones, específicamente</w:t>
      </w:r>
      <w:r w:rsidRPr="0091077E">
        <w:rPr>
          <w:rFonts w:ascii="Arial" w:hAnsi="Arial" w:cs="Arial"/>
          <w:sz w:val="22"/>
          <w:szCs w:val="22"/>
        </w:rPr>
        <w:t xml:space="preserve">: </w:t>
      </w:r>
    </w:p>
    <w:p w:rsidRPr="0091077E" w:rsidR="000103A7" w:rsidP="001A6E4A" w:rsidRDefault="000103A7" w14:paraId="131A81BA" w14:textId="77777777">
      <w:pPr>
        <w:jc w:val="both"/>
        <w:rPr>
          <w:rFonts w:ascii="Arial" w:hAnsi="Arial" w:cs="Arial"/>
          <w:sz w:val="22"/>
          <w:szCs w:val="22"/>
        </w:rPr>
      </w:pPr>
    </w:p>
    <w:p w:rsidRPr="00F00603" w:rsidR="009C6278" w:rsidP="00F00603" w:rsidRDefault="008C4433" w14:paraId="76112431" w14:textId="60C976FD">
      <w:pPr>
        <w:ind w:left="708" w:right="900"/>
        <w:jc w:val="both"/>
        <w:rPr>
          <w:rFonts w:ascii="Arial" w:hAnsi="Arial" w:cs="Arial"/>
          <w:color w:val="000000"/>
          <w:sz w:val="21"/>
          <w:szCs w:val="21"/>
        </w:rPr>
      </w:pPr>
      <w:r w:rsidRPr="00F00603" w:rsidDel="00DE5791">
        <w:rPr>
          <w:rFonts w:ascii="Arial" w:hAnsi="Arial" w:cs="Arial"/>
          <w:color w:val="000000" w:themeColor="text1"/>
          <w:sz w:val="22"/>
          <w:szCs w:val="22"/>
          <w:lang w:val="es-ES_tradnl"/>
        </w:rPr>
        <w:t xml:space="preserve"> </w:t>
      </w:r>
      <w:r w:rsidRPr="001A6E4A" w:rsidR="009C6278">
        <w:rPr>
          <w:rFonts w:ascii="Arial" w:hAnsi="Arial" w:cs="Arial"/>
          <w:color w:val="000000"/>
          <w:sz w:val="21"/>
          <w:szCs w:val="21"/>
        </w:rPr>
        <w:t>«</w:t>
      </w:r>
      <w:r w:rsidRPr="00F00603" w:rsidR="009C6278">
        <w:rPr>
          <w:rFonts w:ascii="Arial" w:hAnsi="Arial" w:cs="Arial"/>
          <w:color w:val="000000"/>
          <w:sz w:val="21"/>
          <w:szCs w:val="21"/>
        </w:rPr>
        <w:t>1. Sírvase indicar de forma clara si el artículo 2.2.1.2.4.2.14 del decreto 1082 de 2015, es aplicable para fundaciones</w:t>
      </w:r>
      <w:r w:rsidRPr="001A6E4A" w:rsidR="009C6278">
        <w:rPr>
          <w:rFonts w:ascii="Arial" w:hAnsi="Arial" w:cs="Arial"/>
          <w:color w:val="000000"/>
          <w:sz w:val="21"/>
          <w:szCs w:val="21"/>
        </w:rPr>
        <w:t>»</w:t>
      </w:r>
      <w:r w:rsidRPr="00F00603" w:rsidR="009C6278">
        <w:rPr>
          <w:rFonts w:ascii="Arial" w:hAnsi="Arial" w:cs="Arial"/>
          <w:color w:val="000000"/>
          <w:sz w:val="21"/>
          <w:szCs w:val="21"/>
        </w:rPr>
        <w:t>.</w:t>
      </w:r>
    </w:p>
    <w:p w:rsidRPr="00F00603" w:rsidR="009C6278" w:rsidP="00F00603" w:rsidRDefault="009C6278" w14:paraId="3E316686" w14:textId="77777777">
      <w:pPr>
        <w:ind w:left="708" w:right="900"/>
        <w:jc w:val="both"/>
        <w:rPr>
          <w:rFonts w:ascii="Arial" w:hAnsi="Arial" w:cs="Arial"/>
          <w:color w:val="000000"/>
          <w:sz w:val="21"/>
          <w:szCs w:val="21"/>
        </w:rPr>
      </w:pPr>
    </w:p>
    <w:p w:rsidRPr="00F00603" w:rsidR="009C6278" w:rsidP="00F00603" w:rsidRDefault="009C6278" w14:paraId="0AA66364" w14:textId="4A56034D">
      <w:pPr>
        <w:ind w:left="708" w:right="900"/>
        <w:jc w:val="both"/>
        <w:rPr>
          <w:rFonts w:ascii="Arial" w:hAnsi="Arial" w:cs="Arial"/>
          <w:color w:val="000000"/>
          <w:sz w:val="21"/>
          <w:szCs w:val="21"/>
        </w:rPr>
      </w:pPr>
      <w:r w:rsidRPr="001A6E4A">
        <w:rPr>
          <w:rFonts w:ascii="Arial" w:hAnsi="Arial" w:cs="Arial"/>
          <w:color w:val="000000"/>
          <w:sz w:val="21"/>
          <w:szCs w:val="21"/>
        </w:rPr>
        <w:t>«</w:t>
      </w:r>
      <w:r w:rsidRPr="00F00603">
        <w:rPr>
          <w:rFonts w:ascii="Arial" w:hAnsi="Arial" w:cs="Arial"/>
          <w:color w:val="000000"/>
          <w:sz w:val="21"/>
          <w:szCs w:val="21"/>
        </w:rPr>
        <w:t>2.Sírvase indicar si una fundación puede obtener el puntaje determinado en el artículo 2.2.1.2.4.2.14 del decreto 1082 de 2015</w:t>
      </w:r>
      <w:r w:rsidRPr="001A6E4A">
        <w:rPr>
          <w:rFonts w:ascii="Arial" w:hAnsi="Arial" w:cs="Arial"/>
          <w:color w:val="000000"/>
          <w:sz w:val="21"/>
          <w:szCs w:val="21"/>
        </w:rPr>
        <w:t>»</w:t>
      </w:r>
      <w:r w:rsidRPr="00F00603">
        <w:rPr>
          <w:rFonts w:ascii="Arial" w:hAnsi="Arial" w:cs="Arial"/>
          <w:color w:val="000000"/>
          <w:sz w:val="21"/>
          <w:szCs w:val="21"/>
        </w:rPr>
        <w:t>.</w:t>
      </w:r>
    </w:p>
    <w:p w:rsidRPr="00F00603" w:rsidR="009C6278" w:rsidP="00F00603" w:rsidRDefault="009C6278" w14:paraId="3E2F46C2" w14:textId="77777777">
      <w:pPr>
        <w:pStyle w:val="Prrafodelista"/>
        <w:ind w:right="900"/>
        <w:jc w:val="both"/>
        <w:rPr>
          <w:rFonts w:ascii="Arial" w:hAnsi="Arial" w:cs="Arial"/>
          <w:color w:val="000000"/>
          <w:sz w:val="21"/>
          <w:szCs w:val="21"/>
          <w:lang w:eastAsia="es-MX"/>
        </w:rPr>
      </w:pPr>
    </w:p>
    <w:p w:rsidRPr="00F00603" w:rsidR="009C6278" w:rsidP="00F00603" w:rsidRDefault="009C6278" w14:paraId="2C3FA2E9" w14:textId="4CDA71C3">
      <w:pPr>
        <w:ind w:left="708" w:right="900"/>
        <w:jc w:val="both"/>
        <w:rPr>
          <w:rFonts w:ascii="Arial" w:hAnsi="Arial" w:cs="Arial"/>
          <w:color w:val="000000"/>
          <w:sz w:val="21"/>
          <w:szCs w:val="21"/>
        </w:rPr>
      </w:pPr>
      <w:r w:rsidRPr="001A6E4A">
        <w:rPr>
          <w:rFonts w:ascii="Arial" w:hAnsi="Arial" w:cs="Arial"/>
          <w:color w:val="000000"/>
          <w:sz w:val="21"/>
          <w:szCs w:val="21"/>
        </w:rPr>
        <w:t>«</w:t>
      </w:r>
      <w:r w:rsidRPr="00F00603">
        <w:rPr>
          <w:rFonts w:ascii="Arial" w:hAnsi="Arial" w:cs="Arial"/>
          <w:color w:val="000000"/>
          <w:sz w:val="21"/>
          <w:szCs w:val="21"/>
        </w:rPr>
        <w:t>3. Sírvase indicar cuál criterio diferencial, le sería aplicable a una persona jurídica sin ánimo-de lucro-fundación</w:t>
      </w:r>
      <w:r w:rsidRPr="001A6E4A">
        <w:rPr>
          <w:rFonts w:ascii="Arial" w:hAnsi="Arial" w:cs="Arial"/>
          <w:color w:val="000000"/>
          <w:sz w:val="21"/>
          <w:szCs w:val="21"/>
        </w:rPr>
        <w:t>».</w:t>
      </w:r>
    </w:p>
    <w:p w:rsidR="008C4433" w:rsidP="009C6278" w:rsidRDefault="008C4433" w14:paraId="551E55DD" w14:textId="7DB80C8B">
      <w:pPr>
        <w:ind w:left="709" w:right="709"/>
        <w:jc w:val="both"/>
        <w:rPr>
          <w:rFonts w:ascii="Arial" w:hAnsi="Arial" w:cs="Arial"/>
          <w:color w:val="000000"/>
          <w:sz w:val="22"/>
          <w:szCs w:val="22"/>
          <w:lang w:val="es-MX"/>
        </w:rPr>
      </w:pPr>
    </w:p>
    <w:p w:rsidRPr="0091077E" w:rsidR="008C4433" w:rsidP="008C4433" w:rsidRDefault="008C4433" w14:paraId="07D0E292" w14:textId="77777777">
      <w:pPr>
        <w:pStyle w:val="Prrafodelista"/>
        <w:numPr>
          <w:ilvl w:val="0"/>
          <w:numId w:val="42"/>
        </w:numPr>
        <w:tabs>
          <w:tab w:val="left" w:pos="0"/>
          <w:tab w:val="left" w:pos="284"/>
        </w:tabs>
        <w:spacing w:line="276" w:lineRule="auto"/>
        <w:ind w:left="360"/>
        <w:jc w:val="both"/>
        <w:rPr>
          <w:rFonts w:ascii="Arial" w:hAnsi="Arial" w:eastAsia="Calibri" w:cs="Arial"/>
          <w:color w:val="000000"/>
          <w:sz w:val="22"/>
          <w:lang w:val="es-ES_tradnl" w:eastAsia="es-ES_tradnl"/>
        </w:rPr>
      </w:pPr>
      <w:r w:rsidRPr="0091077E">
        <w:rPr>
          <w:rFonts w:ascii="Arial" w:hAnsi="Arial" w:eastAsia="Calibri" w:cs="Arial"/>
          <w:b/>
          <w:color w:val="000000"/>
          <w:sz w:val="22"/>
          <w:lang w:val="es-ES_tradnl"/>
        </w:rPr>
        <w:t>Consideraciones</w:t>
      </w:r>
    </w:p>
    <w:p w:rsidRPr="0091077E" w:rsidR="008C4433" w:rsidP="008C4433" w:rsidRDefault="008C4433" w14:paraId="7390A200" w14:textId="77777777">
      <w:pPr>
        <w:tabs>
          <w:tab w:val="left" w:pos="0"/>
          <w:tab w:val="left" w:pos="284"/>
        </w:tabs>
        <w:spacing w:after="120" w:line="276" w:lineRule="auto"/>
        <w:contextualSpacing/>
        <w:jc w:val="both"/>
        <w:rPr>
          <w:rFonts w:ascii="Arial" w:hAnsi="Arial" w:eastAsia="Calibri" w:cs="Arial"/>
          <w:color w:val="000000"/>
          <w:sz w:val="22"/>
          <w:szCs w:val="22"/>
          <w:lang w:val="es-ES_tradnl"/>
        </w:rPr>
      </w:pPr>
    </w:p>
    <w:p w:rsidRPr="00721BD9" w:rsidR="008C4433" w:rsidP="57F95CD5" w:rsidRDefault="008C4433" w14:paraId="4ECE9DE6" w14:textId="13A7E8F5">
      <w:pPr>
        <w:tabs>
          <w:tab w:val="left" w:leader="none" w:pos="284"/>
        </w:tabs>
        <w:snapToGrid w:val="0"/>
        <w:spacing w:after="120" w:line="276" w:lineRule="auto"/>
        <w:jc w:val="both"/>
        <w:rPr>
          <w:rFonts w:ascii="Arial" w:hAnsi="Arial" w:eastAsia="Calibri" w:cs="Arial"/>
          <w:color w:val="000000"/>
          <w:sz w:val="22"/>
          <w:szCs w:val="22"/>
          <w:lang w:val="es-ES"/>
        </w:rPr>
      </w:pPr>
      <w:r w:rsidRPr="57F95CD5" w:rsidR="008C4433">
        <w:rPr>
          <w:rFonts w:ascii="Arial" w:hAnsi="Arial" w:eastAsia="Calibri" w:cs="Arial"/>
          <w:color w:val="000000" w:themeColor="text1" w:themeTint="FF" w:themeShade="FF"/>
          <w:sz w:val="22"/>
          <w:szCs w:val="22"/>
          <w:lang w:val="es-ES"/>
        </w:rPr>
        <w:t xml:space="preserve">La Subdirección de Gestión Contractual responderá la consulta, luego de analizar </w:t>
      </w:r>
      <w:r w:rsidRPr="57F95CD5" w:rsidR="00275208">
        <w:rPr>
          <w:rFonts w:ascii="Arial" w:hAnsi="Arial" w:eastAsia="Calibri" w:cs="Arial"/>
          <w:color w:val="000000" w:themeColor="text1" w:themeTint="FF" w:themeShade="FF"/>
          <w:sz w:val="22"/>
          <w:szCs w:val="22"/>
          <w:lang w:val="es-ES"/>
        </w:rPr>
        <w:t>los siguientes</w:t>
      </w:r>
      <w:r w:rsidRPr="57F95CD5" w:rsidR="008C4433">
        <w:rPr>
          <w:rFonts w:ascii="Arial" w:hAnsi="Arial" w:eastAsia="Calibri" w:cs="Arial"/>
          <w:color w:val="000000" w:themeColor="text1" w:themeTint="FF" w:themeShade="FF"/>
          <w:sz w:val="22"/>
          <w:szCs w:val="22"/>
          <w:lang w:val="es-ES"/>
        </w:rPr>
        <w:t xml:space="preserve"> tema</w:t>
      </w:r>
      <w:r w:rsidRPr="57F95CD5" w:rsidR="00275208">
        <w:rPr>
          <w:rFonts w:ascii="Arial" w:hAnsi="Arial" w:eastAsia="Calibri" w:cs="Arial"/>
          <w:color w:val="000000" w:themeColor="text1" w:themeTint="FF" w:themeShade="FF"/>
          <w:sz w:val="22"/>
          <w:szCs w:val="22"/>
          <w:lang w:val="es-ES"/>
        </w:rPr>
        <w:t>s</w:t>
      </w:r>
      <w:r w:rsidRPr="57F95CD5" w:rsidR="008C4433">
        <w:rPr>
          <w:rFonts w:ascii="Arial" w:hAnsi="Arial" w:eastAsia="Calibri" w:cs="Arial"/>
          <w:color w:val="000000" w:themeColor="text1" w:themeTint="FF" w:themeShade="FF"/>
          <w:sz w:val="22"/>
          <w:szCs w:val="22"/>
          <w:lang w:val="es-ES"/>
        </w:rPr>
        <w:t>: i)</w:t>
      </w:r>
      <w:r w:rsidRPr="57F95CD5" w:rsidR="00275208">
        <w:rPr>
          <w:rFonts w:ascii="Arial" w:hAnsi="Arial" w:eastAsia="Calibri" w:cs="Arial"/>
          <w:color w:val="000000" w:themeColor="text1" w:themeTint="FF" w:themeShade="FF"/>
          <w:sz w:val="22"/>
          <w:szCs w:val="22"/>
          <w:lang w:val="es-ES"/>
        </w:rPr>
        <w:t xml:space="preserve"> Vigencia y reglamentación de los criterios diferenciales de la Ley 2069 de 2020; </w:t>
      </w:r>
      <w:r w:rsidRPr="57F95CD5" w:rsidR="002302B5">
        <w:rPr>
          <w:rFonts w:ascii="Arial" w:hAnsi="Arial" w:eastAsia="Calibri" w:cs="Arial"/>
          <w:color w:val="000000" w:themeColor="text1" w:themeTint="FF" w:themeShade="FF"/>
          <w:sz w:val="22"/>
          <w:szCs w:val="22"/>
          <w:lang w:val="es-ES"/>
        </w:rPr>
        <w:t xml:space="preserve">y </w:t>
      </w:r>
      <w:r w:rsidRPr="57F95CD5" w:rsidR="00275208">
        <w:rPr>
          <w:rFonts w:ascii="Arial" w:hAnsi="Arial" w:eastAsia="Calibri" w:cs="Arial"/>
          <w:color w:val="000000" w:themeColor="text1" w:themeTint="FF" w:themeShade="FF"/>
          <w:sz w:val="22"/>
          <w:szCs w:val="22"/>
          <w:lang w:val="es-ES"/>
        </w:rPr>
        <w:t>ii</w:t>
      </w:r>
      <w:r w:rsidRPr="57F95CD5" w:rsidR="00275208">
        <w:rPr>
          <w:rFonts w:ascii="Arial" w:hAnsi="Arial" w:eastAsia="Calibri" w:cs="Arial"/>
          <w:color w:val="000000" w:themeColor="text1" w:themeTint="FF" w:themeShade="FF"/>
          <w:sz w:val="22"/>
          <w:szCs w:val="22"/>
          <w:lang w:val="es-ES"/>
        </w:rPr>
        <w:t xml:space="preserve">) </w:t>
      </w:r>
      <w:r w:rsidRPr="57F95CD5" w:rsidR="002302B5">
        <w:rPr>
          <w:rFonts w:ascii="Arial" w:hAnsi="Arial" w:eastAsia="Calibri" w:cs="Arial"/>
          <w:color w:val="000000" w:themeColor="text1" w:themeTint="FF" w:themeShade="FF"/>
          <w:sz w:val="22"/>
          <w:szCs w:val="22"/>
          <w:lang w:val="es-ES"/>
        </w:rPr>
        <w:t>a</w:t>
      </w:r>
      <w:r w:rsidRPr="57F95CD5" w:rsidR="002302B5">
        <w:rPr>
          <w:rFonts w:ascii="Arial" w:hAnsi="Arial" w:eastAsia="Calibri" w:cs="Arial"/>
          <w:color w:val="000000" w:themeColor="text1" w:themeTint="FF" w:themeShade="FF"/>
          <w:sz w:val="22"/>
          <w:szCs w:val="22"/>
          <w:lang w:val="es-ES"/>
        </w:rPr>
        <w:t>plicación de los criterios diferenciales para emprendimientos y empresas de mujeres a las fundaciones</w:t>
      </w:r>
      <w:r w:rsidRPr="57F95CD5" w:rsidR="002302B5">
        <w:rPr>
          <w:rFonts w:ascii="Arial" w:hAnsi="Arial" w:eastAsia="Calibri" w:cs="Arial"/>
          <w:color w:val="000000" w:themeColor="text1" w:themeTint="FF" w:themeShade="FF"/>
          <w:sz w:val="22"/>
          <w:szCs w:val="22"/>
          <w:lang w:val="es-ES"/>
        </w:rPr>
        <w:t>.</w:t>
      </w:r>
      <w:r w:rsidRPr="57F95CD5" w:rsidR="002302B5">
        <w:rPr>
          <w:rFonts w:ascii="Arial" w:hAnsi="Arial" w:eastAsia="Calibri" w:cs="Arial"/>
          <w:color w:val="000000" w:themeColor="text1" w:themeTint="FF" w:themeShade="FF"/>
          <w:sz w:val="22"/>
          <w:szCs w:val="22"/>
          <w:lang w:val="es-ES"/>
        </w:rPr>
        <w:t xml:space="preserve"> </w:t>
      </w:r>
    </w:p>
    <w:p w:rsidRPr="00721BD9" w:rsidR="0012785C" w:rsidP="0012785C" w:rsidRDefault="0012785C" w14:paraId="5A6C7F15" w14:textId="1DF2DC4E">
      <w:pPr>
        <w:spacing w:line="276" w:lineRule="auto"/>
        <w:ind w:firstLine="708"/>
        <w:jc w:val="both"/>
        <w:rPr>
          <w:rFonts w:ascii="Arial" w:hAnsi="Arial" w:eastAsia="Calibri" w:cs="Arial"/>
          <w:color w:val="000000" w:themeColor="text1"/>
          <w:sz w:val="22"/>
          <w:szCs w:val="22"/>
          <w:lang w:val="es-ES"/>
        </w:rPr>
      </w:pPr>
      <w:r w:rsidRPr="00721BD9">
        <w:rPr>
          <w:rFonts w:ascii="Arial" w:hAnsi="Arial" w:eastAsia="Calibri" w:cs="Arial"/>
          <w:color w:val="000000" w:themeColor="text1"/>
          <w:sz w:val="22"/>
          <w:szCs w:val="22"/>
          <w:lang w:val="es-ES"/>
        </w:rPr>
        <w:t>La Agencia Nacional de Contratación Pública – Colombia Compra Eficiente se ha pronunciado, en términos generales, sobre el contenido de la Ley de Emprendimiento en diferentes conceptos</w:t>
      </w:r>
      <w:r w:rsidRPr="00721BD9">
        <w:rPr>
          <w:rStyle w:val="Refdenotaalpie"/>
          <w:rFonts w:ascii="Arial" w:hAnsi="Arial" w:eastAsia="Calibri" w:cs="Arial"/>
          <w:color w:val="000000" w:themeColor="text1"/>
          <w:sz w:val="22"/>
          <w:szCs w:val="22"/>
          <w:lang w:val="es-ES"/>
        </w:rPr>
        <w:footnoteReference w:id="2"/>
      </w:r>
      <w:r w:rsidRPr="00721BD9">
        <w:rPr>
          <w:rFonts w:ascii="Arial" w:hAnsi="Arial" w:eastAsia="Calibri" w:cs="Arial"/>
          <w:color w:val="000000" w:themeColor="text1"/>
          <w:sz w:val="22"/>
          <w:szCs w:val="22"/>
          <w:lang w:val="es-ES"/>
        </w:rPr>
        <w:t xml:space="preserve">, refiriéndose, especialmente, a lo dispuesto en el artículo 32 de la precitada ley, alusivo a los criterios diferenciales para emprendimientos y empresas de mujeres, en los conceptos </w:t>
      </w:r>
      <w:r w:rsidRPr="00721BD9">
        <w:rPr>
          <w:rStyle w:val="normaltextrun"/>
          <w:rFonts w:ascii="Arial" w:hAnsi="Arial" w:cs="Arial"/>
          <w:color w:val="000000" w:themeColor="text1"/>
          <w:sz w:val="22"/>
          <w:szCs w:val="22"/>
          <w:shd w:val="clear" w:color="auto" w:fill="FFFFFF"/>
        </w:rPr>
        <w:t>C-029 de 21 de febrero de 2021, C-037 del 26 de febrero de 2021, C-141 del 8 de abril de 2021, C-114 del 13 de abril de 2021 y C- 031 del 1 de marzo de 2022, entre otros.</w:t>
      </w:r>
      <w:r w:rsidRPr="00721BD9">
        <w:rPr>
          <w:rFonts w:ascii="Arial" w:hAnsi="Arial" w:eastAsia="Calibri" w:cs="Arial"/>
          <w:color w:val="000000" w:themeColor="text1"/>
          <w:sz w:val="22"/>
          <w:szCs w:val="22"/>
          <w:lang w:val="es-ES"/>
        </w:rPr>
        <w:t xml:space="preserve"> Algunas de las consideraciones de estos conceptos se reiteran y complementan a continuación.</w:t>
      </w:r>
    </w:p>
    <w:p w:rsidR="00721BD9" w:rsidP="009C6278" w:rsidRDefault="00721BD9" w14:paraId="45B77977" w14:textId="77777777">
      <w:pPr>
        <w:spacing w:line="276" w:lineRule="auto"/>
        <w:jc w:val="both"/>
        <w:rPr>
          <w:rFonts w:ascii="Arial" w:hAnsi="Arial" w:eastAsia="Calibri" w:cs="Arial"/>
          <w:b/>
          <w:bCs/>
          <w:sz w:val="22"/>
          <w:szCs w:val="22"/>
          <w:lang w:val="es-ES_tradnl"/>
        </w:rPr>
      </w:pPr>
      <w:bookmarkStart w:name="_Hlk81469948" w:id="3"/>
    </w:p>
    <w:p w:rsidRPr="003362CD" w:rsidR="009C6278" w:rsidP="009C6278" w:rsidRDefault="009C6278" w14:paraId="2E69E962" w14:textId="40102064">
      <w:pPr>
        <w:spacing w:line="276" w:lineRule="auto"/>
        <w:jc w:val="both"/>
        <w:rPr>
          <w:rFonts w:ascii="Arial" w:hAnsi="Arial" w:eastAsia="Calibri" w:cs="Arial"/>
          <w:b/>
          <w:bCs/>
          <w:sz w:val="22"/>
          <w:szCs w:val="22"/>
          <w:lang w:val="es-ES_tradnl"/>
        </w:rPr>
      </w:pPr>
      <w:r w:rsidRPr="003362CD">
        <w:rPr>
          <w:rFonts w:ascii="Arial" w:hAnsi="Arial" w:eastAsia="Calibri" w:cs="Arial"/>
          <w:b/>
          <w:bCs/>
          <w:sz w:val="22"/>
          <w:szCs w:val="22"/>
          <w:lang w:val="es-ES_tradnl"/>
        </w:rPr>
        <w:t xml:space="preserve">2.1. </w:t>
      </w:r>
      <w:bookmarkStart w:name="_Hlk94018153" w:id="4"/>
      <w:r w:rsidRPr="003362CD">
        <w:rPr>
          <w:rFonts w:ascii="Arial" w:hAnsi="Arial" w:eastAsia="Calibri" w:cs="Arial"/>
          <w:b/>
          <w:bCs/>
          <w:sz w:val="22"/>
          <w:szCs w:val="22"/>
          <w:lang w:val="es-ES_tradnl"/>
        </w:rPr>
        <w:t xml:space="preserve">Vigencia y reglamentación de los criterios diferenciales de la Ley 2069 de 2020 </w:t>
      </w:r>
      <w:bookmarkEnd w:id="4"/>
    </w:p>
    <w:p w:rsidRPr="003362CD" w:rsidR="009C6278" w:rsidP="009C6278" w:rsidRDefault="009C6278" w14:paraId="302B15B7" w14:textId="77777777">
      <w:pPr>
        <w:spacing w:line="276" w:lineRule="auto"/>
        <w:jc w:val="both"/>
        <w:rPr>
          <w:rFonts w:ascii="Arial" w:hAnsi="Arial" w:eastAsia="Calibri" w:cs="Arial"/>
          <w:sz w:val="22"/>
          <w:szCs w:val="22"/>
          <w:lang w:val="es-ES_tradnl"/>
        </w:rPr>
      </w:pPr>
    </w:p>
    <w:p w:rsidRPr="003362CD" w:rsidR="009C6278" w:rsidP="009C6278" w:rsidRDefault="009C6278" w14:paraId="7FECE166" w14:textId="77777777">
      <w:pPr>
        <w:spacing w:line="276" w:lineRule="auto"/>
        <w:jc w:val="both"/>
        <w:rPr>
          <w:rFonts w:ascii="Arial" w:hAnsi="Arial" w:eastAsia="Calibri" w:cs="Arial"/>
          <w:sz w:val="22"/>
          <w:szCs w:val="22"/>
          <w:lang w:val="es-ES_tradnl"/>
        </w:rPr>
      </w:pPr>
      <w:r w:rsidRPr="003362CD">
        <w:rPr>
          <w:rFonts w:ascii="Arial" w:hAnsi="Arial" w:eastAsia="Calibri" w:cs="Arial"/>
          <w:sz w:val="22"/>
          <w:szCs w:val="22"/>
          <w:lang w:val="es-ES_tradnl"/>
        </w:rPr>
        <w:t xml:space="preserve">El 31 de diciembre de 2020 se promulgó la Ley 2069, «Por medio de la cual se impulsa el emprendimiento en Colombia». De acuerdo con el artículo 84, «La presente Ley rige a partir del momento de su promulgación […]», lo que significa que es obligatoria para sus destinatarios desde esa fecha. Lo anterior, sin perjuicio de la posibilidad de que el gobierno nacional, en ejercicio de la potestad reglamentaria que le confiere el artículo 189, numeral 11, de la Constitución Política, expida </w:t>
      </w:r>
      <w:r>
        <w:rPr>
          <w:rFonts w:ascii="Arial" w:hAnsi="Arial" w:eastAsia="Calibri" w:cs="Arial"/>
          <w:sz w:val="22"/>
          <w:szCs w:val="22"/>
          <w:lang w:val="es-ES_tradnl"/>
        </w:rPr>
        <w:t>los</w:t>
      </w:r>
      <w:r w:rsidRPr="003362CD">
        <w:rPr>
          <w:rFonts w:ascii="Arial" w:hAnsi="Arial" w:eastAsia="Calibri" w:cs="Arial"/>
          <w:sz w:val="22"/>
          <w:szCs w:val="22"/>
          <w:lang w:val="es-ES_tradnl"/>
        </w:rPr>
        <w:t xml:space="preserve"> decreto</w:t>
      </w:r>
      <w:r>
        <w:rPr>
          <w:rFonts w:ascii="Arial" w:hAnsi="Arial" w:eastAsia="Calibri" w:cs="Arial"/>
          <w:sz w:val="22"/>
          <w:szCs w:val="22"/>
          <w:lang w:val="es-ES_tradnl"/>
        </w:rPr>
        <w:t>s</w:t>
      </w:r>
      <w:r w:rsidRPr="003362CD">
        <w:rPr>
          <w:rFonts w:ascii="Arial" w:hAnsi="Arial" w:eastAsia="Calibri" w:cs="Arial"/>
          <w:sz w:val="22"/>
          <w:szCs w:val="22"/>
          <w:lang w:val="es-ES_tradnl"/>
        </w:rPr>
        <w:t xml:space="preserve"> correspondiente</w:t>
      </w:r>
      <w:r>
        <w:rPr>
          <w:rFonts w:ascii="Arial" w:hAnsi="Arial" w:eastAsia="Calibri" w:cs="Arial"/>
          <w:sz w:val="22"/>
          <w:szCs w:val="22"/>
          <w:lang w:val="es-ES_tradnl"/>
        </w:rPr>
        <w:t>s</w:t>
      </w:r>
      <w:r w:rsidRPr="003362CD">
        <w:rPr>
          <w:rFonts w:ascii="Arial" w:hAnsi="Arial" w:eastAsia="Calibri" w:cs="Arial"/>
          <w:sz w:val="22"/>
          <w:szCs w:val="22"/>
          <w:lang w:val="es-ES_tradnl"/>
        </w:rPr>
        <w:t xml:space="preserve"> que permita</w:t>
      </w:r>
      <w:r>
        <w:rPr>
          <w:rFonts w:ascii="Arial" w:hAnsi="Arial" w:eastAsia="Calibri" w:cs="Arial"/>
          <w:sz w:val="22"/>
          <w:szCs w:val="22"/>
          <w:lang w:val="es-ES_tradnl"/>
        </w:rPr>
        <w:t>n</w:t>
      </w:r>
      <w:r w:rsidRPr="003362CD">
        <w:rPr>
          <w:rFonts w:ascii="Arial" w:hAnsi="Arial" w:eastAsia="Calibri" w:cs="Arial"/>
          <w:sz w:val="22"/>
          <w:szCs w:val="22"/>
          <w:lang w:val="es-ES_tradnl"/>
        </w:rPr>
        <w:t xml:space="preserve"> la cumplida ejecución de esta Ley.</w:t>
      </w:r>
    </w:p>
    <w:p w:rsidRPr="003362CD" w:rsidR="009C6278" w:rsidP="57F95CD5" w:rsidRDefault="009C6278" w14:paraId="3D8FF0AE" w14:textId="7A318D56">
      <w:pPr>
        <w:spacing w:before="120" w:line="276" w:lineRule="auto"/>
        <w:ind w:firstLine="709"/>
        <w:jc w:val="both"/>
        <w:rPr>
          <w:rFonts w:ascii="Arial" w:hAnsi="Arial" w:eastAsia="Calibri" w:cs="Arial"/>
          <w:sz w:val="22"/>
          <w:szCs w:val="22"/>
          <w:lang w:val="es-ES"/>
        </w:rPr>
      </w:pPr>
      <w:r w:rsidRPr="57F95CD5" w:rsidR="009C6278">
        <w:rPr>
          <w:rFonts w:ascii="Arial" w:hAnsi="Arial" w:eastAsia="Calibri" w:cs="Arial"/>
          <w:sz w:val="22"/>
          <w:szCs w:val="22"/>
          <w:lang w:val="es-ES"/>
        </w:rPr>
        <w:t>En cuan</w:t>
      </w:r>
      <w:r w:rsidRPr="57F95CD5" w:rsidR="009C6278">
        <w:rPr>
          <w:rFonts w:ascii="Arial" w:hAnsi="Arial" w:eastAsia="Calibri" w:cs="Arial"/>
          <w:sz w:val="22"/>
          <w:szCs w:val="22"/>
          <w:lang w:val="es-ES"/>
        </w:rPr>
        <w:t>t</w:t>
      </w:r>
      <w:r w:rsidRPr="57F95CD5" w:rsidR="009C6278">
        <w:rPr>
          <w:rFonts w:ascii="Arial" w:hAnsi="Arial" w:eastAsia="Calibri" w:cs="Arial"/>
          <w:sz w:val="22"/>
          <w:szCs w:val="22"/>
          <w:lang w:val="es-ES"/>
        </w:rPr>
        <w:t>o a su contenido, es importante señalar que, como dispone el artículo 1, aquella «tiene por objeto establecer un marco regulatorio que propicie el emprendimiento y el crecimiento, consolidación y sostenibilidad de las empresas, con el fin de aumentar el bienestar social y generar equidad»</w:t>
      </w:r>
      <w:r w:rsidRPr="57F95CD5">
        <w:rPr>
          <w:rFonts w:ascii="Arial" w:hAnsi="Arial" w:eastAsia="Calibri" w:cs="Arial"/>
          <w:vertAlign w:val="superscript"/>
          <w:lang w:val="es-ES"/>
        </w:rPr>
        <w:footnoteReference w:id="3"/>
      </w:r>
      <w:r w:rsidRPr="57F95CD5" w:rsidR="009C6278">
        <w:rPr>
          <w:rFonts w:ascii="Arial" w:hAnsi="Arial" w:eastAsia="Calibri" w:cs="Arial"/>
          <w:sz w:val="22"/>
          <w:szCs w:val="22"/>
          <w:lang w:val="es-ES"/>
        </w:rPr>
        <w:t xml:space="preserve">. Esto, a partir de «[…] un enfoque regionalizado </w:t>
      </w:r>
      <w:r w:rsidRPr="57F95CD5" w:rsidR="00B611CF">
        <w:rPr>
          <w:rFonts w:ascii="Arial" w:hAnsi="Arial" w:eastAsia="Calibri" w:cs="Arial"/>
          <w:sz w:val="22"/>
          <w:szCs w:val="22"/>
          <w:lang w:val="es-ES"/>
        </w:rPr>
        <w:t>de acuerdo con</w:t>
      </w:r>
      <w:r w:rsidRPr="57F95CD5" w:rsidR="009C6278">
        <w:rPr>
          <w:rFonts w:ascii="Arial" w:hAnsi="Arial" w:eastAsia="Calibri" w:cs="Arial"/>
          <w:sz w:val="22"/>
          <w:szCs w:val="22"/>
          <w:lang w:val="es-ES"/>
        </w:rPr>
        <w:t xml:space="preserve"> las realidades socioeconómicas de cada región». En desarrollo de esta finalidad, se establecen medidas de apoyo para las micro, pequeñas y medianas empresas –</w:t>
      </w:r>
      <w:r w:rsidRPr="57F95CD5" w:rsidR="009C6278">
        <w:rPr>
          <w:rFonts w:ascii="Arial" w:hAnsi="Arial" w:eastAsia="Calibri" w:cs="Arial"/>
          <w:sz w:val="22"/>
          <w:szCs w:val="22"/>
          <w:lang w:val="es-ES"/>
        </w:rPr>
        <w:t>mipymes</w:t>
      </w:r>
      <w:r w:rsidRPr="57F95CD5" w:rsidR="009C6278">
        <w:rPr>
          <w:rFonts w:ascii="Arial" w:hAnsi="Arial" w:eastAsia="Calibri" w:cs="Arial"/>
          <w:sz w:val="22"/>
          <w:szCs w:val="22"/>
          <w:lang w:val="es-ES"/>
        </w:rPr>
        <w:t>–, mediante la racionalización y simplificación de los trámites y tarifas</w:t>
      </w:r>
      <w:r w:rsidRPr="57F95CD5">
        <w:rPr>
          <w:rStyle w:val="Refdenotaalpie"/>
          <w:rFonts w:ascii="Arial" w:hAnsi="Arial" w:eastAsia="Calibri" w:cs="Arial"/>
          <w:sz w:val="22"/>
          <w:szCs w:val="22"/>
          <w:lang w:val="es-ES"/>
        </w:rPr>
        <w:footnoteReference w:id="4"/>
      </w:r>
      <w:r w:rsidRPr="57F95CD5" w:rsidR="009C6278">
        <w:rPr>
          <w:rFonts w:ascii="Arial" w:hAnsi="Arial" w:eastAsia="Calibri" w:cs="Arial"/>
          <w:sz w:val="22"/>
          <w:szCs w:val="22"/>
          <w:lang w:val="es-ES"/>
        </w:rPr>
        <w:t>, así como incentivos a favor de aquellas dentro del sistema de compras y contratación pública</w:t>
      </w:r>
      <w:r w:rsidRPr="57F95CD5">
        <w:rPr>
          <w:rStyle w:val="Refdenotaalpie"/>
          <w:rFonts w:ascii="Arial" w:hAnsi="Arial" w:eastAsia="Calibri" w:cs="Arial"/>
          <w:sz w:val="22"/>
          <w:szCs w:val="22"/>
          <w:lang w:val="es-ES"/>
        </w:rPr>
        <w:footnoteReference w:id="5"/>
      </w:r>
      <w:r w:rsidRPr="57F95CD5" w:rsidR="009C6278">
        <w:rPr>
          <w:rFonts w:ascii="Arial" w:hAnsi="Arial" w:eastAsia="Calibri" w:cs="Arial"/>
          <w:sz w:val="22"/>
          <w:szCs w:val="22"/>
          <w:lang w:val="es-ES"/>
        </w:rPr>
        <w:t>. También se consagran mecanismos de acceso al financiamiento</w:t>
      </w:r>
      <w:r w:rsidRPr="57F95CD5">
        <w:rPr>
          <w:rStyle w:val="Refdenotaalpie"/>
          <w:rFonts w:ascii="Arial" w:hAnsi="Arial" w:eastAsia="Calibri" w:cs="Arial"/>
          <w:sz w:val="22"/>
          <w:szCs w:val="22"/>
          <w:lang w:val="es-ES"/>
        </w:rPr>
        <w:footnoteReference w:id="6"/>
      </w:r>
      <w:r w:rsidRPr="57F95CD5" w:rsidR="009C6278">
        <w:rPr>
          <w:rFonts w:ascii="Arial" w:hAnsi="Arial" w:eastAsia="Calibri" w:cs="Arial"/>
          <w:sz w:val="22"/>
          <w:szCs w:val="22"/>
          <w:lang w:val="es-ES"/>
        </w:rPr>
        <w:t>, se unifican las fuentes de emprendimiento y de desarrollo empresarial, para fortalecer y promover los distintos sectores de la economía</w:t>
      </w:r>
      <w:r w:rsidRPr="57F95CD5">
        <w:rPr>
          <w:rStyle w:val="Refdenotaalpie"/>
          <w:rFonts w:ascii="Arial" w:hAnsi="Arial" w:eastAsia="Calibri" w:cs="Arial"/>
          <w:sz w:val="22"/>
          <w:szCs w:val="22"/>
          <w:lang w:val="es-ES"/>
        </w:rPr>
        <w:footnoteReference w:id="7"/>
      </w:r>
      <w:r w:rsidRPr="57F95CD5" w:rsidR="009C6278">
        <w:rPr>
          <w:rFonts w:ascii="Arial" w:hAnsi="Arial" w:eastAsia="Calibri" w:cs="Arial"/>
          <w:sz w:val="22"/>
          <w:szCs w:val="22"/>
          <w:lang w:val="es-ES"/>
        </w:rPr>
        <w:t xml:space="preserve"> y se prevén medidas de educación para el emprendimiento y la innovación</w:t>
      </w:r>
      <w:r w:rsidRPr="57F95CD5">
        <w:rPr>
          <w:rStyle w:val="Refdenotaalpie"/>
          <w:rFonts w:ascii="Arial" w:hAnsi="Arial" w:eastAsia="Calibri" w:cs="Arial"/>
          <w:sz w:val="22"/>
          <w:szCs w:val="22"/>
          <w:lang w:val="es-ES"/>
        </w:rPr>
        <w:footnoteReference w:id="8"/>
      </w:r>
      <w:r w:rsidRPr="57F95CD5" w:rsidR="009C6278">
        <w:rPr>
          <w:rFonts w:ascii="Arial" w:hAnsi="Arial" w:eastAsia="Calibri" w:cs="Arial"/>
          <w:sz w:val="22"/>
          <w:szCs w:val="22"/>
          <w:lang w:val="es-ES"/>
        </w:rPr>
        <w:t>.</w:t>
      </w:r>
    </w:p>
    <w:p w:rsidRPr="003362CD" w:rsidR="009C6278" w:rsidP="009C6278" w:rsidRDefault="009C6278" w14:paraId="561108F8" w14:textId="77777777">
      <w:pPr>
        <w:spacing w:before="120" w:after="120" w:line="276" w:lineRule="auto"/>
        <w:ind w:firstLine="709"/>
        <w:jc w:val="both"/>
        <w:rPr>
          <w:rFonts w:ascii="Arial" w:hAnsi="Arial" w:eastAsia="Calibri" w:cs="Arial"/>
          <w:sz w:val="22"/>
          <w:szCs w:val="22"/>
          <w:lang w:val="es-ES_tradnl"/>
        </w:rPr>
      </w:pPr>
      <w:r w:rsidRPr="003362CD">
        <w:rPr>
          <w:rFonts w:ascii="Arial" w:hAnsi="Arial" w:eastAsia="Calibri" w:cs="Arial"/>
          <w:sz w:val="22"/>
          <w:szCs w:val="22"/>
          <w:lang w:val="es-ES_tradnl"/>
        </w:rPr>
        <w:t xml:space="preserve">Como se indicó, parte de la Ley 2069 contiene normas que modifican algunos aspectos de la contratación estatal para promover el emprendimiento. Concretamente, aquellas se encuentran en el Capítulo III –artículos 30 al 36–. En su orden, tales artículos consagran: i) reglas sobre la participación de las </w:t>
      </w:r>
      <w:proofErr w:type="spellStart"/>
      <w:r w:rsidRPr="003362CD">
        <w:rPr>
          <w:rFonts w:ascii="Arial" w:hAnsi="Arial" w:eastAsia="Calibri" w:cs="Arial"/>
          <w:sz w:val="22"/>
          <w:szCs w:val="22"/>
          <w:lang w:val="es-ES_tradnl"/>
        </w:rPr>
        <w:t>mipymes</w:t>
      </w:r>
      <w:proofErr w:type="spellEnd"/>
      <w:r w:rsidRPr="003362CD">
        <w:rPr>
          <w:rFonts w:ascii="Arial" w:hAnsi="Arial" w:eastAsia="Calibri" w:cs="Arial"/>
          <w:sz w:val="22"/>
          <w:szCs w:val="22"/>
          <w:lang w:val="es-ES_tradnl"/>
        </w:rPr>
        <w:t xml:space="preserve"> en el procedimiento de mínima cuantía, </w:t>
      </w:r>
      <w:proofErr w:type="spellStart"/>
      <w:r w:rsidRPr="003362CD">
        <w:rPr>
          <w:rFonts w:ascii="Arial" w:hAnsi="Arial" w:eastAsia="Calibri" w:cs="Arial"/>
          <w:sz w:val="22"/>
          <w:szCs w:val="22"/>
          <w:lang w:val="es-ES_tradnl"/>
        </w:rPr>
        <w:t>ii</w:t>
      </w:r>
      <w:proofErr w:type="spellEnd"/>
      <w:r w:rsidRPr="003362CD">
        <w:rPr>
          <w:rFonts w:ascii="Arial" w:hAnsi="Arial" w:eastAsia="Calibri" w:cs="Arial"/>
          <w:sz w:val="22"/>
          <w:szCs w:val="22"/>
          <w:lang w:val="es-ES_tradnl"/>
        </w:rPr>
        <w:t xml:space="preserve">) criterios diferenciales para </w:t>
      </w:r>
      <w:proofErr w:type="spellStart"/>
      <w:r w:rsidRPr="003362CD">
        <w:rPr>
          <w:rFonts w:ascii="Arial" w:hAnsi="Arial" w:eastAsia="Calibri" w:cs="Arial"/>
          <w:sz w:val="22"/>
          <w:szCs w:val="22"/>
          <w:lang w:val="es-ES_tradnl"/>
        </w:rPr>
        <w:t>mipymes</w:t>
      </w:r>
      <w:proofErr w:type="spellEnd"/>
      <w:r w:rsidRPr="003362CD">
        <w:rPr>
          <w:rFonts w:ascii="Arial" w:hAnsi="Arial" w:eastAsia="Calibri" w:cs="Arial"/>
          <w:sz w:val="22"/>
          <w:szCs w:val="22"/>
          <w:lang w:val="es-ES_tradnl"/>
        </w:rPr>
        <w:t xml:space="preserve"> en el sistema de compras públicas, </w:t>
      </w:r>
      <w:proofErr w:type="spellStart"/>
      <w:r w:rsidRPr="003362CD">
        <w:rPr>
          <w:rFonts w:ascii="Arial" w:hAnsi="Arial" w:eastAsia="Calibri" w:cs="Arial"/>
          <w:sz w:val="22"/>
          <w:szCs w:val="22"/>
          <w:lang w:val="es-ES_tradnl"/>
        </w:rPr>
        <w:t>iii</w:t>
      </w:r>
      <w:proofErr w:type="spellEnd"/>
      <w:r w:rsidRPr="003362CD">
        <w:rPr>
          <w:rFonts w:ascii="Arial" w:hAnsi="Arial" w:eastAsia="Calibri" w:cs="Arial"/>
          <w:sz w:val="22"/>
          <w:szCs w:val="22"/>
          <w:lang w:val="es-ES_tradnl"/>
        </w:rPr>
        <w:t xml:space="preserve">) criterios diferenciales para emprendimientos y empresas de mujeres en el sistema de compras públicas, </w:t>
      </w:r>
      <w:proofErr w:type="spellStart"/>
      <w:r w:rsidRPr="003362CD">
        <w:rPr>
          <w:rFonts w:ascii="Arial" w:hAnsi="Arial" w:eastAsia="Calibri" w:cs="Arial"/>
          <w:sz w:val="22"/>
          <w:szCs w:val="22"/>
          <w:lang w:val="es-ES_tradnl"/>
        </w:rPr>
        <w:t>iv</w:t>
      </w:r>
      <w:proofErr w:type="spellEnd"/>
      <w:r w:rsidRPr="003362CD">
        <w:rPr>
          <w:rFonts w:ascii="Arial" w:hAnsi="Arial" w:eastAsia="Calibri" w:cs="Arial"/>
          <w:sz w:val="22"/>
          <w:szCs w:val="22"/>
          <w:lang w:val="es-ES_tradnl"/>
        </w:rPr>
        <w:t xml:space="preserve">) promoción del acceso de las </w:t>
      </w:r>
      <w:proofErr w:type="spellStart"/>
      <w:r w:rsidRPr="003362CD">
        <w:rPr>
          <w:rFonts w:ascii="Arial" w:hAnsi="Arial" w:eastAsia="Calibri" w:cs="Arial"/>
          <w:sz w:val="22"/>
          <w:szCs w:val="22"/>
          <w:lang w:val="es-ES_tradnl"/>
        </w:rPr>
        <w:t>mipymes</w:t>
      </w:r>
      <w:proofErr w:type="spellEnd"/>
      <w:r w:rsidRPr="003362CD">
        <w:rPr>
          <w:rFonts w:ascii="Arial" w:hAnsi="Arial" w:eastAsia="Calibri" w:cs="Arial"/>
          <w:sz w:val="22"/>
          <w:szCs w:val="22"/>
          <w:lang w:val="es-ES_tradnl"/>
        </w:rPr>
        <w:t xml:space="preserve"> al mercado de </w:t>
      </w:r>
      <w:r w:rsidRPr="003362CD">
        <w:rPr>
          <w:rFonts w:ascii="Arial" w:hAnsi="Arial" w:eastAsia="Calibri" w:cs="Arial"/>
          <w:sz w:val="22"/>
          <w:szCs w:val="22"/>
          <w:lang w:val="es-ES_tradnl"/>
        </w:rPr>
        <w:t>compras públicas, v) promoción del desarrollo en la contratación pública, vi) un nuevo régimen de factores de desempate y vi) un llamado a las entidades estatales para que promuevan compras públicas en el marco de la tecnología y la innovación. Teniendo en cuenta que la consulta está relacionada con la interpretación del artículo 35 de la referida ley, a continuación, se estudiará el contenido y alcance de dicha norma</w:t>
      </w:r>
      <w:r w:rsidRPr="003362CD">
        <w:rPr>
          <w:rFonts w:ascii="Arial" w:hAnsi="Arial" w:eastAsia="Calibri" w:cs="Arial"/>
          <w:bCs/>
          <w:vertAlign w:val="superscript"/>
          <w:lang w:val="es-MX"/>
        </w:rPr>
        <w:footnoteReference w:id="9"/>
      </w:r>
      <w:r w:rsidRPr="003362CD">
        <w:rPr>
          <w:rFonts w:ascii="Arial" w:hAnsi="Arial" w:eastAsia="Calibri" w:cs="Arial"/>
          <w:sz w:val="22"/>
          <w:szCs w:val="22"/>
          <w:lang w:val="es-ES_tradnl"/>
        </w:rPr>
        <w:t xml:space="preserve">.  </w:t>
      </w:r>
    </w:p>
    <w:p w:rsidRPr="003362CD" w:rsidR="009C6278" w:rsidP="009C6278" w:rsidRDefault="009C6278" w14:paraId="6691F00D" w14:textId="77777777">
      <w:pPr>
        <w:tabs>
          <w:tab w:val="left" w:pos="709"/>
        </w:tabs>
        <w:spacing w:after="120" w:line="276" w:lineRule="auto"/>
        <w:jc w:val="both"/>
        <w:rPr>
          <w:rFonts w:ascii="Arial" w:hAnsi="Arial" w:eastAsia="Calibri" w:cs="Arial"/>
          <w:bCs/>
          <w:sz w:val="22"/>
        </w:rPr>
      </w:pPr>
      <w:r w:rsidRPr="003362CD">
        <w:rPr>
          <w:rFonts w:ascii="Arial" w:hAnsi="Arial" w:eastAsia="Calibri" w:cs="Arial"/>
          <w:bCs/>
          <w:sz w:val="22"/>
        </w:rPr>
        <w:tab/>
      </w:r>
      <w:r w:rsidRPr="003362CD">
        <w:rPr>
          <w:rFonts w:ascii="Arial" w:hAnsi="Arial" w:eastAsia="Calibri" w:cs="Arial"/>
          <w:bCs/>
          <w:sz w:val="22"/>
        </w:rPr>
        <w:t>Dentro del referido cap</w:t>
      </w:r>
      <w:r>
        <w:rPr>
          <w:rFonts w:ascii="Arial" w:hAnsi="Arial" w:eastAsia="Calibri" w:cs="Arial"/>
          <w:bCs/>
          <w:sz w:val="22"/>
        </w:rPr>
        <w:t>í</w:t>
      </w:r>
      <w:r w:rsidRPr="003362CD">
        <w:rPr>
          <w:rFonts w:ascii="Arial" w:hAnsi="Arial" w:eastAsia="Calibri" w:cs="Arial"/>
          <w:bCs/>
          <w:sz w:val="22"/>
        </w:rPr>
        <w:t xml:space="preserve">tulo se encuentran </w:t>
      </w:r>
      <w:bookmarkStart w:name="_Hlk63848566" w:id="6"/>
      <w:r w:rsidRPr="003362CD">
        <w:rPr>
          <w:rFonts w:ascii="Arial" w:hAnsi="Arial" w:eastAsia="Calibri" w:cs="Arial"/>
          <w:bCs/>
          <w:sz w:val="22"/>
        </w:rPr>
        <w:t>los artículos 31 y 32 de la Ley 2069 de 2020</w:t>
      </w:r>
      <w:bookmarkEnd w:id="6"/>
      <w:r w:rsidRPr="003362CD">
        <w:rPr>
          <w:rFonts w:ascii="Arial" w:hAnsi="Arial" w:eastAsia="Calibri" w:cs="Arial"/>
          <w:bCs/>
          <w:sz w:val="22"/>
        </w:rPr>
        <w:t xml:space="preserve">, los cuales crean una serie de incentivos para las personas interesadas en celebrar contratos con el Estado. </w:t>
      </w:r>
      <w:r w:rsidRPr="003362CD">
        <w:rPr>
          <w:rFonts w:ascii="Arial" w:hAnsi="Arial" w:eastAsia="Calibri" w:cs="Arial"/>
          <w:bCs/>
          <w:sz w:val="22"/>
          <w:lang w:val="es-ES_tradnl"/>
        </w:rPr>
        <w:t xml:space="preserve">Por un lado, el artículo 31 </w:t>
      </w:r>
      <w:r w:rsidRPr="003362CD">
        <w:rPr>
          <w:rFonts w:ascii="Arial" w:hAnsi="Arial" w:eastAsia="Calibri" w:cs="Arial"/>
          <w:bCs/>
          <w:sz w:val="22"/>
        </w:rPr>
        <w:t xml:space="preserve">introduce criterios diferenciales para el acceso de las </w:t>
      </w:r>
      <w:proofErr w:type="spellStart"/>
      <w:r w:rsidRPr="003362CD">
        <w:rPr>
          <w:rFonts w:ascii="Arial" w:hAnsi="Arial" w:eastAsia="Calibri" w:cs="Arial"/>
          <w:bCs/>
          <w:sz w:val="22"/>
        </w:rPr>
        <w:t>mipymes</w:t>
      </w:r>
      <w:proofErr w:type="spellEnd"/>
      <w:r w:rsidRPr="003362CD">
        <w:rPr>
          <w:rFonts w:ascii="Arial" w:hAnsi="Arial" w:eastAsia="Calibri" w:cs="Arial"/>
          <w:bCs/>
          <w:sz w:val="22"/>
        </w:rPr>
        <w:t xml:space="preserve"> al sistema de compras y contratación pública, </w:t>
      </w:r>
      <w:r>
        <w:rPr>
          <w:rFonts w:ascii="Arial" w:hAnsi="Arial" w:eastAsia="Calibri" w:cs="Arial"/>
          <w:bCs/>
          <w:sz w:val="22"/>
        </w:rPr>
        <w:t xml:space="preserve">estableciendo </w:t>
      </w:r>
      <w:r w:rsidRPr="003362CD">
        <w:rPr>
          <w:rFonts w:ascii="Arial" w:hAnsi="Arial" w:eastAsia="Calibri" w:cs="Arial"/>
          <w:bCs/>
          <w:sz w:val="22"/>
        </w:rPr>
        <w:t xml:space="preserve">que «Las Entidades Estatales de acuerdo con el análisis de Sector </w:t>
      </w:r>
      <w:bookmarkStart w:name="_Hlk63767562" w:id="7"/>
      <w:r w:rsidRPr="003362CD">
        <w:rPr>
          <w:rFonts w:ascii="Arial" w:hAnsi="Arial" w:eastAsia="Calibri" w:cs="Arial"/>
          <w:bCs/>
          <w:sz w:val="22"/>
        </w:rPr>
        <w:t>podrán incluir, en los Documentos del Proceso, requisitos diferenciales y puntajes adicionales</w:t>
      </w:r>
      <w:bookmarkEnd w:id="7"/>
      <w:r w:rsidRPr="003362CD">
        <w:rPr>
          <w:rFonts w:ascii="Arial" w:hAnsi="Arial" w:eastAsia="Calibri" w:cs="Arial"/>
          <w:bCs/>
          <w:sz w:val="22"/>
        </w:rPr>
        <w:t xml:space="preserve">, en función del tamaño empresarial para la promoción del acceso de las MIPYMES al mercado de Compras Públicas».  </w:t>
      </w:r>
    </w:p>
    <w:p w:rsidRPr="003362CD" w:rsidR="009C6278" w:rsidP="009C6278" w:rsidRDefault="009C6278" w14:paraId="07B31A63" w14:textId="77777777">
      <w:pPr>
        <w:tabs>
          <w:tab w:val="left" w:pos="709"/>
        </w:tabs>
        <w:spacing w:after="120" w:line="276" w:lineRule="auto"/>
        <w:jc w:val="both"/>
        <w:rPr>
          <w:rFonts w:ascii="Arial" w:hAnsi="Arial" w:eastAsia="Calibri" w:cs="Arial"/>
          <w:bCs/>
          <w:sz w:val="22"/>
        </w:rPr>
      </w:pPr>
      <w:r w:rsidRPr="003362CD">
        <w:rPr>
          <w:rFonts w:ascii="Arial" w:hAnsi="Arial" w:eastAsia="Calibri" w:cs="Arial"/>
          <w:bCs/>
          <w:sz w:val="22"/>
        </w:rPr>
        <w:tab/>
      </w:r>
      <w:r>
        <w:rPr>
          <w:rFonts w:ascii="Arial" w:hAnsi="Arial" w:eastAsia="Calibri" w:cs="Arial"/>
          <w:bCs/>
          <w:sz w:val="22"/>
        </w:rPr>
        <w:t>Además</w:t>
      </w:r>
      <w:r w:rsidRPr="003362CD">
        <w:rPr>
          <w:rFonts w:ascii="Arial" w:hAnsi="Arial" w:eastAsia="Calibri" w:cs="Arial"/>
          <w:bCs/>
          <w:sz w:val="22"/>
        </w:rPr>
        <w:t xml:space="preserve">, el inciso segundo y el parágrafo del </w:t>
      </w:r>
      <w:r w:rsidRPr="003362CD">
        <w:rPr>
          <w:rFonts w:ascii="Arial" w:hAnsi="Arial" w:eastAsia="Calibri" w:cs="Arial"/>
          <w:bCs/>
          <w:sz w:val="22"/>
          <w:lang w:val="es-ES_tradnl"/>
        </w:rPr>
        <w:t xml:space="preserve">artículo 31 </w:t>
      </w:r>
      <w:r w:rsidRPr="003362CD">
        <w:rPr>
          <w:rFonts w:ascii="Arial" w:hAnsi="Arial" w:eastAsia="Calibri" w:cs="Arial"/>
          <w:bCs/>
          <w:sz w:val="22"/>
        </w:rPr>
        <w:t>de la Ley 2069 de 2020 disponen, respectivamente, que «El Gobierno Nacional reglamentará la definición de los criterios diferenciales, sobre reglas objetivas [relacionadas con «requisitos diferenciales» y «puntajes adicionales»] que podrán implementar las Entidades Estatales» (Corchetes fuera de texto) y que «Dentro de los criterios diferenciales que reglamente el Gobierno Nacional se dará prioridad a la contratación de producción nacional sin perjuicio de los compromisos comerciales adquiridos con otros Estados». Es decir, esta norma requiere el desarrollo reglamentario como una condición previa para su aplicación.</w:t>
      </w:r>
    </w:p>
    <w:p w:rsidR="009C6278" w:rsidP="009C6278" w:rsidRDefault="009C6278" w14:paraId="7D07FE82" w14:textId="77777777">
      <w:pPr>
        <w:tabs>
          <w:tab w:val="left" w:pos="709"/>
        </w:tabs>
        <w:spacing w:line="276" w:lineRule="auto"/>
        <w:jc w:val="both"/>
        <w:rPr>
          <w:rFonts w:ascii="Arial" w:hAnsi="Arial" w:eastAsia="Calibri" w:cs="Arial"/>
          <w:bCs/>
          <w:sz w:val="22"/>
        </w:rPr>
      </w:pPr>
      <w:r w:rsidRPr="003362CD">
        <w:rPr>
          <w:rFonts w:ascii="Arial" w:hAnsi="Arial" w:eastAsia="Calibri" w:cs="Arial"/>
          <w:bCs/>
          <w:sz w:val="22"/>
        </w:rPr>
        <w:tab/>
      </w:r>
      <w:r w:rsidRPr="003362CD">
        <w:rPr>
          <w:rFonts w:ascii="Arial" w:hAnsi="Arial" w:eastAsia="Calibri" w:cs="Arial"/>
          <w:bCs/>
          <w:sz w:val="22"/>
        </w:rPr>
        <w:t>Por otra parte, el artículo 32 de la Ley 2069 de 2020</w:t>
      </w:r>
      <w:r w:rsidRPr="003362CD">
        <w:rPr>
          <w:rStyle w:val="Refdenotaalpie"/>
          <w:rFonts w:ascii="Arial" w:hAnsi="Arial" w:eastAsia="Calibri" w:cs="Arial"/>
          <w:bCs/>
          <w:sz w:val="22"/>
        </w:rPr>
        <w:footnoteReference w:id="10"/>
      </w:r>
      <w:r w:rsidRPr="003362CD">
        <w:rPr>
          <w:rFonts w:ascii="Arial" w:hAnsi="Arial" w:eastAsia="Calibri" w:cs="Arial"/>
          <w:bCs/>
          <w:sz w:val="22"/>
        </w:rPr>
        <w:t xml:space="preserve"> regula criterios diferenciales para los «emprendimientos y empresas de mujeres» en el sistema de compras y contratación pública. En relación con este aspecto, el inciso primero de la norma citada prescribe lo siguiente: </w:t>
      </w:r>
    </w:p>
    <w:p w:rsidR="009C6278" w:rsidP="009C6278" w:rsidRDefault="009C6278" w14:paraId="36BBCA6C" w14:textId="77777777">
      <w:pPr>
        <w:tabs>
          <w:tab w:val="left" w:pos="709"/>
        </w:tabs>
        <w:spacing w:line="276" w:lineRule="auto"/>
        <w:jc w:val="both"/>
        <w:rPr>
          <w:rFonts w:ascii="Arial" w:hAnsi="Arial" w:eastAsia="Calibri" w:cs="Arial"/>
          <w:bCs/>
          <w:sz w:val="22"/>
        </w:rPr>
      </w:pPr>
    </w:p>
    <w:p w:rsidRPr="00D23E94" w:rsidR="009C6278" w:rsidP="009C6278" w:rsidRDefault="009C6278" w14:paraId="5D515B30" w14:textId="77777777">
      <w:pPr>
        <w:tabs>
          <w:tab w:val="left" w:pos="709"/>
        </w:tabs>
        <w:ind w:left="709" w:right="709"/>
        <w:jc w:val="both"/>
        <w:rPr>
          <w:rFonts w:ascii="Arial" w:hAnsi="Arial" w:eastAsia="Calibri" w:cs="Arial"/>
          <w:bCs/>
          <w:sz w:val="21"/>
          <w:szCs w:val="21"/>
        </w:rPr>
      </w:pPr>
      <w:r w:rsidRPr="00D23E94">
        <w:rPr>
          <w:rFonts w:ascii="Arial" w:hAnsi="Arial" w:eastAsia="Calibri" w:cs="Arial"/>
          <w:bCs/>
          <w:sz w:val="21"/>
          <w:szCs w:val="21"/>
        </w:rPr>
        <w:t xml:space="preserve">«De acuerdo con el resultado del análisis del sector, las entidades estatales incluirán requisitos diferenciales y puntajes adicionales en los procesos de </w:t>
      </w:r>
      <w:bookmarkStart w:name="_Hlk63770487" w:id="8"/>
      <w:r w:rsidRPr="00D23E94">
        <w:rPr>
          <w:rFonts w:ascii="Arial" w:hAnsi="Arial" w:eastAsia="Calibri" w:cs="Arial"/>
          <w:bCs/>
          <w:sz w:val="21"/>
          <w:szCs w:val="21"/>
        </w:rPr>
        <w:t>licitación pública, selección abreviada de menor cuantía y concurso de méritos</w:t>
      </w:r>
      <w:bookmarkEnd w:id="8"/>
      <w:r w:rsidRPr="00D23E94">
        <w:rPr>
          <w:rFonts w:ascii="Arial" w:hAnsi="Arial" w:eastAsia="Calibri" w:cs="Arial"/>
          <w:bCs/>
          <w:sz w:val="21"/>
          <w:szCs w:val="21"/>
        </w:rPr>
        <w:t>, así como en los procesos competitivos que adelanten las entidades estatales que no apliquen en su gestión contractual el Estatuto General de Contratación Administrativa, como medidas de acción afirmativa, para incentivar emprendimientos y empresas de mujeres en el sistema de compras públicas, sin perjuicio de los compromisos adquiridos por Colombia en los acuerdos comerciales en vigor».</w:t>
      </w:r>
    </w:p>
    <w:p w:rsidRPr="003362CD" w:rsidR="009C6278" w:rsidP="009C6278" w:rsidRDefault="009C6278" w14:paraId="152424FF" w14:textId="77777777">
      <w:pPr>
        <w:tabs>
          <w:tab w:val="left" w:pos="709"/>
        </w:tabs>
        <w:ind w:left="709" w:right="709"/>
        <w:jc w:val="both"/>
        <w:rPr>
          <w:rFonts w:ascii="Arial" w:hAnsi="Arial" w:eastAsia="Calibri" w:cs="Arial"/>
          <w:bCs/>
          <w:sz w:val="22"/>
        </w:rPr>
      </w:pPr>
    </w:p>
    <w:p w:rsidRPr="003362CD" w:rsidR="009C6278" w:rsidP="009C6278" w:rsidRDefault="009C6278" w14:paraId="26ABF4F9" w14:textId="77777777">
      <w:pPr>
        <w:tabs>
          <w:tab w:val="left" w:pos="709"/>
        </w:tabs>
        <w:spacing w:after="120" w:line="276" w:lineRule="auto"/>
        <w:jc w:val="both"/>
        <w:rPr>
          <w:rFonts w:ascii="Arial" w:hAnsi="Arial" w:eastAsia="Calibri" w:cs="Arial"/>
          <w:bCs/>
          <w:sz w:val="22"/>
        </w:rPr>
      </w:pPr>
      <w:r w:rsidRPr="003362CD">
        <w:rPr>
          <w:rFonts w:ascii="Arial" w:hAnsi="Arial" w:eastAsia="Calibri" w:cs="Arial"/>
          <w:bCs/>
          <w:sz w:val="22"/>
        </w:rPr>
        <w:tab/>
      </w:r>
      <w:r>
        <w:rPr>
          <w:rFonts w:ascii="Arial" w:hAnsi="Arial" w:eastAsia="Calibri" w:cs="Arial"/>
          <w:bCs/>
          <w:sz w:val="22"/>
        </w:rPr>
        <w:t xml:space="preserve">La norma analizada contiene </w:t>
      </w:r>
      <w:r w:rsidRPr="003362CD">
        <w:rPr>
          <w:rFonts w:ascii="Arial" w:hAnsi="Arial" w:eastAsia="Calibri" w:cs="Arial"/>
          <w:bCs/>
          <w:sz w:val="22"/>
        </w:rPr>
        <w:t>los</w:t>
      </w:r>
      <w:r>
        <w:rPr>
          <w:rFonts w:ascii="Arial" w:hAnsi="Arial" w:eastAsia="Calibri" w:cs="Arial"/>
          <w:bCs/>
          <w:sz w:val="22"/>
        </w:rPr>
        <w:t xml:space="preserve"> denominados</w:t>
      </w:r>
      <w:r w:rsidRPr="003362CD">
        <w:rPr>
          <w:rFonts w:ascii="Arial" w:hAnsi="Arial" w:eastAsia="Calibri" w:cs="Arial"/>
          <w:bCs/>
          <w:sz w:val="22"/>
        </w:rPr>
        <w:t xml:space="preserve"> «requisitos diferenciales» </w:t>
      </w:r>
      <w:r>
        <w:rPr>
          <w:rFonts w:ascii="Arial" w:hAnsi="Arial" w:eastAsia="Calibri" w:cs="Arial"/>
          <w:bCs/>
          <w:sz w:val="22"/>
        </w:rPr>
        <w:t xml:space="preserve">y adicionalmente </w:t>
      </w:r>
      <w:r w:rsidRPr="003362CD">
        <w:rPr>
          <w:rFonts w:ascii="Arial" w:hAnsi="Arial" w:eastAsia="Calibri" w:cs="Arial"/>
          <w:bCs/>
          <w:sz w:val="22"/>
        </w:rPr>
        <w:t xml:space="preserve">los «puntajes adicionales»– </w:t>
      </w:r>
      <w:r>
        <w:rPr>
          <w:rFonts w:ascii="Arial" w:hAnsi="Arial" w:eastAsia="Calibri" w:cs="Arial"/>
          <w:bCs/>
          <w:sz w:val="22"/>
        </w:rPr>
        <w:t xml:space="preserve">los cuales </w:t>
      </w:r>
      <w:r w:rsidRPr="003362CD">
        <w:rPr>
          <w:rFonts w:ascii="Arial" w:hAnsi="Arial" w:eastAsia="Calibri" w:cs="Arial"/>
          <w:bCs/>
          <w:sz w:val="22"/>
        </w:rPr>
        <w:t>aplica</w:t>
      </w:r>
      <w:r>
        <w:rPr>
          <w:rFonts w:ascii="Arial" w:hAnsi="Arial" w:eastAsia="Calibri" w:cs="Arial"/>
          <w:bCs/>
          <w:sz w:val="22"/>
        </w:rPr>
        <w:t xml:space="preserve">ran </w:t>
      </w:r>
      <w:r w:rsidRPr="003362CD">
        <w:rPr>
          <w:rFonts w:ascii="Arial" w:hAnsi="Arial" w:eastAsia="Calibri" w:cs="Arial"/>
          <w:bCs/>
          <w:sz w:val="22"/>
        </w:rPr>
        <w:t xml:space="preserve">a «[…] los procesos de licitación pública, selección abreviada de menor cuantía y concurso de méritos […]», excluyendo las demás modalidades de selección del artículo 2 de la Ley 1150 de 2007. Por otra parte, sin distinciones ulteriores, la norma en comento también se extiende a todos los procedimientos </w:t>
      </w:r>
      <w:r>
        <w:rPr>
          <w:rFonts w:ascii="Arial" w:hAnsi="Arial" w:eastAsia="Calibri" w:cs="Arial"/>
          <w:bCs/>
          <w:sz w:val="22"/>
        </w:rPr>
        <w:t>que realicen</w:t>
      </w:r>
      <w:r w:rsidRPr="003362CD">
        <w:rPr>
          <w:rFonts w:ascii="Arial" w:hAnsi="Arial" w:eastAsia="Calibri" w:cs="Arial"/>
          <w:bCs/>
          <w:sz w:val="22"/>
        </w:rPr>
        <w:t xml:space="preserve"> las entidades</w:t>
      </w:r>
      <w:r>
        <w:rPr>
          <w:rFonts w:ascii="Arial" w:hAnsi="Arial" w:eastAsia="Calibri" w:cs="Arial"/>
          <w:bCs/>
          <w:sz w:val="22"/>
        </w:rPr>
        <w:t xml:space="preserve"> estatales</w:t>
      </w:r>
      <w:r w:rsidRPr="003362CD">
        <w:rPr>
          <w:rFonts w:ascii="Arial" w:hAnsi="Arial" w:eastAsia="Calibri" w:cs="Arial"/>
          <w:bCs/>
          <w:sz w:val="22"/>
        </w:rPr>
        <w:t xml:space="preserve"> excluidas de la Ley 80 de 1993.     </w:t>
      </w:r>
    </w:p>
    <w:p w:rsidRPr="003362CD" w:rsidR="009C6278" w:rsidP="009C6278" w:rsidRDefault="009C6278" w14:paraId="2DE1BFFC" w14:textId="77777777">
      <w:pPr>
        <w:spacing w:before="120" w:after="120" w:line="276" w:lineRule="auto"/>
        <w:ind w:firstLine="709"/>
        <w:jc w:val="both"/>
        <w:rPr>
          <w:rFonts w:ascii="Arial" w:hAnsi="Arial" w:eastAsia="Calibri" w:cs="Arial"/>
          <w:sz w:val="22"/>
          <w:szCs w:val="22"/>
          <w:lang w:val="es-ES_tradnl"/>
        </w:rPr>
      </w:pPr>
      <w:r>
        <w:rPr>
          <w:rFonts w:ascii="Arial" w:hAnsi="Arial" w:eastAsia="Calibri" w:cs="Arial"/>
          <w:bCs/>
          <w:sz w:val="22"/>
        </w:rPr>
        <w:t>Ahora bien</w:t>
      </w:r>
      <w:r w:rsidRPr="003362CD">
        <w:rPr>
          <w:rFonts w:ascii="Arial" w:hAnsi="Arial" w:eastAsia="Calibri" w:cs="Arial"/>
          <w:bCs/>
          <w:sz w:val="22"/>
        </w:rPr>
        <w:t>, el artículo 32 de la Ley 2069 de 2020</w:t>
      </w:r>
      <w:r>
        <w:rPr>
          <w:rFonts w:ascii="Arial" w:hAnsi="Arial" w:eastAsia="Calibri" w:cs="Arial"/>
          <w:bCs/>
          <w:sz w:val="22"/>
        </w:rPr>
        <w:t xml:space="preserve">, </w:t>
      </w:r>
      <w:r w:rsidRPr="003362CD">
        <w:rPr>
          <w:rFonts w:ascii="Arial" w:hAnsi="Arial" w:eastAsia="Calibri" w:cs="Arial"/>
          <w:bCs/>
          <w:sz w:val="22"/>
        </w:rPr>
        <w:t xml:space="preserve">alude a la necesidad del desarrollo normativo posterior. Al respecto, el parágrafo dispone que «La definición de emprendimientos y empresas de mujeres se reglamentará por el gobierno nacional». En ese sentido, la aplicación de criterios diferenciales en favor de mujeres y emprendimientos de mujeres está condicionada por el ejercicio de potestad reglamentaria, en orden de establecer la regulación en marco de la cual las Entidades Estatales deben aplicar los criterios diferenciales del artículo 32 de la Ley 2069 de 2020. </w:t>
      </w:r>
    </w:p>
    <w:p w:rsidRPr="003362CD" w:rsidR="009C6278" w:rsidP="009C6278" w:rsidRDefault="009C6278" w14:paraId="488F03FB" w14:textId="77777777">
      <w:pPr>
        <w:spacing w:after="120" w:line="276" w:lineRule="auto"/>
        <w:jc w:val="both"/>
        <w:rPr>
          <w:rFonts w:ascii="Arial" w:hAnsi="Arial" w:eastAsia="Calibri" w:cs="Arial"/>
          <w:sz w:val="22"/>
          <w:szCs w:val="22"/>
          <w:lang w:val="es-ES_tradnl"/>
        </w:rPr>
      </w:pPr>
      <w:r w:rsidRPr="003362CD">
        <w:rPr>
          <w:rFonts w:ascii="Arial" w:hAnsi="Arial" w:eastAsia="Calibri" w:cs="Arial"/>
          <w:b/>
          <w:bCs/>
          <w:sz w:val="22"/>
          <w:szCs w:val="22"/>
          <w:lang w:val="es-ES_tradnl"/>
        </w:rPr>
        <w:tab/>
      </w:r>
      <w:r w:rsidRPr="003362CD">
        <w:rPr>
          <w:rFonts w:ascii="Arial" w:hAnsi="Arial" w:eastAsia="Calibri" w:cs="Arial"/>
          <w:sz w:val="22"/>
          <w:szCs w:val="22"/>
          <w:lang w:val="es-ES_tradnl"/>
        </w:rPr>
        <w:t>En este contexto, el pasado 24 de diciembre, el gobierno nacional expidió el Decreto 1860 de 2021</w:t>
      </w:r>
      <w:r w:rsidRPr="003362CD">
        <w:t xml:space="preserve"> </w:t>
      </w:r>
      <w:r w:rsidRPr="003362CD">
        <w:rPr>
          <w:rFonts w:ascii="Arial" w:hAnsi="Arial" w:eastAsia="Calibri" w:cs="Arial"/>
          <w:sz w:val="22"/>
          <w:szCs w:val="22"/>
          <w:lang w:val="es-ES_tradnl"/>
        </w:rPr>
        <w:t>«Por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 Esta norma se expidió con el propósito de adecuar el marco reglamentario de la contratación pública a las modificaciones normativas que se desprenden del Capítulo III de la Ley 2069 de 2020 –con excepción de los artículos 33 y 36–, realizando las adecuaciones requeridas para aplicar estas disposiciones, tal como indica el artículo 1 del Decreto 1860 de 2021</w:t>
      </w:r>
      <w:r w:rsidRPr="003362CD">
        <w:rPr>
          <w:rStyle w:val="Refdenotaalpie"/>
          <w:rFonts w:ascii="Arial" w:hAnsi="Arial" w:eastAsia="Calibri" w:cs="Arial"/>
          <w:sz w:val="22"/>
          <w:szCs w:val="22"/>
          <w:lang w:val="es-ES_tradnl"/>
        </w:rPr>
        <w:footnoteReference w:id="11"/>
      </w:r>
      <w:r w:rsidRPr="003362CD">
        <w:rPr>
          <w:rFonts w:ascii="Arial" w:hAnsi="Arial" w:eastAsia="Calibri" w:cs="Arial"/>
          <w:sz w:val="22"/>
          <w:szCs w:val="22"/>
          <w:lang w:val="es-ES_tradnl"/>
        </w:rPr>
        <w:t xml:space="preserve">.  </w:t>
      </w:r>
    </w:p>
    <w:p w:rsidRPr="003362CD" w:rsidR="009C6278" w:rsidP="009C6278" w:rsidRDefault="009C6278" w14:paraId="3198A16E" w14:textId="77777777">
      <w:pPr>
        <w:spacing w:after="120" w:line="276" w:lineRule="auto"/>
        <w:jc w:val="both"/>
        <w:rPr>
          <w:rFonts w:ascii="Arial" w:hAnsi="Arial" w:cs="Arial"/>
          <w:sz w:val="22"/>
          <w:szCs w:val="22"/>
          <w:lang w:eastAsia="es-CO"/>
        </w:rPr>
      </w:pPr>
      <w:r w:rsidRPr="003362CD">
        <w:rPr>
          <w:rFonts w:ascii="Arial" w:hAnsi="Arial" w:eastAsia="Calibri" w:cs="Arial"/>
          <w:sz w:val="22"/>
          <w:szCs w:val="22"/>
          <w:lang w:val="es-ES_tradnl"/>
        </w:rPr>
        <w:tab/>
      </w:r>
      <w:r w:rsidRPr="003362CD">
        <w:rPr>
          <w:rFonts w:ascii="Arial" w:hAnsi="Arial" w:eastAsia="Calibri" w:cs="Arial"/>
          <w:sz w:val="22"/>
          <w:szCs w:val="22"/>
          <w:lang w:val="es-ES_tradnl"/>
        </w:rPr>
        <w:t xml:space="preserve">En lo relativo al artículo 32 de la Ley 2069 de 2020, el artículo 3 del Decreto 1860 de 2021 adiciona los artículos 2.2.1.2.4.2.14 y 2.2.1.2.4.2.15 a la Subsección 2 de la Sección 4 del Capítulo 2 del Título 1 de la Parte 2 del Libro 2 del Decreto 1082 de 2015. La primera de las normas adicionadas consagra la definición de emprendimientos y empresas de mujeres, mientras que la segunda establece los criterios diferenciales y regula su aplicación. </w:t>
      </w:r>
    </w:p>
    <w:p w:rsidRPr="003362CD" w:rsidR="009C6278" w:rsidP="009C6278" w:rsidRDefault="009C6278" w14:paraId="4775CC5B" w14:textId="77777777">
      <w:pPr>
        <w:spacing w:line="276" w:lineRule="auto"/>
        <w:ind w:firstLine="708"/>
        <w:jc w:val="both"/>
        <w:rPr>
          <w:rFonts w:ascii="Arial" w:hAnsi="Arial" w:cs="Arial"/>
          <w:sz w:val="22"/>
          <w:szCs w:val="22"/>
          <w:lang w:eastAsia="es-CO"/>
        </w:rPr>
      </w:pPr>
      <w:r w:rsidRPr="003362CD">
        <w:rPr>
          <w:rFonts w:ascii="Arial" w:hAnsi="Arial" w:cs="Arial"/>
          <w:sz w:val="22"/>
          <w:szCs w:val="22"/>
          <w:lang w:eastAsia="es-CO"/>
        </w:rPr>
        <w:t xml:space="preserve">Debe precisarse que la vigencia del Decreto 1860 de 2021 está regida por lo </w:t>
      </w:r>
      <w:r>
        <w:rPr>
          <w:rFonts w:ascii="Arial" w:hAnsi="Arial" w:cs="Arial"/>
          <w:sz w:val="22"/>
          <w:szCs w:val="22"/>
          <w:lang w:eastAsia="es-CO"/>
        </w:rPr>
        <w:t>establecido</w:t>
      </w:r>
      <w:r w:rsidRPr="003362CD">
        <w:rPr>
          <w:rFonts w:ascii="Arial" w:hAnsi="Arial" w:cs="Arial"/>
          <w:sz w:val="22"/>
          <w:szCs w:val="22"/>
          <w:lang w:eastAsia="es-CO"/>
        </w:rPr>
        <w:t xml:space="preserve"> en su artículo 8, el cual señala que «Las disposiciones contenidas en el presente Decreto se aplicarán a los procedimientos de selección cuya invitación, aviso de convocatoria o documento equivalente se publique a los tres (3) meses contados a partir de su expedición». De acuerdo con esto, habiéndose expedido el referido decreto el 24 de diciembre de 2021, la aplicación de su contenido deberá comenzar una vez transcurridos tres meses contados a partir de entonces, en los procesos cuyos avisos de convocatorias, invitaciones o documentos equivalentes se publiquen con posterioridad a dicho </w:t>
      </w:r>
      <w:r>
        <w:rPr>
          <w:rFonts w:ascii="Arial" w:hAnsi="Arial" w:cs="Arial"/>
          <w:sz w:val="22"/>
          <w:szCs w:val="22"/>
          <w:lang w:eastAsia="es-CO"/>
        </w:rPr>
        <w:t>momento</w:t>
      </w:r>
      <w:r w:rsidRPr="003362CD">
        <w:rPr>
          <w:rStyle w:val="Refdenotaalpie"/>
          <w:rFonts w:ascii="Arial" w:hAnsi="Arial" w:cs="Arial"/>
          <w:sz w:val="22"/>
          <w:szCs w:val="22"/>
          <w:lang w:eastAsia="es-CO"/>
        </w:rPr>
        <w:footnoteReference w:id="12"/>
      </w:r>
      <w:r w:rsidRPr="003362CD">
        <w:rPr>
          <w:rFonts w:ascii="Arial" w:hAnsi="Arial" w:cs="Arial"/>
          <w:sz w:val="22"/>
          <w:szCs w:val="22"/>
          <w:lang w:eastAsia="es-CO"/>
        </w:rPr>
        <w:t xml:space="preserve">. </w:t>
      </w:r>
    </w:p>
    <w:p w:rsidRPr="003362CD" w:rsidR="009C6278" w:rsidP="009C6278" w:rsidRDefault="009C6278" w14:paraId="0D2D9F45" w14:textId="77777777">
      <w:pPr>
        <w:jc w:val="both"/>
        <w:rPr>
          <w:rFonts w:ascii="Arial" w:hAnsi="Arial" w:cs="Arial"/>
          <w:sz w:val="22"/>
          <w:szCs w:val="22"/>
          <w:lang w:eastAsia="es-CO"/>
        </w:rPr>
      </w:pPr>
    </w:p>
    <w:p w:rsidRPr="003362CD" w:rsidR="009C6278" w:rsidP="009C6278" w:rsidRDefault="009C6278" w14:paraId="2A43D63C" w14:textId="6D95A512">
      <w:pPr>
        <w:spacing w:line="276" w:lineRule="auto"/>
        <w:jc w:val="both"/>
        <w:rPr>
          <w:rFonts w:ascii="Arial" w:hAnsi="Arial" w:eastAsia="Calibri" w:cs="Arial"/>
          <w:b/>
          <w:bCs/>
          <w:sz w:val="22"/>
          <w:szCs w:val="22"/>
          <w:lang w:val="es-ES_tradnl"/>
        </w:rPr>
      </w:pPr>
      <w:r w:rsidRPr="003362CD">
        <w:rPr>
          <w:rFonts w:ascii="Arial" w:hAnsi="Arial" w:eastAsia="Calibri" w:cs="Arial"/>
          <w:b/>
          <w:bCs/>
          <w:sz w:val="22"/>
          <w:szCs w:val="22"/>
          <w:lang w:val="es-ES_tradnl"/>
        </w:rPr>
        <w:t xml:space="preserve">2.2. </w:t>
      </w:r>
      <w:r w:rsidR="002302B5">
        <w:rPr>
          <w:rFonts w:ascii="Arial" w:hAnsi="Arial" w:eastAsia="Calibri" w:cs="Arial"/>
          <w:b/>
          <w:bCs/>
          <w:sz w:val="22"/>
          <w:szCs w:val="22"/>
          <w:lang w:val="es-ES_tradnl"/>
        </w:rPr>
        <w:t>Aplicación de los criterios diferenciales</w:t>
      </w:r>
      <w:r w:rsidRPr="003362CD" w:rsidR="002302B5">
        <w:rPr>
          <w:rFonts w:ascii="Arial" w:hAnsi="Arial" w:eastAsia="Calibri" w:cs="Arial"/>
          <w:b/>
          <w:bCs/>
          <w:sz w:val="22"/>
          <w:szCs w:val="22"/>
          <w:lang w:val="es-ES_tradnl"/>
        </w:rPr>
        <w:t xml:space="preserve"> </w:t>
      </w:r>
      <w:r w:rsidR="002302B5">
        <w:rPr>
          <w:rFonts w:ascii="Arial" w:hAnsi="Arial" w:eastAsia="Calibri" w:cs="Arial"/>
          <w:b/>
          <w:bCs/>
          <w:sz w:val="22"/>
          <w:szCs w:val="22"/>
          <w:lang w:val="es-ES_tradnl"/>
        </w:rPr>
        <w:t>para</w:t>
      </w:r>
      <w:r w:rsidRPr="003362CD">
        <w:rPr>
          <w:rFonts w:ascii="Arial" w:hAnsi="Arial" w:eastAsia="Calibri" w:cs="Arial"/>
          <w:b/>
          <w:bCs/>
          <w:sz w:val="22"/>
          <w:szCs w:val="22"/>
          <w:lang w:val="es-ES_tradnl"/>
        </w:rPr>
        <w:t xml:space="preserve"> emprendimientos y empresas de mujeres</w:t>
      </w:r>
      <w:r w:rsidR="002302B5">
        <w:rPr>
          <w:rFonts w:ascii="Arial" w:hAnsi="Arial" w:eastAsia="Calibri" w:cs="Arial"/>
          <w:b/>
          <w:bCs/>
          <w:sz w:val="22"/>
          <w:szCs w:val="22"/>
          <w:lang w:val="es-ES_tradnl"/>
        </w:rPr>
        <w:t xml:space="preserve"> a las fundaciones </w:t>
      </w:r>
    </w:p>
    <w:p w:rsidRPr="003362CD" w:rsidR="009C6278" w:rsidP="009C6278" w:rsidRDefault="009C6278" w14:paraId="077E902B" w14:textId="77777777">
      <w:pPr>
        <w:jc w:val="both"/>
        <w:rPr>
          <w:rFonts w:ascii="Arial" w:hAnsi="Arial" w:eastAsia="Calibri" w:cs="Arial"/>
          <w:b/>
          <w:bCs/>
          <w:sz w:val="22"/>
          <w:szCs w:val="22"/>
          <w:lang w:val="es-ES_tradnl"/>
        </w:rPr>
      </w:pPr>
    </w:p>
    <w:p w:rsidRPr="003362CD" w:rsidR="009C6278" w:rsidP="009C6278" w:rsidRDefault="009C6278" w14:paraId="1D6D8954" w14:textId="77777777">
      <w:pPr>
        <w:spacing w:after="120" w:line="276" w:lineRule="auto"/>
        <w:jc w:val="both"/>
        <w:rPr>
          <w:rFonts w:ascii="Arial" w:hAnsi="Arial" w:eastAsia="Calibri" w:cs="Arial"/>
          <w:sz w:val="22"/>
          <w:szCs w:val="22"/>
          <w:lang w:val="es-ES_tradnl"/>
        </w:rPr>
      </w:pPr>
      <w:r w:rsidRPr="003362CD">
        <w:rPr>
          <w:rFonts w:ascii="Arial" w:hAnsi="Arial" w:eastAsia="Calibri" w:cs="Arial"/>
          <w:sz w:val="22"/>
          <w:szCs w:val="22"/>
          <w:lang w:val="es-ES_tradnl"/>
        </w:rPr>
        <w:t xml:space="preserve">Conforme se viene explicando, el artículo 32 de la Ley 2069 de 2021 introduce el deber de las Entidades Estatales de incluir </w:t>
      </w:r>
      <w:r w:rsidRPr="003362CD">
        <w:rPr>
          <w:rStyle w:val="normaltextrun"/>
          <w:rFonts w:ascii="Arial" w:hAnsi="Arial" w:cs="Arial"/>
          <w:sz w:val="22"/>
          <w:szCs w:val="22"/>
          <w:shd w:val="clear" w:color="auto" w:fill="FFFFFF"/>
          <w:lang w:val="es-ES"/>
        </w:rPr>
        <w:t xml:space="preserve">en los procesos de licitación pública, selección abreviada de menor cuantía y concurso de méritos, así como en los procesos competitivos que adelanten las entidades estatales </w:t>
      </w:r>
      <w:r>
        <w:rPr>
          <w:rStyle w:val="normaltextrun"/>
          <w:rFonts w:ascii="Arial" w:hAnsi="Arial" w:cs="Arial"/>
          <w:sz w:val="22"/>
          <w:szCs w:val="22"/>
          <w:shd w:val="clear" w:color="auto" w:fill="FFFFFF"/>
          <w:lang w:val="es-ES"/>
        </w:rPr>
        <w:t>exceptuadas de</w:t>
      </w:r>
      <w:r w:rsidRPr="003362CD">
        <w:rPr>
          <w:rStyle w:val="normaltextrun"/>
          <w:rFonts w:ascii="Arial" w:hAnsi="Arial" w:cs="Arial"/>
          <w:sz w:val="22"/>
          <w:szCs w:val="22"/>
          <w:shd w:val="clear" w:color="auto" w:fill="FFFFFF"/>
          <w:lang w:val="es-ES"/>
        </w:rPr>
        <w:t xml:space="preserve"> </w:t>
      </w:r>
      <w:r>
        <w:rPr>
          <w:rStyle w:val="normaltextrun"/>
          <w:rFonts w:ascii="Arial" w:hAnsi="Arial" w:cs="Arial"/>
          <w:sz w:val="22"/>
          <w:szCs w:val="22"/>
          <w:shd w:val="clear" w:color="auto" w:fill="FFFFFF"/>
          <w:lang w:val="es-ES"/>
        </w:rPr>
        <w:t xml:space="preserve">aplicar el </w:t>
      </w:r>
      <w:r w:rsidRPr="003362CD">
        <w:rPr>
          <w:rStyle w:val="normaltextrun"/>
          <w:rFonts w:ascii="Arial" w:hAnsi="Arial" w:cs="Arial"/>
          <w:sz w:val="22"/>
          <w:szCs w:val="22"/>
          <w:shd w:val="clear" w:color="auto" w:fill="FFFFFF"/>
          <w:lang w:val="es-ES"/>
        </w:rPr>
        <w:t>Estatuto General de Contratación de la Administración Pública, requisitos diferenciales y puntajes adicionales para emprendimientos y empresas de mujeres. Esto a título de medidas de acción afirmativa para incentivar la participación de emprendimientos y empresas de mujeres en el sistema de compras públicas, sin perjuicio de los compromisos adquiridos por Colombia en los acuerdos comerciales en vigor.</w:t>
      </w:r>
      <w:r w:rsidRPr="003362CD">
        <w:rPr>
          <w:rStyle w:val="eop"/>
          <w:rFonts w:ascii="Arial" w:hAnsi="Arial" w:cs="Arial"/>
          <w:sz w:val="22"/>
          <w:szCs w:val="22"/>
          <w:shd w:val="clear" w:color="auto" w:fill="FFFFFF"/>
        </w:rPr>
        <w:t> </w:t>
      </w:r>
    </w:p>
    <w:p w:rsidRPr="003362CD" w:rsidR="009C6278" w:rsidP="009C6278" w:rsidRDefault="009C6278" w14:paraId="0E3A2ED7" w14:textId="42762A1E">
      <w:pPr>
        <w:spacing w:line="276" w:lineRule="auto"/>
        <w:jc w:val="both"/>
        <w:rPr>
          <w:rFonts w:ascii="Arial" w:hAnsi="Arial" w:eastAsia="Calibri" w:cs="Arial"/>
          <w:sz w:val="22"/>
          <w:szCs w:val="22"/>
          <w:lang w:val="es-ES_tradnl"/>
        </w:rPr>
      </w:pPr>
      <w:r w:rsidRPr="003362CD">
        <w:rPr>
          <w:rFonts w:ascii="Arial" w:hAnsi="Arial" w:eastAsia="Calibri" w:cs="Arial"/>
          <w:sz w:val="22"/>
          <w:szCs w:val="22"/>
          <w:lang w:val="es-ES_tradnl"/>
        </w:rPr>
        <w:tab/>
      </w:r>
      <w:r w:rsidRPr="003362CD">
        <w:rPr>
          <w:rFonts w:ascii="Arial" w:hAnsi="Arial" w:eastAsia="Calibri" w:cs="Arial"/>
          <w:sz w:val="22"/>
          <w:szCs w:val="22"/>
          <w:lang w:val="es-ES_tradnl"/>
        </w:rPr>
        <w:t xml:space="preserve">En desarrollo de lo dispuesto en el parágrafo del artículo 32 de la Ley 2069 de 2020, el Decreto 1860 de 2021 adicionó el artículo 2.2.1.2.4.2.14 al Decreto 1082 de 2015. Esta norma establece las condiciones y requisitos en atención a los cuales se definen los </w:t>
      </w:r>
      <w:r>
        <w:rPr>
          <w:rFonts w:ascii="Arial" w:hAnsi="Arial" w:eastAsia="Calibri" w:cs="Arial"/>
          <w:sz w:val="22"/>
          <w:szCs w:val="22"/>
          <w:lang w:val="es-ES_tradnl"/>
        </w:rPr>
        <w:t xml:space="preserve">requisitos de las </w:t>
      </w:r>
      <w:r w:rsidRPr="003362CD">
        <w:rPr>
          <w:rFonts w:ascii="Arial" w:hAnsi="Arial" w:eastAsia="Calibri" w:cs="Arial"/>
          <w:sz w:val="22"/>
          <w:szCs w:val="22"/>
          <w:lang w:val="es-ES_tradnl"/>
        </w:rPr>
        <w:t>empresas y emprendimientos de mujeres, a las que les aplican los criterios diferenciales. Para estos efectos, cada uno de los cuatro numerales de la norma establecen unas condiciones alternativas que definen los emprendimientos y empresas</w:t>
      </w:r>
      <w:r>
        <w:rPr>
          <w:rFonts w:ascii="Arial" w:hAnsi="Arial" w:eastAsia="Calibri" w:cs="Arial"/>
          <w:sz w:val="22"/>
          <w:szCs w:val="22"/>
          <w:lang w:val="es-ES_tradnl"/>
        </w:rPr>
        <w:t xml:space="preserve"> de mujeres</w:t>
      </w:r>
      <w:r w:rsidRPr="003362CD">
        <w:rPr>
          <w:rFonts w:ascii="Arial" w:hAnsi="Arial" w:eastAsia="Calibri" w:cs="Arial"/>
          <w:sz w:val="22"/>
          <w:szCs w:val="22"/>
          <w:lang w:val="es-ES_tradnl"/>
        </w:rPr>
        <w:t>, a efectos de aplica</w:t>
      </w:r>
      <w:r>
        <w:rPr>
          <w:rFonts w:ascii="Arial" w:hAnsi="Arial" w:eastAsia="Calibri" w:cs="Arial"/>
          <w:sz w:val="22"/>
          <w:szCs w:val="22"/>
          <w:lang w:val="es-ES_tradnl"/>
        </w:rPr>
        <w:t>r</w:t>
      </w:r>
      <w:r w:rsidRPr="003362CD">
        <w:rPr>
          <w:rFonts w:ascii="Arial" w:hAnsi="Arial" w:eastAsia="Calibri" w:cs="Arial"/>
          <w:sz w:val="22"/>
          <w:szCs w:val="22"/>
          <w:lang w:val="es-ES_tradnl"/>
        </w:rPr>
        <w:t xml:space="preserve"> los criterios diferenciales</w:t>
      </w:r>
      <w:r>
        <w:rPr>
          <w:rFonts w:ascii="Arial" w:hAnsi="Arial" w:eastAsia="Calibri" w:cs="Arial"/>
          <w:sz w:val="22"/>
          <w:szCs w:val="22"/>
          <w:lang w:val="es-ES_tradnl"/>
        </w:rPr>
        <w:t xml:space="preserve">. </w:t>
      </w:r>
      <w:r w:rsidR="005577D3">
        <w:rPr>
          <w:rFonts w:ascii="Arial" w:hAnsi="Arial" w:eastAsia="Calibri" w:cs="Arial"/>
          <w:sz w:val="22"/>
          <w:szCs w:val="22"/>
          <w:lang w:val="es-ES_tradnl"/>
        </w:rPr>
        <w:t xml:space="preserve">Su </w:t>
      </w:r>
      <w:r w:rsidR="00EF27EF">
        <w:rPr>
          <w:rFonts w:ascii="Arial" w:hAnsi="Arial" w:eastAsia="Calibri" w:cs="Arial"/>
          <w:sz w:val="22"/>
          <w:szCs w:val="22"/>
          <w:lang w:val="es-ES_tradnl"/>
        </w:rPr>
        <w:t xml:space="preserve">texto es el siguiente: </w:t>
      </w:r>
    </w:p>
    <w:p w:rsidRPr="003362CD" w:rsidR="009C6278" w:rsidP="001A6E4A" w:rsidRDefault="009C6278" w14:paraId="6923A0FB" w14:textId="77777777">
      <w:pPr>
        <w:jc w:val="both"/>
        <w:rPr>
          <w:rFonts w:ascii="Arial" w:hAnsi="Arial" w:eastAsia="Calibri" w:cs="Arial"/>
          <w:sz w:val="22"/>
          <w:szCs w:val="22"/>
          <w:lang w:val="es-ES_tradnl"/>
        </w:rPr>
      </w:pPr>
    </w:p>
    <w:p w:rsidRPr="00571F96" w:rsidR="009C6278" w:rsidP="003939F6" w:rsidRDefault="009C6278" w14:paraId="16E3A3D7" w14:textId="77777777">
      <w:pPr>
        <w:shd w:val="clear" w:color="auto" w:fill="FFFFFF"/>
        <w:ind w:left="708" w:right="709"/>
        <w:jc w:val="both"/>
        <w:textAlignment w:val="baseline"/>
        <w:rPr>
          <w:rFonts w:ascii="Arial" w:hAnsi="Arial" w:cs="Arial"/>
          <w:sz w:val="21"/>
          <w:szCs w:val="21"/>
          <w:lang w:eastAsia="es-CO"/>
        </w:rPr>
      </w:pPr>
      <w:r w:rsidRPr="00571F96">
        <w:rPr>
          <w:rFonts w:ascii="Arial" w:hAnsi="Arial" w:cs="Arial"/>
          <w:sz w:val="21"/>
          <w:szCs w:val="21"/>
          <w:lang w:eastAsia="es-CO"/>
        </w:rPr>
        <w:t>«Artículo 2.2.1.2.4.2.14. Definición de emprendimientos y empresas de mujeres. Con el propósito de adoptar medidas afirmativas que incentiven la participación de las mujeres en el sistema de compras públicas, se entenderán como emprendimientos y empresas de mujeres aquellas que cumplan con alguna de las siguientes condiciones: </w:t>
      </w:r>
    </w:p>
    <w:p w:rsidRPr="00571F96" w:rsidR="009C6278" w:rsidP="003939F6" w:rsidRDefault="009C6278" w14:paraId="36111CBD" w14:textId="77777777">
      <w:pPr>
        <w:shd w:val="clear" w:color="auto" w:fill="FFFFFF"/>
        <w:ind w:left="709" w:right="709"/>
        <w:jc w:val="both"/>
        <w:textAlignment w:val="baseline"/>
        <w:rPr>
          <w:rFonts w:ascii="Arial" w:hAnsi="Arial" w:cs="Arial"/>
          <w:sz w:val="21"/>
          <w:szCs w:val="21"/>
          <w:lang w:eastAsia="es-CO"/>
        </w:rPr>
      </w:pPr>
      <w:r w:rsidRPr="00571F96">
        <w:rPr>
          <w:rFonts w:ascii="Arial" w:hAnsi="Arial" w:cs="Arial"/>
          <w:sz w:val="21"/>
          <w:szCs w:val="21"/>
          <w:lang w:eastAsia="es-CO"/>
        </w:rPr>
        <w:t>  </w:t>
      </w:r>
    </w:p>
    <w:p w:rsidRPr="009C0B91" w:rsidR="009C6278" w:rsidP="001A6E4A" w:rsidRDefault="009C6278" w14:paraId="498849E3" w14:textId="77777777">
      <w:pPr>
        <w:pStyle w:val="Prrafodelista"/>
        <w:numPr>
          <w:ilvl w:val="0"/>
          <w:numId w:val="43"/>
        </w:numPr>
        <w:ind w:left="709" w:right="709" w:firstLine="65"/>
        <w:jc w:val="both"/>
        <w:rPr>
          <w:rFonts w:ascii="Arial" w:hAnsi="Arial" w:eastAsia="Times New Roman" w:cs="Arial"/>
          <w:color w:val="000000" w:themeColor="text1"/>
          <w:sz w:val="21"/>
          <w:szCs w:val="21"/>
          <w:lang w:eastAsia="es-MX"/>
        </w:rPr>
      </w:pPr>
      <w:r w:rsidRPr="009C0B91">
        <w:rPr>
          <w:rFonts w:ascii="Arial" w:hAnsi="Arial" w:eastAsia="Times New Roman" w:cs="Arial"/>
          <w:color w:val="000000" w:themeColor="text1"/>
          <w:sz w:val="21"/>
          <w:szCs w:val="21"/>
          <w:lang w:eastAsia="es-MX"/>
        </w:rPr>
        <w:t>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rsidRPr="009C0B91" w:rsidR="009C6278" w:rsidP="001A6E4A" w:rsidRDefault="009C6278" w14:paraId="0C877165" w14:textId="77777777">
      <w:pPr>
        <w:pStyle w:val="Prrafodelista"/>
        <w:ind w:left="709" w:right="709"/>
        <w:jc w:val="both"/>
        <w:rPr>
          <w:rFonts w:ascii="Arial" w:hAnsi="Arial" w:eastAsia="Times New Roman" w:cs="Arial"/>
          <w:color w:val="000000" w:themeColor="text1"/>
          <w:sz w:val="21"/>
          <w:szCs w:val="21"/>
          <w:lang w:eastAsia="es-MX"/>
        </w:rPr>
      </w:pPr>
    </w:p>
    <w:p w:rsidRPr="009C0B91" w:rsidR="009C6278" w:rsidP="001A6E4A" w:rsidRDefault="009C6278" w14:paraId="4315E0B2" w14:textId="77777777">
      <w:pPr>
        <w:pStyle w:val="Prrafodelista"/>
        <w:numPr>
          <w:ilvl w:val="0"/>
          <w:numId w:val="43"/>
        </w:numPr>
        <w:ind w:left="709" w:right="709" w:firstLine="65"/>
        <w:jc w:val="both"/>
        <w:rPr>
          <w:rFonts w:ascii="Arial" w:hAnsi="Arial" w:eastAsia="Times New Roman" w:cs="Arial"/>
          <w:color w:val="000000" w:themeColor="text1"/>
          <w:sz w:val="21"/>
          <w:szCs w:val="21"/>
          <w:lang w:eastAsia="es-MX"/>
        </w:rPr>
      </w:pPr>
      <w:r w:rsidRPr="009C0B91">
        <w:rPr>
          <w:rFonts w:ascii="Arial" w:hAnsi="Arial" w:eastAsia="Times New Roman" w:cs="Arial"/>
          <w:color w:val="000000" w:themeColor="text1"/>
          <w:sz w:val="21"/>
          <w:szCs w:val="21"/>
          <w:lang w:eastAsia="es-MX"/>
        </w:rPr>
        <w:t>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w:t>
      </w:r>
    </w:p>
    <w:p w:rsidRPr="009C0B91" w:rsidR="009C6278" w:rsidP="001A6E4A" w:rsidRDefault="009C6278" w14:paraId="3959DE90" w14:textId="77777777">
      <w:pPr>
        <w:ind w:left="709" w:right="709"/>
        <w:jc w:val="both"/>
        <w:rPr>
          <w:rFonts w:ascii="Arial" w:hAnsi="Arial" w:cs="Arial"/>
          <w:color w:val="000000" w:themeColor="text1"/>
          <w:sz w:val="21"/>
          <w:szCs w:val="21"/>
        </w:rPr>
      </w:pPr>
    </w:p>
    <w:p w:rsidR="009C6278" w:rsidP="001A6E4A" w:rsidRDefault="009C6278" w14:paraId="47BC023E" w14:textId="77777777">
      <w:pPr>
        <w:ind w:left="709" w:right="709"/>
        <w:jc w:val="both"/>
        <w:rPr>
          <w:rFonts w:ascii="Arial" w:hAnsi="Arial" w:cs="Arial"/>
          <w:color w:val="000000" w:themeColor="text1"/>
          <w:sz w:val="21"/>
          <w:szCs w:val="21"/>
        </w:rPr>
      </w:pPr>
      <w:r w:rsidRPr="009C0B91">
        <w:rPr>
          <w:rFonts w:ascii="Arial" w:hAnsi="Arial" w:cs="Arial"/>
          <w:color w:val="000000" w:themeColor="text1"/>
          <w:sz w:val="21"/>
          <w:szCs w:val="21"/>
        </w:rPr>
        <w:t>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rsidRPr="009C0B91" w:rsidR="009C6278" w:rsidP="003939F6" w:rsidRDefault="009C6278" w14:paraId="12AEECC0" w14:textId="77777777">
      <w:pPr>
        <w:ind w:left="709" w:right="709"/>
        <w:jc w:val="both"/>
        <w:rPr>
          <w:rFonts w:ascii="Arial" w:hAnsi="Arial" w:cs="Arial"/>
          <w:color w:val="000000" w:themeColor="text1"/>
          <w:sz w:val="21"/>
          <w:szCs w:val="21"/>
        </w:rPr>
      </w:pPr>
    </w:p>
    <w:p w:rsidR="009C6278" w:rsidP="001A6E4A" w:rsidRDefault="009C6278" w14:paraId="5BBD4EA0" w14:textId="77777777">
      <w:pPr>
        <w:ind w:left="709" w:right="709"/>
        <w:jc w:val="both"/>
        <w:rPr>
          <w:rFonts w:ascii="Arial" w:hAnsi="Arial" w:cs="Arial"/>
          <w:color w:val="000000" w:themeColor="text1"/>
          <w:sz w:val="21"/>
          <w:szCs w:val="21"/>
        </w:rPr>
      </w:pPr>
      <w:r w:rsidRPr="009C0B91">
        <w:rPr>
          <w:rFonts w:ascii="Arial" w:hAnsi="Arial" w:cs="Arial"/>
          <w:color w:val="000000" w:themeColor="text1"/>
          <w:sz w:val="21"/>
          <w:szCs w:val="21"/>
        </w:rPr>
        <w:t>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del proponente, el número de mujeres y el tiempo de vinculación.</w:t>
      </w:r>
    </w:p>
    <w:p w:rsidRPr="009C0B91" w:rsidR="009C6278" w:rsidP="003939F6" w:rsidRDefault="009C6278" w14:paraId="087E37E8" w14:textId="77777777">
      <w:pPr>
        <w:ind w:left="709" w:right="709"/>
        <w:jc w:val="both"/>
        <w:rPr>
          <w:rFonts w:ascii="Arial" w:hAnsi="Arial" w:cs="Arial"/>
          <w:color w:val="000000" w:themeColor="text1"/>
          <w:sz w:val="21"/>
          <w:szCs w:val="21"/>
        </w:rPr>
      </w:pPr>
    </w:p>
    <w:p w:rsidR="009C6278" w:rsidP="001A6E4A" w:rsidRDefault="009C6278" w14:paraId="6D336258" w14:textId="301F1F9C">
      <w:pPr>
        <w:ind w:left="709" w:right="709"/>
        <w:jc w:val="both"/>
        <w:rPr>
          <w:rFonts w:ascii="Arial" w:hAnsi="Arial" w:cs="Arial"/>
          <w:color w:val="000000" w:themeColor="text1"/>
          <w:sz w:val="21"/>
          <w:szCs w:val="21"/>
        </w:rPr>
      </w:pPr>
      <w:r w:rsidRPr="009C0B91">
        <w:rPr>
          <w:rFonts w:ascii="Arial" w:hAnsi="Arial" w:cs="Arial"/>
          <w:color w:val="000000" w:themeColor="text1"/>
          <w:sz w:val="21"/>
          <w:szCs w:val="21"/>
        </w:rPr>
        <w:t>La certificación deberá relacionar el nombre completo y el número de documento de identidad de cada una de las personas que conforman el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w:t>
      </w:r>
    </w:p>
    <w:p w:rsidRPr="009C0B91" w:rsidR="005577D3" w:rsidP="001A6E4A" w:rsidRDefault="005577D3" w14:paraId="350C6922" w14:textId="77777777">
      <w:pPr>
        <w:ind w:left="709" w:right="709"/>
        <w:jc w:val="both"/>
        <w:rPr>
          <w:rFonts w:ascii="Arial" w:hAnsi="Arial" w:cs="Arial"/>
          <w:color w:val="000000" w:themeColor="text1"/>
          <w:sz w:val="21"/>
          <w:szCs w:val="21"/>
        </w:rPr>
      </w:pPr>
    </w:p>
    <w:p w:rsidRPr="009C0B91" w:rsidR="009C6278" w:rsidP="001A6E4A" w:rsidRDefault="009C6278" w14:paraId="6750CA78" w14:textId="77777777">
      <w:pPr>
        <w:pStyle w:val="Prrafodelista"/>
        <w:numPr>
          <w:ilvl w:val="0"/>
          <w:numId w:val="43"/>
        </w:numPr>
        <w:ind w:left="709" w:right="709" w:firstLine="65"/>
        <w:jc w:val="both"/>
        <w:rPr>
          <w:rFonts w:ascii="Arial" w:hAnsi="Arial" w:eastAsia="Times New Roman" w:cs="Arial"/>
          <w:color w:val="000000" w:themeColor="text1"/>
          <w:sz w:val="21"/>
          <w:szCs w:val="21"/>
          <w:lang w:eastAsia="es-MX"/>
        </w:rPr>
      </w:pPr>
      <w:r w:rsidRPr="009C0B91">
        <w:rPr>
          <w:rFonts w:ascii="Arial" w:hAnsi="Arial" w:eastAsia="Times New Roman" w:cs="Arial"/>
          <w:color w:val="000000" w:themeColor="text1"/>
          <w:sz w:val="21"/>
          <w:szCs w:val="21"/>
          <w:lang w:eastAsia="es-MX"/>
        </w:rPr>
        <w:t>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w:t>
      </w:r>
    </w:p>
    <w:p w:rsidRPr="009C0B91" w:rsidR="009C6278" w:rsidP="001A6E4A" w:rsidRDefault="009C6278" w14:paraId="21744B37" w14:textId="77777777">
      <w:pPr>
        <w:pStyle w:val="Prrafodelista"/>
        <w:ind w:left="709" w:right="709"/>
        <w:jc w:val="both"/>
        <w:rPr>
          <w:rFonts w:ascii="Arial" w:hAnsi="Arial" w:eastAsia="Times New Roman" w:cs="Arial"/>
          <w:color w:val="000000" w:themeColor="text1"/>
          <w:sz w:val="21"/>
          <w:szCs w:val="21"/>
          <w:lang w:eastAsia="es-MX"/>
        </w:rPr>
      </w:pPr>
    </w:p>
    <w:p w:rsidRPr="009C0B91" w:rsidR="009C6278" w:rsidP="001A6E4A" w:rsidRDefault="009C6278" w14:paraId="05764CDC" w14:textId="77777777">
      <w:pPr>
        <w:pStyle w:val="Prrafodelista"/>
        <w:numPr>
          <w:ilvl w:val="0"/>
          <w:numId w:val="43"/>
        </w:numPr>
        <w:ind w:left="709" w:right="709" w:firstLine="65"/>
        <w:jc w:val="both"/>
        <w:rPr>
          <w:rFonts w:ascii="Arial" w:hAnsi="Arial" w:eastAsia="Times New Roman" w:cs="Arial"/>
          <w:color w:val="000000" w:themeColor="text1"/>
          <w:sz w:val="21"/>
          <w:szCs w:val="21"/>
          <w:lang w:eastAsia="es-MX"/>
        </w:rPr>
      </w:pPr>
      <w:r w:rsidRPr="009C0B91">
        <w:rPr>
          <w:rFonts w:ascii="Arial" w:hAnsi="Arial" w:eastAsia="Times New Roman" w:cs="Arial"/>
          <w:color w:val="000000" w:themeColor="text1"/>
          <w:sz w:val="21"/>
          <w:szCs w:val="21"/>
          <w:lang w:eastAsia="es-MX"/>
        </w:rPr>
        <w:t>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w:t>
      </w:r>
    </w:p>
    <w:p w:rsidRPr="009C0B91" w:rsidR="009C6278" w:rsidP="003939F6" w:rsidRDefault="009C6278" w14:paraId="266F392A" w14:textId="77777777">
      <w:pPr>
        <w:shd w:val="clear" w:color="auto" w:fill="FFFFFF"/>
        <w:ind w:left="709" w:right="709"/>
        <w:jc w:val="both"/>
        <w:textAlignment w:val="baseline"/>
        <w:rPr>
          <w:rFonts w:ascii="Arial" w:hAnsi="Arial" w:cs="Arial"/>
          <w:color w:val="000000" w:themeColor="text1"/>
          <w:sz w:val="21"/>
          <w:szCs w:val="21"/>
          <w:lang w:eastAsia="es-CO"/>
        </w:rPr>
      </w:pPr>
    </w:p>
    <w:p w:rsidRPr="00307EB9" w:rsidR="009C6278" w:rsidP="003939F6" w:rsidRDefault="009C6278" w14:paraId="13F0BE4D" w14:textId="77777777">
      <w:pPr>
        <w:shd w:val="clear" w:color="auto" w:fill="FFFFFF"/>
        <w:ind w:left="709" w:right="709"/>
        <w:jc w:val="both"/>
        <w:textAlignment w:val="baseline"/>
        <w:rPr>
          <w:rFonts w:ascii="Arial" w:hAnsi="Arial" w:cs="Arial"/>
          <w:sz w:val="20"/>
          <w:szCs w:val="20"/>
          <w:lang w:eastAsia="es-CO"/>
        </w:rPr>
      </w:pPr>
      <w:r w:rsidRPr="00571F96">
        <w:rPr>
          <w:rFonts w:ascii="Arial" w:hAnsi="Arial" w:cs="Arial"/>
          <w:sz w:val="21"/>
          <w:szCs w:val="21"/>
          <w:lang w:eastAsia="es-CO"/>
        </w:rPr>
        <w:t>Parágrafo. Respecto a los incentivos contractuales para los emprendimientos y empresas de mujeres, las certificaciones de trata el presente artículo deben expedirse bajo la gravedad de juramento con una fecha de máximo treinta (30) días calendario anteriores a la prevista para el cierre del procedimiento de selección»</w:t>
      </w:r>
      <w:r>
        <w:rPr>
          <w:rFonts w:ascii="Arial" w:hAnsi="Arial" w:cs="Arial"/>
          <w:sz w:val="21"/>
          <w:szCs w:val="21"/>
          <w:lang w:eastAsia="es-CO"/>
        </w:rPr>
        <w:t>.</w:t>
      </w:r>
    </w:p>
    <w:p w:rsidRPr="003362CD" w:rsidR="009C6278" w:rsidP="009C6278" w:rsidRDefault="009C6278" w14:paraId="15C152BD" w14:textId="77777777">
      <w:pPr>
        <w:spacing w:line="276" w:lineRule="auto"/>
        <w:jc w:val="both"/>
        <w:rPr>
          <w:rFonts w:ascii="Arial" w:hAnsi="Arial" w:eastAsia="Calibri" w:cs="Arial"/>
          <w:sz w:val="22"/>
          <w:szCs w:val="22"/>
          <w:lang w:val="es-ES_tradnl"/>
        </w:rPr>
      </w:pPr>
    </w:p>
    <w:p w:rsidRPr="00D369A8" w:rsidR="000E1E37" w:rsidP="57F95CD5" w:rsidRDefault="009C6278" w14:paraId="6E893250" w14:textId="07B95AD5" w14:noSpellErr="1">
      <w:pPr>
        <w:spacing w:after="120" w:line="276" w:lineRule="auto"/>
        <w:jc w:val="both"/>
        <w:rPr>
          <w:rFonts w:ascii="Arial" w:hAnsi="Arial" w:eastAsia="Calibri" w:cs="Arial"/>
          <w:sz w:val="22"/>
          <w:szCs w:val="22"/>
          <w:lang w:val="es-ES"/>
        </w:rPr>
      </w:pPr>
      <w:r w:rsidRPr="003362CD">
        <w:rPr>
          <w:rFonts w:ascii="Arial" w:hAnsi="Arial" w:eastAsia="Calibri" w:cs="Arial"/>
          <w:sz w:val="22"/>
          <w:szCs w:val="22"/>
          <w:lang w:val="es-ES_tradnl"/>
        </w:rPr>
        <w:tab/>
      </w:r>
      <w:r w:rsidRPr="57F95CD5" w:rsidR="002C118E">
        <w:rPr>
          <w:rFonts w:ascii="Arial" w:hAnsi="Arial" w:eastAsia="Calibri" w:cs="Arial"/>
          <w:sz w:val="22"/>
          <w:szCs w:val="22"/>
          <w:lang w:val="es-ES"/>
        </w:rPr>
        <w:t>Según</w:t>
      </w:r>
      <w:r w:rsidRPr="57F95CD5" w:rsidR="009C6278">
        <w:rPr>
          <w:rFonts w:ascii="Arial" w:hAnsi="Arial" w:eastAsia="Calibri" w:cs="Arial"/>
          <w:sz w:val="22"/>
          <w:szCs w:val="22"/>
          <w:lang w:val="es-ES"/>
        </w:rPr>
        <w:t xml:space="preserve"> lo establecido en </w:t>
      </w:r>
      <w:r w:rsidRPr="57F95CD5" w:rsidR="0089532E">
        <w:rPr>
          <w:rFonts w:ascii="Arial" w:hAnsi="Arial" w:eastAsia="Calibri" w:cs="Arial"/>
          <w:sz w:val="22"/>
          <w:szCs w:val="22"/>
          <w:lang w:val="es-ES"/>
        </w:rPr>
        <w:t>este artículo</w:t>
      </w:r>
      <w:r w:rsidRPr="57F95CD5" w:rsidR="009C6278">
        <w:rPr>
          <w:rFonts w:ascii="Arial" w:hAnsi="Arial" w:eastAsia="Calibri" w:cs="Arial"/>
          <w:sz w:val="22"/>
          <w:szCs w:val="22"/>
          <w:lang w:val="es-ES"/>
        </w:rPr>
        <w:t>,</w:t>
      </w:r>
      <w:r w:rsidRPr="57F95CD5" w:rsidR="0089532E">
        <w:rPr>
          <w:rFonts w:ascii="Arial" w:hAnsi="Arial" w:eastAsia="Calibri" w:cs="Arial"/>
          <w:sz w:val="22"/>
          <w:szCs w:val="22"/>
          <w:lang w:val="es-ES"/>
        </w:rPr>
        <w:t xml:space="preserve"> </w:t>
      </w:r>
      <w:r w:rsidRPr="57F95CD5" w:rsidR="00404D2A">
        <w:rPr>
          <w:rFonts w:ascii="Arial" w:hAnsi="Arial" w:eastAsia="Calibri" w:cs="Arial"/>
          <w:sz w:val="22"/>
          <w:szCs w:val="22"/>
          <w:lang w:val="es-ES"/>
        </w:rPr>
        <w:t>s</w:t>
      </w:r>
      <w:r w:rsidRPr="57F95CD5" w:rsidR="00843D39">
        <w:rPr>
          <w:rFonts w:ascii="Arial" w:hAnsi="Arial" w:eastAsia="Calibri" w:cs="Arial"/>
          <w:sz w:val="22"/>
          <w:szCs w:val="22"/>
          <w:lang w:val="es-ES"/>
        </w:rPr>
        <w:t>on</w:t>
      </w:r>
      <w:r w:rsidRPr="57F95CD5" w:rsidR="00404D2A">
        <w:rPr>
          <w:rFonts w:ascii="Arial" w:hAnsi="Arial" w:eastAsia="Calibri" w:cs="Arial"/>
          <w:sz w:val="22"/>
          <w:szCs w:val="22"/>
          <w:lang w:val="es-ES"/>
        </w:rPr>
        <w:t xml:space="preserve"> </w:t>
      </w:r>
      <w:r w:rsidRPr="57F95CD5" w:rsidR="0053394C">
        <w:rPr>
          <w:rFonts w:ascii="Arial" w:hAnsi="Arial" w:eastAsia="Calibri" w:cs="Arial"/>
          <w:sz w:val="22"/>
          <w:szCs w:val="22"/>
          <w:lang w:val="es-ES"/>
        </w:rPr>
        <w:t>considerados emprendimientos</w:t>
      </w:r>
      <w:r w:rsidRPr="57F95CD5" w:rsidR="009C6278">
        <w:rPr>
          <w:rFonts w:ascii="Arial" w:hAnsi="Arial" w:eastAsia="Calibri" w:cs="Arial"/>
          <w:sz w:val="22"/>
          <w:szCs w:val="22"/>
          <w:lang w:val="es-ES"/>
        </w:rPr>
        <w:t xml:space="preserve"> o empresa</w:t>
      </w:r>
      <w:r w:rsidRPr="57F95CD5" w:rsidR="00843D39">
        <w:rPr>
          <w:rFonts w:ascii="Arial" w:hAnsi="Arial" w:eastAsia="Calibri" w:cs="Arial"/>
          <w:sz w:val="22"/>
          <w:szCs w:val="22"/>
          <w:lang w:val="es-ES"/>
        </w:rPr>
        <w:t>s</w:t>
      </w:r>
      <w:r w:rsidRPr="57F95CD5" w:rsidR="009C6278">
        <w:rPr>
          <w:rFonts w:ascii="Arial" w:hAnsi="Arial" w:eastAsia="Calibri" w:cs="Arial"/>
          <w:sz w:val="22"/>
          <w:szCs w:val="22"/>
          <w:lang w:val="es-ES"/>
        </w:rPr>
        <w:t xml:space="preserve"> de mujeres</w:t>
      </w:r>
      <w:r w:rsidRPr="57F95CD5" w:rsidR="00843D39">
        <w:rPr>
          <w:rFonts w:ascii="Arial" w:hAnsi="Arial" w:eastAsia="Calibri" w:cs="Arial"/>
          <w:sz w:val="22"/>
          <w:szCs w:val="22"/>
          <w:lang w:val="es-ES"/>
        </w:rPr>
        <w:t xml:space="preserve"> aquellas </w:t>
      </w:r>
      <w:r w:rsidRPr="57F95CD5" w:rsidR="00404D2A">
        <w:rPr>
          <w:rFonts w:ascii="Arial" w:hAnsi="Arial" w:eastAsia="Calibri" w:cs="Arial"/>
          <w:sz w:val="22"/>
          <w:szCs w:val="22"/>
          <w:lang w:val="es-ES"/>
        </w:rPr>
        <w:t>que</w:t>
      </w:r>
      <w:r w:rsidRPr="57F95CD5" w:rsidR="00E90DC0">
        <w:rPr>
          <w:rFonts w:ascii="Arial" w:hAnsi="Arial" w:eastAsia="Calibri" w:cs="Arial"/>
          <w:sz w:val="22"/>
          <w:szCs w:val="22"/>
          <w:lang w:val="es-ES"/>
        </w:rPr>
        <w:t xml:space="preserve"> se ubiquen en alguno de </w:t>
      </w:r>
      <w:r w:rsidRPr="57F95CD5" w:rsidR="0037101A">
        <w:rPr>
          <w:rFonts w:ascii="Arial" w:hAnsi="Arial" w:eastAsia="Calibri" w:cs="Arial"/>
          <w:sz w:val="22"/>
          <w:szCs w:val="22"/>
          <w:lang w:val="es-ES"/>
        </w:rPr>
        <w:t>los supuestos descritos en los cuatro numerales</w:t>
      </w:r>
      <w:r w:rsidRPr="57F95CD5" w:rsidR="009C6278">
        <w:rPr>
          <w:rFonts w:ascii="Arial" w:hAnsi="Arial" w:eastAsia="Calibri" w:cs="Arial"/>
          <w:sz w:val="22"/>
          <w:szCs w:val="22"/>
          <w:lang w:val="es-ES"/>
        </w:rPr>
        <w:t xml:space="preserve">. </w:t>
      </w:r>
      <w:r w:rsidRPr="57F95CD5" w:rsidR="00452603">
        <w:rPr>
          <w:rFonts w:ascii="Arial" w:hAnsi="Arial" w:eastAsia="Calibri" w:cs="Arial"/>
          <w:sz w:val="22"/>
          <w:szCs w:val="22"/>
          <w:lang w:val="es-ES"/>
        </w:rPr>
        <w:t xml:space="preserve">Nótese que la norma no establece limitaciones respecto de </w:t>
      </w:r>
      <w:r w:rsidRPr="57F95CD5" w:rsidR="00452603">
        <w:rPr>
          <w:rFonts w:ascii="Arial" w:hAnsi="Arial" w:eastAsia="Calibri" w:cs="Arial"/>
          <w:sz w:val="22"/>
          <w:szCs w:val="22"/>
          <w:lang w:val="es-ES"/>
        </w:rPr>
        <w:t xml:space="preserve">algún tipo de sujeto en particular, limitándose a </w:t>
      </w:r>
      <w:r w:rsidRPr="57F95CD5" w:rsidR="00C7672E">
        <w:rPr>
          <w:rFonts w:ascii="Arial" w:hAnsi="Arial" w:eastAsia="Calibri" w:cs="Arial"/>
          <w:sz w:val="22"/>
          <w:szCs w:val="22"/>
          <w:lang w:val="es-ES"/>
        </w:rPr>
        <w:t>establecer unos criterios</w:t>
      </w:r>
      <w:r w:rsidRPr="57F95CD5" w:rsidR="000E1E37">
        <w:rPr>
          <w:rFonts w:ascii="Arial" w:hAnsi="Arial" w:eastAsia="Calibri" w:cs="Arial"/>
          <w:sz w:val="22"/>
          <w:szCs w:val="22"/>
          <w:lang w:val="es-ES"/>
        </w:rPr>
        <w:t xml:space="preserve"> que son aplicables a personas naturales o jurídicas.</w:t>
      </w:r>
      <w:r w:rsidRPr="57F95CD5" w:rsidR="000E1E37">
        <w:rPr>
          <w:rFonts w:ascii="Arial" w:hAnsi="Arial" w:eastAsia="Calibri" w:cs="Arial"/>
          <w:sz w:val="22"/>
          <w:szCs w:val="22"/>
          <w:lang w:val="es-ES"/>
        </w:rPr>
        <w:t xml:space="preserve"> </w:t>
      </w:r>
      <w:r w:rsidRPr="57F95CD5" w:rsidR="0079565B">
        <w:rPr>
          <w:rFonts w:ascii="Arial" w:hAnsi="Arial" w:eastAsia="Calibri" w:cs="Arial"/>
          <w:sz w:val="22"/>
          <w:szCs w:val="22"/>
          <w:lang w:val="es-ES"/>
        </w:rPr>
        <w:t xml:space="preserve">En ese sentido, para establecer si </w:t>
      </w:r>
      <w:r w:rsidRPr="57F95CD5" w:rsidR="00AA706E">
        <w:rPr>
          <w:rFonts w:ascii="Arial" w:hAnsi="Arial" w:eastAsia="Calibri" w:cs="Arial"/>
          <w:sz w:val="22"/>
          <w:szCs w:val="22"/>
          <w:lang w:val="es-ES"/>
        </w:rPr>
        <w:t xml:space="preserve">a </w:t>
      </w:r>
      <w:r w:rsidRPr="57F95CD5" w:rsidR="0053394C">
        <w:rPr>
          <w:rFonts w:ascii="Arial" w:hAnsi="Arial" w:eastAsia="Calibri" w:cs="Arial"/>
          <w:sz w:val="22"/>
          <w:szCs w:val="22"/>
          <w:lang w:val="es-ES"/>
        </w:rPr>
        <w:t>un proponente</w:t>
      </w:r>
      <w:r w:rsidRPr="57F95CD5" w:rsidR="0079565B">
        <w:rPr>
          <w:rFonts w:ascii="Arial" w:hAnsi="Arial" w:eastAsia="Calibri" w:cs="Arial"/>
          <w:sz w:val="22"/>
          <w:szCs w:val="22"/>
          <w:lang w:val="es-ES"/>
        </w:rPr>
        <w:t xml:space="preserve"> </w:t>
      </w:r>
      <w:r w:rsidRPr="57F95CD5" w:rsidR="00F47D62">
        <w:rPr>
          <w:rFonts w:ascii="Arial" w:hAnsi="Arial" w:eastAsia="Calibri" w:cs="Arial"/>
          <w:sz w:val="22"/>
          <w:szCs w:val="22"/>
          <w:lang w:val="es-ES"/>
        </w:rPr>
        <w:t xml:space="preserve">le es aplicable la norma bajo </w:t>
      </w:r>
      <w:r w:rsidRPr="57F95CD5" w:rsidR="00F32D5E">
        <w:rPr>
          <w:rFonts w:ascii="Arial" w:hAnsi="Arial" w:eastAsia="Calibri" w:cs="Arial"/>
          <w:sz w:val="22"/>
          <w:szCs w:val="22"/>
          <w:lang w:val="es-ES"/>
        </w:rPr>
        <w:t>estudio</w:t>
      </w:r>
      <w:r w:rsidRPr="57F95CD5" w:rsidR="00F47D62">
        <w:rPr>
          <w:rFonts w:ascii="Arial" w:hAnsi="Arial" w:eastAsia="Calibri" w:cs="Arial"/>
          <w:sz w:val="22"/>
          <w:szCs w:val="22"/>
          <w:lang w:val="es-ES"/>
        </w:rPr>
        <w:t xml:space="preserve"> es necesario detenerse a </w:t>
      </w:r>
      <w:r w:rsidRPr="57F95CD5" w:rsidR="0035287A">
        <w:rPr>
          <w:rFonts w:ascii="Arial" w:hAnsi="Arial" w:eastAsia="Calibri" w:cs="Arial"/>
          <w:sz w:val="22"/>
          <w:szCs w:val="22"/>
          <w:lang w:val="es-ES"/>
        </w:rPr>
        <w:t xml:space="preserve">revisar si cumple con alguno de los numerales. </w:t>
      </w:r>
    </w:p>
    <w:p w:rsidRPr="00D369A8" w:rsidR="00E916A0" w:rsidP="00D369A8" w:rsidRDefault="002E5BAE" w14:paraId="429F2F54" w14:textId="07A4BAEA">
      <w:pPr>
        <w:spacing w:after="120" w:line="276" w:lineRule="auto"/>
        <w:jc w:val="both"/>
        <w:rPr>
          <w:rFonts w:ascii="Arial" w:hAnsi="Arial" w:cs="Arial"/>
          <w:color w:val="333333"/>
          <w:sz w:val="22"/>
          <w:szCs w:val="22"/>
          <w:shd w:val="clear" w:color="auto" w:fill="FFFFFF"/>
        </w:rPr>
      </w:pPr>
      <w:r w:rsidRPr="00D369A8">
        <w:rPr>
          <w:rFonts w:ascii="Arial" w:hAnsi="Arial" w:eastAsia="Calibri" w:cs="Arial"/>
          <w:sz w:val="22"/>
          <w:szCs w:val="22"/>
          <w:lang w:val="es-ES_tradnl"/>
        </w:rPr>
        <w:tab/>
      </w:r>
      <w:r w:rsidRPr="00D369A8" w:rsidR="00DD0991">
        <w:rPr>
          <w:rFonts w:ascii="Arial" w:hAnsi="Arial" w:eastAsia="Calibri" w:cs="Arial"/>
          <w:sz w:val="22"/>
          <w:szCs w:val="22"/>
          <w:lang w:val="es-ES_tradnl"/>
        </w:rPr>
        <w:t xml:space="preserve">Las señaladas definiciones </w:t>
      </w:r>
      <w:r w:rsidRPr="00D369A8" w:rsidR="004F3F74">
        <w:rPr>
          <w:rFonts w:ascii="Arial" w:hAnsi="Arial" w:eastAsia="Calibri" w:cs="Arial"/>
          <w:sz w:val="22"/>
          <w:szCs w:val="22"/>
          <w:lang w:val="es-ES_tradnl"/>
        </w:rPr>
        <w:t xml:space="preserve">son determinantes para la aplicación de los criterios diferenciales </w:t>
      </w:r>
      <w:r w:rsidRPr="00D369A8" w:rsidR="00574701">
        <w:rPr>
          <w:rFonts w:ascii="Arial" w:hAnsi="Arial" w:eastAsia="Calibri" w:cs="Arial"/>
          <w:sz w:val="22"/>
          <w:szCs w:val="22"/>
          <w:lang w:val="es-ES_tradnl"/>
        </w:rPr>
        <w:t>p</w:t>
      </w:r>
      <w:r w:rsidRPr="00D369A8" w:rsidR="004F3F74">
        <w:rPr>
          <w:rFonts w:ascii="Arial" w:hAnsi="Arial" w:eastAsia="Calibri" w:cs="Arial"/>
          <w:sz w:val="22"/>
          <w:szCs w:val="22"/>
          <w:lang w:val="es-ES_tradnl"/>
        </w:rPr>
        <w:t>ara emprendimientos y empresas de mujeres</w:t>
      </w:r>
      <w:r w:rsidRPr="00D369A8" w:rsidR="00574701">
        <w:rPr>
          <w:rFonts w:ascii="Arial" w:hAnsi="Arial" w:eastAsia="Calibri" w:cs="Arial"/>
          <w:sz w:val="22"/>
          <w:szCs w:val="22"/>
          <w:lang w:val="es-ES_tradnl"/>
        </w:rPr>
        <w:t xml:space="preserve"> que </w:t>
      </w:r>
      <w:r w:rsidRPr="00D369A8" w:rsidR="002D4292">
        <w:rPr>
          <w:rFonts w:ascii="Arial" w:hAnsi="Arial" w:eastAsia="Calibri" w:cs="Arial"/>
          <w:sz w:val="22"/>
          <w:szCs w:val="22"/>
          <w:lang w:val="es-ES_tradnl"/>
        </w:rPr>
        <w:t>deben</w:t>
      </w:r>
      <w:r w:rsidRPr="00D369A8" w:rsidR="004F3F74">
        <w:rPr>
          <w:rFonts w:ascii="Arial" w:hAnsi="Arial" w:eastAsia="Calibri" w:cs="Arial"/>
          <w:sz w:val="22"/>
          <w:szCs w:val="22"/>
          <w:lang w:val="es-ES_tradnl"/>
        </w:rPr>
        <w:t xml:space="preserve"> incluir</w:t>
      </w:r>
      <w:r w:rsidRPr="00D369A8" w:rsidR="002D4292">
        <w:rPr>
          <w:rFonts w:ascii="Arial" w:hAnsi="Arial" w:eastAsia="Calibri" w:cs="Arial"/>
          <w:sz w:val="22"/>
          <w:szCs w:val="22"/>
          <w:lang w:val="es-ES_tradnl"/>
        </w:rPr>
        <w:t xml:space="preserve"> </w:t>
      </w:r>
      <w:r w:rsidRPr="00D369A8" w:rsidR="004F3F74">
        <w:rPr>
          <w:rFonts w:ascii="Arial" w:hAnsi="Arial" w:eastAsia="Calibri" w:cs="Arial"/>
          <w:sz w:val="22"/>
          <w:szCs w:val="22"/>
          <w:lang w:val="es-ES_tradnl"/>
        </w:rPr>
        <w:t>las entidades</w:t>
      </w:r>
      <w:r w:rsidRPr="00D369A8" w:rsidR="002D4292">
        <w:rPr>
          <w:rFonts w:ascii="Arial" w:hAnsi="Arial" w:eastAsia="Calibri" w:cs="Arial"/>
          <w:sz w:val="22"/>
          <w:szCs w:val="22"/>
          <w:lang w:val="es-ES_tradnl"/>
        </w:rPr>
        <w:t xml:space="preserve"> estatales</w:t>
      </w:r>
      <w:r w:rsidRPr="00D369A8" w:rsidR="004F3F74">
        <w:rPr>
          <w:rFonts w:ascii="Arial" w:hAnsi="Arial" w:eastAsia="Calibri" w:cs="Arial"/>
          <w:sz w:val="22"/>
          <w:szCs w:val="22"/>
          <w:lang w:val="es-ES_tradnl"/>
        </w:rPr>
        <w:t xml:space="preserve"> en </w:t>
      </w:r>
      <w:r w:rsidRPr="00D369A8" w:rsidR="00392A0D">
        <w:rPr>
          <w:rFonts w:ascii="Arial" w:hAnsi="Arial" w:eastAsia="Calibri" w:cs="Arial"/>
          <w:sz w:val="22"/>
          <w:szCs w:val="22"/>
          <w:lang w:val="es-ES_tradnl"/>
        </w:rPr>
        <w:t>los procesos</w:t>
      </w:r>
      <w:r w:rsidRPr="00D369A8" w:rsidR="00516880">
        <w:rPr>
          <w:rFonts w:ascii="Arial" w:hAnsi="Arial" w:eastAsia="Calibri" w:cs="Arial"/>
          <w:sz w:val="22"/>
          <w:szCs w:val="22"/>
          <w:lang w:val="es-ES_tradnl"/>
        </w:rPr>
        <w:t xml:space="preserve"> </w:t>
      </w:r>
      <w:r w:rsidRPr="001A6E4A" w:rsidR="00DD7E6B">
        <w:rPr>
          <w:rFonts w:ascii="Arial" w:hAnsi="Arial" w:cs="Arial"/>
          <w:color w:val="333333"/>
          <w:sz w:val="22"/>
          <w:szCs w:val="22"/>
          <w:shd w:val="clear" w:color="auto" w:fill="FFFFFF"/>
        </w:rPr>
        <w:t>de</w:t>
      </w:r>
      <w:r w:rsidRPr="001A6E4A" w:rsidR="00E916A0">
        <w:rPr>
          <w:rFonts w:ascii="Arial" w:hAnsi="Arial" w:cs="Arial"/>
          <w:color w:val="333333"/>
          <w:sz w:val="22"/>
          <w:szCs w:val="22"/>
          <w:shd w:val="clear" w:color="auto" w:fill="FFFFFF"/>
        </w:rPr>
        <w:t xml:space="preserve"> licitación pública, selección abreviada de menor cuantía y concurso de méritos, así como </w:t>
      </w:r>
      <w:r w:rsidRPr="001A6E4A" w:rsidR="00516880">
        <w:rPr>
          <w:rFonts w:ascii="Arial" w:hAnsi="Arial" w:cs="Arial"/>
          <w:color w:val="333333"/>
          <w:sz w:val="22"/>
          <w:szCs w:val="22"/>
          <w:shd w:val="clear" w:color="auto" w:fill="FFFFFF"/>
        </w:rPr>
        <w:t xml:space="preserve">a las entidades </w:t>
      </w:r>
      <w:r w:rsidRPr="001A6E4A" w:rsidR="00777C6C">
        <w:rPr>
          <w:rFonts w:ascii="Arial" w:hAnsi="Arial" w:cs="Arial"/>
          <w:color w:val="333333"/>
          <w:sz w:val="22"/>
          <w:szCs w:val="22"/>
          <w:shd w:val="clear" w:color="auto" w:fill="FFFFFF"/>
        </w:rPr>
        <w:t>exceptuadas</w:t>
      </w:r>
      <w:r w:rsidRPr="001A6E4A" w:rsidR="00516880">
        <w:rPr>
          <w:rFonts w:ascii="Arial" w:hAnsi="Arial" w:cs="Arial"/>
          <w:color w:val="333333"/>
          <w:sz w:val="22"/>
          <w:szCs w:val="22"/>
          <w:shd w:val="clear" w:color="auto" w:fill="FFFFFF"/>
        </w:rPr>
        <w:t xml:space="preserve"> en los</w:t>
      </w:r>
      <w:r w:rsidRPr="001A6E4A" w:rsidR="00E916A0">
        <w:rPr>
          <w:rFonts w:ascii="Arial" w:hAnsi="Arial" w:cs="Arial"/>
          <w:color w:val="333333"/>
          <w:sz w:val="22"/>
          <w:szCs w:val="22"/>
          <w:shd w:val="clear" w:color="auto" w:fill="FFFFFF"/>
        </w:rPr>
        <w:t xml:space="preserve"> procesos competitivos</w:t>
      </w:r>
      <w:r w:rsidRPr="001A6E4A" w:rsidR="00777C6C">
        <w:rPr>
          <w:rFonts w:ascii="Arial" w:hAnsi="Arial" w:cs="Arial"/>
          <w:color w:val="333333"/>
          <w:sz w:val="22"/>
          <w:szCs w:val="22"/>
          <w:shd w:val="clear" w:color="auto" w:fill="FFFFFF"/>
        </w:rPr>
        <w:t xml:space="preserve"> que adelanten, de acuerdo con el artículo 2.2.1.2.4.2.15 del Decreto 1082 de 2015</w:t>
      </w:r>
      <w:r w:rsidRPr="00D369A8" w:rsidR="002259F8">
        <w:rPr>
          <w:rStyle w:val="Refdenotaalpie"/>
          <w:rFonts w:ascii="Arial" w:hAnsi="Arial" w:cs="Arial"/>
          <w:color w:val="333333"/>
          <w:sz w:val="22"/>
          <w:szCs w:val="22"/>
          <w:shd w:val="clear" w:color="auto" w:fill="FFFFFF"/>
        </w:rPr>
        <w:footnoteReference w:id="13"/>
      </w:r>
      <w:r w:rsidRPr="00D369A8" w:rsidR="002D4292">
        <w:rPr>
          <w:rFonts w:ascii="Arial" w:hAnsi="Arial" w:cs="Arial"/>
          <w:color w:val="333333"/>
          <w:sz w:val="22"/>
          <w:szCs w:val="22"/>
          <w:shd w:val="clear" w:color="auto" w:fill="FFFFFF"/>
        </w:rPr>
        <w:t>.</w:t>
      </w:r>
      <w:r w:rsidRPr="00D369A8" w:rsidR="00583E28">
        <w:rPr>
          <w:rFonts w:ascii="Arial" w:hAnsi="Arial" w:cs="Arial"/>
          <w:color w:val="333333"/>
          <w:sz w:val="22"/>
          <w:szCs w:val="22"/>
          <w:shd w:val="clear" w:color="auto" w:fill="FFFFFF"/>
        </w:rPr>
        <w:t xml:space="preserve"> </w:t>
      </w:r>
      <w:r w:rsidRPr="00D369A8" w:rsidR="00A96C09">
        <w:rPr>
          <w:rFonts w:ascii="Arial" w:hAnsi="Arial" w:cs="Arial"/>
          <w:color w:val="333333"/>
          <w:sz w:val="22"/>
          <w:szCs w:val="22"/>
          <w:shd w:val="clear" w:color="auto" w:fill="FFFFFF"/>
        </w:rPr>
        <w:t xml:space="preserve">En ese sentido, </w:t>
      </w:r>
      <w:r w:rsidRPr="00D369A8" w:rsidR="002B5A21">
        <w:rPr>
          <w:rFonts w:ascii="Arial" w:hAnsi="Arial" w:cs="Arial"/>
          <w:color w:val="333333"/>
          <w:sz w:val="22"/>
          <w:szCs w:val="22"/>
          <w:shd w:val="clear" w:color="auto" w:fill="FFFFFF"/>
        </w:rPr>
        <w:t>los requisitos habilitantes</w:t>
      </w:r>
      <w:r w:rsidRPr="00D369A8" w:rsidR="00233D5C">
        <w:rPr>
          <w:rFonts w:ascii="Arial" w:hAnsi="Arial" w:cs="Arial"/>
          <w:color w:val="333333"/>
          <w:sz w:val="22"/>
          <w:szCs w:val="22"/>
          <w:shd w:val="clear" w:color="auto" w:fill="FFFFFF"/>
        </w:rPr>
        <w:t xml:space="preserve"> diferenciales que establezcan las </w:t>
      </w:r>
      <w:r w:rsidRPr="00D369A8" w:rsidR="00233D5C">
        <w:rPr>
          <w:rFonts w:ascii="Arial" w:hAnsi="Arial" w:cs="Arial"/>
          <w:color w:val="333333"/>
          <w:sz w:val="22"/>
          <w:szCs w:val="22"/>
          <w:shd w:val="clear" w:color="auto" w:fill="FFFFFF"/>
        </w:rPr>
        <w:t>entidades</w:t>
      </w:r>
      <w:r w:rsidRPr="00D369A8" w:rsidR="002B5A21">
        <w:rPr>
          <w:rFonts w:ascii="Arial" w:hAnsi="Arial" w:cs="Arial"/>
          <w:color w:val="333333"/>
          <w:sz w:val="22"/>
          <w:szCs w:val="22"/>
          <w:shd w:val="clear" w:color="auto" w:fill="FFFFFF"/>
        </w:rPr>
        <w:t xml:space="preserve"> </w:t>
      </w:r>
      <w:r w:rsidRPr="00D369A8" w:rsidR="00233D5C">
        <w:rPr>
          <w:rFonts w:ascii="Arial" w:hAnsi="Arial" w:cs="Arial"/>
          <w:color w:val="333333"/>
          <w:sz w:val="22"/>
          <w:szCs w:val="22"/>
          <w:shd w:val="clear" w:color="auto" w:fill="FFFFFF"/>
        </w:rPr>
        <w:t>en materia de</w:t>
      </w:r>
      <w:r w:rsidRPr="00D369A8" w:rsidR="002B5A21">
        <w:rPr>
          <w:rFonts w:ascii="Arial" w:hAnsi="Arial" w:cs="Arial"/>
          <w:color w:val="333333"/>
          <w:sz w:val="22"/>
          <w:szCs w:val="22"/>
          <w:shd w:val="clear" w:color="auto" w:fill="FFFFFF"/>
        </w:rPr>
        <w:t xml:space="preserve"> </w:t>
      </w:r>
      <w:r w:rsidRPr="00D369A8" w:rsidR="0064739B">
        <w:rPr>
          <w:rFonts w:ascii="Arial" w:hAnsi="Arial" w:cs="Arial"/>
          <w:color w:val="333333"/>
          <w:sz w:val="22"/>
          <w:szCs w:val="22"/>
          <w:shd w:val="clear" w:color="auto" w:fill="FFFFFF"/>
        </w:rPr>
        <w:t xml:space="preserve">tiempo de experiencia de experiencia, número de contratos para la acreditación de la experiencia, índices de capacidad financiera, índices de capacidad organizacional </w:t>
      </w:r>
      <w:r w:rsidRPr="00D369A8" w:rsidR="00233D5C">
        <w:rPr>
          <w:rFonts w:ascii="Arial" w:hAnsi="Arial" w:cs="Arial"/>
          <w:color w:val="333333"/>
          <w:sz w:val="22"/>
          <w:szCs w:val="22"/>
          <w:shd w:val="clear" w:color="auto" w:fill="FFFFFF"/>
        </w:rPr>
        <w:t>o</w:t>
      </w:r>
      <w:r w:rsidRPr="00D369A8" w:rsidR="0064739B">
        <w:rPr>
          <w:rFonts w:ascii="Arial" w:hAnsi="Arial" w:cs="Arial"/>
          <w:color w:val="333333"/>
          <w:sz w:val="22"/>
          <w:szCs w:val="22"/>
          <w:shd w:val="clear" w:color="auto" w:fill="FFFFFF"/>
        </w:rPr>
        <w:t xml:space="preserve"> valor de la garantía de seriedad de la oferta</w:t>
      </w:r>
      <w:r w:rsidRPr="00D369A8" w:rsidR="0080262F">
        <w:rPr>
          <w:rFonts w:ascii="Arial" w:hAnsi="Arial" w:cs="Arial"/>
          <w:color w:val="333333"/>
          <w:sz w:val="22"/>
          <w:szCs w:val="22"/>
          <w:shd w:val="clear" w:color="auto" w:fill="FFFFFF"/>
        </w:rPr>
        <w:t>, deben ser aplicables a quienes cumplan</w:t>
      </w:r>
      <w:r w:rsidRPr="00D369A8" w:rsidR="00A96C09">
        <w:rPr>
          <w:rFonts w:ascii="Arial" w:hAnsi="Arial" w:cs="Arial"/>
          <w:color w:val="333333"/>
          <w:sz w:val="22"/>
          <w:szCs w:val="22"/>
          <w:shd w:val="clear" w:color="auto" w:fill="FFFFFF"/>
        </w:rPr>
        <w:t xml:space="preserve"> </w:t>
      </w:r>
      <w:r w:rsidRPr="00D369A8" w:rsidR="00426419">
        <w:rPr>
          <w:rFonts w:ascii="Arial" w:hAnsi="Arial" w:cs="Arial"/>
          <w:color w:val="333333"/>
          <w:sz w:val="22"/>
          <w:szCs w:val="22"/>
          <w:shd w:val="clear" w:color="auto" w:fill="FFFFFF"/>
        </w:rPr>
        <w:t>con las definiciones señaladas en el artículo 2.2.1.2.4.2.14</w:t>
      </w:r>
      <w:r w:rsidRPr="00D369A8" w:rsidR="00D32F72">
        <w:rPr>
          <w:rFonts w:ascii="Arial" w:hAnsi="Arial" w:cs="Arial"/>
          <w:color w:val="333333"/>
          <w:sz w:val="22"/>
          <w:szCs w:val="22"/>
          <w:shd w:val="clear" w:color="auto" w:fill="FFFFFF"/>
        </w:rPr>
        <w:t xml:space="preserve">. Del mismo modo, </w:t>
      </w:r>
      <w:r w:rsidRPr="00D369A8" w:rsidR="002259F8">
        <w:rPr>
          <w:rFonts w:ascii="Arial" w:hAnsi="Arial" w:cs="Arial"/>
          <w:color w:val="333333"/>
          <w:sz w:val="22"/>
          <w:szCs w:val="22"/>
          <w:shd w:val="clear" w:color="auto" w:fill="FFFFFF"/>
        </w:rPr>
        <w:t>los</w:t>
      </w:r>
      <w:r w:rsidRPr="00D369A8" w:rsidR="00B65C6F">
        <w:rPr>
          <w:rFonts w:ascii="Arial" w:hAnsi="Arial" w:cs="Arial"/>
          <w:color w:val="333333"/>
          <w:sz w:val="22"/>
          <w:szCs w:val="22"/>
          <w:shd w:val="clear" w:color="auto" w:fill="FFFFFF"/>
        </w:rPr>
        <w:t xml:space="preserve"> puntaje</w:t>
      </w:r>
      <w:r w:rsidRPr="00D369A8" w:rsidR="002259F8">
        <w:rPr>
          <w:rFonts w:ascii="Arial" w:hAnsi="Arial" w:cs="Arial"/>
          <w:color w:val="333333"/>
          <w:sz w:val="22"/>
          <w:szCs w:val="22"/>
          <w:shd w:val="clear" w:color="auto" w:fill="FFFFFF"/>
        </w:rPr>
        <w:t>s</w:t>
      </w:r>
      <w:r w:rsidRPr="00D369A8" w:rsidR="00B65C6F">
        <w:rPr>
          <w:rFonts w:ascii="Arial" w:hAnsi="Arial" w:cs="Arial"/>
          <w:color w:val="333333"/>
          <w:sz w:val="22"/>
          <w:szCs w:val="22"/>
          <w:shd w:val="clear" w:color="auto" w:fill="FFFFFF"/>
        </w:rPr>
        <w:t xml:space="preserve"> adicional</w:t>
      </w:r>
      <w:r w:rsidRPr="00D369A8" w:rsidR="002259F8">
        <w:rPr>
          <w:rFonts w:ascii="Arial" w:hAnsi="Arial" w:cs="Arial"/>
          <w:color w:val="333333"/>
          <w:sz w:val="22"/>
          <w:szCs w:val="22"/>
          <w:shd w:val="clear" w:color="auto" w:fill="FFFFFF"/>
        </w:rPr>
        <w:t>es</w:t>
      </w:r>
      <w:r w:rsidRPr="00D369A8" w:rsidR="00B65C6F">
        <w:rPr>
          <w:rFonts w:ascii="Arial" w:hAnsi="Arial" w:cs="Arial"/>
          <w:color w:val="333333"/>
          <w:sz w:val="22"/>
          <w:szCs w:val="22"/>
          <w:shd w:val="clear" w:color="auto" w:fill="FFFFFF"/>
        </w:rPr>
        <w:t xml:space="preserve"> de hasta </w:t>
      </w:r>
      <w:r w:rsidRPr="00D369A8" w:rsidR="008F4B55">
        <w:rPr>
          <w:rFonts w:ascii="Arial" w:hAnsi="Arial" w:cs="Arial"/>
          <w:color w:val="333333"/>
          <w:sz w:val="22"/>
          <w:szCs w:val="22"/>
          <w:shd w:val="clear" w:color="auto" w:fill="FFFFFF"/>
        </w:rPr>
        <w:t xml:space="preserve">el cero punto veinticinco por ciento </w:t>
      </w:r>
      <w:r w:rsidRPr="00D369A8" w:rsidR="00B65C6F">
        <w:rPr>
          <w:rFonts w:ascii="Arial" w:hAnsi="Arial" w:cs="Arial"/>
          <w:color w:val="333333"/>
          <w:sz w:val="22"/>
          <w:szCs w:val="22"/>
          <w:shd w:val="clear" w:color="auto" w:fill="FFFFFF"/>
        </w:rPr>
        <w:t>(0,25%)</w:t>
      </w:r>
      <w:r w:rsidRPr="00D369A8" w:rsidR="008F4B55">
        <w:rPr>
          <w:rFonts w:ascii="Arial" w:hAnsi="Arial" w:cs="Arial"/>
          <w:color w:val="333333"/>
          <w:sz w:val="22"/>
          <w:szCs w:val="22"/>
          <w:shd w:val="clear" w:color="auto" w:fill="FFFFFF"/>
        </w:rPr>
        <w:t xml:space="preserve"> que se incluya</w:t>
      </w:r>
      <w:r w:rsidRPr="00D369A8" w:rsidR="002259F8">
        <w:rPr>
          <w:rFonts w:ascii="Arial" w:hAnsi="Arial" w:cs="Arial"/>
          <w:color w:val="333333"/>
          <w:sz w:val="22"/>
          <w:szCs w:val="22"/>
          <w:shd w:val="clear" w:color="auto" w:fill="FFFFFF"/>
        </w:rPr>
        <w:t>n en los procesos de contratación</w:t>
      </w:r>
      <w:r w:rsidRPr="00D369A8" w:rsidR="004321A8">
        <w:rPr>
          <w:rFonts w:ascii="Arial" w:hAnsi="Arial" w:cs="Arial"/>
          <w:color w:val="333333"/>
          <w:sz w:val="22"/>
          <w:szCs w:val="22"/>
          <w:shd w:val="clear" w:color="auto" w:fill="FFFFFF"/>
        </w:rPr>
        <w:t xml:space="preserve"> </w:t>
      </w:r>
      <w:r w:rsidRPr="00D369A8" w:rsidR="00D44664">
        <w:rPr>
          <w:rFonts w:ascii="Arial" w:hAnsi="Arial" w:cs="Arial"/>
          <w:color w:val="333333"/>
          <w:sz w:val="22"/>
          <w:szCs w:val="22"/>
          <w:shd w:val="clear" w:color="auto" w:fill="FFFFFF"/>
        </w:rPr>
        <w:t>diferentes de aquellos en los que el único factor de evaluación sea el menor precio</w:t>
      </w:r>
      <w:r w:rsidRPr="00D369A8" w:rsidR="001703BE">
        <w:rPr>
          <w:rFonts w:ascii="Arial" w:hAnsi="Arial" w:cs="Arial"/>
          <w:color w:val="333333"/>
          <w:sz w:val="22"/>
          <w:szCs w:val="22"/>
          <w:shd w:val="clear" w:color="auto" w:fill="FFFFFF"/>
        </w:rPr>
        <w:t>, según lo señalado en el penúltimo inciso del artículo 2.2.1.2.4.2.15</w:t>
      </w:r>
      <w:r w:rsidRPr="00D369A8" w:rsidR="008E17B1">
        <w:rPr>
          <w:rFonts w:ascii="Arial" w:hAnsi="Arial" w:cs="Arial"/>
          <w:color w:val="333333"/>
          <w:sz w:val="22"/>
          <w:szCs w:val="22"/>
          <w:shd w:val="clear" w:color="auto" w:fill="FFFFFF"/>
        </w:rPr>
        <w:t xml:space="preserve">, </w:t>
      </w:r>
      <w:r w:rsidRPr="00D369A8" w:rsidR="002259F8">
        <w:rPr>
          <w:rFonts w:ascii="Arial" w:hAnsi="Arial" w:cs="Arial"/>
          <w:color w:val="333333"/>
          <w:sz w:val="22"/>
          <w:szCs w:val="22"/>
          <w:shd w:val="clear" w:color="auto" w:fill="FFFFFF"/>
        </w:rPr>
        <w:t>deben ser</w:t>
      </w:r>
      <w:r w:rsidRPr="00D369A8" w:rsidR="008E17B1">
        <w:rPr>
          <w:rFonts w:ascii="Arial" w:hAnsi="Arial" w:cs="Arial"/>
          <w:color w:val="333333"/>
          <w:sz w:val="22"/>
          <w:szCs w:val="22"/>
          <w:shd w:val="clear" w:color="auto" w:fill="FFFFFF"/>
        </w:rPr>
        <w:t xml:space="preserve"> aplicable</w:t>
      </w:r>
      <w:r w:rsidRPr="00D369A8" w:rsidR="002259F8">
        <w:rPr>
          <w:rFonts w:ascii="Arial" w:hAnsi="Arial" w:cs="Arial"/>
          <w:color w:val="333333"/>
          <w:sz w:val="22"/>
          <w:szCs w:val="22"/>
          <w:shd w:val="clear" w:color="auto" w:fill="FFFFFF"/>
        </w:rPr>
        <w:t>s</w:t>
      </w:r>
      <w:r w:rsidRPr="00D369A8" w:rsidR="008E17B1">
        <w:rPr>
          <w:rFonts w:ascii="Arial" w:hAnsi="Arial" w:cs="Arial"/>
          <w:color w:val="333333"/>
          <w:sz w:val="22"/>
          <w:szCs w:val="22"/>
          <w:shd w:val="clear" w:color="auto" w:fill="FFFFFF"/>
        </w:rPr>
        <w:t xml:space="preserve"> </w:t>
      </w:r>
      <w:r w:rsidRPr="00D369A8" w:rsidR="00350BDD">
        <w:rPr>
          <w:rFonts w:ascii="Arial" w:hAnsi="Arial" w:cs="Arial"/>
          <w:color w:val="333333"/>
          <w:sz w:val="22"/>
          <w:szCs w:val="22"/>
          <w:shd w:val="clear" w:color="auto" w:fill="FFFFFF"/>
        </w:rPr>
        <w:t xml:space="preserve">a quienes cumplan con alguna de las definiciones señaladas en el artículo anterior. </w:t>
      </w:r>
    </w:p>
    <w:p w:rsidRPr="00DB0DCC" w:rsidR="00973377" w:rsidP="001A6E4A" w:rsidRDefault="005247B5" w14:paraId="3209C3B8" w14:textId="5AE1BC30">
      <w:pPr>
        <w:spacing w:after="120" w:line="276" w:lineRule="auto"/>
        <w:ind w:firstLine="708"/>
        <w:jc w:val="both"/>
        <w:rPr>
          <w:rFonts w:ascii="Arial" w:hAnsi="Arial" w:cs="Arial"/>
          <w:sz w:val="22"/>
          <w:szCs w:val="22"/>
        </w:rPr>
      </w:pPr>
      <w:r w:rsidRPr="00DB0DCC">
        <w:rPr>
          <w:rFonts w:ascii="Arial" w:hAnsi="Arial" w:eastAsia="Calibri" w:cs="Arial"/>
          <w:sz w:val="22"/>
          <w:szCs w:val="22"/>
          <w:lang w:val="es-ES_tradnl"/>
        </w:rPr>
        <w:t xml:space="preserve">Ahora bien, </w:t>
      </w:r>
      <w:r w:rsidRPr="00DB0DCC" w:rsidR="002302B5">
        <w:rPr>
          <w:rFonts w:ascii="Arial" w:hAnsi="Arial" w:eastAsia="Calibri" w:cs="Arial"/>
          <w:sz w:val="22"/>
          <w:szCs w:val="22"/>
          <w:lang w:val="es-ES_tradnl"/>
        </w:rPr>
        <w:t>antes de referirnos</w:t>
      </w:r>
      <w:r w:rsidRPr="00DB0DCC" w:rsidR="00D54F09">
        <w:rPr>
          <w:rFonts w:ascii="Arial" w:hAnsi="Arial" w:eastAsia="Calibri" w:cs="Arial"/>
          <w:sz w:val="22"/>
          <w:szCs w:val="22"/>
          <w:lang w:val="es-ES_tradnl"/>
        </w:rPr>
        <w:t xml:space="preserve"> la aplicabilidad de los artículos anteriores </w:t>
      </w:r>
      <w:r w:rsidRPr="00DB0DCC">
        <w:rPr>
          <w:rFonts w:ascii="Arial" w:hAnsi="Arial" w:eastAsia="Calibri" w:cs="Arial"/>
          <w:sz w:val="22"/>
          <w:szCs w:val="22"/>
          <w:lang w:val="es-ES_tradnl"/>
        </w:rPr>
        <w:t xml:space="preserve">a las </w:t>
      </w:r>
      <w:r w:rsidRPr="00DB0DCC" w:rsidR="00973377">
        <w:rPr>
          <w:rFonts w:ascii="Arial" w:hAnsi="Arial" w:cs="Arial"/>
          <w:sz w:val="22"/>
          <w:szCs w:val="22"/>
        </w:rPr>
        <w:t>fundaciones</w:t>
      </w:r>
      <w:r w:rsidRPr="00DB0DCC">
        <w:rPr>
          <w:rFonts w:ascii="Arial" w:hAnsi="Arial" w:cs="Arial"/>
          <w:sz w:val="22"/>
          <w:szCs w:val="22"/>
        </w:rPr>
        <w:t xml:space="preserve"> debe precisar</w:t>
      </w:r>
      <w:r w:rsidRPr="00DB0DCC" w:rsidR="004461C0">
        <w:rPr>
          <w:rFonts w:ascii="Arial" w:hAnsi="Arial" w:cs="Arial"/>
          <w:sz w:val="22"/>
          <w:szCs w:val="22"/>
        </w:rPr>
        <w:t>se</w:t>
      </w:r>
      <w:r w:rsidRPr="00DB0DCC">
        <w:rPr>
          <w:rFonts w:ascii="Arial" w:hAnsi="Arial" w:cs="Arial"/>
          <w:sz w:val="22"/>
          <w:szCs w:val="22"/>
        </w:rPr>
        <w:t xml:space="preserve"> que</w:t>
      </w:r>
      <w:r w:rsidRPr="00DB0DCC" w:rsidR="00777AD8">
        <w:rPr>
          <w:rFonts w:ascii="Arial" w:hAnsi="Arial" w:cs="Arial"/>
          <w:sz w:val="22"/>
          <w:szCs w:val="22"/>
        </w:rPr>
        <w:t xml:space="preserve"> estas </w:t>
      </w:r>
      <w:r w:rsidRPr="00DB0DCC">
        <w:rPr>
          <w:rFonts w:ascii="Arial" w:hAnsi="Arial" w:cs="Arial"/>
          <w:sz w:val="22"/>
          <w:szCs w:val="22"/>
        </w:rPr>
        <w:t>son personas jurídicas</w:t>
      </w:r>
      <w:r w:rsidRPr="00DB0DCC" w:rsidR="00973377">
        <w:rPr>
          <w:rFonts w:ascii="Arial" w:hAnsi="Arial" w:cs="Arial"/>
          <w:sz w:val="22"/>
          <w:szCs w:val="22"/>
        </w:rPr>
        <w:t xml:space="preserve"> constituidas en los términos del Código Civil</w:t>
      </w:r>
      <w:r w:rsidRPr="00DB0DCC" w:rsidR="00267E80">
        <w:rPr>
          <w:rStyle w:val="Refdenotaalpie"/>
          <w:rFonts w:ascii="Arial" w:hAnsi="Arial" w:cs="Arial"/>
          <w:sz w:val="22"/>
          <w:szCs w:val="22"/>
          <w:lang w:eastAsia="es-CO"/>
        </w:rPr>
        <w:footnoteReference w:id="14"/>
      </w:r>
      <w:r w:rsidRPr="00DB0DCC">
        <w:rPr>
          <w:rFonts w:ascii="Arial" w:hAnsi="Arial" w:cs="Arial"/>
          <w:sz w:val="22"/>
          <w:szCs w:val="22"/>
        </w:rPr>
        <w:t xml:space="preserve"> que</w:t>
      </w:r>
      <w:r w:rsidRPr="00DB0DCC" w:rsidR="00973377">
        <w:rPr>
          <w:rFonts w:ascii="Arial" w:hAnsi="Arial" w:cs="Arial"/>
          <w:sz w:val="22"/>
          <w:szCs w:val="22"/>
        </w:rPr>
        <w:t xml:space="preserve"> no pueden asimilarse o identificarse a sociedades </w:t>
      </w:r>
      <w:r w:rsidRPr="00DB0DCC" w:rsidR="00973377">
        <w:rPr>
          <w:rFonts w:ascii="Arial" w:hAnsi="Arial" w:cs="Arial"/>
          <w:sz w:val="22"/>
          <w:szCs w:val="22"/>
        </w:rPr>
        <w:t>comerciales</w:t>
      </w:r>
      <w:r w:rsidRPr="00DB0DCC">
        <w:rPr>
          <w:rFonts w:ascii="Arial" w:hAnsi="Arial" w:cs="Arial"/>
          <w:sz w:val="22"/>
          <w:szCs w:val="22"/>
        </w:rPr>
        <w:t xml:space="preserve"> –</w:t>
      </w:r>
      <w:r w:rsidRPr="00DB0DCC" w:rsidR="00973377">
        <w:rPr>
          <w:rFonts w:ascii="Arial" w:hAnsi="Arial" w:cs="Arial"/>
          <w:sz w:val="22"/>
          <w:szCs w:val="22"/>
        </w:rPr>
        <w:t>en la medida en que a diferencia de esas últimas no persiguen el reparto de utilidades entre sus socios</w:t>
      </w:r>
      <w:r w:rsidRPr="00DB0DCC" w:rsidR="00973377">
        <w:rPr>
          <w:rStyle w:val="Refdenotaalpie"/>
          <w:rFonts w:ascii="Arial" w:hAnsi="Arial" w:cs="Arial"/>
          <w:sz w:val="22"/>
          <w:szCs w:val="22"/>
        </w:rPr>
        <w:footnoteReference w:id="15"/>
      </w:r>
      <w:r w:rsidRPr="00DB0DCC">
        <w:rPr>
          <w:rFonts w:ascii="Arial" w:hAnsi="Arial" w:cs="Arial"/>
          <w:sz w:val="22"/>
          <w:szCs w:val="22"/>
        </w:rPr>
        <w:t>–</w:t>
      </w:r>
      <w:r w:rsidRPr="00DB0DCC" w:rsidR="00777AD8">
        <w:rPr>
          <w:rFonts w:ascii="Arial" w:hAnsi="Arial" w:cs="Arial"/>
          <w:sz w:val="22"/>
          <w:szCs w:val="22"/>
        </w:rPr>
        <w:t>. Sin embargo,</w:t>
      </w:r>
      <w:r w:rsidRPr="00DB0DCC" w:rsidR="00973377">
        <w:rPr>
          <w:rFonts w:ascii="Arial" w:hAnsi="Arial" w:cs="Arial"/>
          <w:sz w:val="22"/>
          <w:szCs w:val="22"/>
        </w:rPr>
        <w:t xml:space="preserve"> nada obsta para </w:t>
      </w:r>
      <w:r w:rsidRPr="00DB0DCC" w:rsidR="00DA3C4C">
        <w:rPr>
          <w:rFonts w:ascii="Arial" w:hAnsi="Arial" w:cs="Arial"/>
          <w:sz w:val="22"/>
          <w:szCs w:val="22"/>
        </w:rPr>
        <w:t>que las fundaciones</w:t>
      </w:r>
      <w:r w:rsidRPr="00DB0DCC" w:rsidR="00973377">
        <w:rPr>
          <w:rFonts w:ascii="Arial" w:hAnsi="Arial" w:cs="Arial"/>
          <w:sz w:val="22"/>
          <w:szCs w:val="22"/>
        </w:rPr>
        <w:t xml:space="preserve"> participen en términos de igualdad con los demás oferentes en los diferentes procesos contractuales que regula el Estatuto General de Contratación de la Administración Pública, siempre que sus estatutos así se lo permitan</w:t>
      </w:r>
      <w:r w:rsidRPr="00DB0DCC" w:rsidR="00973377">
        <w:rPr>
          <w:rStyle w:val="Refdenotaalpie"/>
          <w:rFonts w:ascii="Arial" w:hAnsi="Arial" w:cs="Arial"/>
          <w:sz w:val="22"/>
          <w:szCs w:val="22"/>
        </w:rPr>
        <w:footnoteReference w:id="16"/>
      </w:r>
      <w:r w:rsidRPr="00DB0DCC" w:rsidR="00973377">
        <w:rPr>
          <w:rFonts w:ascii="Arial" w:hAnsi="Arial" w:cs="Arial"/>
          <w:sz w:val="22"/>
          <w:szCs w:val="22"/>
        </w:rPr>
        <w:t xml:space="preserve">. En ese sentido, el hecho de que las fundación sea una entidad sin ánimo de lucro no supone que no pueda participar en un proceso de contratación adelantado en aplicación de la modalidades de selección competitivas previstas en el artículo 2 de la Ley 1150 de 2007, en los que se apliquen los criterios diferenciales introducidos por el artículo 32 de la Ley 2069 de 2020, reglamentados en los artículos </w:t>
      </w:r>
      <w:r w:rsidRPr="00DB0DCC" w:rsidR="00973377">
        <w:rPr>
          <w:rFonts w:ascii="Arial" w:hAnsi="Arial" w:cs="Arial"/>
          <w:sz w:val="22"/>
          <w:szCs w:val="22"/>
          <w:lang w:eastAsia="es-CO"/>
        </w:rPr>
        <w:t xml:space="preserve">2.2.1.2.4.2.14 y 2.2.1.2.4.2.15 del Decreto 1082 de 2015. </w:t>
      </w:r>
    </w:p>
    <w:p w:rsidRPr="00DB0DCC" w:rsidR="00452B1D" w:rsidP="00D369A8" w:rsidRDefault="002C118E" w14:paraId="57FC5C93" w14:textId="597DEA6A">
      <w:pPr>
        <w:spacing w:after="120" w:line="276" w:lineRule="auto"/>
        <w:jc w:val="both"/>
        <w:rPr>
          <w:rFonts w:ascii="Arial" w:hAnsi="Arial" w:cs="Arial"/>
          <w:color w:val="333333"/>
          <w:sz w:val="22"/>
          <w:szCs w:val="22"/>
          <w:shd w:val="clear" w:color="auto" w:fill="FFFFFF"/>
        </w:rPr>
      </w:pPr>
      <w:r w:rsidRPr="00DB0DCC">
        <w:rPr>
          <w:rFonts w:ascii="Arial" w:hAnsi="Arial" w:eastAsia="Calibri" w:cs="Arial"/>
          <w:sz w:val="22"/>
          <w:szCs w:val="22"/>
          <w:lang w:val="es-ES_tradnl"/>
        </w:rPr>
        <w:tab/>
      </w:r>
      <w:r w:rsidRPr="00DB0DCC" w:rsidR="00722D4B">
        <w:rPr>
          <w:rFonts w:ascii="Arial" w:hAnsi="Arial" w:eastAsia="Calibri" w:cs="Arial"/>
          <w:sz w:val="22"/>
          <w:szCs w:val="22"/>
          <w:lang w:val="es-ES_tradnl"/>
        </w:rPr>
        <w:t>Con todo, p</w:t>
      </w:r>
      <w:r w:rsidRPr="00DB0DCC" w:rsidR="00AD0EB3">
        <w:rPr>
          <w:rFonts w:ascii="Arial" w:hAnsi="Arial" w:eastAsia="Calibri" w:cs="Arial"/>
          <w:sz w:val="22"/>
          <w:szCs w:val="22"/>
          <w:lang w:val="es-ES_tradnl"/>
        </w:rPr>
        <w:t xml:space="preserve">ara efectos de determinar si </w:t>
      </w:r>
      <w:r w:rsidRPr="00DB0DCC" w:rsidR="005F31DA">
        <w:rPr>
          <w:rFonts w:ascii="Arial" w:hAnsi="Arial" w:eastAsia="Calibri" w:cs="Arial"/>
          <w:sz w:val="22"/>
          <w:szCs w:val="22"/>
          <w:lang w:val="es-ES_tradnl"/>
        </w:rPr>
        <w:t xml:space="preserve">a </w:t>
      </w:r>
      <w:r w:rsidRPr="00DB0DCC" w:rsidR="00AD0EB3">
        <w:rPr>
          <w:rFonts w:ascii="Arial" w:hAnsi="Arial" w:eastAsia="Calibri" w:cs="Arial"/>
          <w:sz w:val="22"/>
          <w:szCs w:val="22"/>
          <w:lang w:val="es-ES_tradnl"/>
        </w:rPr>
        <w:t>un</w:t>
      </w:r>
      <w:r w:rsidRPr="00DB0DCC" w:rsidR="005F31DA">
        <w:rPr>
          <w:rFonts w:ascii="Arial" w:hAnsi="Arial" w:eastAsia="Calibri" w:cs="Arial"/>
          <w:sz w:val="22"/>
          <w:szCs w:val="22"/>
          <w:lang w:val="es-ES_tradnl"/>
        </w:rPr>
        <w:t>a fundación que sea</w:t>
      </w:r>
      <w:r w:rsidRPr="00DB0DCC" w:rsidR="00AD0EB3">
        <w:rPr>
          <w:rFonts w:ascii="Arial" w:hAnsi="Arial" w:eastAsia="Calibri" w:cs="Arial"/>
          <w:sz w:val="22"/>
          <w:szCs w:val="22"/>
          <w:lang w:val="es-ES_tradnl"/>
        </w:rPr>
        <w:t xml:space="preserve"> proponente</w:t>
      </w:r>
      <w:r w:rsidRPr="00DB0DCC" w:rsidR="005F31DA">
        <w:rPr>
          <w:rFonts w:ascii="Arial" w:hAnsi="Arial" w:eastAsia="Calibri" w:cs="Arial"/>
          <w:sz w:val="22"/>
          <w:szCs w:val="22"/>
          <w:lang w:val="es-ES_tradnl"/>
        </w:rPr>
        <w:t xml:space="preserve"> en </w:t>
      </w:r>
      <w:r w:rsidRPr="00DB0DCC" w:rsidR="003928D5">
        <w:rPr>
          <w:rFonts w:ascii="Arial" w:hAnsi="Arial" w:eastAsia="Calibri" w:cs="Arial"/>
          <w:sz w:val="22"/>
          <w:szCs w:val="22"/>
          <w:lang w:val="es-ES_tradnl"/>
        </w:rPr>
        <w:t>un</w:t>
      </w:r>
      <w:r w:rsidRPr="00DB0DCC" w:rsidR="005A0949">
        <w:rPr>
          <w:rFonts w:ascii="Arial" w:hAnsi="Arial" w:eastAsia="Calibri" w:cs="Arial"/>
          <w:sz w:val="22"/>
          <w:szCs w:val="22"/>
          <w:lang w:val="es-ES_tradnl"/>
        </w:rPr>
        <w:t xml:space="preserve"> eventual</w:t>
      </w:r>
      <w:r w:rsidRPr="00DB0DCC" w:rsidR="003928D5">
        <w:rPr>
          <w:rFonts w:ascii="Arial" w:hAnsi="Arial" w:eastAsia="Calibri" w:cs="Arial"/>
          <w:sz w:val="22"/>
          <w:szCs w:val="22"/>
          <w:lang w:val="es-ES_tradnl"/>
        </w:rPr>
        <w:t xml:space="preserve"> </w:t>
      </w:r>
      <w:r w:rsidRPr="00DB0DCC" w:rsidR="005F31DA">
        <w:rPr>
          <w:rFonts w:ascii="Arial" w:hAnsi="Arial" w:eastAsia="Calibri" w:cs="Arial"/>
          <w:sz w:val="22"/>
          <w:szCs w:val="22"/>
          <w:lang w:val="es-ES_tradnl"/>
        </w:rPr>
        <w:t>proceso de contratación le aplican</w:t>
      </w:r>
      <w:r w:rsidRPr="00DB0DCC" w:rsidR="003928D5">
        <w:rPr>
          <w:rFonts w:ascii="Arial" w:hAnsi="Arial" w:eastAsia="Calibri" w:cs="Arial"/>
          <w:sz w:val="22"/>
          <w:szCs w:val="22"/>
          <w:lang w:val="es-ES_tradnl"/>
        </w:rPr>
        <w:t xml:space="preserve"> o no</w:t>
      </w:r>
      <w:r w:rsidRPr="00DB0DCC" w:rsidR="005F31DA">
        <w:rPr>
          <w:rFonts w:ascii="Arial" w:hAnsi="Arial" w:eastAsia="Calibri" w:cs="Arial"/>
          <w:sz w:val="22"/>
          <w:szCs w:val="22"/>
          <w:lang w:val="es-ES_tradnl"/>
        </w:rPr>
        <w:t xml:space="preserve"> los criterios diferenciales para emprendimientos </w:t>
      </w:r>
      <w:r w:rsidRPr="00DB0DCC" w:rsidR="003928D5">
        <w:rPr>
          <w:rFonts w:ascii="Arial" w:hAnsi="Arial" w:eastAsia="Calibri" w:cs="Arial"/>
          <w:sz w:val="22"/>
          <w:szCs w:val="22"/>
          <w:lang w:val="es-ES_tradnl"/>
        </w:rPr>
        <w:t xml:space="preserve">y empresas de mujeres introducidos por el artículo 32 de la Ley 2069 de 2020, </w:t>
      </w:r>
      <w:r w:rsidRPr="00DB0DCC" w:rsidR="005F3171">
        <w:rPr>
          <w:rFonts w:ascii="Arial" w:hAnsi="Arial" w:cs="Arial"/>
          <w:color w:val="333333"/>
          <w:sz w:val="22"/>
          <w:szCs w:val="22"/>
          <w:shd w:val="clear" w:color="auto" w:fill="FFFFFF"/>
        </w:rPr>
        <w:t>es necesario</w:t>
      </w:r>
      <w:r w:rsidRPr="00DB0DCC" w:rsidR="00567754">
        <w:rPr>
          <w:rFonts w:ascii="Arial" w:hAnsi="Arial" w:cs="Arial"/>
          <w:color w:val="333333"/>
          <w:sz w:val="22"/>
          <w:szCs w:val="22"/>
          <w:shd w:val="clear" w:color="auto" w:fill="FFFFFF"/>
        </w:rPr>
        <w:t xml:space="preserve">, en primer lugar, determinar si cumple con alguna de las definiciones </w:t>
      </w:r>
      <w:r w:rsidRPr="00DB0DCC" w:rsidR="00E45741">
        <w:rPr>
          <w:rFonts w:ascii="Arial" w:hAnsi="Arial" w:cs="Arial"/>
          <w:color w:val="333333"/>
          <w:sz w:val="22"/>
          <w:szCs w:val="22"/>
          <w:shd w:val="clear" w:color="auto" w:fill="FFFFFF"/>
        </w:rPr>
        <w:t>establecidas en el artículo 2.2.1.2.4.2.14</w:t>
      </w:r>
      <w:r w:rsidRPr="00DB0DCC" w:rsidR="008210B8">
        <w:rPr>
          <w:rFonts w:ascii="Arial" w:hAnsi="Arial" w:cs="Arial"/>
          <w:color w:val="333333"/>
          <w:sz w:val="22"/>
          <w:szCs w:val="22"/>
          <w:shd w:val="clear" w:color="auto" w:fill="FFFFFF"/>
        </w:rPr>
        <w:t xml:space="preserve">. Esto por cuanto </w:t>
      </w:r>
      <w:r w:rsidRPr="00DB0DCC" w:rsidR="00116739">
        <w:rPr>
          <w:rFonts w:ascii="Arial" w:hAnsi="Arial" w:cs="Arial"/>
          <w:color w:val="333333"/>
          <w:sz w:val="22"/>
          <w:szCs w:val="22"/>
          <w:shd w:val="clear" w:color="auto" w:fill="FFFFFF"/>
        </w:rPr>
        <w:t xml:space="preserve">la acreditación de alguno </w:t>
      </w:r>
      <w:r w:rsidRPr="00DB0DCC" w:rsidR="00A24A1D">
        <w:rPr>
          <w:rFonts w:ascii="Arial" w:hAnsi="Arial" w:cs="Arial"/>
          <w:color w:val="333333"/>
          <w:sz w:val="22"/>
          <w:szCs w:val="22"/>
          <w:shd w:val="clear" w:color="auto" w:fill="FFFFFF"/>
        </w:rPr>
        <w:t>de los</w:t>
      </w:r>
      <w:r w:rsidRPr="00DB0DCC" w:rsidR="00A70101">
        <w:rPr>
          <w:rFonts w:ascii="Arial" w:hAnsi="Arial" w:cs="Arial"/>
          <w:color w:val="333333"/>
          <w:sz w:val="22"/>
          <w:szCs w:val="22"/>
          <w:shd w:val="clear" w:color="auto" w:fill="FFFFFF"/>
        </w:rPr>
        <w:t xml:space="preserve"> </w:t>
      </w:r>
      <w:r w:rsidRPr="00DB0DCC" w:rsidR="00116739">
        <w:rPr>
          <w:rFonts w:ascii="Arial" w:hAnsi="Arial" w:cs="Arial"/>
          <w:color w:val="333333"/>
          <w:sz w:val="22"/>
          <w:szCs w:val="22"/>
          <w:shd w:val="clear" w:color="auto" w:fill="FFFFFF"/>
        </w:rPr>
        <w:t>cuatro criterios</w:t>
      </w:r>
      <w:r w:rsidRPr="00DB0DCC" w:rsidR="00A24A1D">
        <w:rPr>
          <w:rFonts w:ascii="Arial" w:hAnsi="Arial" w:cs="Arial"/>
          <w:color w:val="333333"/>
          <w:sz w:val="22"/>
          <w:szCs w:val="22"/>
          <w:shd w:val="clear" w:color="auto" w:fill="FFFFFF"/>
        </w:rPr>
        <w:t xml:space="preserve"> señalados en la norma</w:t>
      </w:r>
      <w:r w:rsidRPr="00DB0DCC" w:rsidR="00A70101">
        <w:rPr>
          <w:rFonts w:ascii="Arial" w:hAnsi="Arial" w:cs="Arial"/>
          <w:color w:val="333333"/>
          <w:sz w:val="22"/>
          <w:szCs w:val="22"/>
          <w:shd w:val="clear" w:color="auto" w:fill="FFFFFF"/>
        </w:rPr>
        <w:t xml:space="preserve"> </w:t>
      </w:r>
      <w:r w:rsidRPr="00DB0DCC" w:rsidR="00855085">
        <w:rPr>
          <w:rFonts w:ascii="Arial" w:hAnsi="Arial" w:cs="Arial"/>
          <w:color w:val="333333"/>
          <w:sz w:val="22"/>
          <w:szCs w:val="22"/>
          <w:shd w:val="clear" w:color="auto" w:fill="FFFFFF"/>
        </w:rPr>
        <w:t>es</w:t>
      </w:r>
      <w:r w:rsidRPr="00DB0DCC" w:rsidR="0034541A">
        <w:rPr>
          <w:rFonts w:ascii="Arial" w:hAnsi="Arial" w:cs="Arial"/>
          <w:color w:val="333333"/>
          <w:sz w:val="22"/>
          <w:szCs w:val="22"/>
          <w:shd w:val="clear" w:color="auto" w:fill="FFFFFF"/>
        </w:rPr>
        <w:t xml:space="preserve"> un presupuesto para optar a l</w:t>
      </w:r>
      <w:r w:rsidRPr="00DB0DCC" w:rsidR="007910E0">
        <w:rPr>
          <w:rFonts w:ascii="Arial" w:hAnsi="Arial" w:cs="Arial"/>
          <w:color w:val="333333"/>
          <w:sz w:val="22"/>
          <w:szCs w:val="22"/>
          <w:shd w:val="clear" w:color="auto" w:fill="FFFFFF"/>
        </w:rPr>
        <w:t>a</w:t>
      </w:r>
      <w:r w:rsidRPr="00DB0DCC" w:rsidR="0034541A">
        <w:rPr>
          <w:rFonts w:ascii="Arial" w:hAnsi="Arial" w:cs="Arial"/>
          <w:color w:val="333333"/>
          <w:sz w:val="22"/>
          <w:szCs w:val="22"/>
          <w:shd w:val="clear" w:color="auto" w:fill="FFFFFF"/>
        </w:rPr>
        <w:t xml:space="preserve">s </w:t>
      </w:r>
      <w:r w:rsidRPr="00DB0DCC" w:rsidR="007910E0">
        <w:rPr>
          <w:rFonts w:ascii="Arial" w:hAnsi="Arial" w:cs="Arial"/>
          <w:color w:val="333333"/>
          <w:sz w:val="22"/>
          <w:szCs w:val="22"/>
          <w:shd w:val="clear" w:color="auto" w:fill="FFFFFF"/>
        </w:rPr>
        <w:t>condiciones</w:t>
      </w:r>
      <w:r w:rsidRPr="00DB0DCC" w:rsidR="0034541A">
        <w:rPr>
          <w:rFonts w:ascii="Arial" w:hAnsi="Arial" w:cs="Arial"/>
          <w:color w:val="333333"/>
          <w:sz w:val="22"/>
          <w:szCs w:val="22"/>
          <w:shd w:val="clear" w:color="auto" w:fill="FFFFFF"/>
        </w:rPr>
        <w:t xml:space="preserve"> habilitantes diferenciales</w:t>
      </w:r>
      <w:r w:rsidRPr="00DB0DCC" w:rsidR="00845AD6">
        <w:rPr>
          <w:rFonts w:ascii="Arial" w:hAnsi="Arial" w:cs="Arial"/>
          <w:color w:val="333333"/>
          <w:sz w:val="22"/>
          <w:szCs w:val="22"/>
          <w:shd w:val="clear" w:color="auto" w:fill="FFFFFF"/>
        </w:rPr>
        <w:t xml:space="preserve"> </w:t>
      </w:r>
      <w:r w:rsidRPr="00DB0DCC" w:rsidR="00DD3799">
        <w:rPr>
          <w:rFonts w:ascii="Arial" w:hAnsi="Arial" w:cs="Arial"/>
          <w:color w:val="333333"/>
          <w:sz w:val="22"/>
          <w:szCs w:val="22"/>
          <w:shd w:val="clear" w:color="auto" w:fill="FFFFFF"/>
        </w:rPr>
        <w:t>determinad</w:t>
      </w:r>
      <w:r w:rsidRPr="00DB0DCC" w:rsidR="007910E0">
        <w:rPr>
          <w:rFonts w:ascii="Arial" w:hAnsi="Arial" w:cs="Arial"/>
          <w:color w:val="333333"/>
          <w:sz w:val="22"/>
          <w:szCs w:val="22"/>
          <w:shd w:val="clear" w:color="auto" w:fill="FFFFFF"/>
        </w:rPr>
        <w:t>a</w:t>
      </w:r>
      <w:r w:rsidRPr="00DB0DCC" w:rsidR="00DD3799">
        <w:rPr>
          <w:rFonts w:ascii="Arial" w:hAnsi="Arial" w:cs="Arial"/>
          <w:color w:val="333333"/>
          <w:sz w:val="22"/>
          <w:szCs w:val="22"/>
          <w:shd w:val="clear" w:color="auto" w:fill="FFFFFF"/>
        </w:rPr>
        <w:t xml:space="preserve">s por las entidades estatales con sustento en el análisis del sector, </w:t>
      </w:r>
      <w:r w:rsidRPr="00DB0DCC" w:rsidR="007910E0">
        <w:rPr>
          <w:rFonts w:ascii="Arial" w:hAnsi="Arial" w:cs="Arial"/>
          <w:color w:val="333333"/>
          <w:sz w:val="22"/>
          <w:szCs w:val="22"/>
          <w:shd w:val="clear" w:color="auto" w:fill="FFFFFF"/>
        </w:rPr>
        <w:t xml:space="preserve">a modo </w:t>
      </w:r>
      <w:r w:rsidRPr="00DB0DCC" w:rsidR="005E2FBD">
        <w:rPr>
          <w:rFonts w:ascii="Arial" w:hAnsi="Arial" w:cs="Arial"/>
          <w:color w:val="333333"/>
          <w:sz w:val="22"/>
          <w:szCs w:val="22"/>
          <w:shd w:val="clear" w:color="auto" w:fill="FFFFFF"/>
        </w:rPr>
        <w:t xml:space="preserve">requisitos menos </w:t>
      </w:r>
      <w:r w:rsidRPr="00DB0DCC" w:rsidR="000F7636">
        <w:rPr>
          <w:rFonts w:ascii="Arial" w:hAnsi="Arial" w:cs="Arial"/>
          <w:color w:val="333333"/>
          <w:sz w:val="22"/>
          <w:szCs w:val="22"/>
          <w:shd w:val="clear" w:color="auto" w:fill="FFFFFF"/>
        </w:rPr>
        <w:t>exigentes</w:t>
      </w:r>
      <w:r w:rsidRPr="00DB0DCC" w:rsidR="005E2FBD">
        <w:rPr>
          <w:rFonts w:ascii="Arial" w:hAnsi="Arial" w:cs="Arial"/>
          <w:color w:val="333333"/>
          <w:sz w:val="22"/>
          <w:szCs w:val="22"/>
          <w:shd w:val="clear" w:color="auto" w:fill="FFFFFF"/>
        </w:rPr>
        <w:t>,</w:t>
      </w:r>
      <w:r w:rsidRPr="00DB0DCC" w:rsidR="00FD18BD">
        <w:rPr>
          <w:rFonts w:ascii="Arial" w:hAnsi="Arial" w:cs="Arial"/>
          <w:color w:val="333333"/>
          <w:sz w:val="22"/>
          <w:szCs w:val="22"/>
          <w:shd w:val="clear" w:color="auto" w:fill="FFFFFF"/>
        </w:rPr>
        <w:t xml:space="preserve"> que en cualquier caso le corresponderá acreditar a</w:t>
      </w:r>
      <w:r w:rsidRPr="00DB0DCC" w:rsidR="00037287">
        <w:rPr>
          <w:rFonts w:ascii="Arial" w:hAnsi="Arial" w:cs="Arial"/>
          <w:color w:val="333333"/>
          <w:sz w:val="22"/>
          <w:szCs w:val="22"/>
          <w:shd w:val="clear" w:color="auto" w:fill="FFFFFF"/>
        </w:rPr>
        <w:t xml:space="preserve"> los proponentes</w:t>
      </w:r>
      <w:r w:rsidRPr="00DB0DCC" w:rsidR="008210B8">
        <w:rPr>
          <w:rFonts w:ascii="Arial" w:hAnsi="Arial" w:cs="Arial"/>
          <w:color w:val="333333"/>
          <w:sz w:val="22"/>
          <w:szCs w:val="22"/>
          <w:shd w:val="clear" w:color="auto" w:fill="FFFFFF"/>
        </w:rPr>
        <w:t xml:space="preserve"> </w:t>
      </w:r>
      <w:r w:rsidRPr="00DB0DCC" w:rsidR="00F22062">
        <w:rPr>
          <w:rFonts w:ascii="Arial" w:hAnsi="Arial" w:cs="Arial"/>
          <w:color w:val="333333"/>
          <w:sz w:val="22"/>
          <w:szCs w:val="22"/>
          <w:shd w:val="clear" w:color="auto" w:fill="FFFFFF"/>
        </w:rPr>
        <w:t>que se ubiquen las referidas definiciones de emprendimientos</w:t>
      </w:r>
      <w:r w:rsidRPr="00DB0DCC" w:rsidR="0086082E">
        <w:rPr>
          <w:rFonts w:ascii="Arial" w:hAnsi="Arial" w:cs="Arial"/>
          <w:color w:val="333333"/>
          <w:sz w:val="22"/>
          <w:szCs w:val="22"/>
          <w:shd w:val="clear" w:color="auto" w:fill="FFFFFF"/>
        </w:rPr>
        <w:t xml:space="preserve"> y empresas de mujeres</w:t>
      </w:r>
      <w:r w:rsidRPr="00DB0DCC" w:rsidR="00B428E1">
        <w:rPr>
          <w:rFonts w:ascii="Arial" w:hAnsi="Arial" w:cs="Arial"/>
          <w:color w:val="333333"/>
          <w:sz w:val="22"/>
          <w:szCs w:val="22"/>
          <w:shd w:val="clear" w:color="auto" w:fill="FFFFFF"/>
        </w:rPr>
        <w:t>.</w:t>
      </w:r>
      <w:r w:rsidRPr="00DB0DCC" w:rsidR="00946342">
        <w:rPr>
          <w:rFonts w:ascii="Arial" w:hAnsi="Arial" w:eastAsia="Calibri" w:cs="Arial"/>
          <w:sz w:val="22"/>
          <w:szCs w:val="22"/>
          <w:lang w:val="es-ES_tradnl"/>
        </w:rPr>
        <w:t xml:space="preserve"> </w:t>
      </w:r>
      <w:r w:rsidRPr="00DB0DCC" w:rsidR="00B428E1">
        <w:rPr>
          <w:rFonts w:ascii="Arial" w:hAnsi="Arial" w:eastAsia="Calibri" w:cs="Arial"/>
          <w:sz w:val="22"/>
          <w:szCs w:val="22"/>
          <w:lang w:val="es-ES_tradnl"/>
        </w:rPr>
        <w:t>P</w:t>
      </w:r>
      <w:r w:rsidRPr="00DB0DCC" w:rsidR="00485CC2">
        <w:rPr>
          <w:rFonts w:ascii="Arial" w:hAnsi="Arial" w:eastAsia="Calibri" w:cs="Arial"/>
          <w:sz w:val="22"/>
          <w:szCs w:val="22"/>
          <w:lang w:val="es-ES_tradnl"/>
        </w:rPr>
        <w:t>ara acceder</w:t>
      </w:r>
      <w:r w:rsidRPr="00DB0DCC" w:rsidR="00277312">
        <w:rPr>
          <w:rFonts w:ascii="Arial" w:hAnsi="Arial" w:eastAsia="Calibri" w:cs="Arial"/>
          <w:sz w:val="22"/>
          <w:szCs w:val="22"/>
          <w:lang w:val="es-ES_tradnl"/>
        </w:rPr>
        <w:t xml:space="preserve"> </w:t>
      </w:r>
      <w:r w:rsidRPr="00DB0DCC" w:rsidR="00485CC2">
        <w:rPr>
          <w:rFonts w:ascii="Arial" w:hAnsi="Arial" w:eastAsia="Calibri" w:cs="Arial"/>
          <w:sz w:val="22"/>
          <w:szCs w:val="22"/>
          <w:lang w:val="es-ES_tradnl"/>
        </w:rPr>
        <w:t xml:space="preserve">al </w:t>
      </w:r>
      <w:r w:rsidRPr="00DB0DCC" w:rsidR="00277312">
        <w:rPr>
          <w:rFonts w:ascii="Arial" w:hAnsi="Arial" w:eastAsia="Calibri" w:cs="Arial"/>
          <w:sz w:val="22"/>
          <w:szCs w:val="22"/>
          <w:lang w:val="es-ES_tradnl"/>
        </w:rPr>
        <w:t xml:space="preserve">puntaje adicional al que se refiere el penúltimo inciso del artículo </w:t>
      </w:r>
      <w:r w:rsidRPr="00DB0DCC" w:rsidR="00277312">
        <w:rPr>
          <w:rFonts w:ascii="Arial" w:hAnsi="Arial" w:cs="Arial"/>
          <w:color w:val="333333"/>
          <w:sz w:val="22"/>
          <w:szCs w:val="22"/>
          <w:shd w:val="clear" w:color="auto" w:fill="FFFFFF"/>
        </w:rPr>
        <w:t>2.2.1.2.4.2.15</w:t>
      </w:r>
      <w:r w:rsidRPr="00DB0DCC" w:rsidR="00485CC2">
        <w:rPr>
          <w:rFonts w:ascii="Arial" w:hAnsi="Arial" w:cs="Arial"/>
          <w:color w:val="333333"/>
          <w:sz w:val="22"/>
          <w:szCs w:val="22"/>
          <w:shd w:val="clear" w:color="auto" w:fill="FFFFFF"/>
        </w:rPr>
        <w:t xml:space="preserve"> </w:t>
      </w:r>
      <w:r w:rsidRPr="00DB0DCC" w:rsidR="00C6407A">
        <w:rPr>
          <w:rFonts w:ascii="Arial" w:hAnsi="Arial" w:cs="Arial"/>
          <w:color w:val="333333"/>
          <w:sz w:val="22"/>
          <w:szCs w:val="22"/>
          <w:shd w:val="clear" w:color="auto" w:fill="FFFFFF"/>
        </w:rPr>
        <w:t xml:space="preserve">basta </w:t>
      </w:r>
      <w:r w:rsidRPr="00DB0DCC" w:rsidR="00C6407A">
        <w:rPr>
          <w:rFonts w:ascii="Arial" w:hAnsi="Arial" w:cs="Arial"/>
          <w:color w:val="333333"/>
          <w:sz w:val="22"/>
          <w:szCs w:val="22"/>
          <w:shd w:val="clear" w:color="auto" w:fill="FFFFFF"/>
        </w:rPr>
        <w:t xml:space="preserve">con que el proponente acredite que cumple con </w:t>
      </w:r>
      <w:r w:rsidRPr="00DB0DCC" w:rsidR="00452B1D">
        <w:rPr>
          <w:rFonts w:ascii="Arial" w:hAnsi="Arial" w:cs="Arial"/>
          <w:color w:val="333333"/>
          <w:sz w:val="22"/>
          <w:szCs w:val="22"/>
          <w:shd w:val="clear" w:color="auto" w:fill="FFFFFF"/>
        </w:rPr>
        <w:t xml:space="preserve">alguna de </w:t>
      </w:r>
      <w:proofErr w:type="gramStart"/>
      <w:r w:rsidRPr="00DB0DCC" w:rsidR="00452B1D">
        <w:rPr>
          <w:rFonts w:ascii="Arial" w:hAnsi="Arial" w:cs="Arial"/>
          <w:color w:val="333333"/>
          <w:sz w:val="22"/>
          <w:szCs w:val="22"/>
          <w:shd w:val="clear" w:color="auto" w:fill="FFFFFF"/>
        </w:rPr>
        <w:t>los definiciones</w:t>
      </w:r>
      <w:proofErr w:type="gramEnd"/>
      <w:r w:rsidRPr="00DB0DCC" w:rsidR="00452B1D">
        <w:rPr>
          <w:rFonts w:ascii="Arial" w:hAnsi="Arial" w:cs="Arial"/>
          <w:color w:val="333333"/>
          <w:sz w:val="22"/>
          <w:szCs w:val="22"/>
          <w:shd w:val="clear" w:color="auto" w:fill="FFFFFF"/>
        </w:rPr>
        <w:t xml:space="preserve"> de emprendimientos de mujeres</w:t>
      </w:r>
      <w:r w:rsidRPr="00DB0DCC" w:rsidR="002302B5">
        <w:rPr>
          <w:rFonts w:ascii="Arial" w:hAnsi="Arial" w:cs="Arial"/>
          <w:color w:val="333333"/>
          <w:sz w:val="22"/>
          <w:szCs w:val="22"/>
          <w:shd w:val="clear" w:color="auto" w:fill="FFFFFF"/>
        </w:rPr>
        <w:t>,</w:t>
      </w:r>
      <w:r w:rsidRPr="00DB0DCC" w:rsidR="00452B1D">
        <w:rPr>
          <w:rFonts w:ascii="Arial" w:hAnsi="Arial" w:cs="Arial"/>
          <w:color w:val="333333"/>
          <w:sz w:val="22"/>
          <w:szCs w:val="22"/>
          <w:shd w:val="clear" w:color="auto" w:fill="FFFFFF"/>
        </w:rPr>
        <w:t xml:space="preserve"> por cuanto</w:t>
      </w:r>
      <w:r w:rsidRPr="00DB0DCC" w:rsidR="00946342">
        <w:rPr>
          <w:rFonts w:ascii="Arial" w:hAnsi="Arial" w:cs="Arial"/>
          <w:color w:val="333333"/>
          <w:sz w:val="22"/>
          <w:szCs w:val="22"/>
          <w:shd w:val="clear" w:color="auto" w:fill="FFFFFF"/>
        </w:rPr>
        <w:t xml:space="preserve"> así lo dispone está </w:t>
      </w:r>
      <w:r w:rsidRPr="00DB0DCC" w:rsidR="005A0949">
        <w:rPr>
          <w:rFonts w:ascii="Arial" w:hAnsi="Arial" w:cs="Arial"/>
          <w:color w:val="333333"/>
          <w:sz w:val="22"/>
          <w:szCs w:val="22"/>
          <w:shd w:val="clear" w:color="auto" w:fill="FFFFFF"/>
        </w:rPr>
        <w:t>parte de la</w:t>
      </w:r>
      <w:r w:rsidRPr="00DB0DCC" w:rsidR="00946342">
        <w:rPr>
          <w:rFonts w:ascii="Arial" w:hAnsi="Arial" w:cs="Arial"/>
          <w:color w:val="333333"/>
          <w:sz w:val="22"/>
          <w:szCs w:val="22"/>
          <w:shd w:val="clear" w:color="auto" w:fill="FFFFFF"/>
        </w:rPr>
        <w:t xml:space="preserve"> norma.</w:t>
      </w:r>
      <w:r w:rsidRPr="00DB0DCC" w:rsidR="00452B1D">
        <w:rPr>
          <w:rFonts w:ascii="Arial" w:hAnsi="Arial" w:cs="Arial"/>
          <w:color w:val="333333"/>
          <w:sz w:val="22"/>
          <w:szCs w:val="22"/>
          <w:shd w:val="clear" w:color="auto" w:fill="FFFFFF"/>
        </w:rPr>
        <w:t xml:space="preserve"> </w:t>
      </w:r>
    </w:p>
    <w:p w:rsidRPr="00DB0DCC" w:rsidR="00E81249" w:rsidP="001A6E4A" w:rsidRDefault="005E7016" w14:paraId="18A52057" w14:textId="3DC12B72">
      <w:pPr>
        <w:spacing w:after="120" w:line="276" w:lineRule="auto"/>
        <w:ind w:firstLine="709"/>
        <w:jc w:val="both"/>
        <w:rPr>
          <w:rFonts w:ascii="Arial" w:hAnsi="Arial" w:cs="Arial"/>
          <w:sz w:val="22"/>
          <w:szCs w:val="22"/>
          <w:lang w:eastAsia="es-CO"/>
        </w:rPr>
      </w:pPr>
      <w:r w:rsidRPr="00DB0DCC">
        <w:rPr>
          <w:rFonts w:ascii="Arial" w:hAnsi="Arial" w:eastAsia="Calibri" w:cs="Arial"/>
          <w:sz w:val="22"/>
          <w:szCs w:val="22"/>
          <w:lang w:val="es-ES_tradnl"/>
        </w:rPr>
        <w:t>En el marco de dicho análisis, en primer lugar, debe descartarse</w:t>
      </w:r>
      <w:r w:rsidRPr="00DB0DCC" w:rsidR="00D8782E">
        <w:rPr>
          <w:rFonts w:ascii="Arial" w:hAnsi="Arial" w:cs="Arial"/>
          <w:sz w:val="22"/>
          <w:szCs w:val="22"/>
          <w:lang w:eastAsia="es-CO"/>
        </w:rPr>
        <w:t xml:space="preserve"> que a las fundaciones </w:t>
      </w:r>
      <w:r w:rsidRPr="00DB0DCC" w:rsidR="00E9467F">
        <w:rPr>
          <w:rFonts w:ascii="Arial" w:hAnsi="Arial" w:cs="Arial"/>
          <w:sz w:val="22"/>
          <w:szCs w:val="22"/>
          <w:lang w:eastAsia="es-CO"/>
        </w:rPr>
        <w:t>se les aplique la definición del numeral 1 del artículo 2.2.1.2.4.2.14</w:t>
      </w:r>
      <w:r w:rsidRPr="00DB0DCC" w:rsidR="00F83310">
        <w:rPr>
          <w:rFonts w:ascii="Arial" w:hAnsi="Arial" w:cs="Arial"/>
          <w:sz w:val="22"/>
          <w:szCs w:val="22"/>
          <w:lang w:eastAsia="es-CO"/>
        </w:rPr>
        <w:t xml:space="preserve">, por cuanto dada </w:t>
      </w:r>
      <w:r w:rsidRPr="00DB0DCC" w:rsidR="000E39E3">
        <w:rPr>
          <w:rFonts w:ascii="Arial" w:hAnsi="Arial" w:cs="Arial"/>
          <w:sz w:val="22"/>
          <w:szCs w:val="22"/>
          <w:lang w:eastAsia="es-CO"/>
        </w:rPr>
        <w:t>l</w:t>
      </w:r>
      <w:r w:rsidRPr="00DB0DCC" w:rsidR="007F6B28">
        <w:rPr>
          <w:rFonts w:ascii="Arial" w:hAnsi="Arial" w:cs="Arial"/>
          <w:sz w:val="22"/>
          <w:szCs w:val="22"/>
          <w:lang w:eastAsia="es-CO"/>
        </w:rPr>
        <w:t xml:space="preserve">a naturaleza de este tipo de personas jurídicas sin ánimo de lucro, no existen en las </w:t>
      </w:r>
      <w:proofErr w:type="gramStart"/>
      <w:r w:rsidRPr="00DB0DCC" w:rsidR="007F6B28">
        <w:rPr>
          <w:rFonts w:ascii="Arial" w:hAnsi="Arial" w:cs="Arial"/>
          <w:sz w:val="22"/>
          <w:szCs w:val="22"/>
          <w:lang w:eastAsia="es-CO"/>
        </w:rPr>
        <w:t>misma acciones</w:t>
      </w:r>
      <w:proofErr w:type="gramEnd"/>
      <w:r w:rsidRPr="00DB0DCC" w:rsidR="007F6B28">
        <w:rPr>
          <w:rFonts w:ascii="Arial" w:hAnsi="Arial" w:cs="Arial"/>
          <w:sz w:val="22"/>
          <w:szCs w:val="22"/>
          <w:lang w:eastAsia="es-CO"/>
        </w:rPr>
        <w:t xml:space="preserve">, partes de interés o cuotas de participación sino un </w:t>
      </w:r>
      <w:r w:rsidRPr="00DB0DCC" w:rsidR="005F3279">
        <w:rPr>
          <w:rFonts w:ascii="Arial" w:hAnsi="Arial" w:cs="Arial"/>
          <w:sz w:val="22"/>
          <w:szCs w:val="22"/>
          <w:lang w:eastAsia="es-CO"/>
        </w:rPr>
        <w:t>patrimonio destinado a</w:t>
      </w:r>
      <w:r w:rsidRPr="00DB0DCC" w:rsidR="00CC6207">
        <w:rPr>
          <w:rFonts w:ascii="Arial" w:hAnsi="Arial" w:cs="Arial"/>
          <w:sz w:val="22"/>
          <w:szCs w:val="22"/>
          <w:lang w:eastAsia="es-CO"/>
        </w:rPr>
        <w:t xml:space="preserve"> la atención de una finalidad altruista o de </w:t>
      </w:r>
      <w:r w:rsidRPr="00DB0DCC" w:rsidR="00311CF2">
        <w:rPr>
          <w:rFonts w:ascii="Arial" w:hAnsi="Arial" w:cs="Arial"/>
          <w:sz w:val="22"/>
          <w:szCs w:val="22"/>
          <w:lang w:eastAsia="es-CO"/>
        </w:rPr>
        <w:t xml:space="preserve">un </w:t>
      </w:r>
      <w:r w:rsidRPr="00DB0DCC" w:rsidR="00CC6207">
        <w:rPr>
          <w:rFonts w:ascii="Arial" w:hAnsi="Arial" w:cs="Arial"/>
          <w:sz w:val="22"/>
          <w:szCs w:val="22"/>
          <w:lang w:eastAsia="es-CO"/>
        </w:rPr>
        <w:t>interés social determinad</w:t>
      </w:r>
      <w:r w:rsidRPr="00DB0DCC" w:rsidR="00311CF2">
        <w:rPr>
          <w:rFonts w:ascii="Arial" w:hAnsi="Arial" w:cs="Arial"/>
          <w:sz w:val="22"/>
          <w:szCs w:val="22"/>
          <w:lang w:eastAsia="es-CO"/>
        </w:rPr>
        <w:t>o</w:t>
      </w:r>
      <w:r w:rsidRPr="00DB0DCC" w:rsidR="00CC6207">
        <w:rPr>
          <w:rFonts w:ascii="Arial" w:hAnsi="Arial" w:cs="Arial"/>
          <w:sz w:val="22"/>
          <w:szCs w:val="22"/>
          <w:lang w:eastAsia="es-CO"/>
        </w:rPr>
        <w:t xml:space="preserve"> en los estatutos</w:t>
      </w:r>
      <w:r w:rsidRPr="00DB0DCC" w:rsidR="00311CF2">
        <w:rPr>
          <w:rFonts w:ascii="Arial" w:hAnsi="Arial" w:cs="Arial"/>
          <w:sz w:val="22"/>
          <w:szCs w:val="22"/>
          <w:lang w:eastAsia="es-CO"/>
        </w:rPr>
        <w:t>.</w:t>
      </w:r>
      <w:r w:rsidRPr="00DB0DCC" w:rsidR="001A26F1">
        <w:rPr>
          <w:rFonts w:ascii="Arial" w:hAnsi="Arial" w:cs="Arial"/>
          <w:sz w:val="22"/>
          <w:szCs w:val="22"/>
          <w:lang w:eastAsia="es-CO"/>
        </w:rPr>
        <w:t xml:space="preserve"> En ese</w:t>
      </w:r>
      <w:r w:rsidRPr="00DB0DCC" w:rsidR="00311CF2">
        <w:rPr>
          <w:rFonts w:ascii="Arial" w:hAnsi="Arial" w:cs="Arial"/>
          <w:sz w:val="22"/>
          <w:szCs w:val="22"/>
          <w:lang w:eastAsia="es-CO"/>
        </w:rPr>
        <w:t xml:space="preserve"> </w:t>
      </w:r>
      <w:r w:rsidRPr="00DB0DCC" w:rsidR="001A26F1">
        <w:rPr>
          <w:rFonts w:ascii="Arial" w:hAnsi="Arial" w:cs="Arial"/>
          <w:sz w:val="22"/>
          <w:szCs w:val="22"/>
          <w:lang w:eastAsia="es-CO"/>
        </w:rPr>
        <w:t>sentido, no puede afirmarse que los socios de</w:t>
      </w:r>
      <w:r w:rsidRPr="00DB0DCC" w:rsidR="00841586">
        <w:rPr>
          <w:rFonts w:ascii="Arial" w:hAnsi="Arial" w:cs="Arial"/>
          <w:sz w:val="22"/>
          <w:szCs w:val="22"/>
          <w:lang w:eastAsia="es-CO"/>
        </w:rPr>
        <w:t xml:space="preserve"> las</w:t>
      </w:r>
      <w:r w:rsidRPr="00DB0DCC" w:rsidR="001A26F1">
        <w:rPr>
          <w:rFonts w:ascii="Arial" w:hAnsi="Arial" w:cs="Arial"/>
          <w:sz w:val="22"/>
          <w:szCs w:val="22"/>
          <w:lang w:eastAsia="es-CO"/>
        </w:rPr>
        <w:t xml:space="preserve"> </w:t>
      </w:r>
      <w:r w:rsidRPr="00DB0DCC" w:rsidR="00452380">
        <w:rPr>
          <w:rFonts w:ascii="Arial" w:hAnsi="Arial" w:cs="Arial"/>
          <w:sz w:val="22"/>
          <w:szCs w:val="22"/>
          <w:lang w:eastAsia="es-CO"/>
        </w:rPr>
        <w:t>fundaci</w:t>
      </w:r>
      <w:r w:rsidRPr="00DB0DCC" w:rsidR="00841586">
        <w:rPr>
          <w:rFonts w:ascii="Arial" w:hAnsi="Arial" w:cs="Arial"/>
          <w:sz w:val="22"/>
          <w:szCs w:val="22"/>
          <w:lang w:eastAsia="es-CO"/>
        </w:rPr>
        <w:t>ones</w:t>
      </w:r>
      <w:r w:rsidRPr="00DB0DCC" w:rsidR="00452380">
        <w:rPr>
          <w:rFonts w:ascii="Arial" w:hAnsi="Arial" w:cs="Arial"/>
          <w:sz w:val="22"/>
          <w:szCs w:val="22"/>
          <w:lang w:eastAsia="es-CO"/>
        </w:rPr>
        <w:t xml:space="preserve"> o su fundador tengan participación accionaria, </w:t>
      </w:r>
      <w:r w:rsidRPr="00DB0DCC" w:rsidR="00841586">
        <w:rPr>
          <w:rFonts w:ascii="Arial" w:hAnsi="Arial" w:cs="Arial"/>
          <w:sz w:val="22"/>
          <w:szCs w:val="22"/>
          <w:lang w:eastAsia="es-CO"/>
        </w:rPr>
        <w:t xml:space="preserve">partes de interés </w:t>
      </w:r>
      <w:r w:rsidRPr="001A6E4A" w:rsidR="00DB0DCC">
        <w:rPr>
          <w:rFonts w:ascii="Arial" w:hAnsi="Arial" w:cs="Arial"/>
          <w:sz w:val="22"/>
          <w:szCs w:val="22"/>
          <w:lang w:eastAsia="es-CO"/>
        </w:rPr>
        <w:t>o</w:t>
      </w:r>
      <w:r w:rsidRPr="00DB0DCC" w:rsidR="00841586">
        <w:rPr>
          <w:rFonts w:ascii="Arial" w:hAnsi="Arial" w:cs="Arial"/>
          <w:sz w:val="22"/>
          <w:szCs w:val="22"/>
          <w:lang w:eastAsia="es-CO"/>
        </w:rPr>
        <w:t xml:space="preserve"> </w:t>
      </w:r>
      <w:r w:rsidRPr="00DB0DCC" w:rsidR="006A10B9">
        <w:rPr>
          <w:rFonts w:ascii="Arial" w:hAnsi="Arial" w:cs="Arial"/>
          <w:sz w:val="22"/>
          <w:szCs w:val="22"/>
          <w:lang w:eastAsia="es-CO"/>
        </w:rPr>
        <w:t xml:space="preserve">cuotas de participación en la misma, </w:t>
      </w:r>
      <w:r w:rsidRPr="00DB0DCC" w:rsidR="006D61B9">
        <w:rPr>
          <w:rFonts w:ascii="Arial" w:hAnsi="Arial" w:cs="Arial"/>
          <w:sz w:val="22"/>
          <w:szCs w:val="22"/>
          <w:lang w:eastAsia="es-CO"/>
        </w:rPr>
        <w:t xml:space="preserve">figuras </w:t>
      </w:r>
      <w:r w:rsidRPr="00DB0DCC" w:rsidR="00E81249">
        <w:rPr>
          <w:rFonts w:ascii="Arial" w:hAnsi="Arial" w:cs="Arial"/>
          <w:sz w:val="22"/>
          <w:szCs w:val="22"/>
          <w:lang w:eastAsia="es-CO"/>
        </w:rPr>
        <w:t xml:space="preserve">asociadas a las sociedades comerciales, </w:t>
      </w:r>
      <w:r w:rsidRPr="00DB0DCC" w:rsidR="00F923F4">
        <w:rPr>
          <w:rFonts w:ascii="Arial" w:hAnsi="Arial" w:cs="Arial"/>
          <w:sz w:val="22"/>
          <w:szCs w:val="22"/>
          <w:lang w:eastAsia="es-CO"/>
        </w:rPr>
        <w:t xml:space="preserve">razón por la que el propio numeral 1 del artículo 2.2.1.2.4.2.14 exige que en el documento de acreditación de esta condición «[...] </w:t>
      </w:r>
      <w:r w:rsidRPr="00DB0DCC" w:rsidR="00E81249">
        <w:rPr>
          <w:rFonts w:ascii="Arial" w:hAnsi="Arial" w:cs="Arial"/>
          <w:sz w:val="22"/>
          <w:szCs w:val="22"/>
          <w:lang w:eastAsia="es-CO"/>
        </w:rPr>
        <w:t>conste la distribución de los derechos en la sociedad y el tiempo en el que las mujeres han mantenido su participación</w:t>
      </w:r>
      <w:r w:rsidRPr="00DB0DCC" w:rsidR="00F923F4">
        <w:rPr>
          <w:rFonts w:ascii="Arial" w:hAnsi="Arial" w:cs="Arial"/>
          <w:sz w:val="22"/>
          <w:szCs w:val="22"/>
          <w:lang w:eastAsia="es-CO"/>
        </w:rPr>
        <w:t>»</w:t>
      </w:r>
      <w:r w:rsidRPr="00DB0DCC" w:rsidR="00E81249">
        <w:rPr>
          <w:rFonts w:ascii="Arial" w:hAnsi="Arial" w:cs="Arial"/>
          <w:sz w:val="22"/>
          <w:szCs w:val="22"/>
          <w:lang w:eastAsia="es-CO"/>
        </w:rPr>
        <w:t>.</w:t>
      </w:r>
    </w:p>
    <w:p w:rsidRPr="00906E03" w:rsidR="006C5628" w:rsidP="001A6E4A" w:rsidRDefault="00B80B8A" w14:paraId="4BB482AF" w14:textId="41CE9914">
      <w:pPr>
        <w:spacing w:after="120" w:line="276" w:lineRule="auto"/>
        <w:ind w:firstLine="709"/>
        <w:jc w:val="both"/>
        <w:rPr>
          <w:rFonts w:ascii="Arial" w:hAnsi="Arial" w:cs="Arial"/>
          <w:sz w:val="22"/>
          <w:szCs w:val="22"/>
          <w:lang w:eastAsia="es-CO"/>
        </w:rPr>
      </w:pPr>
      <w:r w:rsidRPr="00906E03">
        <w:rPr>
          <w:rFonts w:ascii="Arial" w:hAnsi="Arial" w:cs="Arial"/>
          <w:sz w:val="22"/>
          <w:szCs w:val="22"/>
          <w:lang w:eastAsia="es-CO"/>
        </w:rPr>
        <w:t xml:space="preserve">En </w:t>
      </w:r>
      <w:r w:rsidRPr="00906E03" w:rsidR="006C5628">
        <w:rPr>
          <w:rFonts w:ascii="Arial" w:hAnsi="Arial" w:cs="Arial"/>
          <w:sz w:val="22"/>
          <w:szCs w:val="22"/>
          <w:lang w:eastAsia="es-CO"/>
        </w:rPr>
        <w:t xml:space="preserve">cuanto al criterio numeral 2 del artículo 2.2.1.2.4.2.14, también </w:t>
      </w:r>
      <w:r w:rsidRPr="001A6E4A" w:rsidR="004F78FE">
        <w:rPr>
          <w:rFonts w:ascii="Arial" w:hAnsi="Arial" w:cs="Arial"/>
          <w:sz w:val="22"/>
          <w:szCs w:val="22"/>
          <w:lang w:eastAsia="es-CO"/>
        </w:rPr>
        <w:t>es</w:t>
      </w:r>
      <w:r w:rsidRPr="00906E03" w:rsidR="006C5628">
        <w:rPr>
          <w:rFonts w:ascii="Arial" w:hAnsi="Arial" w:cs="Arial"/>
          <w:sz w:val="22"/>
          <w:szCs w:val="22"/>
          <w:lang w:eastAsia="es-CO"/>
        </w:rPr>
        <w:t xml:space="preserve"> forzoso concluir que </w:t>
      </w:r>
      <w:r w:rsidRPr="00906E03" w:rsidR="0081711D">
        <w:rPr>
          <w:rFonts w:ascii="Arial" w:hAnsi="Arial" w:cs="Arial"/>
          <w:sz w:val="22"/>
          <w:szCs w:val="22"/>
          <w:lang w:eastAsia="es-CO"/>
        </w:rPr>
        <w:t>su aplicación no resulta posible respecto de las fundaciones, comoquiera que este criterio</w:t>
      </w:r>
      <w:r w:rsidRPr="00906E03" w:rsidR="00F645EA">
        <w:rPr>
          <w:rFonts w:ascii="Arial" w:hAnsi="Arial" w:cs="Arial"/>
          <w:sz w:val="22"/>
          <w:szCs w:val="22"/>
          <w:lang w:eastAsia="es-CO"/>
        </w:rPr>
        <w:t xml:space="preserve">, al igual que el primero, se encuentra dirigido a las sociedades regidas por la legislación comercial. </w:t>
      </w:r>
      <w:r w:rsidRPr="00906E03" w:rsidR="00C82289">
        <w:rPr>
          <w:rFonts w:ascii="Arial" w:hAnsi="Arial" w:cs="Arial"/>
          <w:sz w:val="22"/>
          <w:szCs w:val="22"/>
          <w:lang w:eastAsia="es-CO"/>
        </w:rPr>
        <w:t xml:space="preserve">Lo anterior por cuanto, si bien el supuesto de hecho </w:t>
      </w:r>
      <w:r w:rsidRPr="00906E03" w:rsidR="00A94630">
        <w:rPr>
          <w:rFonts w:ascii="Arial" w:hAnsi="Arial" w:cs="Arial"/>
          <w:sz w:val="22"/>
          <w:szCs w:val="22"/>
          <w:lang w:eastAsia="es-CO"/>
        </w:rPr>
        <w:t>aplica a personas jurídicas</w:t>
      </w:r>
      <w:r w:rsidRPr="00906E03" w:rsidR="00106FDC">
        <w:rPr>
          <w:rFonts w:ascii="Arial" w:hAnsi="Arial" w:cs="Arial"/>
          <w:sz w:val="22"/>
          <w:szCs w:val="22"/>
          <w:lang w:eastAsia="es-CO"/>
        </w:rPr>
        <w:t xml:space="preserve"> </w:t>
      </w:r>
      <w:r w:rsidRPr="00906E03" w:rsidR="00A94630">
        <w:rPr>
          <w:rFonts w:ascii="Arial" w:hAnsi="Arial" w:cs="Arial"/>
          <w:sz w:val="22"/>
          <w:szCs w:val="22"/>
          <w:lang w:eastAsia="es-CO"/>
        </w:rPr>
        <w:t>con</w:t>
      </w:r>
      <w:r w:rsidRPr="00906E03" w:rsidR="00106FDC">
        <w:rPr>
          <w:rFonts w:ascii="Arial" w:hAnsi="Arial" w:cs="Arial"/>
          <w:sz w:val="22"/>
          <w:szCs w:val="22"/>
          <w:lang w:eastAsia="es-CO"/>
        </w:rPr>
        <w:t xml:space="preserve"> un diez por ciento (10%) de </w:t>
      </w:r>
      <w:r w:rsidRPr="00906E03" w:rsidR="00A94630">
        <w:rPr>
          <w:rFonts w:ascii="Arial" w:hAnsi="Arial" w:cs="Arial"/>
          <w:sz w:val="22"/>
          <w:szCs w:val="22"/>
          <w:lang w:eastAsia="es-CO"/>
        </w:rPr>
        <w:t>su</w:t>
      </w:r>
      <w:r w:rsidRPr="00906E03" w:rsidR="00106FDC">
        <w:rPr>
          <w:rFonts w:ascii="Arial" w:hAnsi="Arial" w:cs="Arial"/>
          <w:sz w:val="22"/>
          <w:szCs w:val="22"/>
          <w:lang w:eastAsia="es-CO"/>
        </w:rPr>
        <w:t>s cargos</w:t>
      </w:r>
      <w:r w:rsidRPr="00906E03" w:rsidR="00A94630">
        <w:rPr>
          <w:rFonts w:ascii="Arial" w:hAnsi="Arial" w:cs="Arial"/>
          <w:sz w:val="22"/>
          <w:szCs w:val="22"/>
          <w:lang w:eastAsia="es-CO"/>
        </w:rPr>
        <w:t xml:space="preserve"> directivos</w:t>
      </w:r>
      <w:r w:rsidRPr="00906E03" w:rsidR="00106FDC">
        <w:rPr>
          <w:rFonts w:ascii="Arial" w:hAnsi="Arial" w:cs="Arial"/>
          <w:sz w:val="22"/>
          <w:szCs w:val="22"/>
          <w:lang w:eastAsia="es-CO"/>
        </w:rPr>
        <w:t xml:space="preserve"> </w:t>
      </w:r>
      <w:r w:rsidRPr="00906E03" w:rsidR="00A94630">
        <w:rPr>
          <w:rFonts w:ascii="Arial" w:hAnsi="Arial" w:cs="Arial"/>
          <w:sz w:val="22"/>
          <w:szCs w:val="22"/>
          <w:lang w:eastAsia="es-CO"/>
        </w:rPr>
        <w:t xml:space="preserve">de ocupados por mujeres, lo cierto es que este el numeral </w:t>
      </w:r>
      <w:r w:rsidRPr="00906E03" w:rsidR="000A6E8B">
        <w:rPr>
          <w:rFonts w:ascii="Arial" w:hAnsi="Arial" w:cs="Arial"/>
          <w:sz w:val="22"/>
          <w:szCs w:val="22"/>
          <w:lang w:eastAsia="es-CO"/>
        </w:rPr>
        <w:t xml:space="preserve">precisa que se aplica a </w:t>
      </w:r>
      <w:r w:rsidRPr="001A6E4A" w:rsidR="000A6E8B">
        <w:rPr>
          <w:rFonts w:ascii="Arial" w:hAnsi="Arial" w:cs="Arial"/>
          <w:i/>
          <w:iCs/>
          <w:sz w:val="22"/>
          <w:szCs w:val="22"/>
          <w:lang w:eastAsia="es-CO"/>
        </w:rPr>
        <w:t>empresas</w:t>
      </w:r>
      <w:r w:rsidRPr="00906E03" w:rsidR="000A6E8B">
        <w:rPr>
          <w:rFonts w:ascii="Arial" w:hAnsi="Arial" w:cs="Arial"/>
          <w:i/>
          <w:iCs/>
          <w:sz w:val="22"/>
          <w:szCs w:val="22"/>
          <w:lang w:eastAsia="es-CO"/>
        </w:rPr>
        <w:t xml:space="preserve">, </w:t>
      </w:r>
      <w:r w:rsidRPr="00906E03" w:rsidR="000A6E8B">
        <w:rPr>
          <w:rFonts w:ascii="Arial" w:hAnsi="Arial" w:cs="Arial"/>
          <w:sz w:val="22"/>
          <w:szCs w:val="22"/>
          <w:lang w:eastAsia="es-CO"/>
        </w:rPr>
        <w:t xml:space="preserve">sin aludir a las entidades sin ánimo de lucro-. </w:t>
      </w:r>
      <w:r w:rsidRPr="00906E03" w:rsidR="00A4291B">
        <w:rPr>
          <w:rFonts w:ascii="Arial" w:hAnsi="Arial" w:cs="Arial"/>
          <w:sz w:val="22"/>
          <w:szCs w:val="22"/>
          <w:lang w:eastAsia="es-CO"/>
        </w:rPr>
        <w:t xml:space="preserve">En ese respecto, debe destacarse que </w:t>
      </w:r>
      <w:r w:rsidRPr="00906E03" w:rsidR="00A4291B">
        <w:rPr>
          <w:rFonts w:ascii="Arial" w:hAnsi="Arial" w:cs="Arial"/>
          <w:sz w:val="22"/>
          <w:szCs w:val="22"/>
        </w:rPr>
        <w:t>l</w:t>
      </w:r>
      <w:r w:rsidRPr="00906E03" w:rsidR="00A94630">
        <w:rPr>
          <w:rFonts w:ascii="Arial" w:hAnsi="Arial" w:cs="Arial"/>
          <w:sz w:val="22"/>
          <w:szCs w:val="22"/>
        </w:rPr>
        <w:t>a</w:t>
      </w:r>
      <w:r w:rsidRPr="001A6E4A" w:rsidR="00A94630">
        <w:rPr>
          <w:rFonts w:ascii="Arial" w:hAnsi="Arial" w:cs="Arial"/>
          <w:i/>
          <w:iCs/>
          <w:sz w:val="22"/>
          <w:szCs w:val="22"/>
        </w:rPr>
        <w:t xml:space="preserve"> </w:t>
      </w:r>
      <w:r w:rsidRPr="00906E03" w:rsidR="004F78FE">
        <w:rPr>
          <w:rFonts w:ascii="Arial" w:hAnsi="Arial" w:cs="Arial"/>
          <w:i/>
          <w:iCs/>
          <w:color w:val="000000" w:themeColor="text1"/>
          <w:sz w:val="22"/>
          <w:szCs w:val="22"/>
          <w:lang w:val="es-ES_tradnl"/>
        </w:rPr>
        <w:t>empresa</w:t>
      </w:r>
      <w:r w:rsidRPr="00906E03" w:rsidR="004F78FE">
        <w:rPr>
          <w:rFonts w:ascii="Arial" w:hAnsi="Arial" w:cs="Arial"/>
          <w:color w:val="000000" w:themeColor="text1"/>
          <w:sz w:val="22"/>
          <w:szCs w:val="22"/>
          <w:lang w:val="es-ES_tradnl"/>
        </w:rPr>
        <w:t xml:space="preserve"> es definida como toda unidad de explotación económica que realiza una persona natural o jurídica en actividades agropecuarias, industriales, comerciales o de servicios</w:t>
      </w:r>
      <w:r w:rsidRPr="001A6E4A" w:rsidR="001F6256">
        <w:rPr>
          <w:rStyle w:val="Refdenotaalpie"/>
          <w:rFonts w:ascii="Arial" w:hAnsi="Arial" w:cs="Arial"/>
          <w:color w:val="000000" w:themeColor="text1"/>
          <w:sz w:val="22"/>
          <w:szCs w:val="22"/>
          <w:lang w:val="es-ES_tradnl"/>
        </w:rPr>
        <w:footnoteReference w:id="17"/>
      </w:r>
      <w:r w:rsidRPr="00906E03" w:rsidR="00A94630">
        <w:rPr>
          <w:rFonts w:ascii="Arial" w:hAnsi="Arial" w:cs="Arial"/>
          <w:sz w:val="22"/>
          <w:szCs w:val="22"/>
        </w:rPr>
        <w:t>. En ese sentido, puede decirse qu</w:t>
      </w:r>
      <w:r w:rsidRPr="001A6E4A" w:rsidR="00CA3CBD">
        <w:rPr>
          <w:rFonts w:ascii="Arial" w:hAnsi="Arial" w:cs="Arial"/>
          <w:sz w:val="22"/>
          <w:szCs w:val="22"/>
        </w:rPr>
        <w:t xml:space="preserve">e son empresas las personas naturales o </w:t>
      </w:r>
      <w:r w:rsidRPr="001A6E4A" w:rsidR="00CA3CBD">
        <w:rPr>
          <w:rFonts w:ascii="Arial" w:hAnsi="Arial" w:cs="Arial"/>
          <w:sz w:val="22"/>
          <w:szCs w:val="22"/>
        </w:rPr>
        <w:t>jurídicas</w:t>
      </w:r>
      <w:r w:rsidRPr="00906E03" w:rsidR="00A94630">
        <w:rPr>
          <w:rFonts w:ascii="Arial" w:hAnsi="Arial" w:cs="Arial"/>
          <w:sz w:val="22"/>
          <w:szCs w:val="22"/>
        </w:rPr>
        <w:t xml:space="preserve"> </w:t>
      </w:r>
      <w:r w:rsidRPr="001A6E4A" w:rsidR="00CA3CBD">
        <w:rPr>
          <w:rFonts w:ascii="Arial" w:hAnsi="Arial" w:cs="Arial"/>
          <w:sz w:val="22"/>
          <w:szCs w:val="22"/>
        </w:rPr>
        <w:t xml:space="preserve">que desarrollan actividades tendientes a la </w:t>
      </w:r>
      <w:r w:rsidRPr="00906E03" w:rsidR="00CA3CBD">
        <w:rPr>
          <w:rFonts w:ascii="Arial" w:hAnsi="Arial" w:cs="Arial"/>
          <w:color w:val="000000" w:themeColor="text1"/>
          <w:sz w:val="22"/>
          <w:szCs w:val="22"/>
          <w:lang w:val="es-ES_tradnl"/>
        </w:rPr>
        <w:t xml:space="preserve">explotación económica, </w:t>
      </w:r>
      <w:r w:rsidRPr="00906E03" w:rsidR="00906E03">
        <w:rPr>
          <w:rFonts w:ascii="Arial" w:hAnsi="Arial" w:cs="Arial"/>
          <w:color w:val="000000" w:themeColor="text1"/>
          <w:sz w:val="22"/>
          <w:szCs w:val="22"/>
          <w:lang w:val="es-ES_tradnl"/>
        </w:rPr>
        <w:t>como,</w:t>
      </w:r>
      <w:r w:rsidRPr="00906E03" w:rsidR="00CA3CBD">
        <w:rPr>
          <w:rFonts w:ascii="Arial" w:hAnsi="Arial" w:cs="Arial"/>
          <w:color w:val="000000" w:themeColor="text1"/>
          <w:sz w:val="22"/>
          <w:szCs w:val="22"/>
          <w:lang w:val="es-ES_tradnl"/>
        </w:rPr>
        <w:t xml:space="preserve"> por ejemplo, las </w:t>
      </w:r>
      <w:r w:rsidRPr="00906E03" w:rsidR="00906E03">
        <w:rPr>
          <w:rFonts w:ascii="Arial" w:hAnsi="Arial" w:cs="Arial"/>
          <w:color w:val="000000" w:themeColor="text1"/>
          <w:sz w:val="22"/>
          <w:szCs w:val="22"/>
          <w:lang w:val="es-ES_tradnl"/>
        </w:rPr>
        <w:t xml:space="preserve">comerciantes y </w:t>
      </w:r>
      <w:r w:rsidRPr="00906E03" w:rsidR="00A94630">
        <w:rPr>
          <w:rFonts w:ascii="Arial" w:hAnsi="Arial" w:cs="Arial"/>
          <w:sz w:val="22"/>
          <w:szCs w:val="22"/>
        </w:rPr>
        <w:t>sociedades comerciales que ejecuten actos o empresas mercantiles, en los términos señalados en el artículo 100 del Código de Comercio</w:t>
      </w:r>
      <w:r w:rsidRPr="00906E03" w:rsidR="00A94630">
        <w:rPr>
          <w:rStyle w:val="Refdenotaalpie"/>
          <w:rFonts w:ascii="Arial" w:hAnsi="Arial" w:cs="Arial"/>
          <w:sz w:val="22"/>
          <w:szCs w:val="22"/>
        </w:rPr>
        <w:footnoteReference w:id="18"/>
      </w:r>
      <w:r w:rsidRPr="00906E03" w:rsidR="00A4291B">
        <w:rPr>
          <w:rFonts w:ascii="Arial" w:hAnsi="Arial" w:cs="Arial"/>
          <w:sz w:val="22"/>
          <w:szCs w:val="22"/>
        </w:rPr>
        <w:t>, lo que excluye a las fundaciones, regidas por los artículo 633 y ss</w:t>
      </w:r>
      <w:r w:rsidRPr="00906E03" w:rsidR="00A94630">
        <w:rPr>
          <w:rFonts w:ascii="Arial" w:hAnsi="Arial" w:cs="Arial"/>
          <w:sz w:val="22"/>
          <w:szCs w:val="22"/>
        </w:rPr>
        <w:t>.</w:t>
      </w:r>
      <w:r w:rsidRPr="00906E03" w:rsidR="00A4291B">
        <w:rPr>
          <w:rFonts w:ascii="Arial" w:hAnsi="Arial" w:cs="Arial"/>
          <w:sz w:val="22"/>
          <w:szCs w:val="22"/>
        </w:rPr>
        <w:t xml:space="preserve"> del Código Civil. </w:t>
      </w:r>
      <w:r w:rsidRPr="00906E03" w:rsidR="002171C3">
        <w:rPr>
          <w:rFonts w:ascii="Arial" w:hAnsi="Arial" w:cs="Arial"/>
          <w:sz w:val="22"/>
          <w:szCs w:val="22"/>
          <w:lang w:eastAsia="es-CO"/>
        </w:rPr>
        <w:t xml:space="preserve"> </w:t>
      </w:r>
    </w:p>
    <w:p w:rsidRPr="00DB0DCC" w:rsidR="00DA3C4C" w:rsidP="001A6E4A" w:rsidRDefault="00C17402" w14:paraId="5C4C192C" w14:textId="33836649">
      <w:pPr>
        <w:spacing w:after="120" w:line="276" w:lineRule="auto"/>
        <w:ind w:firstLine="709"/>
        <w:jc w:val="both"/>
        <w:rPr>
          <w:rFonts w:ascii="Arial" w:hAnsi="Arial" w:eastAsia="Calibri" w:cs="Arial"/>
          <w:sz w:val="22"/>
          <w:szCs w:val="22"/>
          <w:lang w:val="es-ES_tradnl"/>
        </w:rPr>
      </w:pPr>
      <w:r w:rsidRPr="00DB0DCC">
        <w:rPr>
          <w:rFonts w:ascii="Arial" w:hAnsi="Arial" w:cs="Arial"/>
          <w:sz w:val="22"/>
          <w:szCs w:val="22"/>
          <w:lang w:eastAsia="es-CO"/>
        </w:rPr>
        <w:t xml:space="preserve">De otra parte, respecto de los numerales 3 y 4 también se impone una respuesta en negativa en </w:t>
      </w:r>
      <w:r w:rsidRPr="00DB0DCC" w:rsidR="008D4C43">
        <w:rPr>
          <w:rFonts w:ascii="Arial" w:hAnsi="Arial" w:cs="Arial"/>
          <w:sz w:val="22"/>
          <w:szCs w:val="22"/>
          <w:lang w:eastAsia="es-CO"/>
        </w:rPr>
        <w:t xml:space="preserve">lo relativo a su aplicabilidad a las fundaciones. Tratándose del numeral 3, </w:t>
      </w:r>
      <w:r w:rsidRPr="00DB0DCC" w:rsidR="003A0E67">
        <w:rPr>
          <w:rFonts w:ascii="Arial" w:hAnsi="Arial" w:cs="Arial"/>
          <w:sz w:val="22"/>
          <w:szCs w:val="22"/>
          <w:lang w:eastAsia="es-CO"/>
        </w:rPr>
        <w:t>la conclusión deriva de que el supuesto de hecho descrito en este numeral solo aplica a personas naturales</w:t>
      </w:r>
      <w:r w:rsidRPr="00DB0DCC" w:rsidR="00BB718B">
        <w:rPr>
          <w:rFonts w:ascii="Arial" w:hAnsi="Arial" w:cs="Arial"/>
          <w:sz w:val="22"/>
          <w:szCs w:val="22"/>
          <w:lang w:eastAsia="es-CO"/>
        </w:rPr>
        <w:t>, concretamente, a las mujeres que hayan ejercido actividades comerciales a través de un establecimiento de comercio durante al menos el último año anterior a la fecha de cierre del proceso de selección</w:t>
      </w:r>
      <w:r w:rsidRPr="00DB0DCC" w:rsidR="007849E0">
        <w:rPr>
          <w:rFonts w:ascii="Arial" w:hAnsi="Arial" w:cs="Arial"/>
          <w:sz w:val="22"/>
          <w:szCs w:val="22"/>
          <w:lang w:eastAsia="es-CO"/>
        </w:rPr>
        <w:t xml:space="preserve">. Asimismo, tampoco resulta aplicable a las fundaciones el criterio del numeral 4, </w:t>
      </w:r>
      <w:r w:rsidRPr="00DB0DCC" w:rsidR="0081728D">
        <w:rPr>
          <w:rFonts w:ascii="Arial" w:hAnsi="Arial" w:cs="Arial"/>
          <w:sz w:val="22"/>
          <w:szCs w:val="22"/>
          <w:lang w:eastAsia="es-CO"/>
        </w:rPr>
        <w:t>por cuanto e</w:t>
      </w:r>
      <w:r w:rsidRPr="00DB0DCC" w:rsidR="00AD70B4">
        <w:rPr>
          <w:rFonts w:ascii="Arial" w:hAnsi="Arial" w:cs="Arial"/>
          <w:sz w:val="22"/>
          <w:szCs w:val="22"/>
          <w:lang w:eastAsia="es-CO"/>
        </w:rPr>
        <w:t>ste</w:t>
      </w:r>
      <w:r w:rsidRPr="00DB0DCC" w:rsidR="0081728D">
        <w:rPr>
          <w:rFonts w:ascii="Arial" w:hAnsi="Arial" w:cs="Arial"/>
          <w:sz w:val="22"/>
          <w:szCs w:val="22"/>
          <w:lang w:eastAsia="es-CO"/>
        </w:rPr>
        <w:t xml:space="preserve"> aplica de manera exclusiva a asociaciones y cooperativas, </w:t>
      </w:r>
      <w:r w:rsidRPr="00DB0DCC" w:rsidR="000E27E9">
        <w:rPr>
          <w:rFonts w:ascii="Arial" w:hAnsi="Arial" w:cs="Arial"/>
          <w:sz w:val="22"/>
          <w:szCs w:val="22"/>
          <w:lang w:eastAsia="es-CO"/>
        </w:rPr>
        <w:t>personas jurídicas</w:t>
      </w:r>
      <w:r w:rsidRPr="00DB0DCC" w:rsidR="00AD70B4">
        <w:rPr>
          <w:rFonts w:ascii="Arial" w:hAnsi="Arial" w:cs="Arial"/>
          <w:sz w:val="22"/>
          <w:szCs w:val="22"/>
          <w:lang w:eastAsia="es-CO"/>
        </w:rPr>
        <w:t xml:space="preserve"> de un tipo</w:t>
      </w:r>
      <w:r w:rsidRPr="00DB0DCC" w:rsidR="000E27E9">
        <w:rPr>
          <w:rFonts w:ascii="Arial" w:hAnsi="Arial" w:cs="Arial"/>
          <w:sz w:val="22"/>
          <w:szCs w:val="22"/>
          <w:lang w:eastAsia="es-CO"/>
        </w:rPr>
        <w:t xml:space="preserve"> distint</w:t>
      </w:r>
      <w:r w:rsidRPr="00DB0DCC" w:rsidR="00AD70B4">
        <w:rPr>
          <w:rFonts w:ascii="Arial" w:hAnsi="Arial" w:cs="Arial"/>
          <w:sz w:val="22"/>
          <w:szCs w:val="22"/>
          <w:lang w:eastAsia="es-CO"/>
        </w:rPr>
        <w:t>o</w:t>
      </w:r>
      <w:r w:rsidRPr="00DB0DCC" w:rsidR="000E27E9">
        <w:rPr>
          <w:rFonts w:ascii="Arial" w:hAnsi="Arial" w:cs="Arial"/>
          <w:sz w:val="22"/>
          <w:szCs w:val="22"/>
          <w:lang w:eastAsia="es-CO"/>
        </w:rPr>
        <w:t xml:space="preserve"> </w:t>
      </w:r>
      <w:r w:rsidRPr="00DB0DCC" w:rsidR="00AD70B4">
        <w:rPr>
          <w:rFonts w:ascii="Arial" w:hAnsi="Arial" w:cs="Arial"/>
          <w:sz w:val="22"/>
          <w:szCs w:val="22"/>
          <w:lang w:eastAsia="es-CO"/>
        </w:rPr>
        <w:t>al de</w:t>
      </w:r>
      <w:r w:rsidRPr="00DB0DCC" w:rsidR="000E27E9">
        <w:rPr>
          <w:rFonts w:ascii="Arial" w:hAnsi="Arial" w:cs="Arial"/>
          <w:sz w:val="22"/>
          <w:szCs w:val="22"/>
          <w:lang w:eastAsia="es-CO"/>
        </w:rPr>
        <w:t xml:space="preserve"> las fundaciones. </w:t>
      </w:r>
    </w:p>
    <w:p w:rsidRPr="00DB0DCC" w:rsidR="00C06C2C" w:rsidP="00FC67CD" w:rsidRDefault="004461C0" w14:paraId="51924F99" w14:textId="5F377D6F">
      <w:pPr>
        <w:spacing w:line="276" w:lineRule="auto"/>
        <w:ind w:firstLine="709"/>
        <w:jc w:val="both"/>
        <w:rPr>
          <w:rFonts w:ascii="Arial" w:hAnsi="Arial" w:cs="Arial"/>
          <w:sz w:val="22"/>
          <w:szCs w:val="22"/>
          <w:lang w:eastAsia="es-CO"/>
        </w:rPr>
      </w:pPr>
      <w:r w:rsidRPr="00DB0DCC">
        <w:rPr>
          <w:rFonts w:ascii="Arial" w:hAnsi="Arial" w:eastAsia="Calibri" w:cs="Arial"/>
          <w:sz w:val="22"/>
          <w:szCs w:val="22"/>
          <w:lang w:val="es-ES_tradnl"/>
        </w:rPr>
        <w:t>De acuerdo con</w:t>
      </w:r>
      <w:r w:rsidRPr="00DB0DCC" w:rsidR="00E4398E">
        <w:rPr>
          <w:rFonts w:ascii="Arial" w:hAnsi="Arial" w:eastAsia="Calibri" w:cs="Arial"/>
          <w:sz w:val="22"/>
          <w:szCs w:val="22"/>
          <w:lang w:val="es-ES_tradnl"/>
        </w:rPr>
        <w:t xml:space="preserve"> lo anterior,</w:t>
      </w:r>
      <w:r w:rsidRPr="00DB0DCC" w:rsidR="00FC67CD">
        <w:rPr>
          <w:rFonts w:ascii="Arial" w:hAnsi="Arial" w:eastAsia="Calibri" w:cs="Arial"/>
          <w:sz w:val="22"/>
          <w:szCs w:val="22"/>
          <w:lang w:val="es-ES_tradnl"/>
        </w:rPr>
        <w:t xml:space="preserve"> </w:t>
      </w:r>
      <w:r w:rsidRPr="00DB0DCC" w:rsidR="00F733FD">
        <w:rPr>
          <w:rFonts w:ascii="Arial" w:hAnsi="Arial" w:eastAsia="Calibri" w:cs="Arial"/>
          <w:sz w:val="22"/>
          <w:szCs w:val="22"/>
          <w:lang w:val="es-ES_tradnl"/>
        </w:rPr>
        <w:t>fundaciones p</w:t>
      </w:r>
      <w:r w:rsidRPr="001A6E4A" w:rsidR="00906E03">
        <w:rPr>
          <w:rFonts w:ascii="Arial" w:hAnsi="Arial" w:eastAsia="Calibri" w:cs="Arial"/>
          <w:sz w:val="22"/>
          <w:szCs w:val="22"/>
          <w:lang w:val="es-ES_tradnl"/>
        </w:rPr>
        <w:t xml:space="preserve">ueden </w:t>
      </w:r>
      <w:r w:rsidRPr="00DB0DCC" w:rsidR="00F733FD">
        <w:rPr>
          <w:rFonts w:ascii="Arial" w:hAnsi="Arial" w:eastAsia="Calibri" w:cs="Arial"/>
          <w:sz w:val="22"/>
          <w:szCs w:val="22"/>
          <w:lang w:val="es-ES_tradnl"/>
        </w:rPr>
        <w:t>participar en</w:t>
      </w:r>
      <w:r w:rsidRPr="001A6E4A" w:rsidR="00906E03">
        <w:rPr>
          <w:rFonts w:ascii="Arial" w:hAnsi="Arial" w:eastAsia="Calibri" w:cs="Arial"/>
          <w:sz w:val="22"/>
          <w:szCs w:val="22"/>
          <w:lang w:val="es-ES_tradnl"/>
        </w:rPr>
        <w:t xml:space="preserve"> </w:t>
      </w:r>
      <w:r w:rsidRPr="00DB0DCC" w:rsidR="00671284">
        <w:rPr>
          <w:rFonts w:ascii="Arial" w:hAnsi="Arial" w:eastAsia="Calibri" w:cs="Arial"/>
          <w:sz w:val="22"/>
          <w:szCs w:val="22"/>
          <w:lang w:val="es-ES_tradnl"/>
        </w:rPr>
        <w:t>proceso</w:t>
      </w:r>
      <w:r w:rsidRPr="001A6E4A" w:rsidR="00906E03">
        <w:rPr>
          <w:rFonts w:ascii="Arial" w:hAnsi="Arial" w:eastAsia="Calibri" w:cs="Arial"/>
          <w:sz w:val="22"/>
          <w:szCs w:val="22"/>
          <w:lang w:val="es-ES_tradnl"/>
        </w:rPr>
        <w:t>s</w:t>
      </w:r>
      <w:r w:rsidRPr="00DB0DCC" w:rsidR="00671284">
        <w:rPr>
          <w:rFonts w:ascii="Arial" w:hAnsi="Arial" w:eastAsia="Calibri" w:cs="Arial"/>
          <w:sz w:val="22"/>
          <w:szCs w:val="22"/>
          <w:lang w:val="es-ES_tradnl"/>
        </w:rPr>
        <w:t xml:space="preserve"> de </w:t>
      </w:r>
      <w:r w:rsidRPr="00DB0DCC" w:rsidR="00EE6B5C">
        <w:rPr>
          <w:rFonts w:ascii="Arial" w:hAnsi="Arial" w:eastAsia="Calibri" w:cs="Arial"/>
          <w:sz w:val="22"/>
          <w:szCs w:val="22"/>
          <w:lang w:val="es-ES_tradnl"/>
        </w:rPr>
        <w:t>contratación</w:t>
      </w:r>
      <w:r w:rsidRPr="00DB0DCC" w:rsidR="00671284">
        <w:rPr>
          <w:rFonts w:ascii="Arial" w:hAnsi="Arial" w:eastAsia="Calibri" w:cs="Arial"/>
          <w:sz w:val="22"/>
          <w:szCs w:val="22"/>
          <w:lang w:val="es-ES_tradnl"/>
        </w:rPr>
        <w:t xml:space="preserve"> en </w:t>
      </w:r>
      <w:r w:rsidRPr="001A6E4A" w:rsidR="00906E03">
        <w:rPr>
          <w:rFonts w:ascii="Arial" w:hAnsi="Arial" w:eastAsia="Calibri" w:cs="Arial"/>
          <w:sz w:val="22"/>
          <w:szCs w:val="22"/>
          <w:lang w:val="es-ES_tradnl"/>
        </w:rPr>
        <w:t>los</w:t>
      </w:r>
      <w:r w:rsidRPr="00DB0DCC" w:rsidR="00671284">
        <w:rPr>
          <w:rFonts w:ascii="Arial" w:hAnsi="Arial" w:eastAsia="Calibri" w:cs="Arial"/>
          <w:sz w:val="22"/>
          <w:szCs w:val="22"/>
          <w:lang w:val="es-ES_tradnl"/>
        </w:rPr>
        <w:t xml:space="preserve"> que </w:t>
      </w:r>
      <w:r w:rsidRPr="00DB0DCC" w:rsidR="00643C97">
        <w:rPr>
          <w:rFonts w:ascii="Arial" w:hAnsi="Arial" w:eastAsia="Calibri" w:cs="Arial"/>
          <w:sz w:val="22"/>
          <w:szCs w:val="22"/>
          <w:lang w:val="es-ES_tradnl"/>
        </w:rPr>
        <w:t>se incluy</w:t>
      </w:r>
      <w:r w:rsidRPr="00DB0DCC" w:rsidR="00FC67CD">
        <w:rPr>
          <w:rFonts w:ascii="Arial" w:hAnsi="Arial" w:eastAsia="Calibri" w:cs="Arial"/>
          <w:sz w:val="22"/>
          <w:szCs w:val="22"/>
          <w:lang w:val="es-ES_tradnl"/>
        </w:rPr>
        <w:t>a</w:t>
      </w:r>
      <w:r w:rsidRPr="00DB0DCC" w:rsidR="00643C97">
        <w:rPr>
          <w:rFonts w:ascii="Arial" w:hAnsi="Arial" w:eastAsia="Calibri" w:cs="Arial"/>
          <w:sz w:val="22"/>
          <w:szCs w:val="22"/>
          <w:lang w:val="es-ES_tradnl"/>
        </w:rPr>
        <w:t>n</w:t>
      </w:r>
      <w:r w:rsidRPr="00DB0DCC" w:rsidR="002D6438">
        <w:rPr>
          <w:rFonts w:ascii="Arial" w:hAnsi="Arial" w:eastAsia="Calibri" w:cs="Arial"/>
          <w:sz w:val="22"/>
          <w:szCs w:val="22"/>
          <w:lang w:val="es-ES_tradnl"/>
        </w:rPr>
        <w:t xml:space="preserve"> criterios diferenciales </w:t>
      </w:r>
      <w:r w:rsidRPr="00DB0DCC" w:rsidR="00946342">
        <w:rPr>
          <w:rFonts w:ascii="Arial" w:hAnsi="Arial" w:eastAsia="Calibri" w:cs="Arial"/>
          <w:sz w:val="22"/>
          <w:szCs w:val="22"/>
          <w:lang w:val="es-ES_tradnl"/>
        </w:rPr>
        <w:t xml:space="preserve">en favor de </w:t>
      </w:r>
      <w:r w:rsidRPr="00DB0DCC" w:rsidR="002D6438">
        <w:rPr>
          <w:rFonts w:ascii="Arial" w:hAnsi="Arial" w:eastAsia="Calibri" w:cs="Arial"/>
          <w:sz w:val="22"/>
          <w:szCs w:val="22"/>
          <w:lang w:val="es-ES_tradnl"/>
        </w:rPr>
        <w:t xml:space="preserve">emprendimientos </w:t>
      </w:r>
      <w:r w:rsidRPr="00DB0DCC" w:rsidR="00975495">
        <w:rPr>
          <w:rFonts w:ascii="Arial" w:hAnsi="Arial" w:eastAsia="Calibri" w:cs="Arial"/>
          <w:sz w:val="22"/>
          <w:szCs w:val="22"/>
          <w:lang w:val="es-ES_tradnl"/>
        </w:rPr>
        <w:t>y empresas de mujeres</w:t>
      </w:r>
      <w:r w:rsidRPr="00DB0DCC" w:rsidR="00643C97">
        <w:rPr>
          <w:rFonts w:ascii="Arial" w:hAnsi="Arial" w:eastAsia="Calibri" w:cs="Arial"/>
          <w:sz w:val="22"/>
          <w:szCs w:val="22"/>
          <w:lang w:val="es-ES_tradnl"/>
        </w:rPr>
        <w:t>,</w:t>
      </w:r>
      <w:r w:rsidRPr="00DB0DCC" w:rsidR="00975495">
        <w:rPr>
          <w:rFonts w:ascii="Arial" w:hAnsi="Arial" w:eastAsia="Calibri" w:cs="Arial"/>
          <w:sz w:val="22"/>
          <w:szCs w:val="22"/>
          <w:lang w:val="es-ES_tradnl"/>
        </w:rPr>
        <w:t xml:space="preserve"> </w:t>
      </w:r>
      <w:r w:rsidRPr="00DB0DCC" w:rsidR="002302B5">
        <w:rPr>
          <w:rFonts w:ascii="Arial" w:hAnsi="Arial" w:eastAsia="Calibri" w:cs="Arial"/>
          <w:sz w:val="22"/>
          <w:szCs w:val="22"/>
          <w:lang w:val="es-ES_tradnl"/>
        </w:rPr>
        <w:t>según</w:t>
      </w:r>
      <w:r w:rsidRPr="00DB0DCC" w:rsidR="00756A36">
        <w:rPr>
          <w:rFonts w:ascii="Arial" w:hAnsi="Arial" w:eastAsia="Calibri" w:cs="Arial"/>
          <w:sz w:val="22"/>
          <w:szCs w:val="22"/>
          <w:lang w:val="es-ES_tradnl"/>
        </w:rPr>
        <w:t xml:space="preserve"> lo dispuesto en el artículo </w:t>
      </w:r>
      <w:r w:rsidRPr="001A6E4A" w:rsidR="00756A36">
        <w:rPr>
          <w:rFonts w:ascii="Arial" w:hAnsi="Arial" w:cs="Arial"/>
          <w:sz w:val="22"/>
          <w:szCs w:val="22"/>
          <w:lang w:eastAsia="es-CO"/>
        </w:rPr>
        <w:t>2.2.1.2.4.2.15</w:t>
      </w:r>
      <w:r w:rsidRPr="001A6E4A" w:rsidR="00E12FC3">
        <w:rPr>
          <w:rFonts w:ascii="Arial" w:hAnsi="Arial" w:cs="Arial"/>
          <w:sz w:val="22"/>
          <w:szCs w:val="22"/>
          <w:lang w:eastAsia="es-CO"/>
        </w:rPr>
        <w:t xml:space="preserve"> del Decreto 1082 de 2015</w:t>
      </w:r>
      <w:r w:rsidRPr="00DB0DCC" w:rsidR="00946342">
        <w:rPr>
          <w:rFonts w:ascii="Arial" w:hAnsi="Arial" w:cs="Arial"/>
          <w:sz w:val="22"/>
          <w:szCs w:val="22"/>
          <w:lang w:eastAsia="es-CO"/>
        </w:rPr>
        <w:t xml:space="preserve">, </w:t>
      </w:r>
      <w:r w:rsidRPr="00DB0DCC" w:rsidR="00FC67CD">
        <w:rPr>
          <w:rFonts w:ascii="Arial" w:hAnsi="Arial" w:cs="Arial"/>
          <w:sz w:val="22"/>
          <w:szCs w:val="22"/>
          <w:lang w:eastAsia="es-CO"/>
        </w:rPr>
        <w:t>no obstante, no</w:t>
      </w:r>
      <w:r w:rsidRPr="001A6E4A" w:rsidR="00906E03">
        <w:rPr>
          <w:rFonts w:ascii="Arial" w:hAnsi="Arial" w:cs="Arial"/>
          <w:sz w:val="22"/>
          <w:szCs w:val="22"/>
          <w:lang w:eastAsia="es-CO"/>
        </w:rPr>
        <w:t xml:space="preserve"> es</w:t>
      </w:r>
      <w:r w:rsidRPr="00DB0DCC" w:rsidR="00FC67CD">
        <w:rPr>
          <w:rFonts w:ascii="Arial" w:hAnsi="Arial" w:cs="Arial"/>
          <w:sz w:val="22"/>
          <w:szCs w:val="22"/>
          <w:lang w:eastAsia="es-CO"/>
        </w:rPr>
        <w:t xml:space="preserve"> posible que se beneficien de la aplicación de </w:t>
      </w:r>
      <w:proofErr w:type="gramStart"/>
      <w:r w:rsidRPr="00DB0DCC" w:rsidR="00FC67CD">
        <w:rPr>
          <w:rFonts w:ascii="Arial" w:hAnsi="Arial" w:cs="Arial"/>
          <w:sz w:val="22"/>
          <w:szCs w:val="22"/>
          <w:lang w:eastAsia="es-CO"/>
        </w:rPr>
        <w:t>los mismos</w:t>
      </w:r>
      <w:proofErr w:type="gramEnd"/>
      <w:r w:rsidRPr="00DB0DCC" w:rsidR="00C06C2C">
        <w:rPr>
          <w:rFonts w:ascii="Arial" w:hAnsi="Arial" w:cs="Arial"/>
          <w:sz w:val="22"/>
          <w:szCs w:val="22"/>
          <w:lang w:eastAsia="es-CO"/>
        </w:rPr>
        <w:t xml:space="preserve">. Esto comoquiera que, en virtud de la naturaleza de entidades sin </w:t>
      </w:r>
      <w:proofErr w:type="spellStart"/>
      <w:r w:rsidRPr="00DB0DCC" w:rsidR="00C06C2C">
        <w:rPr>
          <w:rFonts w:ascii="Arial" w:hAnsi="Arial" w:cs="Arial"/>
          <w:sz w:val="22"/>
          <w:szCs w:val="22"/>
          <w:lang w:eastAsia="es-CO"/>
        </w:rPr>
        <w:t>animo</w:t>
      </w:r>
      <w:proofErr w:type="spellEnd"/>
      <w:r w:rsidRPr="00DB0DCC" w:rsidR="00C06C2C">
        <w:rPr>
          <w:rFonts w:ascii="Arial" w:hAnsi="Arial" w:cs="Arial"/>
          <w:sz w:val="22"/>
          <w:szCs w:val="22"/>
          <w:lang w:eastAsia="es-CO"/>
        </w:rPr>
        <w:t xml:space="preserve"> de lucro de las fundaciones, no les resultan aplicable</w:t>
      </w:r>
      <w:r w:rsidRPr="00DB0DCC" w:rsidR="00123E30">
        <w:rPr>
          <w:rFonts w:ascii="Arial" w:hAnsi="Arial" w:cs="Arial"/>
          <w:sz w:val="22"/>
          <w:szCs w:val="22"/>
          <w:lang w:eastAsia="es-CO"/>
        </w:rPr>
        <w:t>s</w:t>
      </w:r>
      <w:r w:rsidRPr="00DB0DCC" w:rsidR="00C06C2C">
        <w:rPr>
          <w:rFonts w:ascii="Arial" w:hAnsi="Arial" w:cs="Arial"/>
          <w:sz w:val="22"/>
          <w:szCs w:val="22"/>
          <w:lang w:eastAsia="es-CO"/>
        </w:rPr>
        <w:t xml:space="preserve"> los supuestos de hecho de los numerales 1 y 2 del artículo 2.2.1.2.4.2.14</w:t>
      </w:r>
      <w:r w:rsidRPr="00DB0DCC" w:rsidR="00123E30">
        <w:rPr>
          <w:rFonts w:ascii="Arial" w:hAnsi="Arial" w:cs="Arial"/>
          <w:sz w:val="22"/>
          <w:szCs w:val="22"/>
          <w:lang w:eastAsia="es-CO"/>
        </w:rPr>
        <w:t xml:space="preserve"> del Decreto 1082 de 2015</w:t>
      </w:r>
      <w:r w:rsidRPr="00DB0DCC" w:rsidR="00C06C2C">
        <w:rPr>
          <w:rFonts w:ascii="Arial" w:hAnsi="Arial" w:cs="Arial"/>
          <w:sz w:val="22"/>
          <w:szCs w:val="22"/>
          <w:lang w:eastAsia="es-CO"/>
        </w:rPr>
        <w:t xml:space="preserve">, los cuales </w:t>
      </w:r>
      <w:r w:rsidRPr="00DB0DCC" w:rsidR="00123E30">
        <w:rPr>
          <w:rFonts w:ascii="Arial" w:hAnsi="Arial" w:cs="Arial"/>
          <w:sz w:val="22"/>
          <w:szCs w:val="22"/>
          <w:lang w:eastAsia="es-CO"/>
        </w:rPr>
        <w:t xml:space="preserve">solo pueden ser acreditados por empresas o sociedades comerciales. Esto además comoquiera que, tampoco le son aplicables a las fundaciones las definiciones de los numerales 3 y 4 del artículo 2.2.1.2.4.2.14, dirigidos exclusivamente a persona naturales, asociaciones y cooperativas, respectivamente. </w:t>
      </w:r>
    </w:p>
    <w:p w:rsidRPr="00DB0DCC" w:rsidR="00722D4B" w:rsidP="001A6E4A" w:rsidRDefault="00722D4B" w14:paraId="7ABF30DD" w14:textId="77777777">
      <w:pPr>
        <w:spacing w:line="276" w:lineRule="auto"/>
        <w:jc w:val="both"/>
        <w:rPr>
          <w:rFonts w:ascii="Arial" w:hAnsi="Arial" w:eastAsia="Calibri" w:cs="Arial"/>
          <w:sz w:val="22"/>
          <w:szCs w:val="22"/>
          <w:lang w:val="es-ES_tradnl"/>
        </w:rPr>
      </w:pPr>
    </w:p>
    <w:bookmarkEnd w:id="3"/>
    <w:p w:rsidRPr="00DB0DCC" w:rsidR="008C4433" w:rsidP="008C4433" w:rsidRDefault="008C4433" w14:paraId="653C2BFB" w14:textId="015A48DB">
      <w:pPr>
        <w:tabs>
          <w:tab w:val="left" w:pos="0"/>
        </w:tabs>
        <w:jc w:val="both"/>
        <w:rPr>
          <w:rFonts w:ascii="Arial" w:hAnsi="Arial" w:eastAsia="Calibri" w:cs="Arial"/>
          <w:b/>
          <w:color w:val="000000"/>
          <w:sz w:val="22"/>
          <w:szCs w:val="22"/>
          <w:lang w:val="es-ES_tradnl"/>
        </w:rPr>
      </w:pPr>
      <w:r w:rsidRPr="00DB0DCC">
        <w:rPr>
          <w:rFonts w:ascii="Arial" w:hAnsi="Arial" w:eastAsia="Calibri" w:cs="Arial"/>
          <w:b/>
          <w:color w:val="000000"/>
          <w:sz w:val="22"/>
          <w:szCs w:val="22"/>
          <w:lang w:val="es-ES_tradnl"/>
        </w:rPr>
        <w:t>3. Respuesta</w:t>
      </w:r>
    </w:p>
    <w:p w:rsidRPr="00DB0DCC" w:rsidR="008C4433" w:rsidP="008C4433" w:rsidRDefault="008C4433" w14:paraId="507036FE" w14:textId="2912BE75">
      <w:pPr>
        <w:tabs>
          <w:tab w:val="left" w:pos="0"/>
        </w:tabs>
        <w:ind w:left="709" w:right="709" w:firstLine="709"/>
        <w:jc w:val="both"/>
        <w:rPr>
          <w:rFonts w:ascii="Arial" w:hAnsi="Arial" w:eastAsia="Calibri" w:cs="Arial"/>
          <w:b/>
          <w:color w:val="000000"/>
          <w:lang w:val="es-ES_tradnl"/>
        </w:rPr>
      </w:pPr>
    </w:p>
    <w:p w:rsidRPr="00DB0DCC" w:rsidR="001F51C3" w:rsidP="001F51C3" w:rsidRDefault="008C4433" w14:paraId="4D32B96D" w14:textId="4655B058">
      <w:pPr>
        <w:ind w:left="708" w:right="900"/>
        <w:jc w:val="both"/>
        <w:rPr>
          <w:rFonts w:ascii="Arial" w:hAnsi="Arial" w:cs="Arial"/>
          <w:color w:val="000000"/>
          <w:sz w:val="21"/>
          <w:szCs w:val="21"/>
        </w:rPr>
      </w:pPr>
      <w:r w:rsidRPr="00DB0DCC">
        <w:rPr>
          <w:rFonts w:ascii="Arial" w:hAnsi="Arial" w:cs="Arial"/>
          <w:sz w:val="21"/>
          <w:szCs w:val="21"/>
        </w:rPr>
        <w:t>«</w:t>
      </w:r>
      <w:r w:rsidRPr="00DB0DCC" w:rsidDel="00DE5791" w:rsidR="001F51C3">
        <w:rPr>
          <w:rFonts w:ascii="Arial" w:hAnsi="Arial" w:cs="Arial"/>
          <w:color w:val="000000" w:themeColor="text1"/>
          <w:sz w:val="22"/>
          <w:szCs w:val="22"/>
          <w:lang w:val="es-ES_tradnl"/>
        </w:rPr>
        <w:t xml:space="preserve"> </w:t>
      </w:r>
      <w:r w:rsidRPr="00DB0DCC" w:rsidR="001F51C3">
        <w:rPr>
          <w:rFonts w:ascii="Arial" w:hAnsi="Arial" w:cs="Arial"/>
          <w:color w:val="000000"/>
          <w:sz w:val="21"/>
          <w:szCs w:val="21"/>
        </w:rPr>
        <w:t>1. Sírvase indicar de forma clara si el artículo 2.2.1.2.4.2.14 del decreto 1082 de 2015, es aplicable para fundaciones».</w:t>
      </w:r>
    </w:p>
    <w:p w:rsidRPr="00DB0DCC" w:rsidR="001F51C3" w:rsidP="001F51C3" w:rsidRDefault="001F51C3" w14:paraId="2E006E54" w14:textId="77777777">
      <w:pPr>
        <w:ind w:left="708" w:right="900"/>
        <w:jc w:val="both"/>
        <w:rPr>
          <w:rFonts w:ascii="Arial" w:hAnsi="Arial" w:cs="Arial"/>
          <w:color w:val="000000"/>
          <w:sz w:val="21"/>
          <w:szCs w:val="21"/>
        </w:rPr>
      </w:pPr>
    </w:p>
    <w:p w:rsidRPr="00DB0DCC" w:rsidR="001F51C3" w:rsidP="001F51C3" w:rsidRDefault="001F51C3" w14:paraId="61955D49" w14:textId="617E9516">
      <w:pPr>
        <w:ind w:left="708" w:right="900"/>
        <w:jc w:val="both"/>
        <w:rPr>
          <w:rFonts w:ascii="Arial" w:hAnsi="Arial" w:cs="Arial"/>
          <w:color w:val="000000"/>
          <w:sz w:val="21"/>
          <w:szCs w:val="21"/>
        </w:rPr>
      </w:pPr>
      <w:r w:rsidRPr="00DB0DCC">
        <w:rPr>
          <w:rFonts w:ascii="Arial" w:hAnsi="Arial" w:cs="Arial"/>
          <w:color w:val="000000"/>
          <w:sz w:val="21"/>
          <w:szCs w:val="21"/>
        </w:rPr>
        <w:t>2.</w:t>
      </w:r>
      <w:r w:rsidRPr="001A6E4A" w:rsidR="002B3E13">
        <w:rPr>
          <w:rFonts w:ascii="Arial" w:hAnsi="Arial" w:cs="Arial"/>
          <w:color w:val="000000"/>
          <w:sz w:val="21"/>
          <w:szCs w:val="21"/>
        </w:rPr>
        <w:t xml:space="preserve"> </w:t>
      </w:r>
      <w:r w:rsidRPr="00DB0DCC">
        <w:rPr>
          <w:rFonts w:ascii="Arial" w:hAnsi="Arial" w:cs="Arial"/>
          <w:color w:val="000000"/>
          <w:sz w:val="21"/>
          <w:szCs w:val="21"/>
        </w:rPr>
        <w:t>Sírvase indicar si una fundación puede obtener el puntaje determinado en el artículo 2.2.1.2.4.2.14 del decreto 1082 de 2015</w:t>
      </w:r>
    </w:p>
    <w:p w:rsidRPr="00DB0DCC" w:rsidR="001F51C3" w:rsidP="001F51C3" w:rsidRDefault="001F51C3" w14:paraId="3A28B261" w14:textId="77777777">
      <w:pPr>
        <w:pStyle w:val="Prrafodelista"/>
        <w:ind w:right="900"/>
        <w:jc w:val="both"/>
        <w:rPr>
          <w:rFonts w:ascii="Arial" w:hAnsi="Arial" w:cs="Arial"/>
          <w:color w:val="000000"/>
          <w:sz w:val="21"/>
          <w:szCs w:val="21"/>
          <w:lang w:eastAsia="es-MX"/>
        </w:rPr>
      </w:pPr>
    </w:p>
    <w:p w:rsidRPr="00DB0DCC" w:rsidR="001F51C3" w:rsidP="001F51C3" w:rsidRDefault="001F51C3" w14:paraId="46500C8E" w14:textId="502A6720">
      <w:pPr>
        <w:ind w:left="708" w:right="900"/>
        <w:jc w:val="both"/>
        <w:rPr>
          <w:rFonts w:ascii="Arial" w:hAnsi="Arial" w:cs="Arial"/>
          <w:color w:val="000000"/>
          <w:sz w:val="21"/>
          <w:szCs w:val="21"/>
        </w:rPr>
      </w:pPr>
      <w:r w:rsidRPr="00DB0DCC">
        <w:rPr>
          <w:rFonts w:ascii="Arial" w:hAnsi="Arial" w:cs="Arial"/>
          <w:color w:val="000000"/>
          <w:sz w:val="21"/>
          <w:szCs w:val="21"/>
        </w:rPr>
        <w:t>3. Sírvase indicar cuál criterio diferencial, le sería aplicable a una persona jurídica sin ánimo-de lucro-fundación».</w:t>
      </w:r>
    </w:p>
    <w:p w:rsidRPr="00DB0DCC" w:rsidR="009C6278" w:rsidP="001F51C3" w:rsidRDefault="009C6278" w14:paraId="04CA64EF" w14:textId="12F2BDF3">
      <w:pPr>
        <w:ind w:right="709"/>
        <w:jc w:val="both"/>
        <w:rPr>
          <w:rFonts w:ascii="Arial" w:hAnsi="Arial" w:eastAsia="Calibri" w:cs="Arial"/>
          <w:color w:val="000000"/>
          <w:sz w:val="22"/>
          <w:szCs w:val="22"/>
          <w:lang w:val="es-ES_tradnl"/>
        </w:rPr>
      </w:pPr>
    </w:p>
    <w:p w:rsidRPr="00DB0DCC" w:rsidR="004C613A" w:rsidP="00801AEF" w:rsidRDefault="00D27DC9" w14:paraId="6CDF7966" w14:textId="59610D27">
      <w:pPr>
        <w:spacing w:after="120" w:line="276" w:lineRule="auto"/>
        <w:jc w:val="both"/>
        <w:rPr>
          <w:rFonts w:ascii="Arial" w:hAnsi="Arial" w:eastAsia="Calibri" w:cs="Arial"/>
          <w:color w:val="000000" w:themeColor="text1"/>
          <w:sz w:val="22"/>
          <w:szCs w:val="22"/>
        </w:rPr>
      </w:pPr>
      <w:r w:rsidRPr="001A6E4A">
        <w:rPr>
          <w:rFonts w:ascii="Arial" w:hAnsi="Arial" w:eastAsia="Calibri" w:cs="Arial"/>
          <w:color w:val="000000"/>
          <w:sz w:val="22"/>
          <w:szCs w:val="22"/>
          <w:lang w:val="es-ES_tradnl"/>
        </w:rPr>
        <w:t>De acuerdo con</w:t>
      </w:r>
      <w:r w:rsidRPr="00DB0DCC" w:rsidR="009C6278">
        <w:rPr>
          <w:rFonts w:ascii="Arial" w:hAnsi="Arial" w:eastAsia="Calibri" w:cs="Arial"/>
          <w:color w:val="000000" w:themeColor="text1"/>
          <w:sz w:val="22"/>
          <w:szCs w:val="22"/>
        </w:rPr>
        <w:t xml:space="preserve"> l</w:t>
      </w:r>
      <w:r w:rsidRPr="00DB0DCC" w:rsidR="00506CBA">
        <w:rPr>
          <w:rFonts w:ascii="Arial" w:hAnsi="Arial" w:eastAsia="Calibri" w:cs="Arial"/>
          <w:color w:val="000000" w:themeColor="text1"/>
          <w:sz w:val="22"/>
          <w:szCs w:val="22"/>
        </w:rPr>
        <w:t>o expuesto, las fundacione</w:t>
      </w:r>
      <w:r w:rsidRPr="001A6E4A">
        <w:rPr>
          <w:rFonts w:ascii="Arial" w:hAnsi="Arial" w:eastAsia="Calibri" w:cs="Arial"/>
          <w:color w:val="000000" w:themeColor="text1"/>
          <w:sz w:val="22"/>
          <w:szCs w:val="22"/>
        </w:rPr>
        <w:t xml:space="preserve">s </w:t>
      </w:r>
      <w:r w:rsidRPr="00DB0DCC" w:rsidR="009C3144">
        <w:rPr>
          <w:rFonts w:ascii="Arial" w:hAnsi="Arial" w:eastAsia="Calibri" w:cs="Arial"/>
          <w:color w:val="000000" w:themeColor="text1"/>
          <w:sz w:val="22"/>
          <w:szCs w:val="22"/>
        </w:rPr>
        <w:t xml:space="preserve">pueden ser proponentes en procesos de </w:t>
      </w:r>
      <w:r w:rsidRPr="00DB0DCC" w:rsidR="004F4E68">
        <w:rPr>
          <w:rFonts w:ascii="Arial" w:hAnsi="Arial" w:eastAsia="Calibri" w:cs="Arial"/>
          <w:color w:val="000000" w:themeColor="text1"/>
          <w:sz w:val="22"/>
          <w:szCs w:val="22"/>
        </w:rPr>
        <w:t xml:space="preserve">licitación pública, selección abreviada de menor cuantía y concurso de méritos adelantados </w:t>
      </w:r>
      <w:r w:rsidRPr="00DB0DCC" w:rsidR="00BD2B91">
        <w:rPr>
          <w:rFonts w:ascii="Arial" w:hAnsi="Arial" w:eastAsia="Calibri" w:cs="Arial"/>
          <w:color w:val="000000" w:themeColor="text1"/>
          <w:sz w:val="22"/>
          <w:szCs w:val="22"/>
        </w:rPr>
        <w:t>por las entidades sometidas al Estatuto General de Contratación de la Administración Pública</w:t>
      </w:r>
      <w:r w:rsidRPr="00DB0DCC" w:rsidR="00224498">
        <w:rPr>
          <w:rFonts w:ascii="Arial" w:hAnsi="Arial" w:eastAsia="Calibri" w:cs="Arial"/>
          <w:color w:val="000000" w:themeColor="text1"/>
          <w:sz w:val="22"/>
          <w:szCs w:val="22"/>
        </w:rPr>
        <w:t>. Dado lo anterior, considerando</w:t>
      </w:r>
      <w:r w:rsidRPr="00DB0DCC" w:rsidR="00801AEF">
        <w:rPr>
          <w:rFonts w:ascii="Arial" w:hAnsi="Arial" w:eastAsia="Calibri" w:cs="Arial"/>
          <w:color w:val="000000" w:themeColor="text1"/>
          <w:sz w:val="22"/>
          <w:szCs w:val="22"/>
        </w:rPr>
        <w:t xml:space="preserve"> que</w:t>
      </w:r>
      <w:r w:rsidRPr="00DB0DCC" w:rsidR="00787988">
        <w:rPr>
          <w:rFonts w:ascii="Arial" w:hAnsi="Arial" w:eastAsia="Calibri" w:cs="Arial"/>
          <w:color w:val="000000" w:themeColor="text1"/>
          <w:sz w:val="22"/>
          <w:szCs w:val="22"/>
        </w:rPr>
        <w:t xml:space="preserve"> los </w:t>
      </w:r>
      <w:r w:rsidRPr="00DB0DCC" w:rsidR="004F4E68">
        <w:rPr>
          <w:rFonts w:ascii="Arial" w:hAnsi="Arial" w:eastAsia="Calibri" w:cs="Arial"/>
          <w:color w:val="000000" w:themeColor="text1"/>
          <w:sz w:val="22"/>
          <w:szCs w:val="22"/>
        </w:rPr>
        <w:t xml:space="preserve">criterios diferenciales para emprendimientos y empresas </w:t>
      </w:r>
      <w:r w:rsidRPr="00DB0DCC" w:rsidR="004C613A">
        <w:rPr>
          <w:rFonts w:ascii="Arial" w:hAnsi="Arial" w:eastAsia="Calibri" w:cs="Arial"/>
          <w:color w:val="000000" w:themeColor="text1"/>
          <w:sz w:val="22"/>
          <w:szCs w:val="22"/>
        </w:rPr>
        <w:t>de</w:t>
      </w:r>
      <w:r w:rsidRPr="00DB0DCC" w:rsidR="004F4E68">
        <w:rPr>
          <w:rFonts w:ascii="Arial" w:hAnsi="Arial" w:eastAsia="Calibri" w:cs="Arial"/>
          <w:color w:val="000000" w:themeColor="text1"/>
          <w:sz w:val="22"/>
          <w:szCs w:val="22"/>
        </w:rPr>
        <w:t xml:space="preserve"> mujeres establecidos por el artículo 32 de la Ley 20</w:t>
      </w:r>
      <w:r w:rsidRPr="00DB0DCC" w:rsidR="004C613A">
        <w:rPr>
          <w:rFonts w:ascii="Arial" w:hAnsi="Arial" w:eastAsia="Calibri" w:cs="Arial"/>
          <w:color w:val="000000" w:themeColor="text1"/>
          <w:sz w:val="22"/>
          <w:szCs w:val="22"/>
        </w:rPr>
        <w:t xml:space="preserve">69 de 2020 </w:t>
      </w:r>
      <w:r w:rsidRPr="00DB0DCC" w:rsidR="004F4E68">
        <w:rPr>
          <w:rFonts w:ascii="Arial" w:hAnsi="Arial" w:eastAsia="Calibri" w:cs="Arial"/>
          <w:color w:val="000000" w:themeColor="text1"/>
          <w:sz w:val="22"/>
          <w:szCs w:val="22"/>
        </w:rPr>
        <w:t>son aplicables en tales procedimientos</w:t>
      </w:r>
      <w:r w:rsidRPr="00DB0DCC" w:rsidR="004C613A">
        <w:rPr>
          <w:rFonts w:ascii="Arial" w:hAnsi="Arial" w:eastAsia="Calibri" w:cs="Arial"/>
          <w:color w:val="000000" w:themeColor="text1"/>
          <w:sz w:val="22"/>
          <w:szCs w:val="22"/>
        </w:rPr>
        <w:t xml:space="preserve">, las fundaciones </w:t>
      </w:r>
      <w:r w:rsidRPr="00DB0DCC" w:rsidR="00123E30">
        <w:rPr>
          <w:rFonts w:ascii="Arial" w:hAnsi="Arial" w:eastAsia="Calibri" w:cs="Arial"/>
          <w:color w:val="000000" w:themeColor="text1"/>
          <w:sz w:val="22"/>
          <w:szCs w:val="22"/>
        </w:rPr>
        <w:t xml:space="preserve">podrían participar en procedimientos en los que se </w:t>
      </w:r>
      <w:r w:rsidRPr="00DB0DCC" w:rsidR="00B45D0D">
        <w:rPr>
          <w:rFonts w:ascii="Arial" w:hAnsi="Arial" w:eastAsia="Calibri" w:cs="Arial"/>
          <w:color w:val="000000" w:themeColor="text1"/>
          <w:sz w:val="22"/>
          <w:szCs w:val="22"/>
        </w:rPr>
        <w:t>apli</w:t>
      </w:r>
      <w:r w:rsidRPr="00DB0DCC" w:rsidR="00123E30">
        <w:rPr>
          <w:rFonts w:ascii="Arial" w:hAnsi="Arial" w:eastAsia="Calibri" w:cs="Arial"/>
          <w:color w:val="000000" w:themeColor="text1"/>
          <w:sz w:val="22"/>
          <w:szCs w:val="22"/>
        </w:rPr>
        <w:t>quen</w:t>
      </w:r>
      <w:r w:rsidRPr="00DB0DCC" w:rsidR="00B45D0D">
        <w:rPr>
          <w:rFonts w:ascii="Arial" w:hAnsi="Arial" w:eastAsia="Calibri" w:cs="Arial"/>
          <w:color w:val="000000" w:themeColor="text1"/>
          <w:sz w:val="22"/>
          <w:szCs w:val="22"/>
        </w:rPr>
        <w:t xml:space="preserve"> dichos criterio</w:t>
      </w:r>
      <w:r w:rsidRPr="00DB0DCC" w:rsidR="00123E30">
        <w:rPr>
          <w:rFonts w:ascii="Arial" w:hAnsi="Arial" w:eastAsia="Calibri" w:cs="Arial"/>
          <w:color w:val="000000" w:themeColor="text1"/>
          <w:sz w:val="22"/>
          <w:szCs w:val="22"/>
        </w:rPr>
        <w:t xml:space="preserve">s. </w:t>
      </w:r>
      <w:r w:rsidRPr="00DB0DCC" w:rsidR="004C613A">
        <w:rPr>
          <w:rFonts w:ascii="Arial" w:hAnsi="Arial" w:eastAsia="Calibri" w:cs="Arial"/>
          <w:color w:val="000000" w:themeColor="text1"/>
          <w:sz w:val="22"/>
          <w:szCs w:val="22"/>
        </w:rPr>
        <w:t xml:space="preserve"> </w:t>
      </w:r>
      <w:r w:rsidRPr="00DB0DCC" w:rsidR="00123E30">
        <w:rPr>
          <w:rFonts w:ascii="Arial" w:hAnsi="Arial" w:eastAsia="Calibri" w:cs="Arial"/>
          <w:color w:val="000000" w:themeColor="text1"/>
          <w:sz w:val="22"/>
          <w:szCs w:val="22"/>
        </w:rPr>
        <w:t xml:space="preserve">En todo caso, para que </w:t>
      </w:r>
      <w:r w:rsidRPr="00DB0DCC" w:rsidR="00930F0D">
        <w:rPr>
          <w:rFonts w:ascii="Arial" w:hAnsi="Arial" w:eastAsia="Calibri" w:cs="Arial"/>
          <w:color w:val="000000" w:themeColor="text1"/>
          <w:sz w:val="22"/>
          <w:szCs w:val="22"/>
        </w:rPr>
        <w:t>se apliquen los criterios diferenciales para emprendimientos y empresas de mujeres establecidos en el artículo 2.2.1.2.4.2.15 del Decreto 1082 de 2015</w:t>
      </w:r>
      <w:r w:rsidRPr="001A6E4A">
        <w:rPr>
          <w:rFonts w:ascii="Arial" w:hAnsi="Arial" w:eastAsia="Calibri" w:cs="Arial"/>
          <w:color w:val="000000" w:themeColor="text1"/>
          <w:sz w:val="22"/>
          <w:szCs w:val="22"/>
        </w:rPr>
        <w:t xml:space="preserve"> </w:t>
      </w:r>
      <w:r w:rsidRPr="00DB0DCC" w:rsidR="00930F0D">
        <w:rPr>
          <w:rFonts w:ascii="Arial" w:hAnsi="Arial" w:eastAsia="Calibri" w:cs="Arial"/>
          <w:color w:val="000000" w:themeColor="text1"/>
          <w:sz w:val="22"/>
          <w:szCs w:val="22"/>
        </w:rPr>
        <w:t xml:space="preserve">se requiere que el proponente acredite que cumple con alguna de las cuatro definiciones consagradas en el artículo </w:t>
      </w:r>
      <w:r w:rsidRPr="00DB0DCC" w:rsidR="00930F0D">
        <w:rPr>
          <w:rFonts w:ascii="Arial" w:hAnsi="Arial" w:cs="Arial"/>
          <w:sz w:val="22"/>
          <w:szCs w:val="22"/>
          <w:lang w:eastAsia="es-CO"/>
        </w:rPr>
        <w:t xml:space="preserve">2.2.1.2.4.2.14 de dicho reglamento. </w:t>
      </w:r>
    </w:p>
    <w:p w:rsidRPr="00DB0DCC" w:rsidR="00123E30" w:rsidP="00123E30" w:rsidRDefault="004C613A" w14:paraId="686FD019" w14:textId="09489668">
      <w:pPr>
        <w:spacing w:line="276" w:lineRule="auto"/>
        <w:ind w:firstLine="709"/>
        <w:jc w:val="both"/>
        <w:rPr>
          <w:rFonts w:ascii="Arial" w:hAnsi="Arial" w:cs="Arial"/>
          <w:sz w:val="22"/>
          <w:szCs w:val="22"/>
          <w:lang w:eastAsia="es-CO"/>
        </w:rPr>
      </w:pPr>
      <w:r w:rsidRPr="00DB0DCC">
        <w:rPr>
          <w:rFonts w:ascii="Arial" w:hAnsi="Arial" w:eastAsia="Calibri" w:cs="Arial"/>
          <w:color w:val="000000" w:themeColor="text1"/>
          <w:sz w:val="22"/>
          <w:szCs w:val="22"/>
        </w:rPr>
        <w:t xml:space="preserve"> </w:t>
      </w:r>
      <w:r w:rsidRPr="00DB0DCC" w:rsidR="00930F0D">
        <w:rPr>
          <w:rFonts w:ascii="Arial" w:hAnsi="Arial" w:eastAsia="Calibri" w:cs="Arial"/>
          <w:color w:val="000000" w:themeColor="text1"/>
          <w:sz w:val="22"/>
          <w:szCs w:val="22"/>
        </w:rPr>
        <w:t xml:space="preserve">Dicho lo anterior, </w:t>
      </w:r>
      <w:r w:rsidRPr="001A6E4A" w:rsidR="004134AD">
        <w:rPr>
          <w:rFonts w:ascii="Arial" w:hAnsi="Arial" w:eastAsia="Calibri" w:cs="Arial"/>
          <w:color w:val="000000" w:themeColor="text1"/>
          <w:sz w:val="22"/>
          <w:szCs w:val="22"/>
        </w:rPr>
        <w:t>según indica el</w:t>
      </w:r>
      <w:r w:rsidRPr="00DB0DCC" w:rsidR="00123E30">
        <w:rPr>
          <w:rFonts w:ascii="Arial" w:hAnsi="Arial" w:eastAsia="Calibri" w:cs="Arial"/>
          <w:color w:val="000000" w:themeColor="text1"/>
          <w:sz w:val="22"/>
          <w:szCs w:val="22"/>
        </w:rPr>
        <w:t xml:space="preserve"> análisis precedente, </w:t>
      </w:r>
      <w:r w:rsidRPr="00DB0DCC" w:rsidR="00930F0D">
        <w:rPr>
          <w:rFonts w:ascii="Arial" w:hAnsi="Arial" w:eastAsia="Calibri" w:cs="Arial"/>
          <w:color w:val="000000" w:themeColor="text1"/>
          <w:sz w:val="22"/>
          <w:szCs w:val="22"/>
        </w:rPr>
        <w:t>se concluye que</w:t>
      </w:r>
      <w:r w:rsidRPr="00DB0DCC" w:rsidR="00123E30">
        <w:rPr>
          <w:rFonts w:ascii="Arial" w:hAnsi="Arial" w:eastAsia="Calibri" w:cs="Arial"/>
          <w:color w:val="000000" w:themeColor="text1"/>
          <w:sz w:val="22"/>
          <w:szCs w:val="22"/>
        </w:rPr>
        <w:t xml:space="preserve"> </w:t>
      </w:r>
      <w:r w:rsidRPr="00DB0DCC" w:rsidR="00930F0D">
        <w:rPr>
          <w:rFonts w:ascii="Arial" w:hAnsi="Arial" w:eastAsia="Calibri" w:cs="Arial"/>
          <w:color w:val="000000" w:themeColor="text1"/>
          <w:sz w:val="22"/>
          <w:szCs w:val="22"/>
        </w:rPr>
        <w:t xml:space="preserve">no </w:t>
      </w:r>
      <w:r w:rsidRPr="00DB0DCC" w:rsidR="00123E30">
        <w:rPr>
          <w:rFonts w:ascii="Arial" w:hAnsi="Arial" w:eastAsia="Calibri" w:cs="Arial"/>
          <w:color w:val="000000" w:themeColor="text1"/>
          <w:sz w:val="22"/>
          <w:szCs w:val="22"/>
        </w:rPr>
        <w:t xml:space="preserve">es viable que personas jurídicas con la naturaleza de fundaciones accedan a los criterios diferenciales establecidos en </w:t>
      </w:r>
      <w:r w:rsidRPr="00DB0DCC" w:rsidR="00123E30">
        <w:rPr>
          <w:rFonts w:ascii="Arial" w:hAnsi="Arial" w:eastAsia="Calibri" w:cs="Arial"/>
          <w:sz w:val="22"/>
          <w:szCs w:val="22"/>
          <w:lang w:val="es-ES_tradnl"/>
        </w:rPr>
        <w:t xml:space="preserve">el artículo </w:t>
      </w:r>
      <w:r w:rsidRPr="00DB0DCC" w:rsidR="00123E30">
        <w:rPr>
          <w:rFonts w:ascii="Arial" w:hAnsi="Arial" w:cs="Arial"/>
          <w:sz w:val="22"/>
          <w:szCs w:val="22"/>
          <w:lang w:eastAsia="es-CO"/>
        </w:rPr>
        <w:t xml:space="preserve">2.2.1.2.4.2.15 del Decreto 1082 de 2015, comoquiera que ninguna de las cuatro definiciones de </w:t>
      </w:r>
      <w:r w:rsidRPr="00DB0DCC" w:rsidR="00123E30">
        <w:rPr>
          <w:rFonts w:ascii="Arial" w:hAnsi="Arial" w:eastAsia="Calibri" w:cs="Arial"/>
          <w:color w:val="000000" w:themeColor="text1"/>
          <w:sz w:val="22"/>
          <w:szCs w:val="22"/>
        </w:rPr>
        <w:t xml:space="preserve">emprendimientos y empresas </w:t>
      </w:r>
      <w:r w:rsidRPr="00DB0DCC" w:rsidR="00930F0D">
        <w:rPr>
          <w:rFonts w:ascii="Arial" w:hAnsi="Arial" w:eastAsia="Calibri" w:cs="Arial"/>
          <w:color w:val="000000" w:themeColor="text1"/>
          <w:sz w:val="22"/>
          <w:szCs w:val="22"/>
        </w:rPr>
        <w:t xml:space="preserve">les </w:t>
      </w:r>
      <w:r w:rsidRPr="00DB0DCC" w:rsidR="00123E30">
        <w:rPr>
          <w:rFonts w:ascii="Arial" w:hAnsi="Arial" w:eastAsia="Calibri" w:cs="Arial"/>
          <w:color w:val="000000" w:themeColor="text1"/>
          <w:sz w:val="22"/>
          <w:szCs w:val="22"/>
        </w:rPr>
        <w:t xml:space="preserve">aplica. </w:t>
      </w:r>
      <w:r w:rsidRPr="00DB0DCC" w:rsidR="00123E30">
        <w:rPr>
          <w:rFonts w:ascii="Arial" w:hAnsi="Arial" w:cs="Arial"/>
          <w:sz w:val="22"/>
          <w:szCs w:val="22"/>
          <w:lang w:eastAsia="es-CO"/>
        </w:rPr>
        <w:t xml:space="preserve"> En </w:t>
      </w:r>
      <w:r w:rsidRPr="001A6E4A" w:rsidR="004134AD">
        <w:rPr>
          <w:rFonts w:ascii="Arial" w:hAnsi="Arial" w:cs="Arial"/>
          <w:sz w:val="22"/>
          <w:szCs w:val="22"/>
          <w:lang w:eastAsia="es-CO"/>
        </w:rPr>
        <w:t>virtud de</w:t>
      </w:r>
      <w:r w:rsidRPr="00DB0DCC" w:rsidR="00123E30">
        <w:rPr>
          <w:rFonts w:ascii="Arial" w:hAnsi="Arial" w:cs="Arial"/>
          <w:sz w:val="22"/>
          <w:szCs w:val="22"/>
          <w:lang w:eastAsia="es-CO"/>
        </w:rPr>
        <w:t xml:space="preserve"> </w:t>
      </w:r>
      <w:r w:rsidRPr="001A6E4A" w:rsidR="00C55A72">
        <w:rPr>
          <w:rFonts w:ascii="Arial" w:hAnsi="Arial" w:cs="Arial"/>
          <w:sz w:val="22"/>
          <w:szCs w:val="22"/>
          <w:lang w:eastAsia="es-CO"/>
        </w:rPr>
        <w:t xml:space="preserve">su </w:t>
      </w:r>
      <w:r w:rsidRPr="00DB0DCC" w:rsidR="00123E30">
        <w:rPr>
          <w:rFonts w:ascii="Arial" w:hAnsi="Arial" w:cs="Arial"/>
          <w:sz w:val="22"/>
          <w:szCs w:val="22"/>
          <w:lang w:eastAsia="es-CO"/>
        </w:rPr>
        <w:t>naturaleza de entidades sin ánimo de lucro no es posible enmarcar</w:t>
      </w:r>
      <w:r w:rsidRPr="001A6E4A" w:rsidR="00C55A72">
        <w:rPr>
          <w:rFonts w:ascii="Arial" w:hAnsi="Arial" w:cs="Arial"/>
          <w:sz w:val="22"/>
          <w:szCs w:val="22"/>
          <w:lang w:eastAsia="es-CO"/>
        </w:rPr>
        <w:t xml:space="preserve"> a las fundaciones</w:t>
      </w:r>
      <w:r w:rsidRPr="00DB0DCC" w:rsidR="00123E30">
        <w:rPr>
          <w:rFonts w:ascii="Arial" w:hAnsi="Arial" w:cs="Arial"/>
          <w:sz w:val="22"/>
          <w:szCs w:val="22"/>
          <w:lang w:eastAsia="es-CO"/>
        </w:rPr>
        <w:t xml:space="preserve"> dentro de los supuestos de hecho de los numerales 1 y 2 del artículo 2.2.1.2.4.2.14 del Decreto 1082 de 2015, los cuales solo pueden ser acreditados por empresas o sociedades comerciales. </w:t>
      </w:r>
      <w:r w:rsidRPr="001A6E4A" w:rsidR="00DB0DCC">
        <w:rPr>
          <w:rFonts w:ascii="Arial" w:hAnsi="Arial" w:cs="Arial"/>
          <w:sz w:val="22"/>
          <w:szCs w:val="22"/>
          <w:lang w:eastAsia="es-CO"/>
        </w:rPr>
        <w:t>Igualmente, no le</w:t>
      </w:r>
      <w:r w:rsidRPr="00DB0DCC" w:rsidR="00123E30">
        <w:rPr>
          <w:rFonts w:ascii="Arial" w:hAnsi="Arial" w:cs="Arial"/>
          <w:sz w:val="22"/>
          <w:szCs w:val="22"/>
          <w:lang w:eastAsia="es-CO"/>
        </w:rPr>
        <w:t xml:space="preserve"> son aplicables a las fundaciones las definiciones de los numerales 3 y 4 del artículo 2.2.1.2.4.2.14, ya que están dirigid</w:t>
      </w:r>
      <w:r w:rsidRPr="001A6E4A" w:rsidR="00DB0DCC">
        <w:rPr>
          <w:rFonts w:ascii="Arial" w:hAnsi="Arial" w:cs="Arial"/>
          <w:sz w:val="22"/>
          <w:szCs w:val="22"/>
          <w:lang w:eastAsia="es-CO"/>
        </w:rPr>
        <w:t>a</w:t>
      </w:r>
      <w:r w:rsidRPr="00DB0DCC" w:rsidR="00123E30">
        <w:rPr>
          <w:rFonts w:ascii="Arial" w:hAnsi="Arial" w:cs="Arial"/>
          <w:sz w:val="22"/>
          <w:szCs w:val="22"/>
          <w:lang w:eastAsia="es-CO"/>
        </w:rPr>
        <w:t xml:space="preserve">s a personas naturales, asociaciones y cooperativas, respectivamente. </w:t>
      </w:r>
    </w:p>
    <w:p w:rsidRPr="00930F0D" w:rsidR="008C4433" w:rsidP="001A6E4A" w:rsidRDefault="008C4433" w14:paraId="091376BF" w14:textId="334B6B89">
      <w:pPr>
        <w:jc w:val="both"/>
      </w:pPr>
    </w:p>
    <w:p w:rsidRPr="00EE341D" w:rsidR="00D40F8B" w:rsidP="00863413" w:rsidRDefault="00DD5B04" w14:paraId="056816F7" w14:textId="18622ADF">
      <w:pPr>
        <w:spacing w:line="276" w:lineRule="auto"/>
        <w:jc w:val="both"/>
        <w:rPr>
          <w:rFonts w:ascii="Arial" w:hAnsi="Arial" w:cs="Arial"/>
          <w:color w:val="000000" w:themeColor="text1"/>
          <w:sz w:val="22"/>
          <w:lang w:val="es-ES_tradnl"/>
        </w:rPr>
      </w:pPr>
      <w:r w:rsidRPr="00930F0D">
        <w:rPr>
          <w:rFonts w:ascii="Arial" w:hAnsi="Arial" w:cs="Arial"/>
          <w:color w:val="000000" w:themeColor="text1"/>
          <w:sz w:val="22"/>
          <w:szCs w:val="22"/>
          <w:lang w:val="es-ES_tradnl"/>
        </w:rPr>
        <w:t>Este concepto tiene el alcance previsto en el artículo 28 del</w:t>
      </w:r>
      <w:r w:rsidRPr="00930F0D">
        <w:rPr>
          <w:rFonts w:ascii="Arial" w:hAnsi="Arial" w:cs="Arial"/>
          <w:color w:val="000000" w:themeColor="text1"/>
          <w:sz w:val="22"/>
          <w:lang w:val="es-ES_tradnl"/>
        </w:rPr>
        <w:t xml:space="preserve"> Código de Procedimiento Administrativo y de</w:t>
      </w:r>
      <w:r w:rsidRPr="00930F0D" w:rsidR="00D40F8B">
        <w:rPr>
          <w:rFonts w:ascii="Arial" w:hAnsi="Arial" w:cs="Arial"/>
          <w:color w:val="000000" w:themeColor="text1"/>
          <w:sz w:val="22"/>
          <w:lang w:val="es-ES_tradnl"/>
        </w:rPr>
        <w:t xml:space="preserve"> lo Contencioso Administrativo.</w:t>
      </w:r>
    </w:p>
    <w:p w:rsidRPr="00EE341D" w:rsidR="00003233" w:rsidP="00D40F8B" w:rsidRDefault="00003233" w14:paraId="6F54E9C9" w14:textId="77777777">
      <w:pPr>
        <w:spacing w:before="120" w:line="276" w:lineRule="auto"/>
        <w:jc w:val="both"/>
        <w:rPr>
          <w:rFonts w:ascii="Arial" w:hAnsi="Arial" w:cs="Arial"/>
          <w:color w:val="000000" w:themeColor="text1"/>
          <w:sz w:val="22"/>
          <w:lang w:val="es-ES_tradnl"/>
        </w:rPr>
      </w:pPr>
    </w:p>
    <w:p w:rsidR="00D40F8B" w:rsidP="00DF76A2" w:rsidRDefault="00861F0F" w14:paraId="349855C9" w14:textId="6A3D0067">
      <w:pPr>
        <w:pStyle w:val="NormalWeb"/>
        <w:spacing w:before="0" w:beforeAutospacing="0" w:after="0" w:afterAutospacing="0" w:line="276" w:lineRule="auto"/>
        <w:jc w:val="both"/>
        <w:rPr>
          <w:rFonts w:ascii="Arial" w:hAnsi="Arial" w:cs="Arial"/>
          <w:color w:val="000000" w:themeColor="text1"/>
          <w:sz w:val="22"/>
          <w:szCs w:val="22"/>
          <w:lang w:val="es-ES_tradnl"/>
        </w:rPr>
      </w:pPr>
      <w:r w:rsidRPr="00EE341D">
        <w:rPr>
          <w:rFonts w:ascii="Arial" w:hAnsi="Arial" w:cs="Arial"/>
          <w:color w:val="000000" w:themeColor="text1"/>
          <w:sz w:val="22"/>
          <w:szCs w:val="22"/>
          <w:lang w:val="es-ES_tradnl"/>
        </w:rPr>
        <w:t>Atentamente,</w:t>
      </w:r>
    </w:p>
    <w:p w:rsidR="00411715" w:rsidP="00411715" w:rsidRDefault="000C5A15" w14:paraId="5B7339D2" w14:textId="2AC361C4">
      <w:pPr>
        <w:pStyle w:val="NormalWeb"/>
        <w:spacing w:before="0" w:beforeAutospacing="0" w:after="0" w:afterAutospacing="0" w:line="276" w:lineRule="auto"/>
        <w:jc w:val="center"/>
        <w:rPr>
          <w:rFonts w:ascii="Arial" w:hAnsi="Arial" w:cs="Arial"/>
          <w:color w:val="000000" w:themeColor="text1"/>
          <w:sz w:val="22"/>
          <w:szCs w:val="22"/>
          <w:lang w:val="es-ES_tradnl"/>
        </w:rPr>
      </w:pPr>
      <w:r>
        <w:rPr>
          <w:noProof/>
        </w:rPr>
        <w:drawing>
          <wp:inline distT="0" distB="0" distL="0" distR="0" wp14:anchorId="248A6BDB" wp14:editId="6D586741">
            <wp:extent cx="2534004" cy="981212"/>
            <wp:effectExtent l="0" t="0" r="0" b="9525"/>
            <wp:docPr id="5" name="Imagen 5"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 Carta&#10;&#10;Descripción generada automáticamente"/>
                    <pic:cNvPicPr/>
                  </pic:nvPicPr>
                  <pic:blipFill>
                    <a:blip r:embed="rId12"/>
                    <a:stretch>
                      <a:fillRect/>
                    </a:stretch>
                  </pic:blipFill>
                  <pic:spPr>
                    <a:xfrm>
                      <a:off x="0" y="0"/>
                      <a:ext cx="2534004" cy="981212"/>
                    </a:xfrm>
                    <a:prstGeom prst="rect">
                      <a:avLst/>
                    </a:prstGeom>
                  </pic:spPr>
                </pic:pic>
              </a:graphicData>
            </a:graphic>
          </wp:inline>
        </w:drawing>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28"/>
        <w:gridCol w:w="4502"/>
      </w:tblGrid>
      <w:tr w:rsidRPr="00EE341D" w:rsidR="00DD5B04" w:rsidTr="003B5586" w14:paraId="0C7DC5F7" w14:textId="77777777">
        <w:trPr>
          <w:trHeight w:val="124"/>
        </w:trPr>
        <w:tc>
          <w:tcPr>
            <w:tcW w:w="828" w:type="dxa"/>
            <w:vAlign w:val="center"/>
            <w:hideMark/>
          </w:tcPr>
          <w:p w:rsidRPr="00EE341D" w:rsidR="00DD5B04" w:rsidP="00DF76A2" w:rsidRDefault="00DD5B04" w14:paraId="5BDB1AC9" w14:textId="77777777">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Elaboró:</w:t>
            </w:r>
          </w:p>
        </w:tc>
        <w:tc>
          <w:tcPr>
            <w:tcW w:w="4502" w:type="dxa"/>
            <w:tcBorders>
              <w:top w:val="nil"/>
              <w:left w:val="nil"/>
              <w:bottom w:val="dotted" w:color="7F7F7F" w:themeColor="text1" w:themeTint="80" w:sz="4" w:space="0"/>
              <w:right w:val="nil"/>
            </w:tcBorders>
            <w:vAlign w:val="center"/>
            <w:hideMark/>
          </w:tcPr>
          <w:p w:rsidR="00DD5B04" w:rsidP="00DF76A2" w:rsidRDefault="00411715" w14:paraId="42488358" w14:textId="77777777">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Camilo Perdomo Villamil </w:t>
            </w:r>
          </w:p>
          <w:p w:rsidRPr="00EE341D" w:rsidR="00411715" w:rsidP="00DF76A2" w:rsidRDefault="00411715" w14:paraId="240C71FD" w14:textId="7AE5F422">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Contratista de la Subdirección de Gestión Contractual </w:t>
            </w:r>
          </w:p>
        </w:tc>
      </w:tr>
      <w:tr w:rsidRPr="00EE341D" w:rsidR="00DD5B04" w:rsidTr="003B5586" w14:paraId="2F8FD650" w14:textId="77777777">
        <w:trPr>
          <w:trHeight w:val="256"/>
        </w:trPr>
        <w:tc>
          <w:tcPr>
            <w:tcW w:w="828" w:type="dxa"/>
            <w:vAlign w:val="center"/>
            <w:hideMark/>
          </w:tcPr>
          <w:p w:rsidRPr="00EE341D" w:rsidR="00DD5B04" w:rsidP="00DF76A2" w:rsidRDefault="00DD5B04" w14:paraId="50203A0B" w14:textId="77777777">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Revisó:</w:t>
            </w:r>
          </w:p>
        </w:tc>
        <w:tc>
          <w:tcPr>
            <w:tcW w:w="4502" w:type="dxa"/>
            <w:tcBorders>
              <w:top w:val="dotted" w:color="7F7F7F" w:themeColor="text1" w:themeTint="80" w:sz="4" w:space="0"/>
              <w:left w:val="nil"/>
              <w:bottom w:val="dotted" w:color="7F7F7F" w:themeColor="text1" w:themeTint="80" w:sz="4" w:space="0"/>
              <w:right w:val="nil"/>
            </w:tcBorders>
            <w:vAlign w:val="center"/>
            <w:hideMark/>
          </w:tcPr>
          <w:p w:rsidR="008C4433" w:rsidP="00F412DF" w:rsidRDefault="008C4433" w14:paraId="65DEA950" w14:textId="77777777">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Alejandro Sarmiento Cantillo</w:t>
            </w:r>
          </w:p>
          <w:p w:rsidRPr="00EE341D" w:rsidR="0070439B" w:rsidP="00F412DF" w:rsidRDefault="00C064F0" w14:paraId="130B3228" w14:textId="2ABB9B9B">
            <w:pPr>
              <w:jc w:val="both"/>
              <w:rPr>
                <w:rFonts w:ascii="Arial" w:hAnsi="Arial" w:cs="Arial"/>
                <w:color w:val="000000" w:themeColor="text1"/>
                <w:sz w:val="16"/>
                <w:szCs w:val="16"/>
                <w:lang w:val="es-ES" w:eastAsia="es-ES"/>
              </w:rPr>
            </w:pPr>
            <w:r>
              <w:rPr>
                <w:rFonts w:ascii="Arial" w:hAnsi="Arial" w:cs="Arial"/>
                <w:color w:val="000000"/>
                <w:sz w:val="16"/>
                <w:szCs w:val="16"/>
                <w:shd w:val="clear" w:color="auto" w:fill="FFFFFF"/>
              </w:rPr>
              <w:t>Gestor T1-15 de la Subdirección de Gestión Contractual</w:t>
            </w:r>
          </w:p>
        </w:tc>
      </w:tr>
      <w:tr w:rsidRPr="00D40F8B" w:rsidR="00DD5B04" w:rsidTr="003B5586" w14:paraId="0FCBCA4A" w14:textId="77777777">
        <w:trPr>
          <w:trHeight w:val="233"/>
        </w:trPr>
        <w:tc>
          <w:tcPr>
            <w:tcW w:w="828" w:type="dxa"/>
            <w:vAlign w:val="center"/>
            <w:hideMark/>
          </w:tcPr>
          <w:p w:rsidRPr="00EE341D" w:rsidR="00DD5B04" w:rsidP="00DF76A2" w:rsidRDefault="00DD5B04" w14:paraId="3C1D943A" w14:textId="77777777">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Aprobó:</w:t>
            </w:r>
          </w:p>
        </w:tc>
        <w:tc>
          <w:tcPr>
            <w:tcW w:w="4502" w:type="dxa"/>
            <w:tcBorders>
              <w:top w:val="dotted" w:color="7F7F7F" w:themeColor="text1" w:themeTint="80" w:sz="4" w:space="0"/>
              <w:left w:val="nil"/>
              <w:bottom w:val="dotted" w:color="7F7F7F" w:themeColor="text1" w:themeTint="80" w:sz="4" w:space="0"/>
              <w:right w:val="nil"/>
            </w:tcBorders>
            <w:vAlign w:val="center"/>
            <w:hideMark/>
          </w:tcPr>
          <w:p w:rsidRPr="006A06F2" w:rsidR="00573788" w:rsidP="00573788" w:rsidRDefault="00573788" w14:paraId="04486817" w14:textId="77777777">
            <w:r>
              <w:rPr>
                <w:rFonts w:ascii="Arial" w:hAnsi="Arial" w:eastAsia="Arial" w:cs="Arial"/>
                <w:color w:val="000000"/>
                <w:sz w:val="16"/>
                <w:szCs w:val="16"/>
              </w:rPr>
              <w:t>Juan David Marín López</w:t>
            </w:r>
          </w:p>
          <w:p w:rsidRPr="00D40F8B" w:rsidR="00DD5B04" w:rsidP="00DF76A2" w:rsidRDefault="00573788" w14:paraId="1ADC483B" w14:textId="52CB9C4A">
            <w:pPr>
              <w:jc w:val="both"/>
              <w:rPr>
                <w:rFonts w:ascii="Arial" w:hAnsi="Arial" w:cs="Arial"/>
                <w:color w:val="000000" w:themeColor="text1"/>
                <w:sz w:val="16"/>
                <w:szCs w:val="16"/>
                <w:lang w:val="es-ES_tradnl" w:eastAsia="es-ES"/>
              </w:rPr>
            </w:pPr>
            <w:r w:rsidRPr="006A06F2">
              <w:rPr>
                <w:rFonts w:ascii="Arial" w:hAnsi="Arial" w:eastAsia="Arial" w:cs="Arial"/>
                <w:color w:val="000000"/>
                <w:sz w:val="16"/>
                <w:szCs w:val="16"/>
              </w:rPr>
              <w:t xml:space="preserve">Subdirector de Gestión Contractual </w:t>
            </w:r>
            <w:r>
              <w:rPr>
                <w:rFonts w:ascii="Arial" w:hAnsi="Arial" w:eastAsia="Arial" w:cs="Arial"/>
                <w:color w:val="000000"/>
                <w:sz w:val="16"/>
                <w:szCs w:val="16"/>
              </w:rPr>
              <w:t>(E)</w:t>
            </w:r>
          </w:p>
        </w:tc>
      </w:tr>
      <w:bookmarkEnd w:id="2"/>
    </w:tbl>
    <w:p w:rsidRPr="00E23980" w:rsidR="00DD118B" w:rsidP="0012785C" w:rsidRDefault="00DD118B" w14:paraId="407E8F17" w14:textId="77777777">
      <w:pPr>
        <w:jc w:val="both"/>
        <w:rPr>
          <w:rFonts w:ascii="Arial" w:hAnsi="Arial" w:cs="Arial"/>
          <w:lang w:val="es-ES_tradnl"/>
        </w:rPr>
      </w:pPr>
    </w:p>
    <w:sectPr w:rsidRPr="00E23980" w:rsidR="00DD118B" w:rsidSect="00A357FA">
      <w:headerReference w:type="default" r:id="rId13"/>
      <w:footerReference w:type="default" r:id="rId14"/>
      <w:pgSz w:w="12240" w:h="15840" w:orient="portrait"/>
      <w:pgMar w:top="2269" w:right="2034" w:bottom="1418" w:left="1843"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1BDD" w:rsidRDefault="00D61BDD" w14:paraId="42CBFDFD" w14:textId="77777777">
      <w:r>
        <w:separator/>
      </w:r>
    </w:p>
  </w:endnote>
  <w:endnote w:type="continuationSeparator" w:id="0">
    <w:p w:rsidR="00D61BDD" w:rsidRDefault="00D61BDD" w14:paraId="5570888F" w14:textId="77777777">
      <w:r>
        <w:continuationSeparator/>
      </w:r>
    </w:p>
  </w:endnote>
  <w:endnote w:type="continuationNotice" w:id="1">
    <w:p w:rsidR="00D61BDD" w:rsidRDefault="00D61BDD" w14:paraId="2EB7EC6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EC6D8D" w:rsidR="00E2520A" w:rsidP="00FE42ED" w:rsidRDefault="00E2520A" w14:paraId="7A3785F3" w14:textId="2EF28465">
    <w:pPr>
      <w:pStyle w:val="Piedepgina"/>
      <w:jc w:val="right"/>
      <w:rPr>
        <w:rFonts w:ascii="Arial" w:hAnsi="Arial" w:cs="Arial"/>
        <w:color w:val="7F7F7F"/>
        <w:sz w:val="16"/>
        <w:szCs w:val="16"/>
      </w:rPr>
    </w:pPr>
    <w:r w:rsidRPr="00EC6D8D">
      <w:rPr>
        <w:rFonts w:ascii="Arial" w:hAnsi="Arial" w:cs="Arial"/>
        <w:bCs/>
        <w:color w:val="7F7F7F"/>
        <w:sz w:val="16"/>
        <w:szCs w:val="16"/>
      </w:rPr>
      <w:t xml:space="preserve">Página </w:t>
    </w:r>
    <w:r w:rsidRPr="00EC6D8D">
      <w:rPr>
        <w:rFonts w:ascii="Arial" w:hAnsi="Arial" w:cs="Arial"/>
        <w:b/>
        <w:bCs/>
        <w:color w:val="7F7F7F"/>
        <w:sz w:val="16"/>
        <w:szCs w:val="16"/>
      </w:rPr>
      <w:fldChar w:fldCharType="begin"/>
    </w:r>
    <w:r w:rsidRPr="00EC6D8D">
      <w:rPr>
        <w:rFonts w:ascii="Arial" w:hAnsi="Arial" w:cs="Arial"/>
        <w:b/>
        <w:bCs/>
        <w:color w:val="7F7F7F"/>
        <w:sz w:val="16"/>
        <w:szCs w:val="16"/>
      </w:rPr>
      <w:instrText>PAGE  \* Arabic  \* MERGEFORMAT</w:instrText>
    </w:r>
    <w:r w:rsidRPr="00EC6D8D">
      <w:rPr>
        <w:rFonts w:ascii="Arial" w:hAnsi="Arial" w:cs="Arial"/>
        <w:b/>
        <w:bCs/>
        <w:color w:val="7F7F7F"/>
        <w:sz w:val="16"/>
        <w:szCs w:val="16"/>
      </w:rPr>
      <w:fldChar w:fldCharType="separate"/>
    </w:r>
    <w:r w:rsidR="00536E62">
      <w:rPr>
        <w:rFonts w:ascii="Arial" w:hAnsi="Arial" w:cs="Arial"/>
        <w:b/>
        <w:bCs/>
        <w:noProof/>
        <w:color w:val="7F7F7F"/>
        <w:sz w:val="16"/>
        <w:szCs w:val="16"/>
      </w:rPr>
      <w:t>12</w:t>
    </w:r>
    <w:r w:rsidRPr="00EC6D8D">
      <w:rPr>
        <w:rFonts w:ascii="Arial" w:hAnsi="Arial" w:cs="Arial"/>
        <w:b/>
        <w:bCs/>
        <w:color w:val="7F7F7F"/>
        <w:sz w:val="16"/>
        <w:szCs w:val="16"/>
      </w:rPr>
      <w:fldChar w:fldCharType="end"/>
    </w:r>
    <w:r w:rsidRPr="00EC6D8D">
      <w:rPr>
        <w:rFonts w:ascii="Arial" w:hAnsi="Arial" w:cs="Arial"/>
        <w:color w:val="7F7F7F"/>
        <w:sz w:val="16"/>
        <w:szCs w:val="16"/>
      </w:rPr>
      <w:t xml:space="preserve"> de </w:t>
    </w:r>
    <w:r w:rsidRPr="00EC6D8D">
      <w:rPr>
        <w:rFonts w:ascii="Arial" w:hAnsi="Arial" w:cs="Arial"/>
        <w:b/>
        <w:bCs/>
        <w:color w:val="7F7F7F"/>
        <w:sz w:val="16"/>
        <w:szCs w:val="16"/>
      </w:rPr>
      <w:fldChar w:fldCharType="begin"/>
    </w:r>
    <w:r w:rsidRPr="00EC6D8D">
      <w:rPr>
        <w:rFonts w:ascii="Arial" w:hAnsi="Arial" w:cs="Arial"/>
        <w:b/>
        <w:bCs/>
        <w:color w:val="7F7F7F"/>
        <w:sz w:val="16"/>
        <w:szCs w:val="16"/>
      </w:rPr>
      <w:instrText>NUMPAGES  \* Arabic  \* MERGEFORMAT</w:instrText>
    </w:r>
    <w:r w:rsidRPr="00EC6D8D">
      <w:rPr>
        <w:rFonts w:ascii="Arial" w:hAnsi="Arial" w:cs="Arial"/>
        <w:b/>
        <w:bCs/>
        <w:color w:val="7F7F7F"/>
        <w:sz w:val="16"/>
        <w:szCs w:val="16"/>
      </w:rPr>
      <w:fldChar w:fldCharType="separate"/>
    </w:r>
    <w:r w:rsidR="00536E62">
      <w:rPr>
        <w:rFonts w:ascii="Arial" w:hAnsi="Arial" w:cs="Arial"/>
        <w:b/>
        <w:bCs/>
        <w:noProof/>
        <w:color w:val="7F7F7F"/>
        <w:sz w:val="16"/>
        <w:szCs w:val="16"/>
      </w:rPr>
      <w:t>12</w:t>
    </w:r>
    <w:r w:rsidRPr="00EC6D8D">
      <w:rPr>
        <w:rFonts w:ascii="Arial" w:hAnsi="Arial" w:cs="Arial"/>
        <w:b/>
        <w:bCs/>
        <w:color w:val="7F7F7F"/>
        <w:sz w:val="16"/>
        <w:szCs w:val="16"/>
      </w:rPr>
      <w:fldChar w:fldCharType="end"/>
    </w:r>
  </w:p>
  <w:p w:rsidR="00E2520A" w:rsidP="00322937" w:rsidRDefault="00207C1E" w14:paraId="48FC6A04" w14:textId="187BB681">
    <w:pPr>
      <w:pStyle w:val="Piedepgina"/>
      <w:jc w:val="center"/>
      <w:rPr>
        <w:lang w:val="es-ES"/>
      </w:rPr>
    </w:pPr>
    <w:r w:rsidRPr="00207C1E">
      <w:rPr>
        <w:noProof/>
        <w:lang w:val="es-ES"/>
      </w:rPr>
      <w:drawing>
        <wp:inline distT="0" distB="0" distL="0" distR="0" wp14:anchorId="5D151EC5" wp14:editId="37D9D648">
          <wp:extent cx="5778385" cy="856615"/>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81669" cy="857102"/>
                  </a:xfrm>
                  <a:prstGeom prst="rect">
                    <a:avLst/>
                  </a:prstGeom>
                </pic:spPr>
              </pic:pic>
            </a:graphicData>
          </a:graphic>
        </wp:inline>
      </w:drawing>
    </w:r>
  </w:p>
  <w:p w:rsidRPr="007B0854" w:rsidR="00E2520A" w:rsidP="007B0854" w:rsidRDefault="00E2520A" w14:paraId="6C0EFC49" w14:textId="77777777">
    <w:pPr>
      <w:pStyle w:val="Piedepgina"/>
      <w:jc w:val="center"/>
      <w:rPr>
        <w:lang w:val="es-ES"/>
      </w:rPr>
    </w:pPr>
  </w:p>
  <w:p w:rsidR="00E2520A" w:rsidRDefault="00E2520A" w14:paraId="2CCD54A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1BDD" w:rsidRDefault="00D61BDD" w14:paraId="309C33DD" w14:textId="77777777">
      <w:r>
        <w:separator/>
      </w:r>
    </w:p>
  </w:footnote>
  <w:footnote w:type="continuationSeparator" w:id="0">
    <w:p w:rsidR="00D61BDD" w:rsidRDefault="00D61BDD" w14:paraId="52453552" w14:textId="77777777">
      <w:r>
        <w:continuationSeparator/>
      </w:r>
    </w:p>
  </w:footnote>
  <w:footnote w:type="continuationNotice" w:id="1">
    <w:p w:rsidR="00D61BDD" w:rsidRDefault="00D61BDD" w14:paraId="6A1E4417" w14:textId="77777777"/>
  </w:footnote>
  <w:footnote w:id="2">
    <w:p w:rsidRPr="001A6E4A" w:rsidR="0012785C" w:rsidP="00267E80" w:rsidRDefault="0012785C" w14:paraId="2BB51081" w14:textId="77777777">
      <w:pPr>
        <w:pStyle w:val="Textonotapie"/>
        <w:ind w:firstLine="708"/>
        <w:jc w:val="both"/>
        <w:rPr>
          <w:rFonts w:ascii="Arial" w:hAnsi="Arial" w:cs="Arial"/>
          <w:sz w:val="19"/>
          <w:szCs w:val="19"/>
        </w:rPr>
      </w:pPr>
      <w:r w:rsidRPr="001A6E4A">
        <w:rPr>
          <w:rStyle w:val="Refdenotaalpie"/>
          <w:rFonts w:ascii="Arial" w:hAnsi="Arial" w:cs="Arial"/>
          <w:sz w:val="19"/>
          <w:szCs w:val="19"/>
        </w:rPr>
        <w:footnoteRef/>
      </w:r>
      <w:r w:rsidRPr="001A6E4A">
        <w:rPr>
          <w:rFonts w:ascii="Arial" w:hAnsi="Arial" w:cs="Arial"/>
          <w:sz w:val="19"/>
          <w:szCs w:val="19"/>
        </w:rPr>
        <w:t xml:space="preserve"> </w:t>
      </w:r>
      <w:r w:rsidRPr="001A6E4A">
        <w:rPr>
          <w:rFonts w:ascii="Arial" w:hAnsi="Arial" w:cs="Arial"/>
          <w:sz w:val="19"/>
          <w:szCs w:val="19"/>
          <w:lang w:val="es-CO"/>
        </w:rPr>
        <w:t>La Agencia también se ha pronunciado sobre las diferentes disposiciones de la Ley 2069 de 2020 en los conceptos: C-009 del 04 de febrero de 2021, C-012 del 04 de febrero de 2021, C-013 del 04 de febrero de 2021, C-015 del 04 de febrero de 2021, C-016 del 04 de febrero de 2021, C-026 del 04 de febrero de 2021, C-006 del 05 de febrero de 2021, C-043 del 09 de febrero de 2021, C-005 del 16 de febrero de 2021, C-007 del 16 de febrero de 2021, C-098 del 23 de febrero de 2021, C-028 de 23 de febrero de 2021, C-081 del 23 de febrero de 2021, C-087 del 23 de febrero de 2021, C-037 del 26 de febrero de 2021, C-035 del 02 de marzo de 2021, C-040 del 02 de marzo de 2021, C-044 del 03 de marzo de 2021, C-056 del 08 de marzo de 2021, C-061 del 10 de marzo de 2021, C-055 del 10 de marzo de 2021, C-058 del 11 de marzo de 2021, C-069 del 12 de marzo de 2021, C-102 del 25 de marzo de 2020, C-136 del 07 de abril de 2021, C-138 del 07 de abril de 2021, C-139 del 07 de abril de 2021, C-141 del 08 de abril de 2021, C-162 de 13 de abril de 2021, C-165 del 13 de abril de 2021, C-164 del 19 de abril de 2021, C−167 del 21 de abril de 2021, C-166 del 23 de abril de 2021, C-191 del 26 de abril de 2021, C-187 del 28 de abril de 2021, C-192 del 29 de abril de 2021, C-206 del 03 de mayo de 2021, C−198 del 5 de mayo de 2021, C-203 del 6 de mayo de 2021,  C-180 del 10 de mayo de 2021, C-210 del 10 de mayo de 2021, C-221 del 18 de mayo de 2021, C-239 del 25 de mayo de 2021, C-338 del 12 de julio de 2021, C-422 del 18 de agosto de 2021, C-437 del 24 de agosto de 2021, C-518 el 20 de septiembre de 2021, C-438 del 28 de septiembre de 2021, C-586 del 14 de octubre de 2021 y C-617 del 12 de diciembre de 2021, C-689 del 05 de enero de 2022, C-738 del 1 de febrero de 2022, C-741 del 1 de febrero de 2022, C-750 del 4 de febrero de 2022, C-031 del 1 de marzo de 2022, C-041 del 2 de marzo de 2022, C-057 del 8 de marzo de 2022, C-199 del 13 de abril de 2022 entre otros.</w:t>
      </w:r>
    </w:p>
  </w:footnote>
  <w:footnote w:id="3">
    <w:p w:rsidRPr="001A6E4A" w:rsidR="009C6278" w:rsidP="00267E80" w:rsidRDefault="009C6278" w14:paraId="1B722BC4" w14:textId="77777777">
      <w:pPr>
        <w:pStyle w:val="Textonotapie"/>
        <w:ind w:firstLine="708"/>
        <w:jc w:val="both"/>
        <w:rPr>
          <w:rStyle w:val="Hipervnculo1"/>
          <w:rFonts w:ascii="Arial" w:hAnsi="Arial" w:cs="Arial"/>
          <w:color w:val="auto"/>
          <w:sz w:val="19"/>
          <w:szCs w:val="19"/>
        </w:rPr>
      </w:pPr>
      <w:r w:rsidRPr="00DB0DCC">
        <w:rPr>
          <w:rStyle w:val="Refdenotaalpie"/>
          <w:rFonts w:ascii="Arial" w:hAnsi="Arial" w:cs="Arial"/>
          <w:sz w:val="19"/>
          <w:szCs w:val="19"/>
        </w:rPr>
        <w:footnoteRef/>
      </w:r>
      <w:r w:rsidRPr="00DB0DCC">
        <w:rPr>
          <w:rFonts w:ascii="Arial" w:hAnsi="Arial" w:cs="Arial"/>
          <w:sz w:val="19"/>
          <w:szCs w:val="19"/>
        </w:rPr>
        <w:t xml:space="preserve"> Texto del Proyecto de Ley 122 de 2020 Cámara. Exposición de motivos. Consultado el 29 de diciembre de 2021 en la página w</w:t>
      </w:r>
      <w:r w:rsidRPr="001A6E4A">
        <w:rPr>
          <w:rFonts w:ascii="Arial" w:hAnsi="Arial" w:cs="Arial"/>
          <w:sz w:val="19"/>
          <w:szCs w:val="19"/>
        </w:rPr>
        <w:t xml:space="preserve">eb: </w:t>
      </w:r>
      <w:hyperlink w:history="1" r:id="rId1">
        <w:r w:rsidRPr="001A6E4A">
          <w:rPr>
            <w:rStyle w:val="Hipervnculo1"/>
            <w:rFonts w:ascii="Arial" w:hAnsi="Arial" w:cs="Arial"/>
            <w:color w:val="auto"/>
            <w:sz w:val="19"/>
            <w:szCs w:val="19"/>
          </w:rPr>
          <w:t>http://leyes.senado.gov.co/proyectos/index.php/textos-radicados-senado/p-ley-2020-2021/1957-proyecto-de-ley-161-de-2020</w:t>
        </w:r>
      </w:hyperlink>
    </w:p>
    <w:p w:rsidRPr="00DB0DCC" w:rsidR="009C6278" w:rsidP="00267E80" w:rsidRDefault="009C6278" w14:paraId="0605CC6F" w14:textId="77777777">
      <w:pPr>
        <w:pStyle w:val="Textonotapie"/>
        <w:ind w:firstLine="708"/>
        <w:jc w:val="both"/>
        <w:rPr>
          <w:rFonts w:ascii="Arial" w:hAnsi="Arial" w:cs="Arial"/>
          <w:sz w:val="19"/>
          <w:szCs w:val="19"/>
        </w:rPr>
      </w:pPr>
    </w:p>
  </w:footnote>
  <w:footnote w:id="4">
    <w:p w:rsidRPr="00DB0DCC" w:rsidR="009C6278" w:rsidP="00267E80" w:rsidRDefault="009C6278" w14:paraId="278063B7" w14:textId="77777777">
      <w:pPr>
        <w:pStyle w:val="Textonotapie"/>
        <w:ind w:firstLine="709"/>
        <w:jc w:val="both"/>
        <w:rPr>
          <w:rFonts w:ascii="Arial" w:hAnsi="Arial" w:cs="Arial"/>
          <w:sz w:val="19"/>
          <w:szCs w:val="19"/>
          <w:lang w:val="es-ES"/>
        </w:rPr>
      </w:pPr>
      <w:r w:rsidRPr="00DB0DCC">
        <w:rPr>
          <w:rStyle w:val="Refdenotaalpie"/>
          <w:rFonts w:ascii="Arial" w:hAnsi="Arial" w:cs="Arial"/>
          <w:sz w:val="19"/>
          <w:szCs w:val="19"/>
        </w:rPr>
        <w:footnoteRef/>
      </w:r>
      <w:r w:rsidRPr="00DB0DCC">
        <w:rPr>
          <w:rFonts w:ascii="Arial" w:hAnsi="Arial" w:cs="Arial"/>
          <w:sz w:val="19"/>
          <w:szCs w:val="19"/>
        </w:rPr>
        <w:t xml:space="preserve"> </w:t>
      </w:r>
      <w:r w:rsidRPr="00DB0DCC">
        <w:rPr>
          <w:rFonts w:ascii="Arial" w:hAnsi="Arial" w:cs="Arial"/>
          <w:sz w:val="19"/>
          <w:szCs w:val="19"/>
          <w:lang w:val="es-ES"/>
        </w:rPr>
        <w:t>Artículos 2 al 29.</w:t>
      </w:r>
    </w:p>
    <w:p w:rsidRPr="00DB0DCC" w:rsidR="009C6278" w:rsidP="00267E80" w:rsidRDefault="009C6278" w14:paraId="037E2F76" w14:textId="77777777">
      <w:pPr>
        <w:pStyle w:val="Textonotapie"/>
        <w:ind w:firstLine="709"/>
        <w:jc w:val="both"/>
        <w:rPr>
          <w:rFonts w:ascii="Arial" w:hAnsi="Arial" w:cs="Arial"/>
          <w:sz w:val="19"/>
          <w:szCs w:val="19"/>
          <w:lang w:val="es-ES"/>
        </w:rPr>
      </w:pPr>
    </w:p>
  </w:footnote>
  <w:footnote w:id="5">
    <w:p w:rsidRPr="00DB0DCC" w:rsidR="009C6278" w:rsidP="00267E80" w:rsidRDefault="009C6278" w14:paraId="1AEF7C64" w14:textId="77777777">
      <w:pPr>
        <w:pStyle w:val="Textonotapie"/>
        <w:ind w:firstLine="709"/>
        <w:jc w:val="both"/>
        <w:rPr>
          <w:rFonts w:ascii="Arial" w:hAnsi="Arial" w:cs="Arial"/>
          <w:sz w:val="19"/>
          <w:szCs w:val="19"/>
          <w:lang w:val="es-ES"/>
        </w:rPr>
      </w:pPr>
      <w:r w:rsidRPr="00DB0DCC">
        <w:rPr>
          <w:rStyle w:val="Refdenotaalpie"/>
          <w:rFonts w:ascii="Arial" w:hAnsi="Arial" w:cs="Arial"/>
          <w:sz w:val="19"/>
          <w:szCs w:val="19"/>
        </w:rPr>
        <w:footnoteRef/>
      </w:r>
      <w:r w:rsidRPr="00DB0DCC">
        <w:rPr>
          <w:rFonts w:ascii="Arial" w:hAnsi="Arial" w:cs="Arial"/>
          <w:sz w:val="19"/>
          <w:szCs w:val="19"/>
        </w:rPr>
        <w:t xml:space="preserve"> </w:t>
      </w:r>
      <w:r w:rsidRPr="00DB0DCC">
        <w:rPr>
          <w:rFonts w:ascii="Arial" w:hAnsi="Arial" w:cs="Arial"/>
          <w:sz w:val="19"/>
          <w:szCs w:val="19"/>
          <w:lang w:val="es-ES"/>
        </w:rPr>
        <w:t>Artículos 30 al 36.</w:t>
      </w:r>
    </w:p>
    <w:p w:rsidRPr="00DB0DCC" w:rsidR="009C6278" w:rsidP="00267E80" w:rsidRDefault="009C6278" w14:paraId="7083B67B" w14:textId="77777777">
      <w:pPr>
        <w:pStyle w:val="Textonotapie"/>
        <w:ind w:firstLine="709"/>
        <w:jc w:val="both"/>
        <w:rPr>
          <w:rFonts w:ascii="Arial" w:hAnsi="Arial" w:cs="Arial"/>
          <w:sz w:val="19"/>
          <w:szCs w:val="19"/>
          <w:lang w:val="es-ES"/>
        </w:rPr>
      </w:pPr>
    </w:p>
  </w:footnote>
  <w:footnote w:id="6">
    <w:p w:rsidRPr="00DB0DCC" w:rsidR="009C6278" w:rsidP="00267E80" w:rsidRDefault="009C6278" w14:paraId="07FC88B2" w14:textId="77777777">
      <w:pPr>
        <w:pStyle w:val="Textonotapie"/>
        <w:ind w:firstLine="709"/>
        <w:jc w:val="both"/>
        <w:rPr>
          <w:rFonts w:ascii="Arial" w:hAnsi="Arial" w:cs="Arial"/>
          <w:sz w:val="19"/>
          <w:szCs w:val="19"/>
          <w:lang w:val="es-ES"/>
        </w:rPr>
      </w:pPr>
      <w:r w:rsidRPr="00DB0DCC">
        <w:rPr>
          <w:rStyle w:val="Refdenotaalpie"/>
          <w:rFonts w:ascii="Arial" w:hAnsi="Arial" w:cs="Arial"/>
          <w:sz w:val="19"/>
          <w:szCs w:val="19"/>
        </w:rPr>
        <w:footnoteRef/>
      </w:r>
      <w:r w:rsidRPr="00DB0DCC">
        <w:rPr>
          <w:rFonts w:ascii="Arial" w:hAnsi="Arial" w:cs="Arial"/>
          <w:sz w:val="19"/>
          <w:szCs w:val="19"/>
        </w:rPr>
        <w:t xml:space="preserve"> </w:t>
      </w:r>
      <w:r w:rsidRPr="00DB0DCC">
        <w:rPr>
          <w:rFonts w:ascii="Arial" w:hAnsi="Arial" w:cs="Arial"/>
          <w:sz w:val="19"/>
          <w:szCs w:val="19"/>
          <w:lang w:val="es-ES"/>
        </w:rPr>
        <w:t>Artículos 37 al 45.</w:t>
      </w:r>
    </w:p>
    <w:p w:rsidRPr="00DB0DCC" w:rsidR="009C6278" w:rsidP="00267E80" w:rsidRDefault="009C6278" w14:paraId="7E14B973" w14:textId="77777777">
      <w:pPr>
        <w:pStyle w:val="Textonotapie"/>
        <w:ind w:firstLine="709"/>
        <w:jc w:val="both"/>
        <w:rPr>
          <w:rFonts w:ascii="Arial" w:hAnsi="Arial" w:cs="Arial"/>
          <w:sz w:val="19"/>
          <w:szCs w:val="19"/>
          <w:lang w:val="es-ES"/>
        </w:rPr>
      </w:pPr>
    </w:p>
  </w:footnote>
  <w:footnote w:id="7">
    <w:p w:rsidRPr="00DB0DCC" w:rsidR="009C6278" w:rsidP="00267E80" w:rsidRDefault="009C6278" w14:paraId="7C1B7818" w14:textId="77777777">
      <w:pPr>
        <w:pStyle w:val="Textonotapie"/>
        <w:ind w:firstLine="709"/>
        <w:jc w:val="both"/>
        <w:rPr>
          <w:rFonts w:ascii="Arial" w:hAnsi="Arial" w:cs="Arial"/>
          <w:sz w:val="19"/>
          <w:szCs w:val="19"/>
          <w:lang w:val="es-ES"/>
        </w:rPr>
      </w:pPr>
      <w:r w:rsidRPr="00DB0DCC">
        <w:rPr>
          <w:rStyle w:val="Refdenotaalpie"/>
          <w:rFonts w:ascii="Arial" w:hAnsi="Arial" w:cs="Arial"/>
          <w:sz w:val="19"/>
          <w:szCs w:val="19"/>
        </w:rPr>
        <w:footnoteRef/>
      </w:r>
      <w:r w:rsidRPr="00DB0DCC">
        <w:rPr>
          <w:rFonts w:ascii="Arial" w:hAnsi="Arial" w:cs="Arial"/>
          <w:sz w:val="19"/>
          <w:szCs w:val="19"/>
        </w:rPr>
        <w:t xml:space="preserve"> </w:t>
      </w:r>
      <w:r w:rsidRPr="00DB0DCC">
        <w:rPr>
          <w:rFonts w:ascii="Arial" w:hAnsi="Arial" w:cs="Arial"/>
          <w:sz w:val="19"/>
          <w:szCs w:val="19"/>
          <w:lang w:val="es-ES"/>
        </w:rPr>
        <w:t>Artículos 46 al 73.</w:t>
      </w:r>
    </w:p>
    <w:p w:rsidRPr="00DB0DCC" w:rsidR="009C6278" w:rsidP="00267E80" w:rsidRDefault="009C6278" w14:paraId="44DB32B8" w14:textId="77777777">
      <w:pPr>
        <w:pStyle w:val="Textonotapie"/>
        <w:ind w:firstLine="709"/>
        <w:jc w:val="both"/>
        <w:rPr>
          <w:rFonts w:ascii="Arial" w:hAnsi="Arial" w:cs="Arial"/>
          <w:sz w:val="19"/>
          <w:szCs w:val="19"/>
          <w:lang w:val="es-ES"/>
        </w:rPr>
      </w:pPr>
    </w:p>
  </w:footnote>
  <w:footnote w:id="8">
    <w:p w:rsidRPr="00DB0DCC" w:rsidR="009C6278" w:rsidP="00267E80" w:rsidRDefault="009C6278" w14:paraId="28359C61" w14:textId="77777777">
      <w:pPr>
        <w:pStyle w:val="Textonotapie"/>
        <w:ind w:firstLine="709"/>
        <w:jc w:val="both"/>
        <w:rPr>
          <w:rFonts w:ascii="Arial" w:hAnsi="Arial" w:cs="Arial"/>
          <w:sz w:val="19"/>
          <w:szCs w:val="19"/>
          <w:lang w:val="es-ES"/>
        </w:rPr>
      </w:pPr>
      <w:r w:rsidRPr="00DB0DCC">
        <w:rPr>
          <w:rStyle w:val="Refdenotaalpie"/>
          <w:rFonts w:ascii="Arial" w:hAnsi="Arial" w:cs="Arial"/>
          <w:sz w:val="19"/>
          <w:szCs w:val="19"/>
        </w:rPr>
        <w:footnoteRef/>
      </w:r>
      <w:r w:rsidRPr="00DB0DCC">
        <w:rPr>
          <w:rFonts w:ascii="Arial" w:hAnsi="Arial" w:cs="Arial"/>
          <w:sz w:val="19"/>
          <w:szCs w:val="19"/>
        </w:rPr>
        <w:t xml:space="preserve"> </w:t>
      </w:r>
      <w:r w:rsidRPr="00DB0DCC">
        <w:rPr>
          <w:rFonts w:ascii="Arial" w:hAnsi="Arial" w:cs="Arial"/>
          <w:sz w:val="19"/>
          <w:szCs w:val="19"/>
          <w:lang w:val="es-ES"/>
        </w:rPr>
        <w:t>Artículos 74 al 83.</w:t>
      </w:r>
    </w:p>
    <w:p w:rsidRPr="00DB0DCC" w:rsidR="009C6278" w:rsidP="00267E80" w:rsidRDefault="009C6278" w14:paraId="2BBCFF6B" w14:textId="77777777">
      <w:pPr>
        <w:pStyle w:val="Textonotapie"/>
        <w:ind w:firstLine="709"/>
        <w:jc w:val="both"/>
        <w:rPr>
          <w:rFonts w:ascii="Arial" w:hAnsi="Arial" w:cs="Arial"/>
          <w:sz w:val="19"/>
          <w:szCs w:val="19"/>
          <w:lang w:val="es-ES"/>
        </w:rPr>
      </w:pPr>
    </w:p>
  </w:footnote>
  <w:footnote w:id="9">
    <w:p w:rsidR="009C6278" w:rsidP="00267E80" w:rsidRDefault="009C6278" w14:paraId="0C9F7EF8" w14:textId="640AB6A7">
      <w:pPr>
        <w:pStyle w:val="Textonotapie"/>
        <w:ind w:firstLine="708"/>
        <w:jc w:val="both"/>
        <w:rPr>
          <w:rFonts w:ascii="Arial" w:hAnsi="Arial" w:cs="Arial"/>
          <w:sz w:val="19"/>
          <w:szCs w:val="19"/>
        </w:rPr>
      </w:pPr>
      <w:r w:rsidRPr="00DB0DCC">
        <w:rPr>
          <w:rStyle w:val="Refdenotaalpie"/>
          <w:rFonts w:ascii="Arial" w:hAnsi="Arial" w:cs="Arial"/>
          <w:sz w:val="19"/>
          <w:szCs w:val="19"/>
        </w:rPr>
        <w:footnoteRef/>
      </w:r>
      <w:r w:rsidRPr="00DB0DCC">
        <w:rPr>
          <w:rFonts w:ascii="Arial" w:hAnsi="Arial" w:cs="Arial"/>
          <w:sz w:val="19"/>
          <w:szCs w:val="19"/>
        </w:rPr>
        <w:t xml:space="preserve"> </w:t>
      </w:r>
      <w:bookmarkStart w:name="_Hlk63862868" w:id="5"/>
      <w:r w:rsidRPr="00DB0DCC">
        <w:rPr>
          <w:rFonts w:ascii="Arial" w:hAnsi="Arial" w:cs="Arial"/>
          <w:sz w:val="19"/>
          <w:szCs w:val="19"/>
        </w:rPr>
        <w:t xml:space="preserve">CONGRESO DE LA REPÚBLICA. Gaceta No. 670 del 11 de agosto de 2020. Exposición de motivos del Proyecto de Ley No. 122 de 2020 Cámara. p. 13. </w:t>
      </w:r>
      <w:bookmarkEnd w:id="5"/>
    </w:p>
    <w:p w:rsidRPr="00DB0DCC" w:rsidR="005E16C1" w:rsidP="00267E80" w:rsidRDefault="005E16C1" w14:paraId="0A0E0D45" w14:textId="77777777">
      <w:pPr>
        <w:pStyle w:val="Textonotapie"/>
        <w:ind w:firstLine="708"/>
        <w:jc w:val="both"/>
        <w:rPr>
          <w:rFonts w:ascii="Arial" w:hAnsi="Arial" w:cs="Arial"/>
          <w:sz w:val="19"/>
          <w:szCs w:val="19"/>
          <w:lang w:val="es-ES"/>
        </w:rPr>
      </w:pPr>
    </w:p>
  </w:footnote>
  <w:footnote w:id="10">
    <w:p w:rsidRPr="00DB0DCC" w:rsidR="009C6278" w:rsidP="00267E80" w:rsidRDefault="009C6278" w14:paraId="5DD6B46D" w14:textId="77777777">
      <w:pPr>
        <w:pStyle w:val="Textonotapie"/>
        <w:ind w:firstLine="709"/>
        <w:jc w:val="both"/>
        <w:rPr>
          <w:rFonts w:ascii="Arial" w:hAnsi="Arial" w:cs="Arial"/>
          <w:sz w:val="19"/>
          <w:szCs w:val="19"/>
        </w:rPr>
      </w:pPr>
      <w:r w:rsidRPr="00DB0DCC">
        <w:rPr>
          <w:rStyle w:val="Refdenotaalpie"/>
          <w:rFonts w:ascii="Arial" w:hAnsi="Arial" w:cs="Arial"/>
          <w:sz w:val="19"/>
          <w:szCs w:val="19"/>
        </w:rPr>
        <w:footnoteRef/>
      </w:r>
      <w:r w:rsidRPr="00DB0DCC">
        <w:rPr>
          <w:rFonts w:ascii="Arial" w:hAnsi="Arial" w:cs="Arial"/>
          <w:sz w:val="19"/>
          <w:szCs w:val="19"/>
        </w:rPr>
        <w:t xml:space="preserve"> Ley 2069 de 2020 «Artículo 32. Criterios Diferenciales para Emprendimientos y Empresas de mujeres en el Sistema De Compras Públicas. De acuerdo con el resultado del análisis del sector, las entidades estatales incluirán requisitos diferenciales y puntajes adicionales en los procesos de licitación pública, selección abreviada de menor cuantía y concurso de méritos, así como en los procesos competitivos que adelanten las entidades estatales que no apliquen en su gestión contractual el Estatuto General de Contratación Administrativa, como medidas de acción afirmativa, para incentivar emprendimientos y empresas de mujeres en el sistema de compras públicas, sin perjuicio de los compromisos adquiridos por Colombia en los acuerdos comerciales en vigor.  </w:t>
      </w:r>
    </w:p>
    <w:p w:rsidRPr="00DB0DCC" w:rsidR="009C6278" w:rsidP="00267E80" w:rsidRDefault="009C6278" w14:paraId="10D4AC9E" w14:textId="77777777">
      <w:pPr>
        <w:pStyle w:val="Textonotapie"/>
        <w:ind w:firstLine="708"/>
        <w:jc w:val="both"/>
        <w:rPr>
          <w:rFonts w:ascii="Arial" w:hAnsi="Arial" w:cs="Arial"/>
          <w:sz w:val="19"/>
          <w:szCs w:val="19"/>
        </w:rPr>
      </w:pPr>
      <w:r w:rsidRPr="00DB0DCC">
        <w:rPr>
          <w:rFonts w:ascii="Arial" w:hAnsi="Arial" w:cs="Arial"/>
          <w:sz w:val="19"/>
          <w:szCs w:val="19"/>
        </w:rPr>
        <w:t xml:space="preserve">»Parágrafo primero. La definición de emprendimientos y empresas de mujeres se reglamentará por el gobierno nacional».  </w:t>
      </w:r>
    </w:p>
  </w:footnote>
  <w:footnote w:id="11">
    <w:p w:rsidRPr="00DB0DCC" w:rsidR="009C6278" w:rsidP="00267E80" w:rsidRDefault="009C6278" w14:paraId="49EED5E8" w14:textId="6EF6E623">
      <w:pPr>
        <w:pStyle w:val="Textonotapie"/>
        <w:ind w:firstLine="709"/>
        <w:jc w:val="both"/>
        <w:rPr>
          <w:rFonts w:ascii="Arial" w:hAnsi="Arial" w:cs="Arial"/>
          <w:sz w:val="19"/>
          <w:szCs w:val="19"/>
        </w:rPr>
      </w:pPr>
      <w:r w:rsidRPr="00DB0DCC">
        <w:rPr>
          <w:rStyle w:val="Refdenotaalpie"/>
          <w:rFonts w:ascii="Arial" w:hAnsi="Arial" w:cs="Arial"/>
          <w:sz w:val="19"/>
          <w:szCs w:val="19"/>
        </w:rPr>
        <w:footnoteRef/>
      </w:r>
      <w:r w:rsidRPr="00DB0DCC">
        <w:rPr>
          <w:rFonts w:ascii="Arial" w:hAnsi="Arial" w:cs="Arial"/>
          <w:sz w:val="19"/>
          <w:szCs w:val="19"/>
        </w:rPr>
        <w:t xml:space="preserve"> Decreto 1860 de 2021. «Artículo 1. Objeto. El presente Decreto tiene como propósito reglamentar los artículos 30, 31, 32,34 y 35 de la Ley 2069 de 2020, en relación con: el procedimiento de mínima cuantía, incluyendo disposiciones particulares que se refieren a la contratación con Mipyme y grandes almacenes; los criterios diferenciales para Mipyme, y la definición y los criterios diferenciales para los emprendimientos y empresas de mujeres; las convocatorias limitadas a Mipyme; el fomento a la ejecución de contratos estatales por parte de población en pobreza extrema, desplazados por la violencia, personas en proceso de reintegración o reincorporación y, sujetos de especial protección constitucional; así como la acreditación de los factores de desempate previstos en la Ley de Emprendimiento».</w:t>
      </w:r>
    </w:p>
    <w:p w:rsidRPr="00DB0DCC" w:rsidR="00991CF4" w:rsidP="00267E80" w:rsidRDefault="00991CF4" w14:paraId="10E7AEA6" w14:textId="77777777">
      <w:pPr>
        <w:pStyle w:val="Textonotapie"/>
        <w:ind w:firstLine="709"/>
        <w:jc w:val="both"/>
        <w:rPr>
          <w:rFonts w:ascii="Arial" w:hAnsi="Arial" w:cs="Arial"/>
          <w:sz w:val="19"/>
          <w:szCs w:val="19"/>
        </w:rPr>
      </w:pPr>
    </w:p>
  </w:footnote>
  <w:footnote w:id="12">
    <w:p w:rsidRPr="00DB0DCC" w:rsidR="009C6278" w:rsidP="001A6E4A" w:rsidRDefault="009C6278" w14:paraId="6A90FB12" w14:textId="77777777">
      <w:pPr>
        <w:pStyle w:val="NormalWeb"/>
        <w:shd w:val="clear" w:color="auto" w:fill="FFFFFF"/>
        <w:spacing w:before="0" w:beforeAutospacing="0" w:after="120" w:afterAutospacing="0"/>
        <w:ind w:firstLine="709"/>
        <w:jc w:val="both"/>
        <w:rPr>
          <w:rFonts w:ascii="Arial" w:hAnsi="Arial" w:cs="Arial"/>
          <w:sz w:val="19"/>
          <w:szCs w:val="19"/>
        </w:rPr>
      </w:pPr>
      <w:r w:rsidRPr="00DB0DCC">
        <w:rPr>
          <w:rStyle w:val="Refdenotaalpie"/>
          <w:rFonts w:ascii="Arial" w:hAnsi="Arial" w:cs="Arial"/>
          <w:sz w:val="19"/>
          <w:szCs w:val="19"/>
        </w:rPr>
        <w:footnoteRef/>
      </w:r>
      <w:r w:rsidRPr="00DB0DCC">
        <w:rPr>
          <w:rFonts w:ascii="Arial" w:hAnsi="Arial" w:cs="Arial"/>
          <w:sz w:val="19"/>
          <w:szCs w:val="19"/>
        </w:rPr>
        <w:t xml:space="preserve"> Decreto 1860 de 2021. «Artículo 8. Vigencia y derogatorias. Las disposiciones contenidas en el presente Decreto se aplicarán a los procedimientos de selección cuya invitación, aviso de convocatoria o documento equivalente se publique a los tres (3) meses contados a partir de su expedición. Este Decreto modifica la Subsección </w:t>
      </w:r>
      <w:hyperlink w:history="1" w:anchor="2.2.1.2.1.5.1" r:id="rId2">
        <w:r w:rsidRPr="001A6E4A">
          <w:rPr>
            <w:rStyle w:val="Hipervnculo"/>
            <w:rFonts w:ascii="Arial" w:hAnsi="Arial" w:cs="Arial"/>
            <w:color w:val="auto"/>
            <w:sz w:val="19"/>
            <w:szCs w:val="19"/>
          </w:rPr>
          <w:t>5 </w:t>
        </w:r>
      </w:hyperlink>
      <w:r w:rsidRPr="00DB0DCC">
        <w:rPr>
          <w:rFonts w:ascii="Arial" w:hAnsi="Arial" w:cs="Arial"/>
          <w:sz w:val="19"/>
          <w:szCs w:val="19"/>
        </w:rPr>
        <w:t>de la Sección 1 del Capítulo 2 del Título 1 de la Parte 2 del Libro 2, así como los artículos </w:t>
      </w:r>
      <w:hyperlink w:history="1" w:anchor="2.2.1.2.4.2.2" r:id="rId3">
        <w:r w:rsidRPr="001A6E4A">
          <w:rPr>
            <w:rStyle w:val="Hipervnculo"/>
            <w:rFonts w:ascii="Arial" w:hAnsi="Arial" w:cs="Arial"/>
            <w:color w:val="auto"/>
            <w:sz w:val="19"/>
            <w:szCs w:val="19"/>
          </w:rPr>
          <w:t>2.2.1.2.4.2.2</w:t>
        </w:r>
      </w:hyperlink>
      <w:r w:rsidRPr="00DB0DCC">
        <w:rPr>
          <w:rFonts w:ascii="Arial" w:hAnsi="Arial" w:cs="Arial"/>
          <w:sz w:val="19"/>
          <w:szCs w:val="19"/>
        </w:rPr>
        <w:t>., </w:t>
      </w:r>
      <w:hyperlink w:history="1" w:anchor="2.2.1.2.4.2.3" r:id="rId4">
        <w:r w:rsidRPr="001A6E4A">
          <w:rPr>
            <w:rStyle w:val="Hipervnculo"/>
            <w:rFonts w:ascii="Arial" w:hAnsi="Arial" w:cs="Arial"/>
            <w:color w:val="auto"/>
            <w:sz w:val="19"/>
            <w:szCs w:val="19"/>
          </w:rPr>
          <w:t>2.2.1.2.4.2.3</w:t>
        </w:r>
      </w:hyperlink>
      <w:r w:rsidRPr="00DB0DCC">
        <w:rPr>
          <w:rFonts w:ascii="Arial" w:hAnsi="Arial" w:cs="Arial"/>
          <w:sz w:val="19"/>
          <w:szCs w:val="19"/>
        </w:rPr>
        <w:t>., </w:t>
      </w:r>
      <w:hyperlink w:history="1" w:anchor="2.2.1.2.4.2.4" r:id="rId5">
        <w:r w:rsidRPr="001A6E4A">
          <w:rPr>
            <w:rStyle w:val="Hipervnculo"/>
            <w:rFonts w:ascii="Arial" w:hAnsi="Arial" w:cs="Arial"/>
            <w:color w:val="auto"/>
            <w:sz w:val="19"/>
            <w:szCs w:val="19"/>
          </w:rPr>
          <w:t>2.2.1.2.4.2.4</w:t>
        </w:r>
      </w:hyperlink>
      <w:r w:rsidRPr="00DB0DCC">
        <w:rPr>
          <w:rFonts w:ascii="Arial" w:hAnsi="Arial" w:cs="Arial"/>
          <w:sz w:val="19"/>
          <w:szCs w:val="19"/>
        </w:rPr>
        <w:t>., </w:t>
      </w:r>
      <w:hyperlink w:history="1" w:anchor="2.2.1.2.1.2.2" r:id="rId6">
        <w:r w:rsidRPr="001A6E4A">
          <w:rPr>
            <w:rStyle w:val="Hipervnculo"/>
            <w:rFonts w:ascii="Arial" w:hAnsi="Arial" w:cs="Arial"/>
            <w:color w:val="auto"/>
            <w:sz w:val="19"/>
            <w:szCs w:val="19"/>
          </w:rPr>
          <w:t>2.2.1.2.1.2.2</w:t>
        </w:r>
      </w:hyperlink>
      <w:r w:rsidRPr="00DB0DCC">
        <w:rPr>
          <w:rFonts w:ascii="Arial" w:hAnsi="Arial" w:cs="Arial"/>
          <w:sz w:val="19"/>
          <w:szCs w:val="19"/>
        </w:rPr>
        <w:t xml:space="preserve"> y </w:t>
      </w:r>
      <w:hyperlink w:history="1" w:anchor="2.2.1.2.4.2.8" r:id="rId7">
        <w:r w:rsidRPr="001A6E4A">
          <w:rPr>
            <w:rStyle w:val="Hipervnculo"/>
            <w:rFonts w:ascii="Arial" w:hAnsi="Arial" w:cs="Arial"/>
            <w:color w:val="auto"/>
            <w:sz w:val="19"/>
            <w:szCs w:val="19"/>
          </w:rPr>
          <w:t>2.2.1.2.4.2.8</w:t>
        </w:r>
      </w:hyperlink>
      <w:r w:rsidRPr="00DB0DCC">
        <w:rPr>
          <w:rFonts w:ascii="Arial" w:hAnsi="Arial" w:cs="Arial"/>
          <w:sz w:val="19"/>
          <w:szCs w:val="19"/>
        </w:rPr>
        <w:t>.; adiciona los artículos </w:t>
      </w:r>
      <w:hyperlink w:history="1" w:anchor="2.2.1.2.4.2.14" r:id="rId8">
        <w:r w:rsidRPr="001A6E4A">
          <w:rPr>
            <w:rStyle w:val="Hipervnculo"/>
            <w:rFonts w:ascii="Arial" w:hAnsi="Arial" w:cs="Arial"/>
            <w:color w:val="auto"/>
            <w:sz w:val="19"/>
            <w:szCs w:val="19"/>
          </w:rPr>
          <w:t>2.2.1.2.4.2.14</w:t>
        </w:r>
      </w:hyperlink>
      <w:r w:rsidRPr="00DB0DCC">
        <w:rPr>
          <w:rFonts w:ascii="Arial" w:hAnsi="Arial" w:cs="Arial"/>
          <w:sz w:val="19"/>
          <w:szCs w:val="19"/>
        </w:rPr>
        <w:t>., </w:t>
      </w:r>
      <w:hyperlink w:history="1" w:anchor="2.2.1.2.4.2.15" r:id="rId9">
        <w:r w:rsidRPr="001A6E4A">
          <w:rPr>
            <w:rStyle w:val="Hipervnculo"/>
            <w:rFonts w:ascii="Arial" w:hAnsi="Arial" w:cs="Arial"/>
            <w:color w:val="auto"/>
            <w:sz w:val="19"/>
            <w:szCs w:val="19"/>
          </w:rPr>
          <w:t>2.2.1.2.4.2.15</w:t>
        </w:r>
      </w:hyperlink>
      <w:r w:rsidRPr="00DB0DCC">
        <w:rPr>
          <w:rFonts w:ascii="Arial" w:hAnsi="Arial" w:cs="Arial"/>
          <w:sz w:val="19"/>
          <w:szCs w:val="19"/>
        </w:rPr>
        <w:t>., </w:t>
      </w:r>
      <w:hyperlink w:history="1" w:anchor="2.2.1.2.4.2.16" r:id="rId10">
        <w:r w:rsidRPr="001A6E4A">
          <w:rPr>
            <w:rStyle w:val="Hipervnculo"/>
            <w:rFonts w:ascii="Arial" w:hAnsi="Arial" w:cs="Arial"/>
            <w:color w:val="auto"/>
            <w:sz w:val="19"/>
            <w:szCs w:val="19"/>
          </w:rPr>
          <w:t>2.2.1.2.4.2.16</w:t>
        </w:r>
      </w:hyperlink>
      <w:r w:rsidRPr="00DB0DCC">
        <w:rPr>
          <w:rFonts w:ascii="Arial" w:hAnsi="Arial" w:cs="Arial"/>
          <w:sz w:val="19"/>
          <w:szCs w:val="19"/>
        </w:rPr>
        <w:t>., </w:t>
      </w:r>
      <w:hyperlink w:history="1" w:anchor="2.2.1.2.4.2.17" r:id="rId11">
        <w:r w:rsidRPr="001A6E4A">
          <w:rPr>
            <w:rStyle w:val="Hipervnculo"/>
            <w:rFonts w:ascii="Arial" w:hAnsi="Arial" w:cs="Arial"/>
            <w:color w:val="auto"/>
            <w:sz w:val="19"/>
            <w:szCs w:val="19"/>
          </w:rPr>
          <w:t>2.2.1.2.4.2.17</w:t>
        </w:r>
      </w:hyperlink>
      <w:r w:rsidRPr="00DB0DCC">
        <w:rPr>
          <w:rFonts w:ascii="Arial" w:hAnsi="Arial" w:cs="Arial"/>
          <w:sz w:val="19"/>
          <w:szCs w:val="19"/>
        </w:rPr>
        <w:t>. y </w:t>
      </w:r>
      <w:hyperlink w:history="1" w:anchor="2.2.1.2.4.2.18" r:id="rId12">
        <w:r w:rsidRPr="001A6E4A">
          <w:rPr>
            <w:rStyle w:val="Hipervnculo"/>
            <w:rFonts w:ascii="Arial" w:hAnsi="Arial" w:cs="Arial"/>
            <w:color w:val="auto"/>
            <w:sz w:val="19"/>
            <w:szCs w:val="19"/>
          </w:rPr>
          <w:t>2.2.1.2.4.2.18</w:t>
        </w:r>
      </w:hyperlink>
      <w:r w:rsidRPr="00DB0DCC">
        <w:rPr>
          <w:rFonts w:ascii="Arial" w:hAnsi="Arial" w:cs="Arial"/>
          <w:sz w:val="19"/>
          <w:szCs w:val="19"/>
        </w:rPr>
        <w:t>.; adiciona un </w:t>
      </w:r>
      <w:hyperlink w:history="1" w:anchor="2.2.1.2.3.1.9.p" r:id="rId13">
        <w:r w:rsidRPr="001A6E4A">
          <w:rPr>
            <w:rStyle w:val="Hipervnculo"/>
            <w:rFonts w:ascii="Arial" w:hAnsi="Arial" w:cs="Arial"/>
            <w:color w:val="auto"/>
            <w:sz w:val="19"/>
            <w:szCs w:val="19"/>
          </w:rPr>
          <w:t>parágrafo </w:t>
        </w:r>
      </w:hyperlink>
      <w:r w:rsidRPr="00DB0DCC">
        <w:rPr>
          <w:rFonts w:ascii="Arial" w:hAnsi="Arial" w:cs="Arial"/>
          <w:sz w:val="19"/>
          <w:szCs w:val="19"/>
        </w:rPr>
        <w:t>al artículo </w:t>
      </w:r>
      <w:hyperlink w:history="1" w:anchor="2.2.1.2.3.1.9" r:id="rId14">
        <w:r w:rsidRPr="001A6E4A">
          <w:rPr>
            <w:rStyle w:val="Hipervnculo"/>
            <w:rFonts w:ascii="Arial" w:hAnsi="Arial" w:cs="Arial"/>
            <w:color w:val="auto"/>
            <w:sz w:val="19"/>
            <w:szCs w:val="19"/>
          </w:rPr>
          <w:t>2.2.1.2.3.1.9</w:t>
        </w:r>
      </w:hyperlink>
      <w:r w:rsidRPr="00DB0DCC">
        <w:rPr>
          <w:rFonts w:ascii="Arial" w:hAnsi="Arial" w:cs="Arial"/>
          <w:sz w:val="19"/>
          <w:szCs w:val="19"/>
        </w:rPr>
        <w:t>; y deroga el artículo </w:t>
      </w:r>
      <w:hyperlink w:history="1" w:anchor="2.2.1.1.2.2.9" r:id="rId15">
        <w:r w:rsidRPr="001A6E4A">
          <w:rPr>
            <w:rStyle w:val="Hipervnculo"/>
            <w:rFonts w:ascii="Arial" w:hAnsi="Arial" w:cs="Arial"/>
            <w:color w:val="auto"/>
            <w:sz w:val="19"/>
            <w:szCs w:val="19"/>
          </w:rPr>
          <w:t>2.2.1.1.2.2.9</w:t>
        </w:r>
      </w:hyperlink>
      <w:r w:rsidRPr="00DB0DCC">
        <w:rPr>
          <w:rFonts w:ascii="Arial" w:hAnsi="Arial" w:cs="Arial"/>
          <w:sz w:val="19"/>
          <w:szCs w:val="19"/>
        </w:rPr>
        <w:t>. del Decreto 1082 de 2015, Único Reglamentario del Sector Administrativo de Planeación Nacional.</w:t>
      </w:r>
    </w:p>
    <w:p w:rsidRPr="00DB0DCC" w:rsidR="009C6278" w:rsidP="00267E80" w:rsidRDefault="009C6278" w14:paraId="56FCE0EB" w14:textId="77777777">
      <w:pPr>
        <w:pStyle w:val="NormalWeb"/>
        <w:shd w:val="clear" w:color="auto" w:fill="FFFFFF"/>
        <w:spacing w:before="0" w:beforeAutospacing="0" w:after="0" w:afterAutospacing="0"/>
        <w:jc w:val="both"/>
        <w:rPr>
          <w:rFonts w:ascii="Arial" w:hAnsi="Arial" w:cs="Arial"/>
          <w:sz w:val="19"/>
          <w:szCs w:val="19"/>
        </w:rPr>
      </w:pPr>
      <w:r w:rsidRPr="00DB0DCC">
        <w:rPr>
          <w:rFonts w:ascii="Arial" w:hAnsi="Arial" w:cs="Arial"/>
          <w:b/>
          <w:bCs/>
          <w:sz w:val="19"/>
          <w:szCs w:val="19"/>
        </w:rPr>
        <w:t> </w:t>
      </w:r>
      <w:r w:rsidRPr="00DB0DCC">
        <w:rPr>
          <w:rFonts w:ascii="Arial" w:hAnsi="Arial" w:cs="Arial"/>
          <w:b/>
          <w:bCs/>
          <w:sz w:val="19"/>
          <w:szCs w:val="19"/>
        </w:rPr>
        <w:tab/>
      </w:r>
      <w:r w:rsidRPr="00DB0DCC">
        <w:rPr>
          <w:rFonts w:ascii="Arial" w:hAnsi="Arial" w:cs="Arial"/>
          <w:b/>
          <w:bCs/>
          <w:sz w:val="19"/>
          <w:szCs w:val="19"/>
        </w:rPr>
        <w:t>»</w:t>
      </w:r>
      <w:r w:rsidRPr="00DB0DCC">
        <w:rPr>
          <w:rFonts w:ascii="Arial" w:hAnsi="Arial" w:cs="Arial"/>
          <w:sz w:val="19"/>
          <w:szCs w:val="19"/>
        </w:rPr>
        <w:t>Parágrafo. Los Procesos de Contratación que se rijan por los Documento Tipo continuarán aplicando estos instrumentos y las normas vigentes anteriores a la expedición de este Decreto. Por tanto, estos procedimientos de selección se realizarán conforme la regulación actual contenida en los Documentos Tipo hasta que la Agencia Nacional de Contratación Pública - Colombia Compra Eficiente expida las modificaciones a que haya lugar, conforme con las disposiciones de esta reglamentación.</w:t>
      </w:r>
    </w:p>
    <w:p w:rsidRPr="00DB0DCC" w:rsidR="009C6278" w:rsidP="00267E80" w:rsidRDefault="009C6278" w14:paraId="3E4D691E" w14:textId="77777777">
      <w:pPr>
        <w:pStyle w:val="NormalWeb"/>
        <w:shd w:val="clear" w:color="auto" w:fill="FFFFFF"/>
        <w:spacing w:before="0" w:beforeAutospacing="0" w:after="0" w:afterAutospacing="0"/>
        <w:jc w:val="both"/>
        <w:rPr>
          <w:rFonts w:ascii="Arial" w:hAnsi="Arial" w:cs="Arial"/>
          <w:sz w:val="19"/>
          <w:szCs w:val="19"/>
        </w:rPr>
      </w:pPr>
      <w:r w:rsidRPr="00DB0DCC">
        <w:rPr>
          <w:rFonts w:ascii="Arial" w:hAnsi="Arial" w:cs="Arial"/>
          <w:sz w:val="19"/>
          <w:szCs w:val="19"/>
        </w:rPr>
        <w:t> </w:t>
      </w:r>
      <w:r w:rsidRPr="00DB0DCC">
        <w:rPr>
          <w:rFonts w:ascii="Arial" w:hAnsi="Arial" w:cs="Arial"/>
          <w:sz w:val="19"/>
          <w:szCs w:val="19"/>
        </w:rPr>
        <w:tab/>
      </w:r>
      <w:r w:rsidRPr="00DB0DCC">
        <w:rPr>
          <w:rFonts w:ascii="Arial" w:hAnsi="Arial" w:cs="Arial"/>
          <w:sz w:val="19"/>
          <w:szCs w:val="19"/>
        </w:rPr>
        <w:t>»La Agencia tendrá un plazo máximo de seis (6) meses contados a partir de la expedición de este Decreto para adecuar los Documentos Tipo a las disposiciones previstas en este reglamento. Sin perjuicio de lo anterior, el artículo 5 del presente Decreto regirá en los procesos sometidos a los Documentos Tipo en las condiciones establecidas en este artículo».</w:t>
      </w:r>
    </w:p>
  </w:footnote>
  <w:footnote w:id="13">
    <w:p w:rsidRPr="001A6E4A" w:rsidR="002259F8" w:rsidP="001A6E4A" w:rsidRDefault="002259F8" w14:paraId="451DFD6A" w14:textId="4EF7A51F">
      <w:pPr>
        <w:pStyle w:val="Textonotapie"/>
        <w:spacing w:after="60"/>
        <w:ind w:firstLine="709"/>
        <w:jc w:val="both"/>
        <w:rPr>
          <w:rFonts w:ascii="Arial" w:hAnsi="Arial" w:cs="Arial"/>
          <w:sz w:val="19"/>
          <w:szCs w:val="19"/>
        </w:rPr>
      </w:pPr>
      <w:r w:rsidRPr="001A6E4A">
        <w:rPr>
          <w:rStyle w:val="Refdenotaalpie"/>
          <w:rFonts w:ascii="Arial" w:hAnsi="Arial" w:cs="Arial"/>
          <w:sz w:val="19"/>
          <w:szCs w:val="19"/>
        </w:rPr>
        <w:footnoteRef/>
      </w:r>
      <w:r w:rsidRPr="001A6E4A">
        <w:rPr>
          <w:rFonts w:ascii="Arial" w:hAnsi="Arial" w:cs="Arial"/>
          <w:sz w:val="19"/>
          <w:szCs w:val="19"/>
        </w:rPr>
        <w:t xml:space="preserve"> </w:t>
      </w:r>
      <w:r w:rsidRPr="00DB0DCC">
        <w:rPr>
          <w:rFonts w:ascii="Arial" w:hAnsi="Arial" w:cs="Arial"/>
          <w:sz w:val="19"/>
          <w:szCs w:val="19"/>
        </w:rPr>
        <w:t xml:space="preserve">Decreto 1082 de 2015: «Artículo </w:t>
      </w:r>
      <w:r w:rsidRPr="001A6E4A">
        <w:rPr>
          <w:rFonts w:ascii="Arial" w:hAnsi="Arial" w:cs="Arial"/>
          <w:sz w:val="19"/>
          <w:szCs w:val="19"/>
        </w:rPr>
        <w:t>2.2.1.2.4.2.15. Criterios diferenciales para emprendimientos y empresas de mujeres en el sistema de compras públicas. En los procesos de licitación pública, selección abreviada de menor cuantía y concurso de méritos, así como en los procesos competitivos que adelanten las Entidades Estatales no sometidas al Estatuto General de Contratación de la Administración Pública, las Entidades incluirán condiciones habilitantes para incentivar los emprendimientos y empresas de mujeres con domicilio en el territorio nacional. Para el efecto, los Documentos del Proceso deberán incorporar requisitos habilitantes diferenciales relacionados con alguno o algunos de los siguientes aspectos:</w:t>
      </w:r>
    </w:p>
    <w:p w:rsidRPr="001A6E4A" w:rsidR="002259F8" w:rsidP="001A6E4A" w:rsidRDefault="002259F8" w14:paraId="63B5D9C7" w14:textId="2F305703">
      <w:pPr>
        <w:pStyle w:val="Textonotapie"/>
        <w:spacing w:after="60"/>
        <w:ind w:firstLine="709"/>
        <w:jc w:val="both"/>
        <w:rPr>
          <w:rFonts w:ascii="Arial" w:hAnsi="Arial" w:cs="Arial"/>
          <w:sz w:val="19"/>
          <w:szCs w:val="19"/>
        </w:rPr>
      </w:pPr>
      <w:r w:rsidRPr="00DB0DCC">
        <w:rPr>
          <w:rFonts w:ascii="Arial" w:hAnsi="Arial" w:cs="Arial"/>
          <w:sz w:val="19"/>
          <w:szCs w:val="19"/>
        </w:rPr>
        <w:t>»</w:t>
      </w:r>
      <w:r w:rsidRPr="001A6E4A">
        <w:rPr>
          <w:rFonts w:ascii="Arial" w:hAnsi="Arial" w:cs="Arial"/>
          <w:sz w:val="19"/>
          <w:szCs w:val="19"/>
        </w:rPr>
        <w:t>1. Tiempo de experiencia.</w:t>
      </w:r>
    </w:p>
    <w:p w:rsidRPr="001A6E4A" w:rsidR="002259F8" w:rsidP="001A6E4A" w:rsidRDefault="002259F8" w14:paraId="44BA1D1F" w14:textId="0A5CC004">
      <w:pPr>
        <w:pStyle w:val="Textonotapie"/>
        <w:spacing w:after="60"/>
        <w:ind w:firstLine="709"/>
        <w:jc w:val="both"/>
        <w:rPr>
          <w:rFonts w:ascii="Arial" w:hAnsi="Arial" w:cs="Arial"/>
          <w:sz w:val="19"/>
          <w:szCs w:val="19"/>
        </w:rPr>
      </w:pPr>
      <w:r w:rsidRPr="00DB0DCC">
        <w:rPr>
          <w:rFonts w:ascii="Arial" w:hAnsi="Arial" w:cs="Arial"/>
          <w:sz w:val="19"/>
          <w:szCs w:val="19"/>
        </w:rPr>
        <w:t>»</w:t>
      </w:r>
      <w:r w:rsidRPr="001A6E4A">
        <w:rPr>
          <w:rFonts w:ascii="Arial" w:hAnsi="Arial" w:cs="Arial"/>
          <w:sz w:val="19"/>
          <w:szCs w:val="19"/>
        </w:rPr>
        <w:t>2. Número de contratos para la acreditación de la experiencia.</w:t>
      </w:r>
    </w:p>
    <w:p w:rsidRPr="001A6E4A" w:rsidR="002259F8" w:rsidP="001A6E4A" w:rsidRDefault="002259F8" w14:paraId="0ADDD2F7" w14:textId="430196F0">
      <w:pPr>
        <w:pStyle w:val="Textonotapie"/>
        <w:spacing w:after="60"/>
        <w:ind w:firstLine="709"/>
        <w:jc w:val="both"/>
        <w:rPr>
          <w:rFonts w:ascii="Arial" w:hAnsi="Arial" w:cs="Arial"/>
          <w:sz w:val="19"/>
          <w:szCs w:val="19"/>
        </w:rPr>
      </w:pPr>
      <w:r w:rsidRPr="00DB0DCC">
        <w:rPr>
          <w:rFonts w:ascii="Arial" w:hAnsi="Arial" w:cs="Arial"/>
          <w:sz w:val="19"/>
          <w:szCs w:val="19"/>
        </w:rPr>
        <w:t>»</w:t>
      </w:r>
      <w:r w:rsidRPr="001A6E4A">
        <w:rPr>
          <w:rFonts w:ascii="Arial" w:hAnsi="Arial" w:cs="Arial"/>
          <w:sz w:val="19"/>
          <w:szCs w:val="19"/>
        </w:rPr>
        <w:t>3. Índices de capacidad financiera.</w:t>
      </w:r>
    </w:p>
    <w:p w:rsidRPr="001A6E4A" w:rsidR="002259F8" w:rsidP="001A6E4A" w:rsidRDefault="002259F8" w14:paraId="56E1272B" w14:textId="6BBEFE4A">
      <w:pPr>
        <w:pStyle w:val="Textonotapie"/>
        <w:spacing w:after="60"/>
        <w:ind w:firstLine="709"/>
        <w:jc w:val="both"/>
        <w:rPr>
          <w:rFonts w:ascii="Arial" w:hAnsi="Arial" w:cs="Arial"/>
          <w:sz w:val="19"/>
          <w:szCs w:val="19"/>
        </w:rPr>
      </w:pPr>
      <w:r w:rsidRPr="00DB0DCC">
        <w:rPr>
          <w:rFonts w:ascii="Arial" w:hAnsi="Arial" w:cs="Arial"/>
          <w:sz w:val="19"/>
          <w:szCs w:val="19"/>
        </w:rPr>
        <w:t>»</w:t>
      </w:r>
      <w:r w:rsidRPr="001A6E4A">
        <w:rPr>
          <w:rFonts w:ascii="Arial" w:hAnsi="Arial" w:cs="Arial"/>
          <w:sz w:val="19"/>
          <w:szCs w:val="19"/>
        </w:rPr>
        <w:t>4. Índices de capacidad organizacional.</w:t>
      </w:r>
    </w:p>
    <w:p w:rsidRPr="001A6E4A" w:rsidR="002259F8" w:rsidP="001A6E4A" w:rsidRDefault="002259F8" w14:paraId="57E0DE05" w14:textId="4768C850">
      <w:pPr>
        <w:pStyle w:val="Textonotapie"/>
        <w:spacing w:after="60"/>
        <w:ind w:firstLine="709"/>
        <w:jc w:val="both"/>
        <w:rPr>
          <w:rFonts w:ascii="Arial" w:hAnsi="Arial" w:cs="Arial"/>
          <w:sz w:val="19"/>
          <w:szCs w:val="19"/>
        </w:rPr>
      </w:pPr>
      <w:r w:rsidRPr="00DB0DCC">
        <w:rPr>
          <w:rFonts w:ascii="Arial" w:hAnsi="Arial" w:cs="Arial"/>
          <w:sz w:val="19"/>
          <w:szCs w:val="19"/>
        </w:rPr>
        <w:t>»</w:t>
      </w:r>
      <w:r w:rsidRPr="001A6E4A">
        <w:rPr>
          <w:rFonts w:ascii="Arial" w:hAnsi="Arial" w:cs="Arial"/>
          <w:sz w:val="19"/>
          <w:szCs w:val="19"/>
        </w:rPr>
        <w:t>5. Valor de la garantía de seriedad de la oferta.</w:t>
      </w:r>
    </w:p>
    <w:p w:rsidRPr="001A6E4A" w:rsidR="002259F8" w:rsidP="001A6E4A" w:rsidRDefault="002259F8" w14:paraId="1C76FCB8" w14:textId="1AC70763">
      <w:pPr>
        <w:pStyle w:val="Textonotapie"/>
        <w:spacing w:after="60"/>
        <w:ind w:firstLine="709"/>
        <w:jc w:val="both"/>
        <w:rPr>
          <w:rFonts w:ascii="Arial" w:hAnsi="Arial" w:cs="Arial"/>
          <w:sz w:val="19"/>
          <w:szCs w:val="19"/>
        </w:rPr>
      </w:pPr>
      <w:r w:rsidRPr="00DB0DCC">
        <w:rPr>
          <w:rFonts w:ascii="Arial" w:hAnsi="Arial" w:cs="Arial"/>
          <w:sz w:val="19"/>
          <w:szCs w:val="19"/>
        </w:rPr>
        <w:t>»</w:t>
      </w:r>
      <w:r w:rsidRPr="001A6E4A">
        <w:rPr>
          <w:rFonts w:ascii="Arial" w:hAnsi="Arial" w:cs="Arial"/>
          <w:sz w:val="19"/>
          <w:szCs w:val="19"/>
        </w:rPr>
        <w:t>Los requisitos mencionados deberán fijarse respetando las condiciones habilitantes requeridas para el cumplimiento adecuado del contrato, teniendo en cuenta el alcance de las obligaciones. En desarrollo de lo anterior, con la finalidad de beneficiar a las empresas y emprendimientos de mujeres, se establecerán condiciones más exigentes respecto a alguno o algunos de los criterios de participación antes enunciados frente a los demás proponentes que concurran al procedimiento de selección que no sean empresas o emprendimientos de mujeres.</w:t>
      </w:r>
    </w:p>
    <w:p w:rsidRPr="001A6E4A" w:rsidR="002259F8" w:rsidP="001A6E4A" w:rsidRDefault="002259F8" w14:paraId="2A1D53E0" w14:textId="34EC3496">
      <w:pPr>
        <w:pStyle w:val="Textonotapie"/>
        <w:ind w:firstLine="709"/>
        <w:jc w:val="both"/>
        <w:rPr>
          <w:rFonts w:ascii="Arial" w:hAnsi="Arial" w:cs="Arial"/>
          <w:sz w:val="19"/>
          <w:szCs w:val="19"/>
        </w:rPr>
      </w:pPr>
      <w:r w:rsidRPr="00DB0DCC">
        <w:rPr>
          <w:rFonts w:ascii="Arial" w:hAnsi="Arial" w:cs="Arial"/>
          <w:sz w:val="19"/>
          <w:szCs w:val="19"/>
        </w:rPr>
        <w:t>»</w:t>
      </w:r>
      <w:r w:rsidRPr="001A6E4A">
        <w:rPr>
          <w:rFonts w:ascii="Arial" w:hAnsi="Arial" w:cs="Arial"/>
          <w:sz w:val="19"/>
          <w:szCs w:val="19"/>
        </w:rPr>
        <w:t>De manera que no se ponga en riesgo el cumplimiento adecuado del objeto contractual, con excepción de los procedimientos donde el menor precio ofrecido sea el único factor de evaluación, las Entidades también otorgarán un puntaje adicional de hasta el cero punto veinticinco por ciento (0.25%) del valor total de los puntos establecidos en los pliegos de condiciones o documentos equivalentes, a los proponentes que acrediten alguno de los supuestos del artículo 2.2.1.2.4.2.14 del presente Decreto.</w:t>
      </w:r>
    </w:p>
    <w:p w:rsidRPr="001A6E4A" w:rsidR="002259F8" w:rsidP="001A6E4A" w:rsidRDefault="002259F8" w14:paraId="7F8F02C6" w14:textId="0E3D9540">
      <w:pPr>
        <w:pStyle w:val="Textonotapie"/>
        <w:spacing w:after="60"/>
        <w:ind w:firstLine="709"/>
        <w:jc w:val="both"/>
        <w:rPr>
          <w:rFonts w:ascii="Arial" w:hAnsi="Arial" w:cs="Arial"/>
          <w:sz w:val="19"/>
          <w:szCs w:val="19"/>
        </w:rPr>
      </w:pPr>
      <w:r w:rsidRPr="00DB0DCC">
        <w:rPr>
          <w:rFonts w:ascii="Arial" w:hAnsi="Arial" w:cs="Arial"/>
          <w:sz w:val="19"/>
          <w:szCs w:val="19"/>
        </w:rPr>
        <w:t>»</w:t>
      </w:r>
      <w:r w:rsidRPr="001A6E4A">
        <w:rPr>
          <w:rFonts w:ascii="Arial" w:hAnsi="Arial" w:cs="Arial"/>
          <w:sz w:val="19"/>
          <w:szCs w:val="19"/>
        </w:rPr>
        <w:t>Las Entidades incluirán estos requisitos diferenciales y puntajes adicionales de acuerdo con los resultados del análisis del sector, desde la perspectiva del estudio de la oferta de las obras, bienes o servicios que requiere, sin perjuicio de los compromisos adquiridos por Colombia en los Acuerdos Comerciales vigentes.</w:t>
      </w:r>
    </w:p>
    <w:p w:rsidRPr="001A6E4A" w:rsidR="002259F8" w:rsidP="001A6E4A" w:rsidRDefault="002259F8" w14:paraId="09B76E46" w14:textId="31D8FAE4">
      <w:pPr>
        <w:pStyle w:val="Textonotapie"/>
        <w:spacing w:after="60"/>
        <w:ind w:firstLine="709"/>
        <w:jc w:val="both"/>
        <w:rPr>
          <w:rFonts w:ascii="Arial" w:hAnsi="Arial" w:cs="Arial"/>
          <w:sz w:val="19"/>
          <w:szCs w:val="19"/>
        </w:rPr>
      </w:pPr>
      <w:r w:rsidRPr="00DB0DCC">
        <w:rPr>
          <w:rFonts w:ascii="Arial" w:hAnsi="Arial" w:cs="Arial"/>
          <w:sz w:val="19"/>
          <w:szCs w:val="19"/>
        </w:rPr>
        <w:t>»Parágrafo</w:t>
      </w:r>
      <w:r w:rsidRPr="001A6E4A">
        <w:rPr>
          <w:rFonts w:ascii="Arial" w:hAnsi="Arial" w:cs="Arial"/>
          <w:sz w:val="19"/>
          <w:szCs w:val="19"/>
        </w:rPr>
        <w:t xml:space="preserve"> 1. Tratándose de proponentes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rsidRPr="00DB0DCC" w:rsidR="002259F8" w:rsidP="00267E80" w:rsidRDefault="002259F8" w14:paraId="6FFB6C03" w14:textId="5E4279C0">
      <w:pPr>
        <w:pStyle w:val="Textonotapie"/>
        <w:ind w:firstLine="709"/>
        <w:jc w:val="both"/>
        <w:rPr>
          <w:rFonts w:ascii="Arial" w:hAnsi="Arial" w:cs="Arial"/>
          <w:sz w:val="19"/>
          <w:szCs w:val="19"/>
        </w:rPr>
      </w:pPr>
      <w:r w:rsidRPr="00DB0DCC">
        <w:rPr>
          <w:rFonts w:ascii="Arial" w:hAnsi="Arial" w:cs="Arial"/>
          <w:sz w:val="19"/>
          <w:szCs w:val="19"/>
        </w:rPr>
        <w:t>»Parágrafo</w:t>
      </w:r>
      <w:r w:rsidRPr="001A6E4A">
        <w:rPr>
          <w:rFonts w:ascii="Arial" w:hAnsi="Arial" w:cs="Arial"/>
          <w:sz w:val="19"/>
          <w:szCs w:val="19"/>
        </w:rPr>
        <w:t xml:space="preserve"> 2. Los incentivos contractuales para las empresas y emprendimientos de mujeres no excluyen la aplicación de los criterios diferenciales para Mipyme en el sistema de compras públicas». </w:t>
      </w:r>
    </w:p>
    <w:p w:rsidRPr="001A6E4A" w:rsidR="005247B5" w:rsidP="001A6E4A" w:rsidRDefault="005247B5" w14:paraId="3745A7C6" w14:textId="77777777">
      <w:pPr>
        <w:pStyle w:val="Textonotapie"/>
        <w:ind w:firstLine="709"/>
        <w:jc w:val="both"/>
        <w:rPr>
          <w:rFonts w:ascii="Arial" w:hAnsi="Arial" w:cs="Arial"/>
          <w:sz w:val="19"/>
          <w:szCs w:val="19"/>
        </w:rPr>
      </w:pPr>
    </w:p>
  </w:footnote>
  <w:footnote w:id="14">
    <w:p w:rsidRPr="00DB0DCC" w:rsidR="00267E80" w:rsidP="001A6E4A" w:rsidRDefault="00267E80" w14:paraId="4D8A3C1C" w14:textId="47B55231">
      <w:pPr>
        <w:pStyle w:val="Textonotapie"/>
        <w:spacing w:after="60"/>
        <w:ind w:firstLine="709"/>
        <w:jc w:val="both"/>
        <w:rPr>
          <w:rFonts w:ascii="Arial" w:hAnsi="Arial" w:cs="Arial"/>
          <w:sz w:val="19"/>
          <w:szCs w:val="19"/>
        </w:rPr>
      </w:pPr>
      <w:r w:rsidRPr="00DB0DCC">
        <w:rPr>
          <w:rStyle w:val="Refdenotaalpie"/>
          <w:rFonts w:ascii="Arial" w:hAnsi="Arial" w:cs="Arial"/>
          <w:sz w:val="19"/>
          <w:szCs w:val="19"/>
        </w:rPr>
        <w:footnoteRef/>
      </w:r>
      <w:r w:rsidRPr="00DB0DCC">
        <w:rPr>
          <w:rFonts w:ascii="Arial" w:hAnsi="Arial" w:cs="Arial"/>
          <w:sz w:val="19"/>
          <w:szCs w:val="19"/>
        </w:rPr>
        <w:t xml:space="preserve"> </w:t>
      </w:r>
      <w:r w:rsidRPr="00DB0DCC" w:rsidR="006F1E65">
        <w:rPr>
          <w:rFonts w:ascii="Arial" w:hAnsi="Arial" w:cs="Arial"/>
          <w:sz w:val="19"/>
          <w:szCs w:val="19"/>
        </w:rPr>
        <w:t>«</w:t>
      </w:r>
      <w:r w:rsidRPr="00DB0DCC">
        <w:rPr>
          <w:rFonts w:ascii="Arial" w:hAnsi="Arial" w:cs="Arial"/>
          <w:sz w:val="19"/>
          <w:szCs w:val="19"/>
        </w:rPr>
        <w:t>Artículo 635. Remisión normativa. Las sociedades industriales no están comprendidas en las disposiciones de este título; sus derechos y obligaciones son reglados, según su naturaleza, por otros títulos de este Código, y por el Código de Comercio.</w:t>
      </w:r>
    </w:p>
    <w:p w:rsidRPr="00DB0DCC" w:rsidR="00267E80" w:rsidP="001A6E4A" w:rsidRDefault="00267E80" w14:paraId="4B30E413" w14:textId="77777777">
      <w:pPr>
        <w:pStyle w:val="Textonotapie"/>
        <w:spacing w:after="60"/>
        <w:ind w:firstLine="709"/>
        <w:jc w:val="both"/>
        <w:rPr>
          <w:rFonts w:ascii="Arial" w:hAnsi="Arial" w:cs="Arial"/>
          <w:sz w:val="19"/>
          <w:szCs w:val="19"/>
        </w:rPr>
      </w:pPr>
      <w:r w:rsidRPr="00DB0DCC">
        <w:rPr>
          <w:rFonts w:ascii="Arial" w:hAnsi="Arial" w:cs="Arial"/>
          <w:sz w:val="19"/>
          <w:szCs w:val="19"/>
        </w:rPr>
        <w:t>»Tampoco se extienden las disposiciones de este título a las corporaciones o fundaciones de derecho público, como los establecimientos que se costean con fondos del tesoro nacional.</w:t>
      </w:r>
    </w:p>
    <w:p w:rsidRPr="00DB0DCC" w:rsidR="00267E80" w:rsidP="001A6E4A" w:rsidRDefault="00267E80" w14:paraId="2DAA87F1" w14:textId="77777777">
      <w:pPr>
        <w:pStyle w:val="Textonotapie"/>
        <w:spacing w:after="60"/>
        <w:ind w:firstLine="709"/>
        <w:jc w:val="both"/>
        <w:rPr>
          <w:rFonts w:ascii="Arial" w:hAnsi="Arial" w:cs="Arial"/>
          <w:sz w:val="19"/>
          <w:szCs w:val="19"/>
        </w:rPr>
      </w:pPr>
      <w:r w:rsidRPr="00DB0DCC">
        <w:rPr>
          <w:rFonts w:ascii="Arial" w:hAnsi="Arial" w:cs="Arial"/>
          <w:sz w:val="19"/>
          <w:szCs w:val="19"/>
        </w:rPr>
        <w:t xml:space="preserve">[…] </w:t>
      </w:r>
    </w:p>
    <w:p w:rsidRPr="00DB0DCC" w:rsidR="00267E80" w:rsidP="001A6E4A" w:rsidRDefault="00267E80" w14:paraId="385B3C4E" w14:textId="77777777">
      <w:pPr>
        <w:pStyle w:val="Textonotapie"/>
        <w:spacing w:after="60"/>
        <w:ind w:firstLine="709"/>
        <w:jc w:val="both"/>
        <w:rPr>
          <w:rFonts w:ascii="Arial" w:hAnsi="Arial" w:cs="Arial"/>
          <w:sz w:val="19"/>
          <w:szCs w:val="19"/>
        </w:rPr>
      </w:pPr>
      <w:r w:rsidRPr="00DB0DCC">
        <w:rPr>
          <w:rFonts w:ascii="Arial" w:hAnsi="Arial" w:cs="Arial"/>
          <w:sz w:val="19"/>
          <w:szCs w:val="19"/>
        </w:rPr>
        <w:t>»Artículo 637. Patrimonio de la corporación. Lo que pertenece a una corporación, no pertenece ni en todo ni en parte a ninguno de los individuos que la componen; y recíprocamente, las deudas de una corporación no dan a nadie derecho para demandarlas en todo o parte, a ninguno de los individuos que componen la corporación, ni dan acción sobre los bienes propios de ellos, sino sobre los bienes de la corporación.</w:t>
      </w:r>
    </w:p>
    <w:p w:rsidRPr="00DB0DCC" w:rsidR="00267E80" w:rsidP="001A6E4A" w:rsidRDefault="00267E80" w14:paraId="1F25508F" w14:textId="77777777">
      <w:pPr>
        <w:pStyle w:val="Textonotapie"/>
        <w:spacing w:after="60"/>
        <w:ind w:firstLine="709"/>
        <w:jc w:val="both"/>
        <w:rPr>
          <w:rFonts w:ascii="Arial" w:hAnsi="Arial" w:cs="Arial"/>
          <w:sz w:val="19"/>
          <w:szCs w:val="19"/>
        </w:rPr>
      </w:pPr>
      <w:r w:rsidRPr="00DB0DCC">
        <w:rPr>
          <w:rFonts w:ascii="Arial" w:hAnsi="Arial" w:cs="Arial"/>
          <w:sz w:val="19"/>
          <w:szCs w:val="19"/>
        </w:rPr>
        <w:t>»Sin embargo, los miembros pueden, expresándolo, obligarse en particular, al mismo tiempo que la corporación se obliga colectivamente; y la responsabilidad de los miembros será entonces solidaria si se estipula expresamente la solidaridad.</w:t>
      </w:r>
    </w:p>
    <w:p w:rsidRPr="00DB0DCC" w:rsidR="00267E80" w:rsidP="001A6E4A" w:rsidRDefault="00267E80" w14:paraId="75904EB8" w14:textId="77777777">
      <w:pPr>
        <w:pStyle w:val="Textonotapie"/>
        <w:spacing w:after="60"/>
        <w:ind w:firstLine="709"/>
        <w:jc w:val="both"/>
        <w:rPr>
          <w:rFonts w:ascii="Arial" w:hAnsi="Arial" w:cs="Arial"/>
          <w:sz w:val="19"/>
          <w:szCs w:val="19"/>
        </w:rPr>
      </w:pPr>
      <w:r w:rsidRPr="00DB0DCC">
        <w:rPr>
          <w:rFonts w:ascii="Arial" w:hAnsi="Arial" w:cs="Arial"/>
          <w:sz w:val="19"/>
          <w:szCs w:val="19"/>
        </w:rPr>
        <w:t>»Pero la responsabilidad no se extiende a los herederos, sino cuando los miembros de la corporación los hayan obligado expresamente.</w:t>
      </w:r>
    </w:p>
    <w:p w:rsidRPr="00DB0DCC" w:rsidR="00267E80" w:rsidP="001A6E4A" w:rsidRDefault="00267E80" w14:paraId="3C28E1B4" w14:textId="77777777">
      <w:pPr>
        <w:shd w:val="clear" w:color="auto" w:fill="FFFFFF"/>
        <w:spacing w:after="60"/>
        <w:ind w:firstLine="709"/>
        <w:jc w:val="both"/>
        <w:rPr>
          <w:rFonts w:ascii="Arial" w:hAnsi="Arial" w:cs="Arial"/>
          <w:color w:val="333333"/>
          <w:sz w:val="19"/>
          <w:szCs w:val="19"/>
          <w:lang w:eastAsia="es-CO"/>
        </w:rPr>
      </w:pPr>
      <w:r w:rsidRPr="00DB0DCC">
        <w:rPr>
          <w:rFonts w:ascii="Arial" w:hAnsi="Arial" w:cs="Arial"/>
          <w:color w:val="333333"/>
          <w:sz w:val="19"/>
          <w:szCs w:val="19"/>
          <w:lang w:eastAsia="es-CO"/>
        </w:rPr>
        <w:t>»Artículo 650. Normatividad de las fundaciones de beneficencia. Las fundaciones de beneficencia que hayan de administrarse por una colección de individuos, se regirán por los estatutos que el fundador les hubiere dictado; y si el fundador no hubiere manifestado su voluntad a este respecto, o sólo la hubiere manifestado incompletamente, será suplido este defecto por el presidente de la Unión.</w:t>
      </w:r>
    </w:p>
    <w:p w:rsidRPr="00DB0DCC" w:rsidR="00267E80" w:rsidP="00267E80" w:rsidRDefault="00267E80" w14:paraId="07678FC9" w14:textId="77777777">
      <w:pPr>
        <w:shd w:val="clear" w:color="auto" w:fill="FFFFFF"/>
        <w:ind w:firstLine="708"/>
        <w:jc w:val="both"/>
        <w:rPr>
          <w:rFonts w:ascii="Arial" w:hAnsi="Arial" w:cs="Arial"/>
          <w:color w:val="333333"/>
          <w:sz w:val="19"/>
          <w:szCs w:val="19"/>
          <w:lang w:eastAsia="es-CO"/>
        </w:rPr>
      </w:pPr>
      <w:bookmarkStart w:name="BM651" w:id="9"/>
      <w:bookmarkEnd w:id="9"/>
      <w:r w:rsidRPr="00DB0DCC">
        <w:rPr>
          <w:rFonts w:ascii="Arial" w:hAnsi="Arial" w:cs="Arial"/>
          <w:color w:val="333333"/>
          <w:sz w:val="19"/>
          <w:szCs w:val="19"/>
          <w:lang w:eastAsia="es-CO"/>
        </w:rPr>
        <w:t>» Articulo 651. Lo que en los artículos 637 hasta 649 se dispone acerca de las corporaciones y de los miembros que las componen, se aplicará a las fundaciones de beneficencia y a los individuos que las administran.</w:t>
      </w:r>
      <w:bookmarkStart w:name="BM652" w:id="10"/>
      <w:bookmarkEnd w:id="10"/>
    </w:p>
    <w:p w:rsidRPr="00DB0DCC" w:rsidR="00267E80" w:rsidP="00267E80" w:rsidRDefault="00267E80" w14:paraId="2B03B9E2" w14:textId="77777777">
      <w:pPr>
        <w:shd w:val="clear" w:color="auto" w:fill="FFFFFF"/>
        <w:ind w:firstLine="708"/>
        <w:jc w:val="both"/>
        <w:rPr>
          <w:rFonts w:ascii="Arial" w:hAnsi="Arial" w:cs="Arial"/>
          <w:color w:val="333333"/>
          <w:sz w:val="19"/>
          <w:szCs w:val="19"/>
          <w:lang w:eastAsia="es-CO"/>
        </w:rPr>
      </w:pPr>
      <w:r w:rsidRPr="00DB0DCC">
        <w:rPr>
          <w:rFonts w:ascii="Arial" w:hAnsi="Arial" w:cs="Arial"/>
          <w:color w:val="333333"/>
          <w:sz w:val="19"/>
          <w:szCs w:val="19"/>
          <w:lang w:eastAsia="es-CO"/>
        </w:rPr>
        <w:t>»Artículo 652. Terminación de las fundaciones. Las fundaciones perecen por la destrucción de los bienes destinados a su manutención».</w:t>
      </w:r>
    </w:p>
    <w:p w:rsidRPr="001A6E4A" w:rsidR="00267E80" w:rsidP="00267E80" w:rsidRDefault="00267E80" w14:paraId="48FEDEDB" w14:textId="77777777">
      <w:pPr>
        <w:pStyle w:val="Textonotapie"/>
        <w:rPr>
          <w:rFonts w:ascii="Arial" w:hAnsi="Arial" w:cs="Arial"/>
          <w:sz w:val="19"/>
          <w:szCs w:val="19"/>
        </w:rPr>
      </w:pPr>
    </w:p>
  </w:footnote>
  <w:footnote w:id="15">
    <w:p w:rsidRPr="00DB0DCC" w:rsidR="00973377" w:rsidP="00267E80" w:rsidRDefault="00973377" w14:paraId="75B3EF53" w14:textId="4087F490">
      <w:pPr>
        <w:pStyle w:val="Textonotapie"/>
        <w:ind w:firstLine="708"/>
        <w:jc w:val="both"/>
        <w:rPr>
          <w:rFonts w:ascii="Arial" w:hAnsi="Arial" w:cs="Arial"/>
          <w:sz w:val="19"/>
          <w:szCs w:val="19"/>
        </w:rPr>
      </w:pPr>
      <w:r w:rsidRPr="00DB0DCC">
        <w:rPr>
          <w:rStyle w:val="Refdenotaalpie"/>
          <w:rFonts w:ascii="Arial" w:hAnsi="Arial" w:cs="Arial"/>
          <w:sz w:val="19"/>
          <w:szCs w:val="19"/>
        </w:rPr>
        <w:footnoteRef/>
      </w:r>
      <w:r w:rsidRPr="00DB0DCC">
        <w:rPr>
          <w:rFonts w:ascii="Arial" w:hAnsi="Arial" w:cs="Arial"/>
          <w:sz w:val="19"/>
          <w:szCs w:val="19"/>
        </w:rPr>
        <w:t xml:space="preserve"> La Corte Constitucional, en la sentencia C-287 de 2012, reiteró que la diferencia existente entre las sociedades comerciales y las entidades privadas sin ánimo de lucro es que estas últimas no reparten sus utilidades entre los socios. Así lo explicó en los siguientes términos: «Sin embargo, el hecho que no persigan una finalidad lucrativa no significa que no desarrollen actividades que generen utilidades, lo que pasa es que, a diferencia de las sociedades, el lucro o ganancia obtenida no se reparte entre sus miembros sino que se integra al patrimonio de la asociación para la obtención del fin deseado. Así, el elemento característico de las corporaciones o asociaciones sin ánimo de lucro radica, precisamente, en la determinación de sus miembros de desarrollar una actividad de interés general sin esperar a cambio repartición de utilidades en proporción a su aporte, ni la recuperación del mismo en el momento de su disolución o liquidación […]».</w:t>
      </w:r>
    </w:p>
    <w:p w:rsidRPr="001A6E4A" w:rsidR="00A47D4A" w:rsidP="00267E80" w:rsidRDefault="00A47D4A" w14:paraId="3ABE1C58" w14:textId="77777777">
      <w:pPr>
        <w:pStyle w:val="Textonotapie"/>
        <w:ind w:firstLine="708"/>
        <w:jc w:val="both"/>
        <w:rPr>
          <w:rFonts w:ascii="Arial" w:hAnsi="Arial" w:cs="Arial"/>
          <w:sz w:val="19"/>
          <w:szCs w:val="19"/>
        </w:rPr>
      </w:pPr>
    </w:p>
  </w:footnote>
  <w:footnote w:id="16">
    <w:p w:rsidRPr="00DB0DCC" w:rsidR="00973377" w:rsidP="00267E80" w:rsidRDefault="00973377" w14:paraId="12F13665" w14:textId="77777777">
      <w:pPr>
        <w:pStyle w:val="Textonotapie"/>
        <w:ind w:firstLine="708"/>
        <w:jc w:val="both"/>
        <w:rPr>
          <w:rFonts w:ascii="Arial" w:hAnsi="Arial" w:cs="Arial"/>
          <w:sz w:val="19"/>
          <w:szCs w:val="19"/>
        </w:rPr>
      </w:pPr>
      <w:r w:rsidRPr="00DB0DCC">
        <w:rPr>
          <w:rStyle w:val="Refdenotaalpie"/>
          <w:rFonts w:ascii="Arial" w:hAnsi="Arial" w:cs="Arial"/>
          <w:sz w:val="19"/>
          <w:szCs w:val="19"/>
        </w:rPr>
        <w:footnoteRef/>
      </w:r>
      <w:r w:rsidRPr="00DB0DCC">
        <w:rPr>
          <w:rFonts w:ascii="Arial" w:hAnsi="Arial" w:cs="Arial"/>
          <w:sz w:val="19"/>
          <w:szCs w:val="19"/>
        </w:rPr>
        <w:t xml:space="preserve"> Agencia Nacional de Contratación Pública – Colombia Compra Eficiente–. Concepto C-728 del 14 de diciembre de 2022- Rad. 2202013000012012. </w:t>
      </w:r>
    </w:p>
    <w:p w:rsidRPr="00DB0DCC" w:rsidR="00973377" w:rsidP="00267E80" w:rsidRDefault="00973377" w14:paraId="4AC08241" w14:textId="77777777">
      <w:pPr>
        <w:pStyle w:val="Textonotapie"/>
        <w:ind w:firstLine="708"/>
        <w:jc w:val="both"/>
        <w:rPr>
          <w:rFonts w:ascii="Arial" w:hAnsi="Arial" w:cs="Arial"/>
          <w:sz w:val="19"/>
          <w:szCs w:val="19"/>
        </w:rPr>
      </w:pPr>
    </w:p>
  </w:footnote>
  <w:footnote w:id="17">
    <w:p w:rsidRPr="00DB0DCC" w:rsidR="001F6256" w:rsidP="001F6256" w:rsidRDefault="001F6256" w14:paraId="1ECF5D6D" w14:textId="77777777">
      <w:pPr>
        <w:pStyle w:val="Textonotapie"/>
        <w:ind w:firstLine="708"/>
        <w:jc w:val="both"/>
        <w:rPr>
          <w:rFonts w:ascii="Arial" w:hAnsi="Arial" w:cs="Arial"/>
          <w:sz w:val="19"/>
          <w:szCs w:val="19"/>
        </w:rPr>
      </w:pPr>
      <w:r w:rsidRPr="00DB0DCC">
        <w:rPr>
          <w:rStyle w:val="Refdenotaalpie"/>
          <w:rFonts w:ascii="Arial" w:hAnsi="Arial" w:cs="Arial"/>
          <w:sz w:val="19"/>
          <w:szCs w:val="19"/>
        </w:rPr>
        <w:footnoteRef/>
      </w:r>
      <w:r w:rsidRPr="00DB0DCC">
        <w:rPr>
          <w:rFonts w:ascii="Arial" w:hAnsi="Arial" w:cs="Arial"/>
          <w:sz w:val="19"/>
          <w:szCs w:val="19"/>
        </w:rPr>
        <w:t xml:space="preserve"> Ley 1450 de 2011. «Artículo 43. Definiciones de tamaño empresarial. El artículo 2° de la Ley 590 de 2000, quedará así: </w:t>
      </w:r>
    </w:p>
    <w:p w:rsidRPr="00DB0DCC" w:rsidR="001F6256" w:rsidP="001F6256" w:rsidRDefault="001F6256" w14:paraId="143FCE54" w14:textId="77777777">
      <w:pPr>
        <w:pStyle w:val="Textonotapie"/>
        <w:ind w:firstLine="708"/>
        <w:jc w:val="both"/>
        <w:rPr>
          <w:rFonts w:ascii="Arial" w:hAnsi="Arial" w:cs="Arial"/>
          <w:sz w:val="19"/>
          <w:szCs w:val="19"/>
        </w:rPr>
      </w:pPr>
      <w:r w:rsidRPr="00DB0DCC">
        <w:rPr>
          <w:rFonts w:ascii="Arial" w:hAnsi="Arial" w:cs="Arial"/>
          <w:sz w:val="19"/>
          <w:szCs w:val="19"/>
        </w:rPr>
        <w:t xml:space="preserve">»"Artículo 2°. Definiciones de tamaño empresarial. Para todos los efectos, se entiende por empresa, toda unidad de explotación económica, realizada por persona natural o jurídica, en actividades agropecuarias, industriales, comerciales o de servicios, en el área rural o urbana. Para la clasificación por tamaño empresarial, entiéndase micro, pequeña, mediana y gran empresa, se podrá utilizar uno o varios de los siguientes criterios: </w:t>
      </w:r>
    </w:p>
    <w:p w:rsidRPr="00DB0DCC" w:rsidR="001F6256" w:rsidP="001F6256" w:rsidRDefault="001F6256" w14:paraId="6EDB3B0A" w14:textId="77777777">
      <w:pPr>
        <w:pStyle w:val="Textonotapie"/>
        <w:ind w:firstLine="708"/>
        <w:jc w:val="both"/>
        <w:rPr>
          <w:rFonts w:ascii="Arial" w:hAnsi="Arial" w:cs="Arial"/>
          <w:sz w:val="19"/>
          <w:szCs w:val="19"/>
        </w:rPr>
      </w:pPr>
      <w:r w:rsidRPr="00DB0DCC">
        <w:rPr>
          <w:rFonts w:ascii="Arial" w:hAnsi="Arial" w:cs="Arial"/>
          <w:sz w:val="19"/>
          <w:szCs w:val="19"/>
        </w:rPr>
        <w:t xml:space="preserve">»1. Número de trabajadores totales. </w:t>
      </w:r>
    </w:p>
    <w:p w:rsidRPr="00DB0DCC" w:rsidR="001F6256" w:rsidP="001F6256" w:rsidRDefault="001F6256" w14:paraId="6B74D642" w14:textId="77777777">
      <w:pPr>
        <w:pStyle w:val="Textonotapie"/>
        <w:jc w:val="both"/>
        <w:rPr>
          <w:rFonts w:ascii="Arial" w:hAnsi="Arial" w:cs="Arial"/>
          <w:sz w:val="19"/>
          <w:szCs w:val="19"/>
        </w:rPr>
      </w:pPr>
      <w:r w:rsidRPr="00DB0DCC">
        <w:rPr>
          <w:rFonts w:ascii="Arial" w:hAnsi="Arial" w:cs="Arial"/>
          <w:sz w:val="19"/>
          <w:szCs w:val="19"/>
        </w:rPr>
        <w:t xml:space="preserve"> </w:t>
      </w:r>
      <w:r w:rsidRPr="00DB0DCC">
        <w:rPr>
          <w:rFonts w:ascii="Arial" w:hAnsi="Arial" w:cs="Arial"/>
          <w:sz w:val="19"/>
          <w:szCs w:val="19"/>
        </w:rPr>
        <w:tab/>
      </w:r>
      <w:r w:rsidRPr="00DB0DCC">
        <w:rPr>
          <w:rFonts w:ascii="Arial" w:hAnsi="Arial" w:cs="Arial"/>
          <w:sz w:val="19"/>
          <w:szCs w:val="19"/>
        </w:rPr>
        <w:t xml:space="preserve">»2. Valor de ventas brutas anuales. </w:t>
      </w:r>
    </w:p>
    <w:p w:rsidRPr="00DB0DCC" w:rsidR="001F6256" w:rsidP="001F6256" w:rsidRDefault="001F6256" w14:paraId="7C4C83E8" w14:textId="77777777">
      <w:pPr>
        <w:pStyle w:val="Textonotapie"/>
        <w:ind w:firstLine="708"/>
        <w:jc w:val="both"/>
        <w:rPr>
          <w:rFonts w:ascii="Arial" w:hAnsi="Arial" w:cs="Arial"/>
          <w:sz w:val="19"/>
          <w:szCs w:val="19"/>
        </w:rPr>
      </w:pPr>
      <w:r w:rsidRPr="00DB0DCC">
        <w:rPr>
          <w:rFonts w:ascii="Arial" w:hAnsi="Arial" w:cs="Arial"/>
          <w:sz w:val="19"/>
          <w:szCs w:val="19"/>
        </w:rPr>
        <w:t xml:space="preserve"> »3. Valor activos totales. </w:t>
      </w:r>
    </w:p>
    <w:p w:rsidRPr="00DB0DCC" w:rsidR="001F6256" w:rsidP="001F6256" w:rsidRDefault="001F6256" w14:paraId="1E6D44B5" w14:textId="77777777">
      <w:pPr>
        <w:pStyle w:val="Textonotapie"/>
        <w:ind w:firstLine="708"/>
        <w:jc w:val="both"/>
        <w:rPr>
          <w:rFonts w:ascii="Arial" w:hAnsi="Arial" w:cs="Arial"/>
          <w:sz w:val="19"/>
          <w:szCs w:val="19"/>
        </w:rPr>
      </w:pPr>
      <w:r w:rsidRPr="00DB0DCC">
        <w:rPr>
          <w:rFonts w:ascii="Arial" w:hAnsi="Arial" w:cs="Arial"/>
          <w:sz w:val="19"/>
          <w:szCs w:val="19"/>
        </w:rPr>
        <w:t xml:space="preserve">»Para efectos de los beneficios otorgados por el Gobierno nacional a las micro, pequeñas y medianas empresas el criterio determinante será el valor de ventas brutas anuales. </w:t>
      </w:r>
    </w:p>
    <w:p w:rsidRPr="00DB0DCC" w:rsidR="001F6256" w:rsidP="001F6256" w:rsidRDefault="001F6256" w14:paraId="60F19D1B" w14:textId="77777777">
      <w:pPr>
        <w:pStyle w:val="Textonotapie"/>
        <w:ind w:firstLine="708"/>
        <w:jc w:val="both"/>
        <w:rPr>
          <w:rFonts w:ascii="Arial" w:hAnsi="Arial" w:cs="Arial"/>
          <w:sz w:val="19"/>
          <w:szCs w:val="19"/>
        </w:rPr>
      </w:pPr>
      <w:r w:rsidRPr="00DB0DCC">
        <w:rPr>
          <w:rFonts w:ascii="Arial" w:hAnsi="Arial" w:cs="Arial"/>
          <w:sz w:val="19"/>
          <w:szCs w:val="19"/>
        </w:rPr>
        <w:t xml:space="preserve">»Parágrafo 1°. El Gobierno Nacional reglamentará los rangos que aplicarán para los tres criterios e incluirá especificidades sectoriales en los casos que considere necesario. </w:t>
      </w:r>
    </w:p>
    <w:p w:rsidRPr="00DB0DCC" w:rsidR="001F6256" w:rsidP="001F6256" w:rsidRDefault="001F6256" w14:paraId="30250E58" w14:textId="77777777">
      <w:pPr>
        <w:pStyle w:val="Textonotapie"/>
        <w:ind w:firstLine="708"/>
        <w:jc w:val="both"/>
        <w:rPr>
          <w:rFonts w:ascii="Arial" w:hAnsi="Arial" w:cs="Arial"/>
          <w:sz w:val="19"/>
          <w:szCs w:val="19"/>
          <w:lang w:val="es-CO"/>
        </w:rPr>
      </w:pPr>
      <w:r w:rsidRPr="00DB0DCC">
        <w:rPr>
          <w:rFonts w:ascii="Arial" w:hAnsi="Arial" w:cs="Arial"/>
          <w:sz w:val="19"/>
          <w:szCs w:val="19"/>
        </w:rPr>
        <w:t>»Parágrafo 2°. Las definiciones contenidas en el artículo 2° de la Ley 590 de 2000 continuarán vigentes hasta tanto entren a regir las normas reglamentarias que profiera el Gobierno Nacional en desarrollo de lo previsto en el presente artículo"».</w:t>
      </w:r>
    </w:p>
  </w:footnote>
  <w:footnote w:id="18">
    <w:p w:rsidRPr="00DB0DCC" w:rsidR="00A94630" w:rsidP="00267E80" w:rsidRDefault="00A94630" w14:paraId="0D6954CE" w14:textId="77777777">
      <w:pPr>
        <w:pStyle w:val="Default"/>
        <w:ind w:firstLine="708"/>
        <w:jc w:val="both"/>
        <w:rPr>
          <w:color w:val="000000" w:themeColor="text1"/>
          <w:sz w:val="19"/>
          <w:szCs w:val="19"/>
        </w:rPr>
      </w:pPr>
      <w:r w:rsidRPr="00DB0DCC">
        <w:rPr>
          <w:rStyle w:val="Refdenotaalpie"/>
          <w:color w:val="000000" w:themeColor="text1"/>
          <w:sz w:val="19"/>
          <w:szCs w:val="19"/>
        </w:rPr>
        <w:footnoteRef/>
      </w:r>
      <w:r w:rsidRPr="00DB0DCC">
        <w:rPr>
          <w:color w:val="000000" w:themeColor="text1"/>
          <w:sz w:val="19"/>
          <w:szCs w:val="19"/>
        </w:rPr>
        <w:t xml:space="preserve"> «Artículo 100: Asimilación a sociedades comerciales - legislación mercantil. Se tendrán como comerciales, para todos los efectos legales las sociedades que se formen para la ejecución de actos o empresas mercantiles. Si la empresa social comprende actos mercantiles y actos que no tengan esa calidad, la sociedad será comercial. Las sociedades que no contemplen en su objeto social actos mercantiles serán civiles. </w:t>
      </w:r>
    </w:p>
    <w:p w:rsidRPr="00DB0DCC" w:rsidR="00A94630" w:rsidP="00267E80" w:rsidRDefault="00A94630" w14:paraId="6BA2A674" w14:textId="77777777">
      <w:pPr>
        <w:pStyle w:val="Textonotapie"/>
        <w:ind w:firstLine="708"/>
        <w:jc w:val="both"/>
        <w:rPr>
          <w:rFonts w:ascii="Arial" w:hAnsi="Arial" w:cs="Arial"/>
          <w:color w:val="000000" w:themeColor="text1"/>
          <w:sz w:val="19"/>
          <w:szCs w:val="19"/>
        </w:rPr>
      </w:pPr>
      <w:r w:rsidRPr="00DB0DCC">
        <w:rPr>
          <w:rFonts w:ascii="Arial" w:hAnsi="Arial" w:cs="Arial"/>
          <w:color w:val="000000" w:themeColor="text1"/>
          <w:sz w:val="19"/>
          <w:szCs w:val="19"/>
        </w:rPr>
        <w:t>»Sin embargo, cualquiera que sea su objeto, las sociedades comerciales y civiles estarán sujetas, para todos los efectos, a la legislación mercantil».</w:t>
      </w:r>
    </w:p>
    <w:p w:rsidRPr="00DB0DCC" w:rsidR="00A94630" w:rsidP="00267E80" w:rsidRDefault="00A94630" w14:paraId="59D89152" w14:textId="77777777">
      <w:pPr>
        <w:pStyle w:val="Textonotapie"/>
        <w:ind w:firstLine="708"/>
        <w:jc w:val="both"/>
        <w:rPr>
          <w:rFonts w:ascii="Arial" w:hAnsi="Arial" w:cs="Arial"/>
          <w:color w:val="000000" w:themeColor="text1"/>
          <w:sz w:val="19"/>
          <w:szCs w:val="1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E2520A" w:rsidRDefault="00E2520A" w14:paraId="6520770B" w14:textId="3AFE6A3D">
    <w:pPr>
      <w:pStyle w:val="Encabezado"/>
    </w:pPr>
  </w:p>
  <w:p w:rsidR="00E2520A" w:rsidRDefault="00E2520A" w14:paraId="2A80E31D" w14:textId="77777777"/>
  <w:p w:rsidR="00E2520A" w:rsidP="00207C1E" w:rsidRDefault="00207C1E" w14:paraId="5DBE9C96" w14:textId="4EE0D645">
    <w:pPr>
      <w:jc w:val="right"/>
    </w:pPr>
    <w:r w:rsidRPr="00207C1E">
      <w:rPr>
        <w:noProof/>
      </w:rPr>
      <w:drawing>
        <wp:inline distT="0" distB="0" distL="0" distR="0" wp14:anchorId="2288FA4C" wp14:editId="7BF6F84B">
          <wp:extent cx="1752600" cy="7112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52600" cy="71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1AD"/>
    <w:multiLevelType w:val="hybridMultilevel"/>
    <w:tmpl w:val="BA722234"/>
    <w:lvl w:ilvl="0" w:tplc="1D4060DE">
      <w:start w:val="1"/>
      <w:numFmt w:val="decimal"/>
      <w:pStyle w:val="Capitulo8"/>
      <w:lvlText w:val="8.%1."/>
      <w:lvlJc w:val="left"/>
      <w:pPr>
        <w:ind w:left="1004" w:hanging="360"/>
      </w:pPr>
    </w:lvl>
    <w:lvl w:ilvl="1" w:tplc="240A0019">
      <w:start w:val="1"/>
      <w:numFmt w:val="lowerLetter"/>
      <w:lvlText w:val="%2."/>
      <w:lvlJc w:val="left"/>
      <w:pPr>
        <w:ind w:left="1724" w:hanging="360"/>
      </w:pPr>
    </w:lvl>
    <w:lvl w:ilvl="2" w:tplc="240A001B">
      <w:start w:val="1"/>
      <w:numFmt w:val="lowerRoman"/>
      <w:lvlText w:val="%3."/>
      <w:lvlJc w:val="right"/>
      <w:pPr>
        <w:ind w:left="2444" w:hanging="180"/>
      </w:pPr>
    </w:lvl>
    <w:lvl w:ilvl="3" w:tplc="240A000F">
      <w:start w:val="1"/>
      <w:numFmt w:val="decimal"/>
      <w:lvlText w:val="%4."/>
      <w:lvlJc w:val="left"/>
      <w:pPr>
        <w:ind w:left="3164" w:hanging="360"/>
      </w:pPr>
    </w:lvl>
    <w:lvl w:ilvl="4" w:tplc="240A0019">
      <w:start w:val="1"/>
      <w:numFmt w:val="lowerLetter"/>
      <w:lvlText w:val="%5."/>
      <w:lvlJc w:val="left"/>
      <w:pPr>
        <w:ind w:left="3884" w:hanging="360"/>
      </w:pPr>
    </w:lvl>
    <w:lvl w:ilvl="5" w:tplc="240A001B">
      <w:start w:val="1"/>
      <w:numFmt w:val="lowerRoman"/>
      <w:lvlText w:val="%6."/>
      <w:lvlJc w:val="right"/>
      <w:pPr>
        <w:ind w:left="4604" w:hanging="180"/>
      </w:pPr>
    </w:lvl>
    <w:lvl w:ilvl="6" w:tplc="240A000F">
      <w:start w:val="1"/>
      <w:numFmt w:val="decimal"/>
      <w:lvlText w:val="%7."/>
      <w:lvlJc w:val="left"/>
      <w:pPr>
        <w:ind w:left="5324" w:hanging="360"/>
      </w:pPr>
    </w:lvl>
    <w:lvl w:ilvl="7" w:tplc="240A0019">
      <w:start w:val="1"/>
      <w:numFmt w:val="lowerLetter"/>
      <w:lvlText w:val="%8."/>
      <w:lvlJc w:val="left"/>
      <w:pPr>
        <w:ind w:left="6044" w:hanging="360"/>
      </w:pPr>
    </w:lvl>
    <w:lvl w:ilvl="8" w:tplc="240A001B">
      <w:start w:val="1"/>
      <w:numFmt w:val="lowerRoman"/>
      <w:lvlText w:val="%9."/>
      <w:lvlJc w:val="right"/>
      <w:pPr>
        <w:ind w:left="6764" w:hanging="180"/>
      </w:pPr>
    </w:lvl>
  </w:abstractNum>
  <w:abstractNum w:abstractNumId="1" w15:restartNumberingAfterBreak="0">
    <w:nsid w:val="00BB42F9"/>
    <w:multiLevelType w:val="hybridMultilevel"/>
    <w:tmpl w:val="F52E8786"/>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171731F"/>
    <w:multiLevelType w:val="multilevel"/>
    <w:tmpl w:val="583EADE0"/>
    <w:lvl w:ilvl="0">
      <w:start w:val="2"/>
      <w:numFmt w:val="decimal"/>
      <w:lvlText w:val="%1."/>
      <w:lvlJc w:val="left"/>
      <w:pPr>
        <w:ind w:left="367" w:hanging="36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4" w15:restartNumberingAfterBreak="0">
    <w:nsid w:val="08443754"/>
    <w:multiLevelType w:val="hybridMultilevel"/>
    <w:tmpl w:val="56B835D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09540ACA"/>
    <w:multiLevelType w:val="hybridMultilevel"/>
    <w:tmpl w:val="57327B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0D827428"/>
    <w:multiLevelType w:val="hybridMultilevel"/>
    <w:tmpl w:val="C5828120"/>
    <w:lvl w:ilvl="0" w:tplc="0C0A0001">
      <w:start w:val="1"/>
      <w:numFmt w:val="bullet"/>
      <w:lvlText w:val=""/>
      <w:lvlJc w:val="left"/>
      <w:pPr>
        <w:ind w:left="720" w:hanging="360"/>
      </w:pPr>
      <w:rPr>
        <w:rFonts w:hint="default" w:ascii="Symbol" w:hAnsi="Symbol"/>
      </w:rPr>
    </w:lvl>
    <w:lvl w:ilvl="1" w:tplc="0C0A0003">
      <w:start w:val="1"/>
      <w:numFmt w:val="bullet"/>
      <w:lvlText w:val="o"/>
      <w:lvlJc w:val="left"/>
      <w:pPr>
        <w:ind w:left="1440" w:hanging="360"/>
      </w:pPr>
      <w:rPr>
        <w:rFonts w:hint="default" w:ascii="Courier New" w:hAnsi="Courier New" w:cs="Courier New"/>
      </w:rPr>
    </w:lvl>
    <w:lvl w:ilvl="2" w:tplc="0C0A0005">
      <w:start w:val="1"/>
      <w:numFmt w:val="bullet"/>
      <w:lvlText w:val=""/>
      <w:lvlJc w:val="left"/>
      <w:pPr>
        <w:ind w:left="2160" w:hanging="360"/>
      </w:pPr>
      <w:rPr>
        <w:rFonts w:hint="default" w:ascii="Wingdings" w:hAnsi="Wingdings"/>
      </w:rPr>
    </w:lvl>
    <w:lvl w:ilvl="3" w:tplc="0C0A0001">
      <w:start w:val="1"/>
      <w:numFmt w:val="bullet"/>
      <w:lvlText w:val=""/>
      <w:lvlJc w:val="left"/>
      <w:pPr>
        <w:ind w:left="2880" w:hanging="360"/>
      </w:pPr>
      <w:rPr>
        <w:rFonts w:hint="default" w:ascii="Symbol" w:hAnsi="Symbol"/>
      </w:rPr>
    </w:lvl>
    <w:lvl w:ilvl="4" w:tplc="0C0A0003">
      <w:start w:val="1"/>
      <w:numFmt w:val="bullet"/>
      <w:lvlText w:val="o"/>
      <w:lvlJc w:val="left"/>
      <w:pPr>
        <w:ind w:left="3600" w:hanging="360"/>
      </w:pPr>
      <w:rPr>
        <w:rFonts w:hint="default" w:ascii="Courier New" w:hAnsi="Courier New" w:cs="Courier New"/>
      </w:rPr>
    </w:lvl>
    <w:lvl w:ilvl="5" w:tplc="0C0A0005">
      <w:start w:val="1"/>
      <w:numFmt w:val="bullet"/>
      <w:lvlText w:val=""/>
      <w:lvlJc w:val="left"/>
      <w:pPr>
        <w:ind w:left="4320" w:hanging="360"/>
      </w:pPr>
      <w:rPr>
        <w:rFonts w:hint="default" w:ascii="Wingdings" w:hAnsi="Wingdings"/>
      </w:rPr>
    </w:lvl>
    <w:lvl w:ilvl="6" w:tplc="0C0A0001">
      <w:start w:val="1"/>
      <w:numFmt w:val="bullet"/>
      <w:lvlText w:val=""/>
      <w:lvlJc w:val="left"/>
      <w:pPr>
        <w:ind w:left="5040" w:hanging="360"/>
      </w:pPr>
      <w:rPr>
        <w:rFonts w:hint="default" w:ascii="Symbol" w:hAnsi="Symbol"/>
      </w:rPr>
    </w:lvl>
    <w:lvl w:ilvl="7" w:tplc="0C0A0003">
      <w:start w:val="1"/>
      <w:numFmt w:val="bullet"/>
      <w:lvlText w:val="o"/>
      <w:lvlJc w:val="left"/>
      <w:pPr>
        <w:ind w:left="5760" w:hanging="360"/>
      </w:pPr>
      <w:rPr>
        <w:rFonts w:hint="default" w:ascii="Courier New" w:hAnsi="Courier New" w:cs="Courier New"/>
      </w:rPr>
    </w:lvl>
    <w:lvl w:ilvl="8" w:tplc="0C0A0005">
      <w:start w:val="1"/>
      <w:numFmt w:val="bullet"/>
      <w:lvlText w:val=""/>
      <w:lvlJc w:val="left"/>
      <w:pPr>
        <w:ind w:left="6480" w:hanging="360"/>
      </w:pPr>
      <w:rPr>
        <w:rFonts w:hint="default" w:ascii="Wingdings" w:hAnsi="Wingdings"/>
      </w:rPr>
    </w:lvl>
  </w:abstractNum>
  <w:abstractNum w:abstractNumId="7" w15:restartNumberingAfterBreak="0">
    <w:nsid w:val="10442D24"/>
    <w:multiLevelType w:val="multilevel"/>
    <w:tmpl w:val="B41AF78C"/>
    <w:lvl w:ilvl="0">
      <w:start w:val="1"/>
      <w:numFmt w:val="decimal"/>
      <w:lvlText w:val="%1."/>
      <w:lvlJc w:val="left"/>
      <w:pPr>
        <w:ind w:left="360" w:hanging="360"/>
      </w:pPr>
      <w:rPr>
        <w:color w:val="auto"/>
        <w:sz w:val="20"/>
        <w:szCs w:val="20"/>
      </w:rPr>
    </w:lvl>
    <w:lvl w:ilvl="1">
      <w:start w:val="1"/>
      <w:numFmt w:val="decimal"/>
      <w:lvlText w:val="3.%2."/>
      <w:lvlJc w:val="left"/>
      <w:pPr>
        <w:ind w:left="1004" w:hanging="720"/>
      </w:pPr>
      <w:rPr>
        <w:b/>
        <w:i w:val="0"/>
        <w:color w:val="000000"/>
      </w:rPr>
    </w:lvl>
    <w:lvl w:ilvl="2">
      <w:start w:val="1"/>
      <w:numFmt w:val="decimal"/>
      <w:lvlText w:val="4.1.%3."/>
      <w:lvlJc w:val="left"/>
      <w:pPr>
        <w:ind w:left="964" w:hanging="624"/>
      </w:pPr>
      <w:rPr>
        <w:b/>
        <w:i w:val="0"/>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0AC56F5"/>
    <w:multiLevelType w:val="hybridMultilevel"/>
    <w:tmpl w:val="ECF404E6"/>
    <w:lvl w:ilvl="0" w:tplc="4612AA0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7E60FA7"/>
    <w:multiLevelType w:val="hybridMultilevel"/>
    <w:tmpl w:val="DD2C679A"/>
    <w:lvl w:ilvl="0" w:tplc="6010BCE2">
      <w:start w:val="1"/>
      <w:numFmt w:val="lowerRoman"/>
      <w:lvlText w:val="%1)"/>
      <w:lvlJc w:val="left"/>
      <w:pPr>
        <w:ind w:left="1425" w:hanging="72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0" w15:restartNumberingAfterBreak="0">
    <w:nsid w:val="1D712575"/>
    <w:multiLevelType w:val="multilevel"/>
    <w:tmpl w:val="7D6622D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9E6E3F"/>
    <w:multiLevelType w:val="hybridMultilevel"/>
    <w:tmpl w:val="854EA874"/>
    <w:lvl w:ilvl="0" w:tplc="1AD6EBD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2A53DDF"/>
    <w:multiLevelType w:val="multilevel"/>
    <w:tmpl w:val="A99C5180"/>
    <w:lvl w:ilvl="0">
      <w:start w:val="1"/>
      <w:numFmt w:val="decimal"/>
      <w:lvlText w:val="%1."/>
      <w:lvlJc w:val="left"/>
      <w:pPr>
        <w:ind w:left="660" w:hanging="360"/>
      </w:pPr>
      <w:rPr>
        <w:rFonts w:hint="default" w:ascii="Arial" w:hAnsi="Arial" w:eastAsia="Arial" w:cs="Arial"/>
        <w:b/>
        <w:bCs/>
        <w:color w:val="auto"/>
        <w:spacing w:val="-8"/>
        <w:w w:val="100"/>
        <w:sz w:val="22"/>
        <w:szCs w:val="22"/>
        <w:lang w:val="es-ES" w:eastAsia="en-US" w:bidi="ar-SA"/>
      </w:rPr>
    </w:lvl>
    <w:lvl w:ilvl="1">
      <w:start w:val="1"/>
      <w:numFmt w:val="decimal"/>
      <w:lvlText w:val="%1.%2"/>
      <w:lvlJc w:val="left"/>
      <w:pPr>
        <w:ind w:left="665" w:hanging="365"/>
      </w:pPr>
      <w:rPr>
        <w:rFonts w:hint="default" w:ascii="Arial" w:hAnsi="Arial" w:eastAsia="Arial" w:cs="Arial"/>
        <w:b/>
        <w:bCs/>
        <w:color w:val="auto"/>
        <w:spacing w:val="-1"/>
        <w:w w:val="100"/>
        <w:sz w:val="22"/>
        <w:szCs w:val="22"/>
        <w:lang w:val="es-ES" w:eastAsia="en-US" w:bidi="ar-SA"/>
      </w:rPr>
    </w:lvl>
    <w:lvl w:ilvl="2">
      <w:start w:val="1"/>
      <w:numFmt w:val="decimal"/>
      <w:lvlText w:val="%3)"/>
      <w:lvlJc w:val="left"/>
      <w:pPr>
        <w:ind w:left="1008" w:hanging="265"/>
      </w:pPr>
      <w:rPr>
        <w:rFonts w:hint="default" w:ascii="Arial" w:hAnsi="Arial" w:eastAsia="Arial" w:cs="Arial"/>
        <w:color w:val="auto"/>
        <w:w w:val="100"/>
        <w:sz w:val="21"/>
        <w:szCs w:val="21"/>
        <w:lang w:val="es-ES" w:eastAsia="en-US" w:bidi="ar-SA"/>
      </w:rPr>
    </w:lvl>
    <w:lvl w:ilvl="3">
      <w:numFmt w:val="bullet"/>
      <w:lvlText w:val="•"/>
      <w:lvlJc w:val="left"/>
      <w:pPr>
        <w:ind w:left="2853" w:hanging="265"/>
      </w:pPr>
      <w:rPr>
        <w:rFonts w:hint="default"/>
        <w:lang w:val="es-ES" w:eastAsia="en-US" w:bidi="ar-SA"/>
      </w:rPr>
    </w:lvl>
    <w:lvl w:ilvl="4">
      <w:numFmt w:val="bullet"/>
      <w:lvlText w:val="•"/>
      <w:lvlJc w:val="left"/>
      <w:pPr>
        <w:ind w:left="3780" w:hanging="265"/>
      </w:pPr>
      <w:rPr>
        <w:rFonts w:hint="default"/>
        <w:lang w:val="es-ES" w:eastAsia="en-US" w:bidi="ar-SA"/>
      </w:rPr>
    </w:lvl>
    <w:lvl w:ilvl="5">
      <w:numFmt w:val="bullet"/>
      <w:lvlText w:val="•"/>
      <w:lvlJc w:val="left"/>
      <w:pPr>
        <w:ind w:left="4706" w:hanging="265"/>
      </w:pPr>
      <w:rPr>
        <w:rFonts w:hint="default"/>
        <w:lang w:val="es-ES" w:eastAsia="en-US" w:bidi="ar-SA"/>
      </w:rPr>
    </w:lvl>
    <w:lvl w:ilvl="6">
      <w:numFmt w:val="bullet"/>
      <w:lvlText w:val="•"/>
      <w:lvlJc w:val="left"/>
      <w:pPr>
        <w:ind w:left="5633" w:hanging="265"/>
      </w:pPr>
      <w:rPr>
        <w:rFonts w:hint="default"/>
        <w:lang w:val="es-ES" w:eastAsia="en-US" w:bidi="ar-SA"/>
      </w:rPr>
    </w:lvl>
    <w:lvl w:ilvl="7">
      <w:numFmt w:val="bullet"/>
      <w:lvlText w:val="•"/>
      <w:lvlJc w:val="left"/>
      <w:pPr>
        <w:ind w:left="6560" w:hanging="265"/>
      </w:pPr>
      <w:rPr>
        <w:rFonts w:hint="default"/>
        <w:lang w:val="es-ES" w:eastAsia="en-US" w:bidi="ar-SA"/>
      </w:rPr>
    </w:lvl>
    <w:lvl w:ilvl="8">
      <w:numFmt w:val="bullet"/>
      <w:lvlText w:val="•"/>
      <w:lvlJc w:val="left"/>
      <w:pPr>
        <w:ind w:left="7486" w:hanging="265"/>
      </w:pPr>
      <w:rPr>
        <w:rFonts w:hint="default"/>
        <w:lang w:val="es-ES" w:eastAsia="en-US" w:bidi="ar-SA"/>
      </w:rPr>
    </w:lvl>
  </w:abstractNum>
  <w:abstractNum w:abstractNumId="13" w15:restartNumberingAfterBreak="0">
    <w:nsid w:val="2D96052C"/>
    <w:multiLevelType w:val="hybridMultilevel"/>
    <w:tmpl w:val="ACA011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EDC5E4E"/>
    <w:multiLevelType w:val="hybridMultilevel"/>
    <w:tmpl w:val="B32A09A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310D7E6C"/>
    <w:multiLevelType w:val="multilevel"/>
    <w:tmpl w:val="836404E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31931E03"/>
    <w:multiLevelType w:val="multilevel"/>
    <w:tmpl w:val="288C11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B41044"/>
    <w:multiLevelType w:val="hybridMultilevel"/>
    <w:tmpl w:val="836404E2"/>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rPr>
    </w:lvl>
    <w:lvl w:ilvl="8" w:tplc="0C0A0005" w:tentative="1">
      <w:start w:val="1"/>
      <w:numFmt w:val="bullet"/>
      <w:lvlText w:val=""/>
      <w:lvlJc w:val="left"/>
      <w:pPr>
        <w:ind w:left="6480" w:hanging="360"/>
      </w:pPr>
      <w:rPr>
        <w:rFonts w:hint="default" w:ascii="Wingdings" w:hAnsi="Wingdings"/>
      </w:rPr>
    </w:lvl>
  </w:abstractNum>
  <w:abstractNum w:abstractNumId="18" w15:restartNumberingAfterBreak="0">
    <w:nsid w:val="32826C0F"/>
    <w:multiLevelType w:val="hybridMultilevel"/>
    <w:tmpl w:val="56B835D4"/>
    <w:lvl w:ilvl="0" w:tplc="B6708F7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9" w15:restartNumberingAfterBreak="0">
    <w:nsid w:val="35221FE2"/>
    <w:multiLevelType w:val="hybridMultilevel"/>
    <w:tmpl w:val="D9B8E20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7876856"/>
    <w:multiLevelType w:val="hybridMultilevel"/>
    <w:tmpl w:val="5C1C2D84"/>
    <w:lvl w:ilvl="0" w:tplc="8356126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1" w15:restartNumberingAfterBreak="0">
    <w:nsid w:val="38042E47"/>
    <w:multiLevelType w:val="hybridMultilevel"/>
    <w:tmpl w:val="E162306E"/>
    <w:lvl w:ilvl="0" w:tplc="D248C2F6">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2" w15:restartNumberingAfterBreak="0">
    <w:nsid w:val="3BD52C5D"/>
    <w:multiLevelType w:val="multilevel"/>
    <w:tmpl w:val="8318A86A"/>
    <w:lvl w:ilvl="0">
      <w:start w:val="1"/>
      <w:numFmt w:val="decimal"/>
      <w:lvlText w:val="%1."/>
      <w:lvlJc w:val="left"/>
      <w:pPr>
        <w:ind w:left="360" w:hanging="360"/>
      </w:pPr>
      <w:rPr>
        <w:b/>
        <w:color w:val="4E4D4D"/>
      </w:rPr>
    </w:lvl>
    <w:lvl w:ilvl="1">
      <w:start w:val="1"/>
      <w:numFmt w:val="decimal"/>
      <w:isLgl/>
      <w:lvlText w:val="%1.%2"/>
      <w:lvlJc w:val="left"/>
      <w:pPr>
        <w:ind w:left="360" w:hanging="360"/>
      </w:pPr>
      <w:rPr>
        <w:b/>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3" w15:restartNumberingAfterBreak="0">
    <w:nsid w:val="405413EB"/>
    <w:multiLevelType w:val="hybridMultilevel"/>
    <w:tmpl w:val="58A4F990"/>
    <w:lvl w:ilvl="0" w:tplc="C3CAD0BC">
      <w:start w:val="1"/>
      <w:numFmt w:val="lowerRoman"/>
      <w:lvlText w:val="%1)"/>
      <w:lvlJc w:val="left"/>
      <w:pPr>
        <w:ind w:left="1430" w:hanging="720"/>
      </w:pPr>
      <w:rPr>
        <w:rFonts w:hint="default"/>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24" w15:restartNumberingAfterBreak="0">
    <w:nsid w:val="424D462B"/>
    <w:multiLevelType w:val="multilevel"/>
    <w:tmpl w:val="24320A3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D93A5B"/>
    <w:multiLevelType w:val="hybridMultilevel"/>
    <w:tmpl w:val="24AADE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82459AB"/>
    <w:multiLevelType w:val="hybridMultilevel"/>
    <w:tmpl w:val="F7E4801A"/>
    <w:lvl w:ilvl="0" w:tplc="07686820">
      <w:start w:val="1"/>
      <w:numFmt w:val="bullet"/>
      <w:lvlText w:val=""/>
      <w:lvlJc w:val="left"/>
      <w:pPr>
        <w:ind w:left="720" w:hanging="360"/>
      </w:pPr>
      <w:rPr>
        <w:rFonts w:hint="default" w:ascii="Wingdings" w:hAnsi="Wingdings"/>
        <w:color w:val="0E63A8"/>
        <w:sz w:val="28"/>
      </w:rPr>
    </w:lvl>
    <w:lvl w:ilvl="1" w:tplc="0C0A0003" w:tentative="1">
      <w:start w:val="1"/>
      <w:numFmt w:val="bullet"/>
      <w:lvlText w:val="o"/>
      <w:lvlJc w:val="left"/>
      <w:pPr>
        <w:ind w:left="1440" w:hanging="360"/>
      </w:pPr>
      <w:rPr>
        <w:rFonts w:hint="default" w:ascii="Courier New" w:hAnsi="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rPr>
    </w:lvl>
    <w:lvl w:ilvl="8" w:tplc="0C0A0005" w:tentative="1">
      <w:start w:val="1"/>
      <w:numFmt w:val="bullet"/>
      <w:lvlText w:val=""/>
      <w:lvlJc w:val="left"/>
      <w:pPr>
        <w:ind w:left="6480" w:hanging="360"/>
      </w:pPr>
      <w:rPr>
        <w:rFonts w:hint="default" w:ascii="Wingdings" w:hAnsi="Wingdings"/>
      </w:rPr>
    </w:lvl>
  </w:abstractNum>
  <w:abstractNum w:abstractNumId="27" w15:restartNumberingAfterBreak="0">
    <w:nsid w:val="4923772D"/>
    <w:multiLevelType w:val="hybridMultilevel"/>
    <w:tmpl w:val="98544144"/>
    <w:lvl w:ilvl="0" w:tplc="E058334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CB8710A"/>
    <w:multiLevelType w:val="hybridMultilevel"/>
    <w:tmpl w:val="8F52BE52"/>
    <w:lvl w:ilvl="0" w:tplc="A1721734">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9" w15:restartNumberingAfterBreak="0">
    <w:nsid w:val="51F2084E"/>
    <w:multiLevelType w:val="multilevel"/>
    <w:tmpl w:val="6C4AF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9102F8"/>
    <w:multiLevelType w:val="hybridMultilevel"/>
    <w:tmpl w:val="13E22D70"/>
    <w:lvl w:ilvl="0" w:tplc="B84854D0">
      <w:start w:val="1"/>
      <w:numFmt w:val="bullet"/>
      <w:lvlText w:val="-"/>
      <w:lvlJc w:val="left"/>
      <w:pPr>
        <w:ind w:left="1069" w:hanging="360"/>
      </w:pPr>
      <w:rPr>
        <w:rFonts w:hint="default" w:ascii="Arial" w:hAnsi="Arial" w:eastAsia="Calibri" w:cs="Arial"/>
      </w:rPr>
    </w:lvl>
    <w:lvl w:ilvl="1" w:tplc="240A0003" w:tentative="1">
      <w:start w:val="1"/>
      <w:numFmt w:val="bullet"/>
      <w:lvlText w:val="o"/>
      <w:lvlJc w:val="left"/>
      <w:pPr>
        <w:ind w:left="1789" w:hanging="360"/>
      </w:pPr>
      <w:rPr>
        <w:rFonts w:hint="default" w:ascii="Courier New" w:hAnsi="Courier New" w:cs="Courier New"/>
      </w:rPr>
    </w:lvl>
    <w:lvl w:ilvl="2" w:tplc="240A0005" w:tentative="1">
      <w:start w:val="1"/>
      <w:numFmt w:val="bullet"/>
      <w:lvlText w:val=""/>
      <w:lvlJc w:val="left"/>
      <w:pPr>
        <w:ind w:left="2509" w:hanging="360"/>
      </w:pPr>
      <w:rPr>
        <w:rFonts w:hint="default" w:ascii="Wingdings" w:hAnsi="Wingdings"/>
      </w:rPr>
    </w:lvl>
    <w:lvl w:ilvl="3" w:tplc="240A0001" w:tentative="1">
      <w:start w:val="1"/>
      <w:numFmt w:val="bullet"/>
      <w:lvlText w:val=""/>
      <w:lvlJc w:val="left"/>
      <w:pPr>
        <w:ind w:left="3229" w:hanging="360"/>
      </w:pPr>
      <w:rPr>
        <w:rFonts w:hint="default" w:ascii="Symbol" w:hAnsi="Symbol"/>
      </w:rPr>
    </w:lvl>
    <w:lvl w:ilvl="4" w:tplc="240A0003" w:tentative="1">
      <w:start w:val="1"/>
      <w:numFmt w:val="bullet"/>
      <w:lvlText w:val="o"/>
      <w:lvlJc w:val="left"/>
      <w:pPr>
        <w:ind w:left="3949" w:hanging="360"/>
      </w:pPr>
      <w:rPr>
        <w:rFonts w:hint="default" w:ascii="Courier New" w:hAnsi="Courier New" w:cs="Courier New"/>
      </w:rPr>
    </w:lvl>
    <w:lvl w:ilvl="5" w:tplc="240A0005" w:tentative="1">
      <w:start w:val="1"/>
      <w:numFmt w:val="bullet"/>
      <w:lvlText w:val=""/>
      <w:lvlJc w:val="left"/>
      <w:pPr>
        <w:ind w:left="4669" w:hanging="360"/>
      </w:pPr>
      <w:rPr>
        <w:rFonts w:hint="default" w:ascii="Wingdings" w:hAnsi="Wingdings"/>
      </w:rPr>
    </w:lvl>
    <w:lvl w:ilvl="6" w:tplc="240A0001" w:tentative="1">
      <w:start w:val="1"/>
      <w:numFmt w:val="bullet"/>
      <w:lvlText w:val=""/>
      <w:lvlJc w:val="left"/>
      <w:pPr>
        <w:ind w:left="5389" w:hanging="360"/>
      </w:pPr>
      <w:rPr>
        <w:rFonts w:hint="default" w:ascii="Symbol" w:hAnsi="Symbol"/>
      </w:rPr>
    </w:lvl>
    <w:lvl w:ilvl="7" w:tplc="240A0003" w:tentative="1">
      <w:start w:val="1"/>
      <w:numFmt w:val="bullet"/>
      <w:lvlText w:val="o"/>
      <w:lvlJc w:val="left"/>
      <w:pPr>
        <w:ind w:left="6109" w:hanging="360"/>
      </w:pPr>
      <w:rPr>
        <w:rFonts w:hint="default" w:ascii="Courier New" w:hAnsi="Courier New" w:cs="Courier New"/>
      </w:rPr>
    </w:lvl>
    <w:lvl w:ilvl="8" w:tplc="240A0005" w:tentative="1">
      <w:start w:val="1"/>
      <w:numFmt w:val="bullet"/>
      <w:lvlText w:val=""/>
      <w:lvlJc w:val="left"/>
      <w:pPr>
        <w:ind w:left="6829" w:hanging="360"/>
      </w:pPr>
      <w:rPr>
        <w:rFonts w:hint="default" w:ascii="Wingdings" w:hAnsi="Wingdings"/>
      </w:rPr>
    </w:lvl>
  </w:abstractNum>
  <w:abstractNum w:abstractNumId="31" w15:restartNumberingAfterBreak="0">
    <w:nsid w:val="59112A3E"/>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32" w15:restartNumberingAfterBreak="0">
    <w:nsid w:val="5A9A2200"/>
    <w:multiLevelType w:val="multilevel"/>
    <w:tmpl w:val="614E70D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B6D321F"/>
    <w:multiLevelType w:val="hybridMultilevel"/>
    <w:tmpl w:val="CA3C11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8FA17E7"/>
    <w:multiLevelType w:val="multilevel"/>
    <w:tmpl w:val="5768BC5E"/>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6BFF7097"/>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36" w15:restartNumberingAfterBreak="0">
    <w:nsid w:val="6E521755"/>
    <w:multiLevelType w:val="hybridMultilevel"/>
    <w:tmpl w:val="4DCE2F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2FA202B"/>
    <w:multiLevelType w:val="hybridMultilevel"/>
    <w:tmpl w:val="510EE350"/>
    <w:lvl w:ilvl="0" w:tplc="EBCEC2A2">
      <w:start w:val="232"/>
      <w:numFmt w:val="bullet"/>
      <w:lvlText w:val="-"/>
      <w:lvlJc w:val="left"/>
      <w:pPr>
        <w:ind w:left="720" w:hanging="360"/>
      </w:pPr>
      <w:rPr>
        <w:rFonts w:hint="default" w:ascii="Arial" w:hAnsi="Arial" w:cs="Arial" w:eastAsiaTheme="minorHAnsi"/>
      </w:rPr>
    </w:lvl>
    <w:lvl w:ilvl="1" w:tplc="240A0003">
      <w:start w:val="1"/>
      <w:numFmt w:val="bullet"/>
      <w:lvlText w:val="o"/>
      <w:lvlJc w:val="left"/>
      <w:pPr>
        <w:ind w:left="1440" w:hanging="360"/>
      </w:pPr>
      <w:rPr>
        <w:rFonts w:hint="default" w:ascii="Courier New" w:hAnsi="Courier New" w:cs="Courier New"/>
      </w:rPr>
    </w:lvl>
    <w:lvl w:ilvl="2" w:tplc="240A0005">
      <w:start w:val="1"/>
      <w:numFmt w:val="bullet"/>
      <w:lvlText w:val=""/>
      <w:lvlJc w:val="left"/>
      <w:pPr>
        <w:ind w:left="2160" w:hanging="360"/>
      </w:pPr>
      <w:rPr>
        <w:rFonts w:hint="default" w:ascii="Wingdings" w:hAnsi="Wingdings"/>
      </w:rPr>
    </w:lvl>
    <w:lvl w:ilvl="3" w:tplc="240A0001">
      <w:start w:val="1"/>
      <w:numFmt w:val="bullet"/>
      <w:lvlText w:val=""/>
      <w:lvlJc w:val="left"/>
      <w:pPr>
        <w:ind w:left="2880" w:hanging="360"/>
      </w:pPr>
      <w:rPr>
        <w:rFonts w:hint="default" w:ascii="Symbol" w:hAnsi="Symbol"/>
      </w:rPr>
    </w:lvl>
    <w:lvl w:ilvl="4" w:tplc="240A0003">
      <w:start w:val="1"/>
      <w:numFmt w:val="bullet"/>
      <w:lvlText w:val="o"/>
      <w:lvlJc w:val="left"/>
      <w:pPr>
        <w:ind w:left="3600" w:hanging="360"/>
      </w:pPr>
      <w:rPr>
        <w:rFonts w:hint="default" w:ascii="Courier New" w:hAnsi="Courier New" w:cs="Courier New"/>
      </w:rPr>
    </w:lvl>
    <w:lvl w:ilvl="5" w:tplc="240A0005">
      <w:start w:val="1"/>
      <w:numFmt w:val="bullet"/>
      <w:lvlText w:val=""/>
      <w:lvlJc w:val="left"/>
      <w:pPr>
        <w:ind w:left="4320" w:hanging="360"/>
      </w:pPr>
      <w:rPr>
        <w:rFonts w:hint="default" w:ascii="Wingdings" w:hAnsi="Wingdings"/>
      </w:rPr>
    </w:lvl>
    <w:lvl w:ilvl="6" w:tplc="240A0001">
      <w:start w:val="1"/>
      <w:numFmt w:val="bullet"/>
      <w:lvlText w:val=""/>
      <w:lvlJc w:val="left"/>
      <w:pPr>
        <w:ind w:left="5040" w:hanging="360"/>
      </w:pPr>
      <w:rPr>
        <w:rFonts w:hint="default" w:ascii="Symbol" w:hAnsi="Symbol"/>
      </w:rPr>
    </w:lvl>
    <w:lvl w:ilvl="7" w:tplc="240A0003">
      <w:start w:val="1"/>
      <w:numFmt w:val="bullet"/>
      <w:lvlText w:val="o"/>
      <w:lvlJc w:val="left"/>
      <w:pPr>
        <w:ind w:left="5760" w:hanging="360"/>
      </w:pPr>
      <w:rPr>
        <w:rFonts w:hint="default" w:ascii="Courier New" w:hAnsi="Courier New" w:cs="Courier New"/>
      </w:rPr>
    </w:lvl>
    <w:lvl w:ilvl="8" w:tplc="240A0005">
      <w:start w:val="1"/>
      <w:numFmt w:val="bullet"/>
      <w:lvlText w:val=""/>
      <w:lvlJc w:val="left"/>
      <w:pPr>
        <w:ind w:left="6480" w:hanging="360"/>
      </w:pPr>
      <w:rPr>
        <w:rFonts w:hint="default" w:ascii="Wingdings" w:hAnsi="Wingdings"/>
      </w:rPr>
    </w:lvl>
  </w:abstractNum>
  <w:abstractNum w:abstractNumId="38" w15:restartNumberingAfterBreak="0">
    <w:nsid w:val="736A0777"/>
    <w:multiLevelType w:val="multilevel"/>
    <w:tmpl w:val="510EE350"/>
    <w:lvl w:ilvl="0">
      <w:start w:val="232"/>
      <w:numFmt w:val="bullet"/>
      <w:lvlText w:val="-"/>
      <w:lvlJc w:val="left"/>
      <w:pPr>
        <w:ind w:left="720" w:hanging="360"/>
      </w:pPr>
      <w:rPr>
        <w:rFonts w:hint="default" w:ascii="Arial" w:hAnsi="Arial" w:cs="Arial"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75434B71"/>
    <w:multiLevelType w:val="hybridMultilevel"/>
    <w:tmpl w:val="5E8A4876"/>
    <w:lvl w:ilvl="0" w:tplc="7C6481CE">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0" w15:restartNumberingAfterBreak="0">
    <w:nsid w:val="79B72D8C"/>
    <w:multiLevelType w:val="hybridMultilevel"/>
    <w:tmpl w:val="5EA43C4A"/>
    <w:lvl w:ilvl="0" w:tplc="C054F186">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1" w15:restartNumberingAfterBreak="0">
    <w:nsid w:val="7CCD0A55"/>
    <w:multiLevelType w:val="multilevel"/>
    <w:tmpl w:val="2546336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55012078">
    <w:abstractNumId w:val="17"/>
  </w:num>
  <w:num w:numId="2" w16cid:durableId="1890459524">
    <w:abstractNumId w:val="15"/>
  </w:num>
  <w:num w:numId="3" w16cid:durableId="698090170">
    <w:abstractNumId w:val="26"/>
  </w:num>
  <w:num w:numId="4" w16cid:durableId="859272652">
    <w:abstractNumId w:val="31"/>
  </w:num>
  <w:num w:numId="5" w16cid:durableId="1114324942">
    <w:abstractNumId w:val="35"/>
  </w:num>
  <w:num w:numId="6" w16cid:durableId="355774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7746739">
    <w:abstractNumId w:val="32"/>
  </w:num>
  <w:num w:numId="8" w16cid:durableId="245387259">
    <w:abstractNumId w:val="3"/>
  </w:num>
  <w:num w:numId="9" w16cid:durableId="1948582806">
    <w:abstractNumId w:val="10"/>
  </w:num>
  <w:num w:numId="10" w16cid:durableId="13687226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1669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3130135">
    <w:abstractNumId w:val="16"/>
  </w:num>
  <w:num w:numId="13" w16cid:durableId="754592867">
    <w:abstractNumId w:val="24"/>
  </w:num>
  <w:num w:numId="14" w16cid:durableId="1820078824">
    <w:abstractNumId w:val="13"/>
  </w:num>
  <w:num w:numId="15" w16cid:durableId="188652092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6577406">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7629752">
    <w:abstractNumId w:val="37"/>
  </w:num>
  <w:num w:numId="18" w16cid:durableId="204219524">
    <w:abstractNumId w:val="27"/>
  </w:num>
  <w:num w:numId="19" w16cid:durableId="596257886">
    <w:abstractNumId w:val="9"/>
  </w:num>
  <w:num w:numId="20" w16cid:durableId="70197175">
    <w:abstractNumId w:val="38"/>
  </w:num>
  <w:num w:numId="21" w16cid:durableId="244195561">
    <w:abstractNumId w:val="29"/>
  </w:num>
  <w:num w:numId="22" w16cid:durableId="586769536">
    <w:abstractNumId w:val="12"/>
  </w:num>
  <w:num w:numId="23" w16cid:durableId="1515875105">
    <w:abstractNumId w:val="11"/>
  </w:num>
  <w:num w:numId="24" w16cid:durableId="136917524">
    <w:abstractNumId w:val="33"/>
  </w:num>
  <w:num w:numId="25" w16cid:durableId="616182161">
    <w:abstractNumId w:val="20"/>
  </w:num>
  <w:num w:numId="26" w16cid:durableId="1524324690">
    <w:abstractNumId w:val="36"/>
  </w:num>
  <w:num w:numId="27" w16cid:durableId="156388554">
    <w:abstractNumId w:val="40"/>
  </w:num>
  <w:num w:numId="28" w16cid:durableId="529731531">
    <w:abstractNumId w:val="25"/>
  </w:num>
  <w:num w:numId="29" w16cid:durableId="847211260">
    <w:abstractNumId w:val="2"/>
  </w:num>
  <w:num w:numId="30" w16cid:durableId="693266067">
    <w:abstractNumId w:val="28"/>
  </w:num>
  <w:num w:numId="31" w16cid:durableId="452752504">
    <w:abstractNumId w:val="21"/>
  </w:num>
  <w:num w:numId="32" w16cid:durableId="1755122573">
    <w:abstractNumId w:val="30"/>
  </w:num>
  <w:num w:numId="33" w16cid:durableId="1471559863">
    <w:abstractNumId w:val="39"/>
  </w:num>
  <w:num w:numId="34" w16cid:durableId="1895778186">
    <w:abstractNumId w:val="19"/>
  </w:num>
  <w:num w:numId="35" w16cid:durableId="422654298">
    <w:abstractNumId w:val="1"/>
  </w:num>
  <w:num w:numId="36" w16cid:durableId="13435144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38619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044550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9293355">
    <w:abstractNumId w:val="6"/>
  </w:num>
  <w:num w:numId="40" w16cid:durableId="1048459206">
    <w:abstractNumId w:val="23"/>
  </w:num>
  <w:num w:numId="41" w16cid:durableId="684015409">
    <w:abstractNumId w:val="0"/>
  </w:num>
  <w:num w:numId="42" w16cid:durableId="372122255">
    <w:abstractNumId w:val="8"/>
  </w:num>
  <w:num w:numId="43" w16cid:durableId="421142293">
    <w:abstractNumId w:val="18"/>
  </w:num>
  <w:num w:numId="44" w16cid:durableId="111393918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2"/>
  <w:activeWritingStyle w:lang="pt-BR" w:vendorID="64" w:dllVersion="0" w:nlCheck="1" w:checkStyle="0" w:appName="MSWord"/>
  <w:attachedTemplate r:id="rId1"/>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5A"/>
    <w:rsid w:val="00000559"/>
    <w:rsid w:val="0000162E"/>
    <w:rsid w:val="00001A1C"/>
    <w:rsid w:val="00001B2A"/>
    <w:rsid w:val="00001FFD"/>
    <w:rsid w:val="00002027"/>
    <w:rsid w:val="000020FE"/>
    <w:rsid w:val="000031A8"/>
    <w:rsid w:val="00003233"/>
    <w:rsid w:val="00003C5C"/>
    <w:rsid w:val="00003E0D"/>
    <w:rsid w:val="000040D7"/>
    <w:rsid w:val="00004556"/>
    <w:rsid w:val="000051AF"/>
    <w:rsid w:val="00005958"/>
    <w:rsid w:val="000059D3"/>
    <w:rsid w:val="00005B94"/>
    <w:rsid w:val="00005C48"/>
    <w:rsid w:val="0000600A"/>
    <w:rsid w:val="00006081"/>
    <w:rsid w:val="000060D0"/>
    <w:rsid w:val="00006FBE"/>
    <w:rsid w:val="00007011"/>
    <w:rsid w:val="000075EA"/>
    <w:rsid w:val="00007750"/>
    <w:rsid w:val="000077FD"/>
    <w:rsid w:val="00007E37"/>
    <w:rsid w:val="000103A7"/>
    <w:rsid w:val="00010408"/>
    <w:rsid w:val="00010C40"/>
    <w:rsid w:val="000112B4"/>
    <w:rsid w:val="00011DCC"/>
    <w:rsid w:val="00012532"/>
    <w:rsid w:val="00012B9E"/>
    <w:rsid w:val="00012FBA"/>
    <w:rsid w:val="00013C6B"/>
    <w:rsid w:val="00013F1F"/>
    <w:rsid w:val="0001406B"/>
    <w:rsid w:val="000143F8"/>
    <w:rsid w:val="00014624"/>
    <w:rsid w:val="000147ED"/>
    <w:rsid w:val="00015B44"/>
    <w:rsid w:val="00016081"/>
    <w:rsid w:val="000165AC"/>
    <w:rsid w:val="00016651"/>
    <w:rsid w:val="00016881"/>
    <w:rsid w:val="000171A2"/>
    <w:rsid w:val="00017913"/>
    <w:rsid w:val="00017B65"/>
    <w:rsid w:val="00020158"/>
    <w:rsid w:val="000207E0"/>
    <w:rsid w:val="00020F8F"/>
    <w:rsid w:val="00021A95"/>
    <w:rsid w:val="00021C0A"/>
    <w:rsid w:val="0002256F"/>
    <w:rsid w:val="00023DAE"/>
    <w:rsid w:val="00023FA5"/>
    <w:rsid w:val="00024592"/>
    <w:rsid w:val="00024896"/>
    <w:rsid w:val="000258A6"/>
    <w:rsid w:val="00026092"/>
    <w:rsid w:val="000263F0"/>
    <w:rsid w:val="00026407"/>
    <w:rsid w:val="000264F6"/>
    <w:rsid w:val="00026608"/>
    <w:rsid w:val="00026FDA"/>
    <w:rsid w:val="0002738B"/>
    <w:rsid w:val="00027545"/>
    <w:rsid w:val="00027787"/>
    <w:rsid w:val="000278D2"/>
    <w:rsid w:val="000278DF"/>
    <w:rsid w:val="00031136"/>
    <w:rsid w:val="00031384"/>
    <w:rsid w:val="000315E1"/>
    <w:rsid w:val="0003236E"/>
    <w:rsid w:val="00032D18"/>
    <w:rsid w:val="000331FB"/>
    <w:rsid w:val="00033295"/>
    <w:rsid w:val="0003339A"/>
    <w:rsid w:val="00034134"/>
    <w:rsid w:val="000341F2"/>
    <w:rsid w:val="00034651"/>
    <w:rsid w:val="000351F2"/>
    <w:rsid w:val="00035224"/>
    <w:rsid w:val="00036E03"/>
    <w:rsid w:val="00037287"/>
    <w:rsid w:val="000406DB"/>
    <w:rsid w:val="0004094D"/>
    <w:rsid w:val="00041029"/>
    <w:rsid w:val="0004149B"/>
    <w:rsid w:val="00041717"/>
    <w:rsid w:val="00041CA0"/>
    <w:rsid w:val="000427F7"/>
    <w:rsid w:val="00042961"/>
    <w:rsid w:val="00042C25"/>
    <w:rsid w:val="00042D03"/>
    <w:rsid w:val="00043086"/>
    <w:rsid w:val="000430A0"/>
    <w:rsid w:val="0004386D"/>
    <w:rsid w:val="00043A33"/>
    <w:rsid w:val="00043D3B"/>
    <w:rsid w:val="00043D4D"/>
    <w:rsid w:val="00043F5D"/>
    <w:rsid w:val="0004418C"/>
    <w:rsid w:val="00044204"/>
    <w:rsid w:val="000449D4"/>
    <w:rsid w:val="00046717"/>
    <w:rsid w:val="00046A63"/>
    <w:rsid w:val="00046C09"/>
    <w:rsid w:val="0004716A"/>
    <w:rsid w:val="00047385"/>
    <w:rsid w:val="000473E8"/>
    <w:rsid w:val="000504DE"/>
    <w:rsid w:val="00051074"/>
    <w:rsid w:val="00052B79"/>
    <w:rsid w:val="00052EA0"/>
    <w:rsid w:val="00052FE6"/>
    <w:rsid w:val="000536E3"/>
    <w:rsid w:val="00054252"/>
    <w:rsid w:val="0005474D"/>
    <w:rsid w:val="00055CB9"/>
    <w:rsid w:val="00056F66"/>
    <w:rsid w:val="0005702F"/>
    <w:rsid w:val="00057661"/>
    <w:rsid w:val="0005779C"/>
    <w:rsid w:val="00060C3F"/>
    <w:rsid w:val="00061D06"/>
    <w:rsid w:val="000621CB"/>
    <w:rsid w:val="000627C6"/>
    <w:rsid w:val="0006294B"/>
    <w:rsid w:val="00062CDD"/>
    <w:rsid w:val="00063FA5"/>
    <w:rsid w:val="000640AF"/>
    <w:rsid w:val="00064940"/>
    <w:rsid w:val="00064CAE"/>
    <w:rsid w:val="00064DB7"/>
    <w:rsid w:val="00064FA7"/>
    <w:rsid w:val="00065195"/>
    <w:rsid w:val="00065A8B"/>
    <w:rsid w:val="00070795"/>
    <w:rsid w:val="00070AF1"/>
    <w:rsid w:val="0007147D"/>
    <w:rsid w:val="000714DE"/>
    <w:rsid w:val="00071982"/>
    <w:rsid w:val="00071C5C"/>
    <w:rsid w:val="0007254F"/>
    <w:rsid w:val="00072A7E"/>
    <w:rsid w:val="00073C30"/>
    <w:rsid w:val="00074305"/>
    <w:rsid w:val="00074B2A"/>
    <w:rsid w:val="00075870"/>
    <w:rsid w:val="00075B3E"/>
    <w:rsid w:val="00076456"/>
    <w:rsid w:val="00076604"/>
    <w:rsid w:val="00077554"/>
    <w:rsid w:val="0007779B"/>
    <w:rsid w:val="000777E7"/>
    <w:rsid w:val="0007790A"/>
    <w:rsid w:val="0008017B"/>
    <w:rsid w:val="00080287"/>
    <w:rsid w:val="00080ACD"/>
    <w:rsid w:val="000811ED"/>
    <w:rsid w:val="00081284"/>
    <w:rsid w:val="00081D62"/>
    <w:rsid w:val="000820A1"/>
    <w:rsid w:val="000820CE"/>
    <w:rsid w:val="00082B74"/>
    <w:rsid w:val="00083099"/>
    <w:rsid w:val="00083EDC"/>
    <w:rsid w:val="00083EE6"/>
    <w:rsid w:val="000841A2"/>
    <w:rsid w:val="000847C0"/>
    <w:rsid w:val="00084B97"/>
    <w:rsid w:val="00084C21"/>
    <w:rsid w:val="0008510E"/>
    <w:rsid w:val="000856DE"/>
    <w:rsid w:val="00085F17"/>
    <w:rsid w:val="00085FB3"/>
    <w:rsid w:val="0008686B"/>
    <w:rsid w:val="000868FC"/>
    <w:rsid w:val="00086B2A"/>
    <w:rsid w:val="00086ED2"/>
    <w:rsid w:val="000875FD"/>
    <w:rsid w:val="00087A95"/>
    <w:rsid w:val="000903F6"/>
    <w:rsid w:val="00091114"/>
    <w:rsid w:val="000914D6"/>
    <w:rsid w:val="00091569"/>
    <w:rsid w:val="00091897"/>
    <w:rsid w:val="000918E2"/>
    <w:rsid w:val="00092DCA"/>
    <w:rsid w:val="00093C51"/>
    <w:rsid w:val="000942EB"/>
    <w:rsid w:val="00095B70"/>
    <w:rsid w:val="00095C0D"/>
    <w:rsid w:val="0009617E"/>
    <w:rsid w:val="00096489"/>
    <w:rsid w:val="000979CF"/>
    <w:rsid w:val="00097A00"/>
    <w:rsid w:val="000A03C8"/>
    <w:rsid w:val="000A05F2"/>
    <w:rsid w:val="000A06C4"/>
    <w:rsid w:val="000A0861"/>
    <w:rsid w:val="000A0ED1"/>
    <w:rsid w:val="000A12DB"/>
    <w:rsid w:val="000A17C8"/>
    <w:rsid w:val="000A1AEE"/>
    <w:rsid w:val="000A20D7"/>
    <w:rsid w:val="000A2128"/>
    <w:rsid w:val="000A362F"/>
    <w:rsid w:val="000A3B49"/>
    <w:rsid w:val="000A41BA"/>
    <w:rsid w:val="000A446A"/>
    <w:rsid w:val="000A5AAF"/>
    <w:rsid w:val="000A5F97"/>
    <w:rsid w:val="000A648E"/>
    <w:rsid w:val="000A6CC4"/>
    <w:rsid w:val="000A6E35"/>
    <w:rsid w:val="000A6E8B"/>
    <w:rsid w:val="000A73BB"/>
    <w:rsid w:val="000A7EF4"/>
    <w:rsid w:val="000B0A15"/>
    <w:rsid w:val="000B0DF3"/>
    <w:rsid w:val="000B103F"/>
    <w:rsid w:val="000B1437"/>
    <w:rsid w:val="000B1470"/>
    <w:rsid w:val="000B2B86"/>
    <w:rsid w:val="000B3051"/>
    <w:rsid w:val="000B419B"/>
    <w:rsid w:val="000B4716"/>
    <w:rsid w:val="000B56E7"/>
    <w:rsid w:val="000B5781"/>
    <w:rsid w:val="000B5891"/>
    <w:rsid w:val="000C0185"/>
    <w:rsid w:val="000C0444"/>
    <w:rsid w:val="000C0960"/>
    <w:rsid w:val="000C0F81"/>
    <w:rsid w:val="000C128D"/>
    <w:rsid w:val="000C17A3"/>
    <w:rsid w:val="000C1D4B"/>
    <w:rsid w:val="000C31BA"/>
    <w:rsid w:val="000C3260"/>
    <w:rsid w:val="000C3616"/>
    <w:rsid w:val="000C3803"/>
    <w:rsid w:val="000C3B77"/>
    <w:rsid w:val="000C45E8"/>
    <w:rsid w:val="000C4F49"/>
    <w:rsid w:val="000C5861"/>
    <w:rsid w:val="000C5A15"/>
    <w:rsid w:val="000C639D"/>
    <w:rsid w:val="000C6C31"/>
    <w:rsid w:val="000C6DBC"/>
    <w:rsid w:val="000C6F79"/>
    <w:rsid w:val="000C7211"/>
    <w:rsid w:val="000C7476"/>
    <w:rsid w:val="000C7711"/>
    <w:rsid w:val="000C7AA2"/>
    <w:rsid w:val="000D0462"/>
    <w:rsid w:val="000D053D"/>
    <w:rsid w:val="000D0CD9"/>
    <w:rsid w:val="000D0ED2"/>
    <w:rsid w:val="000D1CEB"/>
    <w:rsid w:val="000D215D"/>
    <w:rsid w:val="000D2563"/>
    <w:rsid w:val="000D25BF"/>
    <w:rsid w:val="000D3FDC"/>
    <w:rsid w:val="000D4E38"/>
    <w:rsid w:val="000D50DB"/>
    <w:rsid w:val="000D5ABA"/>
    <w:rsid w:val="000D6288"/>
    <w:rsid w:val="000D65A4"/>
    <w:rsid w:val="000D6CAF"/>
    <w:rsid w:val="000D7541"/>
    <w:rsid w:val="000D75E1"/>
    <w:rsid w:val="000D776B"/>
    <w:rsid w:val="000D7E45"/>
    <w:rsid w:val="000E1E37"/>
    <w:rsid w:val="000E22CF"/>
    <w:rsid w:val="000E27E9"/>
    <w:rsid w:val="000E2977"/>
    <w:rsid w:val="000E2B36"/>
    <w:rsid w:val="000E2F45"/>
    <w:rsid w:val="000E30AC"/>
    <w:rsid w:val="000E39E3"/>
    <w:rsid w:val="000E3B46"/>
    <w:rsid w:val="000E3E11"/>
    <w:rsid w:val="000E44C8"/>
    <w:rsid w:val="000E4596"/>
    <w:rsid w:val="000E5768"/>
    <w:rsid w:val="000E5843"/>
    <w:rsid w:val="000E6139"/>
    <w:rsid w:val="000E6BE1"/>
    <w:rsid w:val="000E7E0B"/>
    <w:rsid w:val="000F078A"/>
    <w:rsid w:val="000F122D"/>
    <w:rsid w:val="000F1450"/>
    <w:rsid w:val="000F14E8"/>
    <w:rsid w:val="000F1BBD"/>
    <w:rsid w:val="000F2632"/>
    <w:rsid w:val="000F2739"/>
    <w:rsid w:val="000F3138"/>
    <w:rsid w:val="000F3D39"/>
    <w:rsid w:val="000F4403"/>
    <w:rsid w:val="000F4C3F"/>
    <w:rsid w:val="000F4E17"/>
    <w:rsid w:val="000F6578"/>
    <w:rsid w:val="000F70CD"/>
    <w:rsid w:val="000F726B"/>
    <w:rsid w:val="000F7636"/>
    <w:rsid w:val="000F79F9"/>
    <w:rsid w:val="000F7A5A"/>
    <w:rsid w:val="000F7ABD"/>
    <w:rsid w:val="000F7E8F"/>
    <w:rsid w:val="000F7FBB"/>
    <w:rsid w:val="001000FB"/>
    <w:rsid w:val="00102109"/>
    <w:rsid w:val="00102605"/>
    <w:rsid w:val="00102686"/>
    <w:rsid w:val="00102745"/>
    <w:rsid w:val="001032E3"/>
    <w:rsid w:val="00103361"/>
    <w:rsid w:val="00103855"/>
    <w:rsid w:val="00103915"/>
    <w:rsid w:val="00103EA0"/>
    <w:rsid w:val="00104F1C"/>
    <w:rsid w:val="001051E5"/>
    <w:rsid w:val="00105A74"/>
    <w:rsid w:val="00105ACB"/>
    <w:rsid w:val="00105AEF"/>
    <w:rsid w:val="00106259"/>
    <w:rsid w:val="001068EB"/>
    <w:rsid w:val="00106FDC"/>
    <w:rsid w:val="001078CE"/>
    <w:rsid w:val="00110CEB"/>
    <w:rsid w:val="00110F61"/>
    <w:rsid w:val="001111BD"/>
    <w:rsid w:val="0011165A"/>
    <w:rsid w:val="00111B2B"/>
    <w:rsid w:val="00111ED9"/>
    <w:rsid w:val="0011220A"/>
    <w:rsid w:val="00112609"/>
    <w:rsid w:val="00112774"/>
    <w:rsid w:val="00112B2E"/>
    <w:rsid w:val="00113003"/>
    <w:rsid w:val="00113062"/>
    <w:rsid w:val="00113705"/>
    <w:rsid w:val="00113975"/>
    <w:rsid w:val="00113CFC"/>
    <w:rsid w:val="00113FEA"/>
    <w:rsid w:val="00114324"/>
    <w:rsid w:val="00114A22"/>
    <w:rsid w:val="00114E9D"/>
    <w:rsid w:val="0011507B"/>
    <w:rsid w:val="001155F3"/>
    <w:rsid w:val="00115D13"/>
    <w:rsid w:val="0011609F"/>
    <w:rsid w:val="00116328"/>
    <w:rsid w:val="00116739"/>
    <w:rsid w:val="001169FD"/>
    <w:rsid w:val="001174C9"/>
    <w:rsid w:val="00117C82"/>
    <w:rsid w:val="00117E69"/>
    <w:rsid w:val="00121103"/>
    <w:rsid w:val="0012156A"/>
    <w:rsid w:val="00121BAB"/>
    <w:rsid w:val="00121E3C"/>
    <w:rsid w:val="0012232E"/>
    <w:rsid w:val="00122B23"/>
    <w:rsid w:val="00122B7E"/>
    <w:rsid w:val="00123D64"/>
    <w:rsid w:val="00123E30"/>
    <w:rsid w:val="00123FB5"/>
    <w:rsid w:val="0012400F"/>
    <w:rsid w:val="001246C9"/>
    <w:rsid w:val="001249DC"/>
    <w:rsid w:val="0012505A"/>
    <w:rsid w:val="0012572D"/>
    <w:rsid w:val="00125BED"/>
    <w:rsid w:val="00125C59"/>
    <w:rsid w:val="00125D4F"/>
    <w:rsid w:val="00126F9A"/>
    <w:rsid w:val="00126F9B"/>
    <w:rsid w:val="00127004"/>
    <w:rsid w:val="0012785C"/>
    <w:rsid w:val="00127AF2"/>
    <w:rsid w:val="00127EDC"/>
    <w:rsid w:val="00127F6D"/>
    <w:rsid w:val="00130355"/>
    <w:rsid w:val="00131A8C"/>
    <w:rsid w:val="00131AFC"/>
    <w:rsid w:val="00131B5A"/>
    <w:rsid w:val="00132C30"/>
    <w:rsid w:val="00132EFD"/>
    <w:rsid w:val="00133AED"/>
    <w:rsid w:val="001341DD"/>
    <w:rsid w:val="00134FF9"/>
    <w:rsid w:val="001352AA"/>
    <w:rsid w:val="00135451"/>
    <w:rsid w:val="00135E88"/>
    <w:rsid w:val="0013695C"/>
    <w:rsid w:val="00136BF7"/>
    <w:rsid w:val="001378B9"/>
    <w:rsid w:val="00137FD1"/>
    <w:rsid w:val="00137FFA"/>
    <w:rsid w:val="00140109"/>
    <w:rsid w:val="0014029B"/>
    <w:rsid w:val="00140A4F"/>
    <w:rsid w:val="001413AB"/>
    <w:rsid w:val="00141A3E"/>
    <w:rsid w:val="00141DBC"/>
    <w:rsid w:val="001425E4"/>
    <w:rsid w:val="001432AF"/>
    <w:rsid w:val="00144335"/>
    <w:rsid w:val="0014502F"/>
    <w:rsid w:val="00145282"/>
    <w:rsid w:val="001453B0"/>
    <w:rsid w:val="001454D9"/>
    <w:rsid w:val="00145D8E"/>
    <w:rsid w:val="00146083"/>
    <w:rsid w:val="001462F7"/>
    <w:rsid w:val="001466F0"/>
    <w:rsid w:val="00147798"/>
    <w:rsid w:val="00150005"/>
    <w:rsid w:val="00150F55"/>
    <w:rsid w:val="00151B99"/>
    <w:rsid w:val="001521B2"/>
    <w:rsid w:val="00152288"/>
    <w:rsid w:val="00152EDD"/>
    <w:rsid w:val="00153491"/>
    <w:rsid w:val="0015361C"/>
    <w:rsid w:val="0015372F"/>
    <w:rsid w:val="00153A18"/>
    <w:rsid w:val="00153BFB"/>
    <w:rsid w:val="0015407E"/>
    <w:rsid w:val="0015448E"/>
    <w:rsid w:val="00154A6F"/>
    <w:rsid w:val="0015591B"/>
    <w:rsid w:val="00155D08"/>
    <w:rsid w:val="00156BE5"/>
    <w:rsid w:val="00157232"/>
    <w:rsid w:val="00160401"/>
    <w:rsid w:val="00160D4E"/>
    <w:rsid w:val="00161E62"/>
    <w:rsid w:val="00161F1C"/>
    <w:rsid w:val="0016200B"/>
    <w:rsid w:val="00163CD0"/>
    <w:rsid w:val="00163D7A"/>
    <w:rsid w:val="00164281"/>
    <w:rsid w:val="00164AF1"/>
    <w:rsid w:val="001654DF"/>
    <w:rsid w:val="00165ED5"/>
    <w:rsid w:val="001668A7"/>
    <w:rsid w:val="00167503"/>
    <w:rsid w:val="001676A9"/>
    <w:rsid w:val="00167A15"/>
    <w:rsid w:val="00167A50"/>
    <w:rsid w:val="00167D12"/>
    <w:rsid w:val="00167DF5"/>
    <w:rsid w:val="00170001"/>
    <w:rsid w:val="001703BE"/>
    <w:rsid w:val="0017043A"/>
    <w:rsid w:val="0017145A"/>
    <w:rsid w:val="00172198"/>
    <w:rsid w:val="001723DA"/>
    <w:rsid w:val="00172612"/>
    <w:rsid w:val="00172817"/>
    <w:rsid w:val="001734E3"/>
    <w:rsid w:val="0017350E"/>
    <w:rsid w:val="0017391B"/>
    <w:rsid w:val="001742BF"/>
    <w:rsid w:val="001749DF"/>
    <w:rsid w:val="00175E49"/>
    <w:rsid w:val="00176470"/>
    <w:rsid w:val="0017659F"/>
    <w:rsid w:val="00177076"/>
    <w:rsid w:val="00177F56"/>
    <w:rsid w:val="001805C1"/>
    <w:rsid w:val="00180A2E"/>
    <w:rsid w:val="001813AF"/>
    <w:rsid w:val="001829CD"/>
    <w:rsid w:val="00182F01"/>
    <w:rsid w:val="00182FBD"/>
    <w:rsid w:val="0018499F"/>
    <w:rsid w:val="00184F27"/>
    <w:rsid w:val="0018519B"/>
    <w:rsid w:val="00185AFE"/>
    <w:rsid w:val="00185E78"/>
    <w:rsid w:val="00187177"/>
    <w:rsid w:val="00187443"/>
    <w:rsid w:val="00187A32"/>
    <w:rsid w:val="00187ABD"/>
    <w:rsid w:val="00187AC0"/>
    <w:rsid w:val="001904E3"/>
    <w:rsid w:val="0019087A"/>
    <w:rsid w:val="00191395"/>
    <w:rsid w:val="00191C5A"/>
    <w:rsid w:val="00191CEB"/>
    <w:rsid w:val="00191E63"/>
    <w:rsid w:val="00192D68"/>
    <w:rsid w:val="0019388B"/>
    <w:rsid w:val="00193B52"/>
    <w:rsid w:val="00193B9A"/>
    <w:rsid w:val="0019401F"/>
    <w:rsid w:val="001946AE"/>
    <w:rsid w:val="001946D5"/>
    <w:rsid w:val="00194E8C"/>
    <w:rsid w:val="001962EC"/>
    <w:rsid w:val="001963DD"/>
    <w:rsid w:val="001965DB"/>
    <w:rsid w:val="00196DC9"/>
    <w:rsid w:val="001A0236"/>
    <w:rsid w:val="001A08E1"/>
    <w:rsid w:val="001A0AF8"/>
    <w:rsid w:val="001A16A5"/>
    <w:rsid w:val="001A18D5"/>
    <w:rsid w:val="001A1D4A"/>
    <w:rsid w:val="001A2426"/>
    <w:rsid w:val="001A26F1"/>
    <w:rsid w:val="001A2B96"/>
    <w:rsid w:val="001A2D40"/>
    <w:rsid w:val="001A3011"/>
    <w:rsid w:val="001A325B"/>
    <w:rsid w:val="001A3B6C"/>
    <w:rsid w:val="001A4825"/>
    <w:rsid w:val="001A4A08"/>
    <w:rsid w:val="001A4DAF"/>
    <w:rsid w:val="001A54FD"/>
    <w:rsid w:val="001A59FB"/>
    <w:rsid w:val="001A66DF"/>
    <w:rsid w:val="001A67D0"/>
    <w:rsid w:val="001A6BF1"/>
    <w:rsid w:val="001A6C2B"/>
    <w:rsid w:val="001A6E4A"/>
    <w:rsid w:val="001A7591"/>
    <w:rsid w:val="001A75B1"/>
    <w:rsid w:val="001A7ADF"/>
    <w:rsid w:val="001B0366"/>
    <w:rsid w:val="001B0444"/>
    <w:rsid w:val="001B096B"/>
    <w:rsid w:val="001B0F9F"/>
    <w:rsid w:val="001B123C"/>
    <w:rsid w:val="001B1A0D"/>
    <w:rsid w:val="001B1BF1"/>
    <w:rsid w:val="001B2456"/>
    <w:rsid w:val="001B2D90"/>
    <w:rsid w:val="001B449C"/>
    <w:rsid w:val="001B4AA2"/>
    <w:rsid w:val="001B4ADE"/>
    <w:rsid w:val="001B5C86"/>
    <w:rsid w:val="001B5EF8"/>
    <w:rsid w:val="001B622B"/>
    <w:rsid w:val="001B6973"/>
    <w:rsid w:val="001C07C6"/>
    <w:rsid w:val="001C08B2"/>
    <w:rsid w:val="001C19CD"/>
    <w:rsid w:val="001C22D5"/>
    <w:rsid w:val="001C2515"/>
    <w:rsid w:val="001C2550"/>
    <w:rsid w:val="001C26FB"/>
    <w:rsid w:val="001C33C1"/>
    <w:rsid w:val="001C3E30"/>
    <w:rsid w:val="001C3E5C"/>
    <w:rsid w:val="001C5072"/>
    <w:rsid w:val="001C5B2A"/>
    <w:rsid w:val="001C600B"/>
    <w:rsid w:val="001C6407"/>
    <w:rsid w:val="001C6898"/>
    <w:rsid w:val="001C6DD8"/>
    <w:rsid w:val="001C7C7B"/>
    <w:rsid w:val="001D068D"/>
    <w:rsid w:val="001D0A71"/>
    <w:rsid w:val="001D12D1"/>
    <w:rsid w:val="001D15DF"/>
    <w:rsid w:val="001D2970"/>
    <w:rsid w:val="001D30F3"/>
    <w:rsid w:val="001D31A0"/>
    <w:rsid w:val="001D338E"/>
    <w:rsid w:val="001D3D3F"/>
    <w:rsid w:val="001D4141"/>
    <w:rsid w:val="001D4E70"/>
    <w:rsid w:val="001D56E9"/>
    <w:rsid w:val="001D57F0"/>
    <w:rsid w:val="001D7923"/>
    <w:rsid w:val="001D796A"/>
    <w:rsid w:val="001D7A84"/>
    <w:rsid w:val="001D7C79"/>
    <w:rsid w:val="001E0E15"/>
    <w:rsid w:val="001E0EFD"/>
    <w:rsid w:val="001E15F0"/>
    <w:rsid w:val="001E16E6"/>
    <w:rsid w:val="001E1CC4"/>
    <w:rsid w:val="001E1D38"/>
    <w:rsid w:val="001E1DEE"/>
    <w:rsid w:val="001E250D"/>
    <w:rsid w:val="001E343C"/>
    <w:rsid w:val="001E4258"/>
    <w:rsid w:val="001E44F0"/>
    <w:rsid w:val="001E4587"/>
    <w:rsid w:val="001E56FF"/>
    <w:rsid w:val="001E5A69"/>
    <w:rsid w:val="001E5B84"/>
    <w:rsid w:val="001E5D6A"/>
    <w:rsid w:val="001E70FB"/>
    <w:rsid w:val="001E780A"/>
    <w:rsid w:val="001F07D6"/>
    <w:rsid w:val="001F0FA0"/>
    <w:rsid w:val="001F1349"/>
    <w:rsid w:val="001F1863"/>
    <w:rsid w:val="001F232D"/>
    <w:rsid w:val="001F2356"/>
    <w:rsid w:val="001F2A68"/>
    <w:rsid w:val="001F2CC8"/>
    <w:rsid w:val="001F39EA"/>
    <w:rsid w:val="001F4773"/>
    <w:rsid w:val="001F5008"/>
    <w:rsid w:val="001F512D"/>
    <w:rsid w:val="001F51C3"/>
    <w:rsid w:val="001F56AA"/>
    <w:rsid w:val="001F58AA"/>
    <w:rsid w:val="001F5EF6"/>
    <w:rsid w:val="001F6256"/>
    <w:rsid w:val="001F657F"/>
    <w:rsid w:val="001F6FB6"/>
    <w:rsid w:val="001F7978"/>
    <w:rsid w:val="001F7A0E"/>
    <w:rsid w:val="0020022E"/>
    <w:rsid w:val="0020054E"/>
    <w:rsid w:val="00200B51"/>
    <w:rsid w:val="00201F1E"/>
    <w:rsid w:val="0020299B"/>
    <w:rsid w:val="00202E44"/>
    <w:rsid w:val="002037AA"/>
    <w:rsid w:val="00203FE3"/>
    <w:rsid w:val="002042D8"/>
    <w:rsid w:val="00204515"/>
    <w:rsid w:val="00204BF5"/>
    <w:rsid w:val="00204D82"/>
    <w:rsid w:val="00204D91"/>
    <w:rsid w:val="00204E6B"/>
    <w:rsid w:val="002058D4"/>
    <w:rsid w:val="002058DC"/>
    <w:rsid w:val="00205BAA"/>
    <w:rsid w:val="0020632A"/>
    <w:rsid w:val="0020697F"/>
    <w:rsid w:val="00207C1E"/>
    <w:rsid w:val="002110EB"/>
    <w:rsid w:val="00211338"/>
    <w:rsid w:val="00211388"/>
    <w:rsid w:val="0021148C"/>
    <w:rsid w:val="00211694"/>
    <w:rsid w:val="0021201A"/>
    <w:rsid w:val="00212A83"/>
    <w:rsid w:val="00213A1F"/>
    <w:rsid w:val="00213C63"/>
    <w:rsid w:val="00214502"/>
    <w:rsid w:val="00214741"/>
    <w:rsid w:val="0021539A"/>
    <w:rsid w:val="00215793"/>
    <w:rsid w:val="00215852"/>
    <w:rsid w:val="00215B8E"/>
    <w:rsid w:val="00216264"/>
    <w:rsid w:val="002168B8"/>
    <w:rsid w:val="002171C3"/>
    <w:rsid w:val="002176B6"/>
    <w:rsid w:val="0021792D"/>
    <w:rsid w:val="00217DB8"/>
    <w:rsid w:val="0022032A"/>
    <w:rsid w:val="002221CE"/>
    <w:rsid w:val="00222BE8"/>
    <w:rsid w:val="00222EC4"/>
    <w:rsid w:val="00223102"/>
    <w:rsid w:val="002232CB"/>
    <w:rsid w:val="002233EA"/>
    <w:rsid w:val="00224022"/>
    <w:rsid w:val="00224498"/>
    <w:rsid w:val="00224D93"/>
    <w:rsid w:val="002259F8"/>
    <w:rsid w:val="00226055"/>
    <w:rsid w:val="0022613F"/>
    <w:rsid w:val="00226236"/>
    <w:rsid w:val="00226DF9"/>
    <w:rsid w:val="002270C9"/>
    <w:rsid w:val="00227A8B"/>
    <w:rsid w:val="002302B5"/>
    <w:rsid w:val="002308BA"/>
    <w:rsid w:val="0023146B"/>
    <w:rsid w:val="00231540"/>
    <w:rsid w:val="002315A0"/>
    <w:rsid w:val="00231CE0"/>
    <w:rsid w:val="00231EC7"/>
    <w:rsid w:val="00232A6C"/>
    <w:rsid w:val="00232E15"/>
    <w:rsid w:val="00233079"/>
    <w:rsid w:val="0023382C"/>
    <w:rsid w:val="00233977"/>
    <w:rsid w:val="00233C58"/>
    <w:rsid w:val="00233C71"/>
    <w:rsid w:val="00233D5C"/>
    <w:rsid w:val="00233D9C"/>
    <w:rsid w:val="002345B6"/>
    <w:rsid w:val="00234B84"/>
    <w:rsid w:val="00236016"/>
    <w:rsid w:val="00236E24"/>
    <w:rsid w:val="00237065"/>
    <w:rsid w:val="00237589"/>
    <w:rsid w:val="0023758D"/>
    <w:rsid w:val="002375A7"/>
    <w:rsid w:val="0024019A"/>
    <w:rsid w:val="002402D7"/>
    <w:rsid w:val="002411DE"/>
    <w:rsid w:val="0024131D"/>
    <w:rsid w:val="002413B5"/>
    <w:rsid w:val="002415B8"/>
    <w:rsid w:val="00241618"/>
    <w:rsid w:val="00241ACD"/>
    <w:rsid w:val="00242D62"/>
    <w:rsid w:val="00242FFD"/>
    <w:rsid w:val="002431D7"/>
    <w:rsid w:val="00243257"/>
    <w:rsid w:val="00243434"/>
    <w:rsid w:val="00244058"/>
    <w:rsid w:val="00244E90"/>
    <w:rsid w:val="00244F9A"/>
    <w:rsid w:val="00245718"/>
    <w:rsid w:val="00245E07"/>
    <w:rsid w:val="00246CD4"/>
    <w:rsid w:val="0024729C"/>
    <w:rsid w:val="00247712"/>
    <w:rsid w:val="00247780"/>
    <w:rsid w:val="00250D54"/>
    <w:rsid w:val="00250EC6"/>
    <w:rsid w:val="00250F11"/>
    <w:rsid w:val="00251866"/>
    <w:rsid w:val="00251A9F"/>
    <w:rsid w:val="00252492"/>
    <w:rsid w:val="00252B35"/>
    <w:rsid w:val="0025316D"/>
    <w:rsid w:val="002532F4"/>
    <w:rsid w:val="00253A02"/>
    <w:rsid w:val="00253B81"/>
    <w:rsid w:val="0025431A"/>
    <w:rsid w:val="002554DE"/>
    <w:rsid w:val="00255E11"/>
    <w:rsid w:val="00256835"/>
    <w:rsid w:val="002569F0"/>
    <w:rsid w:val="00256A62"/>
    <w:rsid w:val="00256ECF"/>
    <w:rsid w:val="00257730"/>
    <w:rsid w:val="00257999"/>
    <w:rsid w:val="002604AA"/>
    <w:rsid w:val="00260D6A"/>
    <w:rsid w:val="0026129B"/>
    <w:rsid w:val="00261560"/>
    <w:rsid w:val="00261715"/>
    <w:rsid w:val="00261CF9"/>
    <w:rsid w:val="00261EC0"/>
    <w:rsid w:val="0026231B"/>
    <w:rsid w:val="00262422"/>
    <w:rsid w:val="00263101"/>
    <w:rsid w:val="00263201"/>
    <w:rsid w:val="00263A37"/>
    <w:rsid w:val="002653A6"/>
    <w:rsid w:val="0026608D"/>
    <w:rsid w:val="002661F1"/>
    <w:rsid w:val="002663BA"/>
    <w:rsid w:val="002664B7"/>
    <w:rsid w:val="00266CB5"/>
    <w:rsid w:val="00267E80"/>
    <w:rsid w:val="002711A4"/>
    <w:rsid w:val="00271201"/>
    <w:rsid w:val="00271F13"/>
    <w:rsid w:val="002721E2"/>
    <w:rsid w:val="00274787"/>
    <w:rsid w:val="00274DB5"/>
    <w:rsid w:val="00275208"/>
    <w:rsid w:val="002753FD"/>
    <w:rsid w:val="00275BB1"/>
    <w:rsid w:val="00275FBF"/>
    <w:rsid w:val="00276373"/>
    <w:rsid w:val="00277312"/>
    <w:rsid w:val="00277933"/>
    <w:rsid w:val="00277EC3"/>
    <w:rsid w:val="00277F13"/>
    <w:rsid w:val="00277F8D"/>
    <w:rsid w:val="00277FA7"/>
    <w:rsid w:val="00280205"/>
    <w:rsid w:val="00280F3D"/>
    <w:rsid w:val="0028106A"/>
    <w:rsid w:val="00281662"/>
    <w:rsid w:val="00281EB4"/>
    <w:rsid w:val="0028308E"/>
    <w:rsid w:val="002834E9"/>
    <w:rsid w:val="0028396F"/>
    <w:rsid w:val="00283A52"/>
    <w:rsid w:val="00283C5E"/>
    <w:rsid w:val="00283E26"/>
    <w:rsid w:val="0028428F"/>
    <w:rsid w:val="00284CFC"/>
    <w:rsid w:val="00285832"/>
    <w:rsid w:val="00285969"/>
    <w:rsid w:val="0028663B"/>
    <w:rsid w:val="00286CEC"/>
    <w:rsid w:val="002871A9"/>
    <w:rsid w:val="002873A0"/>
    <w:rsid w:val="00287B7E"/>
    <w:rsid w:val="00290781"/>
    <w:rsid w:val="00291784"/>
    <w:rsid w:val="002929BB"/>
    <w:rsid w:val="00292E53"/>
    <w:rsid w:val="00292E64"/>
    <w:rsid w:val="002932BA"/>
    <w:rsid w:val="00293669"/>
    <w:rsid w:val="00294368"/>
    <w:rsid w:val="00294B78"/>
    <w:rsid w:val="00294F87"/>
    <w:rsid w:val="0029580A"/>
    <w:rsid w:val="00295949"/>
    <w:rsid w:val="00296150"/>
    <w:rsid w:val="0029624A"/>
    <w:rsid w:val="00296922"/>
    <w:rsid w:val="00297098"/>
    <w:rsid w:val="002A05D4"/>
    <w:rsid w:val="002A09FF"/>
    <w:rsid w:val="002A0E60"/>
    <w:rsid w:val="002A1989"/>
    <w:rsid w:val="002A1A58"/>
    <w:rsid w:val="002A1B02"/>
    <w:rsid w:val="002A1C53"/>
    <w:rsid w:val="002A28FC"/>
    <w:rsid w:val="002A2B44"/>
    <w:rsid w:val="002A2EA5"/>
    <w:rsid w:val="002A39C3"/>
    <w:rsid w:val="002A3D94"/>
    <w:rsid w:val="002A4736"/>
    <w:rsid w:val="002A4B1C"/>
    <w:rsid w:val="002A4BDD"/>
    <w:rsid w:val="002A4CC8"/>
    <w:rsid w:val="002A6AFB"/>
    <w:rsid w:val="002A733D"/>
    <w:rsid w:val="002A774A"/>
    <w:rsid w:val="002A7E5C"/>
    <w:rsid w:val="002A7F6D"/>
    <w:rsid w:val="002A7FC5"/>
    <w:rsid w:val="002B020D"/>
    <w:rsid w:val="002B1342"/>
    <w:rsid w:val="002B27C8"/>
    <w:rsid w:val="002B2A7F"/>
    <w:rsid w:val="002B330B"/>
    <w:rsid w:val="002B39BE"/>
    <w:rsid w:val="002B3E13"/>
    <w:rsid w:val="002B438C"/>
    <w:rsid w:val="002B48DB"/>
    <w:rsid w:val="002B4B34"/>
    <w:rsid w:val="002B508E"/>
    <w:rsid w:val="002B541A"/>
    <w:rsid w:val="002B5A21"/>
    <w:rsid w:val="002B6407"/>
    <w:rsid w:val="002B6416"/>
    <w:rsid w:val="002B6459"/>
    <w:rsid w:val="002B64D2"/>
    <w:rsid w:val="002B73B0"/>
    <w:rsid w:val="002C1143"/>
    <w:rsid w:val="002C118E"/>
    <w:rsid w:val="002C24B4"/>
    <w:rsid w:val="002C2B3A"/>
    <w:rsid w:val="002C2B87"/>
    <w:rsid w:val="002C3CF4"/>
    <w:rsid w:val="002C40BA"/>
    <w:rsid w:val="002C441A"/>
    <w:rsid w:val="002C4A73"/>
    <w:rsid w:val="002C4B84"/>
    <w:rsid w:val="002C4C0C"/>
    <w:rsid w:val="002C5016"/>
    <w:rsid w:val="002C5186"/>
    <w:rsid w:val="002C5C2F"/>
    <w:rsid w:val="002C5D0F"/>
    <w:rsid w:val="002C5E87"/>
    <w:rsid w:val="002C60B9"/>
    <w:rsid w:val="002C6EAC"/>
    <w:rsid w:val="002C6F77"/>
    <w:rsid w:val="002C704D"/>
    <w:rsid w:val="002C711C"/>
    <w:rsid w:val="002D0845"/>
    <w:rsid w:val="002D0933"/>
    <w:rsid w:val="002D19BB"/>
    <w:rsid w:val="002D1A9B"/>
    <w:rsid w:val="002D22C5"/>
    <w:rsid w:val="002D301F"/>
    <w:rsid w:val="002D302A"/>
    <w:rsid w:val="002D36C6"/>
    <w:rsid w:val="002D37C1"/>
    <w:rsid w:val="002D4292"/>
    <w:rsid w:val="002D444B"/>
    <w:rsid w:val="002D4A45"/>
    <w:rsid w:val="002D4A73"/>
    <w:rsid w:val="002D4AB1"/>
    <w:rsid w:val="002D4B42"/>
    <w:rsid w:val="002D4DBA"/>
    <w:rsid w:val="002D4F5F"/>
    <w:rsid w:val="002D5A1B"/>
    <w:rsid w:val="002D6438"/>
    <w:rsid w:val="002D65BC"/>
    <w:rsid w:val="002D6D7E"/>
    <w:rsid w:val="002D7EDD"/>
    <w:rsid w:val="002E055C"/>
    <w:rsid w:val="002E1050"/>
    <w:rsid w:val="002E18E5"/>
    <w:rsid w:val="002E1953"/>
    <w:rsid w:val="002E29A0"/>
    <w:rsid w:val="002E2D7D"/>
    <w:rsid w:val="002E3AB5"/>
    <w:rsid w:val="002E3D76"/>
    <w:rsid w:val="002E3F87"/>
    <w:rsid w:val="002E40A1"/>
    <w:rsid w:val="002E48EC"/>
    <w:rsid w:val="002E4B44"/>
    <w:rsid w:val="002E4ECB"/>
    <w:rsid w:val="002E4F23"/>
    <w:rsid w:val="002E571B"/>
    <w:rsid w:val="002E5B53"/>
    <w:rsid w:val="002E5BAE"/>
    <w:rsid w:val="002E7847"/>
    <w:rsid w:val="002E7F12"/>
    <w:rsid w:val="002E7FCF"/>
    <w:rsid w:val="002F0073"/>
    <w:rsid w:val="002F0544"/>
    <w:rsid w:val="002F0618"/>
    <w:rsid w:val="002F0643"/>
    <w:rsid w:val="002F170E"/>
    <w:rsid w:val="002F1D41"/>
    <w:rsid w:val="002F240B"/>
    <w:rsid w:val="002F2F50"/>
    <w:rsid w:val="002F3601"/>
    <w:rsid w:val="002F3C13"/>
    <w:rsid w:val="002F42B9"/>
    <w:rsid w:val="002F45F6"/>
    <w:rsid w:val="002F692F"/>
    <w:rsid w:val="002F6986"/>
    <w:rsid w:val="002F69BE"/>
    <w:rsid w:val="002F7B66"/>
    <w:rsid w:val="00300CB4"/>
    <w:rsid w:val="00300E24"/>
    <w:rsid w:val="0030101C"/>
    <w:rsid w:val="003026FC"/>
    <w:rsid w:val="003033BA"/>
    <w:rsid w:val="003043A3"/>
    <w:rsid w:val="00304BD4"/>
    <w:rsid w:val="0030500A"/>
    <w:rsid w:val="0030517B"/>
    <w:rsid w:val="003052EB"/>
    <w:rsid w:val="00305FCB"/>
    <w:rsid w:val="0030600C"/>
    <w:rsid w:val="003063C3"/>
    <w:rsid w:val="003068A3"/>
    <w:rsid w:val="00306B44"/>
    <w:rsid w:val="00306E41"/>
    <w:rsid w:val="00307C44"/>
    <w:rsid w:val="0031088E"/>
    <w:rsid w:val="00310A35"/>
    <w:rsid w:val="00310CAF"/>
    <w:rsid w:val="00310D01"/>
    <w:rsid w:val="00311376"/>
    <w:rsid w:val="00311551"/>
    <w:rsid w:val="00311A1F"/>
    <w:rsid w:val="00311B47"/>
    <w:rsid w:val="00311CF2"/>
    <w:rsid w:val="00311D52"/>
    <w:rsid w:val="00312190"/>
    <w:rsid w:val="00312343"/>
    <w:rsid w:val="003125E0"/>
    <w:rsid w:val="00312606"/>
    <w:rsid w:val="0031271D"/>
    <w:rsid w:val="00313447"/>
    <w:rsid w:val="00313748"/>
    <w:rsid w:val="00313EA3"/>
    <w:rsid w:val="00315457"/>
    <w:rsid w:val="003161A4"/>
    <w:rsid w:val="00316955"/>
    <w:rsid w:val="00316E52"/>
    <w:rsid w:val="0031720A"/>
    <w:rsid w:val="003173CF"/>
    <w:rsid w:val="0031749B"/>
    <w:rsid w:val="003174E5"/>
    <w:rsid w:val="00317C9D"/>
    <w:rsid w:val="00317CD2"/>
    <w:rsid w:val="00317D99"/>
    <w:rsid w:val="0032078D"/>
    <w:rsid w:val="00320A6E"/>
    <w:rsid w:val="00320F34"/>
    <w:rsid w:val="0032137B"/>
    <w:rsid w:val="003214F7"/>
    <w:rsid w:val="00321BD6"/>
    <w:rsid w:val="00321F66"/>
    <w:rsid w:val="00321FA3"/>
    <w:rsid w:val="003227D3"/>
    <w:rsid w:val="00322937"/>
    <w:rsid w:val="00322A46"/>
    <w:rsid w:val="00322A84"/>
    <w:rsid w:val="003231D0"/>
    <w:rsid w:val="00323881"/>
    <w:rsid w:val="00323B73"/>
    <w:rsid w:val="00324006"/>
    <w:rsid w:val="00325D98"/>
    <w:rsid w:val="0032664F"/>
    <w:rsid w:val="0032682A"/>
    <w:rsid w:val="00327A5C"/>
    <w:rsid w:val="0033092C"/>
    <w:rsid w:val="0033122A"/>
    <w:rsid w:val="003315AC"/>
    <w:rsid w:val="00331932"/>
    <w:rsid w:val="003337B5"/>
    <w:rsid w:val="00333A88"/>
    <w:rsid w:val="00333DAF"/>
    <w:rsid w:val="00333FFB"/>
    <w:rsid w:val="00334104"/>
    <w:rsid w:val="00335B15"/>
    <w:rsid w:val="00335B21"/>
    <w:rsid w:val="00335D3F"/>
    <w:rsid w:val="00336104"/>
    <w:rsid w:val="00336729"/>
    <w:rsid w:val="00336AB1"/>
    <w:rsid w:val="00336DBD"/>
    <w:rsid w:val="0033726D"/>
    <w:rsid w:val="00337362"/>
    <w:rsid w:val="00337CA8"/>
    <w:rsid w:val="0034125B"/>
    <w:rsid w:val="0034177C"/>
    <w:rsid w:val="00342345"/>
    <w:rsid w:val="00342C27"/>
    <w:rsid w:val="003430C8"/>
    <w:rsid w:val="003432C8"/>
    <w:rsid w:val="003434B3"/>
    <w:rsid w:val="00343536"/>
    <w:rsid w:val="00343EFB"/>
    <w:rsid w:val="003443DF"/>
    <w:rsid w:val="00344760"/>
    <w:rsid w:val="00344A64"/>
    <w:rsid w:val="0034541A"/>
    <w:rsid w:val="0034680A"/>
    <w:rsid w:val="00346C62"/>
    <w:rsid w:val="0034778E"/>
    <w:rsid w:val="003501E2"/>
    <w:rsid w:val="00350A59"/>
    <w:rsid w:val="00350BDD"/>
    <w:rsid w:val="00351E10"/>
    <w:rsid w:val="0035273A"/>
    <w:rsid w:val="0035287A"/>
    <w:rsid w:val="00352D59"/>
    <w:rsid w:val="003533F4"/>
    <w:rsid w:val="003536F6"/>
    <w:rsid w:val="00353DD5"/>
    <w:rsid w:val="0035496B"/>
    <w:rsid w:val="00355131"/>
    <w:rsid w:val="00356438"/>
    <w:rsid w:val="00361A59"/>
    <w:rsid w:val="003631CC"/>
    <w:rsid w:val="00363348"/>
    <w:rsid w:val="00363857"/>
    <w:rsid w:val="00363D59"/>
    <w:rsid w:val="003640F7"/>
    <w:rsid w:val="00364300"/>
    <w:rsid w:val="00365D3A"/>
    <w:rsid w:val="00365ED1"/>
    <w:rsid w:val="003661DD"/>
    <w:rsid w:val="003664FF"/>
    <w:rsid w:val="00366B70"/>
    <w:rsid w:val="00366BD2"/>
    <w:rsid w:val="003670B8"/>
    <w:rsid w:val="0036776E"/>
    <w:rsid w:val="003704A3"/>
    <w:rsid w:val="003706F2"/>
    <w:rsid w:val="0037101A"/>
    <w:rsid w:val="0037124F"/>
    <w:rsid w:val="00372C0A"/>
    <w:rsid w:val="00373827"/>
    <w:rsid w:val="00373F04"/>
    <w:rsid w:val="0037401C"/>
    <w:rsid w:val="00374A1E"/>
    <w:rsid w:val="0037507B"/>
    <w:rsid w:val="00375C7C"/>
    <w:rsid w:val="003762F6"/>
    <w:rsid w:val="00377027"/>
    <w:rsid w:val="00377135"/>
    <w:rsid w:val="00380272"/>
    <w:rsid w:val="00380576"/>
    <w:rsid w:val="003805DB"/>
    <w:rsid w:val="003813F4"/>
    <w:rsid w:val="0038152A"/>
    <w:rsid w:val="00382AEF"/>
    <w:rsid w:val="00382BAD"/>
    <w:rsid w:val="003830E3"/>
    <w:rsid w:val="00383A8D"/>
    <w:rsid w:val="00384DF1"/>
    <w:rsid w:val="00384FF3"/>
    <w:rsid w:val="00386456"/>
    <w:rsid w:val="003865A9"/>
    <w:rsid w:val="00387642"/>
    <w:rsid w:val="00390BD6"/>
    <w:rsid w:val="00390F32"/>
    <w:rsid w:val="0039135E"/>
    <w:rsid w:val="0039200F"/>
    <w:rsid w:val="003926C1"/>
    <w:rsid w:val="003928D5"/>
    <w:rsid w:val="00392A0D"/>
    <w:rsid w:val="0039319C"/>
    <w:rsid w:val="003939F6"/>
    <w:rsid w:val="00393CAE"/>
    <w:rsid w:val="003945DC"/>
    <w:rsid w:val="003945F4"/>
    <w:rsid w:val="00394EB5"/>
    <w:rsid w:val="003952C5"/>
    <w:rsid w:val="003953B4"/>
    <w:rsid w:val="0039615F"/>
    <w:rsid w:val="00396A29"/>
    <w:rsid w:val="00397E1D"/>
    <w:rsid w:val="00397FF0"/>
    <w:rsid w:val="003A0878"/>
    <w:rsid w:val="003A0E67"/>
    <w:rsid w:val="003A1561"/>
    <w:rsid w:val="003A1D25"/>
    <w:rsid w:val="003A22A2"/>
    <w:rsid w:val="003A2447"/>
    <w:rsid w:val="003A2AA1"/>
    <w:rsid w:val="003A31A5"/>
    <w:rsid w:val="003A3851"/>
    <w:rsid w:val="003A39DD"/>
    <w:rsid w:val="003A4A8E"/>
    <w:rsid w:val="003A563C"/>
    <w:rsid w:val="003A581E"/>
    <w:rsid w:val="003A6160"/>
    <w:rsid w:val="003A65A5"/>
    <w:rsid w:val="003A72F5"/>
    <w:rsid w:val="003A78E5"/>
    <w:rsid w:val="003B0341"/>
    <w:rsid w:val="003B120F"/>
    <w:rsid w:val="003B1E57"/>
    <w:rsid w:val="003B2885"/>
    <w:rsid w:val="003B2EF3"/>
    <w:rsid w:val="003B3676"/>
    <w:rsid w:val="003B398C"/>
    <w:rsid w:val="003B4053"/>
    <w:rsid w:val="003B4B1C"/>
    <w:rsid w:val="003B4CB2"/>
    <w:rsid w:val="003B534F"/>
    <w:rsid w:val="003B5391"/>
    <w:rsid w:val="003B5586"/>
    <w:rsid w:val="003B5952"/>
    <w:rsid w:val="003B5E48"/>
    <w:rsid w:val="003B65D7"/>
    <w:rsid w:val="003B65E0"/>
    <w:rsid w:val="003B6BD4"/>
    <w:rsid w:val="003B6F4D"/>
    <w:rsid w:val="003B6FE7"/>
    <w:rsid w:val="003C0271"/>
    <w:rsid w:val="003C0791"/>
    <w:rsid w:val="003C0A42"/>
    <w:rsid w:val="003C0D1F"/>
    <w:rsid w:val="003C116A"/>
    <w:rsid w:val="003C1AF4"/>
    <w:rsid w:val="003C1B63"/>
    <w:rsid w:val="003C1CB8"/>
    <w:rsid w:val="003C2550"/>
    <w:rsid w:val="003C287F"/>
    <w:rsid w:val="003C3339"/>
    <w:rsid w:val="003C375A"/>
    <w:rsid w:val="003C43F6"/>
    <w:rsid w:val="003C4CF4"/>
    <w:rsid w:val="003C4D9F"/>
    <w:rsid w:val="003C5C83"/>
    <w:rsid w:val="003C5F0C"/>
    <w:rsid w:val="003C60BB"/>
    <w:rsid w:val="003C622C"/>
    <w:rsid w:val="003C73C7"/>
    <w:rsid w:val="003D03F3"/>
    <w:rsid w:val="003D050B"/>
    <w:rsid w:val="003D0B98"/>
    <w:rsid w:val="003D0C3C"/>
    <w:rsid w:val="003D0DE5"/>
    <w:rsid w:val="003D1351"/>
    <w:rsid w:val="003D21C1"/>
    <w:rsid w:val="003D29BB"/>
    <w:rsid w:val="003D3707"/>
    <w:rsid w:val="003D3B15"/>
    <w:rsid w:val="003D3B2E"/>
    <w:rsid w:val="003D484D"/>
    <w:rsid w:val="003D49CB"/>
    <w:rsid w:val="003D4BD6"/>
    <w:rsid w:val="003D6B8F"/>
    <w:rsid w:val="003D7566"/>
    <w:rsid w:val="003D79D3"/>
    <w:rsid w:val="003E08B3"/>
    <w:rsid w:val="003E09BB"/>
    <w:rsid w:val="003E159D"/>
    <w:rsid w:val="003E1E35"/>
    <w:rsid w:val="003E20EA"/>
    <w:rsid w:val="003E210C"/>
    <w:rsid w:val="003E2913"/>
    <w:rsid w:val="003E2F55"/>
    <w:rsid w:val="003E317C"/>
    <w:rsid w:val="003E34DB"/>
    <w:rsid w:val="003E3833"/>
    <w:rsid w:val="003E3902"/>
    <w:rsid w:val="003E3AF9"/>
    <w:rsid w:val="003E4A70"/>
    <w:rsid w:val="003E4C48"/>
    <w:rsid w:val="003E4CD9"/>
    <w:rsid w:val="003E54B3"/>
    <w:rsid w:val="003E5780"/>
    <w:rsid w:val="003E5B9F"/>
    <w:rsid w:val="003E6072"/>
    <w:rsid w:val="003E6AB6"/>
    <w:rsid w:val="003E6E0B"/>
    <w:rsid w:val="003E71CD"/>
    <w:rsid w:val="003E74E5"/>
    <w:rsid w:val="003E76DF"/>
    <w:rsid w:val="003E78DA"/>
    <w:rsid w:val="003E7A8B"/>
    <w:rsid w:val="003F04B0"/>
    <w:rsid w:val="003F0BFA"/>
    <w:rsid w:val="003F0F14"/>
    <w:rsid w:val="003F0F7F"/>
    <w:rsid w:val="003F300D"/>
    <w:rsid w:val="003F391F"/>
    <w:rsid w:val="003F4599"/>
    <w:rsid w:val="003F45E1"/>
    <w:rsid w:val="003F4F6C"/>
    <w:rsid w:val="003F516A"/>
    <w:rsid w:val="003F52D4"/>
    <w:rsid w:val="003F559E"/>
    <w:rsid w:val="003F5DB7"/>
    <w:rsid w:val="003F6181"/>
    <w:rsid w:val="003F7343"/>
    <w:rsid w:val="00400002"/>
    <w:rsid w:val="00400048"/>
    <w:rsid w:val="00400054"/>
    <w:rsid w:val="0040047E"/>
    <w:rsid w:val="004006DC"/>
    <w:rsid w:val="004006E8"/>
    <w:rsid w:val="004012EE"/>
    <w:rsid w:val="004016A3"/>
    <w:rsid w:val="00401B31"/>
    <w:rsid w:val="0040202B"/>
    <w:rsid w:val="00402B70"/>
    <w:rsid w:val="00402DE1"/>
    <w:rsid w:val="00402EEB"/>
    <w:rsid w:val="00402F4B"/>
    <w:rsid w:val="004037C2"/>
    <w:rsid w:val="00403D55"/>
    <w:rsid w:val="00404041"/>
    <w:rsid w:val="00404B43"/>
    <w:rsid w:val="00404C61"/>
    <w:rsid w:val="00404D2A"/>
    <w:rsid w:val="00405328"/>
    <w:rsid w:val="00405487"/>
    <w:rsid w:val="0040602B"/>
    <w:rsid w:val="00407A7A"/>
    <w:rsid w:val="00407ABC"/>
    <w:rsid w:val="00407F1E"/>
    <w:rsid w:val="00410A88"/>
    <w:rsid w:val="00411317"/>
    <w:rsid w:val="00411715"/>
    <w:rsid w:val="00411A9E"/>
    <w:rsid w:val="0041259F"/>
    <w:rsid w:val="00412B4D"/>
    <w:rsid w:val="00412BBF"/>
    <w:rsid w:val="00412C51"/>
    <w:rsid w:val="00413262"/>
    <w:rsid w:val="0041329C"/>
    <w:rsid w:val="004134AD"/>
    <w:rsid w:val="004139F4"/>
    <w:rsid w:val="00413FFA"/>
    <w:rsid w:val="00414246"/>
    <w:rsid w:val="0041475B"/>
    <w:rsid w:val="00414760"/>
    <w:rsid w:val="00414D9A"/>
    <w:rsid w:val="00415194"/>
    <w:rsid w:val="00415816"/>
    <w:rsid w:val="00415B88"/>
    <w:rsid w:val="00415D32"/>
    <w:rsid w:val="004160A2"/>
    <w:rsid w:val="00417089"/>
    <w:rsid w:val="004170D7"/>
    <w:rsid w:val="004177A6"/>
    <w:rsid w:val="00417EFD"/>
    <w:rsid w:val="004200EE"/>
    <w:rsid w:val="004209D2"/>
    <w:rsid w:val="00420B82"/>
    <w:rsid w:val="00420D6E"/>
    <w:rsid w:val="00421BD2"/>
    <w:rsid w:val="00421E00"/>
    <w:rsid w:val="00421FCB"/>
    <w:rsid w:val="00421FF6"/>
    <w:rsid w:val="004222E3"/>
    <w:rsid w:val="00422DCA"/>
    <w:rsid w:val="00422F42"/>
    <w:rsid w:val="00423F9F"/>
    <w:rsid w:val="00425C43"/>
    <w:rsid w:val="00426419"/>
    <w:rsid w:val="00426C69"/>
    <w:rsid w:val="004273FA"/>
    <w:rsid w:val="00430186"/>
    <w:rsid w:val="00430740"/>
    <w:rsid w:val="004321A8"/>
    <w:rsid w:val="0043269A"/>
    <w:rsid w:val="00432E14"/>
    <w:rsid w:val="0043318B"/>
    <w:rsid w:val="004333C2"/>
    <w:rsid w:val="00433ACB"/>
    <w:rsid w:val="00434787"/>
    <w:rsid w:val="004347DA"/>
    <w:rsid w:val="00434C13"/>
    <w:rsid w:val="00436323"/>
    <w:rsid w:val="0043683F"/>
    <w:rsid w:val="00436E45"/>
    <w:rsid w:val="00436F40"/>
    <w:rsid w:val="004370FA"/>
    <w:rsid w:val="00437266"/>
    <w:rsid w:val="00440096"/>
    <w:rsid w:val="004403DD"/>
    <w:rsid w:val="00440DB0"/>
    <w:rsid w:val="00440FAD"/>
    <w:rsid w:val="0044105D"/>
    <w:rsid w:val="00441291"/>
    <w:rsid w:val="004420AB"/>
    <w:rsid w:val="004422D6"/>
    <w:rsid w:val="004427AC"/>
    <w:rsid w:val="00442D4D"/>
    <w:rsid w:val="00443613"/>
    <w:rsid w:val="0044374D"/>
    <w:rsid w:val="00443865"/>
    <w:rsid w:val="00443B55"/>
    <w:rsid w:val="00443D27"/>
    <w:rsid w:val="0044581A"/>
    <w:rsid w:val="00445AC2"/>
    <w:rsid w:val="00446037"/>
    <w:rsid w:val="004461C0"/>
    <w:rsid w:val="0044642F"/>
    <w:rsid w:val="0044772C"/>
    <w:rsid w:val="00450846"/>
    <w:rsid w:val="00451A52"/>
    <w:rsid w:val="00451FC8"/>
    <w:rsid w:val="00452380"/>
    <w:rsid w:val="00452603"/>
    <w:rsid w:val="0045271D"/>
    <w:rsid w:val="00452755"/>
    <w:rsid w:val="00452803"/>
    <w:rsid w:val="004529C6"/>
    <w:rsid w:val="00452B1D"/>
    <w:rsid w:val="00452EAD"/>
    <w:rsid w:val="004533D1"/>
    <w:rsid w:val="004534D1"/>
    <w:rsid w:val="00453A53"/>
    <w:rsid w:val="00454548"/>
    <w:rsid w:val="00454582"/>
    <w:rsid w:val="00454717"/>
    <w:rsid w:val="00455047"/>
    <w:rsid w:val="00455354"/>
    <w:rsid w:val="0045558D"/>
    <w:rsid w:val="00455DEE"/>
    <w:rsid w:val="00456970"/>
    <w:rsid w:val="00456BB1"/>
    <w:rsid w:val="00456DDB"/>
    <w:rsid w:val="0045796D"/>
    <w:rsid w:val="004602D6"/>
    <w:rsid w:val="0046080F"/>
    <w:rsid w:val="00460915"/>
    <w:rsid w:val="00460946"/>
    <w:rsid w:val="004613D2"/>
    <w:rsid w:val="004614A9"/>
    <w:rsid w:val="00461B6F"/>
    <w:rsid w:val="00461E97"/>
    <w:rsid w:val="0046268F"/>
    <w:rsid w:val="0046284F"/>
    <w:rsid w:val="00462B10"/>
    <w:rsid w:val="00462C04"/>
    <w:rsid w:val="0046320A"/>
    <w:rsid w:val="0046361D"/>
    <w:rsid w:val="004638E2"/>
    <w:rsid w:val="00464030"/>
    <w:rsid w:val="00464526"/>
    <w:rsid w:val="004647F8"/>
    <w:rsid w:val="004647FB"/>
    <w:rsid w:val="00465456"/>
    <w:rsid w:val="00465677"/>
    <w:rsid w:val="00465AC3"/>
    <w:rsid w:val="00466616"/>
    <w:rsid w:val="00466A0C"/>
    <w:rsid w:val="00470A6A"/>
    <w:rsid w:val="00470D92"/>
    <w:rsid w:val="004712D1"/>
    <w:rsid w:val="00471DF7"/>
    <w:rsid w:val="00471F6B"/>
    <w:rsid w:val="0047295C"/>
    <w:rsid w:val="00472D8E"/>
    <w:rsid w:val="004734CF"/>
    <w:rsid w:val="00474889"/>
    <w:rsid w:val="00475C5A"/>
    <w:rsid w:val="00475C9C"/>
    <w:rsid w:val="0047676B"/>
    <w:rsid w:val="0047773C"/>
    <w:rsid w:val="00477C5F"/>
    <w:rsid w:val="00480050"/>
    <w:rsid w:val="004808DE"/>
    <w:rsid w:val="00481AC4"/>
    <w:rsid w:val="00481CAF"/>
    <w:rsid w:val="00481DC1"/>
    <w:rsid w:val="00482507"/>
    <w:rsid w:val="0048268A"/>
    <w:rsid w:val="00483020"/>
    <w:rsid w:val="00483356"/>
    <w:rsid w:val="004835CA"/>
    <w:rsid w:val="004836F8"/>
    <w:rsid w:val="004836FE"/>
    <w:rsid w:val="00484074"/>
    <w:rsid w:val="004843F9"/>
    <w:rsid w:val="00484F0F"/>
    <w:rsid w:val="00484F40"/>
    <w:rsid w:val="0048540C"/>
    <w:rsid w:val="0048592F"/>
    <w:rsid w:val="00485CC2"/>
    <w:rsid w:val="0048605E"/>
    <w:rsid w:val="004861B4"/>
    <w:rsid w:val="00486AB4"/>
    <w:rsid w:val="00486BD0"/>
    <w:rsid w:val="00486D00"/>
    <w:rsid w:val="00487263"/>
    <w:rsid w:val="0048734F"/>
    <w:rsid w:val="004875F1"/>
    <w:rsid w:val="0049029D"/>
    <w:rsid w:val="0049030C"/>
    <w:rsid w:val="004903C0"/>
    <w:rsid w:val="0049114B"/>
    <w:rsid w:val="004912A8"/>
    <w:rsid w:val="00491577"/>
    <w:rsid w:val="0049196E"/>
    <w:rsid w:val="00491ECA"/>
    <w:rsid w:val="0049241A"/>
    <w:rsid w:val="00492C1F"/>
    <w:rsid w:val="00492E4C"/>
    <w:rsid w:val="00493B2C"/>
    <w:rsid w:val="00493E04"/>
    <w:rsid w:val="004940E3"/>
    <w:rsid w:val="0049530F"/>
    <w:rsid w:val="00496664"/>
    <w:rsid w:val="00496786"/>
    <w:rsid w:val="0049695B"/>
    <w:rsid w:val="00496D00"/>
    <w:rsid w:val="00496D8F"/>
    <w:rsid w:val="00497463"/>
    <w:rsid w:val="00497B15"/>
    <w:rsid w:val="004A054C"/>
    <w:rsid w:val="004A08D1"/>
    <w:rsid w:val="004A16C1"/>
    <w:rsid w:val="004A1CE2"/>
    <w:rsid w:val="004A2069"/>
    <w:rsid w:val="004A2800"/>
    <w:rsid w:val="004A34D2"/>
    <w:rsid w:val="004A41BA"/>
    <w:rsid w:val="004A4301"/>
    <w:rsid w:val="004A4E65"/>
    <w:rsid w:val="004A57E7"/>
    <w:rsid w:val="004A58EE"/>
    <w:rsid w:val="004A59B7"/>
    <w:rsid w:val="004A623B"/>
    <w:rsid w:val="004A6A04"/>
    <w:rsid w:val="004A6A52"/>
    <w:rsid w:val="004A6C78"/>
    <w:rsid w:val="004B01B9"/>
    <w:rsid w:val="004B0D62"/>
    <w:rsid w:val="004B0F0B"/>
    <w:rsid w:val="004B12C3"/>
    <w:rsid w:val="004B163F"/>
    <w:rsid w:val="004B2197"/>
    <w:rsid w:val="004B298A"/>
    <w:rsid w:val="004B578D"/>
    <w:rsid w:val="004B5BE7"/>
    <w:rsid w:val="004B5E2D"/>
    <w:rsid w:val="004B6793"/>
    <w:rsid w:val="004B6C07"/>
    <w:rsid w:val="004B74D3"/>
    <w:rsid w:val="004B76D3"/>
    <w:rsid w:val="004B788E"/>
    <w:rsid w:val="004B7E5D"/>
    <w:rsid w:val="004C0DD8"/>
    <w:rsid w:val="004C22F7"/>
    <w:rsid w:val="004C2B27"/>
    <w:rsid w:val="004C334F"/>
    <w:rsid w:val="004C3929"/>
    <w:rsid w:val="004C4DCB"/>
    <w:rsid w:val="004C5212"/>
    <w:rsid w:val="004C5B3B"/>
    <w:rsid w:val="004C5EF0"/>
    <w:rsid w:val="004C613A"/>
    <w:rsid w:val="004C7226"/>
    <w:rsid w:val="004C74C9"/>
    <w:rsid w:val="004C7D70"/>
    <w:rsid w:val="004D02F9"/>
    <w:rsid w:val="004D03FE"/>
    <w:rsid w:val="004D0446"/>
    <w:rsid w:val="004D0A4F"/>
    <w:rsid w:val="004D0F95"/>
    <w:rsid w:val="004D106A"/>
    <w:rsid w:val="004D2E24"/>
    <w:rsid w:val="004D31EE"/>
    <w:rsid w:val="004D36AF"/>
    <w:rsid w:val="004D3BD1"/>
    <w:rsid w:val="004D41A2"/>
    <w:rsid w:val="004D4BA1"/>
    <w:rsid w:val="004D532C"/>
    <w:rsid w:val="004D5451"/>
    <w:rsid w:val="004D584D"/>
    <w:rsid w:val="004D6826"/>
    <w:rsid w:val="004D68E0"/>
    <w:rsid w:val="004D7ADB"/>
    <w:rsid w:val="004E023F"/>
    <w:rsid w:val="004E0742"/>
    <w:rsid w:val="004E0C64"/>
    <w:rsid w:val="004E0F36"/>
    <w:rsid w:val="004E0F6B"/>
    <w:rsid w:val="004E1545"/>
    <w:rsid w:val="004E1F1C"/>
    <w:rsid w:val="004E2A35"/>
    <w:rsid w:val="004E38A2"/>
    <w:rsid w:val="004E40CE"/>
    <w:rsid w:val="004E4465"/>
    <w:rsid w:val="004E518D"/>
    <w:rsid w:val="004E5736"/>
    <w:rsid w:val="004E5B36"/>
    <w:rsid w:val="004E6045"/>
    <w:rsid w:val="004E6F43"/>
    <w:rsid w:val="004E7200"/>
    <w:rsid w:val="004E7815"/>
    <w:rsid w:val="004F034D"/>
    <w:rsid w:val="004F091D"/>
    <w:rsid w:val="004F0960"/>
    <w:rsid w:val="004F0A5C"/>
    <w:rsid w:val="004F163F"/>
    <w:rsid w:val="004F18A0"/>
    <w:rsid w:val="004F1A08"/>
    <w:rsid w:val="004F2B64"/>
    <w:rsid w:val="004F3613"/>
    <w:rsid w:val="004F3764"/>
    <w:rsid w:val="004F3EEF"/>
    <w:rsid w:val="004F3F74"/>
    <w:rsid w:val="004F4B65"/>
    <w:rsid w:val="004F4E68"/>
    <w:rsid w:val="004F548C"/>
    <w:rsid w:val="004F5930"/>
    <w:rsid w:val="004F5970"/>
    <w:rsid w:val="004F5F0C"/>
    <w:rsid w:val="004F6121"/>
    <w:rsid w:val="004F6161"/>
    <w:rsid w:val="004F66BC"/>
    <w:rsid w:val="004F67B2"/>
    <w:rsid w:val="004F6C26"/>
    <w:rsid w:val="004F78FE"/>
    <w:rsid w:val="004F7AC9"/>
    <w:rsid w:val="004F7E5A"/>
    <w:rsid w:val="004F7F1A"/>
    <w:rsid w:val="0050062F"/>
    <w:rsid w:val="005012E2"/>
    <w:rsid w:val="00501481"/>
    <w:rsid w:val="0050160F"/>
    <w:rsid w:val="00501C4F"/>
    <w:rsid w:val="005024C8"/>
    <w:rsid w:val="0050284E"/>
    <w:rsid w:val="00503BB0"/>
    <w:rsid w:val="00505926"/>
    <w:rsid w:val="00505DCB"/>
    <w:rsid w:val="00506CBA"/>
    <w:rsid w:val="005075CA"/>
    <w:rsid w:val="005079D8"/>
    <w:rsid w:val="0051074C"/>
    <w:rsid w:val="00510DE9"/>
    <w:rsid w:val="005111E2"/>
    <w:rsid w:val="00511231"/>
    <w:rsid w:val="00512779"/>
    <w:rsid w:val="00512C4F"/>
    <w:rsid w:val="00513042"/>
    <w:rsid w:val="0051334F"/>
    <w:rsid w:val="00513399"/>
    <w:rsid w:val="00513AA0"/>
    <w:rsid w:val="00513AF2"/>
    <w:rsid w:val="00514575"/>
    <w:rsid w:val="00514C03"/>
    <w:rsid w:val="00514D67"/>
    <w:rsid w:val="00515515"/>
    <w:rsid w:val="005155A6"/>
    <w:rsid w:val="00515F54"/>
    <w:rsid w:val="00516338"/>
    <w:rsid w:val="0051635C"/>
    <w:rsid w:val="00516880"/>
    <w:rsid w:val="00516C5B"/>
    <w:rsid w:val="00517612"/>
    <w:rsid w:val="00517CFB"/>
    <w:rsid w:val="00517F85"/>
    <w:rsid w:val="00520899"/>
    <w:rsid w:val="00520922"/>
    <w:rsid w:val="005209FC"/>
    <w:rsid w:val="00520E50"/>
    <w:rsid w:val="005224E5"/>
    <w:rsid w:val="005226BE"/>
    <w:rsid w:val="00523903"/>
    <w:rsid w:val="005239B6"/>
    <w:rsid w:val="00523C45"/>
    <w:rsid w:val="00524165"/>
    <w:rsid w:val="005242BA"/>
    <w:rsid w:val="005246E7"/>
    <w:rsid w:val="005247B5"/>
    <w:rsid w:val="00524FD2"/>
    <w:rsid w:val="00525621"/>
    <w:rsid w:val="00526431"/>
    <w:rsid w:val="005265D8"/>
    <w:rsid w:val="0052701B"/>
    <w:rsid w:val="005279FC"/>
    <w:rsid w:val="00527C6B"/>
    <w:rsid w:val="00527E57"/>
    <w:rsid w:val="00530405"/>
    <w:rsid w:val="00530522"/>
    <w:rsid w:val="005305E5"/>
    <w:rsid w:val="00530F38"/>
    <w:rsid w:val="00531F26"/>
    <w:rsid w:val="0053277C"/>
    <w:rsid w:val="005327C0"/>
    <w:rsid w:val="00533101"/>
    <w:rsid w:val="0053394C"/>
    <w:rsid w:val="00533CA9"/>
    <w:rsid w:val="00533DA7"/>
    <w:rsid w:val="005346AD"/>
    <w:rsid w:val="00534C97"/>
    <w:rsid w:val="00534EFB"/>
    <w:rsid w:val="00534F60"/>
    <w:rsid w:val="00535083"/>
    <w:rsid w:val="005357F1"/>
    <w:rsid w:val="00536053"/>
    <w:rsid w:val="005369E6"/>
    <w:rsid w:val="00536E62"/>
    <w:rsid w:val="005371AC"/>
    <w:rsid w:val="00537672"/>
    <w:rsid w:val="0053772F"/>
    <w:rsid w:val="00537B77"/>
    <w:rsid w:val="005409B6"/>
    <w:rsid w:val="00540C4C"/>
    <w:rsid w:val="00541571"/>
    <w:rsid w:val="0054245B"/>
    <w:rsid w:val="0054275A"/>
    <w:rsid w:val="005428B8"/>
    <w:rsid w:val="00542BD7"/>
    <w:rsid w:val="00542E67"/>
    <w:rsid w:val="00543084"/>
    <w:rsid w:val="00543CA5"/>
    <w:rsid w:val="0054413A"/>
    <w:rsid w:val="00544288"/>
    <w:rsid w:val="005446BB"/>
    <w:rsid w:val="00545E30"/>
    <w:rsid w:val="00545EA3"/>
    <w:rsid w:val="00546293"/>
    <w:rsid w:val="00546C9B"/>
    <w:rsid w:val="00547BF6"/>
    <w:rsid w:val="005502F9"/>
    <w:rsid w:val="00551098"/>
    <w:rsid w:val="00551581"/>
    <w:rsid w:val="00551598"/>
    <w:rsid w:val="0055162B"/>
    <w:rsid w:val="00551BFF"/>
    <w:rsid w:val="00551D68"/>
    <w:rsid w:val="00552B3E"/>
    <w:rsid w:val="005551AA"/>
    <w:rsid w:val="005564CA"/>
    <w:rsid w:val="005568EA"/>
    <w:rsid w:val="00557140"/>
    <w:rsid w:val="00557368"/>
    <w:rsid w:val="005577D3"/>
    <w:rsid w:val="005578E6"/>
    <w:rsid w:val="0056058C"/>
    <w:rsid w:val="00560C87"/>
    <w:rsid w:val="00560EF9"/>
    <w:rsid w:val="00560F51"/>
    <w:rsid w:val="00561249"/>
    <w:rsid w:val="0056182B"/>
    <w:rsid w:val="005619D3"/>
    <w:rsid w:val="00561AF3"/>
    <w:rsid w:val="00561E0B"/>
    <w:rsid w:val="00562141"/>
    <w:rsid w:val="00562D86"/>
    <w:rsid w:val="005642EC"/>
    <w:rsid w:val="00564704"/>
    <w:rsid w:val="00564712"/>
    <w:rsid w:val="005657A8"/>
    <w:rsid w:val="00565952"/>
    <w:rsid w:val="00566866"/>
    <w:rsid w:val="00566D8F"/>
    <w:rsid w:val="005670A5"/>
    <w:rsid w:val="00567106"/>
    <w:rsid w:val="00567723"/>
    <w:rsid w:val="00567754"/>
    <w:rsid w:val="00567AB8"/>
    <w:rsid w:val="005707F7"/>
    <w:rsid w:val="00570A26"/>
    <w:rsid w:val="0057221F"/>
    <w:rsid w:val="00572539"/>
    <w:rsid w:val="0057293F"/>
    <w:rsid w:val="00573137"/>
    <w:rsid w:val="0057337D"/>
    <w:rsid w:val="00573504"/>
    <w:rsid w:val="00573788"/>
    <w:rsid w:val="00574701"/>
    <w:rsid w:val="00574708"/>
    <w:rsid w:val="00574932"/>
    <w:rsid w:val="00574D81"/>
    <w:rsid w:val="005756AA"/>
    <w:rsid w:val="00576233"/>
    <w:rsid w:val="0057696F"/>
    <w:rsid w:val="005774FE"/>
    <w:rsid w:val="0058040C"/>
    <w:rsid w:val="00580D6D"/>
    <w:rsid w:val="00580FB3"/>
    <w:rsid w:val="005813DE"/>
    <w:rsid w:val="00581796"/>
    <w:rsid w:val="00581B45"/>
    <w:rsid w:val="005820E6"/>
    <w:rsid w:val="00582480"/>
    <w:rsid w:val="0058290E"/>
    <w:rsid w:val="00582CAB"/>
    <w:rsid w:val="005831B5"/>
    <w:rsid w:val="0058375E"/>
    <w:rsid w:val="00583E28"/>
    <w:rsid w:val="00584233"/>
    <w:rsid w:val="005842D0"/>
    <w:rsid w:val="0058439F"/>
    <w:rsid w:val="005855AE"/>
    <w:rsid w:val="00585829"/>
    <w:rsid w:val="00585BDB"/>
    <w:rsid w:val="00585CA8"/>
    <w:rsid w:val="00586412"/>
    <w:rsid w:val="005864B9"/>
    <w:rsid w:val="005866C4"/>
    <w:rsid w:val="00586BDB"/>
    <w:rsid w:val="00590A6C"/>
    <w:rsid w:val="00590F1A"/>
    <w:rsid w:val="00591C03"/>
    <w:rsid w:val="00591E2A"/>
    <w:rsid w:val="005923C4"/>
    <w:rsid w:val="00593F75"/>
    <w:rsid w:val="005940A0"/>
    <w:rsid w:val="0059429A"/>
    <w:rsid w:val="0059546C"/>
    <w:rsid w:val="00595FDD"/>
    <w:rsid w:val="00596AF7"/>
    <w:rsid w:val="00596CCE"/>
    <w:rsid w:val="00597E38"/>
    <w:rsid w:val="005A0949"/>
    <w:rsid w:val="005A1100"/>
    <w:rsid w:val="005A1976"/>
    <w:rsid w:val="005A2120"/>
    <w:rsid w:val="005A2501"/>
    <w:rsid w:val="005A2C80"/>
    <w:rsid w:val="005A3066"/>
    <w:rsid w:val="005A3457"/>
    <w:rsid w:val="005A3B35"/>
    <w:rsid w:val="005A3C4B"/>
    <w:rsid w:val="005A3E5A"/>
    <w:rsid w:val="005A43F3"/>
    <w:rsid w:val="005A496F"/>
    <w:rsid w:val="005A4A56"/>
    <w:rsid w:val="005A5A3D"/>
    <w:rsid w:val="005A6035"/>
    <w:rsid w:val="005A6B75"/>
    <w:rsid w:val="005A6E00"/>
    <w:rsid w:val="005A718A"/>
    <w:rsid w:val="005A76E3"/>
    <w:rsid w:val="005B09BE"/>
    <w:rsid w:val="005B12B2"/>
    <w:rsid w:val="005B143B"/>
    <w:rsid w:val="005B174F"/>
    <w:rsid w:val="005B1E45"/>
    <w:rsid w:val="005B21C4"/>
    <w:rsid w:val="005B2A28"/>
    <w:rsid w:val="005B33B6"/>
    <w:rsid w:val="005B3621"/>
    <w:rsid w:val="005B4948"/>
    <w:rsid w:val="005B4B5B"/>
    <w:rsid w:val="005B4FE5"/>
    <w:rsid w:val="005B501D"/>
    <w:rsid w:val="005B54CC"/>
    <w:rsid w:val="005B74AD"/>
    <w:rsid w:val="005B7E96"/>
    <w:rsid w:val="005C01C1"/>
    <w:rsid w:val="005C0429"/>
    <w:rsid w:val="005C084F"/>
    <w:rsid w:val="005C0CE0"/>
    <w:rsid w:val="005C0EE9"/>
    <w:rsid w:val="005C1716"/>
    <w:rsid w:val="005C1954"/>
    <w:rsid w:val="005C1C0B"/>
    <w:rsid w:val="005C1D53"/>
    <w:rsid w:val="005C2011"/>
    <w:rsid w:val="005C2BCC"/>
    <w:rsid w:val="005C36CF"/>
    <w:rsid w:val="005C3EA3"/>
    <w:rsid w:val="005C5011"/>
    <w:rsid w:val="005C529E"/>
    <w:rsid w:val="005C57BA"/>
    <w:rsid w:val="005C5C52"/>
    <w:rsid w:val="005C5D3D"/>
    <w:rsid w:val="005C5E66"/>
    <w:rsid w:val="005C5F05"/>
    <w:rsid w:val="005C5F9A"/>
    <w:rsid w:val="005C7F3E"/>
    <w:rsid w:val="005D0E1C"/>
    <w:rsid w:val="005D1051"/>
    <w:rsid w:val="005D119F"/>
    <w:rsid w:val="005D2044"/>
    <w:rsid w:val="005D24C7"/>
    <w:rsid w:val="005D27DC"/>
    <w:rsid w:val="005D2917"/>
    <w:rsid w:val="005D2EB2"/>
    <w:rsid w:val="005D2F48"/>
    <w:rsid w:val="005D3811"/>
    <w:rsid w:val="005D3BEE"/>
    <w:rsid w:val="005D464B"/>
    <w:rsid w:val="005D466F"/>
    <w:rsid w:val="005D49F0"/>
    <w:rsid w:val="005D51FA"/>
    <w:rsid w:val="005D53E8"/>
    <w:rsid w:val="005D5A26"/>
    <w:rsid w:val="005D5A9D"/>
    <w:rsid w:val="005D6651"/>
    <w:rsid w:val="005D691D"/>
    <w:rsid w:val="005D6A72"/>
    <w:rsid w:val="005D749F"/>
    <w:rsid w:val="005D791B"/>
    <w:rsid w:val="005D7CF2"/>
    <w:rsid w:val="005D7F92"/>
    <w:rsid w:val="005E0D7B"/>
    <w:rsid w:val="005E1595"/>
    <w:rsid w:val="005E16C1"/>
    <w:rsid w:val="005E1F1D"/>
    <w:rsid w:val="005E273D"/>
    <w:rsid w:val="005E2C4E"/>
    <w:rsid w:val="005E2FBD"/>
    <w:rsid w:val="005E3278"/>
    <w:rsid w:val="005E363B"/>
    <w:rsid w:val="005E3B0D"/>
    <w:rsid w:val="005E3FB1"/>
    <w:rsid w:val="005E456A"/>
    <w:rsid w:val="005E4DEF"/>
    <w:rsid w:val="005E6EA5"/>
    <w:rsid w:val="005E7016"/>
    <w:rsid w:val="005E7952"/>
    <w:rsid w:val="005E7FB5"/>
    <w:rsid w:val="005F0081"/>
    <w:rsid w:val="005F041F"/>
    <w:rsid w:val="005F0AF6"/>
    <w:rsid w:val="005F0F06"/>
    <w:rsid w:val="005F1216"/>
    <w:rsid w:val="005F1819"/>
    <w:rsid w:val="005F1D7D"/>
    <w:rsid w:val="005F1D89"/>
    <w:rsid w:val="005F2558"/>
    <w:rsid w:val="005F271F"/>
    <w:rsid w:val="005F305B"/>
    <w:rsid w:val="005F3171"/>
    <w:rsid w:val="005F31DA"/>
    <w:rsid w:val="005F3279"/>
    <w:rsid w:val="005F3361"/>
    <w:rsid w:val="005F3B47"/>
    <w:rsid w:val="005F4481"/>
    <w:rsid w:val="005F49AF"/>
    <w:rsid w:val="005F4A58"/>
    <w:rsid w:val="005F54DF"/>
    <w:rsid w:val="005F5888"/>
    <w:rsid w:val="005F5984"/>
    <w:rsid w:val="005F6CE2"/>
    <w:rsid w:val="005F72E9"/>
    <w:rsid w:val="005F730E"/>
    <w:rsid w:val="005F780B"/>
    <w:rsid w:val="00600195"/>
    <w:rsid w:val="00600473"/>
    <w:rsid w:val="006013C9"/>
    <w:rsid w:val="006016EA"/>
    <w:rsid w:val="00602B45"/>
    <w:rsid w:val="00603499"/>
    <w:rsid w:val="006035F5"/>
    <w:rsid w:val="00603CC2"/>
    <w:rsid w:val="006040BA"/>
    <w:rsid w:val="006047D1"/>
    <w:rsid w:val="00604A55"/>
    <w:rsid w:val="00604D3F"/>
    <w:rsid w:val="00605AC3"/>
    <w:rsid w:val="00606908"/>
    <w:rsid w:val="00607996"/>
    <w:rsid w:val="00607A37"/>
    <w:rsid w:val="00607E9F"/>
    <w:rsid w:val="0061085E"/>
    <w:rsid w:val="00611398"/>
    <w:rsid w:val="00612322"/>
    <w:rsid w:val="006123C0"/>
    <w:rsid w:val="00613191"/>
    <w:rsid w:val="006133F9"/>
    <w:rsid w:val="006134B3"/>
    <w:rsid w:val="00613DE1"/>
    <w:rsid w:val="0061401F"/>
    <w:rsid w:val="00614166"/>
    <w:rsid w:val="00614817"/>
    <w:rsid w:val="006149CC"/>
    <w:rsid w:val="00614ADC"/>
    <w:rsid w:val="006157A9"/>
    <w:rsid w:val="0061591D"/>
    <w:rsid w:val="00615ED0"/>
    <w:rsid w:val="0061604C"/>
    <w:rsid w:val="0061610B"/>
    <w:rsid w:val="00616C2B"/>
    <w:rsid w:val="006174FA"/>
    <w:rsid w:val="00617572"/>
    <w:rsid w:val="006178D1"/>
    <w:rsid w:val="00620719"/>
    <w:rsid w:val="006212C9"/>
    <w:rsid w:val="00621459"/>
    <w:rsid w:val="00621D0C"/>
    <w:rsid w:val="00622470"/>
    <w:rsid w:val="00622725"/>
    <w:rsid w:val="006231AA"/>
    <w:rsid w:val="00623482"/>
    <w:rsid w:val="00623822"/>
    <w:rsid w:val="00623AC2"/>
    <w:rsid w:val="00623FF7"/>
    <w:rsid w:val="00625A26"/>
    <w:rsid w:val="00625F38"/>
    <w:rsid w:val="006266D7"/>
    <w:rsid w:val="00626D42"/>
    <w:rsid w:val="00626EE3"/>
    <w:rsid w:val="006274AD"/>
    <w:rsid w:val="00627532"/>
    <w:rsid w:val="006302AA"/>
    <w:rsid w:val="006310C3"/>
    <w:rsid w:val="0063161E"/>
    <w:rsid w:val="0063167C"/>
    <w:rsid w:val="00631A31"/>
    <w:rsid w:val="00631BB5"/>
    <w:rsid w:val="00631DD0"/>
    <w:rsid w:val="006322CE"/>
    <w:rsid w:val="0063295C"/>
    <w:rsid w:val="00633367"/>
    <w:rsid w:val="0063367B"/>
    <w:rsid w:val="00633B5E"/>
    <w:rsid w:val="00633DBF"/>
    <w:rsid w:val="00634122"/>
    <w:rsid w:val="006355B6"/>
    <w:rsid w:val="00635E32"/>
    <w:rsid w:val="006365DE"/>
    <w:rsid w:val="006367D0"/>
    <w:rsid w:val="00636BE4"/>
    <w:rsid w:val="0063746C"/>
    <w:rsid w:val="00637802"/>
    <w:rsid w:val="00637836"/>
    <w:rsid w:val="00637C26"/>
    <w:rsid w:val="00637F44"/>
    <w:rsid w:val="00640659"/>
    <w:rsid w:val="00641078"/>
    <w:rsid w:val="00641242"/>
    <w:rsid w:val="006423A3"/>
    <w:rsid w:val="00642A32"/>
    <w:rsid w:val="006433D5"/>
    <w:rsid w:val="0064369C"/>
    <w:rsid w:val="00643C97"/>
    <w:rsid w:val="00645D41"/>
    <w:rsid w:val="00646B20"/>
    <w:rsid w:val="00646D0F"/>
    <w:rsid w:val="0064708F"/>
    <w:rsid w:val="0064739B"/>
    <w:rsid w:val="00647936"/>
    <w:rsid w:val="00647A36"/>
    <w:rsid w:val="00647DCC"/>
    <w:rsid w:val="00647EFA"/>
    <w:rsid w:val="00647F14"/>
    <w:rsid w:val="00650027"/>
    <w:rsid w:val="00650212"/>
    <w:rsid w:val="00651B9C"/>
    <w:rsid w:val="00651C47"/>
    <w:rsid w:val="00651D98"/>
    <w:rsid w:val="00652854"/>
    <w:rsid w:val="00652D2C"/>
    <w:rsid w:val="00652E70"/>
    <w:rsid w:val="0065303A"/>
    <w:rsid w:val="0065339A"/>
    <w:rsid w:val="00653469"/>
    <w:rsid w:val="00653F4A"/>
    <w:rsid w:val="00654A38"/>
    <w:rsid w:val="00654B4B"/>
    <w:rsid w:val="00655301"/>
    <w:rsid w:val="00655371"/>
    <w:rsid w:val="00655876"/>
    <w:rsid w:val="00655FB1"/>
    <w:rsid w:val="00656C4B"/>
    <w:rsid w:val="006573EA"/>
    <w:rsid w:val="006603D9"/>
    <w:rsid w:val="00661029"/>
    <w:rsid w:val="00661042"/>
    <w:rsid w:val="0066135A"/>
    <w:rsid w:val="00661639"/>
    <w:rsid w:val="0066272D"/>
    <w:rsid w:val="00662E58"/>
    <w:rsid w:val="00662F39"/>
    <w:rsid w:val="006635A0"/>
    <w:rsid w:val="00664351"/>
    <w:rsid w:val="0066553F"/>
    <w:rsid w:val="00665968"/>
    <w:rsid w:val="00665BF7"/>
    <w:rsid w:val="00666178"/>
    <w:rsid w:val="0066639E"/>
    <w:rsid w:val="00666473"/>
    <w:rsid w:val="00666C72"/>
    <w:rsid w:val="00666E5A"/>
    <w:rsid w:val="00666E6C"/>
    <w:rsid w:val="0066707F"/>
    <w:rsid w:val="0066731F"/>
    <w:rsid w:val="00667ED8"/>
    <w:rsid w:val="0067064C"/>
    <w:rsid w:val="00670B20"/>
    <w:rsid w:val="00670E12"/>
    <w:rsid w:val="00671284"/>
    <w:rsid w:val="00671695"/>
    <w:rsid w:val="00671E7D"/>
    <w:rsid w:val="00671F94"/>
    <w:rsid w:val="00672E80"/>
    <w:rsid w:val="006739E4"/>
    <w:rsid w:val="00673ECF"/>
    <w:rsid w:val="0067419A"/>
    <w:rsid w:val="0067426B"/>
    <w:rsid w:val="00674A1B"/>
    <w:rsid w:val="00674CF4"/>
    <w:rsid w:val="006754F8"/>
    <w:rsid w:val="00676127"/>
    <w:rsid w:val="00676AED"/>
    <w:rsid w:val="006777A2"/>
    <w:rsid w:val="00677981"/>
    <w:rsid w:val="00677F26"/>
    <w:rsid w:val="006800F9"/>
    <w:rsid w:val="006802A7"/>
    <w:rsid w:val="006811C9"/>
    <w:rsid w:val="006812CE"/>
    <w:rsid w:val="006823DC"/>
    <w:rsid w:val="00682791"/>
    <w:rsid w:val="00682C89"/>
    <w:rsid w:val="006832B8"/>
    <w:rsid w:val="006837B2"/>
    <w:rsid w:val="00683800"/>
    <w:rsid w:val="00684283"/>
    <w:rsid w:val="00684411"/>
    <w:rsid w:val="00684434"/>
    <w:rsid w:val="00684BF1"/>
    <w:rsid w:val="00684C8A"/>
    <w:rsid w:val="00684CF5"/>
    <w:rsid w:val="006853EA"/>
    <w:rsid w:val="0068553E"/>
    <w:rsid w:val="00685E7B"/>
    <w:rsid w:val="0068628A"/>
    <w:rsid w:val="00686551"/>
    <w:rsid w:val="0068730C"/>
    <w:rsid w:val="00687504"/>
    <w:rsid w:val="00687A14"/>
    <w:rsid w:val="00687A8C"/>
    <w:rsid w:val="006906FA"/>
    <w:rsid w:val="00690839"/>
    <w:rsid w:val="006908DB"/>
    <w:rsid w:val="00690DE9"/>
    <w:rsid w:val="00691DE9"/>
    <w:rsid w:val="00691EAA"/>
    <w:rsid w:val="00692245"/>
    <w:rsid w:val="00692FFA"/>
    <w:rsid w:val="00693057"/>
    <w:rsid w:val="00693772"/>
    <w:rsid w:val="00694160"/>
    <w:rsid w:val="006941BA"/>
    <w:rsid w:val="006959A5"/>
    <w:rsid w:val="00695C0C"/>
    <w:rsid w:val="00695C9B"/>
    <w:rsid w:val="00695EBF"/>
    <w:rsid w:val="00696A05"/>
    <w:rsid w:val="00697665"/>
    <w:rsid w:val="00697C9A"/>
    <w:rsid w:val="00697E68"/>
    <w:rsid w:val="006A0274"/>
    <w:rsid w:val="006A10B9"/>
    <w:rsid w:val="006A2A43"/>
    <w:rsid w:val="006A2BF1"/>
    <w:rsid w:val="006A2EEA"/>
    <w:rsid w:val="006A2F9A"/>
    <w:rsid w:val="006A34E4"/>
    <w:rsid w:val="006A3A5A"/>
    <w:rsid w:val="006A44CF"/>
    <w:rsid w:val="006A457D"/>
    <w:rsid w:val="006A544E"/>
    <w:rsid w:val="006A55EE"/>
    <w:rsid w:val="006A575B"/>
    <w:rsid w:val="006A59DE"/>
    <w:rsid w:val="006A6655"/>
    <w:rsid w:val="006A6B0B"/>
    <w:rsid w:val="006A6BF9"/>
    <w:rsid w:val="006A7A53"/>
    <w:rsid w:val="006A7CB5"/>
    <w:rsid w:val="006A7FD0"/>
    <w:rsid w:val="006B025C"/>
    <w:rsid w:val="006B0ECC"/>
    <w:rsid w:val="006B1879"/>
    <w:rsid w:val="006B2534"/>
    <w:rsid w:val="006B2CB2"/>
    <w:rsid w:val="006B347D"/>
    <w:rsid w:val="006B3E19"/>
    <w:rsid w:val="006B4488"/>
    <w:rsid w:val="006B4CB2"/>
    <w:rsid w:val="006B671C"/>
    <w:rsid w:val="006B67AC"/>
    <w:rsid w:val="006B6A25"/>
    <w:rsid w:val="006B786A"/>
    <w:rsid w:val="006B78B9"/>
    <w:rsid w:val="006B7BA0"/>
    <w:rsid w:val="006B7E4E"/>
    <w:rsid w:val="006C003A"/>
    <w:rsid w:val="006C2454"/>
    <w:rsid w:val="006C2551"/>
    <w:rsid w:val="006C37CA"/>
    <w:rsid w:val="006C40B7"/>
    <w:rsid w:val="006C40D2"/>
    <w:rsid w:val="006C5628"/>
    <w:rsid w:val="006C5B15"/>
    <w:rsid w:val="006C5D32"/>
    <w:rsid w:val="006C5DCB"/>
    <w:rsid w:val="006C70C4"/>
    <w:rsid w:val="006C7270"/>
    <w:rsid w:val="006C775C"/>
    <w:rsid w:val="006C789C"/>
    <w:rsid w:val="006D017F"/>
    <w:rsid w:val="006D04DA"/>
    <w:rsid w:val="006D0686"/>
    <w:rsid w:val="006D10F6"/>
    <w:rsid w:val="006D1544"/>
    <w:rsid w:val="006D1688"/>
    <w:rsid w:val="006D1FF3"/>
    <w:rsid w:val="006D2C65"/>
    <w:rsid w:val="006D32C6"/>
    <w:rsid w:val="006D360E"/>
    <w:rsid w:val="006D3697"/>
    <w:rsid w:val="006D36C2"/>
    <w:rsid w:val="006D39D2"/>
    <w:rsid w:val="006D3BB6"/>
    <w:rsid w:val="006D3F2A"/>
    <w:rsid w:val="006D4370"/>
    <w:rsid w:val="006D46A3"/>
    <w:rsid w:val="006D61B9"/>
    <w:rsid w:val="006D658F"/>
    <w:rsid w:val="006D69FA"/>
    <w:rsid w:val="006D6A12"/>
    <w:rsid w:val="006D712D"/>
    <w:rsid w:val="006D7687"/>
    <w:rsid w:val="006D7D1F"/>
    <w:rsid w:val="006D7D8A"/>
    <w:rsid w:val="006E0572"/>
    <w:rsid w:val="006E05D8"/>
    <w:rsid w:val="006E08EE"/>
    <w:rsid w:val="006E155A"/>
    <w:rsid w:val="006E3452"/>
    <w:rsid w:val="006E39D1"/>
    <w:rsid w:val="006E437F"/>
    <w:rsid w:val="006E4D5B"/>
    <w:rsid w:val="006E602F"/>
    <w:rsid w:val="006E6720"/>
    <w:rsid w:val="006E68FA"/>
    <w:rsid w:val="006E7275"/>
    <w:rsid w:val="006E735B"/>
    <w:rsid w:val="006E77B8"/>
    <w:rsid w:val="006F15CC"/>
    <w:rsid w:val="006F1E65"/>
    <w:rsid w:val="006F25C8"/>
    <w:rsid w:val="006F3BDD"/>
    <w:rsid w:val="006F3E7B"/>
    <w:rsid w:val="006F4147"/>
    <w:rsid w:val="006F4315"/>
    <w:rsid w:val="006F4478"/>
    <w:rsid w:val="006F458D"/>
    <w:rsid w:val="006F4A6D"/>
    <w:rsid w:val="006F4CB0"/>
    <w:rsid w:val="006F4F78"/>
    <w:rsid w:val="006F547E"/>
    <w:rsid w:val="006F5656"/>
    <w:rsid w:val="006F5CA8"/>
    <w:rsid w:val="006F5CCF"/>
    <w:rsid w:val="006F688D"/>
    <w:rsid w:val="006F772B"/>
    <w:rsid w:val="006F78DC"/>
    <w:rsid w:val="00700D5F"/>
    <w:rsid w:val="007012DC"/>
    <w:rsid w:val="0070138A"/>
    <w:rsid w:val="0070157E"/>
    <w:rsid w:val="007030D4"/>
    <w:rsid w:val="0070317C"/>
    <w:rsid w:val="00703279"/>
    <w:rsid w:val="00703B61"/>
    <w:rsid w:val="00703E11"/>
    <w:rsid w:val="00703FB4"/>
    <w:rsid w:val="00704102"/>
    <w:rsid w:val="0070439B"/>
    <w:rsid w:val="0070461C"/>
    <w:rsid w:val="00705631"/>
    <w:rsid w:val="00705818"/>
    <w:rsid w:val="00705F62"/>
    <w:rsid w:val="0070683B"/>
    <w:rsid w:val="00707277"/>
    <w:rsid w:val="0070773F"/>
    <w:rsid w:val="00707ED3"/>
    <w:rsid w:val="007101B7"/>
    <w:rsid w:val="00710668"/>
    <w:rsid w:val="007110F4"/>
    <w:rsid w:val="007112B1"/>
    <w:rsid w:val="0071130F"/>
    <w:rsid w:val="00712714"/>
    <w:rsid w:val="007128E3"/>
    <w:rsid w:val="007129AB"/>
    <w:rsid w:val="00712B63"/>
    <w:rsid w:val="00713526"/>
    <w:rsid w:val="00713FC5"/>
    <w:rsid w:val="00715944"/>
    <w:rsid w:val="00715BBF"/>
    <w:rsid w:val="00715C29"/>
    <w:rsid w:val="00715CBD"/>
    <w:rsid w:val="00715E86"/>
    <w:rsid w:val="00715EAA"/>
    <w:rsid w:val="00716CAD"/>
    <w:rsid w:val="00716F18"/>
    <w:rsid w:val="00717363"/>
    <w:rsid w:val="00717786"/>
    <w:rsid w:val="00717ACB"/>
    <w:rsid w:val="00721BD9"/>
    <w:rsid w:val="00721BFF"/>
    <w:rsid w:val="007223E8"/>
    <w:rsid w:val="00722D4B"/>
    <w:rsid w:val="00722FD8"/>
    <w:rsid w:val="007236C4"/>
    <w:rsid w:val="00723B59"/>
    <w:rsid w:val="00724635"/>
    <w:rsid w:val="0072554B"/>
    <w:rsid w:val="00725AFD"/>
    <w:rsid w:val="00726603"/>
    <w:rsid w:val="00726816"/>
    <w:rsid w:val="00727DDC"/>
    <w:rsid w:val="00730CD6"/>
    <w:rsid w:val="00730F74"/>
    <w:rsid w:val="0073114B"/>
    <w:rsid w:val="00732109"/>
    <w:rsid w:val="00734414"/>
    <w:rsid w:val="00734952"/>
    <w:rsid w:val="00734990"/>
    <w:rsid w:val="00734FF5"/>
    <w:rsid w:val="00735B78"/>
    <w:rsid w:val="00735DA7"/>
    <w:rsid w:val="007368B4"/>
    <w:rsid w:val="007378E0"/>
    <w:rsid w:val="00737C5C"/>
    <w:rsid w:val="00740529"/>
    <w:rsid w:val="00740A6C"/>
    <w:rsid w:val="00741358"/>
    <w:rsid w:val="00741626"/>
    <w:rsid w:val="00742332"/>
    <w:rsid w:val="00742886"/>
    <w:rsid w:val="00742DD2"/>
    <w:rsid w:val="007437C6"/>
    <w:rsid w:val="007439EE"/>
    <w:rsid w:val="007441A2"/>
    <w:rsid w:val="00744E80"/>
    <w:rsid w:val="00745035"/>
    <w:rsid w:val="0074531C"/>
    <w:rsid w:val="00745452"/>
    <w:rsid w:val="00745547"/>
    <w:rsid w:val="007459D0"/>
    <w:rsid w:val="0074623A"/>
    <w:rsid w:val="00746420"/>
    <w:rsid w:val="00746E04"/>
    <w:rsid w:val="00746E08"/>
    <w:rsid w:val="00746E3D"/>
    <w:rsid w:val="007473B9"/>
    <w:rsid w:val="007474ED"/>
    <w:rsid w:val="00747529"/>
    <w:rsid w:val="007476EE"/>
    <w:rsid w:val="00747C96"/>
    <w:rsid w:val="00750075"/>
    <w:rsid w:val="007502EC"/>
    <w:rsid w:val="00750382"/>
    <w:rsid w:val="0075094E"/>
    <w:rsid w:val="00750FA8"/>
    <w:rsid w:val="00750FB5"/>
    <w:rsid w:val="00751B4C"/>
    <w:rsid w:val="007522E8"/>
    <w:rsid w:val="007524D4"/>
    <w:rsid w:val="0075264C"/>
    <w:rsid w:val="007533E7"/>
    <w:rsid w:val="00753BAC"/>
    <w:rsid w:val="007541FD"/>
    <w:rsid w:val="00754A0B"/>
    <w:rsid w:val="007552DB"/>
    <w:rsid w:val="00755B08"/>
    <w:rsid w:val="00755C31"/>
    <w:rsid w:val="00755DD0"/>
    <w:rsid w:val="0075647A"/>
    <w:rsid w:val="007566BE"/>
    <w:rsid w:val="00756A2F"/>
    <w:rsid w:val="00756A36"/>
    <w:rsid w:val="007573E1"/>
    <w:rsid w:val="0075749E"/>
    <w:rsid w:val="007577DA"/>
    <w:rsid w:val="00757B2D"/>
    <w:rsid w:val="00757BAD"/>
    <w:rsid w:val="00757D62"/>
    <w:rsid w:val="00760672"/>
    <w:rsid w:val="00760844"/>
    <w:rsid w:val="00760867"/>
    <w:rsid w:val="00760EB6"/>
    <w:rsid w:val="007616DB"/>
    <w:rsid w:val="00761E08"/>
    <w:rsid w:val="0076228A"/>
    <w:rsid w:val="00762440"/>
    <w:rsid w:val="007629B7"/>
    <w:rsid w:val="00762E60"/>
    <w:rsid w:val="007634AD"/>
    <w:rsid w:val="00764D8D"/>
    <w:rsid w:val="00766ECC"/>
    <w:rsid w:val="007672F3"/>
    <w:rsid w:val="007677B5"/>
    <w:rsid w:val="007678B1"/>
    <w:rsid w:val="00770317"/>
    <w:rsid w:val="007708A8"/>
    <w:rsid w:val="00772275"/>
    <w:rsid w:val="007734E4"/>
    <w:rsid w:val="0077380D"/>
    <w:rsid w:val="00773BC8"/>
    <w:rsid w:val="0077466F"/>
    <w:rsid w:val="007752B7"/>
    <w:rsid w:val="007759A8"/>
    <w:rsid w:val="00775D98"/>
    <w:rsid w:val="00776FE5"/>
    <w:rsid w:val="00777101"/>
    <w:rsid w:val="007774E7"/>
    <w:rsid w:val="0077768C"/>
    <w:rsid w:val="00777696"/>
    <w:rsid w:val="00777AD8"/>
    <w:rsid w:val="00777C6C"/>
    <w:rsid w:val="00777FF4"/>
    <w:rsid w:val="00780251"/>
    <w:rsid w:val="007804FE"/>
    <w:rsid w:val="00780F32"/>
    <w:rsid w:val="0078122E"/>
    <w:rsid w:val="00781939"/>
    <w:rsid w:val="00781D29"/>
    <w:rsid w:val="007825EF"/>
    <w:rsid w:val="007827B0"/>
    <w:rsid w:val="0078286B"/>
    <w:rsid w:val="00782D2C"/>
    <w:rsid w:val="00782FC2"/>
    <w:rsid w:val="007849E0"/>
    <w:rsid w:val="00784FC4"/>
    <w:rsid w:val="00785783"/>
    <w:rsid w:val="00785BBB"/>
    <w:rsid w:val="00786FAD"/>
    <w:rsid w:val="007873C9"/>
    <w:rsid w:val="00787988"/>
    <w:rsid w:val="00787A7F"/>
    <w:rsid w:val="00787D90"/>
    <w:rsid w:val="00787F5E"/>
    <w:rsid w:val="00790164"/>
    <w:rsid w:val="007906E2"/>
    <w:rsid w:val="00790A24"/>
    <w:rsid w:val="00790A37"/>
    <w:rsid w:val="00790A60"/>
    <w:rsid w:val="007910E0"/>
    <w:rsid w:val="0079146D"/>
    <w:rsid w:val="00791C32"/>
    <w:rsid w:val="00791E08"/>
    <w:rsid w:val="00791FF0"/>
    <w:rsid w:val="007923D0"/>
    <w:rsid w:val="0079302C"/>
    <w:rsid w:val="007930D3"/>
    <w:rsid w:val="0079381F"/>
    <w:rsid w:val="00793B2E"/>
    <w:rsid w:val="007948F5"/>
    <w:rsid w:val="00795647"/>
    <w:rsid w:val="0079565B"/>
    <w:rsid w:val="00795B0E"/>
    <w:rsid w:val="007963F6"/>
    <w:rsid w:val="00796418"/>
    <w:rsid w:val="00796576"/>
    <w:rsid w:val="00796E80"/>
    <w:rsid w:val="007979AD"/>
    <w:rsid w:val="00797A9C"/>
    <w:rsid w:val="007A0EAB"/>
    <w:rsid w:val="007A1948"/>
    <w:rsid w:val="007A1C21"/>
    <w:rsid w:val="007A2341"/>
    <w:rsid w:val="007A38A1"/>
    <w:rsid w:val="007A3967"/>
    <w:rsid w:val="007A3BBE"/>
    <w:rsid w:val="007A4766"/>
    <w:rsid w:val="007A5816"/>
    <w:rsid w:val="007A5947"/>
    <w:rsid w:val="007B0313"/>
    <w:rsid w:val="007B05FB"/>
    <w:rsid w:val="007B0854"/>
    <w:rsid w:val="007B0E48"/>
    <w:rsid w:val="007B18FD"/>
    <w:rsid w:val="007B1D1B"/>
    <w:rsid w:val="007B2FCB"/>
    <w:rsid w:val="007B303E"/>
    <w:rsid w:val="007B32C0"/>
    <w:rsid w:val="007B32F7"/>
    <w:rsid w:val="007B3659"/>
    <w:rsid w:val="007B4263"/>
    <w:rsid w:val="007B4558"/>
    <w:rsid w:val="007B4632"/>
    <w:rsid w:val="007B46A2"/>
    <w:rsid w:val="007B4828"/>
    <w:rsid w:val="007B4B2D"/>
    <w:rsid w:val="007B4D4A"/>
    <w:rsid w:val="007B5428"/>
    <w:rsid w:val="007B54FE"/>
    <w:rsid w:val="007B57A5"/>
    <w:rsid w:val="007B699E"/>
    <w:rsid w:val="007B6C64"/>
    <w:rsid w:val="007B6EC8"/>
    <w:rsid w:val="007B6F81"/>
    <w:rsid w:val="007B7992"/>
    <w:rsid w:val="007B7EA2"/>
    <w:rsid w:val="007C025A"/>
    <w:rsid w:val="007C081B"/>
    <w:rsid w:val="007C097D"/>
    <w:rsid w:val="007C13FA"/>
    <w:rsid w:val="007C1672"/>
    <w:rsid w:val="007C312A"/>
    <w:rsid w:val="007C3570"/>
    <w:rsid w:val="007C3F2C"/>
    <w:rsid w:val="007C3F3B"/>
    <w:rsid w:val="007C4241"/>
    <w:rsid w:val="007C55FF"/>
    <w:rsid w:val="007C581D"/>
    <w:rsid w:val="007C5B11"/>
    <w:rsid w:val="007C6339"/>
    <w:rsid w:val="007C7C43"/>
    <w:rsid w:val="007C7F0D"/>
    <w:rsid w:val="007D1134"/>
    <w:rsid w:val="007D20CF"/>
    <w:rsid w:val="007D23F7"/>
    <w:rsid w:val="007D2566"/>
    <w:rsid w:val="007D2C18"/>
    <w:rsid w:val="007D2D74"/>
    <w:rsid w:val="007D3395"/>
    <w:rsid w:val="007D3693"/>
    <w:rsid w:val="007D379C"/>
    <w:rsid w:val="007D3C6D"/>
    <w:rsid w:val="007D409B"/>
    <w:rsid w:val="007D481A"/>
    <w:rsid w:val="007D55AC"/>
    <w:rsid w:val="007D5648"/>
    <w:rsid w:val="007D58C5"/>
    <w:rsid w:val="007D5DE8"/>
    <w:rsid w:val="007D62DE"/>
    <w:rsid w:val="007D7503"/>
    <w:rsid w:val="007D7CFC"/>
    <w:rsid w:val="007D7FFC"/>
    <w:rsid w:val="007E0812"/>
    <w:rsid w:val="007E16A4"/>
    <w:rsid w:val="007E18DF"/>
    <w:rsid w:val="007E1C35"/>
    <w:rsid w:val="007E20FC"/>
    <w:rsid w:val="007E2A04"/>
    <w:rsid w:val="007E2C36"/>
    <w:rsid w:val="007E350D"/>
    <w:rsid w:val="007E363A"/>
    <w:rsid w:val="007E3BF2"/>
    <w:rsid w:val="007E3D3F"/>
    <w:rsid w:val="007E5659"/>
    <w:rsid w:val="007E5C4A"/>
    <w:rsid w:val="007E635C"/>
    <w:rsid w:val="007E64D4"/>
    <w:rsid w:val="007E66E9"/>
    <w:rsid w:val="007E66FF"/>
    <w:rsid w:val="007E69F2"/>
    <w:rsid w:val="007E7432"/>
    <w:rsid w:val="007E74BF"/>
    <w:rsid w:val="007F14D3"/>
    <w:rsid w:val="007F1C42"/>
    <w:rsid w:val="007F1D9D"/>
    <w:rsid w:val="007F1E28"/>
    <w:rsid w:val="007F1F63"/>
    <w:rsid w:val="007F21D8"/>
    <w:rsid w:val="007F22A0"/>
    <w:rsid w:val="007F280B"/>
    <w:rsid w:val="007F2F90"/>
    <w:rsid w:val="007F3320"/>
    <w:rsid w:val="007F392A"/>
    <w:rsid w:val="007F3A85"/>
    <w:rsid w:val="007F3AC1"/>
    <w:rsid w:val="007F48FA"/>
    <w:rsid w:val="007F4976"/>
    <w:rsid w:val="007F5A56"/>
    <w:rsid w:val="007F616E"/>
    <w:rsid w:val="007F665F"/>
    <w:rsid w:val="007F6B28"/>
    <w:rsid w:val="007F6B46"/>
    <w:rsid w:val="007F72CB"/>
    <w:rsid w:val="007F736A"/>
    <w:rsid w:val="007F7635"/>
    <w:rsid w:val="007F785F"/>
    <w:rsid w:val="007F7AF6"/>
    <w:rsid w:val="007F7E36"/>
    <w:rsid w:val="00800681"/>
    <w:rsid w:val="00800E6D"/>
    <w:rsid w:val="008014D9"/>
    <w:rsid w:val="0080150F"/>
    <w:rsid w:val="0080153A"/>
    <w:rsid w:val="00801A2A"/>
    <w:rsid w:val="00801AEF"/>
    <w:rsid w:val="00802041"/>
    <w:rsid w:val="008022C9"/>
    <w:rsid w:val="0080262F"/>
    <w:rsid w:val="00802C0C"/>
    <w:rsid w:val="00802F9E"/>
    <w:rsid w:val="00803700"/>
    <w:rsid w:val="00803AB5"/>
    <w:rsid w:val="00803D9D"/>
    <w:rsid w:val="008059C6"/>
    <w:rsid w:val="00805AD7"/>
    <w:rsid w:val="00805BD6"/>
    <w:rsid w:val="00805DE3"/>
    <w:rsid w:val="00807666"/>
    <w:rsid w:val="00807C35"/>
    <w:rsid w:val="00807F69"/>
    <w:rsid w:val="008100EC"/>
    <w:rsid w:val="008100F7"/>
    <w:rsid w:val="00810206"/>
    <w:rsid w:val="00810711"/>
    <w:rsid w:val="00811898"/>
    <w:rsid w:val="00811C0F"/>
    <w:rsid w:val="008124D8"/>
    <w:rsid w:val="00813A7B"/>
    <w:rsid w:val="00813F04"/>
    <w:rsid w:val="00814B72"/>
    <w:rsid w:val="00815DA5"/>
    <w:rsid w:val="00816221"/>
    <w:rsid w:val="0081711D"/>
    <w:rsid w:val="0081728D"/>
    <w:rsid w:val="0081766B"/>
    <w:rsid w:val="00820705"/>
    <w:rsid w:val="00820CBF"/>
    <w:rsid w:val="00820FA8"/>
    <w:rsid w:val="008210B8"/>
    <w:rsid w:val="008212FD"/>
    <w:rsid w:val="00821489"/>
    <w:rsid w:val="008217B7"/>
    <w:rsid w:val="00821F5E"/>
    <w:rsid w:val="0082239B"/>
    <w:rsid w:val="00822752"/>
    <w:rsid w:val="0082282A"/>
    <w:rsid w:val="0082292E"/>
    <w:rsid w:val="00822D06"/>
    <w:rsid w:val="00822D87"/>
    <w:rsid w:val="0082348D"/>
    <w:rsid w:val="008234E0"/>
    <w:rsid w:val="008236BE"/>
    <w:rsid w:val="008241CE"/>
    <w:rsid w:val="00825240"/>
    <w:rsid w:val="00825B43"/>
    <w:rsid w:val="00826E06"/>
    <w:rsid w:val="00827203"/>
    <w:rsid w:val="0082767A"/>
    <w:rsid w:val="00827CC0"/>
    <w:rsid w:val="00831026"/>
    <w:rsid w:val="0083119B"/>
    <w:rsid w:val="00831BAE"/>
    <w:rsid w:val="00832216"/>
    <w:rsid w:val="00832CD0"/>
    <w:rsid w:val="00833430"/>
    <w:rsid w:val="00834128"/>
    <w:rsid w:val="0083417F"/>
    <w:rsid w:val="00835143"/>
    <w:rsid w:val="008356A7"/>
    <w:rsid w:val="00835741"/>
    <w:rsid w:val="00836BCD"/>
    <w:rsid w:val="00836E74"/>
    <w:rsid w:val="00836EAB"/>
    <w:rsid w:val="00837673"/>
    <w:rsid w:val="00837937"/>
    <w:rsid w:val="00837D82"/>
    <w:rsid w:val="00840893"/>
    <w:rsid w:val="00840E88"/>
    <w:rsid w:val="00841586"/>
    <w:rsid w:val="0084195A"/>
    <w:rsid w:val="008423EC"/>
    <w:rsid w:val="0084332E"/>
    <w:rsid w:val="00843615"/>
    <w:rsid w:val="00843698"/>
    <w:rsid w:val="00843A4B"/>
    <w:rsid w:val="00843B57"/>
    <w:rsid w:val="00843B60"/>
    <w:rsid w:val="00843D33"/>
    <w:rsid w:val="00843D39"/>
    <w:rsid w:val="00844D4F"/>
    <w:rsid w:val="0084532A"/>
    <w:rsid w:val="00845AD6"/>
    <w:rsid w:val="00845AE3"/>
    <w:rsid w:val="00845DD0"/>
    <w:rsid w:val="008466A0"/>
    <w:rsid w:val="00846D1D"/>
    <w:rsid w:val="00846DBE"/>
    <w:rsid w:val="00847535"/>
    <w:rsid w:val="008477F1"/>
    <w:rsid w:val="00847B6D"/>
    <w:rsid w:val="00847FFA"/>
    <w:rsid w:val="0085059A"/>
    <w:rsid w:val="0085092D"/>
    <w:rsid w:val="00850D82"/>
    <w:rsid w:val="00850F79"/>
    <w:rsid w:val="0085100B"/>
    <w:rsid w:val="00852267"/>
    <w:rsid w:val="0085304C"/>
    <w:rsid w:val="008548CA"/>
    <w:rsid w:val="00855085"/>
    <w:rsid w:val="0085587C"/>
    <w:rsid w:val="008562E4"/>
    <w:rsid w:val="00856C06"/>
    <w:rsid w:val="0085790B"/>
    <w:rsid w:val="00857C95"/>
    <w:rsid w:val="00857E78"/>
    <w:rsid w:val="0086082E"/>
    <w:rsid w:val="00860AEF"/>
    <w:rsid w:val="0086122C"/>
    <w:rsid w:val="00861310"/>
    <w:rsid w:val="0086184B"/>
    <w:rsid w:val="00861B7B"/>
    <w:rsid w:val="00861F0F"/>
    <w:rsid w:val="00861F53"/>
    <w:rsid w:val="0086289E"/>
    <w:rsid w:val="00863413"/>
    <w:rsid w:val="0086394E"/>
    <w:rsid w:val="008639B6"/>
    <w:rsid w:val="00863F8A"/>
    <w:rsid w:val="00863FE3"/>
    <w:rsid w:val="00864241"/>
    <w:rsid w:val="0086468A"/>
    <w:rsid w:val="00864CD5"/>
    <w:rsid w:val="008650BE"/>
    <w:rsid w:val="0086633B"/>
    <w:rsid w:val="00866495"/>
    <w:rsid w:val="00866511"/>
    <w:rsid w:val="00866931"/>
    <w:rsid w:val="00866FEF"/>
    <w:rsid w:val="00867512"/>
    <w:rsid w:val="0087033C"/>
    <w:rsid w:val="00870B44"/>
    <w:rsid w:val="008715ED"/>
    <w:rsid w:val="008717D8"/>
    <w:rsid w:val="00871E3C"/>
    <w:rsid w:val="0087213A"/>
    <w:rsid w:val="00872F97"/>
    <w:rsid w:val="00873863"/>
    <w:rsid w:val="00874607"/>
    <w:rsid w:val="00874915"/>
    <w:rsid w:val="00874B89"/>
    <w:rsid w:val="00875403"/>
    <w:rsid w:val="00875434"/>
    <w:rsid w:val="008760BD"/>
    <w:rsid w:val="00876158"/>
    <w:rsid w:val="00876215"/>
    <w:rsid w:val="0087646C"/>
    <w:rsid w:val="008765B1"/>
    <w:rsid w:val="00876815"/>
    <w:rsid w:val="00877932"/>
    <w:rsid w:val="008808C7"/>
    <w:rsid w:val="00880DB3"/>
    <w:rsid w:val="0088106B"/>
    <w:rsid w:val="0088107D"/>
    <w:rsid w:val="008812E2"/>
    <w:rsid w:val="0088168A"/>
    <w:rsid w:val="00881E64"/>
    <w:rsid w:val="0088230E"/>
    <w:rsid w:val="00882D20"/>
    <w:rsid w:val="00882E39"/>
    <w:rsid w:val="008850E3"/>
    <w:rsid w:val="008850EB"/>
    <w:rsid w:val="00885D01"/>
    <w:rsid w:val="00886DF2"/>
    <w:rsid w:val="00886FB9"/>
    <w:rsid w:val="00887080"/>
    <w:rsid w:val="00887BC5"/>
    <w:rsid w:val="00887C79"/>
    <w:rsid w:val="008907CC"/>
    <w:rsid w:val="00890998"/>
    <w:rsid w:val="0089107B"/>
    <w:rsid w:val="008913CC"/>
    <w:rsid w:val="00891411"/>
    <w:rsid w:val="008914AE"/>
    <w:rsid w:val="00891838"/>
    <w:rsid w:val="008919CF"/>
    <w:rsid w:val="00891F84"/>
    <w:rsid w:val="0089211C"/>
    <w:rsid w:val="008928EC"/>
    <w:rsid w:val="00892E5D"/>
    <w:rsid w:val="008935CF"/>
    <w:rsid w:val="00894436"/>
    <w:rsid w:val="00894BB1"/>
    <w:rsid w:val="008950CB"/>
    <w:rsid w:val="008951D0"/>
    <w:rsid w:val="0089532E"/>
    <w:rsid w:val="0089582D"/>
    <w:rsid w:val="008959C6"/>
    <w:rsid w:val="0089606D"/>
    <w:rsid w:val="00896129"/>
    <w:rsid w:val="008965DF"/>
    <w:rsid w:val="00897275"/>
    <w:rsid w:val="0089774F"/>
    <w:rsid w:val="00897875"/>
    <w:rsid w:val="00897B8F"/>
    <w:rsid w:val="008A00D8"/>
    <w:rsid w:val="008A00D9"/>
    <w:rsid w:val="008A07D5"/>
    <w:rsid w:val="008A0C7F"/>
    <w:rsid w:val="008A2527"/>
    <w:rsid w:val="008A25E2"/>
    <w:rsid w:val="008A295B"/>
    <w:rsid w:val="008A2A23"/>
    <w:rsid w:val="008A2AF5"/>
    <w:rsid w:val="008A2B5A"/>
    <w:rsid w:val="008A2DD1"/>
    <w:rsid w:val="008A3F9D"/>
    <w:rsid w:val="008A5474"/>
    <w:rsid w:val="008A590B"/>
    <w:rsid w:val="008A5C9A"/>
    <w:rsid w:val="008A6A55"/>
    <w:rsid w:val="008A6DF0"/>
    <w:rsid w:val="008A6F6E"/>
    <w:rsid w:val="008A7888"/>
    <w:rsid w:val="008A796E"/>
    <w:rsid w:val="008B0862"/>
    <w:rsid w:val="008B088C"/>
    <w:rsid w:val="008B1BF5"/>
    <w:rsid w:val="008B2268"/>
    <w:rsid w:val="008B263F"/>
    <w:rsid w:val="008B3A83"/>
    <w:rsid w:val="008B3EBB"/>
    <w:rsid w:val="008B47A6"/>
    <w:rsid w:val="008B672C"/>
    <w:rsid w:val="008B7C3F"/>
    <w:rsid w:val="008C036D"/>
    <w:rsid w:val="008C0743"/>
    <w:rsid w:val="008C0B4C"/>
    <w:rsid w:val="008C11F0"/>
    <w:rsid w:val="008C1D4D"/>
    <w:rsid w:val="008C1DBA"/>
    <w:rsid w:val="008C24E7"/>
    <w:rsid w:val="008C2500"/>
    <w:rsid w:val="008C2CAC"/>
    <w:rsid w:val="008C3E2A"/>
    <w:rsid w:val="008C42F5"/>
    <w:rsid w:val="008C4433"/>
    <w:rsid w:val="008C45BD"/>
    <w:rsid w:val="008C4B19"/>
    <w:rsid w:val="008C50DE"/>
    <w:rsid w:val="008C568F"/>
    <w:rsid w:val="008C62D4"/>
    <w:rsid w:val="008C6B89"/>
    <w:rsid w:val="008D077E"/>
    <w:rsid w:val="008D18AA"/>
    <w:rsid w:val="008D1A16"/>
    <w:rsid w:val="008D1A2A"/>
    <w:rsid w:val="008D29B1"/>
    <w:rsid w:val="008D35D9"/>
    <w:rsid w:val="008D3B85"/>
    <w:rsid w:val="008D4527"/>
    <w:rsid w:val="008D462D"/>
    <w:rsid w:val="008D4869"/>
    <w:rsid w:val="008D4C43"/>
    <w:rsid w:val="008D51F2"/>
    <w:rsid w:val="008D66CA"/>
    <w:rsid w:val="008D68A7"/>
    <w:rsid w:val="008D69B1"/>
    <w:rsid w:val="008D6E07"/>
    <w:rsid w:val="008D70AD"/>
    <w:rsid w:val="008D7150"/>
    <w:rsid w:val="008D7338"/>
    <w:rsid w:val="008D7A33"/>
    <w:rsid w:val="008E0012"/>
    <w:rsid w:val="008E0DF7"/>
    <w:rsid w:val="008E0FAD"/>
    <w:rsid w:val="008E1347"/>
    <w:rsid w:val="008E16E0"/>
    <w:rsid w:val="008E17B1"/>
    <w:rsid w:val="008E1C15"/>
    <w:rsid w:val="008E1C9A"/>
    <w:rsid w:val="008E28BD"/>
    <w:rsid w:val="008E38B4"/>
    <w:rsid w:val="008E3BA4"/>
    <w:rsid w:val="008E3E84"/>
    <w:rsid w:val="008E41C4"/>
    <w:rsid w:val="008E44AB"/>
    <w:rsid w:val="008E5179"/>
    <w:rsid w:val="008E6598"/>
    <w:rsid w:val="008E6A17"/>
    <w:rsid w:val="008E7214"/>
    <w:rsid w:val="008E7348"/>
    <w:rsid w:val="008E7884"/>
    <w:rsid w:val="008E7D6E"/>
    <w:rsid w:val="008F1056"/>
    <w:rsid w:val="008F2E8D"/>
    <w:rsid w:val="008F387B"/>
    <w:rsid w:val="008F3C67"/>
    <w:rsid w:val="008F3DD9"/>
    <w:rsid w:val="008F4814"/>
    <w:rsid w:val="008F4B55"/>
    <w:rsid w:val="008F4DA6"/>
    <w:rsid w:val="008F538E"/>
    <w:rsid w:val="008F5A20"/>
    <w:rsid w:val="008F5ABA"/>
    <w:rsid w:val="008F6CF9"/>
    <w:rsid w:val="008F7905"/>
    <w:rsid w:val="008F7989"/>
    <w:rsid w:val="009026AF"/>
    <w:rsid w:val="009028E8"/>
    <w:rsid w:val="00902E5C"/>
    <w:rsid w:val="0090350D"/>
    <w:rsid w:val="009039EB"/>
    <w:rsid w:val="00903CD2"/>
    <w:rsid w:val="009046E5"/>
    <w:rsid w:val="009047C5"/>
    <w:rsid w:val="00906C7F"/>
    <w:rsid w:val="00906E03"/>
    <w:rsid w:val="00910683"/>
    <w:rsid w:val="0091077E"/>
    <w:rsid w:val="00910E00"/>
    <w:rsid w:val="009116CE"/>
    <w:rsid w:val="00911714"/>
    <w:rsid w:val="0091194A"/>
    <w:rsid w:val="00911A5B"/>
    <w:rsid w:val="009136D4"/>
    <w:rsid w:val="00913706"/>
    <w:rsid w:val="00914B9A"/>
    <w:rsid w:val="00914C3F"/>
    <w:rsid w:val="00914F33"/>
    <w:rsid w:val="009153E5"/>
    <w:rsid w:val="009153F6"/>
    <w:rsid w:val="00915FCE"/>
    <w:rsid w:val="00916AFE"/>
    <w:rsid w:val="00916FC8"/>
    <w:rsid w:val="009170D3"/>
    <w:rsid w:val="0091759C"/>
    <w:rsid w:val="00917910"/>
    <w:rsid w:val="00920026"/>
    <w:rsid w:val="009203E2"/>
    <w:rsid w:val="0092085F"/>
    <w:rsid w:val="00921304"/>
    <w:rsid w:val="00921805"/>
    <w:rsid w:val="00921BA7"/>
    <w:rsid w:val="00923396"/>
    <w:rsid w:val="00923F56"/>
    <w:rsid w:val="009246C4"/>
    <w:rsid w:val="00924710"/>
    <w:rsid w:val="00925743"/>
    <w:rsid w:val="0092579F"/>
    <w:rsid w:val="00927E8D"/>
    <w:rsid w:val="00927F23"/>
    <w:rsid w:val="00930698"/>
    <w:rsid w:val="009307CD"/>
    <w:rsid w:val="00930E7C"/>
    <w:rsid w:val="00930F0D"/>
    <w:rsid w:val="00931451"/>
    <w:rsid w:val="009314FA"/>
    <w:rsid w:val="0093194F"/>
    <w:rsid w:val="00931BF3"/>
    <w:rsid w:val="00931C55"/>
    <w:rsid w:val="00932C11"/>
    <w:rsid w:val="00933333"/>
    <w:rsid w:val="0093349A"/>
    <w:rsid w:val="009337B2"/>
    <w:rsid w:val="00933AF1"/>
    <w:rsid w:val="00933FCB"/>
    <w:rsid w:val="00934E69"/>
    <w:rsid w:val="009367D5"/>
    <w:rsid w:val="00937401"/>
    <w:rsid w:val="00937561"/>
    <w:rsid w:val="009376FB"/>
    <w:rsid w:val="00937D6B"/>
    <w:rsid w:val="0094029D"/>
    <w:rsid w:val="00940477"/>
    <w:rsid w:val="00940876"/>
    <w:rsid w:val="00940A53"/>
    <w:rsid w:val="00940F3C"/>
    <w:rsid w:val="00940FC1"/>
    <w:rsid w:val="009410E0"/>
    <w:rsid w:val="00942BB9"/>
    <w:rsid w:val="009444B4"/>
    <w:rsid w:val="00944644"/>
    <w:rsid w:val="00945242"/>
    <w:rsid w:val="009460F9"/>
    <w:rsid w:val="00946342"/>
    <w:rsid w:val="00946A24"/>
    <w:rsid w:val="009470D4"/>
    <w:rsid w:val="00947337"/>
    <w:rsid w:val="009512FA"/>
    <w:rsid w:val="00951E57"/>
    <w:rsid w:val="00953018"/>
    <w:rsid w:val="009533E2"/>
    <w:rsid w:val="00953554"/>
    <w:rsid w:val="0095385A"/>
    <w:rsid w:val="00953928"/>
    <w:rsid w:val="00955906"/>
    <w:rsid w:val="00955978"/>
    <w:rsid w:val="00957010"/>
    <w:rsid w:val="0095780A"/>
    <w:rsid w:val="009579E4"/>
    <w:rsid w:val="00957AA4"/>
    <w:rsid w:val="00957ACB"/>
    <w:rsid w:val="00957E21"/>
    <w:rsid w:val="00957F27"/>
    <w:rsid w:val="009609F0"/>
    <w:rsid w:val="00960BDB"/>
    <w:rsid w:val="0096147D"/>
    <w:rsid w:val="00961E25"/>
    <w:rsid w:val="00961E5F"/>
    <w:rsid w:val="009625C6"/>
    <w:rsid w:val="009629B5"/>
    <w:rsid w:val="00962A50"/>
    <w:rsid w:val="00962F47"/>
    <w:rsid w:val="009631BD"/>
    <w:rsid w:val="00963955"/>
    <w:rsid w:val="00964138"/>
    <w:rsid w:val="00964B3F"/>
    <w:rsid w:val="00964C98"/>
    <w:rsid w:val="00964E0A"/>
    <w:rsid w:val="00965717"/>
    <w:rsid w:val="00966214"/>
    <w:rsid w:val="00966FB8"/>
    <w:rsid w:val="00971441"/>
    <w:rsid w:val="009715D4"/>
    <w:rsid w:val="00971D7B"/>
    <w:rsid w:val="00972470"/>
    <w:rsid w:val="00973377"/>
    <w:rsid w:val="009739A9"/>
    <w:rsid w:val="00973AA2"/>
    <w:rsid w:val="0097494E"/>
    <w:rsid w:val="00974B58"/>
    <w:rsid w:val="00975229"/>
    <w:rsid w:val="00975376"/>
    <w:rsid w:val="00975495"/>
    <w:rsid w:val="009761ED"/>
    <w:rsid w:val="009801E7"/>
    <w:rsid w:val="0098022F"/>
    <w:rsid w:val="009808B5"/>
    <w:rsid w:val="009810DE"/>
    <w:rsid w:val="009816A2"/>
    <w:rsid w:val="009822D7"/>
    <w:rsid w:val="009827E6"/>
    <w:rsid w:val="00982E70"/>
    <w:rsid w:val="00982F84"/>
    <w:rsid w:val="0098427D"/>
    <w:rsid w:val="00984567"/>
    <w:rsid w:val="00985102"/>
    <w:rsid w:val="009865D5"/>
    <w:rsid w:val="009876F2"/>
    <w:rsid w:val="00987A68"/>
    <w:rsid w:val="00987C77"/>
    <w:rsid w:val="00990345"/>
    <w:rsid w:val="00990701"/>
    <w:rsid w:val="0099090B"/>
    <w:rsid w:val="0099119C"/>
    <w:rsid w:val="0099137A"/>
    <w:rsid w:val="00991805"/>
    <w:rsid w:val="00991CF4"/>
    <w:rsid w:val="0099211C"/>
    <w:rsid w:val="00993B78"/>
    <w:rsid w:val="0099483A"/>
    <w:rsid w:val="00995119"/>
    <w:rsid w:val="009953AD"/>
    <w:rsid w:val="009955BC"/>
    <w:rsid w:val="0099583D"/>
    <w:rsid w:val="0099656E"/>
    <w:rsid w:val="00996992"/>
    <w:rsid w:val="00996E1E"/>
    <w:rsid w:val="00997392"/>
    <w:rsid w:val="0099747C"/>
    <w:rsid w:val="0099771C"/>
    <w:rsid w:val="009A01E4"/>
    <w:rsid w:val="009A0917"/>
    <w:rsid w:val="009A0A33"/>
    <w:rsid w:val="009A10A6"/>
    <w:rsid w:val="009A1351"/>
    <w:rsid w:val="009A2435"/>
    <w:rsid w:val="009A35DC"/>
    <w:rsid w:val="009A38AB"/>
    <w:rsid w:val="009A3CFB"/>
    <w:rsid w:val="009A3D41"/>
    <w:rsid w:val="009A3D47"/>
    <w:rsid w:val="009A4D63"/>
    <w:rsid w:val="009A52E4"/>
    <w:rsid w:val="009A5356"/>
    <w:rsid w:val="009A5468"/>
    <w:rsid w:val="009A59FD"/>
    <w:rsid w:val="009A5D99"/>
    <w:rsid w:val="009A608C"/>
    <w:rsid w:val="009A63B7"/>
    <w:rsid w:val="009A6CA7"/>
    <w:rsid w:val="009A6CE6"/>
    <w:rsid w:val="009A6FDF"/>
    <w:rsid w:val="009A7006"/>
    <w:rsid w:val="009A76D6"/>
    <w:rsid w:val="009B199E"/>
    <w:rsid w:val="009B2E29"/>
    <w:rsid w:val="009B3163"/>
    <w:rsid w:val="009B39C2"/>
    <w:rsid w:val="009B422F"/>
    <w:rsid w:val="009B46BC"/>
    <w:rsid w:val="009B4D1A"/>
    <w:rsid w:val="009B558B"/>
    <w:rsid w:val="009B6801"/>
    <w:rsid w:val="009B68DD"/>
    <w:rsid w:val="009B6D21"/>
    <w:rsid w:val="009B7779"/>
    <w:rsid w:val="009B78ED"/>
    <w:rsid w:val="009C181C"/>
    <w:rsid w:val="009C1C7F"/>
    <w:rsid w:val="009C28A2"/>
    <w:rsid w:val="009C2B9B"/>
    <w:rsid w:val="009C3144"/>
    <w:rsid w:val="009C3239"/>
    <w:rsid w:val="009C3828"/>
    <w:rsid w:val="009C3D2C"/>
    <w:rsid w:val="009C4987"/>
    <w:rsid w:val="009C523F"/>
    <w:rsid w:val="009C59BF"/>
    <w:rsid w:val="009C5E4F"/>
    <w:rsid w:val="009C5F64"/>
    <w:rsid w:val="009C5F82"/>
    <w:rsid w:val="009C6278"/>
    <w:rsid w:val="009C692B"/>
    <w:rsid w:val="009C70F8"/>
    <w:rsid w:val="009C756F"/>
    <w:rsid w:val="009C78A3"/>
    <w:rsid w:val="009D0156"/>
    <w:rsid w:val="009D05DA"/>
    <w:rsid w:val="009D11F6"/>
    <w:rsid w:val="009D13B9"/>
    <w:rsid w:val="009D1A14"/>
    <w:rsid w:val="009D1E2A"/>
    <w:rsid w:val="009D1FA0"/>
    <w:rsid w:val="009D2BDF"/>
    <w:rsid w:val="009D3736"/>
    <w:rsid w:val="009D40B8"/>
    <w:rsid w:val="009D4529"/>
    <w:rsid w:val="009D4B03"/>
    <w:rsid w:val="009D5EB1"/>
    <w:rsid w:val="009D604F"/>
    <w:rsid w:val="009D61BB"/>
    <w:rsid w:val="009D6410"/>
    <w:rsid w:val="009D65FF"/>
    <w:rsid w:val="009D66B2"/>
    <w:rsid w:val="009D68BB"/>
    <w:rsid w:val="009D6E3A"/>
    <w:rsid w:val="009D70C2"/>
    <w:rsid w:val="009D7278"/>
    <w:rsid w:val="009D773A"/>
    <w:rsid w:val="009D7ADB"/>
    <w:rsid w:val="009D7B33"/>
    <w:rsid w:val="009D7C08"/>
    <w:rsid w:val="009E0703"/>
    <w:rsid w:val="009E16DA"/>
    <w:rsid w:val="009E1CD4"/>
    <w:rsid w:val="009E20DC"/>
    <w:rsid w:val="009E2391"/>
    <w:rsid w:val="009E241B"/>
    <w:rsid w:val="009E299D"/>
    <w:rsid w:val="009E2E11"/>
    <w:rsid w:val="009E474E"/>
    <w:rsid w:val="009E476A"/>
    <w:rsid w:val="009E4E05"/>
    <w:rsid w:val="009E56FF"/>
    <w:rsid w:val="009E5CB1"/>
    <w:rsid w:val="009E5E56"/>
    <w:rsid w:val="009E61EA"/>
    <w:rsid w:val="009E6990"/>
    <w:rsid w:val="009E6FCA"/>
    <w:rsid w:val="009E6FEE"/>
    <w:rsid w:val="009F060F"/>
    <w:rsid w:val="009F0781"/>
    <w:rsid w:val="009F0850"/>
    <w:rsid w:val="009F11B2"/>
    <w:rsid w:val="009F1BDF"/>
    <w:rsid w:val="009F1EAE"/>
    <w:rsid w:val="009F369D"/>
    <w:rsid w:val="009F36FE"/>
    <w:rsid w:val="009F3ADB"/>
    <w:rsid w:val="009F4386"/>
    <w:rsid w:val="009F46A9"/>
    <w:rsid w:val="009F4F25"/>
    <w:rsid w:val="009F59C2"/>
    <w:rsid w:val="009F7263"/>
    <w:rsid w:val="009F76EA"/>
    <w:rsid w:val="009F78EB"/>
    <w:rsid w:val="009F7F32"/>
    <w:rsid w:val="009F7FEB"/>
    <w:rsid w:val="00A004CE"/>
    <w:rsid w:val="00A01852"/>
    <w:rsid w:val="00A0188B"/>
    <w:rsid w:val="00A01E73"/>
    <w:rsid w:val="00A023E7"/>
    <w:rsid w:val="00A02B88"/>
    <w:rsid w:val="00A02F3C"/>
    <w:rsid w:val="00A03160"/>
    <w:rsid w:val="00A036AC"/>
    <w:rsid w:val="00A03C54"/>
    <w:rsid w:val="00A041BC"/>
    <w:rsid w:val="00A0447F"/>
    <w:rsid w:val="00A046D2"/>
    <w:rsid w:val="00A04A54"/>
    <w:rsid w:val="00A05B4B"/>
    <w:rsid w:val="00A066C3"/>
    <w:rsid w:val="00A06754"/>
    <w:rsid w:val="00A06942"/>
    <w:rsid w:val="00A069E0"/>
    <w:rsid w:val="00A06E4A"/>
    <w:rsid w:val="00A078FB"/>
    <w:rsid w:val="00A1036D"/>
    <w:rsid w:val="00A1069F"/>
    <w:rsid w:val="00A10919"/>
    <w:rsid w:val="00A10ACA"/>
    <w:rsid w:val="00A10D04"/>
    <w:rsid w:val="00A10D08"/>
    <w:rsid w:val="00A10EB0"/>
    <w:rsid w:val="00A121D8"/>
    <w:rsid w:val="00A12355"/>
    <w:rsid w:val="00A12384"/>
    <w:rsid w:val="00A127B7"/>
    <w:rsid w:val="00A127D2"/>
    <w:rsid w:val="00A12ADA"/>
    <w:rsid w:val="00A143EC"/>
    <w:rsid w:val="00A14A60"/>
    <w:rsid w:val="00A14F69"/>
    <w:rsid w:val="00A1500F"/>
    <w:rsid w:val="00A15621"/>
    <w:rsid w:val="00A15670"/>
    <w:rsid w:val="00A157A0"/>
    <w:rsid w:val="00A1585B"/>
    <w:rsid w:val="00A15C19"/>
    <w:rsid w:val="00A16809"/>
    <w:rsid w:val="00A176FA"/>
    <w:rsid w:val="00A17721"/>
    <w:rsid w:val="00A17769"/>
    <w:rsid w:val="00A17EA2"/>
    <w:rsid w:val="00A20264"/>
    <w:rsid w:val="00A20997"/>
    <w:rsid w:val="00A21454"/>
    <w:rsid w:val="00A22025"/>
    <w:rsid w:val="00A22498"/>
    <w:rsid w:val="00A22571"/>
    <w:rsid w:val="00A23023"/>
    <w:rsid w:val="00A23A08"/>
    <w:rsid w:val="00A24560"/>
    <w:rsid w:val="00A24A1D"/>
    <w:rsid w:val="00A251AE"/>
    <w:rsid w:val="00A25B0F"/>
    <w:rsid w:val="00A25BBB"/>
    <w:rsid w:val="00A25D87"/>
    <w:rsid w:val="00A25F8E"/>
    <w:rsid w:val="00A27F18"/>
    <w:rsid w:val="00A27FB6"/>
    <w:rsid w:val="00A30121"/>
    <w:rsid w:val="00A30368"/>
    <w:rsid w:val="00A3043A"/>
    <w:rsid w:val="00A30E02"/>
    <w:rsid w:val="00A30F6A"/>
    <w:rsid w:val="00A31BA2"/>
    <w:rsid w:val="00A31C3E"/>
    <w:rsid w:val="00A32D95"/>
    <w:rsid w:val="00A34538"/>
    <w:rsid w:val="00A34677"/>
    <w:rsid w:val="00A34BA0"/>
    <w:rsid w:val="00A3517D"/>
    <w:rsid w:val="00A3540F"/>
    <w:rsid w:val="00A35630"/>
    <w:rsid w:val="00A357FA"/>
    <w:rsid w:val="00A35914"/>
    <w:rsid w:val="00A36189"/>
    <w:rsid w:val="00A3622F"/>
    <w:rsid w:val="00A37E73"/>
    <w:rsid w:val="00A37FB6"/>
    <w:rsid w:val="00A4104A"/>
    <w:rsid w:val="00A41081"/>
    <w:rsid w:val="00A411CA"/>
    <w:rsid w:val="00A413AD"/>
    <w:rsid w:val="00A4169F"/>
    <w:rsid w:val="00A42096"/>
    <w:rsid w:val="00A421E7"/>
    <w:rsid w:val="00A426F3"/>
    <w:rsid w:val="00A4291B"/>
    <w:rsid w:val="00A42BBA"/>
    <w:rsid w:val="00A42FDF"/>
    <w:rsid w:val="00A430A9"/>
    <w:rsid w:val="00A431FE"/>
    <w:rsid w:val="00A434E9"/>
    <w:rsid w:val="00A439E5"/>
    <w:rsid w:val="00A43D1B"/>
    <w:rsid w:val="00A4497A"/>
    <w:rsid w:val="00A44BE8"/>
    <w:rsid w:val="00A44C96"/>
    <w:rsid w:val="00A44F54"/>
    <w:rsid w:val="00A45F9B"/>
    <w:rsid w:val="00A461BF"/>
    <w:rsid w:val="00A46574"/>
    <w:rsid w:val="00A4657A"/>
    <w:rsid w:val="00A467C4"/>
    <w:rsid w:val="00A46EE4"/>
    <w:rsid w:val="00A47D4A"/>
    <w:rsid w:val="00A47D53"/>
    <w:rsid w:val="00A500B1"/>
    <w:rsid w:val="00A51593"/>
    <w:rsid w:val="00A52D3F"/>
    <w:rsid w:val="00A52EE5"/>
    <w:rsid w:val="00A53037"/>
    <w:rsid w:val="00A532B9"/>
    <w:rsid w:val="00A5351D"/>
    <w:rsid w:val="00A53D84"/>
    <w:rsid w:val="00A53E79"/>
    <w:rsid w:val="00A53F14"/>
    <w:rsid w:val="00A54031"/>
    <w:rsid w:val="00A5426D"/>
    <w:rsid w:val="00A54FC2"/>
    <w:rsid w:val="00A55122"/>
    <w:rsid w:val="00A5696C"/>
    <w:rsid w:val="00A56C67"/>
    <w:rsid w:val="00A56DE7"/>
    <w:rsid w:val="00A57AF7"/>
    <w:rsid w:val="00A57EB2"/>
    <w:rsid w:val="00A6009E"/>
    <w:rsid w:val="00A605F9"/>
    <w:rsid w:val="00A60762"/>
    <w:rsid w:val="00A60B1F"/>
    <w:rsid w:val="00A61C60"/>
    <w:rsid w:val="00A621A7"/>
    <w:rsid w:val="00A62589"/>
    <w:rsid w:val="00A62C3A"/>
    <w:rsid w:val="00A63812"/>
    <w:rsid w:val="00A63DF7"/>
    <w:rsid w:val="00A64198"/>
    <w:rsid w:val="00A64505"/>
    <w:rsid w:val="00A668BA"/>
    <w:rsid w:val="00A66FA7"/>
    <w:rsid w:val="00A674AA"/>
    <w:rsid w:val="00A677F6"/>
    <w:rsid w:val="00A67E16"/>
    <w:rsid w:val="00A70101"/>
    <w:rsid w:val="00A703CC"/>
    <w:rsid w:val="00A70C5C"/>
    <w:rsid w:val="00A71EA7"/>
    <w:rsid w:val="00A730AD"/>
    <w:rsid w:val="00A73855"/>
    <w:rsid w:val="00A73D64"/>
    <w:rsid w:val="00A73FEA"/>
    <w:rsid w:val="00A74216"/>
    <w:rsid w:val="00A744B4"/>
    <w:rsid w:val="00A74D61"/>
    <w:rsid w:val="00A751E3"/>
    <w:rsid w:val="00A75504"/>
    <w:rsid w:val="00A75CD9"/>
    <w:rsid w:val="00A76438"/>
    <w:rsid w:val="00A77168"/>
    <w:rsid w:val="00A7723B"/>
    <w:rsid w:val="00A7793C"/>
    <w:rsid w:val="00A77D21"/>
    <w:rsid w:val="00A80085"/>
    <w:rsid w:val="00A8043B"/>
    <w:rsid w:val="00A81323"/>
    <w:rsid w:val="00A81AC0"/>
    <w:rsid w:val="00A81D1E"/>
    <w:rsid w:val="00A820CB"/>
    <w:rsid w:val="00A8214C"/>
    <w:rsid w:val="00A82342"/>
    <w:rsid w:val="00A83BEF"/>
    <w:rsid w:val="00A84443"/>
    <w:rsid w:val="00A8487F"/>
    <w:rsid w:val="00A848FC"/>
    <w:rsid w:val="00A849A3"/>
    <w:rsid w:val="00A84A0E"/>
    <w:rsid w:val="00A851FD"/>
    <w:rsid w:val="00A86461"/>
    <w:rsid w:val="00A86B00"/>
    <w:rsid w:val="00A86E0B"/>
    <w:rsid w:val="00A90F12"/>
    <w:rsid w:val="00A9110D"/>
    <w:rsid w:val="00A93101"/>
    <w:rsid w:val="00A94293"/>
    <w:rsid w:val="00A94630"/>
    <w:rsid w:val="00A94760"/>
    <w:rsid w:val="00A9496E"/>
    <w:rsid w:val="00A949F0"/>
    <w:rsid w:val="00A94BDE"/>
    <w:rsid w:val="00A94FCA"/>
    <w:rsid w:val="00A95D0E"/>
    <w:rsid w:val="00A95E4C"/>
    <w:rsid w:val="00A964A2"/>
    <w:rsid w:val="00A96C09"/>
    <w:rsid w:val="00A96C60"/>
    <w:rsid w:val="00A9740B"/>
    <w:rsid w:val="00A9766C"/>
    <w:rsid w:val="00A977F8"/>
    <w:rsid w:val="00A97C93"/>
    <w:rsid w:val="00AA08E7"/>
    <w:rsid w:val="00AA0A06"/>
    <w:rsid w:val="00AA1351"/>
    <w:rsid w:val="00AA1859"/>
    <w:rsid w:val="00AA1C84"/>
    <w:rsid w:val="00AA30E4"/>
    <w:rsid w:val="00AA3D7B"/>
    <w:rsid w:val="00AA42A0"/>
    <w:rsid w:val="00AA442B"/>
    <w:rsid w:val="00AA46A4"/>
    <w:rsid w:val="00AA5779"/>
    <w:rsid w:val="00AA58A1"/>
    <w:rsid w:val="00AA61C7"/>
    <w:rsid w:val="00AA669D"/>
    <w:rsid w:val="00AA66ED"/>
    <w:rsid w:val="00AA6BE1"/>
    <w:rsid w:val="00AA706E"/>
    <w:rsid w:val="00AA7416"/>
    <w:rsid w:val="00AA7A60"/>
    <w:rsid w:val="00AA7B42"/>
    <w:rsid w:val="00AB041C"/>
    <w:rsid w:val="00AB0483"/>
    <w:rsid w:val="00AB14E8"/>
    <w:rsid w:val="00AB17EC"/>
    <w:rsid w:val="00AB1B1D"/>
    <w:rsid w:val="00AB2216"/>
    <w:rsid w:val="00AB2C0A"/>
    <w:rsid w:val="00AB358D"/>
    <w:rsid w:val="00AB37A1"/>
    <w:rsid w:val="00AB3BAD"/>
    <w:rsid w:val="00AB3CFD"/>
    <w:rsid w:val="00AB40C6"/>
    <w:rsid w:val="00AB49BC"/>
    <w:rsid w:val="00AB4DEE"/>
    <w:rsid w:val="00AB4E32"/>
    <w:rsid w:val="00AB4F86"/>
    <w:rsid w:val="00AB579A"/>
    <w:rsid w:val="00AB68DF"/>
    <w:rsid w:val="00AB724B"/>
    <w:rsid w:val="00AB726C"/>
    <w:rsid w:val="00AB72B4"/>
    <w:rsid w:val="00AC02AA"/>
    <w:rsid w:val="00AC0537"/>
    <w:rsid w:val="00AC0A84"/>
    <w:rsid w:val="00AC2A0B"/>
    <w:rsid w:val="00AC2BEC"/>
    <w:rsid w:val="00AC2BEE"/>
    <w:rsid w:val="00AC2E53"/>
    <w:rsid w:val="00AC30DB"/>
    <w:rsid w:val="00AC484F"/>
    <w:rsid w:val="00AC4B20"/>
    <w:rsid w:val="00AC4D8F"/>
    <w:rsid w:val="00AC56F2"/>
    <w:rsid w:val="00AC5B83"/>
    <w:rsid w:val="00AC5D30"/>
    <w:rsid w:val="00AC6886"/>
    <w:rsid w:val="00AC6C90"/>
    <w:rsid w:val="00AC71C3"/>
    <w:rsid w:val="00AD0DA5"/>
    <w:rsid w:val="00AD0EB3"/>
    <w:rsid w:val="00AD1499"/>
    <w:rsid w:val="00AD1EFA"/>
    <w:rsid w:val="00AD2072"/>
    <w:rsid w:val="00AD2808"/>
    <w:rsid w:val="00AD2DBD"/>
    <w:rsid w:val="00AD2FBF"/>
    <w:rsid w:val="00AD455D"/>
    <w:rsid w:val="00AD463C"/>
    <w:rsid w:val="00AD46A2"/>
    <w:rsid w:val="00AD47E8"/>
    <w:rsid w:val="00AD4F60"/>
    <w:rsid w:val="00AD5044"/>
    <w:rsid w:val="00AD5114"/>
    <w:rsid w:val="00AD5B31"/>
    <w:rsid w:val="00AD6236"/>
    <w:rsid w:val="00AD70B4"/>
    <w:rsid w:val="00AD7619"/>
    <w:rsid w:val="00AD7770"/>
    <w:rsid w:val="00AE0588"/>
    <w:rsid w:val="00AE05F9"/>
    <w:rsid w:val="00AE1772"/>
    <w:rsid w:val="00AE1990"/>
    <w:rsid w:val="00AE1BB9"/>
    <w:rsid w:val="00AE2523"/>
    <w:rsid w:val="00AE25E8"/>
    <w:rsid w:val="00AE2AD4"/>
    <w:rsid w:val="00AE2CA7"/>
    <w:rsid w:val="00AE2F1D"/>
    <w:rsid w:val="00AE4B2B"/>
    <w:rsid w:val="00AE586F"/>
    <w:rsid w:val="00AE6582"/>
    <w:rsid w:val="00AE6BC7"/>
    <w:rsid w:val="00AE6DC5"/>
    <w:rsid w:val="00AE7686"/>
    <w:rsid w:val="00AE799A"/>
    <w:rsid w:val="00AF00B6"/>
    <w:rsid w:val="00AF0492"/>
    <w:rsid w:val="00AF0E81"/>
    <w:rsid w:val="00AF0F32"/>
    <w:rsid w:val="00AF117A"/>
    <w:rsid w:val="00AF186E"/>
    <w:rsid w:val="00AF19DF"/>
    <w:rsid w:val="00AF1F4F"/>
    <w:rsid w:val="00AF26CF"/>
    <w:rsid w:val="00AF2AD1"/>
    <w:rsid w:val="00AF4E92"/>
    <w:rsid w:val="00AF554B"/>
    <w:rsid w:val="00AF5C9B"/>
    <w:rsid w:val="00AF5D53"/>
    <w:rsid w:val="00AF5E2D"/>
    <w:rsid w:val="00AF644B"/>
    <w:rsid w:val="00AF6CA6"/>
    <w:rsid w:val="00AF6EB6"/>
    <w:rsid w:val="00AF72E3"/>
    <w:rsid w:val="00AF7796"/>
    <w:rsid w:val="00B011A9"/>
    <w:rsid w:val="00B015F3"/>
    <w:rsid w:val="00B024ED"/>
    <w:rsid w:val="00B02E66"/>
    <w:rsid w:val="00B02EB3"/>
    <w:rsid w:val="00B02FCB"/>
    <w:rsid w:val="00B033F8"/>
    <w:rsid w:val="00B03C1E"/>
    <w:rsid w:val="00B04400"/>
    <w:rsid w:val="00B04835"/>
    <w:rsid w:val="00B05A55"/>
    <w:rsid w:val="00B05DE1"/>
    <w:rsid w:val="00B06595"/>
    <w:rsid w:val="00B07D11"/>
    <w:rsid w:val="00B10109"/>
    <w:rsid w:val="00B1085E"/>
    <w:rsid w:val="00B10FD0"/>
    <w:rsid w:val="00B10FD1"/>
    <w:rsid w:val="00B11896"/>
    <w:rsid w:val="00B11B55"/>
    <w:rsid w:val="00B12735"/>
    <w:rsid w:val="00B129C6"/>
    <w:rsid w:val="00B131C4"/>
    <w:rsid w:val="00B13386"/>
    <w:rsid w:val="00B13533"/>
    <w:rsid w:val="00B13C48"/>
    <w:rsid w:val="00B13E35"/>
    <w:rsid w:val="00B13EC0"/>
    <w:rsid w:val="00B13FA5"/>
    <w:rsid w:val="00B14102"/>
    <w:rsid w:val="00B14D32"/>
    <w:rsid w:val="00B1557C"/>
    <w:rsid w:val="00B155DC"/>
    <w:rsid w:val="00B15766"/>
    <w:rsid w:val="00B159AA"/>
    <w:rsid w:val="00B1666A"/>
    <w:rsid w:val="00B1686D"/>
    <w:rsid w:val="00B17037"/>
    <w:rsid w:val="00B1741D"/>
    <w:rsid w:val="00B17447"/>
    <w:rsid w:val="00B17563"/>
    <w:rsid w:val="00B1771D"/>
    <w:rsid w:val="00B1792E"/>
    <w:rsid w:val="00B17B5B"/>
    <w:rsid w:val="00B17B91"/>
    <w:rsid w:val="00B20209"/>
    <w:rsid w:val="00B203AF"/>
    <w:rsid w:val="00B203C9"/>
    <w:rsid w:val="00B2088D"/>
    <w:rsid w:val="00B208FF"/>
    <w:rsid w:val="00B228D1"/>
    <w:rsid w:val="00B22C58"/>
    <w:rsid w:val="00B22D35"/>
    <w:rsid w:val="00B22E22"/>
    <w:rsid w:val="00B22F5F"/>
    <w:rsid w:val="00B23813"/>
    <w:rsid w:val="00B23FD9"/>
    <w:rsid w:val="00B24591"/>
    <w:rsid w:val="00B245D5"/>
    <w:rsid w:val="00B24C36"/>
    <w:rsid w:val="00B24F94"/>
    <w:rsid w:val="00B25126"/>
    <w:rsid w:val="00B25A52"/>
    <w:rsid w:val="00B25B0A"/>
    <w:rsid w:val="00B25FC3"/>
    <w:rsid w:val="00B26852"/>
    <w:rsid w:val="00B26C61"/>
    <w:rsid w:val="00B26CC4"/>
    <w:rsid w:val="00B27026"/>
    <w:rsid w:val="00B27875"/>
    <w:rsid w:val="00B27C18"/>
    <w:rsid w:val="00B27E51"/>
    <w:rsid w:val="00B3008D"/>
    <w:rsid w:val="00B30302"/>
    <w:rsid w:val="00B30E11"/>
    <w:rsid w:val="00B30EEB"/>
    <w:rsid w:val="00B30FD0"/>
    <w:rsid w:val="00B31423"/>
    <w:rsid w:val="00B31710"/>
    <w:rsid w:val="00B323E0"/>
    <w:rsid w:val="00B32DC0"/>
    <w:rsid w:val="00B33137"/>
    <w:rsid w:val="00B3346C"/>
    <w:rsid w:val="00B335E4"/>
    <w:rsid w:val="00B33C23"/>
    <w:rsid w:val="00B345B4"/>
    <w:rsid w:val="00B348B1"/>
    <w:rsid w:val="00B34A28"/>
    <w:rsid w:val="00B34EB2"/>
    <w:rsid w:val="00B35046"/>
    <w:rsid w:val="00B35B6A"/>
    <w:rsid w:val="00B37657"/>
    <w:rsid w:val="00B37AFD"/>
    <w:rsid w:val="00B37B07"/>
    <w:rsid w:val="00B4046F"/>
    <w:rsid w:val="00B40B47"/>
    <w:rsid w:val="00B41D39"/>
    <w:rsid w:val="00B42031"/>
    <w:rsid w:val="00B422C0"/>
    <w:rsid w:val="00B426CA"/>
    <w:rsid w:val="00B426E1"/>
    <w:rsid w:val="00B428E1"/>
    <w:rsid w:val="00B437F8"/>
    <w:rsid w:val="00B4387A"/>
    <w:rsid w:val="00B43F4E"/>
    <w:rsid w:val="00B44260"/>
    <w:rsid w:val="00B44746"/>
    <w:rsid w:val="00B44854"/>
    <w:rsid w:val="00B44A23"/>
    <w:rsid w:val="00B45419"/>
    <w:rsid w:val="00B458C1"/>
    <w:rsid w:val="00B458D0"/>
    <w:rsid w:val="00B45D0D"/>
    <w:rsid w:val="00B4792C"/>
    <w:rsid w:val="00B47A25"/>
    <w:rsid w:val="00B50CAE"/>
    <w:rsid w:val="00B512AD"/>
    <w:rsid w:val="00B5196C"/>
    <w:rsid w:val="00B523B9"/>
    <w:rsid w:val="00B525CB"/>
    <w:rsid w:val="00B52697"/>
    <w:rsid w:val="00B53E7C"/>
    <w:rsid w:val="00B53E90"/>
    <w:rsid w:val="00B54D8F"/>
    <w:rsid w:val="00B555B1"/>
    <w:rsid w:val="00B55857"/>
    <w:rsid w:val="00B55C2B"/>
    <w:rsid w:val="00B55C69"/>
    <w:rsid w:val="00B56851"/>
    <w:rsid w:val="00B56D6E"/>
    <w:rsid w:val="00B572F7"/>
    <w:rsid w:val="00B57B9D"/>
    <w:rsid w:val="00B57DAF"/>
    <w:rsid w:val="00B60094"/>
    <w:rsid w:val="00B6022C"/>
    <w:rsid w:val="00B611CF"/>
    <w:rsid w:val="00B614F8"/>
    <w:rsid w:val="00B61994"/>
    <w:rsid w:val="00B61FD4"/>
    <w:rsid w:val="00B62880"/>
    <w:rsid w:val="00B63872"/>
    <w:rsid w:val="00B63CB2"/>
    <w:rsid w:val="00B63F51"/>
    <w:rsid w:val="00B6416D"/>
    <w:rsid w:val="00B64246"/>
    <w:rsid w:val="00B64EDB"/>
    <w:rsid w:val="00B6501B"/>
    <w:rsid w:val="00B65379"/>
    <w:rsid w:val="00B654D3"/>
    <w:rsid w:val="00B65938"/>
    <w:rsid w:val="00B6596B"/>
    <w:rsid w:val="00B65C6F"/>
    <w:rsid w:val="00B65C8A"/>
    <w:rsid w:val="00B65CE2"/>
    <w:rsid w:val="00B65CED"/>
    <w:rsid w:val="00B660AD"/>
    <w:rsid w:val="00B660CB"/>
    <w:rsid w:val="00B66109"/>
    <w:rsid w:val="00B66349"/>
    <w:rsid w:val="00B67630"/>
    <w:rsid w:val="00B67711"/>
    <w:rsid w:val="00B67FBF"/>
    <w:rsid w:val="00B7024E"/>
    <w:rsid w:val="00B70A5C"/>
    <w:rsid w:val="00B71F5F"/>
    <w:rsid w:val="00B71FA7"/>
    <w:rsid w:val="00B72110"/>
    <w:rsid w:val="00B72B91"/>
    <w:rsid w:val="00B73019"/>
    <w:rsid w:val="00B7315F"/>
    <w:rsid w:val="00B7323A"/>
    <w:rsid w:val="00B73356"/>
    <w:rsid w:val="00B7353B"/>
    <w:rsid w:val="00B7358A"/>
    <w:rsid w:val="00B737FB"/>
    <w:rsid w:val="00B73EDA"/>
    <w:rsid w:val="00B7423D"/>
    <w:rsid w:val="00B74605"/>
    <w:rsid w:val="00B74D05"/>
    <w:rsid w:val="00B75937"/>
    <w:rsid w:val="00B777FA"/>
    <w:rsid w:val="00B77850"/>
    <w:rsid w:val="00B7796B"/>
    <w:rsid w:val="00B80B8A"/>
    <w:rsid w:val="00B80C72"/>
    <w:rsid w:val="00B81964"/>
    <w:rsid w:val="00B81E6F"/>
    <w:rsid w:val="00B82123"/>
    <w:rsid w:val="00B8225B"/>
    <w:rsid w:val="00B82BB5"/>
    <w:rsid w:val="00B83182"/>
    <w:rsid w:val="00B84684"/>
    <w:rsid w:val="00B848DF"/>
    <w:rsid w:val="00B851E4"/>
    <w:rsid w:val="00B854CE"/>
    <w:rsid w:val="00B85681"/>
    <w:rsid w:val="00B857EB"/>
    <w:rsid w:val="00B86162"/>
    <w:rsid w:val="00B86877"/>
    <w:rsid w:val="00B8695D"/>
    <w:rsid w:val="00B86E66"/>
    <w:rsid w:val="00B873BA"/>
    <w:rsid w:val="00B8746F"/>
    <w:rsid w:val="00B8760D"/>
    <w:rsid w:val="00B87706"/>
    <w:rsid w:val="00B87F98"/>
    <w:rsid w:val="00B90A49"/>
    <w:rsid w:val="00B90C2B"/>
    <w:rsid w:val="00B910A5"/>
    <w:rsid w:val="00B91B8E"/>
    <w:rsid w:val="00B91E13"/>
    <w:rsid w:val="00B92531"/>
    <w:rsid w:val="00B92618"/>
    <w:rsid w:val="00B92751"/>
    <w:rsid w:val="00B92A5A"/>
    <w:rsid w:val="00B92B69"/>
    <w:rsid w:val="00B92CC6"/>
    <w:rsid w:val="00B935C9"/>
    <w:rsid w:val="00B93E3D"/>
    <w:rsid w:val="00B94033"/>
    <w:rsid w:val="00B95018"/>
    <w:rsid w:val="00B95464"/>
    <w:rsid w:val="00B95C30"/>
    <w:rsid w:val="00B95CB7"/>
    <w:rsid w:val="00B95E3D"/>
    <w:rsid w:val="00B9691F"/>
    <w:rsid w:val="00B969E0"/>
    <w:rsid w:val="00B96EEC"/>
    <w:rsid w:val="00B97392"/>
    <w:rsid w:val="00B974B5"/>
    <w:rsid w:val="00B97559"/>
    <w:rsid w:val="00B97691"/>
    <w:rsid w:val="00B976C7"/>
    <w:rsid w:val="00BA0C54"/>
    <w:rsid w:val="00BA1382"/>
    <w:rsid w:val="00BA20D8"/>
    <w:rsid w:val="00BA22FC"/>
    <w:rsid w:val="00BA2F30"/>
    <w:rsid w:val="00BA4771"/>
    <w:rsid w:val="00BA4DBB"/>
    <w:rsid w:val="00BA5027"/>
    <w:rsid w:val="00BA665B"/>
    <w:rsid w:val="00BA72BD"/>
    <w:rsid w:val="00BA7370"/>
    <w:rsid w:val="00BA778B"/>
    <w:rsid w:val="00BB0888"/>
    <w:rsid w:val="00BB0DF1"/>
    <w:rsid w:val="00BB0E9B"/>
    <w:rsid w:val="00BB10EB"/>
    <w:rsid w:val="00BB139D"/>
    <w:rsid w:val="00BB2729"/>
    <w:rsid w:val="00BB2841"/>
    <w:rsid w:val="00BB300F"/>
    <w:rsid w:val="00BB32C9"/>
    <w:rsid w:val="00BB35C5"/>
    <w:rsid w:val="00BB43A7"/>
    <w:rsid w:val="00BB4C8E"/>
    <w:rsid w:val="00BB57ED"/>
    <w:rsid w:val="00BB65C3"/>
    <w:rsid w:val="00BB662E"/>
    <w:rsid w:val="00BB67A9"/>
    <w:rsid w:val="00BB6C01"/>
    <w:rsid w:val="00BB718B"/>
    <w:rsid w:val="00BB75CB"/>
    <w:rsid w:val="00BB7942"/>
    <w:rsid w:val="00BB7CD1"/>
    <w:rsid w:val="00BC07E4"/>
    <w:rsid w:val="00BC0F33"/>
    <w:rsid w:val="00BC14A7"/>
    <w:rsid w:val="00BC1611"/>
    <w:rsid w:val="00BC17CC"/>
    <w:rsid w:val="00BC229E"/>
    <w:rsid w:val="00BC2898"/>
    <w:rsid w:val="00BC2928"/>
    <w:rsid w:val="00BC2AA9"/>
    <w:rsid w:val="00BC2BB1"/>
    <w:rsid w:val="00BC34A3"/>
    <w:rsid w:val="00BC3FF9"/>
    <w:rsid w:val="00BC4834"/>
    <w:rsid w:val="00BC4A97"/>
    <w:rsid w:val="00BC5A25"/>
    <w:rsid w:val="00BC5E28"/>
    <w:rsid w:val="00BC5FDD"/>
    <w:rsid w:val="00BC68B4"/>
    <w:rsid w:val="00BC6C2D"/>
    <w:rsid w:val="00BC7B9A"/>
    <w:rsid w:val="00BD0140"/>
    <w:rsid w:val="00BD02CC"/>
    <w:rsid w:val="00BD1675"/>
    <w:rsid w:val="00BD2063"/>
    <w:rsid w:val="00BD23F8"/>
    <w:rsid w:val="00BD2B91"/>
    <w:rsid w:val="00BD33D9"/>
    <w:rsid w:val="00BD38C5"/>
    <w:rsid w:val="00BD3CF1"/>
    <w:rsid w:val="00BD3DEA"/>
    <w:rsid w:val="00BD3E97"/>
    <w:rsid w:val="00BD40E4"/>
    <w:rsid w:val="00BD52FE"/>
    <w:rsid w:val="00BD62CF"/>
    <w:rsid w:val="00BD677A"/>
    <w:rsid w:val="00BD67B2"/>
    <w:rsid w:val="00BD6A07"/>
    <w:rsid w:val="00BD78AB"/>
    <w:rsid w:val="00BD78FE"/>
    <w:rsid w:val="00BE0149"/>
    <w:rsid w:val="00BE0767"/>
    <w:rsid w:val="00BE12B8"/>
    <w:rsid w:val="00BE12D7"/>
    <w:rsid w:val="00BE1372"/>
    <w:rsid w:val="00BE1775"/>
    <w:rsid w:val="00BE17A2"/>
    <w:rsid w:val="00BE18DA"/>
    <w:rsid w:val="00BE1A31"/>
    <w:rsid w:val="00BE223B"/>
    <w:rsid w:val="00BE26C0"/>
    <w:rsid w:val="00BE3442"/>
    <w:rsid w:val="00BE45DF"/>
    <w:rsid w:val="00BE47B2"/>
    <w:rsid w:val="00BE48C7"/>
    <w:rsid w:val="00BE4F66"/>
    <w:rsid w:val="00BE5238"/>
    <w:rsid w:val="00BE5D35"/>
    <w:rsid w:val="00BE6074"/>
    <w:rsid w:val="00BE67A2"/>
    <w:rsid w:val="00BE7257"/>
    <w:rsid w:val="00BF020D"/>
    <w:rsid w:val="00BF1DD2"/>
    <w:rsid w:val="00BF2321"/>
    <w:rsid w:val="00BF23A3"/>
    <w:rsid w:val="00BF28DB"/>
    <w:rsid w:val="00BF2A7E"/>
    <w:rsid w:val="00BF3331"/>
    <w:rsid w:val="00BF3A45"/>
    <w:rsid w:val="00BF436F"/>
    <w:rsid w:val="00BF5723"/>
    <w:rsid w:val="00BF5C05"/>
    <w:rsid w:val="00BF60C8"/>
    <w:rsid w:val="00BF6FC6"/>
    <w:rsid w:val="00BF7C52"/>
    <w:rsid w:val="00BF7F99"/>
    <w:rsid w:val="00C00713"/>
    <w:rsid w:val="00C009A0"/>
    <w:rsid w:val="00C01F74"/>
    <w:rsid w:val="00C02558"/>
    <w:rsid w:val="00C0285F"/>
    <w:rsid w:val="00C02F35"/>
    <w:rsid w:val="00C03305"/>
    <w:rsid w:val="00C03515"/>
    <w:rsid w:val="00C03738"/>
    <w:rsid w:val="00C037A6"/>
    <w:rsid w:val="00C043F5"/>
    <w:rsid w:val="00C044E3"/>
    <w:rsid w:val="00C047A8"/>
    <w:rsid w:val="00C048DE"/>
    <w:rsid w:val="00C04BDB"/>
    <w:rsid w:val="00C04F5C"/>
    <w:rsid w:val="00C052C6"/>
    <w:rsid w:val="00C059D4"/>
    <w:rsid w:val="00C05A61"/>
    <w:rsid w:val="00C064F0"/>
    <w:rsid w:val="00C06C2C"/>
    <w:rsid w:val="00C06CCF"/>
    <w:rsid w:val="00C07D95"/>
    <w:rsid w:val="00C108B8"/>
    <w:rsid w:val="00C11503"/>
    <w:rsid w:val="00C1159D"/>
    <w:rsid w:val="00C11683"/>
    <w:rsid w:val="00C11798"/>
    <w:rsid w:val="00C118DB"/>
    <w:rsid w:val="00C1233E"/>
    <w:rsid w:val="00C125C1"/>
    <w:rsid w:val="00C12F05"/>
    <w:rsid w:val="00C12FB3"/>
    <w:rsid w:val="00C138BC"/>
    <w:rsid w:val="00C13D85"/>
    <w:rsid w:val="00C14639"/>
    <w:rsid w:val="00C14E82"/>
    <w:rsid w:val="00C14FF6"/>
    <w:rsid w:val="00C1512F"/>
    <w:rsid w:val="00C15A85"/>
    <w:rsid w:val="00C1641B"/>
    <w:rsid w:val="00C165FC"/>
    <w:rsid w:val="00C17402"/>
    <w:rsid w:val="00C176D5"/>
    <w:rsid w:val="00C2082C"/>
    <w:rsid w:val="00C20832"/>
    <w:rsid w:val="00C20EB0"/>
    <w:rsid w:val="00C21005"/>
    <w:rsid w:val="00C220B6"/>
    <w:rsid w:val="00C22206"/>
    <w:rsid w:val="00C227AF"/>
    <w:rsid w:val="00C22D7C"/>
    <w:rsid w:val="00C22DDE"/>
    <w:rsid w:val="00C2338B"/>
    <w:rsid w:val="00C233CE"/>
    <w:rsid w:val="00C23661"/>
    <w:rsid w:val="00C236AE"/>
    <w:rsid w:val="00C237DD"/>
    <w:rsid w:val="00C238F4"/>
    <w:rsid w:val="00C23A99"/>
    <w:rsid w:val="00C245EE"/>
    <w:rsid w:val="00C24AE1"/>
    <w:rsid w:val="00C24B8D"/>
    <w:rsid w:val="00C24BD7"/>
    <w:rsid w:val="00C2542B"/>
    <w:rsid w:val="00C25813"/>
    <w:rsid w:val="00C25A04"/>
    <w:rsid w:val="00C27143"/>
    <w:rsid w:val="00C27490"/>
    <w:rsid w:val="00C27A55"/>
    <w:rsid w:val="00C27D37"/>
    <w:rsid w:val="00C27FB2"/>
    <w:rsid w:val="00C302E5"/>
    <w:rsid w:val="00C309E8"/>
    <w:rsid w:val="00C3190C"/>
    <w:rsid w:val="00C32017"/>
    <w:rsid w:val="00C325CD"/>
    <w:rsid w:val="00C3322E"/>
    <w:rsid w:val="00C337F5"/>
    <w:rsid w:val="00C33907"/>
    <w:rsid w:val="00C33B90"/>
    <w:rsid w:val="00C34B5F"/>
    <w:rsid w:val="00C358D4"/>
    <w:rsid w:val="00C35A19"/>
    <w:rsid w:val="00C36785"/>
    <w:rsid w:val="00C36845"/>
    <w:rsid w:val="00C3711C"/>
    <w:rsid w:val="00C37256"/>
    <w:rsid w:val="00C37A7B"/>
    <w:rsid w:val="00C37CFF"/>
    <w:rsid w:val="00C37FFE"/>
    <w:rsid w:val="00C40B50"/>
    <w:rsid w:val="00C41858"/>
    <w:rsid w:val="00C419E3"/>
    <w:rsid w:val="00C419F4"/>
    <w:rsid w:val="00C41E6A"/>
    <w:rsid w:val="00C42247"/>
    <w:rsid w:val="00C439BE"/>
    <w:rsid w:val="00C44E61"/>
    <w:rsid w:val="00C4539B"/>
    <w:rsid w:val="00C45466"/>
    <w:rsid w:val="00C455C1"/>
    <w:rsid w:val="00C4581D"/>
    <w:rsid w:val="00C47472"/>
    <w:rsid w:val="00C47EA5"/>
    <w:rsid w:val="00C500F0"/>
    <w:rsid w:val="00C502BB"/>
    <w:rsid w:val="00C504A7"/>
    <w:rsid w:val="00C506C9"/>
    <w:rsid w:val="00C50A16"/>
    <w:rsid w:val="00C5122B"/>
    <w:rsid w:val="00C51433"/>
    <w:rsid w:val="00C51C9A"/>
    <w:rsid w:val="00C52428"/>
    <w:rsid w:val="00C52C68"/>
    <w:rsid w:val="00C52D98"/>
    <w:rsid w:val="00C5325C"/>
    <w:rsid w:val="00C53D24"/>
    <w:rsid w:val="00C54640"/>
    <w:rsid w:val="00C547A6"/>
    <w:rsid w:val="00C54A3A"/>
    <w:rsid w:val="00C5503F"/>
    <w:rsid w:val="00C55A72"/>
    <w:rsid w:val="00C55C32"/>
    <w:rsid w:val="00C55DB4"/>
    <w:rsid w:val="00C56A67"/>
    <w:rsid w:val="00C56CC2"/>
    <w:rsid w:val="00C56FC3"/>
    <w:rsid w:val="00C57498"/>
    <w:rsid w:val="00C5763C"/>
    <w:rsid w:val="00C57761"/>
    <w:rsid w:val="00C577CA"/>
    <w:rsid w:val="00C5780C"/>
    <w:rsid w:val="00C5796B"/>
    <w:rsid w:val="00C619A1"/>
    <w:rsid w:val="00C62370"/>
    <w:rsid w:val="00C62545"/>
    <w:rsid w:val="00C62A11"/>
    <w:rsid w:val="00C62BBB"/>
    <w:rsid w:val="00C6305F"/>
    <w:rsid w:val="00C6325B"/>
    <w:rsid w:val="00C63E99"/>
    <w:rsid w:val="00C6407A"/>
    <w:rsid w:val="00C64161"/>
    <w:rsid w:val="00C641BD"/>
    <w:rsid w:val="00C649B8"/>
    <w:rsid w:val="00C64A64"/>
    <w:rsid w:val="00C64C72"/>
    <w:rsid w:val="00C65151"/>
    <w:rsid w:val="00C657F4"/>
    <w:rsid w:val="00C6599D"/>
    <w:rsid w:val="00C66119"/>
    <w:rsid w:val="00C66292"/>
    <w:rsid w:val="00C672A3"/>
    <w:rsid w:val="00C672F1"/>
    <w:rsid w:val="00C673D0"/>
    <w:rsid w:val="00C6742E"/>
    <w:rsid w:val="00C677BE"/>
    <w:rsid w:val="00C70012"/>
    <w:rsid w:val="00C706CA"/>
    <w:rsid w:val="00C7185F"/>
    <w:rsid w:val="00C71CBB"/>
    <w:rsid w:val="00C71E2A"/>
    <w:rsid w:val="00C72496"/>
    <w:rsid w:val="00C733BA"/>
    <w:rsid w:val="00C755EF"/>
    <w:rsid w:val="00C760DC"/>
    <w:rsid w:val="00C7672E"/>
    <w:rsid w:val="00C8082B"/>
    <w:rsid w:val="00C80F3E"/>
    <w:rsid w:val="00C81A88"/>
    <w:rsid w:val="00C81AEC"/>
    <w:rsid w:val="00C81D46"/>
    <w:rsid w:val="00C820AD"/>
    <w:rsid w:val="00C82289"/>
    <w:rsid w:val="00C82298"/>
    <w:rsid w:val="00C831D4"/>
    <w:rsid w:val="00C833B4"/>
    <w:rsid w:val="00C83449"/>
    <w:rsid w:val="00C84284"/>
    <w:rsid w:val="00C84BD1"/>
    <w:rsid w:val="00C84E33"/>
    <w:rsid w:val="00C852E2"/>
    <w:rsid w:val="00C85FFC"/>
    <w:rsid w:val="00C86123"/>
    <w:rsid w:val="00C861FC"/>
    <w:rsid w:val="00C86C87"/>
    <w:rsid w:val="00C8705B"/>
    <w:rsid w:val="00C87090"/>
    <w:rsid w:val="00C9005E"/>
    <w:rsid w:val="00C90111"/>
    <w:rsid w:val="00C90CA9"/>
    <w:rsid w:val="00C915F2"/>
    <w:rsid w:val="00C917B1"/>
    <w:rsid w:val="00C9193C"/>
    <w:rsid w:val="00C91B77"/>
    <w:rsid w:val="00C920E2"/>
    <w:rsid w:val="00C923AA"/>
    <w:rsid w:val="00C93154"/>
    <w:rsid w:val="00C93765"/>
    <w:rsid w:val="00C93877"/>
    <w:rsid w:val="00C93D8C"/>
    <w:rsid w:val="00C946CC"/>
    <w:rsid w:val="00C959BD"/>
    <w:rsid w:val="00C95EC4"/>
    <w:rsid w:val="00C95F44"/>
    <w:rsid w:val="00C96407"/>
    <w:rsid w:val="00C96908"/>
    <w:rsid w:val="00C96D1B"/>
    <w:rsid w:val="00C97106"/>
    <w:rsid w:val="00C97684"/>
    <w:rsid w:val="00CA0031"/>
    <w:rsid w:val="00CA0413"/>
    <w:rsid w:val="00CA043A"/>
    <w:rsid w:val="00CA0459"/>
    <w:rsid w:val="00CA04F8"/>
    <w:rsid w:val="00CA1691"/>
    <w:rsid w:val="00CA2E65"/>
    <w:rsid w:val="00CA2EA1"/>
    <w:rsid w:val="00CA3665"/>
    <w:rsid w:val="00CA3CBD"/>
    <w:rsid w:val="00CA3FC7"/>
    <w:rsid w:val="00CA41E7"/>
    <w:rsid w:val="00CA4B2B"/>
    <w:rsid w:val="00CA5520"/>
    <w:rsid w:val="00CA5812"/>
    <w:rsid w:val="00CA5BD4"/>
    <w:rsid w:val="00CA5C14"/>
    <w:rsid w:val="00CA76FC"/>
    <w:rsid w:val="00CA77EF"/>
    <w:rsid w:val="00CA7DB5"/>
    <w:rsid w:val="00CA7E7B"/>
    <w:rsid w:val="00CB0236"/>
    <w:rsid w:val="00CB19E3"/>
    <w:rsid w:val="00CB2C3A"/>
    <w:rsid w:val="00CB2D38"/>
    <w:rsid w:val="00CB31D6"/>
    <w:rsid w:val="00CB4137"/>
    <w:rsid w:val="00CB52D0"/>
    <w:rsid w:val="00CB5578"/>
    <w:rsid w:val="00CB5671"/>
    <w:rsid w:val="00CB591C"/>
    <w:rsid w:val="00CB5943"/>
    <w:rsid w:val="00CB61B3"/>
    <w:rsid w:val="00CB6F83"/>
    <w:rsid w:val="00CB72AE"/>
    <w:rsid w:val="00CB78AD"/>
    <w:rsid w:val="00CC00CD"/>
    <w:rsid w:val="00CC0579"/>
    <w:rsid w:val="00CC0AF3"/>
    <w:rsid w:val="00CC0BC6"/>
    <w:rsid w:val="00CC0E68"/>
    <w:rsid w:val="00CC21AC"/>
    <w:rsid w:val="00CC2514"/>
    <w:rsid w:val="00CC2756"/>
    <w:rsid w:val="00CC2DEA"/>
    <w:rsid w:val="00CC2F69"/>
    <w:rsid w:val="00CC315F"/>
    <w:rsid w:val="00CC31E9"/>
    <w:rsid w:val="00CC3D38"/>
    <w:rsid w:val="00CC404B"/>
    <w:rsid w:val="00CC40C3"/>
    <w:rsid w:val="00CC4E5D"/>
    <w:rsid w:val="00CC50AE"/>
    <w:rsid w:val="00CC518A"/>
    <w:rsid w:val="00CC5D9A"/>
    <w:rsid w:val="00CC61B7"/>
    <w:rsid w:val="00CC61CA"/>
    <w:rsid w:val="00CC6207"/>
    <w:rsid w:val="00CC6668"/>
    <w:rsid w:val="00CC69EC"/>
    <w:rsid w:val="00CC71D3"/>
    <w:rsid w:val="00CC743D"/>
    <w:rsid w:val="00CC7E86"/>
    <w:rsid w:val="00CD050A"/>
    <w:rsid w:val="00CD1675"/>
    <w:rsid w:val="00CD205D"/>
    <w:rsid w:val="00CD2A22"/>
    <w:rsid w:val="00CD2B50"/>
    <w:rsid w:val="00CD2BAF"/>
    <w:rsid w:val="00CD4506"/>
    <w:rsid w:val="00CD4C90"/>
    <w:rsid w:val="00CD520B"/>
    <w:rsid w:val="00CD592E"/>
    <w:rsid w:val="00CD5982"/>
    <w:rsid w:val="00CD5A1A"/>
    <w:rsid w:val="00CD77E1"/>
    <w:rsid w:val="00CD7EFA"/>
    <w:rsid w:val="00CE020E"/>
    <w:rsid w:val="00CE0566"/>
    <w:rsid w:val="00CE12A4"/>
    <w:rsid w:val="00CE1CD4"/>
    <w:rsid w:val="00CE23FE"/>
    <w:rsid w:val="00CE2761"/>
    <w:rsid w:val="00CE314E"/>
    <w:rsid w:val="00CE3D5C"/>
    <w:rsid w:val="00CE3E14"/>
    <w:rsid w:val="00CE422D"/>
    <w:rsid w:val="00CE44C7"/>
    <w:rsid w:val="00CE53CC"/>
    <w:rsid w:val="00CE65A7"/>
    <w:rsid w:val="00CE68FE"/>
    <w:rsid w:val="00CE69CC"/>
    <w:rsid w:val="00CE6E98"/>
    <w:rsid w:val="00CE6EC4"/>
    <w:rsid w:val="00CE7A77"/>
    <w:rsid w:val="00CE7F26"/>
    <w:rsid w:val="00CE7FBF"/>
    <w:rsid w:val="00CF0CEA"/>
    <w:rsid w:val="00CF108D"/>
    <w:rsid w:val="00CF1226"/>
    <w:rsid w:val="00CF16C0"/>
    <w:rsid w:val="00CF1ABB"/>
    <w:rsid w:val="00CF1E1D"/>
    <w:rsid w:val="00CF24FE"/>
    <w:rsid w:val="00CF27E9"/>
    <w:rsid w:val="00CF35D0"/>
    <w:rsid w:val="00CF3DD5"/>
    <w:rsid w:val="00CF41D5"/>
    <w:rsid w:val="00CF4AF7"/>
    <w:rsid w:val="00CF4D20"/>
    <w:rsid w:val="00CF73F8"/>
    <w:rsid w:val="00CF7928"/>
    <w:rsid w:val="00CF7CA2"/>
    <w:rsid w:val="00D00A8E"/>
    <w:rsid w:val="00D00DE0"/>
    <w:rsid w:val="00D00F79"/>
    <w:rsid w:val="00D012BF"/>
    <w:rsid w:val="00D01760"/>
    <w:rsid w:val="00D0368E"/>
    <w:rsid w:val="00D039F1"/>
    <w:rsid w:val="00D03D2D"/>
    <w:rsid w:val="00D03E7B"/>
    <w:rsid w:val="00D0401A"/>
    <w:rsid w:val="00D047E0"/>
    <w:rsid w:val="00D04B9F"/>
    <w:rsid w:val="00D04C7E"/>
    <w:rsid w:val="00D04FFB"/>
    <w:rsid w:val="00D05153"/>
    <w:rsid w:val="00D058E9"/>
    <w:rsid w:val="00D0612A"/>
    <w:rsid w:val="00D06A0E"/>
    <w:rsid w:val="00D06A99"/>
    <w:rsid w:val="00D1060D"/>
    <w:rsid w:val="00D1062F"/>
    <w:rsid w:val="00D10E7C"/>
    <w:rsid w:val="00D11182"/>
    <w:rsid w:val="00D1137B"/>
    <w:rsid w:val="00D11807"/>
    <w:rsid w:val="00D11DB3"/>
    <w:rsid w:val="00D12D82"/>
    <w:rsid w:val="00D1306E"/>
    <w:rsid w:val="00D134CD"/>
    <w:rsid w:val="00D14B5F"/>
    <w:rsid w:val="00D14E13"/>
    <w:rsid w:val="00D14F23"/>
    <w:rsid w:val="00D15356"/>
    <w:rsid w:val="00D160AA"/>
    <w:rsid w:val="00D162C6"/>
    <w:rsid w:val="00D16740"/>
    <w:rsid w:val="00D16A8B"/>
    <w:rsid w:val="00D16E39"/>
    <w:rsid w:val="00D17951"/>
    <w:rsid w:val="00D17AD8"/>
    <w:rsid w:val="00D17B53"/>
    <w:rsid w:val="00D205AF"/>
    <w:rsid w:val="00D2104A"/>
    <w:rsid w:val="00D213F1"/>
    <w:rsid w:val="00D21BB5"/>
    <w:rsid w:val="00D21FFC"/>
    <w:rsid w:val="00D223A3"/>
    <w:rsid w:val="00D223B6"/>
    <w:rsid w:val="00D223E8"/>
    <w:rsid w:val="00D22DC8"/>
    <w:rsid w:val="00D23E94"/>
    <w:rsid w:val="00D243D3"/>
    <w:rsid w:val="00D24788"/>
    <w:rsid w:val="00D247D4"/>
    <w:rsid w:val="00D24ECD"/>
    <w:rsid w:val="00D24FAD"/>
    <w:rsid w:val="00D2522A"/>
    <w:rsid w:val="00D2531C"/>
    <w:rsid w:val="00D255F3"/>
    <w:rsid w:val="00D26C21"/>
    <w:rsid w:val="00D2742F"/>
    <w:rsid w:val="00D2754F"/>
    <w:rsid w:val="00D279D9"/>
    <w:rsid w:val="00D27DC9"/>
    <w:rsid w:val="00D3030A"/>
    <w:rsid w:val="00D312CE"/>
    <w:rsid w:val="00D312DC"/>
    <w:rsid w:val="00D31B84"/>
    <w:rsid w:val="00D31C6A"/>
    <w:rsid w:val="00D31EDF"/>
    <w:rsid w:val="00D31FF9"/>
    <w:rsid w:val="00D32149"/>
    <w:rsid w:val="00D32256"/>
    <w:rsid w:val="00D32A27"/>
    <w:rsid w:val="00D32ABC"/>
    <w:rsid w:val="00D32F72"/>
    <w:rsid w:val="00D34B25"/>
    <w:rsid w:val="00D34F4E"/>
    <w:rsid w:val="00D357F3"/>
    <w:rsid w:val="00D35C0E"/>
    <w:rsid w:val="00D369A8"/>
    <w:rsid w:val="00D373A8"/>
    <w:rsid w:val="00D375FF"/>
    <w:rsid w:val="00D379A5"/>
    <w:rsid w:val="00D401BE"/>
    <w:rsid w:val="00D4043A"/>
    <w:rsid w:val="00D40A8E"/>
    <w:rsid w:val="00D40DB0"/>
    <w:rsid w:val="00D40E05"/>
    <w:rsid w:val="00D40F8B"/>
    <w:rsid w:val="00D4106A"/>
    <w:rsid w:val="00D41858"/>
    <w:rsid w:val="00D422DB"/>
    <w:rsid w:val="00D42A83"/>
    <w:rsid w:val="00D42AC2"/>
    <w:rsid w:val="00D44664"/>
    <w:rsid w:val="00D4498E"/>
    <w:rsid w:val="00D4515F"/>
    <w:rsid w:val="00D451E8"/>
    <w:rsid w:val="00D4636B"/>
    <w:rsid w:val="00D466C9"/>
    <w:rsid w:val="00D467D8"/>
    <w:rsid w:val="00D47275"/>
    <w:rsid w:val="00D4767B"/>
    <w:rsid w:val="00D47E04"/>
    <w:rsid w:val="00D500B4"/>
    <w:rsid w:val="00D50AEF"/>
    <w:rsid w:val="00D50C39"/>
    <w:rsid w:val="00D50F9C"/>
    <w:rsid w:val="00D514B1"/>
    <w:rsid w:val="00D51E15"/>
    <w:rsid w:val="00D51FFA"/>
    <w:rsid w:val="00D52B7E"/>
    <w:rsid w:val="00D52E2F"/>
    <w:rsid w:val="00D52F59"/>
    <w:rsid w:val="00D53E3E"/>
    <w:rsid w:val="00D53F9B"/>
    <w:rsid w:val="00D54F09"/>
    <w:rsid w:val="00D555FE"/>
    <w:rsid w:val="00D55904"/>
    <w:rsid w:val="00D5616F"/>
    <w:rsid w:val="00D57940"/>
    <w:rsid w:val="00D579DE"/>
    <w:rsid w:val="00D60327"/>
    <w:rsid w:val="00D61526"/>
    <w:rsid w:val="00D61BDD"/>
    <w:rsid w:val="00D61F81"/>
    <w:rsid w:val="00D623A9"/>
    <w:rsid w:val="00D62BE6"/>
    <w:rsid w:val="00D633AC"/>
    <w:rsid w:val="00D63766"/>
    <w:rsid w:val="00D63912"/>
    <w:rsid w:val="00D63923"/>
    <w:rsid w:val="00D6417A"/>
    <w:rsid w:val="00D6451B"/>
    <w:rsid w:val="00D64B57"/>
    <w:rsid w:val="00D659EA"/>
    <w:rsid w:val="00D65DEA"/>
    <w:rsid w:val="00D65DFE"/>
    <w:rsid w:val="00D67BC7"/>
    <w:rsid w:val="00D701F1"/>
    <w:rsid w:val="00D705D3"/>
    <w:rsid w:val="00D70E00"/>
    <w:rsid w:val="00D715AC"/>
    <w:rsid w:val="00D71851"/>
    <w:rsid w:val="00D718CF"/>
    <w:rsid w:val="00D728F5"/>
    <w:rsid w:val="00D72E9D"/>
    <w:rsid w:val="00D73249"/>
    <w:rsid w:val="00D73419"/>
    <w:rsid w:val="00D73CA9"/>
    <w:rsid w:val="00D7481A"/>
    <w:rsid w:val="00D74B88"/>
    <w:rsid w:val="00D751B7"/>
    <w:rsid w:val="00D7524B"/>
    <w:rsid w:val="00D75396"/>
    <w:rsid w:val="00D759C0"/>
    <w:rsid w:val="00D75BA7"/>
    <w:rsid w:val="00D75C05"/>
    <w:rsid w:val="00D75E99"/>
    <w:rsid w:val="00D766C7"/>
    <w:rsid w:val="00D7692B"/>
    <w:rsid w:val="00D7734F"/>
    <w:rsid w:val="00D8044C"/>
    <w:rsid w:val="00D805D6"/>
    <w:rsid w:val="00D8075E"/>
    <w:rsid w:val="00D80860"/>
    <w:rsid w:val="00D80D4C"/>
    <w:rsid w:val="00D810DB"/>
    <w:rsid w:val="00D8184D"/>
    <w:rsid w:val="00D81A7B"/>
    <w:rsid w:val="00D81FE9"/>
    <w:rsid w:val="00D8223C"/>
    <w:rsid w:val="00D82B57"/>
    <w:rsid w:val="00D82CE5"/>
    <w:rsid w:val="00D8342C"/>
    <w:rsid w:val="00D85494"/>
    <w:rsid w:val="00D8582C"/>
    <w:rsid w:val="00D858CB"/>
    <w:rsid w:val="00D85D61"/>
    <w:rsid w:val="00D8616D"/>
    <w:rsid w:val="00D8711B"/>
    <w:rsid w:val="00D87384"/>
    <w:rsid w:val="00D8782E"/>
    <w:rsid w:val="00D90683"/>
    <w:rsid w:val="00D915C8"/>
    <w:rsid w:val="00D91C0A"/>
    <w:rsid w:val="00D92277"/>
    <w:rsid w:val="00D9261C"/>
    <w:rsid w:val="00D9310B"/>
    <w:rsid w:val="00D93726"/>
    <w:rsid w:val="00D93DD3"/>
    <w:rsid w:val="00D93F3E"/>
    <w:rsid w:val="00D9405B"/>
    <w:rsid w:val="00D94942"/>
    <w:rsid w:val="00D95145"/>
    <w:rsid w:val="00D95381"/>
    <w:rsid w:val="00D95AB3"/>
    <w:rsid w:val="00D967CB"/>
    <w:rsid w:val="00D96EE0"/>
    <w:rsid w:val="00D96EE5"/>
    <w:rsid w:val="00D970BB"/>
    <w:rsid w:val="00D97BD1"/>
    <w:rsid w:val="00DA06B8"/>
    <w:rsid w:val="00DA135D"/>
    <w:rsid w:val="00DA1CA8"/>
    <w:rsid w:val="00DA286D"/>
    <w:rsid w:val="00DA2969"/>
    <w:rsid w:val="00DA29B7"/>
    <w:rsid w:val="00DA3C4C"/>
    <w:rsid w:val="00DA4842"/>
    <w:rsid w:val="00DA5989"/>
    <w:rsid w:val="00DA5AB1"/>
    <w:rsid w:val="00DA5F9D"/>
    <w:rsid w:val="00DA69B2"/>
    <w:rsid w:val="00DA6A7B"/>
    <w:rsid w:val="00DA7462"/>
    <w:rsid w:val="00DA777E"/>
    <w:rsid w:val="00DA7AD0"/>
    <w:rsid w:val="00DB02D7"/>
    <w:rsid w:val="00DB03CC"/>
    <w:rsid w:val="00DB0DCC"/>
    <w:rsid w:val="00DB1023"/>
    <w:rsid w:val="00DB12D4"/>
    <w:rsid w:val="00DB14F0"/>
    <w:rsid w:val="00DB1745"/>
    <w:rsid w:val="00DB1AFF"/>
    <w:rsid w:val="00DB219A"/>
    <w:rsid w:val="00DB3165"/>
    <w:rsid w:val="00DB4292"/>
    <w:rsid w:val="00DB48C4"/>
    <w:rsid w:val="00DB5196"/>
    <w:rsid w:val="00DB5C03"/>
    <w:rsid w:val="00DB68BB"/>
    <w:rsid w:val="00DB6E46"/>
    <w:rsid w:val="00DB7117"/>
    <w:rsid w:val="00DB75D9"/>
    <w:rsid w:val="00DB7760"/>
    <w:rsid w:val="00DB7DD4"/>
    <w:rsid w:val="00DB7E44"/>
    <w:rsid w:val="00DC00B4"/>
    <w:rsid w:val="00DC037A"/>
    <w:rsid w:val="00DC0954"/>
    <w:rsid w:val="00DC15BA"/>
    <w:rsid w:val="00DC18CD"/>
    <w:rsid w:val="00DC1A68"/>
    <w:rsid w:val="00DC30B8"/>
    <w:rsid w:val="00DC32C6"/>
    <w:rsid w:val="00DC3720"/>
    <w:rsid w:val="00DC3804"/>
    <w:rsid w:val="00DC478F"/>
    <w:rsid w:val="00DC52AB"/>
    <w:rsid w:val="00DC62E5"/>
    <w:rsid w:val="00DC67EB"/>
    <w:rsid w:val="00DC6AB9"/>
    <w:rsid w:val="00DC6F33"/>
    <w:rsid w:val="00DC7349"/>
    <w:rsid w:val="00DD0991"/>
    <w:rsid w:val="00DD0B21"/>
    <w:rsid w:val="00DD118B"/>
    <w:rsid w:val="00DD14D8"/>
    <w:rsid w:val="00DD1599"/>
    <w:rsid w:val="00DD177F"/>
    <w:rsid w:val="00DD1B03"/>
    <w:rsid w:val="00DD2A62"/>
    <w:rsid w:val="00DD2F2F"/>
    <w:rsid w:val="00DD2F7A"/>
    <w:rsid w:val="00DD3799"/>
    <w:rsid w:val="00DD3885"/>
    <w:rsid w:val="00DD5056"/>
    <w:rsid w:val="00DD5808"/>
    <w:rsid w:val="00DD5946"/>
    <w:rsid w:val="00DD5B04"/>
    <w:rsid w:val="00DD5DAE"/>
    <w:rsid w:val="00DD5EC6"/>
    <w:rsid w:val="00DD605F"/>
    <w:rsid w:val="00DD6657"/>
    <w:rsid w:val="00DD6D71"/>
    <w:rsid w:val="00DD72A0"/>
    <w:rsid w:val="00DD735D"/>
    <w:rsid w:val="00DD7E6B"/>
    <w:rsid w:val="00DE0159"/>
    <w:rsid w:val="00DE064A"/>
    <w:rsid w:val="00DE082D"/>
    <w:rsid w:val="00DE1410"/>
    <w:rsid w:val="00DE3119"/>
    <w:rsid w:val="00DE3FF0"/>
    <w:rsid w:val="00DE4105"/>
    <w:rsid w:val="00DE5189"/>
    <w:rsid w:val="00DE5680"/>
    <w:rsid w:val="00DE6230"/>
    <w:rsid w:val="00DE6EA5"/>
    <w:rsid w:val="00DE7108"/>
    <w:rsid w:val="00DE78D1"/>
    <w:rsid w:val="00DF0263"/>
    <w:rsid w:val="00DF0EB4"/>
    <w:rsid w:val="00DF1E36"/>
    <w:rsid w:val="00DF1FDB"/>
    <w:rsid w:val="00DF236B"/>
    <w:rsid w:val="00DF2A91"/>
    <w:rsid w:val="00DF2F82"/>
    <w:rsid w:val="00DF3889"/>
    <w:rsid w:val="00DF3CC9"/>
    <w:rsid w:val="00DF4451"/>
    <w:rsid w:val="00DF49FF"/>
    <w:rsid w:val="00DF4FFB"/>
    <w:rsid w:val="00DF5236"/>
    <w:rsid w:val="00DF651F"/>
    <w:rsid w:val="00DF67DF"/>
    <w:rsid w:val="00DF6E10"/>
    <w:rsid w:val="00DF6F43"/>
    <w:rsid w:val="00DF752F"/>
    <w:rsid w:val="00DF76A2"/>
    <w:rsid w:val="00DF7B33"/>
    <w:rsid w:val="00E00B7A"/>
    <w:rsid w:val="00E02186"/>
    <w:rsid w:val="00E0264A"/>
    <w:rsid w:val="00E026BB"/>
    <w:rsid w:val="00E027C5"/>
    <w:rsid w:val="00E03124"/>
    <w:rsid w:val="00E031EB"/>
    <w:rsid w:val="00E03951"/>
    <w:rsid w:val="00E03DB8"/>
    <w:rsid w:val="00E051B3"/>
    <w:rsid w:val="00E05E70"/>
    <w:rsid w:val="00E061F4"/>
    <w:rsid w:val="00E064BC"/>
    <w:rsid w:val="00E06734"/>
    <w:rsid w:val="00E07225"/>
    <w:rsid w:val="00E07AAA"/>
    <w:rsid w:val="00E100CA"/>
    <w:rsid w:val="00E109DD"/>
    <w:rsid w:val="00E11229"/>
    <w:rsid w:val="00E114CA"/>
    <w:rsid w:val="00E1185C"/>
    <w:rsid w:val="00E11CF0"/>
    <w:rsid w:val="00E120F9"/>
    <w:rsid w:val="00E12FC3"/>
    <w:rsid w:val="00E132D5"/>
    <w:rsid w:val="00E1397F"/>
    <w:rsid w:val="00E13AB8"/>
    <w:rsid w:val="00E1482E"/>
    <w:rsid w:val="00E16382"/>
    <w:rsid w:val="00E16572"/>
    <w:rsid w:val="00E167F1"/>
    <w:rsid w:val="00E1699C"/>
    <w:rsid w:val="00E16E75"/>
    <w:rsid w:val="00E17282"/>
    <w:rsid w:val="00E1746D"/>
    <w:rsid w:val="00E2012A"/>
    <w:rsid w:val="00E205A2"/>
    <w:rsid w:val="00E20BA4"/>
    <w:rsid w:val="00E226F9"/>
    <w:rsid w:val="00E23137"/>
    <w:rsid w:val="00E2324A"/>
    <w:rsid w:val="00E23980"/>
    <w:rsid w:val="00E241E9"/>
    <w:rsid w:val="00E24D6A"/>
    <w:rsid w:val="00E2520A"/>
    <w:rsid w:val="00E257C3"/>
    <w:rsid w:val="00E25CB3"/>
    <w:rsid w:val="00E25DA4"/>
    <w:rsid w:val="00E26CB8"/>
    <w:rsid w:val="00E26FCF"/>
    <w:rsid w:val="00E27165"/>
    <w:rsid w:val="00E27226"/>
    <w:rsid w:val="00E2742E"/>
    <w:rsid w:val="00E27C3F"/>
    <w:rsid w:val="00E3039F"/>
    <w:rsid w:val="00E3044A"/>
    <w:rsid w:val="00E31A4A"/>
    <w:rsid w:val="00E31C43"/>
    <w:rsid w:val="00E32DD5"/>
    <w:rsid w:val="00E32FA8"/>
    <w:rsid w:val="00E3344A"/>
    <w:rsid w:val="00E33B29"/>
    <w:rsid w:val="00E33B62"/>
    <w:rsid w:val="00E3403D"/>
    <w:rsid w:val="00E349F1"/>
    <w:rsid w:val="00E34E6C"/>
    <w:rsid w:val="00E350D8"/>
    <w:rsid w:val="00E353E2"/>
    <w:rsid w:val="00E35B65"/>
    <w:rsid w:val="00E36345"/>
    <w:rsid w:val="00E36C86"/>
    <w:rsid w:val="00E36CEB"/>
    <w:rsid w:val="00E37660"/>
    <w:rsid w:val="00E37A28"/>
    <w:rsid w:val="00E37B03"/>
    <w:rsid w:val="00E40430"/>
    <w:rsid w:val="00E40690"/>
    <w:rsid w:val="00E40AEB"/>
    <w:rsid w:val="00E4143A"/>
    <w:rsid w:val="00E424C8"/>
    <w:rsid w:val="00E4251D"/>
    <w:rsid w:val="00E431B0"/>
    <w:rsid w:val="00E4398E"/>
    <w:rsid w:val="00E43D00"/>
    <w:rsid w:val="00E445E4"/>
    <w:rsid w:val="00E45741"/>
    <w:rsid w:val="00E457CB"/>
    <w:rsid w:val="00E45D47"/>
    <w:rsid w:val="00E45DE4"/>
    <w:rsid w:val="00E45E63"/>
    <w:rsid w:val="00E46D10"/>
    <w:rsid w:val="00E472AD"/>
    <w:rsid w:val="00E50A7B"/>
    <w:rsid w:val="00E50B0B"/>
    <w:rsid w:val="00E510FE"/>
    <w:rsid w:val="00E511D6"/>
    <w:rsid w:val="00E51E25"/>
    <w:rsid w:val="00E5205B"/>
    <w:rsid w:val="00E521AE"/>
    <w:rsid w:val="00E52C99"/>
    <w:rsid w:val="00E53BCA"/>
    <w:rsid w:val="00E53F02"/>
    <w:rsid w:val="00E54534"/>
    <w:rsid w:val="00E548C3"/>
    <w:rsid w:val="00E54F27"/>
    <w:rsid w:val="00E55552"/>
    <w:rsid w:val="00E556F5"/>
    <w:rsid w:val="00E55FF1"/>
    <w:rsid w:val="00E56090"/>
    <w:rsid w:val="00E565B9"/>
    <w:rsid w:val="00E5733B"/>
    <w:rsid w:val="00E57403"/>
    <w:rsid w:val="00E5756C"/>
    <w:rsid w:val="00E601BE"/>
    <w:rsid w:val="00E60B5F"/>
    <w:rsid w:val="00E613AE"/>
    <w:rsid w:val="00E61429"/>
    <w:rsid w:val="00E61ABB"/>
    <w:rsid w:val="00E61FD7"/>
    <w:rsid w:val="00E623E6"/>
    <w:rsid w:val="00E630C0"/>
    <w:rsid w:val="00E63107"/>
    <w:rsid w:val="00E634E6"/>
    <w:rsid w:val="00E63DCE"/>
    <w:rsid w:val="00E64700"/>
    <w:rsid w:val="00E64E0B"/>
    <w:rsid w:val="00E65074"/>
    <w:rsid w:val="00E65E70"/>
    <w:rsid w:val="00E65EE9"/>
    <w:rsid w:val="00E66087"/>
    <w:rsid w:val="00E66091"/>
    <w:rsid w:val="00E66D79"/>
    <w:rsid w:val="00E66FF9"/>
    <w:rsid w:val="00E67856"/>
    <w:rsid w:val="00E679C8"/>
    <w:rsid w:val="00E67E59"/>
    <w:rsid w:val="00E70314"/>
    <w:rsid w:val="00E709C1"/>
    <w:rsid w:val="00E724E7"/>
    <w:rsid w:val="00E72B41"/>
    <w:rsid w:val="00E7301D"/>
    <w:rsid w:val="00E7347B"/>
    <w:rsid w:val="00E73D03"/>
    <w:rsid w:val="00E7471C"/>
    <w:rsid w:val="00E7498A"/>
    <w:rsid w:val="00E7514E"/>
    <w:rsid w:val="00E75B34"/>
    <w:rsid w:val="00E76D8A"/>
    <w:rsid w:val="00E77AF5"/>
    <w:rsid w:val="00E8029A"/>
    <w:rsid w:val="00E8050F"/>
    <w:rsid w:val="00E81249"/>
    <w:rsid w:val="00E81653"/>
    <w:rsid w:val="00E823F9"/>
    <w:rsid w:val="00E82C1F"/>
    <w:rsid w:val="00E83671"/>
    <w:rsid w:val="00E8414B"/>
    <w:rsid w:val="00E84A71"/>
    <w:rsid w:val="00E85409"/>
    <w:rsid w:val="00E8544B"/>
    <w:rsid w:val="00E86556"/>
    <w:rsid w:val="00E86798"/>
    <w:rsid w:val="00E86D35"/>
    <w:rsid w:val="00E86DC2"/>
    <w:rsid w:val="00E86E32"/>
    <w:rsid w:val="00E8732E"/>
    <w:rsid w:val="00E87881"/>
    <w:rsid w:val="00E9011F"/>
    <w:rsid w:val="00E90370"/>
    <w:rsid w:val="00E906EB"/>
    <w:rsid w:val="00E90DC0"/>
    <w:rsid w:val="00E913F9"/>
    <w:rsid w:val="00E916A0"/>
    <w:rsid w:val="00E9241E"/>
    <w:rsid w:val="00E92460"/>
    <w:rsid w:val="00E92E62"/>
    <w:rsid w:val="00E937BB"/>
    <w:rsid w:val="00E93804"/>
    <w:rsid w:val="00E93A86"/>
    <w:rsid w:val="00E9467F"/>
    <w:rsid w:val="00E95434"/>
    <w:rsid w:val="00E96467"/>
    <w:rsid w:val="00E966DA"/>
    <w:rsid w:val="00E96948"/>
    <w:rsid w:val="00E9737B"/>
    <w:rsid w:val="00E97A3F"/>
    <w:rsid w:val="00E97F0A"/>
    <w:rsid w:val="00EA0100"/>
    <w:rsid w:val="00EA010D"/>
    <w:rsid w:val="00EA04DC"/>
    <w:rsid w:val="00EA0886"/>
    <w:rsid w:val="00EA0BCE"/>
    <w:rsid w:val="00EA2726"/>
    <w:rsid w:val="00EA2744"/>
    <w:rsid w:val="00EA2937"/>
    <w:rsid w:val="00EA3626"/>
    <w:rsid w:val="00EA37B9"/>
    <w:rsid w:val="00EA39F7"/>
    <w:rsid w:val="00EA3B27"/>
    <w:rsid w:val="00EA3DC2"/>
    <w:rsid w:val="00EA434E"/>
    <w:rsid w:val="00EA4757"/>
    <w:rsid w:val="00EA53D3"/>
    <w:rsid w:val="00EA560B"/>
    <w:rsid w:val="00EA5669"/>
    <w:rsid w:val="00EA5C05"/>
    <w:rsid w:val="00EA63EF"/>
    <w:rsid w:val="00EA6750"/>
    <w:rsid w:val="00EB0A89"/>
    <w:rsid w:val="00EB1573"/>
    <w:rsid w:val="00EB1650"/>
    <w:rsid w:val="00EB1910"/>
    <w:rsid w:val="00EB1D24"/>
    <w:rsid w:val="00EB1E66"/>
    <w:rsid w:val="00EB2E97"/>
    <w:rsid w:val="00EB3416"/>
    <w:rsid w:val="00EB4424"/>
    <w:rsid w:val="00EB4A3B"/>
    <w:rsid w:val="00EB4AE1"/>
    <w:rsid w:val="00EB52F4"/>
    <w:rsid w:val="00EB5694"/>
    <w:rsid w:val="00EB5779"/>
    <w:rsid w:val="00EB6098"/>
    <w:rsid w:val="00EB65ED"/>
    <w:rsid w:val="00EB67F1"/>
    <w:rsid w:val="00EB72CD"/>
    <w:rsid w:val="00EB749A"/>
    <w:rsid w:val="00EB76B6"/>
    <w:rsid w:val="00EB7D8A"/>
    <w:rsid w:val="00EC05E2"/>
    <w:rsid w:val="00EC08AF"/>
    <w:rsid w:val="00EC0B29"/>
    <w:rsid w:val="00EC0E84"/>
    <w:rsid w:val="00EC16E2"/>
    <w:rsid w:val="00EC1CE7"/>
    <w:rsid w:val="00EC1F3F"/>
    <w:rsid w:val="00EC2676"/>
    <w:rsid w:val="00EC26F1"/>
    <w:rsid w:val="00EC36B1"/>
    <w:rsid w:val="00EC3C94"/>
    <w:rsid w:val="00EC44DF"/>
    <w:rsid w:val="00EC4AB1"/>
    <w:rsid w:val="00EC4FB9"/>
    <w:rsid w:val="00EC51FA"/>
    <w:rsid w:val="00EC5393"/>
    <w:rsid w:val="00EC5741"/>
    <w:rsid w:val="00EC5ACE"/>
    <w:rsid w:val="00EC5AE3"/>
    <w:rsid w:val="00EC5DA3"/>
    <w:rsid w:val="00EC6014"/>
    <w:rsid w:val="00EC6B3E"/>
    <w:rsid w:val="00EC6D8D"/>
    <w:rsid w:val="00EC73DE"/>
    <w:rsid w:val="00EC7637"/>
    <w:rsid w:val="00EC7C12"/>
    <w:rsid w:val="00EC7CF2"/>
    <w:rsid w:val="00ED046B"/>
    <w:rsid w:val="00ED046C"/>
    <w:rsid w:val="00ED053A"/>
    <w:rsid w:val="00ED1F03"/>
    <w:rsid w:val="00ED274D"/>
    <w:rsid w:val="00ED2D27"/>
    <w:rsid w:val="00ED3347"/>
    <w:rsid w:val="00ED3954"/>
    <w:rsid w:val="00ED43A2"/>
    <w:rsid w:val="00ED4967"/>
    <w:rsid w:val="00ED4EC8"/>
    <w:rsid w:val="00ED510D"/>
    <w:rsid w:val="00ED5140"/>
    <w:rsid w:val="00ED538C"/>
    <w:rsid w:val="00ED5771"/>
    <w:rsid w:val="00ED587F"/>
    <w:rsid w:val="00ED5964"/>
    <w:rsid w:val="00ED623F"/>
    <w:rsid w:val="00ED69BA"/>
    <w:rsid w:val="00ED72E9"/>
    <w:rsid w:val="00ED732E"/>
    <w:rsid w:val="00ED77F0"/>
    <w:rsid w:val="00ED7FBC"/>
    <w:rsid w:val="00EE0253"/>
    <w:rsid w:val="00EE0297"/>
    <w:rsid w:val="00EE0789"/>
    <w:rsid w:val="00EE0B63"/>
    <w:rsid w:val="00EE1258"/>
    <w:rsid w:val="00EE13DA"/>
    <w:rsid w:val="00EE15E2"/>
    <w:rsid w:val="00EE162F"/>
    <w:rsid w:val="00EE1668"/>
    <w:rsid w:val="00EE1B27"/>
    <w:rsid w:val="00EE341D"/>
    <w:rsid w:val="00EE366D"/>
    <w:rsid w:val="00EE5350"/>
    <w:rsid w:val="00EE5454"/>
    <w:rsid w:val="00EE58B8"/>
    <w:rsid w:val="00EE59B5"/>
    <w:rsid w:val="00EE5CF6"/>
    <w:rsid w:val="00EE5D1D"/>
    <w:rsid w:val="00EE5FB7"/>
    <w:rsid w:val="00EE6A1A"/>
    <w:rsid w:val="00EE6B5C"/>
    <w:rsid w:val="00EE7B54"/>
    <w:rsid w:val="00EE7C88"/>
    <w:rsid w:val="00EE7C8B"/>
    <w:rsid w:val="00EF000B"/>
    <w:rsid w:val="00EF0209"/>
    <w:rsid w:val="00EF0EA4"/>
    <w:rsid w:val="00EF1E97"/>
    <w:rsid w:val="00EF2436"/>
    <w:rsid w:val="00EF2547"/>
    <w:rsid w:val="00EF27EF"/>
    <w:rsid w:val="00EF2B2B"/>
    <w:rsid w:val="00EF2E1C"/>
    <w:rsid w:val="00EF2FD6"/>
    <w:rsid w:val="00EF326A"/>
    <w:rsid w:val="00EF3D22"/>
    <w:rsid w:val="00EF427A"/>
    <w:rsid w:val="00EF45DF"/>
    <w:rsid w:val="00EF4952"/>
    <w:rsid w:val="00EF498F"/>
    <w:rsid w:val="00EF4A42"/>
    <w:rsid w:val="00EF510C"/>
    <w:rsid w:val="00EF55C4"/>
    <w:rsid w:val="00EF57BC"/>
    <w:rsid w:val="00EF5FD2"/>
    <w:rsid w:val="00EF6784"/>
    <w:rsid w:val="00EF688A"/>
    <w:rsid w:val="00EF6A03"/>
    <w:rsid w:val="00EF6DC2"/>
    <w:rsid w:val="00EF7BF4"/>
    <w:rsid w:val="00F0030F"/>
    <w:rsid w:val="00F00603"/>
    <w:rsid w:val="00F00674"/>
    <w:rsid w:val="00F00694"/>
    <w:rsid w:val="00F01657"/>
    <w:rsid w:val="00F01E67"/>
    <w:rsid w:val="00F02704"/>
    <w:rsid w:val="00F02744"/>
    <w:rsid w:val="00F02BFD"/>
    <w:rsid w:val="00F02D25"/>
    <w:rsid w:val="00F0435D"/>
    <w:rsid w:val="00F04580"/>
    <w:rsid w:val="00F04ECA"/>
    <w:rsid w:val="00F053A6"/>
    <w:rsid w:val="00F05DC2"/>
    <w:rsid w:val="00F0628A"/>
    <w:rsid w:val="00F0640E"/>
    <w:rsid w:val="00F06E19"/>
    <w:rsid w:val="00F06F84"/>
    <w:rsid w:val="00F076E7"/>
    <w:rsid w:val="00F07AA1"/>
    <w:rsid w:val="00F105AE"/>
    <w:rsid w:val="00F10618"/>
    <w:rsid w:val="00F1108B"/>
    <w:rsid w:val="00F11768"/>
    <w:rsid w:val="00F11951"/>
    <w:rsid w:val="00F11BA8"/>
    <w:rsid w:val="00F12262"/>
    <w:rsid w:val="00F12AF8"/>
    <w:rsid w:val="00F12C52"/>
    <w:rsid w:val="00F148B7"/>
    <w:rsid w:val="00F14EA9"/>
    <w:rsid w:val="00F151DA"/>
    <w:rsid w:val="00F15505"/>
    <w:rsid w:val="00F15BFF"/>
    <w:rsid w:val="00F17105"/>
    <w:rsid w:val="00F20A0B"/>
    <w:rsid w:val="00F213A0"/>
    <w:rsid w:val="00F217AB"/>
    <w:rsid w:val="00F21A51"/>
    <w:rsid w:val="00F21D54"/>
    <w:rsid w:val="00F21D6D"/>
    <w:rsid w:val="00F21EF4"/>
    <w:rsid w:val="00F22062"/>
    <w:rsid w:val="00F23113"/>
    <w:rsid w:val="00F23255"/>
    <w:rsid w:val="00F23393"/>
    <w:rsid w:val="00F23759"/>
    <w:rsid w:val="00F23CB5"/>
    <w:rsid w:val="00F24644"/>
    <w:rsid w:val="00F250F6"/>
    <w:rsid w:val="00F256FD"/>
    <w:rsid w:val="00F259F1"/>
    <w:rsid w:val="00F26F33"/>
    <w:rsid w:val="00F277F0"/>
    <w:rsid w:val="00F27E74"/>
    <w:rsid w:val="00F300A8"/>
    <w:rsid w:val="00F30265"/>
    <w:rsid w:val="00F30400"/>
    <w:rsid w:val="00F3079E"/>
    <w:rsid w:val="00F326BD"/>
    <w:rsid w:val="00F32C50"/>
    <w:rsid w:val="00F32D5E"/>
    <w:rsid w:val="00F32EBA"/>
    <w:rsid w:val="00F32EE9"/>
    <w:rsid w:val="00F33980"/>
    <w:rsid w:val="00F3399B"/>
    <w:rsid w:val="00F33C1A"/>
    <w:rsid w:val="00F3461B"/>
    <w:rsid w:val="00F346ED"/>
    <w:rsid w:val="00F34945"/>
    <w:rsid w:val="00F34E1E"/>
    <w:rsid w:val="00F3570C"/>
    <w:rsid w:val="00F368FF"/>
    <w:rsid w:val="00F37068"/>
    <w:rsid w:val="00F37CE4"/>
    <w:rsid w:val="00F37F3F"/>
    <w:rsid w:val="00F407DF"/>
    <w:rsid w:val="00F40992"/>
    <w:rsid w:val="00F40AEC"/>
    <w:rsid w:val="00F40EA1"/>
    <w:rsid w:val="00F40EDD"/>
    <w:rsid w:val="00F412DF"/>
    <w:rsid w:val="00F41596"/>
    <w:rsid w:val="00F41883"/>
    <w:rsid w:val="00F41D8B"/>
    <w:rsid w:val="00F42121"/>
    <w:rsid w:val="00F424B3"/>
    <w:rsid w:val="00F428B1"/>
    <w:rsid w:val="00F428B4"/>
    <w:rsid w:val="00F4345D"/>
    <w:rsid w:val="00F4387B"/>
    <w:rsid w:val="00F449DA"/>
    <w:rsid w:val="00F4518D"/>
    <w:rsid w:val="00F45B91"/>
    <w:rsid w:val="00F46639"/>
    <w:rsid w:val="00F46692"/>
    <w:rsid w:val="00F46BD5"/>
    <w:rsid w:val="00F474BD"/>
    <w:rsid w:val="00F47AAA"/>
    <w:rsid w:val="00F47D62"/>
    <w:rsid w:val="00F50183"/>
    <w:rsid w:val="00F50D92"/>
    <w:rsid w:val="00F51765"/>
    <w:rsid w:val="00F51A51"/>
    <w:rsid w:val="00F51CB4"/>
    <w:rsid w:val="00F52324"/>
    <w:rsid w:val="00F52950"/>
    <w:rsid w:val="00F52C9D"/>
    <w:rsid w:val="00F52E39"/>
    <w:rsid w:val="00F52FC7"/>
    <w:rsid w:val="00F533F1"/>
    <w:rsid w:val="00F53B74"/>
    <w:rsid w:val="00F55679"/>
    <w:rsid w:val="00F561E3"/>
    <w:rsid w:val="00F565E6"/>
    <w:rsid w:val="00F56AFA"/>
    <w:rsid w:val="00F575E2"/>
    <w:rsid w:val="00F579FF"/>
    <w:rsid w:val="00F600E0"/>
    <w:rsid w:val="00F600FD"/>
    <w:rsid w:val="00F605EC"/>
    <w:rsid w:val="00F60F60"/>
    <w:rsid w:val="00F612CE"/>
    <w:rsid w:val="00F619D5"/>
    <w:rsid w:val="00F624A7"/>
    <w:rsid w:val="00F62AB6"/>
    <w:rsid w:val="00F62E1B"/>
    <w:rsid w:val="00F6392E"/>
    <w:rsid w:val="00F63984"/>
    <w:rsid w:val="00F643C7"/>
    <w:rsid w:val="00F645EA"/>
    <w:rsid w:val="00F65A3C"/>
    <w:rsid w:val="00F66135"/>
    <w:rsid w:val="00F66282"/>
    <w:rsid w:val="00F67D8B"/>
    <w:rsid w:val="00F70961"/>
    <w:rsid w:val="00F70A8F"/>
    <w:rsid w:val="00F71397"/>
    <w:rsid w:val="00F72389"/>
    <w:rsid w:val="00F72516"/>
    <w:rsid w:val="00F72FB4"/>
    <w:rsid w:val="00F733FD"/>
    <w:rsid w:val="00F735E5"/>
    <w:rsid w:val="00F73DD9"/>
    <w:rsid w:val="00F73E80"/>
    <w:rsid w:val="00F7469C"/>
    <w:rsid w:val="00F747E9"/>
    <w:rsid w:val="00F7492E"/>
    <w:rsid w:val="00F74945"/>
    <w:rsid w:val="00F749A3"/>
    <w:rsid w:val="00F74A04"/>
    <w:rsid w:val="00F74AE8"/>
    <w:rsid w:val="00F74F57"/>
    <w:rsid w:val="00F76C11"/>
    <w:rsid w:val="00F77021"/>
    <w:rsid w:val="00F7748C"/>
    <w:rsid w:val="00F77E61"/>
    <w:rsid w:val="00F814B2"/>
    <w:rsid w:val="00F815AC"/>
    <w:rsid w:val="00F82630"/>
    <w:rsid w:val="00F83200"/>
    <w:rsid w:val="00F83310"/>
    <w:rsid w:val="00F83621"/>
    <w:rsid w:val="00F8389F"/>
    <w:rsid w:val="00F83B33"/>
    <w:rsid w:val="00F83CAE"/>
    <w:rsid w:val="00F840BF"/>
    <w:rsid w:val="00F8415D"/>
    <w:rsid w:val="00F8427A"/>
    <w:rsid w:val="00F843DF"/>
    <w:rsid w:val="00F84899"/>
    <w:rsid w:val="00F84A0A"/>
    <w:rsid w:val="00F853A5"/>
    <w:rsid w:val="00F85585"/>
    <w:rsid w:val="00F859F0"/>
    <w:rsid w:val="00F85CC1"/>
    <w:rsid w:val="00F86A41"/>
    <w:rsid w:val="00F86B5D"/>
    <w:rsid w:val="00F86F93"/>
    <w:rsid w:val="00F87464"/>
    <w:rsid w:val="00F87634"/>
    <w:rsid w:val="00F87765"/>
    <w:rsid w:val="00F87C13"/>
    <w:rsid w:val="00F87C5A"/>
    <w:rsid w:val="00F87E29"/>
    <w:rsid w:val="00F87F18"/>
    <w:rsid w:val="00F87F68"/>
    <w:rsid w:val="00F900BA"/>
    <w:rsid w:val="00F90C4D"/>
    <w:rsid w:val="00F9167D"/>
    <w:rsid w:val="00F91CB2"/>
    <w:rsid w:val="00F923F4"/>
    <w:rsid w:val="00F9289C"/>
    <w:rsid w:val="00F93DBC"/>
    <w:rsid w:val="00F93E41"/>
    <w:rsid w:val="00F94644"/>
    <w:rsid w:val="00F94B13"/>
    <w:rsid w:val="00F95075"/>
    <w:rsid w:val="00F9537B"/>
    <w:rsid w:val="00F95567"/>
    <w:rsid w:val="00F963FC"/>
    <w:rsid w:val="00F96577"/>
    <w:rsid w:val="00F96D27"/>
    <w:rsid w:val="00F97501"/>
    <w:rsid w:val="00FA015F"/>
    <w:rsid w:val="00FA0687"/>
    <w:rsid w:val="00FA0FAC"/>
    <w:rsid w:val="00FA1DA2"/>
    <w:rsid w:val="00FA2EC7"/>
    <w:rsid w:val="00FA3414"/>
    <w:rsid w:val="00FA347A"/>
    <w:rsid w:val="00FA39D7"/>
    <w:rsid w:val="00FA3CDE"/>
    <w:rsid w:val="00FA4691"/>
    <w:rsid w:val="00FA49B7"/>
    <w:rsid w:val="00FA5043"/>
    <w:rsid w:val="00FA6F8B"/>
    <w:rsid w:val="00FA7A30"/>
    <w:rsid w:val="00FB033F"/>
    <w:rsid w:val="00FB12E3"/>
    <w:rsid w:val="00FB1570"/>
    <w:rsid w:val="00FB193B"/>
    <w:rsid w:val="00FB1FBC"/>
    <w:rsid w:val="00FB27B7"/>
    <w:rsid w:val="00FB2C36"/>
    <w:rsid w:val="00FB3483"/>
    <w:rsid w:val="00FB35E3"/>
    <w:rsid w:val="00FB4D3F"/>
    <w:rsid w:val="00FB583C"/>
    <w:rsid w:val="00FB630E"/>
    <w:rsid w:val="00FB6738"/>
    <w:rsid w:val="00FB691B"/>
    <w:rsid w:val="00FB731C"/>
    <w:rsid w:val="00FB7DF8"/>
    <w:rsid w:val="00FC05A0"/>
    <w:rsid w:val="00FC0811"/>
    <w:rsid w:val="00FC1196"/>
    <w:rsid w:val="00FC15EB"/>
    <w:rsid w:val="00FC18DC"/>
    <w:rsid w:val="00FC2AC4"/>
    <w:rsid w:val="00FC2F73"/>
    <w:rsid w:val="00FC3107"/>
    <w:rsid w:val="00FC3A9B"/>
    <w:rsid w:val="00FC3AE1"/>
    <w:rsid w:val="00FC3DFC"/>
    <w:rsid w:val="00FC3EF4"/>
    <w:rsid w:val="00FC431B"/>
    <w:rsid w:val="00FC434C"/>
    <w:rsid w:val="00FC4FDF"/>
    <w:rsid w:val="00FC5CF4"/>
    <w:rsid w:val="00FC67CD"/>
    <w:rsid w:val="00FC6A39"/>
    <w:rsid w:val="00FC6E50"/>
    <w:rsid w:val="00FC79AB"/>
    <w:rsid w:val="00FC7BE7"/>
    <w:rsid w:val="00FC7D93"/>
    <w:rsid w:val="00FC7DAC"/>
    <w:rsid w:val="00FD04AE"/>
    <w:rsid w:val="00FD1890"/>
    <w:rsid w:val="00FD18BD"/>
    <w:rsid w:val="00FD1994"/>
    <w:rsid w:val="00FD2AC8"/>
    <w:rsid w:val="00FD2CA6"/>
    <w:rsid w:val="00FD3508"/>
    <w:rsid w:val="00FD36B5"/>
    <w:rsid w:val="00FD393C"/>
    <w:rsid w:val="00FD43BB"/>
    <w:rsid w:val="00FD4A85"/>
    <w:rsid w:val="00FD4AF3"/>
    <w:rsid w:val="00FD556A"/>
    <w:rsid w:val="00FD798D"/>
    <w:rsid w:val="00FD7FB9"/>
    <w:rsid w:val="00FE10F6"/>
    <w:rsid w:val="00FE141E"/>
    <w:rsid w:val="00FE144E"/>
    <w:rsid w:val="00FE1768"/>
    <w:rsid w:val="00FE24F4"/>
    <w:rsid w:val="00FE2560"/>
    <w:rsid w:val="00FE35D0"/>
    <w:rsid w:val="00FE39DD"/>
    <w:rsid w:val="00FE41AC"/>
    <w:rsid w:val="00FE42ED"/>
    <w:rsid w:val="00FE4C6D"/>
    <w:rsid w:val="00FE502D"/>
    <w:rsid w:val="00FE51FD"/>
    <w:rsid w:val="00FE55A7"/>
    <w:rsid w:val="00FE55E6"/>
    <w:rsid w:val="00FE56D5"/>
    <w:rsid w:val="00FE5C5A"/>
    <w:rsid w:val="00FE6432"/>
    <w:rsid w:val="00FE72A0"/>
    <w:rsid w:val="00FF0050"/>
    <w:rsid w:val="00FF045F"/>
    <w:rsid w:val="00FF0712"/>
    <w:rsid w:val="00FF13D4"/>
    <w:rsid w:val="00FF2053"/>
    <w:rsid w:val="00FF2C63"/>
    <w:rsid w:val="00FF3B37"/>
    <w:rsid w:val="00FF3D6F"/>
    <w:rsid w:val="00FF3FE5"/>
    <w:rsid w:val="00FF40FA"/>
    <w:rsid w:val="00FF4BD8"/>
    <w:rsid w:val="00FF4D11"/>
    <w:rsid w:val="00FF50BD"/>
    <w:rsid w:val="00FF5214"/>
    <w:rsid w:val="00FF596E"/>
    <w:rsid w:val="00FF5B59"/>
    <w:rsid w:val="00FF5BFD"/>
    <w:rsid w:val="00FF5C01"/>
    <w:rsid w:val="00FF5F9D"/>
    <w:rsid w:val="00FF6095"/>
    <w:rsid w:val="00FF62FE"/>
    <w:rsid w:val="00FF6553"/>
    <w:rsid w:val="00FF7134"/>
    <w:rsid w:val="00FF7A39"/>
    <w:rsid w:val="57F95CD5"/>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FC69B5"/>
  <w15:docId w15:val="{E7B7A6D8-5071-43F7-8E26-9CBF3DE874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3E0D"/>
    <w:pPr>
      <w:spacing w:after="0" w:line="240" w:lineRule="auto"/>
    </w:pPr>
    <w:rPr>
      <w:rFonts w:ascii="Times New Roman" w:hAnsi="Times New Roman" w:eastAsia="Times New Roman" w:cs="Times New Roman"/>
      <w:sz w:val="24"/>
      <w:szCs w:val="24"/>
      <w:lang w:eastAsia="es-MX"/>
    </w:rPr>
  </w:style>
  <w:style w:type="paragraph" w:styleId="Ttulo1">
    <w:name w:val="heading 1"/>
    <w:basedOn w:val="Normal"/>
    <w:link w:val="Ttulo1Car"/>
    <w:uiPriority w:val="1"/>
    <w:qFormat/>
    <w:rsid w:val="006D712D"/>
    <w:pPr>
      <w:widowControl w:val="0"/>
      <w:autoSpaceDE w:val="0"/>
      <w:autoSpaceDN w:val="0"/>
      <w:ind w:left="660" w:hanging="366"/>
      <w:outlineLvl w:val="0"/>
    </w:pPr>
    <w:rPr>
      <w:rFonts w:ascii="Arial" w:hAnsi="Arial" w:eastAsia="Arial" w:cs="Arial"/>
      <w:b/>
      <w:bCs/>
      <w:sz w:val="22"/>
      <w:szCs w:val="22"/>
      <w:lang w:val="es-ES" w:eastAsia="en-U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link w:val="PiedepginaCar"/>
    <w:uiPriority w:val="99"/>
    <w:unhideWhenUsed/>
    <w:rsid w:val="00A34538"/>
    <w:pPr>
      <w:tabs>
        <w:tab w:val="center" w:pos="4419"/>
        <w:tab w:val="right" w:pos="8838"/>
      </w:tabs>
    </w:pPr>
    <w:rPr>
      <w:rFonts w:asciiTheme="minorHAnsi" w:hAnsiTheme="minorHAnsi" w:eastAsiaTheme="minorHAnsi" w:cstheme="minorBidi"/>
      <w:szCs w:val="22"/>
      <w:lang w:val="es-MX" w:eastAsia="en-US"/>
    </w:rPr>
  </w:style>
  <w:style w:type="character" w:styleId="PiedepginaCar" w:customStyle="1">
    <w:name w:val="Pie de página Car"/>
    <w:basedOn w:val="Fuentedeprrafopredeter"/>
    <w:link w:val="Piedepgina"/>
    <w:uiPriority w:val="99"/>
    <w:rsid w:val="00A34538"/>
    <w:rPr>
      <w:sz w:val="24"/>
      <w:lang w:val="es-MX"/>
    </w:rPr>
  </w:style>
  <w:style w:type="paragraph" w:styleId="Textodeglobo">
    <w:name w:val="Balloon Text"/>
    <w:basedOn w:val="Normal"/>
    <w:link w:val="TextodegloboCar"/>
    <w:uiPriority w:val="99"/>
    <w:semiHidden/>
    <w:unhideWhenUsed/>
    <w:rsid w:val="00A34538"/>
    <w:rPr>
      <w:rFonts w:ascii="Tahoma" w:hAnsi="Tahoma" w:cs="Tahoma" w:eastAsiaTheme="minorHAnsi"/>
      <w:sz w:val="16"/>
      <w:szCs w:val="16"/>
      <w:lang w:val="es-MX" w:eastAsia="en-US"/>
    </w:rPr>
  </w:style>
  <w:style w:type="character" w:styleId="TextodegloboCar" w:customStyle="1">
    <w:name w:val="Texto de globo Car"/>
    <w:basedOn w:val="Fuentedeprrafopredeter"/>
    <w:link w:val="Textodeglobo"/>
    <w:uiPriority w:val="99"/>
    <w:semiHidden/>
    <w:rsid w:val="00A34538"/>
    <w:rPr>
      <w:rFonts w:ascii="Tahoma" w:hAnsi="Tahoma" w:cs="Tahoma"/>
      <w:sz w:val="16"/>
      <w:szCs w:val="16"/>
      <w:lang w:val="es-MX"/>
    </w:rPr>
  </w:style>
  <w:style w:type="paragraph" w:styleId="Encabezado">
    <w:name w:val="header"/>
    <w:basedOn w:val="Normal"/>
    <w:link w:val="EncabezadoCar"/>
    <w:uiPriority w:val="99"/>
    <w:unhideWhenUsed/>
    <w:rsid w:val="009047C5"/>
    <w:pPr>
      <w:tabs>
        <w:tab w:val="center" w:pos="4252"/>
        <w:tab w:val="right" w:pos="8504"/>
      </w:tabs>
    </w:pPr>
    <w:rPr>
      <w:rFonts w:asciiTheme="minorHAnsi" w:hAnsiTheme="minorHAnsi" w:eastAsiaTheme="minorHAnsi" w:cstheme="minorBidi"/>
      <w:szCs w:val="22"/>
      <w:lang w:val="es-MX" w:eastAsia="en-US"/>
    </w:rPr>
  </w:style>
  <w:style w:type="character" w:styleId="EncabezadoCar" w:customStyle="1">
    <w:name w:val="Encabezado Car"/>
    <w:basedOn w:val="Fuentedeprrafopredeter"/>
    <w:link w:val="Encabezado"/>
    <w:uiPriority w:val="99"/>
    <w:rsid w:val="009047C5"/>
    <w:rPr>
      <w:sz w:val="24"/>
      <w:lang w:val="es-MX"/>
    </w:rPr>
  </w:style>
  <w:style w:type="table" w:styleId="Tablaconcuadrcula">
    <w:name w:val="Table Grid"/>
    <w:basedOn w:val="Tablanormal"/>
    <w:uiPriority w:val="59"/>
    <w:rsid w:val="009047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9047C5"/>
    <w:pPr>
      <w:ind w:left="720"/>
      <w:contextualSpacing/>
    </w:pPr>
    <w:rPr>
      <w:rFonts w:asciiTheme="minorHAnsi" w:hAnsiTheme="minorHAnsi" w:eastAsiaTheme="minorHAnsi" w:cstheme="minorBidi"/>
      <w:szCs w:val="22"/>
      <w:lang w:val="es-MX" w:eastAsia="en-US"/>
    </w:rPr>
  </w:style>
  <w:style w:type="character" w:styleId="Refdecomentario">
    <w:name w:val="annotation reference"/>
    <w:basedOn w:val="Fuentedeprrafopredeter"/>
    <w:uiPriority w:val="99"/>
    <w:semiHidden/>
    <w:unhideWhenUsed/>
    <w:rsid w:val="00DA5AB1"/>
    <w:rPr>
      <w:sz w:val="16"/>
      <w:szCs w:val="16"/>
    </w:rPr>
  </w:style>
  <w:style w:type="paragraph" w:styleId="Textocomentario">
    <w:name w:val="annotation text"/>
    <w:basedOn w:val="Normal"/>
    <w:link w:val="TextocomentarioCar"/>
    <w:uiPriority w:val="99"/>
    <w:unhideWhenUsed/>
    <w:rsid w:val="00DA5AB1"/>
    <w:rPr>
      <w:rFonts w:asciiTheme="minorHAnsi" w:hAnsiTheme="minorHAnsi" w:eastAsiaTheme="minorHAnsi" w:cstheme="minorBidi"/>
      <w:sz w:val="20"/>
      <w:szCs w:val="20"/>
      <w:lang w:val="es-MX" w:eastAsia="en-US"/>
    </w:rPr>
  </w:style>
  <w:style w:type="character" w:styleId="TextocomentarioCar" w:customStyle="1">
    <w:name w:val="Texto comentario Car"/>
    <w:basedOn w:val="Fuentedeprrafopredeter"/>
    <w:link w:val="Textocomentario"/>
    <w:uiPriority w:val="99"/>
    <w:rsid w:val="00DA5AB1"/>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DA5AB1"/>
    <w:rPr>
      <w:b/>
      <w:bCs/>
    </w:rPr>
  </w:style>
  <w:style w:type="character" w:styleId="AsuntodelcomentarioCar" w:customStyle="1">
    <w:name w:val="Asunto del comentario Car"/>
    <w:basedOn w:val="TextocomentarioCar"/>
    <w:link w:val="Asuntodelcomentario"/>
    <w:uiPriority w:val="99"/>
    <w:semiHidden/>
    <w:rsid w:val="00DA5AB1"/>
    <w:rPr>
      <w:b/>
      <w:bCs/>
      <w:sz w:val="20"/>
      <w:szCs w:val="20"/>
      <w:lang w:val="es-MX"/>
    </w:rPr>
  </w:style>
  <w:style w:type="character" w:styleId="Hipervnculo">
    <w:name w:val="Hyperlink"/>
    <w:basedOn w:val="Fuentedeprrafopredeter"/>
    <w:uiPriority w:val="99"/>
    <w:unhideWhenUsed/>
    <w:rsid w:val="0085092D"/>
    <w:rPr>
      <w:color w:val="F2F2F2" w:themeColor="hyperlink"/>
      <w:u w:val="single"/>
    </w:rPr>
  </w:style>
  <w:style w:type="paragraph" w:styleId="NormalWeb">
    <w:name w:val="Normal (Web)"/>
    <w:basedOn w:val="Normal"/>
    <w:link w:val="NormalWebCar"/>
    <w:uiPriority w:val="99"/>
    <w:unhideWhenUsed/>
    <w:rsid w:val="00122B23"/>
    <w:pPr>
      <w:spacing w:before="100" w:beforeAutospacing="1" w:after="100" w:afterAutospacing="1"/>
    </w:pPr>
    <w:rPr>
      <w:lang w:eastAsia="es-CO"/>
    </w:rPr>
  </w:style>
  <w:style w:type="paragraph" w:styleId="Sinespaciado">
    <w:name w:val="No Spacing"/>
    <w:aliases w:val="No Indent"/>
    <w:uiPriority w:val="3"/>
    <w:qFormat/>
    <w:rsid w:val="007B0854"/>
    <w:pPr>
      <w:spacing w:after="0" w:line="240" w:lineRule="auto"/>
    </w:pPr>
    <w:rPr>
      <w:sz w:val="24"/>
      <w:lang w:val="es-MX"/>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7B0854"/>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7B0854"/>
    <w:rPr>
      <w:rFonts w:asciiTheme="minorHAnsi" w:hAnsiTheme="minorHAnsi" w:eastAsiaTheme="minorHAnsi" w:cstheme="minorBidi"/>
      <w:sz w:val="20"/>
      <w:szCs w:val="20"/>
      <w:lang w:val="es-MX" w:eastAsia="en-US"/>
    </w:rPr>
  </w:style>
  <w:style w:type="character" w:styleId="TextonotapieCar1" w:customStyle="1">
    <w:name w:val="Texto nota pie Car1"/>
    <w:basedOn w:val="Fuentedeprrafopredeter"/>
    <w:uiPriority w:val="99"/>
    <w:semiHidden/>
    <w:rsid w:val="007B0854"/>
    <w:rPr>
      <w:sz w:val="20"/>
      <w:szCs w:val="20"/>
      <w:lang w:val="es-MX"/>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B0854"/>
    <w:rPr>
      <w:sz w:val="24"/>
      <w:lang w:val="es-MX"/>
    </w:rPr>
  </w:style>
  <w:style w:type="paragraph" w:styleId="Capitulo1" w:customStyle="1">
    <w:name w:val="Capitulo 1"/>
    <w:basedOn w:val="Normal"/>
    <w:qFormat/>
    <w:rsid w:val="007B0854"/>
    <w:pPr>
      <w:keepNext/>
      <w:spacing w:before="120" w:after="200" w:line="276" w:lineRule="auto"/>
      <w:ind w:left="720" w:hanging="360"/>
      <w:outlineLvl w:val="1"/>
    </w:pPr>
    <w:rPr>
      <w:rFonts w:ascii="Arial" w:hAnsi="Arial" w:cs="Arial"/>
      <w:b/>
      <w:color w:val="000000"/>
      <w:sz w:val="20"/>
      <w:szCs w:val="20"/>
      <w:lang w:eastAsia="es-CO"/>
    </w:rPr>
  </w:style>
  <w:style w:type="character" w:styleId="Refdenotaalpie">
    <w:name w:val="footnote reference"/>
    <w:aliases w:val="Ref. de nota al pie 2,Ref,de nota al pie,FC,Appel note de bas de p,f,4_G,16 Point,Superscript 6 Point,Texto nota al pie,Pie de Página,Texto de nota al pi,Nota de pie,Footnote Reference Char3,Texto nota pie Car2,Texto de nota al p,F,R"/>
    <w:basedOn w:val="Fuentedeprrafopredeter"/>
    <w:link w:val="Appelnotedebasde"/>
    <w:uiPriority w:val="99"/>
    <w:unhideWhenUsed/>
    <w:qFormat/>
    <w:rsid w:val="007B0854"/>
    <w:rPr>
      <w:vertAlign w:val="superscript"/>
    </w:rPr>
  </w:style>
  <w:style w:type="table" w:styleId="Tablaconcuadrcula1" w:customStyle="1">
    <w:name w:val="Tabla con cuadrícula1"/>
    <w:basedOn w:val="Tablanormal"/>
    <w:next w:val="Tablaconcuadrcula"/>
    <w:uiPriority w:val="59"/>
    <w:rsid w:val="00795647"/>
    <w:pPr>
      <w:spacing w:after="0" w:line="24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independiente">
    <w:name w:val="Body Text"/>
    <w:basedOn w:val="Normal"/>
    <w:link w:val="TextoindependienteCar"/>
    <w:uiPriority w:val="99"/>
    <w:unhideWhenUsed/>
    <w:rsid w:val="00F1108B"/>
    <w:pPr>
      <w:spacing w:after="120" w:line="276" w:lineRule="auto"/>
    </w:pPr>
    <w:rPr>
      <w:rFonts w:asciiTheme="minorHAnsi" w:hAnsiTheme="minorHAnsi" w:eastAsiaTheme="minorEastAsia" w:cstheme="minorBidi"/>
      <w:sz w:val="22"/>
      <w:szCs w:val="22"/>
      <w:lang w:eastAsia="es-CO"/>
    </w:rPr>
  </w:style>
  <w:style w:type="character" w:styleId="TextoindependienteCar" w:customStyle="1">
    <w:name w:val="Texto independiente Car"/>
    <w:basedOn w:val="Fuentedeprrafopredeter"/>
    <w:link w:val="Textoindependiente"/>
    <w:uiPriority w:val="99"/>
    <w:rsid w:val="00F1108B"/>
    <w:rPr>
      <w:rFonts w:eastAsiaTheme="minorEastAsia"/>
      <w:lang w:eastAsia="es-CO"/>
    </w:rPr>
  </w:style>
  <w:style w:type="character" w:styleId="Mencinsinresolver1" w:customStyle="1">
    <w:name w:val="Mención sin resolver1"/>
    <w:basedOn w:val="Fuentedeprrafopredeter"/>
    <w:uiPriority w:val="99"/>
    <w:semiHidden/>
    <w:unhideWhenUsed/>
    <w:rsid w:val="00247712"/>
    <w:rPr>
      <w:color w:val="605E5C"/>
      <w:shd w:val="clear" w:color="auto" w:fill="E1DFDD"/>
    </w:rPr>
  </w:style>
  <w:style w:type="character" w:styleId="Mencinsinresolver2" w:customStyle="1">
    <w:name w:val="Mención sin resolver2"/>
    <w:basedOn w:val="Fuentedeprrafopredeter"/>
    <w:uiPriority w:val="99"/>
    <w:semiHidden/>
    <w:unhideWhenUsed/>
    <w:rsid w:val="00717ACB"/>
    <w:rPr>
      <w:color w:val="605E5C"/>
      <w:shd w:val="clear" w:color="auto" w:fill="E1DFDD"/>
    </w:rPr>
  </w:style>
  <w:style w:type="character" w:styleId="Mencinsinresolver3" w:customStyle="1">
    <w:name w:val="Mención sin resolver3"/>
    <w:basedOn w:val="Fuentedeprrafopredeter"/>
    <w:uiPriority w:val="99"/>
    <w:rsid w:val="00517CFB"/>
    <w:rPr>
      <w:color w:val="605E5C"/>
      <w:shd w:val="clear" w:color="auto" w:fill="E1DFDD"/>
    </w:rPr>
  </w:style>
  <w:style w:type="paragraph" w:styleId="Default" w:customStyle="1">
    <w:name w:val="Default"/>
    <w:rsid w:val="008919CF"/>
    <w:pPr>
      <w:autoSpaceDE w:val="0"/>
      <w:autoSpaceDN w:val="0"/>
      <w:adjustRightInd w:val="0"/>
      <w:spacing w:after="0" w:line="240" w:lineRule="auto"/>
    </w:pPr>
    <w:rPr>
      <w:rFonts w:ascii="Arial" w:hAnsi="Arial" w:cs="Arial"/>
      <w:color w:val="000000"/>
      <w:sz w:val="24"/>
      <w:szCs w:val="24"/>
    </w:rPr>
  </w:style>
  <w:style w:type="paragraph" w:styleId="paragraph" w:customStyle="1">
    <w:name w:val="paragraph"/>
    <w:basedOn w:val="Normal"/>
    <w:rsid w:val="00DD5B04"/>
    <w:pPr>
      <w:spacing w:before="100" w:beforeAutospacing="1" w:after="100" w:afterAutospacing="1"/>
    </w:pPr>
    <w:rPr>
      <w:lang w:eastAsia="es-CO"/>
    </w:rPr>
  </w:style>
  <w:style w:type="character" w:styleId="textrun" w:customStyle="1">
    <w:name w:val="textrun"/>
    <w:basedOn w:val="Fuentedeprrafopredeter"/>
    <w:rsid w:val="00DD5B04"/>
  </w:style>
  <w:style w:type="character" w:styleId="normaltextrun" w:customStyle="1">
    <w:name w:val="normaltextrun"/>
    <w:basedOn w:val="Fuentedeprrafopredeter"/>
    <w:rsid w:val="00DD5B04"/>
  </w:style>
  <w:style w:type="character" w:styleId="eop" w:customStyle="1">
    <w:name w:val="eop"/>
    <w:basedOn w:val="Fuentedeprrafopredeter"/>
    <w:rsid w:val="00DD5B04"/>
  </w:style>
  <w:style w:type="character" w:styleId="spellingerror" w:customStyle="1">
    <w:name w:val="spellingerror"/>
    <w:basedOn w:val="Fuentedeprrafopredeter"/>
    <w:rsid w:val="00DD5B04"/>
  </w:style>
  <w:style w:type="character" w:styleId="Nmerodepgina">
    <w:name w:val="page number"/>
    <w:basedOn w:val="Fuentedeprrafopredeter"/>
    <w:uiPriority w:val="99"/>
    <w:semiHidden/>
    <w:unhideWhenUsed/>
    <w:rsid w:val="00DD5B04"/>
  </w:style>
  <w:style w:type="character" w:styleId="Ttulo1Car" w:customStyle="1">
    <w:name w:val="Título 1 Car"/>
    <w:basedOn w:val="Fuentedeprrafopredeter"/>
    <w:link w:val="Ttulo1"/>
    <w:uiPriority w:val="1"/>
    <w:rsid w:val="006D712D"/>
    <w:rPr>
      <w:rFonts w:ascii="Arial" w:hAnsi="Arial" w:eastAsia="Arial" w:cs="Arial"/>
      <w:b/>
      <w:bCs/>
      <w:lang w:val="es-ES"/>
    </w:rPr>
  </w:style>
  <w:style w:type="paragraph" w:styleId="Appelnotedebasde" w:customStyle="1">
    <w:name w:val="Appel note de bas de..."/>
    <w:basedOn w:val="Normal"/>
    <w:link w:val="Refdenotaalpie"/>
    <w:uiPriority w:val="99"/>
    <w:rsid w:val="00477C5F"/>
    <w:pPr>
      <w:spacing w:after="160" w:line="240" w:lineRule="exact"/>
    </w:pPr>
    <w:rPr>
      <w:rFonts w:asciiTheme="minorHAnsi" w:hAnsiTheme="minorHAnsi" w:eastAsiaTheme="minorHAnsi" w:cstheme="minorBidi"/>
      <w:sz w:val="22"/>
      <w:szCs w:val="22"/>
      <w:vertAlign w:val="superscript"/>
      <w:lang w:eastAsia="en-US"/>
    </w:rPr>
  </w:style>
  <w:style w:type="paragraph" w:styleId="Sangradetextonormal">
    <w:name w:val="Body Text Indent"/>
    <w:basedOn w:val="Normal"/>
    <w:link w:val="SangradetextonormalCar"/>
    <w:uiPriority w:val="99"/>
    <w:semiHidden/>
    <w:unhideWhenUsed/>
    <w:rsid w:val="006B7E4E"/>
    <w:pPr>
      <w:spacing w:after="120"/>
      <w:ind w:left="283"/>
    </w:pPr>
    <w:rPr>
      <w:rFonts w:asciiTheme="minorHAnsi" w:hAnsiTheme="minorHAnsi" w:eastAsiaTheme="minorHAnsi" w:cstheme="minorBidi"/>
      <w:szCs w:val="22"/>
      <w:lang w:val="es-MX" w:eastAsia="en-US"/>
    </w:rPr>
  </w:style>
  <w:style w:type="character" w:styleId="SangradetextonormalCar" w:customStyle="1">
    <w:name w:val="Sangría de texto normal Car"/>
    <w:basedOn w:val="Fuentedeprrafopredeter"/>
    <w:link w:val="Sangradetextonormal"/>
    <w:uiPriority w:val="99"/>
    <w:semiHidden/>
    <w:rsid w:val="006B7E4E"/>
    <w:rPr>
      <w:sz w:val="24"/>
      <w:lang w:val="es-MX"/>
    </w:rPr>
  </w:style>
  <w:style w:type="character" w:styleId="Textoennegrita">
    <w:name w:val="Strong"/>
    <w:basedOn w:val="Fuentedeprrafopredeter"/>
    <w:uiPriority w:val="22"/>
    <w:qFormat/>
    <w:rsid w:val="00F3570C"/>
    <w:rPr>
      <w:b/>
      <w:bCs/>
    </w:rPr>
  </w:style>
  <w:style w:type="character" w:styleId="nfasis">
    <w:name w:val="Emphasis"/>
    <w:basedOn w:val="Fuentedeprrafopredeter"/>
    <w:uiPriority w:val="20"/>
    <w:qFormat/>
    <w:rsid w:val="00F3570C"/>
    <w:rPr>
      <w:i/>
      <w:iCs/>
    </w:rPr>
  </w:style>
  <w:style w:type="character" w:styleId="NormalWebCar" w:customStyle="1">
    <w:name w:val="Normal (Web) Car"/>
    <w:link w:val="NormalWeb"/>
    <w:uiPriority w:val="99"/>
    <w:rsid w:val="00F3570C"/>
    <w:rPr>
      <w:rFonts w:ascii="Times New Roman" w:hAnsi="Times New Roman" w:eastAsia="Times New Roman" w:cs="Times New Roman"/>
      <w:sz w:val="24"/>
      <w:szCs w:val="24"/>
      <w:lang w:eastAsia="es-CO"/>
    </w:rPr>
  </w:style>
  <w:style w:type="paragraph" w:styleId="InviasNormal" w:customStyle="1">
    <w:name w:val="Invias Normal"/>
    <w:basedOn w:val="Normal"/>
    <w:link w:val="InviasNormalCar"/>
    <w:qFormat/>
    <w:rsid w:val="00433ACB"/>
    <w:pPr>
      <w:tabs>
        <w:tab w:val="left" w:pos="-142"/>
      </w:tabs>
      <w:autoSpaceDE w:val="0"/>
      <w:autoSpaceDN w:val="0"/>
      <w:adjustRightInd w:val="0"/>
      <w:spacing w:before="120" w:after="240"/>
      <w:jc w:val="both"/>
    </w:pPr>
    <w:rPr>
      <w:rFonts w:ascii="Arial Narrow" w:hAnsi="Arial Narrow"/>
      <w:color w:val="3C3C3C" w:themeColor="background2" w:themeShade="40"/>
      <w:lang w:val="x-none" w:eastAsia="es-ES"/>
    </w:rPr>
  </w:style>
  <w:style w:type="character" w:styleId="InviasNormalCar" w:customStyle="1">
    <w:name w:val="Invias Normal Car"/>
    <w:link w:val="InviasNormal"/>
    <w:locked/>
    <w:rsid w:val="00433ACB"/>
    <w:rPr>
      <w:rFonts w:ascii="Arial Narrow" w:hAnsi="Arial Narrow" w:eastAsia="Times New Roman" w:cs="Times New Roman"/>
      <w:color w:val="3C3C3C" w:themeColor="background2" w:themeShade="40"/>
      <w:sz w:val="24"/>
      <w:szCs w:val="24"/>
      <w:lang w:val="x-none" w:eastAsia="es-ES"/>
    </w:rPr>
  </w:style>
  <w:style w:type="table" w:styleId="Tablaconcuadrcula2" w:customStyle="1">
    <w:name w:val="Tabla con cuadrícula2"/>
    <w:basedOn w:val="Tablanormal"/>
    <w:next w:val="Tablaconcuadrcula"/>
    <w:uiPriority w:val="39"/>
    <w:rsid w:val="001E250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nospacing" w:customStyle="1">
    <w:name w:val="x_msonospacing"/>
    <w:basedOn w:val="Normal"/>
    <w:rsid w:val="00292E64"/>
    <w:pPr>
      <w:spacing w:before="100" w:beforeAutospacing="1" w:after="100" w:afterAutospacing="1"/>
    </w:pPr>
  </w:style>
  <w:style w:type="paragraph" w:styleId="Capitulo8" w:customStyle="1">
    <w:name w:val="Capitulo 8"/>
    <w:basedOn w:val="Normal"/>
    <w:qFormat/>
    <w:rsid w:val="00DB5196"/>
    <w:pPr>
      <w:numPr>
        <w:numId w:val="36"/>
      </w:numPr>
      <w:spacing w:after="200" w:line="276" w:lineRule="auto"/>
      <w:ind w:left="1020" w:hanging="680"/>
      <w:contextualSpacing/>
      <w:jc w:val="both"/>
    </w:pPr>
    <w:rPr>
      <w:rFonts w:ascii="Arial" w:hAnsi="Arial" w:eastAsia="Calibri" w:cs="Arial"/>
      <w:b/>
      <w:bCs/>
      <w:color w:val="1C1C1C"/>
      <w:sz w:val="20"/>
      <w:szCs w:val="20"/>
      <w:lang w:eastAsia="en-US"/>
    </w:rPr>
  </w:style>
  <w:style w:type="paragraph" w:styleId="Normal11pt" w:customStyle="1">
    <w:name w:val="Normal + 11 pt"/>
    <w:aliases w:val="Negro,Justificado,Izquierda:  -0,95 cm,Derecha:  0,04 cm"/>
    <w:basedOn w:val="Normal"/>
    <w:uiPriority w:val="99"/>
    <w:rsid w:val="008A2527"/>
    <w:pPr>
      <w:ind w:left="-540"/>
      <w:jc w:val="both"/>
    </w:pPr>
    <w:rPr>
      <w:rFonts w:ascii="Arial" w:hAnsi="Arial" w:cs="Arial"/>
      <w:color w:val="000000"/>
      <w:sz w:val="22"/>
      <w:szCs w:val="22"/>
      <w:lang w:val="es-ES_tradnl" w:eastAsia="es-ES"/>
    </w:rPr>
  </w:style>
  <w:style w:type="paragraph" w:styleId="Revisin">
    <w:name w:val="Revision"/>
    <w:hidden/>
    <w:uiPriority w:val="99"/>
    <w:semiHidden/>
    <w:rsid w:val="004222E3"/>
    <w:pPr>
      <w:spacing w:after="0" w:line="240" w:lineRule="auto"/>
    </w:pPr>
    <w:rPr>
      <w:rFonts w:ascii="Times New Roman" w:hAnsi="Times New Roman" w:eastAsia="Times New Roman" w:cs="Times New Roman"/>
      <w:sz w:val="24"/>
      <w:szCs w:val="24"/>
      <w:lang w:eastAsia="es-ES_tradnl"/>
    </w:rPr>
  </w:style>
  <w:style w:type="character" w:styleId="Mencinsinresolver">
    <w:name w:val="Unresolved Mention"/>
    <w:basedOn w:val="Fuentedeprrafopredeter"/>
    <w:uiPriority w:val="99"/>
    <w:semiHidden/>
    <w:unhideWhenUsed/>
    <w:rsid w:val="00755C31"/>
    <w:rPr>
      <w:color w:val="605E5C"/>
      <w:shd w:val="clear" w:color="auto" w:fill="E1DFDD"/>
    </w:rPr>
  </w:style>
  <w:style w:type="character" w:styleId="Hipervnculo1" w:customStyle="1">
    <w:name w:val="Hipervínculo1"/>
    <w:basedOn w:val="Fuentedeprrafopredeter"/>
    <w:uiPriority w:val="99"/>
    <w:unhideWhenUsed/>
    <w:rsid w:val="009C6278"/>
    <w:rPr>
      <w:color w:val="F2F2F2"/>
      <w:u w:val="single"/>
    </w:rPr>
  </w:style>
  <w:style w:type="character" w:styleId="Hipervnculovisitado">
    <w:name w:val="FollowedHyperlink"/>
    <w:basedOn w:val="Fuentedeprrafopredeter"/>
    <w:uiPriority w:val="99"/>
    <w:semiHidden/>
    <w:unhideWhenUsed/>
    <w:rsid w:val="00B92A5A"/>
    <w:rPr>
      <w:color w:val="F2F2F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2666">
      <w:bodyDiv w:val="1"/>
      <w:marLeft w:val="0"/>
      <w:marRight w:val="0"/>
      <w:marTop w:val="0"/>
      <w:marBottom w:val="0"/>
      <w:divBdr>
        <w:top w:val="none" w:sz="0" w:space="0" w:color="auto"/>
        <w:left w:val="none" w:sz="0" w:space="0" w:color="auto"/>
        <w:bottom w:val="none" w:sz="0" w:space="0" w:color="auto"/>
        <w:right w:val="none" w:sz="0" w:space="0" w:color="auto"/>
      </w:divBdr>
    </w:div>
    <w:div w:id="16934018">
      <w:bodyDiv w:val="1"/>
      <w:marLeft w:val="0"/>
      <w:marRight w:val="0"/>
      <w:marTop w:val="0"/>
      <w:marBottom w:val="0"/>
      <w:divBdr>
        <w:top w:val="none" w:sz="0" w:space="0" w:color="auto"/>
        <w:left w:val="none" w:sz="0" w:space="0" w:color="auto"/>
        <w:bottom w:val="none" w:sz="0" w:space="0" w:color="auto"/>
        <w:right w:val="none" w:sz="0" w:space="0" w:color="auto"/>
      </w:divBdr>
    </w:div>
    <w:div w:id="27223948">
      <w:bodyDiv w:val="1"/>
      <w:marLeft w:val="0"/>
      <w:marRight w:val="0"/>
      <w:marTop w:val="0"/>
      <w:marBottom w:val="0"/>
      <w:divBdr>
        <w:top w:val="none" w:sz="0" w:space="0" w:color="auto"/>
        <w:left w:val="none" w:sz="0" w:space="0" w:color="auto"/>
        <w:bottom w:val="none" w:sz="0" w:space="0" w:color="auto"/>
        <w:right w:val="none" w:sz="0" w:space="0" w:color="auto"/>
      </w:divBdr>
    </w:div>
    <w:div w:id="35281481">
      <w:bodyDiv w:val="1"/>
      <w:marLeft w:val="0"/>
      <w:marRight w:val="0"/>
      <w:marTop w:val="0"/>
      <w:marBottom w:val="0"/>
      <w:divBdr>
        <w:top w:val="none" w:sz="0" w:space="0" w:color="auto"/>
        <w:left w:val="none" w:sz="0" w:space="0" w:color="auto"/>
        <w:bottom w:val="none" w:sz="0" w:space="0" w:color="auto"/>
        <w:right w:val="none" w:sz="0" w:space="0" w:color="auto"/>
      </w:divBdr>
    </w:div>
    <w:div w:id="40833272">
      <w:bodyDiv w:val="1"/>
      <w:marLeft w:val="0"/>
      <w:marRight w:val="0"/>
      <w:marTop w:val="0"/>
      <w:marBottom w:val="0"/>
      <w:divBdr>
        <w:top w:val="none" w:sz="0" w:space="0" w:color="auto"/>
        <w:left w:val="none" w:sz="0" w:space="0" w:color="auto"/>
        <w:bottom w:val="none" w:sz="0" w:space="0" w:color="auto"/>
        <w:right w:val="none" w:sz="0" w:space="0" w:color="auto"/>
      </w:divBdr>
    </w:div>
    <w:div w:id="41099634">
      <w:bodyDiv w:val="1"/>
      <w:marLeft w:val="0"/>
      <w:marRight w:val="0"/>
      <w:marTop w:val="0"/>
      <w:marBottom w:val="0"/>
      <w:divBdr>
        <w:top w:val="none" w:sz="0" w:space="0" w:color="auto"/>
        <w:left w:val="none" w:sz="0" w:space="0" w:color="auto"/>
        <w:bottom w:val="none" w:sz="0" w:space="0" w:color="auto"/>
        <w:right w:val="none" w:sz="0" w:space="0" w:color="auto"/>
      </w:divBdr>
    </w:div>
    <w:div w:id="42021781">
      <w:bodyDiv w:val="1"/>
      <w:marLeft w:val="0"/>
      <w:marRight w:val="0"/>
      <w:marTop w:val="0"/>
      <w:marBottom w:val="0"/>
      <w:divBdr>
        <w:top w:val="none" w:sz="0" w:space="0" w:color="auto"/>
        <w:left w:val="none" w:sz="0" w:space="0" w:color="auto"/>
        <w:bottom w:val="none" w:sz="0" w:space="0" w:color="auto"/>
        <w:right w:val="none" w:sz="0" w:space="0" w:color="auto"/>
      </w:divBdr>
    </w:div>
    <w:div w:id="47606611">
      <w:bodyDiv w:val="1"/>
      <w:marLeft w:val="0"/>
      <w:marRight w:val="0"/>
      <w:marTop w:val="0"/>
      <w:marBottom w:val="0"/>
      <w:divBdr>
        <w:top w:val="none" w:sz="0" w:space="0" w:color="auto"/>
        <w:left w:val="none" w:sz="0" w:space="0" w:color="auto"/>
        <w:bottom w:val="none" w:sz="0" w:space="0" w:color="auto"/>
        <w:right w:val="none" w:sz="0" w:space="0" w:color="auto"/>
      </w:divBdr>
    </w:div>
    <w:div w:id="51780109">
      <w:bodyDiv w:val="1"/>
      <w:marLeft w:val="0"/>
      <w:marRight w:val="0"/>
      <w:marTop w:val="0"/>
      <w:marBottom w:val="0"/>
      <w:divBdr>
        <w:top w:val="none" w:sz="0" w:space="0" w:color="auto"/>
        <w:left w:val="none" w:sz="0" w:space="0" w:color="auto"/>
        <w:bottom w:val="none" w:sz="0" w:space="0" w:color="auto"/>
        <w:right w:val="none" w:sz="0" w:space="0" w:color="auto"/>
      </w:divBdr>
      <w:divsChild>
        <w:div w:id="952639156">
          <w:marLeft w:val="0"/>
          <w:marRight w:val="0"/>
          <w:marTop w:val="0"/>
          <w:marBottom w:val="0"/>
          <w:divBdr>
            <w:top w:val="none" w:sz="0" w:space="0" w:color="auto"/>
            <w:left w:val="none" w:sz="0" w:space="0" w:color="auto"/>
            <w:bottom w:val="none" w:sz="0" w:space="0" w:color="auto"/>
            <w:right w:val="none" w:sz="0" w:space="0" w:color="auto"/>
          </w:divBdr>
          <w:divsChild>
            <w:div w:id="1324165564">
              <w:marLeft w:val="0"/>
              <w:marRight w:val="0"/>
              <w:marTop w:val="0"/>
              <w:marBottom w:val="0"/>
              <w:divBdr>
                <w:top w:val="none" w:sz="0" w:space="0" w:color="auto"/>
                <w:left w:val="none" w:sz="0" w:space="0" w:color="auto"/>
                <w:bottom w:val="none" w:sz="0" w:space="0" w:color="auto"/>
                <w:right w:val="none" w:sz="0" w:space="0" w:color="auto"/>
              </w:divBdr>
              <w:divsChild>
                <w:div w:id="15946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8803">
      <w:bodyDiv w:val="1"/>
      <w:marLeft w:val="0"/>
      <w:marRight w:val="0"/>
      <w:marTop w:val="0"/>
      <w:marBottom w:val="0"/>
      <w:divBdr>
        <w:top w:val="none" w:sz="0" w:space="0" w:color="auto"/>
        <w:left w:val="none" w:sz="0" w:space="0" w:color="auto"/>
        <w:bottom w:val="none" w:sz="0" w:space="0" w:color="auto"/>
        <w:right w:val="none" w:sz="0" w:space="0" w:color="auto"/>
      </w:divBdr>
    </w:div>
    <w:div w:id="79330360">
      <w:bodyDiv w:val="1"/>
      <w:marLeft w:val="0"/>
      <w:marRight w:val="0"/>
      <w:marTop w:val="0"/>
      <w:marBottom w:val="0"/>
      <w:divBdr>
        <w:top w:val="none" w:sz="0" w:space="0" w:color="auto"/>
        <w:left w:val="none" w:sz="0" w:space="0" w:color="auto"/>
        <w:bottom w:val="none" w:sz="0" w:space="0" w:color="auto"/>
        <w:right w:val="none" w:sz="0" w:space="0" w:color="auto"/>
      </w:divBdr>
    </w:div>
    <w:div w:id="85270241">
      <w:bodyDiv w:val="1"/>
      <w:marLeft w:val="0"/>
      <w:marRight w:val="0"/>
      <w:marTop w:val="0"/>
      <w:marBottom w:val="0"/>
      <w:divBdr>
        <w:top w:val="none" w:sz="0" w:space="0" w:color="auto"/>
        <w:left w:val="none" w:sz="0" w:space="0" w:color="auto"/>
        <w:bottom w:val="none" w:sz="0" w:space="0" w:color="auto"/>
        <w:right w:val="none" w:sz="0" w:space="0" w:color="auto"/>
      </w:divBdr>
    </w:div>
    <w:div w:id="138035677">
      <w:bodyDiv w:val="1"/>
      <w:marLeft w:val="0"/>
      <w:marRight w:val="0"/>
      <w:marTop w:val="0"/>
      <w:marBottom w:val="0"/>
      <w:divBdr>
        <w:top w:val="none" w:sz="0" w:space="0" w:color="auto"/>
        <w:left w:val="none" w:sz="0" w:space="0" w:color="auto"/>
        <w:bottom w:val="none" w:sz="0" w:space="0" w:color="auto"/>
        <w:right w:val="none" w:sz="0" w:space="0" w:color="auto"/>
      </w:divBdr>
    </w:div>
    <w:div w:id="166599726">
      <w:bodyDiv w:val="1"/>
      <w:marLeft w:val="0"/>
      <w:marRight w:val="0"/>
      <w:marTop w:val="0"/>
      <w:marBottom w:val="0"/>
      <w:divBdr>
        <w:top w:val="none" w:sz="0" w:space="0" w:color="auto"/>
        <w:left w:val="none" w:sz="0" w:space="0" w:color="auto"/>
        <w:bottom w:val="none" w:sz="0" w:space="0" w:color="auto"/>
        <w:right w:val="none" w:sz="0" w:space="0" w:color="auto"/>
      </w:divBdr>
    </w:div>
    <w:div w:id="192500427">
      <w:bodyDiv w:val="1"/>
      <w:marLeft w:val="0"/>
      <w:marRight w:val="0"/>
      <w:marTop w:val="0"/>
      <w:marBottom w:val="0"/>
      <w:divBdr>
        <w:top w:val="none" w:sz="0" w:space="0" w:color="auto"/>
        <w:left w:val="none" w:sz="0" w:space="0" w:color="auto"/>
        <w:bottom w:val="none" w:sz="0" w:space="0" w:color="auto"/>
        <w:right w:val="none" w:sz="0" w:space="0" w:color="auto"/>
      </w:divBdr>
    </w:div>
    <w:div w:id="199707491">
      <w:bodyDiv w:val="1"/>
      <w:marLeft w:val="0"/>
      <w:marRight w:val="0"/>
      <w:marTop w:val="0"/>
      <w:marBottom w:val="0"/>
      <w:divBdr>
        <w:top w:val="none" w:sz="0" w:space="0" w:color="auto"/>
        <w:left w:val="none" w:sz="0" w:space="0" w:color="auto"/>
        <w:bottom w:val="none" w:sz="0" w:space="0" w:color="auto"/>
        <w:right w:val="none" w:sz="0" w:space="0" w:color="auto"/>
      </w:divBdr>
    </w:div>
    <w:div w:id="208033545">
      <w:bodyDiv w:val="1"/>
      <w:marLeft w:val="0"/>
      <w:marRight w:val="0"/>
      <w:marTop w:val="0"/>
      <w:marBottom w:val="0"/>
      <w:divBdr>
        <w:top w:val="none" w:sz="0" w:space="0" w:color="auto"/>
        <w:left w:val="none" w:sz="0" w:space="0" w:color="auto"/>
        <w:bottom w:val="none" w:sz="0" w:space="0" w:color="auto"/>
        <w:right w:val="none" w:sz="0" w:space="0" w:color="auto"/>
      </w:divBdr>
    </w:div>
    <w:div w:id="208080400">
      <w:bodyDiv w:val="1"/>
      <w:marLeft w:val="0"/>
      <w:marRight w:val="0"/>
      <w:marTop w:val="0"/>
      <w:marBottom w:val="0"/>
      <w:divBdr>
        <w:top w:val="none" w:sz="0" w:space="0" w:color="auto"/>
        <w:left w:val="none" w:sz="0" w:space="0" w:color="auto"/>
        <w:bottom w:val="none" w:sz="0" w:space="0" w:color="auto"/>
        <w:right w:val="none" w:sz="0" w:space="0" w:color="auto"/>
      </w:divBdr>
    </w:div>
    <w:div w:id="235555305">
      <w:bodyDiv w:val="1"/>
      <w:marLeft w:val="0"/>
      <w:marRight w:val="0"/>
      <w:marTop w:val="0"/>
      <w:marBottom w:val="0"/>
      <w:divBdr>
        <w:top w:val="none" w:sz="0" w:space="0" w:color="auto"/>
        <w:left w:val="none" w:sz="0" w:space="0" w:color="auto"/>
        <w:bottom w:val="none" w:sz="0" w:space="0" w:color="auto"/>
        <w:right w:val="none" w:sz="0" w:space="0" w:color="auto"/>
      </w:divBdr>
      <w:divsChild>
        <w:div w:id="1294293439">
          <w:marLeft w:val="0"/>
          <w:marRight w:val="0"/>
          <w:marTop w:val="0"/>
          <w:marBottom w:val="0"/>
          <w:divBdr>
            <w:top w:val="none" w:sz="0" w:space="0" w:color="auto"/>
            <w:left w:val="none" w:sz="0" w:space="0" w:color="auto"/>
            <w:bottom w:val="none" w:sz="0" w:space="0" w:color="auto"/>
            <w:right w:val="none" w:sz="0" w:space="0" w:color="auto"/>
          </w:divBdr>
          <w:divsChild>
            <w:div w:id="150484144">
              <w:marLeft w:val="0"/>
              <w:marRight w:val="0"/>
              <w:marTop w:val="0"/>
              <w:marBottom w:val="0"/>
              <w:divBdr>
                <w:top w:val="none" w:sz="0" w:space="0" w:color="auto"/>
                <w:left w:val="none" w:sz="0" w:space="0" w:color="auto"/>
                <w:bottom w:val="none" w:sz="0" w:space="0" w:color="auto"/>
                <w:right w:val="none" w:sz="0" w:space="0" w:color="auto"/>
              </w:divBdr>
              <w:divsChild>
                <w:div w:id="7417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96267">
      <w:bodyDiv w:val="1"/>
      <w:marLeft w:val="0"/>
      <w:marRight w:val="0"/>
      <w:marTop w:val="0"/>
      <w:marBottom w:val="0"/>
      <w:divBdr>
        <w:top w:val="none" w:sz="0" w:space="0" w:color="auto"/>
        <w:left w:val="none" w:sz="0" w:space="0" w:color="auto"/>
        <w:bottom w:val="none" w:sz="0" w:space="0" w:color="auto"/>
        <w:right w:val="none" w:sz="0" w:space="0" w:color="auto"/>
      </w:divBdr>
    </w:div>
    <w:div w:id="245386739">
      <w:bodyDiv w:val="1"/>
      <w:marLeft w:val="0"/>
      <w:marRight w:val="0"/>
      <w:marTop w:val="0"/>
      <w:marBottom w:val="0"/>
      <w:divBdr>
        <w:top w:val="none" w:sz="0" w:space="0" w:color="auto"/>
        <w:left w:val="none" w:sz="0" w:space="0" w:color="auto"/>
        <w:bottom w:val="none" w:sz="0" w:space="0" w:color="auto"/>
        <w:right w:val="none" w:sz="0" w:space="0" w:color="auto"/>
      </w:divBdr>
    </w:div>
    <w:div w:id="264926424">
      <w:bodyDiv w:val="1"/>
      <w:marLeft w:val="0"/>
      <w:marRight w:val="0"/>
      <w:marTop w:val="0"/>
      <w:marBottom w:val="0"/>
      <w:divBdr>
        <w:top w:val="none" w:sz="0" w:space="0" w:color="auto"/>
        <w:left w:val="none" w:sz="0" w:space="0" w:color="auto"/>
        <w:bottom w:val="none" w:sz="0" w:space="0" w:color="auto"/>
        <w:right w:val="none" w:sz="0" w:space="0" w:color="auto"/>
      </w:divBdr>
    </w:div>
    <w:div w:id="284427149">
      <w:bodyDiv w:val="1"/>
      <w:marLeft w:val="0"/>
      <w:marRight w:val="0"/>
      <w:marTop w:val="0"/>
      <w:marBottom w:val="0"/>
      <w:divBdr>
        <w:top w:val="none" w:sz="0" w:space="0" w:color="auto"/>
        <w:left w:val="none" w:sz="0" w:space="0" w:color="auto"/>
        <w:bottom w:val="none" w:sz="0" w:space="0" w:color="auto"/>
        <w:right w:val="none" w:sz="0" w:space="0" w:color="auto"/>
      </w:divBdr>
    </w:div>
    <w:div w:id="287053986">
      <w:bodyDiv w:val="1"/>
      <w:marLeft w:val="0"/>
      <w:marRight w:val="0"/>
      <w:marTop w:val="0"/>
      <w:marBottom w:val="0"/>
      <w:divBdr>
        <w:top w:val="none" w:sz="0" w:space="0" w:color="auto"/>
        <w:left w:val="none" w:sz="0" w:space="0" w:color="auto"/>
        <w:bottom w:val="none" w:sz="0" w:space="0" w:color="auto"/>
        <w:right w:val="none" w:sz="0" w:space="0" w:color="auto"/>
      </w:divBdr>
    </w:div>
    <w:div w:id="290482433">
      <w:bodyDiv w:val="1"/>
      <w:marLeft w:val="0"/>
      <w:marRight w:val="0"/>
      <w:marTop w:val="0"/>
      <w:marBottom w:val="0"/>
      <w:divBdr>
        <w:top w:val="none" w:sz="0" w:space="0" w:color="auto"/>
        <w:left w:val="none" w:sz="0" w:space="0" w:color="auto"/>
        <w:bottom w:val="none" w:sz="0" w:space="0" w:color="auto"/>
        <w:right w:val="none" w:sz="0" w:space="0" w:color="auto"/>
      </w:divBdr>
    </w:div>
    <w:div w:id="292368787">
      <w:bodyDiv w:val="1"/>
      <w:marLeft w:val="0"/>
      <w:marRight w:val="0"/>
      <w:marTop w:val="0"/>
      <w:marBottom w:val="0"/>
      <w:divBdr>
        <w:top w:val="none" w:sz="0" w:space="0" w:color="auto"/>
        <w:left w:val="none" w:sz="0" w:space="0" w:color="auto"/>
        <w:bottom w:val="none" w:sz="0" w:space="0" w:color="auto"/>
        <w:right w:val="none" w:sz="0" w:space="0" w:color="auto"/>
      </w:divBdr>
    </w:div>
    <w:div w:id="292759390">
      <w:bodyDiv w:val="1"/>
      <w:marLeft w:val="0"/>
      <w:marRight w:val="0"/>
      <w:marTop w:val="0"/>
      <w:marBottom w:val="0"/>
      <w:divBdr>
        <w:top w:val="none" w:sz="0" w:space="0" w:color="auto"/>
        <w:left w:val="none" w:sz="0" w:space="0" w:color="auto"/>
        <w:bottom w:val="none" w:sz="0" w:space="0" w:color="auto"/>
        <w:right w:val="none" w:sz="0" w:space="0" w:color="auto"/>
      </w:divBdr>
    </w:div>
    <w:div w:id="312223570">
      <w:bodyDiv w:val="1"/>
      <w:marLeft w:val="0"/>
      <w:marRight w:val="0"/>
      <w:marTop w:val="0"/>
      <w:marBottom w:val="0"/>
      <w:divBdr>
        <w:top w:val="none" w:sz="0" w:space="0" w:color="auto"/>
        <w:left w:val="none" w:sz="0" w:space="0" w:color="auto"/>
        <w:bottom w:val="none" w:sz="0" w:space="0" w:color="auto"/>
        <w:right w:val="none" w:sz="0" w:space="0" w:color="auto"/>
      </w:divBdr>
    </w:div>
    <w:div w:id="322202786">
      <w:bodyDiv w:val="1"/>
      <w:marLeft w:val="0"/>
      <w:marRight w:val="0"/>
      <w:marTop w:val="0"/>
      <w:marBottom w:val="0"/>
      <w:divBdr>
        <w:top w:val="none" w:sz="0" w:space="0" w:color="auto"/>
        <w:left w:val="none" w:sz="0" w:space="0" w:color="auto"/>
        <w:bottom w:val="none" w:sz="0" w:space="0" w:color="auto"/>
        <w:right w:val="none" w:sz="0" w:space="0" w:color="auto"/>
      </w:divBdr>
    </w:div>
    <w:div w:id="334965764">
      <w:bodyDiv w:val="1"/>
      <w:marLeft w:val="0"/>
      <w:marRight w:val="0"/>
      <w:marTop w:val="0"/>
      <w:marBottom w:val="0"/>
      <w:divBdr>
        <w:top w:val="none" w:sz="0" w:space="0" w:color="auto"/>
        <w:left w:val="none" w:sz="0" w:space="0" w:color="auto"/>
        <w:bottom w:val="none" w:sz="0" w:space="0" w:color="auto"/>
        <w:right w:val="none" w:sz="0" w:space="0" w:color="auto"/>
      </w:divBdr>
    </w:div>
    <w:div w:id="337391810">
      <w:bodyDiv w:val="1"/>
      <w:marLeft w:val="0"/>
      <w:marRight w:val="0"/>
      <w:marTop w:val="0"/>
      <w:marBottom w:val="0"/>
      <w:divBdr>
        <w:top w:val="none" w:sz="0" w:space="0" w:color="auto"/>
        <w:left w:val="none" w:sz="0" w:space="0" w:color="auto"/>
        <w:bottom w:val="none" w:sz="0" w:space="0" w:color="auto"/>
        <w:right w:val="none" w:sz="0" w:space="0" w:color="auto"/>
      </w:divBdr>
    </w:div>
    <w:div w:id="344946704">
      <w:bodyDiv w:val="1"/>
      <w:marLeft w:val="0"/>
      <w:marRight w:val="0"/>
      <w:marTop w:val="0"/>
      <w:marBottom w:val="0"/>
      <w:divBdr>
        <w:top w:val="none" w:sz="0" w:space="0" w:color="auto"/>
        <w:left w:val="none" w:sz="0" w:space="0" w:color="auto"/>
        <w:bottom w:val="none" w:sz="0" w:space="0" w:color="auto"/>
        <w:right w:val="none" w:sz="0" w:space="0" w:color="auto"/>
      </w:divBdr>
      <w:divsChild>
        <w:div w:id="1496412692">
          <w:marLeft w:val="0"/>
          <w:marRight w:val="0"/>
          <w:marTop w:val="0"/>
          <w:marBottom w:val="0"/>
          <w:divBdr>
            <w:top w:val="none" w:sz="0" w:space="0" w:color="auto"/>
            <w:left w:val="none" w:sz="0" w:space="0" w:color="auto"/>
            <w:bottom w:val="none" w:sz="0" w:space="0" w:color="auto"/>
            <w:right w:val="none" w:sz="0" w:space="0" w:color="auto"/>
          </w:divBdr>
          <w:divsChild>
            <w:div w:id="1121000746">
              <w:marLeft w:val="0"/>
              <w:marRight w:val="0"/>
              <w:marTop w:val="0"/>
              <w:marBottom w:val="0"/>
              <w:divBdr>
                <w:top w:val="none" w:sz="0" w:space="0" w:color="auto"/>
                <w:left w:val="none" w:sz="0" w:space="0" w:color="auto"/>
                <w:bottom w:val="none" w:sz="0" w:space="0" w:color="auto"/>
                <w:right w:val="none" w:sz="0" w:space="0" w:color="auto"/>
              </w:divBdr>
              <w:divsChild>
                <w:div w:id="136447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522120">
      <w:bodyDiv w:val="1"/>
      <w:marLeft w:val="0"/>
      <w:marRight w:val="0"/>
      <w:marTop w:val="0"/>
      <w:marBottom w:val="0"/>
      <w:divBdr>
        <w:top w:val="none" w:sz="0" w:space="0" w:color="auto"/>
        <w:left w:val="none" w:sz="0" w:space="0" w:color="auto"/>
        <w:bottom w:val="none" w:sz="0" w:space="0" w:color="auto"/>
        <w:right w:val="none" w:sz="0" w:space="0" w:color="auto"/>
      </w:divBdr>
    </w:div>
    <w:div w:id="351734920">
      <w:bodyDiv w:val="1"/>
      <w:marLeft w:val="0"/>
      <w:marRight w:val="0"/>
      <w:marTop w:val="0"/>
      <w:marBottom w:val="0"/>
      <w:divBdr>
        <w:top w:val="none" w:sz="0" w:space="0" w:color="auto"/>
        <w:left w:val="none" w:sz="0" w:space="0" w:color="auto"/>
        <w:bottom w:val="none" w:sz="0" w:space="0" w:color="auto"/>
        <w:right w:val="none" w:sz="0" w:space="0" w:color="auto"/>
      </w:divBdr>
    </w:div>
    <w:div w:id="364672525">
      <w:bodyDiv w:val="1"/>
      <w:marLeft w:val="0"/>
      <w:marRight w:val="0"/>
      <w:marTop w:val="0"/>
      <w:marBottom w:val="0"/>
      <w:divBdr>
        <w:top w:val="none" w:sz="0" w:space="0" w:color="auto"/>
        <w:left w:val="none" w:sz="0" w:space="0" w:color="auto"/>
        <w:bottom w:val="none" w:sz="0" w:space="0" w:color="auto"/>
        <w:right w:val="none" w:sz="0" w:space="0" w:color="auto"/>
      </w:divBdr>
    </w:div>
    <w:div w:id="387266119">
      <w:bodyDiv w:val="1"/>
      <w:marLeft w:val="0"/>
      <w:marRight w:val="0"/>
      <w:marTop w:val="0"/>
      <w:marBottom w:val="0"/>
      <w:divBdr>
        <w:top w:val="none" w:sz="0" w:space="0" w:color="auto"/>
        <w:left w:val="none" w:sz="0" w:space="0" w:color="auto"/>
        <w:bottom w:val="none" w:sz="0" w:space="0" w:color="auto"/>
        <w:right w:val="none" w:sz="0" w:space="0" w:color="auto"/>
      </w:divBdr>
      <w:divsChild>
        <w:div w:id="2039088259">
          <w:marLeft w:val="0"/>
          <w:marRight w:val="0"/>
          <w:marTop w:val="0"/>
          <w:marBottom w:val="0"/>
          <w:divBdr>
            <w:top w:val="none" w:sz="0" w:space="0" w:color="auto"/>
            <w:left w:val="none" w:sz="0" w:space="0" w:color="auto"/>
            <w:bottom w:val="none" w:sz="0" w:space="0" w:color="auto"/>
            <w:right w:val="none" w:sz="0" w:space="0" w:color="auto"/>
          </w:divBdr>
          <w:divsChild>
            <w:div w:id="551431865">
              <w:marLeft w:val="0"/>
              <w:marRight w:val="0"/>
              <w:marTop w:val="0"/>
              <w:marBottom w:val="0"/>
              <w:divBdr>
                <w:top w:val="none" w:sz="0" w:space="0" w:color="auto"/>
                <w:left w:val="none" w:sz="0" w:space="0" w:color="auto"/>
                <w:bottom w:val="none" w:sz="0" w:space="0" w:color="auto"/>
                <w:right w:val="none" w:sz="0" w:space="0" w:color="auto"/>
              </w:divBdr>
              <w:divsChild>
                <w:div w:id="1777408383">
                  <w:marLeft w:val="0"/>
                  <w:marRight w:val="0"/>
                  <w:marTop w:val="0"/>
                  <w:marBottom w:val="0"/>
                  <w:divBdr>
                    <w:top w:val="none" w:sz="0" w:space="0" w:color="auto"/>
                    <w:left w:val="none" w:sz="0" w:space="0" w:color="auto"/>
                    <w:bottom w:val="none" w:sz="0" w:space="0" w:color="auto"/>
                    <w:right w:val="none" w:sz="0" w:space="0" w:color="auto"/>
                  </w:divBdr>
                  <w:divsChild>
                    <w:div w:id="70996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11658">
      <w:bodyDiv w:val="1"/>
      <w:marLeft w:val="0"/>
      <w:marRight w:val="0"/>
      <w:marTop w:val="0"/>
      <w:marBottom w:val="0"/>
      <w:divBdr>
        <w:top w:val="none" w:sz="0" w:space="0" w:color="auto"/>
        <w:left w:val="none" w:sz="0" w:space="0" w:color="auto"/>
        <w:bottom w:val="none" w:sz="0" w:space="0" w:color="auto"/>
        <w:right w:val="none" w:sz="0" w:space="0" w:color="auto"/>
      </w:divBdr>
    </w:div>
    <w:div w:id="398670483">
      <w:bodyDiv w:val="1"/>
      <w:marLeft w:val="0"/>
      <w:marRight w:val="0"/>
      <w:marTop w:val="0"/>
      <w:marBottom w:val="0"/>
      <w:divBdr>
        <w:top w:val="none" w:sz="0" w:space="0" w:color="auto"/>
        <w:left w:val="none" w:sz="0" w:space="0" w:color="auto"/>
        <w:bottom w:val="none" w:sz="0" w:space="0" w:color="auto"/>
        <w:right w:val="none" w:sz="0" w:space="0" w:color="auto"/>
      </w:divBdr>
    </w:div>
    <w:div w:id="402992273">
      <w:bodyDiv w:val="1"/>
      <w:marLeft w:val="0"/>
      <w:marRight w:val="0"/>
      <w:marTop w:val="0"/>
      <w:marBottom w:val="0"/>
      <w:divBdr>
        <w:top w:val="none" w:sz="0" w:space="0" w:color="auto"/>
        <w:left w:val="none" w:sz="0" w:space="0" w:color="auto"/>
        <w:bottom w:val="none" w:sz="0" w:space="0" w:color="auto"/>
        <w:right w:val="none" w:sz="0" w:space="0" w:color="auto"/>
      </w:divBdr>
    </w:div>
    <w:div w:id="410320993">
      <w:bodyDiv w:val="1"/>
      <w:marLeft w:val="0"/>
      <w:marRight w:val="0"/>
      <w:marTop w:val="0"/>
      <w:marBottom w:val="0"/>
      <w:divBdr>
        <w:top w:val="none" w:sz="0" w:space="0" w:color="auto"/>
        <w:left w:val="none" w:sz="0" w:space="0" w:color="auto"/>
        <w:bottom w:val="none" w:sz="0" w:space="0" w:color="auto"/>
        <w:right w:val="none" w:sz="0" w:space="0" w:color="auto"/>
      </w:divBdr>
    </w:div>
    <w:div w:id="436829350">
      <w:bodyDiv w:val="1"/>
      <w:marLeft w:val="0"/>
      <w:marRight w:val="0"/>
      <w:marTop w:val="0"/>
      <w:marBottom w:val="0"/>
      <w:divBdr>
        <w:top w:val="none" w:sz="0" w:space="0" w:color="auto"/>
        <w:left w:val="none" w:sz="0" w:space="0" w:color="auto"/>
        <w:bottom w:val="none" w:sz="0" w:space="0" w:color="auto"/>
        <w:right w:val="none" w:sz="0" w:space="0" w:color="auto"/>
      </w:divBdr>
    </w:div>
    <w:div w:id="445349329">
      <w:bodyDiv w:val="1"/>
      <w:marLeft w:val="0"/>
      <w:marRight w:val="0"/>
      <w:marTop w:val="0"/>
      <w:marBottom w:val="0"/>
      <w:divBdr>
        <w:top w:val="none" w:sz="0" w:space="0" w:color="auto"/>
        <w:left w:val="none" w:sz="0" w:space="0" w:color="auto"/>
        <w:bottom w:val="none" w:sz="0" w:space="0" w:color="auto"/>
        <w:right w:val="none" w:sz="0" w:space="0" w:color="auto"/>
      </w:divBdr>
    </w:div>
    <w:div w:id="470680369">
      <w:bodyDiv w:val="1"/>
      <w:marLeft w:val="0"/>
      <w:marRight w:val="0"/>
      <w:marTop w:val="0"/>
      <w:marBottom w:val="0"/>
      <w:divBdr>
        <w:top w:val="none" w:sz="0" w:space="0" w:color="auto"/>
        <w:left w:val="none" w:sz="0" w:space="0" w:color="auto"/>
        <w:bottom w:val="none" w:sz="0" w:space="0" w:color="auto"/>
        <w:right w:val="none" w:sz="0" w:space="0" w:color="auto"/>
      </w:divBdr>
    </w:div>
    <w:div w:id="480733979">
      <w:bodyDiv w:val="1"/>
      <w:marLeft w:val="0"/>
      <w:marRight w:val="0"/>
      <w:marTop w:val="0"/>
      <w:marBottom w:val="0"/>
      <w:divBdr>
        <w:top w:val="none" w:sz="0" w:space="0" w:color="auto"/>
        <w:left w:val="none" w:sz="0" w:space="0" w:color="auto"/>
        <w:bottom w:val="none" w:sz="0" w:space="0" w:color="auto"/>
        <w:right w:val="none" w:sz="0" w:space="0" w:color="auto"/>
      </w:divBdr>
    </w:div>
    <w:div w:id="496962201">
      <w:bodyDiv w:val="1"/>
      <w:marLeft w:val="0"/>
      <w:marRight w:val="0"/>
      <w:marTop w:val="0"/>
      <w:marBottom w:val="0"/>
      <w:divBdr>
        <w:top w:val="none" w:sz="0" w:space="0" w:color="auto"/>
        <w:left w:val="none" w:sz="0" w:space="0" w:color="auto"/>
        <w:bottom w:val="none" w:sz="0" w:space="0" w:color="auto"/>
        <w:right w:val="none" w:sz="0" w:space="0" w:color="auto"/>
      </w:divBdr>
    </w:div>
    <w:div w:id="503477703">
      <w:bodyDiv w:val="1"/>
      <w:marLeft w:val="0"/>
      <w:marRight w:val="0"/>
      <w:marTop w:val="0"/>
      <w:marBottom w:val="0"/>
      <w:divBdr>
        <w:top w:val="none" w:sz="0" w:space="0" w:color="auto"/>
        <w:left w:val="none" w:sz="0" w:space="0" w:color="auto"/>
        <w:bottom w:val="none" w:sz="0" w:space="0" w:color="auto"/>
        <w:right w:val="none" w:sz="0" w:space="0" w:color="auto"/>
      </w:divBdr>
      <w:divsChild>
        <w:div w:id="13383649">
          <w:marLeft w:val="0"/>
          <w:marRight w:val="0"/>
          <w:marTop w:val="0"/>
          <w:marBottom w:val="0"/>
          <w:divBdr>
            <w:top w:val="none" w:sz="0" w:space="0" w:color="auto"/>
            <w:left w:val="none" w:sz="0" w:space="0" w:color="auto"/>
            <w:bottom w:val="none" w:sz="0" w:space="0" w:color="auto"/>
            <w:right w:val="none" w:sz="0" w:space="0" w:color="auto"/>
          </w:divBdr>
        </w:div>
        <w:div w:id="134836591">
          <w:marLeft w:val="0"/>
          <w:marRight w:val="0"/>
          <w:marTop w:val="0"/>
          <w:marBottom w:val="0"/>
          <w:divBdr>
            <w:top w:val="none" w:sz="0" w:space="0" w:color="auto"/>
            <w:left w:val="none" w:sz="0" w:space="0" w:color="auto"/>
            <w:bottom w:val="none" w:sz="0" w:space="0" w:color="auto"/>
            <w:right w:val="none" w:sz="0" w:space="0" w:color="auto"/>
          </w:divBdr>
        </w:div>
        <w:div w:id="266305046">
          <w:marLeft w:val="0"/>
          <w:marRight w:val="0"/>
          <w:marTop w:val="0"/>
          <w:marBottom w:val="0"/>
          <w:divBdr>
            <w:top w:val="none" w:sz="0" w:space="0" w:color="auto"/>
            <w:left w:val="none" w:sz="0" w:space="0" w:color="auto"/>
            <w:bottom w:val="none" w:sz="0" w:space="0" w:color="auto"/>
            <w:right w:val="none" w:sz="0" w:space="0" w:color="auto"/>
          </w:divBdr>
        </w:div>
        <w:div w:id="431245799">
          <w:marLeft w:val="0"/>
          <w:marRight w:val="0"/>
          <w:marTop w:val="0"/>
          <w:marBottom w:val="0"/>
          <w:divBdr>
            <w:top w:val="none" w:sz="0" w:space="0" w:color="auto"/>
            <w:left w:val="none" w:sz="0" w:space="0" w:color="auto"/>
            <w:bottom w:val="none" w:sz="0" w:space="0" w:color="auto"/>
            <w:right w:val="none" w:sz="0" w:space="0" w:color="auto"/>
          </w:divBdr>
        </w:div>
        <w:div w:id="782308504">
          <w:marLeft w:val="0"/>
          <w:marRight w:val="0"/>
          <w:marTop w:val="0"/>
          <w:marBottom w:val="0"/>
          <w:divBdr>
            <w:top w:val="none" w:sz="0" w:space="0" w:color="auto"/>
            <w:left w:val="none" w:sz="0" w:space="0" w:color="auto"/>
            <w:bottom w:val="none" w:sz="0" w:space="0" w:color="auto"/>
            <w:right w:val="none" w:sz="0" w:space="0" w:color="auto"/>
          </w:divBdr>
        </w:div>
        <w:div w:id="1074623503">
          <w:marLeft w:val="0"/>
          <w:marRight w:val="0"/>
          <w:marTop w:val="0"/>
          <w:marBottom w:val="0"/>
          <w:divBdr>
            <w:top w:val="none" w:sz="0" w:space="0" w:color="auto"/>
            <w:left w:val="none" w:sz="0" w:space="0" w:color="auto"/>
            <w:bottom w:val="none" w:sz="0" w:space="0" w:color="auto"/>
            <w:right w:val="none" w:sz="0" w:space="0" w:color="auto"/>
          </w:divBdr>
        </w:div>
        <w:div w:id="1260329733">
          <w:marLeft w:val="0"/>
          <w:marRight w:val="0"/>
          <w:marTop w:val="0"/>
          <w:marBottom w:val="0"/>
          <w:divBdr>
            <w:top w:val="none" w:sz="0" w:space="0" w:color="auto"/>
            <w:left w:val="none" w:sz="0" w:space="0" w:color="auto"/>
            <w:bottom w:val="none" w:sz="0" w:space="0" w:color="auto"/>
            <w:right w:val="none" w:sz="0" w:space="0" w:color="auto"/>
          </w:divBdr>
        </w:div>
        <w:div w:id="1382483288">
          <w:marLeft w:val="0"/>
          <w:marRight w:val="0"/>
          <w:marTop w:val="0"/>
          <w:marBottom w:val="0"/>
          <w:divBdr>
            <w:top w:val="none" w:sz="0" w:space="0" w:color="auto"/>
            <w:left w:val="none" w:sz="0" w:space="0" w:color="auto"/>
            <w:bottom w:val="none" w:sz="0" w:space="0" w:color="auto"/>
            <w:right w:val="none" w:sz="0" w:space="0" w:color="auto"/>
          </w:divBdr>
        </w:div>
        <w:div w:id="1387794770">
          <w:marLeft w:val="0"/>
          <w:marRight w:val="0"/>
          <w:marTop w:val="0"/>
          <w:marBottom w:val="0"/>
          <w:divBdr>
            <w:top w:val="none" w:sz="0" w:space="0" w:color="auto"/>
            <w:left w:val="none" w:sz="0" w:space="0" w:color="auto"/>
            <w:bottom w:val="none" w:sz="0" w:space="0" w:color="auto"/>
            <w:right w:val="none" w:sz="0" w:space="0" w:color="auto"/>
          </w:divBdr>
        </w:div>
        <w:div w:id="1592815413">
          <w:marLeft w:val="0"/>
          <w:marRight w:val="0"/>
          <w:marTop w:val="0"/>
          <w:marBottom w:val="0"/>
          <w:divBdr>
            <w:top w:val="none" w:sz="0" w:space="0" w:color="auto"/>
            <w:left w:val="none" w:sz="0" w:space="0" w:color="auto"/>
            <w:bottom w:val="none" w:sz="0" w:space="0" w:color="auto"/>
            <w:right w:val="none" w:sz="0" w:space="0" w:color="auto"/>
          </w:divBdr>
        </w:div>
        <w:div w:id="1621301682">
          <w:marLeft w:val="0"/>
          <w:marRight w:val="0"/>
          <w:marTop w:val="0"/>
          <w:marBottom w:val="0"/>
          <w:divBdr>
            <w:top w:val="none" w:sz="0" w:space="0" w:color="auto"/>
            <w:left w:val="none" w:sz="0" w:space="0" w:color="auto"/>
            <w:bottom w:val="none" w:sz="0" w:space="0" w:color="auto"/>
            <w:right w:val="none" w:sz="0" w:space="0" w:color="auto"/>
          </w:divBdr>
        </w:div>
        <w:div w:id="1658653047">
          <w:marLeft w:val="0"/>
          <w:marRight w:val="0"/>
          <w:marTop w:val="0"/>
          <w:marBottom w:val="0"/>
          <w:divBdr>
            <w:top w:val="none" w:sz="0" w:space="0" w:color="auto"/>
            <w:left w:val="none" w:sz="0" w:space="0" w:color="auto"/>
            <w:bottom w:val="none" w:sz="0" w:space="0" w:color="auto"/>
            <w:right w:val="none" w:sz="0" w:space="0" w:color="auto"/>
          </w:divBdr>
          <w:divsChild>
            <w:div w:id="1074164726">
              <w:marLeft w:val="0"/>
              <w:marRight w:val="0"/>
              <w:marTop w:val="0"/>
              <w:marBottom w:val="0"/>
              <w:divBdr>
                <w:top w:val="none" w:sz="0" w:space="0" w:color="auto"/>
                <w:left w:val="none" w:sz="0" w:space="0" w:color="auto"/>
                <w:bottom w:val="none" w:sz="0" w:space="0" w:color="auto"/>
                <w:right w:val="none" w:sz="0" w:space="0" w:color="auto"/>
              </w:divBdr>
            </w:div>
            <w:div w:id="1163861010">
              <w:marLeft w:val="0"/>
              <w:marRight w:val="0"/>
              <w:marTop w:val="0"/>
              <w:marBottom w:val="0"/>
              <w:divBdr>
                <w:top w:val="none" w:sz="0" w:space="0" w:color="auto"/>
                <w:left w:val="none" w:sz="0" w:space="0" w:color="auto"/>
                <w:bottom w:val="none" w:sz="0" w:space="0" w:color="auto"/>
                <w:right w:val="none" w:sz="0" w:space="0" w:color="auto"/>
              </w:divBdr>
            </w:div>
            <w:div w:id="1401363937">
              <w:marLeft w:val="0"/>
              <w:marRight w:val="0"/>
              <w:marTop w:val="0"/>
              <w:marBottom w:val="0"/>
              <w:divBdr>
                <w:top w:val="none" w:sz="0" w:space="0" w:color="auto"/>
                <w:left w:val="none" w:sz="0" w:space="0" w:color="auto"/>
                <w:bottom w:val="none" w:sz="0" w:space="0" w:color="auto"/>
                <w:right w:val="none" w:sz="0" w:space="0" w:color="auto"/>
              </w:divBdr>
            </w:div>
            <w:div w:id="1446727815">
              <w:marLeft w:val="0"/>
              <w:marRight w:val="0"/>
              <w:marTop w:val="0"/>
              <w:marBottom w:val="0"/>
              <w:divBdr>
                <w:top w:val="none" w:sz="0" w:space="0" w:color="auto"/>
                <w:left w:val="none" w:sz="0" w:space="0" w:color="auto"/>
                <w:bottom w:val="none" w:sz="0" w:space="0" w:color="auto"/>
                <w:right w:val="none" w:sz="0" w:space="0" w:color="auto"/>
              </w:divBdr>
            </w:div>
            <w:div w:id="1518734532">
              <w:marLeft w:val="0"/>
              <w:marRight w:val="0"/>
              <w:marTop w:val="0"/>
              <w:marBottom w:val="0"/>
              <w:divBdr>
                <w:top w:val="none" w:sz="0" w:space="0" w:color="auto"/>
                <w:left w:val="none" w:sz="0" w:space="0" w:color="auto"/>
                <w:bottom w:val="none" w:sz="0" w:space="0" w:color="auto"/>
                <w:right w:val="none" w:sz="0" w:space="0" w:color="auto"/>
              </w:divBdr>
            </w:div>
            <w:div w:id="15413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8642">
      <w:bodyDiv w:val="1"/>
      <w:marLeft w:val="0"/>
      <w:marRight w:val="0"/>
      <w:marTop w:val="0"/>
      <w:marBottom w:val="0"/>
      <w:divBdr>
        <w:top w:val="none" w:sz="0" w:space="0" w:color="auto"/>
        <w:left w:val="none" w:sz="0" w:space="0" w:color="auto"/>
        <w:bottom w:val="none" w:sz="0" w:space="0" w:color="auto"/>
        <w:right w:val="none" w:sz="0" w:space="0" w:color="auto"/>
      </w:divBdr>
      <w:divsChild>
        <w:div w:id="819537707">
          <w:marLeft w:val="0"/>
          <w:marRight w:val="0"/>
          <w:marTop w:val="0"/>
          <w:marBottom w:val="0"/>
          <w:divBdr>
            <w:top w:val="none" w:sz="0" w:space="0" w:color="auto"/>
            <w:left w:val="none" w:sz="0" w:space="0" w:color="auto"/>
            <w:bottom w:val="none" w:sz="0" w:space="0" w:color="auto"/>
            <w:right w:val="none" w:sz="0" w:space="0" w:color="auto"/>
          </w:divBdr>
          <w:divsChild>
            <w:div w:id="1409890136">
              <w:marLeft w:val="0"/>
              <w:marRight w:val="0"/>
              <w:marTop w:val="0"/>
              <w:marBottom w:val="0"/>
              <w:divBdr>
                <w:top w:val="none" w:sz="0" w:space="0" w:color="auto"/>
                <w:left w:val="none" w:sz="0" w:space="0" w:color="auto"/>
                <w:bottom w:val="none" w:sz="0" w:space="0" w:color="auto"/>
                <w:right w:val="none" w:sz="0" w:space="0" w:color="auto"/>
              </w:divBdr>
              <w:divsChild>
                <w:div w:id="6919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3369">
      <w:bodyDiv w:val="1"/>
      <w:marLeft w:val="0"/>
      <w:marRight w:val="0"/>
      <w:marTop w:val="0"/>
      <w:marBottom w:val="0"/>
      <w:divBdr>
        <w:top w:val="none" w:sz="0" w:space="0" w:color="auto"/>
        <w:left w:val="none" w:sz="0" w:space="0" w:color="auto"/>
        <w:bottom w:val="none" w:sz="0" w:space="0" w:color="auto"/>
        <w:right w:val="none" w:sz="0" w:space="0" w:color="auto"/>
      </w:divBdr>
    </w:div>
    <w:div w:id="512232293">
      <w:bodyDiv w:val="1"/>
      <w:marLeft w:val="0"/>
      <w:marRight w:val="0"/>
      <w:marTop w:val="0"/>
      <w:marBottom w:val="0"/>
      <w:divBdr>
        <w:top w:val="none" w:sz="0" w:space="0" w:color="auto"/>
        <w:left w:val="none" w:sz="0" w:space="0" w:color="auto"/>
        <w:bottom w:val="none" w:sz="0" w:space="0" w:color="auto"/>
        <w:right w:val="none" w:sz="0" w:space="0" w:color="auto"/>
      </w:divBdr>
    </w:div>
    <w:div w:id="523522132">
      <w:bodyDiv w:val="1"/>
      <w:marLeft w:val="0"/>
      <w:marRight w:val="0"/>
      <w:marTop w:val="0"/>
      <w:marBottom w:val="0"/>
      <w:divBdr>
        <w:top w:val="none" w:sz="0" w:space="0" w:color="auto"/>
        <w:left w:val="none" w:sz="0" w:space="0" w:color="auto"/>
        <w:bottom w:val="none" w:sz="0" w:space="0" w:color="auto"/>
        <w:right w:val="none" w:sz="0" w:space="0" w:color="auto"/>
      </w:divBdr>
      <w:divsChild>
        <w:div w:id="2082553411">
          <w:marLeft w:val="0"/>
          <w:marRight w:val="0"/>
          <w:marTop w:val="0"/>
          <w:marBottom w:val="0"/>
          <w:divBdr>
            <w:top w:val="none" w:sz="0" w:space="0" w:color="auto"/>
            <w:left w:val="none" w:sz="0" w:space="0" w:color="auto"/>
            <w:bottom w:val="none" w:sz="0" w:space="0" w:color="auto"/>
            <w:right w:val="none" w:sz="0" w:space="0" w:color="auto"/>
          </w:divBdr>
          <w:divsChild>
            <w:div w:id="1893226138">
              <w:marLeft w:val="0"/>
              <w:marRight w:val="0"/>
              <w:marTop w:val="0"/>
              <w:marBottom w:val="0"/>
              <w:divBdr>
                <w:top w:val="none" w:sz="0" w:space="0" w:color="auto"/>
                <w:left w:val="none" w:sz="0" w:space="0" w:color="auto"/>
                <w:bottom w:val="none" w:sz="0" w:space="0" w:color="auto"/>
                <w:right w:val="none" w:sz="0" w:space="0" w:color="auto"/>
              </w:divBdr>
              <w:divsChild>
                <w:div w:id="10886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2153">
      <w:bodyDiv w:val="1"/>
      <w:marLeft w:val="0"/>
      <w:marRight w:val="0"/>
      <w:marTop w:val="0"/>
      <w:marBottom w:val="0"/>
      <w:divBdr>
        <w:top w:val="none" w:sz="0" w:space="0" w:color="auto"/>
        <w:left w:val="none" w:sz="0" w:space="0" w:color="auto"/>
        <w:bottom w:val="none" w:sz="0" w:space="0" w:color="auto"/>
        <w:right w:val="none" w:sz="0" w:space="0" w:color="auto"/>
      </w:divBdr>
      <w:divsChild>
        <w:div w:id="45107511">
          <w:marLeft w:val="0"/>
          <w:marRight w:val="0"/>
          <w:marTop w:val="0"/>
          <w:marBottom w:val="0"/>
          <w:divBdr>
            <w:top w:val="none" w:sz="0" w:space="0" w:color="auto"/>
            <w:left w:val="none" w:sz="0" w:space="0" w:color="auto"/>
            <w:bottom w:val="none" w:sz="0" w:space="0" w:color="auto"/>
            <w:right w:val="none" w:sz="0" w:space="0" w:color="auto"/>
          </w:divBdr>
          <w:divsChild>
            <w:div w:id="1398819625">
              <w:marLeft w:val="0"/>
              <w:marRight w:val="0"/>
              <w:marTop w:val="0"/>
              <w:marBottom w:val="0"/>
              <w:divBdr>
                <w:top w:val="none" w:sz="0" w:space="0" w:color="auto"/>
                <w:left w:val="none" w:sz="0" w:space="0" w:color="auto"/>
                <w:bottom w:val="none" w:sz="0" w:space="0" w:color="auto"/>
                <w:right w:val="none" w:sz="0" w:space="0" w:color="auto"/>
              </w:divBdr>
            </w:div>
          </w:divsChild>
        </w:div>
        <w:div w:id="300186750">
          <w:marLeft w:val="0"/>
          <w:marRight w:val="0"/>
          <w:marTop w:val="0"/>
          <w:marBottom w:val="0"/>
          <w:divBdr>
            <w:top w:val="none" w:sz="0" w:space="0" w:color="auto"/>
            <w:left w:val="none" w:sz="0" w:space="0" w:color="auto"/>
            <w:bottom w:val="none" w:sz="0" w:space="0" w:color="auto"/>
            <w:right w:val="none" w:sz="0" w:space="0" w:color="auto"/>
          </w:divBdr>
          <w:divsChild>
            <w:div w:id="1866674757">
              <w:marLeft w:val="0"/>
              <w:marRight w:val="0"/>
              <w:marTop w:val="0"/>
              <w:marBottom w:val="0"/>
              <w:divBdr>
                <w:top w:val="none" w:sz="0" w:space="0" w:color="auto"/>
                <w:left w:val="none" w:sz="0" w:space="0" w:color="auto"/>
                <w:bottom w:val="none" w:sz="0" w:space="0" w:color="auto"/>
                <w:right w:val="none" w:sz="0" w:space="0" w:color="auto"/>
              </w:divBdr>
            </w:div>
          </w:divsChild>
        </w:div>
        <w:div w:id="939409035">
          <w:marLeft w:val="0"/>
          <w:marRight w:val="0"/>
          <w:marTop w:val="0"/>
          <w:marBottom w:val="0"/>
          <w:divBdr>
            <w:top w:val="none" w:sz="0" w:space="0" w:color="auto"/>
            <w:left w:val="none" w:sz="0" w:space="0" w:color="auto"/>
            <w:bottom w:val="none" w:sz="0" w:space="0" w:color="auto"/>
            <w:right w:val="none" w:sz="0" w:space="0" w:color="auto"/>
          </w:divBdr>
          <w:divsChild>
            <w:div w:id="705133314">
              <w:marLeft w:val="0"/>
              <w:marRight w:val="0"/>
              <w:marTop w:val="0"/>
              <w:marBottom w:val="0"/>
              <w:divBdr>
                <w:top w:val="none" w:sz="0" w:space="0" w:color="auto"/>
                <w:left w:val="none" w:sz="0" w:space="0" w:color="auto"/>
                <w:bottom w:val="none" w:sz="0" w:space="0" w:color="auto"/>
                <w:right w:val="none" w:sz="0" w:space="0" w:color="auto"/>
              </w:divBdr>
            </w:div>
          </w:divsChild>
        </w:div>
        <w:div w:id="1115977753">
          <w:marLeft w:val="0"/>
          <w:marRight w:val="0"/>
          <w:marTop w:val="0"/>
          <w:marBottom w:val="0"/>
          <w:divBdr>
            <w:top w:val="none" w:sz="0" w:space="0" w:color="auto"/>
            <w:left w:val="none" w:sz="0" w:space="0" w:color="auto"/>
            <w:bottom w:val="none" w:sz="0" w:space="0" w:color="auto"/>
            <w:right w:val="none" w:sz="0" w:space="0" w:color="auto"/>
          </w:divBdr>
          <w:divsChild>
            <w:div w:id="1978945567">
              <w:marLeft w:val="0"/>
              <w:marRight w:val="0"/>
              <w:marTop w:val="0"/>
              <w:marBottom w:val="0"/>
              <w:divBdr>
                <w:top w:val="none" w:sz="0" w:space="0" w:color="auto"/>
                <w:left w:val="none" w:sz="0" w:space="0" w:color="auto"/>
                <w:bottom w:val="none" w:sz="0" w:space="0" w:color="auto"/>
                <w:right w:val="none" w:sz="0" w:space="0" w:color="auto"/>
              </w:divBdr>
            </w:div>
          </w:divsChild>
        </w:div>
        <w:div w:id="1701324343">
          <w:marLeft w:val="0"/>
          <w:marRight w:val="0"/>
          <w:marTop w:val="0"/>
          <w:marBottom w:val="0"/>
          <w:divBdr>
            <w:top w:val="none" w:sz="0" w:space="0" w:color="auto"/>
            <w:left w:val="none" w:sz="0" w:space="0" w:color="auto"/>
            <w:bottom w:val="none" w:sz="0" w:space="0" w:color="auto"/>
            <w:right w:val="none" w:sz="0" w:space="0" w:color="auto"/>
          </w:divBdr>
        </w:div>
        <w:div w:id="1854880431">
          <w:marLeft w:val="0"/>
          <w:marRight w:val="0"/>
          <w:marTop w:val="0"/>
          <w:marBottom w:val="0"/>
          <w:divBdr>
            <w:top w:val="none" w:sz="0" w:space="0" w:color="auto"/>
            <w:left w:val="none" w:sz="0" w:space="0" w:color="auto"/>
            <w:bottom w:val="none" w:sz="0" w:space="0" w:color="auto"/>
            <w:right w:val="none" w:sz="0" w:space="0" w:color="auto"/>
          </w:divBdr>
          <w:divsChild>
            <w:div w:id="21460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8678">
      <w:bodyDiv w:val="1"/>
      <w:marLeft w:val="0"/>
      <w:marRight w:val="0"/>
      <w:marTop w:val="0"/>
      <w:marBottom w:val="0"/>
      <w:divBdr>
        <w:top w:val="none" w:sz="0" w:space="0" w:color="auto"/>
        <w:left w:val="none" w:sz="0" w:space="0" w:color="auto"/>
        <w:bottom w:val="none" w:sz="0" w:space="0" w:color="auto"/>
        <w:right w:val="none" w:sz="0" w:space="0" w:color="auto"/>
      </w:divBdr>
    </w:div>
    <w:div w:id="548765488">
      <w:bodyDiv w:val="1"/>
      <w:marLeft w:val="0"/>
      <w:marRight w:val="0"/>
      <w:marTop w:val="0"/>
      <w:marBottom w:val="0"/>
      <w:divBdr>
        <w:top w:val="none" w:sz="0" w:space="0" w:color="auto"/>
        <w:left w:val="none" w:sz="0" w:space="0" w:color="auto"/>
        <w:bottom w:val="none" w:sz="0" w:space="0" w:color="auto"/>
        <w:right w:val="none" w:sz="0" w:space="0" w:color="auto"/>
      </w:divBdr>
    </w:div>
    <w:div w:id="550195590">
      <w:bodyDiv w:val="1"/>
      <w:marLeft w:val="0"/>
      <w:marRight w:val="0"/>
      <w:marTop w:val="0"/>
      <w:marBottom w:val="0"/>
      <w:divBdr>
        <w:top w:val="none" w:sz="0" w:space="0" w:color="auto"/>
        <w:left w:val="none" w:sz="0" w:space="0" w:color="auto"/>
        <w:bottom w:val="none" w:sz="0" w:space="0" w:color="auto"/>
        <w:right w:val="none" w:sz="0" w:space="0" w:color="auto"/>
      </w:divBdr>
    </w:div>
    <w:div w:id="553660032">
      <w:bodyDiv w:val="1"/>
      <w:marLeft w:val="0"/>
      <w:marRight w:val="0"/>
      <w:marTop w:val="0"/>
      <w:marBottom w:val="0"/>
      <w:divBdr>
        <w:top w:val="none" w:sz="0" w:space="0" w:color="auto"/>
        <w:left w:val="none" w:sz="0" w:space="0" w:color="auto"/>
        <w:bottom w:val="none" w:sz="0" w:space="0" w:color="auto"/>
        <w:right w:val="none" w:sz="0" w:space="0" w:color="auto"/>
      </w:divBdr>
    </w:div>
    <w:div w:id="555747437">
      <w:bodyDiv w:val="1"/>
      <w:marLeft w:val="0"/>
      <w:marRight w:val="0"/>
      <w:marTop w:val="0"/>
      <w:marBottom w:val="0"/>
      <w:divBdr>
        <w:top w:val="none" w:sz="0" w:space="0" w:color="auto"/>
        <w:left w:val="none" w:sz="0" w:space="0" w:color="auto"/>
        <w:bottom w:val="none" w:sz="0" w:space="0" w:color="auto"/>
        <w:right w:val="none" w:sz="0" w:space="0" w:color="auto"/>
      </w:divBdr>
    </w:div>
    <w:div w:id="564877999">
      <w:bodyDiv w:val="1"/>
      <w:marLeft w:val="0"/>
      <w:marRight w:val="0"/>
      <w:marTop w:val="0"/>
      <w:marBottom w:val="0"/>
      <w:divBdr>
        <w:top w:val="none" w:sz="0" w:space="0" w:color="auto"/>
        <w:left w:val="none" w:sz="0" w:space="0" w:color="auto"/>
        <w:bottom w:val="none" w:sz="0" w:space="0" w:color="auto"/>
        <w:right w:val="none" w:sz="0" w:space="0" w:color="auto"/>
      </w:divBdr>
    </w:div>
    <w:div w:id="565189982">
      <w:bodyDiv w:val="1"/>
      <w:marLeft w:val="0"/>
      <w:marRight w:val="0"/>
      <w:marTop w:val="0"/>
      <w:marBottom w:val="0"/>
      <w:divBdr>
        <w:top w:val="none" w:sz="0" w:space="0" w:color="auto"/>
        <w:left w:val="none" w:sz="0" w:space="0" w:color="auto"/>
        <w:bottom w:val="none" w:sz="0" w:space="0" w:color="auto"/>
        <w:right w:val="none" w:sz="0" w:space="0" w:color="auto"/>
      </w:divBdr>
    </w:div>
    <w:div w:id="581647154">
      <w:bodyDiv w:val="1"/>
      <w:marLeft w:val="0"/>
      <w:marRight w:val="0"/>
      <w:marTop w:val="0"/>
      <w:marBottom w:val="0"/>
      <w:divBdr>
        <w:top w:val="none" w:sz="0" w:space="0" w:color="auto"/>
        <w:left w:val="none" w:sz="0" w:space="0" w:color="auto"/>
        <w:bottom w:val="none" w:sz="0" w:space="0" w:color="auto"/>
        <w:right w:val="none" w:sz="0" w:space="0" w:color="auto"/>
      </w:divBdr>
      <w:divsChild>
        <w:div w:id="931744464">
          <w:marLeft w:val="0"/>
          <w:marRight w:val="0"/>
          <w:marTop w:val="0"/>
          <w:marBottom w:val="0"/>
          <w:divBdr>
            <w:top w:val="none" w:sz="0" w:space="0" w:color="auto"/>
            <w:left w:val="none" w:sz="0" w:space="0" w:color="auto"/>
            <w:bottom w:val="none" w:sz="0" w:space="0" w:color="auto"/>
            <w:right w:val="none" w:sz="0" w:space="0" w:color="auto"/>
          </w:divBdr>
          <w:divsChild>
            <w:div w:id="1924414980">
              <w:marLeft w:val="0"/>
              <w:marRight w:val="0"/>
              <w:marTop w:val="0"/>
              <w:marBottom w:val="0"/>
              <w:divBdr>
                <w:top w:val="none" w:sz="0" w:space="0" w:color="auto"/>
                <w:left w:val="none" w:sz="0" w:space="0" w:color="auto"/>
                <w:bottom w:val="none" w:sz="0" w:space="0" w:color="auto"/>
                <w:right w:val="none" w:sz="0" w:space="0" w:color="auto"/>
              </w:divBdr>
              <w:divsChild>
                <w:div w:id="101615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7505">
      <w:bodyDiv w:val="1"/>
      <w:marLeft w:val="0"/>
      <w:marRight w:val="0"/>
      <w:marTop w:val="0"/>
      <w:marBottom w:val="0"/>
      <w:divBdr>
        <w:top w:val="none" w:sz="0" w:space="0" w:color="auto"/>
        <w:left w:val="none" w:sz="0" w:space="0" w:color="auto"/>
        <w:bottom w:val="none" w:sz="0" w:space="0" w:color="auto"/>
        <w:right w:val="none" w:sz="0" w:space="0" w:color="auto"/>
      </w:divBdr>
    </w:div>
    <w:div w:id="601642539">
      <w:bodyDiv w:val="1"/>
      <w:marLeft w:val="0"/>
      <w:marRight w:val="0"/>
      <w:marTop w:val="0"/>
      <w:marBottom w:val="0"/>
      <w:divBdr>
        <w:top w:val="none" w:sz="0" w:space="0" w:color="auto"/>
        <w:left w:val="none" w:sz="0" w:space="0" w:color="auto"/>
        <w:bottom w:val="none" w:sz="0" w:space="0" w:color="auto"/>
        <w:right w:val="none" w:sz="0" w:space="0" w:color="auto"/>
      </w:divBdr>
      <w:divsChild>
        <w:div w:id="951015221">
          <w:marLeft w:val="0"/>
          <w:marRight w:val="0"/>
          <w:marTop w:val="0"/>
          <w:marBottom w:val="0"/>
          <w:divBdr>
            <w:top w:val="none" w:sz="0" w:space="0" w:color="auto"/>
            <w:left w:val="none" w:sz="0" w:space="0" w:color="auto"/>
            <w:bottom w:val="none" w:sz="0" w:space="0" w:color="auto"/>
            <w:right w:val="none" w:sz="0" w:space="0" w:color="auto"/>
          </w:divBdr>
          <w:divsChild>
            <w:div w:id="629288895">
              <w:marLeft w:val="0"/>
              <w:marRight w:val="0"/>
              <w:marTop w:val="0"/>
              <w:marBottom w:val="0"/>
              <w:divBdr>
                <w:top w:val="none" w:sz="0" w:space="0" w:color="auto"/>
                <w:left w:val="none" w:sz="0" w:space="0" w:color="auto"/>
                <w:bottom w:val="none" w:sz="0" w:space="0" w:color="auto"/>
                <w:right w:val="none" w:sz="0" w:space="0" w:color="auto"/>
              </w:divBdr>
              <w:divsChild>
                <w:div w:id="12178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89616">
      <w:bodyDiv w:val="1"/>
      <w:marLeft w:val="0"/>
      <w:marRight w:val="0"/>
      <w:marTop w:val="0"/>
      <w:marBottom w:val="0"/>
      <w:divBdr>
        <w:top w:val="none" w:sz="0" w:space="0" w:color="auto"/>
        <w:left w:val="none" w:sz="0" w:space="0" w:color="auto"/>
        <w:bottom w:val="none" w:sz="0" w:space="0" w:color="auto"/>
        <w:right w:val="none" w:sz="0" w:space="0" w:color="auto"/>
      </w:divBdr>
      <w:divsChild>
        <w:div w:id="460417649">
          <w:marLeft w:val="0"/>
          <w:marRight w:val="0"/>
          <w:marTop w:val="0"/>
          <w:marBottom w:val="0"/>
          <w:divBdr>
            <w:top w:val="none" w:sz="0" w:space="0" w:color="auto"/>
            <w:left w:val="none" w:sz="0" w:space="0" w:color="auto"/>
            <w:bottom w:val="none" w:sz="0" w:space="0" w:color="auto"/>
            <w:right w:val="none" w:sz="0" w:space="0" w:color="auto"/>
          </w:divBdr>
          <w:divsChild>
            <w:div w:id="386799191">
              <w:marLeft w:val="0"/>
              <w:marRight w:val="0"/>
              <w:marTop w:val="0"/>
              <w:marBottom w:val="0"/>
              <w:divBdr>
                <w:top w:val="none" w:sz="0" w:space="0" w:color="auto"/>
                <w:left w:val="none" w:sz="0" w:space="0" w:color="auto"/>
                <w:bottom w:val="none" w:sz="0" w:space="0" w:color="auto"/>
                <w:right w:val="none" w:sz="0" w:space="0" w:color="auto"/>
              </w:divBdr>
              <w:divsChild>
                <w:div w:id="353116446">
                  <w:marLeft w:val="0"/>
                  <w:marRight w:val="0"/>
                  <w:marTop w:val="0"/>
                  <w:marBottom w:val="0"/>
                  <w:divBdr>
                    <w:top w:val="none" w:sz="0" w:space="0" w:color="auto"/>
                    <w:left w:val="none" w:sz="0" w:space="0" w:color="auto"/>
                    <w:bottom w:val="none" w:sz="0" w:space="0" w:color="auto"/>
                    <w:right w:val="none" w:sz="0" w:space="0" w:color="auto"/>
                  </w:divBdr>
                  <w:divsChild>
                    <w:div w:id="86718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45414">
      <w:bodyDiv w:val="1"/>
      <w:marLeft w:val="0"/>
      <w:marRight w:val="0"/>
      <w:marTop w:val="0"/>
      <w:marBottom w:val="0"/>
      <w:divBdr>
        <w:top w:val="none" w:sz="0" w:space="0" w:color="auto"/>
        <w:left w:val="none" w:sz="0" w:space="0" w:color="auto"/>
        <w:bottom w:val="none" w:sz="0" w:space="0" w:color="auto"/>
        <w:right w:val="none" w:sz="0" w:space="0" w:color="auto"/>
      </w:divBdr>
    </w:div>
    <w:div w:id="621151310">
      <w:bodyDiv w:val="1"/>
      <w:marLeft w:val="0"/>
      <w:marRight w:val="0"/>
      <w:marTop w:val="0"/>
      <w:marBottom w:val="0"/>
      <w:divBdr>
        <w:top w:val="none" w:sz="0" w:space="0" w:color="auto"/>
        <w:left w:val="none" w:sz="0" w:space="0" w:color="auto"/>
        <w:bottom w:val="none" w:sz="0" w:space="0" w:color="auto"/>
        <w:right w:val="none" w:sz="0" w:space="0" w:color="auto"/>
      </w:divBdr>
      <w:divsChild>
        <w:div w:id="546725902">
          <w:marLeft w:val="0"/>
          <w:marRight w:val="0"/>
          <w:marTop w:val="0"/>
          <w:marBottom w:val="0"/>
          <w:divBdr>
            <w:top w:val="none" w:sz="0" w:space="0" w:color="auto"/>
            <w:left w:val="none" w:sz="0" w:space="0" w:color="auto"/>
            <w:bottom w:val="none" w:sz="0" w:space="0" w:color="auto"/>
            <w:right w:val="none" w:sz="0" w:space="0" w:color="auto"/>
          </w:divBdr>
        </w:div>
      </w:divsChild>
    </w:div>
    <w:div w:id="635645677">
      <w:bodyDiv w:val="1"/>
      <w:marLeft w:val="0"/>
      <w:marRight w:val="0"/>
      <w:marTop w:val="0"/>
      <w:marBottom w:val="0"/>
      <w:divBdr>
        <w:top w:val="none" w:sz="0" w:space="0" w:color="auto"/>
        <w:left w:val="none" w:sz="0" w:space="0" w:color="auto"/>
        <w:bottom w:val="none" w:sz="0" w:space="0" w:color="auto"/>
        <w:right w:val="none" w:sz="0" w:space="0" w:color="auto"/>
      </w:divBdr>
    </w:div>
    <w:div w:id="651719913">
      <w:bodyDiv w:val="1"/>
      <w:marLeft w:val="0"/>
      <w:marRight w:val="0"/>
      <w:marTop w:val="0"/>
      <w:marBottom w:val="0"/>
      <w:divBdr>
        <w:top w:val="none" w:sz="0" w:space="0" w:color="auto"/>
        <w:left w:val="none" w:sz="0" w:space="0" w:color="auto"/>
        <w:bottom w:val="none" w:sz="0" w:space="0" w:color="auto"/>
        <w:right w:val="none" w:sz="0" w:space="0" w:color="auto"/>
      </w:divBdr>
      <w:divsChild>
        <w:div w:id="1786146688">
          <w:marLeft w:val="0"/>
          <w:marRight w:val="0"/>
          <w:marTop w:val="0"/>
          <w:marBottom w:val="0"/>
          <w:divBdr>
            <w:top w:val="none" w:sz="0" w:space="0" w:color="auto"/>
            <w:left w:val="none" w:sz="0" w:space="0" w:color="auto"/>
            <w:bottom w:val="none" w:sz="0" w:space="0" w:color="auto"/>
            <w:right w:val="none" w:sz="0" w:space="0" w:color="auto"/>
          </w:divBdr>
          <w:divsChild>
            <w:div w:id="1689477566">
              <w:marLeft w:val="0"/>
              <w:marRight w:val="0"/>
              <w:marTop w:val="0"/>
              <w:marBottom w:val="0"/>
              <w:divBdr>
                <w:top w:val="none" w:sz="0" w:space="0" w:color="auto"/>
                <w:left w:val="none" w:sz="0" w:space="0" w:color="auto"/>
                <w:bottom w:val="none" w:sz="0" w:space="0" w:color="auto"/>
                <w:right w:val="none" w:sz="0" w:space="0" w:color="auto"/>
              </w:divBdr>
              <w:divsChild>
                <w:div w:id="83973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4189">
      <w:bodyDiv w:val="1"/>
      <w:marLeft w:val="0"/>
      <w:marRight w:val="0"/>
      <w:marTop w:val="0"/>
      <w:marBottom w:val="0"/>
      <w:divBdr>
        <w:top w:val="none" w:sz="0" w:space="0" w:color="auto"/>
        <w:left w:val="none" w:sz="0" w:space="0" w:color="auto"/>
        <w:bottom w:val="none" w:sz="0" w:space="0" w:color="auto"/>
        <w:right w:val="none" w:sz="0" w:space="0" w:color="auto"/>
      </w:divBdr>
    </w:div>
    <w:div w:id="656878456">
      <w:bodyDiv w:val="1"/>
      <w:marLeft w:val="0"/>
      <w:marRight w:val="0"/>
      <w:marTop w:val="0"/>
      <w:marBottom w:val="0"/>
      <w:divBdr>
        <w:top w:val="none" w:sz="0" w:space="0" w:color="auto"/>
        <w:left w:val="none" w:sz="0" w:space="0" w:color="auto"/>
        <w:bottom w:val="none" w:sz="0" w:space="0" w:color="auto"/>
        <w:right w:val="none" w:sz="0" w:space="0" w:color="auto"/>
      </w:divBdr>
      <w:divsChild>
        <w:div w:id="776287984">
          <w:marLeft w:val="0"/>
          <w:marRight w:val="0"/>
          <w:marTop w:val="0"/>
          <w:marBottom w:val="0"/>
          <w:divBdr>
            <w:top w:val="none" w:sz="0" w:space="0" w:color="auto"/>
            <w:left w:val="none" w:sz="0" w:space="0" w:color="auto"/>
            <w:bottom w:val="none" w:sz="0" w:space="0" w:color="auto"/>
            <w:right w:val="none" w:sz="0" w:space="0" w:color="auto"/>
          </w:divBdr>
          <w:divsChild>
            <w:div w:id="500966907">
              <w:marLeft w:val="0"/>
              <w:marRight w:val="0"/>
              <w:marTop w:val="0"/>
              <w:marBottom w:val="0"/>
              <w:divBdr>
                <w:top w:val="none" w:sz="0" w:space="0" w:color="auto"/>
                <w:left w:val="none" w:sz="0" w:space="0" w:color="auto"/>
                <w:bottom w:val="none" w:sz="0" w:space="0" w:color="auto"/>
                <w:right w:val="none" w:sz="0" w:space="0" w:color="auto"/>
              </w:divBdr>
              <w:divsChild>
                <w:div w:id="170047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77078">
      <w:bodyDiv w:val="1"/>
      <w:marLeft w:val="0"/>
      <w:marRight w:val="0"/>
      <w:marTop w:val="0"/>
      <w:marBottom w:val="0"/>
      <w:divBdr>
        <w:top w:val="none" w:sz="0" w:space="0" w:color="auto"/>
        <w:left w:val="none" w:sz="0" w:space="0" w:color="auto"/>
        <w:bottom w:val="none" w:sz="0" w:space="0" w:color="auto"/>
        <w:right w:val="none" w:sz="0" w:space="0" w:color="auto"/>
      </w:divBdr>
    </w:div>
    <w:div w:id="673848130">
      <w:bodyDiv w:val="1"/>
      <w:marLeft w:val="0"/>
      <w:marRight w:val="0"/>
      <w:marTop w:val="0"/>
      <w:marBottom w:val="0"/>
      <w:divBdr>
        <w:top w:val="none" w:sz="0" w:space="0" w:color="auto"/>
        <w:left w:val="none" w:sz="0" w:space="0" w:color="auto"/>
        <w:bottom w:val="none" w:sz="0" w:space="0" w:color="auto"/>
        <w:right w:val="none" w:sz="0" w:space="0" w:color="auto"/>
      </w:divBdr>
    </w:div>
    <w:div w:id="702438844">
      <w:bodyDiv w:val="1"/>
      <w:marLeft w:val="0"/>
      <w:marRight w:val="0"/>
      <w:marTop w:val="0"/>
      <w:marBottom w:val="0"/>
      <w:divBdr>
        <w:top w:val="none" w:sz="0" w:space="0" w:color="auto"/>
        <w:left w:val="none" w:sz="0" w:space="0" w:color="auto"/>
        <w:bottom w:val="none" w:sz="0" w:space="0" w:color="auto"/>
        <w:right w:val="none" w:sz="0" w:space="0" w:color="auto"/>
      </w:divBdr>
    </w:div>
    <w:div w:id="708723210">
      <w:bodyDiv w:val="1"/>
      <w:marLeft w:val="0"/>
      <w:marRight w:val="0"/>
      <w:marTop w:val="0"/>
      <w:marBottom w:val="0"/>
      <w:divBdr>
        <w:top w:val="none" w:sz="0" w:space="0" w:color="auto"/>
        <w:left w:val="none" w:sz="0" w:space="0" w:color="auto"/>
        <w:bottom w:val="none" w:sz="0" w:space="0" w:color="auto"/>
        <w:right w:val="none" w:sz="0" w:space="0" w:color="auto"/>
      </w:divBdr>
    </w:div>
    <w:div w:id="709689808">
      <w:bodyDiv w:val="1"/>
      <w:marLeft w:val="0"/>
      <w:marRight w:val="0"/>
      <w:marTop w:val="0"/>
      <w:marBottom w:val="0"/>
      <w:divBdr>
        <w:top w:val="none" w:sz="0" w:space="0" w:color="auto"/>
        <w:left w:val="none" w:sz="0" w:space="0" w:color="auto"/>
        <w:bottom w:val="none" w:sz="0" w:space="0" w:color="auto"/>
        <w:right w:val="none" w:sz="0" w:space="0" w:color="auto"/>
      </w:divBdr>
    </w:div>
    <w:div w:id="719519927">
      <w:bodyDiv w:val="1"/>
      <w:marLeft w:val="0"/>
      <w:marRight w:val="0"/>
      <w:marTop w:val="0"/>
      <w:marBottom w:val="0"/>
      <w:divBdr>
        <w:top w:val="none" w:sz="0" w:space="0" w:color="auto"/>
        <w:left w:val="none" w:sz="0" w:space="0" w:color="auto"/>
        <w:bottom w:val="none" w:sz="0" w:space="0" w:color="auto"/>
        <w:right w:val="none" w:sz="0" w:space="0" w:color="auto"/>
      </w:divBdr>
    </w:div>
    <w:div w:id="720329030">
      <w:bodyDiv w:val="1"/>
      <w:marLeft w:val="0"/>
      <w:marRight w:val="0"/>
      <w:marTop w:val="0"/>
      <w:marBottom w:val="0"/>
      <w:divBdr>
        <w:top w:val="none" w:sz="0" w:space="0" w:color="auto"/>
        <w:left w:val="none" w:sz="0" w:space="0" w:color="auto"/>
        <w:bottom w:val="none" w:sz="0" w:space="0" w:color="auto"/>
        <w:right w:val="none" w:sz="0" w:space="0" w:color="auto"/>
      </w:divBdr>
    </w:div>
    <w:div w:id="721296423">
      <w:bodyDiv w:val="1"/>
      <w:marLeft w:val="0"/>
      <w:marRight w:val="0"/>
      <w:marTop w:val="0"/>
      <w:marBottom w:val="0"/>
      <w:divBdr>
        <w:top w:val="none" w:sz="0" w:space="0" w:color="auto"/>
        <w:left w:val="none" w:sz="0" w:space="0" w:color="auto"/>
        <w:bottom w:val="none" w:sz="0" w:space="0" w:color="auto"/>
        <w:right w:val="none" w:sz="0" w:space="0" w:color="auto"/>
      </w:divBdr>
    </w:div>
    <w:div w:id="725954339">
      <w:bodyDiv w:val="1"/>
      <w:marLeft w:val="0"/>
      <w:marRight w:val="0"/>
      <w:marTop w:val="0"/>
      <w:marBottom w:val="0"/>
      <w:divBdr>
        <w:top w:val="none" w:sz="0" w:space="0" w:color="auto"/>
        <w:left w:val="none" w:sz="0" w:space="0" w:color="auto"/>
        <w:bottom w:val="none" w:sz="0" w:space="0" w:color="auto"/>
        <w:right w:val="none" w:sz="0" w:space="0" w:color="auto"/>
      </w:divBdr>
    </w:div>
    <w:div w:id="734670572">
      <w:bodyDiv w:val="1"/>
      <w:marLeft w:val="0"/>
      <w:marRight w:val="0"/>
      <w:marTop w:val="0"/>
      <w:marBottom w:val="0"/>
      <w:divBdr>
        <w:top w:val="none" w:sz="0" w:space="0" w:color="auto"/>
        <w:left w:val="none" w:sz="0" w:space="0" w:color="auto"/>
        <w:bottom w:val="none" w:sz="0" w:space="0" w:color="auto"/>
        <w:right w:val="none" w:sz="0" w:space="0" w:color="auto"/>
      </w:divBdr>
    </w:div>
    <w:div w:id="737901838">
      <w:bodyDiv w:val="1"/>
      <w:marLeft w:val="0"/>
      <w:marRight w:val="0"/>
      <w:marTop w:val="0"/>
      <w:marBottom w:val="0"/>
      <w:divBdr>
        <w:top w:val="none" w:sz="0" w:space="0" w:color="auto"/>
        <w:left w:val="none" w:sz="0" w:space="0" w:color="auto"/>
        <w:bottom w:val="none" w:sz="0" w:space="0" w:color="auto"/>
        <w:right w:val="none" w:sz="0" w:space="0" w:color="auto"/>
      </w:divBdr>
    </w:div>
    <w:div w:id="749233610">
      <w:bodyDiv w:val="1"/>
      <w:marLeft w:val="0"/>
      <w:marRight w:val="0"/>
      <w:marTop w:val="0"/>
      <w:marBottom w:val="0"/>
      <w:divBdr>
        <w:top w:val="none" w:sz="0" w:space="0" w:color="auto"/>
        <w:left w:val="none" w:sz="0" w:space="0" w:color="auto"/>
        <w:bottom w:val="none" w:sz="0" w:space="0" w:color="auto"/>
        <w:right w:val="none" w:sz="0" w:space="0" w:color="auto"/>
      </w:divBdr>
    </w:div>
    <w:div w:id="756950394">
      <w:bodyDiv w:val="1"/>
      <w:marLeft w:val="0"/>
      <w:marRight w:val="0"/>
      <w:marTop w:val="0"/>
      <w:marBottom w:val="0"/>
      <w:divBdr>
        <w:top w:val="none" w:sz="0" w:space="0" w:color="auto"/>
        <w:left w:val="none" w:sz="0" w:space="0" w:color="auto"/>
        <w:bottom w:val="none" w:sz="0" w:space="0" w:color="auto"/>
        <w:right w:val="none" w:sz="0" w:space="0" w:color="auto"/>
      </w:divBdr>
    </w:div>
    <w:div w:id="790364717">
      <w:bodyDiv w:val="1"/>
      <w:marLeft w:val="0"/>
      <w:marRight w:val="0"/>
      <w:marTop w:val="0"/>
      <w:marBottom w:val="0"/>
      <w:divBdr>
        <w:top w:val="none" w:sz="0" w:space="0" w:color="auto"/>
        <w:left w:val="none" w:sz="0" w:space="0" w:color="auto"/>
        <w:bottom w:val="none" w:sz="0" w:space="0" w:color="auto"/>
        <w:right w:val="none" w:sz="0" w:space="0" w:color="auto"/>
      </w:divBdr>
      <w:divsChild>
        <w:div w:id="134757641">
          <w:marLeft w:val="0"/>
          <w:marRight w:val="0"/>
          <w:marTop w:val="0"/>
          <w:marBottom w:val="0"/>
          <w:divBdr>
            <w:top w:val="none" w:sz="0" w:space="0" w:color="auto"/>
            <w:left w:val="none" w:sz="0" w:space="0" w:color="auto"/>
            <w:bottom w:val="none" w:sz="0" w:space="0" w:color="auto"/>
            <w:right w:val="none" w:sz="0" w:space="0" w:color="auto"/>
          </w:divBdr>
        </w:div>
        <w:div w:id="183327756">
          <w:marLeft w:val="0"/>
          <w:marRight w:val="0"/>
          <w:marTop w:val="0"/>
          <w:marBottom w:val="0"/>
          <w:divBdr>
            <w:top w:val="none" w:sz="0" w:space="0" w:color="auto"/>
            <w:left w:val="none" w:sz="0" w:space="0" w:color="auto"/>
            <w:bottom w:val="none" w:sz="0" w:space="0" w:color="auto"/>
            <w:right w:val="none" w:sz="0" w:space="0" w:color="auto"/>
          </w:divBdr>
        </w:div>
        <w:div w:id="204758753">
          <w:marLeft w:val="0"/>
          <w:marRight w:val="0"/>
          <w:marTop w:val="0"/>
          <w:marBottom w:val="0"/>
          <w:divBdr>
            <w:top w:val="none" w:sz="0" w:space="0" w:color="auto"/>
            <w:left w:val="none" w:sz="0" w:space="0" w:color="auto"/>
            <w:bottom w:val="none" w:sz="0" w:space="0" w:color="auto"/>
            <w:right w:val="none" w:sz="0" w:space="0" w:color="auto"/>
          </w:divBdr>
        </w:div>
        <w:div w:id="266427108">
          <w:marLeft w:val="0"/>
          <w:marRight w:val="0"/>
          <w:marTop w:val="0"/>
          <w:marBottom w:val="0"/>
          <w:divBdr>
            <w:top w:val="none" w:sz="0" w:space="0" w:color="auto"/>
            <w:left w:val="none" w:sz="0" w:space="0" w:color="auto"/>
            <w:bottom w:val="none" w:sz="0" w:space="0" w:color="auto"/>
            <w:right w:val="none" w:sz="0" w:space="0" w:color="auto"/>
          </w:divBdr>
        </w:div>
        <w:div w:id="279536753">
          <w:marLeft w:val="0"/>
          <w:marRight w:val="0"/>
          <w:marTop w:val="0"/>
          <w:marBottom w:val="0"/>
          <w:divBdr>
            <w:top w:val="none" w:sz="0" w:space="0" w:color="auto"/>
            <w:left w:val="none" w:sz="0" w:space="0" w:color="auto"/>
            <w:bottom w:val="none" w:sz="0" w:space="0" w:color="auto"/>
            <w:right w:val="none" w:sz="0" w:space="0" w:color="auto"/>
          </w:divBdr>
        </w:div>
        <w:div w:id="583104398">
          <w:marLeft w:val="0"/>
          <w:marRight w:val="0"/>
          <w:marTop w:val="0"/>
          <w:marBottom w:val="0"/>
          <w:divBdr>
            <w:top w:val="none" w:sz="0" w:space="0" w:color="auto"/>
            <w:left w:val="none" w:sz="0" w:space="0" w:color="auto"/>
            <w:bottom w:val="none" w:sz="0" w:space="0" w:color="auto"/>
            <w:right w:val="none" w:sz="0" w:space="0" w:color="auto"/>
          </w:divBdr>
        </w:div>
        <w:div w:id="1095589364">
          <w:marLeft w:val="0"/>
          <w:marRight w:val="0"/>
          <w:marTop w:val="0"/>
          <w:marBottom w:val="0"/>
          <w:divBdr>
            <w:top w:val="none" w:sz="0" w:space="0" w:color="auto"/>
            <w:left w:val="none" w:sz="0" w:space="0" w:color="auto"/>
            <w:bottom w:val="none" w:sz="0" w:space="0" w:color="auto"/>
            <w:right w:val="none" w:sz="0" w:space="0" w:color="auto"/>
          </w:divBdr>
        </w:div>
        <w:div w:id="1425998901">
          <w:marLeft w:val="0"/>
          <w:marRight w:val="0"/>
          <w:marTop w:val="0"/>
          <w:marBottom w:val="0"/>
          <w:divBdr>
            <w:top w:val="none" w:sz="0" w:space="0" w:color="auto"/>
            <w:left w:val="none" w:sz="0" w:space="0" w:color="auto"/>
            <w:bottom w:val="none" w:sz="0" w:space="0" w:color="auto"/>
            <w:right w:val="none" w:sz="0" w:space="0" w:color="auto"/>
          </w:divBdr>
        </w:div>
        <w:div w:id="1802655067">
          <w:marLeft w:val="0"/>
          <w:marRight w:val="0"/>
          <w:marTop w:val="0"/>
          <w:marBottom w:val="0"/>
          <w:divBdr>
            <w:top w:val="none" w:sz="0" w:space="0" w:color="auto"/>
            <w:left w:val="none" w:sz="0" w:space="0" w:color="auto"/>
            <w:bottom w:val="none" w:sz="0" w:space="0" w:color="auto"/>
            <w:right w:val="none" w:sz="0" w:space="0" w:color="auto"/>
          </w:divBdr>
          <w:divsChild>
            <w:div w:id="315379722">
              <w:marLeft w:val="0"/>
              <w:marRight w:val="0"/>
              <w:marTop w:val="0"/>
              <w:marBottom w:val="0"/>
              <w:divBdr>
                <w:top w:val="none" w:sz="0" w:space="0" w:color="auto"/>
                <w:left w:val="none" w:sz="0" w:space="0" w:color="auto"/>
                <w:bottom w:val="none" w:sz="0" w:space="0" w:color="auto"/>
                <w:right w:val="none" w:sz="0" w:space="0" w:color="auto"/>
              </w:divBdr>
            </w:div>
            <w:div w:id="339895951">
              <w:marLeft w:val="0"/>
              <w:marRight w:val="0"/>
              <w:marTop w:val="0"/>
              <w:marBottom w:val="0"/>
              <w:divBdr>
                <w:top w:val="none" w:sz="0" w:space="0" w:color="auto"/>
                <w:left w:val="none" w:sz="0" w:space="0" w:color="auto"/>
                <w:bottom w:val="none" w:sz="0" w:space="0" w:color="auto"/>
                <w:right w:val="none" w:sz="0" w:space="0" w:color="auto"/>
              </w:divBdr>
            </w:div>
            <w:div w:id="580674459">
              <w:marLeft w:val="0"/>
              <w:marRight w:val="0"/>
              <w:marTop w:val="0"/>
              <w:marBottom w:val="0"/>
              <w:divBdr>
                <w:top w:val="none" w:sz="0" w:space="0" w:color="auto"/>
                <w:left w:val="none" w:sz="0" w:space="0" w:color="auto"/>
                <w:bottom w:val="none" w:sz="0" w:space="0" w:color="auto"/>
                <w:right w:val="none" w:sz="0" w:space="0" w:color="auto"/>
              </w:divBdr>
            </w:div>
            <w:div w:id="1068842159">
              <w:marLeft w:val="0"/>
              <w:marRight w:val="0"/>
              <w:marTop w:val="0"/>
              <w:marBottom w:val="0"/>
              <w:divBdr>
                <w:top w:val="none" w:sz="0" w:space="0" w:color="auto"/>
                <w:left w:val="none" w:sz="0" w:space="0" w:color="auto"/>
                <w:bottom w:val="none" w:sz="0" w:space="0" w:color="auto"/>
                <w:right w:val="none" w:sz="0" w:space="0" w:color="auto"/>
              </w:divBdr>
            </w:div>
            <w:div w:id="1599949331">
              <w:marLeft w:val="0"/>
              <w:marRight w:val="0"/>
              <w:marTop w:val="0"/>
              <w:marBottom w:val="0"/>
              <w:divBdr>
                <w:top w:val="none" w:sz="0" w:space="0" w:color="auto"/>
                <w:left w:val="none" w:sz="0" w:space="0" w:color="auto"/>
                <w:bottom w:val="none" w:sz="0" w:space="0" w:color="auto"/>
                <w:right w:val="none" w:sz="0" w:space="0" w:color="auto"/>
              </w:divBdr>
            </w:div>
            <w:div w:id="1640528279">
              <w:marLeft w:val="0"/>
              <w:marRight w:val="0"/>
              <w:marTop w:val="0"/>
              <w:marBottom w:val="0"/>
              <w:divBdr>
                <w:top w:val="none" w:sz="0" w:space="0" w:color="auto"/>
                <w:left w:val="none" w:sz="0" w:space="0" w:color="auto"/>
                <w:bottom w:val="none" w:sz="0" w:space="0" w:color="auto"/>
                <w:right w:val="none" w:sz="0" w:space="0" w:color="auto"/>
              </w:divBdr>
            </w:div>
          </w:divsChild>
        </w:div>
        <w:div w:id="1856578142">
          <w:marLeft w:val="0"/>
          <w:marRight w:val="0"/>
          <w:marTop w:val="0"/>
          <w:marBottom w:val="0"/>
          <w:divBdr>
            <w:top w:val="none" w:sz="0" w:space="0" w:color="auto"/>
            <w:left w:val="none" w:sz="0" w:space="0" w:color="auto"/>
            <w:bottom w:val="none" w:sz="0" w:space="0" w:color="auto"/>
            <w:right w:val="none" w:sz="0" w:space="0" w:color="auto"/>
          </w:divBdr>
        </w:div>
        <w:div w:id="2001812772">
          <w:marLeft w:val="0"/>
          <w:marRight w:val="0"/>
          <w:marTop w:val="0"/>
          <w:marBottom w:val="0"/>
          <w:divBdr>
            <w:top w:val="none" w:sz="0" w:space="0" w:color="auto"/>
            <w:left w:val="none" w:sz="0" w:space="0" w:color="auto"/>
            <w:bottom w:val="none" w:sz="0" w:space="0" w:color="auto"/>
            <w:right w:val="none" w:sz="0" w:space="0" w:color="auto"/>
          </w:divBdr>
        </w:div>
        <w:div w:id="2131043697">
          <w:marLeft w:val="0"/>
          <w:marRight w:val="0"/>
          <w:marTop w:val="0"/>
          <w:marBottom w:val="0"/>
          <w:divBdr>
            <w:top w:val="none" w:sz="0" w:space="0" w:color="auto"/>
            <w:left w:val="none" w:sz="0" w:space="0" w:color="auto"/>
            <w:bottom w:val="none" w:sz="0" w:space="0" w:color="auto"/>
            <w:right w:val="none" w:sz="0" w:space="0" w:color="auto"/>
          </w:divBdr>
        </w:div>
      </w:divsChild>
    </w:div>
    <w:div w:id="800224000">
      <w:bodyDiv w:val="1"/>
      <w:marLeft w:val="0"/>
      <w:marRight w:val="0"/>
      <w:marTop w:val="0"/>
      <w:marBottom w:val="0"/>
      <w:divBdr>
        <w:top w:val="none" w:sz="0" w:space="0" w:color="auto"/>
        <w:left w:val="none" w:sz="0" w:space="0" w:color="auto"/>
        <w:bottom w:val="none" w:sz="0" w:space="0" w:color="auto"/>
        <w:right w:val="none" w:sz="0" w:space="0" w:color="auto"/>
      </w:divBdr>
      <w:divsChild>
        <w:div w:id="1455633750">
          <w:marLeft w:val="0"/>
          <w:marRight w:val="0"/>
          <w:marTop w:val="0"/>
          <w:marBottom w:val="0"/>
          <w:divBdr>
            <w:top w:val="none" w:sz="0" w:space="0" w:color="auto"/>
            <w:left w:val="none" w:sz="0" w:space="0" w:color="auto"/>
            <w:bottom w:val="none" w:sz="0" w:space="0" w:color="auto"/>
            <w:right w:val="none" w:sz="0" w:space="0" w:color="auto"/>
          </w:divBdr>
          <w:divsChild>
            <w:div w:id="1362852875">
              <w:marLeft w:val="0"/>
              <w:marRight w:val="0"/>
              <w:marTop w:val="0"/>
              <w:marBottom w:val="0"/>
              <w:divBdr>
                <w:top w:val="none" w:sz="0" w:space="0" w:color="auto"/>
                <w:left w:val="none" w:sz="0" w:space="0" w:color="auto"/>
                <w:bottom w:val="none" w:sz="0" w:space="0" w:color="auto"/>
                <w:right w:val="none" w:sz="0" w:space="0" w:color="auto"/>
              </w:divBdr>
              <w:divsChild>
                <w:div w:id="11366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10957">
      <w:bodyDiv w:val="1"/>
      <w:marLeft w:val="0"/>
      <w:marRight w:val="0"/>
      <w:marTop w:val="0"/>
      <w:marBottom w:val="0"/>
      <w:divBdr>
        <w:top w:val="none" w:sz="0" w:space="0" w:color="auto"/>
        <w:left w:val="none" w:sz="0" w:space="0" w:color="auto"/>
        <w:bottom w:val="none" w:sz="0" w:space="0" w:color="auto"/>
        <w:right w:val="none" w:sz="0" w:space="0" w:color="auto"/>
      </w:divBdr>
    </w:div>
    <w:div w:id="810562591">
      <w:bodyDiv w:val="1"/>
      <w:marLeft w:val="0"/>
      <w:marRight w:val="0"/>
      <w:marTop w:val="0"/>
      <w:marBottom w:val="0"/>
      <w:divBdr>
        <w:top w:val="none" w:sz="0" w:space="0" w:color="auto"/>
        <w:left w:val="none" w:sz="0" w:space="0" w:color="auto"/>
        <w:bottom w:val="none" w:sz="0" w:space="0" w:color="auto"/>
        <w:right w:val="none" w:sz="0" w:space="0" w:color="auto"/>
      </w:divBdr>
    </w:div>
    <w:div w:id="815535933">
      <w:bodyDiv w:val="1"/>
      <w:marLeft w:val="0"/>
      <w:marRight w:val="0"/>
      <w:marTop w:val="0"/>
      <w:marBottom w:val="0"/>
      <w:divBdr>
        <w:top w:val="none" w:sz="0" w:space="0" w:color="auto"/>
        <w:left w:val="none" w:sz="0" w:space="0" w:color="auto"/>
        <w:bottom w:val="none" w:sz="0" w:space="0" w:color="auto"/>
        <w:right w:val="none" w:sz="0" w:space="0" w:color="auto"/>
      </w:divBdr>
    </w:div>
    <w:div w:id="820536661">
      <w:bodyDiv w:val="1"/>
      <w:marLeft w:val="0"/>
      <w:marRight w:val="0"/>
      <w:marTop w:val="0"/>
      <w:marBottom w:val="0"/>
      <w:divBdr>
        <w:top w:val="none" w:sz="0" w:space="0" w:color="auto"/>
        <w:left w:val="none" w:sz="0" w:space="0" w:color="auto"/>
        <w:bottom w:val="none" w:sz="0" w:space="0" w:color="auto"/>
        <w:right w:val="none" w:sz="0" w:space="0" w:color="auto"/>
      </w:divBdr>
    </w:div>
    <w:div w:id="833687946">
      <w:bodyDiv w:val="1"/>
      <w:marLeft w:val="0"/>
      <w:marRight w:val="0"/>
      <w:marTop w:val="0"/>
      <w:marBottom w:val="0"/>
      <w:divBdr>
        <w:top w:val="none" w:sz="0" w:space="0" w:color="auto"/>
        <w:left w:val="none" w:sz="0" w:space="0" w:color="auto"/>
        <w:bottom w:val="none" w:sz="0" w:space="0" w:color="auto"/>
        <w:right w:val="none" w:sz="0" w:space="0" w:color="auto"/>
      </w:divBdr>
    </w:div>
    <w:div w:id="834998343">
      <w:bodyDiv w:val="1"/>
      <w:marLeft w:val="0"/>
      <w:marRight w:val="0"/>
      <w:marTop w:val="0"/>
      <w:marBottom w:val="0"/>
      <w:divBdr>
        <w:top w:val="none" w:sz="0" w:space="0" w:color="auto"/>
        <w:left w:val="none" w:sz="0" w:space="0" w:color="auto"/>
        <w:bottom w:val="none" w:sz="0" w:space="0" w:color="auto"/>
        <w:right w:val="none" w:sz="0" w:space="0" w:color="auto"/>
      </w:divBdr>
    </w:div>
    <w:div w:id="864560965">
      <w:bodyDiv w:val="1"/>
      <w:marLeft w:val="0"/>
      <w:marRight w:val="0"/>
      <w:marTop w:val="0"/>
      <w:marBottom w:val="0"/>
      <w:divBdr>
        <w:top w:val="none" w:sz="0" w:space="0" w:color="auto"/>
        <w:left w:val="none" w:sz="0" w:space="0" w:color="auto"/>
        <w:bottom w:val="none" w:sz="0" w:space="0" w:color="auto"/>
        <w:right w:val="none" w:sz="0" w:space="0" w:color="auto"/>
      </w:divBdr>
    </w:div>
    <w:div w:id="874853581">
      <w:bodyDiv w:val="1"/>
      <w:marLeft w:val="0"/>
      <w:marRight w:val="0"/>
      <w:marTop w:val="0"/>
      <w:marBottom w:val="0"/>
      <w:divBdr>
        <w:top w:val="none" w:sz="0" w:space="0" w:color="auto"/>
        <w:left w:val="none" w:sz="0" w:space="0" w:color="auto"/>
        <w:bottom w:val="none" w:sz="0" w:space="0" w:color="auto"/>
        <w:right w:val="none" w:sz="0" w:space="0" w:color="auto"/>
      </w:divBdr>
      <w:divsChild>
        <w:div w:id="362367890">
          <w:marLeft w:val="0"/>
          <w:marRight w:val="0"/>
          <w:marTop w:val="0"/>
          <w:marBottom w:val="0"/>
          <w:divBdr>
            <w:top w:val="none" w:sz="0" w:space="0" w:color="auto"/>
            <w:left w:val="none" w:sz="0" w:space="0" w:color="auto"/>
            <w:bottom w:val="none" w:sz="0" w:space="0" w:color="auto"/>
            <w:right w:val="none" w:sz="0" w:space="0" w:color="auto"/>
          </w:divBdr>
          <w:divsChild>
            <w:div w:id="1518420670">
              <w:marLeft w:val="0"/>
              <w:marRight w:val="0"/>
              <w:marTop w:val="0"/>
              <w:marBottom w:val="0"/>
              <w:divBdr>
                <w:top w:val="none" w:sz="0" w:space="0" w:color="auto"/>
                <w:left w:val="none" w:sz="0" w:space="0" w:color="auto"/>
                <w:bottom w:val="none" w:sz="0" w:space="0" w:color="auto"/>
                <w:right w:val="none" w:sz="0" w:space="0" w:color="auto"/>
              </w:divBdr>
              <w:divsChild>
                <w:div w:id="4691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28216">
      <w:bodyDiv w:val="1"/>
      <w:marLeft w:val="0"/>
      <w:marRight w:val="0"/>
      <w:marTop w:val="0"/>
      <w:marBottom w:val="0"/>
      <w:divBdr>
        <w:top w:val="none" w:sz="0" w:space="0" w:color="auto"/>
        <w:left w:val="none" w:sz="0" w:space="0" w:color="auto"/>
        <w:bottom w:val="none" w:sz="0" w:space="0" w:color="auto"/>
        <w:right w:val="none" w:sz="0" w:space="0" w:color="auto"/>
      </w:divBdr>
    </w:div>
    <w:div w:id="908077233">
      <w:bodyDiv w:val="1"/>
      <w:marLeft w:val="0"/>
      <w:marRight w:val="0"/>
      <w:marTop w:val="0"/>
      <w:marBottom w:val="0"/>
      <w:divBdr>
        <w:top w:val="none" w:sz="0" w:space="0" w:color="auto"/>
        <w:left w:val="none" w:sz="0" w:space="0" w:color="auto"/>
        <w:bottom w:val="none" w:sz="0" w:space="0" w:color="auto"/>
        <w:right w:val="none" w:sz="0" w:space="0" w:color="auto"/>
      </w:divBdr>
      <w:divsChild>
        <w:div w:id="107049868">
          <w:marLeft w:val="0"/>
          <w:marRight w:val="0"/>
          <w:marTop w:val="0"/>
          <w:marBottom w:val="0"/>
          <w:divBdr>
            <w:top w:val="none" w:sz="0" w:space="0" w:color="auto"/>
            <w:left w:val="none" w:sz="0" w:space="0" w:color="auto"/>
            <w:bottom w:val="none" w:sz="0" w:space="0" w:color="auto"/>
            <w:right w:val="none" w:sz="0" w:space="0" w:color="auto"/>
          </w:divBdr>
        </w:div>
        <w:div w:id="156195889">
          <w:marLeft w:val="0"/>
          <w:marRight w:val="0"/>
          <w:marTop w:val="0"/>
          <w:marBottom w:val="0"/>
          <w:divBdr>
            <w:top w:val="none" w:sz="0" w:space="0" w:color="auto"/>
            <w:left w:val="none" w:sz="0" w:space="0" w:color="auto"/>
            <w:bottom w:val="none" w:sz="0" w:space="0" w:color="auto"/>
            <w:right w:val="none" w:sz="0" w:space="0" w:color="auto"/>
          </w:divBdr>
        </w:div>
        <w:div w:id="326515371">
          <w:marLeft w:val="0"/>
          <w:marRight w:val="0"/>
          <w:marTop w:val="0"/>
          <w:marBottom w:val="0"/>
          <w:divBdr>
            <w:top w:val="none" w:sz="0" w:space="0" w:color="auto"/>
            <w:left w:val="none" w:sz="0" w:space="0" w:color="auto"/>
            <w:bottom w:val="none" w:sz="0" w:space="0" w:color="auto"/>
            <w:right w:val="none" w:sz="0" w:space="0" w:color="auto"/>
          </w:divBdr>
        </w:div>
        <w:div w:id="430862631">
          <w:marLeft w:val="0"/>
          <w:marRight w:val="0"/>
          <w:marTop w:val="0"/>
          <w:marBottom w:val="0"/>
          <w:divBdr>
            <w:top w:val="none" w:sz="0" w:space="0" w:color="auto"/>
            <w:left w:val="none" w:sz="0" w:space="0" w:color="auto"/>
            <w:bottom w:val="none" w:sz="0" w:space="0" w:color="auto"/>
            <w:right w:val="none" w:sz="0" w:space="0" w:color="auto"/>
          </w:divBdr>
        </w:div>
        <w:div w:id="661616329">
          <w:marLeft w:val="0"/>
          <w:marRight w:val="0"/>
          <w:marTop w:val="0"/>
          <w:marBottom w:val="0"/>
          <w:divBdr>
            <w:top w:val="none" w:sz="0" w:space="0" w:color="auto"/>
            <w:left w:val="none" w:sz="0" w:space="0" w:color="auto"/>
            <w:bottom w:val="none" w:sz="0" w:space="0" w:color="auto"/>
            <w:right w:val="none" w:sz="0" w:space="0" w:color="auto"/>
          </w:divBdr>
        </w:div>
        <w:div w:id="1286736096">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15264">
              <w:marLeft w:val="0"/>
              <w:marRight w:val="0"/>
              <w:marTop w:val="0"/>
              <w:marBottom w:val="0"/>
              <w:divBdr>
                <w:top w:val="none" w:sz="0" w:space="0" w:color="auto"/>
                <w:left w:val="none" w:sz="0" w:space="0" w:color="auto"/>
                <w:bottom w:val="none" w:sz="0" w:space="0" w:color="auto"/>
                <w:right w:val="none" w:sz="0" w:space="0" w:color="auto"/>
              </w:divBdr>
              <w:divsChild>
                <w:div w:id="537858833">
                  <w:marLeft w:val="0"/>
                  <w:marRight w:val="0"/>
                  <w:marTop w:val="0"/>
                  <w:marBottom w:val="0"/>
                  <w:divBdr>
                    <w:top w:val="none" w:sz="0" w:space="0" w:color="auto"/>
                    <w:left w:val="none" w:sz="0" w:space="0" w:color="auto"/>
                    <w:bottom w:val="none" w:sz="0" w:space="0" w:color="auto"/>
                    <w:right w:val="none" w:sz="0" w:space="0" w:color="auto"/>
                  </w:divBdr>
                </w:div>
              </w:divsChild>
            </w:div>
            <w:div w:id="374240490">
              <w:marLeft w:val="0"/>
              <w:marRight w:val="0"/>
              <w:marTop w:val="0"/>
              <w:marBottom w:val="0"/>
              <w:divBdr>
                <w:top w:val="none" w:sz="0" w:space="0" w:color="auto"/>
                <w:left w:val="none" w:sz="0" w:space="0" w:color="auto"/>
                <w:bottom w:val="none" w:sz="0" w:space="0" w:color="auto"/>
                <w:right w:val="none" w:sz="0" w:space="0" w:color="auto"/>
              </w:divBdr>
              <w:divsChild>
                <w:div w:id="197670843">
                  <w:marLeft w:val="0"/>
                  <w:marRight w:val="0"/>
                  <w:marTop w:val="0"/>
                  <w:marBottom w:val="0"/>
                  <w:divBdr>
                    <w:top w:val="none" w:sz="0" w:space="0" w:color="auto"/>
                    <w:left w:val="none" w:sz="0" w:space="0" w:color="auto"/>
                    <w:bottom w:val="none" w:sz="0" w:space="0" w:color="auto"/>
                    <w:right w:val="none" w:sz="0" w:space="0" w:color="auto"/>
                  </w:divBdr>
                </w:div>
              </w:divsChild>
            </w:div>
            <w:div w:id="1149979592">
              <w:marLeft w:val="0"/>
              <w:marRight w:val="0"/>
              <w:marTop w:val="0"/>
              <w:marBottom w:val="0"/>
              <w:divBdr>
                <w:top w:val="none" w:sz="0" w:space="0" w:color="auto"/>
                <w:left w:val="none" w:sz="0" w:space="0" w:color="auto"/>
                <w:bottom w:val="none" w:sz="0" w:space="0" w:color="auto"/>
                <w:right w:val="none" w:sz="0" w:space="0" w:color="auto"/>
              </w:divBdr>
            </w:div>
            <w:div w:id="1152714880">
              <w:marLeft w:val="0"/>
              <w:marRight w:val="0"/>
              <w:marTop w:val="0"/>
              <w:marBottom w:val="0"/>
              <w:divBdr>
                <w:top w:val="none" w:sz="0" w:space="0" w:color="auto"/>
                <w:left w:val="none" w:sz="0" w:space="0" w:color="auto"/>
                <w:bottom w:val="none" w:sz="0" w:space="0" w:color="auto"/>
                <w:right w:val="none" w:sz="0" w:space="0" w:color="auto"/>
              </w:divBdr>
              <w:divsChild>
                <w:div w:id="1967663148">
                  <w:marLeft w:val="0"/>
                  <w:marRight w:val="0"/>
                  <w:marTop w:val="0"/>
                  <w:marBottom w:val="0"/>
                  <w:divBdr>
                    <w:top w:val="none" w:sz="0" w:space="0" w:color="auto"/>
                    <w:left w:val="none" w:sz="0" w:space="0" w:color="auto"/>
                    <w:bottom w:val="none" w:sz="0" w:space="0" w:color="auto"/>
                    <w:right w:val="none" w:sz="0" w:space="0" w:color="auto"/>
                  </w:divBdr>
                </w:div>
              </w:divsChild>
            </w:div>
            <w:div w:id="1186940294">
              <w:marLeft w:val="0"/>
              <w:marRight w:val="0"/>
              <w:marTop w:val="0"/>
              <w:marBottom w:val="0"/>
              <w:divBdr>
                <w:top w:val="none" w:sz="0" w:space="0" w:color="auto"/>
                <w:left w:val="none" w:sz="0" w:space="0" w:color="auto"/>
                <w:bottom w:val="none" w:sz="0" w:space="0" w:color="auto"/>
                <w:right w:val="none" w:sz="0" w:space="0" w:color="auto"/>
              </w:divBdr>
              <w:divsChild>
                <w:div w:id="1047024097">
                  <w:marLeft w:val="0"/>
                  <w:marRight w:val="0"/>
                  <w:marTop w:val="0"/>
                  <w:marBottom w:val="0"/>
                  <w:divBdr>
                    <w:top w:val="none" w:sz="0" w:space="0" w:color="auto"/>
                    <w:left w:val="none" w:sz="0" w:space="0" w:color="auto"/>
                    <w:bottom w:val="none" w:sz="0" w:space="0" w:color="auto"/>
                    <w:right w:val="none" w:sz="0" w:space="0" w:color="auto"/>
                  </w:divBdr>
                </w:div>
              </w:divsChild>
            </w:div>
            <w:div w:id="1202983241">
              <w:marLeft w:val="0"/>
              <w:marRight w:val="0"/>
              <w:marTop w:val="0"/>
              <w:marBottom w:val="0"/>
              <w:divBdr>
                <w:top w:val="none" w:sz="0" w:space="0" w:color="auto"/>
                <w:left w:val="none" w:sz="0" w:space="0" w:color="auto"/>
                <w:bottom w:val="none" w:sz="0" w:space="0" w:color="auto"/>
                <w:right w:val="none" w:sz="0" w:space="0" w:color="auto"/>
              </w:divBdr>
              <w:divsChild>
                <w:div w:id="870260073">
                  <w:marLeft w:val="0"/>
                  <w:marRight w:val="0"/>
                  <w:marTop w:val="0"/>
                  <w:marBottom w:val="0"/>
                  <w:divBdr>
                    <w:top w:val="none" w:sz="0" w:space="0" w:color="auto"/>
                    <w:left w:val="none" w:sz="0" w:space="0" w:color="auto"/>
                    <w:bottom w:val="none" w:sz="0" w:space="0" w:color="auto"/>
                    <w:right w:val="none" w:sz="0" w:space="0" w:color="auto"/>
                  </w:divBdr>
                </w:div>
              </w:divsChild>
            </w:div>
            <w:div w:id="1424649863">
              <w:marLeft w:val="0"/>
              <w:marRight w:val="0"/>
              <w:marTop w:val="0"/>
              <w:marBottom w:val="0"/>
              <w:divBdr>
                <w:top w:val="none" w:sz="0" w:space="0" w:color="auto"/>
                <w:left w:val="none" w:sz="0" w:space="0" w:color="auto"/>
                <w:bottom w:val="none" w:sz="0" w:space="0" w:color="auto"/>
                <w:right w:val="none" w:sz="0" w:space="0" w:color="auto"/>
              </w:divBdr>
            </w:div>
            <w:div w:id="1456099100">
              <w:marLeft w:val="0"/>
              <w:marRight w:val="0"/>
              <w:marTop w:val="0"/>
              <w:marBottom w:val="0"/>
              <w:divBdr>
                <w:top w:val="none" w:sz="0" w:space="0" w:color="auto"/>
                <w:left w:val="none" w:sz="0" w:space="0" w:color="auto"/>
                <w:bottom w:val="none" w:sz="0" w:space="0" w:color="auto"/>
                <w:right w:val="none" w:sz="0" w:space="0" w:color="auto"/>
              </w:divBdr>
              <w:divsChild>
                <w:div w:id="1202792286">
                  <w:marLeft w:val="0"/>
                  <w:marRight w:val="0"/>
                  <w:marTop w:val="0"/>
                  <w:marBottom w:val="0"/>
                  <w:divBdr>
                    <w:top w:val="none" w:sz="0" w:space="0" w:color="auto"/>
                    <w:left w:val="none" w:sz="0" w:space="0" w:color="auto"/>
                    <w:bottom w:val="none" w:sz="0" w:space="0" w:color="auto"/>
                    <w:right w:val="none" w:sz="0" w:space="0" w:color="auto"/>
                  </w:divBdr>
                </w:div>
              </w:divsChild>
            </w:div>
            <w:div w:id="1490824001">
              <w:marLeft w:val="0"/>
              <w:marRight w:val="0"/>
              <w:marTop w:val="0"/>
              <w:marBottom w:val="0"/>
              <w:divBdr>
                <w:top w:val="none" w:sz="0" w:space="0" w:color="auto"/>
                <w:left w:val="none" w:sz="0" w:space="0" w:color="auto"/>
                <w:bottom w:val="none" w:sz="0" w:space="0" w:color="auto"/>
                <w:right w:val="none" w:sz="0" w:space="0" w:color="auto"/>
              </w:divBdr>
              <w:divsChild>
                <w:div w:id="950283583">
                  <w:marLeft w:val="0"/>
                  <w:marRight w:val="0"/>
                  <w:marTop w:val="0"/>
                  <w:marBottom w:val="0"/>
                  <w:divBdr>
                    <w:top w:val="none" w:sz="0" w:space="0" w:color="auto"/>
                    <w:left w:val="none" w:sz="0" w:space="0" w:color="auto"/>
                    <w:bottom w:val="none" w:sz="0" w:space="0" w:color="auto"/>
                    <w:right w:val="none" w:sz="0" w:space="0" w:color="auto"/>
                  </w:divBdr>
                </w:div>
              </w:divsChild>
            </w:div>
            <w:div w:id="1668971667">
              <w:marLeft w:val="0"/>
              <w:marRight w:val="0"/>
              <w:marTop w:val="0"/>
              <w:marBottom w:val="0"/>
              <w:divBdr>
                <w:top w:val="none" w:sz="0" w:space="0" w:color="auto"/>
                <w:left w:val="none" w:sz="0" w:space="0" w:color="auto"/>
                <w:bottom w:val="none" w:sz="0" w:space="0" w:color="auto"/>
                <w:right w:val="none" w:sz="0" w:space="0" w:color="auto"/>
              </w:divBdr>
              <w:divsChild>
                <w:div w:id="440272178">
                  <w:marLeft w:val="0"/>
                  <w:marRight w:val="0"/>
                  <w:marTop w:val="0"/>
                  <w:marBottom w:val="0"/>
                  <w:divBdr>
                    <w:top w:val="none" w:sz="0" w:space="0" w:color="auto"/>
                    <w:left w:val="none" w:sz="0" w:space="0" w:color="auto"/>
                    <w:bottom w:val="none" w:sz="0" w:space="0" w:color="auto"/>
                    <w:right w:val="none" w:sz="0" w:space="0" w:color="auto"/>
                  </w:divBdr>
                </w:div>
              </w:divsChild>
            </w:div>
            <w:div w:id="1956398870">
              <w:marLeft w:val="0"/>
              <w:marRight w:val="0"/>
              <w:marTop w:val="0"/>
              <w:marBottom w:val="0"/>
              <w:divBdr>
                <w:top w:val="none" w:sz="0" w:space="0" w:color="auto"/>
                <w:left w:val="none" w:sz="0" w:space="0" w:color="auto"/>
                <w:bottom w:val="none" w:sz="0" w:space="0" w:color="auto"/>
                <w:right w:val="none" w:sz="0" w:space="0" w:color="auto"/>
              </w:divBdr>
              <w:divsChild>
                <w:div w:id="11616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7085">
          <w:marLeft w:val="0"/>
          <w:marRight w:val="0"/>
          <w:marTop w:val="0"/>
          <w:marBottom w:val="0"/>
          <w:divBdr>
            <w:top w:val="none" w:sz="0" w:space="0" w:color="auto"/>
            <w:left w:val="none" w:sz="0" w:space="0" w:color="auto"/>
            <w:bottom w:val="none" w:sz="0" w:space="0" w:color="auto"/>
            <w:right w:val="none" w:sz="0" w:space="0" w:color="auto"/>
          </w:divBdr>
        </w:div>
        <w:div w:id="1324821586">
          <w:marLeft w:val="0"/>
          <w:marRight w:val="0"/>
          <w:marTop w:val="0"/>
          <w:marBottom w:val="0"/>
          <w:divBdr>
            <w:top w:val="none" w:sz="0" w:space="0" w:color="auto"/>
            <w:left w:val="none" w:sz="0" w:space="0" w:color="auto"/>
            <w:bottom w:val="none" w:sz="0" w:space="0" w:color="auto"/>
            <w:right w:val="none" w:sz="0" w:space="0" w:color="auto"/>
          </w:divBdr>
        </w:div>
        <w:div w:id="1344017402">
          <w:marLeft w:val="0"/>
          <w:marRight w:val="0"/>
          <w:marTop w:val="0"/>
          <w:marBottom w:val="0"/>
          <w:divBdr>
            <w:top w:val="none" w:sz="0" w:space="0" w:color="auto"/>
            <w:left w:val="none" w:sz="0" w:space="0" w:color="auto"/>
            <w:bottom w:val="none" w:sz="0" w:space="0" w:color="auto"/>
            <w:right w:val="none" w:sz="0" w:space="0" w:color="auto"/>
          </w:divBdr>
        </w:div>
        <w:div w:id="1616597316">
          <w:marLeft w:val="0"/>
          <w:marRight w:val="0"/>
          <w:marTop w:val="0"/>
          <w:marBottom w:val="0"/>
          <w:divBdr>
            <w:top w:val="none" w:sz="0" w:space="0" w:color="auto"/>
            <w:left w:val="none" w:sz="0" w:space="0" w:color="auto"/>
            <w:bottom w:val="none" w:sz="0" w:space="0" w:color="auto"/>
            <w:right w:val="none" w:sz="0" w:space="0" w:color="auto"/>
          </w:divBdr>
        </w:div>
        <w:div w:id="1737241934">
          <w:marLeft w:val="0"/>
          <w:marRight w:val="0"/>
          <w:marTop w:val="0"/>
          <w:marBottom w:val="0"/>
          <w:divBdr>
            <w:top w:val="none" w:sz="0" w:space="0" w:color="auto"/>
            <w:left w:val="none" w:sz="0" w:space="0" w:color="auto"/>
            <w:bottom w:val="none" w:sz="0" w:space="0" w:color="auto"/>
            <w:right w:val="none" w:sz="0" w:space="0" w:color="auto"/>
          </w:divBdr>
        </w:div>
        <w:div w:id="1751198083">
          <w:marLeft w:val="0"/>
          <w:marRight w:val="0"/>
          <w:marTop w:val="0"/>
          <w:marBottom w:val="0"/>
          <w:divBdr>
            <w:top w:val="none" w:sz="0" w:space="0" w:color="auto"/>
            <w:left w:val="none" w:sz="0" w:space="0" w:color="auto"/>
            <w:bottom w:val="none" w:sz="0" w:space="0" w:color="auto"/>
            <w:right w:val="none" w:sz="0" w:space="0" w:color="auto"/>
          </w:divBdr>
          <w:divsChild>
            <w:div w:id="976565194">
              <w:marLeft w:val="0"/>
              <w:marRight w:val="0"/>
              <w:marTop w:val="0"/>
              <w:marBottom w:val="0"/>
              <w:divBdr>
                <w:top w:val="none" w:sz="0" w:space="0" w:color="auto"/>
                <w:left w:val="none" w:sz="0" w:space="0" w:color="auto"/>
                <w:bottom w:val="none" w:sz="0" w:space="0" w:color="auto"/>
                <w:right w:val="none" w:sz="0" w:space="0" w:color="auto"/>
              </w:divBdr>
            </w:div>
          </w:divsChild>
        </w:div>
        <w:div w:id="1879929432">
          <w:blockQuote w:val="1"/>
          <w:marLeft w:val="600"/>
          <w:marRight w:val="0"/>
          <w:marTop w:val="0"/>
          <w:marBottom w:val="0"/>
          <w:divBdr>
            <w:top w:val="none" w:sz="0" w:space="0" w:color="auto"/>
            <w:left w:val="none" w:sz="0" w:space="0" w:color="auto"/>
            <w:bottom w:val="none" w:sz="0" w:space="0" w:color="auto"/>
            <w:right w:val="none" w:sz="0" w:space="0" w:color="auto"/>
          </w:divBdr>
          <w:divsChild>
            <w:div w:id="1840196297">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5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7834">
          <w:marLeft w:val="0"/>
          <w:marRight w:val="0"/>
          <w:marTop w:val="0"/>
          <w:marBottom w:val="0"/>
          <w:divBdr>
            <w:top w:val="none" w:sz="0" w:space="0" w:color="auto"/>
            <w:left w:val="none" w:sz="0" w:space="0" w:color="auto"/>
            <w:bottom w:val="none" w:sz="0" w:space="0" w:color="auto"/>
            <w:right w:val="none" w:sz="0" w:space="0" w:color="auto"/>
          </w:divBdr>
        </w:div>
        <w:div w:id="2016032639">
          <w:marLeft w:val="0"/>
          <w:marRight w:val="0"/>
          <w:marTop w:val="0"/>
          <w:marBottom w:val="0"/>
          <w:divBdr>
            <w:top w:val="none" w:sz="0" w:space="0" w:color="auto"/>
            <w:left w:val="none" w:sz="0" w:space="0" w:color="auto"/>
            <w:bottom w:val="none" w:sz="0" w:space="0" w:color="auto"/>
            <w:right w:val="none" w:sz="0" w:space="0" w:color="auto"/>
          </w:divBdr>
        </w:div>
      </w:divsChild>
    </w:div>
    <w:div w:id="914507731">
      <w:bodyDiv w:val="1"/>
      <w:marLeft w:val="0"/>
      <w:marRight w:val="0"/>
      <w:marTop w:val="0"/>
      <w:marBottom w:val="0"/>
      <w:divBdr>
        <w:top w:val="none" w:sz="0" w:space="0" w:color="auto"/>
        <w:left w:val="none" w:sz="0" w:space="0" w:color="auto"/>
        <w:bottom w:val="none" w:sz="0" w:space="0" w:color="auto"/>
        <w:right w:val="none" w:sz="0" w:space="0" w:color="auto"/>
      </w:divBdr>
    </w:div>
    <w:div w:id="926963219">
      <w:bodyDiv w:val="1"/>
      <w:marLeft w:val="0"/>
      <w:marRight w:val="0"/>
      <w:marTop w:val="0"/>
      <w:marBottom w:val="0"/>
      <w:divBdr>
        <w:top w:val="none" w:sz="0" w:space="0" w:color="auto"/>
        <w:left w:val="none" w:sz="0" w:space="0" w:color="auto"/>
        <w:bottom w:val="none" w:sz="0" w:space="0" w:color="auto"/>
        <w:right w:val="none" w:sz="0" w:space="0" w:color="auto"/>
      </w:divBdr>
    </w:div>
    <w:div w:id="929391487">
      <w:bodyDiv w:val="1"/>
      <w:marLeft w:val="0"/>
      <w:marRight w:val="0"/>
      <w:marTop w:val="0"/>
      <w:marBottom w:val="0"/>
      <w:divBdr>
        <w:top w:val="none" w:sz="0" w:space="0" w:color="auto"/>
        <w:left w:val="none" w:sz="0" w:space="0" w:color="auto"/>
        <w:bottom w:val="none" w:sz="0" w:space="0" w:color="auto"/>
        <w:right w:val="none" w:sz="0" w:space="0" w:color="auto"/>
      </w:divBdr>
    </w:div>
    <w:div w:id="936907508">
      <w:bodyDiv w:val="1"/>
      <w:marLeft w:val="0"/>
      <w:marRight w:val="0"/>
      <w:marTop w:val="0"/>
      <w:marBottom w:val="0"/>
      <w:divBdr>
        <w:top w:val="none" w:sz="0" w:space="0" w:color="auto"/>
        <w:left w:val="none" w:sz="0" w:space="0" w:color="auto"/>
        <w:bottom w:val="none" w:sz="0" w:space="0" w:color="auto"/>
        <w:right w:val="none" w:sz="0" w:space="0" w:color="auto"/>
      </w:divBdr>
    </w:div>
    <w:div w:id="937761289">
      <w:bodyDiv w:val="1"/>
      <w:marLeft w:val="0"/>
      <w:marRight w:val="0"/>
      <w:marTop w:val="0"/>
      <w:marBottom w:val="0"/>
      <w:divBdr>
        <w:top w:val="none" w:sz="0" w:space="0" w:color="auto"/>
        <w:left w:val="none" w:sz="0" w:space="0" w:color="auto"/>
        <w:bottom w:val="none" w:sz="0" w:space="0" w:color="auto"/>
        <w:right w:val="none" w:sz="0" w:space="0" w:color="auto"/>
      </w:divBdr>
    </w:div>
    <w:div w:id="950555619">
      <w:bodyDiv w:val="1"/>
      <w:marLeft w:val="0"/>
      <w:marRight w:val="0"/>
      <w:marTop w:val="0"/>
      <w:marBottom w:val="0"/>
      <w:divBdr>
        <w:top w:val="none" w:sz="0" w:space="0" w:color="auto"/>
        <w:left w:val="none" w:sz="0" w:space="0" w:color="auto"/>
        <w:bottom w:val="none" w:sz="0" w:space="0" w:color="auto"/>
        <w:right w:val="none" w:sz="0" w:space="0" w:color="auto"/>
      </w:divBdr>
      <w:divsChild>
        <w:div w:id="1951550144">
          <w:marLeft w:val="0"/>
          <w:marRight w:val="0"/>
          <w:marTop w:val="0"/>
          <w:marBottom w:val="0"/>
          <w:divBdr>
            <w:top w:val="none" w:sz="0" w:space="0" w:color="auto"/>
            <w:left w:val="none" w:sz="0" w:space="0" w:color="auto"/>
            <w:bottom w:val="none" w:sz="0" w:space="0" w:color="auto"/>
            <w:right w:val="none" w:sz="0" w:space="0" w:color="auto"/>
          </w:divBdr>
        </w:div>
      </w:divsChild>
    </w:div>
    <w:div w:id="950629527">
      <w:bodyDiv w:val="1"/>
      <w:marLeft w:val="0"/>
      <w:marRight w:val="0"/>
      <w:marTop w:val="0"/>
      <w:marBottom w:val="0"/>
      <w:divBdr>
        <w:top w:val="none" w:sz="0" w:space="0" w:color="auto"/>
        <w:left w:val="none" w:sz="0" w:space="0" w:color="auto"/>
        <w:bottom w:val="none" w:sz="0" w:space="0" w:color="auto"/>
        <w:right w:val="none" w:sz="0" w:space="0" w:color="auto"/>
      </w:divBdr>
    </w:div>
    <w:div w:id="971322482">
      <w:bodyDiv w:val="1"/>
      <w:marLeft w:val="0"/>
      <w:marRight w:val="0"/>
      <w:marTop w:val="0"/>
      <w:marBottom w:val="0"/>
      <w:divBdr>
        <w:top w:val="none" w:sz="0" w:space="0" w:color="auto"/>
        <w:left w:val="none" w:sz="0" w:space="0" w:color="auto"/>
        <w:bottom w:val="none" w:sz="0" w:space="0" w:color="auto"/>
        <w:right w:val="none" w:sz="0" w:space="0" w:color="auto"/>
      </w:divBdr>
    </w:div>
    <w:div w:id="973829159">
      <w:bodyDiv w:val="1"/>
      <w:marLeft w:val="0"/>
      <w:marRight w:val="0"/>
      <w:marTop w:val="0"/>
      <w:marBottom w:val="0"/>
      <w:divBdr>
        <w:top w:val="none" w:sz="0" w:space="0" w:color="auto"/>
        <w:left w:val="none" w:sz="0" w:space="0" w:color="auto"/>
        <w:bottom w:val="none" w:sz="0" w:space="0" w:color="auto"/>
        <w:right w:val="none" w:sz="0" w:space="0" w:color="auto"/>
      </w:divBdr>
    </w:div>
    <w:div w:id="976226310">
      <w:bodyDiv w:val="1"/>
      <w:marLeft w:val="0"/>
      <w:marRight w:val="0"/>
      <w:marTop w:val="0"/>
      <w:marBottom w:val="0"/>
      <w:divBdr>
        <w:top w:val="none" w:sz="0" w:space="0" w:color="auto"/>
        <w:left w:val="none" w:sz="0" w:space="0" w:color="auto"/>
        <w:bottom w:val="none" w:sz="0" w:space="0" w:color="auto"/>
        <w:right w:val="none" w:sz="0" w:space="0" w:color="auto"/>
      </w:divBdr>
    </w:div>
    <w:div w:id="978649649">
      <w:bodyDiv w:val="1"/>
      <w:marLeft w:val="0"/>
      <w:marRight w:val="0"/>
      <w:marTop w:val="0"/>
      <w:marBottom w:val="0"/>
      <w:divBdr>
        <w:top w:val="none" w:sz="0" w:space="0" w:color="auto"/>
        <w:left w:val="none" w:sz="0" w:space="0" w:color="auto"/>
        <w:bottom w:val="none" w:sz="0" w:space="0" w:color="auto"/>
        <w:right w:val="none" w:sz="0" w:space="0" w:color="auto"/>
      </w:divBdr>
      <w:divsChild>
        <w:div w:id="533228353">
          <w:marLeft w:val="0"/>
          <w:marRight w:val="0"/>
          <w:marTop w:val="0"/>
          <w:marBottom w:val="0"/>
          <w:divBdr>
            <w:top w:val="none" w:sz="0" w:space="0" w:color="auto"/>
            <w:left w:val="none" w:sz="0" w:space="0" w:color="auto"/>
            <w:bottom w:val="none" w:sz="0" w:space="0" w:color="auto"/>
            <w:right w:val="none" w:sz="0" w:space="0" w:color="auto"/>
          </w:divBdr>
          <w:divsChild>
            <w:div w:id="1335378469">
              <w:marLeft w:val="0"/>
              <w:marRight w:val="0"/>
              <w:marTop w:val="0"/>
              <w:marBottom w:val="0"/>
              <w:divBdr>
                <w:top w:val="none" w:sz="0" w:space="0" w:color="auto"/>
                <w:left w:val="none" w:sz="0" w:space="0" w:color="auto"/>
                <w:bottom w:val="none" w:sz="0" w:space="0" w:color="auto"/>
                <w:right w:val="none" w:sz="0" w:space="0" w:color="auto"/>
              </w:divBdr>
              <w:divsChild>
                <w:div w:id="1258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0388">
      <w:bodyDiv w:val="1"/>
      <w:marLeft w:val="0"/>
      <w:marRight w:val="0"/>
      <w:marTop w:val="0"/>
      <w:marBottom w:val="0"/>
      <w:divBdr>
        <w:top w:val="none" w:sz="0" w:space="0" w:color="auto"/>
        <w:left w:val="none" w:sz="0" w:space="0" w:color="auto"/>
        <w:bottom w:val="none" w:sz="0" w:space="0" w:color="auto"/>
        <w:right w:val="none" w:sz="0" w:space="0" w:color="auto"/>
      </w:divBdr>
    </w:div>
    <w:div w:id="1006009464">
      <w:bodyDiv w:val="1"/>
      <w:marLeft w:val="0"/>
      <w:marRight w:val="0"/>
      <w:marTop w:val="0"/>
      <w:marBottom w:val="0"/>
      <w:divBdr>
        <w:top w:val="none" w:sz="0" w:space="0" w:color="auto"/>
        <w:left w:val="none" w:sz="0" w:space="0" w:color="auto"/>
        <w:bottom w:val="none" w:sz="0" w:space="0" w:color="auto"/>
        <w:right w:val="none" w:sz="0" w:space="0" w:color="auto"/>
      </w:divBdr>
      <w:divsChild>
        <w:div w:id="1228147876">
          <w:marLeft w:val="0"/>
          <w:marRight w:val="0"/>
          <w:marTop w:val="0"/>
          <w:marBottom w:val="0"/>
          <w:divBdr>
            <w:top w:val="none" w:sz="0" w:space="0" w:color="auto"/>
            <w:left w:val="none" w:sz="0" w:space="0" w:color="auto"/>
            <w:bottom w:val="none" w:sz="0" w:space="0" w:color="auto"/>
            <w:right w:val="none" w:sz="0" w:space="0" w:color="auto"/>
          </w:divBdr>
          <w:divsChild>
            <w:div w:id="97680798">
              <w:marLeft w:val="0"/>
              <w:marRight w:val="0"/>
              <w:marTop w:val="0"/>
              <w:marBottom w:val="0"/>
              <w:divBdr>
                <w:top w:val="none" w:sz="0" w:space="0" w:color="auto"/>
                <w:left w:val="none" w:sz="0" w:space="0" w:color="auto"/>
                <w:bottom w:val="none" w:sz="0" w:space="0" w:color="auto"/>
                <w:right w:val="none" w:sz="0" w:space="0" w:color="auto"/>
              </w:divBdr>
            </w:div>
            <w:div w:id="1104544632">
              <w:marLeft w:val="0"/>
              <w:marRight w:val="0"/>
              <w:marTop w:val="0"/>
              <w:marBottom w:val="0"/>
              <w:divBdr>
                <w:top w:val="none" w:sz="0" w:space="0" w:color="auto"/>
                <w:left w:val="none" w:sz="0" w:space="0" w:color="auto"/>
                <w:bottom w:val="none" w:sz="0" w:space="0" w:color="auto"/>
                <w:right w:val="none" w:sz="0" w:space="0" w:color="auto"/>
              </w:divBdr>
              <w:divsChild>
                <w:div w:id="244340040">
                  <w:marLeft w:val="0"/>
                  <w:marRight w:val="0"/>
                  <w:marTop w:val="0"/>
                  <w:marBottom w:val="0"/>
                  <w:divBdr>
                    <w:top w:val="none" w:sz="0" w:space="0" w:color="auto"/>
                    <w:left w:val="none" w:sz="0" w:space="0" w:color="auto"/>
                    <w:bottom w:val="none" w:sz="0" w:space="0" w:color="auto"/>
                    <w:right w:val="none" w:sz="0" w:space="0" w:color="auto"/>
                  </w:divBdr>
                </w:div>
                <w:div w:id="1115947508">
                  <w:marLeft w:val="0"/>
                  <w:marRight w:val="0"/>
                  <w:marTop w:val="0"/>
                  <w:marBottom w:val="0"/>
                  <w:divBdr>
                    <w:top w:val="none" w:sz="0" w:space="0" w:color="auto"/>
                    <w:left w:val="none" w:sz="0" w:space="0" w:color="auto"/>
                    <w:bottom w:val="none" w:sz="0" w:space="0" w:color="auto"/>
                    <w:right w:val="none" w:sz="0" w:space="0" w:color="auto"/>
                  </w:divBdr>
                </w:div>
                <w:div w:id="1944338690">
                  <w:marLeft w:val="0"/>
                  <w:marRight w:val="0"/>
                  <w:marTop w:val="0"/>
                  <w:marBottom w:val="0"/>
                  <w:divBdr>
                    <w:top w:val="none" w:sz="0" w:space="0" w:color="auto"/>
                    <w:left w:val="none" w:sz="0" w:space="0" w:color="auto"/>
                    <w:bottom w:val="none" w:sz="0" w:space="0" w:color="auto"/>
                    <w:right w:val="none" w:sz="0" w:space="0" w:color="auto"/>
                  </w:divBdr>
                </w:div>
                <w:div w:id="2110196357">
                  <w:marLeft w:val="0"/>
                  <w:marRight w:val="0"/>
                  <w:marTop w:val="0"/>
                  <w:marBottom w:val="0"/>
                  <w:divBdr>
                    <w:top w:val="none" w:sz="0" w:space="0" w:color="auto"/>
                    <w:left w:val="none" w:sz="0" w:space="0" w:color="auto"/>
                    <w:bottom w:val="none" w:sz="0" w:space="0" w:color="auto"/>
                    <w:right w:val="none" w:sz="0" w:space="0" w:color="auto"/>
                  </w:divBdr>
                </w:div>
              </w:divsChild>
            </w:div>
            <w:div w:id="1845853470">
              <w:marLeft w:val="0"/>
              <w:marRight w:val="0"/>
              <w:marTop w:val="0"/>
              <w:marBottom w:val="0"/>
              <w:divBdr>
                <w:top w:val="none" w:sz="0" w:space="0" w:color="auto"/>
                <w:left w:val="none" w:sz="0" w:space="0" w:color="auto"/>
                <w:bottom w:val="none" w:sz="0" w:space="0" w:color="auto"/>
                <w:right w:val="none" w:sz="0" w:space="0" w:color="auto"/>
              </w:divBdr>
              <w:divsChild>
                <w:div w:id="30421742">
                  <w:marLeft w:val="0"/>
                  <w:marRight w:val="0"/>
                  <w:marTop w:val="0"/>
                  <w:marBottom w:val="0"/>
                  <w:divBdr>
                    <w:top w:val="none" w:sz="0" w:space="0" w:color="auto"/>
                    <w:left w:val="none" w:sz="0" w:space="0" w:color="auto"/>
                    <w:bottom w:val="none" w:sz="0" w:space="0" w:color="auto"/>
                    <w:right w:val="none" w:sz="0" w:space="0" w:color="auto"/>
                  </w:divBdr>
                </w:div>
                <w:div w:id="544874625">
                  <w:marLeft w:val="0"/>
                  <w:marRight w:val="0"/>
                  <w:marTop w:val="0"/>
                  <w:marBottom w:val="0"/>
                  <w:divBdr>
                    <w:top w:val="none" w:sz="0" w:space="0" w:color="auto"/>
                    <w:left w:val="none" w:sz="0" w:space="0" w:color="auto"/>
                    <w:bottom w:val="none" w:sz="0" w:space="0" w:color="auto"/>
                    <w:right w:val="none" w:sz="0" w:space="0" w:color="auto"/>
                  </w:divBdr>
                </w:div>
                <w:div w:id="646007733">
                  <w:marLeft w:val="0"/>
                  <w:marRight w:val="0"/>
                  <w:marTop w:val="0"/>
                  <w:marBottom w:val="0"/>
                  <w:divBdr>
                    <w:top w:val="none" w:sz="0" w:space="0" w:color="auto"/>
                    <w:left w:val="none" w:sz="0" w:space="0" w:color="auto"/>
                    <w:bottom w:val="none" w:sz="0" w:space="0" w:color="auto"/>
                    <w:right w:val="none" w:sz="0" w:space="0" w:color="auto"/>
                  </w:divBdr>
                </w:div>
                <w:div w:id="15598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232305">
          <w:marLeft w:val="0"/>
          <w:marRight w:val="0"/>
          <w:marTop w:val="0"/>
          <w:marBottom w:val="0"/>
          <w:divBdr>
            <w:top w:val="none" w:sz="0" w:space="0" w:color="auto"/>
            <w:left w:val="none" w:sz="0" w:space="0" w:color="auto"/>
            <w:bottom w:val="none" w:sz="0" w:space="0" w:color="auto"/>
            <w:right w:val="none" w:sz="0" w:space="0" w:color="auto"/>
          </w:divBdr>
        </w:div>
      </w:divsChild>
    </w:div>
    <w:div w:id="1017316827">
      <w:bodyDiv w:val="1"/>
      <w:marLeft w:val="0"/>
      <w:marRight w:val="0"/>
      <w:marTop w:val="0"/>
      <w:marBottom w:val="0"/>
      <w:divBdr>
        <w:top w:val="none" w:sz="0" w:space="0" w:color="auto"/>
        <w:left w:val="none" w:sz="0" w:space="0" w:color="auto"/>
        <w:bottom w:val="none" w:sz="0" w:space="0" w:color="auto"/>
        <w:right w:val="none" w:sz="0" w:space="0" w:color="auto"/>
      </w:divBdr>
      <w:divsChild>
        <w:div w:id="2098666566">
          <w:marLeft w:val="0"/>
          <w:marRight w:val="0"/>
          <w:marTop w:val="0"/>
          <w:marBottom w:val="0"/>
          <w:divBdr>
            <w:top w:val="none" w:sz="0" w:space="0" w:color="auto"/>
            <w:left w:val="none" w:sz="0" w:space="0" w:color="auto"/>
            <w:bottom w:val="none" w:sz="0" w:space="0" w:color="auto"/>
            <w:right w:val="none" w:sz="0" w:space="0" w:color="auto"/>
          </w:divBdr>
          <w:divsChild>
            <w:div w:id="269631556">
              <w:marLeft w:val="0"/>
              <w:marRight w:val="0"/>
              <w:marTop w:val="0"/>
              <w:marBottom w:val="0"/>
              <w:divBdr>
                <w:top w:val="none" w:sz="0" w:space="0" w:color="auto"/>
                <w:left w:val="none" w:sz="0" w:space="0" w:color="auto"/>
                <w:bottom w:val="none" w:sz="0" w:space="0" w:color="auto"/>
                <w:right w:val="none" w:sz="0" w:space="0" w:color="auto"/>
              </w:divBdr>
              <w:divsChild>
                <w:div w:id="19432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46180">
      <w:bodyDiv w:val="1"/>
      <w:marLeft w:val="0"/>
      <w:marRight w:val="0"/>
      <w:marTop w:val="0"/>
      <w:marBottom w:val="0"/>
      <w:divBdr>
        <w:top w:val="none" w:sz="0" w:space="0" w:color="auto"/>
        <w:left w:val="none" w:sz="0" w:space="0" w:color="auto"/>
        <w:bottom w:val="none" w:sz="0" w:space="0" w:color="auto"/>
        <w:right w:val="none" w:sz="0" w:space="0" w:color="auto"/>
      </w:divBdr>
      <w:divsChild>
        <w:div w:id="52193425">
          <w:marLeft w:val="0"/>
          <w:marRight w:val="0"/>
          <w:marTop w:val="0"/>
          <w:marBottom w:val="0"/>
          <w:divBdr>
            <w:top w:val="none" w:sz="0" w:space="0" w:color="auto"/>
            <w:left w:val="none" w:sz="0" w:space="0" w:color="auto"/>
            <w:bottom w:val="none" w:sz="0" w:space="0" w:color="auto"/>
            <w:right w:val="none" w:sz="0" w:space="0" w:color="auto"/>
          </w:divBdr>
        </w:div>
      </w:divsChild>
    </w:div>
    <w:div w:id="1020156536">
      <w:bodyDiv w:val="1"/>
      <w:marLeft w:val="0"/>
      <w:marRight w:val="0"/>
      <w:marTop w:val="0"/>
      <w:marBottom w:val="0"/>
      <w:divBdr>
        <w:top w:val="none" w:sz="0" w:space="0" w:color="auto"/>
        <w:left w:val="none" w:sz="0" w:space="0" w:color="auto"/>
        <w:bottom w:val="none" w:sz="0" w:space="0" w:color="auto"/>
        <w:right w:val="none" w:sz="0" w:space="0" w:color="auto"/>
      </w:divBdr>
    </w:div>
    <w:div w:id="1021518321">
      <w:bodyDiv w:val="1"/>
      <w:marLeft w:val="0"/>
      <w:marRight w:val="0"/>
      <w:marTop w:val="0"/>
      <w:marBottom w:val="0"/>
      <w:divBdr>
        <w:top w:val="none" w:sz="0" w:space="0" w:color="auto"/>
        <w:left w:val="none" w:sz="0" w:space="0" w:color="auto"/>
        <w:bottom w:val="none" w:sz="0" w:space="0" w:color="auto"/>
        <w:right w:val="none" w:sz="0" w:space="0" w:color="auto"/>
      </w:divBdr>
      <w:divsChild>
        <w:div w:id="586426412">
          <w:marLeft w:val="0"/>
          <w:marRight w:val="0"/>
          <w:marTop w:val="0"/>
          <w:marBottom w:val="0"/>
          <w:divBdr>
            <w:top w:val="none" w:sz="0" w:space="0" w:color="auto"/>
            <w:left w:val="none" w:sz="0" w:space="0" w:color="auto"/>
            <w:bottom w:val="none" w:sz="0" w:space="0" w:color="auto"/>
            <w:right w:val="none" w:sz="0" w:space="0" w:color="auto"/>
          </w:divBdr>
          <w:divsChild>
            <w:div w:id="804350087">
              <w:marLeft w:val="0"/>
              <w:marRight w:val="0"/>
              <w:marTop w:val="0"/>
              <w:marBottom w:val="0"/>
              <w:divBdr>
                <w:top w:val="none" w:sz="0" w:space="0" w:color="auto"/>
                <w:left w:val="none" w:sz="0" w:space="0" w:color="auto"/>
                <w:bottom w:val="none" w:sz="0" w:space="0" w:color="auto"/>
                <w:right w:val="none" w:sz="0" w:space="0" w:color="auto"/>
              </w:divBdr>
              <w:divsChild>
                <w:div w:id="21019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23131">
      <w:bodyDiv w:val="1"/>
      <w:marLeft w:val="0"/>
      <w:marRight w:val="0"/>
      <w:marTop w:val="0"/>
      <w:marBottom w:val="0"/>
      <w:divBdr>
        <w:top w:val="none" w:sz="0" w:space="0" w:color="auto"/>
        <w:left w:val="none" w:sz="0" w:space="0" w:color="auto"/>
        <w:bottom w:val="none" w:sz="0" w:space="0" w:color="auto"/>
        <w:right w:val="none" w:sz="0" w:space="0" w:color="auto"/>
      </w:divBdr>
      <w:divsChild>
        <w:div w:id="91754144">
          <w:marLeft w:val="0"/>
          <w:marRight w:val="0"/>
          <w:marTop w:val="0"/>
          <w:marBottom w:val="0"/>
          <w:divBdr>
            <w:top w:val="none" w:sz="0" w:space="0" w:color="auto"/>
            <w:left w:val="none" w:sz="0" w:space="0" w:color="auto"/>
            <w:bottom w:val="none" w:sz="0" w:space="0" w:color="auto"/>
            <w:right w:val="none" w:sz="0" w:space="0" w:color="auto"/>
          </w:divBdr>
        </w:div>
        <w:div w:id="166478522">
          <w:marLeft w:val="0"/>
          <w:marRight w:val="0"/>
          <w:marTop w:val="0"/>
          <w:marBottom w:val="0"/>
          <w:divBdr>
            <w:top w:val="none" w:sz="0" w:space="0" w:color="auto"/>
            <w:left w:val="none" w:sz="0" w:space="0" w:color="auto"/>
            <w:bottom w:val="none" w:sz="0" w:space="0" w:color="auto"/>
            <w:right w:val="none" w:sz="0" w:space="0" w:color="auto"/>
          </w:divBdr>
        </w:div>
        <w:div w:id="187260892">
          <w:marLeft w:val="0"/>
          <w:marRight w:val="0"/>
          <w:marTop w:val="0"/>
          <w:marBottom w:val="0"/>
          <w:divBdr>
            <w:top w:val="none" w:sz="0" w:space="0" w:color="auto"/>
            <w:left w:val="none" w:sz="0" w:space="0" w:color="auto"/>
            <w:bottom w:val="none" w:sz="0" w:space="0" w:color="auto"/>
            <w:right w:val="none" w:sz="0" w:space="0" w:color="auto"/>
          </w:divBdr>
        </w:div>
        <w:div w:id="429815403">
          <w:marLeft w:val="0"/>
          <w:marRight w:val="0"/>
          <w:marTop w:val="0"/>
          <w:marBottom w:val="0"/>
          <w:divBdr>
            <w:top w:val="none" w:sz="0" w:space="0" w:color="auto"/>
            <w:left w:val="none" w:sz="0" w:space="0" w:color="auto"/>
            <w:bottom w:val="none" w:sz="0" w:space="0" w:color="auto"/>
            <w:right w:val="none" w:sz="0" w:space="0" w:color="auto"/>
          </w:divBdr>
        </w:div>
        <w:div w:id="663629065">
          <w:marLeft w:val="0"/>
          <w:marRight w:val="0"/>
          <w:marTop w:val="0"/>
          <w:marBottom w:val="0"/>
          <w:divBdr>
            <w:top w:val="none" w:sz="0" w:space="0" w:color="auto"/>
            <w:left w:val="none" w:sz="0" w:space="0" w:color="auto"/>
            <w:bottom w:val="none" w:sz="0" w:space="0" w:color="auto"/>
            <w:right w:val="none" w:sz="0" w:space="0" w:color="auto"/>
          </w:divBdr>
        </w:div>
        <w:div w:id="760293576">
          <w:marLeft w:val="0"/>
          <w:marRight w:val="0"/>
          <w:marTop w:val="0"/>
          <w:marBottom w:val="0"/>
          <w:divBdr>
            <w:top w:val="none" w:sz="0" w:space="0" w:color="auto"/>
            <w:left w:val="none" w:sz="0" w:space="0" w:color="auto"/>
            <w:bottom w:val="none" w:sz="0" w:space="0" w:color="auto"/>
            <w:right w:val="none" w:sz="0" w:space="0" w:color="auto"/>
          </w:divBdr>
        </w:div>
        <w:div w:id="1858227813">
          <w:marLeft w:val="0"/>
          <w:marRight w:val="0"/>
          <w:marTop w:val="0"/>
          <w:marBottom w:val="0"/>
          <w:divBdr>
            <w:top w:val="none" w:sz="0" w:space="0" w:color="auto"/>
            <w:left w:val="none" w:sz="0" w:space="0" w:color="auto"/>
            <w:bottom w:val="none" w:sz="0" w:space="0" w:color="auto"/>
            <w:right w:val="none" w:sz="0" w:space="0" w:color="auto"/>
          </w:divBdr>
        </w:div>
      </w:divsChild>
    </w:div>
    <w:div w:id="1041858281">
      <w:bodyDiv w:val="1"/>
      <w:marLeft w:val="0"/>
      <w:marRight w:val="0"/>
      <w:marTop w:val="0"/>
      <w:marBottom w:val="0"/>
      <w:divBdr>
        <w:top w:val="none" w:sz="0" w:space="0" w:color="auto"/>
        <w:left w:val="none" w:sz="0" w:space="0" w:color="auto"/>
        <w:bottom w:val="none" w:sz="0" w:space="0" w:color="auto"/>
        <w:right w:val="none" w:sz="0" w:space="0" w:color="auto"/>
      </w:divBdr>
    </w:div>
    <w:div w:id="1046682328">
      <w:bodyDiv w:val="1"/>
      <w:marLeft w:val="0"/>
      <w:marRight w:val="0"/>
      <w:marTop w:val="0"/>
      <w:marBottom w:val="0"/>
      <w:divBdr>
        <w:top w:val="none" w:sz="0" w:space="0" w:color="auto"/>
        <w:left w:val="none" w:sz="0" w:space="0" w:color="auto"/>
        <w:bottom w:val="none" w:sz="0" w:space="0" w:color="auto"/>
        <w:right w:val="none" w:sz="0" w:space="0" w:color="auto"/>
      </w:divBdr>
    </w:div>
    <w:div w:id="1048455914">
      <w:bodyDiv w:val="1"/>
      <w:marLeft w:val="0"/>
      <w:marRight w:val="0"/>
      <w:marTop w:val="0"/>
      <w:marBottom w:val="0"/>
      <w:divBdr>
        <w:top w:val="none" w:sz="0" w:space="0" w:color="auto"/>
        <w:left w:val="none" w:sz="0" w:space="0" w:color="auto"/>
        <w:bottom w:val="none" w:sz="0" w:space="0" w:color="auto"/>
        <w:right w:val="none" w:sz="0" w:space="0" w:color="auto"/>
      </w:divBdr>
      <w:divsChild>
        <w:div w:id="1593466034">
          <w:marLeft w:val="0"/>
          <w:marRight w:val="0"/>
          <w:marTop w:val="0"/>
          <w:marBottom w:val="0"/>
          <w:divBdr>
            <w:top w:val="none" w:sz="0" w:space="0" w:color="auto"/>
            <w:left w:val="none" w:sz="0" w:space="0" w:color="auto"/>
            <w:bottom w:val="none" w:sz="0" w:space="0" w:color="auto"/>
            <w:right w:val="none" w:sz="0" w:space="0" w:color="auto"/>
          </w:divBdr>
        </w:div>
      </w:divsChild>
    </w:div>
    <w:div w:id="1065756435">
      <w:bodyDiv w:val="1"/>
      <w:marLeft w:val="0"/>
      <w:marRight w:val="0"/>
      <w:marTop w:val="0"/>
      <w:marBottom w:val="0"/>
      <w:divBdr>
        <w:top w:val="none" w:sz="0" w:space="0" w:color="auto"/>
        <w:left w:val="none" w:sz="0" w:space="0" w:color="auto"/>
        <w:bottom w:val="none" w:sz="0" w:space="0" w:color="auto"/>
        <w:right w:val="none" w:sz="0" w:space="0" w:color="auto"/>
      </w:divBdr>
    </w:div>
    <w:div w:id="1074934493">
      <w:bodyDiv w:val="1"/>
      <w:marLeft w:val="0"/>
      <w:marRight w:val="0"/>
      <w:marTop w:val="0"/>
      <w:marBottom w:val="0"/>
      <w:divBdr>
        <w:top w:val="none" w:sz="0" w:space="0" w:color="auto"/>
        <w:left w:val="none" w:sz="0" w:space="0" w:color="auto"/>
        <w:bottom w:val="none" w:sz="0" w:space="0" w:color="auto"/>
        <w:right w:val="none" w:sz="0" w:space="0" w:color="auto"/>
      </w:divBdr>
      <w:divsChild>
        <w:div w:id="1916239075">
          <w:marLeft w:val="0"/>
          <w:marRight w:val="0"/>
          <w:marTop w:val="0"/>
          <w:marBottom w:val="0"/>
          <w:divBdr>
            <w:top w:val="none" w:sz="0" w:space="0" w:color="auto"/>
            <w:left w:val="none" w:sz="0" w:space="0" w:color="auto"/>
            <w:bottom w:val="none" w:sz="0" w:space="0" w:color="auto"/>
            <w:right w:val="none" w:sz="0" w:space="0" w:color="auto"/>
          </w:divBdr>
          <w:divsChild>
            <w:div w:id="485584476">
              <w:marLeft w:val="0"/>
              <w:marRight w:val="0"/>
              <w:marTop w:val="0"/>
              <w:marBottom w:val="0"/>
              <w:divBdr>
                <w:top w:val="none" w:sz="0" w:space="0" w:color="auto"/>
                <w:left w:val="none" w:sz="0" w:space="0" w:color="auto"/>
                <w:bottom w:val="none" w:sz="0" w:space="0" w:color="auto"/>
                <w:right w:val="none" w:sz="0" w:space="0" w:color="auto"/>
              </w:divBdr>
              <w:divsChild>
                <w:div w:id="16617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2045">
      <w:bodyDiv w:val="1"/>
      <w:marLeft w:val="0"/>
      <w:marRight w:val="0"/>
      <w:marTop w:val="0"/>
      <w:marBottom w:val="0"/>
      <w:divBdr>
        <w:top w:val="none" w:sz="0" w:space="0" w:color="auto"/>
        <w:left w:val="none" w:sz="0" w:space="0" w:color="auto"/>
        <w:bottom w:val="none" w:sz="0" w:space="0" w:color="auto"/>
        <w:right w:val="none" w:sz="0" w:space="0" w:color="auto"/>
      </w:divBdr>
    </w:div>
    <w:div w:id="1104495200">
      <w:bodyDiv w:val="1"/>
      <w:marLeft w:val="0"/>
      <w:marRight w:val="0"/>
      <w:marTop w:val="0"/>
      <w:marBottom w:val="0"/>
      <w:divBdr>
        <w:top w:val="none" w:sz="0" w:space="0" w:color="auto"/>
        <w:left w:val="none" w:sz="0" w:space="0" w:color="auto"/>
        <w:bottom w:val="none" w:sz="0" w:space="0" w:color="auto"/>
        <w:right w:val="none" w:sz="0" w:space="0" w:color="auto"/>
      </w:divBdr>
    </w:div>
    <w:div w:id="1135179992">
      <w:bodyDiv w:val="1"/>
      <w:marLeft w:val="0"/>
      <w:marRight w:val="0"/>
      <w:marTop w:val="0"/>
      <w:marBottom w:val="0"/>
      <w:divBdr>
        <w:top w:val="none" w:sz="0" w:space="0" w:color="auto"/>
        <w:left w:val="none" w:sz="0" w:space="0" w:color="auto"/>
        <w:bottom w:val="none" w:sz="0" w:space="0" w:color="auto"/>
        <w:right w:val="none" w:sz="0" w:space="0" w:color="auto"/>
      </w:divBdr>
    </w:div>
    <w:div w:id="1150174265">
      <w:bodyDiv w:val="1"/>
      <w:marLeft w:val="0"/>
      <w:marRight w:val="0"/>
      <w:marTop w:val="0"/>
      <w:marBottom w:val="0"/>
      <w:divBdr>
        <w:top w:val="none" w:sz="0" w:space="0" w:color="auto"/>
        <w:left w:val="none" w:sz="0" w:space="0" w:color="auto"/>
        <w:bottom w:val="none" w:sz="0" w:space="0" w:color="auto"/>
        <w:right w:val="none" w:sz="0" w:space="0" w:color="auto"/>
      </w:divBdr>
    </w:div>
    <w:div w:id="1169297104">
      <w:bodyDiv w:val="1"/>
      <w:marLeft w:val="0"/>
      <w:marRight w:val="0"/>
      <w:marTop w:val="0"/>
      <w:marBottom w:val="0"/>
      <w:divBdr>
        <w:top w:val="none" w:sz="0" w:space="0" w:color="auto"/>
        <w:left w:val="none" w:sz="0" w:space="0" w:color="auto"/>
        <w:bottom w:val="none" w:sz="0" w:space="0" w:color="auto"/>
        <w:right w:val="none" w:sz="0" w:space="0" w:color="auto"/>
      </w:divBdr>
      <w:divsChild>
        <w:div w:id="929966418">
          <w:marLeft w:val="0"/>
          <w:marRight w:val="0"/>
          <w:marTop w:val="0"/>
          <w:marBottom w:val="0"/>
          <w:divBdr>
            <w:top w:val="none" w:sz="0" w:space="0" w:color="auto"/>
            <w:left w:val="none" w:sz="0" w:space="0" w:color="auto"/>
            <w:bottom w:val="none" w:sz="0" w:space="0" w:color="auto"/>
            <w:right w:val="none" w:sz="0" w:space="0" w:color="auto"/>
          </w:divBdr>
          <w:divsChild>
            <w:div w:id="477848648">
              <w:marLeft w:val="0"/>
              <w:marRight w:val="0"/>
              <w:marTop w:val="0"/>
              <w:marBottom w:val="0"/>
              <w:divBdr>
                <w:top w:val="none" w:sz="0" w:space="0" w:color="auto"/>
                <w:left w:val="none" w:sz="0" w:space="0" w:color="auto"/>
                <w:bottom w:val="none" w:sz="0" w:space="0" w:color="auto"/>
                <w:right w:val="none" w:sz="0" w:space="0" w:color="auto"/>
              </w:divBdr>
              <w:divsChild>
                <w:div w:id="11170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02100">
      <w:bodyDiv w:val="1"/>
      <w:marLeft w:val="0"/>
      <w:marRight w:val="0"/>
      <w:marTop w:val="0"/>
      <w:marBottom w:val="0"/>
      <w:divBdr>
        <w:top w:val="none" w:sz="0" w:space="0" w:color="auto"/>
        <w:left w:val="none" w:sz="0" w:space="0" w:color="auto"/>
        <w:bottom w:val="none" w:sz="0" w:space="0" w:color="auto"/>
        <w:right w:val="none" w:sz="0" w:space="0" w:color="auto"/>
      </w:divBdr>
    </w:div>
    <w:div w:id="1172912102">
      <w:bodyDiv w:val="1"/>
      <w:marLeft w:val="0"/>
      <w:marRight w:val="0"/>
      <w:marTop w:val="0"/>
      <w:marBottom w:val="0"/>
      <w:divBdr>
        <w:top w:val="none" w:sz="0" w:space="0" w:color="auto"/>
        <w:left w:val="none" w:sz="0" w:space="0" w:color="auto"/>
        <w:bottom w:val="none" w:sz="0" w:space="0" w:color="auto"/>
        <w:right w:val="none" w:sz="0" w:space="0" w:color="auto"/>
      </w:divBdr>
    </w:div>
    <w:div w:id="1197700471">
      <w:bodyDiv w:val="1"/>
      <w:marLeft w:val="0"/>
      <w:marRight w:val="0"/>
      <w:marTop w:val="0"/>
      <w:marBottom w:val="0"/>
      <w:divBdr>
        <w:top w:val="none" w:sz="0" w:space="0" w:color="auto"/>
        <w:left w:val="none" w:sz="0" w:space="0" w:color="auto"/>
        <w:bottom w:val="none" w:sz="0" w:space="0" w:color="auto"/>
        <w:right w:val="none" w:sz="0" w:space="0" w:color="auto"/>
      </w:divBdr>
    </w:div>
    <w:div w:id="1217623671">
      <w:bodyDiv w:val="1"/>
      <w:marLeft w:val="0"/>
      <w:marRight w:val="0"/>
      <w:marTop w:val="0"/>
      <w:marBottom w:val="0"/>
      <w:divBdr>
        <w:top w:val="none" w:sz="0" w:space="0" w:color="auto"/>
        <w:left w:val="none" w:sz="0" w:space="0" w:color="auto"/>
        <w:bottom w:val="none" w:sz="0" w:space="0" w:color="auto"/>
        <w:right w:val="none" w:sz="0" w:space="0" w:color="auto"/>
      </w:divBdr>
    </w:div>
    <w:div w:id="1252080136">
      <w:bodyDiv w:val="1"/>
      <w:marLeft w:val="0"/>
      <w:marRight w:val="0"/>
      <w:marTop w:val="0"/>
      <w:marBottom w:val="0"/>
      <w:divBdr>
        <w:top w:val="none" w:sz="0" w:space="0" w:color="auto"/>
        <w:left w:val="none" w:sz="0" w:space="0" w:color="auto"/>
        <w:bottom w:val="none" w:sz="0" w:space="0" w:color="auto"/>
        <w:right w:val="none" w:sz="0" w:space="0" w:color="auto"/>
      </w:divBdr>
    </w:div>
    <w:div w:id="1255087140">
      <w:bodyDiv w:val="1"/>
      <w:marLeft w:val="0"/>
      <w:marRight w:val="0"/>
      <w:marTop w:val="0"/>
      <w:marBottom w:val="0"/>
      <w:divBdr>
        <w:top w:val="none" w:sz="0" w:space="0" w:color="auto"/>
        <w:left w:val="none" w:sz="0" w:space="0" w:color="auto"/>
        <w:bottom w:val="none" w:sz="0" w:space="0" w:color="auto"/>
        <w:right w:val="none" w:sz="0" w:space="0" w:color="auto"/>
      </w:divBdr>
    </w:div>
    <w:div w:id="1278172304">
      <w:bodyDiv w:val="1"/>
      <w:marLeft w:val="0"/>
      <w:marRight w:val="0"/>
      <w:marTop w:val="0"/>
      <w:marBottom w:val="0"/>
      <w:divBdr>
        <w:top w:val="none" w:sz="0" w:space="0" w:color="auto"/>
        <w:left w:val="none" w:sz="0" w:space="0" w:color="auto"/>
        <w:bottom w:val="none" w:sz="0" w:space="0" w:color="auto"/>
        <w:right w:val="none" w:sz="0" w:space="0" w:color="auto"/>
      </w:divBdr>
    </w:div>
    <w:div w:id="1282954539">
      <w:bodyDiv w:val="1"/>
      <w:marLeft w:val="0"/>
      <w:marRight w:val="0"/>
      <w:marTop w:val="0"/>
      <w:marBottom w:val="0"/>
      <w:divBdr>
        <w:top w:val="none" w:sz="0" w:space="0" w:color="auto"/>
        <w:left w:val="none" w:sz="0" w:space="0" w:color="auto"/>
        <w:bottom w:val="none" w:sz="0" w:space="0" w:color="auto"/>
        <w:right w:val="none" w:sz="0" w:space="0" w:color="auto"/>
      </w:divBdr>
    </w:div>
    <w:div w:id="1284074161">
      <w:bodyDiv w:val="1"/>
      <w:marLeft w:val="0"/>
      <w:marRight w:val="0"/>
      <w:marTop w:val="0"/>
      <w:marBottom w:val="0"/>
      <w:divBdr>
        <w:top w:val="none" w:sz="0" w:space="0" w:color="auto"/>
        <w:left w:val="none" w:sz="0" w:space="0" w:color="auto"/>
        <w:bottom w:val="none" w:sz="0" w:space="0" w:color="auto"/>
        <w:right w:val="none" w:sz="0" w:space="0" w:color="auto"/>
      </w:divBdr>
    </w:div>
    <w:div w:id="1287808495">
      <w:bodyDiv w:val="1"/>
      <w:marLeft w:val="0"/>
      <w:marRight w:val="0"/>
      <w:marTop w:val="0"/>
      <w:marBottom w:val="0"/>
      <w:divBdr>
        <w:top w:val="none" w:sz="0" w:space="0" w:color="auto"/>
        <w:left w:val="none" w:sz="0" w:space="0" w:color="auto"/>
        <w:bottom w:val="none" w:sz="0" w:space="0" w:color="auto"/>
        <w:right w:val="none" w:sz="0" w:space="0" w:color="auto"/>
      </w:divBdr>
    </w:div>
    <w:div w:id="1290744797">
      <w:bodyDiv w:val="1"/>
      <w:marLeft w:val="0"/>
      <w:marRight w:val="0"/>
      <w:marTop w:val="0"/>
      <w:marBottom w:val="0"/>
      <w:divBdr>
        <w:top w:val="none" w:sz="0" w:space="0" w:color="auto"/>
        <w:left w:val="none" w:sz="0" w:space="0" w:color="auto"/>
        <w:bottom w:val="none" w:sz="0" w:space="0" w:color="auto"/>
        <w:right w:val="none" w:sz="0" w:space="0" w:color="auto"/>
      </w:divBdr>
    </w:div>
    <w:div w:id="1298490824">
      <w:bodyDiv w:val="1"/>
      <w:marLeft w:val="0"/>
      <w:marRight w:val="0"/>
      <w:marTop w:val="0"/>
      <w:marBottom w:val="0"/>
      <w:divBdr>
        <w:top w:val="none" w:sz="0" w:space="0" w:color="auto"/>
        <w:left w:val="none" w:sz="0" w:space="0" w:color="auto"/>
        <w:bottom w:val="none" w:sz="0" w:space="0" w:color="auto"/>
        <w:right w:val="none" w:sz="0" w:space="0" w:color="auto"/>
      </w:divBdr>
    </w:div>
    <w:div w:id="1303191416">
      <w:bodyDiv w:val="1"/>
      <w:marLeft w:val="0"/>
      <w:marRight w:val="0"/>
      <w:marTop w:val="0"/>
      <w:marBottom w:val="0"/>
      <w:divBdr>
        <w:top w:val="none" w:sz="0" w:space="0" w:color="auto"/>
        <w:left w:val="none" w:sz="0" w:space="0" w:color="auto"/>
        <w:bottom w:val="none" w:sz="0" w:space="0" w:color="auto"/>
        <w:right w:val="none" w:sz="0" w:space="0" w:color="auto"/>
      </w:divBdr>
      <w:divsChild>
        <w:div w:id="1287545821">
          <w:marLeft w:val="0"/>
          <w:marRight w:val="0"/>
          <w:marTop w:val="0"/>
          <w:marBottom w:val="0"/>
          <w:divBdr>
            <w:top w:val="none" w:sz="0" w:space="0" w:color="auto"/>
            <w:left w:val="none" w:sz="0" w:space="0" w:color="auto"/>
            <w:bottom w:val="none" w:sz="0" w:space="0" w:color="auto"/>
            <w:right w:val="none" w:sz="0" w:space="0" w:color="auto"/>
          </w:divBdr>
          <w:divsChild>
            <w:div w:id="669679267">
              <w:marLeft w:val="0"/>
              <w:marRight w:val="0"/>
              <w:marTop w:val="0"/>
              <w:marBottom w:val="0"/>
              <w:divBdr>
                <w:top w:val="none" w:sz="0" w:space="0" w:color="auto"/>
                <w:left w:val="none" w:sz="0" w:space="0" w:color="auto"/>
                <w:bottom w:val="none" w:sz="0" w:space="0" w:color="auto"/>
                <w:right w:val="none" w:sz="0" w:space="0" w:color="auto"/>
              </w:divBdr>
            </w:div>
            <w:div w:id="15522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7030">
      <w:bodyDiv w:val="1"/>
      <w:marLeft w:val="0"/>
      <w:marRight w:val="0"/>
      <w:marTop w:val="0"/>
      <w:marBottom w:val="0"/>
      <w:divBdr>
        <w:top w:val="none" w:sz="0" w:space="0" w:color="auto"/>
        <w:left w:val="none" w:sz="0" w:space="0" w:color="auto"/>
        <w:bottom w:val="none" w:sz="0" w:space="0" w:color="auto"/>
        <w:right w:val="none" w:sz="0" w:space="0" w:color="auto"/>
      </w:divBdr>
    </w:div>
    <w:div w:id="1318338374">
      <w:bodyDiv w:val="1"/>
      <w:marLeft w:val="0"/>
      <w:marRight w:val="0"/>
      <w:marTop w:val="0"/>
      <w:marBottom w:val="0"/>
      <w:divBdr>
        <w:top w:val="none" w:sz="0" w:space="0" w:color="auto"/>
        <w:left w:val="none" w:sz="0" w:space="0" w:color="auto"/>
        <w:bottom w:val="none" w:sz="0" w:space="0" w:color="auto"/>
        <w:right w:val="none" w:sz="0" w:space="0" w:color="auto"/>
      </w:divBdr>
    </w:div>
    <w:div w:id="1336880476">
      <w:bodyDiv w:val="1"/>
      <w:marLeft w:val="0"/>
      <w:marRight w:val="0"/>
      <w:marTop w:val="0"/>
      <w:marBottom w:val="0"/>
      <w:divBdr>
        <w:top w:val="none" w:sz="0" w:space="0" w:color="auto"/>
        <w:left w:val="none" w:sz="0" w:space="0" w:color="auto"/>
        <w:bottom w:val="none" w:sz="0" w:space="0" w:color="auto"/>
        <w:right w:val="none" w:sz="0" w:space="0" w:color="auto"/>
      </w:divBdr>
    </w:div>
    <w:div w:id="1341352103">
      <w:bodyDiv w:val="1"/>
      <w:marLeft w:val="0"/>
      <w:marRight w:val="0"/>
      <w:marTop w:val="0"/>
      <w:marBottom w:val="0"/>
      <w:divBdr>
        <w:top w:val="none" w:sz="0" w:space="0" w:color="auto"/>
        <w:left w:val="none" w:sz="0" w:space="0" w:color="auto"/>
        <w:bottom w:val="none" w:sz="0" w:space="0" w:color="auto"/>
        <w:right w:val="none" w:sz="0" w:space="0" w:color="auto"/>
      </w:divBdr>
    </w:div>
    <w:div w:id="1348172573">
      <w:bodyDiv w:val="1"/>
      <w:marLeft w:val="0"/>
      <w:marRight w:val="0"/>
      <w:marTop w:val="0"/>
      <w:marBottom w:val="0"/>
      <w:divBdr>
        <w:top w:val="none" w:sz="0" w:space="0" w:color="auto"/>
        <w:left w:val="none" w:sz="0" w:space="0" w:color="auto"/>
        <w:bottom w:val="none" w:sz="0" w:space="0" w:color="auto"/>
        <w:right w:val="none" w:sz="0" w:space="0" w:color="auto"/>
      </w:divBdr>
    </w:div>
    <w:div w:id="1352102807">
      <w:bodyDiv w:val="1"/>
      <w:marLeft w:val="0"/>
      <w:marRight w:val="0"/>
      <w:marTop w:val="0"/>
      <w:marBottom w:val="0"/>
      <w:divBdr>
        <w:top w:val="none" w:sz="0" w:space="0" w:color="auto"/>
        <w:left w:val="none" w:sz="0" w:space="0" w:color="auto"/>
        <w:bottom w:val="none" w:sz="0" w:space="0" w:color="auto"/>
        <w:right w:val="none" w:sz="0" w:space="0" w:color="auto"/>
      </w:divBdr>
    </w:div>
    <w:div w:id="1357346258">
      <w:bodyDiv w:val="1"/>
      <w:marLeft w:val="0"/>
      <w:marRight w:val="0"/>
      <w:marTop w:val="0"/>
      <w:marBottom w:val="0"/>
      <w:divBdr>
        <w:top w:val="none" w:sz="0" w:space="0" w:color="auto"/>
        <w:left w:val="none" w:sz="0" w:space="0" w:color="auto"/>
        <w:bottom w:val="none" w:sz="0" w:space="0" w:color="auto"/>
        <w:right w:val="none" w:sz="0" w:space="0" w:color="auto"/>
      </w:divBdr>
    </w:div>
    <w:div w:id="1359504855">
      <w:bodyDiv w:val="1"/>
      <w:marLeft w:val="0"/>
      <w:marRight w:val="0"/>
      <w:marTop w:val="0"/>
      <w:marBottom w:val="0"/>
      <w:divBdr>
        <w:top w:val="none" w:sz="0" w:space="0" w:color="auto"/>
        <w:left w:val="none" w:sz="0" w:space="0" w:color="auto"/>
        <w:bottom w:val="none" w:sz="0" w:space="0" w:color="auto"/>
        <w:right w:val="none" w:sz="0" w:space="0" w:color="auto"/>
      </w:divBdr>
    </w:div>
    <w:div w:id="1377435975">
      <w:bodyDiv w:val="1"/>
      <w:marLeft w:val="0"/>
      <w:marRight w:val="0"/>
      <w:marTop w:val="0"/>
      <w:marBottom w:val="0"/>
      <w:divBdr>
        <w:top w:val="none" w:sz="0" w:space="0" w:color="auto"/>
        <w:left w:val="none" w:sz="0" w:space="0" w:color="auto"/>
        <w:bottom w:val="none" w:sz="0" w:space="0" w:color="auto"/>
        <w:right w:val="none" w:sz="0" w:space="0" w:color="auto"/>
      </w:divBdr>
    </w:div>
    <w:div w:id="1381711996">
      <w:bodyDiv w:val="1"/>
      <w:marLeft w:val="0"/>
      <w:marRight w:val="0"/>
      <w:marTop w:val="0"/>
      <w:marBottom w:val="0"/>
      <w:divBdr>
        <w:top w:val="none" w:sz="0" w:space="0" w:color="auto"/>
        <w:left w:val="none" w:sz="0" w:space="0" w:color="auto"/>
        <w:bottom w:val="none" w:sz="0" w:space="0" w:color="auto"/>
        <w:right w:val="none" w:sz="0" w:space="0" w:color="auto"/>
      </w:divBdr>
    </w:div>
    <w:div w:id="1392583059">
      <w:bodyDiv w:val="1"/>
      <w:marLeft w:val="0"/>
      <w:marRight w:val="0"/>
      <w:marTop w:val="0"/>
      <w:marBottom w:val="0"/>
      <w:divBdr>
        <w:top w:val="none" w:sz="0" w:space="0" w:color="auto"/>
        <w:left w:val="none" w:sz="0" w:space="0" w:color="auto"/>
        <w:bottom w:val="none" w:sz="0" w:space="0" w:color="auto"/>
        <w:right w:val="none" w:sz="0" w:space="0" w:color="auto"/>
      </w:divBdr>
      <w:divsChild>
        <w:div w:id="135342158">
          <w:marLeft w:val="0"/>
          <w:marRight w:val="0"/>
          <w:marTop w:val="0"/>
          <w:marBottom w:val="0"/>
          <w:divBdr>
            <w:top w:val="none" w:sz="0" w:space="0" w:color="auto"/>
            <w:left w:val="none" w:sz="0" w:space="0" w:color="auto"/>
            <w:bottom w:val="none" w:sz="0" w:space="0" w:color="auto"/>
            <w:right w:val="none" w:sz="0" w:space="0" w:color="auto"/>
          </w:divBdr>
        </w:div>
        <w:div w:id="299575668">
          <w:marLeft w:val="0"/>
          <w:marRight w:val="0"/>
          <w:marTop w:val="0"/>
          <w:marBottom w:val="0"/>
          <w:divBdr>
            <w:top w:val="none" w:sz="0" w:space="0" w:color="auto"/>
            <w:left w:val="none" w:sz="0" w:space="0" w:color="auto"/>
            <w:bottom w:val="none" w:sz="0" w:space="0" w:color="auto"/>
            <w:right w:val="none" w:sz="0" w:space="0" w:color="auto"/>
          </w:divBdr>
        </w:div>
        <w:div w:id="388765461">
          <w:blockQuote w:val="1"/>
          <w:marLeft w:val="600"/>
          <w:marRight w:val="0"/>
          <w:marTop w:val="0"/>
          <w:marBottom w:val="0"/>
          <w:divBdr>
            <w:top w:val="none" w:sz="0" w:space="0" w:color="auto"/>
            <w:left w:val="none" w:sz="0" w:space="0" w:color="auto"/>
            <w:bottom w:val="none" w:sz="0" w:space="0" w:color="auto"/>
            <w:right w:val="none" w:sz="0" w:space="0" w:color="auto"/>
          </w:divBdr>
          <w:divsChild>
            <w:div w:id="1466659308">
              <w:blockQuote w:val="1"/>
              <w:marLeft w:val="600"/>
              <w:marRight w:val="0"/>
              <w:marTop w:val="0"/>
              <w:marBottom w:val="0"/>
              <w:divBdr>
                <w:top w:val="none" w:sz="0" w:space="0" w:color="auto"/>
                <w:left w:val="none" w:sz="0" w:space="0" w:color="auto"/>
                <w:bottom w:val="none" w:sz="0" w:space="0" w:color="auto"/>
                <w:right w:val="none" w:sz="0" w:space="0" w:color="auto"/>
              </w:divBdr>
              <w:divsChild>
                <w:div w:id="8944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40606">
          <w:marLeft w:val="0"/>
          <w:marRight w:val="0"/>
          <w:marTop w:val="0"/>
          <w:marBottom w:val="0"/>
          <w:divBdr>
            <w:top w:val="none" w:sz="0" w:space="0" w:color="auto"/>
            <w:left w:val="none" w:sz="0" w:space="0" w:color="auto"/>
            <w:bottom w:val="none" w:sz="0" w:space="0" w:color="auto"/>
            <w:right w:val="none" w:sz="0" w:space="0" w:color="auto"/>
          </w:divBdr>
        </w:div>
        <w:div w:id="631448889">
          <w:marLeft w:val="0"/>
          <w:marRight w:val="0"/>
          <w:marTop w:val="0"/>
          <w:marBottom w:val="0"/>
          <w:divBdr>
            <w:top w:val="none" w:sz="0" w:space="0" w:color="auto"/>
            <w:left w:val="none" w:sz="0" w:space="0" w:color="auto"/>
            <w:bottom w:val="none" w:sz="0" w:space="0" w:color="auto"/>
            <w:right w:val="none" w:sz="0" w:space="0" w:color="auto"/>
          </w:divBdr>
        </w:div>
        <w:div w:id="867913962">
          <w:marLeft w:val="0"/>
          <w:marRight w:val="0"/>
          <w:marTop w:val="0"/>
          <w:marBottom w:val="0"/>
          <w:divBdr>
            <w:top w:val="none" w:sz="0" w:space="0" w:color="auto"/>
            <w:left w:val="none" w:sz="0" w:space="0" w:color="auto"/>
            <w:bottom w:val="none" w:sz="0" w:space="0" w:color="auto"/>
            <w:right w:val="none" w:sz="0" w:space="0" w:color="auto"/>
          </w:divBdr>
        </w:div>
        <w:div w:id="1012877583">
          <w:marLeft w:val="0"/>
          <w:marRight w:val="0"/>
          <w:marTop w:val="0"/>
          <w:marBottom w:val="0"/>
          <w:divBdr>
            <w:top w:val="none" w:sz="0" w:space="0" w:color="auto"/>
            <w:left w:val="none" w:sz="0" w:space="0" w:color="auto"/>
            <w:bottom w:val="none" w:sz="0" w:space="0" w:color="auto"/>
            <w:right w:val="none" w:sz="0" w:space="0" w:color="auto"/>
          </w:divBdr>
          <w:divsChild>
            <w:div w:id="95178062">
              <w:marLeft w:val="0"/>
              <w:marRight w:val="0"/>
              <w:marTop w:val="0"/>
              <w:marBottom w:val="0"/>
              <w:divBdr>
                <w:top w:val="none" w:sz="0" w:space="0" w:color="auto"/>
                <w:left w:val="none" w:sz="0" w:space="0" w:color="auto"/>
                <w:bottom w:val="none" w:sz="0" w:space="0" w:color="auto"/>
                <w:right w:val="none" w:sz="0" w:space="0" w:color="auto"/>
              </w:divBdr>
            </w:div>
          </w:divsChild>
        </w:div>
        <w:div w:id="1015375896">
          <w:marLeft w:val="0"/>
          <w:marRight w:val="0"/>
          <w:marTop w:val="0"/>
          <w:marBottom w:val="0"/>
          <w:divBdr>
            <w:top w:val="none" w:sz="0" w:space="0" w:color="auto"/>
            <w:left w:val="none" w:sz="0" w:space="0" w:color="auto"/>
            <w:bottom w:val="none" w:sz="0" w:space="0" w:color="auto"/>
            <w:right w:val="none" w:sz="0" w:space="0" w:color="auto"/>
          </w:divBdr>
        </w:div>
        <w:div w:id="1595702896">
          <w:marLeft w:val="0"/>
          <w:marRight w:val="0"/>
          <w:marTop w:val="0"/>
          <w:marBottom w:val="0"/>
          <w:divBdr>
            <w:top w:val="none" w:sz="0" w:space="0" w:color="auto"/>
            <w:left w:val="none" w:sz="0" w:space="0" w:color="auto"/>
            <w:bottom w:val="none" w:sz="0" w:space="0" w:color="auto"/>
            <w:right w:val="none" w:sz="0" w:space="0" w:color="auto"/>
          </w:divBdr>
        </w:div>
        <w:div w:id="1637224702">
          <w:marLeft w:val="0"/>
          <w:marRight w:val="0"/>
          <w:marTop w:val="0"/>
          <w:marBottom w:val="0"/>
          <w:divBdr>
            <w:top w:val="none" w:sz="0" w:space="0" w:color="auto"/>
            <w:left w:val="none" w:sz="0" w:space="0" w:color="auto"/>
            <w:bottom w:val="none" w:sz="0" w:space="0" w:color="auto"/>
            <w:right w:val="none" w:sz="0" w:space="0" w:color="auto"/>
          </w:divBdr>
        </w:div>
        <w:div w:id="1800806113">
          <w:blockQuote w:val="1"/>
          <w:marLeft w:val="600"/>
          <w:marRight w:val="0"/>
          <w:marTop w:val="0"/>
          <w:marBottom w:val="0"/>
          <w:divBdr>
            <w:top w:val="none" w:sz="0" w:space="0" w:color="auto"/>
            <w:left w:val="none" w:sz="0" w:space="0" w:color="auto"/>
            <w:bottom w:val="none" w:sz="0" w:space="0" w:color="auto"/>
            <w:right w:val="none" w:sz="0" w:space="0" w:color="auto"/>
          </w:divBdr>
          <w:divsChild>
            <w:div w:id="283997368">
              <w:marLeft w:val="0"/>
              <w:marRight w:val="0"/>
              <w:marTop w:val="0"/>
              <w:marBottom w:val="0"/>
              <w:divBdr>
                <w:top w:val="none" w:sz="0" w:space="0" w:color="auto"/>
                <w:left w:val="none" w:sz="0" w:space="0" w:color="auto"/>
                <w:bottom w:val="none" w:sz="0" w:space="0" w:color="auto"/>
                <w:right w:val="none" w:sz="0" w:space="0" w:color="auto"/>
              </w:divBdr>
              <w:divsChild>
                <w:div w:id="489909169">
                  <w:marLeft w:val="0"/>
                  <w:marRight w:val="0"/>
                  <w:marTop w:val="0"/>
                  <w:marBottom w:val="0"/>
                  <w:divBdr>
                    <w:top w:val="none" w:sz="0" w:space="0" w:color="auto"/>
                    <w:left w:val="none" w:sz="0" w:space="0" w:color="auto"/>
                    <w:bottom w:val="none" w:sz="0" w:space="0" w:color="auto"/>
                    <w:right w:val="none" w:sz="0" w:space="0" w:color="auto"/>
                  </w:divBdr>
                </w:div>
              </w:divsChild>
            </w:div>
            <w:div w:id="293870811">
              <w:marLeft w:val="0"/>
              <w:marRight w:val="0"/>
              <w:marTop w:val="0"/>
              <w:marBottom w:val="0"/>
              <w:divBdr>
                <w:top w:val="none" w:sz="0" w:space="0" w:color="auto"/>
                <w:left w:val="none" w:sz="0" w:space="0" w:color="auto"/>
                <w:bottom w:val="none" w:sz="0" w:space="0" w:color="auto"/>
                <w:right w:val="none" w:sz="0" w:space="0" w:color="auto"/>
              </w:divBdr>
              <w:divsChild>
                <w:div w:id="1913923243">
                  <w:marLeft w:val="0"/>
                  <w:marRight w:val="0"/>
                  <w:marTop w:val="0"/>
                  <w:marBottom w:val="0"/>
                  <w:divBdr>
                    <w:top w:val="none" w:sz="0" w:space="0" w:color="auto"/>
                    <w:left w:val="none" w:sz="0" w:space="0" w:color="auto"/>
                    <w:bottom w:val="none" w:sz="0" w:space="0" w:color="auto"/>
                    <w:right w:val="none" w:sz="0" w:space="0" w:color="auto"/>
                  </w:divBdr>
                </w:div>
              </w:divsChild>
            </w:div>
            <w:div w:id="659620232">
              <w:marLeft w:val="0"/>
              <w:marRight w:val="0"/>
              <w:marTop w:val="0"/>
              <w:marBottom w:val="0"/>
              <w:divBdr>
                <w:top w:val="none" w:sz="0" w:space="0" w:color="auto"/>
                <w:left w:val="none" w:sz="0" w:space="0" w:color="auto"/>
                <w:bottom w:val="none" w:sz="0" w:space="0" w:color="auto"/>
                <w:right w:val="none" w:sz="0" w:space="0" w:color="auto"/>
              </w:divBdr>
              <w:divsChild>
                <w:div w:id="2115401260">
                  <w:marLeft w:val="0"/>
                  <w:marRight w:val="0"/>
                  <w:marTop w:val="0"/>
                  <w:marBottom w:val="0"/>
                  <w:divBdr>
                    <w:top w:val="none" w:sz="0" w:space="0" w:color="auto"/>
                    <w:left w:val="none" w:sz="0" w:space="0" w:color="auto"/>
                    <w:bottom w:val="none" w:sz="0" w:space="0" w:color="auto"/>
                    <w:right w:val="none" w:sz="0" w:space="0" w:color="auto"/>
                  </w:divBdr>
                </w:div>
              </w:divsChild>
            </w:div>
            <w:div w:id="1059937072">
              <w:marLeft w:val="0"/>
              <w:marRight w:val="0"/>
              <w:marTop w:val="0"/>
              <w:marBottom w:val="0"/>
              <w:divBdr>
                <w:top w:val="none" w:sz="0" w:space="0" w:color="auto"/>
                <w:left w:val="none" w:sz="0" w:space="0" w:color="auto"/>
                <w:bottom w:val="none" w:sz="0" w:space="0" w:color="auto"/>
                <w:right w:val="none" w:sz="0" w:space="0" w:color="auto"/>
              </w:divBdr>
              <w:divsChild>
                <w:div w:id="47996853">
                  <w:marLeft w:val="0"/>
                  <w:marRight w:val="0"/>
                  <w:marTop w:val="0"/>
                  <w:marBottom w:val="0"/>
                  <w:divBdr>
                    <w:top w:val="none" w:sz="0" w:space="0" w:color="auto"/>
                    <w:left w:val="none" w:sz="0" w:space="0" w:color="auto"/>
                    <w:bottom w:val="none" w:sz="0" w:space="0" w:color="auto"/>
                    <w:right w:val="none" w:sz="0" w:space="0" w:color="auto"/>
                  </w:divBdr>
                </w:div>
              </w:divsChild>
            </w:div>
            <w:div w:id="1168595334">
              <w:marLeft w:val="0"/>
              <w:marRight w:val="0"/>
              <w:marTop w:val="0"/>
              <w:marBottom w:val="0"/>
              <w:divBdr>
                <w:top w:val="none" w:sz="0" w:space="0" w:color="auto"/>
                <w:left w:val="none" w:sz="0" w:space="0" w:color="auto"/>
                <w:bottom w:val="none" w:sz="0" w:space="0" w:color="auto"/>
                <w:right w:val="none" w:sz="0" w:space="0" w:color="auto"/>
              </w:divBdr>
              <w:divsChild>
                <w:div w:id="399526645">
                  <w:marLeft w:val="0"/>
                  <w:marRight w:val="0"/>
                  <w:marTop w:val="0"/>
                  <w:marBottom w:val="0"/>
                  <w:divBdr>
                    <w:top w:val="none" w:sz="0" w:space="0" w:color="auto"/>
                    <w:left w:val="none" w:sz="0" w:space="0" w:color="auto"/>
                    <w:bottom w:val="none" w:sz="0" w:space="0" w:color="auto"/>
                    <w:right w:val="none" w:sz="0" w:space="0" w:color="auto"/>
                  </w:divBdr>
                </w:div>
              </w:divsChild>
            </w:div>
            <w:div w:id="1185291643">
              <w:marLeft w:val="0"/>
              <w:marRight w:val="0"/>
              <w:marTop w:val="0"/>
              <w:marBottom w:val="0"/>
              <w:divBdr>
                <w:top w:val="none" w:sz="0" w:space="0" w:color="auto"/>
                <w:left w:val="none" w:sz="0" w:space="0" w:color="auto"/>
                <w:bottom w:val="none" w:sz="0" w:space="0" w:color="auto"/>
                <w:right w:val="none" w:sz="0" w:space="0" w:color="auto"/>
              </w:divBdr>
              <w:divsChild>
                <w:div w:id="836313365">
                  <w:marLeft w:val="0"/>
                  <w:marRight w:val="0"/>
                  <w:marTop w:val="0"/>
                  <w:marBottom w:val="0"/>
                  <w:divBdr>
                    <w:top w:val="none" w:sz="0" w:space="0" w:color="auto"/>
                    <w:left w:val="none" w:sz="0" w:space="0" w:color="auto"/>
                    <w:bottom w:val="none" w:sz="0" w:space="0" w:color="auto"/>
                    <w:right w:val="none" w:sz="0" w:space="0" w:color="auto"/>
                  </w:divBdr>
                </w:div>
              </w:divsChild>
            </w:div>
            <w:div w:id="1266958615">
              <w:marLeft w:val="0"/>
              <w:marRight w:val="0"/>
              <w:marTop w:val="0"/>
              <w:marBottom w:val="0"/>
              <w:divBdr>
                <w:top w:val="none" w:sz="0" w:space="0" w:color="auto"/>
                <w:left w:val="none" w:sz="0" w:space="0" w:color="auto"/>
                <w:bottom w:val="none" w:sz="0" w:space="0" w:color="auto"/>
                <w:right w:val="none" w:sz="0" w:space="0" w:color="auto"/>
              </w:divBdr>
            </w:div>
            <w:div w:id="1325357856">
              <w:marLeft w:val="0"/>
              <w:marRight w:val="0"/>
              <w:marTop w:val="0"/>
              <w:marBottom w:val="0"/>
              <w:divBdr>
                <w:top w:val="none" w:sz="0" w:space="0" w:color="auto"/>
                <w:left w:val="none" w:sz="0" w:space="0" w:color="auto"/>
                <w:bottom w:val="none" w:sz="0" w:space="0" w:color="auto"/>
                <w:right w:val="none" w:sz="0" w:space="0" w:color="auto"/>
              </w:divBdr>
              <w:divsChild>
                <w:div w:id="406343014">
                  <w:marLeft w:val="0"/>
                  <w:marRight w:val="0"/>
                  <w:marTop w:val="0"/>
                  <w:marBottom w:val="0"/>
                  <w:divBdr>
                    <w:top w:val="none" w:sz="0" w:space="0" w:color="auto"/>
                    <w:left w:val="none" w:sz="0" w:space="0" w:color="auto"/>
                    <w:bottom w:val="none" w:sz="0" w:space="0" w:color="auto"/>
                    <w:right w:val="none" w:sz="0" w:space="0" w:color="auto"/>
                  </w:divBdr>
                </w:div>
              </w:divsChild>
            </w:div>
            <w:div w:id="1356228646">
              <w:marLeft w:val="0"/>
              <w:marRight w:val="0"/>
              <w:marTop w:val="0"/>
              <w:marBottom w:val="0"/>
              <w:divBdr>
                <w:top w:val="none" w:sz="0" w:space="0" w:color="auto"/>
                <w:left w:val="none" w:sz="0" w:space="0" w:color="auto"/>
                <w:bottom w:val="none" w:sz="0" w:space="0" w:color="auto"/>
                <w:right w:val="none" w:sz="0" w:space="0" w:color="auto"/>
              </w:divBdr>
              <w:divsChild>
                <w:div w:id="978219662">
                  <w:marLeft w:val="0"/>
                  <w:marRight w:val="0"/>
                  <w:marTop w:val="0"/>
                  <w:marBottom w:val="0"/>
                  <w:divBdr>
                    <w:top w:val="none" w:sz="0" w:space="0" w:color="auto"/>
                    <w:left w:val="none" w:sz="0" w:space="0" w:color="auto"/>
                    <w:bottom w:val="none" w:sz="0" w:space="0" w:color="auto"/>
                    <w:right w:val="none" w:sz="0" w:space="0" w:color="auto"/>
                  </w:divBdr>
                </w:div>
              </w:divsChild>
            </w:div>
            <w:div w:id="1369603911">
              <w:marLeft w:val="0"/>
              <w:marRight w:val="0"/>
              <w:marTop w:val="0"/>
              <w:marBottom w:val="0"/>
              <w:divBdr>
                <w:top w:val="none" w:sz="0" w:space="0" w:color="auto"/>
                <w:left w:val="none" w:sz="0" w:space="0" w:color="auto"/>
                <w:bottom w:val="none" w:sz="0" w:space="0" w:color="auto"/>
                <w:right w:val="none" w:sz="0" w:space="0" w:color="auto"/>
              </w:divBdr>
            </w:div>
            <w:div w:id="1406995952">
              <w:marLeft w:val="0"/>
              <w:marRight w:val="0"/>
              <w:marTop w:val="0"/>
              <w:marBottom w:val="0"/>
              <w:divBdr>
                <w:top w:val="none" w:sz="0" w:space="0" w:color="auto"/>
                <w:left w:val="none" w:sz="0" w:space="0" w:color="auto"/>
                <w:bottom w:val="none" w:sz="0" w:space="0" w:color="auto"/>
                <w:right w:val="none" w:sz="0" w:space="0" w:color="auto"/>
              </w:divBdr>
              <w:divsChild>
                <w:div w:id="14709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744706">
          <w:marLeft w:val="0"/>
          <w:marRight w:val="0"/>
          <w:marTop w:val="0"/>
          <w:marBottom w:val="0"/>
          <w:divBdr>
            <w:top w:val="none" w:sz="0" w:space="0" w:color="auto"/>
            <w:left w:val="none" w:sz="0" w:space="0" w:color="auto"/>
            <w:bottom w:val="none" w:sz="0" w:space="0" w:color="auto"/>
            <w:right w:val="none" w:sz="0" w:space="0" w:color="auto"/>
          </w:divBdr>
        </w:div>
        <w:div w:id="2094813180">
          <w:marLeft w:val="0"/>
          <w:marRight w:val="0"/>
          <w:marTop w:val="0"/>
          <w:marBottom w:val="0"/>
          <w:divBdr>
            <w:top w:val="none" w:sz="0" w:space="0" w:color="auto"/>
            <w:left w:val="none" w:sz="0" w:space="0" w:color="auto"/>
            <w:bottom w:val="none" w:sz="0" w:space="0" w:color="auto"/>
            <w:right w:val="none" w:sz="0" w:space="0" w:color="auto"/>
          </w:divBdr>
        </w:div>
        <w:div w:id="2122066486">
          <w:marLeft w:val="0"/>
          <w:marRight w:val="0"/>
          <w:marTop w:val="0"/>
          <w:marBottom w:val="0"/>
          <w:divBdr>
            <w:top w:val="none" w:sz="0" w:space="0" w:color="auto"/>
            <w:left w:val="none" w:sz="0" w:space="0" w:color="auto"/>
            <w:bottom w:val="none" w:sz="0" w:space="0" w:color="auto"/>
            <w:right w:val="none" w:sz="0" w:space="0" w:color="auto"/>
          </w:divBdr>
        </w:div>
        <w:div w:id="2142651145">
          <w:marLeft w:val="0"/>
          <w:marRight w:val="0"/>
          <w:marTop w:val="0"/>
          <w:marBottom w:val="0"/>
          <w:divBdr>
            <w:top w:val="none" w:sz="0" w:space="0" w:color="auto"/>
            <w:left w:val="none" w:sz="0" w:space="0" w:color="auto"/>
            <w:bottom w:val="none" w:sz="0" w:space="0" w:color="auto"/>
            <w:right w:val="none" w:sz="0" w:space="0" w:color="auto"/>
          </w:divBdr>
        </w:div>
      </w:divsChild>
    </w:div>
    <w:div w:id="1393574512">
      <w:bodyDiv w:val="1"/>
      <w:marLeft w:val="0"/>
      <w:marRight w:val="0"/>
      <w:marTop w:val="0"/>
      <w:marBottom w:val="0"/>
      <w:divBdr>
        <w:top w:val="none" w:sz="0" w:space="0" w:color="auto"/>
        <w:left w:val="none" w:sz="0" w:space="0" w:color="auto"/>
        <w:bottom w:val="none" w:sz="0" w:space="0" w:color="auto"/>
        <w:right w:val="none" w:sz="0" w:space="0" w:color="auto"/>
      </w:divBdr>
    </w:div>
    <w:div w:id="1396245835">
      <w:bodyDiv w:val="1"/>
      <w:marLeft w:val="0"/>
      <w:marRight w:val="0"/>
      <w:marTop w:val="0"/>
      <w:marBottom w:val="0"/>
      <w:divBdr>
        <w:top w:val="none" w:sz="0" w:space="0" w:color="auto"/>
        <w:left w:val="none" w:sz="0" w:space="0" w:color="auto"/>
        <w:bottom w:val="none" w:sz="0" w:space="0" w:color="auto"/>
        <w:right w:val="none" w:sz="0" w:space="0" w:color="auto"/>
      </w:divBdr>
    </w:div>
    <w:div w:id="1401757857">
      <w:bodyDiv w:val="1"/>
      <w:marLeft w:val="0"/>
      <w:marRight w:val="0"/>
      <w:marTop w:val="0"/>
      <w:marBottom w:val="0"/>
      <w:divBdr>
        <w:top w:val="none" w:sz="0" w:space="0" w:color="auto"/>
        <w:left w:val="none" w:sz="0" w:space="0" w:color="auto"/>
        <w:bottom w:val="none" w:sz="0" w:space="0" w:color="auto"/>
        <w:right w:val="none" w:sz="0" w:space="0" w:color="auto"/>
      </w:divBdr>
    </w:div>
    <w:div w:id="1409226291">
      <w:bodyDiv w:val="1"/>
      <w:marLeft w:val="0"/>
      <w:marRight w:val="0"/>
      <w:marTop w:val="0"/>
      <w:marBottom w:val="0"/>
      <w:divBdr>
        <w:top w:val="none" w:sz="0" w:space="0" w:color="auto"/>
        <w:left w:val="none" w:sz="0" w:space="0" w:color="auto"/>
        <w:bottom w:val="none" w:sz="0" w:space="0" w:color="auto"/>
        <w:right w:val="none" w:sz="0" w:space="0" w:color="auto"/>
      </w:divBdr>
      <w:divsChild>
        <w:div w:id="1531456924">
          <w:marLeft w:val="0"/>
          <w:marRight w:val="0"/>
          <w:marTop w:val="0"/>
          <w:marBottom w:val="0"/>
          <w:divBdr>
            <w:top w:val="none" w:sz="0" w:space="0" w:color="auto"/>
            <w:left w:val="none" w:sz="0" w:space="0" w:color="auto"/>
            <w:bottom w:val="none" w:sz="0" w:space="0" w:color="auto"/>
            <w:right w:val="none" w:sz="0" w:space="0" w:color="auto"/>
          </w:divBdr>
          <w:divsChild>
            <w:div w:id="2141605472">
              <w:marLeft w:val="0"/>
              <w:marRight w:val="0"/>
              <w:marTop w:val="0"/>
              <w:marBottom w:val="0"/>
              <w:divBdr>
                <w:top w:val="none" w:sz="0" w:space="0" w:color="auto"/>
                <w:left w:val="none" w:sz="0" w:space="0" w:color="auto"/>
                <w:bottom w:val="none" w:sz="0" w:space="0" w:color="auto"/>
                <w:right w:val="none" w:sz="0" w:space="0" w:color="auto"/>
              </w:divBdr>
              <w:divsChild>
                <w:div w:id="16601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4569">
      <w:bodyDiv w:val="1"/>
      <w:marLeft w:val="0"/>
      <w:marRight w:val="0"/>
      <w:marTop w:val="0"/>
      <w:marBottom w:val="0"/>
      <w:divBdr>
        <w:top w:val="none" w:sz="0" w:space="0" w:color="auto"/>
        <w:left w:val="none" w:sz="0" w:space="0" w:color="auto"/>
        <w:bottom w:val="none" w:sz="0" w:space="0" w:color="auto"/>
        <w:right w:val="none" w:sz="0" w:space="0" w:color="auto"/>
      </w:divBdr>
    </w:div>
    <w:div w:id="1461995010">
      <w:bodyDiv w:val="1"/>
      <w:marLeft w:val="0"/>
      <w:marRight w:val="0"/>
      <w:marTop w:val="0"/>
      <w:marBottom w:val="0"/>
      <w:divBdr>
        <w:top w:val="none" w:sz="0" w:space="0" w:color="auto"/>
        <w:left w:val="none" w:sz="0" w:space="0" w:color="auto"/>
        <w:bottom w:val="none" w:sz="0" w:space="0" w:color="auto"/>
        <w:right w:val="none" w:sz="0" w:space="0" w:color="auto"/>
      </w:divBdr>
      <w:divsChild>
        <w:div w:id="534343513">
          <w:marLeft w:val="0"/>
          <w:marRight w:val="0"/>
          <w:marTop w:val="0"/>
          <w:marBottom w:val="0"/>
          <w:divBdr>
            <w:top w:val="none" w:sz="0" w:space="0" w:color="auto"/>
            <w:left w:val="none" w:sz="0" w:space="0" w:color="auto"/>
            <w:bottom w:val="none" w:sz="0" w:space="0" w:color="auto"/>
            <w:right w:val="none" w:sz="0" w:space="0" w:color="auto"/>
          </w:divBdr>
          <w:divsChild>
            <w:div w:id="1079669595">
              <w:marLeft w:val="0"/>
              <w:marRight w:val="0"/>
              <w:marTop w:val="0"/>
              <w:marBottom w:val="0"/>
              <w:divBdr>
                <w:top w:val="none" w:sz="0" w:space="0" w:color="auto"/>
                <w:left w:val="none" w:sz="0" w:space="0" w:color="auto"/>
                <w:bottom w:val="none" w:sz="0" w:space="0" w:color="auto"/>
                <w:right w:val="none" w:sz="0" w:space="0" w:color="auto"/>
              </w:divBdr>
              <w:divsChild>
                <w:div w:id="12111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35361">
      <w:bodyDiv w:val="1"/>
      <w:marLeft w:val="0"/>
      <w:marRight w:val="0"/>
      <w:marTop w:val="0"/>
      <w:marBottom w:val="0"/>
      <w:divBdr>
        <w:top w:val="none" w:sz="0" w:space="0" w:color="auto"/>
        <w:left w:val="none" w:sz="0" w:space="0" w:color="auto"/>
        <w:bottom w:val="none" w:sz="0" w:space="0" w:color="auto"/>
        <w:right w:val="none" w:sz="0" w:space="0" w:color="auto"/>
      </w:divBdr>
      <w:divsChild>
        <w:div w:id="1906338342">
          <w:marLeft w:val="0"/>
          <w:marRight w:val="0"/>
          <w:marTop w:val="0"/>
          <w:marBottom w:val="0"/>
          <w:divBdr>
            <w:top w:val="none" w:sz="0" w:space="0" w:color="auto"/>
            <w:left w:val="none" w:sz="0" w:space="0" w:color="auto"/>
            <w:bottom w:val="none" w:sz="0" w:space="0" w:color="auto"/>
            <w:right w:val="none" w:sz="0" w:space="0" w:color="auto"/>
          </w:divBdr>
          <w:divsChild>
            <w:div w:id="1761372157">
              <w:marLeft w:val="0"/>
              <w:marRight w:val="0"/>
              <w:marTop w:val="0"/>
              <w:marBottom w:val="0"/>
              <w:divBdr>
                <w:top w:val="none" w:sz="0" w:space="0" w:color="auto"/>
                <w:left w:val="none" w:sz="0" w:space="0" w:color="auto"/>
                <w:bottom w:val="none" w:sz="0" w:space="0" w:color="auto"/>
                <w:right w:val="none" w:sz="0" w:space="0" w:color="auto"/>
              </w:divBdr>
              <w:divsChild>
                <w:div w:id="50235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6601">
      <w:bodyDiv w:val="1"/>
      <w:marLeft w:val="0"/>
      <w:marRight w:val="0"/>
      <w:marTop w:val="0"/>
      <w:marBottom w:val="0"/>
      <w:divBdr>
        <w:top w:val="none" w:sz="0" w:space="0" w:color="auto"/>
        <w:left w:val="none" w:sz="0" w:space="0" w:color="auto"/>
        <w:bottom w:val="none" w:sz="0" w:space="0" w:color="auto"/>
        <w:right w:val="none" w:sz="0" w:space="0" w:color="auto"/>
      </w:divBdr>
    </w:div>
    <w:div w:id="1471750840">
      <w:bodyDiv w:val="1"/>
      <w:marLeft w:val="0"/>
      <w:marRight w:val="0"/>
      <w:marTop w:val="0"/>
      <w:marBottom w:val="0"/>
      <w:divBdr>
        <w:top w:val="none" w:sz="0" w:space="0" w:color="auto"/>
        <w:left w:val="none" w:sz="0" w:space="0" w:color="auto"/>
        <w:bottom w:val="none" w:sz="0" w:space="0" w:color="auto"/>
        <w:right w:val="none" w:sz="0" w:space="0" w:color="auto"/>
      </w:divBdr>
    </w:div>
    <w:div w:id="1473327929">
      <w:bodyDiv w:val="1"/>
      <w:marLeft w:val="0"/>
      <w:marRight w:val="0"/>
      <w:marTop w:val="0"/>
      <w:marBottom w:val="0"/>
      <w:divBdr>
        <w:top w:val="none" w:sz="0" w:space="0" w:color="auto"/>
        <w:left w:val="none" w:sz="0" w:space="0" w:color="auto"/>
        <w:bottom w:val="none" w:sz="0" w:space="0" w:color="auto"/>
        <w:right w:val="none" w:sz="0" w:space="0" w:color="auto"/>
      </w:divBdr>
    </w:div>
    <w:div w:id="1476143989">
      <w:bodyDiv w:val="1"/>
      <w:marLeft w:val="0"/>
      <w:marRight w:val="0"/>
      <w:marTop w:val="0"/>
      <w:marBottom w:val="0"/>
      <w:divBdr>
        <w:top w:val="none" w:sz="0" w:space="0" w:color="auto"/>
        <w:left w:val="none" w:sz="0" w:space="0" w:color="auto"/>
        <w:bottom w:val="none" w:sz="0" w:space="0" w:color="auto"/>
        <w:right w:val="none" w:sz="0" w:space="0" w:color="auto"/>
      </w:divBdr>
    </w:div>
    <w:div w:id="1495340837">
      <w:bodyDiv w:val="1"/>
      <w:marLeft w:val="0"/>
      <w:marRight w:val="0"/>
      <w:marTop w:val="0"/>
      <w:marBottom w:val="0"/>
      <w:divBdr>
        <w:top w:val="none" w:sz="0" w:space="0" w:color="auto"/>
        <w:left w:val="none" w:sz="0" w:space="0" w:color="auto"/>
        <w:bottom w:val="none" w:sz="0" w:space="0" w:color="auto"/>
        <w:right w:val="none" w:sz="0" w:space="0" w:color="auto"/>
      </w:divBdr>
    </w:div>
    <w:div w:id="1509515959">
      <w:bodyDiv w:val="1"/>
      <w:marLeft w:val="0"/>
      <w:marRight w:val="0"/>
      <w:marTop w:val="0"/>
      <w:marBottom w:val="0"/>
      <w:divBdr>
        <w:top w:val="none" w:sz="0" w:space="0" w:color="auto"/>
        <w:left w:val="none" w:sz="0" w:space="0" w:color="auto"/>
        <w:bottom w:val="none" w:sz="0" w:space="0" w:color="auto"/>
        <w:right w:val="none" w:sz="0" w:space="0" w:color="auto"/>
      </w:divBdr>
    </w:div>
    <w:div w:id="1510410454">
      <w:bodyDiv w:val="1"/>
      <w:marLeft w:val="0"/>
      <w:marRight w:val="0"/>
      <w:marTop w:val="0"/>
      <w:marBottom w:val="0"/>
      <w:divBdr>
        <w:top w:val="none" w:sz="0" w:space="0" w:color="auto"/>
        <w:left w:val="none" w:sz="0" w:space="0" w:color="auto"/>
        <w:bottom w:val="none" w:sz="0" w:space="0" w:color="auto"/>
        <w:right w:val="none" w:sz="0" w:space="0" w:color="auto"/>
      </w:divBdr>
    </w:div>
    <w:div w:id="1521090978">
      <w:bodyDiv w:val="1"/>
      <w:marLeft w:val="0"/>
      <w:marRight w:val="0"/>
      <w:marTop w:val="0"/>
      <w:marBottom w:val="0"/>
      <w:divBdr>
        <w:top w:val="none" w:sz="0" w:space="0" w:color="auto"/>
        <w:left w:val="none" w:sz="0" w:space="0" w:color="auto"/>
        <w:bottom w:val="none" w:sz="0" w:space="0" w:color="auto"/>
        <w:right w:val="none" w:sz="0" w:space="0" w:color="auto"/>
      </w:divBdr>
    </w:div>
    <w:div w:id="1533960343">
      <w:bodyDiv w:val="1"/>
      <w:marLeft w:val="0"/>
      <w:marRight w:val="0"/>
      <w:marTop w:val="0"/>
      <w:marBottom w:val="0"/>
      <w:divBdr>
        <w:top w:val="none" w:sz="0" w:space="0" w:color="auto"/>
        <w:left w:val="none" w:sz="0" w:space="0" w:color="auto"/>
        <w:bottom w:val="none" w:sz="0" w:space="0" w:color="auto"/>
        <w:right w:val="none" w:sz="0" w:space="0" w:color="auto"/>
      </w:divBdr>
    </w:div>
    <w:div w:id="1544555537">
      <w:bodyDiv w:val="1"/>
      <w:marLeft w:val="0"/>
      <w:marRight w:val="0"/>
      <w:marTop w:val="0"/>
      <w:marBottom w:val="0"/>
      <w:divBdr>
        <w:top w:val="none" w:sz="0" w:space="0" w:color="auto"/>
        <w:left w:val="none" w:sz="0" w:space="0" w:color="auto"/>
        <w:bottom w:val="none" w:sz="0" w:space="0" w:color="auto"/>
        <w:right w:val="none" w:sz="0" w:space="0" w:color="auto"/>
      </w:divBdr>
    </w:div>
    <w:div w:id="1558973653">
      <w:bodyDiv w:val="1"/>
      <w:marLeft w:val="0"/>
      <w:marRight w:val="0"/>
      <w:marTop w:val="0"/>
      <w:marBottom w:val="0"/>
      <w:divBdr>
        <w:top w:val="none" w:sz="0" w:space="0" w:color="auto"/>
        <w:left w:val="none" w:sz="0" w:space="0" w:color="auto"/>
        <w:bottom w:val="none" w:sz="0" w:space="0" w:color="auto"/>
        <w:right w:val="none" w:sz="0" w:space="0" w:color="auto"/>
      </w:divBdr>
    </w:div>
    <w:div w:id="1574581939">
      <w:bodyDiv w:val="1"/>
      <w:marLeft w:val="0"/>
      <w:marRight w:val="0"/>
      <w:marTop w:val="0"/>
      <w:marBottom w:val="0"/>
      <w:divBdr>
        <w:top w:val="none" w:sz="0" w:space="0" w:color="auto"/>
        <w:left w:val="none" w:sz="0" w:space="0" w:color="auto"/>
        <w:bottom w:val="none" w:sz="0" w:space="0" w:color="auto"/>
        <w:right w:val="none" w:sz="0" w:space="0" w:color="auto"/>
      </w:divBdr>
    </w:div>
    <w:div w:id="1582181728">
      <w:bodyDiv w:val="1"/>
      <w:marLeft w:val="0"/>
      <w:marRight w:val="0"/>
      <w:marTop w:val="0"/>
      <w:marBottom w:val="0"/>
      <w:divBdr>
        <w:top w:val="none" w:sz="0" w:space="0" w:color="auto"/>
        <w:left w:val="none" w:sz="0" w:space="0" w:color="auto"/>
        <w:bottom w:val="none" w:sz="0" w:space="0" w:color="auto"/>
        <w:right w:val="none" w:sz="0" w:space="0" w:color="auto"/>
      </w:divBdr>
    </w:div>
    <w:div w:id="1583367298">
      <w:bodyDiv w:val="1"/>
      <w:marLeft w:val="0"/>
      <w:marRight w:val="0"/>
      <w:marTop w:val="0"/>
      <w:marBottom w:val="0"/>
      <w:divBdr>
        <w:top w:val="none" w:sz="0" w:space="0" w:color="auto"/>
        <w:left w:val="none" w:sz="0" w:space="0" w:color="auto"/>
        <w:bottom w:val="none" w:sz="0" w:space="0" w:color="auto"/>
        <w:right w:val="none" w:sz="0" w:space="0" w:color="auto"/>
      </w:divBdr>
    </w:div>
    <w:div w:id="1584801515">
      <w:bodyDiv w:val="1"/>
      <w:marLeft w:val="0"/>
      <w:marRight w:val="0"/>
      <w:marTop w:val="0"/>
      <w:marBottom w:val="0"/>
      <w:divBdr>
        <w:top w:val="none" w:sz="0" w:space="0" w:color="auto"/>
        <w:left w:val="none" w:sz="0" w:space="0" w:color="auto"/>
        <w:bottom w:val="none" w:sz="0" w:space="0" w:color="auto"/>
        <w:right w:val="none" w:sz="0" w:space="0" w:color="auto"/>
      </w:divBdr>
      <w:divsChild>
        <w:div w:id="620653390">
          <w:marLeft w:val="0"/>
          <w:marRight w:val="0"/>
          <w:marTop w:val="0"/>
          <w:marBottom w:val="0"/>
          <w:divBdr>
            <w:top w:val="none" w:sz="0" w:space="0" w:color="auto"/>
            <w:left w:val="none" w:sz="0" w:space="0" w:color="auto"/>
            <w:bottom w:val="none" w:sz="0" w:space="0" w:color="auto"/>
            <w:right w:val="none" w:sz="0" w:space="0" w:color="auto"/>
          </w:divBdr>
          <w:divsChild>
            <w:div w:id="1351490709">
              <w:marLeft w:val="0"/>
              <w:marRight w:val="0"/>
              <w:marTop w:val="0"/>
              <w:marBottom w:val="0"/>
              <w:divBdr>
                <w:top w:val="none" w:sz="0" w:space="0" w:color="auto"/>
                <w:left w:val="none" w:sz="0" w:space="0" w:color="auto"/>
                <w:bottom w:val="none" w:sz="0" w:space="0" w:color="auto"/>
                <w:right w:val="none" w:sz="0" w:space="0" w:color="auto"/>
              </w:divBdr>
            </w:div>
            <w:div w:id="1651326834">
              <w:marLeft w:val="0"/>
              <w:marRight w:val="0"/>
              <w:marTop w:val="0"/>
              <w:marBottom w:val="0"/>
              <w:divBdr>
                <w:top w:val="none" w:sz="0" w:space="0" w:color="auto"/>
                <w:left w:val="none" w:sz="0" w:space="0" w:color="auto"/>
                <w:bottom w:val="none" w:sz="0" w:space="0" w:color="auto"/>
                <w:right w:val="none" w:sz="0" w:space="0" w:color="auto"/>
              </w:divBdr>
              <w:divsChild>
                <w:div w:id="11384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75238">
          <w:blockQuote w:val="1"/>
          <w:marLeft w:val="600"/>
          <w:marRight w:val="0"/>
          <w:marTop w:val="0"/>
          <w:marBottom w:val="0"/>
          <w:divBdr>
            <w:top w:val="none" w:sz="0" w:space="0" w:color="auto"/>
            <w:left w:val="none" w:sz="0" w:space="0" w:color="auto"/>
            <w:bottom w:val="none" w:sz="0" w:space="0" w:color="auto"/>
            <w:right w:val="none" w:sz="0" w:space="0" w:color="auto"/>
          </w:divBdr>
          <w:divsChild>
            <w:div w:id="111873826">
              <w:blockQuote w:val="1"/>
              <w:marLeft w:val="600"/>
              <w:marRight w:val="0"/>
              <w:marTop w:val="0"/>
              <w:marBottom w:val="0"/>
              <w:divBdr>
                <w:top w:val="none" w:sz="0" w:space="0" w:color="auto"/>
                <w:left w:val="none" w:sz="0" w:space="0" w:color="auto"/>
                <w:bottom w:val="none" w:sz="0" w:space="0" w:color="auto"/>
                <w:right w:val="none" w:sz="0" w:space="0" w:color="auto"/>
              </w:divBdr>
              <w:divsChild>
                <w:div w:id="1589343954">
                  <w:marLeft w:val="0"/>
                  <w:marRight w:val="0"/>
                  <w:marTop w:val="0"/>
                  <w:marBottom w:val="0"/>
                  <w:divBdr>
                    <w:top w:val="none" w:sz="0" w:space="0" w:color="auto"/>
                    <w:left w:val="none" w:sz="0" w:space="0" w:color="auto"/>
                    <w:bottom w:val="none" w:sz="0" w:space="0" w:color="auto"/>
                    <w:right w:val="none" w:sz="0" w:space="0" w:color="auto"/>
                  </w:divBdr>
                  <w:divsChild>
                    <w:div w:id="1706711345">
                      <w:marLeft w:val="0"/>
                      <w:marRight w:val="0"/>
                      <w:marTop w:val="0"/>
                      <w:marBottom w:val="0"/>
                      <w:divBdr>
                        <w:top w:val="none" w:sz="0" w:space="0" w:color="auto"/>
                        <w:left w:val="none" w:sz="0" w:space="0" w:color="auto"/>
                        <w:bottom w:val="none" w:sz="0" w:space="0" w:color="auto"/>
                        <w:right w:val="none" w:sz="0" w:space="0" w:color="auto"/>
                      </w:divBdr>
                      <w:divsChild>
                        <w:div w:id="4664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50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233140">
                  <w:marLeft w:val="0"/>
                  <w:marRight w:val="0"/>
                  <w:marTop w:val="0"/>
                  <w:marBottom w:val="0"/>
                  <w:divBdr>
                    <w:top w:val="none" w:sz="0" w:space="0" w:color="auto"/>
                    <w:left w:val="none" w:sz="0" w:space="0" w:color="auto"/>
                    <w:bottom w:val="none" w:sz="0" w:space="0" w:color="auto"/>
                    <w:right w:val="none" w:sz="0" w:space="0" w:color="auto"/>
                  </w:divBdr>
                  <w:divsChild>
                    <w:div w:id="62550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75740">
              <w:blockQuote w:val="1"/>
              <w:marLeft w:val="600"/>
              <w:marRight w:val="0"/>
              <w:marTop w:val="0"/>
              <w:marBottom w:val="0"/>
              <w:divBdr>
                <w:top w:val="none" w:sz="0" w:space="0" w:color="auto"/>
                <w:left w:val="none" w:sz="0" w:space="0" w:color="auto"/>
                <w:bottom w:val="none" w:sz="0" w:space="0" w:color="auto"/>
                <w:right w:val="none" w:sz="0" w:space="0" w:color="auto"/>
              </w:divBdr>
              <w:divsChild>
                <w:div w:id="466514030">
                  <w:marLeft w:val="0"/>
                  <w:marRight w:val="0"/>
                  <w:marTop w:val="0"/>
                  <w:marBottom w:val="0"/>
                  <w:divBdr>
                    <w:top w:val="none" w:sz="0" w:space="0" w:color="auto"/>
                    <w:left w:val="none" w:sz="0" w:space="0" w:color="auto"/>
                    <w:bottom w:val="none" w:sz="0" w:space="0" w:color="auto"/>
                    <w:right w:val="none" w:sz="0" w:space="0" w:color="auto"/>
                  </w:divBdr>
                  <w:divsChild>
                    <w:div w:id="51531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67127">
              <w:blockQuote w:val="1"/>
              <w:marLeft w:val="600"/>
              <w:marRight w:val="0"/>
              <w:marTop w:val="0"/>
              <w:marBottom w:val="0"/>
              <w:divBdr>
                <w:top w:val="none" w:sz="0" w:space="0" w:color="auto"/>
                <w:left w:val="none" w:sz="0" w:space="0" w:color="auto"/>
                <w:bottom w:val="none" w:sz="0" w:space="0" w:color="auto"/>
                <w:right w:val="none" w:sz="0" w:space="0" w:color="auto"/>
              </w:divBdr>
              <w:divsChild>
                <w:div w:id="162167416">
                  <w:marLeft w:val="0"/>
                  <w:marRight w:val="0"/>
                  <w:marTop w:val="0"/>
                  <w:marBottom w:val="0"/>
                  <w:divBdr>
                    <w:top w:val="none" w:sz="0" w:space="0" w:color="auto"/>
                    <w:left w:val="none" w:sz="0" w:space="0" w:color="auto"/>
                    <w:bottom w:val="none" w:sz="0" w:space="0" w:color="auto"/>
                    <w:right w:val="none" w:sz="0" w:space="0" w:color="auto"/>
                  </w:divBdr>
                  <w:divsChild>
                    <w:div w:id="14292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50270">
          <w:marLeft w:val="0"/>
          <w:marRight w:val="0"/>
          <w:marTop w:val="0"/>
          <w:marBottom w:val="0"/>
          <w:divBdr>
            <w:top w:val="none" w:sz="0" w:space="0" w:color="auto"/>
            <w:left w:val="none" w:sz="0" w:space="0" w:color="auto"/>
            <w:bottom w:val="none" w:sz="0" w:space="0" w:color="auto"/>
            <w:right w:val="none" w:sz="0" w:space="0" w:color="auto"/>
          </w:divBdr>
          <w:divsChild>
            <w:div w:id="1696081931">
              <w:marLeft w:val="0"/>
              <w:marRight w:val="0"/>
              <w:marTop w:val="0"/>
              <w:marBottom w:val="0"/>
              <w:divBdr>
                <w:top w:val="none" w:sz="0" w:space="0" w:color="auto"/>
                <w:left w:val="none" w:sz="0" w:space="0" w:color="auto"/>
                <w:bottom w:val="none" w:sz="0" w:space="0" w:color="auto"/>
                <w:right w:val="none" w:sz="0" w:space="0" w:color="auto"/>
              </w:divBdr>
              <w:divsChild>
                <w:div w:id="1627735588">
                  <w:marLeft w:val="0"/>
                  <w:marRight w:val="0"/>
                  <w:marTop w:val="0"/>
                  <w:marBottom w:val="0"/>
                  <w:divBdr>
                    <w:top w:val="none" w:sz="0" w:space="0" w:color="auto"/>
                    <w:left w:val="none" w:sz="0" w:space="0" w:color="auto"/>
                    <w:bottom w:val="none" w:sz="0" w:space="0" w:color="auto"/>
                    <w:right w:val="none" w:sz="0" w:space="0" w:color="auto"/>
                  </w:divBdr>
                </w:div>
                <w:div w:id="19807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6945">
          <w:blockQuote w:val="1"/>
          <w:marLeft w:val="600"/>
          <w:marRight w:val="0"/>
          <w:marTop w:val="0"/>
          <w:marBottom w:val="0"/>
          <w:divBdr>
            <w:top w:val="none" w:sz="0" w:space="0" w:color="auto"/>
            <w:left w:val="none" w:sz="0" w:space="0" w:color="auto"/>
            <w:bottom w:val="none" w:sz="0" w:space="0" w:color="auto"/>
            <w:right w:val="none" w:sz="0" w:space="0" w:color="auto"/>
          </w:divBdr>
          <w:divsChild>
            <w:div w:id="340201762">
              <w:blockQuote w:val="1"/>
              <w:marLeft w:val="600"/>
              <w:marRight w:val="0"/>
              <w:marTop w:val="0"/>
              <w:marBottom w:val="0"/>
              <w:divBdr>
                <w:top w:val="none" w:sz="0" w:space="0" w:color="auto"/>
                <w:left w:val="none" w:sz="0" w:space="0" w:color="auto"/>
                <w:bottom w:val="none" w:sz="0" w:space="0" w:color="auto"/>
                <w:right w:val="none" w:sz="0" w:space="0" w:color="auto"/>
              </w:divBdr>
              <w:divsChild>
                <w:div w:id="2140800441">
                  <w:marLeft w:val="0"/>
                  <w:marRight w:val="0"/>
                  <w:marTop w:val="0"/>
                  <w:marBottom w:val="0"/>
                  <w:divBdr>
                    <w:top w:val="none" w:sz="0" w:space="0" w:color="auto"/>
                    <w:left w:val="none" w:sz="0" w:space="0" w:color="auto"/>
                    <w:bottom w:val="none" w:sz="0" w:space="0" w:color="auto"/>
                    <w:right w:val="none" w:sz="0" w:space="0" w:color="auto"/>
                  </w:divBdr>
                  <w:divsChild>
                    <w:div w:id="2041663527">
                      <w:marLeft w:val="0"/>
                      <w:marRight w:val="0"/>
                      <w:marTop w:val="0"/>
                      <w:marBottom w:val="0"/>
                      <w:divBdr>
                        <w:top w:val="none" w:sz="0" w:space="0" w:color="auto"/>
                        <w:left w:val="none" w:sz="0" w:space="0" w:color="auto"/>
                        <w:bottom w:val="none" w:sz="0" w:space="0" w:color="auto"/>
                        <w:right w:val="none" w:sz="0" w:space="0" w:color="auto"/>
                      </w:divBdr>
                      <w:divsChild>
                        <w:div w:id="121381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0700">
              <w:blockQuote w:val="1"/>
              <w:marLeft w:val="600"/>
              <w:marRight w:val="0"/>
              <w:marTop w:val="0"/>
              <w:marBottom w:val="0"/>
              <w:divBdr>
                <w:top w:val="none" w:sz="0" w:space="0" w:color="auto"/>
                <w:left w:val="none" w:sz="0" w:space="0" w:color="auto"/>
                <w:bottom w:val="none" w:sz="0" w:space="0" w:color="auto"/>
                <w:right w:val="none" w:sz="0" w:space="0" w:color="auto"/>
              </w:divBdr>
              <w:divsChild>
                <w:div w:id="1698654640">
                  <w:marLeft w:val="0"/>
                  <w:marRight w:val="0"/>
                  <w:marTop w:val="0"/>
                  <w:marBottom w:val="0"/>
                  <w:divBdr>
                    <w:top w:val="none" w:sz="0" w:space="0" w:color="auto"/>
                    <w:left w:val="none" w:sz="0" w:space="0" w:color="auto"/>
                    <w:bottom w:val="none" w:sz="0" w:space="0" w:color="auto"/>
                    <w:right w:val="none" w:sz="0" w:space="0" w:color="auto"/>
                  </w:divBdr>
                  <w:divsChild>
                    <w:div w:id="1273512223">
                      <w:marLeft w:val="0"/>
                      <w:marRight w:val="0"/>
                      <w:marTop w:val="0"/>
                      <w:marBottom w:val="0"/>
                      <w:divBdr>
                        <w:top w:val="none" w:sz="0" w:space="0" w:color="auto"/>
                        <w:left w:val="none" w:sz="0" w:space="0" w:color="auto"/>
                        <w:bottom w:val="none" w:sz="0" w:space="0" w:color="auto"/>
                        <w:right w:val="none" w:sz="0" w:space="0" w:color="auto"/>
                      </w:divBdr>
                      <w:divsChild>
                        <w:div w:id="1212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97293">
              <w:blockQuote w:val="1"/>
              <w:marLeft w:val="600"/>
              <w:marRight w:val="0"/>
              <w:marTop w:val="0"/>
              <w:marBottom w:val="0"/>
              <w:divBdr>
                <w:top w:val="none" w:sz="0" w:space="0" w:color="auto"/>
                <w:left w:val="none" w:sz="0" w:space="0" w:color="auto"/>
                <w:bottom w:val="none" w:sz="0" w:space="0" w:color="auto"/>
                <w:right w:val="none" w:sz="0" w:space="0" w:color="auto"/>
              </w:divBdr>
              <w:divsChild>
                <w:div w:id="2027629095">
                  <w:marLeft w:val="0"/>
                  <w:marRight w:val="0"/>
                  <w:marTop w:val="0"/>
                  <w:marBottom w:val="0"/>
                  <w:divBdr>
                    <w:top w:val="none" w:sz="0" w:space="0" w:color="auto"/>
                    <w:left w:val="none" w:sz="0" w:space="0" w:color="auto"/>
                    <w:bottom w:val="none" w:sz="0" w:space="0" w:color="auto"/>
                    <w:right w:val="none" w:sz="0" w:space="0" w:color="auto"/>
                  </w:divBdr>
                  <w:divsChild>
                    <w:div w:id="395055555">
                      <w:marLeft w:val="0"/>
                      <w:marRight w:val="0"/>
                      <w:marTop w:val="0"/>
                      <w:marBottom w:val="0"/>
                      <w:divBdr>
                        <w:top w:val="none" w:sz="0" w:space="0" w:color="auto"/>
                        <w:left w:val="none" w:sz="0" w:space="0" w:color="auto"/>
                        <w:bottom w:val="none" w:sz="0" w:space="0" w:color="auto"/>
                        <w:right w:val="none" w:sz="0" w:space="0" w:color="auto"/>
                      </w:divBdr>
                      <w:divsChild>
                        <w:div w:id="3214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796">
              <w:blockQuote w:val="1"/>
              <w:marLeft w:val="600"/>
              <w:marRight w:val="0"/>
              <w:marTop w:val="0"/>
              <w:marBottom w:val="0"/>
              <w:divBdr>
                <w:top w:val="none" w:sz="0" w:space="0" w:color="auto"/>
                <w:left w:val="none" w:sz="0" w:space="0" w:color="auto"/>
                <w:bottom w:val="none" w:sz="0" w:space="0" w:color="auto"/>
                <w:right w:val="none" w:sz="0" w:space="0" w:color="auto"/>
              </w:divBdr>
              <w:divsChild>
                <w:div w:id="1538352236">
                  <w:marLeft w:val="0"/>
                  <w:marRight w:val="0"/>
                  <w:marTop w:val="0"/>
                  <w:marBottom w:val="0"/>
                  <w:divBdr>
                    <w:top w:val="none" w:sz="0" w:space="0" w:color="auto"/>
                    <w:left w:val="none" w:sz="0" w:space="0" w:color="auto"/>
                    <w:bottom w:val="none" w:sz="0" w:space="0" w:color="auto"/>
                    <w:right w:val="none" w:sz="0" w:space="0" w:color="auto"/>
                  </w:divBdr>
                  <w:divsChild>
                    <w:div w:id="331304187">
                      <w:marLeft w:val="0"/>
                      <w:marRight w:val="0"/>
                      <w:marTop w:val="0"/>
                      <w:marBottom w:val="0"/>
                      <w:divBdr>
                        <w:top w:val="none" w:sz="0" w:space="0" w:color="auto"/>
                        <w:left w:val="none" w:sz="0" w:space="0" w:color="auto"/>
                        <w:bottom w:val="none" w:sz="0" w:space="0" w:color="auto"/>
                        <w:right w:val="none" w:sz="0" w:space="0" w:color="auto"/>
                      </w:divBdr>
                      <w:divsChild>
                        <w:div w:id="2484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296555">
              <w:blockQuote w:val="1"/>
              <w:marLeft w:val="600"/>
              <w:marRight w:val="0"/>
              <w:marTop w:val="0"/>
              <w:marBottom w:val="0"/>
              <w:divBdr>
                <w:top w:val="none" w:sz="0" w:space="0" w:color="auto"/>
                <w:left w:val="none" w:sz="0" w:space="0" w:color="auto"/>
                <w:bottom w:val="none" w:sz="0" w:space="0" w:color="auto"/>
                <w:right w:val="none" w:sz="0" w:space="0" w:color="auto"/>
              </w:divBdr>
              <w:divsChild>
                <w:div w:id="330068688">
                  <w:marLeft w:val="0"/>
                  <w:marRight w:val="0"/>
                  <w:marTop w:val="0"/>
                  <w:marBottom w:val="0"/>
                  <w:divBdr>
                    <w:top w:val="none" w:sz="0" w:space="0" w:color="auto"/>
                    <w:left w:val="none" w:sz="0" w:space="0" w:color="auto"/>
                    <w:bottom w:val="none" w:sz="0" w:space="0" w:color="auto"/>
                    <w:right w:val="none" w:sz="0" w:space="0" w:color="auto"/>
                  </w:divBdr>
                  <w:divsChild>
                    <w:div w:id="1293709020">
                      <w:marLeft w:val="0"/>
                      <w:marRight w:val="0"/>
                      <w:marTop w:val="0"/>
                      <w:marBottom w:val="0"/>
                      <w:divBdr>
                        <w:top w:val="none" w:sz="0" w:space="0" w:color="auto"/>
                        <w:left w:val="none" w:sz="0" w:space="0" w:color="auto"/>
                        <w:bottom w:val="none" w:sz="0" w:space="0" w:color="auto"/>
                        <w:right w:val="none" w:sz="0" w:space="0" w:color="auto"/>
                      </w:divBdr>
                      <w:divsChild>
                        <w:div w:id="211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6369">
              <w:blockQuote w:val="1"/>
              <w:marLeft w:val="600"/>
              <w:marRight w:val="0"/>
              <w:marTop w:val="0"/>
              <w:marBottom w:val="0"/>
              <w:divBdr>
                <w:top w:val="none" w:sz="0" w:space="0" w:color="auto"/>
                <w:left w:val="none" w:sz="0" w:space="0" w:color="auto"/>
                <w:bottom w:val="none" w:sz="0" w:space="0" w:color="auto"/>
                <w:right w:val="none" w:sz="0" w:space="0" w:color="auto"/>
              </w:divBdr>
              <w:divsChild>
                <w:div w:id="9649936">
                  <w:marLeft w:val="0"/>
                  <w:marRight w:val="0"/>
                  <w:marTop w:val="0"/>
                  <w:marBottom w:val="0"/>
                  <w:divBdr>
                    <w:top w:val="none" w:sz="0" w:space="0" w:color="auto"/>
                    <w:left w:val="none" w:sz="0" w:space="0" w:color="auto"/>
                    <w:bottom w:val="none" w:sz="0" w:space="0" w:color="auto"/>
                    <w:right w:val="none" w:sz="0" w:space="0" w:color="auto"/>
                  </w:divBdr>
                  <w:divsChild>
                    <w:div w:id="829978519">
                      <w:marLeft w:val="0"/>
                      <w:marRight w:val="0"/>
                      <w:marTop w:val="0"/>
                      <w:marBottom w:val="0"/>
                      <w:divBdr>
                        <w:top w:val="none" w:sz="0" w:space="0" w:color="auto"/>
                        <w:left w:val="none" w:sz="0" w:space="0" w:color="auto"/>
                        <w:bottom w:val="none" w:sz="0" w:space="0" w:color="auto"/>
                        <w:right w:val="none" w:sz="0" w:space="0" w:color="auto"/>
                      </w:divBdr>
                      <w:divsChild>
                        <w:div w:id="12674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726234">
          <w:blockQuote w:val="1"/>
          <w:marLeft w:val="600"/>
          <w:marRight w:val="0"/>
          <w:marTop w:val="0"/>
          <w:marBottom w:val="0"/>
          <w:divBdr>
            <w:top w:val="none" w:sz="0" w:space="0" w:color="auto"/>
            <w:left w:val="none" w:sz="0" w:space="0" w:color="auto"/>
            <w:bottom w:val="none" w:sz="0" w:space="0" w:color="auto"/>
            <w:right w:val="none" w:sz="0" w:space="0" w:color="auto"/>
          </w:divBdr>
          <w:divsChild>
            <w:div w:id="520631407">
              <w:blockQuote w:val="1"/>
              <w:marLeft w:val="600"/>
              <w:marRight w:val="0"/>
              <w:marTop w:val="0"/>
              <w:marBottom w:val="0"/>
              <w:divBdr>
                <w:top w:val="none" w:sz="0" w:space="0" w:color="auto"/>
                <w:left w:val="none" w:sz="0" w:space="0" w:color="auto"/>
                <w:bottom w:val="none" w:sz="0" w:space="0" w:color="auto"/>
                <w:right w:val="none" w:sz="0" w:space="0" w:color="auto"/>
              </w:divBdr>
              <w:divsChild>
                <w:div w:id="573317683">
                  <w:marLeft w:val="0"/>
                  <w:marRight w:val="0"/>
                  <w:marTop w:val="0"/>
                  <w:marBottom w:val="0"/>
                  <w:divBdr>
                    <w:top w:val="none" w:sz="0" w:space="0" w:color="auto"/>
                    <w:left w:val="none" w:sz="0" w:space="0" w:color="auto"/>
                    <w:bottom w:val="none" w:sz="0" w:space="0" w:color="auto"/>
                    <w:right w:val="none" w:sz="0" w:space="0" w:color="auto"/>
                  </w:divBdr>
                  <w:divsChild>
                    <w:div w:id="775247382">
                      <w:marLeft w:val="0"/>
                      <w:marRight w:val="0"/>
                      <w:marTop w:val="0"/>
                      <w:marBottom w:val="0"/>
                      <w:divBdr>
                        <w:top w:val="none" w:sz="0" w:space="0" w:color="auto"/>
                        <w:left w:val="none" w:sz="0" w:space="0" w:color="auto"/>
                        <w:bottom w:val="none" w:sz="0" w:space="0" w:color="auto"/>
                        <w:right w:val="none" w:sz="0" w:space="0" w:color="auto"/>
                      </w:divBdr>
                      <w:divsChild>
                        <w:div w:id="10700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99228">
              <w:blockQuote w:val="1"/>
              <w:marLeft w:val="600"/>
              <w:marRight w:val="0"/>
              <w:marTop w:val="0"/>
              <w:marBottom w:val="0"/>
              <w:divBdr>
                <w:top w:val="none" w:sz="0" w:space="0" w:color="auto"/>
                <w:left w:val="none" w:sz="0" w:space="0" w:color="auto"/>
                <w:bottom w:val="none" w:sz="0" w:space="0" w:color="auto"/>
                <w:right w:val="none" w:sz="0" w:space="0" w:color="auto"/>
              </w:divBdr>
              <w:divsChild>
                <w:div w:id="1055665066">
                  <w:marLeft w:val="0"/>
                  <w:marRight w:val="0"/>
                  <w:marTop w:val="0"/>
                  <w:marBottom w:val="0"/>
                  <w:divBdr>
                    <w:top w:val="none" w:sz="0" w:space="0" w:color="auto"/>
                    <w:left w:val="none" w:sz="0" w:space="0" w:color="auto"/>
                    <w:bottom w:val="none" w:sz="0" w:space="0" w:color="auto"/>
                    <w:right w:val="none" w:sz="0" w:space="0" w:color="auto"/>
                  </w:divBdr>
                  <w:divsChild>
                    <w:div w:id="1645770345">
                      <w:marLeft w:val="0"/>
                      <w:marRight w:val="0"/>
                      <w:marTop w:val="0"/>
                      <w:marBottom w:val="0"/>
                      <w:divBdr>
                        <w:top w:val="none" w:sz="0" w:space="0" w:color="auto"/>
                        <w:left w:val="none" w:sz="0" w:space="0" w:color="auto"/>
                        <w:bottom w:val="none" w:sz="0" w:space="0" w:color="auto"/>
                        <w:right w:val="none" w:sz="0" w:space="0" w:color="auto"/>
                      </w:divBdr>
                      <w:divsChild>
                        <w:div w:id="6579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44194">
              <w:blockQuote w:val="1"/>
              <w:marLeft w:val="600"/>
              <w:marRight w:val="0"/>
              <w:marTop w:val="0"/>
              <w:marBottom w:val="0"/>
              <w:divBdr>
                <w:top w:val="none" w:sz="0" w:space="0" w:color="auto"/>
                <w:left w:val="none" w:sz="0" w:space="0" w:color="auto"/>
                <w:bottom w:val="none" w:sz="0" w:space="0" w:color="auto"/>
                <w:right w:val="none" w:sz="0" w:space="0" w:color="auto"/>
              </w:divBdr>
              <w:divsChild>
                <w:div w:id="2044284275">
                  <w:marLeft w:val="0"/>
                  <w:marRight w:val="0"/>
                  <w:marTop w:val="0"/>
                  <w:marBottom w:val="0"/>
                  <w:divBdr>
                    <w:top w:val="none" w:sz="0" w:space="0" w:color="auto"/>
                    <w:left w:val="none" w:sz="0" w:space="0" w:color="auto"/>
                    <w:bottom w:val="none" w:sz="0" w:space="0" w:color="auto"/>
                    <w:right w:val="none" w:sz="0" w:space="0" w:color="auto"/>
                  </w:divBdr>
                  <w:divsChild>
                    <w:div w:id="291834744">
                      <w:marLeft w:val="0"/>
                      <w:marRight w:val="0"/>
                      <w:marTop w:val="0"/>
                      <w:marBottom w:val="0"/>
                      <w:divBdr>
                        <w:top w:val="none" w:sz="0" w:space="0" w:color="auto"/>
                        <w:left w:val="none" w:sz="0" w:space="0" w:color="auto"/>
                        <w:bottom w:val="none" w:sz="0" w:space="0" w:color="auto"/>
                        <w:right w:val="none" w:sz="0" w:space="0" w:color="auto"/>
                      </w:divBdr>
                      <w:divsChild>
                        <w:div w:id="7710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751451">
          <w:marLeft w:val="0"/>
          <w:marRight w:val="0"/>
          <w:marTop w:val="0"/>
          <w:marBottom w:val="0"/>
          <w:divBdr>
            <w:top w:val="none" w:sz="0" w:space="0" w:color="auto"/>
            <w:left w:val="none" w:sz="0" w:space="0" w:color="auto"/>
            <w:bottom w:val="none" w:sz="0" w:space="0" w:color="auto"/>
            <w:right w:val="none" w:sz="0" w:space="0" w:color="auto"/>
          </w:divBdr>
          <w:divsChild>
            <w:div w:id="340665066">
              <w:marLeft w:val="0"/>
              <w:marRight w:val="0"/>
              <w:marTop w:val="0"/>
              <w:marBottom w:val="0"/>
              <w:divBdr>
                <w:top w:val="none" w:sz="0" w:space="0" w:color="auto"/>
                <w:left w:val="none" w:sz="0" w:space="0" w:color="auto"/>
                <w:bottom w:val="none" w:sz="0" w:space="0" w:color="auto"/>
                <w:right w:val="none" w:sz="0" w:space="0" w:color="auto"/>
              </w:divBdr>
              <w:divsChild>
                <w:div w:id="121466798">
                  <w:marLeft w:val="0"/>
                  <w:marRight w:val="0"/>
                  <w:marTop w:val="0"/>
                  <w:marBottom w:val="0"/>
                  <w:divBdr>
                    <w:top w:val="none" w:sz="0" w:space="0" w:color="auto"/>
                    <w:left w:val="none" w:sz="0" w:space="0" w:color="auto"/>
                    <w:bottom w:val="none" w:sz="0" w:space="0" w:color="auto"/>
                    <w:right w:val="none" w:sz="0" w:space="0" w:color="auto"/>
                  </w:divBdr>
                </w:div>
                <w:div w:id="3197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5590">
          <w:marLeft w:val="0"/>
          <w:marRight w:val="0"/>
          <w:marTop w:val="0"/>
          <w:marBottom w:val="0"/>
          <w:divBdr>
            <w:top w:val="none" w:sz="0" w:space="0" w:color="auto"/>
            <w:left w:val="none" w:sz="0" w:space="0" w:color="auto"/>
            <w:bottom w:val="none" w:sz="0" w:space="0" w:color="auto"/>
            <w:right w:val="none" w:sz="0" w:space="0" w:color="auto"/>
          </w:divBdr>
          <w:divsChild>
            <w:div w:id="5782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4287">
      <w:bodyDiv w:val="1"/>
      <w:marLeft w:val="0"/>
      <w:marRight w:val="0"/>
      <w:marTop w:val="0"/>
      <w:marBottom w:val="0"/>
      <w:divBdr>
        <w:top w:val="none" w:sz="0" w:space="0" w:color="auto"/>
        <w:left w:val="none" w:sz="0" w:space="0" w:color="auto"/>
        <w:bottom w:val="none" w:sz="0" w:space="0" w:color="auto"/>
        <w:right w:val="none" w:sz="0" w:space="0" w:color="auto"/>
      </w:divBdr>
    </w:div>
    <w:div w:id="1614901134">
      <w:bodyDiv w:val="1"/>
      <w:marLeft w:val="0"/>
      <w:marRight w:val="0"/>
      <w:marTop w:val="0"/>
      <w:marBottom w:val="0"/>
      <w:divBdr>
        <w:top w:val="none" w:sz="0" w:space="0" w:color="auto"/>
        <w:left w:val="none" w:sz="0" w:space="0" w:color="auto"/>
        <w:bottom w:val="none" w:sz="0" w:space="0" w:color="auto"/>
        <w:right w:val="none" w:sz="0" w:space="0" w:color="auto"/>
      </w:divBdr>
    </w:div>
    <w:div w:id="1627735456">
      <w:bodyDiv w:val="1"/>
      <w:marLeft w:val="0"/>
      <w:marRight w:val="0"/>
      <w:marTop w:val="0"/>
      <w:marBottom w:val="0"/>
      <w:divBdr>
        <w:top w:val="none" w:sz="0" w:space="0" w:color="auto"/>
        <w:left w:val="none" w:sz="0" w:space="0" w:color="auto"/>
        <w:bottom w:val="none" w:sz="0" w:space="0" w:color="auto"/>
        <w:right w:val="none" w:sz="0" w:space="0" w:color="auto"/>
      </w:divBdr>
    </w:div>
    <w:div w:id="1636527277">
      <w:bodyDiv w:val="1"/>
      <w:marLeft w:val="0"/>
      <w:marRight w:val="0"/>
      <w:marTop w:val="0"/>
      <w:marBottom w:val="0"/>
      <w:divBdr>
        <w:top w:val="none" w:sz="0" w:space="0" w:color="auto"/>
        <w:left w:val="none" w:sz="0" w:space="0" w:color="auto"/>
        <w:bottom w:val="none" w:sz="0" w:space="0" w:color="auto"/>
        <w:right w:val="none" w:sz="0" w:space="0" w:color="auto"/>
      </w:divBdr>
    </w:div>
    <w:div w:id="1640381770">
      <w:bodyDiv w:val="1"/>
      <w:marLeft w:val="0"/>
      <w:marRight w:val="0"/>
      <w:marTop w:val="0"/>
      <w:marBottom w:val="0"/>
      <w:divBdr>
        <w:top w:val="none" w:sz="0" w:space="0" w:color="auto"/>
        <w:left w:val="none" w:sz="0" w:space="0" w:color="auto"/>
        <w:bottom w:val="none" w:sz="0" w:space="0" w:color="auto"/>
        <w:right w:val="none" w:sz="0" w:space="0" w:color="auto"/>
      </w:divBdr>
      <w:divsChild>
        <w:div w:id="1062412720">
          <w:marLeft w:val="0"/>
          <w:marRight w:val="0"/>
          <w:marTop w:val="0"/>
          <w:marBottom w:val="0"/>
          <w:divBdr>
            <w:top w:val="none" w:sz="0" w:space="0" w:color="auto"/>
            <w:left w:val="none" w:sz="0" w:space="0" w:color="auto"/>
            <w:bottom w:val="none" w:sz="0" w:space="0" w:color="auto"/>
            <w:right w:val="none" w:sz="0" w:space="0" w:color="auto"/>
          </w:divBdr>
          <w:divsChild>
            <w:div w:id="1170370396">
              <w:marLeft w:val="0"/>
              <w:marRight w:val="0"/>
              <w:marTop w:val="0"/>
              <w:marBottom w:val="0"/>
              <w:divBdr>
                <w:top w:val="none" w:sz="0" w:space="0" w:color="auto"/>
                <w:left w:val="none" w:sz="0" w:space="0" w:color="auto"/>
                <w:bottom w:val="none" w:sz="0" w:space="0" w:color="auto"/>
                <w:right w:val="none" w:sz="0" w:space="0" w:color="auto"/>
              </w:divBdr>
              <w:divsChild>
                <w:div w:id="1142693034">
                  <w:marLeft w:val="0"/>
                  <w:marRight w:val="0"/>
                  <w:marTop w:val="0"/>
                  <w:marBottom w:val="0"/>
                  <w:divBdr>
                    <w:top w:val="none" w:sz="0" w:space="0" w:color="auto"/>
                    <w:left w:val="none" w:sz="0" w:space="0" w:color="auto"/>
                    <w:bottom w:val="none" w:sz="0" w:space="0" w:color="auto"/>
                    <w:right w:val="none" w:sz="0" w:space="0" w:color="auto"/>
                  </w:divBdr>
                  <w:divsChild>
                    <w:div w:id="9553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5981">
      <w:bodyDiv w:val="1"/>
      <w:marLeft w:val="0"/>
      <w:marRight w:val="0"/>
      <w:marTop w:val="0"/>
      <w:marBottom w:val="0"/>
      <w:divBdr>
        <w:top w:val="none" w:sz="0" w:space="0" w:color="auto"/>
        <w:left w:val="none" w:sz="0" w:space="0" w:color="auto"/>
        <w:bottom w:val="none" w:sz="0" w:space="0" w:color="auto"/>
        <w:right w:val="none" w:sz="0" w:space="0" w:color="auto"/>
      </w:divBdr>
    </w:div>
    <w:div w:id="1658027276">
      <w:bodyDiv w:val="1"/>
      <w:marLeft w:val="0"/>
      <w:marRight w:val="0"/>
      <w:marTop w:val="0"/>
      <w:marBottom w:val="0"/>
      <w:divBdr>
        <w:top w:val="none" w:sz="0" w:space="0" w:color="auto"/>
        <w:left w:val="none" w:sz="0" w:space="0" w:color="auto"/>
        <w:bottom w:val="none" w:sz="0" w:space="0" w:color="auto"/>
        <w:right w:val="none" w:sz="0" w:space="0" w:color="auto"/>
      </w:divBdr>
    </w:div>
    <w:div w:id="1659378249">
      <w:bodyDiv w:val="1"/>
      <w:marLeft w:val="0"/>
      <w:marRight w:val="0"/>
      <w:marTop w:val="0"/>
      <w:marBottom w:val="0"/>
      <w:divBdr>
        <w:top w:val="none" w:sz="0" w:space="0" w:color="auto"/>
        <w:left w:val="none" w:sz="0" w:space="0" w:color="auto"/>
        <w:bottom w:val="none" w:sz="0" w:space="0" w:color="auto"/>
        <w:right w:val="none" w:sz="0" w:space="0" w:color="auto"/>
      </w:divBdr>
    </w:div>
    <w:div w:id="1661037553">
      <w:bodyDiv w:val="1"/>
      <w:marLeft w:val="0"/>
      <w:marRight w:val="0"/>
      <w:marTop w:val="0"/>
      <w:marBottom w:val="0"/>
      <w:divBdr>
        <w:top w:val="none" w:sz="0" w:space="0" w:color="auto"/>
        <w:left w:val="none" w:sz="0" w:space="0" w:color="auto"/>
        <w:bottom w:val="none" w:sz="0" w:space="0" w:color="auto"/>
        <w:right w:val="none" w:sz="0" w:space="0" w:color="auto"/>
      </w:divBdr>
    </w:div>
    <w:div w:id="1674529961">
      <w:bodyDiv w:val="1"/>
      <w:marLeft w:val="0"/>
      <w:marRight w:val="0"/>
      <w:marTop w:val="0"/>
      <w:marBottom w:val="0"/>
      <w:divBdr>
        <w:top w:val="none" w:sz="0" w:space="0" w:color="auto"/>
        <w:left w:val="none" w:sz="0" w:space="0" w:color="auto"/>
        <w:bottom w:val="none" w:sz="0" w:space="0" w:color="auto"/>
        <w:right w:val="none" w:sz="0" w:space="0" w:color="auto"/>
      </w:divBdr>
    </w:div>
    <w:div w:id="1676104541">
      <w:bodyDiv w:val="1"/>
      <w:marLeft w:val="0"/>
      <w:marRight w:val="0"/>
      <w:marTop w:val="0"/>
      <w:marBottom w:val="0"/>
      <w:divBdr>
        <w:top w:val="none" w:sz="0" w:space="0" w:color="auto"/>
        <w:left w:val="none" w:sz="0" w:space="0" w:color="auto"/>
        <w:bottom w:val="none" w:sz="0" w:space="0" w:color="auto"/>
        <w:right w:val="none" w:sz="0" w:space="0" w:color="auto"/>
      </w:divBdr>
    </w:div>
    <w:div w:id="1677803638">
      <w:bodyDiv w:val="1"/>
      <w:marLeft w:val="0"/>
      <w:marRight w:val="0"/>
      <w:marTop w:val="0"/>
      <w:marBottom w:val="0"/>
      <w:divBdr>
        <w:top w:val="none" w:sz="0" w:space="0" w:color="auto"/>
        <w:left w:val="none" w:sz="0" w:space="0" w:color="auto"/>
        <w:bottom w:val="none" w:sz="0" w:space="0" w:color="auto"/>
        <w:right w:val="none" w:sz="0" w:space="0" w:color="auto"/>
      </w:divBdr>
    </w:div>
    <w:div w:id="1686708605">
      <w:bodyDiv w:val="1"/>
      <w:marLeft w:val="0"/>
      <w:marRight w:val="0"/>
      <w:marTop w:val="0"/>
      <w:marBottom w:val="0"/>
      <w:divBdr>
        <w:top w:val="none" w:sz="0" w:space="0" w:color="auto"/>
        <w:left w:val="none" w:sz="0" w:space="0" w:color="auto"/>
        <w:bottom w:val="none" w:sz="0" w:space="0" w:color="auto"/>
        <w:right w:val="none" w:sz="0" w:space="0" w:color="auto"/>
      </w:divBdr>
    </w:div>
    <w:div w:id="1695114957">
      <w:bodyDiv w:val="1"/>
      <w:marLeft w:val="0"/>
      <w:marRight w:val="0"/>
      <w:marTop w:val="0"/>
      <w:marBottom w:val="0"/>
      <w:divBdr>
        <w:top w:val="none" w:sz="0" w:space="0" w:color="auto"/>
        <w:left w:val="none" w:sz="0" w:space="0" w:color="auto"/>
        <w:bottom w:val="none" w:sz="0" w:space="0" w:color="auto"/>
        <w:right w:val="none" w:sz="0" w:space="0" w:color="auto"/>
      </w:divBdr>
    </w:div>
    <w:div w:id="1696418799">
      <w:bodyDiv w:val="1"/>
      <w:marLeft w:val="0"/>
      <w:marRight w:val="0"/>
      <w:marTop w:val="0"/>
      <w:marBottom w:val="0"/>
      <w:divBdr>
        <w:top w:val="none" w:sz="0" w:space="0" w:color="auto"/>
        <w:left w:val="none" w:sz="0" w:space="0" w:color="auto"/>
        <w:bottom w:val="none" w:sz="0" w:space="0" w:color="auto"/>
        <w:right w:val="none" w:sz="0" w:space="0" w:color="auto"/>
      </w:divBdr>
    </w:div>
    <w:div w:id="1699309261">
      <w:bodyDiv w:val="1"/>
      <w:marLeft w:val="0"/>
      <w:marRight w:val="0"/>
      <w:marTop w:val="0"/>
      <w:marBottom w:val="0"/>
      <w:divBdr>
        <w:top w:val="none" w:sz="0" w:space="0" w:color="auto"/>
        <w:left w:val="none" w:sz="0" w:space="0" w:color="auto"/>
        <w:bottom w:val="none" w:sz="0" w:space="0" w:color="auto"/>
        <w:right w:val="none" w:sz="0" w:space="0" w:color="auto"/>
      </w:divBdr>
      <w:divsChild>
        <w:div w:id="49155790">
          <w:marLeft w:val="0"/>
          <w:marRight w:val="0"/>
          <w:marTop w:val="0"/>
          <w:marBottom w:val="0"/>
          <w:divBdr>
            <w:top w:val="none" w:sz="0" w:space="0" w:color="auto"/>
            <w:left w:val="none" w:sz="0" w:space="0" w:color="auto"/>
            <w:bottom w:val="none" w:sz="0" w:space="0" w:color="auto"/>
            <w:right w:val="none" w:sz="0" w:space="0" w:color="auto"/>
          </w:divBdr>
        </w:div>
        <w:div w:id="61605767">
          <w:marLeft w:val="0"/>
          <w:marRight w:val="0"/>
          <w:marTop w:val="0"/>
          <w:marBottom w:val="0"/>
          <w:divBdr>
            <w:top w:val="none" w:sz="0" w:space="0" w:color="auto"/>
            <w:left w:val="none" w:sz="0" w:space="0" w:color="auto"/>
            <w:bottom w:val="none" w:sz="0" w:space="0" w:color="auto"/>
            <w:right w:val="none" w:sz="0" w:space="0" w:color="auto"/>
          </w:divBdr>
        </w:div>
        <w:div w:id="99838859">
          <w:marLeft w:val="0"/>
          <w:marRight w:val="0"/>
          <w:marTop w:val="0"/>
          <w:marBottom w:val="0"/>
          <w:divBdr>
            <w:top w:val="none" w:sz="0" w:space="0" w:color="auto"/>
            <w:left w:val="none" w:sz="0" w:space="0" w:color="auto"/>
            <w:bottom w:val="none" w:sz="0" w:space="0" w:color="auto"/>
            <w:right w:val="none" w:sz="0" w:space="0" w:color="auto"/>
          </w:divBdr>
        </w:div>
        <w:div w:id="468282290">
          <w:marLeft w:val="0"/>
          <w:marRight w:val="0"/>
          <w:marTop w:val="0"/>
          <w:marBottom w:val="0"/>
          <w:divBdr>
            <w:top w:val="none" w:sz="0" w:space="0" w:color="auto"/>
            <w:left w:val="none" w:sz="0" w:space="0" w:color="auto"/>
            <w:bottom w:val="none" w:sz="0" w:space="0" w:color="auto"/>
            <w:right w:val="none" w:sz="0" w:space="0" w:color="auto"/>
          </w:divBdr>
        </w:div>
        <w:div w:id="554896857">
          <w:marLeft w:val="0"/>
          <w:marRight w:val="0"/>
          <w:marTop w:val="0"/>
          <w:marBottom w:val="0"/>
          <w:divBdr>
            <w:top w:val="none" w:sz="0" w:space="0" w:color="auto"/>
            <w:left w:val="none" w:sz="0" w:space="0" w:color="auto"/>
            <w:bottom w:val="none" w:sz="0" w:space="0" w:color="auto"/>
            <w:right w:val="none" w:sz="0" w:space="0" w:color="auto"/>
          </w:divBdr>
        </w:div>
        <w:div w:id="697050822">
          <w:marLeft w:val="0"/>
          <w:marRight w:val="0"/>
          <w:marTop w:val="0"/>
          <w:marBottom w:val="0"/>
          <w:divBdr>
            <w:top w:val="none" w:sz="0" w:space="0" w:color="auto"/>
            <w:left w:val="none" w:sz="0" w:space="0" w:color="auto"/>
            <w:bottom w:val="none" w:sz="0" w:space="0" w:color="auto"/>
            <w:right w:val="none" w:sz="0" w:space="0" w:color="auto"/>
          </w:divBdr>
        </w:div>
        <w:div w:id="1156186221">
          <w:marLeft w:val="0"/>
          <w:marRight w:val="0"/>
          <w:marTop w:val="0"/>
          <w:marBottom w:val="0"/>
          <w:divBdr>
            <w:top w:val="none" w:sz="0" w:space="0" w:color="auto"/>
            <w:left w:val="none" w:sz="0" w:space="0" w:color="auto"/>
            <w:bottom w:val="none" w:sz="0" w:space="0" w:color="auto"/>
            <w:right w:val="none" w:sz="0" w:space="0" w:color="auto"/>
          </w:divBdr>
        </w:div>
        <w:div w:id="1204562006">
          <w:marLeft w:val="0"/>
          <w:marRight w:val="0"/>
          <w:marTop w:val="0"/>
          <w:marBottom w:val="0"/>
          <w:divBdr>
            <w:top w:val="none" w:sz="0" w:space="0" w:color="auto"/>
            <w:left w:val="none" w:sz="0" w:space="0" w:color="auto"/>
            <w:bottom w:val="none" w:sz="0" w:space="0" w:color="auto"/>
            <w:right w:val="none" w:sz="0" w:space="0" w:color="auto"/>
          </w:divBdr>
        </w:div>
        <w:div w:id="1322924310">
          <w:marLeft w:val="0"/>
          <w:marRight w:val="0"/>
          <w:marTop w:val="0"/>
          <w:marBottom w:val="0"/>
          <w:divBdr>
            <w:top w:val="none" w:sz="0" w:space="0" w:color="auto"/>
            <w:left w:val="none" w:sz="0" w:space="0" w:color="auto"/>
            <w:bottom w:val="none" w:sz="0" w:space="0" w:color="auto"/>
            <w:right w:val="none" w:sz="0" w:space="0" w:color="auto"/>
          </w:divBdr>
        </w:div>
        <w:div w:id="1379668816">
          <w:marLeft w:val="0"/>
          <w:marRight w:val="0"/>
          <w:marTop w:val="0"/>
          <w:marBottom w:val="0"/>
          <w:divBdr>
            <w:top w:val="none" w:sz="0" w:space="0" w:color="auto"/>
            <w:left w:val="none" w:sz="0" w:space="0" w:color="auto"/>
            <w:bottom w:val="none" w:sz="0" w:space="0" w:color="auto"/>
            <w:right w:val="none" w:sz="0" w:space="0" w:color="auto"/>
          </w:divBdr>
          <w:divsChild>
            <w:div w:id="139924342">
              <w:marLeft w:val="0"/>
              <w:marRight w:val="0"/>
              <w:marTop w:val="0"/>
              <w:marBottom w:val="0"/>
              <w:divBdr>
                <w:top w:val="none" w:sz="0" w:space="0" w:color="auto"/>
                <w:left w:val="none" w:sz="0" w:space="0" w:color="auto"/>
                <w:bottom w:val="none" w:sz="0" w:space="0" w:color="auto"/>
                <w:right w:val="none" w:sz="0" w:space="0" w:color="auto"/>
              </w:divBdr>
            </w:div>
            <w:div w:id="258952796">
              <w:marLeft w:val="0"/>
              <w:marRight w:val="0"/>
              <w:marTop w:val="0"/>
              <w:marBottom w:val="0"/>
              <w:divBdr>
                <w:top w:val="none" w:sz="0" w:space="0" w:color="auto"/>
                <w:left w:val="none" w:sz="0" w:space="0" w:color="auto"/>
                <w:bottom w:val="none" w:sz="0" w:space="0" w:color="auto"/>
                <w:right w:val="none" w:sz="0" w:space="0" w:color="auto"/>
              </w:divBdr>
            </w:div>
            <w:div w:id="294458136">
              <w:marLeft w:val="0"/>
              <w:marRight w:val="0"/>
              <w:marTop w:val="0"/>
              <w:marBottom w:val="0"/>
              <w:divBdr>
                <w:top w:val="none" w:sz="0" w:space="0" w:color="auto"/>
                <w:left w:val="none" w:sz="0" w:space="0" w:color="auto"/>
                <w:bottom w:val="none" w:sz="0" w:space="0" w:color="auto"/>
                <w:right w:val="none" w:sz="0" w:space="0" w:color="auto"/>
              </w:divBdr>
            </w:div>
            <w:div w:id="351732758">
              <w:marLeft w:val="0"/>
              <w:marRight w:val="0"/>
              <w:marTop w:val="0"/>
              <w:marBottom w:val="0"/>
              <w:divBdr>
                <w:top w:val="none" w:sz="0" w:space="0" w:color="auto"/>
                <w:left w:val="none" w:sz="0" w:space="0" w:color="auto"/>
                <w:bottom w:val="none" w:sz="0" w:space="0" w:color="auto"/>
                <w:right w:val="none" w:sz="0" w:space="0" w:color="auto"/>
              </w:divBdr>
            </w:div>
            <w:div w:id="928000882">
              <w:marLeft w:val="0"/>
              <w:marRight w:val="0"/>
              <w:marTop w:val="0"/>
              <w:marBottom w:val="0"/>
              <w:divBdr>
                <w:top w:val="none" w:sz="0" w:space="0" w:color="auto"/>
                <w:left w:val="none" w:sz="0" w:space="0" w:color="auto"/>
                <w:bottom w:val="none" w:sz="0" w:space="0" w:color="auto"/>
                <w:right w:val="none" w:sz="0" w:space="0" w:color="auto"/>
              </w:divBdr>
            </w:div>
            <w:div w:id="1319922405">
              <w:marLeft w:val="0"/>
              <w:marRight w:val="0"/>
              <w:marTop w:val="0"/>
              <w:marBottom w:val="0"/>
              <w:divBdr>
                <w:top w:val="none" w:sz="0" w:space="0" w:color="auto"/>
                <w:left w:val="none" w:sz="0" w:space="0" w:color="auto"/>
                <w:bottom w:val="none" w:sz="0" w:space="0" w:color="auto"/>
                <w:right w:val="none" w:sz="0" w:space="0" w:color="auto"/>
              </w:divBdr>
            </w:div>
          </w:divsChild>
        </w:div>
        <w:div w:id="1479225221">
          <w:marLeft w:val="0"/>
          <w:marRight w:val="0"/>
          <w:marTop w:val="0"/>
          <w:marBottom w:val="0"/>
          <w:divBdr>
            <w:top w:val="none" w:sz="0" w:space="0" w:color="auto"/>
            <w:left w:val="none" w:sz="0" w:space="0" w:color="auto"/>
            <w:bottom w:val="none" w:sz="0" w:space="0" w:color="auto"/>
            <w:right w:val="none" w:sz="0" w:space="0" w:color="auto"/>
          </w:divBdr>
        </w:div>
        <w:div w:id="1508212349">
          <w:marLeft w:val="0"/>
          <w:marRight w:val="0"/>
          <w:marTop w:val="0"/>
          <w:marBottom w:val="0"/>
          <w:divBdr>
            <w:top w:val="none" w:sz="0" w:space="0" w:color="auto"/>
            <w:left w:val="none" w:sz="0" w:space="0" w:color="auto"/>
            <w:bottom w:val="none" w:sz="0" w:space="0" w:color="auto"/>
            <w:right w:val="none" w:sz="0" w:space="0" w:color="auto"/>
          </w:divBdr>
        </w:div>
      </w:divsChild>
    </w:div>
    <w:div w:id="1712072321">
      <w:bodyDiv w:val="1"/>
      <w:marLeft w:val="0"/>
      <w:marRight w:val="0"/>
      <w:marTop w:val="0"/>
      <w:marBottom w:val="0"/>
      <w:divBdr>
        <w:top w:val="none" w:sz="0" w:space="0" w:color="auto"/>
        <w:left w:val="none" w:sz="0" w:space="0" w:color="auto"/>
        <w:bottom w:val="none" w:sz="0" w:space="0" w:color="auto"/>
        <w:right w:val="none" w:sz="0" w:space="0" w:color="auto"/>
      </w:divBdr>
    </w:div>
    <w:div w:id="1723167071">
      <w:bodyDiv w:val="1"/>
      <w:marLeft w:val="0"/>
      <w:marRight w:val="0"/>
      <w:marTop w:val="0"/>
      <w:marBottom w:val="0"/>
      <w:divBdr>
        <w:top w:val="none" w:sz="0" w:space="0" w:color="auto"/>
        <w:left w:val="none" w:sz="0" w:space="0" w:color="auto"/>
        <w:bottom w:val="none" w:sz="0" w:space="0" w:color="auto"/>
        <w:right w:val="none" w:sz="0" w:space="0" w:color="auto"/>
      </w:divBdr>
    </w:div>
    <w:div w:id="1725911871">
      <w:bodyDiv w:val="1"/>
      <w:marLeft w:val="0"/>
      <w:marRight w:val="0"/>
      <w:marTop w:val="0"/>
      <w:marBottom w:val="0"/>
      <w:divBdr>
        <w:top w:val="none" w:sz="0" w:space="0" w:color="auto"/>
        <w:left w:val="none" w:sz="0" w:space="0" w:color="auto"/>
        <w:bottom w:val="none" w:sz="0" w:space="0" w:color="auto"/>
        <w:right w:val="none" w:sz="0" w:space="0" w:color="auto"/>
      </w:divBdr>
    </w:div>
    <w:div w:id="1730305638">
      <w:bodyDiv w:val="1"/>
      <w:marLeft w:val="0"/>
      <w:marRight w:val="0"/>
      <w:marTop w:val="0"/>
      <w:marBottom w:val="0"/>
      <w:divBdr>
        <w:top w:val="none" w:sz="0" w:space="0" w:color="auto"/>
        <w:left w:val="none" w:sz="0" w:space="0" w:color="auto"/>
        <w:bottom w:val="none" w:sz="0" w:space="0" w:color="auto"/>
        <w:right w:val="none" w:sz="0" w:space="0" w:color="auto"/>
      </w:divBdr>
    </w:div>
    <w:div w:id="1740060056">
      <w:bodyDiv w:val="1"/>
      <w:marLeft w:val="0"/>
      <w:marRight w:val="0"/>
      <w:marTop w:val="0"/>
      <w:marBottom w:val="0"/>
      <w:divBdr>
        <w:top w:val="none" w:sz="0" w:space="0" w:color="auto"/>
        <w:left w:val="none" w:sz="0" w:space="0" w:color="auto"/>
        <w:bottom w:val="none" w:sz="0" w:space="0" w:color="auto"/>
        <w:right w:val="none" w:sz="0" w:space="0" w:color="auto"/>
      </w:divBdr>
    </w:div>
    <w:div w:id="1751349580">
      <w:bodyDiv w:val="1"/>
      <w:marLeft w:val="0"/>
      <w:marRight w:val="0"/>
      <w:marTop w:val="0"/>
      <w:marBottom w:val="0"/>
      <w:divBdr>
        <w:top w:val="none" w:sz="0" w:space="0" w:color="auto"/>
        <w:left w:val="none" w:sz="0" w:space="0" w:color="auto"/>
        <w:bottom w:val="none" w:sz="0" w:space="0" w:color="auto"/>
        <w:right w:val="none" w:sz="0" w:space="0" w:color="auto"/>
      </w:divBdr>
    </w:div>
    <w:div w:id="1763064628">
      <w:bodyDiv w:val="1"/>
      <w:marLeft w:val="0"/>
      <w:marRight w:val="0"/>
      <w:marTop w:val="0"/>
      <w:marBottom w:val="0"/>
      <w:divBdr>
        <w:top w:val="none" w:sz="0" w:space="0" w:color="auto"/>
        <w:left w:val="none" w:sz="0" w:space="0" w:color="auto"/>
        <w:bottom w:val="none" w:sz="0" w:space="0" w:color="auto"/>
        <w:right w:val="none" w:sz="0" w:space="0" w:color="auto"/>
      </w:divBdr>
    </w:div>
    <w:div w:id="1768117168">
      <w:bodyDiv w:val="1"/>
      <w:marLeft w:val="0"/>
      <w:marRight w:val="0"/>
      <w:marTop w:val="0"/>
      <w:marBottom w:val="0"/>
      <w:divBdr>
        <w:top w:val="none" w:sz="0" w:space="0" w:color="auto"/>
        <w:left w:val="none" w:sz="0" w:space="0" w:color="auto"/>
        <w:bottom w:val="none" w:sz="0" w:space="0" w:color="auto"/>
        <w:right w:val="none" w:sz="0" w:space="0" w:color="auto"/>
      </w:divBdr>
      <w:divsChild>
        <w:div w:id="390735324">
          <w:marLeft w:val="0"/>
          <w:marRight w:val="0"/>
          <w:marTop w:val="0"/>
          <w:marBottom w:val="0"/>
          <w:divBdr>
            <w:top w:val="none" w:sz="0" w:space="0" w:color="auto"/>
            <w:left w:val="none" w:sz="0" w:space="0" w:color="auto"/>
            <w:bottom w:val="none" w:sz="0" w:space="0" w:color="auto"/>
            <w:right w:val="none" w:sz="0" w:space="0" w:color="auto"/>
          </w:divBdr>
          <w:divsChild>
            <w:div w:id="1250307359">
              <w:marLeft w:val="0"/>
              <w:marRight w:val="0"/>
              <w:marTop w:val="0"/>
              <w:marBottom w:val="0"/>
              <w:divBdr>
                <w:top w:val="none" w:sz="0" w:space="0" w:color="auto"/>
                <w:left w:val="none" w:sz="0" w:space="0" w:color="auto"/>
                <w:bottom w:val="none" w:sz="0" w:space="0" w:color="auto"/>
                <w:right w:val="none" w:sz="0" w:space="0" w:color="auto"/>
              </w:divBdr>
              <w:divsChild>
                <w:div w:id="1462576246">
                  <w:marLeft w:val="0"/>
                  <w:marRight w:val="0"/>
                  <w:marTop w:val="0"/>
                  <w:marBottom w:val="0"/>
                  <w:divBdr>
                    <w:top w:val="none" w:sz="0" w:space="0" w:color="auto"/>
                    <w:left w:val="none" w:sz="0" w:space="0" w:color="auto"/>
                    <w:bottom w:val="none" w:sz="0" w:space="0" w:color="auto"/>
                    <w:right w:val="none" w:sz="0" w:space="0" w:color="auto"/>
                  </w:divBdr>
                  <w:divsChild>
                    <w:div w:id="7758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670519">
      <w:bodyDiv w:val="1"/>
      <w:marLeft w:val="0"/>
      <w:marRight w:val="0"/>
      <w:marTop w:val="0"/>
      <w:marBottom w:val="0"/>
      <w:divBdr>
        <w:top w:val="none" w:sz="0" w:space="0" w:color="auto"/>
        <w:left w:val="none" w:sz="0" w:space="0" w:color="auto"/>
        <w:bottom w:val="none" w:sz="0" w:space="0" w:color="auto"/>
        <w:right w:val="none" w:sz="0" w:space="0" w:color="auto"/>
      </w:divBdr>
      <w:divsChild>
        <w:div w:id="1409115302">
          <w:marLeft w:val="0"/>
          <w:marRight w:val="0"/>
          <w:marTop w:val="0"/>
          <w:marBottom w:val="0"/>
          <w:divBdr>
            <w:top w:val="none" w:sz="0" w:space="0" w:color="auto"/>
            <w:left w:val="none" w:sz="0" w:space="0" w:color="auto"/>
            <w:bottom w:val="none" w:sz="0" w:space="0" w:color="auto"/>
            <w:right w:val="none" w:sz="0" w:space="0" w:color="auto"/>
          </w:divBdr>
          <w:divsChild>
            <w:div w:id="409740510">
              <w:marLeft w:val="0"/>
              <w:marRight w:val="0"/>
              <w:marTop w:val="0"/>
              <w:marBottom w:val="0"/>
              <w:divBdr>
                <w:top w:val="none" w:sz="0" w:space="0" w:color="auto"/>
                <w:left w:val="none" w:sz="0" w:space="0" w:color="auto"/>
                <w:bottom w:val="none" w:sz="0" w:space="0" w:color="auto"/>
                <w:right w:val="none" w:sz="0" w:space="0" w:color="auto"/>
              </w:divBdr>
            </w:div>
            <w:div w:id="199426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86599">
      <w:bodyDiv w:val="1"/>
      <w:marLeft w:val="0"/>
      <w:marRight w:val="0"/>
      <w:marTop w:val="0"/>
      <w:marBottom w:val="0"/>
      <w:divBdr>
        <w:top w:val="none" w:sz="0" w:space="0" w:color="auto"/>
        <w:left w:val="none" w:sz="0" w:space="0" w:color="auto"/>
        <w:bottom w:val="none" w:sz="0" w:space="0" w:color="auto"/>
        <w:right w:val="none" w:sz="0" w:space="0" w:color="auto"/>
      </w:divBdr>
    </w:div>
    <w:div w:id="1798525125">
      <w:bodyDiv w:val="1"/>
      <w:marLeft w:val="0"/>
      <w:marRight w:val="0"/>
      <w:marTop w:val="0"/>
      <w:marBottom w:val="0"/>
      <w:divBdr>
        <w:top w:val="none" w:sz="0" w:space="0" w:color="auto"/>
        <w:left w:val="none" w:sz="0" w:space="0" w:color="auto"/>
        <w:bottom w:val="none" w:sz="0" w:space="0" w:color="auto"/>
        <w:right w:val="none" w:sz="0" w:space="0" w:color="auto"/>
      </w:divBdr>
    </w:div>
    <w:div w:id="1806503978">
      <w:bodyDiv w:val="1"/>
      <w:marLeft w:val="0"/>
      <w:marRight w:val="0"/>
      <w:marTop w:val="0"/>
      <w:marBottom w:val="0"/>
      <w:divBdr>
        <w:top w:val="none" w:sz="0" w:space="0" w:color="auto"/>
        <w:left w:val="none" w:sz="0" w:space="0" w:color="auto"/>
        <w:bottom w:val="none" w:sz="0" w:space="0" w:color="auto"/>
        <w:right w:val="none" w:sz="0" w:space="0" w:color="auto"/>
      </w:divBdr>
    </w:div>
    <w:div w:id="1808235734">
      <w:bodyDiv w:val="1"/>
      <w:marLeft w:val="0"/>
      <w:marRight w:val="0"/>
      <w:marTop w:val="0"/>
      <w:marBottom w:val="0"/>
      <w:divBdr>
        <w:top w:val="none" w:sz="0" w:space="0" w:color="auto"/>
        <w:left w:val="none" w:sz="0" w:space="0" w:color="auto"/>
        <w:bottom w:val="none" w:sz="0" w:space="0" w:color="auto"/>
        <w:right w:val="none" w:sz="0" w:space="0" w:color="auto"/>
      </w:divBdr>
    </w:div>
    <w:div w:id="1808664058">
      <w:bodyDiv w:val="1"/>
      <w:marLeft w:val="0"/>
      <w:marRight w:val="0"/>
      <w:marTop w:val="0"/>
      <w:marBottom w:val="0"/>
      <w:divBdr>
        <w:top w:val="none" w:sz="0" w:space="0" w:color="auto"/>
        <w:left w:val="none" w:sz="0" w:space="0" w:color="auto"/>
        <w:bottom w:val="none" w:sz="0" w:space="0" w:color="auto"/>
        <w:right w:val="none" w:sz="0" w:space="0" w:color="auto"/>
      </w:divBdr>
    </w:div>
    <w:div w:id="1813790686">
      <w:bodyDiv w:val="1"/>
      <w:marLeft w:val="0"/>
      <w:marRight w:val="0"/>
      <w:marTop w:val="0"/>
      <w:marBottom w:val="0"/>
      <w:divBdr>
        <w:top w:val="none" w:sz="0" w:space="0" w:color="auto"/>
        <w:left w:val="none" w:sz="0" w:space="0" w:color="auto"/>
        <w:bottom w:val="none" w:sz="0" w:space="0" w:color="auto"/>
        <w:right w:val="none" w:sz="0" w:space="0" w:color="auto"/>
      </w:divBdr>
    </w:div>
    <w:div w:id="1823693036">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sChild>
        <w:div w:id="165872683">
          <w:marLeft w:val="0"/>
          <w:marRight w:val="0"/>
          <w:marTop w:val="0"/>
          <w:marBottom w:val="0"/>
          <w:divBdr>
            <w:top w:val="none" w:sz="0" w:space="0" w:color="auto"/>
            <w:left w:val="none" w:sz="0" w:space="0" w:color="auto"/>
            <w:bottom w:val="none" w:sz="0" w:space="0" w:color="auto"/>
            <w:right w:val="none" w:sz="0" w:space="0" w:color="auto"/>
          </w:divBdr>
        </w:div>
      </w:divsChild>
    </w:div>
    <w:div w:id="1834027268">
      <w:bodyDiv w:val="1"/>
      <w:marLeft w:val="0"/>
      <w:marRight w:val="0"/>
      <w:marTop w:val="0"/>
      <w:marBottom w:val="0"/>
      <w:divBdr>
        <w:top w:val="none" w:sz="0" w:space="0" w:color="auto"/>
        <w:left w:val="none" w:sz="0" w:space="0" w:color="auto"/>
        <w:bottom w:val="none" w:sz="0" w:space="0" w:color="auto"/>
        <w:right w:val="none" w:sz="0" w:space="0" w:color="auto"/>
      </w:divBdr>
      <w:divsChild>
        <w:div w:id="1686783447">
          <w:marLeft w:val="0"/>
          <w:marRight w:val="0"/>
          <w:marTop w:val="0"/>
          <w:marBottom w:val="0"/>
          <w:divBdr>
            <w:top w:val="none" w:sz="0" w:space="0" w:color="auto"/>
            <w:left w:val="none" w:sz="0" w:space="0" w:color="auto"/>
            <w:bottom w:val="none" w:sz="0" w:space="0" w:color="auto"/>
            <w:right w:val="none" w:sz="0" w:space="0" w:color="auto"/>
          </w:divBdr>
          <w:divsChild>
            <w:div w:id="369959757">
              <w:marLeft w:val="0"/>
              <w:marRight w:val="0"/>
              <w:marTop w:val="0"/>
              <w:marBottom w:val="0"/>
              <w:divBdr>
                <w:top w:val="none" w:sz="0" w:space="0" w:color="auto"/>
                <w:left w:val="none" w:sz="0" w:space="0" w:color="auto"/>
                <w:bottom w:val="none" w:sz="0" w:space="0" w:color="auto"/>
                <w:right w:val="none" w:sz="0" w:space="0" w:color="auto"/>
              </w:divBdr>
              <w:divsChild>
                <w:div w:id="46624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10420">
      <w:bodyDiv w:val="1"/>
      <w:marLeft w:val="0"/>
      <w:marRight w:val="0"/>
      <w:marTop w:val="0"/>
      <w:marBottom w:val="0"/>
      <w:divBdr>
        <w:top w:val="none" w:sz="0" w:space="0" w:color="auto"/>
        <w:left w:val="none" w:sz="0" w:space="0" w:color="auto"/>
        <w:bottom w:val="none" w:sz="0" w:space="0" w:color="auto"/>
        <w:right w:val="none" w:sz="0" w:space="0" w:color="auto"/>
      </w:divBdr>
    </w:div>
    <w:div w:id="1845901462">
      <w:bodyDiv w:val="1"/>
      <w:marLeft w:val="0"/>
      <w:marRight w:val="0"/>
      <w:marTop w:val="0"/>
      <w:marBottom w:val="0"/>
      <w:divBdr>
        <w:top w:val="none" w:sz="0" w:space="0" w:color="auto"/>
        <w:left w:val="none" w:sz="0" w:space="0" w:color="auto"/>
        <w:bottom w:val="none" w:sz="0" w:space="0" w:color="auto"/>
        <w:right w:val="none" w:sz="0" w:space="0" w:color="auto"/>
      </w:divBdr>
    </w:div>
    <w:div w:id="1857767044">
      <w:bodyDiv w:val="1"/>
      <w:marLeft w:val="0"/>
      <w:marRight w:val="0"/>
      <w:marTop w:val="0"/>
      <w:marBottom w:val="0"/>
      <w:divBdr>
        <w:top w:val="none" w:sz="0" w:space="0" w:color="auto"/>
        <w:left w:val="none" w:sz="0" w:space="0" w:color="auto"/>
        <w:bottom w:val="none" w:sz="0" w:space="0" w:color="auto"/>
        <w:right w:val="none" w:sz="0" w:space="0" w:color="auto"/>
      </w:divBdr>
    </w:div>
    <w:div w:id="1866940184">
      <w:bodyDiv w:val="1"/>
      <w:marLeft w:val="0"/>
      <w:marRight w:val="0"/>
      <w:marTop w:val="0"/>
      <w:marBottom w:val="0"/>
      <w:divBdr>
        <w:top w:val="none" w:sz="0" w:space="0" w:color="auto"/>
        <w:left w:val="none" w:sz="0" w:space="0" w:color="auto"/>
        <w:bottom w:val="none" w:sz="0" w:space="0" w:color="auto"/>
        <w:right w:val="none" w:sz="0" w:space="0" w:color="auto"/>
      </w:divBdr>
    </w:div>
    <w:div w:id="1867523954">
      <w:bodyDiv w:val="1"/>
      <w:marLeft w:val="0"/>
      <w:marRight w:val="0"/>
      <w:marTop w:val="0"/>
      <w:marBottom w:val="0"/>
      <w:divBdr>
        <w:top w:val="none" w:sz="0" w:space="0" w:color="auto"/>
        <w:left w:val="none" w:sz="0" w:space="0" w:color="auto"/>
        <w:bottom w:val="none" w:sz="0" w:space="0" w:color="auto"/>
        <w:right w:val="none" w:sz="0" w:space="0" w:color="auto"/>
      </w:divBdr>
      <w:divsChild>
        <w:div w:id="327903512">
          <w:marLeft w:val="0"/>
          <w:marRight w:val="0"/>
          <w:marTop w:val="0"/>
          <w:marBottom w:val="0"/>
          <w:divBdr>
            <w:top w:val="none" w:sz="0" w:space="0" w:color="auto"/>
            <w:left w:val="none" w:sz="0" w:space="0" w:color="auto"/>
            <w:bottom w:val="none" w:sz="0" w:space="0" w:color="auto"/>
            <w:right w:val="none" w:sz="0" w:space="0" w:color="auto"/>
          </w:divBdr>
        </w:div>
        <w:div w:id="494733641">
          <w:marLeft w:val="0"/>
          <w:marRight w:val="0"/>
          <w:marTop w:val="0"/>
          <w:marBottom w:val="0"/>
          <w:divBdr>
            <w:top w:val="none" w:sz="0" w:space="0" w:color="auto"/>
            <w:left w:val="none" w:sz="0" w:space="0" w:color="auto"/>
            <w:bottom w:val="none" w:sz="0" w:space="0" w:color="auto"/>
            <w:right w:val="none" w:sz="0" w:space="0" w:color="auto"/>
          </w:divBdr>
          <w:divsChild>
            <w:div w:id="1764109376">
              <w:marLeft w:val="0"/>
              <w:marRight w:val="0"/>
              <w:marTop w:val="0"/>
              <w:marBottom w:val="0"/>
              <w:divBdr>
                <w:top w:val="none" w:sz="0" w:space="0" w:color="auto"/>
                <w:left w:val="none" w:sz="0" w:space="0" w:color="auto"/>
                <w:bottom w:val="none" w:sz="0" w:space="0" w:color="auto"/>
                <w:right w:val="none" w:sz="0" w:space="0" w:color="auto"/>
              </w:divBdr>
            </w:div>
          </w:divsChild>
        </w:div>
        <w:div w:id="1252204489">
          <w:marLeft w:val="0"/>
          <w:marRight w:val="0"/>
          <w:marTop w:val="0"/>
          <w:marBottom w:val="0"/>
          <w:divBdr>
            <w:top w:val="none" w:sz="0" w:space="0" w:color="auto"/>
            <w:left w:val="none" w:sz="0" w:space="0" w:color="auto"/>
            <w:bottom w:val="none" w:sz="0" w:space="0" w:color="auto"/>
            <w:right w:val="none" w:sz="0" w:space="0" w:color="auto"/>
          </w:divBdr>
        </w:div>
        <w:div w:id="1550649739">
          <w:marLeft w:val="0"/>
          <w:marRight w:val="0"/>
          <w:marTop w:val="0"/>
          <w:marBottom w:val="0"/>
          <w:divBdr>
            <w:top w:val="none" w:sz="0" w:space="0" w:color="auto"/>
            <w:left w:val="none" w:sz="0" w:space="0" w:color="auto"/>
            <w:bottom w:val="none" w:sz="0" w:space="0" w:color="auto"/>
            <w:right w:val="none" w:sz="0" w:space="0" w:color="auto"/>
          </w:divBdr>
          <w:divsChild>
            <w:div w:id="880629919">
              <w:marLeft w:val="0"/>
              <w:marRight w:val="0"/>
              <w:marTop w:val="0"/>
              <w:marBottom w:val="0"/>
              <w:divBdr>
                <w:top w:val="none" w:sz="0" w:space="0" w:color="auto"/>
                <w:left w:val="none" w:sz="0" w:space="0" w:color="auto"/>
                <w:bottom w:val="none" w:sz="0" w:space="0" w:color="auto"/>
                <w:right w:val="none" w:sz="0" w:space="0" w:color="auto"/>
              </w:divBdr>
            </w:div>
          </w:divsChild>
        </w:div>
        <w:div w:id="1937667535">
          <w:marLeft w:val="0"/>
          <w:marRight w:val="0"/>
          <w:marTop w:val="0"/>
          <w:marBottom w:val="0"/>
          <w:divBdr>
            <w:top w:val="none" w:sz="0" w:space="0" w:color="auto"/>
            <w:left w:val="none" w:sz="0" w:space="0" w:color="auto"/>
            <w:bottom w:val="none" w:sz="0" w:space="0" w:color="auto"/>
            <w:right w:val="none" w:sz="0" w:space="0" w:color="auto"/>
          </w:divBdr>
          <w:divsChild>
            <w:div w:id="8143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00373">
      <w:bodyDiv w:val="1"/>
      <w:marLeft w:val="0"/>
      <w:marRight w:val="0"/>
      <w:marTop w:val="0"/>
      <w:marBottom w:val="0"/>
      <w:divBdr>
        <w:top w:val="none" w:sz="0" w:space="0" w:color="auto"/>
        <w:left w:val="none" w:sz="0" w:space="0" w:color="auto"/>
        <w:bottom w:val="none" w:sz="0" w:space="0" w:color="auto"/>
        <w:right w:val="none" w:sz="0" w:space="0" w:color="auto"/>
      </w:divBdr>
    </w:div>
    <w:div w:id="1867719164">
      <w:bodyDiv w:val="1"/>
      <w:marLeft w:val="0"/>
      <w:marRight w:val="0"/>
      <w:marTop w:val="0"/>
      <w:marBottom w:val="0"/>
      <w:divBdr>
        <w:top w:val="none" w:sz="0" w:space="0" w:color="auto"/>
        <w:left w:val="none" w:sz="0" w:space="0" w:color="auto"/>
        <w:bottom w:val="none" w:sz="0" w:space="0" w:color="auto"/>
        <w:right w:val="none" w:sz="0" w:space="0" w:color="auto"/>
      </w:divBdr>
    </w:div>
    <w:div w:id="1873223146">
      <w:bodyDiv w:val="1"/>
      <w:marLeft w:val="0"/>
      <w:marRight w:val="0"/>
      <w:marTop w:val="0"/>
      <w:marBottom w:val="0"/>
      <w:divBdr>
        <w:top w:val="none" w:sz="0" w:space="0" w:color="auto"/>
        <w:left w:val="none" w:sz="0" w:space="0" w:color="auto"/>
        <w:bottom w:val="none" w:sz="0" w:space="0" w:color="auto"/>
        <w:right w:val="none" w:sz="0" w:space="0" w:color="auto"/>
      </w:divBdr>
    </w:div>
    <w:div w:id="1906792117">
      <w:bodyDiv w:val="1"/>
      <w:marLeft w:val="0"/>
      <w:marRight w:val="0"/>
      <w:marTop w:val="0"/>
      <w:marBottom w:val="0"/>
      <w:divBdr>
        <w:top w:val="none" w:sz="0" w:space="0" w:color="auto"/>
        <w:left w:val="none" w:sz="0" w:space="0" w:color="auto"/>
        <w:bottom w:val="none" w:sz="0" w:space="0" w:color="auto"/>
        <w:right w:val="none" w:sz="0" w:space="0" w:color="auto"/>
      </w:divBdr>
      <w:divsChild>
        <w:div w:id="159733033">
          <w:marLeft w:val="0"/>
          <w:marRight w:val="0"/>
          <w:marTop w:val="0"/>
          <w:marBottom w:val="0"/>
          <w:divBdr>
            <w:top w:val="none" w:sz="0" w:space="0" w:color="auto"/>
            <w:left w:val="none" w:sz="0" w:space="0" w:color="auto"/>
            <w:bottom w:val="none" w:sz="0" w:space="0" w:color="auto"/>
            <w:right w:val="none" w:sz="0" w:space="0" w:color="auto"/>
          </w:divBdr>
        </w:div>
        <w:div w:id="643392868">
          <w:marLeft w:val="0"/>
          <w:marRight w:val="0"/>
          <w:marTop w:val="0"/>
          <w:marBottom w:val="0"/>
          <w:divBdr>
            <w:top w:val="none" w:sz="0" w:space="0" w:color="auto"/>
            <w:left w:val="none" w:sz="0" w:space="0" w:color="auto"/>
            <w:bottom w:val="none" w:sz="0" w:space="0" w:color="auto"/>
            <w:right w:val="none" w:sz="0" w:space="0" w:color="auto"/>
          </w:divBdr>
        </w:div>
        <w:div w:id="705568579">
          <w:marLeft w:val="0"/>
          <w:marRight w:val="0"/>
          <w:marTop w:val="0"/>
          <w:marBottom w:val="0"/>
          <w:divBdr>
            <w:top w:val="none" w:sz="0" w:space="0" w:color="auto"/>
            <w:left w:val="none" w:sz="0" w:space="0" w:color="auto"/>
            <w:bottom w:val="none" w:sz="0" w:space="0" w:color="auto"/>
            <w:right w:val="none" w:sz="0" w:space="0" w:color="auto"/>
          </w:divBdr>
        </w:div>
        <w:div w:id="1303848299">
          <w:marLeft w:val="0"/>
          <w:marRight w:val="0"/>
          <w:marTop w:val="0"/>
          <w:marBottom w:val="0"/>
          <w:divBdr>
            <w:top w:val="none" w:sz="0" w:space="0" w:color="auto"/>
            <w:left w:val="none" w:sz="0" w:space="0" w:color="auto"/>
            <w:bottom w:val="none" w:sz="0" w:space="0" w:color="auto"/>
            <w:right w:val="none" w:sz="0" w:space="0" w:color="auto"/>
          </w:divBdr>
        </w:div>
        <w:div w:id="1612132357">
          <w:marLeft w:val="0"/>
          <w:marRight w:val="0"/>
          <w:marTop w:val="0"/>
          <w:marBottom w:val="0"/>
          <w:divBdr>
            <w:top w:val="none" w:sz="0" w:space="0" w:color="auto"/>
            <w:left w:val="none" w:sz="0" w:space="0" w:color="auto"/>
            <w:bottom w:val="none" w:sz="0" w:space="0" w:color="auto"/>
            <w:right w:val="none" w:sz="0" w:space="0" w:color="auto"/>
          </w:divBdr>
        </w:div>
      </w:divsChild>
    </w:div>
    <w:div w:id="1911116059">
      <w:bodyDiv w:val="1"/>
      <w:marLeft w:val="0"/>
      <w:marRight w:val="0"/>
      <w:marTop w:val="0"/>
      <w:marBottom w:val="0"/>
      <w:divBdr>
        <w:top w:val="none" w:sz="0" w:space="0" w:color="auto"/>
        <w:left w:val="none" w:sz="0" w:space="0" w:color="auto"/>
        <w:bottom w:val="none" w:sz="0" w:space="0" w:color="auto"/>
        <w:right w:val="none" w:sz="0" w:space="0" w:color="auto"/>
      </w:divBdr>
    </w:div>
    <w:div w:id="1913540016">
      <w:bodyDiv w:val="1"/>
      <w:marLeft w:val="0"/>
      <w:marRight w:val="0"/>
      <w:marTop w:val="0"/>
      <w:marBottom w:val="0"/>
      <w:divBdr>
        <w:top w:val="none" w:sz="0" w:space="0" w:color="auto"/>
        <w:left w:val="none" w:sz="0" w:space="0" w:color="auto"/>
        <w:bottom w:val="none" w:sz="0" w:space="0" w:color="auto"/>
        <w:right w:val="none" w:sz="0" w:space="0" w:color="auto"/>
      </w:divBdr>
    </w:div>
    <w:div w:id="1921058229">
      <w:bodyDiv w:val="1"/>
      <w:marLeft w:val="0"/>
      <w:marRight w:val="0"/>
      <w:marTop w:val="0"/>
      <w:marBottom w:val="0"/>
      <w:divBdr>
        <w:top w:val="none" w:sz="0" w:space="0" w:color="auto"/>
        <w:left w:val="none" w:sz="0" w:space="0" w:color="auto"/>
        <w:bottom w:val="none" w:sz="0" w:space="0" w:color="auto"/>
        <w:right w:val="none" w:sz="0" w:space="0" w:color="auto"/>
      </w:divBdr>
    </w:div>
    <w:div w:id="1929579584">
      <w:bodyDiv w:val="1"/>
      <w:marLeft w:val="0"/>
      <w:marRight w:val="0"/>
      <w:marTop w:val="0"/>
      <w:marBottom w:val="0"/>
      <w:divBdr>
        <w:top w:val="none" w:sz="0" w:space="0" w:color="auto"/>
        <w:left w:val="none" w:sz="0" w:space="0" w:color="auto"/>
        <w:bottom w:val="none" w:sz="0" w:space="0" w:color="auto"/>
        <w:right w:val="none" w:sz="0" w:space="0" w:color="auto"/>
      </w:divBdr>
    </w:div>
    <w:div w:id="1932736748">
      <w:bodyDiv w:val="1"/>
      <w:marLeft w:val="0"/>
      <w:marRight w:val="0"/>
      <w:marTop w:val="0"/>
      <w:marBottom w:val="0"/>
      <w:divBdr>
        <w:top w:val="none" w:sz="0" w:space="0" w:color="auto"/>
        <w:left w:val="none" w:sz="0" w:space="0" w:color="auto"/>
        <w:bottom w:val="none" w:sz="0" w:space="0" w:color="auto"/>
        <w:right w:val="none" w:sz="0" w:space="0" w:color="auto"/>
      </w:divBdr>
    </w:div>
    <w:div w:id="1934704738">
      <w:bodyDiv w:val="1"/>
      <w:marLeft w:val="0"/>
      <w:marRight w:val="0"/>
      <w:marTop w:val="0"/>
      <w:marBottom w:val="0"/>
      <w:divBdr>
        <w:top w:val="none" w:sz="0" w:space="0" w:color="auto"/>
        <w:left w:val="none" w:sz="0" w:space="0" w:color="auto"/>
        <w:bottom w:val="none" w:sz="0" w:space="0" w:color="auto"/>
        <w:right w:val="none" w:sz="0" w:space="0" w:color="auto"/>
      </w:divBdr>
    </w:div>
    <w:div w:id="1935505187">
      <w:bodyDiv w:val="1"/>
      <w:marLeft w:val="0"/>
      <w:marRight w:val="0"/>
      <w:marTop w:val="0"/>
      <w:marBottom w:val="0"/>
      <w:divBdr>
        <w:top w:val="none" w:sz="0" w:space="0" w:color="auto"/>
        <w:left w:val="none" w:sz="0" w:space="0" w:color="auto"/>
        <w:bottom w:val="none" w:sz="0" w:space="0" w:color="auto"/>
        <w:right w:val="none" w:sz="0" w:space="0" w:color="auto"/>
      </w:divBdr>
    </w:div>
    <w:div w:id="1941404354">
      <w:bodyDiv w:val="1"/>
      <w:marLeft w:val="0"/>
      <w:marRight w:val="0"/>
      <w:marTop w:val="0"/>
      <w:marBottom w:val="0"/>
      <w:divBdr>
        <w:top w:val="none" w:sz="0" w:space="0" w:color="auto"/>
        <w:left w:val="none" w:sz="0" w:space="0" w:color="auto"/>
        <w:bottom w:val="none" w:sz="0" w:space="0" w:color="auto"/>
        <w:right w:val="none" w:sz="0" w:space="0" w:color="auto"/>
      </w:divBdr>
      <w:divsChild>
        <w:div w:id="872156104">
          <w:marLeft w:val="0"/>
          <w:marRight w:val="0"/>
          <w:marTop w:val="0"/>
          <w:marBottom w:val="0"/>
          <w:divBdr>
            <w:top w:val="none" w:sz="0" w:space="0" w:color="auto"/>
            <w:left w:val="none" w:sz="0" w:space="0" w:color="auto"/>
            <w:bottom w:val="none" w:sz="0" w:space="0" w:color="auto"/>
            <w:right w:val="none" w:sz="0" w:space="0" w:color="auto"/>
          </w:divBdr>
          <w:divsChild>
            <w:div w:id="1749620085">
              <w:marLeft w:val="0"/>
              <w:marRight w:val="0"/>
              <w:marTop w:val="0"/>
              <w:marBottom w:val="0"/>
              <w:divBdr>
                <w:top w:val="none" w:sz="0" w:space="0" w:color="auto"/>
                <w:left w:val="none" w:sz="0" w:space="0" w:color="auto"/>
                <w:bottom w:val="none" w:sz="0" w:space="0" w:color="auto"/>
                <w:right w:val="none" w:sz="0" w:space="0" w:color="auto"/>
              </w:divBdr>
            </w:div>
            <w:div w:id="198596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6439">
      <w:bodyDiv w:val="1"/>
      <w:marLeft w:val="0"/>
      <w:marRight w:val="0"/>
      <w:marTop w:val="0"/>
      <w:marBottom w:val="0"/>
      <w:divBdr>
        <w:top w:val="none" w:sz="0" w:space="0" w:color="auto"/>
        <w:left w:val="none" w:sz="0" w:space="0" w:color="auto"/>
        <w:bottom w:val="none" w:sz="0" w:space="0" w:color="auto"/>
        <w:right w:val="none" w:sz="0" w:space="0" w:color="auto"/>
      </w:divBdr>
    </w:div>
    <w:div w:id="1954163343">
      <w:bodyDiv w:val="1"/>
      <w:marLeft w:val="0"/>
      <w:marRight w:val="0"/>
      <w:marTop w:val="0"/>
      <w:marBottom w:val="0"/>
      <w:divBdr>
        <w:top w:val="none" w:sz="0" w:space="0" w:color="auto"/>
        <w:left w:val="none" w:sz="0" w:space="0" w:color="auto"/>
        <w:bottom w:val="none" w:sz="0" w:space="0" w:color="auto"/>
        <w:right w:val="none" w:sz="0" w:space="0" w:color="auto"/>
      </w:divBdr>
    </w:div>
    <w:div w:id="1986928666">
      <w:bodyDiv w:val="1"/>
      <w:marLeft w:val="0"/>
      <w:marRight w:val="0"/>
      <w:marTop w:val="0"/>
      <w:marBottom w:val="0"/>
      <w:divBdr>
        <w:top w:val="none" w:sz="0" w:space="0" w:color="auto"/>
        <w:left w:val="none" w:sz="0" w:space="0" w:color="auto"/>
        <w:bottom w:val="none" w:sz="0" w:space="0" w:color="auto"/>
        <w:right w:val="none" w:sz="0" w:space="0" w:color="auto"/>
      </w:divBdr>
    </w:div>
    <w:div w:id="2008048514">
      <w:bodyDiv w:val="1"/>
      <w:marLeft w:val="0"/>
      <w:marRight w:val="0"/>
      <w:marTop w:val="0"/>
      <w:marBottom w:val="0"/>
      <w:divBdr>
        <w:top w:val="none" w:sz="0" w:space="0" w:color="auto"/>
        <w:left w:val="none" w:sz="0" w:space="0" w:color="auto"/>
        <w:bottom w:val="none" w:sz="0" w:space="0" w:color="auto"/>
        <w:right w:val="none" w:sz="0" w:space="0" w:color="auto"/>
      </w:divBdr>
    </w:div>
    <w:div w:id="2012874366">
      <w:bodyDiv w:val="1"/>
      <w:marLeft w:val="0"/>
      <w:marRight w:val="0"/>
      <w:marTop w:val="0"/>
      <w:marBottom w:val="0"/>
      <w:divBdr>
        <w:top w:val="none" w:sz="0" w:space="0" w:color="auto"/>
        <w:left w:val="none" w:sz="0" w:space="0" w:color="auto"/>
        <w:bottom w:val="none" w:sz="0" w:space="0" w:color="auto"/>
        <w:right w:val="none" w:sz="0" w:space="0" w:color="auto"/>
      </w:divBdr>
    </w:div>
    <w:div w:id="2031298367">
      <w:bodyDiv w:val="1"/>
      <w:marLeft w:val="0"/>
      <w:marRight w:val="0"/>
      <w:marTop w:val="0"/>
      <w:marBottom w:val="0"/>
      <w:divBdr>
        <w:top w:val="none" w:sz="0" w:space="0" w:color="auto"/>
        <w:left w:val="none" w:sz="0" w:space="0" w:color="auto"/>
        <w:bottom w:val="none" w:sz="0" w:space="0" w:color="auto"/>
        <w:right w:val="none" w:sz="0" w:space="0" w:color="auto"/>
      </w:divBdr>
      <w:divsChild>
        <w:div w:id="285818572">
          <w:marLeft w:val="0"/>
          <w:marRight w:val="0"/>
          <w:marTop w:val="0"/>
          <w:marBottom w:val="0"/>
          <w:divBdr>
            <w:top w:val="none" w:sz="0" w:space="0" w:color="auto"/>
            <w:left w:val="none" w:sz="0" w:space="0" w:color="auto"/>
            <w:bottom w:val="none" w:sz="0" w:space="0" w:color="auto"/>
            <w:right w:val="none" w:sz="0" w:space="0" w:color="auto"/>
          </w:divBdr>
        </w:div>
        <w:div w:id="299725883">
          <w:marLeft w:val="0"/>
          <w:marRight w:val="0"/>
          <w:marTop w:val="0"/>
          <w:marBottom w:val="0"/>
          <w:divBdr>
            <w:top w:val="none" w:sz="0" w:space="0" w:color="auto"/>
            <w:left w:val="none" w:sz="0" w:space="0" w:color="auto"/>
            <w:bottom w:val="none" w:sz="0" w:space="0" w:color="auto"/>
            <w:right w:val="none" w:sz="0" w:space="0" w:color="auto"/>
          </w:divBdr>
        </w:div>
        <w:div w:id="478884183">
          <w:marLeft w:val="0"/>
          <w:marRight w:val="0"/>
          <w:marTop w:val="0"/>
          <w:marBottom w:val="0"/>
          <w:divBdr>
            <w:top w:val="none" w:sz="0" w:space="0" w:color="auto"/>
            <w:left w:val="none" w:sz="0" w:space="0" w:color="auto"/>
            <w:bottom w:val="none" w:sz="0" w:space="0" w:color="auto"/>
            <w:right w:val="none" w:sz="0" w:space="0" w:color="auto"/>
          </w:divBdr>
        </w:div>
        <w:div w:id="541938974">
          <w:marLeft w:val="0"/>
          <w:marRight w:val="0"/>
          <w:marTop w:val="0"/>
          <w:marBottom w:val="0"/>
          <w:divBdr>
            <w:top w:val="none" w:sz="0" w:space="0" w:color="auto"/>
            <w:left w:val="none" w:sz="0" w:space="0" w:color="auto"/>
            <w:bottom w:val="none" w:sz="0" w:space="0" w:color="auto"/>
            <w:right w:val="none" w:sz="0" w:space="0" w:color="auto"/>
          </w:divBdr>
        </w:div>
        <w:div w:id="543521751">
          <w:marLeft w:val="0"/>
          <w:marRight w:val="0"/>
          <w:marTop w:val="0"/>
          <w:marBottom w:val="0"/>
          <w:divBdr>
            <w:top w:val="none" w:sz="0" w:space="0" w:color="auto"/>
            <w:left w:val="none" w:sz="0" w:space="0" w:color="auto"/>
            <w:bottom w:val="none" w:sz="0" w:space="0" w:color="auto"/>
            <w:right w:val="none" w:sz="0" w:space="0" w:color="auto"/>
          </w:divBdr>
        </w:div>
        <w:div w:id="786199838">
          <w:marLeft w:val="0"/>
          <w:marRight w:val="0"/>
          <w:marTop w:val="0"/>
          <w:marBottom w:val="0"/>
          <w:divBdr>
            <w:top w:val="none" w:sz="0" w:space="0" w:color="auto"/>
            <w:left w:val="none" w:sz="0" w:space="0" w:color="auto"/>
            <w:bottom w:val="none" w:sz="0" w:space="0" w:color="auto"/>
            <w:right w:val="none" w:sz="0" w:space="0" w:color="auto"/>
          </w:divBdr>
        </w:div>
        <w:div w:id="1105534937">
          <w:marLeft w:val="0"/>
          <w:marRight w:val="0"/>
          <w:marTop w:val="0"/>
          <w:marBottom w:val="0"/>
          <w:divBdr>
            <w:top w:val="none" w:sz="0" w:space="0" w:color="auto"/>
            <w:left w:val="none" w:sz="0" w:space="0" w:color="auto"/>
            <w:bottom w:val="none" w:sz="0" w:space="0" w:color="auto"/>
            <w:right w:val="none" w:sz="0" w:space="0" w:color="auto"/>
          </w:divBdr>
        </w:div>
        <w:div w:id="1508639918">
          <w:marLeft w:val="0"/>
          <w:marRight w:val="0"/>
          <w:marTop w:val="0"/>
          <w:marBottom w:val="0"/>
          <w:divBdr>
            <w:top w:val="none" w:sz="0" w:space="0" w:color="auto"/>
            <w:left w:val="none" w:sz="0" w:space="0" w:color="auto"/>
            <w:bottom w:val="none" w:sz="0" w:space="0" w:color="auto"/>
            <w:right w:val="none" w:sz="0" w:space="0" w:color="auto"/>
          </w:divBdr>
        </w:div>
        <w:div w:id="1618442465">
          <w:marLeft w:val="0"/>
          <w:marRight w:val="0"/>
          <w:marTop w:val="0"/>
          <w:marBottom w:val="0"/>
          <w:divBdr>
            <w:top w:val="none" w:sz="0" w:space="0" w:color="auto"/>
            <w:left w:val="none" w:sz="0" w:space="0" w:color="auto"/>
            <w:bottom w:val="none" w:sz="0" w:space="0" w:color="auto"/>
            <w:right w:val="none" w:sz="0" w:space="0" w:color="auto"/>
          </w:divBdr>
        </w:div>
        <w:div w:id="1928536324">
          <w:marLeft w:val="0"/>
          <w:marRight w:val="0"/>
          <w:marTop w:val="0"/>
          <w:marBottom w:val="0"/>
          <w:divBdr>
            <w:top w:val="none" w:sz="0" w:space="0" w:color="auto"/>
            <w:left w:val="none" w:sz="0" w:space="0" w:color="auto"/>
            <w:bottom w:val="none" w:sz="0" w:space="0" w:color="auto"/>
            <w:right w:val="none" w:sz="0" w:space="0" w:color="auto"/>
          </w:divBdr>
        </w:div>
        <w:div w:id="1986160463">
          <w:marLeft w:val="0"/>
          <w:marRight w:val="0"/>
          <w:marTop w:val="0"/>
          <w:marBottom w:val="0"/>
          <w:divBdr>
            <w:top w:val="none" w:sz="0" w:space="0" w:color="auto"/>
            <w:left w:val="none" w:sz="0" w:space="0" w:color="auto"/>
            <w:bottom w:val="none" w:sz="0" w:space="0" w:color="auto"/>
            <w:right w:val="none" w:sz="0" w:space="0" w:color="auto"/>
          </w:divBdr>
          <w:divsChild>
            <w:div w:id="31392902">
              <w:marLeft w:val="0"/>
              <w:marRight w:val="0"/>
              <w:marTop w:val="0"/>
              <w:marBottom w:val="0"/>
              <w:divBdr>
                <w:top w:val="none" w:sz="0" w:space="0" w:color="auto"/>
                <w:left w:val="none" w:sz="0" w:space="0" w:color="auto"/>
                <w:bottom w:val="none" w:sz="0" w:space="0" w:color="auto"/>
                <w:right w:val="none" w:sz="0" w:space="0" w:color="auto"/>
              </w:divBdr>
            </w:div>
            <w:div w:id="119109522">
              <w:marLeft w:val="0"/>
              <w:marRight w:val="0"/>
              <w:marTop w:val="0"/>
              <w:marBottom w:val="0"/>
              <w:divBdr>
                <w:top w:val="none" w:sz="0" w:space="0" w:color="auto"/>
                <w:left w:val="none" w:sz="0" w:space="0" w:color="auto"/>
                <w:bottom w:val="none" w:sz="0" w:space="0" w:color="auto"/>
                <w:right w:val="none" w:sz="0" w:space="0" w:color="auto"/>
              </w:divBdr>
            </w:div>
            <w:div w:id="230431282">
              <w:marLeft w:val="0"/>
              <w:marRight w:val="0"/>
              <w:marTop w:val="0"/>
              <w:marBottom w:val="0"/>
              <w:divBdr>
                <w:top w:val="none" w:sz="0" w:space="0" w:color="auto"/>
                <w:left w:val="none" w:sz="0" w:space="0" w:color="auto"/>
                <w:bottom w:val="none" w:sz="0" w:space="0" w:color="auto"/>
                <w:right w:val="none" w:sz="0" w:space="0" w:color="auto"/>
              </w:divBdr>
            </w:div>
            <w:div w:id="699627192">
              <w:marLeft w:val="0"/>
              <w:marRight w:val="0"/>
              <w:marTop w:val="0"/>
              <w:marBottom w:val="0"/>
              <w:divBdr>
                <w:top w:val="none" w:sz="0" w:space="0" w:color="auto"/>
                <w:left w:val="none" w:sz="0" w:space="0" w:color="auto"/>
                <w:bottom w:val="none" w:sz="0" w:space="0" w:color="auto"/>
                <w:right w:val="none" w:sz="0" w:space="0" w:color="auto"/>
              </w:divBdr>
            </w:div>
            <w:div w:id="1202088357">
              <w:marLeft w:val="0"/>
              <w:marRight w:val="0"/>
              <w:marTop w:val="0"/>
              <w:marBottom w:val="0"/>
              <w:divBdr>
                <w:top w:val="none" w:sz="0" w:space="0" w:color="auto"/>
                <w:left w:val="none" w:sz="0" w:space="0" w:color="auto"/>
                <w:bottom w:val="none" w:sz="0" w:space="0" w:color="auto"/>
                <w:right w:val="none" w:sz="0" w:space="0" w:color="auto"/>
              </w:divBdr>
            </w:div>
            <w:div w:id="2144039143">
              <w:marLeft w:val="0"/>
              <w:marRight w:val="0"/>
              <w:marTop w:val="0"/>
              <w:marBottom w:val="0"/>
              <w:divBdr>
                <w:top w:val="none" w:sz="0" w:space="0" w:color="auto"/>
                <w:left w:val="none" w:sz="0" w:space="0" w:color="auto"/>
                <w:bottom w:val="none" w:sz="0" w:space="0" w:color="auto"/>
                <w:right w:val="none" w:sz="0" w:space="0" w:color="auto"/>
              </w:divBdr>
            </w:div>
          </w:divsChild>
        </w:div>
        <w:div w:id="2124106103">
          <w:marLeft w:val="0"/>
          <w:marRight w:val="0"/>
          <w:marTop w:val="0"/>
          <w:marBottom w:val="0"/>
          <w:divBdr>
            <w:top w:val="none" w:sz="0" w:space="0" w:color="auto"/>
            <w:left w:val="none" w:sz="0" w:space="0" w:color="auto"/>
            <w:bottom w:val="none" w:sz="0" w:space="0" w:color="auto"/>
            <w:right w:val="none" w:sz="0" w:space="0" w:color="auto"/>
          </w:divBdr>
        </w:div>
      </w:divsChild>
    </w:div>
    <w:div w:id="2032605535">
      <w:bodyDiv w:val="1"/>
      <w:marLeft w:val="0"/>
      <w:marRight w:val="0"/>
      <w:marTop w:val="0"/>
      <w:marBottom w:val="0"/>
      <w:divBdr>
        <w:top w:val="none" w:sz="0" w:space="0" w:color="auto"/>
        <w:left w:val="none" w:sz="0" w:space="0" w:color="auto"/>
        <w:bottom w:val="none" w:sz="0" w:space="0" w:color="auto"/>
        <w:right w:val="none" w:sz="0" w:space="0" w:color="auto"/>
      </w:divBdr>
    </w:div>
    <w:div w:id="2037349399">
      <w:bodyDiv w:val="1"/>
      <w:marLeft w:val="0"/>
      <w:marRight w:val="0"/>
      <w:marTop w:val="0"/>
      <w:marBottom w:val="0"/>
      <w:divBdr>
        <w:top w:val="none" w:sz="0" w:space="0" w:color="auto"/>
        <w:left w:val="none" w:sz="0" w:space="0" w:color="auto"/>
        <w:bottom w:val="none" w:sz="0" w:space="0" w:color="auto"/>
        <w:right w:val="none" w:sz="0" w:space="0" w:color="auto"/>
      </w:divBdr>
      <w:divsChild>
        <w:div w:id="1359241146">
          <w:marLeft w:val="0"/>
          <w:marRight w:val="0"/>
          <w:marTop w:val="0"/>
          <w:marBottom w:val="0"/>
          <w:divBdr>
            <w:top w:val="none" w:sz="0" w:space="0" w:color="auto"/>
            <w:left w:val="none" w:sz="0" w:space="0" w:color="auto"/>
            <w:bottom w:val="none" w:sz="0" w:space="0" w:color="auto"/>
            <w:right w:val="none" w:sz="0" w:space="0" w:color="auto"/>
          </w:divBdr>
          <w:divsChild>
            <w:div w:id="158204934">
              <w:marLeft w:val="0"/>
              <w:marRight w:val="0"/>
              <w:marTop w:val="0"/>
              <w:marBottom w:val="0"/>
              <w:divBdr>
                <w:top w:val="none" w:sz="0" w:space="0" w:color="auto"/>
                <w:left w:val="none" w:sz="0" w:space="0" w:color="auto"/>
                <w:bottom w:val="none" w:sz="0" w:space="0" w:color="auto"/>
                <w:right w:val="none" w:sz="0" w:space="0" w:color="auto"/>
              </w:divBdr>
              <w:divsChild>
                <w:div w:id="14943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35181">
      <w:bodyDiv w:val="1"/>
      <w:marLeft w:val="0"/>
      <w:marRight w:val="0"/>
      <w:marTop w:val="0"/>
      <w:marBottom w:val="0"/>
      <w:divBdr>
        <w:top w:val="none" w:sz="0" w:space="0" w:color="auto"/>
        <w:left w:val="none" w:sz="0" w:space="0" w:color="auto"/>
        <w:bottom w:val="none" w:sz="0" w:space="0" w:color="auto"/>
        <w:right w:val="none" w:sz="0" w:space="0" w:color="auto"/>
      </w:divBdr>
    </w:div>
    <w:div w:id="2074280334">
      <w:bodyDiv w:val="1"/>
      <w:marLeft w:val="0"/>
      <w:marRight w:val="0"/>
      <w:marTop w:val="0"/>
      <w:marBottom w:val="0"/>
      <w:divBdr>
        <w:top w:val="none" w:sz="0" w:space="0" w:color="auto"/>
        <w:left w:val="none" w:sz="0" w:space="0" w:color="auto"/>
        <w:bottom w:val="none" w:sz="0" w:space="0" w:color="auto"/>
        <w:right w:val="none" w:sz="0" w:space="0" w:color="auto"/>
      </w:divBdr>
      <w:divsChild>
        <w:div w:id="1647590097">
          <w:marLeft w:val="0"/>
          <w:marRight w:val="0"/>
          <w:marTop w:val="0"/>
          <w:marBottom w:val="0"/>
          <w:divBdr>
            <w:top w:val="none" w:sz="0" w:space="0" w:color="auto"/>
            <w:left w:val="none" w:sz="0" w:space="0" w:color="auto"/>
            <w:bottom w:val="none" w:sz="0" w:space="0" w:color="auto"/>
            <w:right w:val="none" w:sz="0" w:space="0" w:color="auto"/>
          </w:divBdr>
          <w:divsChild>
            <w:div w:id="1266306079">
              <w:marLeft w:val="0"/>
              <w:marRight w:val="0"/>
              <w:marTop w:val="0"/>
              <w:marBottom w:val="0"/>
              <w:divBdr>
                <w:top w:val="none" w:sz="0" w:space="0" w:color="auto"/>
                <w:left w:val="none" w:sz="0" w:space="0" w:color="auto"/>
                <w:bottom w:val="none" w:sz="0" w:space="0" w:color="auto"/>
                <w:right w:val="none" w:sz="0" w:space="0" w:color="auto"/>
              </w:divBdr>
              <w:divsChild>
                <w:div w:id="9228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555456">
      <w:bodyDiv w:val="1"/>
      <w:marLeft w:val="0"/>
      <w:marRight w:val="0"/>
      <w:marTop w:val="0"/>
      <w:marBottom w:val="0"/>
      <w:divBdr>
        <w:top w:val="none" w:sz="0" w:space="0" w:color="auto"/>
        <w:left w:val="none" w:sz="0" w:space="0" w:color="auto"/>
        <w:bottom w:val="none" w:sz="0" w:space="0" w:color="auto"/>
        <w:right w:val="none" w:sz="0" w:space="0" w:color="auto"/>
      </w:divBdr>
    </w:div>
    <w:div w:id="2092702304">
      <w:bodyDiv w:val="1"/>
      <w:marLeft w:val="0"/>
      <w:marRight w:val="0"/>
      <w:marTop w:val="0"/>
      <w:marBottom w:val="0"/>
      <w:divBdr>
        <w:top w:val="none" w:sz="0" w:space="0" w:color="auto"/>
        <w:left w:val="none" w:sz="0" w:space="0" w:color="auto"/>
        <w:bottom w:val="none" w:sz="0" w:space="0" w:color="auto"/>
        <w:right w:val="none" w:sz="0" w:space="0" w:color="auto"/>
      </w:divBdr>
    </w:div>
    <w:div w:id="2095203182">
      <w:bodyDiv w:val="1"/>
      <w:marLeft w:val="0"/>
      <w:marRight w:val="0"/>
      <w:marTop w:val="0"/>
      <w:marBottom w:val="0"/>
      <w:divBdr>
        <w:top w:val="none" w:sz="0" w:space="0" w:color="auto"/>
        <w:left w:val="none" w:sz="0" w:space="0" w:color="auto"/>
        <w:bottom w:val="none" w:sz="0" w:space="0" w:color="auto"/>
        <w:right w:val="none" w:sz="0" w:space="0" w:color="auto"/>
      </w:divBdr>
    </w:div>
    <w:div w:id="2102950099">
      <w:bodyDiv w:val="1"/>
      <w:marLeft w:val="0"/>
      <w:marRight w:val="0"/>
      <w:marTop w:val="0"/>
      <w:marBottom w:val="0"/>
      <w:divBdr>
        <w:top w:val="none" w:sz="0" w:space="0" w:color="auto"/>
        <w:left w:val="none" w:sz="0" w:space="0" w:color="auto"/>
        <w:bottom w:val="none" w:sz="0" w:space="0" w:color="auto"/>
        <w:right w:val="none" w:sz="0" w:space="0" w:color="auto"/>
      </w:divBdr>
      <w:divsChild>
        <w:div w:id="570193454">
          <w:marLeft w:val="0"/>
          <w:marRight w:val="0"/>
          <w:marTop w:val="0"/>
          <w:marBottom w:val="0"/>
          <w:divBdr>
            <w:top w:val="none" w:sz="0" w:space="0" w:color="auto"/>
            <w:left w:val="none" w:sz="0" w:space="0" w:color="auto"/>
            <w:bottom w:val="none" w:sz="0" w:space="0" w:color="auto"/>
            <w:right w:val="none" w:sz="0" w:space="0" w:color="auto"/>
          </w:divBdr>
        </w:div>
        <w:div w:id="610279058">
          <w:marLeft w:val="0"/>
          <w:marRight w:val="0"/>
          <w:marTop w:val="0"/>
          <w:marBottom w:val="0"/>
          <w:divBdr>
            <w:top w:val="none" w:sz="0" w:space="0" w:color="auto"/>
            <w:left w:val="none" w:sz="0" w:space="0" w:color="auto"/>
            <w:bottom w:val="none" w:sz="0" w:space="0" w:color="auto"/>
            <w:right w:val="none" w:sz="0" w:space="0" w:color="auto"/>
          </w:divBdr>
        </w:div>
        <w:div w:id="919755521">
          <w:marLeft w:val="0"/>
          <w:marRight w:val="0"/>
          <w:marTop w:val="0"/>
          <w:marBottom w:val="0"/>
          <w:divBdr>
            <w:top w:val="none" w:sz="0" w:space="0" w:color="auto"/>
            <w:left w:val="none" w:sz="0" w:space="0" w:color="auto"/>
            <w:bottom w:val="none" w:sz="0" w:space="0" w:color="auto"/>
            <w:right w:val="none" w:sz="0" w:space="0" w:color="auto"/>
          </w:divBdr>
        </w:div>
        <w:div w:id="1393038040">
          <w:marLeft w:val="0"/>
          <w:marRight w:val="0"/>
          <w:marTop w:val="0"/>
          <w:marBottom w:val="0"/>
          <w:divBdr>
            <w:top w:val="none" w:sz="0" w:space="0" w:color="auto"/>
            <w:left w:val="none" w:sz="0" w:space="0" w:color="auto"/>
            <w:bottom w:val="none" w:sz="0" w:space="0" w:color="auto"/>
            <w:right w:val="none" w:sz="0" w:space="0" w:color="auto"/>
          </w:divBdr>
        </w:div>
        <w:div w:id="1544902233">
          <w:marLeft w:val="0"/>
          <w:marRight w:val="0"/>
          <w:marTop w:val="0"/>
          <w:marBottom w:val="0"/>
          <w:divBdr>
            <w:top w:val="none" w:sz="0" w:space="0" w:color="auto"/>
            <w:left w:val="none" w:sz="0" w:space="0" w:color="auto"/>
            <w:bottom w:val="none" w:sz="0" w:space="0" w:color="auto"/>
            <w:right w:val="none" w:sz="0" w:space="0" w:color="auto"/>
          </w:divBdr>
        </w:div>
        <w:div w:id="1708673901">
          <w:marLeft w:val="0"/>
          <w:marRight w:val="0"/>
          <w:marTop w:val="0"/>
          <w:marBottom w:val="0"/>
          <w:divBdr>
            <w:top w:val="none" w:sz="0" w:space="0" w:color="auto"/>
            <w:left w:val="none" w:sz="0" w:space="0" w:color="auto"/>
            <w:bottom w:val="none" w:sz="0" w:space="0" w:color="auto"/>
            <w:right w:val="none" w:sz="0" w:space="0" w:color="auto"/>
          </w:divBdr>
        </w:div>
      </w:divsChild>
    </w:div>
    <w:div w:id="2123109624">
      <w:bodyDiv w:val="1"/>
      <w:marLeft w:val="0"/>
      <w:marRight w:val="0"/>
      <w:marTop w:val="0"/>
      <w:marBottom w:val="0"/>
      <w:divBdr>
        <w:top w:val="none" w:sz="0" w:space="0" w:color="auto"/>
        <w:left w:val="none" w:sz="0" w:space="0" w:color="auto"/>
        <w:bottom w:val="none" w:sz="0" w:space="0" w:color="auto"/>
        <w:right w:val="none" w:sz="0" w:space="0" w:color="auto"/>
      </w:divBdr>
      <w:divsChild>
        <w:div w:id="2065980699">
          <w:marLeft w:val="0"/>
          <w:marRight w:val="0"/>
          <w:marTop w:val="0"/>
          <w:marBottom w:val="0"/>
          <w:divBdr>
            <w:top w:val="none" w:sz="0" w:space="0" w:color="auto"/>
            <w:left w:val="none" w:sz="0" w:space="0" w:color="auto"/>
            <w:bottom w:val="none" w:sz="0" w:space="0" w:color="auto"/>
            <w:right w:val="none" w:sz="0" w:space="0" w:color="auto"/>
          </w:divBdr>
          <w:divsChild>
            <w:div w:id="349992134">
              <w:marLeft w:val="0"/>
              <w:marRight w:val="0"/>
              <w:marTop w:val="0"/>
              <w:marBottom w:val="0"/>
              <w:divBdr>
                <w:top w:val="none" w:sz="0" w:space="0" w:color="auto"/>
                <w:left w:val="none" w:sz="0" w:space="0" w:color="auto"/>
                <w:bottom w:val="none" w:sz="0" w:space="0" w:color="auto"/>
                <w:right w:val="none" w:sz="0" w:space="0" w:color="auto"/>
              </w:divBdr>
              <w:divsChild>
                <w:div w:id="10982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4882">
      <w:bodyDiv w:val="1"/>
      <w:marLeft w:val="0"/>
      <w:marRight w:val="0"/>
      <w:marTop w:val="0"/>
      <w:marBottom w:val="0"/>
      <w:divBdr>
        <w:top w:val="none" w:sz="0" w:space="0" w:color="auto"/>
        <w:left w:val="none" w:sz="0" w:space="0" w:color="auto"/>
        <w:bottom w:val="none" w:sz="0" w:space="0" w:color="auto"/>
        <w:right w:val="none" w:sz="0" w:space="0" w:color="auto"/>
      </w:divBdr>
    </w:div>
    <w:div w:id="2134707431">
      <w:bodyDiv w:val="1"/>
      <w:marLeft w:val="0"/>
      <w:marRight w:val="0"/>
      <w:marTop w:val="0"/>
      <w:marBottom w:val="0"/>
      <w:divBdr>
        <w:top w:val="none" w:sz="0" w:space="0" w:color="auto"/>
        <w:left w:val="none" w:sz="0" w:space="0" w:color="auto"/>
        <w:bottom w:val="none" w:sz="0" w:space="0" w:color="auto"/>
        <w:right w:val="none" w:sz="0" w:space="0" w:color="auto"/>
      </w:divBdr>
    </w:div>
    <w:div w:id="2138184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funcionpublica.gov.co/eva/gestornormativo/norma.php?i=77653" TargetMode="External"/><Relationship Id="rId13" Type="http://schemas.openxmlformats.org/officeDocument/2006/relationships/hyperlink" Target="https://www.funcionpublica.gov.co/eva/gestornormativo/norma.php?i=77653" TargetMode="External"/><Relationship Id="rId3" Type="http://schemas.openxmlformats.org/officeDocument/2006/relationships/hyperlink" Target="https://www.funcionpublica.gov.co/eva/gestornormativo/norma.php?i=77653" TargetMode="External"/><Relationship Id="rId7" Type="http://schemas.openxmlformats.org/officeDocument/2006/relationships/hyperlink" Target="https://www.funcionpublica.gov.co/eva/gestornormativo/norma.php?i=77653" TargetMode="External"/><Relationship Id="rId12" Type="http://schemas.openxmlformats.org/officeDocument/2006/relationships/hyperlink" Target="https://www.funcionpublica.gov.co/eva/gestornormativo/norma.php?i=77653" TargetMode="External"/><Relationship Id="rId2" Type="http://schemas.openxmlformats.org/officeDocument/2006/relationships/hyperlink" Target="https://www.funcionpublica.gov.co/eva/gestornormativo/norma.php?i=77653" TargetMode="External"/><Relationship Id="rId1" Type="http://schemas.openxmlformats.org/officeDocument/2006/relationships/hyperlink" Target="http://leyes.senado.gov.co/proyectos/index.php/textos-radicados-senado/p-ley-2020-2021/1957-proyecto-de-ley-161-de-2020" TargetMode="External"/><Relationship Id="rId6" Type="http://schemas.openxmlformats.org/officeDocument/2006/relationships/hyperlink" Target="https://www.funcionpublica.gov.co/eva/gestornormativo/norma.php?i=77653" TargetMode="External"/><Relationship Id="rId11" Type="http://schemas.openxmlformats.org/officeDocument/2006/relationships/hyperlink" Target="https://www.funcionpublica.gov.co/eva/gestornormativo/norma.php?i=77653" TargetMode="External"/><Relationship Id="rId5" Type="http://schemas.openxmlformats.org/officeDocument/2006/relationships/hyperlink" Target="https://www.funcionpublica.gov.co/eva/gestornormativo/norma.php?i=77653" TargetMode="External"/><Relationship Id="rId15" Type="http://schemas.openxmlformats.org/officeDocument/2006/relationships/hyperlink" Target="https://www.funcionpublica.gov.co/eva/gestornormativo/norma.php?i=77653" TargetMode="External"/><Relationship Id="rId10" Type="http://schemas.openxmlformats.org/officeDocument/2006/relationships/hyperlink" Target="https://www.funcionpublica.gov.co/eva/gestornormativo/norma.php?i=77653" TargetMode="External"/><Relationship Id="rId4" Type="http://schemas.openxmlformats.org/officeDocument/2006/relationships/hyperlink" Target="https://www.funcionpublica.gov.co/eva/gestornormativo/norma.php?i=77653" TargetMode="External"/><Relationship Id="rId9" Type="http://schemas.openxmlformats.org/officeDocument/2006/relationships/hyperlink" Target="https://www.funcionpublica.gov.co/eva/gestornormativo/norma.php?i=77653" TargetMode="External"/><Relationship Id="rId14" Type="http://schemas.openxmlformats.org/officeDocument/2006/relationships/hyperlink" Target="https://www.funcionpublica.gov.co/eva/gestornormativo/norma.php?i=776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mena.cabezas\AppData\Local\Microsoft\Windows\INetCache\Content.Outlook\N37DCYCK\Respuesta%20a%20consultas.dotm" TargetMode="External"/></Relationships>
</file>

<file path=word/theme/theme1.xml><?xml version="1.0" encoding="utf-8"?>
<a:theme xmlns:a="http://schemas.openxmlformats.org/drawingml/2006/main" name="Tema de Office">
  <a:themeElements>
    <a:clrScheme name="Personalizado 2">
      <a:dk1>
        <a:sysClr val="windowText" lastClr="000000"/>
      </a:dk1>
      <a:lt1>
        <a:srgbClr val="DBDBDB"/>
      </a:lt1>
      <a:dk2>
        <a:srgbClr val="0E63A8"/>
      </a:dk2>
      <a:lt2>
        <a:srgbClr val="F2F2F2"/>
      </a:lt2>
      <a:accent1>
        <a:srgbClr val="4F81BD"/>
      </a:accent1>
      <a:accent2>
        <a:srgbClr val="FFFFFF"/>
      </a:accent2>
      <a:accent3>
        <a:srgbClr val="DBDBDB"/>
      </a:accent3>
      <a:accent4>
        <a:srgbClr val="F2F2F2"/>
      </a:accent4>
      <a:accent5>
        <a:srgbClr val="F2F2F2"/>
      </a:accent5>
      <a:accent6>
        <a:srgbClr val="F2F2F2"/>
      </a:accent6>
      <a:hlink>
        <a:srgbClr val="F2F2F2"/>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SharedWithUsers xmlns="a6cb9e4b-f1d1-4245-83ec-6cad768d538a">
      <UserInfo>
        <DisplayName>Any Alejandra Tovar Castillo</DisplayName>
        <AccountId>1466</AccountId>
        <AccountType/>
      </UserInfo>
    </SharedWithUsers>
    <_Flow_SignoffStatus xmlns="9d85dbaf-23eb-4e57-a637-93dcacc8b1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414C5-DEED-4B13-A7CA-6B19E7E10D7B}">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A924E4EE-906B-42B6-86F6-98A40908BE00}"/>
</file>

<file path=customXml/itemProps3.xml><?xml version="1.0" encoding="utf-8"?>
<ds:datastoreItem xmlns:ds="http://schemas.openxmlformats.org/officeDocument/2006/customXml" ds:itemID="{96E42282-D077-45CA-8B22-FA407503A13B}">
  <ds:schemaRefs>
    <ds:schemaRef ds:uri="http://schemas.openxmlformats.org/officeDocument/2006/bibliography"/>
  </ds:schemaRefs>
</ds:datastoreItem>
</file>

<file path=customXml/itemProps4.xml><?xml version="1.0" encoding="utf-8"?>
<ds:datastoreItem xmlns:ds="http://schemas.openxmlformats.org/officeDocument/2006/customXml" ds:itemID="{108AACCB-338D-4E1C-91B3-8763C3BB18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C:\Users\ximena.cabezas\AppData\Local\Microsoft\Windows\INetCache\Content.Outlook\N37DCYCK\Respuesta a consultas.dotm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RESPUESTA DIRECCIÓN CONTRACTUAL</dc:title>
  <dc:subject/>
  <dc:creator>Ximena Alejandra Cabezas Valencia</dc:creator>
  <keywords/>
  <dc:description/>
  <lastModifiedBy>Ana Maria Ortiz Ballesteros</lastModifiedBy>
  <revision>4</revision>
  <lastPrinted>2020-01-30T15:05:00.0000000Z</lastPrinted>
  <dcterms:created xsi:type="dcterms:W3CDTF">2022-08-30T01:51:00.0000000Z</dcterms:created>
  <dcterms:modified xsi:type="dcterms:W3CDTF">2025-02-20T20:37:47.9563775Z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