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DE817" w14:textId="77777777" w:rsidR="00224032" w:rsidRDefault="00224032" w:rsidP="00224032">
      <w:pPr>
        <w:jc w:val="right"/>
        <w:rPr>
          <w:rFonts w:ascii="Arial" w:eastAsia="Arial" w:hAnsi="Arial" w:cs="Arial"/>
          <w:b/>
          <w:sz w:val="16"/>
          <w:szCs w:val="16"/>
        </w:rPr>
      </w:pPr>
      <w:bookmarkStart w:id="0" w:name="_gjdgxs" w:colFirst="0" w:colLast="0"/>
      <w:bookmarkEnd w:id="0"/>
      <w:r>
        <w:rPr>
          <w:rFonts w:ascii="Arial" w:eastAsia="Arial" w:hAnsi="Arial" w:cs="Arial"/>
          <w:b/>
          <w:color w:val="000000"/>
          <w:sz w:val="16"/>
          <w:szCs w:val="16"/>
        </w:rPr>
        <w:tab/>
      </w:r>
      <w:r>
        <w:rPr>
          <w:rFonts w:ascii="Arial" w:eastAsia="Arial" w:hAnsi="Arial" w:cs="Arial"/>
          <w:b/>
          <w:sz w:val="16"/>
          <w:szCs w:val="16"/>
        </w:rPr>
        <w:t>CCE-DES-FM-17</w:t>
      </w:r>
    </w:p>
    <w:p w14:paraId="5BCD7852" w14:textId="77777777" w:rsidR="00224032" w:rsidRPr="000B5B20" w:rsidRDefault="00224032" w:rsidP="00224032">
      <w:pPr>
        <w:jc w:val="both"/>
        <w:rPr>
          <w:rFonts w:ascii="Arial" w:eastAsia="Arial" w:hAnsi="Arial" w:cs="Arial"/>
          <w:color w:val="000000"/>
          <w:sz w:val="16"/>
          <w:szCs w:val="16"/>
        </w:rPr>
      </w:pPr>
      <w:bookmarkStart w:id="1" w:name="_30j0zll" w:colFirst="0" w:colLast="0"/>
      <w:bookmarkEnd w:id="1"/>
    </w:p>
    <w:p w14:paraId="748DC3F1" w14:textId="77777777" w:rsidR="00224032" w:rsidRDefault="00224032" w:rsidP="00224032">
      <w:pPr>
        <w:jc w:val="both"/>
        <w:rPr>
          <w:rFonts w:ascii="Arial" w:eastAsia="Arial" w:hAnsi="Arial" w:cs="Arial"/>
          <w:b/>
          <w:sz w:val="20"/>
          <w:szCs w:val="20"/>
        </w:rPr>
      </w:pPr>
      <w:r>
        <w:rPr>
          <w:rFonts w:ascii="Arial" w:eastAsia="Arial" w:hAnsi="Arial" w:cs="Arial"/>
          <w:b/>
          <w:sz w:val="22"/>
          <w:szCs w:val="22"/>
        </w:rPr>
        <w:t>DOCUMENTOS TIPO – Factor de Calidad</w:t>
      </w:r>
    </w:p>
    <w:p w14:paraId="7DA2F2CD" w14:textId="77777777" w:rsidR="00224032" w:rsidRDefault="00224032" w:rsidP="00224032">
      <w:pPr>
        <w:jc w:val="both"/>
        <w:rPr>
          <w:rFonts w:ascii="Arial" w:eastAsia="Arial" w:hAnsi="Arial" w:cs="Arial"/>
          <w:b/>
          <w:sz w:val="20"/>
          <w:szCs w:val="20"/>
        </w:rPr>
      </w:pPr>
    </w:p>
    <w:p w14:paraId="6F49A538" w14:textId="72A9DC3C" w:rsidR="00224032" w:rsidRPr="008C1FE6" w:rsidRDefault="00224032" w:rsidP="00224032">
      <w:pPr>
        <w:jc w:val="both"/>
        <w:rPr>
          <w:rFonts w:ascii="Arial" w:eastAsia="Arial" w:hAnsi="Arial" w:cs="Arial"/>
          <w:sz w:val="20"/>
          <w:szCs w:val="20"/>
        </w:rPr>
      </w:pPr>
      <w:r w:rsidRPr="00394B32">
        <w:rPr>
          <w:rFonts w:ascii="Arial" w:eastAsia="Arial" w:hAnsi="Arial" w:cs="Arial"/>
          <w:sz w:val="20"/>
          <w:szCs w:val="20"/>
        </w:rPr>
        <w:t xml:space="preserve">El «factor de calidad», la versión 2 de los Documentos Tipo para procesos de licitación de obra pública de infraestructura de transporte –Resolución No. 045 de 2020–, conserva los tres factores </w:t>
      </w:r>
      <w:r w:rsidRPr="008C1FE6">
        <w:rPr>
          <w:rFonts w:ascii="Arial" w:eastAsia="Arial" w:hAnsi="Arial" w:cs="Arial"/>
          <w:sz w:val="20"/>
          <w:szCs w:val="20"/>
        </w:rPr>
        <w:t xml:space="preserve">existentes en la versión 1–Resolución No. 1798 de 2019–, e incluye como nuevas opciones que podrá elegir la entidad: i) la presentación de una garantía adicional o suplementaria, </w:t>
      </w:r>
      <w:proofErr w:type="spellStart"/>
      <w:r w:rsidRPr="008C1FE6">
        <w:rPr>
          <w:rFonts w:ascii="Arial" w:eastAsia="Arial" w:hAnsi="Arial" w:cs="Arial"/>
          <w:sz w:val="20"/>
          <w:szCs w:val="20"/>
        </w:rPr>
        <w:t>ii</w:t>
      </w:r>
      <w:proofErr w:type="spellEnd"/>
      <w:r w:rsidRPr="008C1FE6">
        <w:rPr>
          <w:rFonts w:ascii="Arial" w:eastAsia="Arial" w:hAnsi="Arial" w:cs="Arial"/>
          <w:sz w:val="20"/>
          <w:szCs w:val="20"/>
        </w:rPr>
        <w:t xml:space="preserve">) el ofrecimiento de cuadrillas de trabajo adicional a costo y riesgo del contratista y </w:t>
      </w:r>
      <w:proofErr w:type="spellStart"/>
      <w:r w:rsidRPr="008C1FE6">
        <w:rPr>
          <w:rFonts w:ascii="Arial" w:eastAsia="Arial" w:hAnsi="Arial" w:cs="Arial"/>
          <w:sz w:val="20"/>
          <w:szCs w:val="20"/>
        </w:rPr>
        <w:t>iii</w:t>
      </w:r>
      <w:proofErr w:type="spellEnd"/>
      <w:r w:rsidRPr="008C1FE6">
        <w:rPr>
          <w:rFonts w:ascii="Arial" w:eastAsia="Arial" w:hAnsi="Arial" w:cs="Arial"/>
          <w:sz w:val="20"/>
          <w:szCs w:val="20"/>
        </w:rPr>
        <w:t>) el mantenimiento rutinario adicional por cuenta del contratista. Estos factores además se encuentran incluidos dentro del Documento Tipo para procesos de selección abreviada de menor cuantía –Resolución No. 044 de 2020–.</w:t>
      </w:r>
    </w:p>
    <w:p w14:paraId="77545432" w14:textId="77777777" w:rsidR="00224032" w:rsidRDefault="00224032" w:rsidP="00224032">
      <w:pPr>
        <w:spacing w:before="120"/>
        <w:jc w:val="both"/>
        <w:rPr>
          <w:rFonts w:ascii="Arial" w:eastAsia="Arial" w:hAnsi="Arial" w:cs="Arial"/>
          <w:sz w:val="20"/>
          <w:szCs w:val="20"/>
        </w:rPr>
      </w:pPr>
      <w:r w:rsidRPr="008C1FE6">
        <w:rPr>
          <w:rFonts w:ascii="Arial" w:eastAsia="Arial" w:hAnsi="Arial" w:cs="Arial"/>
          <w:sz w:val="20"/>
          <w:szCs w:val="20"/>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w:t>
      </w:r>
      <w:r w:rsidRPr="00394B32">
        <w:rPr>
          <w:rFonts w:ascii="Arial" w:eastAsia="Arial" w:hAnsi="Arial" w:cs="Arial"/>
          <w:sz w:val="20"/>
          <w:szCs w:val="20"/>
        </w:rPr>
        <w:t xml:space="preserve">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792EEFEE" w14:textId="77777777" w:rsidR="00224032" w:rsidRDefault="00224032" w:rsidP="008C1FE6">
      <w:pPr>
        <w:jc w:val="both"/>
        <w:rPr>
          <w:rFonts w:ascii="Arial" w:eastAsia="Arial" w:hAnsi="Arial" w:cs="Arial"/>
          <w:sz w:val="20"/>
          <w:szCs w:val="20"/>
        </w:rPr>
      </w:pPr>
    </w:p>
    <w:p w14:paraId="4884F100" w14:textId="4B7EED01" w:rsidR="002C306D" w:rsidRDefault="002C306D" w:rsidP="008C1FE6">
      <w:pPr>
        <w:jc w:val="both"/>
        <w:rPr>
          <w:rFonts w:ascii="Arial" w:eastAsia="Arial" w:hAnsi="Arial" w:cs="Arial"/>
          <w:b/>
          <w:sz w:val="20"/>
          <w:szCs w:val="20"/>
        </w:rPr>
      </w:pPr>
      <w:r>
        <w:rPr>
          <w:rFonts w:ascii="Arial" w:eastAsia="Arial" w:hAnsi="Arial" w:cs="Arial"/>
          <w:b/>
          <w:sz w:val="22"/>
          <w:szCs w:val="22"/>
        </w:rPr>
        <w:t>DOCUMENTOS TIPO – Factor de Calidad – Puntuación</w:t>
      </w:r>
    </w:p>
    <w:p w14:paraId="2F1E77ED" w14:textId="77777777" w:rsidR="002C306D" w:rsidRDefault="002C306D" w:rsidP="008C1FE6">
      <w:pPr>
        <w:jc w:val="both"/>
        <w:rPr>
          <w:rFonts w:ascii="Arial" w:eastAsia="Arial" w:hAnsi="Arial" w:cs="Arial"/>
          <w:b/>
          <w:sz w:val="20"/>
          <w:szCs w:val="20"/>
        </w:rPr>
      </w:pPr>
    </w:p>
    <w:p w14:paraId="5F4317B4" w14:textId="7972D7DD" w:rsidR="00224032" w:rsidRDefault="002C306D" w:rsidP="008C1FE6">
      <w:pPr>
        <w:jc w:val="both"/>
        <w:rPr>
          <w:rFonts w:ascii="Arial" w:eastAsia="Arial" w:hAnsi="Arial" w:cs="Arial"/>
          <w:sz w:val="20"/>
          <w:szCs w:val="20"/>
        </w:rPr>
      </w:pPr>
      <w:r>
        <w:rPr>
          <w:rFonts w:ascii="Arial" w:eastAsia="Arial" w:hAnsi="Arial" w:cs="Arial"/>
          <w:sz w:val="20"/>
          <w:szCs w:val="20"/>
        </w:rPr>
        <w:t xml:space="preserve">[…] </w:t>
      </w:r>
      <w:r w:rsidRPr="002C306D">
        <w:rPr>
          <w:rFonts w:ascii="Arial" w:eastAsia="Arial" w:hAnsi="Arial" w:cs="Arial"/>
          <w:sz w:val="20"/>
          <w:szCs w:val="20"/>
        </w:rPr>
        <w:t>esta versión de los Documentos Tipo conserva el puntaje establecido para el factor de calidad en la Versión 1, de modo que no se alteró el total de los 19 puntos 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sobrepase los 19 puntos.</w:t>
      </w:r>
    </w:p>
    <w:p w14:paraId="695CDAA2" w14:textId="1AA275D0" w:rsidR="002C306D" w:rsidRDefault="002C306D" w:rsidP="002C306D">
      <w:pPr>
        <w:jc w:val="both"/>
        <w:rPr>
          <w:rFonts w:ascii="Arial" w:eastAsia="Arial" w:hAnsi="Arial" w:cs="Arial"/>
          <w:color w:val="000000"/>
          <w:sz w:val="20"/>
          <w:szCs w:val="20"/>
        </w:rPr>
      </w:pPr>
    </w:p>
    <w:p w14:paraId="2320E4A2" w14:textId="436345B7" w:rsidR="002C306D" w:rsidRDefault="002C306D" w:rsidP="002C306D">
      <w:pPr>
        <w:jc w:val="both"/>
        <w:rPr>
          <w:rFonts w:ascii="Arial" w:eastAsia="Arial" w:hAnsi="Arial" w:cs="Arial"/>
          <w:b/>
          <w:sz w:val="20"/>
          <w:szCs w:val="20"/>
        </w:rPr>
      </w:pPr>
      <w:r>
        <w:rPr>
          <w:rFonts w:ascii="Arial" w:eastAsia="Arial" w:hAnsi="Arial" w:cs="Arial"/>
          <w:b/>
          <w:sz w:val="22"/>
          <w:szCs w:val="22"/>
        </w:rPr>
        <w:t>DOCUMENTOS TIPO – Factor de Calidad – Cuadrillas de trabajo adicional</w:t>
      </w:r>
    </w:p>
    <w:p w14:paraId="3FEFE003" w14:textId="77777777" w:rsidR="002C306D" w:rsidRDefault="002C306D" w:rsidP="002C306D">
      <w:pPr>
        <w:jc w:val="both"/>
        <w:rPr>
          <w:rFonts w:ascii="Arial" w:eastAsia="Arial" w:hAnsi="Arial" w:cs="Arial"/>
          <w:b/>
          <w:sz w:val="20"/>
          <w:szCs w:val="20"/>
        </w:rPr>
      </w:pPr>
    </w:p>
    <w:p w14:paraId="564B351E" w14:textId="77777777" w:rsidR="002C306D" w:rsidRPr="002C306D" w:rsidRDefault="002C306D" w:rsidP="002C306D">
      <w:pPr>
        <w:jc w:val="both"/>
        <w:rPr>
          <w:rFonts w:ascii="Arial" w:eastAsia="Arial" w:hAnsi="Arial" w:cs="Arial"/>
          <w:sz w:val="20"/>
          <w:szCs w:val="20"/>
        </w:rPr>
      </w:pPr>
      <w:r w:rsidRPr="002C306D">
        <w:rPr>
          <w:rFonts w:ascii="Arial" w:eastAsia="Arial" w:hAnsi="Arial" w:cs="Arial"/>
          <w:sz w:val="20"/>
          <w:szCs w:val="20"/>
        </w:rPr>
        <w:t xml:space="preserve">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658E6761" w14:textId="18C0CC41" w:rsidR="002C306D" w:rsidRDefault="002C306D" w:rsidP="002C306D">
      <w:pPr>
        <w:spacing w:before="120"/>
        <w:jc w:val="both"/>
        <w:rPr>
          <w:rFonts w:ascii="Arial" w:eastAsia="Arial" w:hAnsi="Arial" w:cs="Arial"/>
          <w:sz w:val="20"/>
          <w:szCs w:val="20"/>
        </w:rPr>
      </w:pPr>
      <w:r w:rsidRPr="002C306D">
        <w:rPr>
          <w:rFonts w:ascii="Arial" w:eastAsia="Arial" w:hAnsi="Arial" w:cs="Arial"/>
          <w:sz w:val="20"/>
          <w:szCs w:val="20"/>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3768A8AA" w14:textId="451B4D6F" w:rsidR="002C306D" w:rsidRDefault="002C306D" w:rsidP="008C1FE6">
      <w:pPr>
        <w:jc w:val="both"/>
        <w:rPr>
          <w:rFonts w:ascii="Arial" w:eastAsia="Arial" w:hAnsi="Arial" w:cs="Arial"/>
          <w:color w:val="000000"/>
          <w:sz w:val="20"/>
          <w:szCs w:val="20"/>
        </w:rPr>
      </w:pPr>
    </w:p>
    <w:p w14:paraId="351A3FAB" w14:textId="6D8F8B78" w:rsidR="002C306D" w:rsidRDefault="002C306D" w:rsidP="008C1FE6">
      <w:pPr>
        <w:jc w:val="both"/>
        <w:rPr>
          <w:rFonts w:ascii="Arial" w:eastAsia="Arial" w:hAnsi="Arial" w:cs="Arial"/>
          <w:b/>
          <w:sz w:val="20"/>
          <w:szCs w:val="20"/>
        </w:rPr>
      </w:pPr>
      <w:r>
        <w:rPr>
          <w:rFonts w:ascii="Arial" w:eastAsia="Arial" w:hAnsi="Arial" w:cs="Arial"/>
          <w:b/>
          <w:sz w:val="22"/>
          <w:szCs w:val="22"/>
        </w:rPr>
        <w:t>DOCUMENTOS TIPO – Factor de Calidad – Mantenimiento adicional</w:t>
      </w:r>
    </w:p>
    <w:p w14:paraId="4B095744" w14:textId="77777777" w:rsidR="002C306D" w:rsidRDefault="002C306D" w:rsidP="008C1FE6">
      <w:pPr>
        <w:jc w:val="both"/>
        <w:rPr>
          <w:rFonts w:ascii="Arial" w:eastAsia="Arial" w:hAnsi="Arial" w:cs="Arial"/>
          <w:b/>
          <w:sz w:val="20"/>
          <w:szCs w:val="20"/>
        </w:rPr>
      </w:pPr>
    </w:p>
    <w:p w14:paraId="6407A739" w14:textId="77777777" w:rsidR="002C306D" w:rsidRPr="002C306D" w:rsidRDefault="002C306D" w:rsidP="008C1FE6">
      <w:pPr>
        <w:jc w:val="both"/>
        <w:rPr>
          <w:rFonts w:ascii="Arial" w:eastAsia="Arial" w:hAnsi="Arial" w:cs="Arial"/>
          <w:sz w:val="20"/>
          <w:szCs w:val="20"/>
        </w:rPr>
      </w:pPr>
      <w:r w:rsidRPr="002C306D">
        <w:rPr>
          <w:rFonts w:ascii="Arial" w:eastAsia="Arial" w:hAnsi="Arial" w:cs="Arial"/>
          <w:sz w:val="20"/>
          <w:szCs w:val="20"/>
        </w:rPr>
        <w:lastRenderedPageBreak/>
        <w:t xml:space="preserve">Por su parte,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437686B2" w14:textId="68220CB6" w:rsidR="002C306D" w:rsidRDefault="002C306D" w:rsidP="002C306D">
      <w:pPr>
        <w:spacing w:before="120"/>
        <w:jc w:val="both"/>
        <w:rPr>
          <w:rFonts w:ascii="Arial" w:eastAsia="Arial" w:hAnsi="Arial" w:cs="Arial"/>
          <w:sz w:val="20"/>
          <w:szCs w:val="20"/>
        </w:rPr>
      </w:pPr>
      <w:r w:rsidRPr="002C306D">
        <w:rPr>
          <w:rFonts w:ascii="Arial" w:eastAsia="Arial" w:hAnsi="Arial" w:cs="Arial"/>
          <w:sz w:val="20"/>
          <w:szCs w:val="20"/>
        </w:rPr>
        <w:t>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w:t>
      </w:r>
    </w:p>
    <w:p w14:paraId="2965F59F" w14:textId="40F0B328" w:rsidR="00E0558E" w:rsidRDefault="00E0558E" w:rsidP="008C1FE6">
      <w:pPr>
        <w:jc w:val="both"/>
        <w:rPr>
          <w:rFonts w:ascii="Arial" w:eastAsia="Arial" w:hAnsi="Arial" w:cs="Arial"/>
          <w:color w:val="000000"/>
          <w:sz w:val="20"/>
          <w:szCs w:val="20"/>
        </w:rPr>
      </w:pPr>
    </w:p>
    <w:p w14:paraId="7A04BE3E" w14:textId="5924B58B" w:rsidR="00E0558E" w:rsidRDefault="00E0558E" w:rsidP="008C1FE6">
      <w:pPr>
        <w:jc w:val="both"/>
        <w:rPr>
          <w:rFonts w:ascii="Arial" w:eastAsia="Arial" w:hAnsi="Arial" w:cs="Arial"/>
          <w:b/>
          <w:sz w:val="20"/>
          <w:szCs w:val="20"/>
        </w:rPr>
      </w:pPr>
      <w:r>
        <w:rPr>
          <w:rFonts w:ascii="Arial" w:eastAsia="Arial" w:hAnsi="Arial" w:cs="Arial"/>
          <w:b/>
          <w:sz w:val="22"/>
          <w:szCs w:val="22"/>
        </w:rPr>
        <w:t>DOCUMENTOS TIPO – Factor de Calidad – Límites – Resolución 116 de 2020</w:t>
      </w:r>
    </w:p>
    <w:p w14:paraId="23034A95" w14:textId="77777777" w:rsidR="00E0558E" w:rsidRDefault="00E0558E" w:rsidP="008C1FE6">
      <w:pPr>
        <w:jc w:val="both"/>
        <w:rPr>
          <w:rFonts w:ascii="Arial" w:eastAsia="Arial" w:hAnsi="Arial" w:cs="Arial"/>
          <w:b/>
          <w:sz w:val="20"/>
          <w:szCs w:val="20"/>
        </w:rPr>
      </w:pPr>
    </w:p>
    <w:p w14:paraId="194A7A86" w14:textId="6D36983C" w:rsidR="00E0558E" w:rsidRPr="00E0558E" w:rsidRDefault="00E0558E" w:rsidP="008C1FE6">
      <w:pPr>
        <w:jc w:val="both"/>
        <w:rPr>
          <w:rFonts w:ascii="Arial" w:eastAsia="Arial" w:hAnsi="Arial" w:cs="Arial"/>
          <w:sz w:val="20"/>
          <w:szCs w:val="20"/>
        </w:rPr>
      </w:pPr>
      <w:r>
        <w:rPr>
          <w:rFonts w:ascii="Arial" w:eastAsia="Arial" w:hAnsi="Arial" w:cs="Arial"/>
          <w:sz w:val="20"/>
          <w:szCs w:val="20"/>
        </w:rPr>
        <w:t xml:space="preserve">[…] </w:t>
      </w:r>
      <w:r w:rsidRPr="00E0558E">
        <w:rPr>
          <w:rFonts w:ascii="Arial" w:eastAsia="Arial" w:hAnsi="Arial" w:cs="Arial"/>
          <w:sz w:val="20"/>
          <w:szCs w:val="20"/>
        </w:rPr>
        <w:t xml:space="preserve">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6D15D7CD" w14:textId="55D87F37" w:rsidR="00E0558E" w:rsidRDefault="00E0558E" w:rsidP="00E0558E">
      <w:pPr>
        <w:spacing w:before="120"/>
        <w:jc w:val="both"/>
        <w:rPr>
          <w:rFonts w:ascii="Arial" w:eastAsia="Arial" w:hAnsi="Arial" w:cs="Arial"/>
          <w:sz w:val="20"/>
          <w:szCs w:val="20"/>
        </w:rPr>
      </w:pPr>
      <w:r w:rsidRPr="00E0558E">
        <w:rPr>
          <w:rFonts w:ascii="Arial" w:eastAsia="Arial" w:hAnsi="Arial" w:cs="Arial"/>
          <w:sz w:val="20"/>
          <w:szCs w:val="20"/>
        </w:rPr>
        <w:t xml:space="preserve">En términos generales, en la referida resolución se dispuso: i) que el ofrecimiento del proponente sobre la «garantía suplementaria o adicional» y el «mantenimiento adicional», no podrá superar el «[…] valor porcentual máximo entre el siguiente rango: entre el 30% y el 50% del plazo establecido por la entidad para la garantía de estabilidad y calidad de la obra […]», valor porcentual que fija libremente la autoridad contratante dentro del referido rango; y </w:t>
      </w:r>
      <w:proofErr w:type="spellStart"/>
      <w:r w:rsidRPr="00E0558E">
        <w:rPr>
          <w:rFonts w:ascii="Arial" w:eastAsia="Arial" w:hAnsi="Arial" w:cs="Arial"/>
          <w:sz w:val="20"/>
          <w:szCs w:val="20"/>
        </w:rPr>
        <w:t>ii</w:t>
      </w:r>
      <w:proofErr w:type="spellEnd"/>
      <w:r w:rsidRPr="00E0558E">
        <w:rPr>
          <w:rFonts w:ascii="Arial" w:eastAsia="Arial" w:hAnsi="Arial" w:cs="Arial"/>
          <w:sz w:val="20"/>
          <w:szCs w:val="20"/>
        </w:rPr>
        <w:t>) que, en relación con las «cuadrillas de trabajo» adicionales, las entidades deben elegir si establecen un estimado de frentes de trabajo o si no lo establecen, pues, en el primer evento, «[e]l proponente podrá ofrecer hasta máximo 2 cuadrillas por cada frente de trabajo», mientras que en el segundo, «[…] ofrecerá 1 cuadrilla adicional por cada 50 obreros que sean requeridos para el proyecto de infraestructura de transporte»</w:t>
      </w:r>
      <w:r>
        <w:rPr>
          <w:rFonts w:ascii="Arial" w:eastAsia="Arial" w:hAnsi="Arial" w:cs="Arial"/>
          <w:sz w:val="20"/>
          <w:szCs w:val="20"/>
        </w:rPr>
        <w:t>. […]</w:t>
      </w:r>
    </w:p>
    <w:p w14:paraId="471C0011" w14:textId="183B72E8" w:rsidR="008C1FE6" w:rsidRDefault="008C1FE6" w:rsidP="008C1FE6">
      <w:pPr>
        <w:jc w:val="both"/>
        <w:rPr>
          <w:rFonts w:ascii="Arial" w:eastAsia="Arial" w:hAnsi="Arial" w:cs="Arial"/>
          <w:color w:val="000000"/>
          <w:sz w:val="20"/>
          <w:szCs w:val="20"/>
        </w:rPr>
      </w:pPr>
    </w:p>
    <w:p w14:paraId="7F13BF34" w14:textId="3238E6C1" w:rsidR="008C1FE6" w:rsidRDefault="008C1FE6" w:rsidP="008C1FE6">
      <w:pPr>
        <w:jc w:val="both"/>
        <w:rPr>
          <w:rFonts w:ascii="Arial" w:eastAsia="Arial" w:hAnsi="Arial" w:cs="Arial"/>
          <w:b/>
          <w:sz w:val="20"/>
          <w:szCs w:val="20"/>
        </w:rPr>
      </w:pPr>
      <w:r>
        <w:rPr>
          <w:rFonts w:ascii="Arial" w:eastAsia="Arial" w:hAnsi="Arial" w:cs="Arial"/>
          <w:b/>
          <w:sz w:val="22"/>
          <w:szCs w:val="22"/>
        </w:rPr>
        <w:t>DOCUMENTOS TIPO – Factor de Calidad – Límites – Antes de la Resolución 116 de 2020</w:t>
      </w:r>
    </w:p>
    <w:p w14:paraId="339B3C8E" w14:textId="77777777" w:rsidR="008C1FE6" w:rsidRDefault="008C1FE6" w:rsidP="008C1FE6">
      <w:pPr>
        <w:jc w:val="both"/>
        <w:rPr>
          <w:rFonts w:ascii="Arial" w:eastAsia="Arial" w:hAnsi="Arial" w:cs="Arial"/>
          <w:b/>
          <w:sz w:val="20"/>
          <w:szCs w:val="20"/>
        </w:rPr>
      </w:pPr>
    </w:p>
    <w:p w14:paraId="60BD4AD2" w14:textId="6D95574A" w:rsidR="008C1FE6" w:rsidRPr="008C1FE6" w:rsidRDefault="008C1FE6" w:rsidP="008C1FE6">
      <w:pPr>
        <w:jc w:val="both"/>
        <w:rPr>
          <w:rFonts w:ascii="Arial" w:eastAsia="Arial" w:hAnsi="Arial" w:cs="Arial"/>
          <w:sz w:val="20"/>
          <w:szCs w:val="20"/>
        </w:rPr>
      </w:pPr>
      <w:r w:rsidRPr="008C1FE6">
        <w:rPr>
          <w:rFonts w:ascii="Arial" w:eastAsia="Arial" w:hAnsi="Arial" w:cs="Arial"/>
          <w:sz w:val="20"/>
          <w:szCs w:val="20"/>
        </w:rPr>
        <w:t>Es del caso precisar que el Documento Tipo, antes de la Resolución 116 de 2020, no limitaba al oferente frente 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w:t>
      </w:r>
    </w:p>
    <w:p w14:paraId="6B75F158" w14:textId="1542AAD2" w:rsidR="002C306D" w:rsidRDefault="008C1FE6" w:rsidP="00D96027">
      <w:pPr>
        <w:spacing w:before="120"/>
        <w:jc w:val="both"/>
        <w:rPr>
          <w:rFonts w:ascii="Arial" w:eastAsia="Arial" w:hAnsi="Arial" w:cs="Arial"/>
          <w:color w:val="000000"/>
          <w:sz w:val="20"/>
          <w:szCs w:val="20"/>
        </w:rPr>
      </w:pPr>
      <w:r w:rsidRPr="008C1FE6">
        <w:rPr>
          <w:rFonts w:ascii="Arial" w:eastAsia="Arial" w:hAnsi="Arial" w:cs="Arial"/>
          <w:sz w:val="20"/>
          <w:szCs w:val="20"/>
        </w:rPr>
        <w:t>En ese sentido, antes de la expedición de la Resolución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«7E – Cuadrillas de trabajo adicional» y «7F – Mantenimiento adicional», en la medida que estos son Documentos Tipo afectados por el principio de inalterabilidad, por lo que solo pueden modificar los apartados entre corchetes y resaltados en gris.</w:t>
      </w:r>
    </w:p>
    <w:p w14:paraId="2BF13919" w14:textId="77777777" w:rsidR="00224032" w:rsidRPr="00F21304" w:rsidRDefault="00224032" w:rsidP="00224032">
      <w:pPr>
        <w:rPr>
          <w:rFonts w:ascii="Arial" w:eastAsia="Arial" w:hAnsi="Arial" w:cs="Arial"/>
          <w:color w:val="000000"/>
          <w:sz w:val="20"/>
          <w:szCs w:val="20"/>
        </w:rPr>
      </w:pPr>
    </w:p>
    <w:p w14:paraId="60282C5A" w14:textId="5B0AEC34" w:rsidR="00224032" w:rsidRPr="00F21304" w:rsidRDefault="00224032" w:rsidP="00224032">
      <w:pPr>
        <w:pBdr>
          <w:top w:val="nil"/>
          <w:left w:val="nil"/>
          <w:bottom w:val="nil"/>
          <w:right w:val="nil"/>
          <w:between w:val="nil"/>
        </w:pBdr>
        <w:rPr>
          <w:rFonts w:ascii="Arial" w:eastAsia="Arial" w:hAnsi="Arial" w:cs="Arial"/>
          <w:color w:val="000000"/>
          <w:sz w:val="22"/>
          <w:szCs w:val="22"/>
        </w:rPr>
      </w:pPr>
      <w:r w:rsidRPr="00F21304">
        <w:rPr>
          <w:rFonts w:ascii="Arial" w:eastAsia="Arial" w:hAnsi="Arial" w:cs="Arial"/>
          <w:color w:val="000000"/>
          <w:sz w:val="22"/>
          <w:szCs w:val="22"/>
        </w:rPr>
        <w:lastRenderedPageBreak/>
        <w:t xml:space="preserve">Bogotá D.C., </w:t>
      </w:r>
      <w:r w:rsidR="002D44D7" w:rsidRPr="002D44D7">
        <w:rPr>
          <w:rFonts w:ascii="Arial" w:eastAsia="Arial" w:hAnsi="Arial" w:cs="Arial"/>
          <w:b/>
          <w:color w:val="000000"/>
          <w:sz w:val="22"/>
          <w:szCs w:val="22"/>
        </w:rPr>
        <w:t>19/08/2020 Hora 9:26:2s</w:t>
      </w:r>
    </w:p>
    <w:p w14:paraId="003A6259" w14:textId="3517174C" w:rsidR="00224032" w:rsidRPr="00F21304" w:rsidRDefault="00224032" w:rsidP="00224032">
      <w:pPr>
        <w:jc w:val="right"/>
        <w:rPr>
          <w:rFonts w:ascii="Arial" w:eastAsia="Arial" w:hAnsi="Arial" w:cs="Arial"/>
          <w:color w:val="000000"/>
          <w:sz w:val="22"/>
          <w:szCs w:val="22"/>
        </w:rPr>
      </w:pPr>
      <w:proofErr w:type="spellStart"/>
      <w:r w:rsidRPr="00F21304">
        <w:rPr>
          <w:rFonts w:ascii="Arial" w:hAnsi="Arial" w:cs="Arial"/>
          <w:b/>
          <w:sz w:val="22"/>
          <w:szCs w:val="22"/>
        </w:rPr>
        <w:t>N°</w:t>
      </w:r>
      <w:proofErr w:type="spellEnd"/>
      <w:r w:rsidRPr="00F21304">
        <w:rPr>
          <w:rFonts w:ascii="Arial" w:hAnsi="Arial" w:cs="Arial"/>
          <w:b/>
          <w:sz w:val="22"/>
          <w:szCs w:val="22"/>
        </w:rPr>
        <w:t xml:space="preserve"> Radicados: </w:t>
      </w:r>
      <w:r w:rsidR="00142B20" w:rsidRPr="00142B20">
        <w:rPr>
          <w:rFonts w:ascii="Arial" w:hAnsi="Arial" w:cs="Arial"/>
          <w:b/>
          <w:sz w:val="22"/>
          <w:szCs w:val="22"/>
        </w:rPr>
        <w:t>2202013000007603</w:t>
      </w:r>
    </w:p>
    <w:p w14:paraId="5ADBA827" w14:textId="77777777" w:rsidR="00224032" w:rsidRDefault="00224032" w:rsidP="00224032">
      <w:pPr>
        <w:rPr>
          <w:rFonts w:ascii="Arial" w:eastAsia="Arial" w:hAnsi="Arial" w:cs="Arial"/>
          <w:color w:val="000000"/>
          <w:sz w:val="22"/>
          <w:szCs w:val="22"/>
        </w:rPr>
      </w:pPr>
    </w:p>
    <w:p w14:paraId="37CEC65F" w14:textId="77777777" w:rsidR="00224032" w:rsidRDefault="00224032" w:rsidP="00224032">
      <w:pPr>
        <w:rPr>
          <w:rFonts w:ascii="Arial" w:eastAsia="Arial" w:hAnsi="Arial" w:cs="Arial"/>
          <w:color w:val="000000"/>
          <w:sz w:val="22"/>
          <w:szCs w:val="22"/>
        </w:rPr>
      </w:pPr>
    </w:p>
    <w:p w14:paraId="129D0973" w14:textId="77777777" w:rsidR="00224032" w:rsidRDefault="00224032" w:rsidP="00224032">
      <w:pPr>
        <w:rPr>
          <w:rFonts w:ascii="Arial" w:eastAsia="Arial" w:hAnsi="Arial" w:cs="Arial"/>
          <w:color w:val="000000"/>
          <w:sz w:val="22"/>
          <w:szCs w:val="22"/>
        </w:rPr>
      </w:pPr>
      <w:r>
        <w:rPr>
          <w:rFonts w:ascii="Arial" w:eastAsia="Arial" w:hAnsi="Arial" w:cs="Arial"/>
          <w:color w:val="000000"/>
          <w:sz w:val="22"/>
          <w:szCs w:val="22"/>
        </w:rPr>
        <w:t xml:space="preserve">Señor </w:t>
      </w:r>
    </w:p>
    <w:p w14:paraId="2D803993" w14:textId="77777777" w:rsidR="00224032" w:rsidRDefault="00224032" w:rsidP="00224032">
      <w:pPr>
        <w:rPr>
          <w:rFonts w:ascii="Arial" w:eastAsia="Arial" w:hAnsi="Arial" w:cs="Arial"/>
          <w:b/>
          <w:color w:val="000000"/>
          <w:sz w:val="22"/>
          <w:szCs w:val="22"/>
        </w:rPr>
      </w:pPr>
      <w:proofErr w:type="spellStart"/>
      <w:r>
        <w:rPr>
          <w:rFonts w:ascii="Arial" w:eastAsia="Arial" w:hAnsi="Arial" w:cs="Arial"/>
          <w:b/>
          <w:color w:val="000000"/>
          <w:sz w:val="22"/>
          <w:szCs w:val="22"/>
        </w:rPr>
        <w:t>Jhon</w:t>
      </w:r>
      <w:proofErr w:type="spellEnd"/>
      <w:r>
        <w:rPr>
          <w:rFonts w:ascii="Arial" w:eastAsia="Arial" w:hAnsi="Arial" w:cs="Arial"/>
          <w:b/>
          <w:color w:val="000000"/>
          <w:sz w:val="22"/>
          <w:szCs w:val="22"/>
        </w:rPr>
        <w:t xml:space="preserve"> Fredy Mena</w:t>
      </w:r>
    </w:p>
    <w:p w14:paraId="2B2D8A1B" w14:textId="77777777" w:rsidR="00224032" w:rsidRDefault="00224032" w:rsidP="00224032">
      <w:pPr>
        <w:rPr>
          <w:rFonts w:ascii="Arial" w:eastAsia="Arial" w:hAnsi="Arial" w:cs="Arial"/>
          <w:color w:val="000000"/>
          <w:sz w:val="22"/>
          <w:szCs w:val="22"/>
        </w:rPr>
      </w:pPr>
      <w:r>
        <w:rPr>
          <w:rFonts w:ascii="Arial" w:eastAsia="Arial" w:hAnsi="Arial" w:cs="Arial"/>
          <w:color w:val="000000"/>
          <w:sz w:val="22"/>
          <w:szCs w:val="22"/>
        </w:rPr>
        <w:t>Villavicencio, Meta</w:t>
      </w:r>
    </w:p>
    <w:p w14:paraId="0D17EF26" w14:textId="77777777" w:rsidR="00224032" w:rsidRDefault="00224032" w:rsidP="00224032">
      <w:pPr>
        <w:rPr>
          <w:rFonts w:ascii="Arial" w:eastAsia="Arial" w:hAnsi="Arial" w:cs="Arial"/>
          <w:color w:val="000000"/>
          <w:sz w:val="22"/>
          <w:szCs w:val="22"/>
        </w:rPr>
      </w:pPr>
    </w:p>
    <w:p w14:paraId="6A3E4744" w14:textId="77777777" w:rsidR="00224032" w:rsidRDefault="00224032" w:rsidP="00224032">
      <w:pPr>
        <w:rPr>
          <w:rFonts w:ascii="Arial" w:eastAsia="Arial" w:hAnsi="Arial" w:cs="Arial"/>
          <w:color w:val="000000"/>
          <w:sz w:val="22"/>
          <w:szCs w:val="22"/>
        </w:rPr>
      </w:pPr>
    </w:p>
    <w:p w14:paraId="7240D9F6" w14:textId="77777777" w:rsidR="00224032" w:rsidRDefault="00224032" w:rsidP="00224032">
      <w:pPr>
        <w:rPr>
          <w:rFonts w:ascii="Arial" w:eastAsia="Arial" w:hAnsi="Arial" w:cs="Arial"/>
          <w:color w:val="000000"/>
          <w:sz w:val="22"/>
          <w:szCs w:val="22"/>
        </w:rPr>
      </w:pPr>
    </w:p>
    <w:p w14:paraId="3CF69F8A" w14:textId="77777777" w:rsidR="00224032" w:rsidRDefault="00224032" w:rsidP="00224032">
      <w:pPr>
        <w:rPr>
          <w:rFonts w:ascii="Arial" w:eastAsia="Arial" w:hAnsi="Arial" w:cs="Arial"/>
          <w:color w:val="000000"/>
          <w:sz w:val="22"/>
          <w:szCs w:val="22"/>
        </w:rPr>
      </w:pPr>
    </w:p>
    <w:p w14:paraId="5C533DA2" w14:textId="554C1676" w:rsidR="00224032" w:rsidRPr="00812C65" w:rsidRDefault="00224032" w:rsidP="00224032">
      <w:pPr>
        <w:ind w:firstLine="2694"/>
        <w:rPr>
          <w:rFonts w:ascii="Arial" w:eastAsia="Arial" w:hAnsi="Arial" w:cs="Arial"/>
          <w:b/>
          <w:color w:val="000000"/>
          <w:sz w:val="22"/>
          <w:szCs w:val="22"/>
        </w:rPr>
      </w:pPr>
      <w:r w:rsidRPr="00812C65">
        <w:rPr>
          <w:rFonts w:ascii="Arial" w:eastAsia="Arial" w:hAnsi="Arial" w:cs="Arial"/>
          <w:b/>
          <w:color w:val="000000"/>
          <w:sz w:val="22"/>
          <w:szCs w:val="22"/>
        </w:rPr>
        <w:t>Concepto C – 5</w:t>
      </w:r>
      <w:r w:rsidR="00812C65" w:rsidRPr="00812C65">
        <w:rPr>
          <w:rFonts w:ascii="Arial" w:eastAsia="Arial" w:hAnsi="Arial" w:cs="Arial"/>
          <w:b/>
          <w:color w:val="000000"/>
          <w:sz w:val="22"/>
          <w:szCs w:val="22"/>
        </w:rPr>
        <w:t>40</w:t>
      </w:r>
      <w:r w:rsidRPr="00812C65">
        <w:rPr>
          <w:rFonts w:ascii="Arial" w:eastAsia="Arial" w:hAnsi="Arial" w:cs="Arial"/>
          <w:b/>
          <w:color w:val="000000"/>
          <w:sz w:val="22"/>
          <w:szCs w:val="22"/>
        </w:rPr>
        <w:t xml:space="preserve"> de 2020</w:t>
      </w:r>
    </w:p>
    <w:p w14:paraId="00705B27" w14:textId="77777777" w:rsidR="00224032" w:rsidRPr="00812C65" w:rsidRDefault="00224032" w:rsidP="00224032">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224032" w14:paraId="5A656043" w14:textId="77777777" w:rsidTr="00863C70">
        <w:tc>
          <w:tcPr>
            <w:tcW w:w="2689" w:type="dxa"/>
          </w:tcPr>
          <w:p w14:paraId="71659ED6" w14:textId="77777777" w:rsidR="00224032" w:rsidRPr="00812C65" w:rsidRDefault="00224032" w:rsidP="00863C70">
            <w:pPr>
              <w:rPr>
                <w:rFonts w:ascii="Arial" w:eastAsia="Arial" w:hAnsi="Arial" w:cs="Arial"/>
                <w:color w:val="000000"/>
                <w:sz w:val="22"/>
                <w:szCs w:val="22"/>
              </w:rPr>
            </w:pPr>
            <w:r w:rsidRPr="00812C65">
              <w:rPr>
                <w:rFonts w:ascii="Arial" w:eastAsia="Arial" w:hAnsi="Arial" w:cs="Arial"/>
                <w:b/>
                <w:color w:val="000000"/>
                <w:sz w:val="22"/>
                <w:szCs w:val="22"/>
              </w:rPr>
              <w:t>Temas:</w:t>
            </w:r>
            <w:r w:rsidRPr="00812C65">
              <w:rPr>
                <w:rFonts w:ascii="Arial" w:eastAsia="Arial" w:hAnsi="Arial" w:cs="Arial"/>
                <w:color w:val="000000"/>
                <w:sz w:val="22"/>
                <w:szCs w:val="22"/>
              </w:rPr>
              <w:t xml:space="preserve">           </w:t>
            </w:r>
          </w:p>
          <w:p w14:paraId="628B765F" w14:textId="77777777" w:rsidR="00224032" w:rsidRPr="00812C65" w:rsidRDefault="00224032" w:rsidP="00863C70">
            <w:pPr>
              <w:rPr>
                <w:rFonts w:ascii="Arial" w:eastAsia="Arial" w:hAnsi="Arial" w:cs="Arial"/>
                <w:color w:val="000000"/>
                <w:sz w:val="22"/>
                <w:szCs w:val="22"/>
              </w:rPr>
            </w:pPr>
            <w:r w:rsidRPr="00812C65">
              <w:rPr>
                <w:rFonts w:ascii="Arial" w:eastAsia="Arial" w:hAnsi="Arial" w:cs="Arial"/>
                <w:color w:val="000000"/>
                <w:sz w:val="22"/>
                <w:szCs w:val="22"/>
              </w:rPr>
              <w:t xml:space="preserve">                           </w:t>
            </w:r>
          </w:p>
        </w:tc>
        <w:tc>
          <w:tcPr>
            <w:tcW w:w="6237" w:type="dxa"/>
          </w:tcPr>
          <w:p w14:paraId="1B48FED8" w14:textId="02502700" w:rsidR="00224032" w:rsidRDefault="00D96027" w:rsidP="00D96027">
            <w:pPr>
              <w:rPr>
                <w:rFonts w:ascii="Arial" w:eastAsia="Arial" w:hAnsi="Arial" w:cs="Arial"/>
                <w:color w:val="000000"/>
                <w:sz w:val="22"/>
                <w:szCs w:val="22"/>
              </w:rPr>
            </w:pPr>
            <w:r w:rsidRPr="00812C65">
              <w:rPr>
                <w:rFonts w:ascii="Arial" w:eastAsia="Arial" w:hAnsi="Arial" w:cs="Arial"/>
                <w:color w:val="000000"/>
                <w:sz w:val="22"/>
                <w:szCs w:val="22"/>
              </w:rPr>
              <w:t>DOCUMENTOS TIPO – Factor de Calidad / DOCUMENTOS TIPO – Factor de Calidad – Puntuación / DOCUMENTOS TIPO – Factor de Calidad – Cuadrillas de trabajo adicional / DOCUMENTOS TIPO – Factor de Calidad – Mantenimiento adicional / DOCUMENTOS TIPO – Factor de Calidad – Límites – Resolución 116 de 2020 / DOCUMENTOS TIPO – Factor de Calidad – Límites – Antes de la Resolución 116 de 2020</w:t>
            </w:r>
          </w:p>
        </w:tc>
      </w:tr>
      <w:tr w:rsidR="00224032" w14:paraId="0969C9D6" w14:textId="77777777" w:rsidTr="00863C70">
        <w:tc>
          <w:tcPr>
            <w:tcW w:w="2689" w:type="dxa"/>
          </w:tcPr>
          <w:p w14:paraId="7E2AC23A" w14:textId="77777777" w:rsidR="00224032" w:rsidRDefault="00224032" w:rsidP="00863C70">
            <w:pPr>
              <w:spacing w:before="120"/>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496A2DBF" w14:textId="77777777" w:rsidR="00224032" w:rsidRDefault="00224032" w:rsidP="00863C70">
            <w:pPr>
              <w:spacing w:before="120"/>
              <w:rPr>
                <w:rFonts w:ascii="Arial" w:eastAsia="Arial" w:hAnsi="Arial" w:cs="Arial"/>
                <w:color w:val="000000"/>
                <w:sz w:val="22"/>
                <w:szCs w:val="22"/>
              </w:rPr>
            </w:pPr>
            <w:r>
              <w:rPr>
                <w:rFonts w:ascii="Arial" w:eastAsia="Arial" w:hAnsi="Arial" w:cs="Arial"/>
                <w:color w:val="000000"/>
                <w:sz w:val="22"/>
                <w:szCs w:val="22"/>
              </w:rPr>
              <w:t xml:space="preserve">Respuesta a consulta 4202013000006739 </w:t>
            </w:r>
          </w:p>
        </w:tc>
      </w:tr>
    </w:tbl>
    <w:p w14:paraId="3A70DB3A" w14:textId="77777777" w:rsidR="00224032" w:rsidRDefault="00224032" w:rsidP="00224032">
      <w:pPr>
        <w:rPr>
          <w:rFonts w:ascii="Arial" w:eastAsia="Arial" w:hAnsi="Arial" w:cs="Arial"/>
          <w:color w:val="000000"/>
          <w:sz w:val="22"/>
          <w:szCs w:val="22"/>
        </w:rPr>
      </w:pPr>
    </w:p>
    <w:p w14:paraId="16971AA9" w14:textId="77777777" w:rsidR="00224032" w:rsidRDefault="00224032" w:rsidP="00224032">
      <w:pPr>
        <w:rPr>
          <w:rFonts w:ascii="Arial" w:eastAsia="Arial" w:hAnsi="Arial" w:cs="Arial"/>
          <w:color w:val="000000"/>
          <w:sz w:val="22"/>
          <w:szCs w:val="22"/>
        </w:rPr>
      </w:pPr>
      <w:r>
        <w:rPr>
          <w:rFonts w:ascii="Arial" w:eastAsia="Arial" w:hAnsi="Arial" w:cs="Arial"/>
          <w:color w:val="000000"/>
          <w:sz w:val="22"/>
          <w:szCs w:val="22"/>
        </w:rPr>
        <w:t>Estimada señora Pérez,</w:t>
      </w:r>
    </w:p>
    <w:p w14:paraId="3DE69006" w14:textId="77777777" w:rsidR="00224032" w:rsidRDefault="00224032" w:rsidP="00224032">
      <w:pPr>
        <w:rPr>
          <w:rFonts w:ascii="Arial" w:eastAsia="Arial" w:hAnsi="Arial" w:cs="Arial"/>
          <w:color w:val="000000"/>
          <w:sz w:val="22"/>
          <w:szCs w:val="22"/>
        </w:rPr>
      </w:pPr>
    </w:p>
    <w:p w14:paraId="51300CB9" w14:textId="77777777" w:rsidR="00224032" w:rsidRDefault="00224032" w:rsidP="00224032">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Agencia Nacional de Contratación Pública -Colombia Compra Eficiente- responde su consulta del 8 de agosto de 2020, en ejercicio de la competencia otorgada por el numeral 8 del artículo 11 y el numeral 5 del artículo 3 del Decreto Ley 4170 de 2011. </w:t>
      </w:r>
    </w:p>
    <w:p w14:paraId="3B64E72E" w14:textId="77777777" w:rsidR="00224032" w:rsidRDefault="00224032" w:rsidP="00224032">
      <w:pPr>
        <w:spacing w:line="276" w:lineRule="auto"/>
        <w:jc w:val="both"/>
        <w:rPr>
          <w:rFonts w:ascii="Arial" w:eastAsia="Arial" w:hAnsi="Arial" w:cs="Arial"/>
          <w:color w:val="000000"/>
          <w:sz w:val="22"/>
          <w:szCs w:val="22"/>
        </w:rPr>
      </w:pPr>
    </w:p>
    <w:p w14:paraId="29059E9D" w14:textId="77777777" w:rsidR="00224032" w:rsidRDefault="00224032" w:rsidP="00224032">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1. Problemas planteados</w:t>
      </w:r>
    </w:p>
    <w:p w14:paraId="57A2AAC6" w14:textId="77777777" w:rsidR="00224032" w:rsidRDefault="00224032" w:rsidP="00224032">
      <w:pPr>
        <w:spacing w:line="276" w:lineRule="auto"/>
        <w:jc w:val="both"/>
        <w:rPr>
          <w:rFonts w:ascii="Arial" w:eastAsia="Arial" w:hAnsi="Arial" w:cs="Arial"/>
          <w:color w:val="000000"/>
          <w:sz w:val="22"/>
          <w:szCs w:val="22"/>
        </w:rPr>
      </w:pPr>
    </w:p>
    <w:p w14:paraId="167E618C" w14:textId="7DFC04A7" w:rsidR="00224032" w:rsidRPr="00A44780" w:rsidRDefault="00224032" w:rsidP="00224032">
      <w:pPr>
        <w:spacing w:line="276" w:lineRule="auto"/>
        <w:jc w:val="both"/>
        <w:rPr>
          <w:rFonts w:ascii="Arial" w:eastAsia="Arial" w:hAnsi="Arial" w:cs="Arial"/>
          <w:color w:val="000000"/>
          <w:sz w:val="22"/>
          <w:szCs w:val="22"/>
          <w:lang w:val="es-CO"/>
        </w:rPr>
      </w:pPr>
      <w:r>
        <w:rPr>
          <w:rFonts w:ascii="Arial" w:eastAsia="Arial" w:hAnsi="Arial" w:cs="Arial"/>
          <w:color w:val="000000"/>
          <w:sz w:val="22"/>
          <w:szCs w:val="22"/>
        </w:rPr>
        <w:t xml:space="preserve">El peticionario plantea las siguientes preguntas: «1. [¿] </w:t>
      </w:r>
      <w:r w:rsidRPr="00A44780">
        <w:rPr>
          <w:rFonts w:ascii="Arial" w:eastAsia="Arial" w:hAnsi="Arial" w:cs="Arial"/>
          <w:color w:val="000000"/>
          <w:sz w:val="22"/>
          <w:szCs w:val="22"/>
        </w:rPr>
        <w:t>cuanto</w:t>
      </w:r>
      <w:r>
        <w:rPr>
          <w:rFonts w:ascii="Arial" w:eastAsia="Arial" w:hAnsi="Arial" w:cs="Arial"/>
          <w:color w:val="000000"/>
          <w:sz w:val="22"/>
          <w:szCs w:val="22"/>
        </w:rPr>
        <w:t xml:space="preserve"> (sic)</w:t>
      </w:r>
      <w:r w:rsidRPr="00A44780">
        <w:rPr>
          <w:rFonts w:ascii="Arial" w:eastAsia="Arial" w:hAnsi="Arial" w:cs="Arial"/>
          <w:color w:val="000000"/>
          <w:sz w:val="22"/>
          <w:szCs w:val="22"/>
        </w:rPr>
        <w:t xml:space="preserve"> es el máximo permitido de las cuadrillas adicionales en las obras, en cada contrato. </w:t>
      </w:r>
      <w:r>
        <w:rPr>
          <w:rFonts w:ascii="Arial" w:eastAsia="Arial" w:hAnsi="Arial" w:cs="Arial"/>
          <w:color w:val="000000"/>
          <w:sz w:val="22"/>
          <w:szCs w:val="22"/>
        </w:rPr>
        <w:t>[D]</w:t>
      </w:r>
      <w:proofErr w:type="spellStart"/>
      <w:r w:rsidRPr="00A44780">
        <w:rPr>
          <w:rFonts w:ascii="Arial" w:eastAsia="Arial" w:hAnsi="Arial" w:cs="Arial"/>
          <w:color w:val="000000"/>
          <w:sz w:val="22"/>
          <w:szCs w:val="22"/>
        </w:rPr>
        <w:t>efinir</w:t>
      </w:r>
      <w:proofErr w:type="spellEnd"/>
      <w:r w:rsidRPr="00A44780">
        <w:rPr>
          <w:rFonts w:ascii="Arial" w:eastAsia="Arial" w:hAnsi="Arial" w:cs="Arial"/>
          <w:color w:val="000000"/>
          <w:sz w:val="22"/>
          <w:szCs w:val="22"/>
        </w:rPr>
        <w:t xml:space="preserve"> cuantas </w:t>
      </w:r>
      <w:r>
        <w:rPr>
          <w:rFonts w:ascii="Arial" w:eastAsia="Arial" w:hAnsi="Arial" w:cs="Arial"/>
          <w:color w:val="000000"/>
          <w:sz w:val="22"/>
          <w:szCs w:val="22"/>
        </w:rPr>
        <w:t xml:space="preserve">(sic) </w:t>
      </w:r>
      <w:r w:rsidRPr="00A44780">
        <w:rPr>
          <w:rFonts w:ascii="Arial" w:eastAsia="Arial" w:hAnsi="Arial" w:cs="Arial"/>
          <w:color w:val="000000"/>
          <w:sz w:val="22"/>
          <w:szCs w:val="22"/>
        </w:rPr>
        <w:t>son máximo</w:t>
      </w:r>
      <w:r>
        <w:rPr>
          <w:rFonts w:ascii="Arial" w:eastAsia="Arial" w:hAnsi="Arial" w:cs="Arial"/>
          <w:color w:val="000000"/>
          <w:sz w:val="22"/>
          <w:szCs w:val="22"/>
        </w:rPr>
        <w:t xml:space="preserve">; </w:t>
      </w:r>
      <w:r w:rsidRPr="00A44780">
        <w:rPr>
          <w:rFonts w:ascii="Arial" w:eastAsia="Arial" w:hAnsi="Arial" w:cs="Arial"/>
          <w:color w:val="000000"/>
          <w:sz w:val="22"/>
          <w:szCs w:val="22"/>
        </w:rPr>
        <w:t xml:space="preserve">2. </w:t>
      </w:r>
      <w:r>
        <w:rPr>
          <w:rFonts w:ascii="Arial" w:eastAsia="Arial" w:hAnsi="Arial" w:cs="Arial"/>
          <w:color w:val="000000"/>
          <w:sz w:val="22"/>
          <w:szCs w:val="22"/>
        </w:rPr>
        <w:t>[¿]</w:t>
      </w:r>
      <w:r w:rsidRPr="00A44780">
        <w:rPr>
          <w:rFonts w:ascii="Arial" w:eastAsia="Arial" w:hAnsi="Arial" w:cs="Arial"/>
          <w:color w:val="000000"/>
          <w:sz w:val="22"/>
          <w:szCs w:val="22"/>
        </w:rPr>
        <w:t xml:space="preserve"> cuanto </w:t>
      </w:r>
      <w:r>
        <w:rPr>
          <w:rFonts w:ascii="Arial" w:eastAsia="Arial" w:hAnsi="Arial" w:cs="Arial"/>
          <w:color w:val="000000"/>
          <w:sz w:val="22"/>
          <w:szCs w:val="22"/>
        </w:rPr>
        <w:t xml:space="preserve">(sic) </w:t>
      </w:r>
      <w:r w:rsidRPr="00A44780">
        <w:rPr>
          <w:rFonts w:ascii="Arial" w:eastAsia="Arial" w:hAnsi="Arial" w:cs="Arial"/>
          <w:color w:val="000000"/>
          <w:sz w:val="22"/>
          <w:szCs w:val="22"/>
        </w:rPr>
        <w:t>es el máximo permitido en tiempo o meses; para la garantía adicional. - en los formatos de 7. garantía adicional</w:t>
      </w:r>
      <w:r>
        <w:rPr>
          <w:rFonts w:ascii="Arial" w:eastAsia="Arial" w:hAnsi="Arial" w:cs="Arial"/>
          <w:color w:val="000000"/>
          <w:sz w:val="22"/>
          <w:szCs w:val="22"/>
        </w:rPr>
        <w:t>; 3</w:t>
      </w:r>
      <w:r w:rsidRPr="00A44780">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Pr="00A44780">
        <w:rPr>
          <w:rFonts w:ascii="Arial" w:eastAsia="Arial" w:hAnsi="Arial" w:cs="Arial"/>
          <w:color w:val="000000"/>
          <w:sz w:val="22"/>
          <w:szCs w:val="22"/>
        </w:rPr>
        <w:t>cuantos son los meses máximos, adicionales de mantenimiento; para los contratos de pliegos tipo versión 2</w:t>
      </w:r>
      <w:r>
        <w:rPr>
          <w:rFonts w:ascii="Arial" w:eastAsia="Arial" w:hAnsi="Arial" w:cs="Arial"/>
          <w:color w:val="000000"/>
          <w:sz w:val="22"/>
          <w:szCs w:val="22"/>
        </w:rPr>
        <w:t>?» (Entre corchetes fuera de texto). Igualmente, se pide definir y aclarar «[…] t</w:t>
      </w:r>
      <w:r w:rsidRPr="00A44780">
        <w:rPr>
          <w:rFonts w:ascii="Arial" w:eastAsia="Arial" w:hAnsi="Arial" w:cs="Arial"/>
          <w:color w:val="000000"/>
          <w:sz w:val="22"/>
          <w:szCs w:val="22"/>
        </w:rPr>
        <w:t>odos los formatos de pliegos tipo versión 2- formato del 1 al 9. que pueden y deben pedir las entidades para la licitación en infraestructura vial</w:t>
      </w:r>
      <w:r>
        <w:rPr>
          <w:rFonts w:ascii="Arial" w:eastAsia="Arial" w:hAnsi="Arial" w:cs="Arial"/>
          <w:color w:val="000000"/>
          <w:sz w:val="22"/>
          <w:szCs w:val="22"/>
        </w:rPr>
        <w:t>»</w:t>
      </w:r>
      <w:r w:rsidRPr="00A44780">
        <w:rPr>
          <w:rFonts w:ascii="Arial" w:eastAsia="Arial" w:hAnsi="Arial" w:cs="Arial"/>
          <w:color w:val="000000"/>
          <w:sz w:val="22"/>
          <w:szCs w:val="22"/>
        </w:rPr>
        <w:t>.</w:t>
      </w:r>
    </w:p>
    <w:p w14:paraId="0970F5C1" w14:textId="77777777" w:rsidR="00224032" w:rsidRDefault="00224032" w:rsidP="00224032">
      <w:pPr>
        <w:spacing w:line="276" w:lineRule="auto"/>
        <w:jc w:val="both"/>
        <w:rPr>
          <w:rFonts w:ascii="Arial" w:eastAsia="Arial" w:hAnsi="Arial" w:cs="Arial"/>
          <w:b/>
          <w:color w:val="000000"/>
          <w:sz w:val="22"/>
          <w:szCs w:val="22"/>
        </w:rPr>
      </w:pPr>
    </w:p>
    <w:p w14:paraId="4D90A1F0" w14:textId="77777777" w:rsidR="00224032" w:rsidRDefault="00224032" w:rsidP="00224032">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 Consideraciones</w:t>
      </w:r>
    </w:p>
    <w:p w14:paraId="40A15033" w14:textId="77777777" w:rsidR="00224032" w:rsidRDefault="00224032" w:rsidP="00224032">
      <w:pPr>
        <w:spacing w:line="276" w:lineRule="auto"/>
        <w:jc w:val="both"/>
        <w:rPr>
          <w:rFonts w:ascii="Arial" w:eastAsia="Arial" w:hAnsi="Arial" w:cs="Arial"/>
          <w:b/>
          <w:color w:val="000000"/>
          <w:sz w:val="22"/>
          <w:szCs w:val="22"/>
        </w:rPr>
      </w:pPr>
    </w:p>
    <w:p w14:paraId="078E9078" w14:textId="77777777" w:rsidR="00224032" w:rsidRDefault="00224032" w:rsidP="00224032">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Para desarrollar los problemas planteados, es necesario explicar el alcance del factor de calidad como criterio de evaluación, asignación de puntaje y desempate de las propuestas económicas, particularmente, en relación con la garantía suplementaria o adicional por </w:t>
      </w:r>
      <w:r>
        <w:rPr>
          <w:rFonts w:ascii="Arial" w:eastAsia="Arial" w:hAnsi="Arial" w:cs="Arial"/>
          <w:color w:val="000000"/>
          <w:sz w:val="22"/>
          <w:szCs w:val="22"/>
        </w:rPr>
        <w:lastRenderedPageBreak/>
        <w:t>cuenta del contratista, las cuadrillas de trabajo adicional a costo y riesgo de este último y el mantenimiento adicional.</w:t>
      </w:r>
    </w:p>
    <w:p w14:paraId="0348FA34" w14:textId="77777777" w:rsidR="00224032" w:rsidRPr="001F590F" w:rsidRDefault="00224032" w:rsidP="00224032">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Para tales fines, se reiterarán las tesis expuestas en los conceptos del 10 y el </w:t>
      </w:r>
      <w:r>
        <w:rPr>
          <w:rFonts w:ascii="Arial" w:eastAsia="Arial" w:hAnsi="Arial" w:cs="Arial"/>
          <w:color w:val="000000"/>
          <w:sz w:val="22"/>
          <w:szCs w:val="22"/>
          <w:highlight w:val="white"/>
        </w:rPr>
        <w:t xml:space="preserve">23 de julio de 2019, del 13 de agosto de 2019, del 16 y el 18 de septiembre de 2019, del 3 y 10 de octubre de 2019, del 16 de noviembre de 2019 y del 2 y 27 de diciembre de 2019 –Radicados Nos. 4201912000004631, 4201913000005084, 4201913000004446, 4201912000005689, 4201913000006373, 4201912000006258, 4201913000006154, 4201912000007756, 4201913000007151 y 4201912000008593–, así como en los conceptos C-019 del 14 de enero de 2020, C-030 del 28 de enero de 2020, C-026 del 11 de febrero de 2020, C-063 del 24 de febrero de 2020 y C-137 del 26 de marzo de 2020; </w:t>
      </w:r>
      <w:r>
        <w:rPr>
          <w:rFonts w:ascii="Arial" w:eastAsia="Arial" w:hAnsi="Arial" w:cs="Arial"/>
          <w:color w:val="000000"/>
          <w:sz w:val="22"/>
          <w:szCs w:val="22"/>
        </w:rPr>
        <w:t>y, frente al tercer tema, los conceptos C-294 del 18 de mayo de 2020; C-276 y C-277 del 26 de mayo de 2020; C–380 y C–381 del 1 de junio de 2020; C-404 del 12 de junio de 2020, C-430 del 7 de julio de 2020, C-481 del 27 de julio de 2020 y C-478 del 30 de julio de 2020.</w:t>
      </w:r>
    </w:p>
    <w:p w14:paraId="21B34F9F" w14:textId="77777777"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El «factor de calidad», 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w:t>
      </w:r>
      <w:proofErr w:type="spellStart"/>
      <w:r>
        <w:rPr>
          <w:rFonts w:ascii="Arial" w:eastAsia="Arial" w:hAnsi="Arial" w:cs="Arial"/>
          <w:sz w:val="22"/>
          <w:szCs w:val="22"/>
        </w:rPr>
        <w:t>ii</w:t>
      </w:r>
      <w:proofErr w:type="spellEnd"/>
      <w:r>
        <w:rPr>
          <w:rFonts w:ascii="Arial" w:eastAsia="Arial" w:hAnsi="Arial" w:cs="Arial"/>
          <w:sz w:val="22"/>
          <w:szCs w:val="22"/>
        </w:rPr>
        <w:t xml:space="preserve">) el ofrecimiento de cuadrillas de trabajo adicional a costo y riesgo del contratista y </w:t>
      </w:r>
      <w:proofErr w:type="spellStart"/>
      <w:r>
        <w:rPr>
          <w:rFonts w:ascii="Arial" w:eastAsia="Arial" w:hAnsi="Arial" w:cs="Arial"/>
          <w:sz w:val="22"/>
          <w:szCs w:val="22"/>
        </w:rPr>
        <w:t>iii</w:t>
      </w:r>
      <w:proofErr w:type="spellEnd"/>
      <w:r>
        <w:rPr>
          <w:rFonts w:ascii="Arial" w:eastAsia="Arial" w:hAnsi="Arial" w:cs="Arial"/>
          <w:sz w:val="22"/>
          <w:szCs w:val="22"/>
        </w:rPr>
        <w:t>) el mantenimiento rutinario adicional por cuenta del contratista. Estos factores además se encuentran incluidos dentro del Documento Tipo para procesos de selección abreviada de menor cuantía –Resolución No. 044 de 2020–.</w:t>
      </w:r>
    </w:p>
    <w:p w14:paraId="7702391D"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2B5600C7" w14:textId="630685F5"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Adicionalmente, esta versión de los Documentos Tipo conserva el puntaje establecido para el factor de calidad en la Versión 1, de modo que no se alteró el total de los 19 puntos que puede otorgar la entidad por este criterio de evaluación</w:t>
      </w:r>
      <w:r>
        <w:rPr>
          <w:rFonts w:ascii="Arial" w:eastAsia="Arial" w:hAnsi="Arial" w:cs="Arial"/>
        </w:rPr>
        <w:t xml:space="preserve">. </w:t>
      </w:r>
      <w:r>
        <w:rPr>
          <w:rFonts w:ascii="Arial" w:eastAsia="Arial" w:hAnsi="Arial" w:cs="Arial"/>
          <w:sz w:val="22"/>
          <w:szCs w:val="22"/>
        </w:rPr>
        <w:t>Estos 19 puntos corresponderán al total de los puntos que podrán asignarse como puntaje al rubro de factor de calidad</w:t>
      </w:r>
      <w:r w:rsidR="005C06BC">
        <w:rPr>
          <w:rFonts w:ascii="Arial" w:eastAsia="Arial" w:hAnsi="Arial" w:cs="Arial"/>
          <w:sz w:val="22"/>
          <w:szCs w:val="22"/>
        </w:rPr>
        <w:t>;</w:t>
      </w:r>
      <w:r>
        <w:rPr>
          <w:rFonts w:ascii="Arial" w:eastAsia="Arial" w:hAnsi="Arial" w:cs="Arial"/>
          <w:sz w:val="22"/>
          <w:szCs w:val="22"/>
        </w:rPr>
        <w:t xml:space="preserve"> en casos de que se opte por varios factores de calidad estos 19 puntos deberán ser repartidos entre los mismos, de tal manera que la sumatoria del puntaje de los factores de calidad escogidos por la entidad no sobre pase los 19 puntos.  </w:t>
      </w:r>
    </w:p>
    <w:p w14:paraId="1D6893DC"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sz w:val="20"/>
          <w:szCs w:val="20"/>
        </w:rPr>
        <w:t>«</w:t>
      </w:r>
      <w:r>
        <w:rPr>
          <w:rFonts w:ascii="Arial" w:eastAsia="Arial" w:hAnsi="Arial" w:cs="Arial"/>
          <w:sz w:val="22"/>
          <w:szCs w:val="22"/>
        </w:rPr>
        <w:t xml:space="preserve">Factor de Calidad ― Cuadrilla de trabajo adicional» tiene por objeto otorgar puntaje al proponente que se comprometa a ofertar y vincular a la obra cuadrillas de trabajo </w:t>
      </w:r>
      <w:r>
        <w:rPr>
          <w:rFonts w:ascii="Arial" w:eastAsia="Arial" w:hAnsi="Arial" w:cs="Arial"/>
          <w:sz w:val="22"/>
          <w:szCs w:val="22"/>
        </w:rPr>
        <w:lastRenderedPageBreak/>
        <w:t xml:space="preserve">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4FFD0FED"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3A58C8FF"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Por su parte,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7B23A691"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21B9F0E7" w14:textId="5C23CFDB" w:rsidR="00224032" w:rsidRPr="007873DA"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Conforme a lo anterior, el puntaje otorgado por </w:t>
      </w:r>
      <w:r w:rsidR="002C306D">
        <w:rPr>
          <w:rFonts w:ascii="Arial" w:eastAsia="Arial" w:hAnsi="Arial" w:cs="Arial"/>
          <w:sz w:val="22"/>
          <w:szCs w:val="22"/>
        </w:rPr>
        <w:t>los</w:t>
      </w:r>
      <w:r>
        <w:rPr>
          <w:rFonts w:ascii="Arial" w:eastAsia="Arial" w:hAnsi="Arial" w:cs="Arial"/>
          <w:sz w:val="22"/>
          <w:szCs w:val="22"/>
        </w:rPr>
        <w:t xml:space="preserve"> factores de calidad depende del ofrecimiento que realice cada proponente en sus ofertas, de acuerdo con sus capacidades y competitividad. En este sentido, el mayor puntaje lo recibirá aquel oferente que ofrezca </w:t>
      </w:r>
      <w:r w:rsidRPr="007873DA">
        <w:rPr>
          <w:rFonts w:ascii="Arial" w:eastAsia="Arial" w:hAnsi="Arial" w:cs="Arial"/>
          <w:sz w:val="22"/>
          <w:szCs w:val="22"/>
        </w:rPr>
        <w:t>mayor número de cuadrillas de trabajo adicional y el que se comprometa a realizar durante un plazo mayor labores de mantenimiento rutinario después de la terminación de las obras objeto del proceso de contratación.</w:t>
      </w:r>
    </w:p>
    <w:p w14:paraId="755B9ADE" w14:textId="77777777" w:rsidR="00224032" w:rsidRPr="007873DA" w:rsidRDefault="00224032" w:rsidP="00224032">
      <w:pPr>
        <w:tabs>
          <w:tab w:val="left" w:pos="709"/>
        </w:tabs>
        <w:spacing w:before="120" w:line="276" w:lineRule="auto"/>
        <w:jc w:val="both"/>
        <w:rPr>
          <w:rFonts w:ascii="Arial" w:eastAsia="Arial" w:hAnsi="Arial" w:cs="Arial"/>
          <w:sz w:val="22"/>
          <w:szCs w:val="22"/>
        </w:rPr>
      </w:pPr>
      <w:r w:rsidRPr="007873DA">
        <w:rPr>
          <w:rFonts w:ascii="Arial" w:eastAsia="Arial" w:hAnsi="Arial" w:cs="Arial"/>
          <w:sz w:val="22"/>
          <w:szCs w:val="22"/>
        </w:rPr>
        <w:tab/>
        <w:t xml:space="preserve">Es del caso resaltar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56512564" w14:textId="40BF231C" w:rsidR="00224032" w:rsidRDefault="00224032" w:rsidP="00224032">
      <w:pPr>
        <w:tabs>
          <w:tab w:val="left" w:pos="709"/>
        </w:tabs>
        <w:spacing w:before="120" w:line="276" w:lineRule="auto"/>
        <w:jc w:val="both"/>
        <w:rPr>
          <w:rFonts w:ascii="ArialMT" w:hAnsi="ArialMT"/>
          <w:sz w:val="22"/>
          <w:szCs w:val="22"/>
        </w:rPr>
      </w:pPr>
      <w:r w:rsidRPr="007873DA">
        <w:rPr>
          <w:rFonts w:ascii="Arial" w:eastAsia="Arial" w:hAnsi="Arial" w:cs="Arial"/>
          <w:sz w:val="22"/>
          <w:szCs w:val="22"/>
        </w:rPr>
        <w:lastRenderedPageBreak/>
        <w:tab/>
        <w:t>En términos generales, en la referida resolución se dispuso: i) que e</w:t>
      </w:r>
      <w:r w:rsidRPr="007873DA">
        <w:rPr>
          <w:rFonts w:ascii="Arial" w:eastAsia="Arial" w:hAnsi="Arial" w:cs="Arial"/>
          <w:sz w:val="22"/>
          <w:szCs w:val="22"/>
          <w:lang w:val="es-CO"/>
        </w:rPr>
        <w:t xml:space="preserve">l ofrecimiento del proponente sobre la «garantía suplementaria o adicional» y el «mantenimiento adicional», no podrá superar </w:t>
      </w:r>
      <w:r w:rsidRPr="007873DA">
        <w:rPr>
          <w:rFonts w:ascii="Arial" w:eastAsia="Arial" w:hAnsi="Arial" w:cs="Arial"/>
          <w:sz w:val="22"/>
          <w:szCs w:val="22"/>
        </w:rPr>
        <w:t>el «[…] valor porcentual máximo entre el siguiente rango: entre el 30% y el 50% del plazo establecido por la entidad para la garantía de estabilidad y calidad de la obra […]»</w:t>
      </w:r>
      <w:r w:rsidRPr="007873DA">
        <w:rPr>
          <w:rStyle w:val="Refdenotaalpie"/>
          <w:rFonts w:ascii="Arial" w:eastAsia="Arial" w:hAnsi="Arial" w:cs="Arial"/>
          <w:sz w:val="22"/>
          <w:szCs w:val="22"/>
        </w:rPr>
        <w:footnoteReference w:id="1"/>
      </w:r>
      <w:r w:rsidRPr="007873DA">
        <w:rPr>
          <w:rFonts w:ascii="Arial" w:eastAsia="Arial" w:hAnsi="Arial" w:cs="Arial"/>
          <w:sz w:val="22"/>
          <w:szCs w:val="22"/>
        </w:rPr>
        <w:t xml:space="preserve">, valor porcentual que fija libremente la autoridad contratante dentro del referido rango; y </w:t>
      </w:r>
      <w:proofErr w:type="spellStart"/>
      <w:r w:rsidRPr="007873DA">
        <w:rPr>
          <w:rFonts w:ascii="Arial" w:eastAsia="Arial" w:hAnsi="Arial" w:cs="Arial"/>
          <w:sz w:val="22"/>
          <w:szCs w:val="22"/>
        </w:rPr>
        <w:t>ii</w:t>
      </w:r>
      <w:proofErr w:type="spellEnd"/>
      <w:r w:rsidRPr="007873DA">
        <w:rPr>
          <w:rFonts w:ascii="Arial" w:eastAsia="Arial" w:hAnsi="Arial" w:cs="Arial"/>
          <w:sz w:val="22"/>
          <w:szCs w:val="22"/>
        </w:rPr>
        <w:t xml:space="preserve">) que, </w:t>
      </w:r>
      <w:r w:rsidRPr="007873DA">
        <w:rPr>
          <w:rFonts w:ascii="Arial" w:eastAsia="Arial" w:hAnsi="Arial" w:cs="Arial"/>
          <w:sz w:val="22"/>
          <w:szCs w:val="22"/>
          <w:lang w:val="es-CO"/>
        </w:rPr>
        <w:t xml:space="preserve">en relación con </w:t>
      </w:r>
      <w:r w:rsidRPr="007873DA">
        <w:rPr>
          <w:rFonts w:ascii="Arial" w:eastAsia="Arial" w:hAnsi="Arial" w:cs="Arial"/>
          <w:sz w:val="22"/>
          <w:szCs w:val="22"/>
        </w:rPr>
        <w:t>las «cuadrillas de trabajo» adicionales</w:t>
      </w:r>
      <w:r w:rsidRPr="007873DA">
        <w:rPr>
          <w:rFonts w:ascii="Arial" w:eastAsia="Arial" w:hAnsi="Arial" w:cs="Arial"/>
          <w:sz w:val="22"/>
          <w:szCs w:val="22"/>
          <w:lang w:val="es-CO"/>
        </w:rPr>
        <w:t>, l</w:t>
      </w:r>
      <w:r w:rsidRPr="007873DA">
        <w:rPr>
          <w:rFonts w:ascii="Arial" w:eastAsia="Arial" w:hAnsi="Arial" w:cs="Arial"/>
          <w:sz w:val="22"/>
          <w:szCs w:val="22"/>
        </w:rPr>
        <w:t>as entidades deben elegir si establecen un estimado de frentes de trabajo o si no lo establecen, pues, en el primer evento, «</w:t>
      </w:r>
      <w:r w:rsidRPr="007873DA">
        <w:rPr>
          <w:rFonts w:ascii="ArialMT" w:hAnsi="ArialMT"/>
          <w:sz w:val="22"/>
          <w:szCs w:val="22"/>
        </w:rPr>
        <w:t>[e]l proponente podrá ofrecer hasta máximo 2 cuadrillas por cada frente de trabajo»</w:t>
      </w:r>
      <w:r w:rsidRPr="007873DA">
        <w:rPr>
          <w:rStyle w:val="Refdenotaalpie"/>
          <w:rFonts w:ascii="ArialMT" w:hAnsi="ArialMT"/>
          <w:sz w:val="22"/>
          <w:szCs w:val="22"/>
        </w:rPr>
        <w:footnoteReference w:id="2"/>
      </w:r>
      <w:r w:rsidRPr="007873DA">
        <w:rPr>
          <w:rFonts w:ascii="ArialMT" w:hAnsi="ArialMT"/>
          <w:sz w:val="22"/>
          <w:szCs w:val="22"/>
        </w:rPr>
        <w:t>, mientras que en el segundo, «[…] ofrecerá 1 cuadrilla adicional por cada 50 obreros que sean requeridos para el proyecto de infraestructura de transporte»</w:t>
      </w:r>
      <w:r w:rsidRPr="007873DA">
        <w:rPr>
          <w:rStyle w:val="Refdenotaalpie"/>
          <w:rFonts w:ascii="ArialMT" w:hAnsi="ArialMT"/>
          <w:sz w:val="22"/>
          <w:szCs w:val="22"/>
        </w:rPr>
        <w:footnoteReference w:id="3"/>
      </w:r>
      <w:r w:rsidRPr="007873DA">
        <w:rPr>
          <w:rFonts w:ascii="ArialMT" w:hAnsi="ArialMT"/>
          <w:sz w:val="22"/>
          <w:szCs w:val="22"/>
        </w:rPr>
        <w:t>.</w:t>
      </w:r>
      <w:r>
        <w:rPr>
          <w:rFonts w:ascii="ArialMT" w:hAnsi="ArialMT"/>
          <w:sz w:val="22"/>
          <w:szCs w:val="22"/>
        </w:rPr>
        <w:t xml:space="preserve"> En efecto, el artículo 1 de la Resolución 116 del 21 de julio de 2020, dispuso:</w:t>
      </w:r>
    </w:p>
    <w:p w14:paraId="46FB78AC" w14:textId="77777777" w:rsidR="00E0558E" w:rsidRDefault="00E0558E" w:rsidP="00812C65">
      <w:pPr>
        <w:tabs>
          <w:tab w:val="left" w:pos="709"/>
        </w:tabs>
        <w:spacing w:line="276" w:lineRule="auto"/>
        <w:jc w:val="both"/>
        <w:rPr>
          <w:rFonts w:ascii="ArialMT" w:hAnsi="ArialMT"/>
          <w:sz w:val="22"/>
          <w:szCs w:val="22"/>
        </w:rPr>
      </w:pPr>
    </w:p>
    <w:p w14:paraId="02145927" w14:textId="77777777" w:rsidR="00224032" w:rsidRPr="009B2DF3" w:rsidRDefault="00224032" w:rsidP="00812C65">
      <w:pPr>
        <w:tabs>
          <w:tab w:val="left" w:pos="709"/>
        </w:tabs>
        <w:ind w:left="709" w:right="758"/>
        <w:jc w:val="both"/>
        <w:rPr>
          <w:rFonts w:ascii="Arial" w:eastAsia="Arial" w:hAnsi="Arial" w:cs="Arial"/>
          <w:sz w:val="21"/>
          <w:szCs w:val="21"/>
          <w:lang w:val="es-CO"/>
        </w:rPr>
      </w:pPr>
      <w:r w:rsidRPr="009B2DF3">
        <w:rPr>
          <w:rFonts w:ascii="Arial" w:eastAsia="Arial" w:hAnsi="Arial" w:cs="Arial"/>
          <w:sz w:val="21"/>
          <w:szCs w:val="21"/>
          <w:lang w:val="es-CO"/>
        </w:rPr>
        <w:t>Artículo 1. Modificación de los numerales 4.2.4, 4.2.5 y 4.2.6 del documento base.</w:t>
      </w:r>
      <w:r>
        <w:rPr>
          <w:rFonts w:ascii="Arial" w:eastAsia="Arial" w:hAnsi="Arial" w:cs="Arial"/>
          <w:sz w:val="21"/>
          <w:szCs w:val="21"/>
          <w:lang w:val="es-CO"/>
        </w:rPr>
        <w:t xml:space="preserve"> </w:t>
      </w:r>
      <w:r w:rsidRPr="009B2DF3">
        <w:rPr>
          <w:rFonts w:ascii="Arial" w:eastAsia="Arial" w:hAnsi="Arial" w:cs="Arial"/>
          <w:sz w:val="21"/>
          <w:szCs w:val="21"/>
          <w:lang w:val="es-CO"/>
        </w:rPr>
        <w:t>Modifíquense los numerales 4.2.4, 4.2.5 y 4.2.6 de los documentos tipo de licitación de obra</w:t>
      </w:r>
      <w:r>
        <w:rPr>
          <w:rFonts w:ascii="Arial" w:eastAsia="Arial" w:hAnsi="Arial" w:cs="Arial"/>
          <w:sz w:val="21"/>
          <w:szCs w:val="21"/>
          <w:lang w:val="es-CO"/>
        </w:rPr>
        <w:t xml:space="preserve"> </w:t>
      </w:r>
      <w:r w:rsidRPr="009B2DF3">
        <w:rPr>
          <w:rFonts w:ascii="Arial" w:eastAsia="Arial" w:hAnsi="Arial" w:cs="Arial"/>
          <w:sz w:val="21"/>
          <w:szCs w:val="21"/>
          <w:lang w:val="es-CO"/>
        </w:rPr>
        <w:t>pública de infraestructura de transporte – versión 2 y de selección abreviada de menor cuantía</w:t>
      </w:r>
      <w:r>
        <w:rPr>
          <w:rFonts w:ascii="Arial" w:eastAsia="Arial" w:hAnsi="Arial" w:cs="Arial"/>
          <w:sz w:val="21"/>
          <w:szCs w:val="21"/>
          <w:lang w:val="es-CO"/>
        </w:rPr>
        <w:t xml:space="preserve"> </w:t>
      </w:r>
      <w:r w:rsidRPr="009B2DF3">
        <w:rPr>
          <w:rFonts w:ascii="Arial" w:eastAsia="Arial" w:hAnsi="Arial" w:cs="Arial"/>
          <w:sz w:val="21"/>
          <w:szCs w:val="21"/>
          <w:lang w:val="es-CO"/>
        </w:rPr>
        <w:t>de infraestructura de transporte, los cuales quedarán así:</w:t>
      </w:r>
    </w:p>
    <w:p w14:paraId="61ACEF41" w14:textId="77777777" w:rsidR="00224032" w:rsidRPr="009B2DF3"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4.2.4 GARANTÍA SUPLEMENTARIA O ADICIONAL</w:t>
      </w:r>
    </w:p>
    <w:p w14:paraId="42637266" w14:textId="77777777" w:rsidR="00224032" w:rsidRPr="009B2DF3"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w:t>
      </w:r>
    </w:p>
    <w:p w14:paraId="7C287F1B" w14:textId="77777777" w:rsidR="00224032" w:rsidRPr="009B2DF3"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En caso de que el proponente se comprometa a ofertar este Factor de Calidad debe tener en</w:t>
      </w:r>
      <w:r>
        <w:rPr>
          <w:rFonts w:ascii="Arial" w:eastAsia="Arial" w:hAnsi="Arial" w:cs="Arial"/>
          <w:sz w:val="21"/>
          <w:szCs w:val="21"/>
          <w:lang w:val="es-CO"/>
        </w:rPr>
        <w:t xml:space="preserve"> </w:t>
      </w:r>
      <w:r w:rsidRPr="009B2DF3">
        <w:rPr>
          <w:rFonts w:ascii="Arial" w:eastAsia="Arial" w:hAnsi="Arial" w:cs="Arial"/>
          <w:sz w:val="21"/>
          <w:szCs w:val="21"/>
          <w:lang w:val="es-CO"/>
        </w:rPr>
        <w:t>cuenta las siguientes consideraciones:</w:t>
      </w:r>
    </w:p>
    <w:p w14:paraId="38A116A9" w14:textId="77777777" w:rsidR="00224032" w:rsidRPr="009B2DF3"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w:t>
      </w:r>
    </w:p>
    <w:p w14:paraId="16EF21F2" w14:textId="77777777" w:rsidR="00224032" w:rsidRPr="009B2DF3"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IV. El ofrecimiento realizado por el proponente no podrá superar el [la entidad deberá</w:t>
      </w:r>
      <w:r>
        <w:rPr>
          <w:rFonts w:ascii="Arial" w:eastAsia="Arial" w:hAnsi="Arial" w:cs="Arial"/>
          <w:sz w:val="21"/>
          <w:szCs w:val="21"/>
          <w:lang w:val="es-CO"/>
        </w:rPr>
        <w:t xml:space="preserve"> </w:t>
      </w:r>
      <w:r w:rsidRPr="009B2DF3">
        <w:rPr>
          <w:rFonts w:ascii="Arial" w:eastAsia="Arial" w:hAnsi="Arial" w:cs="Arial"/>
          <w:sz w:val="21"/>
          <w:szCs w:val="21"/>
          <w:lang w:val="es-CO"/>
        </w:rPr>
        <w:t>determinar el valor porcentual máximo entre el siguiente rango: 30% y 50%] del plazo</w:t>
      </w:r>
      <w:r>
        <w:rPr>
          <w:rFonts w:ascii="Arial" w:eastAsia="Arial" w:hAnsi="Arial" w:cs="Arial"/>
          <w:sz w:val="21"/>
          <w:szCs w:val="21"/>
          <w:lang w:val="es-CO"/>
        </w:rPr>
        <w:t xml:space="preserve"> </w:t>
      </w:r>
      <w:r w:rsidRPr="009B2DF3">
        <w:rPr>
          <w:rFonts w:ascii="Arial" w:eastAsia="Arial" w:hAnsi="Arial" w:cs="Arial"/>
          <w:sz w:val="21"/>
          <w:szCs w:val="21"/>
          <w:lang w:val="es-CO"/>
        </w:rPr>
        <w:t>establecido por la entidad para la garantía de estabilidad y calidad de la obra de</w:t>
      </w:r>
      <w:r>
        <w:rPr>
          <w:rFonts w:ascii="Arial" w:eastAsia="Arial" w:hAnsi="Arial" w:cs="Arial"/>
          <w:sz w:val="21"/>
          <w:szCs w:val="21"/>
          <w:lang w:val="es-CO"/>
        </w:rPr>
        <w:t xml:space="preserve"> </w:t>
      </w:r>
      <w:r w:rsidRPr="009B2DF3">
        <w:rPr>
          <w:rFonts w:ascii="Arial" w:eastAsia="Arial" w:hAnsi="Arial" w:cs="Arial"/>
          <w:sz w:val="21"/>
          <w:szCs w:val="21"/>
          <w:lang w:val="es-CO"/>
        </w:rPr>
        <w:t>acuerdo con las disposiciones del artículo 2.2.1.2.3.1.14. del Decreto 1082 de 2015.</w:t>
      </w:r>
      <w:r>
        <w:rPr>
          <w:rFonts w:ascii="Arial" w:eastAsia="Arial" w:hAnsi="Arial" w:cs="Arial"/>
          <w:sz w:val="21"/>
          <w:szCs w:val="21"/>
          <w:lang w:val="es-CO"/>
        </w:rPr>
        <w:t xml:space="preserve"> </w:t>
      </w:r>
      <w:r w:rsidRPr="009B2DF3">
        <w:rPr>
          <w:rFonts w:ascii="Arial" w:eastAsia="Arial" w:hAnsi="Arial" w:cs="Arial"/>
          <w:sz w:val="21"/>
          <w:szCs w:val="21"/>
          <w:lang w:val="es-CO"/>
        </w:rPr>
        <w:t>[Es decir, si fue establecido un plazo de estabilidad y calidad de la obra de 5 años,</w:t>
      </w:r>
      <w:r>
        <w:rPr>
          <w:rFonts w:ascii="Arial" w:eastAsia="Arial" w:hAnsi="Arial" w:cs="Arial"/>
          <w:sz w:val="21"/>
          <w:szCs w:val="21"/>
          <w:lang w:val="es-CO"/>
        </w:rPr>
        <w:t xml:space="preserve"> </w:t>
      </w:r>
      <w:r w:rsidRPr="009B2DF3">
        <w:rPr>
          <w:rFonts w:ascii="Arial" w:eastAsia="Arial" w:hAnsi="Arial" w:cs="Arial"/>
          <w:sz w:val="21"/>
          <w:szCs w:val="21"/>
          <w:lang w:val="es-CO"/>
        </w:rPr>
        <w:t>y fue fijado un valor máximo del 50%, el proponente podrá ofertar hasta máximo 30</w:t>
      </w:r>
      <w:r>
        <w:rPr>
          <w:rFonts w:ascii="Arial" w:eastAsia="Arial" w:hAnsi="Arial" w:cs="Arial"/>
          <w:sz w:val="21"/>
          <w:szCs w:val="21"/>
          <w:lang w:val="es-CO"/>
        </w:rPr>
        <w:t xml:space="preserve"> </w:t>
      </w:r>
      <w:r w:rsidRPr="009B2DF3">
        <w:rPr>
          <w:rFonts w:ascii="Arial" w:eastAsia="Arial" w:hAnsi="Arial" w:cs="Arial"/>
          <w:sz w:val="21"/>
          <w:szCs w:val="21"/>
          <w:lang w:val="es-CO"/>
        </w:rPr>
        <w:t>meses de garantía suplementaria o adicional.]</w:t>
      </w:r>
    </w:p>
    <w:p w14:paraId="6EF5FE81" w14:textId="77777777" w:rsidR="00224032" w:rsidRDefault="00224032" w:rsidP="00812C65">
      <w:pPr>
        <w:tabs>
          <w:tab w:val="left" w:pos="709"/>
        </w:tabs>
        <w:spacing w:before="120"/>
        <w:ind w:left="709" w:right="758"/>
        <w:jc w:val="both"/>
        <w:rPr>
          <w:rFonts w:ascii="Arial" w:eastAsia="Arial" w:hAnsi="Arial" w:cs="Arial"/>
          <w:sz w:val="21"/>
          <w:szCs w:val="21"/>
          <w:lang w:val="es-CO"/>
        </w:rPr>
      </w:pPr>
      <w:r w:rsidRPr="009B2DF3">
        <w:rPr>
          <w:rFonts w:ascii="Arial" w:eastAsia="Arial" w:hAnsi="Arial" w:cs="Arial"/>
          <w:sz w:val="21"/>
          <w:szCs w:val="21"/>
          <w:lang w:val="es-CO"/>
        </w:rPr>
        <w:t>V. El plazo máximo a ofertar por concepto de garantía suplementaria o adicional es: [la</w:t>
      </w:r>
      <w:r>
        <w:rPr>
          <w:rFonts w:ascii="Arial" w:eastAsia="Arial" w:hAnsi="Arial" w:cs="Arial"/>
          <w:sz w:val="21"/>
          <w:szCs w:val="21"/>
          <w:lang w:val="es-CO"/>
        </w:rPr>
        <w:t xml:space="preserve"> </w:t>
      </w:r>
      <w:r w:rsidRPr="009B2DF3">
        <w:rPr>
          <w:rFonts w:ascii="Arial" w:eastAsia="Arial" w:hAnsi="Arial" w:cs="Arial"/>
          <w:sz w:val="21"/>
          <w:szCs w:val="21"/>
          <w:lang w:val="es-CO"/>
        </w:rPr>
        <w:t>entidad deberá indicar el valor en meses máximo que será posible ofertar por parte</w:t>
      </w:r>
      <w:r>
        <w:rPr>
          <w:rFonts w:ascii="Arial" w:eastAsia="Arial" w:hAnsi="Arial" w:cs="Arial"/>
          <w:sz w:val="21"/>
          <w:szCs w:val="21"/>
          <w:lang w:val="es-CO"/>
        </w:rPr>
        <w:t xml:space="preserve"> </w:t>
      </w:r>
      <w:r w:rsidRPr="009B2DF3">
        <w:rPr>
          <w:rFonts w:ascii="Arial" w:eastAsia="Arial" w:hAnsi="Arial" w:cs="Arial"/>
          <w:sz w:val="21"/>
          <w:szCs w:val="21"/>
          <w:lang w:val="es-CO"/>
        </w:rPr>
        <w:t>del Proponente.]</w:t>
      </w:r>
    </w:p>
    <w:p w14:paraId="6E31808A" w14:textId="77777777" w:rsidR="00224032" w:rsidRPr="009B2DF3" w:rsidRDefault="00224032" w:rsidP="00224032">
      <w:pPr>
        <w:tabs>
          <w:tab w:val="left" w:pos="709"/>
        </w:tabs>
        <w:spacing w:before="120"/>
        <w:ind w:left="709" w:right="760"/>
        <w:jc w:val="both"/>
        <w:rPr>
          <w:rFonts w:ascii="Arial" w:eastAsia="Arial" w:hAnsi="Arial" w:cs="Arial"/>
          <w:sz w:val="21"/>
          <w:szCs w:val="21"/>
          <w:lang w:val="es-CO"/>
        </w:rPr>
      </w:pPr>
    </w:p>
    <w:p w14:paraId="7C1D1AB3" w14:textId="77777777" w:rsidR="00224032" w:rsidRDefault="00224032" w:rsidP="00812C65">
      <w:pPr>
        <w:spacing w:line="276" w:lineRule="auto"/>
        <w:ind w:firstLine="720"/>
        <w:jc w:val="both"/>
        <w:rPr>
          <w:rFonts w:ascii="Arial" w:eastAsia="Arial" w:hAnsi="Arial" w:cs="Arial"/>
          <w:sz w:val="22"/>
          <w:szCs w:val="22"/>
          <w:lang w:val="es-CO"/>
        </w:rPr>
      </w:pPr>
      <w:r>
        <w:rPr>
          <w:rFonts w:ascii="Arial" w:eastAsia="Arial" w:hAnsi="Arial" w:cs="Arial"/>
          <w:sz w:val="22"/>
          <w:szCs w:val="22"/>
          <w:lang w:val="es-CO"/>
        </w:rPr>
        <w:t>Igualmente, en relación con el numeral 4.2.5. del Documento Base, relacionado con las «cuadrillas adicionales de trabajo», el artículo 1 de la Resolución 116 de 2020, establece lo siguiente:</w:t>
      </w:r>
    </w:p>
    <w:p w14:paraId="03964CE0" w14:textId="77777777" w:rsidR="00224032" w:rsidRDefault="00224032" w:rsidP="00224032">
      <w:pPr>
        <w:spacing w:before="120" w:line="276" w:lineRule="auto"/>
        <w:ind w:firstLine="720"/>
        <w:jc w:val="both"/>
        <w:rPr>
          <w:rFonts w:ascii="Arial" w:eastAsia="Arial" w:hAnsi="Arial" w:cs="Arial"/>
          <w:sz w:val="22"/>
          <w:szCs w:val="22"/>
        </w:rPr>
      </w:pPr>
    </w:p>
    <w:p w14:paraId="380FECFD" w14:textId="77777777" w:rsidR="00224032" w:rsidRPr="009B2DF3" w:rsidRDefault="00224032" w:rsidP="00224032">
      <w:pPr>
        <w:ind w:left="709" w:right="760"/>
        <w:jc w:val="both"/>
        <w:rPr>
          <w:rFonts w:ascii="Arial" w:eastAsia="Arial" w:hAnsi="Arial" w:cs="Arial"/>
          <w:sz w:val="21"/>
          <w:szCs w:val="21"/>
        </w:rPr>
      </w:pPr>
      <w:r w:rsidRPr="009B2DF3">
        <w:rPr>
          <w:rFonts w:ascii="Arial" w:eastAsia="Arial" w:hAnsi="Arial" w:cs="Arial"/>
          <w:sz w:val="21"/>
          <w:szCs w:val="21"/>
        </w:rPr>
        <w:t>4.2.5 CUADRILLAS DE TRABAJO</w:t>
      </w:r>
    </w:p>
    <w:p w14:paraId="560387EA" w14:textId="77777777" w:rsidR="00224032" w:rsidRPr="009B2DF3" w:rsidRDefault="00224032" w:rsidP="00224032">
      <w:pPr>
        <w:spacing w:before="120"/>
        <w:ind w:left="709" w:right="760"/>
        <w:jc w:val="both"/>
        <w:rPr>
          <w:rFonts w:ascii="Arial" w:eastAsia="Arial" w:hAnsi="Arial" w:cs="Arial"/>
          <w:sz w:val="21"/>
          <w:szCs w:val="21"/>
        </w:rPr>
      </w:pPr>
      <w:r w:rsidRPr="009B2DF3">
        <w:rPr>
          <w:rFonts w:ascii="Arial" w:eastAsia="Arial" w:hAnsi="Arial" w:cs="Arial"/>
          <w:sz w:val="21"/>
          <w:szCs w:val="21"/>
        </w:rPr>
        <w:t>[…]</w:t>
      </w:r>
    </w:p>
    <w:p w14:paraId="60820C53"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En caso de que el proponente se comprometa a ofertar este Factor de Calidad debe tener en</w:t>
      </w:r>
      <w:r>
        <w:rPr>
          <w:rFonts w:ascii="Arial" w:eastAsia="Arial" w:hAnsi="Arial" w:cs="Arial"/>
          <w:sz w:val="21"/>
          <w:szCs w:val="21"/>
          <w:lang w:val="es-CO"/>
        </w:rPr>
        <w:t xml:space="preserve"> </w:t>
      </w:r>
      <w:r w:rsidRPr="009B2DF3">
        <w:rPr>
          <w:rFonts w:ascii="Arial" w:eastAsia="Arial" w:hAnsi="Arial" w:cs="Arial"/>
          <w:sz w:val="21"/>
          <w:szCs w:val="21"/>
          <w:lang w:val="es-CO"/>
        </w:rPr>
        <w:t>cuenta las siguientes consideraciones:</w:t>
      </w:r>
    </w:p>
    <w:p w14:paraId="781FB0B4"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I. [La entidad podrá escoger una única opción entre alguna de las siguientes, según sea el caso</w:t>
      </w:r>
      <w:r>
        <w:rPr>
          <w:rFonts w:ascii="Arial" w:eastAsia="Arial" w:hAnsi="Arial" w:cs="Arial"/>
          <w:sz w:val="21"/>
          <w:szCs w:val="21"/>
          <w:lang w:val="es-CO"/>
        </w:rPr>
        <w:t xml:space="preserve"> </w:t>
      </w:r>
      <w:r w:rsidRPr="009B2DF3">
        <w:rPr>
          <w:rFonts w:ascii="Arial" w:eastAsia="Arial" w:hAnsi="Arial" w:cs="Arial"/>
          <w:sz w:val="21"/>
          <w:szCs w:val="21"/>
          <w:lang w:val="es-CO"/>
        </w:rPr>
        <w:t>particular de su proceso de contratación:</w:t>
      </w:r>
    </w:p>
    <w:p w14:paraId="72CAE073"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a. Opción I (Detalle de frentes de trabajo): [En el caso que la entidad en su etapa previa de</w:t>
      </w:r>
      <w:r>
        <w:rPr>
          <w:rFonts w:ascii="Arial" w:eastAsia="Arial" w:hAnsi="Arial" w:cs="Arial"/>
          <w:sz w:val="21"/>
          <w:szCs w:val="21"/>
          <w:lang w:val="es-CO"/>
        </w:rPr>
        <w:t xml:space="preserve"> </w:t>
      </w:r>
      <w:r w:rsidRPr="009B2DF3">
        <w:rPr>
          <w:rFonts w:ascii="Arial" w:eastAsia="Arial" w:hAnsi="Arial" w:cs="Arial"/>
          <w:sz w:val="21"/>
          <w:szCs w:val="21"/>
          <w:lang w:val="es-CO"/>
        </w:rPr>
        <w:t>planeación haya estimado un valor mínimo de frentes de trabajo] El proponente podrá ofrecer</w:t>
      </w:r>
      <w:r>
        <w:rPr>
          <w:rFonts w:ascii="Arial" w:eastAsia="Arial" w:hAnsi="Arial" w:cs="Arial"/>
          <w:sz w:val="21"/>
          <w:szCs w:val="21"/>
          <w:lang w:val="es-CO"/>
        </w:rPr>
        <w:t xml:space="preserve"> </w:t>
      </w:r>
      <w:r w:rsidRPr="009B2DF3">
        <w:rPr>
          <w:rFonts w:ascii="Arial" w:eastAsia="Arial" w:hAnsi="Arial" w:cs="Arial"/>
          <w:sz w:val="21"/>
          <w:szCs w:val="21"/>
          <w:lang w:val="es-CO"/>
        </w:rPr>
        <w:t>hasta máximo 2 cuadrillas por cada frente de trabajo, y la ponderación se hará en función de</w:t>
      </w:r>
      <w:r>
        <w:rPr>
          <w:rFonts w:ascii="Arial" w:eastAsia="Arial" w:hAnsi="Arial" w:cs="Arial"/>
          <w:sz w:val="21"/>
          <w:szCs w:val="21"/>
          <w:lang w:val="es-CO"/>
        </w:rPr>
        <w:t xml:space="preserve"> </w:t>
      </w:r>
      <w:r w:rsidRPr="009B2DF3">
        <w:rPr>
          <w:rFonts w:ascii="Arial" w:eastAsia="Arial" w:hAnsi="Arial" w:cs="Arial"/>
          <w:sz w:val="21"/>
          <w:szCs w:val="21"/>
          <w:lang w:val="es-CO"/>
        </w:rPr>
        <w:t>la sumatoria de las cuadrillas para la totalidad de los frentes de obra.</w:t>
      </w:r>
    </w:p>
    <w:p w14:paraId="6C118DBE"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Para los fines del presente proceso de contratación, los frentes estimados de trabajo son: [la</w:t>
      </w:r>
      <w:r>
        <w:rPr>
          <w:rFonts w:ascii="Arial" w:eastAsia="Arial" w:hAnsi="Arial" w:cs="Arial"/>
          <w:sz w:val="21"/>
          <w:szCs w:val="21"/>
          <w:lang w:val="es-CO"/>
        </w:rPr>
        <w:t xml:space="preserve"> </w:t>
      </w:r>
      <w:r w:rsidRPr="009B2DF3">
        <w:rPr>
          <w:rFonts w:ascii="Arial" w:eastAsia="Arial" w:hAnsi="Arial" w:cs="Arial"/>
          <w:sz w:val="21"/>
          <w:szCs w:val="21"/>
          <w:lang w:val="es-CO"/>
        </w:rPr>
        <w:t>entidad deberá indicar los frentes de obra estimados como parte de su etapa previa para ser</w:t>
      </w:r>
      <w:r>
        <w:rPr>
          <w:rFonts w:ascii="Arial" w:eastAsia="Arial" w:hAnsi="Arial" w:cs="Arial"/>
          <w:sz w:val="21"/>
          <w:szCs w:val="21"/>
          <w:lang w:val="es-CO"/>
        </w:rPr>
        <w:t xml:space="preserve"> </w:t>
      </w:r>
      <w:r w:rsidRPr="009B2DF3">
        <w:rPr>
          <w:rFonts w:ascii="Arial" w:eastAsia="Arial" w:hAnsi="Arial" w:cs="Arial"/>
          <w:sz w:val="21"/>
          <w:szCs w:val="21"/>
          <w:lang w:val="es-CO"/>
        </w:rPr>
        <w:t>considerados por el proponente en su ofrecimiento].</w:t>
      </w:r>
    </w:p>
    <w:p w14:paraId="78779680"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b. Opción II (Sin estimado de frentes de trabajo): [En el caso que la entidad en su etapa</w:t>
      </w:r>
      <w:r>
        <w:rPr>
          <w:rFonts w:ascii="Arial" w:eastAsia="Arial" w:hAnsi="Arial" w:cs="Arial"/>
          <w:sz w:val="21"/>
          <w:szCs w:val="21"/>
          <w:lang w:val="es-CO"/>
        </w:rPr>
        <w:t xml:space="preserve"> </w:t>
      </w:r>
      <w:r w:rsidRPr="009B2DF3">
        <w:rPr>
          <w:rFonts w:ascii="Arial" w:eastAsia="Arial" w:hAnsi="Arial" w:cs="Arial"/>
          <w:sz w:val="21"/>
          <w:szCs w:val="21"/>
          <w:lang w:val="es-CO"/>
        </w:rPr>
        <w:t xml:space="preserve">previa de planeación, o como producto de </w:t>
      </w:r>
      <w:proofErr w:type="gramStart"/>
      <w:r w:rsidRPr="009B2DF3">
        <w:rPr>
          <w:rFonts w:ascii="Arial" w:eastAsia="Arial" w:hAnsi="Arial" w:cs="Arial"/>
          <w:sz w:val="21"/>
          <w:szCs w:val="21"/>
          <w:lang w:val="es-CO"/>
        </w:rPr>
        <w:t>la misma</w:t>
      </w:r>
      <w:proofErr w:type="gramEnd"/>
      <w:r w:rsidRPr="009B2DF3">
        <w:rPr>
          <w:rFonts w:ascii="Arial" w:eastAsia="Arial" w:hAnsi="Arial" w:cs="Arial"/>
          <w:sz w:val="21"/>
          <w:szCs w:val="21"/>
          <w:lang w:val="es-CO"/>
        </w:rPr>
        <w:t xml:space="preserve"> no haya considerado como necesario</w:t>
      </w:r>
      <w:r>
        <w:rPr>
          <w:rFonts w:ascii="Arial" w:eastAsia="Arial" w:hAnsi="Arial" w:cs="Arial"/>
          <w:sz w:val="21"/>
          <w:szCs w:val="21"/>
          <w:lang w:val="es-CO"/>
        </w:rPr>
        <w:t xml:space="preserve"> </w:t>
      </w:r>
      <w:r w:rsidRPr="009B2DF3">
        <w:rPr>
          <w:rFonts w:ascii="Arial" w:eastAsia="Arial" w:hAnsi="Arial" w:cs="Arial"/>
          <w:sz w:val="21"/>
          <w:szCs w:val="21"/>
          <w:lang w:val="es-CO"/>
        </w:rPr>
        <w:t>estimar frentes de trabajo y decida optar por este factor de calidad, podrá aplicar el siguiente</w:t>
      </w:r>
      <w:r>
        <w:rPr>
          <w:rFonts w:ascii="Arial" w:eastAsia="Arial" w:hAnsi="Arial" w:cs="Arial"/>
          <w:sz w:val="21"/>
          <w:szCs w:val="21"/>
          <w:lang w:val="es-CO"/>
        </w:rPr>
        <w:t xml:space="preserve"> </w:t>
      </w:r>
      <w:r w:rsidRPr="009B2DF3">
        <w:rPr>
          <w:rFonts w:ascii="Arial" w:eastAsia="Arial" w:hAnsi="Arial" w:cs="Arial"/>
          <w:sz w:val="21"/>
          <w:szCs w:val="21"/>
          <w:lang w:val="es-CO"/>
        </w:rPr>
        <w:t>criterio:]</w:t>
      </w:r>
    </w:p>
    <w:p w14:paraId="1ED59CAC"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El proponente ofrecerá 1 cuadrilla adicional por cada 50 obreros que sean requeridos para</w:t>
      </w:r>
      <w:r>
        <w:rPr>
          <w:rFonts w:ascii="Arial" w:eastAsia="Arial" w:hAnsi="Arial" w:cs="Arial"/>
          <w:sz w:val="21"/>
          <w:szCs w:val="21"/>
          <w:lang w:val="es-CO"/>
        </w:rPr>
        <w:t xml:space="preserve"> </w:t>
      </w:r>
      <w:r w:rsidRPr="009B2DF3">
        <w:rPr>
          <w:rFonts w:ascii="Arial" w:eastAsia="Arial" w:hAnsi="Arial" w:cs="Arial"/>
          <w:sz w:val="21"/>
          <w:szCs w:val="21"/>
          <w:lang w:val="es-CO"/>
        </w:rPr>
        <w:t>el proyecto de infraestructura de transporte. [P.ej. en el caso que para un proyecto sean</w:t>
      </w:r>
      <w:r>
        <w:rPr>
          <w:rFonts w:ascii="Arial" w:eastAsia="Arial" w:hAnsi="Arial" w:cs="Arial"/>
          <w:sz w:val="21"/>
          <w:szCs w:val="21"/>
          <w:lang w:val="es-CO"/>
        </w:rPr>
        <w:t xml:space="preserve"> </w:t>
      </w:r>
      <w:r w:rsidRPr="009B2DF3">
        <w:rPr>
          <w:rFonts w:ascii="Arial" w:eastAsia="Arial" w:hAnsi="Arial" w:cs="Arial"/>
          <w:sz w:val="21"/>
          <w:szCs w:val="21"/>
          <w:lang w:val="es-CO"/>
        </w:rPr>
        <w:t>estimados un total de 100 obreros para poder ejecutar el objeto contractual, se podrán</w:t>
      </w:r>
      <w:r>
        <w:rPr>
          <w:rFonts w:ascii="Arial" w:eastAsia="Arial" w:hAnsi="Arial" w:cs="Arial"/>
          <w:sz w:val="21"/>
          <w:szCs w:val="21"/>
          <w:lang w:val="es-CO"/>
        </w:rPr>
        <w:t xml:space="preserve"> </w:t>
      </w:r>
      <w:r w:rsidRPr="009B2DF3">
        <w:rPr>
          <w:rFonts w:ascii="Arial" w:eastAsia="Arial" w:hAnsi="Arial" w:cs="Arial"/>
          <w:sz w:val="21"/>
          <w:szCs w:val="21"/>
          <w:lang w:val="es-CO"/>
        </w:rPr>
        <w:t>ofrecer hasta máximo 2 cuadrillas]</w:t>
      </w:r>
    </w:p>
    <w:p w14:paraId="03E822D1" w14:textId="77777777" w:rsidR="00224032"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La ponderación se hará en función de la sumatoria de las cuadrillas adicionales ofrecidas</w:t>
      </w:r>
      <w:r>
        <w:rPr>
          <w:rFonts w:ascii="Arial" w:eastAsia="Arial" w:hAnsi="Arial" w:cs="Arial"/>
          <w:sz w:val="21"/>
          <w:szCs w:val="21"/>
          <w:lang w:val="es-CO"/>
        </w:rPr>
        <w:t xml:space="preserve"> </w:t>
      </w:r>
    </w:p>
    <w:p w14:paraId="7B8C6578" w14:textId="77777777" w:rsidR="00224032" w:rsidRPr="009B2DF3" w:rsidRDefault="00224032" w:rsidP="00224032">
      <w:pPr>
        <w:spacing w:before="120"/>
        <w:ind w:left="709" w:right="760"/>
        <w:jc w:val="both"/>
        <w:rPr>
          <w:rFonts w:ascii="Arial" w:eastAsia="Arial" w:hAnsi="Arial" w:cs="Arial"/>
          <w:sz w:val="21"/>
          <w:szCs w:val="21"/>
          <w:lang w:val="es-CO"/>
        </w:rPr>
      </w:pPr>
      <w:r w:rsidRPr="009B2DF3">
        <w:rPr>
          <w:rFonts w:ascii="Arial" w:eastAsia="Arial" w:hAnsi="Arial" w:cs="Arial"/>
          <w:sz w:val="21"/>
          <w:szCs w:val="21"/>
          <w:lang w:val="es-CO"/>
        </w:rPr>
        <w:t>Para los fines de este aspecto, se tiene un valor aproximado de [la entidad deberá brindar</w:t>
      </w:r>
      <w:r>
        <w:rPr>
          <w:rFonts w:ascii="Arial" w:eastAsia="Arial" w:hAnsi="Arial" w:cs="Arial"/>
          <w:sz w:val="21"/>
          <w:szCs w:val="21"/>
          <w:lang w:val="es-CO"/>
        </w:rPr>
        <w:t xml:space="preserve"> </w:t>
      </w:r>
      <w:r w:rsidRPr="009B2DF3">
        <w:rPr>
          <w:rFonts w:ascii="Arial" w:eastAsia="Arial" w:hAnsi="Arial" w:cs="Arial"/>
          <w:sz w:val="21"/>
          <w:szCs w:val="21"/>
          <w:lang w:val="es-CO"/>
        </w:rPr>
        <w:t>un valor indicativo al proponente de la cantidad de obreros estimados] obreros como un valor</w:t>
      </w:r>
      <w:r>
        <w:rPr>
          <w:rFonts w:ascii="Arial" w:eastAsia="Arial" w:hAnsi="Arial" w:cs="Arial"/>
          <w:sz w:val="21"/>
          <w:szCs w:val="21"/>
          <w:lang w:val="es-CO"/>
        </w:rPr>
        <w:t xml:space="preserve"> </w:t>
      </w:r>
      <w:r w:rsidRPr="009B2DF3">
        <w:rPr>
          <w:rFonts w:ascii="Arial" w:eastAsia="Arial" w:hAnsi="Arial" w:cs="Arial"/>
          <w:sz w:val="21"/>
          <w:szCs w:val="21"/>
          <w:lang w:val="es-CO"/>
        </w:rPr>
        <w:t>estimativo para ser considerado por el proponente.</w:t>
      </w:r>
    </w:p>
    <w:p w14:paraId="541D999D" w14:textId="77777777" w:rsidR="00224032" w:rsidRDefault="00224032" w:rsidP="00224032">
      <w:pPr>
        <w:spacing w:before="120" w:line="276" w:lineRule="auto"/>
        <w:ind w:firstLine="720"/>
        <w:jc w:val="both"/>
        <w:rPr>
          <w:rFonts w:ascii="Arial" w:eastAsia="Arial" w:hAnsi="Arial" w:cs="Arial"/>
          <w:sz w:val="22"/>
          <w:szCs w:val="22"/>
        </w:rPr>
      </w:pPr>
    </w:p>
    <w:p w14:paraId="0E9B00F8" w14:textId="2DAF38B8" w:rsidR="00224032" w:rsidRDefault="00224032" w:rsidP="00812C65">
      <w:pPr>
        <w:spacing w:line="276" w:lineRule="auto"/>
        <w:ind w:firstLine="720"/>
        <w:jc w:val="both"/>
        <w:rPr>
          <w:rFonts w:ascii="Arial" w:eastAsia="Arial" w:hAnsi="Arial" w:cs="Arial"/>
          <w:sz w:val="22"/>
          <w:szCs w:val="22"/>
          <w:lang w:val="es-CO"/>
        </w:rPr>
      </w:pPr>
      <w:r>
        <w:rPr>
          <w:rFonts w:ascii="Arial" w:eastAsia="Arial" w:hAnsi="Arial" w:cs="Arial"/>
          <w:sz w:val="22"/>
          <w:szCs w:val="22"/>
          <w:lang w:val="es-CO"/>
        </w:rPr>
        <w:t>Asimismo, frente al numeral 4.2.6. del Documento Base, que trata sobre el «mantenimiento adicional» el artículo 1 de la Resolución 116 de 2020, establece lo siguiente:</w:t>
      </w:r>
    </w:p>
    <w:p w14:paraId="6B80D0E7" w14:textId="77777777" w:rsidR="00224032" w:rsidRDefault="00224032" w:rsidP="00224032">
      <w:pPr>
        <w:spacing w:before="120" w:line="276" w:lineRule="auto"/>
        <w:ind w:firstLine="720"/>
        <w:jc w:val="both"/>
        <w:rPr>
          <w:rFonts w:ascii="Arial" w:eastAsia="Arial" w:hAnsi="Arial" w:cs="Arial"/>
          <w:sz w:val="22"/>
          <w:szCs w:val="22"/>
          <w:lang w:val="es-CO"/>
        </w:rPr>
      </w:pPr>
    </w:p>
    <w:p w14:paraId="47DB3191" w14:textId="77777777" w:rsidR="00224032" w:rsidRPr="000B72B1" w:rsidRDefault="00224032" w:rsidP="00224032">
      <w:pPr>
        <w:ind w:left="709" w:right="760"/>
        <w:jc w:val="both"/>
        <w:rPr>
          <w:rFonts w:ascii="Arial" w:eastAsia="Arial" w:hAnsi="Arial" w:cs="Arial"/>
          <w:sz w:val="21"/>
          <w:szCs w:val="21"/>
        </w:rPr>
      </w:pPr>
      <w:r w:rsidRPr="000B72B1">
        <w:rPr>
          <w:rFonts w:ascii="Arial" w:eastAsia="Arial" w:hAnsi="Arial" w:cs="Arial"/>
          <w:sz w:val="21"/>
          <w:szCs w:val="21"/>
        </w:rPr>
        <w:t xml:space="preserve">4.2.6 MANTENIMIENTO ADICIONAL </w:t>
      </w:r>
    </w:p>
    <w:p w14:paraId="3F09670F" w14:textId="77777777" w:rsidR="00224032" w:rsidRPr="000B72B1" w:rsidRDefault="00224032" w:rsidP="00224032">
      <w:pPr>
        <w:spacing w:before="120"/>
        <w:ind w:left="709" w:right="760"/>
        <w:jc w:val="both"/>
        <w:rPr>
          <w:rFonts w:ascii="Arial" w:eastAsia="Arial" w:hAnsi="Arial" w:cs="Arial"/>
          <w:sz w:val="21"/>
          <w:szCs w:val="21"/>
        </w:rPr>
      </w:pPr>
      <w:r w:rsidRPr="000B72B1">
        <w:rPr>
          <w:rFonts w:ascii="Arial" w:eastAsia="Arial" w:hAnsi="Arial" w:cs="Arial"/>
          <w:sz w:val="21"/>
          <w:szCs w:val="21"/>
        </w:rPr>
        <w:t>[…]</w:t>
      </w:r>
    </w:p>
    <w:p w14:paraId="66C38D0E" w14:textId="77777777" w:rsidR="00224032" w:rsidRPr="000B72B1" w:rsidRDefault="00224032" w:rsidP="00224032">
      <w:pPr>
        <w:spacing w:before="120"/>
        <w:ind w:left="709" w:right="760"/>
        <w:jc w:val="both"/>
        <w:rPr>
          <w:rFonts w:ascii="Arial" w:eastAsia="Arial" w:hAnsi="Arial" w:cs="Arial"/>
          <w:sz w:val="21"/>
          <w:szCs w:val="21"/>
          <w:lang w:val="es-CO"/>
        </w:rPr>
      </w:pPr>
      <w:r w:rsidRPr="000B72B1">
        <w:rPr>
          <w:rFonts w:ascii="Arial" w:eastAsia="Arial" w:hAnsi="Arial" w:cs="Arial"/>
          <w:sz w:val="21"/>
          <w:szCs w:val="21"/>
          <w:lang w:val="es-CO"/>
        </w:rPr>
        <w:t>En caso de que el proponente se comprometa a ofertar este Factor de Calidad debe tener en cuenta las siguientes consideraciones:</w:t>
      </w:r>
    </w:p>
    <w:p w14:paraId="77072D6C" w14:textId="77777777" w:rsidR="00224032" w:rsidRPr="000B72B1" w:rsidRDefault="00224032" w:rsidP="00224032">
      <w:pPr>
        <w:spacing w:before="120"/>
        <w:ind w:left="709" w:right="760"/>
        <w:jc w:val="both"/>
        <w:rPr>
          <w:rFonts w:ascii="Arial" w:eastAsia="Arial" w:hAnsi="Arial" w:cs="Arial"/>
          <w:sz w:val="21"/>
          <w:szCs w:val="21"/>
          <w:lang w:val="es-CO"/>
        </w:rPr>
      </w:pPr>
      <w:r w:rsidRPr="000B72B1">
        <w:rPr>
          <w:rFonts w:ascii="Arial" w:eastAsia="Arial" w:hAnsi="Arial" w:cs="Arial"/>
          <w:sz w:val="21"/>
          <w:szCs w:val="21"/>
          <w:lang w:val="es-CO"/>
        </w:rPr>
        <w:t xml:space="preserve">I. El proponente ofertará el número de meses durante los cuales se compromete a realizar por su propia cuenta y riesgo las labores de mantenimiento rutinario de la obra construida. El término ofertado será contado a partir de la terminación </w:t>
      </w:r>
      <w:r w:rsidRPr="000B72B1">
        <w:rPr>
          <w:rFonts w:ascii="Arial" w:eastAsia="Arial" w:hAnsi="Arial" w:cs="Arial"/>
          <w:sz w:val="21"/>
          <w:szCs w:val="21"/>
          <w:lang w:val="es-CO"/>
        </w:rPr>
        <w:lastRenderedPageBreak/>
        <w:t>de las obras objeto del proceso de contratación y hará parte del periodo de ejecución del contrato, el cual no podrá ser superior al tope establecido por la entidad.</w:t>
      </w:r>
    </w:p>
    <w:p w14:paraId="6966722E" w14:textId="77777777" w:rsidR="00224032" w:rsidRPr="000B72B1" w:rsidRDefault="00224032" w:rsidP="00224032">
      <w:pPr>
        <w:spacing w:before="120"/>
        <w:ind w:left="709" w:right="760"/>
        <w:jc w:val="both"/>
        <w:rPr>
          <w:rFonts w:ascii="Arial" w:eastAsia="Arial" w:hAnsi="Arial" w:cs="Arial"/>
          <w:sz w:val="21"/>
          <w:szCs w:val="21"/>
          <w:lang w:val="es-CO"/>
        </w:rPr>
      </w:pPr>
      <w:r w:rsidRPr="000B72B1">
        <w:rPr>
          <w:rFonts w:ascii="Arial" w:eastAsia="Arial" w:hAnsi="Arial" w:cs="Arial"/>
          <w:sz w:val="21"/>
          <w:szCs w:val="21"/>
          <w:lang w:val="es-CO"/>
        </w:rPr>
        <w:t>II. El ofrecimiento realizado por el proponente no podrá superar el [la entidad deberá determinar el valor porcentual máximo entre el siguiente rango: 30% y 50%] del plazo establecido por la entidad para la garantía de estabilidad y calidad de la obra de acuerdo con las disposiciones del artículo 2.2.1.2.3.1.14. del Decreto 1082 de 2015. [Es decir, si fue establecido un plazo de estabilidad y calidad de la obra de 5 años, y fue fijado un valor máximo del 50%, el proponente podrá ofertar hasta máximo 30 meses de mantenimiento adicional.]</w:t>
      </w:r>
    </w:p>
    <w:p w14:paraId="1A3748EC" w14:textId="77777777" w:rsidR="00224032" w:rsidRPr="000B72B1" w:rsidRDefault="00224032" w:rsidP="00224032">
      <w:pPr>
        <w:spacing w:before="120"/>
        <w:ind w:left="709" w:right="760"/>
        <w:jc w:val="both"/>
        <w:rPr>
          <w:rFonts w:ascii="Arial" w:eastAsia="Arial" w:hAnsi="Arial" w:cs="Arial"/>
          <w:sz w:val="21"/>
          <w:szCs w:val="21"/>
          <w:lang w:val="es-CO"/>
        </w:rPr>
      </w:pPr>
      <w:r w:rsidRPr="000B72B1">
        <w:rPr>
          <w:rFonts w:ascii="Arial" w:eastAsia="Arial" w:hAnsi="Arial" w:cs="Arial"/>
          <w:sz w:val="21"/>
          <w:szCs w:val="21"/>
          <w:lang w:val="es-CO"/>
        </w:rPr>
        <w:t>III. El plazo máximo que podrá ser ofrecido por el proponente por concepto de Mantenimiento Adicional es de: [la entidad deberá establecer el valor máximo en meses a ofertar de acuerdo con el numeral II por concepto de Mantenimiento Adicional]</w:t>
      </w:r>
    </w:p>
    <w:p w14:paraId="55F54306" w14:textId="77777777" w:rsidR="00224032" w:rsidRPr="009B2DF3" w:rsidRDefault="00224032" w:rsidP="00224032">
      <w:pPr>
        <w:ind w:firstLine="720"/>
        <w:jc w:val="both"/>
        <w:rPr>
          <w:rFonts w:ascii="Arial" w:eastAsia="Arial" w:hAnsi="Arial" w:cs="Arial"/>
          <w:sz w:val="22"/>
          <w:szCs w:val="22"/>
          <w:lang w:val="es-CO"/>
        </w:rPr>
      </w:pPr>
    </w:p>
    <w:p w14:paraId="3D192D59" w14:textId="399FF45C" w:rsidR="00224032" w:rsidRDefault="00224032" w:rsidP="00224032">
      <w:pPr>
        <w:spacing w:before="120" w:line="276" w:lineRule="auto"/>
        <w:ind w:firstLine="720"/>
        <w:jc w:val="both"/>
        <w:rPr>
          <w:rFonts w:ascii="Arial" w:eastAsia="Arial" w:hAnsi="Arial" w:cs="Arial"/>
          <w:sz w:val="22"/>
          <w:szCs w:val="22"/>
        </w:rPr>
      </w:pPr>
      <w:r>
        <w:rPr>
          <w:rFonts w:ascii="Arial" w:eastAsia="Arial" w:hAnsi="Arial" w:cs="Arial"/>
          <w:sz w:val="22"/>
          <w:szCs w:val="22"/>
        </w:rPr>
        <w:t>Como se observa</w:t>
      </w:r>
      <w:r w:rsidRPr="007873DA">
        <w:rPr>
          <w:rFonts w:ascii="Arial" w:eastAsia="Arial" w:hAnsi="Arial" w:cs="Arial"/>
          <w:sz w:val="22"/>
          <w:szCs w:val="22"/>
        </w:rPr>
        <w:t>, la</w:t>
      </w:r>
      <w:r>
        <w:rPr>
          <w:rFonts w:ascii="Arial" w:eastAsia="Arial" w:hAnsi="Arial" w:cs="Arial"/>
          <w:sz w:val="22"/>
          <w:szCs w:val="22"/>
        </w:rPr>
        <w:t>s</w:t>
      </w:r>
      <w:r w:rsidRPr="007873DA">
        <w:rPr>
          <w:rFonts w:ascii="Arial" w:eastAsia="Arial" w:hAnsi="Arial" w:cs="Arial"/>
          <w:sz w:val="22"/>
          <w:szCs w:val="22"/>
        </w:rPr>
        <w:t xml:space="preserve"> entidad</w:t>
      </w:r>
      <w:r>
        <w:rPr>
          <w:rFonts w:ascii="Arial" w:eastAsia="Arial" w:hAnsi="Arial" w:cs="Arial"/>
          <w:sz w:val="22"/>
          <w:szCs w:val="22"/>
        </w:rPr>
        <w:t>es, a partir de la Resolución 116 de 2020,</w:t>
      </w:r>
      <w:r w:rsidRPr="007873DA">
        <w:rPr>
          <w:rFonts w:ascii="Arial" w:eastAsia="Arial" w:hAnsi="Arial" w:cs="Arial"/>
          <w:sz w:val="22"/>
          <w:szCs w:val="22"/>
        </w:rPr>
        <w:t xml:space="preserve"> puede</w:t>
      </w:r>
      <w:r>
        <w:rPr>
          <w:rFonts w:ascii="Arial" w:eastAsia="Arial" w:hAnsi="Arial" w:cs="Arial"/>
          <w:sz w:val="22"/>
          <w:szCs w:val="22"/>
        </w:rPr>
        <w:t>n</w:t>
      </w:r>
      <w:r w:rsidRPr="007873DA">
        <w:rPr>
          <w:rFonts w:ascii="Arial" w:eastAsia="Arial" w:hAnsi="Arial" w:cs="Arial"/>
          <w:sz w:val="22"/>
          <w:szCs w:val="22"/>
        </w:rPr>
        <w:t xml:space="preserve"> fijar discrecionalmente un número de meses que den lugar a otorgar el puntaje por mantenimiento adicional o definir cuántas cuadrillas de trabajo adicional se necesitan, o</w:t>
      </w:r>
      <w:r>
        <w:rPr>
          <w:rFonts w:ascii="Arial" w:eastAsia="Arial" w:hAnsi="Arial" w:cs="Arial"/>
          <w:sz w:val="22"/>
          <w:szCs w:val="22"/>
        </w:rPr>
        <w:t xml:space="preserve"> los perfiles de los integrantes de la cuadrilla, y no dependerá exclusivamente del proponente ofertar el tiempo de mantenimiento adicional y el número de cuadrillas de trabajo adicional que está en capacidad de ofrecer, lo cual reduce el riesgo de direccionamiento, fomenta la competencia e incrementa las condiciones de calidad para la entidad. </w:t>
      </w:r>
    </w:p>
    <w:p w14:paraId="09ED85F4" w14:textId="77777777"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Es del caso mencionar que para otorgar el puntaje basta con diligenciar los formatos «7E – Cuadrillas de trabajo adicional» y el «7F – Mantenimiento adicional», dependiendo de los criterios de evaluación seleccionados por la entidad. En efecto, al diligenciarlos el proponente debe indicar bajo la gravedad de juramento cuál es el compromiso que asume, ya sea el número de cuadrillas de trabajo adicional o el tiempo durante el cual realizará el mantenimiento rutinario, claro está, dentro de los límites señalados en los párrafos anteriores.</w:t>
      </w:r>
    </w:p>
    <w:p w14:paraId="78389437" w14:textId="77777777"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 Es del caso precisar que el Documento Tipo, antes de la Resolución 116 de 2020, no limitaba al oferente frente al número de cuadrillas de trabajo adicional que se comprometía a otorgar al proyecto, ni tampoco respecto al número de meses de mantenimiento rutinario adicional</w:t>
      </w:r>
      <w:r>
        <w:rPr>
          <w:rStyle w:val="Refdenotaalpie"/>
          <w:rFonts w:ascii="Arial" w:eastAsia="Arial" w:hAnsi="Arial" w:cs="Arial"/>
          <w:sz w:val="22"/>
          <w:szCs w:val="22"/>
        </w:rPr>
        <w:footnoteReference w:id="4"/>
      </w:r>
      <w:r>
        <w:rPr>
          <w:rFonts w:ascii="Arial" w:eastAsia="Arial" w:hAnsi="Arial" w:cs="Arial"/>
          <w:sz w:val="22"/>
          <w:szCs w:val="22"/>
        </w:rPr>
        <w:t>.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w:t>
      </w:r>
    </w:p>
    <w:p w14:paraId="2D9AF320" w14:textId="77777777"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lastRenderedPageBreak/>
        <w:tab/>
        <w:t>En ese sentido, antes de la expedición de la Resolución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«7E – Cuadrillas de trabajo adicional» y «7F – Mantenimiento adicional», en la medida que estos son Documentos Tipo afectados por el principio de inalterabilidad, por lo que solo pueden modificar los apartados entre corchetes y resaltados en gris</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2C6DD0E4" w14:textId="77777777" w:rsidR="00224032" w:rsidRDefault="00224032" w:rsidP="00224032">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Para ambos casos, esto es, antes y después de la Resolución 116 de 2020,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con sus obligaciones</w:t>
      </w:r>
      <w:r>
        <w:rPr>
          <w:rFonts w:ascii="Arial" w:eastAsia="Arial" w:hAnsi="Arial" w:cs="Arial"/>
          <w:sz w:val="22"/>
          <w:szCs w:val="22"/>
          <w:vertAlign w:val="superscript"/>
        </w:rPr>
        <w:footnoteReference w:id="6"/>
      </w:r>
      <w:r>
        <w:rPr>
          <w:rFonts w:ascii="Arial" w:eastAsia="Arial" w:hAnsi="Arial" w:cs="Arial"/>
          <w:sz w:val="22"/>
          <w:szCs w:val="22"/>
        </w:rPr>
        <w:t>. Con fundamento en lo anterior, el «Anexo 5 – Minuta del Contrato», en la «Cláusula 15. Multas», numeral 1, prevé, como uno de los contenidos de las cláusulas que las entidades pueden incorporar en sus contratos, que se impondrá una multa por incumplir el ofrecimiento otorgado en cuanto al factor de calidad. Así se indicó en los siguientes términos:</w:t>
      </w:r>
    </w:p>
    <w:p w14:paraId="0BF3927F" w14:textId="77777777" w:rsidR="00224032" w:rsidRDefault="00224032" w:rsidP="00224032">
      <w:pPr>
        <w:tabs>
          <w:tab w:val="left" w:pos="426"/>
          <w:tab w:val="left" w:pos="7938"/>
        </w:tabs>
        <w:spacing w:before="120" w:line="276" w:lineRule="auto"/>
        <w:jc w:val="both"/>
        <w:rPr>
          <w:rFonts w:ascii="Arial" w:eastAsia="Arial" w:hAnsi="Arial" w:cs="Arial"/>
          <w:sz w:val="22"/>
          <w:szCs w:val="22"/>
        </w:rPr>
      </w:pPr>
    </w:p>
    <w:p w14:paraId="1A47D98C" w14:textId="77777777" w:rsidR="00224032" w:rsidRDefault="00224032" w:rsidP="00224032">
      <w:pPr>
        <w:tabs>
          <w:tab w:val="left" w:pos="426"/>
        </w:tabs>
        <w:ind w:left="680" w:right="680"/>
        <w:jc w:val="both"/>
        <w:rPr>
          <w:rFonts w:ascii="Arial" w:eastAsia="Arial" w:hAnsi="Arial" w:cs="Arial"/>
          <w:b/>
          <w:sz w:val="21"/>
          <w:szCs w:val="21"/>
        </w:rPr>
      </w:pPr>
      <w:r>
        <w:rPr>
          <w:rFonts w:ascii="Arial" w:eastAsia="Arial" w:hAnsi="Arial" w:cs="Arial"/>
          <w:b/>
          <w:sz w:val="22"/>
          <w:szCs w:val="22"/>
        </w:rPr>
        <w:tab/>
      </w:r>
      <w:r>
        <w:rPr>
          <w:rFonts w:ascii="Arial" w:eastAsia="Arial" w:hAnsi="Arial" w:cs="Arial"/>
          <w:b/>
          <w:sz w:val="21"/>
          <w:szCs w:val="21"/>
        </w:rPr>
        <w:t>CLÁUSULA 15. MULTAS</w:t>
      </w:r>
    </w:p>
    <w:p w14:paraId="5171874E" w14:textId="77777777" w:rsidR="00224032" w:rsidRDefault="00224032" w:rsidP="00224032">
      <w:pPr>
        <w:tabs>
          <w:tab w:val="left" w:pos="426"/>
        </w:tabs>
        <w:ind w:left="680" w:right="680"/>
        <w:jc w:val="both"/>
        <w:rPr>
          <w:rFonts w:ascii="Arial" w:eastAsia="Arial" w:hAnsi="Arial" w:cs="Arial"/>
          <w:sz w:val="21"/>
          <w:szCs w:val="21"/>
        </w:rPr>
      </w:pPr>
      <w:r>
        <w:rPr>
          <w:rFonts w:ascii="Arial" w:eastAsia="Arial" w:hAnsi="Arial" w:cs="Arial"/>
          <w:b/>
          <w:sz w:val="21"/>
          <w:szCs w:val="21"/>
        </w:rPr>
        <w:lastRenderedPageBreak/>
        <w:tab/>
      </w:r>
      <w:r>
        <w:rPr>
          <w:rFonts w:ascii="Arial" w:eastAsia="Arial" w:hAnsi="Arial" w:cs="Arial"/>
          <w:sz w:val="21"/>
          <w:szCs w:val="21"/>
        </w:rPr>
        <w:t>[…]</w:t>
      </w:r>
    </w:p>
    <w:p w14:paraId="0B60A510" w14:textId="77777777" w:rsidR="00224032" w:rsidRDefault="00224032" w:rsidP="00224032">
      <w:pPr>
        <w:ind w:left="680" w:right="680"/>
        <w:jc w:val="both"/>
        <w:rPr>
          <w:rFonts w:ascii="Arial" w:eastAsia="Arial" w:hAnsi="Arial" w:cs="Arial"/>
          <w:sz w:val="21"/>
          <w:szCs w:val="21"/>
        </w:rPr>
      </w:pPr>
      <w:r>
        <w:rPr>
          <w:rFonts w:ascii="Arial" w:eastAsia="Arial" w:hAnsi="Arial" w:cs="Arial"/>
          <w:sz w:val="21"/>
          <w:szCs w:val="21"/>
        </w:rPr>
        <w:t>Si durante la ejecución del Contrato se generaran incumplimientos del Contratista, se causarán las siguientes multas:</w:t>
      </w:r>
    </w:p>
    <w:p w14:paraId="15A9159B" w14:textId="77777777" w:rsidR="00224032" w:rsidRDefault="00224032" w:rsidP="00224032">
      <w:pPr>
        <w:ind w:left="680" w:right="680"/>
        <w:rPr>
          <w:rFonts w:ascii="Arial" w:eastAsia="Arial" w:hAnsi="Arial" w:cs="Arial"/>
          <w:sz w:val="21"/>
          <w:szCs w:val="21"/>
        </w:rPr>
      </w:pPr>
      <w:r>
        <w:rPr>
          <w:rFonts w:ascii="Arial" w:eastAsia="Arial" w:hAnsi="Arial" w:cs="Arial"/>
          <w:sz w:val="21"/>
          <w:szCs w:val="21"/>
        </w:rPr>
        <w:t>[…]</w:t>
      </w:r>
    </w:p>
    <w:p w14:paraId="12AE9708" w14:textId="77777777" w:rsidR="00224032" w:rsidRDefault="00224032" w:rsidP="00224032">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0"/>
          <w:szCs w:val="20"/>
        </w:rPr>
        <w:t xml:space="preserve">7. Por </w:t>
      </w:r>
      <w:r>
        <w:rPr>
          <w:rFonts w:ascii="Arial" w:eastAsia="Arial" w:hAnsi="Arial" w:cs="Arial"/>
          <w:color w:val="000000"/>
          <w:sz w:val="21"/>
          <w:szCs w:val="21"/>
        </w:rPr>
        <w:t>incumplir el ofrecimiento otorgado en cuanto al factor calidad, al Contratista se le impondrá una multa equivalente al [0,5%] del valor del contrato, [por cada día calendario de atraso en el cumplimiento de dicha obligación].</w:t>
      </w:r>
    </w:p>
    <w:p w14:paraId="4EE4B877" w14:textId="77777777" w:rsidR="00224032" w:rsidRDefault="00224032" w:rsidP="00224032">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2"/>
          <w:szCs w:val="22"/>
        </w:rPr>
        <w:t xml:space="preserve"> </w:t>
      </w:r>
    </w:p>
    <w:p w14:paraId="37858DAA" w14:textId="77777777"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este sentido,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p>
    <w:p w14:paraId="199883D5" w14:textId="3D7E880E" w:rsidR="00224032" w:rsidRDefault="00224032" w:rsidP="00224032">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De este modo, la entidad en el «Anexo 5 – Minuta del Contrato» puede determinar 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Pr>
          <w:rFonts w:ascii="Arial" w:eastAsia="Arial" w:hAnsi="Arial" w:cs="Arial"/>
          <w:sz w:val="22"/>
          <w:szCs w:val="22"/>
          <w:vertAlign w:val="superscript"/>
        </w:rPr>
        <w:footnoteReference w:id="7"/>
      </w:r>
      <w:r>
        <w:rPr>
          <w:rFonts w:ascii="Arial" w:eastAsia="Arial" w:hAnsi="Arial" w:cs="Arial"/>
          <w:sz w:val="22"/>
          <w:szCs w:val="22"/>
        </w:rPr>
        <w:t xml:space="preserve">. En este sentido, si el oferente realiza un ofrecimiento en el «Factor de Calidad» y resulta adjudicatario del proceso de contratación, su ofrecimiento se convierte en ley para las partes y por lo tanto es de obligatorio cumplimiento, claro está, teniendo en cuenta el límite que puso la entidad. </w:t>
      </w:r>
    </w:p>
    <w:p w14:paraId="0B064A63" w14:textId="77777777" w:rsidR="00224032" w:rsidRDefault="00224032" w:rsidP="00224032">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Asimismo, el artículo 1603 del Código Civil indica que los contratos deben ejecutarse de buena fe y, por consiguiente, obligan no solo a lo que en ellos se expresa, sino a todas cosas que emanan de la naturaleza de la obligación, o que por la ley pertenecen a ella. Es así como las partes, al comprometerse con su oferta a otorgar una garantía por un tiempo adicional, o destinar a la ejecución del contrato un número de cuadrillas de trabajo adicional, estos ofrecimientos se convierten en una obligación contractual, que se debe cumplir en la ejecución del contrato ajustada a la buena fe</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B6080CC" w14:textId="101AACC4"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En suma, antes de la Resolución 116 del 21 de julio de 2020, el oferente tenía la libertad y autonomía de ofrecer el número de cuadrillas de trabajo adicional, o definir el término por el cual realiza las labores de mantenimiento rutinario o el de la cobertura de la «garantía suplementaria. Es decir, el Documento Tipo, para la referida fecha, no limitaba los ofrecimientos realizados por </w:t>
      </w:r>
      <w:r w:rsidRPr="00726A00">
        <w:rPr>
          <w:rFonts w:ascii="Arial" w:eastAsia="Arial" w:hAnsi="Arial" w:cs="Arial"/>
          <w:sz w:val="22"/>
          <w:szCs w:val="22"/>
        </w:rPr>
        <w:t xml:space="preserve">el oferente, ni facultaba a las entidades para hacerlo. Sin embargo, a partir del 21 de julio de 2020, fecha de entrada en vigor de la Resolución 116 de 2020, los ofrecimientos de los oferentes pueden ser limitados en los términos señalados </w:t>
      </w:r>
      <w:r w:rsidRPr="00726A00">
        <w:rPr>
          <w:rFonts w:ascii="Arial" w:eastAsia="Arial" w:hAnsi="Arial" w:cs="Arial"/>
          <w:sz w:val="22"/>
          <w:szCs w:val="22"/>
        </w:rPr>
        <w:lastRenderedPageBreak/>
        <w:t>en los numerales 4.2.4, 4.2.5. y 4.2.6. del Documento Base, como se explicó en las ideas precedentes.</w:t>
      </w:r>
    </w:p>
    <w:p w14:paraId="1039DADE" w14:textId="77777777" w:rsidR="00224032" w:rsidRDefault="00224032" w:rsidP="00224032">
      <w:pPr>
        <w:spacing w:before="120" w:line="276" w:lineRule="auto"/>
        <w:ind w:firstLine="709"/>
        <w:jc w:val="both"/>
        <w:rPr>
          <w:rFonts w:ascii="Arial" w:eastAsia="Arial" w:hAnsi="Arial" w:cs="Arial"/>
          <w:sz w:val="22"/>
          <w:szCs w:val="22"/>
        </w:rPr>
      </w:pPr>
      <w:r>
        <w:rPr>
          <w:rFonts w:ascii="Arial" w:eastAsia="Arial" w:hAnsi="Arial" w:cs="Arial"/>
          <w:sz w:val="22"/>
          <w:szCs w:val="22"/>
        </w:rPr>
        <w:t>Con fundamento en las consideraciones anteriores, se contestarán las inquietudes formuladas.</w:t>
      </w:r>
    </w:p>
    <w:p w14:paraId="168E3870" w14:textId="77777777" w:rsidR="00224032" w:rsidRDefault="00224032" w:rsidP="00224032">
      <w:pPr>
        <w:spacing w:line="276" w:lineRule="auto"/>
        <w:jc w:val="both"/>
        <w:rPr>
          <w:rFonts w:ascii="Arial" w:eastAsia="Arial" w:hAnsi="Arial" w:cs="Arial"/>
          <w:b/>
          <w:color w:val="000000"/>
          <w:sz w:val="22"/>
          <w:szCs w:val="22"/>
        </w:rPr>
      </w:pPr>
    </w:p>
    <w:p w14:paraId="6917E698" w14:textId="77777777" w:rsidR="00224032" w:rsidRDefault="00224032" w:rsidP="00224032">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 Respuestas</w:t>
      </w:r>
    </w:p>
    <w:p w14:paraId="54F6411D" w14:textId="77777777" w:rsidR="00224032" w:rsidRDefault="00224032" w:rsidP="00224032">
      <w:pPr>
        <w:spacing w:line="276" w:lineRule="auto"/>
        <w:jc w:val="both"/>
        <w:rPr>
          <w:rFonts w:ascii="Arial" w:eastAsia="Arial" w:hAnsi="Arial" w:cs="Arial"/>
          <w:b/>
          <w:color w:val="000000"/>
          <w:sz w:val="22"/>
          <w:szCs w:val="22"/>
        </w:rPr>
      </w:pPr>
    </w:p>
    <w:p w14:paraId="062CE4F5" w14:textId="6EBBCD3B" w:rsidR="00224032" w:rsidRDefault="00224032" w:rsidP="00224032">
      <w:pPr>
        <w:ind w:left="709" w:right="758"/>
        <w:jc w:val="both"/>
        <w:rPr>
          <w:rFonts w:ascii="Arial" w:eastAsia="Arial" w:hAnsi="Arial" w:cs="Arial"/>
          <w:color w:val="000000"/>
          <w:sz w:val="22"/>
          <w:szCs w:val="22"/>
        </w:rPr>
      </w:pPr>
      <w:r>
        <w:rPr>
          <w:rFonts w:ascii="Arial" w:eastAsia="Arial" w:hAnsi="Arial" w:cs="Arial"/>
          <w:color w:val="000000"/>
          <w:sz w:val="22"/>
          <w:szCs w:val="22"/>
        </w:rPr>
        <w:t>«</w:t>
      </w:r>
      <w:r w:rsidRPr="00987156">
        <w:rPr>
          <w:rFonts w:ascii="Arial" w:eastAsia="Arial" w:hAnsi="Arial" w:cs="Arial"/>
          <w:color w:val="000000"/>
          <w:sz w:val="22"/>
          <w:szCs w:val="22"/>
        </w:rPr>
        <w:t>1. [¿] cuanto (sic) es el máximo permitido de las cuadrillas adicionales en las obras, en cada contrato. [D]</w:t>
      </w:r>
      <w:proofErr w:type="spellStart"/>
      <w:r w:rsidRPr="00987156">
        <w:rPr>
          <w:rFonts w:ascii="Arial" w:eastAsia="Arial" w:hAnsi="Arial" w:cs="Arial"/>
          <w:color w:val="000000"/>
          <w:sz w:val="22"/>
          <w:szCs w:val="22"/>
        </w:rPr>
        <w:t>efinir</w:t>
      </w:r>
      <w:proofErr w:type="spellEnd"/>
      <w:r w:rsidRPr="00987156">
        <w:rPr>
          <w:rFonts w:ascii="Arial" w:eastAsia="Arial" w:hAnsi="Arial" w:cs="Arial"/>
          <w:color w:val="000000"/>
          <w:sz w:val="22"/>
          <w:szCs w:val="22"/>
        </w:rPr>
        <w:t xml:space="preserve"> cuantas (sic) son máximo</w:t>
      </w:r>
      <w:r>
        <w:rPr>
          <w:rFonts w:ascii="Arial" w:eastAsia="Arial" w:hAnsi="Arial" w:cs="Arial"/>
          <w:color w:val="000000"/>
          <w:sz w:val="22"/>
          <w:szCs w:val="22"/>
        </w:rPr>
        <w:t>»</w:t>
      </w:r>
    </w:p>
    <w:p w14:paraId="0358424E" w14:textId="77777777" w:rsidR="00224032" w:rsidRDefault="00224032" w:rsidP="00224032">
      <w:pPr>
        <w:ind w:left="709" w:right="758"/>
        <w:jc w:val="both"/>
        <w:rPr>
          <w:rFonts w:ascii="Arial" w:eastAsia="Arial" w:hAnsi="Arial" w:cs="Arial"/>
          <w:color w:val="000000"/>
          <w:sz w:val="22"/>
          <w:szCs w:val="22"/>
        </w:rPr>
      </w:pPr>
    </w:p>
    <w:p w14:paraId="6BF45FC2" w14:textId="5E29E2DF" w:rsidR="00224032" w:rsidRDefault="00224032" w:rsidP="00224032">
      <w:pPr>
        <w:tabs>
          <w:tab w:val="left" w:pos="709"/>
        </w:tabs>
        <w:spacing w:before="120" w:line="276" w:lineRule="auto"/>
        <w:jc w:val="both"/>
        <w:rPr>
          <w:rFonts w:ascii="ArialMT" w:hAnsi="ArialMT"/>
          <w:sz w:val="22"/>
          <w:szCs w:val="22"/>
        </w:rPr>
      </w:pPr>
      <w:r>
        <w:rPr>
          <w:rFonts w:ascii="Arial" w:eastAsia="Arial" w:hAnsi="Arial" w:cs="Arial"/>
          <w:color w:val="000000"/>
          <w:sz w:val="22"/>
          <w:szCs w:val="22"/>
        </w:rPr>
        <w:t xml:space="preserve">Según las consideraciones expuestas </w:t>
      </w:r>
      <w:r>
        <w:rPr>
          <w:rFonts w:ascii="Arial" w:eastAsia="Arial" w:hAnsi="Arial" w:cs="Arial"/>
          <w:sz w:val="22"/>
          <w:szCs w:val="22"/>
        </w:rPr>
        <w:t>en este concepto</w:t>
      </w:r>
      <w:r w:rsidRPr="007873DA">
        <w:rPr>
          <w:rFonts w:ascii="Arial" w:eastAsia="Arial" w:hAnsi="Arial" w:cs="Arial"/>
          <w:sz w:val="22"/>
          <w:szCs w:val="22"/>
        </w:rPr>
        <w:t xml:space="preserve">, en la </w:t>
      </w:r>
      <w:r>
        <w:rPr>
          <w:rFonts w:ascii="Arial" w:eastAsia="Arial" w:hAnsi="Arial" w:cs="Arial"/>
          <w:sz w:val="22"/>
          <w:szCs w:val="22"/>
        </w:rPr>
        <w:t>Resolución 116 del 21 de julio de 2020</w:t>
      </w:r>
      <w:r w:rsidRPr="007873DA">
        <w:rPr>
          <w:rFonts w:ascii="Arial" w:eastAsia="Arial" w:hAnsi="Arial" w:cs="Arial"/>
          <w:sz w:val="22"/>
          <w:szCs w:val="22"/>
        </w:rPr>
        <w:t xml:space="preserve"> se dispuso, </w:t>
      </w:r>
      <w:r w:rsidRPr="007873DA">
        <w:rPr>
          <w:rFonts w:ascii="Arial" w:eastAsia="Arial" w:hAnsi="Arial" w:cs="Arial"/>
          <w:sz w:val="22"/>
          <w:szCs w:val="22"/>
          <w:lang w:val="es-CO"/>
        </w:rPr>
        <w:t xml:space="preserve">en relación con </w:t>
      </w:r>
      <w:r>
        <w:rPr>
          <w:rFonts w:ascii="Arial" w:eastAsia="Arial" w:hAnsi="Arial" w:cs="Arial"/>
          <w:sz w:val="22"/>
          <w:szCs w:val="22"/>
          <w:lang w:val="es-CO"/>
        </w:rPr>
        <w:t xml:space="preserve">el ofrecimiento límite de </w:t>
      </w:r>
      <w:r w:rsidRPr="007873DA">
        <w:rPr>
          <w:rFonts w:ascii="Arial" w:eastAsia="Arial" w:hAnsi="Arial" w:cs="Arial"/>
          <w:sz w:val="22"/>
          <w:szCs w:val="22"/>
        </w:rPr>
        <w:t>«cuadrillas de trabajo» adicionales</w:t>
      </w:r>
      <w:r w:rsidRPr="007873DA">
        <w:rPr>
          <w:rFonts w:ascii="Arial" w:eastAsia="Arial" w:hAnsi="Arial" w:cs="Arial"/>
          <w:sz w:val="22"/>
          <w:szCs w:val="22"/>
          <w:lang w:val="es-CO"/>
        </w:rPr>
        <w:t>,</w:t>
      </w:r>
      <w:r>
        <w:rPr>
          <w:rFonts w:ascii="Arial" w:eastAsia="Arial" w:hAnsi="Arial" w:cs="Arial"/>
          <w:sz w:val="22"/>
          <w:szCs w:val="22"/>
          <w:lang w:val="es-CO"/>
        </w:rPr>
        <w:t xml:space="preserve"> que</w:t>
      </w:r>
      <w:r w:rsidRPr="007873DA">
        <w:rPr>
          <w:rFonts w:ascii="Arial" w:eastAsia="Arial" w:hAnsi="Arial" w:cs="Arial"/>
          <w:sz w:val="22"/>
          <w:szCs w:val="22"/>
          <w:lang w:val="es-CO"/>
        </w:rPr>
        <w:t xml:space="preserve"> l</w:t>
      </w:r>
      <w:r w:rsidRPr="007873DA">
        <w:rPr>
          <w:rFonts w:ascii="Arial" w:eastAsia="Arial" w:hAnsi="Arial" w:cs="Arial"/>
          <w:sz w:val="22"/>
          <w:szCs w:val="22"/>
        </w:rPr>
        <w:t>as entidades deben elegir si establecen un estimado de frentes de trabajo o si no lo establecen, pues, en el primer evento, «</w:t>
      </w:r>
      <w:r w:rsidRPr="007873DA">
        <w:rPr>
          <w:rFonts w:ascii="ArialMT" w:hAnsi="ArialMT"/>
          <w:sz w:val="22"/>
          <w:szCs w:val="22"/>
        </w:rPr>
        <w:t>[e]l proponente podrá ofrecer hasta máximo 2 cuadrillas por cada frente de trabajo»</w:t>
      </w:r>
      <w:r w:rsidRPr="007873DA">
        <w:rPr>
          <w:rStyle w:val="Refdenotaalpie"/>
          <w:rFonts w:ascii="ArialMT" w:hAnsi="ArialMT"/>
          <w:sz w:val="22"/>
          <w:szCs w:val="22"/>
        </w:rPr>
        <w:footnoteReference w:id="9"/>
      </w:r>
      <w:r w:rsidRPr="007873DA">
        <w:rPr>
          <w:rFonts w:ascii="ArialMT" w:hAnsi="ArialMT"/>
          <w:sz w:val="22"/>
          <w:szCs w:val="22"/>
        </w:rPr>
        <w:t>, mientras que en el segundo, «[…] ofrecerá 1 cuadrilla adicional por cada 50 obreros que sean requeridos para el proyecto de infraestructura de transporte»</w:t>
      </w:r>
      <w:r w:rsidRPr="007873DA">
        <w:rPr>
          <w:rStyle w:val="Refdenotaalpie"/>
          <w:rFonts w:ascii="ArialMT" w:hAnsi="ArialMT"/>
          <w:sz w:val="22"/>
          <w:szCs w:val="22"/>
        </w:rPr>
        <w:footnoteReference w:id="10"/>
      </w:r>
      <w:r w:rsidRPr="007873DA">
        <w:rPr>
          <w:rFonts w:ascii="ArialMT" w:hAnsi="ArialMT"/>
          <w:sz w:val="22"/>
          <w:szCs w:val="22"/>
        </w:rPr>
        <w:t>.</w:t>
      </w:r>
    </w:p>
    <w:p w14:paraId="190A82E0" w14:textId="07F17EC6" w:rsidR="00224032" w:rsidRPr="007873DA"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Lo anterior, se aclara, para aquellos procesos contractuales iniciados después del 21 de julio de 2020 –vigencia de la Resolución 116 de 2020–, pues lo que empezaron antes de esta fecha no tenían límite alguno en relación con los ofrecimientos de los proponentes frente a las cuadrillas de trabajo adicionales, como se explicó en la parte considerativa de este concepto.</w:t>
      </w:r>
    </w:p>
    <w:p w14:paraId="434B8658" w14:textId="77777777" w:rsidR="00224032" w:rsidRDefault="00224032" w:rsidP="00224032">
      <w:pPr>
        <w:spacing w:line="276" w:lineRule="auto"/>
        <w:jc w:val="both"/>
        <w:rPr>
          <w:rFonts w:ascii="Arial" w:eastAsia="Arial" w:hAnsi="Arial" w:cs="Arial"/>
          <w:color w:val="000000"/>
          <w:sz w:val="22"/>
          <w:szCs w:val="22"/>
        </w:rPr>
      </w:pPr>
    </w:p>
    <w:p w14:paraId="436DB5EF" w14:textId="5E149E5F" w:rsidR="00224032" w:rsidRDefault="00224032" w:rsidP="00224032">
      <w:pPr>
        <w:ind w:left="709" w:right="758"/>
        <w:jc w:val="both"/>
        <w:rPr>
          <w:rFonts w:ascii="Arial" w:eastAsia="Arial" w:hAnsi="Arial" w:cs="Arial"/>
          <w:color w:val="000000"/>
          <w:sz w:val="22"/>
          <w:szCs w:val="22"/>
        </w:rPr>
      </w:pPr>
      <w:r w:rsidRPr="00987156">
        <w:rPr>
          <w:rFonts w:ascii="Arial" w:eastAsia="Arial" w:hAnsi="Arial" w:cs="Arial"/>
          <w:color w:val="000000"/>
          <w:sz w:val="22"/>
          <w:szCs w:val="22"/>
        </w:rPr>
        <w:t>2. [¿] cuanto (sic) es el máximo permitido en tiempo o meses; para la garantía adicional. - en los formatos de 7. garantía adicional; 3. [¿] cuantos son los meses máximos, adicionales de mantenimiento; para los contratos de pliegos tipo versión 2?» (Entre corchetes fuera de texto).</w:t>
      </w:r>
    </w:p>
    <w:p w14:paraId="62E9751A" w14:textId="77777777" w:rsidR="00224032" w:rsidRDefault="00224032" w:rsidP="00224032">
      <w:pPr>
        <w:spacing w:after="18"/>
        <w:ind w:left="709" w:right="709"/>
        <w:jc w:val="both"/>
        <w:rPr>
          <w:rFonts w:ascii="Arial" w:eastAsia="Arial" w:hAnsi="Arial" w:cs="Arial"/>
          <w:sz w:val="21"/>
          <w:szCs w:val="21"/>
        </w:rPr>
      </w:pPr>
    </w:p>
    <w:p w14:paraId="313E5A23" w14:textId="56992BC6" w:rsidR="00224032" w:rsidRDefault="00224032" w:rsidP="00224032">
      <w:pPr>
        <w:spacing w:line="276" w:lineRule="auto"/>
        <w:jc w:val="both"/>
        <w:rPr>
          <w:rFonts w:ascii="Arial" w:eastAsia="Arial" w:hAnsi="Arial" w:cs="Arial"/>
          <w:sz w:val="22"/>
          <w:szCs w:val="22"/>
        </w:rPr>
      </w:pPr>
      <w:r>
        <w:rPr>
          <w:rFonts w:ascii="Arial" w:eastAsia="Arial" w:hAnsi="Arial" w:cs="Arial"/>
          <w:color w:val="000000"/>
          <w:sz w:val="22"/>
          <w:szCs w:val="22"/>
        </w:rPr>
        <w:t xml:space="preserve">Según las consideraciones expuestas </w:t>
      </w:r>
      <w:r>
        <w:rPr>
          <w:rFonts w:ascii="Arial" w:eastAsia="Arial" w:hAnsi="Arial" w:cs="Arial"/>
          <w:sz w:val="22"/>
          <w:szCs w:val="22"/>
        </w:rPr>
        <w:t>en este concepto</w:t>
      </w:r>
      <w:r w:rsidRPr="007873DA">
        <w:rPr>
          <w:rFonts w:ascii="Arial" w:eastAsia="Arial" w:hAnsi="Arial" w:cs="Arial"/>
          <w:sz w:val="22"/>
          <w:szCs w:val="22"/>
        </w:rPr>
        <w:t xml:space="preserve">, en la </w:t>
      </w:r>
      <w:r>
        <w:rPr>
          <w:rFonts w:ascii="Arial" w:eastAsia="Arial" w:hAnsi="Arial" w:cs="Arial"/>
          <w:sz w:val="22"/>
          <w:szCs w:val="22"/>
        </w:rPr>
        <w:t>Resolución 116 de 2020</w:t>
      </w:r>
      <w:r w:rsidRPr="007873DA">
        <w:rPr>
          <w:rFonts w:ascii="Arial" w:eastAsia="Arial" w:hAnsi="Arial" w:cs="Arial"/>
          <w:sz w:val="22"/>
          <w:szCs w:val="22"/>
        </w:rPr>
        <w:t xml:space="preserve"> se dispuso</w:t>
      </w:r>
      <w:r>
        <w:rPr>
          <w:rFonts w:ascii="Arial" w:eastAsia="Arial" w:hAnsi="Arial" w:cs="Arial"/>
          <w:sz w:val="22"/>
          <w:szCs w:val="22"/>
        </w:rPr>
        <w:t xml:space="preserve"> </w:t>
      </w:r>
      <w:r w:rsidRPr="007873DA">
        <w:rPr>
          <w:rFonts w:ascii="Arial" w:eastAsia="Arial" w:hAnsi="Arial" w:cs="Arial"/>
          <w:sz w:val="22"/>
          <w:szCs w:val="22"/>
        </w:rPr>
        <w:t>que e</w:t>
      </w:r>
      <w:r w:rsidRPr="007873DA">
        <w:rPr>
          <w:rFonts w:ascii="Arial" w:eastAsia="Arial" w:hAnsi="Arial" w:cs="Arial"/>
          <w:sz w:val="22"/>
          <w:szCs w:val="22"/>
          <w:lang w:val="es-CO"/>
        </w:rPr>
        <w:t>l ofrecimiento</w:t>
      </w:r>
      <w:r>
        <w:rPr>
          <w:rFonts w:ascii="Arial" w:eastAsia="Arial" w:hAnsi="Arial" w:cs="Arial"/>
          <w:sz w:val="22"/>
          <w:szCs w:val="22"/>
          <w:lang w:val="es-CO"/>
        </w:rPr>
        <w:t xml:space="preserve"> límite</w:t>
      </w:r>
      <w:r w:rsidRPr="007873DA">
        <w:rPr>
          <w:rFonts w:ascii="Arial" w:eastAsia="Arial" w:hAnsi="Arial" w:cs="Arial"/>
          <w:sz w:val="22"/>
          <w:szCs w:val="22"/>
          <w:lang w:val="es-CO"/>
        </w:rPr>
        <w:t xml:space="preserve"> del proponente sobre la «garantía suplementaria o adicional» y el «mantenimiento adicional», no podrá superar </w:t>
      </w:r>
      <w:r w:rsidRPr="007873DA">
        <w:rPr>
          <w:rFonts w:ascii="Arial" w:eastAsia="Arial" w:hAnsi="Arial" w:cs="Arial"/>
          <w:sz w:val="22"/>
          <w:szCs w:val="22"/>
        </w:rPr>
        <w:t>el «[…] valor porcentual máximo entre el siguiente rango: entre el 30% y el 50% del plazo establecido por la entidad para la garantía de estabilidad y calidad de la obra […]»</w:t>
      </w:r>
      <w:r w:rsidRPr="007873DA">
        <w:rPr>
          <w:rStyle w:val="Refdenotaalpie"/>
          <w:rFonts w:ascii="Arial" w:eastAsia="Arial" w:hAnsi="Arial" w:cs="Arial"/>
          <w:sz w:val="22"/>
          <w:szCs w:val="22"/>
        </w:rPr>
        <w:footnoteReference w:id="11"/>
      </w:r>
      <w:r w:rsidRPr="007873DA">
        <w:rPr>
          <w:rFonts w:ascii="Arial" w:eastAsia="Arial" w:hAnsi="Arial" w:cs="Arial"/>
          <w:sz w:val="22"/>
          <w:szCs w:val="22"/>
        </w:rPr>
        <w:t>, valor porcentual que fija libremente la autoridad contratante dentro del referido rango</w:t>
      </w:r>
      <w:r>
        <w:rPr>
          <w:rFonts w:ascii="Arial" w:eastAsia="Arial" w:hAnsi="Arial" w:cs="Arial"/>
          <w:sz w:val="22"/>
          <w:szCs w:val="22"/>
        </w:rPr>
        <w:t>.</w:t>
      </w:r>
    </w:p>
    <w:p w14:paraId="4014B593" w14:textId="4D312D76" w:rsidR="00224032" w:rsidRDefault="00224032" w:rsidP="00224032">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Lo anterior, se aclara, para aquellos procesos contractuales iniciados después del 21 de julio de 2020 –vigencia de la Resolución 116 de 2020–, pues lo que empezaron antes </w:t>
      </w:r>
      <w:r>
        <w:rPr>
          <w:rFonts w:ascii="Arial" w:eastAsia="Arial" w:hAnsi="Arial" w:cs="Arial"/>
          <w:sz w:val="22"/>
          <w:szCs w:val="22"/>
        </w:rPr>
        <w:lastRenderedPageBreak/>
        <w:t>de esta fecha no tenían límite alguno en relación con los ofrecimientos de los proponentes frente a la garantía y mantenimiento adicionales, como se explicó en la parte considerativa de este concepto.</w:t>
      </w:r>
    </w:p>
    <w:p w14:paraId="75869F77" w14:textId="77777777" w:rsidR="00224032" w:rsidRDefault="00224032" w:rsidP="00224032">
      <w:pPr>
        <w:spacing w:line="276" w:lineRule="auto"/>
        <w:jc w:val="both"/>
        <w:rPr>
          <w:rFonts w:ascii="Arial" w:eastAsia="Arial" w:hAnsi="Arial" w:cs="Arial"/>
          <w:color w:val="000000"/>
          <w:sz w:val="22"/>
          <w:szCs w:val="22"/>
        </w:rPr>
      </w:pPr>
    </w:p>
    <w:p w14:paraId="48A09AFB" w14:textId="18B698B6" w:rsidR="00224032" w:rsidRDefault="00224032" w:rsidP="00224032">
      <w:pPr>
        <w:ind w:left="709" w:right="758"/>
        <w:jc w:val="both"/>
        <w:rPr>
          <w:rFonts w:ascii="Arial" w:eastAsia="Arial" w:hAnsi="Arial" w:cs="Arial"/>
          <w:color w:val="000000"/>
          <w:sz w:val="22"/>
          <w:szCs w:val="22"/>
        </w:rPr>
      </w:pPr>
      <w:bookmarkStart w:id="2" w:name="_3znysh7" w:colFirst="0" w:colLast="0"/>
      <w:bookmarkEnd w:id="2"/>
      <w:r w:rsidRPr="00987156">
        <w:rPr>
          <w:rFonts w:ascii="Arial" w:eastAsia="Arial" w:hAnsi="Arial" w:cs="Arial"/>
          <w:color w:val="000000"/>
          <w:sz w:val="22"/>
          <w:szCs w:val="22"/>
        </w:rPr>
        <w:t>Igualmente, se pide definir y aclarar «[…] todos los formatos de pliegos tipo versión 2- formato del 1 al 9. que pueden y deben pedir las entidades para la licitación en infraestructura vial».</w:t>
      </w:r>
    </w:p>
    <w:p w14:paraId="546667AC" w14:textId="77777777" w:rsidR="00224032" w:rsidRDefault="00224032" w:rsidP="00224032">
      <w:pPr>
        <w:tabs>
          <w:tab w:val="left" w:pos="709"/>
        </w:tabs>
        <w:spacing w:before="120" w:line="276" w:lineRule="auto"/>
        <w:jc w:val="both"/>
        <w:rPr>
          <w:rFonts w:ascii="Arial" w:eastAsia="Arial" w:hAnsi="Arial" w:cs="Arial"/>
          <w:sz w:val="22"/>
          <w:szCs w:val="22"/>
        </w:rPr>
      </w:pPr>
    </w:p>
    <w:p w14:paraId="77A41F2D" w14:textId="0892BF19" w:rsidR="00224032" w:rsidRDefault="00224032" w:rsidP="00224032">
      <w:pPr>
        <w:tabs>
          <w:tab w:val="left" w:pos="709"/>
        </w:tabs>
        <w:jc w:val="both"/>
        <w:rPr>
          <w:rFonts w:ascii="Arial" w:eastAsia="Arial" w:hAnsi="Arial" w:cs="Arial"/>
          <w:sz w:val="22"/>
          <w:szCs w:val="22"/>
        </w:rPr>
      </w:pPr>
      <w:r>
        <w:rPr>
          <w:rFonts w:ascii="Arial" w:eastAsia="Arial" w:hAnsi="Arial" w:cs="Arial"/>
          <w:sz w:val="22"/>
          <w:szCs w:val="22"/>
        </w:rPr>
        <w:t>Finalmente, se aclara que las reglas de exigibilidad de los Formatos y Anexos de los Documentos Tipo, para todas las versiones, se encuentran consagradas en los Documentos Base respectivos, razón por la que respetuosamente sugerimos su consulta.</w:t>
      </w:r>
    </w:p>
    <w:p w14:paraId="6E4CFE8D" w14:textId="77777777" w:rsidR="00224032" w:rsidRDefault="00224032" w:rsidP="00224032">
      <w:pPr>
        <w:tabs>
          <w:tab w:val="left" w:pos="709"/>
        </w:tabs>
        <w:jc w:val="both"/>
        <w:rPr>
          <w:rFonts w:ascii="Arial" w:eastAsia="Arial" w:hAnsi="Arial" w:cs="Arial"/>
          <w:sz w:val="22"/>
          <w:szCs w:val="22"/>
        </w:rPr>
      </w:pPr>
    </w:p>
    <w:p w14:paraId="1ACE5525" w14:textId="77777777" w:rsidR="00224032" w:rsidRDefault="00224032" w:rsidP="00224032">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Este concepto tiene el alcance previsto en el artículo 28 del Código de Procedimiento Administrativo y de lo Contencioso Administrativo.</w:t>
      </w:r>
    </w:p>
    <w:p w14:paraId="78A531E6" w14:textId="77777777" w:rsidR="00224032" w:rsidRDefault="00224032" w:rsidP="00224032">
      <w:pPr>
        <w:spacing w:line="276" w:lineRule="auto"/>
        <w:rPr>
          <w:rFonts w:ascii="Arial" w:eastAsia="Arial" w:hAnsi="Arial" w:cs="Arial"/>
          <w:color w:val="000000"/>
          <w:sz w:val="22"/>
          <w:szCs w:val="22"/>
        </w:rPr>
      </w:pPr>
    </w:p>
    <w:p w14:paraId="74782D00" w14:textId="77777777" w:rsidR="00224032" w:rsidRDefault="00224032" w:rsidP="00224032">
      <w:pPr>
        <w:spacing w:line="276" w:lineRule="auto"/>
        <w:rPr>
          <w:rFonts w:ascii="Arial" w:eastAsia="Arial" w:hAnsi="Arial" w:cs="Arial"/>
          <w:color w:val="000000"/>
          <w:sz w:val="22"/>
          <w:szCs w:val="22"/>
        </w:rPr>
      </w:pPr>
      <w:r>
        <w:rPr>
          <w:rFonts w:ascii="Arial" w:eastAsia="Arial" w:hAnsi="Arial" w:cs="Arial"/>
          <w:color w:val="000000"/>
          <w:sz w:val="22"/>
          <w:szCs w:val="22"/>
        </w:rPr>
        <w:t>Atentamente,</w:t>
      </w:r>
    </w:p>
    <w:p w14:paraId="4163614B" w14:textId="0060B5DC" w:rsidR="00224032" w:rsidRDefault="0052391C" w:rsidP="00224032">
      <w:pPr>
        <w:jc w:val="center"/>
        <w:rPr>
          <w:rFonts w:ascii="Arial" w:eastAsia="Arial" w:hAnsi="Arial" w:cs="Arial"/>
          <w:color w:val="000000"/>
          <w:sz w:val="18"/>
          <w:szCs w:val="18"/>
        </w:rPr>
      </w:pPr>
      <w:r>
        <w:rPr>
          <w:noProof/>
          <w:lang w:val="en-US" w:eastAsia="en-US"/>
        </w:rPr>
        <w:drawing>
          <wp:inline distT="0" distB="0" distL="0" distR="0" wp14:anchorId="1E3B2FEF" wp14:editId="5FAA9A12">
            <wp:extent cx="2773045" cy="988695"/>
            <wp:effectExtent l="0" t="0" r="0" b="0"/>
            <wp:docPr id="182232948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92D6356" w14:textId="77777777" w:rsidR="000B5B20" w:rsidRDefault="000B5B20" w:rsidP="00224032">
      <w:pPr>
        <w:jc w:val="center"/>
        <w:rPr>
          <w:rFonts w:ascii="Arial" w:eastAsia="Arial" w:hAnsi="Arial" w:cs="Arial"/>
          <w:color w:val="000000"/>
          <w:sz w:val="18"/>
          <w:szCs w:val="18"/>
        </w:rPr>
      </w:pPr>
    </w:p>
    <w:tbl>
      <w:tblPr>
        <w:tblStyle w:val="a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224032" w14:paraId="6AFB3A34" w14:textId="77777777" w:rsidTr="00863C70">
        <w:trPr>
          <w:trHeight w:val="315"/>
        </w:trPr>
        <w:tc>
          <w:tcPr>
            <w:tcW w:w="812" w:type="dxa"/>
            <w:vAlign w:val="center"/>
          </w:tcPr>
          <w:p w14:paraId="1C9863AC"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1D3486C4"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David Castellanos Carreño</w:t>
            </w:r>
          </w:p>
          <w:p w14:paraId="0322D969"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Contratista de la Subdirección de Gestión Contractual</w:t>
            </w:r>
          </w:p>
        </w:tc>
      </w:tr>
      <w:tr w:rsidR="00224032" w14:paraId="008F59A7" w14:textId="77777777" w:rsidTr="00863C70">
        <w:trPr>
          <w:trHeight w:val="330"/>
        </w:trPr>
        <w:tc>
          <w:tcPr>
            <w:tcW w:w="812" w:type="dxa"/>
            <w:vAlign w:val="center"/>
          </w:tcPr>
          <w:p w14:paraId="42F4CB6A"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442C68EA"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Cristian Andrés Díaz Díez</w:t>
            </w:r>
          </w:p>
          <w:p w14:paraId="76C1B6D1"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Contratista, Subdirección de Gestión Contractual</w:t>
            </w:r>
          </w:p>
        </w:tc>
      </w:tr>
      <w:tr w:rsidR="00224032" w14:paraId="38B54A54" w14:textId="77777777" w:rsidTr="00863C70">
        <w:trPr>
          <w:trHeight w:val="300"/>
        </w:trPr>
        <w:tc>
          <w:tcPr>
            <w:tcW w:w="812" w:type="dxa"/>
            <w:vAlign w:val="center"/>
          </w:tcPr>
          <w:p w14:paraId="166F1A89"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3F59BC75"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Fabián Gonzalo Marín Cortés</w:t>
            </w:r>
          </w:p>
          <w:p w14:paraId="709FACCE" w14:textId="77777777" w:rsidR="00224032" w:rsidRDefault="00224032" w:rsidP="00863C70">
            <w:pPr>
              <w:rPr>
                <w:rFonts w:ascii="Arial" w:eastAsia="Arial" w:hAnsi="Arial" w:cs="Arial"/>
                <w:color w:val="000000"/>
                <w:sz w:val="16"/>
                <w:szCs w:val="16"/>
              </w:rPr>
            </w:pPr>
            <w:r>
              <w:rPr>
                <w:rFonts w:ascii="Arial" w:eastAsia="Arial" w:hAnsi="Arial" w:cs="Arial"/>
                <w:color w:val="000000"/>
                <w:sz w:val="16"/>
                <w:szCs w:val="16"/>
              </w:rPr>
              <w:t>Subdirector de Gestión Contractual</w:t>
            </w:r>
          </w:p>
        </w:tc>
      </w:tr>
    </w:tbl>
    <w:p w14:paraId="1DF15D26" w14:textId="77777777" w:rsidR="00224032" w:rsidRPr="005B4987" w:rsidRDefault="00224032" w:rsidP="00224032"/>
    <w:p w14:paraId="4FF73D92" w14:textId="77777777" w:rsidR="00F50B11" w:rsidRPr="00224032" w:rsidRDefault="00F50B11" w:rsidP="00224032"/>
    <w:sectPr w:rsidR="00F50B11" w:rsidRPr="00224032">
      <w:headerReference w:type="default" r:id="rId10"/>
      <w:footerReference w:type="default" r:id="rId11"/>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9AB07" w14:textId="77777777" w:rsidR="002C5F2A" w:rsidRDefault="002C5F2A">
      <w:r>
        <w:separator/>
      </w:r>
    </w:p>
  </w:endnote>
  <w:endnote w:type="continuationSeparator" w:id="0">
    <w:p w14:paraId="69E08C44" w14:textId="77777777" w:rsidR="002C5F2A" w:rsidRDefault="002C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3F78B57E" w:rsidR="005F6B6C" w:rsidRDefault="005F6B6C"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4D77559" w14:textId="77777777" w:rsidR="00192B60" w:rsidRDefault="00192B60"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B3CFD3B" w14:textId="77777777" w:rsidR="005F6B6C" w:rsidRDefault="005F6B6C">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noProof/>
        <w:color w:val="7F7F7F"/>
        <w:sz w:val="16"/>
        <w:szCs w:val="16"/>
      </w:rPr>
      <w:t>1</w:t>
    </w:r>
    <w:r>
      <w:rPr>
        <w:rFonts w:ascii="Arial" w:eastAsia="Arial" w:hAnsi="Arial" w:cs="Arial"/>
        <w:color w:val="7F7F7F"/>
        <w:sz w:val="16"/>
        <w:szCs w:val="16"/>
      </w:rPr>
      <w:t xml:space="preserve"> de </w:t>
    </w:r>
    <w:r>
      <w:rPr>
        <w:rFonts w:ascii="Arial" w:eastAsia="Arial" w:hAnsi="Arial" w:cs="Arial"/>
        <w:b/>
        <w:noProof/>
        <w:color w:val="7F7F7F"/>
        <w:sz w:val="16"/>
        <w:szCs w:val="16"/>
      </w:rPr>
      <w:t>1</w:t>
    </w:r>
  </w:p>
  <w:p w14:paraId="53E503E4" w14:textId="1156F8E2" w:rsidR="005F6B6C" w:rsidRDefault="005F6B6C" w:rsidP="00F63EA1">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14:paraId="5096AD07" w14:textId="77777777" w:rsidR="00192B60" w:rsidRDefault="00192B60" w:rsidP="00F63EA1">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1258B" w14:textId="77777777" w:rsidR="002C5F2A" w:rsidRDefault="002C5F2A">
      <w:r>
        <w:separator/>
      </w:r>
    </w:p>
  </w:footnote>
  <w:footnote w:type="continuationSeparator" w:id="0">
    <w:p w14:paraId="06F9C931" w14:textId="77777777" w:rsidR="002C5F2A" w:rsidRDefault="002C5F2A">
      <w:r>
        <w:continuationSeparator/>
      </w:r>
    </w:p>
  </w:footnote>
  <w:footnote w:id="1">
    <w:p w14:paraId="74290C93" w14:textId="77777777" w:rsidR="00224032" w:rsidRPr="00E86699" w:rsidRDefault="00224032" w:rsidP="00224032">
      <w:pPr>
        <w:pStyle w:val="Textonotapie"/>
        <w:ind w:firstLine="708"/>
        <w:jc w:val="both"/>
        <w:rPr>
          <w:rFonts w:ascii="Arial" w:hAnsi="Arial" w:cs="Arial"/>
          <w:sz w:val="19"/>
          <w:szCs w:val="19"/>
        </w:rPr>
      </w:pPr>
    </w:p>
    <w:p w14:paraId="65D44D20"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Ibid.</w:t>
      </w:r>
    </w:p>
  </w:footnote>
  <w:footnote w:id="2">
    <w:p w14:paraId="1C9FA9DB"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116 de 2020. </w:t>
      </w:r>
    </w:p>
    <w:p w14:paraId="3443F93F" w14:textId="77777777" w:rsidR="00224032" w:rsidRPr="00E86699" w:rsidRDefault="00224032" w:rsidP="00224032">
      <w:pPr>
        <w:pStyle w:val="Textonotapie"/>
        <w:ind w:firstLine="708"/>
        <w:jc w:val="both"/>
        <w:rPr>
          <w:rFonts w:ascii="Arial" w:hAnsi="Arial" w:cs="Arial"/>
          <w:sz w:val="19"/>
          <w:szCs w:val="19"/>
          <w:lang w:val="es-ES"/>
        </w:rPr>
      </w:pPr>
    </w:p>
  </w:footnote>
  <w:footnote w:id="3">
    <w:p w14:paraId="2EBDB2B1"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4">
    <w:p w14:paraId="3E7CEABF" w14:textId="77777777" w:rsidR="00224032" w:rsidRPr="00E86699" w:rsidRDefault="00224032" w:rsidP="00224032">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Ver la aclaración contenida en los dos primeros párrafos del presente numeral (2.3.). </w:t>
      </w:r>
    </w:p>
    <w:p w14:paraId="59466EF0" w14:textId="77777777" w:rsidR="00224032" w:rsidRPr="00E86699" w:rsidRDefault="00224032" w:rsidP="00224032">
      <w:pPr>
        <w:pStyle w:val="Textonotapie"/>
        <w:ind w:firstLine="708"/>
        <w:jc w:val="both"/>
        <w:rPr>
          <w:rFonts w:ascii="Arial" w:hAnsi="Arial" w:cs="Arial"/>
          <w:sz w:val="19"/>
          <w:szCs w:val="19"/>
          <w:lang w:val="es-ES"/>
        </w:rPr>
      </w:pPr>
      <w:r w:rsidRPr="00E86699">
        <w:rPr>
          <w:rFonts w:ascii="Arial" w:hAnsi="Arial" w:cs="Arial"/>
          <w:sz w:val="19"/>
          <w:szCs w:val="19"/>
        </w:rPr>
        <w:t xml:space="preserve"> </w:t>
      </w:r>
    </w:p>
  </w:footnote>
  <w:footnote w:id="5">
    <w:p w14:paraId="7E1AC6F3"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44F4958"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p>
  </w:footnote>
  <w:footnote w:id="6">
    <w:p w14:paraId="50BD928E"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Pr>
          <w:rFonts w:ascii="Arial" w:eastAsia="Arial" w:hAnsi="Arial" w:cs="Arial"/>
          <w:color w:val="000000"/>
          <w:sz w:val="19"/>
          <w:szCs w:val="19"/>
        </w:rPr>
        <w:t xml:space="preserve"> </w:t>
      </w:r>
      <w:r w:rsidRPr="00E86699">
        <w:rPr>
          <w:rFonts w:ascii="Arial" w:eastAsia="Arial" w:hAnsi="Arial" w:cs="Arial"/>
          <w:color w:val="000000"/>
          <w:sz w:val="19"/>
          <w:szCs w:val="19"/>
        </w:rPr>
        <w:t>Ley 1150 de 2007: «Artículo 17. Del derecho al debido proceso.  El debido proceso será un principio rector en materia sancionatoria de las actuaciones contractuales.</w:t>
      </w:r>
    </w:p>
    <w:p w14:paraId="13AC2668"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»En</w:t>
      </w:r>
      <w:proofErr w:type="gramEnd"/>
      <w:r w:rsidRPr="00E86699">
        <w:rPr>
          <w:rFonts w:ascii="Arial" w:eastAsia="Arial" w:hAnsi="Arial" w:cs="Arial"/>
          <w:color w:val="000000"/>
          <w:sz w:val="19"/>
          <w:szCs w:val="19"/>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4E4A2EEF"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»Parágrafo</w:t>
      </w:r>
      <w:proofErr w:type="gramEnd"/>
      <w:r w:rsidRPr="00E86699">
        <w:rPr>
          <w:rFonts w:ascii="Arial" w:eastAsia="Arial" w:hAnsi="Arial" w:cs="Arial"/>
          <w:color w:val="000000"/>
          <w:sz w:val="19"/>
          <w:szCs w:val="19"/>
        </w:rPr>
        <w:t xml:space="preserve">. La cláusula penal y las multas así </w:t>
      </w:r>
      <w:proofErr w:type="gramStart"/>
      <w:r w:rsidRPr="00E86699">
        <w:rPr>
          <w:rFonts w:ascii="Arial" w:eastAsia="Arial" w:hAnsi="Arial" w:cs="Arial"/>
          <w:color w:val="000000"/>
          <w:sz w:val="19"/>
          <w:szCs w:val="19"/>
        </w:rPr>
        <w:t>impuestas,</w:t>
      </w:r>
      <w:proofErr w:type="gramEnd"/>
      <w:r w:rsidRPr="00E86699">
        <w:rPr>
          <w:rFonts w:ascii="Arial" w:eastAsia="Arial" w:hAnsi="Arial" w:cs="Arial"/>
          <w:color w:val="000000"/>
          <w:sz w:val="19"/>
          <w:szCs w:val="19"/>
        </w:rPr>
        <w:t xml:space="preserve">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0EF767C9"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»Parágrafo</w:t>
      </w:r>
      <w:proofErr w:type="gramEnd"/>
      <w:r w:rsidRPr="00E86699">
        <w:rPr>
          <w:rFonts w:ascii="Arial" w:eastAsia="Arial" w:hAnsi="Arial" w:cs="Arial"/>
          <w:color w:val="000000"/>
          <w:sz w:val="19"/>
          <w:szCs w:val="19"/>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7">
    <w:p w14:paraId="44553F25"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8">
    <w:p w14:paraId="15643FF7"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9">
    <w:p w14:paraId="41F6B22F"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116 de 2020. </w:t>
      </w:r>
    </w:p>
    <w:p w14:paraId="301E8B8B" w14:textId="77777777" w:rsidR="00224032" w:rsidRPr="00E86699" w:rsidRDefault="00224032" w:rsidP="00224032">
      <w:pPr>
        <w:pStyle w:val="Textonotapie"/>
        <w:ind w:firstLine="708"/>
        <w:jc w:val="both"/>
        <w:rPr>
          <w:rFonts w:ascii="Arial" w:hAnsi="Arial" w:cs="Arial"/>
          <w:sz w:val="19"/>
          <w:szCs w:val="19"/>
          <w:lang w:val="es-ES"/>
        </w:rPr>
      </w:pPr>
    </w:p>
  </w:footnote>
  <w:footnote w:id="10">
    <w:p w14:paraId="1EDC1E80"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11">
    <w:p w14:paraId="7D8AE784" w14:textId="77777777" w:rsidR="00224032" w:rsidRPr="00E86699" w:rsidRDefault="00224032" w:rsidP="00224032">
      <w:pPr>
        <w:pStyle w:val="Textonotapie"/>
        <w:ind w:firstLine="708"/>
        <w:jc w:val="both"/>
        <w:rPr>
          <w:rFonts w:ascii="Arial" w:hAnsi="Arial" w:cs="Arial"/>
          <w:sz w:val="19"/>
          <w:szCs w:val="19"/>
        </w:rPr>
      </w:pPr>
    </w:p>
    <w:p w14:paraId="54E0BD0C"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5F6B6C" w:rsidRDefault="005F6B6C">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42A0F"/>
    <w:rsid w:val="000511D6"/>
    <w:rsid w:val="00082A31"/>
    <w:rsid w:val="000B0EE6"/>
    <w:rsid w:val="000B5AAA"/>
    <w:rsid w:val="000B5B20"/>
    <w:rsid w:val="000B72B1"/>
    <w:rsid w:val="000C6E3D"/>
    <w:rsid w:val="000D4BBB"/>
    <w:rsid w:val="00132A87"/>
    <w:rsid w:val="00142B20"/>
    <w:rsid w:val="00142F1B"/>
    <w:rsid w:val="00146459"/>
    <w:rsid w:val="00147183"/>
    <w:rsid w:val="0015198C"/>
    <w:rsid w:val="00152993"/>
    <w:rsid w:val="001619EC"/>
    <w:rsid w:val="00175164"/>
    <w:rsid w:val="00192B60"/>
    <w:rsid w:val="00194529"/>
    <w:rsid w:val="00194E59"/>
    <w:rsid w:val="001A67E5"/>
    <w:rsid w:val="001C0BDA"/>
    <w:rsid w:val="001C1406"/>
    <w:rsid w:val="001C2774"/>
    <w:rsid w:val="001D60FB"/>
    <w:rsid w:val="001F590F"/>
    <w:rsid w:val="00222083"/>
    <w:rsid w:val="00224032"/>
    <w:rsid w:val="00254D51"/>
    <w:rsid w:val="002663D4"/>
    <w:rsid w:val="002B5E9D"/>
    <w:rsid w:val="002C306D"/>
    <w:rsid w:val="002C5F2A"/>
    <w:rsid w:val="002D0DCF"/>
    <w:rsid w:val="002D44D7"/>
    <w:rsid w:val="00306E13"/>
    <w:rsid w:val="003102D0"/>
    <w:rsid w:val="00320A2F"/>
    <w:rsid w:val="00333F62"/>
    <w:rsid w:val="00394B32"/>
    <w:rsid w:val="003B77B6"/>
    <w:rsid w:val="004074ED"/>
    <w:rsid w:val="004463BB"/>
    <w:rsid w:val="00457B9B"/>
    <w:rsid w:val="0048142B"/>
    <w:rsid w:val="004A7DBB"/>
    <w:rsid w:val="004B19AD"/>
    <w:rsid w:val="004B592B"/>
    <w:rsid w:val="004B5D61"/>
    <w:rsid w:val="004D2294"/>
    <w:rsid w:val="0052391C"/>
    <w:rsid w:val="00536F6F"/>
    <w:rsid w:val="005440A4"/>
    <w:rsid w:val="0058253B"/>
    <w:rsid w:val="0059623A"/>
    <w:rsid w:val="005B4987"/>
    <w:rsid w:val="005C06BC"/>
    <w:rsid w:val="005D59D8"/>
    <w:rsid w:val="005F2506"/>
    <w:rsid w:val="005F6B6C"/>
    <w:rsid w:val="00602571"/>
    <w:rsid w:val="00627EB4"/>
    <w:rsid w:val="00667FCE"/>
    <w:rsid w:val="00671190"/>
    <w:rsid w:val="00683C2F"/>
    <w:rsid w:val="006879A3"/>
    <w:rsid w:val="00694D9E"/>
    <w:rsid w:val="00696653"/>
    <w:rsid w:val="006A522C"/>
    <w:rsid w:val="00701FE1"/>
    <w:rsid w:val="00726A00"/>
    <w:rsid w:val="00736250"/>
    <w:rsid w:val="00742F9D"/>
    <w:rsid w:val="00745152"/>
    <w:rsid w:val="00752E99"/>
    <w:rsid w:val="00763A38"/>
    <w:rsid w:val="007652F0"/>
    <w:rsid w:val="00777437"/>
    <w:rsid w:val="007873DA"/>
    <w:rsid w:val="00792E6B"/>
    <w:rsid w:val="007D1758"/>
    <w:rsid w:val="007D574D"/>
    <w:rsid w:val="00811588"/>
    <w:rsid w:val="00812C65"/>
    <w:rsid w:val="008133BD"/>
    <w:rsid w:val="008142FB"/>
    <w:rsid w:val="00822338"/>
    <w:rsid w:val="0083194A"/>
    <w:rsid w:val="00845F6A"/>
    <w:rsid w:val="00861742"/>
    <w:rsid w:val="00867DBC"/>
    <w:rsid w:val="008906A5"/>
    <w:rsid w:val="00893814"/>
    <w:rsid w:val="008C1FE6"/>
    <w:rsid w:val="009069F8"/>
    <w:rsid w:val="009140BC"/>
    <w:rsid w:val="00933308"/>
    <w:rsid w:val="00936F44"/>
    <w:rsid w:val="00941CB4"/>
    <w:rsid w:val="0095246A"/>
    <w:rsid w:val="0097179E"/>
    <w:rsid w:val="009831B2"/>
    <w:rsid w:val="00987156"/>
    <w:rsid w:val="009A1026"/>
    <w:rsid w:val="009B2DF3"/>
    <w:rsid w:val="009D166E"/>
    <w:rsid w:val="00A11C03"/>
    <w:rsid w:val="00A25119"/>
    <w:rsid w:val="00A44780"/>
    <w:rsid w:val="00A7562E"/>
    <w:rsid w:val="00A927C1"/>
    <w:rsid w:val="00AB03FD"/>
    <w:rsid w:val="00AF1112"/>
    <w:rsid w:val="00AF5E52"/>
    <w:rsid w:val="00B21E3B"/>
    <w:rsid w:val="00B45742"/>
    <w:rsid w:val="00B6688C"/>
    <w:rsid w:val="00B72A27"/>
    <w:rsid w:val="00B72B24"/>
    <w:rsid w:val="00BB18B8"/>
    <w:rsid w:val="00BD4307"/>
    <w:rsid w:val="00C82087"/>
    <w:rsid w:val="00C9405F"/>
    <w:rsid w:val="00CA3504"/>
    <w:rsid w:val="00CE0A7D"/>
    <w:rsid w:val="00D0709C"/>
    <w:rsid w:val="00D312ED"/>
    <w:rsid w:val="00D96027"/>
    <w:rsid w:val="00DB569B"/>
    <w:rsid w:val="00DC3C3C"/>
    <w:rsid w:val="00DE5E77"/>
    <w:rsid w:val="00E0558E"/>
    <w:rsid w:val="00E416AE"/>
    <w:rsid w:val="00E53CD0"/>
    <w:rsid w:val="00E74B82"/>
    <w:rsid w:val="00E86699"/>
    <w:rsid w:val="00F21304"/>
    <w:rsid w:val="00F50B11"/>
    <w:rsid w:val="00F616AB"/>
    <w:rsid w:val="00F61A58"/>
    <w:rsid w:val="00F63EA1"/>
    <w:rsid w:val="00F7471C"/>
    <w:rsid w:val="00F74D3B"/>
    <w:rsid w:val="00F84A1F"/>
    <w:rsid w:val="00F84C33"/>
    <w:rsid w:val="00F9134E"/>
    <w:rsid w:val="00FA45E7"/>
    <w:rsid w:val="00FA5A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basedOn w:val="Normal"/>
    <w:link w:val="TextonotapieCar"/>
    <w:uiPriority w:val="99"/>
    <w:semiHidden/>
    <w:unhideWhenUsed/>
    <w:rsid w:val="00FA45E7"/>
    <w:rPr>
      <w:sz w:val="20"/>
      <w:szCs w:val="20"/>
    </w:rPr>
  </w:style>
  <w:style w:type="character" w:customStyle="1" w:styleId="TextonotapieCar">
    <w:name w:val="Texto nota pie Car"/>
    <w:basedOn w:val="Fuentedeprrafopredeter"/>
    <w:link w:val="Textonotapie"/>
    <w:uiPriority w:val="99"/>
    <w:semiHidden/>
    <w:rsid w:val="00FA45E7"/>
    <w:rPr>
      <w:sz w:val="20"/>
      <w:szCs w:val="20"/>
    </w:rPr>
  </w:style>
  <w:style w:type="character" w:styleId="Refdenotaalpie">
    <w:name w:val="footnote reference"/>
    <w:basedOn w:val="Fuentedeprrafopredeter"/>
    <w:uiPriority w:val="99"/>
    <w:semiHidden/>
    <w:unhideWhenUsed/>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5166">
      <w:bodyDiv w:val="1"/>
      <w:marLeft w:val="0"/>
      <w:marRight w:val="0"/>
      <w:marTop w:val="0"/>
      <w:marBottom w:val="0"/>
      <w:divBdr>
        <w:top w:val="none" w:sz="0" w:space="0" w:color="auto"/>
        <w:left w:val="none" w:sz="0" w:space="0" w:color="auto"/>
        <w:bottom w:val="none" w:sz="0" w:space="0" w:color="auto"/>
        <w:right w:val="none" w:sz="0" w:space="0" w:color="auto"/>
      </w:divBdr>
      <w:divsChild>
        <w:div w:id="1989094193">
          <w:marLeft w:val="0"/>
          <w:marRight w:val="0"/>
          <w:marTop w:val="0"/>
          <w:marBottom w:val="0"/>
          <w:divBdr>
            <w:top w:val="none" w:sz="0" w:space="0" w:color="auto"/>
            <w:left w:val="none" w:sz="0" w:space="0" w:color="auto"/>
            <w:bottom w:val="none" w:sz="0" w:space="0" w:color="auto"/>
            <w:right w:val="none" w:sz="0" w:space="0" w:color="auto"/>
          </w:divBdr>
          <w:divsChild>
            <w:div w:id="1677029123">
              <w:marLeft w:val="0"/>
              <w:marRight w:val="0"/>
              <w:marTop w:val="0"/>
              <w:marBottom w:val="0"/>
              <w:divBdr>
                <w:top w:val="none" w:sz="0" w:space="0" w:color="auto"/>
                <w:left w:val="none" w:sz="0" w:space="0" w:color="auto"/>
                <w:bottom w:val="none" w:sz="0" w:space="0" w:color="auto"/>
                <w:right w:val="none" w:sz="0" w:space="0" w:color="auto"/>
              </w:divBdr>
              <w:divsChild>
                <w:div w:id="187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8918">
      <w:bodyDiv w:val="1"/>
      <w:marLeft w:val="0"/>
      <w:marRight w:val="0"/>
      <w:marTop w:val="0"/>
      <w:marBottom w:val="0"/>
      <w:divBdr>
        <w:top w:val="none" w:sz="0" w:space="0" w:color="auto"/>
        <w:left w:val="none" w:sz="0" w:space="0" w:color="auto"/>
        <w:bottom w:val="none" w:sz="0" w:space="0" w:color="auto"/>
        <w:right w:val="none" w:sz="0" w:space="0" w:color="auto"/>
      </w:divBdr>
    </w:div>
    <w:div w:id="642778951">
      <w:bodyDiv w:val="1"/>
      <w:marLeft w:val="0"/>
      <w:marRight w:val="0"/>
      <w:marTop w:val="0"/>
      <w:marBottom w:val="0"/>
      <w:divBdr>
        <w:top w:val="none" w:sz="0" w:space="0" w:color="auto"/>
        <w:left w:val="none" w:sz="0" w:space="0" w:color="auto"/>
        <w:bottom w:val="none" w:sz="0" w:space="0" w:color="auto"/>
        <w:right w:val="none" w:sz="0" w:space="0" w:color="auto"/>
      </w:divBdr>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084">
      <w:bodyDiv w:val="1"/>
      <w:marLeft w:val="0"/>
      <w:marRight w:val="0"/>
      <w:marTop w:val="0"/>
      <w:marBottom w:val="0"/>
      <w:divBdr>
        <w:top w:val="none" w:sz="0" w:space="0" w:color="auto"/>
        <w:left w:val="none" w:sz="0" w:space="0" w:color="auto"/>
        <w:bottom w:val="none" w:sz="0" w:space="0" w:color="auto"/>
        <w:right w:val="none" w:sz="0" w:space="0" w:color="auto"/>
      </w:divBdr>
    </w:div>
    <w:div w:id="864053365">
      <w:bodyDiv w:val="1"/>
      <w:marLeft w:val="0"/>
      <w:marRight w:val="0"/>
      <w:marTop w:val="0"/>
      <w:marBottom w:val="0"/>
      <w:divBdr>
        <w:top w:val="none" w:sz="0" w:space="0" w:color="auto"/>
        <w:left w:val="none" w:sz="0" w:space="0" w:color="auto"/>
        <w:bottom w:val="none" w:sz="0" w:space="0" w:color="auto"/>
        <w:right w:val="none" w:sz="0" w:space="0" w:color="auto"/>
      </w:divBdr>
      <w:divsChild>
        <w:div w:id="493641289">
          <w:marLeft w:val="0"/>
          <w:marRight w:val="0"/>
          <w:marTop w:val="0"/>
          <w:marBottom w:val="0"/>
          <w:divBdr>
            <w:top w:val="none" w:sz="0" w:space="0" w:color="auto"/>
            <w:left w:val="none" w:sz="0" w:space="0" w:color="auto"/>
            <w:bottom w:val="none" w:sz="0" w:space="0" w:color="auto"/>
            <w:right w:val="none" w:sz="0" w:space="0" w:color="auto"/>
          </w:divBdr>
          <w:divsChild>
            <w:div w:id="131362227">
              <w:marLeft w:val="0"/>
              <w:marRight w:val="0"/>
              <w:marTop w:val="0"/>
              <w:marBottom w:val="0"/>
              <w:divBdr>
                <w:top w:val="none" w:sz="0" w:space="0" w:color="auto"/>
                <w:left w:val="none" w:sz="0" w:space="0" w:color="auto"/>
                <w:bottom w:val="none" w:sz="0" w:space="0" w:color="auto"/>
                <w:right w:val="none" w:sz="0" w:space="0" w:color="auto"/>
              </w:divBdr>
              <w:divsChild>
                <w:div w:id="15898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2021">
      <w:bodyDiv w:val="1"/>
      <w:marLeft w:val="0"/>
      <w:marRight w:val="0"/>
      <w:marTop w:val="0"/>
      <w:marBottom w:val="0"/>
      <w:divBdr>
        <w:top w:val="none" w:sz="0" w:space="0" w:color="auto"/>
        <w:left w:val="none" w:sz="0" w:space="0" w:color="auto"/>
        <w:bottom w:val="none" w:sz="0" w:space="0" w:color="auto"/>
        <w:right w:val="none" w:sz="0" w:space="0" w:color="auto"/>
      </w:divBdr>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8924">
      <w:bodyDiv w:val="1"/>
      <w:marLeft w:val="0"/>
      <w:marRight w:val="0"/>
      <w:marTop w:val="0"/>
      <w:marBottom w:val="0"/>
      <w:divBdr>
        <w:top w:val="none" w:sz="0" w:space="0" w:color="auto"/>
        <w:left w:val="none" w:sz="0" w:space="0" w:color="auto"/>
        <w:bottom w:val="none" w:sz="0" w:space="0" w:color="auto"/>
        <w:right w:val="none" w:sz="0" w:space="0" w:color="auto"/>
      </w:divBdr>
    </w:div>
    <w:div w:id="1294866203">
      <w:bodyDiv w:val="1"/>
      <w:marLeft w:val="0"/>
      <w:marRight w:val="0"/>
      <w:marTop w:val="0"/>
      <w:marBottom w:val="0"/>
      <w:divBdr>
        <w:top w:val="none" w:sz="0" w:space="0" w:color="auto"/>
        <w:left w:val="none" w:sz="0" w:space="0" w:color="auto"/>
        <w:bottom w:val="none" w:sz="0" w:space="0" w:color="auto"/>
        <w:right w:val="none" w:sz="0" w:space="0" w:color="auto"/>
      </w:divBdr>
    </w:div>
    <w:div w:id="1350253171">
      <w:bodyDiv w:val="1"/>
      <w:marLeft w:val="0"/>
      <w:marRight w:val="0"/>
      <w:marTop w:val="0"/>
      <w:marBottom w:val="0"/>
      <w:divBdr>
        <w:top w:val="none" w:sz="0" w:space="0" w:color="auto"/>
        <w:left w:val="none" w:sz="0" w:space="0" w:color="auto"/>
        <w:bottom w:val="none" w:sz="0" w:space="0" w:color="auto"/>
        <w:right w:val="none" w:sz="0" w:space="0" w:color="auto"/>
      </w:divBdr>
    </w:div>
    <w:div w:id="1388576804">
      <w:bodyDiv w:val="1"/>
      <w:marLeft w:val="0"/>
      <w:marRight w:val="0"/>
      <w:marTop w:val="0"/>
      <w:marBottom w:val="0"/>
      <w:divBdr>
        <w:top w:val="none" w:sz="0" w:space="0" w:color="auto"/>
        <w:left w:val="none" w:sz="0" w:space="0" w:color="auto"/>
        <w:bottom w:val="none" w:sz="0" w:space="0" w:color="auto"/>
        <w:right w:val="none" w:sz="0" w:space="0" w:color="auto"/>
      </w:divBdr>
    </w:div>
    <w:div w:id="1398433846">
      <w:bodyDiv w:val="1"/>
      <w:marLeft w:val="0"/>
      <w:marRight w:val="0"/>
      <w:marTop w:val="0"/>
      <w:marBottom w:val="0"/>
      <w:divBdr>
        <w:top w:val="none" w:sz="0" w:space="0" w:color="auto"/>
        <w:left w:val="none" w:sz="0" w:space="0" w:color="auto"/>
        <w:bottom w:val="none" w:sz="0" w:space="0" w:color="auto"/>
        <w:right w:val="none" w:sz="0" w:space="0" w:color="auto"/>
      </w:divBdr>
    </w:div>
    <w:div w:id="1486555243">
      <w:bodyDiv w:val="1"/>
      <w:marLeft w:val="0"/>
      <w:marRight w:val="0"/>
      <w:marTop w:val="0"/>
      <w:marBottom w:val="0"/>
      <w:divBdr>
        <w:top w:val="none" w:sz="0" w:space="0" w:color="auto"/>
        <w:left w:val="none" w:sz="0" w:space="0" w:color="auto"/>
        <w:bottom w:val="none" w:sz="0" w:space="0" w:color="auto"/>
        <w:right w:val="none" w:sz="0" w:space="0" w:color="auto"/>
      </w:divBdr>
    </w:div>
    <w:div w:id="1838375422">
      <w:bodyDiv w:val="1"/>
      <w:marLeft w:val="0"/>
      <w:marRight w:val="0"/>
      <w:marTop w:val="0"/>
      <w:marBottom w:val="0"/>
      <w:divBdr>
        <w:top w:val="none" w:sz="0" w:space="0" w:color="auto"/>
        <w:left w:val="none" w:sz="0" w:space="0" w:color="auto"/>
        <w:bottom w:val="none" w:sz="0" w:space="0" w:color="auto"/>
        <w:right w:val="none" w:sz="0" w:space="0" w:color="auto"/>
      </w:divBdr>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6416">
      <w:bodyDiv w:val="1"/>
      <w:marLeft w:val="0"/>
      <w:marRight w:val="0"/>
      <w:marTop w:val="0"/>
      <w:marBottom w:val="0"/>
      <w:divBdr>
        <w:top w:val="none" w:sz="0" w:space="0" w:color="auto"/>
        <w:left w:val="none" w:sz="0" w:space="0" w:color="auto"/>
        <w:bottom w:val="none" w:sz="0" w:space="0" w:color="auto"/>
        <w:right w:val="none" w:sz="0" w:space="0" w:color="auto"/>
      </w:divBdr>
      <w:divsChild>
        <w:div w:id="375157918">
          <w:marLeft w:val="0"/>
          <w:marRight w:val="0"/>
          <w:marTop w:val="0"/>
          <w:marBottom w:val="0"/>
          <w:divBdr>
            <w:top w:val="none" w:sz="0" w:space="0" w:color="auto"/>
            <w:left w:val="none" w:sz="0" w:space="0" w:color="auto"/>
            <w:bottom w:val="none" w:sz="0" w:space="0" w:color="auto"/>
            <w:right w:val="none" w:sz="0" w:space="0" w:color="auto"/>
          </w:divBdr>
          <w:divsChild>
            <w:div w:id="1906603340">
              <w:marLeft w:val="0"/>
              <w:marRight w:val="0"/>
              <w:marTop w:val="0"/>
              <w:marBottom w:val="0"/>
              <w:divBdr>
                <w:top w:val="none" w:sz="0" w:space="0" w:color="auto"/>
                <w:left w:val="none" w:sz="0" w:space="0" w:color="auto"/>
                <w:bottom w:val="none" w:sz="0" w:space="0" w:color="auto"/>
                <w:right w:val="none" w:sz="0" w:space="0" w:color="auto"/>
              </w:divBdr>
              <w:divsChild>
                <w:div w:id="1607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7732">
      <w:bodyDiv w:val="1"/>
      <w:marLeft w:val="0"/>
      <w:marRight w:val="0"/>
      <w:marTop w:val="0"/>
      <w:marBottom w:val="0"/>
      <w:divBdr>
        <w:top w:val="none" w:sz="0" w:space="0" w:color="auto"/>
        <w:left w:val="none" w:sz="0" w:space="0" w:color="auto"/>
        <w:bottom w:val="none" w:sz="0" w:space="0" w:color="auto"/>
        <w:right w:val="none" w:sz="0" w:space="0" w:color="auto"/>
      </w:divBdr>
    </w:div>
    <w:div w:id="2124684243">
      <w:bodyDiv w:val="1"/>
      <w:marLeft w:val="0"/>
      <w:marRight w:val="0"/>
      <w:marTop w:val="0"/>
      <w:marBottom w:val="0"/>
      <w:divBdr>
        <w:top w:val="none" w:sz="0" w:space="0" w:color="auto"/>
        <w:left w:val="none" w:sz="0" w:space="0" w:color="auto"/>
        <w:bottom w:val="none" w:sz="0" w:space="0" w:color="auto"/>
        <w:right w:val="none" w:sz="0" w:space="0" w:color="auto"/>
      </w:divBdr>
      <w:divsChild>
        <w:div w:id="33847268">
          <w:marLeft w:val="0"/>
          <w:marRight w:val="0"/>
          <w:marTop w:val="0"/>
          <w:marBottom w:val="0"/>
          <w:divBdr>
            <w:top w:val="none" w:sz="0" w:space="0" w:color="auto"/>
            <w:left w:val="none" w:sz="0" w:space="0" w:color="auto"/>
            <w:bottom w:val="none" w:sz="0" w:space="0" w:color="auto"/>
            <w:right w:val="none" w:sz="0" w:space="0" w:color="auto"/>
          </w:divBdr>
          <w:divsChild>
            <w:div w:id="1902207677">
              <w:marLeft w:val="0"/>
              <w:marRight w:val="0"/>
              <w:marTop w:val="0"/>
              <w:marBottom w:val="0"/>
              <w:divBdr>
                <w:top w:val="none" w:sz="0" w:space="0" w:color="auto"/>
                <w:left w:val="none" w:sz="0" w:space="0" w:color="auto"/>
                <w:bottom w:val="none" w:sz="0" w:space="0" w:color="auto"/>
                <w:right w:val="none" w:sz="0" w:space="0" w:color="auto"/>
              </w:divBdr>
              <w:divsChild>
                <w:div w:id="170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18CA3-AD79-4FC6-B2A4-0FF9002C9B8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F337822-E6D1-402D-8794-64AE81E6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22C67-B1DF-49B4-B21A-D561FC84B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4803</Words>
  <Characters>26418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Padron</dc:creator>
  <cp:lastModifiedBy>Carlos Mario Castrillón Endo</cp:lastModifiedBy>
  <cp:revision>3</cp:revision>
  <dcterms:created xsi:type="dcterms:W3CDTF">2020-08-19T17:18:00Z</dcterms:created>
  <dcterms:modified xsi:type="dcterms:W3CDTF">2020-08-19T18:38:00Z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