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4F1691FC" w:rsidR="00DE5124" w:rsidRPr="00985BB5" w:rsidRDefault="00DE5124" w:rsidP="00DE5124">
      <w:pPr>
        <w:jc w:val="right"/>
        <w:rPr>
          <w:rFonts w:ascii="Arial" w:hAnsi="Arial" w:cs="Arial"/>
          <w:b/>
          <w:sz w:val="16"/>
          <w:szCs w:val="16"/>
          <w:lang w:eastAsia="es-ES"/>
        </w:rPr>
      </w:pPr>
      <w:bookmarkStart w:id="0" w:name="_Hlk29548183"/>
      <w:bookmarkStart w:id="1" w:name="_Hlk28946138"/>
      <w:r w:rsidRPr="00985BB5">
        <w:rPr>
          <w:rFonts w:ascii="Arial" w:hAnsi="Arial" w:cs="Arial"/>
          <w:b/>
          <w:sz w:val="16"/>
          <w:szCs w:val="16"/>
          <w:lang w:eastAsia="es-ES"/>
        </w:rPr>
        <w:t>CCE-DES-FM-17</w:t>
      </w:r>
      <w:bookmarkEnd w:id="0"/>
      <w:bookmarkEnd w:id="1"/>
    </w:p>
    <w:p w14:paraId="1F85047A" w14:textId="77777777" w:rsidR="001A2559" w:rsidRPr="00DC5C92" w:rsidRDefault="001A2559" w:rsidP="001A2559">
      <w:pPr>
        <w:pStyle w:val="Prrafodelista"/>
        <w:spacing w:line="276" w:lineRule="auto"/>
        <w:ind w:left="0"/>
        <w:jc w:val="both"/>
        <w:rPr>
          <w:rFonts w:ascii="Arial" w:eastAsia="Calibri" w:hAnsi="Arial" w:cs="Arial"/>
          <w:sz w:val="16"/>
          <w:szCs w:val="16"/>
        </w:rPr>
      </w:pPr>
    </w:p>
    <w:p w14:paraId="0BF7AEE6" w14:textId="31866501" w:rsidR="00A80922" w:rsidRPr="00985BB5" w:rsidRDefault="00E10C20" w:rsidP="00A80922">
      <w:pPr>
        <w:pStyle w:val="Prrafodelista"/>
        <w:ind w:left="0"/>
        <w:jc w:val="both"/>
        <w:rPr>
          <w:rFonts w:ascii="Arial" w:eastAsia="Calibri" w:hAnsi="Arial" w:cs="Arial"/>
          <w:b/>
          <w:sz w:val="22"/>
          <w:szCs w:val="20"/>
          <w:lang w:val="es-ES"/>
        </w:rPr>
      </w:pPr>
      <w:r>
        <w:rPr>
          <w:rFonts w:ascii="Arial" w:eastAsia="Calibri" w:hAnsi="Arial" w:cs="Arial"/>
          <w:b/>
          <w:sz w:val="22"/>
          <w:szCs w:val="20"/>
          <w:lang w:val="es-ES"/>
        </w:rPr>
        <w:t xml:space="preserve">SECOP – Deber de publicidad </w:t>
      </w:r>
      <w:r w:rsidR="00A80922" w:rsidRPr="00985BB5">
        <w:rPr>
          <w:rFonts w:ascii="Arial" w:eastAsia="Calibri" w:hAnsi="Arial" w:cs="Arial"/>
          <w:b/>
          <w:sz w:val="22"/>
          <w:szCs w:val="20"/>
          <w:lang w:val="es-ES"/>
        </w:rPr>
        <w:t>– Finalidad – Principio de publicidad</w:t>
      </w:r>
    </w:p>
    <w:p w14:paraId="37FD7509" w14:textId="77777777" w:rsidR="00A80922" w:rsidRPr="00985BB5" w:rsidRDefault="00A80922" w:rsidP="00A80922">
      <w:pPr>
        <w:pStyle w:val="Prrafodelista"/>
        <w:ind w:left="0"/>
        <w:jc w:val="both"/>
        <w:rPr>
          <w:rFonts w:ascii="Arial" w:eastAsia="Calibri" w:hAnsi="Arial" w:cs="Arial"/>
          <w:b/>
          <w:sz w:val="22"/>
          <w:szCs w:val="20"/>
          <w:lang w:val="es-ES"/>
        </w:rPr>
      </w:pPr>
    </w:p>
    <w:p w14:paraId="117FBF0D" w14:textId="77777777" w:rsidR="00A80922" w:rsidRPr="00985BB5" w:rsidRDefault="00A80922" w:rsidP="00A80922">
      <w:pPr>
        <w:spacing w:after="120"/>
        <w:jc w:val="both"/>
        <w:rPr>
          <w:rFonts w:ascii="Arial" w:hAnsi="Arial" w:cs="Arial"/>
          <w:sz w:val="20"/>
          <w:szCs w:val="20"/>
          <w:lang w:val="es-ES"/>
        </w:rPr>
      </w:pPr>
      <w:r w:rsidRPr="00985BB5">
        <w:rPr>
          <w:rFonts w:ascii="Arial" w:hAnsi="Arial" w:cs="Arial"/>
          <w:sz w:val="20"/>
          <w:szCs w:val="20"/>
          <w:lang w:val="es-ES"/>
        </w:rPr>
        <w:t xml:space="preserve">[..]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6CD114F6" w14:textId="77777777" w:rsidR="00A80922" w:rsidRPr="00985BB5" w:rsidRDefault="00A80922" w:rsidP="009B3335">
      <w:pPr>
        <w:jc w:val="both"/>
        <w:rPr>
          <w:rFonts w:ascii="Arial" w:hAnsi="Arial" w:cs="Arial"/>
          <w:sz w:val="20"/>
          <w:szCs w:val="20"/>
          <w:lang w:val="es-ES"/>
        </w:rPr>
      </w:pPr>
      <w:r w:rsidRPr="00985BB5">
        <w:rPr>
          <w:rFonts w:ascii="Arial" w:hAnsi="Arial" w:cs="Arial"/>
          <w:sz w:val="20"/>
          <w:szCs w:val="20"/>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28CDEBD6" w14:textId="77777777" w:rsidR="00944B47" w:rsidRPr="00985BB5" w:rsidRDefault="00944B47" w:rsidP="00AA2570">
      <w:pPr>
        <w:pStyle w:val="Prrafodelista"/>
        <w:spacing w:line="276" w:lineRule="auto"/>
        <w:ind w:left="0"/>
        <w:jc w:val="both"/>
        <w:rPr>
          <w:rFonts w:ascii="Arial" w:eastAsia="Calibri" w:hAnsi="Arial" w:cs="Arial"/>
          <w:b/>
          <w:sz w:val="20"/>
          <w:szCs w:val="20"/>
          <w:lang w:val="es-ES"/>
        </w:rPr>
      </w:pPr>
    </w:p>
    <w:p w14:paraId="1A4B7E63" w14:textId="607C39C2" w:rsidR="00A80922" w:rsidRPr="00985BB5" w:rsidRDefault="00A80922" w:rsidP="00A80922">
      <w:pPr>
        <w:spacing w:after="120"/>
        <w:jc w:val="both"/>
        <w:rPr>
          <w:rFonts w:ascii="Arial" w:hAnsi="Arial" w:cs="Arial"/>
          <w:b/>
          <w:bCs/>
          <w:sz w:val="22"/>
          <w:lang w:val="es-ES"/>
        </w:rPr>
      </w:pPr>
      <w:r w:rsidRPr="00985BB5">
        <w:rPr>
          <w:rFonts w:ascii="Arial" w:hAnsi="Arial" w:cs="Arial"/>
          <w:b/>
          <w:bCs/>
          <w:sz w:val="22"/>
          <w:lang w:val="es-ES"/>
        </w:rPr>
        <w:t>DOCUMENTOS DEL PROCESO</w:t>
      </w:r>
      <w:r w:rsidR="00E10C20">
        <w:rPr>
          <w:rFonts w:ascii="Arial" w:hAnsi="Arial" w:cs="Arial"/>
          <w:b/>
          <w:bCs/>
          <w:sz w:val="22"/>
          <w:lang w:val="es-ES"/>
        </w:rPr>
        <w:t xml:space="preserve"> – Noción – Deber de publicidad</w:t>
      </w:r>
      <w:r w:rsidRPr="00985BB5">
        <w:rPr>
          <w:rFonts w:ascii="Arial" w:hAnsi="Arial" w:cs="Arial"/>
          <w:b/>
          <w:bCs/>
          <w:sz w:val="22"/>
          <w:lang w:val="es-ES"/>
        </w:rPr>
        <w:t xml:space="preserve"> – Proceso de contratación</w:t>
      </w:r>
    </w:p>
    <w:p w14:paraId="5D3C6252" w14:textId="77777777" w:rsidR="00A80922" w:rsidRPr="00985BB5" w:rsidRDefault="00A80922" w:rsidP="00A80922">
      <w:pPr>
        <w:spacing w:before="120" w:after="120"/>
        <w:jc w:val="both"/>
        <w:rPr>
          <w:rFonts w:ascii="Arial" w:eastAsia="Calibri" w:hAnsi="Arial" w:cs="Arial"/>
          <w:sz w:val="20"/>
          <w:szCs w:val="20"/>
          <w:lang w:val="es-ES"/>
        </w:rPr>
      </w:pPr>
      <w:r w:rsidRPr="00985BB5">
        <w:rPr>
          <w:rFonts w:ascii="Arial" w:eastAsia="Calibri" w:hAnsi="Arial" w:cs="Arial"/>
          <w:sz w:val="20"/>
          <w:szCs w:val="20"/>
          <w:lang w:val="es-ES"/>
        </w:rPr>
        <w:t xml:space="preserve">[…] el deber de publicidad de la actividad contractual de las entidades estatales no solo se encuentra regulado por el artículo 3 de la Ley 1150 de 2007 y el </w:t>
      </w:r>
      <w:r w:rsidRPr="00985BB5">
        <w:rPr>
          <w:rFonts w:ascii="Arial" w:eastAsia="Arial" w:hAnsi="Arial" w:cs="Arial"/>
          <w:sz w:val="20"/>
          <w:szCs w:val="20"/>
          <w:lang w:val="es-ES"/>
        </w:rPr>
        <w:t xml:space="preserve">artículo 2.2.1.1.1.7.1. del Decreto 1082 de 2015, sino que también se fundamenta en la Ley 1712 de 2014 y el Decreto 1081 de 2015, normas que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w:t>
      </w:r>
      <w:r w:rsidRPr="00985BB5">
        <w:rPr>
          <w:rFonts w:ascii="Arial" w:eastAsia="Arial" w:hAnsi="Arial" w:cs="Arial"/>
          <w:i/>
          <w:iCs/>
          <w:sz w:val="20"/>
          <w:szCs w:val="20"/>
          <w:lang w:val="es-ES"/>
        </w:rPr>
        <w:t xml:space="preserve">Documentos del Procesos </w:t>
      </w:r>
      <w:r w:rsidRPr="00985BB5">
        <w:rPr>
          <w:rFonts w:ascii="Arial" w:eastAsia="Arial" w:hAnsi="Arial" w:cs="Arial"/>
          <w:sz w:val="20"/>
          <w:szCs w:val="20"/>
          <w:lang w:val="es-ES"/>
        </w:rPr>
        <w:t>expedidos por la entidad estatal.</w:t>
      </w:r>
    </w:p>
    <w:p w14:paraId="7094D321" w14:textId="77777777" w:rsidR="00A80922" w:rsidRPr="00985BB5" w:rsidRDefault="00A80922" w:rsidP="00A80922">
      <w:pPr>
        <w:spacing w:before="120"/>
        <w:jc w:val="both"/>
        <w:rPr>
          <w:rFonts w:ascii="Arial" w:eastAsia="Calibri" w:hAnsi="Arial" w:cs="Arial"/>
          <w:sz w:val="22"/>
          <w:lang w:val="es-ES"/>
        </w:rPr>
      </w:pPr>
      <w:r w:rsidRPr="00985BB5">
        <w:rPr>
          <w:rFonts w:ascii="Arial" w:eastAsia="Calibri" w:hAnsi="Arial" w:cs="Arial"/>
          <w:sz w:val="20"/>
          <w:szCs w:val="20"/>
          <w:lang w:val="es-ES"/>
        </w:rPr>
        <w:t xml:space="preserve">Esto quiere decir que las entidades estatales, además de los documentos y actos administrativos que expidan durante el </w:t>
      </w:r>
      <w:r w:rsidRPr="00985BB5">
        <w:rPr>
          <w:rFonts w:ascii="Arial" w:eastAsia="Calibri" w:hAnsi="Arial" w:cs="Arial"/>
          <w:i/>
          <w:iCs/>
          <w:sz w:val="20"/>
          <w:szCs w:val="20"/>
          <w:lang w:val="es-ES"/>
        </w:rPr>
        <w:t>Proceso de Contratación,</w:t>
      </w:r>
      <w:r w:rsidRPr="00985BB5">
        <w:rPr>
          <w:rFonts w:ascii="Arial" w:eastAsia="Calibri" w:hAnsi="Arial" w:cs="Arial"/>
          <w:sz w:val="20"/>
          <w:szCs w:val="20"/>
          <w:lang w:val="es-ES"/>
        </w:rPr>
        <w:t xml:space="preserve"> deberán publicar los documentos que desarrollan los procedimientos, incluso documentos que no necesariamente son expedidos por ellas pero que hacen parte del proceso, tales como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w:t>
      </w:r>
      <w:r w:rsidRPr="00985BB5">
        <w:rPr>
          <w:rFonts w:ascii="Arial" w:eastAsia="Calibri" w:hAnsi="Arial" w:cs="Arial"/>
          <w:i/>
          <w:iCs/>
          <w:sz w:val="20"/>
          <w:szCs w:val="20"/>
          <w:lang w:val="es-ES"/>
        </w:rPr>
        <w:t xml:space="preserve"> Documento del Proceso, </w:t>
      </w:r>
      <w:r w:rsidRPr="00985BB5">
        <w:rPr>
          <w:rFonts w:ascii="Arial" w:eastAsia="Calibri" w:hAnsi="Arial" w:cs="Arial"/>
          <w:sz w:val="20"/>
          <w:szCs w:val="20"/>
          <w:lang w:val="es-ES"/>
        </w:rPr>
        <w:t>hace parte del desarrollo del proceso de contratación, y que por disposición de la Ley de la transparencia y acceso a la información pública, deber ser publicada de manera proactiva por la entidad estatal</w:t>
      </w:r>
      <w:r w:rsidRPr="00985BB5">
        <w:rPr>
          <w:rFonts w:ascii="Arial" w:eastAsia="Calibri" w:hAnsi="Arial" w:cs="Arial"/>
          <w:sz w:val="22"/>
          <w:lang w:val="es-ES"/>
        </w:rPr>
        <w:t xml:space="preserve">.   </w:t>
      </w:r>
    </w:p>
    <w:p w14:paraId="70D18D6D" w14:textId="77777777" w:rsidR="00B26D02" w:rsidRPr="00985BB5" w:rsidRDefault="00B26D02" w:rsidP="008C0579">
      <w:pPr>
        <w:jc w:val="both"/>
        <w:rPr>
          <w:rFonts w:ascii="Arial" w:hAnsi="Arial" w:cs="Arial"/>
          <w:sz w:val="20"/>
          <w:szCs w:val="20"/>
          <w:lang w:val="es-ES"/>
        </w:rPr>
      </w:pPr>
    </w:p>
    <w:p w14:paraId="3F2D60AC" w14:textId="24E6711D" w:rsidR="00AA2570" w:rsidRPr="00985BB5" w:rsidRDefault="00AA2570" w:rsidP="008C0579">
      <w:pPr>
        <w:spacing w:line="276" w:lineRule="auto"/>
        <w:jc w:val="both"/>
        <w:rPr>
          <w:rFonts w:ascii="Arial" w:hAnsi="Arial" w:cs="Arial"/>
          <w:b/>
          <w:bCs/>
          <w:sz w:val="22"/>
          <w:lang w:val="es-ES"/>
        </w:rPr>
      </w:pPr>
      <w:r w:rsidRPr="00985BB5">
        <w:rPr>
          <w:rFonts w:ascii="Arial" w:hAnsi="Arial" w:cs="Arial"/>
          <w:b/>
          <w:bCs/>
          <w:sz w:val="22"/>
          <w:lang w:val="es-ES"/>
        </w:rPr>
        <w:t>PLAN ANUA</w:t>
      </w:r>
      <w:r w:rsidR="00E10C20">
        <w:rPr>
          <w:rFonts w:ascii="Arial" w:hAnsi="Arial" w:cs="Arial"/>
          <w:b/>
          <w:bCs/>
          <w:sz w:val="22"/>
          <w:lang w:val="es-ES"/>
        </w:rPr>
        <w:t>L DE ADQUISICIONES – Publicidad</w:t>
      </w:r>
      <w:r w:rsidRPr="00985BB5">
        <w:rPr>
          <w:rFonts w:ascii="Arial" w:hAnsi="Arial" w:cs="Arial"/>
          <w:b/>
          <w:bCs/>
          <w:sz w:val="22"/>
          <w:lang w:val="es-ES"/>
        </w:rPr>
        <w:t xml:space="preserve"> – Fundamento normativo</w:t>
      </w:r>
    </w:p>
    <w:p w14:paraId="4F55178B" w14:textId="77777777" w:rsidR="00AE5EFA" w:rsidRPr="00985BB5" w:rsidRDefault="00AE5EFA" w:rsidP="008C0579">
      <w:pPr>
        <w:jc w:val="both"/>
        <w:rPr>
          <w:rFonts w:ascii="Arial" w:eastAsia="Calibri" w:hAnsi="Arial" w:cs="Arial"/>
          <w:bCs/>
          <w:sz w:val="20"/>
          <w:szCs w:val="20"/>
          <w:lang w:val="es-ES_tradnl"/>
        </w:rPr>
      </w:pPr>
    </w:p>
    <w:p w14:paraId="24A14718" w14:textId="77777777" w:rsidR="00A80922" w:rsidRPr="00985BB5" w:rsidRDefault="00A80922" w:rsidP="00A80922">
      <w:pPr>
        <w:spacing w:after="120"/>
        <w:jc w:val="both"/>
        <w:rPr>
          <w:rFonts w:ascii="Arial" w:eastAsia="Calibri" w:hAnsi="Arial" w:cs="Arial"/>
          <w:bCs/>
          <w:sz w:val="20"/>
          <w:szCs w:val="20"/>
          <w:lang w:val="es-ES_tradnl"/>
        </w:rPr>
      </w:pPr>
      <w:r w:rsidRPr="00985BB5">
        <w:rPr>
          <w:rFonts w:ascii="Arial" w:eastAsia="Calibri" w:hAnsi="Arial" w:cs="Arial"/>
          <w:bCs/>
          <w:sz w:val="20"/>
          <w:szCs w:val="20"/>
          <w:lang w:val="es-ES_tradnl"/>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–radicado interno No. 2202013000003074–, 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19ED6059" w14:textId="0A09C7ED" w:rsidR="00944B47" w:rsidRPr="00985BB5" w:rsidRDefault="00A80922" w:rsidP="00A80922">
      <w:pPr>
        <w:jc w:val="both"/>
        <w:rPr>
          <w:rFonts w:ascii="Arial" w:eastAsia="Calibri" w:hAnsi="Arial" w:cs="Arial"/>
          <w:bCs/>
          <w:sz w:val="20"/>
          <w:szCs w:val="20"/>
          <w:lang w:val="es-ES_tradnl"/>
        </w:rPr>
      </w:pPr>
      <w:r w:rsidRPr="00985BB5">
        <w:rPr>
          <w:rFonts w:ascii="Arial" w:eastAsia="Calibri" w:hAnsi="Arial" w:cs="Arial"/>
          <w:bCs/>
          <w:sz w:val="20"/>
          <w:szCs w:val="20"/>
          <w:lang w:val="es-ES_tradnl"/>
        </w:rPr>
        <w:lastRenderedPageBreak/>
        <w:t xml:space="preserve">En ese sentido, el Plan Anual de Adquisiciones no forma parte de la noción de Documentos del Proceso, ni hace parte del Proceso de Contratación, conforme al artículo 2.2.1.1.1.3.1 del Decreto 1082 de 2015, por lo que el deber de publicarlo encuentra apoyo en normas distintas del artículo 2.2.1.1.1.7.1 </w:t>
      </w:r>
      <w:proofErr w:type="spellStart"/>
      <w:r w:rsidRPr="00985BB5">
        <w:rPr>
          <w:rFonts w:ascii="Arial" w:eastAsia="Calibri" w:hAnsi="Arial" w:cs="Arial"/>
          <w:bCs/>
          <w:sz w:val="20"/>
          <w:szCs w:val="20"/>
          <w:lang w:val="es-ES_tradnl"/>
        </w:rPr>
        <w:t>Ibídem</w:t>
      </w:r>
      <w:proofErr w:type="spellEnd"/>
      <w:r w:rsidRPr="00985BB5">
        <w:rPr>
          <w:rFonts w:ascii="Arial" w:eastAsia="Calibri" w:hAnsi="Arial" w:cs="Arial"/>
          <w:bCs/>
          <w:sz w:val="20"/>
          <w:szCs w:val="20"/>
          <w:lang w:val="es-ES_tradnl"/>
        </w:rPr>
        <w:t>. Es el art. 74 de la Ley 1474 de 2011  el que dispone que a más tardar el 31 de enero de cada año las entidades deben publicar, en su página web, el Plan de Acción para el año siguiente; y el artículo 2.2.1.1.1.4.3  del Decreto 1082 de 2015 también exige publicarlo en la página web de la entidad y además en el SECOP; así como también lo indica el citado artículo 2.1.1.2.1.10 del Decreto 1081 de 2015.</w:t>
      </w:r>
    </w:p>
    <w:p w14:paraId="34477B88" w14:textId="77777777" w:rsidR="00A80922" w:rsidRPr="00985BB5" w:rsidRDefault="00A80922" w:rsidP="00A80922">
      <w:pPr>
        <w:jc w:val="both"/>
        <w:rPr>
          <w:rFonts w:ascii="Arial" w:eastAsia="Calibri" w:hAnsi="Arial" w:cs="Arial"/>
          <w:sz w:val="20"/>
          <w:szCs w:val="20"/>
          <w:lang w:val="es-ES"/>
        </w:rPr>
      </w:pPr>
    </w:p>
    <w:p w14:paraId="0B8543E5" w14:textId="300FC9D7" w:rsidR="00944B47" w:rsidRPr="00985BB5" w:rsidRDefault="00944B47" w:rsidP="00AA2570">
      <w:pPr>
        <w:jc w:val="both"/>
        <w:rPr>
          <w:rFonts w:ascii="Arial" w:eastAsia="Calibri" w:hAnsi="Arial" w:cs="Arial"/>
          <w:b/>
          <w:bCs/>
          <w:sz w:val="22"/>
          <w:lang w:val="es-CO"/>
        </w:rPr>
      </w:pPr>
      <w:r w:rsidRPr="00985BB5">
        <w:rPr>
          <w:rFonts w:ascii="Arial" w:eastAsia="Calibri" w:hAnsi="Arial" w:cs="Arial"/>
          <w:b/>
          <w:bCs/>
          <w:sz w:val="22"/>
          <w:lang w:val="es-CO"/>
        </w:rPr>
        <w:t xml:space="preserve">SECOP I </w:t>
      </w:r>
      <w:r w:rsidR="00AE5EFA" w:rsidRPr="00985BB5">
        <w:rPr>
          <w:rFonts w:ascii="Arial" w:eastAsia="Calibri" w:hAnsi="Arial" w:cs="Arial"/>
          <w:b/>
          <w:bCs/>
          <w:sz w:val="22"/>
          <w:lang w:val="es-CO"/>
        </w:rPr>
        <w:t>–</w:t>
      </w:r>
      <w:r w:rsidRPr="00985BB5">
        <w:rPr>
          <w:rFonts w:ascii="Arial" w:eastAsia="Calibri" w:hAnsi="Arial" w:cs="Arial"/>
          <w:b/>
          <w:bCs/>
          <w:sz w:val="22"/>
          <w:lang w:val="es-CO"/>
        </w:rPr>
        <w:t xml:space="preserve"> SECOP II – Naturaleza – </w:t>
      </w:r>
      <w:r w:rsidR="00955CFA" w:rsidRPr="00985BB5">
        <w:rPr>
          <w:rFonts w:ascii="Arial" w:eastAsia="Calibri" w:hAnsi="Arial" w:cs="Arial"/>
          <w:b/>
          <w:bCs/>
          <w:sz w:val="22"/>
          <w:lang w:val="es-CO"/>
        </w:rPr>
        <w:t xml:space="preserve">Medio de publicidad – </w:t>
      </w:r>
      <w:r w:rsidRPr="00985BB5">
        <w:rPr>
          <w:rFonts w:ascii="Arial" w:eastAsia="Calibri" w:hAnsi="Arial" w:cs="Arial"/>
          <w:b/>
          <w:bCs/>
          <w:sz w:val="22"/>
          <w:lang w:val="es-CO"/>
        </w:rPr>
        <w:t>Plataforma transaccional</w:t>
      </w:r>
    </w:p>
    <w:p w14:paraId="0F00AD85" w14:textId="77777777" w:rsidR="00944B47" w:rsidRPr="00985BB5" w:rsidRDefault="00944B47" w:rsidP="00944B47">
      <w:pPr>
        <w:jc w:val="both"/>
        <w:rPr>
          <w:rFonts w:ascii="Arial" w:eastAsia="Calibri" w:hAnsi="Arial" w:cs="Arial"/>
          <w:sz w:val="20"/>
          <w:szCs w:val="20"/>
        </w:rPr>
      </w:pPr>
    </w:p>
    <w:p w14:paraId="04168754" w14:textId="77777777" w:rsidR="00A80922" w:rsidRPr="00985BB5" w:rsidRDefault="00A80922" w:rsidP="00A80922">
      <w:pPr>
        <w:spacing w:after="120"/>
        <w:jc w:val="both"/>
        <w:rPr>
          <w:rFonts w:ascii="Arial" w:eastAsia="Calibri" w:hAnsi="Arial" w:cs="Arial"/>
          <w:sz w:val="20"/>
          <w:szCs w:val="20"/>
        </w:rPr>
      </w:pPr>
      <w:r w:rsidRPr="00985BB5">
        <w:rPr>
          <w:rFonts w:ascii="Arial" w:eastAsia="Calibri" w:hAnsi="Arial" w:cs="Arial"/>
          <w:sz w:val="20"/>
          <w:szCs w:val="20"/>
        </w:rPr>
        <w:t>La Agencia Nacional de Contratación Pública – Colombia Compra Eficiente tiene como función  administrar el SECOP ,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74175B27" w14:textId="44FDC129" w:rsidR="00944B47" w:rsidRPr="00985BB5" w:rsidRDefault="00A80922" w:rsidP="00A80922">
      <w:pPr>
        <w:jc w:val="both"/>
        <w:rPr>
          <w:rFonts w:ascii="Arial" w:eastAsia="Calibri" w:hAnsi="Arial" w:cs="Arial"/>
          <w:sz w:val="20"/>
          <w:szCs w:val="20"/>
        </w:rPr>
      </w:pPr>
      <w:r w:rsidRPr="00985BB5">
        <w:rPr>
          <w:rFonts w:ascii="Arial" w:eastAsia="Calibri" w:hAnsi="Arial" w:cs="Arial"/>
          <w:sz w:val="20"/>
          <w:szCs w:val="20"/>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5E81C55" w14:textId="77777777" w:rsidR="00A80922" w:rsidRPr="00985BB5" w:rsidRDefault="00A80922" w:rsidP="00A80922">
      <w:pPr>
        <w:jc w:val="both"/>
        <w:rPr>
          <w:rFonts w:ascii="Arial" w:eastAsia="Calibri" w:hAnsi="Arial" w:cs="Arial"/>
          <w:sz w:val="20"/>
          <w:szCs w:val="20"/>
          <w:lang w:val="es-ES"/>
        </w:rPr>
      </w:pPr>
    </w:p>
    <w:p w14:paraId="333E223D" w14:textId="77777777" w:rsidR="00AA2570" w:rsidRPr="00985BB5" w:rsidRDefault="00AA2570" w:rsidP="00AA2570">
      <w:pPr>
        <w:jc w:val="both"/>
        <w:rPr>
          <w:rFonts w:ascii="Arial" w:eastAsia="Calibri" w:hAnsi="Arial" w:cs="Arial"/>
          <w:b/>
          <w:bCs/>
          <w:sz w:val="22"/>
        </w:rPr>
      </w:pPr>
      <w:r w:rsidRPr="00985BB5">
        <w:rPr>
          <w:rFonts w:ascii="Arial" w:eastAsia="Calibri" w:hAnsi="Arial" w:cs="Arial"/>
          <w:b/>
          <w:bCs/>
          <w:sz w:val="22"/>
        </w:rPr>
        <w:t xml:space="preserve">SECOP II – Obligatoriedad </w:t>
      </w:r>
    </w:p>
    <w:p w14:paraId="71B442A4" w14:textId="77777777" w:rsidR="00AA2570" w:rsidRPr="00985BB5" w:rsidRDefault="00AA2570" w:rsidP="00AA2570">
      <w:pPr>
        <w:jc w:val="both"/>
        <w:rPr>
          <w:rFonts w:ascii="Arial" w:eastAsia="Calibri" w:hAnsi="Arial" w:cs="Arial"/>
          <w:sz w:val="20"/>
          <w:szCs w:val="20"/>
        </w:rPr>
      </w:pPr>
    </w:p>
    <w:p w14:paraId="6CF1E241" w14:textId="64C48804" w:rsidR="00944B47" w:rsidRPr="00985BB5" w:rsidRDefault="00AA2570" w:rsidP="00944B47">
      <w:pPr>
        <w:spacing w:after="120"/>
        <w:jc w:val="both"/>
        <w:rPr>
          <w:rFonts w:ascii="Arial" w:eastAsia="Calibri" w:hAnsi="Arial" w:cs="Arial"/>
          <w:sz w:val="20"/>
          <w:szCs w:val="20"/>
          <w:lang w:val="es-ES"/>
        </w:rPr>
      </w:pPr>
      <w:r w:rsidRPr="00985BB5">
        <w:rPr>
          <w:rFonts w:ascii="Arial" w:eastAsia="Calibri" w:hAnsi="Arial" w:cs="Arial"/>
          <w:sz w:val="20"/>
          <w:szCs w:val="20"/>
          <w:lang w:val="es-ES"/>
        </w:rPr>
        <w:t xml:space="preserve">[…] </w:t>
      </w:r>
      <w:r w:rsidR="00944B47" w:rsidRPr="00985BB5">
        <w:rPr>
          <w:rFonts w:ascii="Arial" w:eastAsia="Calibri" w:hAnsi="Arial" w:cs="Arial"/>
          <w:sz w:val="20"/>
          <w:szCs w:val="20"/>
          <w:lang w:val="es-ES"/>
        </w:rPr>
        <w:t xml:space="preserve">es del caso precisar que la obligación de realizar procesos de contratación a través de la plataforma SECOP II no depende del régimen contractual al que estén sometidas las entidades estatales que llevan a cabo los procesos, sino de lo dispuesto en las referidas circulares, por lo que tratándose de entidades respecto de las cuales la Circular Externa No. 1 de 2020 definió el uso obligatorio de la plataforma, no siendo exceptuadas en las circulares subsiguientes, no podrán excusarse en el sometimiento de régimen de contratación al derecho privado, para evitar utilizar la plataforma. </w:t>
      </w:r>
    </w:p>
    <w:p w14:paraId="1681DA24" w14:textId="7E4966D4" w:rsidR="00944B47" w:rsidRPr="00985BB5" w:rsidRDefault="00944B47" w:rsidP="008C0579">
      <w:pPr>
        <w:jc w:val="both"/>
        <w:rPr>
          <w:rFonts w:ascii="Arial" w:eastAsia="Calibri" w:hAnsi="Arial" w:cs="Arial"/>
          <w:sz w:val="20"/>
          <w:szCs w:val="20"/>
          <w:lang w:val="es-ES"/>
        </w:rPr>
      </w:pPr>
      <w:r w:rsidRPr="00985BB5">
        <w:rPr>
          <w:rFonts w:ascii="Arial" w:eastAsia="Calibri" w:hAnsi="Arial" w:cs="Arial"/>
          <w:sz w:val="20"/>
          <w:szCs w:val="20"/>
          <w:lang w:val="es-ES"/>
        </w:rPr>
        <w:t xml:space="preserve">En ese sentido, las entidades estatales incluidas en el Anexo 1 de la Circular Externa No. 1 de </w:t>
      </w:r>
      <w:proofErr w:type="gramStart"/>
      <w:r w:rsidRPr="00985BB5">
        <w:rPr>
          <w:rFonts w:ascii="Arial" w:eastAsia="Calibri" w:hAnsi="Arial" w:cs="Arial"/>
          <w:sz w:val="20"/>
          <w:szCs w:val="20"/>
          <w:lang w:val="es-ES"/>
        </w:rPr>
        <w:t>2020,  ya</w:t>
      </w:r>
      <w:proofErr w:type="gramEnd"/>
      <w:r w:rsidRPr="00985BB5">
        <w:rPr>
          <w:rFonts w:ascii="Arial" w:eastAsia="Calibri" w:hAnsi="Arial" w:cs="Arial"/>
          <w:sz w:val="20"/>
          <w:szCs w:val="20"/>
          <w:lang w:val="es-ES"/>
        </w:rPr>
        <w:t xml:space="preserve"> sea que se encuentren sometidas o exceptuadas de las </w:t>
      </w:r>
      <w:proofErr w:type="spellStart"/>
      <w:r w:rsidRPr="00985BB5">
        <w:rPr>
          <w:rFonts w:ascii="Arial" w:eastAsia="Calibri" w:hAnsi="Arial" w:cs="Arial"/>
          <w:sz w:val="20"/>
          <w:szCs w:val="20"/>
          <w:lang w:val="es-ES"/>
        </w:rPr>
        <w:t>apliación</w:t>
      </w:r>
      <w:proofErr w:type="spellEnd"/>
      <w:r w:rsidRPr="00985BB5">
        <w:rPr>
          <w:rFonts w:ascii="Arial" w:eastAsia="Calibri" w:hAnsi="Arial" w:cs="Arial"/>
          <w:sz w:val="20"/>
          <w:szCs w:val="20"/>
          <w:lang w:val="es-ES"/>
        </w:rPr>
        <w:t xml:space="preserve"> de la Ley 80 de 1993, deben cumplir con el deber de dar publicidad a la actividad contractual con la publicación de los</w:t>
      </w:r>
      <w:r w:rsidRPr="00985BB5">
        <w:rPr>
          <w:rFonts w:ascii="Arial" w:eastAsia="Calibri" w:hAnsi="Arial" w:cs="Arial"/>
          <w:i/>
          <w:iCs/>
          <w:sz w:val="20"/>
          <w:szCs w:val="20"/>
          <w:lang w:val="es-ES"/>
        </w:rPr>
        <w:t xml:space="preserve"> Documentos del Proceso </w:t>
      </w:r>
      <w:r w:rsidRPr="00985BB5">
        <w:rPr>
          <w:rFonts w:ascii="Arial" w:eastAsia="Calibri" w:hAnsi="Arial" w:cs="Arial"/>
          <w:sz w:val="20"/>
          <w:szCs w:val="20"/>
          <w:lang w:val="es-ES"/>
        </w:rPr>
        <w:t xml:space="preserve">en el SECOP II, publicación que debe realizarse en tiempo real en atención a la naturaleza transaccional de esta plataforma. </w:t>
      </w:r>
    </w:p>
    <w:p w14:paraId="60FAC6B4" w14:textId="0FA5D29E" w:rsidR="00B26D02" w:rsidRPr="00985BB5" w:rsidRDefault="00B26D02" w:rsidP="008C0579">
      <w:pPr>
        <w:jc w:val="both"/>
        <w:rPr>
          <w:rFonts w:ascii="Arial" w:eastAsia="Calibri" w:hAnsi="Arial" w:cs="Arial"/>
          <w:sz w:val="20"/>
          <w:szCs w:val="20"/>
          <w:lang w:val="es-ES"/>
        </w:rPr>
      </w:pPr>
    </w:p>
    <w:p w14:paraId="4076C9D5" w14:textId="05B6B5A0" w:rsidR="00B26D02" w:rsidRPr="00985BB5" w:rsidRDefault="00E10C20" w:rsidP="00B26D02">
      <w:pPr>
        <w:spacing w:line="276" w:lineRule="auto"/>
        <w:jc w:val="both"/>
        <w:rPr>
          <w:rFonts w:ascii="Arial" w:hAnsi="Arial" w:cs="Arial"/>
          <w:b/>
          <w:bCs/>
          <w:sz w:val="22"/>
          <w:lang w:val="es-CO"/>
        </w:rPr>
      </w:pPr>
      <w:r>
        <w:rPr>
          <w:rFonts w:ascii="Arial" w:hAnsi="Arial" w:cs="Arial"/>
          <w:b/>
          <w:bCs/>
          <w:sz w:val="22"/>
          <w:lang w:val="es-CO"/>
        </w:rPr>
        <w:t>SECOP – Publicidad</w:t>
      </w:r>
      <w:r w:rsidR="00B26D02" w:rsidRPr="00985BB5">
        <w:rPr>
          <w:rFonts w:ascii="Arial" w:hAnsi="Arial" w:cs="Arial"/>
          <w:b/>
          <w:bCs/>
          <w:sz w:val="22"/>
          <w:lang w:val="es-CO"/>
        </w:rPr>
        <w:t xml:space="preserve"> – Documentos</w:t>
      </w:r>
    </w:p>
    <w:p w14:paraId="2829C8CC" w14:textId="77777777" w:rsidR="00B26D02" w:rsidRPr="00985BB5" w:rsidRDefault="00B26D02" w:rsidP="00B26D02">
      <w:pPr>
        <w:spacing w:line="276" w:lineRule="auto"/>
        <w:jc w:val="both"/>
        <w:rPr>
          <w:rFonts w:ascii="Arial" w:hAnsi="Arial" w:cs="Arial"/>
          <w:b/>
          <w:bCs/>
          <w:sz w:val="20"/>
          <w:szCs w:val="20"/>
          <w:lang w:val="es-CO"/>
        </w:rPr>
      </w:pPr>
    </w:p>
    <w:p w14:paraId="192115C2" w14:textId="4F034124" w:rsidR="009B7F9B" w:rsidRPr="00985BB5" w:rsidRDefault="00B26D02" w:rsidP="0031783A">
      <w:pPr>
        <w:jc w:val="both"/>
        <w:rPr>
          <w:rFonts w:ascii="Arial" w:hAnsi="Arial" w:cs="Arial"/>
          <w:sz w:val="20"/>
          <w:szCs w:val="20"/>
          <w:lang w:val="es-ES_tradnl"/>
        </w:rPr>
      </w:pPr>
      <w:r w:rsidRPr="00985BB5">
        <w:rPr>
          <w:rFonts w:ascii="Arial" w:hAnsi="Arial" w:cs="Arial"/>
          <w:sz w:val="20"/>
          <w:szCs w:val="20"/>
          <w:lang w:val="es-ES_tradnl"/>
        </w:rPr>
        <w:t xml:space="preserve">Las entidades públicas sometidas al Estatuto General de Contratación de la Administración Pública, a las que no </w:t>
      </w:r>
      <w:proofErr w:type="spellStart"/>
      <w:r w:rsidRPr="00985BB5">
        <w:rPr>
          <w:rFonts w:ascii="Arial" w:hAnsi="Arial" w:cs="Arial"/>
          <w:sz w:val="20"/>
          <w:szCs w:val="20"/>
          <w:lang w:val="es-ES_tradnl"/>
        </w:rPr>
        <w:t>correspoda</w:t>
      </w:r>
      <w:proofErr w:type="spellEnd"/>
      <w:r w:rsidRPr="00985BB5">
        <w:rPr>
          <w:rFonts w:ascii="Arial" w:hAnsi="Arial" w:cs="Arial"/>
          <w:sz w:val="20"/>
          <w:szCs w:val="20"/>
          <w:lang w:val="es-ES_tradnl"/>
        </w:rPr>
        <w:t xml:space="preserve">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SECOP I, además del Plan Anual de Adquisiciones, todos los documentos, actos administrativos </w:t>
      </w:r>
      <w:r w:rsidRPr="00985BB5">
        <w:rPr>
          <w:rFonts w:ascii="Arial" w:hAnsi="Arial" w:cs="Arial"/>
          <w:sz w:val="20"/>
          <w:szCs w:val="20"/>
          <w:lang w:val="es-ES_tradnl"/>
        </w:rPr>
        <w:lastRenderedPageBreak/>
        <w:t xml:space="preserve">o actuaciones producidos con ocasión del Proceso de Contratación, dentro de los tres (3) días hábiles siguientes a su expedición. Dentro de tales documentos encontramos, entre otros, los siguientes: i) el estudio de oportunidad y conveniencia; </w:t>
      </w:r>
      <w:proofErr w:type="spellStart"/>
      <w:r w:rsidRPr="00985BB5">
        <w:rPr>
          <w:rFonts w:ascii="Arial" w:hAnsi="Arial" w:cs="Arial"/>
          <w:sz w:val="20"/>
          <w:szCs w:val="20"/>
          <w:lang w:val="es-ES_tradnl"/>
        </w:rPr>
        <w:t>ii</w:t>
      </w:r>
      <w:proofErr w:type="spellEnd"/>
      <w:r w:rsidRPr="00985BB5">
        <w:rPr>
          <w:rFonts w:ascii="Arial" w:hAnsi="Arial" w:cs="Arial"/>
          <w:sz w:val="20"/>
          <w:szCs w:val="20"/>
          <w:lang w:val="es-ES_tradnl"/>
        </w:rPr>
        <w:t xml:space="preserve">) los estudios y documentos previos –técnicos o no–; </w:t>
      </w:r>
      <w:proofErr w:type="spellStart"/>
      <w:r w:rsidRPr="00985BB5">
        <w:rPr>
          <w:rFonts w:ascii="Arial" w:hAnsi="Arial" w:cs="Arial"/>
          <w:sz w:val="20"/>
          <w:szCs w:val="20"/>
          <w:lang w:val="es-ES_tradnl"/>
        </w:rPr>
        <w:t>iii</w:t>
      </w:r>
      <w:proofErr w:type="spellEnd"/>
      <w:r w:rsidRPr="00985BB5">
        <w:rPr>
          <w:rFonts w:ascii="Arial" w:hAnsi="Arial" w:cs="Arial"/>
          <w:sz w:val="20"/>
          <w:szCs w:val="20"/>
          <w:lang w:val="es-ES_tradnl"/>
        </w:rPr>
        <w:t xml:space="preserve">) el  aviso de convocatoria; </w:t>
      </w:r>
      <w:proofErr w:type="spellStart"/>
      <w:r w:rsidRPr="00985BB5">
        <w:rPr>
          <w:rFonts w:ascii="Arial" w:hAnsi="Arial" w:cs="Arial"/>
          <w:sz w:val="20"/>
          <w:szCs w:val="20"/>
          <w:lang w:val="es-ES_tradnl"/>
        </w:rPr>
        <w:t>iv</w:t>
      </w:r>
      <w:proofErr w:type="spellEnd"/>
      <w:r w:rsidRPr="00985BB5">
        <w:rPr>
          <w:rFonts w:ascii="Arial" w:hAnsi="Arial" w:cs="Arial"/>
          <w:sz w:val="20"/>
          <w:szCs w:val="20"/>
          <w:lang w:val="es-ES_tradnl"/>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985BB5">
        <w:rPr>
          <w:rFonts w:ascii="Arial" w:hAnsi="Arial" w:cs="Arial"/>
          <w:sz w:val="20"/>
          <w:szCs w:val="20"/>
          <w:lang w:val="es-ES_tradnl"/>
        </w:rPr>
        <w:t>vii</w:t>
      </w:r>
      <w:proofErr w:type="spellEnd"/>
      <w:r w:rsidRPr="00985BB5">
        <w:rPr>
          <w:rFonts w:ascii="Arial" w:hAnsi="Arial" w:cs="Arial"/>
          <w:sz w:val="20"/>
          <w:szCs w:val="20"/>
          <w:lang w:val="es-ES_tradnl"/>
        </w:rPr>
        <w:t xml:space="preserve">) el acta de cierre del plazo para presentar ofertas; </w:t>
      </w:r>
      <w:proofErr w:type="spellStart"/>
      <w:r w:rsidRPr="00985BB5">
        <w:rPr>
          <w:rFonts w:ascii="Arial" w:hAnsi="Arial" w:cs="Arial"/>
          <w:sz w:val="20"/>
          <w:szCs w:val="20"/>
          <w:lang w:val="es-ES_tradnl"/>
        </w:rPr>
        <w:t>viii</w:t>
      </w:r>
      <w:proofErr w:type="spellEnd"/>
      <w:r w:rsidRPr="00985BB5">
        <w:rPr>
          <w:rFonts w:ascii="Arial" w:hAnsi="Arial" w:cs="Arial"/>
          <w:sz w:val="20"/>
          <w:szCs w:val="20"/>
          <w:lang w:val="es-ES_tradnl"/>
        </w:rPr>
        <w:t xml:space="preserve">) las adendas; </w:t>
      </w:r>
      <w:proofErr w:type="spellStart"/>
      <w:r w:rsidRPr="00985BB5">
        <w:rPr>
          <w:rFonts w:ascii="Arial" w:hAnsi="Arial" w:cs="Arial"/>
          <w:sz w:val="20"/>
          <w:szCs w:val="20"/>
          <w:lang w:val="es-ES_tradnl"/>
        </w:rPr>
        <w:t>ix</w:t>
      </w:r>
      <w:proofErr w:type="spellEnd"/>
      <w:r w:rsidRPr="00985BB5">
        <w:rPr>
          <w:rFonts w:ascii="Arial" w:hAnsi="Arial" w:cs="Arial"/>
          <w:sz w:val="20"/>
          <w:szCs w:val="20"/>
          <w:lang w:val="es-ES_tradnl"/>
        </w:rPr>
        <w:t xml:space="preserve">) la oferta del adjudicatario, así como las aclaraciones que se le realicen; x) el informe de precalificación y las observaciones que se formulen; xi) el informe de evaluación y las observaciones que se formulen; </w:t>
      </w:r>
      <w:proofErr w:type="spellStart"/>
      <w:r w:rsidRPr="00985BB5">
        <w:rPr>
          <w:rFonts w:ascii="Arial" w:hAnsi="Arial" w:cs="Arial"/>
          <w:sz w:val="20"/>
          <w:szCs w:val="20"/>
          <w:lang w:val="es-ES_tradnl"/>
        </w:rPr>
        <w:t>xii</w:t>
      </w:r>
      <w:proofErr w:type="spellEnd"/>
      <w:r w:rsidRPr="00985BB5">
        <w:rPr>
          <w:rFonts w:ascii="Arial" w:hAnsi="Arial" w:cs="Arial"/>
          <w:sz w:val="20"/>
          <w:szCs w:val="20"/>
          <w:lang w:val="es-ES_tradnl"/>
        </w:rPr>
        <w:t xml:space="preserve">) las respuestas a las observaciones; </w:t>
      </w:r>
      <w:proofErr w:type="spellStart"/>
      <w:r w:rsidRPr="00985BB5">
        <w:rPr>
          <w:rFonts w:ascii="Arial" w:hAnsi="Arial" w:cs="Arial"/>
          <w:sz w:val="20"/>
          <w:szCs w:val="20"/>
          <w:lang w:val="es-ES_tradnl"/>
        </w:rPr>
        <w:t>xiii</w:t>
      </w:r>
      <w:proofErr w:type="spellEnd"/>
      <w:r w:rsidRPr="00985BB5">
        <w:rPr>
          <w:rFonts w:ascii="Arial" w:hAnsi="Arial" w:cs="Arial"/>
          <w:sz w:val="20"/>
          <w:szCs w:val="20"/>
          <w:lang w:val="es-ES_tradnl"/>
        </w:rPr>
        <w:t xml:space="preserve">) el contrato y los otrosíes o modificaciones; </w:t>
      </w:r>
      <w:proofErr w:type="spellStart"/>
      <w:r w:rsidRPr="00985BB5">
        <w:rPr>
          <w:rFonts w:ascii="Arial" w:hAnsi="Arial" w:cs="Arial"/>
          <w:sz w:val="20"/>
          <w:szCs w:val="20"/>
          <w:lang w:val="es-ES_tradnl"/>
        </w:rPr>
        <w:t>xiv</w:t>
      </w:r>
      <w:proofErr w:type="spellEnd"/>
      <w:r w:rsidRPr="00985BB5">
        <w:rPr>
          <w:rFonts w:ascii="Arial" w:hAnsi="Arial" w:cs="Arial"/>
          <w:sz w:val="20"/>
          <w:szCs w:val="20"/>
          <w:lang w:val="es-ES_tradnl"/>
        </w:rPr>
        <w:t xml:space="preserve">) el acta de inicio; </w:t>
      </w:r>
      <w:proofErr w:type="spellStart"/>
      <w:r w:rsidRPr="00985BB5">
        <w:rPr>
          <w:rFonts w:ascii="Arial" w:hAnsi="Arial" w:cs="Arial"/>
          <w:sz w:val="20"/>
          <w:szCs w:val="20"/>
          <w:lang w:val="es-ES_tradnl"/>
        </w:rPr>
        <w:t>xv</w:t>
      </w:r>
      <w:proofErr w:type="spellEnd"/>
      <w:r w:rsidRPr="00985BB5">
        <w:rPr>
          <w:rFonts w:ascii="Arial" w:hAnsi="Arial" w:cs="Arial"/>
          <w:sz w:val="20"/>
          <w:szCs w:val="20"/>
          <w:lang w:val="es-ES_tradnl"/>
        </w:rPr>
        <w:t xml:space="preserve">) las garantías; </w:t>
      </w:r>
      <w:proofErr w:type="spellStart"/>
      <w:r w:rsidRPr="00985BB5">
        <w:rPr>
          <w:rFonts w:ascii="Arial" w:hAnsi="Arial" w:cs="Arial"/>
          <w:sz w:val="20"/>
          <w:szCs w:val="20"/>
          <w:lang w:val="es-ES_tradnl"/>
        </w:rPr>
        <w:t>xvi</w:t>
      </w:r>
      <w:proofErr w:type="spellEnd"/>
      <w:r w:rsidRPr="00985BB5">
        <w:rPr>
          <w:rFonts w:ascii="Arial" w:hAnsi="Arial" w:cs="Arial"/>
          <w:sz w:val="20"/>
          <w:szCs w:val="20"/>
          <w:lang w:val="es-ES_tradnl"/>
        </w:rPr>
        <w:t xml:space="preserve">) el acta de liquidación; </w:t>
      </w:r>
      <w:proofErr w:type="spellStart"/>
      <w:r w:rsidRPr="00985BB5">
        <w:rPr>
          <w:rFonts w:ascii="Arial" w:hAnsi="Arial" w:cs="Arial"/>
          <w:sz w:val="20"/>
          <w:szCs w:val="20"/>
          <w:lang w:val="es-ES_tradnl"/>
        </w:rPr>
        <w:t>xvii</w:t>
      </w:r>
      <w:proofErr w:type="spellEnd"/>
      <w:r w:rsidRPr="00985BB5">
        <w:rPr>
          <w:rFonts w:ascii="Arial" w:hAnsi="Arial" w:cs="Arial"/>
          <w:sz w:val="20"/>
          <w:szCs w:val="20"/>
          <w:lang w:val="es-ES_tradnl"/>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985BB5">
        <w:rPr>
          <w:rFonts w:ascii="Arial" w:hAnsi="Arial" w:cs="Arial"/>
          <w:sz w:val="20"/>
          <w:szCs w:val="20"/>
          <w:lang w:val="es-ES_tradnl"/>
        </w:rPr>
        <w:t>xviii</w:t>
      </w:r>
      <w:proofErr w:type="spellEnd"/>
      <w:r w:rsidRPr="00985BB5">
        <w:rPr>
          <w:rFonts w:ascii="Arial" w:hAnsi="Arial" w:cs="Arial"/>
          <w:sz w:val="20"/>
          <w:szCs w:val="20"/>
          <w:lang w:val="es-ES_tradnl"/>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985BB5">
        <w:rPr>
          <w:rFonts w:ascii="Arial" w:hAnsi="Arial" w:cs="Arial"/>
          <w:sz w:val="20"/>
          <w:szCs w:val="20"/>
          <w:lang w:val="es-ES_tradnl"/>
        </w:rPr>
        <w:t>ix</w:t>
      </w:r>
      <w:proofErr w:type="spellEnd"/>
      <w:r w:rsidRPr="00985BB5">
        <w:rPr>
          <w:rFonts w:ascii="Arial" w:hAnsi="Arial" w:cs="Arial"/>
          <w:sz w:val="20"/>
          <w:szCs w:val="20"/>
          <w:lang w:val="es-ES_tradnl"/>
        </w:rPr>
        <w:t xml:space="preserve">) las reclamaciones que presenten las partes y las respuestas que se expidan a las mismas; </w:t>
      </w:r>
      <w:proofErr w:type="spellStart"/>
      <w:r w:rsidRPr="00985BB5">
        <w:rPr>
          <w:rFonts w:ascii="Arial" w:hAnsi="Arial" w:cs="Arial"/>
          <w:sz w:val="20"/>
          <w:szCs w:val="20"/>
          <w:lang w:val="es-ES_tradnl"/>
        </w:rPr>
        <w:t>xx</w:t>
      </w:r>
      <w:proofErr w:type="spellEnd"/>
      <w:r w:rsidRPr="00985BB5">
        <w:rPr>
          <w:rFonts w:ascii="Arial" w:hAnsi="Arial" w:cs="Arial"/>
          <w:sz w:val="20"/>
          <w:szCs w:val="20"/>
          <w:lang w:val="es-ES_tradnl"/>
        </w:rPr>
        <w:t xml:space="preserve">) las actas de entrega o recibo, </w:t>
      </w:r>
      <w:proofErr w:type="spellStart"/>
      <w:r w:rsidRPr="00985BB5">
        <w:rPr>
          <w:rFonts w:ascii="Arial" w:hAnsi="Arial" w:cs="Arial"/>
          <w:sz w:val="20"/>
          <w:szCs w:val="20"/>
          <w:lang w:val="es-ES_tradnl"/>
        </w:rPr>
        <w:t>xxi</w:t>
      </w:r>
      <w:proofErr w:type="spellEnd"/>
      <w:r w:rsidRPr="00985BB5">
        <w:rPr>
          <w:rFonts w:ascii="Arial" w:hAnsi="Arial" w:cs="Arial"/>
          <w:sz w:val="20"/>
          <w:szCs w:val="20"/>
          <w:lang w:val="es-ES_tradnl"/>
        </w:rPr>
        <w:t xml:space="preserve">) los informes de supervisión y/o interventoría; </w:t>
      </w:r>
      <w:proofErr w:type="spellStart"/>
      <w:r w:rsidRPr="00985BB5">
        <w:rPr>
          <w:rFonts w:ascii="Arial" w:hAnsi="Arial" w:cs="Arial"/>
          <w:sz w:val="20"/>
          <w:szCs w:val="20"/>
          <w:lang w:val="es-ES_tradnl"/>
        </w:rPr>
        <w:t>xxii</w:t>
      </w:r>
      <w:proofErr w:type="spellEnd"/>
      <w:r w:rsidRPr="00985BB5">
        <w:rPr>
          <w:rFonts w:ascii="Arial" w:hAnsi="Arial" w:cs="Arial"/>
          <w:sz w:val="20"/>
          <w:szCs w:val="20"/>
          <w:lang w:val="es-ES_tradnl"/>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985BB5">
        <w:rPr>
          <w:rFonts w:ascii="Arial" w:hAnsi="Arial" w:cs="Arial"/>
          <w:sz w:val="20"/>
          <w:szCs w:val="20"/>
          <w:lang w:val="es-ES_tradnl"/>
        </w:rPr>
        <w:t>xxiii</w:t>
      </w:r>
      <w:proofErr w:type="spellEnd"/>
      <w:r w:rsidRPr="00985BB5">
        <w:rPr>
          <w:rFonts w:ascii="Arial" w:hAnsi="Arial" w:cs="Arial"/>
          <w:sz w:val="20"/>
          <w:szCs w:val="20"/>
          <w:lang w:val="es-ES_tradnl"/>
        </w:rPr>
        <w:t xml:space="preserve">) la liquidación unilateral y </w:t>
      </w:r>
      <w:proofErr w:type="spellStart"/>
      <w:r w:rsidRPr="00985BB5">
        <w:rPr>
          <w:rFonts w:ascii="Arial" w:hAnsi="Arial" w:cs="Arial"/>
          <w:sz w:val="20"/>
          <w:szCs w:val="20"/>
          <w:lang w:val="es-ES_tradnl"/>
        </w:rPr>
        <w:t>xxiv</w:t>
      </w:r>
      <w:proofErr w:type="spellEnd"/>
      <w:r w:rsidRPr="00985BB5">
        <w:rPr>
          <w:rFonts w:ascii="Arial" w:hAnsi="Arial" w:cs="Arial"/>
          <w:sz w:val="20"/>
          <w:szCs w:val="20"/>
          <w:lang w:val="es-ES_tradnl"/>
        </w:rPr>
        <w:t>) en general cualquier otro documento producido o expedido con ocasión del Proceso de Contratación, sin importar quién sea su autor –la Administración o el contratista–, con excepción de los que pertenecen al marco de operaciones de bolsa de productos, expresamente excluidos de publicación por el artículo 2.2.1.1.1.7.1. del Decreto 1082 de 2015.</w:t>
      </w:r>
      <w:bookmarkStart w:id="2" w:name="_Hlk38283712"/>
      <w:bookmarkStart w:id="3" w:name="_Hlk38449610"/>
      <w:bookmarkStart w:id="4" w:name="_Hlk29890381"/>
    </w:p>
    <w:p w14:paraId="4AE6F08F" w14:textId="02A39AF3" w:rsidR="00985BB5" w:rsidRPr="00985BB5" w:rsidRDefault="00985BB5" w:rsidP="0031783A">
      <w:pPr>
        <w:jc w:val="both"/>
        <w:rPr>
          <w:rFonts w:ascii="Arial" w:hAnsi="Arial" w:cs="Arial"/>
          <w:sz w:val="20"/>
          <w:szCs w:val="20"/>
          <w:lang w:val="es-ES_tradnl"/>
        </w:rPr>
      </w:pPr>
    </w:p>
    <w:p w14:paraId="597C11DA" w14:textId="184D4EE6" w:rsidR="00985BB5" w:rsidRPr="00985BB5" w:rsidRDefault="00985BB5" w:rsidP="0031783A">
      <w:pPr>
        <w:jc w:val="both"/>
        <w:rPr>
          <w:rFonts w:ascii="Arial" w:hAnsi="Arial" w:cs="Arial"/>
          <w:b/>
          <w:bCs/>
          <w:sz w:val="20"/>
          <w:szCs w:val="20"/>
          <w:lang w:val="es-ES_tradnl"/>
        </w:rPr>
      </w:pPr>
      <w:r w:rsidRPr="00985BB5">
        <w:rPr>
          <w:rFonts w:ascii="Arial" w:hAnsi="Arial" w:cs="Arial"/>
          <w:b/>
          <w:bCs/>
          <w:sz w:val="22"/>
          <w:lang w:val="es-ES_tradnl"/>
        </w:rPr>
        <w:t xml:space="preserve">SECOP – Publicidad – Aclaraciones – Reserva </w:t>
      </w:r>
    </w:p>
    <w:p w14:paraId="1EB33321" w14:textId="5BBD3B00" w:rsidR="00985BB5" w:rsidRPr="00985BB5" w:rsidRDefault="00985BB5" w:rsidP="0031783A">
      <w:pPr>
        <w:jc w:val="both"/>
        <w:rPr>
          <w:rFonts w:ascii="Arial" w:hAnsi="Arial" w:cs="Arial"/>
          <w:sz w:val="20"/>
          <w:szCs w:val="20"/>
          <w:lang w:val="es-ES_tradnl"/>
        </w:rPr>
      </w:pPr>
    </w:p>
    <w:p w14:paraId="4BF3A617" w14:textId="1ED5C817" w:rsidR="00985BB5" w:rsidRPr="00985BB5" w:rsidRDefault="00985BB5" w:rsidP="00985BB5">
      <w:pPr>
        <w:spacing w:after="120"/>
        <w:jc w:val="both"/>
        <w:rPr>
          <w:rFonts w:ascii="Arial" w:hAnsi="Arial" w:cs="Arial"/>
          <w:sz w:val="20"/>
          <w:szCs w:val="20"/>
          <w:lang w:val="es-ES_tradnl"/>
        </w:rPr>
      </w:pPr>
      <w:r w:rsidRPr="00985BB5">
        <w:rPr>
          <w:rFonts w:ascii="Arial" w:hAnsi="Arial" w:cs="Arial"/>
          <w:sz w:val="20"/>
          <w:szCs w:val="20"/>
          <w:lang w:val="es-ES_tradnl"/>
        </w:rPr>
        <w:t xml:space="preserve">[…] las aclaraciones efectuadas por los proponentes ante los requerimientos realizados por la entidad estatal en virtud del artículo 2.2.1.1.2.2.4 del Decreto 1082 de 2015, en principio, deben ser publicadas en el SECOP, comoquiera que son documentos expedidos con ocasión del Proceso de Contratación. No obstante, puede suceder que dentro del contenido de la aclaración dada por el proponente se evidencie información que tenga el carácter de reservada de conformidad con la Constitución y la ley en los términos del artículo 24 del CPACA, o cuya publicidad pudiese atentar contra los derechos de toda persona a la intimidad, vida, salud, seguridad o los secretos comerciales, industriales y profesionales de conformidad con el artículo 18 de la Ley 1712 de </w:t>
      </w:r>
      <w:proofErr w:type="gramStart"/>
      <w:r w:rsidRPr="00985BB5">
        <w:rPr>
          <w:rFonts w:ascii="Arial" w:hAnsi="Arial" w:cs="Arial"/>
          <w:sz w:val="20"/>
          <w:szCs w:val="20"/>
          <w:lang w:val="es-ES_tradnl"/>
        </w:rPr>
        <w:t>2014 .</w:t>
      </w:r>
      <w:proofErr w:type="gramEnd"/>
      <w:r w:rsidRPr="00985BB5">
        <w:rPr>
          <w:rFonts w:ascii="Arial" w:hAnsi="Arial" w:cs="Arial"/>
          <w:sz w:val="20"/>
          <w:szCs w:val="20"/>
          <w:lang w:val="es-ES_tradnl"/>
        </w:rPr>
        <w:t xml:space="preserve"> </w:t>
      </w:r>
    </w:p>
    <w:p w14:paraId="058D49D1" w14:textId="7E91B31F" w:rsidR="00985BB5" w:rsidRPr="00985BB5" w:rsidRDefault="00985BB5" w:rsidP="00985BB5">
      <w:pPr>
        <w:jc w:val="both"/>
        <w:rPr>
          <w:rFonts w:ascii="Arial" w:hAnsi="Arial" w:cs="Arial"/>
          <w:sz w:val="20"/>
          <w:szCs w:val="20"/>
          <w:lang w:val="es-ES_tradnl"/>
        </w:rPr>
      </w:pPr>
      <w:r w:rsidRPr="00985BB5">
        <w:rPr>
          <w:rFonts w:ascii="Arial" w:hAnsi="Arial" w:cs="Arial"/>
          <w:sz w:val="20"/>
          <w:szCs w:val="20"/>
          <w:lang w:val="es-ES_tradnl"/>
        </w:rPr>
        <w:t xml:space="preserve">En tales eventos, al estar restringida la publicidad y acceso a la información, la entidad deberá abstenerse de publicar en el SECOP la información correspondiente, y dar a la misma el tratamiento establecido en el inciso tercero del artículo 36 del CPACA, depositando el respectivo documento en un cuaderno separado del cuaderno principal en el que se desarrolla el proceso de contratación. En todo caso, corresponderá a la entidad determinar si la información suministrada por el proponente en su </w:t>
      </w:r>
      <w:proofErr w:type="gramStart"/>
      <w:r w:rsidRPr="00985BB5">
        <w:rPr>
          <w:rFonts w:ascii="Arial" w:hAnsi="Arial" w:cs="Arial"/>
          <w:sz w:val="20"/>
          <w:szCs w:val="20"/>
          <w:lang w:val="es-ES_tradnl"/>
        </w:rPr>
        <w:t>aclaración,</w:t>
      </w:r>
      <w:proofErr w:type="gramEnd"/>
      <w:r w:rsidRPr="00985BB5">
        <w:rPr>
          <w:rFonts w:ascii="Arial" w:hAnsi="Arial" w:cs="Arial"/>
          <w:sz w:val="20"/>
          <w:szCs w:val="20"/>
          <w:lang w:val="es-ES_tradnl"/>
        </w:rPr>
        <w:t xml:space="preserve"> se encuentra o no sometida a reserva de conformidad con la Constitución y la Ley. De no estar restringida su publicidad deberá proceder conforme a la regla general derivada de los artículos 3 de la Ley 1150 de 2007, 11 literal g de la Ley 1712 de 2014, 2.2.1.1.1.7.1 del Decreto 1082 de 2015,  2.1.1.2.1.7, 2.1.1.2.1.8, 2.1.1.2.1.9 y 2.1.1.2.1.10 del Decreto 1081 de 2015, que impone su publicación en el SECOP II.</w:t>
      </w:r>
    </w:p>
    <w:p w14:paraId="495F273D" w14:textId="77777777" w:rsidR="0031783A" w:rsidRPr="00985BB5" w:rsidRDefault="0031783A" w:rsidP="0031783A">
      <w:pPr>
        <w:jc w:val="both"/>
        <w:rPr>
          <w:rFonts w:ascii="Arial" w:hAnsi="Arial" w:cs="Arial"/>
          <w:sz w:val="22"/>
          <w:lang w:val="es-CO"/>
        </w:rPr>
      </w:pPr>
    </w:p>
    <w:p w14:paraId="1A15127F" w14:textId="77777777" w:rsidR="00180986" w:rsidRPr="00985BB5" w:rsidRDefault="00180986" w:rsidP="009B7F9B">
      <w:pPr>
        <w:rPr>
          <w:rFonts w:ascii="Arial" w:hAnsi="Arial" w:cs="Arial"/>
          <w:sz w:val="22"/>
          <w:lang w:val="es-CO"/>
        </w:rPr>
      </w:pPr>
    </w:p>
    <w:p w14:paraId="4529D918" w14:textId="28A02C2A" w:rsidR="0035454C" w:rsidRDefault="0035454C" w:rsidP="0035454C">
      <w:pPr>
        <w:autoSpaceDE w:val="0"/>
        <w:autoSpaceDN w:val="0"/>
        <w:adjustRightInd w:val="0"/>
        <w:rPr>
          <w:rFonts w:ascii="Arial" w:hAnsi="Arial" w:cs="Arial"/>
          <w:color w:val="000000"/>
          <w:szCs w:val="24"/>
          <w:lang w:val="es-CO"/>
        </w:rPr>
      </w:pPr>
    </w:p>
    <w:p w14:paraId="23CB0B72" w14:textId="77777777" w:rsidR="0035454C" w:rsidRPr="0035454C" w:rsidRDefault="0035454C" w:rsidP="0035454C">
      <w:pPr>
        <w:autoSpaceDE w:val="0"/>
        <w:autoSpaceDN w:val="0"/>
        <w:adjustRightInd w:val="0"/>
        <w:rPr>
          <w:rFonts w:ascii="Arial" w:hAnsi="Arial" w:cs="Arial"/>
          <w:color w:val="000000"/>
          <w:szCs w:val="24"/>
          <w:lang w:val="es-CO"/>
        </w:rPr>
      </w:pPr>
    </w:p>
    <w:p w14:paraId="717A38DE" w14:textId="77777777" w:rsidR="0035454C" w:rsidRPr="0035454C" w:rsidRDefault="0035454C" w:rsidP="0035454C">
      <w:pPr>
        <w:autoSpaceDE w:val="0"/>
        <w:autoSpaceDN w:val="0"/>
        <w:adjustRightInd w:val="0"/>
        <w:rPr>
          <w:rFonts w:ascii="Arial" w:hAnsi="Arial" w:cs="Arial"/>
          <w:color w:val="000000"/>
          <w:sz w:val="22"/>
          <w:lang w:val="es-CO"/>
        </w:rPr>
      </w:pPr>
      <w:r w:rsidRPr="0035454C">
        <w:rPr>
          <w:rFonts w:ascii="Arial" w:hAnsi="Arial" w:cs="Arial"/>
          <w:color w:val="000000"/>
          <w:szCs w:val="24"/>
          <w:lang w:val="es-CO"/>
        </w:rPr>
        <w:lastRenderedPageBreak/>
        <w:t xml:space="preserve"> </w:t>
      </w:r>
      <w:r w:rsidRPr="0035454C">
        <w:rPr>
          <w:rFonts w:ascii="Arial" w:hAnsi="Arial" w:cs="Arial"/>
          <w:color w:val="000000"/>
          <w:sz w:val="22"/>
          <w:lang w:val="es-CO"/>
        </w:rPr>
        <w:t xml:space="preserve">Bogotá D.C., </w:t>
      </w:r>
      <w:r w:rsidRPr="0035454C">
        <w:rPr>
          <w:rFonts w:ascii="Arial" w:hAnsi="Arial" w:cs="Arial"/>
          <w:b/>
          <w:bCs/>
          <w:color w:val="000000"/>
          <w:sz w:val="22"/>
          <w:lang w:val="es-CO"/>
        </w:rPr>
        <w:t xml:space="preserve">19/08/2020 Hora 9:47:53s </w:t>
      </w:r>
    </w:p>
    <w:p w14:paraId="1A6F1B4C" w14:textId="78E4A3F7" w:rsidR="009B7F9B" w:rsidRPr="00985BB5" w:rsidRDefault="0035454C" w:rsidP="0035454C">
      <w:pPr>
        <w:jc w:val="right"/>
        <w:rPr>
          <w:rFonts w:ascii="Arial" w:eastAsia="Calibri" w:hAnsi="Arial" w:cs="Arial"/>
          <w:sz w:val="22"/>
        </w:rPr>
      </w:pPr>
      <w:proofErr w:type="spellStart"/>
      <w:r w:rsidRPr="0035454C">
        <w:rPr>
          <w:rFonts w:ascii="Arial" w:hAnsi="Arial" w:cs="Arial"/>
          <w:b/>
          <w:bCs/>
          <w:color w:val="000000"/>
          <w:sz w:val="22"/>
          <w:lang w:val="es-CO"/>
        </w:rPr>
        <w:t>N°</w:t>
      </w:r>
      <w:proofErr w:type="spellEnd"/>
      <w:r w:rsidRPr="0035454C">
        <w:rPr>
          <w:rFonts w:ascii="Arial" w:hAnsi="Arial" w:cs="Arial"/>
          <w:b/>
          <w:bCs/>
          <w:color w:val="000000"/>
          <w:sz w:val="22"/>
          <w:lang w:val="es-CO"/>
        </w:rPr>
        <w:t xml:space="preserve"> Radicado: 2202013000007605</w:t>
      </w:r>
    </w:p>
    <w:p w14:paraId="3376EEB4" w14:textId="77777777" w:rsidR="009B7F9B" w:rsidRPr="00985BB5" w:rsidRDefault="009B7F9B" w:rsidP="009B7F9B">
      <w:pPr>
        <w:rPr>
          <w:rFonts w:ascii="Arial" w:eastAsia="Calibri" w:hAnsi="Arial" w:cs="Arial"/>
          <w:sz w:val="22"/>
        </w:rPr>
      </w:pPr>
    </w:p>
    <w:p w14:paraId="74B03CCA" w14:textId="08F197E9" w:rsidR="009B7F9B" w:rsidRPr="00985BB5" w:rsidRDefault="009B7F9B" w:rsidP="009B7F9B">
      <w:pPr>
        <w:rPr>
          <w:rFonts w:ascii="Arial" w:eastAsia="Calibri" w:hAnsi="Arial" w:cs="Arial"/>
          <w:sz w:val="22"/>
        </w:rPr>
      </w:pPr>
      <w:r w:rsidRPr="00985BB5">
        <w:rPr>
          <w:rFonts w:ascii="Arial" w:eastAsia="Calibri" w:hAnsi="Arial" w:cs="Arial"/>
          <w:sz w:val="22"/>
        </w:rPr>
        <w:t>Señor</w:t>
      </w:r>
      <w:r w:rsidR="00492D50" w:rsidRPr="00985BB5">
        <w:rPr>
          <w:rFonts w:ascii="Arial" w:eastAsia="Calibri" w:hAnsi="Arial" w:cs="Arial"/>
          <w:sz w:val="22"/>
        </w:rPr>
        <w:t>a</w:t>
      </w:r>
    </w:p>
    <w:p w14:paraId="50894EE9" w14:textId="55FEBABB" w:rsidR="00AD299B" w:rsidRPr="00985BB5" w:rsidRDefault="00AD299B" w:rsidP="009B7F9B">
      <w:pPr>
        <w:rPr>
          <w:rFonts w:ascii="Arial" w:eastAsia="Calibri" w:hAnsi="Arial" w:cs="Arial"/>
          <w:b/>
          <w:sz w:val="22"/>
        </w:rPr>
      </w:pPr>
      <w:r w:rsidRPr="00985BB5">
        <w:rPr>
          <w:rFonts w:ascii="Arial" w:eastAsia="Calibri" w:hAnsi="Arial" w:cs="Arial"/>
          <w:b/>
          <w:sz w:val="22"/>
        </w:rPr>
        <w:t>Martha Nuñez</w:t>
      </w:r>
    </w:p>
    <w:p w14:paraId="62AAF159" w14:textId="2A207E12" w:rsidR="009B7F9B" w:rsidRPr="00985BB5" w:rsidRDefault="00AD299B" w:rsidP="009B7F9B">
      <w:pPr>
        <w:rPr>
          <w:rFonts w:ascii="Arial" w:eastAsia="Calibri" w:hAnsi="Arial" w:cs="Arial"/>
          <w:sz w:val="22"/>
        </w:rPr>
      </w:pPr>
      <w:r w:rsidRPr="00985BB5">
        <w:rPr>
          <w:rFonts w:ascii="Arial" w:eastAsia="Calibri" w:hAnsi="Arial" w:cs="Arial"/>
          <w:sz w:val="22"/>
        </w:rPr>
        <w:t>Bogotá D.C.</w:t>
      </w:r>
    </w:p>
    <w:p w14:paraId="52F9C018" w14:textId="77777777" w:rsidR="009B7F9B" w:rsidRPr="00985BB5" w:rsidRDefault="009B7F9B" w:rsidP="009B7F9B">
      <w:pPr>
        <w:rPr>
          <w:rFonts w:ascii="Arial" w:eastAsia="Calibri" w:hAnsi="Arial" w:cs="Arial"/>
          <w:sz w:val="22"/>
        </w:rPr>
      </w:pPr>
    </w:p>
    <w:p w14:paraId="2921B229" w14:textId="77777777" w:rsidR="009B7F9B" w:rsidRPr="00985BB5" w:rsidRDefault="009B7F9B" w:rsidP="009B7F9B">
      <w:pPr>
        <w:rPr>
          <w:rFonts w:ascii="Arial" w:eastAsia="Calibri" w:hAnsi="Arial" w:cs="Arial"/>
          <w:sz w:val="22"/>
        </w:rPr>
      </w:pPr>
    </w:p>
    <w:p w14:paraId="0CBC855F" w14:textId="52F3871D" w:rsidR="009B7F9B" w:rsidRPr="00985BB5" w:rsidRDefault="00AE5EFA" w:rsidP="008C0579">
      <w:pPr>
        <w:rPr>
          <w:rFonts w:ascii="Arial" w:eastAsia="Calibri" w:hAnsi="Arial" w:cs="Arial"/>
          <w:b/>
          <w:sz w:val="22"/>
        </w:rPr>
      </w:pPr>
      <w:r w:rsidRPr="00985BB5">
        <w:rPr>
          <w:rFonts w:ascii="Arial" w:eastAsia="Calibri" w:hAnsi="Arial" w:cs="Arial"/>
          <w:b/>
          <w:sz w:val="22"/>
        </w:rPr>
        <w:t xml:space="preserve">                                            </w:t>
      </w:r>
      <w:r w:rsidR="009B7F9B" w:rsidRPr="00985BB5">
        <w:rPr>
          <w:rFonts w:ascii="Arial" w:eastAsia="Calibri" w:hAnsi="Arial" w:cs="Arial"/>
          <w:b/>
          <w:sz w:val="22"/>
        </w:rPr>
        <w:t xml:space="preserve">Concepto C – </w:t>
      </w:r>
      <w:r w:rsidR="00985BB5" w:rsidRPr="00985BB5">
        <w:rPr>
          <w:rFonts w:ascii="Arial" w:eastAsia="Calibri" w:hAnsi="Arial" w:cs="Arial"/>
          <w:b/>
          <w:sz w:val="22"/>
        </w:rPr>
        <w:t>543</w:t>
      </w:r>
      <w:r w:rsidR="006E15C5" w:rsidRPr="00985BB5">
        <w:rPr>
          <w:rFonts w:ascii="Arial" w:eastAsia="Calibri" w:hAnsi="Arial" w:cs="Arial"/>
          <w:b/>
          <w:sz w:val="22"/>
        </w:rPr>
        <w:t xml:space="preserve"> </w:t>
      </w:r>
      <w:r w:rsidR="009B7F9B" w:rsidRPr="00985BB5">
        <w:rPr>
          <w:rFonts w:ascii="Arial" w:eastAsia="Calibri" w:hAnsi="Arial" w:cs="Arial"/>
          <w:b/>
          <w:sz w:val="22"/>
        </w:rPr>
        <w:t>de 2020</w:t>
      </w:r>
    </w:p>
    <w:p w14:paraId="232ADF37" w14:textId="77777777" w:rsidR="009B7F9B" w:rsidRPr="00985BB5" w:rsidRDefault="009B7F9B" w:rsidP="009B7F9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BB5" w:rsidRPr="00985BB5" w14:paraId="2123D216" w14:textId="77777777" w:rsidTr="008007A7">
        <w:trPr>
          <w:trHeight w:val="1029"/>
        </w:trPr>
        <w:tc>
          <w:tcPr>
            <w:tcW w:w="2689" w:type="dxa"/>
            <w:hideMark/>
          </w:tcPr>
          <w:p w14:paraId="3EC1F9B4" w14:textId="77777777" w:rsidR="009B7F9B" w:rsidRPr="00985BB5" w:rsidRDefault="009B7F9B" w:rsidP="008007A7">
            <w:pPr>
              <w:rPr>
                <w:rFonts w:ascii="Arial" w:eastAsia="Calibri" w:hAnsi="Arial" w:cs="Arial"/>
                <w:sz w:val="22"/>
              </w:rPr>
            </w:pPr>
            <w:r w:rsidRPr="00985BB5">
              <w:rPr>
                <w:rFonts w:ascii="Arial" w:eastAsia="Calibri" w:hAnsi="Arial" w:cs="Arial"/>
                <w:b/>
                <w:sz w:val="22"/>
              </w:rPr>
              <w:t>Temas:</w:t>
            </w:r>
            <w:r w:rsidRPr="00985BB5">
              <w:rPr>
                <w:rFonts w:ascii="Arial" w:eastAsia="Calibri" w:hAnsi="Arial" w:cs="Arial"/>
                <w:sz w:val="22"/>
              </w:rPr>
              <w:t xml:space="preserve">              </w:t>
            </w:r>
          </w:p>
        </w:tc>
        <w:tc>
          <w:tcPr>
            <w:tcW w:w="6237" w:type="dxa"/>
            <w:hideMark/>
          </w:tcPr>
          <w:p w14:paraId="32953520" w14:textId="0E88E9E7" w:rsidR="009B7F9B" w:rsidRPr="00985BB5" w:rsidRDefault="009B7F9B" w:rsidP="008C0579">
            <w:pPr>
              <w:spacing w:after="120"/>
              <w:jc w:val="both"/>
              <w:rPr>
                <w:rFonts w:ascii="Arial" w:eastAsia="Calibri" w:hAnsi="Arial" w:cs="Arial"/>
                <w:sz w:val="22"/>
                <w:lang w:val="es-CO"/>
              </w:rPr>
            </w:pPr>
            <w:r w:rsidRPr="00985BB5">
              <w:rPr>
                <w:rFonts w:ascii="Arial" w:eastAsia="Calibri" w:hAnsi="Arial" w:cs="Arial"/>
                <w:sz w:val="22"/>
              </w:rPr>
              <w:t xml:space="preserve">PRINCIPIO DE PUBLICIDAD – Noción – Acceso a la información pública / SECOP – Deber de publicación </w:t>
            </w:r>
            <w:proofErr w:type="gramStart"/>
            <w:r w:rsidRPr="00985BB5">
              <w:rPr>
                <w:rFonts w:ascii="Arial" w:eastAsia="Calibri" w:hAnsi="Arial" w:cs="Arial"/>
                <w:sz w:val="22"/>
              </w:rPr>
              <w:t>–  Finalidad</w:t>
            </w:r>
            <w:proofErr w:type="gramEnd"/>
            <w:r w:rsidRPr="00985BB5">
              <w:rPr>
                <w:rFonts w:ascii="Arial" w:eastAsia="Calibri" w:hAnsi="Arial" w:cs="Arial"/>
                <w:sz w:val="22"/>
              </w:rPr>
              <w:t xml:space="preserve"> – Principio de publicidad – Ejecución de recursos públicos / PLAN ANUAL DE ADQUISICIONES – Publicación – Fundamento normativo / SECOP I y SECOP II – Naturaleza – Medio de publicidad – Plataforma transaccional / SECOP II – Obligatoriedad</w:t>
            </w:r>
            <w:r w:rsidR="00492D50" w:rsidRPr="00985BB5">
              <w:rPr>
                <w:rFonts w:ascii="Arial" w:eastAsia="Calibri" w:hAnsi="Arial" w:cs="Arial"/>
                <w:sz w:val="22"/>
              </w:rPr>
              <w:t xml:space="preserve"> / SECOP – Publicación – Documentos </w:t>
            </w:r>
            <w:r w:rsidR="00985BB5" w:rsidRPr="00985BB5">
              <w:rPr>
                <w:rFonts w:ascii="Arial" w:eastAsia="Calibri" w:hAnsi="Arial" w:cs="Arial"/>
                <w:sz w:val="22"/>
              </w:rPr>
              <w:t>/ SECOP – Publicidad – Aclaraciones – Reserva</w:t>
            </w:r>
          </w:p>
        </w:tc>
      </w:tr>
      <w:tr w:rsidR="00842EFF" w:rsidRPr="00985BB5" w14:paraId="0EED7CDA" w14:textId="77777777" w:rsidTr="008007A7">
        <w:trPr>
          <w:trHeight w:val="264"/>
        </w:trPr>
        <w:tc>
          <w:tcPr>
            <w:tcW w:w="2689" w:type="dxa"/>
          </w:tcPr>
          <w:p w14:paraId="763F5813" w14:textId="77777777" w:rsidR="009B7F9B" w:rsidRPr="00985BB5" w:rsidRDefault="009B7F9B" w:rsidP="008007A7">
            <w:pPr>
              <w:rPr>
                <w:rFonts w:ascii="Arial" w:eastAsia="Calibri" w:hAnsi="Arial" w:cs="Arial"/>
                <w:b/>
                <w:sz w:val="22"/>
              </w:rPr>
            </w:pPr>
            <w:r w:rsidRPr="00985BB5">
              <w:rPr>
                <w:rFonts w:ascii="Arial" w:eastAsia="Calibri" w:hAnsi="Arial" w:cs="Arial"/>
                <w:b/>
                <w:sz w:val="22"/>
              </w:rPr>
              <w:t>Radicación:</w:t>
            </w:r>
            <w:r w:rsidRPr="00985BB5">
              <w:rPr>
                <w:rFonts w:ascii="Arial" w:eastAsia="Calibri" w:hAnsi="Arial" w:cs="Arial"/>
                <w:sz w:val="22"/>
              </w:rPr>
              <w:t xml:space="preserve">                              </w:t>
            </w:r>
          </w:p>
        </w:tc>
        <w:tc>
          <w:tcPr>
            <w:tcW w:w="6237" w:type="dxa"/>
          </w:tcPr>
          <w:p w14:paraId="7722D90B" w14:textId="7EC7F01E" w:rsidR="009B7F9B" w:rsidRPr="00985BB5" w:rsidRDefault="009B7F9B" w:rsidP="008007A7">
            <w:pPr>
              <w:jc w:val="both"/>
              <w:rPr>
                <w:rFonts w:ascii="Arial" w:eastAsia="Calibri" w:hAnsi="Arial" w:cs="Arial"/>
                <w:sz w:val="22"/>
              </w:rPr>
            </w:pPr>
            <w:r w:rsidRPr="00985BB5">
              <w:rPr>
                <w:rFonts w:ascii="Arial" w:eastAsia="Calibri" w:hAnsi="Arial" w:cs="Arial"/>
                <w:sz w:val="22"/>
              </w:rPr>
              <w:t xml:space="preserve">Respuesta consulta # </w:t>
            </w:r>
            <w:r w:rsidR="00AD299B" w:rsidRPr="00985BB5">
              <w:rPr>
                <w:rFonts w:ascii="Arial" w:eastAsia="Calibri" w:hAnsi="Arial" w:cs="Arial"/>
                <w:sz w:val="22"/>
              </w:rPr>
              <w:t>4202013000006730</w:t>
            </w:r>
          </w:p>
        </w:tc>
      </w:tr>
    </w:tbl>
    <w:p w14:paraId="47DB626E" w14:textId="77777777" w:rsidR="009B7F9B" w:rsidRPr="00985BB5" w:rsidRDefault="009B7F9B" w:rsidP="008C0579">
      <w:pPr>
        <w:spacing w:line="276" w:lineRule="auto"/>
        <w:rPr>
          <w:rFonts w:ascii="Arial" w:eastAsia="Calibri" w:hAnsi="Arial" w:cs="Arial"/>
          <w:sz w:val="22"/>
        </w:rPr>
      </w:pPr>
    </w:p>
    <w:p w14:paraId="4EEEC9F2" w14:textId="77777777" w:rsidR="009B7F9B" w:rsidRPr="00985BB5" w:rsidRDefault="009B7F9B" w:rsidP="008C0579">
      <w:pPr>
        <w:spacing w:line="276" w:lineRule="auto"/>
        <w:rPr>
          <w:rFonts w:ascii="Arial" w:eastAsia="Calibri" w:hAnsi="Arial" w:cs="Arial"/>
          <w:sz w:val="22"/>
        </w:rPr>
      </w:pPr>
    </w:p>
    <w:p w14:paraId="39C63AA8" w14:textId="1C5E9720" w:rsidR="009B7F9B" w:rsidRPr="00985BB5" w:rsidRDefault="009B7F9B" w:rsidP="008C0579">
      <w:pPr>
        <w:spacing w:line="276" w:lineRule="auto"/>
        <w:rPr>
          <w:rFonts w:ascii="Arial" w:eastAsia="Calibri" w:hAnsi="Arial" w:cs="Arial"/>
          <w:sz w:val="22"/>
        </w:rPr>
      </w:pPr>
      <w:r w:rsidRPr="00985BB5">
        <w:rPr>
          <w:rFonts w:ascii="Arial" w:eastAsia="Calibri" w:hAnsi="Arial" w:cs="Arial"/>
          <w:sz w:val="22"/>
        </w:rPr>
        <w:t>Estimad</w:t>
      </w:r>
      <w:r w:rsidR="00492D50" w:rsidRPr="00985BB5">
        <w:rPr>
          <w:rFonts w:ascii="Arial" w:eastAsia="Calibri" w:hAnsi="Arial" w:cs="Arial"/>
          <w:sz w:val="22"/>
        </w:rPr>
        <w:t>a</w:t>
      </w:r>
      <w:r w:rsidRPr="00985BB5">
        <w:rPr>
          <w:rFonts w:ascii="Arial" w:eastAsia="Calibri" w:hAnsi="Arial" w:cs="Arial"/>
          <w:sz w:val="22"/>
        </w:rPr>
        <w:t xml:space="preserve"> señor</w:t>
      </w:r>
      <w:r w:rsidR="00492D50" w:rsidRPr="00985BB5">
        <w:rPr>
          <w:rFonts w:ascii="Arial" w:eastAsia="Calibri" w:hAnsi="Arial" w:cs="Arial"/>
          <w:sz w:val="22"/>
        </w:rPr>
        <w:t>a</w:t>
      </w:r>
      <w:r w:rsidRPr="00985BB5">
        <w:rPr>
          <w:rFonts w:ascii="Arial" w:eastAsia="Calibri" w:hAnsi="Arial" w:cs="Arial"/>
          <w:sz w:val="22"/>
        </w:rPr>
        <w:t xml:space="preserve"> </w:t>
      </w:r>
      <w:r w:rsidR="00B133F1" w:rsidRPr="00985BB5">
        <w:rPr>
          <w:rFonts w:ascii="Arial" w:eastAsia="Calibri" w:hAnsi="Arial" w:cs="Arial"/>
          <w:sz w:val="22"/>
        </w:rPr>
        <w:t>Nuñez</w:t>
      </w:r>
      <w:r w:rsidR="006E15C5" w:rsidRPr="00985BB5">
        <w:rPr>
          <w:rFonts w:ascii="Arial" w:eastAsia="Calibri" w:hAnsi="Arial" w:cs="Arial"/>
          <w:sz w:val="22"/>
        </w:rPr>
        <w:t>,</w:t>
      </w:r>
    </w:p>
    <w:p w14:paraId="16CB4689" w14:textId="77777777" w:rsidR="009B7F9B" w:rsidRPr="00985BB5" w:rsidRDefault="009B7F9B" w:rsidP="009B7F9B">
      <w:pPr>
        <w:spacing w:line="276" w:lineRule="auto"/>
        <w:jc w:val="both"/>
        <w:rPr>
          <w:rFonts w:ascii="Arial" w:eastAsia="Calibri" w:hAnsi="Arial" w:cs="Arial"/>
          <w:sz w:val="22"/>
        </w:rPr>
      </w:pPr>
    </w:p>
    <w:p w14:paraId="0F5DA20E" w14:textId="2B921B4B" w:rsidR="009B7F9B" w:rsidRPr="00985BB5" w:rsidRDefault="009B7F9B" w:rsidP="009B7F9B">
      <w:pPr>
        <w:spacing w:line="276" w:lineRule="auto"/>
        <w:jc w:val="both"/>
        <w:rPr>
          <w:rFonts w:ascii="Arial" w:eastAsia="Calibri" w:hAnsi="Arial" w:cs="Arial"/>
          <w:sz w:val="22"/>
        </w:rPr>
      </w:pPr>
      <w:r w:rsidRPr="00985BB5">
        <w:rPr>
          <w:rFonts w:ascii="Arial" w:eastAsia="Calibri" w:hAnsi="Arial" w:cs="Arial"/>
          <w:sz w:val="22"/>
        </w:rPr>
        <w:t xml:space="preserve">La Agencia Nacional de Contratación Pública – Colombia Compra Eficiente responde su consulta del </w:t>
      </w:r>
      <w:r w:rsidR="00B133F1" w:rsidRPr="00985BB5">
        <w:rPr>
          <w:rFonts w:ascii="Arial" w:eastAsia="Calibri" w:hAnsi="Arial" w:cs="Arial"/>
          <w:sz w:val="22"/>
        </w:rPr>
        <w:t xml:space="preserve">6 </w:t>
      </w:r>
      <w:r w:rsidRPr="00985BB5">
        <w:rPr>
          <w:rFonts w:ascii="Arial" w:eastAsia="Calibri" w:hAnsi="Arial" w:cs="Arial"/>
          <w:sz w:val="22"/>
        </w:rPr>
        <w:t xml:space="preserve">de </w:t>
      </w:r>
      <w:r w:rsidR="00B133F1" w:rsidRPr="00985BB5">
        <w:rPr>
          <w:rFonts w:ascii="Arial" w:eastAsia="Calibri" w:hAnsi="Arial" w:cs="Arial"/>
          <w:sz w:val="22"/>
        </w:rPr>
        <w:t>agosto</w:t>
      </w:r>
      <w:r w:rsidR="006E15C5" w:rsidRPr="00985BB5">
        <w:rPr>
          <w:rFonts w:ascii="Arial" w:eastAsia="Calibri" w:hAnsi="Arial" w:cs="Arial"/>
          <w:sz w:val="22"/>
        </w:rPr>
        <w:t xml:space="preserve"> </w:t>
      </w:r>
      <w:r w:rsidRPr="00985BB5">
        <w:rPr>
          <w:rFonts w:ascii="Arial" w:eastAsia="Calibri" w:hAnsi="Arial" w:cs="Arial"/>
          <w:sz w:val="22"/>
        </w:rPr>
        <w:t>de 2020, en ejercicio de la competencia otorgada por el numeral 5 del artículo 3 y por el numeral 8 del artículo 11 del Decreto 4170 de 2011.</w:t>
      </w:r>
    </w:p>
    <w:p w14:paraId="161EB3FA" w14:textId="77777777" w:rsidR="009B7F9B" w:rsidRPr="00985BB5" w:rsidRDefault="009B7F9B" w:rsidP="009B7F9B">
      <w:pPr>
        <w:spacing w:line="276" w:lineRule="auto"/>
        <w:jc w:val="both"/>
        <w:rPr>
          <w:rFonts w:ascii="Arial" w:eastAsia="Calibri" w:hAnsi="Arial" w:cs="Arial"/>
          <w:sz w:val="22"/>
        </w:rPr>
      </w:pPr>
    </w:p>
    <w:p w14:paraId="32EB3CD6" w14:textId="77777777" w:rsidR="009B7F9B" w:rsidRPr="00985BB5"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985BB5">
        <w:rPr>
          <w:rFonts w:ascii="Arial" w:eastAsia="Calibri" w:hAnsi="Arial" w:cs="Arial"/>
          <w:b/>
          <w:sz w:val="22"/>
        </w:rPr>
        <w:t>Problemas planteados</w:t>
      </w:r>
    </w:p>
    <w:p w14:paraId="0589AE5E" w14:textId="77777777" w:rsidR="009B7F9B" w:rsidRPr="00985BB5" w:rsidRDefault="009B7F9B" w:rsidP="009B7F9B">
      <w:pPr>
        <w:pStyle w:val="Prrafodelista"/>
        <w:tabs>
          <w:tab w:val="left" w:pos="284"/>
        </w:tabs>
        <w:spacing w:line="276" w:lineRule="auto"/>
        <w:ind w:left="0"/>
        <w:rPr>
          <w:rFonts w:ascii="Arial" w:eastAsia="Calibri" w:hAnsi="Arial" w:cs="Arial"/>
          <w:b/>
          <w:sz w:val="22"/>
        </w:rPr>
      </w:pPr>
    </w:p>
    <w:p w14:paraId="0DF310B6" w14:textId="63ED871C" w:rsidR="009B7F9B" w:rsidRPr="00985BB5" w:rsidRDefault="00BA740B" w:rsidP="009B7F9B">
      <w:pPr>
        <w:autoSpaceDE w:val="0"/>
        <w:autoSpaceDN w:val="0"/>
        <w:adjustRightInd w:val="0"/>
        <w:spacing w:line="276" w:lineRule="auto"/>
        <w:jc w:val="both"/>
        <w:rPr>
          <w:rFonts w:ascii="Arial" w:hAnsi="Arial" w:cs="Arial"/>
          <w:sz w:val="22"/>
          <w:lang w:val="es-CO"/>
        </w:rPr>
      </w:pPr>
      <w:bookmarkStart w:id="5" w:name="_Hlk44670585"/>
      <w:r w:rsidRPr="00985BB5">
        <w:rPr>
          <w:rFonts w:ascii="Arial" w:eastAsia="Calibri" w:hAnsi="Arial" w:cs="Arial"/>
          <w:sz w:val="22"/>
        </w:rPr>
        <w:t xml:space="preserve">En la petición, usted </w:t>
      </w:r>
      <w:r w:rsidR="00B133F1" w:rsidRPr="00985BB5">
        <w:rPr>
          <w:rFonts w:ascii="Arial" w:eastAsia="Calibri" w:hAnsi="Arial" w:cs="Arial"/>
          <w:sz w:val="22"/>
        </w:rPr>
        <w:t>formula la siguiente pregunta</w:t>
      </w:r>
      <w:r w:rsidR="00752F9B" w:rsidRPr="00985BB5">
        <w:rPr>
          <w:rFonts w:ascii="Arial" w:eastAsia="Calibri" w:hAnsi="Arial" w:cs="Arial"/>
          <w:sz w:val="22"/>
        </w:rPr>
        <w:t>:</w:t>
      </w:r>
      <w:r w:rsidR="009B7F9B" w:rsidRPr="00985BB5">
        <w:rPr>
          <w:rFonts w:ascii="Arial" w:eastAsia="Calibri" w:hAnsi="Arial" w:cs="Arial"/>
          <w:sz w:val="22"/>
        </w:rPr>
        <w:t xml:space="preserve"> </w:t>
      </w:r>
      <w:bookmarkStart w:id="6" w:name="_Hlk40095622"/>
      <w:r w:rsidR="009B7F9B" w:rsidRPr="00985BB5">
        <w:rPr>
          <w:rFonts w:ascii="Arial" w:eastAsia="Calibri" w:hAnsi="Arial" w:cs="Arial"/>
          <w:sz w:val="22"/>
        </w:rPr>
        <w:t xml:space="preserve">«[…] </w:t>
      </w:r>
      <w:r w:rsidR="00B133F1" w:rsidRPr="00985BB5">
        <w:rPr>
          <w:rFonts w:ascii="Arial" w:hAnsi="Arial" w:cs="Arial"/>
          <w:sz w:val="22"/>
          <w:lang w:val="es-CO"/>
        </w:rPr>
        <w:t xml:space="preserve">Una entidad estatal que se encuentra adelantando un proceso de selección bajo la modalidad de Mínima cuantía, debe o no publicar en el </w:t>
      </w:r>
      <w:proofErr w:type="spellStart"/>
      <w:r w:rsidR="00B133F1" w:rsidRPr="00985BB5">
        <w:rPr>
          <w:rFonts w:ascii="Arial" w:hAnsi="Arial" w:cs="Arial"/>
          <w:sz w:val="22"/>
          <w:lang w:val="es-CO"/>
        </w:rPr>
        <w:t>Secop</w:t>
      </w:r>
      <w:proofErr w:type="spellEnd"/>
      <w:r w:rsidR="00B133F1" w:rsidRPr="00985BB5">
        <w:rPr>
          <w:rFonts w:ascii="Arial" w:hAnsi="Arial" w:cs="Arial"/>
          <w:sz w:val="22"/>
          <w:lang w:val="es-CO"/>
        </w:rPr>
        <w:t xml:space="preserve"> II, las aclaraciones solicitadas por la entidad, y dadas por un proponente en la cual presenta un desagregado de sus costos, explicación y/o aclaración frente al precio de su oferta, que se presume como un precio artificialmente bajo?, o ésta aclaración que presenta el proponente de sus costos, es confidencial, o goza de reserva legal? </w:t>
      </w:r>
      <w:r w:rsidR="009B7F9B" w:rsidRPr="00985BB5">
        <w:rPr>
          <w:rFonts w:ascii="Arial" w:hAnsi="Arial" w:cs="Arial"/>
          <w:sz w:val="22"/>
          <w:lang w:val="es-CO"/>
        </w:rPr>
        <w:t>[…]».</w:t>
      </w:r>
      <w:bookmarkEnd w:id="5"/>
      <w:bookmarkEnd w:id="6"/>
    </w:p>
    <w:p w14:paraId="1478A7F5" w14:textId="77777777" w:rsidR="009B7F9B" w:rsidRPr="00985BB5" w:rsidRDefault="009B7F9B" w:rsidP="009B7F9B">
      <w:pPr>
        <w:spacing w:line="276" w:lineRule="auto"/>
        <w:ind w:left="709" w:right="709"/>
        <w:jc w:val="both"/>
        <w:rPr>
          <w:rFonts w:ascii="Arial" w:eastAsia="Calibri" w:hAnsi="Arial" w:cs="Arial"/>
          <w:sz w:val="21"/>
          <w:szCs w:val="21"/>
        </w:rPr>
      </w:pPr>
    </w:p>
    <w:p w14:paraId="73D03073" w14:textId="079E6BD8" w:rsidR="009B7F9B" w:rsidRPr="00985BB5"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985BB5">
        <w:rPr>
          <w:rFonts w:ascii="Arial" w:eastAsia="Calibri" w:hAnsi="Arial" w:cs="Arial"/>
          <w:b/>
          <w:sz w:val="22"/>
        </w:rPr>
        <w:t>Consideraciones</w:t>
      </w:r>
    </w:p>
    <w:p w14:paraId="639BF164" w14:textId="708884CF" w:rsidR="008C0579" w:rsidRPr="00985BB5" w:rsidRDefault="008C0579" w:rsidP="008C0579">
      <w:pPr>
        <w:pStyle w:val="Prrafodelista"/>
        <w:tabs>
          <w:tab w:val="left" w:pos="284"/>
        </w:tabs>
        <w:spacing w:line="276" w:lineRule="auto"/>
        <w:ind w:left="0"/>
        <w:rPr>
          <w:rFonts w:ascii="Arial" w:eastAsia="Calibri" w:hAnsi="Arial" w:cs="Arial"/>
          <w:b/>
          <w:sz w:val="22"/>
        </w:rPr>
      </w:pPr>
    </w:p>
    <w:p w14:paraId="405BE03A" w14:textId="4AEE1948" w:rsidR="008C0579" w:rsidRPr="00985BB5" w:rsidRDefault="008C0579" w:rsidP="008C0579">
      <w:pPr>
        <w:pStyle w:val="Prrafodelista"/>
        <w:tabs>
          <w:tab w:val="left" w:pos="284"/>
        </w:tabs>
        <w:spacing w:after="120" w:line="276" w:lineRule="auto"/>
        <w:ind w:left="0"/>
        <w:jc w:val="both"/>
        <w:rPr>
          <w:rFonts w:ascii="Arial" w:eastAsia="Calibri" w:hAnsi="Arial" w:cs="Arial"/>
          <w:b/>
          <w:sz w:val="22"/>
        </w:rPr>
      </w:pPr>
      <w:r w:rsidRPr="00985BB5">
        <w:rPr>
          <w:rFonts w:ascii="Arial" w:eastAsia="Calibri" w:hAnsi="Arial" w:cs="Arial"/>
          <w:sz w:val="22"/>
          <w:lang w:val="es-ES"/>
        </w:rPr>
        <w:t xml:space="preserve">La Agencia Nacional de Contratación Pública – Colombia Compra Eficiente ha tenido la oportunidad de estudiar en diferentes ocasiones los temas que se abordarán en el presente concepto, relacionados con la publicación de documentación contractual en la plataforma </w:t>
      </w:r>
      <w:r w:rsidRPr="00985BB5">
        <w:rPr>
          <w:rFonts w:ascii="Arial" w:eastAsia="Calibri" w:hAnsi="Arial" w:cs="Arial"/>
          <w:sz w:val="22"/>
          <w:lang w:val="es-ES"/>
        </w:rPr>
        <w:lastRenderedPageBreak/>
        <w:t>SECOP I. Así en el concepto con radicado No. 4201912000007253 del 4 de diciembre de 2019, reiterado en el concepto con radicado No. 4201912000007289 de la misma fecha, así como en el C-336 del 2 de junio de 2020, donde se estudió la publicidad de los procedimientos contractuales en el SECOP 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estudiaron temas como el SECOP I como medio de publicidad de las actuaciones contractuales y los documentos que deben publicarse en esta plataforma. Las posiciones expuestas en estos conceptos fueron unificadas en el concepto CU-367 del 23 de julio de 2020,</w:t>
      </w:r>
      <w:r w:rsidR="0069776B" w:rsidRPr="00985BB5">
        <w:rPr>
          <w:rFonts w:ascii="Arial" w:eastAsia="Calibri" w:hAnsi="Arial" w:cs="Arial"/>
          <w:sz w:val="22"/>
          <w:lang w:val="es-ES"/>
        </w:rPr>
        <w:t xml:space="preserve"> reiterado por los conceptos C-433 y C-474 del 24 de julio de 2020, </w:t>
      </w:r>
      <w:proofErr w:type="spellStart"/>
      <w:r w:rsidR="0069776B" w:rsidRPr="00985BB5">
        <w:rPr>
          <w:rFonts w:ascii="Arial" w:eastAsia="Calibri" w:hAnsi="Arial" w:cs="Arial"/>
          <w:sz w:val="22"/>
          <w:lang w:val="es-ES"/>
        </w:rPr>
        <w:t>asi</w:t>
      </w:r>
      <w:proofErr w:type="spellEnd"/>
      <w:r w:rsidR="0069776B" w:rsidRPr="00985BB5">
        <w:rPr>
          <w:rFonts w:ascii="Arial" w:eastAsia="Calibri" w:hAnsi="Arial" w:cs="Arial"/>
          <w:sz w:val="22"/>
          <w:lang w:val="es-ES"/>
        </w:rPr>
        <w:t xml:space="preserve"> como en el C-508 del 31 de julio de 2020. La tesis unificada</w:t>
      </w:r>
      <w:r w:rsidRPr="00985BB5">
        <w:rPr>
          <w:rFonts w:ascii="Arial" w:eastAsia="Calibri" w:hAnsi="Arial" w:cs="Arial"/>
          <w:sz w:val="22"/>
          <w:lang w:val="es-ES"/>
        </w:rPr>
        <w:t xml:space="preserve"> se reitera en el presente concepto.</w:t>
      </w:r>
    </w:p>
    <w:p w14:paraId="64DB223C" w14:textId="58DDADD3" w:rsidR="009B7F9B" w:rsidRPr="00985BB5" w:rsidRDefault="008C0579" w:rsidP="009B7F9B">
      <w:pPr>
        <w:widowControl w:val="0"/>
        <w:tabs>
          <w:tab w:val="left" w:pos="728"/>
        </w:tabs>
        <w:autoSpaceDE w:val="0"/>
        <w:autoSpaceDN w:val="0"/>
        <w:spacing w:after="120" w:line="276" w:lineRule="auto"/>
        <w:jc w:val="both"/>
        <w:rPr>
          <w:rFonts w:ascii="Arial" w:eastAsia="Arial" w:hAnsi="Arial" w:cs="Arial"/>
          <w:sz w:val="22"/>
          <w:lang w:val="es-ES"/>
        </w:rPr>
      </w:pPr>
      <w:r w:rsidRPr="00985BB5">
        <w:rPr>
          <w:rFonts w:ascii="Arial" w:eastAsia="Arial" w:hAnsi="Arial" w:cs="Arial"/>
          <w:sz w:val="22"/>
          <w:lang w:val="es-ES"/>
        </w:rPr>
        <w:tab/>
      </w:r>
      <w:r w:rsidR="009B7F9B" w:rsidRPr="00985BB5">
        <w:rPr>
          <w:rFonts w:ascii="Arial" w:eastAsia="Arial" w:hAnsi="Arial" w:cs="Arial"/>
          <w:sz w:val="22"/>
          <w:lang w:val="es-ES"/>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w:t>
      </w:r>
    </w:p>
    <w:p w14:paraId="45BD47BD" w14:textId="77777777" w:rsidR="009B7F9B" w:rsidRPr="00985BB5"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985BB5">
        <w:rPr>
          <w:rFonts w:ascii="Arial" w:eastAsia="Arial" w:hAnsi="Arial" w:cs="Arial"/>
          <w:sz w:val="22"/>
          <w:lang w:val="es-ES"/>
        </w:rPr>
        <w:tab/>
        <w:t>En ese sentido, teniendo en cuenta que mediante los procedimientos contractuales las entidades ejecutan recursos públicos y satisfacen el interés general, la normativa del sistema de compra pública –Ley 80 de 1993, Ley 1150 de 2007 y Decreto 1082 de 2015–, contiene los principios y procedimientos que rigen los contratos de las entidades estatales. Específicamente, el Estatuto General de Contratación de la Administración Pública –Ley 80 de 1993– se dirige a las entidades estatales que están relacionadas en su artículo 2</w:t>
      </w:r>
      <w:r w:rsidRPr="00985BB5">
        <w:rPr>
          <w:rFonts w:ascii="Arial" w:eastAsia="Arial" w:hAnsi="Arial" w:cs="Arial"/>
          <w:sz w:val="22"/>
          <w:vertAlign w:val="superscript"/>
          <w:lang w:val="es-ES"/>
        </w:rPr>
        <w:footnoteReference w:id="1"/>
      </w:r>
      <w:r w:rsidRPr="00985BB5">
        <w:rPr>
          <w:rFonts w:ascii="Arial" w:eastAsia="Arial" w:hAnsi="Arial" w:cs="Arial"/>
          <w:sz w:val="22"/>
          <w:lang w:val="es-ES"/>
        </w:rPr>
        <w:t xml:space="preserve">, </w:t>
      </w:r>
      <w:proofErr w:type="gramStart"/>
      <w:r w:rsidRPr="00985BB5">
        <w:rPr>
          <w:rFonts w:ascii="Arial" w:eastAsia="Arial" w:hAnsi="Arial" w:cs="Arial"/>
          <w:sz w:val="22"/>
          <w:lang w:val="es-ES"/>
        </w:rPr>
        <w:t>con  lo</w:t>
      </w:r>
      <w:proofErr w:type="gramEnd"/>
      <w:r w:rsidRPr="00985BB5">
        <w:rPr>
          <w:rFonts w:ascii="Arial" w:eastAsia="Arial" w:hAnsi="Arial" w:cs="Arial"/>
          <w:sz w:val="22"/>
          <w:lang w:val="es-ES"/>
        </w:rPr>
        <w:t xml:space="preserve"> cual se puede determinar quiénes deben cumplir los principios y obligaciones señalados </w:t>
      </w:r>
      <w:r w:rsidRPr="00985BB5">
        <w:rPr>
          <w:rFonts w:ascii="Arial" w:eastAsia="Arial" w:hAnsi="Arial" w:cs="Arial"/>
          <w:sz w:val="22"/>
          <w:lang w:val="es-ES"/>
        </w:rPr>
        <w:lastRenderedPageBreak/>
        <w:t>en las normas citadas.</w:t>
      </w:r>
    </w:p>
    <w:p w14:paraId="097605BD" w14:textId="77777777" w:rsidR="009B7F9B" w:rsidRPr="00985BB5"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985BB5">
        <w:rPr>
          <w:rFonts w:ascii="Arial" w:eastAsia="Arial" w:hAnsi="Arial" w:cs="Arial"/>
          <w:sz w:val="22"/>
          <w:lang w:val="es-ES"/>
        </w:rPr>
        <w:tab/>
        <w:t>El artículo 23 de la Ley 80 de 1993 regula los principios que rigen las actuaciones dentro de los procedimientos contractuales que adelantan las entidades</w:t>
      </w:r>
      <w:r w:rsidRPr="00985BB5">
        <w:rPr>
          <w:rFonts w:ascii="Arial" w:eastAsia="Arial" w:hAnsi="Arial" w:cs="Arial"/>
          <w:sz w:val="22"/>
          <w:vertAlign w:val="superscript"/>
          <w:lang w:val="es-ES"/>
        </w:rPr>
        <w:footnoteReference w:id="2"/>
      </w:r>
      <w:r w:rsidRPr="00985BB5">
        <w:rPr>
          <w:rFonts w:ascii="Arial" w:eastAsia="Arial" w:hAnsi="Arial" w:cs="Arial"/>
          <w:sz w:val="22"/>
          <w:lang w:val="es-ES"/>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sidRPr="00985BB5">
        <w:rPr>
          <w:rFonts w:ascii="Arial" w:eastAsia="Arial" w:hAnsi="Arial" w:cs="Arial"/>
          <w:sz w:val="22"/>
          <w:vertAlign w:val="superscript"/>
          <w:lang w:val="es-ES"/>
        </w:rPr>
        <w:footnoteReference w:id="3"/>
      </w:r>
      <w:r w:rsidRPr="00985BB5">
        <w:rPr>
          <w:rFonts w:ascii="Arial" w:eastAsia="Arial" w:hAnsi="Arial" w:cs="Arial"/>
          <w:sz w:val="22"/>
          <w:lang w:val="es-ES"/>
        </w:rPr>
        <w:t>. De esta forma, las entidades estatales deben publicar sus actuaciones de los procedimientos contractuales en el medio que ha definido el Estado para tal fin.</w:t>
      </w:r>
    </w:p>
    <w:p w14:paraId="0FC6E29A" w14:textId="79209BF1" w:rsidR="009B7F9B" w:rsidRPr="00985BB5" w:rsidRDefault="009B7F9B" w:rsidP="009B7F9B">
      <w:pPr>
        <w:widowControl w:val="0"/>
        <w:tabs>
          <w:tab w:val="left" w:pos="728"/>
        </w:tabs>
        <w:autoSpaceDE w:val="0"/>
        <w:autoSpaceDN w:val="0"/>
        <w:spacing w:line="276" w:lineRule="auto"/>
        <w:jc w:val="both"/>
        <w:rPr>
          <w:rFonts w:ascii="Arial" w:eastAsia="Arial" w:hAnsi="Arial" w:cs="Arial"/>
          <w:sz w:val="22"/>
          <w:lang w:val="es-ES"/>
        </w:rPr>
      </w:pPr>
      <w:r w:rsidRPr="00985BB5">
        <w:rPr>
          <w:rFonts w:ascii="Arial" w:eastAsia="Arial" w:hAnsi="Arial" w:cs="Arial"/>
          <w:sz w:val="22"/>
          <w:lang w:val="es-ES"/>
        </w:rPr>
        <w:tab/>
        <w:t xml:space="preserve">Para resolver su consulta relacionada con la publicidad en el SECOP: i) en primer lugar se desarrollará el marco normativo de los procedimientos contractuales y su publicidad; y </w:t>
      </w:r>
      <w:proofErr w:type="spellStart"/>
      <w:r w:rsidRPr="00985BB5">
        <w:rPr>
          <w:rFonts w:ascii="Arial" w:eastAsia="Arial" w:hAnsi="Arial" w:cs="Arial"/>
          <w:sz w:val="22"/>
          <w:lang w:val="es-ES"/>
        </w:rPr>
        <w:t>ii</w:t>
      </w:r>
      <w:proofErr w:type="spellEnd"/>
      <w:r w:rsidRPr="00985BB5">
        <w:rPr>
          <w:rFonts w:ascii="Arial" w:eastAsia="Arial" w:hAnsi="Arial" w:cs="Arial"/>
          <w:sz w:val="22"/>
          <w:lang w:val="es-ES"/>
        </w:rPr>
        <w:t>) se señalarán los documentos que se deben publicar en el SECOP</w:t>
      </w:r>
      <w:r w:rsidR="008C0579" w:rsidRPr="00985BB5">
        <w:rPr>
          <w:rFonts w:ascii="Arial" w:eastAsia="Arial" w:hAnsi="Arial" w:cs="Arial"/>
          <w:sz w:val="22"/>
          <w:lang w:val="es-ES"/>
        </w:rPr>
        <w:t xml:space="preserve"> I, conforme a la tesis expuesta por esta Agencia en el concepto CU-</w:t>
      </w:r>
      <w:r w:rsidR="00107E4D" w:rsidRPr="00985BB5">
        <w:rPr>
          <w:rFonts w:ascii="Arial" w:eastAsia="Arial" w:hAnsi="Arial" w:cs="Arial"/>
          <w:sz w:val="22"/>
          <w:lang w:val="es-ES"/>
        </w:rPr>
        <w:t>367 del 23 de julio de 2020</w:t>
      </w:r>
      <w:r w:rsidRPr="00985BB5">
        <w:rPr>
          <w:rFonts w:ascii="Arial" w:eastAsia="Arial" w:hAnsi="Arial" w:cs="Arial"/>
          <w:sz w:val="22"/>
          <w:lang w:val="es-ES"/>
        </w:rPr>
        <w:t>.</w:t>
      </w:r>
    </w:p>
    <w:p w14:paraId="5BEFF799" w14:textId="77777777" w:rsidR="009B7F9B" w:rsidRPr="00985BB5" w:rsidRDefault="009B7F9B" w:rsidP="009B7F9B">
      <w:pPr>
        <w:widowControl w:val="0"/>
        <w:tabs>
          <w:tab w:val="left" w:pos="728"/>
        </w:tabs>
        <w:autoSpaceDE w:val="0"/>
        <w:autoSpaceDN w:val="0"/>
        <w:spacing w:line="276" w:lineRule="auto"/>
        <w:jc w:val="both"/>
        <w:rPr>
          <w:rFonts w:ascii="Arial" w:eastAsia="Arial" w:hAnsi="Arial" w:cs="Arial"/>
          <w:sz w:val="22"/>
          <w:lang w:val="es-ES"/>
        </w:rPr>
      </w:pPr>
    </w:p>
    <w:p w14:paraId="1FFA97A1" w14:textId="05B2939F" w:rsidR="009B7F9B" w:rsidRPr="00985BB5" w:rsidRDefault="009B7F9B" w:rsidP="00D12042">
      <w:pPr>
        <w:pStyle w:val="Prrafodelista"/>
        <w:widowControl w:val="0"/>
        <w:numPr>
          <w:ilvl w:val="1"/>
          <w:numId w:val="8"/>
        </w:numPr>
        <w:tabs>
          <w:tab w:val="left" w:pos="728"/>
        </w:tabs>
        <w:autoSpaceDE w:val="0"/>
        <w:autoSpaceDN w:val="0"/>
        <w:spacing w:line="276" w:lineRule="auto"/>
        <w:ind w:left="709"/>
        <w:jc w:val="both"/>
        <w:rPr>
          <w:rFonts w:ascii="Arial" w:eastAsia="Arial" w:hAnsi="Arial" w:cs="Arial"/>
          <w:b/>
          <w:bCs/>
          <w:sz w:val="22"/>
          <w:lang w:val="es-ES"/>
        </w:rPr>
      </w:pPr>
      <w:r w:rsidRPr="00985BB5">
        <w:rPr>
          <w:rFonts w:ascii="Arial" w:eastAsia="Arial" w:hAnsi="Arial" w:cs="Arial"/>
          <w:b/>
          <w:bCs/>
          <w:sz w:val="22"/>
          <w:lang w:val="es-ES"/>
        </w:rPr>
        <w:t xml:space="preserve">Principio de publicidad y acceso a la información pública </w:t>
      </w:r>
    </w:p>
    <w:p w14:paraId="618C0518" w14:textId="77777777" w:rsidR="00107E4D" w:rsidRPr="00985BB5" w:rsidRDefault="00107E4D" w:rsidP="00107E4D">
      <w:pPr>
        <w:pStyle w:val="Prrafodelista"/>
        <w:widowControl w:val="0"/>
        <w:tabs>
          <w:tab w:val="left" w:pos="728"/>
        </w:tabs>
        <w:autoSpaceDE w:val="0"/>
        <w:autoSpaceDN w:val="0"/>
        <w:spacing w:line="276" w:lineRule="auto"/>
        <w:ind w:left="1080"/>
        <w:jc w:val="both"/>
        <w:rPr>
          <w:rFonts w:ascii="Arial" w:eastAsia="Arial" w:hAnsi="Arial" w:cs="Arial"/>
          <w:b/>
          <w:bCs/>
          <w:sz w:val="22"/>
          <w:lang w:val="es-ES"/>
        </w:rPr>
      </w:pPr>
    </w:p>
    <w:p w14:paraId="53BF6E87" w14:textId="77777777" w:rsidR="00107E4D" w:rsidRPr="00985BB5" w:rsidRDefault="00107E4D" w:rsidP="00107E4D">
      <w:pPr>
        <w:widowControl w:val="0"/>
        <w:tabs>
          <w:tab w:val="left" w:pos="728"/>
        </w:tabs>
        <w:autoSpaceDE w:val="0"/>
        <w:autoSpaceDN w:val="0"/>
        <w:spacing w:line="276" w:lineRule="auto"/>
        <w:jc w:val="both"/>
        <w:rPr>
          <w:rFonts w:ascii="Arial" w:eastAsia="Arial" w:hAnsi="Arial" w:cs="Arial"/>
          <w:b/>
          <w:sz w:val="22"/>
          <w:lang w:val="es-ES"/>
        </w:rPr>
      </w:pPr>
      <w:r w:rsidRPr="00985BB5">
        <w:rPr>
          <w:rFonts w:ascii="Arial" w:eastAsia="Arial" w:hAnsi="Arial" w:cs="Arial"/>
          <w:sz w:val="22"/>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72001239" w14:textId="77777777" w:rsidR="00107E4D" w:rsidRPr="00985BB5"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1F787B9B" w14:textId="0AAC69B0" w:rsidR="00107E4D" w:rsidRPr="00985BB5" w:rsidRDefault="00107E4D" w:rsidP="009B3335">
      <w:pPr>
        <w:widowControl w:val="0"/>
        <w:tabs>
          <w:tab w:val="left" w:pos="728"/>
        </w:tabs>
        <w:autoSpaceDE w:val="0"/>
        <w:autoSpaceDN w:val="0"/>
        <w:spacing w:after="120"/>
        <w:ind w:left="709" w:right="709"/>
        <w:jc w:val="both"/>
        <w:rPr>
          <w:rFonts w:ascii="Arial" w:eastAsia="Arial" w:hAnsi="Arial" w:cs="Arial"/>
          <w:sz w:val="21"/>
          <w:szCs w:val="21"/>
          <w:lang w:val="es-ES"/>
        </w:rPr>
      </w:pPr>
      <w:r w:rsidRPr="00985BB5">
        <w:rPr>
          <w:rFonts w:ascii="Arial" w:eastAsia="Arial" w:hAnsi="Arial" w:cs="Arial"/>
          <w:sz w:val="21"/>
          <w:szCs w:val="21"/>
          <w:lang w:val="es-ES"/>
        </w:rPr>
        <w:t xml:space="preserve">El principio de publicidad se encuentra consagrado en el artículo 209 de la Constitución Política, que señala que la función administrativa está al servicio de los intereses generales y se desarrolla con fundamento entre otros, en el </w:t>
      </w:r>
      <w:r w:rsidRPr="00985BB5">
        <w:rPr>
          <w:rFonts w:ascii="Arial" w:eastAsia="Arial" w:hAnsi="Arial" w:cs="Arial"/>
          <w:sz w:val="21"/>
          <w:szCs w:val="21"/>
          <w:lang w:val="es-ES"/>
        </w:rPr>
        <w:lastRenderedPageBreak/>
        <w:t>«principio de publicidad», el cual se evidencia en dos dimensiones.</w:t>
      </w:r>
    </w:p>
    <w:p w14:paraId="6C2AB5E2" w14:textId="77777777" w:rsidR="00107E4D" w:rsidRPr="00985BB5" w:rsidRDefault="00107E4D" w:rsidP="00107E4D">
      <w:pPr>
        <w:widowControl w:val="0"/>
        <w:tabs>
          <w:tab w:val="left" w:pos="728"/>
        </w:tabs>
        <w:autoSpaceDE w:val="0"/>
        <w:autoSpaceDN w:val="0"/>
        <w:ind w:left="709" w:right="709"/>
        <w:jc w:val="both"/>
        <w:rPr>
          <w:rFonts w:ascii="Arial" w:eastAsia="Arial" w:hAnsi="Arial" w:cs="Arial"/>
          <w:sz w:val="21"/>
          <w:szCs w:val="21"/>
          <w:lang w:val="es-ES"/>
        </w:rPr>
      </w:pPr>
      <w:r w:rsidRPr="00985BB5">
        <w:rPr>
          <w:rFonts w:ascii="Arial" w:eastAsia="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985BB5">
        <w:rPr>
          <w:rFonts w:ascii="Arial" w:eastAsia="Arial" w:hAnsi="Arial" w:cs="Arial"/>
          <w:sz w:val="21"/>
          <w:szCs w:val="21"/>
          <w:lang w:val="es-ES"/>
        </w:rPr>
        <w:t>autoridades públicas</w:t>
      </w:r>
      <w:proofErr w:type="gramEnd"/>
      <w:r w:rsidRPr="00985BB5">
        <w:rPr>
          <w:rFonts w:ascii="Arial" w:eastAsia="Arial" w:hAnsi="Arial" w:cs="Arial"/>
          <w:sz w:val="21"/>
          <w:szCs w:val="21"/>
          <w:lang w:val="es-ES"/>
        </w:rPr>
        <w:t xml:space="preserve"> y, a través de ese conocimiento, a exigir que ellas se surtan conforme a la ley</w:t>
      </w:r>
      <w:r w:rsidRPr="00985BB5">
        <w:rPr>
          <w:rFonts w:ascii="Arial" w:eastAsia="Arial" w:hAnsi="Arial" w:cs="Arial"/>
          <w:sz w:val="21"/>
          <w:szCs w:val="21"/>
          <w:vertAlign w:val="superscript"/>
          <w:lang w:val="es-ES"/>
        </w:rPr>
        <w:footnoteReference w:id="4"/>
      </w:r>
      <w:r w:rsidRPr="00985BB5">
        <w:rPr>
          <w:rFonts w:ascii="Arial" w:eastAsia="Arial" w:hAnsi="Arial" w:cs="Arial"/>
          <w:sz w:val="21"/>
          <w:szCs w:val="21"/>
          <w:lang w:val="es-ES"/>
        </w:rPr>
        <w:t>.</w:t>
      </w:r>
    </w:p>
    <w:p w14:paraId="3D90915E" w14:textId="77777777" w:rsidR="00107E4D" w:rsidRPr="00985BB5"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6E259D23" w14:textId="77777777" w:rsidR="00107E4D" w:rsidRPr="00985BB5"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985BB5">
        <w:rPr>
          <w:rFonts w:ascii="Arial" w:eastAsia="Arial" w:hAnsi="Arial" w:cs="Arial"/>
          <w:sz w:val="22"/>
          <w:lang w:val="es-ES"/>
        </w:rPr>
        <w:tab/>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985BB5">
        <w:rPr>
          <w:rFonts w:ascii="Arial" w:eastAsia="Arial" w:hAnsi="Arial" w:cs="Arial"/>
          <w:sz w:val="22"/>
          <w:vertAlign w:val="superscript"/>
          <w:lang w:val="es-ES"/>
        </w:rPr>
        <w:footnoteReference w:id="5"/>
      </w:r>
      <w:r w:rsidRPr="00985BB5">
        <w:rPr>
          <w:rFonts w:ascii="Arial" w:eastAsia="Arial" w:hAnsi="Arial" w:cs="Arial"/>
          <w:sz w:val="22"/>
          <w:lang w:val="es-ES"/>
        </w:rPr>
        <w:t xml:space="preserve">. </w:t>
      </w:r>
    </w:p>
    <w:p w14:paraId="340A2753" w14:textId="77777777" w:rsidR="00107E4D" w:rsidRPr="00985BB5"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985BB5">
        <w:rPr>
          <w:rFonts w:ascii="Arial" w:eastAsia="Arial" w:hAnsi="Arial" w:cs="Arial"/>
          <w:sz w:val="22"/>
          <w:lang w:val="es-ES"/>
        </w:rPr>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985BB5">
        <w:rPr>
          <w:rFonts w:ascii="Arial" w:eastAsia="Arial" w:hAnsi="Arial" w:cs="Arial"/>
          <w:sz w:val="22"/>
          <w:vertAlign w:val="superscript"/>
          <w:lang w:val="es-ES"/>
        </w:rPr>
        <w:footnoteReference w:id="6"/>
      </w:r>
      <w:r w:rsidRPr="00985BB5">
        <w:rPr>
          <w:rFonts w:ascii="Arial" w:eastAsia="Arial" w:hAnsi="Arial" w:cs="Arial"/>
          <w:sz w:val="22"/>
          <w:lang w:val="es-ES"/>
        </w:rPr>
        <w:t xml:space="preserve">. El principio de transparencia en la información alude al deber de los sujetos de proporcionar y facilitar el acceso a la misma en los términos más amplios </w:t>
      </w:r>
      <w:r w:rsidRPr="00985BB5">
        <w:rPr>
          <w:rFonts w:ascii="Arial" w:eastAsia="Arial" w:hAnsi="Arial" w:cs="Arial"/>
          <w:sz w:val="22"/>
          <w:lang w:val="es-ES"/>
        </w:rPr>
        <w:lastRenderedPageBreak/>
        <w:t xml:space="preserve">posibles, y a través de los medios y procedimientos que establezca la ley. </w:t>
      </w:r>
    </w:p>
    <w:p w14:paraId="04936C4E" w14:textId="77777777" w:rsidR="00107E4D" w:rsidRPr="00985BB5"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985BB5">
        <w:rPr>
          <w:rFonts w:ascii="Arial" w:eastAsia="Arial" w:hAnsi="Arial" w:cs="Arial"/>
          <w:sz w:val="22"/>
          <w:lang w:val="es-ES"/>
        </w:rPr>
        <w:tab/>
        <w:t>La ley citada establece, en el literal e) del artículo 9, que los sujetos obligados, que son todas las entidades públicas</w:t>
      </w:r>
      <w:r w:rsidRPr="00985BB5">
        <w:rPr>
          <w:rFonts w:ascii="Arial" w:eastAsia="Arial" w:hAnsi="Arial" w:cs="Arial"/>
          <w:sz w:val="22"/>
          <w:vertAlign w:val="superscript"/>
          <w:lang w:val="es-ES"/>
        </w:rPr>
        <w:footnoteReference w:id="7"/>
      </w:r>
      <w:r w:rsidRPr="00985BB5">
        <w:rPr>
          <w:rFonts w:ascii="Arial" w:eastAsia="Arial" w:hAnsi="Arial" w:cs="Arial"/>
          <w:sz w:val="22"/>
          <w:lang w:val="es-ES"/>
        </w:rPr>
        <w:t xml:space="preserve">, deben publicar la información relativa a su contratación. Esta obligación </w:t>
      </w:r>
      <w:proofErr w:type="gramStart"/>
      <w:r w:rsidRPr="00985BB5">
        <w:rPr>
          <w:rFonts w:ascii="Arial" w:eastAsia="Arial" w:hAnsi="Arial" w:cs="Arial"/>
          <w:sz w:val="22"/>
          <w:lang w:val="es-ES"/>
        </w:rPr>
        <w:t>fue  en</w:t>
      </w:r>
      <w:proofErr w:type="gramEnd"/>
      <w:r w:rsidRPr="00985BB5">
        <w:rPr>
          <w:rFonts w:ascii="Arial" w:eastAsia="Arial" w:hAnsi="Arial" w:cs="Arial"/>
          <w:sz w:val="22"/>
          <w:lang w:val="es-ES"/>
        </w:rPr>
        <w:t xml:space="preserve"> principio desarrollada por el  Decreto 103 de 2015, hoy compilado en el Decreto Único Reglamentario 1081 de 2015</w:t>
      </w:r>
      <w:r w:rsidRPr="00985BB5">
        <w:rPr>
          <w:rFonts w:ascii="Arial" w:eastAsia="Arial" w:hAnsi="Arial" w:cs="Arial"/>
          <w:sz w:val="22"/>
          <w:vertAlign w:val="superscript"/>
          <w:lang w:val="es-ES"/>
        </w:rPr>
        <w:footnoteReference w:id="8"/>
      </w:r>
      <w:r w:rsidRPr="00985BB5">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26AE94F3" w14:textId="77777777" w:rsidR="00107E4D" w:rsidRPr="00985BB5"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985BB5">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1294F2FD" w14:textId="77777777" w:rsidR="00107E4D" w:rsidRPr="00985BB5"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985BB5">
        <w:rPr>
          <w:rFonts w:ascii="Arial" w:eastAsia="Arial" w:hAnsi="Arial" w:cs="Arial"/>
          <w:sz w:val="22"/>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985BB5">
        <w:rPr>
          <w:rFonts w:ascii="Arial" w:eastAsia="Arial" w:hAnsi="Arial" w:cs="Arial"/>
          <w:sz w:val="22"/>
          <w:vertAlign w:val="superscript"/>
          <w:lang w:val="es-ES"/>
        </w:rPr>
        <w:footnoteReference w:id="9"/>
      </w:r>
      <w:r w:rsidRPr="00985BB5">
        <w:rPr>
          <w:rFonts w:ascii="Arial" w:eastAsia="Arial" w:hAnsi="Arial" w:cs="Arial"/>
          <w:sz w:val="22"/>
          <w:lang w:val="es-ES"/>
        </w:rPr>
        <w:t>.</w:t>
      </w:r>
    </w:p>
    <w:p w14:paraId="773A9D0A" w14:textId="77777777" w:rsidR="00107E4D" w:rsidRPr="00985BB5" w:rsidRDefault="00107E4D" w:rsidP="00107E4D">
      <w:pPr>
        <w:widowControl w:val="0"/>
        <w:tabs>
          <w:tab w:val="left" w:pos="728"/>
        </w:tabs>
        <w:autoSpaceDE w:val="0"/>
        <w:autoSpaceDN w:val="0"/>
        <w:spacing w:line="276" w:lineRule="auto"/>
        <w:jc w:val="both"/>
        <w:rPr>
          <w:rFonts w:ascii="Arial" w:hAnsi="Arial" w:cs="Arial"/>
          <w:sz w:val="22"/>
          <w:lang w:val="es-ES"/>
        </w:rPr>
      </w:pPr>
      <w:r w:rsidRPr="00985BB5">
        <w:rPr>
          <w:rFonts w:ascii="Arial" w:eastAsia="Arial" w:hAnsi="Arial" w:cs="Arial"/>
          <w:sz w:val="22"/>
          <w:lang w:val="es-ES"/>
        </w:rPr>
        <w:tab/>
      </w:r>
      <w:r w:rsidRPr="00985BB5">
        <w:rPr>
          <w:rFonts w:ascii="Arial" w:hAnsi="Arial" w:cs="Arial"/>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985BB5">
        <w:rPr>
          <w:rFonts w:ascii="Arial" w:hAnsi="Arial" w:cs="Arial"/>
          <w:sz w:val="22"/>
          <w:vertAlign w:val="superscript"/>
          <w:lang w:val="es-ES"/>
        </w:rPr>
        <w:footnoteReference w:id="10"/>
      </w:r>
      <w:r w:rsidRPr="00985BB5">
        <w:rPr>
          <w:rFonts w:ascii="Arial" w:hAnsi="Arial" w:cs="Arial"/>
          <w:sz w:val="22"/>
          <w:lang w:val="es-ES"/>
        </w:rPr>
        <w:t xml:space="preserve">,  lo que permite controlar </w:t>
      </w:r>
      <w:r w:rsidRPr="00985BB5">
        <w:rPr>
          <w:rFonts w:ascii="Arial" w:hAnsi="Arial" w:cs="Arial"/>
          <w:sz w:val="22"/>
          <w:lang w:val="es-ES"/>
        </w:rPr>
        <w:lastRenderedPageBreak/>
        <w:t>las actuaciones y decisiones de la Administración y el cumplimiento de los demás principios de la contratación pública. Así lo confirma el Consejo de Estado, analizando el principio de publicidad:</w:t>
      </w:r>
    </w:p>
    <w:p w14:paraId="1EA76D44" w14:textId="77777777" w:rsidR="00107E4D" w:rsidRPr="00985BB5" w:rsidRDefault="00107E4D" w:rsidP="009B3335">
      <w:pPr>
        <w:ind w:left="709" w:right="709"/>
        <w:jc w:val="both"/>
        <w:rPr>
          <w:rFonts w:ascii="Arial" w:hAnsi="Arial" w:cs="Arial"/>
          <w:sz w:val="22"/>
          <w:lang w:val="es-ES"/>
        </w:rPr>
      </w:pPr>
    </w:p>
    <w:p w14:paraId="57D9A301" w14:textId="135F35DE" w:rsidR="00107E4D" w:rsidRPr="00985BB5" w:rsidRDefault="00107E4D">
      <w:pPr>
        <w:spacing w:after="120"/>
        <w:ind w:left="709" w:right="709"/>
        <w:jc w:val="both"/>
        <w:rPr>
          <w:rFonts w:ascii="Arial" w:hAnsi="Arial" w:cs="Arial"/>
          <w:sz w:val="21"/>
          <w:szCs w:val="21"/>
          <w:lang w:val="es-ES"/>
        </w:rPr>
      </w:pPr>
      <w:r w:rsidRPr="00985BB5">
        <w:rPr>
          <w:rFonts w:ascii="Arial" w:hAnsi="Arial"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20FFD7D3" w14:textId="46A25094" w:rsidR="00107E4D" w:rsidRPr="00985BB5" w:rsidRDefault="00107E4D">
      <w:pPr>
        <w:spacing w:after="120"/>
        <w:ind w:left="709" w:right="709"/>
        <w:jc w:val="both"/>
        <w:rPr>
          <w:rFonts w:ascii="Arial" w:hAnsi="Arial" w:cs="Arial"/>
          <w:sz w:val="21"/>
          <w:szCs w:val="21"/>
          <w:lang w:val="es-ES"/>
        </w:rPr>
      </w:pPr>
      <w:r w:rsidRPr="00985BB5">
        <w:rPr>
          <w:rFonts w:ascii="Arial" w:hAnsi="Arial" w:cs="Arial"/>
          <w:sz w:val="21"/>
          <w:szCs w:val="21"/>
          <w:lang w:val="es-ES"/>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985BB5">
        <w:rPr>
          <w:rFonts w:ascii="Arial" w:hAnsi="Arial" w:cs="Arial"/>
          <w:sz w:val="21"/>
          <w:szCs w:val="21"/>
          <w:lang w:val="es-ES"/>
        </w:rPr>
        <w:t>ibídem</w:t>
      </w:r>
      <w:proofErr w:type="spellEnd"/>
      <w:r w:rsidRPr="00985BB5">
        <w:rPr>
          <w:rFonts w:ascii="Arial" w:hAnsi="Arial" w:cs="Arial"/>
          <w:sz w:val="21"/>
          <w:szCs w:val="21"/>
          <w:lang w:val="es-ES"/>
        </w:rPr>
        <w:t xml:space="preserve"> en armonía con el artículo 273 de la Constitución Política).</w:t>
      </w:r>
    </w:p>
    <w:p w14:paraId="120774EC" w14:textId="77777777" w:rsidR="00107E4D" w:rsidRPr="00985BB5" w:rsidRDefault="00107E4D" w:rsidP="009B3335">
      <w:pPr>
        <w:ind w:left="709" w:right="709"/>
        <w:jc w:val="both"/>
        <w:rPr>
          <w:rFonts w:ascii="Arial" w:hAnsi="Arial" w:cs="Arial"/>
          <w:sz w:val="21"/>
          <w:szCs w:val="21"/>
          <w:lang w:val="es-ES"/>
        </w:rPr>
      </w:pPr>
      <w:r w:rsidRPr="00985BB5">
        <w:rPr>
          <w:rFonts w:ascii="Arial"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985BB5">
        <w:rPr>
          <w:rFonts w:ascii="Arial" w:hAnsi="Arial" w:cs="Arial"/>
          <w:sz w:val="21"/>
          <w:szCs w:val="21"/>
          <w:vertAlign w:val="superscript"/>
          <w:lang w:val="es-ES"/>
        </w:rPr>
        <w:footnoteReference w:id="11"/>
      </w:r>
      <w:r w:rsidRPr="00985BB5">
        <w:rPr>
          <w:rFonts w:ascii="Arial" w:hAnsi="Arial" w:cs="Arial"/>
          <w:sz w:val="21"/>
          <w:szCs w:val="21"/>
          <w:lang w:val="es-ES"/>
        </w:rPr>
        <w:t>.</w:t>
      </w:r>
    </w:p>
    <w:p w14:paraId="431D4F36" w14:textId="77777777" w:rsidR="00107E4D" w:rsidRPr="00985BB5" w:rsidRDefault="00107E4D" w:rsidP="009B3335">
      <w:pPr>
        <w:ind w:left="709" w:right="709"/>
        <w:jc w:val="both"/>
        <w:rPr>
          <w:rFonts w:ascii="Arial" w:hAnsi="Arial" w:cs="Arial"/>
          <w:sz w:val="22"/>
          <w:lang w:val="es-ES"/>
        </w:rPr>
      </w:pPr>
    </w:p>
    <w:p w14:paraId="56749D69" w14:textId="77777777" w:rsidR="00107E4D" w:rsidRPr="00985BB5" w:rsidRDefault="00107E4D" w:rsidP="00107E4D">
      <w:pPr>
        <w:spacing w:after="120" w:line="276" w:lineRule="auto"/>
        <w:ind w:firstLine="709"/>
        <w:jc w:val="both"/>
        <w:rPr>
          <w:rFonts w:ascii="Arial" w:hAnsi="Arial" w:cs="Arial"/>
          <w:sz w:val="22"/>
          <w:lang w:val="es-ES"/>
        </w:rPr>
      </w:pPr>
      <w:r w:rsidRPr="00985BB5">
        <w:rPr>
          <w:rFonts w:ascii="Arial" w:hAnsi="Arial" w:cs="Arial"/>
          <w:sz w:val="22"/>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52C7BA55" w14:textId="77777777" w:rsidR="00107E4D" w:rsidRPr="00985BB5" w:rsidRDefault="00107E4D" w:rsidP="00107E4D">
      <w:pPr>
        <w:spacing w:after="120" w:line="276" w:lineRule="auto"/>
        <w:ind w:firstLine="709"/>
        <w:jc w:val="both"/>
        <w:rPr>
          <w:rFonts w:ascii="Arial" w:hAnsi="Arial" w:cs="Arial"/>
          <w:sz w:val="22"/>
          <w:lang w:val="es-ES"/>
        </w:rPr>
      </w:pPr>
      <w:r w:rsidRPr="00985BB5">
        <w:rPr>
          <w:rFonts w:ascii="Arial"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w:t>
      </w:r>
      <w:r w:rsidRPr="00985BB5">
        <w:rPr>
          <w:rFonts w:ascii="Arial" w:hAnsi="Arial" w:cs="Arial"/>
          <w:sz w:val="22"/>
          <w:lang w:val="es-ES"/>
        </w:rPr>
        <w:lastRenderedPageBreak/>
        <w:t xml:space="preserve">ciudadanía pueda conocer la actividad contractual de las entidades, comoquiera que tales documentos dan cuenta de las decisiones de la Administración pública en beneficio del interés </w:t>
      </w:r>
      <w:proofErr w:type="gramStart"/>
      <w:r w:rsidRPr="00985BB5">
        <w:rPr>
          <w:rFonts w:ascii="Arial" w:hAnsi="Arial" w:cs="Arial"/>
          <w:sz w:val="22"/>
          <w:lang w:val="es-ES"/>
        </w:rPr>
        <w:t>general  y</w:t>
      </w:r>
      <w:proofErr w:type="gramEnd"/>
      <w:r w:rsidRPr="00985BB5">
        <w:rPr>
          <w:rFonts w:ascii="Arial" w:hAnsi="Arial" w:cs="Arial"/>
          <w:sz w:val="22"/>
          <w:lang w:val="es-ES"/>
        </w:rPr>
        <w:t xml:space="preserve"> que por tanto incumben a la ciudadanía.  </w:t>
      </w:r>
    </w:p>
    <w:p w14:paraId="53442C04" w14:textId="77777777" w:rsidR="00107E4D" w:rsidRPr="00985BB5" w:rsidRDefault="00107E4D" w:rsidP="00107E4D">
      <w:pPr>
        <w:spacing w:line="276" w:lineRule="auto"/>
        <w:ind w:firstLine="709"/>
        <w:jc w:val="both"/>
        <w:rPr>
          <w:rFonts w:ascii="Arial" w:hAnsi="Arial" w:cs="Arial"/>
          <w:sz w:val="22"/>
          <w:lang w:val="es-ES"/>
        </w:rPr>
      </w:pPr>
      <w:r w:rsidRPr="00985BB5">
        <w:rPr>
          <w:rFonts w:ascii="Arial" w:hAnsi="Arial" w:cs="Arial"/>
          <w:sz w:val="22"/>
          <w:lang w:val="es-ES"/>
        </w:rPr>
        <w:t xml:space="preserve"> 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55DFF81A" w14:textId="77777777" w:rsidR="00842EFF" w:rsidRPr="00985BB5" w:rsidRDefault="00842EFF" w:rsidP="009B7F9B">
      <w:pPr>
        <w:spacing w:line="276" w:lineRule="auto"/>
        <w:jc w:val="both"/>
        <w:rPr>
          <w:rFonts w:ascii="Arial" w:eastAsia="Calibri" w:hAnsi="Arial" w:cs="Arial"/>
          <w:b/>
          <w:bCs/>
          <w:sz w:val="22"/>
          <w:lang w:val="es-ES"/>
        </w:rPr>
      </w:pPr>
    </w:p>
    <w:p w14:paraId="4C3DEEEA" w14:textId="77777777" w:rsidR="00107E4D" w:rsidRPr="00985BB5" w:rsidRDefault="00107E4D" w:rsidP="00107E4D">
      <w:pPr>
        <w:spacing w:line="276" w:lineRule="auto"/>
        <w:jc w:val="both"/>
        <w:rPr>
          <w:rFonts w:ascii="Arial" w:eastAsia="Calibri" w:hAnsi="Arial" w:cs="Arial"/>
          <w:b/>
          <w:sz w:val="22"/>
          <w:lang w:val="es-ES"/>
        </w:rPr>
      </w:pPr>
      <w:r w:rsidRPr="00985BB5">
        <w:rPr>
          <w:rFonts w:ascii="Arial" w:eastAsia="Calibri" w:hAnsi="Arial" w:cs="Arial"/>
          <w:b/>
          <w:bCs/>
          <w:sz w:val="22"/>
          <w:lang w:val="es-ES"/>
        </w:rPr>
        <w:t xml:space="preserve">2.2. </w:t>
      </w:r>
      <w:r w:rsidRPr="00985BB5">
        <w:rPr>
          <w:rFonts w:ascii="Arial" w:eastAsia="Calibri" w:hAnsi="Arial" w:cs="Arial"/>
          <w:b/>
          <w:sz w:val="22"/>
          <w:lang w:val="es-ES"/>
        </w:rPr>
        <w:t>Procedimientos contractuales, publicidad y documentos que deben publicar en el SECOP I las entidades estatales sometidas al Estatuto General de Contratación de la Administración Pública</w:t>
      </w:r>
    </w:p>
    <w:p w14:paraId="7F036D22" w14:textId="77777777" w:rsidR="00107E4D" w:rsidRPr="00985BB5" w:rsidRDefault="00107E4D" w:rsidP="00107E4D">
      <w:pPr>
        <w:spacing w:line="276" w:lineRule="auto"/>
        <w:ind w:left="360"/>
        <w:contextualSpacing/>
        <w:jc w:val="both"/>
        <w:rPr>
          <w:rFonts w:ascii="Arial" w:hAnsi="Arial" w:cs="Arial"/>
          <w:b/>
          <w:sz w:val="22"/>
          <w:lang w:val="es-ES"/>
        </w:rPr>
      </w:pPr>
    </w:p>
    <w:p w14:paraId="2BFFA2A3" w14:textId="66DCC1BC" w:rsidR="00D12042" w:rsidRPr="00985BB5" w:rsidRDefault="00D12042" w:rsidP="00D12042">
      <w:pPr>
        <w:spacing w:line="276" w:lineRule="auto"/>
        <w:contextualSpacing/>
        <w:jc w:val="both"/>
        <w:rPr>
          <w:rFonts w:ascii="Arial" w:hAnsi="Arial" w:cs="Arial"/>
          <w:sz w:val="22"/>
          <w:lang w:val="es-ES"/>
        </w:rPr>
      </w:pPr>
      <w:r w:rsidRPr="00985BB5">
        <w:rPr>
          <w:rFonts w:ascii="Arial" w:hAnsi="Arial" w:cs="Arial"/>
          <w:sz w:val="22"/>
          <w:lang w:val="es-ES"/>
        </w:rPr>
        <w:t xml:space="preserve">La Agencia Nacional de Contratación Pública </w:t>
      </w:r>
      <w:r w:rsidR="00137A10" w:rsidRPr="00985BB5">
        <w:rPr>
          <w:rFonts w:ascii="Arial" w:hAnsi="Arial" w:cs="Arial"/>
          <w:sz w:val="22"/>
          <w:lang w:val="es-ES"/>
        </w:rPr>
        <w:t>–</w:t>
      </w:r>
      <w:r w:rsidRPr="00985BB5">
        <w:rPr>
          <w:rFonts w:ascii="Arial" w:hAnsi="Arial" w:cs="Arial"/>
          <w:sz w:val="22"/>
          <w:lang w:val="es-ES"/>
        </w:rPr>
        <w:t xml:space="preserve"> Colombia Compra Eficiente, en el concepto con radicado No. 4201912000007253 del 4 de diciembre de 2019, reiterado en el concepto con radicado No. 4201912000007289 de la misma fecha, estudió la publicidad de los procedimientos contractuales de las entidades en el SECOP I, respecto de entidades regidas por el Estatuto General de Contratación de la Administración Pública. La tesis desarrollada se expone y complementa a continuación</w:t>
      </w:r>
      <w:r w:rsidRPr="00985BB5">
        <w:rPr>
          <w:rStyle w:val="Refdenotaalpie"/>
          <w:rFonts w:ascii="Arial" w:hAnsi="Arial" w:cs="Arial"/>
          <w:sz w:val="22"/>
          <w:lang w:val="es-ES"/>
        </w:rPr>
        <w:footnoteReference w:id="12"/>
      </w:r>
      <w:r w:rsidRPr="00985BB5">
        <w:rPr>
          <w:rFonts w:ascii="Arial" w:hAnsi="Arial" w:cs="Arial"/>
          <w:sz w:val="22"/>
          <w:lang w:val="es-ES"/>
        </w:rPr>
        <w:t>:</w:t>
      </w:r>
    </w:p>
    <w:p w14:paraId="090F1D9C" w14:textId="77777777" w:rsidR="00D12042" w:rsidRPr="00985BB5" w:rsidRDefault="00D12042" w:rsidP="00D12042">
      <w:pPr>
        <w:spacing w:before="120" w:after="120" w:line="276" w:lineRule="auto"/>
        <w:ind w:firstLine="708"/>
        <w:jc w:val="both"/>
        <w:rPr>
          <w:rFonts w:ascii="Arial" w:eastAsia="Calibri" w:hAnsi="Arial" w:cs="Arial"/>
          <w:sz w:val="22"/>
          <w:lang w:val="es-ES"/>
        </w:rPr>
      </w:pPr>
      <w:r w:rsidRPr="00985BB5">
        <w:rPr>
          <w:rFonts w:ascii="Arial" w:eastAsia="Calibri" w:hAnsi="Arial" w:cs="Arial"/>
          <w:sz w:val="22"/>
          <w:lang w:val="es-ES"/>
        </w:rPr>
        <w:t xml:space="preserve">El procedimiento de contratación de las entidades es reglado, es decir, no es discrecional y se deben consultar las normas que lo rigen para determinar la forma que la ley prevé para adelantarlo. Por consiguiente, las principales normas son: la Ley 80 de 1993, la Ley 1150 de </w:t>
      </w:r>
      <w:proofErr w:type="gramStart"/>
      <w:r w:rsidRPr="00985BB5">
        <w:rPr>
          <w:rFonts w:ascii="Arial" w:eastAsia="Calibri" w:hAnsi="Arial" w:cs="Arial"/>
          <w:sz w:val="22"/>
          <w:lang w:val="es-ES"/>
        </w:rPr>
        <w:t>2007  ̶</w:t>
      </w:r>
      <w:proofErr w:type="gramEnd"/>
      <w:r w:rsidRPr="00985BB5">
        <w:rPr>
          <w:rFonts w:ascii="Arial" w:eastAsia="Calibri" w:hAnsi="Arial" w:cs="Arial"/>
          <w:sz w:val="22"/>
          <w:lang w:val="es-ES"/>
        </w:rPr>
        <w:t xml:space="preserve"> Estatuto General de Contratación de la Administración Pública ̶  y el Decreto 1082 de 2015, que es reglamentario y concreta cada modalidad de selección, señalando las reglas o pasos a seguir para celebrar el contrato estatal</w:t>
      </w:r>
      <w:r w:rsidRPr="00985BB5">
        <w:rPr>
          <w:rFonts w:ascii="Arial" w:eastAsia="Calibri" w:hAnsi="Arial" w:cs="Arial"/>
          <w:sz w:val="22"/>
          <w:vertAlign w:val="superscript"/>
          <w:lang w:val="es-ES"/>
        </w:rPr>
        <w:footnoteReference w:id="13"/>
      </w:r>
      <w:r w:rsidRPr="00985BB5">
        <w:rPr>
          <w:rFonts w:ascii="Arial" w:eastAsia="Calibri" w:hAnsi="Arial" w:cs="Arial"/>
          <w:sz w:val="22"/>
          <w:lang w:val="es-ES"/>
        </w:rPr>
        <w:t xml:space="preserve">. Por consiguiente, </w:t>
      </w:r>
      <w:r w:rsidRPr="00985BB5">
        <w:rPr>
          <w:rFonts w:ascii="Arial" w:eastAsia="Calibri" w:hAnsi="Arial" w:cs="Arial"/>
          <w:sz w:val="22"/>
          <w:lang w:val="es-ES"/>
        </w:rPr>
        <w:lastRenderedPageBreak/>
        <w:t>para que los documentos de la actividad contractual se conozcan la entidad debe publicarlos, sin importar la modalidad de selección.</w:t>
      </w:r>
    </w:p>
    <w:p w14:paraId="23EFADB5" w14:textId="77777777" w:rsidR="00D12042" w:rsidRPr="00985BB5" w:rsidRDefault="00D12042" w:rsidP="00D12042">
      <w:pPr>
        <w:widowControl w:val="0"/>
        <w:autoSpaceDE w:val="0"/>
        <w:autoSpaceDN w:val="0"/>
        <w:spacing w:line="276" w:lineRule="auto"/>
        <w:ind w:right="49" w:firstLine="708"/>
        <w:jc w:val="both"/>
        <w:rPr>
          <w:rFonts w:ascii="Arial" w:eastAsia="Arial" w:hAnsi="Arial" w:cs="Arial"/>
          <w:sz w:val="22"/>
          <w:lang w:val="es-ES"/>
        </w:rPr>
      </w:pPr>
      <w:r w:rsidRPr="00985BB5">
        <w:rPr>
          <w:rFonts w:ascii="Arial" w:eastAsia="Arial" w:hAnsi="Arial" w:cs="Arial"/>
          <w:sz w:val="22"/>
          <w:lang w:val="es-ES"/>
        </w:rPr>
        <w:t>El artículo 3 de la Ley 1150 de 2007 señala que los actos relacionados con los procedimientos de contratación de las entidades estatales pueden ser electrónicos, al igual que su publicidad, por lo que el Gobierno nacional debe definir los medios para desarrolla dicha publicidad, y tiene la obligación de desarrollar el SECOP</w:t>
      </w:r>
      <w:r w:rsidRPr="00985BB5">
        <w:rPr>
          <w:rFonts w:ascii="Arial" w:eastAsia="Arial" w:hAnsi="Arial" w:cs="Arial"/>
          <w:sz w:val="22"/>
          <w:vertAlign w:val="superscript"/>
          <w:lang w:val="es-ES"/>
        </w:rPr>
        <w:footnoteReference w:id="14"/>
      </w:r>
      <w:r w:rsidRPr="00985BB5">
        <w:rPr>
          <w:rFonts w:ascii="Arial" w:eastAsia="Arial" w:hAnsi="Arial" w:cs="Arial"/>
          <w:sz w:val="22"/>
          <w:lang w:val="es-ES"/>
        </w:rPr>
        <w:t>. Este sistema debe contar 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14:paraId="3CE7CFE5" w14:textId="77777777" w:rsidR="00D12042" w:rsidRPr="00985BB5" w:rsidRDefault="00D12042" w:rsidP="00D12042">
      <w:pPr>
        <w:widowControl w:val="0"/>
        <w:autoSpaceDE w:val="0"/>
        <w:autoSpaceDN w:val="0"/>
        <w:spacing w:before="120" w:line="276" w:lineRule="auto"/>
        <w:ind w:right="306" w:firstLine="709"/>
        <w:jc w:val="both"/>
        <w:rPr>
          <w:rFonts w:ascii="Arial" w:eastAsia="Arial" w:hAnsi="Arial" w:cs="Arial"/>
          <w:sz w:val="22"/>
          <w:lang w:val="es-ES"/>
        </w:rPr>
      </w:pPr>
      <w:r w:rsidRPr="00985BB5">
        <w:rPr>
          <w:rFonts w:ascii="Arial" w:eastAsia="Arial" w:hAnsi="Arial" w:cs="Arial"/>
          <w:sz w:val="22"/>
          <w:lang w:val="es-ES"/>
        </w:rPr>
        <w:t xml:space="preserve">La norma citada genera un cambio en la contratación pública, ámbito en el que las actuaciones de las entidades se realizaban por escrito y en papel, y ahora se crea un mecanismo eficiente que reduce costos, para que se cumpla el principio de publicidad, como un deber de las </w:t>
      </w:r>
      <w:proofErr w:type="gramStart"/>
      <w:r w:rsidRPr="00985BB5">
        <w:rPr>
          <w:rFonts w:ascii="Arial" w:eastAsia="Arial" w:hAnsi="Arial" w:cs="Arial"/>
          <w:sz w:val="22"/>
          <w:lang w:val="es-ES"/>
        </w:rPr>
        <w:t>autoridades públicas</w:t>
      </w:r>
      <w:proofErr w:type="gramEnd"/>
      <w:r w:rsidRPr="00985BB5">
        <w:rPr>
          <w:rFonts w:ascii="Arial" w:eastAsia="Arial" w:hAnsi="Arial" w:cs="Arial"/>
          <w:sz w:val="22"/>
          <w:lang w:val="es-ES"/>
        </w:rPr>
        <w:t xml:space="preserve"> en el ejercicio de las funciones administrativas que la ley les otorga.</w:t>
      </w:r>
    </w:p>
    <w:p w14:paraId="241F678C" w14:textId="77777777" w:rsidR="00D12042" w:rsidRPr="00985BB5" w:rsidRDefault="00D12042" w:rsidP="00D12042">
      <w:pPr>
        <w:widowControl w:val="0"/>
        <w:autoSpaceDE w:val="0"/>
        <w:autoSpaceDN w:val="0"/>
        <w:spacing w:before="120" w:line="276" w:lineRule="auto"/>
        <w:ind w:right="306" w:firstLine="709"/>
        <w:jc w:val="both"/>
        <w:rPr>
          <w:rFonts w:ascii="Arial" w:eastAsia="Arial" w:hAnsi="Arial" w:cs="Arial"/>
          <w:sz w:val="22"/>
          <w:lang w:val="es-ES"/>
        </w:rPr>
      </w:pPr>
      <w:r w:rsidRPr="00985BB5">
        <w:rPr>
          <w:rFonts w:ascii="Arial" w:eastAsia="Arial" w:hAnsi="Arial" w:cs="Arial"/>
          <w:sz w:val="22"/>
          <w:lang w:val="es-ES"/>
        </w:rPr>
        <w:lastRenderedPageBreak/>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63D43A27" w14:textId="77777777" w:rsidR="00D12042" w:rsidRPr="00985BB5" w:rsidRDefault="00D12042" w:rsidP="00D12042">
      <w:pPr>
        <w:widowControl w:val="0"/>
        <w:autoSpaceDE w:val="0"/>
        <w:autoSpaceDN w:val="0"/>
        <w:rPr>
          <w:rFonts w:ascii="Arial" w:eastAsia="Arial" w:hAnsi="Arial" w:cs="Arial"/>
          <w:sz w:val="25"/>
          <w:lang w:val="es-ES"/>
        </w:rPr>
      </w:pPr>
    </w:p>
    <w:p w14:paraId="0FB41B83" w14:textId="3E012456" w:rsidR="00D12042" w:rsidRPr="00985BB5" w:rsidRDefault="00D12042" w:rsidP="009B3335">
      <w:pPr>
        <w:widowControl w:val="0"/>
        <w:autoSpaceDE w:val="0"/>
        <w:autoSpaceDN w:val="0"/>
        <w:spacing w:after="120"/>
        <w:ind w:left="709" w:right="709"/>
        <w:jc w:val="both"/>
        <w:rPr>
          <w:rFonts w:ascii="Arial" w:eastAsia="Arial" w:hAnsi="Arial" w:cs="Arial"/>
          <w:sz w:val="20"/>
          <w:lang w:val="es-ES"/>
        </w:rPr>
      </w:pPr>
      <w:r w:rsidRPr="00985BB5">
        <w:rPr>
          <w:rFonts w:ascii="Arial" w:eastAsia="Arial" w:hAnsi="Arial" w:cs="Arial"/>
          <w:sz w:val="21"/>
          <w:lang w:val="es-ES"/>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985BB5">
        <w:rPr>
          <w:rFonts w:ascii="Arial" w:eastAsia="Arial" w:hAnsi="Arial" w:cs="Arial"/>
          <w:spacing w:val="-6"/>
          <w:sz w:val="21"/>
          <w:lang w:val="es-ES"/>
        </w:rPr>
        <w:t xml:space="preserve"> </w:t>
      </w:r>
      <w:r w:rsidRPr="00985BB5">
        <w:rPr>
          <w:rFonts w:ascii="Arial" w:eastAsia="Arial" w:hAnsi="Arial" w:cs="Arial"/>
          <w:sz w:val="21"/>
          <w:lang w:val="es-ES"/>
        </w:rPr>
        <w:t>estatal.</w:t>
      </w:r>
    </w:p>
    <w:p w14:paraId="0B902318" w14:textId="77777777" w:rsidR="00D12042" w:rsidRPr="00985BB5" w:rsidRDefault="00D12042" w:rsidP="00D12042">
      <w:pPr>
        <w:widowControl w:val="0"/>
        <w:autoSpaceDE w:val="0"/>
        <w:autoSpaceDN w:val="0"/>
        <w:spacing w:before="1"/>
        <w:ind w:left="709" w:right="709"/>
        <w:jc w:val="both"/>
        <w:rPr>
          <w:rFonts w:ascii="Arial" w:eastAsia="Arial" w:hAnsi="Arial" w:cs="Arial"/>
          <w:sz w:val="21"/>
          <w:lang w:val="es-ES"/>
        </w:rPr>
      </w:pPr>
      <w:r w:rsidRPr="00985BB5">
        <w:rPr>
          <w:rFonts w:ascii="Arial" w:eastAsia="Arial" w:hAnsi="Arial"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985BB5">
        <w:rPr>
          <w:rFonts w:ascii="Arial" w:eastAsia="Arial" w:hAnsi="Arial" w:cs="Arial"/>
          <w:spacing w:val="-3"/>
          <w:sz w:val="21"/>
          <w:lang w:val="es-ES"/>
        </w:rPr>
        <w:t xml:space="preserve">Y, </w:t>
      </w:r>
      <w:r w:rsidRPr="00985BB5">
        <w:rPr>
          <w:rFonts w:ascii="Arial" w:eastAsia="Arial" w:hAnsi="Arial" w:cs="Arial"/>
          <w:sz w:val="21"/>
          <w:lang w:val="es-ES"/>
        </w:rPr>
        <w:t>de conteras, suple algunas de las limitaciones de las que adolecía el Diario Único de Contratación, en términos de cobertura geográfica, de cantidad de ejemplares y de posibilidad de acceso por parte de la</w:t>
      </w:r>
      <w:r w:rsidRPr="00985BB5">
        <w:rPr>
          <w:rFonts w:ascii="Arial" w:eastAsia="Arial" w:hAnsi="Arial" w:cs="Arial"/>
          <w:spacing w:val="-4"/>
          <w:sz w:val="21"/>
          <w:lang w:val="es-ES"/>
        </w:rPr>
        <w:t xml:space="preserve"> </w:t>
      </w:r>
      <w:r w:rsidRPr="00985BB5">
        <w:rPr>
          <w:rFonts w:ascii="Arial" w:eastAsia="Arial" w:hAnsi="Arial" w:cs="Arial"/>
          <w:sz w:val="21"/>
          <w:lang w:val="es-ES"/>
        </w:rPr>
        <w:t>ciudadanía.</w:t>
      </w:r>
    </w:p>
    <w:p w14:paraId="339F1388" w14:textId="77777777" w:rsidR="00D12042" w:rsidRPr="00985BB5" w:rsidRDefault="00D12042" w:rsidP="00D12042">
      <w:pPr>
        <w:widowControl w:val="0"/>
        <w:autoSpaceDE w:val="0"/>
        <w:autoSpaceDN w:val="0"/>
        <w:spacing w:before="1" w:line="276" w:lineRule="auto"/>
        <w:ind w:right="307"/>
        <w:jc w:val="both"/>
        <w:rPr>
          <w:rFonts w:ascii="Arial" w:eastAsia="Arial" w:hAnsi="Arial" w:cs="Arial"/>
          <w:sz w:val="22"/>
          <w:lang w:val="es-ES"/>
        </w:rPr>
      </w:pPr>
    </w:p>
    <w:p w14:paraId="78BD0AA4" w14:textId="2A6524CD" w:rsidR="00D12042" w:rsidRPr="00985BB5"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985BB5">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074E254D" w14:textId="77777777" w:rsidR="00D12042" w:rsidRPr="00985BB5"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985BB5">
        <w:rPr>
          <w:rFonts w:ascii="Arial" w:eastAsia="Arial" w:hAnsi="Arial" w:cs="Arial"/>
          <w:sz w:val="22"/>
          <w:lang w:val="es-ES"/>
        </w:rPr>
        <w:t xml:space="preserve">La expresión </w:t>
      </w:r>
      <w:r w:rsidRPr="00985BB5">
        <w:rPr>
          <w:rFonts w:ascii="Arial" w:eastAsia="Arial" w:hAnsi="Arial" w:cs="Arial"/>
          <w:i/>
          <w:iCs/>
          <w:sz w:val="22"/>
          <w:lang w:val="es-ES"/>
        </w:rPr>
        <w:t>Documentos del Proceso</w:t>
      </w:r>
      <w:r w:rsidRPr="00985BB5">
        <w:rPr>
          <w:rFonts w:ascii="Arial" w:eastAsia="Arial" w:hAnsi="Arial" w:cs="Arial"/>
          <w:sz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5BF9A7DA" w14:textId="77777777" w:rsidR="00D12042" w:rsidRPr="00985BB5"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985BB5">
        <w:rPr>
          <w:rFonts w:ascii="Arial" w:eastAsia="Arial" w:hAnsi="Arial" w:cs="Arial"/>
          <w:sz w:val="22"/>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proofErr w:type="spellStart"/>
      <w:r w:rsidRPr="00985BB5">
        <w:rPr>
          <w:rFonts w:ascii="Arial" w:eastAsia="Arial" w:hAnsi="Arial" w:cs="Arial"/>
          <w:i/>
          <w:iCs/>
          <w:sz w:val="22"/>
          <w:lang w:val="es-ES"/>
        </w:rPr>
        <w:t>Ibídem</w:t>
      </w:r>
      <w:proofErr w:type="spellEnd"/>
      <w:r w:rsidRPr="00985BB5">
        <w:rPr>
          <w:rFonts w:ascii="Arial" w:eastAsia="Arial" w:hAnsi="Arial" w:cs="Arial"/>
          <w:sz w:val="22"/>
          <w:lang w:val="es-ES"/>
        </w:rPr>
        <w:t xml:space="preserve"> recoge en la noción de </w:t>
      </w:r>
      <w:r w:rsidRPr="00985BB5">
        <w:rPr>
          <w:rFonts w:ascii="Arial" w:eastAsia="Arial" w:hAnsi="Arial" w:cs="Arial"/>
          <w:i/>
          <w:iCs/>
          <w:sz w:val="22"/>
          <w:lang w:val="es-ES"/>
        </w:rPr>
        <w:t>Documentos del Proceso</w:t>
      </w:r>
      <w:r w:rsidRPr="00985BB5">
        <w:rPr>
          <w:rFonts w:ascii="Arial" w:eastAsia="Arial" w:hAnsi="Arial" w:cs="Arial"/>
          <w:sz w:val="22"/>
          <w:lang w:val="es-ES"/>
        </w:rPr>
        <w:t xml:space="preserve"> «cualquier otro documento expedido por la Entidad Estatal durante el </w:t>
      </w:r>
      <w:r w:rsidRPr="00985BB5">
        <w:rPr>
          <w:rFonts w:ascii="Arial" w:eastAsia="Arial" w:hAnsi="Arial" w:cs="Arial"/>
          <w:i/>
          <w:iCs/>
          <w:sz w:val="22"/>
          <w:lang w:val="es-ES"/>
        </w:rPr>
        <w:t>Proceso de Contratación»</w:t>
      </w:r>
      <w:r w:rsidRPr="00985BB5">
        <w:rPr>
          <w:rFonts w:ascii="Arial" w:eastAsia="Arial" w:hAnsi="Arial" w:cs="Arial"/>
          <w:sz w:val="22"/>
          <w:lang w:val="es-ES"/>
        </w:rPr>
        <w:t xml:space="preserve">. Este mismo artículo define la expresión </w:t>
      </w:r>
      <w:r w:rsidRPr="00985BB5">
        <w:rPr>
          <w:rFonts w:ascii="Arial" w:eastAsia="Arial" w:hAnsi="Arial" w:cs="Arial"/>
          <w:i/>
          <w:iCs/>
          <w:sz w:val="22"/>
          <w:lang w:val="es-ES"/>
        </w:rPr>
        <w:t xml:space="preserve">Proceso de </w:t>
      </w:r>
      <w:r w:rsidRPr="00985BB5">
        <w:rPr>
          <w:rFonts w:ascii="Arial" w:eastAsia="Arial" w:hAnsi="Arial" w:cs="Arial"/>
          <w:i/>
          <w:iCs/>
          <w:sz w:val="22"/>
          <w:lang w:val="es-ES"/>
        </w:rPr>
        <w:lastRenderedPageBreak/>
        <w:t>Contratación</w:t>
      </w:r>
      <w:r w:rsidRPr="00985BB5">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13A94ED5" w14:textId="77777777" w:rsidR="00D12042" w:rsidRPr="00985BB5"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985BB5">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985BB5">
        <w:rPr>
          <w:rFonts w:ascii="Arial" w:eastAsia="Arial" w:hAnsi="Arial" w:cs="Arial"/>
          <w:i/>
          <w:iCs/>
          <w:sz w:val="22"/>
          <w:lang w:val="es-ES"/>
        </w:rPr>
        <w:t>Documentos del Proceso</w:t>
      </w:r>
      <w:r w:rsidRPr="00985BB5">
        <w:rPr>
          <w:rFonts w:ascii="Arial" w:eastAsia="Arial" w:hAnsi="Arial" w:cs="Arial"/>
          <w:sz w:val="22"/>
          <w:lang w:val="es-ES"/>
        </w:rPr>
        <w:t xml:space="preserve"> los expedidos por un sujeto distinto a la entidad, salvo la oferta, la cual se incluye expresamente en el artículo 2.2.1.1.1.3.1. </w:t>
      </w:r>
    </w:p>
    <w:p w14:paraId="614205C9" w14:textId="77777777" w:rsidR="00D12042" w:rsidRPr="00985BB5"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985BB5">
        <w:rPr>
          <w:rFonts w:ascii="Arial" w:eastAsia="Arial" w:hAnsi="Arial" w:cs="Arial"/>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985BB5">
        <w:rPr>
          <w:rFonts w:ascii="Arial" w:eastAsia="Arial" w:hAnsi="Arial" w:cs="Arial"/>
          <w:i/>
          <w:iCs/>
          <w:sz w:val="22"/>
          <w:lang w:val="es-ES"/>
        </w:rPr>
        <w:t>Proceso de Contratación</w:t>
      </w:r>
      <w:r w:rsidRPr="00985BB5">
        <w:rPr>
          <w:rFonts w:ascii="Arial" w:eastAsia="Arial" w:hAnsi="Arial" w:cs="Arial"/>
          <w:sz w:val="22"/>
          <w:lang w:val="es-ES"/>
        </w:rPr>
        <w:t xml:space="preserve">,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985BB5">
        <w:rPr>
          <w:rFonts w:ascii="Arial" w:eastAsia="Arial" w:hAnsi="Arial" w:cs="Arial"/>
          <w:sz w:val="22"/>
          <w:lang w:val="es-ES"/>
        </w:rPr>
        <w:t>postcontractual</w:t>
      </w:r>
      <w:proofErr w:type="spellEnd"/>
      <w:r w:rsidRPr="00985BB5">
        <w:rPr>
          <w:rFonts w:ascii="Arial" w:eastAsia="Arial" w:hAnsi="Arial" w:cs="Arial"/>
          <w:sz w:val="22"/>
          <w:lang w:val="es-ES"/>
        </w:rPr>
        <w:t xml:space="preserve"> deberán ser publicados en SECOP dentro de los tres (3) días siguientes a su expedición, para  cumplir el deber de publicidad regulado por el artículo 2.2.1.1.1.7.1. del Decreto 1082 de 2015.</w:t>
      </w:r>
    </w:p>
    <w:p w14:paraId="3CE4EA01" w14:textId="77777777" w:rsidR="00D12042" w:rsidRPr="00985BB5"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985BB5">
        <w:rPr>
          <w:rFonts w:ascii="Arial" w:eastAsia="Arial" w:hAnsi="Arial" w:cs="Arial"/>
          <w:sz w:val="22"/>
          <w:lang w:val="es-ES"/>
        </w:rPr>
        <w:t xml:space="preserve">En todo caso, de conformidad con la segunda parte del inciso primero del artículo 2.2.1.1.1.7.1 </w:t>
      </w:r>
      <w:proofErr w:type="spellStart"/>
      <w:r w:rsidRPr="00985BB5">
        <w:rPr>
          <w:rFonts w:ascii="Arial" w:eastAsia="Arial" w:hAnsi="Arial" w:cs="Arial"/>
          <w:i/>
          <w:iCs/>
          <w:sz w:val="22"/>
          <w:lang w:val="es-ES"/>
        </w:rPr>
        <w:t>Ibídem</w:t>
      </w:r>
      <w:proofErr w:type="spellEnd"/>
      <w:r w:rsidRPr="00985BB5">
        <w:rPr>
          <w:rFonts w:ascii="Arial" w:eastAsia="Arial" w:hAnsi="Arial" w:cs="Arial"/>
          <w:sz w:val="22"/>
          <w:lang w:val="es-ES"/>
        </w:rPr>
        <w:t xml:space="preserve">, el deber de publicar las actuaciones realizadas en el marco del proceso de contratación, en lo referente a las ofertas presentadas, solo se predica de la propuesta del adjudicatario, así que no es necesario publicar las demás. </w:t>
      </w:r>
      <w:r w:rsidRPr="00985BB5">
        <w:rPr>
          <w:rFonts w:ascii="Arial" w:eastAsia="Arial" w:hAnsi="Arial" w:cs="Arial"/>
          <w:i/>
          <w:iCs/>
          <w:sz w:val="22"/>
          <w:lang w:val="es-ES"/>
        </w:rPr>
        <w:t xml:space="preserve"> </w:t>
      </w:r>
      <w:r w:rsidRPr="00985BB5">
        <w:rPr>
          <w:rFonts w:ascii="Arial" w:eastAsia="Arial" w:hAnsi="Arial" w:cs="Arial"/>
          <w:sz w:val="22"/>
          <w:lang w:val="es-ES"/>
        </w:rPr>
        <w:t>Del deber de publicidad, de conformidad con la tercera parte del inciso primero de la referida norma, también se encuentran exentos los documentos de las operaciones que se realicen en bolsa de productos.</w:t>
      </w:r>
    </w:p>
    <w:p w14:paraId="34F1F71D" w14:textId="77777777" w:rsidR="00D12042" w:rsidRPr="00985BB5"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985BB5">
        <w:rPr>
          <w:rFonts w:ascii="Arial" w:eastAsia="Arial" w:hAnsi="Arial" w:cs="Arial"/>
          <w:sz w:val="22"/>
          <w:lang w:val="es-ES"/>
        </w:rPr>
        <w:t xml:space="preserve"> El inciso segundo del artículo 2.2.1.1.1.7.1 </w:t>
      </w:r>
      <w:proofErr w:type="spellStart"/>
      <w:r w:rsidRPr="00985BB5">
        <w:rPr>
          <w:rFonts w:ascii="Arial" w:eastAsia="Arial" w:hAnsi="Arial" w:cs="Arial"/>
          <w:i/>
          <w:iCs/>
          <w:sz w:val="22"/>
          <w:lang w:val="es-ES"/>
        </w:rPr>
        <w:t>ejusdem</w:t>
      </w:r>
      <w:proofErr w:type="spellEnd"/>
      <w:r w:rsidRPr="00985BB5">
        <w:rPr>
          <w:rFonts w:ascii="Arial" w:eastAsia="Arial" w:hAnsi="Arial" w:cs="Arial"/>
          <w:i/>
          <w:iCs/>
          <w:sz w:val="22"/>
          <w:lang w:val="es-ES"/>
        </w:rPr>
        <w:t xml:space="preserve">, </w:t>
      </w:r>
      <w:r w:rsidRPr="00985BB5">
        <w:rPr>
          <w:rFonts w:ascii="Arial" w:eastAsia="Arial" w:hAnsi="Arial" w:cs="Arial"/>
          <w:sz w:val="22"/>
          <w:lang w:val="es-ES"/>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985BB5">
        <w:rPr>
          <w:rFonts w:ascii="Arial" w:hAnsi="Arial" w:cs="Arial"/>
          <w:sz w:val="22"/>
          <w:lang w:val="es-ES"/>
        </w:rPr>
        <w:t xml:space="preserve">2.2.1.1.2.1.4, deber que hace extensivo a la invitación </w:t>
      </w:r>
      <w:r w:rsidRPr="00985BB5">
        <w:rPr>
          <w:rFonts w:ascii="Arial" w:eastAsia="Arial" w:hAnsi="Arial" w:cs="Arial"/>
          <w:sz w:val="22"/>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41A1E9B4" w14:textId="77777777" w:rsidR="00D12042" w:rsidRPr="00985BB5"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985BB5">
        <w:rPr>
          <w:rFonts w:ascii="Arial" w:eastAsia="Arial" w:hAnsi="Arial" w:cs="Arial"/>
          <w:sz w:val="22"/>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985BB5">
        <w:rPr>
          <w:rFonts w:ascii="Arial" w:eastAsia="Arial" w:hAnsi="Arial" w:cs="Arial"/>
          <w:i/>
          <w:iCs/>
          <w:sz w:val="22"/>
          <w:lang w:val="es-ES"/>
        </w:rPr>
        <w:t>Proceso de Contratación</w:t>
      </w:r>
      <w:r w:rsidRPr="00985BB5">
        <w:rPr>
          <w:rFonts w:ascii="Arial" w:eastAsia="Arial" w:hAnsi="Arial" w:cs="Arial"/>
          <w:sz w:val="22"/>
          <w:lang w:val="es-ES"/>
        </w:rPr>
        <w:t xml:space="preserve"> expedidos durante las etapas precontractual, de ejecución y </w:t>
      </w:r>
      <w:proofErr w:type="spellStart"/>
      <w:r w:rsidRPr="00985BB5">
        <w:rPr>
          <w:rFonts w:ascii="Arial" w:eastAsia="Arial" w:hAnsi="Arial" w:cs="Arial"/>
          <w:sz w:val="22"/>
          <w:lang w:val="es-ES"/>
        </w:rPr>
        <w:lastRenderedPageBreak/>
        <w:t>postcontractual</w:t>
      </w:r>
      <w:proofErr w:type="spellEnd"/>
      <w:r w:rsidRPr="00985BB5">
        <w:rPr>
          <w:rFonts w:ascii="Arial" w:eastAsia="Arial" w:hAnsi="Arial" w:cs="Arial"/>
          <w:sz w:val="22"/>
          <w:lang w:val="es-ES"/>
        </w:rPr>
        <w:t>, dentro de los tres (3) días hábiles siguientes a su producción</w:t>
      </w:r>
      <w:r w:rsidRPr="00985BB5">
        <w:rPr>
          <w:rStyle w:val="Refdenotaalpie"/>
          <w:rFonts w:ascii="Arial" w:eastAsia="Arial" w:hAnsi="Arial" w:cs="Arial"/>
          <w:sz w:val="22"/>
          <w:lang w:val="es-ES"/>
        </w:rPr>
        <w:footnoteReference w:id="15"/>
      </w:r>
      <w:r w:rsidRPr="00985BB5">
        <w:rPr>
          <w:rFonts w:ascii="Arial" w:eastAsia="Arial" w:hAnsi="Arial" w:cs="Arial"/>
          <w:sz w:val="22"/>
          <w:lang w:val="es-ES"/>
        </w:rPr>
        <w:t>, deber que 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14:paraId="7B8F73E1" w14:textId="77777777" w:rsidR="00D12042" w:rsidRPr="00985BB5" w:rsidRDefault="00D12042" w:rsidP="00D12042">
      <w:pPr>
        <w:spacing w:before="120" w:after="120" w:line="276" w:lineRule="auto"/>
        <w:ind w:firstLine="709"/>
        <w:jc w:val="both"/>
        <w:rPr>
          <w:rFonts w:ascii="Arial" w:eastAsia="Calibri" w:hAnsi="Arial" w:cs="Arial"/>
          <w:sz w:val="22"/>
          <w:lang w:val="es-ES"/>
        </w:rPr>
      </w:pPr>
      <w:r w:rsidRPr="00985BB5">
        <w:rPr>
          <w:rFonts w:ascii="Arial" w:eastAsia="Calibri" w:hAnsi="Arial" w:cs="Arial"/>
          <w:sz w:val="22"/>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985BB5">
        <w:rPr>
          <w:rFonts w:ascii="Arial" w:hAnsi="Arial" w:cs="Arial"/>
          <w:sz w:val="22"/>
          <w:lang w:val="es-ES"/>
        </w:rPr>
        <w:t>la información de su gestión contractual</w:t>
      </w:r>
      <w:r w:rsidRPr="00985BB5">
        <w:rPr>
          <w:rStyle w:val="Refdenotaalpie"/>
          <w:rFonts w:ascii="Arial" w:hAnsi="Arial" w:cs="Arial"/>
          <w:sz w:val="22"/>
          <w:lang w:val="es-ES"/>
        </w:rPr>
        <w:footnoteReference w:id="16"/>
      </w:r>
      <w:r w:rsidRPr="00985BB5">
        <w:rPr>
          <w:rFonts w:ascii="Arial" w:eastAsia="Calibri" w:hAnsi="Arial" w:cs="Arial"/>
          <w:sz w:val="22"/>
          <w:lang w:val="es-ES"/>
        </w:rPr>
        <w:t xml:space="preserve">. Por su parte, el artículo 2.1.1.2.1.9 expresa que las entidades deberán publicar los procedimientos, lineamientos y políticas en materia de adquisición, que no son otros que los previstos en el manual de contratación, el cual debe publicarse en el sitio web del sujeto </w:t>
      </w:r>
      <w:r w:rsidRPr="00985BB5">
        <w:rPr>
          <w:rFonts w:ascii="Arial" w:eastAsia="Calibri" w:hAnsi="Arial" w:cs="Arial"/>
          <w:sz w:val="22"/>
          <w:lang w:val="es-ES"/>
        </w:rPr>
        <w:lastRenderedPageBreak/>
        <w:t>obligado</w:t>
      </w:r>
      <w:r w:rsidRPr="00985BB5">
        <w:rPr>
          <w:rStyle w:val="Refdenotaalpie"/>
          <w:rFonts w:ascii="Arial" w:eastAsia="Calibri" w:hAnsi="Arial" w:cs="Arial"/>
          <w:sz w:val="22"/>
          <w:lang w:val="es-ES"/>
        </w:rPr>
        <w:footnoteReference w:id="17"/>
      </w:r>
      <w:r w:rsidRPr="00985BB5">
        <w:rPr>
          <w:rFonts w:ascii="Arial" w:eastAsia="Calibri" w:hAnsi="Arial" w:cs="Arial"/>
          <w:sz w:val="22"/>
          <w:lang w:val="es-ES"/>
        </w:rPr>
        <w:t>. El artículo 2.1.1.2.1.10 establece la obligación que tienen las entidades de publicar en el SECOP el Plan Anual de Adquisiciones</w:t>
      </w:r>
      <w:r w:rsidRPr="00985BB5">
        <w:rPr>
          <w:rStyle w:val="Refdenotaalpie"/>
          <w:rFonts w:ascii="Arial" w:eastAsia="Calibri" w:hAnsi="Arial" w:cs="Arial"/>
          <w:sz w:val="22"/>
          <w:lang w:val="es-ES"/>
        </w:rPr>
        <w:footnoteReference w:id="18"/>
      </w:r>
      <w:r w:rsidRPr="00985BB5">
        <w:rPr>
          <w:rFonts w:ascii="Arial" w:eastAsia="Calibri" w:hAnsi="Arial" w:cs="Arial"/>
          <w:sz w:val="22"/>
          <w:lang w:val="es-ES"/>
        </w:rPr>
        <w:t xml:space="preserve">. </w:t>
      </w:r>
    </w:p>
    <w:p w14:paraId="495D889B" w14:textId="77777777" w:rsidR="00D12042" w:rsidRPr="00985BB5" w:rsidRDefault="00D12042" w:rsidP="00D12042">
      <w:pPr>
        <w:spacing w:before="120" w:after="120" w:line="276" w:lineRule="auto"/>
        <w:ind w:firstLine="709"/>
        <w:jc w:val="both"/>
        <w:rPr>
          <w:rFonts w:ascii="Arial" w:eastAsia="Calibri" w:hAnsi="Arial" w:cs="Arial"/>
          <w:sz w:val="22"/>
          <w:lang w:val="es-ES"/>
        </w:rPr>
      </w:pPr>
      <w:r w:rsidRPr="00985BB5">
        <w:rPr>
          <w:rFonts w:ascii="Arial" w:eastAsia="Calibri" w:hAnsi="Arial" w:cs="Arial"/>
          <w:sz w:val="22"/>
          <w:lang w:val="es-ES"/>
        </w:rPr>
        <w:t xml:space="preserve">De otro lado, el artículo 2.1.1.2.1.8, establece los efectos de </w:t>
      </w:r>
      <w:r w:rsidRPr="00985BB5">
        <w:rPr>
          <w:rFonts w:ascii="Arial" w:hAnsi="Arial" w:cs="Arial"/>
          <w:sz w:val="22"/>
          <w:lang w:val="es-ES"/>
        </w:rPr>
        <w:t>la obligación contenida en el literal g) del artículo 11 de la Ley 1712 de 2014, en relación con los documentos producidos durante la ejecución del contrato, señalando que se</w:t>
      </w:r>
      <w:r w:rsidRPr="00985BB5">
        <w:rPr>
          <w:rFonts w:ascii="Arial" w:eastAsia="Calibri" w:hAnsi="Arial" w:cs="Arial"/>
          <w:sz w:val="22"/>
          <w:lang w:val="es-ES"/>
        </w:rPr>
        <w:t xml:space="preserve"> deben publicar las aprobaciones, autorizaciones, requerimientos o informes del supervisor o interventor, que prueben la ejecución del contrato</w:t>
      </w:r>
      <w:r w:rsidRPr="00985BB5">
        <w:rPr>
          <w:rStyle w:val="Refdenotaalpie"/>
          <w:rFonts w:ascii="Arial" w:eastAsia="Calibri" w:hAnsi="Arial" w:cs="Arial"/>
          <w:sz w:val="22"/>
          <w:lang w:val="es-ES"/>
        </w:rPr>
        <w:footnoteReference w:id="19"/>
      </w:r>
      <w:r w:rsidRPr="00985BB5">
        <w:rPr>
          <w:rFonts w:ascii="Arial" w:eastAsia="Calibri" w:hAnsi="Arial" w:cs="Arial"/>
          <w:sz w:val="22"/>
          <w:lang w:val="es-ES"/>
        </w:rPr>
        <w:t>.</w:t>
      </w:r>
    </w:p>
    <w:p w14:paraId="244E848B" w14:textId="77777777" w:rsidR="00D12042" w:rsidRPr="00985BB5" w:rsidRDefault="00D12042" w:rsidP="00D12042">
      <w:pPr>
        <w:spacing w:before="120" w:after="120" w:line="276" w:lineRule="auto"/>
        <w:ind w:firstLine="709"/>
        <w:jc w:val="both"/>
        <w:rPr>
          <w:rFonts w:ascii="Arial" w:eastAsia="Calibri" w:hAnsi="Arial" w:cs="Arial"/>
          <w:sz w:val="22"/>
          <w:lang w:val="es-ES"/>
        </w:rPr>
      </w:pPr>
      <w:r w:rsidRPr="00985BB5">
        <w:rPr>
          <w:rFonts w:ascii="Arial" w:eastAsia="Calibri" w:hAnsi="Arial" w:cs="Arial"/>
          <w:sz w:val="22"/>
          <w:lang w:val="es-ES"/>
        </w:rPr>
        <w:t xml:space="preserve">En ese orden, el deber de publicar la actividad contractual de las entidades estatales no solo está regulado en el artículo 3 de la Ley 1150 de 2007, y en el </w:t>
      </w:r>
      <w:r w:rsidRPr="00985BB5">
        <w:rPr>
          <w:rFonts w:ascii="Arial" w:eastAsia="Arial" w:hAnsi="Arial" w:cs="Arial"/>
          <w:sz w:val="22"/>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985BB5">
        <w:rPr>
          <w:rFonts w:ascii="Arial" w:eastAsia="Arial" w:hAnsi="Arial" w:cs="Arial"/>
          <w:i/>
          <w:iCs/>
          <w:sz w:val="22"/>
          <w:lang w:val="es-ES"/>
        </w:rPr>
        <w:t xml:space="preserve">Documentos del Proceso </w:t>
      </w:r>
      <w:r w:rsidRPr="00985BB5">
        <w:rPr>
          <w:rFonts w:ascii="Arial" w:eastAsia="Arial" w:hAnsi="Arial" w:cs="Arial"/>
          <w:sz w:val="22"/>
          <w:lang w:val="es-ES"/>
        </w:rPr>
        <w:t>expedidos por la «entidad estatal».</w:t>
      </w:r>
    </w:p>
    <w:p w14:paraId="733F80FD" w14:textId="77777777" w:rsidR="00D12042" w:rsidRPr="00985BB5" w:rsidRDefault="00D12042" w:rsidP="00D12042">
      <w:pPr>
        <w:spacing w:before="120" w:after="120" w:line="276" w:lineRule="auto"/>
        <w:ind w:firstLine="709"/>
        <w:jc w:val="both"/>
        <w:rPr>
          <w:rFonts w:ascii="Arial" w:eastAsia="Calibri" w:hAnsi="Arial" w:cs="Arial"/>
          <w:sz w:val="22"/>
          <w:lang w:val="es-ES"/>
        </w:rPr>
      </w:pPr>
      <w:r w:rsidRPr="00985BB5">
        <w:rPr>
          <w:rFonts w:ascii="Arial" w:eastAsia="Calibri" w:hAnsi="Arial" w:cs="Arial"/>
          <w:sz w:val="22"/>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w:t>
      </w:r>
      <w:r w:rsidRPr="00985BB5">
        <w:rPr>
          <w:rFonts w:ascii="Arial" w:eastAsia="Calibri" w:hAnsi="Arial" w:cs="Arial"/>
          <w:sz w:val="22"/>
          <w:lang w:val="es-ES"/>
        </w:rPr>
        <w:lastRenderedPageBreak/>
        <w:t xml:space="preserve">subrogación del contenido del deber de publicidad regulado por el EGCAP, suponen una ampliación de su alcance, que lo hace trascender de la simple publicación de la información «producida por la entidad estatal» asociada a la noción de </w:t>
      </w:r>
      <w:r w:rsidRPr="00985BB5">
        <w:rPr>
          <w:rFonts w:ascii="Arial" w:eastAsia="Calibri" w:hAnsi="Arial" w:cs="Arial"/>
          <w:i/>
          <w:iCs/>
          <w:sz w:val="22"/>
          <w:lang w:val="es-ES"/>
        </w:rPr>
        <w:t>Documentos del Proceso.</w:t>
      </w:r>
      <w:r w:rsidRPr="00985BB5">
        <w:rPr>
          <w:rFonts w:ascii="Arial" w:hAnsi="Arial" w:cs="Arial"/>
          <w:sz w:val="22"/>
          <w:lang w:val="es-ES"/>
        </w:rPr>
        <w:t xml:space="preserve"> Esto</w:t>
      </w:r>
      <w:r w:rsidRPr="00985BB5">
        <w:rPr>
          <w:rFonts w:ascii="Arial" w:eastAsia="Calibri" w:hAnsi="Arial" w:cs="Arial"/>
          <w:i/>
          <w:iCs/>
          <w:sz w:val="22"/>
          <w:lang w:val="es-ES"/>
        </w:rPr>
        <w:t xml:space="preserve"> </w:t>
      </w:r>
      <w:r w:rsidRPr="00985BB5">
        <w:rPr>
          <w:rFonts w:ascii="Arial" w:eastAsia="Calibri" w:hAnsi="Arial" w:cs="Arial"/>
          <w:sz w:val="22"/>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985BB5">
        <w:rPr>
          <w:rFonts w:ascii="Arial" w:eastAsia="Calibri" w:hAnsi="Arial" w:cs="Arial"/>
          <w:i/>
          <w:iCs/>
          <w:sz w:val="22"/>
          <w:lang w:val="es-ES"/>
        </w:rPr>
        <w:t>Proceso de Contratación,</w:t>
      </w:r>
      <w:r w:rsidRPr="00985BB5">
        <w:rPr>
          <w:rFonts w:ascii="Arial" w:eastAsia="Calibri" w:hAnsi="Arial" w:cs="Arial"/>
          <w:sz w:val="22"/>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66446876" w14:textId="4CDBC551" w:rsidR="00D12042" w:rsidRPr="00985BB5" w:rsidRDefault="00D12042" w:rsidP="00D12042">
      <w:pPr>
        <w:spacing w:before="120" w:after="120" w:line="276" w:lineRule="auto"/>
        <w:ind w:firstLine="709"/>
        <w:jc w:val="both"/>
        <w:rPr>
          <w:rFonts w:ascii="Arial" w:eastAsia="Calibri" w:hAnsi="Arial" w:cs="Arial"/>
          <w:sz w:val="22"/>
          <w:lang w:val="es-ES"/>
        </w:rPr>
      </w:pPr>
      <w:r w:rsidRPr="00985BB5">
        <w:rPr>
          <w:rFonts w:ascii="Arial" w:eastAsia="Calibri" w:hAnsi="Arial" w:cs="Arial"/>
          <w:sz w:val="22"/>
          <w:lang w:val="es-ES"/>
        </w:rPr>
        <w:t>Esto quiere decir que las entidades estatales, además de los documentos y actos administrativos –de trámite o definitivos– que expiden durante los procedimientos de contratación</w:t>
      </w:r>
      <w:r w:rsidRPr="00985BB5">
        <w:rPr>
          <w:rFonts w:ascii="Arial" w:eastAsia="Calibri" w:hAnsi="Arial" w:cs="Arial"/>
          <w:i/>
          <w:iCs/>
          <w:sz w:val="22"/>
          <w:lang w:val="es-ES"/>
        </w:rPr>
        <w:t>,</w:t>
      </w:r>
      <w:r w:rsidRPr="00985BB5">
        <w:rPr>
          <w:rFonts w:ascii="Arial" w:eastAsia="Calibri" w:hAnsi="Arial" w:cs="Arial"/>
          <w:sz w:val="22"/>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985BB5">
        <w:rPr>
          <w:rFonts w:ascii="Arial" w:eastAsia="Calibri" w:hAnsi="Arial" w:cs="Arial"/>
          <w:i/>
          <w:iCs/>
          <w:sz w:val="22"/>
          <w:lang w:val="es-ES"/>
        </w:rPr>
        <w:t xml:space="preserve"> Documento del Proceso, </w:t>
      </w:r>
      <w:r w:rsidRPr="00985BB5">
        <w:rPr>
          <w:rFonts w:ascii="Arial" w:eastAsia="Calibri" w:hAnsi="Arial" w:cs="Arial"/>
          <w:sz w:val="22"/>
          <w:lang w:val="es-ES"/>
        </w:rPr>
        <w:t xml:space="preserve">hace parte de su desarrollo, y que por disposición de la Ley de transparencia y acceso a la información pública, debe publicar la entidad de manera proactiva.   </w:t>
      </w:r>
    </w:p>
    <w:p w14:paraId="69686F20" w14:textId="77777777" w:rsidR="00D12042" w:rsidRPr="00985BB5" w:rsidRDefault="00D12042" w:rsidP="00D12042">
      <w:pPr>
        <w:spacing w:before="120" w:after="120" w:line="276" w:lineRule="auto"/>
        <w:ind w:firstLine="709"/>
        <w:jc w:val="both"/>
        <w:rPr>
          <w:rFonts w:ascii="Arial" w:eastAsia="Calibri" w:hAnsi="Arial" w:cs="Arial"/>
          <w:sz w:val="22"/>
          <w:lang w:val="es-ES"/>
        </w:rPr>
      </w:pPr>
      <w:r w:rsidRPr="00985BB5">
        <w:rPr>
          <w:rFonts w:ascii="Arial" w:eastAsia="Calibri" w:hAnsi="Arial" w:cs="Arial"/>
          <w:sz w:val="22"/>
          <w:lang w:val="es-ES"/>
        </w:rPr>
        <w:t xml:space="preserve">Ahora,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985BB5">
        <w:rPr>
          <w:rFonts w:ascii="Arial" w:eastAsia="Arial" w:hAnsi="Arial" w:cs="Arial"/>
          <w:sz w:val="22"/>
          <w:lang w:val="es-ES"/>
        </w:rPr>
        <w:t>artículo 2.2.1.1.1.7.1. del Decreto 1082 de 2015.</w:t>
      </w:r>
    </w:p>
    <w:p w14:paraId="667C0CEB" w14:textId="77777777" w:rsidR="00D12042" w:rsidRPr="00985BB5" w:rsidRDefault="00D12042" w:rsidP="00D12042">
      <w:pPr>
        <w:spacing w:before="120" w:after="120" w:line="276" w:lineRule="auto"/>
        <w:ind w:firstLine="709"/>
        <w:jc w:val="both"/>
        <w:rPr>
          <w:rFonts w:ascii="Arial" w:eastAsia="Calibri" w:hAnsi="Arial" w:cs="Arial"/>
          <w:sz w:val="22"/>
          <w:lang w:val="es-ES"/>
        </w:rPr>
      </w:pPr>
      <w:r w:rsidRPr="00985BB5">
        <w:rPr>
          <w:rFonts w:ascii="Arial" w:eastAsia="Calibri" w:hAnsi="Arial" w:cs="Arial"/>
          <w:sz w:val="22"/>
          <w:lang w:val="es-ES"/>
        </w:rPr>
        <w:t xml:space="preserve">De conformidad con lo anterior, esta interpretación de las disposiciones analizadas permite incorporar al EGCAP importantes principios desarrollados por la normativa de la transparencia y acceso a la información pública, como los de </w:t>
      </w:r>
      <w:r w:rsidRPr="00985BB5">
        <w:rPr>
          <w:rStyle w:val="nfasis"/>
          <w:rFonts w:ascii="Arial" w:hAnsi="Arial" w:cs="Arial"/>
          <w:sz w:val="22"/>
          <w:lang w:val="es-ES"/>
        </w:rPr>
        <w:t xml:space="preserve">máxima publicidad para un </w:t>
      </w:r>
      <w:r w:rsidRPr="00985BB5">
        <w:rPr>
          <w:rStyle w:val="nfasis"/>
          <w:rFonts w:ascii="Arial" w:hAnsi="Arial" w:cs="Arial"/>
          <w:sz w:val="22"/>
          <w:lang w:val="es-ES"/>
        </w:rPr>
        <w:lastRenderedPageBreak/>
        <w:t>titular universal</w:t>
      </w:r>
      <w:r w:rsidRPr="00985BB5">
        <w:rPr>
          <w:rStyle w:val="Refdenotaalpie"/>
          <w:rFonts w:ascii="Arial" w:hAnsi="Arial" w:cs="Arial"/>
          <w:i/>
          <w:iCs/>
          <w:sz w:val="22"/>
          <w:lang w:val="es-ES"/>
        </w:rPr>
        <w:footnoteReference w:id="20"/>
      </w:r>
      <w:r w:rsidRPr="00985BB5">
        <w:rPr>
          <w:rStyle w:val="nfasis"/>
          <w:rFonts w:ascii="Arial" w:hAnsi="Arial" w:cs="Arial"/>
          <w:sz w:val="22"/>
          <w:lang w:val="es-ES"/>
        </w:rPr>
        <w:t>, transparencia, facilitación y divulgación proactiva de la información</w:t>
      </w:r>
      <w:r w:rsidRPr="00985BB5">
        <w:rPr>
          <w:rStyle w:val="Refdenotaalpie"/>
          <w:rFonts w:ascii="Arial" w:hAnsi="Arial" w:cs="Arial"/>
          <w:i/>
          <w:iCs/>
          <w:sz w:val="22"/>
          <w:lang w:val="es-ES"/>
        </w:rPr>
        <w:footnoteReference w:id="21"/>
      </w:r>
      <w:r w:rsidRPr="00985BB5">
        <w:rPr>
          <w:rStyle w:val="nfasis"/>
          <w:rFonts w:ascii="Arial" w:hAnsi="Arial" w:cs="Arial"/>
          <w:sz w:val="22"/>
          <w:lang w:val="es-ES"/>
        </w:rPr>
        <w:t xml:space="preserve">, </w:t>
      </w:r>
      <w:r w:rsidRPr="00985BB5">
        <w:rPr>
          <w:rStyle w:val="nfasis"/>
          <w:rFonts w:ascii="Arial" w:hAnsi="Arial" w:cs="Arial"/>
          <w:i w:val="0"/>
          <w:iCs w:val="0"/>
          <w:sz w:val="22"/>
          <w:lang w:val="es-ES"/>
        </w:rPr>
        <w:t xml:space="preserve"> porque al ampliarse la actividad contractual sobre la que recae el deber de publicación, se divulga un mayor volumen de información, que de por sí es pública, mediante un mecanismo  como el SECOP,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40087B99" w14:textId="77777777" w:rsidR="00D12042" w:rsidRPr="00985BB5" w:rsidRDefault="00D12042" w:rsidP="00D12042">
      <w:pPr>
        <w:spacing w:before="120" w:after="120" w:line="276" w:lineRule="auto"/>
        <w:ind w:firstLine="709"/>
        <w:jc w:val="both"/>
        <w:rPr>
          <w:rFonts w:ascii="Arial" w:eastAsia="Calibri" w:hAnsi="Arial" w:cs="Arial"/>
          <w:sz w:val="22"/>
          <w:lang w:val="es-ES"/>
        </w:rPr>
      </w:pPr>
      <w:r w:rsidRPr="00985BB5">
        <w:rPr>
          <w:rFonts w:ascii="Arial" w:eastAsia="Calibri" w:hAnsi="Arial" w:cs="Arial"/>
          <w:bCs/>
          <w:sz w:val="22"/>
          <w:lang w:val="es-ES"/>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w:t>
      </w:r>
      <w:r w:rsidRPr="00985BB5">
        <w:rPr>
          <w:rFonts w:ascii="Arial" w:hAnsi="Arial" w:cs="Arial"/>
          <w:sz w:val="22"/>
          <w:lang w:val="es-ES"/>
        </w:rPr>
        <w:t>radicado interno No.</w:t>
      </w:r>
      <w:r w:rsidRPr="00985BB5">
        <w:rPr>
          <w:rFonts w:ascii="Arial" w:hAnsi="Arial" w:cs="Arial"/>
          <w:lang w:val="es-ES"/>
        </w:rPr>
        <w:t xml:space="preserve"> </w:t>
      </w:r>
      <w:r w:rsidRPr="00985BB5">
        <w:rPr>
          <w:rFonts w:ascii="Arial" w:eastAsia="Calibri" w:hAnsi="Arial" w:cs="Arial"/>
          <w:bCs/>
          <w:sz w:val="22"/>
          <w:lang w:val="es-ES"/>
        </w:rPr>
        <w:t xml:space="preserve">2202013000003074–, </w:t>
      </w:r>
      <w:r w:rsidRPr="00985BB5">
        <w:rPr>
          <w:rFonts w:ascii="Arial" w:eastAsia="Calibri" w:hAnsi="Arial" w:cs="Arial"/>
          <w:sz w:val="22"/>
          <w:lang w:val="es-ES"/>
        </w:rPr>
        <w:t>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207A6976" w14:textId="77777777" w:rsidR="00D12042" w:rsidRPr="00985BB5" w:rsidRDefault="00D12042" w:rsidP="00D12042">
      <w:pPr>
        <w:spacing w:after="120" w:line="276" w:lineRule="auto"/>
        <w:ind w:firstLine="709"/>
        <w:jc w:val="both"/>
        <w:rPr>
          <w:rStyle w:val="Textoennegrita"/>
          <w:rFonts w:ascii="Arial" w:hAnsi="Arial" w:cs="Arial"/>
          <w:b w:val="0"/>
          <w:bCs w:val="0"/>
          <w:sz w:val="22"/>
          <w:lang w:val="es-ES"/>
        </w:rPr>
      </w:pPr>
      <w:r w:rsidRPr="00985BB5">
        <w:rPr>
          <w:rFonts w:ascii="Arial" w:eastAsia="Calibri" w:hAnsi="Arial" w:cs="Arial"/>
          <w:sz w:val="22"/>
          <w:lang w:val="es-ES"/>
        </w:rPr>
        <w:t xml:space="preserve">En ese sentido, el Plan Anual de Adquisiciones no forma parte de la noción de </w:t>
      </w:r>
      <w:r w:rsidRPr="00985BB5">
        <w:rPr>
          <w:rFonts w:ascii="Arial" w:eastAsia="Calibri" w:hAnsi="Arial" w:cs="Arial"/>
          <w:i/>
          <w:iCs/>
          <w:sz w:val="22"/>
          <w:lang w:val="es-ES"/>
        </w:rPr>
        <w:t xml:space="preserve">Documentos del Proceso, </w:t>
      </w:r>
      <w:r w:rsidRPr="00985BB5">
        <w:rPr>
          <w:rFonts w:ascii="Arial" w:eastAsia="Calibri" w:hAnsi="Arial" w:cs="Arial"/>
          <w:sz w:val="22"/>
          <w:lang w:val="es-ES"/>
        </w:rPr>
        <w:t xml:space="preserve">ni hace parte del </w:t>
      </w:r>
      <w:r w:rsidRPr="00985BB5">
        <w:rPr>
          <w:rFonts w:ascii="Arial" w:eastAsia="Calibri" w:hAnsi="Arial" w:cs="Arial"/>
          <w:i/>
          <w:iCs/>
          <w:sz w:val="22"/>
          <w:lang w:val="es-ES"/>
        </w:rPr>
        <w:t>Proce</w:t>
      </w:r>
      <w:r w:rsidRPr="00985BB5">
        <w:rPr>
          <w:rFonts w:ascii="Arial" w:eastAsia="Calibri" w:hAnsi="Arial" w:cs="Arial"/>
          <w:sz w:val="22"/>
          <w:lang w:val="es-ES"/>
        </w:rPr>
        <w:t xml:space="preserve">so </w:t>
      </w:r>
      <w:r w:rsidRPr="00985BB5">
        <w:rPr>
          <w:rFonts w:ascii="Arial" w:eastAsia="Calibri" w:hAnsi="Arial" w:cs="Arial"/>
          <w:i/>
          <w:iCs/>
          <w:sz w:val="22"/>
          <w:lang w:val="es-ES"/>
        </w:rPr>
        <w:t>de Contratación,</w:t>
      </w:r>
      <w:r w:rsidRPr="00985BB5">
        <w:rPr>
          <w:rFonts w:ascii="Arial" w:eastAsia="Calibri" w:hAnsi="Arial" w:cs="Arial"/>
          <w:sz w:val="22"/>
          <w:lang w:val="es-ES"/>
        </w:rPr>
        <w:t xml:space="preserve"> conforme al artículo 2.2.1.1.1.3.1 del Decreto 1082 de 2015, por lo que el deber de publicarlo encuentra apoyo en normas distintas del artículo 2.2.1.1.1.7.1 </w:t>
      </w:r>
      <w:proofErr w:type="spellStart"/>
      <w:r w:rsidRPr="00985BB5">
        <w:rPr>
          <w:rFonts w:ascii="Arial" w:eastAsia="Calibri" w:hAnsi="Arial" w:cs="Arial"/>
          <w:i/>
          <w:iCs/>
          <w:sz w:val="22"/>
          <w:lang w:val="es-ES"/>
        </w:rPr>
        <w:t>Ibídem</w:t>
      </w:r>
      <w:proofErr w:type="spellEnd"/>
      <w:r w:rsidRPr="00985BB5">
        <w:rPr>
          <w:rFonts w:ascii="Arial" w:eastAsia="Calibri" w:hAnsi="Arial" w:cs="Arial"/>
          <w:i/>
          <w:iCs/>
          <w:sz w:val="22"/>
          <w:lang w:val="es-ES"/>
        </w:rPr>
        <w:t xml:space="preserve">. </w:t>
      </w:r>
      <w:r w:rsidRPr="00985BB5">
        <w:rPr>
          <w:rFonts w:ascii="Arial" w:eastAsia="Calibri" w:hAnsi="Arial" w:cs="Arial"/>
          <w:sz w:val="22"/>
          <w:lang w:val="es-ES"/>
        </w:rPr>
        <w:t xml:space="preserve">Es el artículo 74 de la Ley 1474 de </w:t>
      </w:r>
      <w:r w:rsidRPr="00985BB5">
        <w:rPr>
          <w:rFonts w:ascii="Arial" w:eastAsia="Calibri" w:hAnsi="Arial" w:cs="Arial"/>
          <w:sz w:val="22"/>
          <w:lang w:val="es-ES"/>
        </w:rPr>
        <w:lastRenderedPageBreak/>
        <w:t>2011</w:t>
      </w:r>
      <w:r w:rsidRPr="00985BB5">
        <w:rPr>
          <w:rStyle w:val="Refdenotaalpie"/>
          <w:rFonts w:ascii="Arial" w:eastAsia="Calibri" w:hAnsi="Arial" w:cs="Arial"/>
          <w:sz w:val="22"/>
          <w:lang w:val="es-ES"/>
        </w:rPr>
        <w:footnoteReference w:id="22"/>
      </w:r>
      <w:r w:rsidRPr="00985BB5">
        <w:rPr>
          <w:rFonts w:ascii="Arial" w:eastAsia="Calibri" w:hAnsi="Arial" w:cs="Arial"/>
          <w:sz w:val="22"/>
          <w:lang w:val="es-ES"/>
        </w:rPr>
        <w:t xml:space="preserve"> el que dispone que </w:t>
      </w:r>
      <w:r w:rsidRPr="00985BB5">
        <w:rPr>
          <w:rFonts w:ascii="Arial" w:hAnsi="Arial" w:cs="Arial"/>
          <w:sz w:val="22"/>
          <w:lang w:val="es-ES"/>
        </w:rPr>
        <w:t xml:space="preserve">a más tardar el 31 de enero de cada año las entidades deben publicar, en su página web, el Plan de Acción para el año siguiente; y el artículo </w:t>
      </w:r>
      <w:r w:rsidRPr="00985BB5">
        <w:rPr>
          <w:rStyle w:val="Textoennegrita"/>
          <w:rFonts w:ascii="Arial" w:hAnsi="Arial" w:cs="Arial"/>
          <w:b w:val="0"/>
          <w:bCs w:val="0"/>
          <w:sz w:val="22"/>
          <w:lang w:val="es-ES"/>
        </w:rPr>
        <w:t>2.2.1.1.1.4.3</w:t>
      </w:r>
      <w:r w:rsidRPr="00985BB5">
        <w:rPr>
          <w:rStyle w:val="Refdenotaalpie"/>
          <w:rFonts w:ascii="Arial" w:hAnsi="Arial" w:cs="Arial"/>
          <w:sz w:val="22"/>
          <w:lang w:val="es-ES"/>
        </w:rPr>
        <w:footnoteReference w:id="23"/>
      </w:r>
      <w:r w:rsidRPr="00985BB5">
        <w:rPr>
          <w:rStyle w:val="Textoennegrita"/>
          <w:rFonts w:ascii="Arial" w:hAnsi="Arial" w:cs="Arial"/>
          <w:sz w:val="22"/>
          <w:lang w:val="es-ES"/>
        </w:rPr>
        <w:t xml:space="preserve"> </w:t>
      </w:r>
      <w:r w:rsidRPr="00985BB5">
        <w:rPr>
          <w:rStyle w:val="Textoennegrita"/>
          <w:rFonts w:ascii="Arial" w:hAnsi="Arial" w:cs="Arial"/>
          <w:b w:val="0"/>
          <w:bCs w:val="0"/>
          <w:sz w:val="22"/>
          <w:lang w:val="es-ES"/>
        </w:rPr>
        <w:t>del Decreto 1082 de 2015 también exige publicarlo en la página web de la entidad y además en el SECOP; así como también lo indica el citado artículo 2.1.1.2.1.10 del Decreto 1081 de 2015.</w:t>
      </w:r>
    </w:p>
    <w:p w14:paraId="132C9548" w14:textId="6C36A5B5" w:rsidR="00D12042" w:rsidRPr="00985BB5" w:rsidRDefault="00D12042" w:rsidP="00D12042">
      <w:pPr>
        <w:spacing w:after="120" w:line="276" w:lineRule="auto"/>
        <w:ind w:firstLine="709"/>
        <w:jc w:val="both"/>
        <w:rPr>
          <w:rFonts w:ascii="Arial" w:eastAsia="Arial" w:hAnsi="Arial" w:cs="Arial"/>
          <w:sz w:val="22"/>
          <w:lang w:val="es-ES"/>
        </w:rPr>
      </w:pPr>
      <w:r w:rsidRPr="00985BB5">
        <w:rPr>
          <w:rStyle w:val="Textoennegrita"/>
          <w:rFonts w:ascii="Arial" w:hAnsi="Arial" w:cs="Arial"/>
          <w:b w:val="0"/>
          <w:bCs w:val="0"/>
          <w:sz w:val="22"/>
          <w:lang w:val="es-ES"/>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985BB5">
        <w:rPr>
          <w:rStyle w:val="Textoennegrita"/>
          <w:rFonts w:ascii="Arial" w:hAnsi="Arial" w:cs="Arial"/>
          <w:b w:val="0"/>
          <w:bCs w:val="0"/>
          <w:i/>
          <w:iCs/>
          <w:sz w:val="22"/>
          <w:lang w:val="es-ES"/>
        </w:rPr>
        <w:t>proceso de contratación</w:t>
      </w:r>
      <w:r w:rsidRPr="00985BB5">
        <w:rPr>
          <w:rStyle w:val="Textoennegrita"/>
          <w:rFonts w:ascii="Arial" w:hAnsi="Arial" w:cs="Arial"/>
          <w:b w:val="0"/>
          <w:bCs w:val="0"/>
          <w:sz w:val="22"/>
          <w:lang w:val="es-ES"/>
        </w:rPr>
        <w:t xml:space="preserve">: i) el estudio de oportunidad y conveniencia; </w:t>
      </w:r>
      <w:proofErr w:type="spellStart"/>
      <w:r w:rsidRPr="00985BB5">
        <w:rPr>
          <w:rStyle w:val="Textoennegrita"/>
          <w:rFonts w:ascii="Arial" w:hAnsi="Arial" w:cs="Arial"/>
          <w:b w:val="0"/>
          <w:bCs w:val="0"/>
          <w:sz w:val="22"/>
          <w:lang w:val="es-ES"/>
        </w:rPr>
        <w:t>ii</w:t>
      </w:r>
      <w:proofErr w:type="spellEnd"/>
      <w:r w:rsidRPr="00985BB5">
        <w:rPr>
          <w:rStyle w:val="Textoennegrita"/>
          <w:rFonts w:ascii="Arial" w:hAnsi="Arial" w:cs="Arial"/>
          <w:b w:val="0"/>
          <w:bCs w:val="0"/>
          <w:sz w:val="22"/>
          <w:lang w:val="es-ES"/>
        </w:rPr>
        <w:t xml:space="preserve">) </w:t>
      </w:r>
      <w:r w:rsidRPr="00985BB5">
        <w:rPr>
          <w:rFonts w:ascii="Arial" w:hAnsi="Arial" w:cs="Arial"/>
          <w:sz w:val="22"/>
          <w:lang w:val="es-ES"/>
        </w:rPr>
        <w:t xml:space="preserve">los estudios y documentos previos –técnicos o no–; </w:t>
      </w:r>
      <w:proofErr w:type="spellStart"/>
      <w:r w:rsidRPr="00985BB5">
        <w:rPr>
          <w:rFonts w:ascii="Arial" w:hAnsi="Arial" w:cs="Arial"/>
          <w:sz w:val="22"/>
          <w:lang w:val="es-ES"/>
        </w:rPr>
        <w:t>iii</w:t>
      </w:r>
      <w:proofErr w:type="spellEnd"/>
      <w:r w:rsidRPr="00985BB5">
        <w:rPr>
          <w:rFonts w:ascii="Arial" w:hAnsi="Arial" w:cs="Arial"/>
          <w:sz w:val="22"/>
          <w:lang w:val="es-ES"/>
        </w:rPr>
        <w:t xml:space="preserve">) el  aviso de convocatoria; </w:t>
      </w:r>
      <w:proofErr w:type="spellStart"/>
      <w:r w:rsidRPr="00985BB5">
        <w:rPr>
          <w:rFonts w:ascii="Arial" w:hAnsi="Arial" w:cs="Arial"/>
          <w:sz w:val="22"/>
          <w:lang w:val="es-ES"/>
        </w:rPr>
        <w:t>iv</w:t>
      </w:r>
      <w:proofErr w:type="spellEnd"/>
      <w:r w:rsidRPr="00985BB5">
        <w:rPr>
          <w:rFonts w:ascii="Arial" w:hAnsi="Arial" w:cs="Arial"/>
          <w:sz w:val="22"/>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985BB5">
        <w:rPr>
          <w:rFonts w:ascii="Arial" w:hAnsi="Arial" w:cs="Arial"/>
          <w:sz w:val="22"/>
          <w:lang w:val="es-ES"/>
        </w:rPr>
        <w:t>vii</w:t>
      </w:r>
      <w:proofErr w:type="spellEnd"/>
      <w:r w:rsidRPr="00985BB5">
        <w:rPr>
          <w:rFonts w:ascii="Arial" w:hAnsi="Arial" w:cs="Arial"/>
          <w:sz w:val="22"/>
          <w:lang w:val="es-ES"/>
        </w:rPr>
        <w:t xml:space="preserve">) el acta de cierre del plazo para presentar ofertas; </w:t>
      </w:r>
      <w:proofErr w:type="spellStart"/>
      <w:r w:rsidRPr="00985BB5">
        <w:rPr>
          <w:rFonts w:ascii="Arial" w:hAnsi="Arial" w:cs="Arial"/>
          <w:sz w:val="22"/>
          <w:lang w:val="es-ES"/>
        </w:rPr>
        <w:t>viii</w:t>
      </w:r>
      <w:proofErr w:type="spellEnd"/>
      <w:r w:rsidRPr="00985BB5">
        <w:rPr>
          <w:rFonts w:ascii="Arial" w:hAnsi="Arial" w:cs="Arial"/>
          <w:sz w:val="22"/>
          <w:lang w:val="es-ES"/>
        </w:rPr>
        <w:t xml:space="preserve">) las adendas; </w:t>
      </w:r>
      <w:proofErr w:type="spellStart"/>
      <w:r w:rsidRPr="00985BB5">
        <w:rPr>
          <w:rFonts w:ascii="Arial" w:hAnsi="Arial" w:cs="Arial"/>
          <w:sz w:val="22"/>
          <w:lang w:val="es-ES"/>
        </w:rPr>
        <w:t>ix</w:t>
      </w:r>
      <w:proofErr w:type="spellEnd"/>
      <w:r w:rsidRPr="00985BB5">
        <w:rPr>
          <w:rFonts w:ascii="Arial" w:hAnsi="Arial" w:cs="Arial"/>
          <w:sz w:val="22"/>
          <w:lang w:val="es-ES"/>
        </w:rPr>
        <w:t xml:space="preserve">) en  procesos cuya publicación deba realizarse en SECOP I, la oferta del adjudicatario y las aclaraciones que se le realicen; x) el informe de precalificación y las observaciones que se formulen; xi) el informe de evaluación y las observaciones que se formulen; </w:t>
      </w:r>
      <w:proofErr w:type="spellStart"/>
      <w:r w:rsidRPr="00985BB5">
        <w:rPr>
          <w:rFonts w:ascii="Arial" w:hAnsi="Arial" w:cs="Arial"/>
          <w:sz w:val="22"/>
          <w:lang w:val="es-ES"/>
        </w:rPr>
        <w:t>xii</w:t>
      </w:r>
      <w:proofErr w:type="spellEnd"/>
      <w:r w:rsidRPr="00985BB5">
        <w:rPr>
          <w:rFonts w:ascii="Arial" w:hAnsi="Arial" w:cs="Arial"/>
          <w:sz w:val="22"/>
          <w:lang w:val="es-ES"/>
        </w:rPr>
        <w:t xml:space="preserve">) las respuestas a las observaciones; </w:t>
      </w:r>
      <w:proofErr w:type="spellStart"/>
      <w:r w:rsidRPr="00985BB5">
        <w:rPr>
          <w:rFonts w:ascii="Arial" w:hAnsi="Arial" w:cs="Arial"/>
          <w:sz w:val="22"/>
          <w:lang w:val="es-ES"/>
        </w:rPr>
        <w:t>xiii</w:t>
      </w:r>
      <w:proofErr w:type="spellEnd"/>
      <w:r w:rsidRPr="00985BB5">
        <w:rPr>
          <w:rFonts w:ascii="Arial" w:hAnsi="Arial" w:cs="Arial"/>
          <w:sz w:val="22"/>
          <w:lang w:val="es-ES"/>
        </w:rPr>
        <w:t xml:space="preserve">) el contrato y los otrosíes o modificaciones; </w:t>
      </w:r>
      <w:proofErr w:type="spellStart"/>
      <w:r w:rsidRPr="00985BB5">
        <w:rPr>
          <w:rFonts w:ascii="Arial" w:hAnsi="Arial" w:cs="Arial"/>
          <w:sz w:val="22"/>
          <w:lang w:val="es-ES"/>
        </w:rPr>
        <w:t>xiv</w:t>
      </w:r>
      <w:proofErr w:type="spellEnd"/>
      <w:r w:rsidRPr="00985BB5">
        <w:rPr>
          <w:rFonts w:ascii="Arial" w:hAnsi="Arial" w:cs="Arial"/>
          <w:sz w:val="22"/>
          <w:lang w:val="es-ES"/>
        </w:rPr>
        <w:t xml:space="preserve">) el acta de inicio; </w:t>
      </w:r>
      <w:proofErr w:type="spellStart"/>
      <w:r w:rsidRPr="00985BB5">
        <w:rPr>
          <w:rFonts w:ascii="Arial" w:hAnsi="Arial" w:cs="Arial"/>
          <w:sz w:val="22"/>
          <w:lang w:val="es-ES"/>
        </w:rPr>
        <w:t>xv</w:t>
      </w:r>
      <w:proofErr w:type="spellEnd"/>
      <w:r w:rsidRPr="00985BB5">
        <w:rPr>
          <w:rFonts w:ascii="Arial" w:hAnsi="Arial" w:cs="Arial"/>
          <w:sz w:val="22"/>
          <w:lang w:val="es-ES"/>
        </w:rPr>
        <w:t xml:space="preserve">) las garantías; </w:t>
      </w:r>
      <w:proofErr w:type="spellStart"/>
      <w:r w:rsidRPr="00985BB5">
        <w:rPr>
          <w:rFonts w:ascii="Arial" w:hAnsi="Arial" w:cs="Arial"/>
          <w:sz w:val="22"/>
          <w:lang w:val="es-ES"/>
        </w:rPr>
        <w:t>xvi</w:t>
      </w:r>
      <w:proofErr w:type="spellEnd"/>
      <w:r w:rsidRPr="00985BB5">
        <w:rPr>
          <w:rFonts w:ascii="Arial" w:hAnsi="Arial" w:cs="Arial"/>
          <w:sz w:val="22"/>
          <w:lang w:val="es-ES"/>
        </w:rPr>
        <w:t xml:space="preserve">) el acta de liquidación; </w:t>
      </w:r>
      <w:proofErr w:type="spellStart"/>
      <w:r w:rsidRPr="00985BB5">
        <w:rPr>
          <w:rFonts w:ascii="Arial" w:hAnsi="Arial" w:cs="Arial"/>
          <w:sz w:val="22"/>
          <w:lang w:val="es-ES"/>
        </w:rPr>
        <w:t>xvii</w:t>
      </w:r>
      <w:proofErr w:type="spellEnd"/>
      <w:r w:rsidRPr="00985BB5">
        <w:rPr>
          <w:rFonts w:ascii="Arial" w:hAnsi="Arial" w:cs="Arial"/>
          <w:sz w:val="22"/>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985BB5">
        <w:rPr>
          <w:rFonts w:ascii="Arial" w:hAnsi="Arial" w:cs="Arial"/>
          <w:sz w:val="22"/>
          <w:lang w:val="es-ES"/>
        </w:rPr>
        <w:t>xviii</w:t>
      </w:r>
      <w:proofErr w:type="spellEnd"/>
      <w:r w:rsidRPr="00985BB5">
        <w:rPr>
          <w:rFonts w:ascii="Arial" w:hAnsi="Arial" w:cs="Arial"/>
          <w:sz w:val="22"/>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985BB5">
        <w:rPr>
          <w:rFonts w:ascii="Arial" w:hAnsi="Arial" w:cs="Arial"/>
          <w:sz w:val="22"/>
          <w:lang w:val="es-ES"/>
        </w:rPr>
        <w:t>ix</w:t>
      </w:r>
      <w:proofErr w:type="spellEnd"/>
      <w:r w:rsidRPr="00985BB5">
        <w:rPr>
          <w:rFonts w:ascii="Arial" w:hAnsi="Arial" w:cs="Arial"/>
          <w:sz w:val="22"/>
          <w:lang w:val="es-ES"/>
        </w:rPr>
        <w:t xml:space="preserve">) las reclamaciones que presenten las partes y las respuestas que se expidan a las mismas; </w:t>
      </w:r>
      <w:proofErr w:type="spellStart"/>
      <w:r w:rsidRPr="00985BB5">
        <w:rPr>
          <w:rFonts w:ascii="Arial" w:hAnsi="Arial" w:cs="Arial"/>
          <w:sz w:val="22"/>
          <w:lang w:val="es-ES"/>
        </w:rPr>
        <w:t>xx</w:t>
      </w:r>
      <w:proofErr w:type="spellEnd"/>
      <w:r w:rsidRPr="00985BB5">
        <w:rPr>
          <w:rFonts w:ascii="Arial" w:hAnsi="Arial" w:cs="Arial"/>
          <w:sz w:val="22"/>
          <w:lang w:val="es-ES"/>
        </w:rPr>
        <w:t xml:space="preserve">) las actas de entrega o recibo, </w:t>
      </w:r>
      <w:proofErr w:type="spellStart"/>
      <w:r w:rsidRPr="00985BB5">
        <w:rPr>
          <w:rFonts w:ascii="Arial" w:hAnsi="Arial" w:cs="Arial"/>
          <w:sz w:val="22"/>
          <w:lang w:val="es-ES"/>
        </w:rPr>
        <w:t>xxi</w:t>
      </w:r>
      <w:proofErr w:type="spellEnd"/>
      <w:r w:rsidRPr="00985BB5">
        <w:rPr>
          <w:rFonts w:ascii="Arial" w:hAnsi="Arial" w:cs="Arial"/>
          <w:sz w:val="22"/>
          <w:lang w:val="es-ES"/>
        </w:rPr>
        <w:t xml:space="preserve">) los informes de supervisión y/o interventoría; </w:t>
      </w:r>
      <w:proofErr w:type="spellStart"/>
      <w:r w:rsidRPr="00985BB5">
        <w:rPr>
          <w:rFonts w:ascii="Arial" w:hAnsi="Arial" w:cs="Arial"/>
          <w:sz w:val="22"/>
          <w:lang w:val="es-ES"/>
        </w:rPr>
        <w:t>xxii</w:t>
      </w:r>
      <w:proofErr w:type="spellEnd"/>
      <w:r w:rsidRPr="00985BB5">
        <w:rPr>
          <w:rFonts w:ascii="Arial" w:hAnsi="Arial" w:cs="Arial"/>
          <w:sz w:val="22"/>
          <w:lang w:val="es-ES"/>
        </w:rPr>
        <w:t xml:space="preserve">) en cuanto a la ejecución, de conformidad con el artículo 2.1.1.2.1.8 de Decreto 1081 de 2015, deberán publicarse las </w:t>
      </w:r>
      <w:r w:rsidRPr="00985BB5">
        <w:rPr>
          <w:rFonts w:ascii="Arial" w:hAnsi="Arial" w:cs="Arial"/>
          <w:sz w:val="22"/>
          <w:lang w:val="es-ES"/>
        </w:rPr>
        <w:lastRenderedPageBreak/>
        <w:t xml:space="preserve">aprobaciones, autorizaciones, requerimientos o informes del supervisor o del interventor, que prueben la ejecución del contrato; </w:t>
      </w:r>
      <w:proofErr w:type="spellStart"/>
      <w:r w:rsidRPr="00985BB5">
        <w:rPr>
          <w:rFonts w:ascii="Arial" w:hAnsi="Arial" w:cs="Arial"/>
          <w:sz w:val="22"/>
          <w:lang w:val="es-ES"/>
        </w:rPr>
        <w:t>xxiii</w:t>
      </w:r>
      <w:proofErr w:type="spellEnd"/>
      <w:r w:rsidRPr="00985BB5">
        <w:rPr>
          <w:rFonts w:ascii="Arial" w:hAnsi="Arial" w:cs="Arial"/>
          <w:sz w:val="22"/>
          <w:lang w:val="es-ES"/>
        </w:rPr>
        <w:t xml:space="preserve">) la liquidación unilateral; y </w:t>
      </w:r>
      <w:proofErr w:type="spellStart"/>
      <w:r w:rsidRPr="00985BB5">
        <w:rPr>
          <w:rFonts w:ascii="Arial" w:hAnsi="Arial" w:cs="Arial"/>
          <w:sz w:val="22"/>
          <w:lang w:val="es-ES"/>
        </w:rPr>
        <w:t>xxiv</w:t>
      </w:r>
      <w:proofErr w:type="spellEnd"/>
      <w:r w:rsidRPr="00985BB5">
        <w:rPr>
          <w:rFonts w:ascii="Arial" w:hAnsi="Arial" w:cs="Arial"/>
          <w:sz w:val="22"/>
          <w:lang w:val="es-ES"/>
        </w:rPr>
        <w:t xml:space="preserve">) en general cualquier otro documento producido o expedido con ocasión del </w:t>
      </w:r>
      <w:r w:rsidRPr="00985BB5">
        <w:rPr>
          <w:rFonts w:ascii="Arial" w:hAnsi="Arial" w:cs="Arial"/>
          <w:i/>
          <w:iCs/>
          <w:sz w:val="22"/>
          <w:lang w:val="es-ES"/>
        </w:rPr>
        <w:t>Proceso de Contratación</w:t>
      </w:r>
      <w:r w:rsidRPr="00985BB5">
        <w:rPr>
          <w:rFonts w:ascii="Arial" w:hAnsi="Arial" w:cs="Arial"/>
          <w:sz w:val="22"/>
          <w:lang w:val="es-ES"/>
        </w:rPr>
        <w:t>, sin importar quién sea su autor –la Administración o el contratista–, con excepción de los que pertenecen a</w:t>
      </w:r>
      <w:r w:rsidRPr="00985BB5">
        <w:rPr>
          <w:rFonts w:ascii="Arial" w:eastAsia="Arial" w:hAnsi="Arial" w:cs="Arial"/>
          <w:sz w:val="22"/>
          <w:lang w:val="es-ES"/>
        </w:rPr>
        <w:t xml:space="preserve">l marco de operaciones de bolsa de productos, expresamente excluidos de publicación por el artículo 2.2.1.1.1.7.1. del Decreto 1082 de 2015. </w:t>
      </w:r>
    </w:p>
    <w:p w14:paraId="3067B496" w14:textId="7D6CD400" w:rsidR="00D12042" w:rsidRPr="00985BB5" w:rsidRDefault="00D12042" w:rsidP="007D19CE">
      <w:pPr>
        <w:spacing w:after="120" w:line="276" w:lineRule="auto"/>
        <w:ind w:firstLine="709"/>
        <w:jc w:val="both"/>
        <w:rPr>
          <w:rFonts w:ascii="Arial" w:hAnsi="Arial" w:cs="Arial"/>
          <w:sz w:val="22"/>
          <w:lang w:val="es-ES"/>
        </w:rPr>
      </w:pPr>
      <w:r w:rsidRPr="00985BB5">
        <w:rPr>
          <w:rFonts w:ascii="Arial" w:hAnsi="Arial" w:cs="Arial"/>
          <w:sz w:val="22"/>
          <w:lang w:val="es-ES"/>
        </w:rPr>
        <w:t>Sin perjuicio de lo anterior, no debe perderse de vista que en virtud del principio de transparencia, específicamente por cuenta de lo dispuesto en el numeral 4 del artículo 24 de la Ley 80 de 1993</w:t>
      </w:r>
      <w:r w:rsidRPr="00985BB5">
        <w:rPr>
          <w:rStyle w:val="Refdenotaalpie"/>
          <w:rFonts w:ascii="Arial" w:hAnsi="Arial" w:cs="Arial"/>
          <w:sz w:val="22"/>
          <w:lang w:val="es-ES"/>
        </w:rPr>
        <w:footnoteReference w:id="24"/>
      </w:r>
      <w:r w:rsidRPr="00985BB5">
        <w:rPr>
          <w:rFonts w:ascii="Arial" w:hAnsi="Arial" w:cs="Arial"/>
          <w:sz w:val="22"/>
          <w:lang w:val="es-ES"/>
        </w:rPr>
        <w:t>, así como por el principio de máxima publicidad establecido en el artículo 2 de la Ley 1712 de 2014</w:t>
      </w:r>
      <w:r w:rsidRPr="00985BB5">
        <w:rPr>
          <w:rStyle w:val="Refdenotaalpie"/>
          <w:rFonts w:ascii="Arial" w:hAnsi="Arial" w:cs="Arial"/>
          <w:sz w:val="22"/>
          <w:lang w:val="es-ES"/>
        </w:rPr>
        <w:footnoteReference w:id="25"/>
      </w:r>
      <w:r w:rsidRPr="00985BB5">
        <w:rPr>
          <w:rFonts w:ascii="Arial" w:hAnsi="Arial" w:cs="Arial"/>
          <w:sz w:val="22"/>
          <w:lang w:val="es-E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w:t>
      </w:r>
      <w:r w:rsidRPr="00985BB5">
        <w:rPr>
          <w:rStyle w:val="Refdenotaalpie"/>
          <w:rFonts w:ascii="Arial" w:hAnsi="Arial" w:cs="Arial"/>
          <w:sz w:val="22"/>
          <w:lang w:val="es-ES"/>
        </w:rPr>
        <w:footnoteReference w:id="26"/>
      </w:r>
      <w:r w:rsidRPr="00985BB5">
        <w:rPr>
          <w:rFonts w:ascii="Arial" w:hAnsi="Arial" w:cs="Arial"/>
          <w:sz w:val="22"/>
          <w:lang w:val="es-ES"/>
        </w:rPr>
        <w:t>. Esta posibilidad solo se encuentra limitada respecto de la documentación que tenga la calidad de reservada</w:t>
      </w:r>
      <w:r w:rsidRPr="00985BB5">
        <w:rPr>
          <w:rFonts w:ascii="Arial" w:hAnsi="Arial" w:cs="Arial"/>
          <w:sz w:val="22"/>
          <w:vertAlign w:val="superscript"/>
          <w:lang w:val="es-ES"/>
        </w:rPr>
        <w:footnoteReference w:id="27"/>
      </w:r>
      <w:r w:rsidRPr="00985BB5">
        <w:rPr>
          <w:rFonts w:ascii="Arial" w:hAnsi="Arial" w:cs="Arial"/>
          <w:sz w:val="22"/>
          <w:lang w:val="es-ES"/>
        </w:rPr>
        <w:t xml:space="preserve">, que deberá </w:t>
      </w:r>
      <w:r w:rsidRPr="00985BB5">
        <w:rPr>
          <w:rFonts w:ascii="Arial" w:hAnsi="Arial" w:cs="Arial"/>
          <w:sz w:val="22"/>
          <w:lang w:val="es-ES"/>
        </w:rPr>
        <w:lastRenderedPageBreak/>
        <w:t>someterse al tratamiento establecido en el</w:t>
      </w:r>
      <w:r w:rsidR="008242C7" w:rsidRPr="00985BB5">
        <w:rPr>
          <w:rFonts w:ascii="Arial" w:hAnsi="Arial" w:cs="Arial"/>
          <w:sz w:val="22"/>
          <w:lang w:val="es-ES"/>
        </w:rPr>
        <w:t xml:space="preserve"> tercer inciso del</w:t>
      </w:r>
      <w:r w:rsidRPr="00985BB5">
        <w:rPr>
          <w:rFonts w:ascii="Arial" w:hAnsi="Arial" w:cs="Arial"/>
          <w:sz w:val="22"/>
          <w:lang w:val="es-ES"/>
        </w:rPr>
        <w:t xml:space="preserve"> artículo 36 del CPACA</w:t>
      </w:r>
      <w:r w:rsidR="008242C7" w:rsidRPr="00985BB5">
        <w:rPr>
          <w:rStyle w:val="Refdenotaalpie"/>
          <w:rFonts w:ascii="Arial" w:hAnsi="Arial" w:cs="Arial"/>
          <w:sz w:val="22"/>
          <w:lang w:val="es-ES"/>
        </w:rPr>
        <w:footnoteReference w:id="28"/>
      </w:r>
      <w:r w:rsidRPr="00985BB5">
        <w:rPr>
          <w:rFonts w:ascii="Arial" w:hAnsi="Arial" w:cs="Arial"/>
          <w:sz w:val="22"/>
          <w:lang w:val="es-ES"/>
        </w:rPr>
        <w:t>, en lo relativo a la formación de cuadernos separados</w:t>
      </w:r>
      <w:r w:rsidRPr="00985BB5">
        <w:rPr>
          <w:rFonts w:ascii="Arial" w:hAnsi="Arial" w:cs="Arial"/>
          <w:sz w:val="22"/>
          <w:vertAlign w:val="superscript"/>
          <w:lang w:val="es-ES"/>
        </w:rPr>
        <w:footnoteReference w:id="29"/>
      </w:r>
      <w:r w:rsidRPr="00985BB5">
        <w:rPr>
          <w:rFonts w:ascii="Arial" w:hAnsi="Arial" w:cs="Arial"/>
          <w:sz w:val="22"/>
          <w:lang w:val="es-ES"/>
        </w:rPr>
        <w:t>.</w:t>
      </w:r>
    </w:p>
    <w:p w14:paraId="71D9EC7D" w14:textId="115ECB47" w:rsidR="007D19CE" w:rsidRPr="00985BB5" w:rsidRDefault="007D19CE" w:rsidP="00DF3106">
      <w:pPr>
        <w:spacing w:after="120" w:line="276" w:lineRule="auto"/>
        <w:ind w:firstLine="709"/>
        <w:jc w:val="both"/>
        <w:rPr>
          <w:rFonts w:ascii="Arial" w:hAnsi="Arial" w:cs="Arial"/>
          <w:sz w:val="22"/>
        </w:rPr>
      </w:pPr>
      <w:r w:rsidRPr="00985BB5">
        <w:rPr>
          <w:rFonts w:ascii="Arial" w:hAnsi="Arial" w:cs="Arial"/>
          <w:sz w:val="22"/>
          <w:lang w:val="es-ES"/>
        </w:rPr>
        <w:t>Conforme a lo anterior, las aclaraciones efectuadas por los proponentes ante los requerimientos realizados por la entidad estatal en virtud del artículo 2.2.1.1.2.2.4 del Decreto 1082 de 2015</w:t>
      </w:r>
      <w:r w:rsidRPr="00985BB5">
        <w:rPr>
          <w:rStyle w:val="Refdenotaalpie"/>
          <w:rFonts w:ascii="Arial" w:hAnsi="Arial" w:cs="Arial"/>
          <w:sz w:val="22"/>
          <w:lang w:val="es-ES"/>
        </w:rPr>
        <w:footnoteReference w:id="30"/>
      </w:r>
      <w:r w:rsidRPr="00985BB5">
        <w:rPr>
          <w:rFonts w:ascii="Arial" w:hAnsi="Arial" w:cs="Arial"/>
          <w:sz w:val="22"/>
          <w:lang w:val="es-ES"/>
        </w:rPr>
        <w:t xml:space="preserve">, </w:t>
      </w:r>
      <w:r w:rsidR="008242C7" w:rsidRPr="00985BB5">
        <w:rPr>
          <w:rFonts w:ascii="Arial" w:hAnsi="Arial" w:cs="Arial"/>
          <w:sz w:val="22"/>
          <w:lang w:val="es-ES"/>
        </w:rPr>
        <w:t xml:space="preserve">en principio, deben ser publicadas en el SECOP, comoquiera que </w:t>
      </w:r>
      <w:r w:rsidR="008242C7" w:rsidRPr="00985BB5">
        <w:rPr>
          <w:rFonts w:ascii="Arial" w:hAnsi="Arial" w:cs="Arial"/>
          <w:sz w:val="22"/>
          <w:lang w:val="es-ES"/>
        </w:rPr>
        <w:lastRenderedPageBreak/>
        <w:t xml:space="preserve">son documentos expedidos con ocasión del </w:t>
      </w:r>
      <w:r w:rsidR="008242C7" w:rsidRPr="00985BB5">
        <w:rPr>
          <w:rFonts w:ascii="Arial" w:hAnsi="Arial" w:cs="Arial"/>
          <w:i/>
          <w:iCs/>
          <w:sz w:val="22"/>
          <w:lang w:val="es-ES"/>
        </w:rPr>
        <w:t xml:space="preserve">Proceso de Contratación. </w:t>
      </w:r>
      <w:r w:rsidR="008242C7" w:rsidRPr="00985BB5">
        <w:rPr>
          <w:rFonts w:ascii="Arial" w:hAnsi="Arial" w:cs="Arial"/>
          <w:sz w:val="22"/>
          <w:lang w:val="es-ES"/>
        </w:rPr>
        <w:t xml:space="preserve">No obstante, </w:t>
      </w:r>
      <w:r w:rsidR="004F49DA" w:rsidRPr="00985BB5">
        <w:rPr>
          <w:rFonts w:ascii="Arial" w:hAnsi="Arial" w:cs="Arial"/>
          <w:sz w:val="22"/>
          <w:lang w:val="es-ES"/>
        </w:rPr>
        <w:t xml:space="preserve">puede suceder que </w:t>
      </w:r>
      <w:r w:rsidR="008242C7" w:rsidRPr="00985BB5">
        <w:rPr>
          <w:rFonts w:ascii="Arial" w:hAnsi="Arial" w:cs="Arial"/>
          <w:sz w:val="22"/>
          <w:lang w:val="es-ES"/>
        </w:rPr>
        <w:t xml:space="preserve">dentro del contenido de </w:t>
      </w:r>
      <w:proofErr w:type="gramStart"/>
      <w:r w:rsidR="008242C7" w:rsidRPr="00985BB5">
        <w:rPr>
          <w:rFonts w:ascii="Arial" w:hAnsi="Arial" w:cs="Arial"/>
          <w:sz w:val="22"/>
          <w:lang w:val="es-ES"/>
        </w:rPr>
        <w:t>la  aclaración</w:t>
      </w:r>
      <w:proofErr w:type="gramEnd"/>
      <w:r w:rsidR="008242C7" w:rsidRPr="00985BB5">
        <w:rPr>
          <w:rFonts w:ascii="Arial" w:hAnsi="Arial" w:cs="Arial"/>
          <w:sz w:val="22"/>
          <w:lang w:val="es-ES"/>
        </w:rPr>
        <w:t xml:space="preserve"> dada por el proponente se evidenci</w:t>
      </w:r>
      <w:r w:rsidR="004F49DA" w:rsidRPr="00985BB5">
        <w:rPr>
          <w:rFonts w:ascii="Arial" w:hAnsi="Arial" w:cs="Arial"/>
          <w:sz w:val="22"/>
          <w:lang w:val="es-ES"/>
        </w:rPr>
        <w:t>e</w:t>
      </w:r>
      <w:r w:rsidR="008242C7" w:rsidRPr="00985BB5">
        <w:rPr>
          <w:rFonts w:ascii="Arial" w:hAnsi="Arial" w:cs="Arial"/>
          <w:sz w:val="22"/>
          <w:lang w:val="es-ES"/>
        </w:rPr>
        <w:t xml:space="preserve"> información que tenga el carácter de reservada</w:t>
      </w:r>
      <w:r w:rsidR="000C733A" w:rsidRPr="00985BB5">
        <w:rPr>
          <w:rFonts w:ascii="Arial" w:hAnsi="Arial" w:cs="Arial"/>
          <w:sz w:val="22"/>
          <w:lang w:val="es-ES"/>
        </w:rPr>
        <w:t xml:space="preserve"> de conformidad con la Constitución y la ley</w:t>
      </w:r>
      <w:r w:rsidR="004F49DA" w:rsidRPr="00985BB5">
        <w:rPr>
          <w:rFonts w:ascii="Arial" w:hAnsi="Arial" w:cs="Arial"/>
          <w:sz w:val="22"/>
          <w:lang w:val="es-ES"/>
        </w:rPr>
        <w:t xml:space="preserve"> en los términos del artículo 24 del CPACA, o cuya publicidad pudiese atentar contra los derechos d</w:t>
      </w:r>
      <w:proofErr w:type="spellStart"/>
      <w:r w:rsidR="004F49DA" w:rsidRPr="00985BB5">
        <w:rPr>
          <w:rFonts w:ascii="Arial" w:hAnsi="Arial" w:cs="Arial"/>
          <w:sz w:val="22"/>
        </w:rPr>
        <w:t>e</w:t>
      </w:r>
      <w:proofErr w:type="spellEnd"/>
      <w:r w:rsidR="004F49DA" w:rsidRPr="00985BB5">
        <w:rPr>
          <w:rFonts w:ascii="Arial" w:hAnsi="Arial" w:cs="Arial"/>
          <w:sz w:val="22"/>
        </w:rPr>
        <w:t xml:space="preserve"> toda persona a la intimidad</w:t>
      </w:r>
      <w:r w:rsidR="004F49DA" w:rsidRPr="00985BB5">
        <w:rPr>
          <w:rFonts w:ascii="Arial" w:hAnsi="Arial" w:cs="Arial"/>
          <w:sz w:val="22"/>
          <w:lang w:val="es-ES"/>
        </w:rPr>
        <w:t>, v</w:t>
      </w:r>
      <w:r w:rsidR="004F49DA" w:rsidRPr="00985BB5">
        <w:rPr>
          <w:rFonts w:ascii="Arial" w:hAnsi="Arial" w:cs="Arial"/>
          <w:sz w:val="22"/>
        </w:rPr>
        <w:t>ida, salud, seguridad o los secretos comerciales, industriales y profesionales de conformidad con el artículo 18 de la Ley 1712 de 2014</w:t>
      </w:r>
      <w:r w:rsidR="004F49DA" w:rsidRPr="00985BB5">
        <w:rPr>
          <w:rStyle w:val="Refdenotaalpie"/>
          <w:rFonts w:ascii="Arial" w:hAnsi="Arial" w:cs="Arial"/>
          <w:sz w:val="22"/>
        </w:rPr>
        <w:footnoteReference w:id="31"/>
      </w:r>
      <w:r w:rsidR="00DF3106" w:rsidRPr="00985BB5">
        <w:rPr>
          <w:rFonts w:ascii="Arial" w:hAnsi="Arial" w:cs="Arial"/>
          <w:sz w:val="22"/>
        </w:rPr>
        <w:t xml:space="preserve">. </w:t>
      </w:r>
    </w:p>
    <w:p w14:paraId="7CA90CC0" w14:textId="456498B8" w:rsidR="00DF3106" w:rsidRPr="00985BB5" w:rsidRDefault="00DF3106" w:rsidP="00DF3106">
      <w:pPr>
        <w:spacing w:after="120" w:line="276" w:lineRule="auto"/>
        <w:ind w:firstLine="709"/>
        <w:jc w:val="both"/>
        <w:rPr>
          <w:rFonts w:ascii="Arial" w:hAnsi="Arial" w:cs="Arial"/>
          <w:sz w:val="22"/>
        </w:rPr>
      </w:pPr>
      <w:r w:rsidRPr="00985BB5">
        <w:rPr>
          <w:rFonts w:ascii="Arial" w:hAnsi="Arial" w:cs="Arial"/>
          <w:sz w:val="22"/>
        </w:rPr>
        <w:t xml:space="preserve">En tales eventos, al estar restringida la publicidad y acceso a la información, la entidad deberá abstenerse de publicar en el SECOP la información correspondiente, y dar a la misma el tratamiento establecido en el inciso tercero del artículo 36 del CPACA, depositando el respectivo documento en un cuaderno separado del cuaderno principal en el que se desarrolla el proceso de contratación. </w:t>
      </w:r>
    </w:p>
    <w:p w14:paraId="3F43A702" w14:textId="054187F8" w:rsidR="00DF3106" w:rsidRPr="00985BB5" w:rsidRDefault="00DF3106" w:rsidP="00DF3106">
      <w:pPr>
        <w:spacing w:after="120" w:line="276" w:lineRule="auto"/>
        <w:ind w:firstLine="709"/>
        <w:jc w:val="both"/>
        <w:rPr>
          <w:rFonts w:ascii="Arial" w:hAnsi="Arial" w:cs="Arial"/>
          <w:sz w:val="22"/>
          <w:lang w:val="es-ES"/>
        </w:rPr>
      </w:pPr>
      <w:r w:rsidRPr="00985BB5">
        <w:rPr>
          <w:rFonts w:ascii="Arial" w:hAnsi="Arial" w:cs="Arial"/>
          <w:sz w:val="22"/>
        </w:rPr>
        <w:t>En todo caso, correspo</w:t>
      </w:r>
      <w:r w:rsidR="004C1F63" w:rsidRPr="00985BB5">
        <w:rPr>
          <w:rFonts w:ascii="Arial" w:hAnsi="Arial" w:cs="Arial"/>
          <w:sz w:val="22"/>
        </w:rPr>
        <w:t>n</w:t>
      </w:r>
      <w:r w:rsidRPr="00985BB5">
        <w:rPr>
          <w:rFonts w:ascii="Arial" w:hAnsi="Arial" w:cs="Arial"/>
          <w:sz w:val="22"/>
        </w:rPr>
        <w:t xml:space="preserve">derá a la </w:t>
      </w:r>
      <w:r w:rsidR="004C1F63" w:rsidRPr="00985BB5">
        <w:rPr>
          <w:rFonts w:ascii="Arial" w:hAnsi="Arial" w:cs="Arial"/>
          <w:sz w:val="22"/>
        </w:rPr>
        <w:t>entidad determinar si la información suministrada por el proponente en su aclaración se encuentra o no sometida a reserva de conformidad con la Constitución y la Ley. De no estar restringida su publicidad deberá proceder conforme a la regla general derivada d</w:t>
      </w:r>
      <w:proofErr w:type="spellStart"/>
      <w:r w:rsidR="004C1F63" w:rsidRPr="00985BB5">
        <w:rPr>
          <w:rFonts w:ascii="Arial" w:eastAsia="Calibri" w:hAnsi="Arial" w:cs="Arial"/>
          <w:sz w:val="22"/>
          <w:lang w:val="es-ES"/>
        </w:rPr>
        <w:t>e</w:t>
      </w:r>
      <w:proofErr w:type="spellEnd"/>
      <w:r w:rsidR="004C1F63" w:rsidRPr="00985BB5">
        <w:rPr>
          <w:rFonts w:ascii="Arial" w:eastAsia="Calibri" w:hAnsi="Arial" w:cs="Arial"/>
          <w:sz w:val="22"/>
          <w:lang w:val="es-ES"/>
        </w:rPr>
        <w:t xml:space="preserve"> los artículos 3 de la Ley 1150 de 2007, 11 literal g de la Ley 1712 de 2014, 2.2.1.1.1.7.1 del Decreto 1082 de 2015,  2.1.1.2.1.7, 2.1.1.2.1.8, 2.1.1.2.1.9 y 2.1.1.2.1.10 del Decreto 1081 de 2015, que impone su publicación en el SECOP</w:t>
      </w:r>
      <w:r w:rsidR="00034AE1" w:rsidRPr="00985BB5">
        <w:rPr>
          <w:rFonts w:ascii="Arial" w:eastAsia="Calibri" w:hAnsi="Arial" w:cs="Arial"/>
          <w:sz w:val="22"/>
          <w:lang w:val="es-ES"/>
        </w:rPr>
        <w:t xml:space="preserve"> II</w:t>
      </w:r>
      <w:r w:rsidR="004C1F63" w:rsidRPr="00985BB5">
        <w:rPr>
          <w:rFonts w:ascii="Arial" w:eastAsia="Calibri" w:hAnsi="Arial" w:cs="Arial"/>
          <w:sz w:val="22"/>
          <w:lang w:val="es-ES"/>
        </w:rPr>
        <w:t>.</w:t>
      </w:r>
    </w:p>
    <w:p w14:paraId="5BA6BB6B" w14:textId="77777777" w:rsidR="00923029" w:rsidRPr="00985BB5" w:rsidRDefault="00923029" w:rsidP="009B7F9B">
      <w:pPr>
        <w:pStyle w:val="Prrafodelista"/>
        <w:tabs>
          <w:tab w:val="left" w:pos="284"/>
        </w:tabs>
        <w:spacing w:line="276" w:lineRule="auto"/>
        <w:ind w:left="0"/>
        <w:jc w:val="both"/>
        <w:rPr>
          <w:rFonts w:ascii="Arial" w:eastAsia="Calibri" w:hAnsi="Arial" w:cs="Arial"/>
          <w:b/>
          <w:sz w:val="22"/>
          <w:lang w:val="es-ES"/>
        </w:rPr>
      </w:pPr>
    </w:p>
    <w:p w14:paraId="39997576" w14:textId="0B5875AA" w:rsidR="009B7F9B" w:rsidRPr="00985BB5" w:rsidRDefault="009B7F9B" w:rsidP="009B7F9B">
      <w:pPr>
        <w:pStyle w:val="Prrafodelista"/>
        <w:tabs>
          <w:tab w:val="left" w:pos="284"/>
        </w:tabs>
        <w:spacing w:line="276" w:lineRule="auto"/>
        <w:ind w:left="0"/>
        <w:jc w:val="both"/>
        <w:rPr>
          <w:rFonts w:ascii="Arial" w:eastAsia="Calibri" w:hAnsi="Arial" w:cs="Arial"/>
          <w:sz w:val="22"/>
          <w:lang w:val="es-ES_tradnl"/>
        </w:rPr>
      </w:pPr>
      <w:r w:rsidRPr="00985BB5">
        <w:rPr>
          <w:rFonts w:ascii="Arial" w:eastAsia="Calibri" w:hAnsi="Arial" w:cs="Arial"/>
          <w:b/>
          <w:sz w:val="22"/>
          <w:lang w:val="es-ES_tradnl"/>
        </w:rPr>
        <w:t>3. Respuesta</w:t>
      </w:r>
    </w:p>
    <w:p w14:paraId="4F3C0942" w14:textId="77777777" w:rsidR="009B7F9B" w:rsidRPr="00985BB5" w:rsidRDefault="009B7F9B" w:rsidP="009B7F9B">
      <w:pPr>
        <w:spacing w:line="276" w:lineRule="auto"/>
        <w:ind w:left="709" w:right="709"/>
        <w:jc w:val="both"/>
        <w:rPr>
          <w:rFonts w:ascii="Arial" w:eastAsia="Calibri" w:hAnsi="Arial" w:cs="Arial"/>
          <w:i/>
          <w:sz w:val="22"/>
          <w:lang w:val="es-ES_tradnl"/>
        </w:rPr>
      </w:pPr>
    </w:p>
    <w:p w14:paraId="082EA740" w14:textId="170461CD" w:rsidR="00923029" w:rsidRPr="00985BB5" w:rsidRDefault="00492D50" w:rsidP="00923029">
      <w:pPr>
        <w:ind w:left="709" w:right="709"/>
        <w:jc w:val="both"/>
        <w:rPr>
          <w:rFonts w:ascii="Arial" w:hAnsi="Arial" w:cs="Arial"/>
          <w:sz w:val="21"/>
          <w:szCs w:val="21"/>
          <w:lang w:val="es-CO"/>
        </w:rPr>
      </w:pPr>
      <w:r w:rsidRPr="00985BB5">
        <w:rPr>
          <w:rFonts w:ascii="Arial" w:eastAsia="Calibri" w:hAnsi="Arial" w:cs="Arial"/>
          <w:sz w:val="21"/>
          <w:szCs w:val="21"/>
        </w:rPr>
        <w:t xml:space="preserve">«[…] </w:t>
      </w:r>
      <w:r w:rsidR="00E31E01" w:rsidRPr="00985BB5">
        <w:rPr>
          <w:rFonts w:ascii="Arial" w:hAnsi="Arial" w:cs="Arial"/>
          <w:sz w:val="21"/>
          <w:szCs w:val="21"/>
          <w:lang w:val="es-CO"/>
        </w:rPr>
        <w:t xml:space="preserve">Una entidad estatal que se encuentra adelantando un proceso de selección bajo la modalidad de Mínima cuantía, debe o no publicar en el </w:t>
      </w:r>
      <w:proofErr w:type="spellStart"/>
      <w:r w:rsidR="00E31E01" w:rsidRPr="00985BB5">
        <w:rPr>
          <w:rFonts w:ascii="Arial" w:hAnsi="Arial" w:cs="Arial"/>
          <w:sz w:val="21"/>
          <w:szCs w:val="21"/>
          <w:lang w:val="es-CO"/>
        </w:rPr>
        <w:t>Secop</w:t>
      </w:r>
      <w:proofErr w:type="spellEnd"/>
      <w:r w:rsidR="00E31E01" w:rsidRPr="00985BB5">
        <w:rPr>
          <w:rFonts w:ascii="Arial" w:hAnsi="Arial" w:cs="Arial"/>
          <w:sz w:val="21"/>
          <w:szCs w:val="21"/>
          <w:lang w:val="es-CO"/>
        </w:rPr>
        <w:t xml:space="preserve"> II, las aclaraciones solicitadas por la entidad, y  dadas por un proponente en la cual presenta un  desagregado de sus costos, explicación y/o aclaración frente al precio de su oferta,   que se presume como un precio artificialmente bajo?, o ésta aclaración que presenta el proponente de sus costos, es confidencial, o goza de reserva legal?</w:t>
      </w:r>
      <w:r w:rsidR="00842EFF" w:rsidRPr="00985BB5">
        <w:rPr>
          <w:rFonts w:ascii="Arial" w:hAnsi="Arial" w:cs="Arial"/>
          <w:sz w:val="21"/>
          <w:szCs w:val="21"/>
          <w:lang w:val="es-CO"/>
        </w:rPr>
        <w:t xml:space="preserve"> </w:t>
      </w:r>
      <w:r w:rsidRPr="00985BB5">
        <w:rPr>
          <w:rFonts w:ascii="Arial" w:hAnsi="Arial" w:cs="Arial"/>
          <w:sz w:val="21"/>
          <w:szCs w:val="21"/>
          <w:lang w:val="es-CO"/>
        </w:rPr>
        <w:t>[…]»</w:t>
      </w:r>
    </w:p>
    <w:p w14:paraId="198A96D5" w14:textId="77777777" w:rsidR="00492D50" w:rsidRPr="00985BB5" w:rsidRDefault="00492D50" w:rsidP="00923029">
      <w:pPr>
        <w:ind w:left="709" w:right="709"/>
        <w:jc w:val="both"/>
        <w:rPr>
          <w:rFonts w:ascii="Arial" w:eastAsia="Calibri" w:hAnsi="Arial" w:cs="Arial"/>
          <w:sz w:val="21"/>
          <w:szCs w:val="21"/>
          <w:lang w:val="es-ES_tradnl"/>
        </w:rPr>
      </w:pPr>
    </w:p>
    <w:p w14:paraId="101A7696" w14:textId="23F7F1CD" w:rsidR="004C1F63" w:rsidRPr="00985BB5" w:rsidRDefault="004C1F63" w:rsidP="004C1F63">
      <w:pPr>
        <w:spacing w:before="120" w:after="120" w:line="276" w:lineRule="auto"/>
        <w:jc w:val="both"/>
        <w:rPr>
          <w:rFonts w:ascii="Arial" w:eastAsia="Arial" w:hAnsi="Arial" w:cs="Arial"/>
          <w:sz w:val="22"/>
          <w:lang w:val="es-ES"/>
        </w:rPr>
      </w:pPr>
      <w:bookmarkStart w:id="8" w:name="_Hlk46401513"/>
      <w:r w:rsidRPr="00985BB5">
        <w:rPr>
          <w:rFonts w:ascii="Arial" w:eastAsia="Calibri" w:hAnsi="Arial" w:cs="Arial"/>
          <w:sz w:val="22"/>
          <w:lang w:val="es-ES"/>
        </w:rPr>
        <w:lastRenderedPageBreak/>
        <w:t xml:space="preserve">Las entidades públicas sometidas al Estatuto General de Contratación de la Administración Pública, que en virtud de su inclusión en el Anexo 1 de la Circular Externa No. 1 de 2019 expedida por la Agencia Nacional de Contratación Pública – Colombia Compra Eficiente, deban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dicha plataforma, además del Plan Anual de Adquisiciones, todos los documentos, actos administrativos o actuaciones producidas con ocasión del </w:t>
      </w:r>
      <w:r w:rsidRPr="00985BB5">
        <w:rPr>
          <w:rFonts w:ascii="Arial" w:eastAsia="Calibri" w:hAnsi="Arial" w:cs="Arial"/>
          <w:i/>
          <w:iCs/>
          <w:sz w:val="22"/>
          <w:lang w:val="es-ES"/>
        </w:rPr>
        <w:t>Proceso de Contratación</w:t>
      </w:r>
      <w:r w:rsidRPr="00985BB5">
        <w:rPr>
          <w:rFonts w:ascii="Arial" w:hAnsi="Arial" w:cs="Arial"/>
          <w:sz w:val="22"/>
          <w:lang w:val="es-ES"/>
        </w:rPr>
        <w:t>, sin importar quién sea su autor –la Administración o el contratista–, con excepción de los que pertenecen a</w:t>
      </w:r>
      <w:r w:rsidRPr="00985BB5">
        <w:rPr>
          <w:rFonts w:ascii="Arial" w:eastAsia="Arial" w:hAnsi="Arial" w:cs="Arial"/>
          <w:sz w:val="22"/>
          <w:lang w:val="es-ES"/>
        </w:rPr>
        <w:t>l marco de operaciones de bolsa de productos, expresamente excluidos de publicación por el artículo 2.2.1.1.1.7.1. del Decreto 1082 de 2015</w:t>
      </w:r>
      <w:r w:rsidR="00034AE1" w:rsidRPr="00985BB5">
        <w:rPr>
          <w:rFonts w:ascii="Arial" w:eastAsia="Arial" w:hAnsi="Arial" w:cs="Arial"/>
          <w:sz w:val="22"/>
          <w:lang w:val="es-ES"/>
        </w:rPr>
        <w:t>.</w:t>
      </w:r>
    </w:p>
    <w:p w14:paraId="7A041C16" w14:textId="41E135A6" w:rsidR="00034AE1" w:rsidRPr="00985BB5" w:rsidRDefault="00034AE1" w:rsidP="004C1F63">
      <w:pPr>
        <w:spacing w:before="120" w:after="120" w:line="276" w:lineRule="auto"/>
        <w:jc w:val="both"/>
        <w:rPr>
          <w:rFonts w:ascii="Arial" w:eastAsia="Calibri" w:hAnsi="Arial" w:cs="Arial"/>
          <w:sz w:val="22"/>
          <w:lang w:val="es-ES"/>
        </w:rPr>
      </w:pPr>
      <w:r w:rsidRPr="00985BB5">
        <w:rPr>
          <w:rFonts w:ascii="Arial" w:eastAsia="Arial" w:hAnsi="Arial" w:cs="Arial"/>
          <w:sz w:val="22"/>
          <w:lang w:val="es-ES"/>
        </w:rPr>
        <w:tab/>
        <w:t>Conforme a esto, las entidades, en principio, están obligadas a publicar los documentos contentivos de las aclaraciones efectuadas por los proponentes ante requerimientos realizados en virtud del artículo 2.2.1.1.2.2.4 del Decreto 1082 de 2015 en torno a</w:t>
      </w:r>
      <w:r w:rsidR="009B4380" w:rsidRPr="00985BB5">
        <w:rPr>
          <w:rFonts w:ascii="Arial" w:eastAsia="Arial" w:hAnsi="Arial" w:cs="Arial"/>
          <w:sz w:val="22"/>
          <w:lang w:val="es-ES"/>
        </w:rPr>
        <w:t>l ofrecimiento de</w:t>
      </w:r>
      <w:r w:rsidRPr="00985BB5">
        <w:rPr>
          <w:rFonts w:ascii="Arial" w:eastAsia="Arial" w:hAnsi="Arial" w:cs="Arial"/>
          <w:sz w:val="22"/>
          <w:lang w:val="es-ES"/>
        </w:rPr>
        <w:t xml:space="preserve"> precios </w:t>
      </w:r>
      <w:proofErr w:type="spellStart"/>
      <w:r w:rsidRPr="00985BB5">
        <w:rPr>
          <w:rFonts w:ascii="Arial" w:eastAsia="Arial" w:hAnsi="Arial" w:cs="Arial"/>
          <w:sz w:val="22"/>
          <w:lang w:val="es-ES"/>
        </w:rPr>
        <w:t>artificalmente</w:t>
      </w:r>
      <w:proofErr w:type="spellEnd"/>
      <w:r w:rsidRPr="00985BB5">
        <w:rPr>
          <w:rFonts w:ascii="Arial" w:eastAsia="Arial" w:hAnsi="Arial" w:cs="Arial"/>
          <w:sz w:val="22"/>
          <w:lang w:val="es-ES"/>
        </w:rPr>
        <w:t xml:space="preserve"> bajos. No obstante, si la entidad estatal verifica que dentro de la aclaración se incluyó información sometida a reserva de conformidad con la Constitución y la ley, o cuya publicación atenta contra los </w:t>
      </w:r>
      <w:r w:rsidRPr="00985BB5">
        <w:rPr>
          <w:rFonts w:ascii="Arial" w:hAnsi="Arial" w:cs="Arial"/>
          <w:sz w:val="22"/>
          <w:lang w:val="es-ES"/>
        </w:rPr>
        <w:t>derechos d</w:t>
      </w:r>
      <w:proofErr w:type="spellStart"/>
      <w:r w:rsidRPr="00985BB5">
        <w:rPr>
          <w:rFonts w:ascii="Arial" w:hAnsi="Arial" w:cs="Arial"/>
          <w:sz w:val="22"/>
        </w:rPr>
        <w:t>e</w:t>
      </w:r>
      <w:proofErr w:type="spellEnd"/>
      <w:r w:rsidRPr="00985BB5">
        <w:rPr>
          <w:rFonts w:ascii="Arial" w:hAnsi="Arial" w:cs="Arial"/>
          <w:sz w:val="22"/>
        </w:rPr>
        <w:t xml:space="preserve"> toda persona a la intimidad</w:t>
      </w:r>
      <w:r w:rsidRPr="00985BB5">
        <w:rPr>
          <w:rFonts w:ascii="Arial" w:hAnsi="Arial" w:cs="Arial"/>
          <w:sz w:val="22"/>
          <w:lang w:val="es-ES"/>
        </w:rPr>
        <w:t>, v</w:t>
      </w:r>
      <w:r w:rsidRPr="00985BB5">
        <w:rPr>
          <w:rFonts w:ascii="Arial" w:hAnsi="Arial" w:cs="Arial"/>
          <w:sz w:val="22"/>
        </w:rPr>
        <w:t xml:space="preserve">ida, salud, seguridad o los secretos comerciales, industriales y profesionales </w:t>
      </w:r>
      <w:r w:rsidR="009B4380" w:rsidRPr="00985BB5">
        <w:rPr>
          <w:rFonts w:ascii="Arial" w:hAnsi="Arial" w:cs="Arial"/>
          <w:sz w:val="22"/>
        </w:rPr>
        <w:t>se acuerdo con</w:t>
      </w:r>
      <w:r w:rsidRPr="00985BB5">
        <w:rPr>
          <w:rFonts w:ascii="Arial" w:hAnsi="Arial" w:cs="Arial"/>
          <w:sz w:val="22"/>
        </w:rPr>
        <w:t xml:space="preserve"> el artículo 18 de la Ley 1712 de 2014, deberá abstenerse de publicar el documento</w:t>
      </w:r>
      <w:r w:rsidR="009B4380" w:rsidRPr="00985BB5">
        <w:rPr>
          <w:rFonts w:ascii="Arial" w:hAnsi="Arial" w:cs="Arial"/>
          <w:sz w:val="22"/>
        </w:rPr>
        <w:t xml:space="preserve"> en el SECOP</w:t>
      </w:r>
      <w:r w:rsidRPr="00985BB5">
        <w:rPr>
          <w:rFonts w:ascii="Arial" w:hAnsi="Arial" w:cs="Arial"/>
          <w:sz w:val="22"/>
        </w:rPr>
        <w:t xml:space="preserve">, y depositarlo en cuaderno separado del cuaderno principal de conformidad con el artículo 36 del CPACA. </w:t>
      </w:r>
    </w:p>
    <w:bookmarkEnd w:id="8"/>
    <w:p w14:paraId="151F89FF" w14:textId="3C7FC68E" w:rsidR="009B7F9B" w:rsidRPr="00985BB5" w:rsidRDefault="008C7ACF" w:rsidP="009B7F9B">
      <w:pPr>
        <w:spacing w:line="276" w:lineRule="auto"/>
        <w:jc w:val="both"/>
        <w:rPr>
          <w:rFonts w:ascii="Arial" w:eastAsia="Calibri" w:hAnsi="Arial" w:cs="Arial"/>
          <w:sz w:val="22"/>
          <w:lang w:val="es-ES"/>
        </w:rPr>
      </w:pPr>
      <w:r>
        <w:rPr>
          <w:rFonts w:ascii="Arial" w:eastAsia="Calibri" w:hAnsi="Arial" w:cs="Arial"/>
          <w:sz w:val="22"/>
          <w:lang w:val="es-ES"/>
        </w:rPr>
        <w:tab/>
      </w:r>
    </w:p>
    <w:p w14:paraId="75FDC6B6" w14:textId="5F264CBA" w:rsidR="009B7F9B" w:rsidRPr="00985BB5" w:rsidRDefault="009B7F9B" w:rsidP="009B7F9B">
      <w:pPr>
        <w:spacing w:line="276" w:lineRule="auto"/>
        <w:jc w:val="both"/>
        <w:rPr>
          <w:rFonts w:ascii="Arial" w:eastAsia="Calibri" w:hAnsi="Arial" w:cs="Arial"/>
          <w:sz w:val="22"/>
        </w:rPr>
      </w:pPr>
      <w:r w:rsidRPr="00985BB5">
        <w:rPr>
          <w:rFonts w:ascii="Arial" w:eastAsia="Calibri" w:hAnsi="Arial" w:cs="Arial"/>
          <w:sz w:val="22"/>
        </w:rPr>
        <w:t>Este concepto tiene el alcance previsto en el artículo 28 del Código de Procedimiento Administrativo y de lo Contencioso Administrativo.</w:t>
      </w:r>
    </w:p>
    <w:p w14:paraId="23BD3479" w14:textId="5B5A6F8F" w:rsidR="009B7F9B" w:rsidRPr="00985BB5" w:rsidRDefault="009B7F9B" w:rsidP="009B7F9B">
      <w:pPr>
        <w:spacing w:line="276" w:lineRule="auto"/>
        <w:jc w:val="both"/>
        <w:rPr>
          <w:rFonts w:ascii="Arial" w:eastAsia="Times New Roman" w:hAnsi="Arial" w:cs="Arial"/>
          <w:sz w:val="22"/>
          <w:lang w:eastAsia="es-CO"/>
        </w:rPr>
      </w:pPr>
      <w:r w:rsidRPr="00985BB5">
        <w:rPr>
          <w:rFonts w:ascii="Arial" w:eastAsia="Calibri" w:hAnsi="Arial" w:cs="Arial"/>
          <w:noProof/>
          <w:sz w:val="22"/>
          <w:lang w:val="en-US"/>
        </w:rPr>
        <mc:AlternateContent>
          <mc:Choice Requires="wps">
            <w:drawing>
              <wp:anchor distT="0" distB="0" distL="114300" distR="114300" simplePos="0" relativeHeight="251659264" behindDoc="0" locked="0" layoutInCell="1" allowOverlap="1" wp14:anchorId="250FE17C" wp14:editId="3776A1AF">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7CBDF7BA"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C92BF47" w14:textId="77777777" w:rsidR="009B7F9B" w:rsidRPr="00985BB5" w:rsidRDefault="009B7F9B" w:rsidP="009B7F9B">
      <w:pPr>
        <w:spacing w:line="276" w:lineRule="auto"/>
        <w:jc w:val="both"/>
        <w:rPr>
          <w:rFonts w:ascii="Arial" w:hAnsi="Arial" w:cs="Arial"/>
          <w:sz w:val="22"/>
          <w:szCs w:val="20"/>
        </w:rPr>
      </w:pPr>
      <w:r w:rsidRPr="00985BB5">
        <w:rPr>
          <w:rFonts w:ascii="Arial" w:eastAsia="Times New Roman" w:hAnsi="Arial" w:cs="Arial"/>
          <w:sz w:val="22"/>
          <w:lang w:eastAsia="es-CO"/>
        </w:rPr>
        <w:t>Atentamente,</w:t>
      </w:r>
    </w:p>
    <w:p w14:paraId="28F98778" w14:textId="6B05E19E" w:rsidR="009B7F9B" w:rsidRPr="00985BB5" w:rsidRDefault="00106985" w:rsidP="009B7F9B">
      <w:pPr>
        <w:spacing w:after="18"/>
        <w:jc w:val="center"/>
        <w:rPr>
          <w:rFonts w:ascii="Arial" w:eastAsia="Times New Roman" w:hAnsi="Arial" w:cs="Arial"/>
          <w:sz w:val="18"/>
          <w:szCs w:val="20"/>
          <w:lang w:eastAsia="es-CO"/>
        </w:rPr>
      </w:pPr>
      <w:r>
        <w:rPr>
          <w:noProof/>
        </w:rPr>
        <w:drawing>
          <wp:inline distT="0" distB="0" distL="0" distR="0" wp14:anchorId="5BAD5000" wp14:editId="22E2F588">
            <wp:extent cx="2773045" cy="98869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7AC0F77" w14:textId="77777777" w:rsidR="009B7F9B" w:rsidRPr="00985BB5" w:rsidRDefault="009B7F9B" w:rsidP="009B7F9B">
      <w:pPr>
        <w:spacing w:after="18"/>
        <w:jc w:val="center"/>
        <w:rPr>
          <w:rFonts w:ascii="Arial" w:eastAsia="Times New Roman" w:hAnsi="Arial" w:cs="Arial"/>
          <w:sz w:val="18"/>
          <w:szCs w:val="20"/>
          <w:lang w:eastAsia="es-CO"/>
        </w:rPr>
      </w:pPr>
    </w:p>
    <w:tbl>
      <w:tblPr>
        <w:tblStyle w:val="Tablaconcuadrcula"/>
        <w:tblpPr w:leftFromText="141" w:rightFromText="141" w:vertAnchor="text" w:horzAnchor="margin" w:tblpY="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985BB5" w:rsidRPr="00985BB5" w14:paraId="55F0DD75" w14:textId="77777777" w:rsidTr="0031783A">
        <w:trPr>
          <w:trHeight w:val="286"/>
        </w:trPr>
        <w:tc>
          <w:tcPr>
            <w:tcW w:w="817" w:type="dxa"/>
            <w:vAlign w:val="center"/>
          </w:tcPr>
          <w:p w14:paraId="5F7D1FE7" w14:textId="77777777" w:rsidR="0031783A" w:rsidRPr="00985BB5" w:rsidRDefault="0031783A" w:rsidP="0031783A">
            <w:pPr>
              <w:rPr>
                <w:rFonts w:ascii="Arial" w:eastAsia="Times New Roman" w:hAnsi="Arial" w:cs="Arial"/>
                <w:sz w:val="14"/>
                <w:szCs w:val="14"/>
                <w:lang w:eastAsia="es-ES"/>
              </w:rPr>
            </w:pPr>
            <w:r w:rsidRPr="00985BB5">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5E3DD8BA" w14:textId="77777777" w:rsidR="0031783A" w:rsidRPr="00985BB5" w:rsidRDefault="0031783A" w:rsidP="0031783A">
            <w:pPr>
              <w:rPr>
                <w:rFonts w:ascii="Arial" w:eastAsia="Times New Roman" w:hAnsi="Arial" w:cs="Arial"/>
                <w:sz w:val="14"/>
                <w:szCs w:val="14"/>
                <w:lang w:eastAsia="es-ES"/>
              </w:rPr>
            </w:pPr>
            <w:r w:rsidRPr="00985BB5">
              <w:rPr>
                <w:rFonts w:ascii="Arial" w:eastAsia="Times New Roman" w:hAnsi="Arial" w:cs="Arial"/>
                <w:sz w:val="14"/>
                <w:szCs w:val="14"/>
                <w:lang w:eastAsia="es-ES"/>
              </w:rPr>
              <w:t>Alejandro Sarmiento Cantillo</w:t>
            </w:r>
          </w:p>
          <w:p w14:paraId="05B0426C" w14:textId="77777777" w:rsidR="0031783A" w:rsidRPr="00985BB5" w:rsidRDefault="0031783A" w:rsidP="0031783A">
            <w:pPr>
              <w:rPr>
                <w:rFonts w:ascii="Arial" w:eastAsia="Times New Roman" w:hAnsi="Arial" w:cs="Arial"/>
                <w:sz w:val="14"/>
                <w:szCs w:val="14"/>
                <w:lang w:eastAsia="es-ES"/>
              </w:rPr>
            </w:pPr>
            <w:r w:rsidRPr="00985BB5">
              <w:rPr>
                <w:rFonts w:ascii="Arial" w:eastAsia="Times New Roman" w:hAnsi="Arial" w:cs="Arial"/>
                <w:sz w:val="14"/>
                <w:szCs w:val="14"/>
                <w:lang w:eastAsia="es-ES"/>
              </w:rPr>
              <w:t>Contratista de la Subdirección de Gestión Contractual</w:t>
            </w:r>
          </w:p>
        </w:tc>
      </w:tr>
      <w:tr w:rsidR="00985BB5" w:rsidRPr="00985BB5" w14:paraId="76CE22F8" w14:textId="77777777" w:rsidTr="0031783A">
        <w:trPr>
          <w:trHeight w:val="299"/>
        </w:trPr>
        <w:tc>
          <w:tcPr>
            <w:tcW w:w="817" w:type="dxa"/>
            <w:vAlign w:val="center"/>
          </w:tcPr>
          <w:p w14:paraId="146CC280" w14:textId="77777777" w:rsidR="0031783A" w:rsidRPr="00985BB5" w:rsidRDefault="0031783A" w:rsidP="0031783A">
            <w:pPr>
              <w:rPr>
                <w:rFonts w:ascii="Arial" w:eastAsia="Times New Roman" w:hAnsi="Arial" w:cs="Arial"/>
                <w:sz w:val="14"/>
                <w:szCs w:val="14"/>
                <w:lang w:eastAsia="es-ES"/>
              </w:rPr>
            </w:pPr>
            <w:r w:rsidRPr="00985BB5">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2B6E58AE" w14:textId="3E09F11D" w:rsidR="0031783A" w:rsidRPr="00985BB5" w:rsidRDefault="00660450" w:rsidP="0031783A">
            <w:pPr>
              <w:rPr>
                <w:rFonts w:ascii="Arial" w:eastAsia="Times New Roman" w:hAnsi="Arial" w:cs="Arial"/>
                <w:sz w:val="14"/>
                <w:szCs w:val="14"/>
                <w:lang w:eastAsia="es-ES"/>
              </w:rPr>
            </w:pPr>
            <w:r>
              <w:rPr>
                <w:rFonts w:ascii="Arial" w:eastAsia="Times New Roman" w:hAnsi="Arial" w:cs="Arial"/>
                <w:sz w:val="14"/>
                <w:szCs w:val="14"/>
                <w:lang w:eastAsia="es-ES"/>
              </w:rPr>
              <w:t>Cristian Andrés Díaz Díez</w:t>
            </w:r>
          </w:p>
          <w:p w14:paraId="434CDD2F" w14:textId="77777777" w:rsidR="0031783A" w:rsidRPr="00985BB5" w:rsidRDefault="0031783A" w:rsidP="0031783A">
            <w:pPr>
              <w:rPr>
                <w:rFonts w:ascii="Arial" w:eastAsia="Times New Roman" w:hAnsi="Arial" w:cs="Arial"/>
                <w:sz w:val="14"/>
                <w:szCs w:val="14"/>
                <w:lang w:eastAsia="es-ES"/>
              </w:rPr>
            </w:pPr>
            <w:r w:rsidRPr="00985BB5">
              <w:rPr>
                <w:rFonts w:ascii="Arial" w:eastAsia="Times New Roman" w:hAnsi="Arial" w:cs="Arial"/>
                <w:sz w:val="14"/>
                <w:szCs w:val="14"/>
                <w:lang w:eastAsia="es-ES"/>
              </w:rPr>
              <w:t>Contratista de la Subdirección de Gestión Contractual</w:t>
            </w:r>
          </w:p>
        </w:tc>
      </w:tr>
      <w:tr w:rsidR="00985BB5" w:rsidRPr="00985BB5" w14:paraId="6DA61CDC" w14:textId="77777777" w:rsidTr="0031783A">
        <w:trPr>
          <w:trHeight w:val="272"/>
        </w:trPr>
        <w:tc>
          <w:tcPr>
            <w:tcW w:w="817" w:type="dxa"/>
            <w:vAlign w:val="center"/>
          </w:tcPr>
          <w:p w14:paraId="5D208E8F" w14:textId="77777777" w:rsidR="0031783A" w:rsidRPr="00985BB5" w:rsidRDefault="0031783A" w:rsidP="0031783A">
            <w:pPr>
              <w:rPr>
                <w:rFonts w:ascii="Arial" w:eastAsia="Times New Roman" w:hAnsi="Arial" w:cs="Arial"/>
                <w:sz w:val="14"/>
                <w:szCs w:val="14"/>
                <w:lang w:eastAsia="es-ES"/>
              </w:rPr>
            </w:pPr>
            <w:r w:rsidRPr="00985BB5">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4509F790" w14:textId="77777777" w:rsidR="0031783A" w:rsidRPr="00985BB5" w:rsidRDefault="0031783A" w:rsidP="0031783A">
            <w:pPr>
              <w:rPr>
                <w:rFonts w:ascii="Arial" w:eastAsia="Times New Roman" w:hAnsi="Arial" w:cs="Arial"/>
                <w:sz w:val="14"/>
                <w:szCs w:val="14"/>
                <w:lang w:eastAsia="es-ES"/>
              </w:rPr>
            </w:pPr>
            <w:r w:rsidRPr="00985BB5">
              <w:rPr>
                <w:rFonts w:ascii="Arial" w:eastAsia="Times New Roman" w:hAnsi="Arial" w:cs="Arial"/>
                <w:sz w:val="14"/>
                <w:szCs w:val="14"/>
                <w:lang w:eastAsia="es-ES"/>
              </w:rPr>
              <w:t>Fabián Gonzalo Marín Cortés</w:t>
            </w:r>
          </w:p>
          <w:p w14:paraId="2A6B3391" w14:textId="77777777" w:rsidR="0031783A" w:rsidRPr="00985BB5" w:rsidRDefault="0031783A" w:rsidP="0031783A">
            <w:pPr>
              <w:rPr>
                <w:rFonts w:ascii="Arial" w:eastAsia="Times New Roman" w:hAnsi="Arial" w:cs="Arial"/>
                <w:sz w:val="14"/>
                <w:szCs w:val="14"/>
                <w:lang w:eastAsia="es-ES"/>
              </w:rPr>
            </w:pPr>
            <w:r w:rsidRPr="00985BB5">
              <w:rPr>
                <w:rFonts w:ascii="Arial" w:eastAsia="Times New Roman" w:hAnsi="Arial" w:cs="Arial"/>
                <w:sz w:val="14"/>
                <w:szCs w:val="14"/>
                <w:lang w:eastAsia="es-ES"/>
              </w:rPr>
              <w:t>Subdirector de Gestión Contractual</w:t>
            </w:r>
          </w:p>
        </w:tc>
      </w:tr>
    </w:tbl>
    <w:p w14:paraId="3EDA14F5" w14:textId="77777777" w:rsidR="009B7F9B" w:rsidRPr="00985BB5" w:rsidRDefault="009B7F9B" w:rsidP="009B7F9B">
      <w:pPr>
        <w:spacing w:after="18"/>
        <w:jc w:val="center"/>
        <w:rPr>
          <w:rFonts w:ascii="Arial" w:eastAsia="Times New Roman" w:hAnsi="Arial" w:cs="Arial"/>
          <w:sz w:val="18"/>
          <w:szCs w:val="20"/>
          <w:lang w:eastAsia="es-CO"/>
        </w:rPr>
      </w:pPr>
    </w:p>
    <w:p w14:paraId="4F62D4D8" w14:textId="77777777" w:rsidR="009B7F9B" w:rsidRPr="00985BB5" w:rsidRDefault="009B7F9B" w:rsidP="009B7F9B">
      <w:pPr>
        <w:rPr>
          <w:rFonts w:ascii="Arial" w:hAnsi="Arial" w:cs="Arial"/>
        </w:rPr>
      </w:pPr>
    </w:p>
    <w:bookmarkEnd w:id="2"/>
    <w:bookmarkEnd w:id="3"/>
    <w:p w14:paraId="47BB1636" w14:textId="77777777" w:rsidR="009B7F9B" w:rsidRPr="00985BB5" w:rsidRDefault="009B7F9B" w:rsidP="009B7F9B"/>
    <w:bookmarkEnd w:id="4"/>
    <w:p w14:paraId="35B56F46" w14:textId="77777777" w:rsidR="00746E08" w:rsidRPr="00985BB5" w:rsidRDefault="00746E08" w:rsidP="00746E08">
      <w:pPr>
        <w:rPr>
          <w:rFonts w:ascii="Arial" w:eastAsia="Times New Roman" w:hAnsi="Arial" w:cs="Arial"/>
          <w:sz w:val="16"/>
          <w:szCs w:val="16"/>
          <w:lang w:eastAsia="es-ES"/>
        </w:rPr>
      </w:pPr>
    </w:p>
    <w:sectPr w:rsidR="00746E08" w:rsidRPr="00985BB5"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73441" w14:textId="77777777" w:rsidR="00C50604" w:rsidRDefault="00C50604">
      <w:r>
        <w:separator/>
      </w:r>
    </w:p>
  </w:endnote>
  <w:endnote w:type="continuationSeparator" w:id="0">
    <w:p w14:paraId="5FC26039" w14:textId="77777777" w:rsidR="00C50604" w:rsidRDefault="00C5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CB14C70" w:rsidR="001E291F" w:rsidRDefault="001E291F" w:rsidP="00322937">
    <w:pPr>
      <w:pStyle w:val="Sinespaciado"/>
      <w:jc w:val="right"/>
      <w:rPr>
        <w:rFonts w:ascii="Arial" w:hAnsi="Arial" w:cs="Arial"/>
        <w:sz w:val="18"/>
        <w:szCs w:val="18"/>
      </w:rPr>
    </w:pPr>
  </w:p>
  <w:p w14:paraId="7A3785F3" w14:textId="48501D20" w:rsidR="001E291F" w:rsidRPr="00E15059" w:rsidRDefault="001E291F"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00E10C20">
      <w:rPr>
        <w:rFonts w:ascii="Arial" w:hAnsi="Arial" w:cs="Arial"/>
        <w:b/>
        <w:bCs/>
        <w:noProof/>
        <w:color w:val="7F7F7F"/>
        <w:sz w:val="16"/>
        <w:szCs w:val="16"/>
      </w:rPr>
      <w:t>4</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00E10C20">
      <w:rPr>
        <w:rFonts w:ascii="Arial" w:hAnsi="Arial" w:cs="Arial"/>
        <w:b/>
        <w:bCs/>
        <w:noProof/>
        <w:color w:val="7F7F7F"/>
        <w:sz w:val="16"/>
        <w:szCs w:val="16"/>
      </w:rPr>
      <w:t>22</w:t>
    </w:r>
    <w:r w:rsidRPr="00E15059">
      <w:rPr>
        <w:rFonts w:ascii="Arial" w:hAnsi="Arial" w:cs="Arial"/>
        <w:b/>
        <w:bCs/>
        <w:color w:val="7F7F7F"/>
        <w:sz w:val="16"/>
        <w:szCs w:val="16"/>
      </w:rPr>
      <w:fldChar w:fldCharType="end"/>
    </w:r>
  </w:p>
  <w:p w14:paraId="48FC6A04" w14:textId="5FD1A7C9" w:rsidR="001E291F" w:rsidRDefault="001E291F"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E291F" w:rsidRDefault="001E291F" w:rsidP="007B0854">
    <w:pPr>
      <w:pStyle w:val="Piedepgina"/>
      <w:jc w:val="center"/>
      <w:rPr>
        <w:lang w:val="es-ES"/>
      </w:rPr>
    </w:pPr>
  </w:p>
  <w:p w14:paraId="6C0EFC49" w14:textId="77777777" w:rsidR="001E291F" w:rsidRPr="007B0854" w:rsidRDefault="001E291F" w:rsidP="007B0854">
    <w:pPr>
      <w:pStyle w:val="Piedepgina"/>
      <w:jc w:val="center"/>
      <w:rPr>
        <w:lang w:val="es-ES"/>
      </w:rPr>
    </w:pPr>
  </w:p>
  <w:p w14:paraId="7DC37BF5" w14:textId="77777777" w:rsidR="001E291F" w:rsidRDefault="001E2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5B358" w14:textId="77777777" w:rsidR="00C50604" w:rsidRDefault="00C50604">
      <w:r>
        <w:separator/>
      </w:r>
    </w:p>
  </w:footnote>
  <w:footnote w:type="continuationSeparator" w:id="0">
    <w:p w14:paraId="03200A6C" w14:textId="77777777" w:rsidR="00C50604" w:rsidRDefault="00C50604">
      <w:r>
        <w:continuationSeparator/>
      </w:r>
    </w:p>
  </w:footnote>
  <w:footnote w:id="1">
    <w:p w14:paraId="4C976DC8" w14:textId="77777777" w:rsidR="009B7F9B" w:rsidRPr="000C0FED" w:rsidRDefault="009B7F9B" w:rsidP="009B7F9B">
      <w:pPr>
        <w:spacing w:before="73"/>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«Artículo 2. De la definición de entidades, servidores y servicios públicos. Para los solos efectos de esta ley:</w:t>
      </w:r>
    </w:p>
    <w:p w14:paraId="685B6CFE" w14:textId="77777777" w:rsidR="009B7F9B" w:rsidRPr="000C0FED" w:rsidRDefault="009B7F9B" w:rsidP="009B7F9B">
      <w:pPr>
        <w:spacing w:before="1"/>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»1. Se denominan entidades estatales:</w:t>
      </w:r>
    </w:p>
    <w:p w14:paraId="1671363A"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B94D123" w14:textId="36A2E6F2" w:rsidR="009B7F9B" w:rsidRPr="000C0FED" w:rsidRDefault="009B7F9B" w:rsidP="008C0579">
      <w:pPr>
        <w:ind w:right="49" w:firstLine="708"/>
        <w:jc w:val="both"/>
      </w:pPr>
      <w:r w:rsidRPr="000C0FED">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organismos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dependencias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del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Estado</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que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la</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ley</w:t>
      </w:r>
      <w:r w:rsidRPr="000C0FED">
        <w:rPr>
          <w:rFonts w:ascii="Arial" w:hAnsi="Arial" w:cs="Arial"/>
          <w:color w:val="000000" w:themeColor="text1"/>
          <w:spacing w:val="-6"/>
          <w:sz w:val="19"/>
          <w:szCs w:val="19"/>
        </w:rPr>
        <w:t xml:space="preserve"> </w:t>
      </w:r>
      <w:r w:rsidRPr="000C0FED">
        <w:rPr>
          <w:rFonts w:ascii="Arial" w:hAnsi="Arial" w:cs="Arial"/>
          <w:color w:val="000000" w:themeColor="text1"/>
          <w:sz w:val="19"/>
          <w:szCs w:val="19"/>
        </w:rPr>
        <w:t>otorgue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capacidad</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para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celebrar</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contratos».</w:t>
      </w:r>
    </w:p>
  </w:footnote>
  <w:footnote w:id="2">
    <w:p w14:paraId="3727FDC3" w14:textId="77777777" w:rsidR="009B7F9B" w:rsidRPr="000C0FED" w:rsidRDefault="009B7F9B" w:rsidP="009B7F9B">
      <w:pPr>
        <w:pStyle w:val="Textonotapie"/>
        <w:ind w:left="284" w:right="49" w:firstLine="436"/>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w:t>
      </w:r>
      <w:bookmarkStart w:id="7" w:name="_Hlk40436633"/>
      <w:r w:rsidRPr="000C0FED">
        <w:rPr>
          <w:rFonts w:ascii="Arial" w:hAnsi="Arial" w:cs="Arial"/>
          <w:color w:val="000000" w:themeColor="text1"/>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7"/>
    </w:p>
    <w:p w14:paraId="143EF7B6" w14:textId="77777777" w:rsidR="009B7F9B" w:rsidRPr="000C0FED" w:rsidRDefault="009B7F9B" w:rsidP="009B7F9B">
      <w:pPr>
        <w:pStyle w:val="Textonotapie"/>
        <w:ind w:right="49"/>
        <w:rPr>
          <w:rFonts w:ascii="Arial" w:hAnsi="Arial" w:cs="Arial"/>
          <w:color w:val="000000" w:themeColor="text1"/>
          <w:sz w:val="19"/>
          <w:szCs w:val="19"/>
          <w:lang w:val="es-CO"/>
        </w:rPr>
      </w:pPr>
    </w:p>
  </w:footnote>
  <w:footnote w:id="3">
    <w:p w14:paraId="4EB1BABD" w14:textId="77777777" w:rsidR="009B7F9B" w:rsidRPr="000C0FED" w:rsidRDefault="009B7F9B" w:rsidP="009B7F9B">
      <w:pPr>
        <w:spacing w:before="1"/>
        <w:ind w:left="300" w:right="49" w:firstLine="420"/>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«Articulo 24. Del principio de transparencia. En virtud de este principio: </w:t>
      </w:r>
    </w:p>
    <w:p w14:paraId="1355B24A" w14:textId="77777777" w:rsidR="009B7F9B" w:rsidRPr="000C0FED" w:rsidRDefault="009B7F9B" w:rsidP="009B7F9B">
      <w:pPr>
        <w:spacing w:before="1"/>
        <w:ind w:left="300" w:right="49" w:firstLine="420"/>
        <w:rPr>
          <w:rFonts w:ascii="Arial" w:hAnsi="Arial" w:cs="Arial"/>
          <w:color w:val="000000" w:themeColor="text1"/>
          <w:sz w:val="19"/>
          <w:szCs w:val="19"/>
          <w:lang w:val="es-ES"/>
        </w:rPr>
      </w:pPr>
      <w:r w:rsidRPr="000C0FED">
        <w:rPr>
          <w:rFonts w:ascii="Arial" w:hAnsi="Arial" w:cs="Arial"/>
          <w:color w:val="000000" w:themeColor="text1"/>
          <w:sz w:val="19"/>
          <w:szCs w:val="19"/>
        </w:rPr>
        <w:t>[…]</w:t>
      </w:r>
    </w:p>
    <w:p w14:paraId="59A57B40" w14:textId="77777777" w:rsidR="009B7F9B" w:rsidRPr="000C0FED" w:rsidRDefault="009B7F9B" w:rsidP="009B7F9B">
      <w:pPr>
        <w:ind w:left="16" w:right="49" w:firstLine="692"/>
        <w:jc w:val="both"/>
        <w:rPr>
          <w:rFonts w:ascii="Arial" w:hAnsi="Arial" w:cs="Arial"/>
          <w:color w:val="000000" w:themeColor="text1"/>
          <w:sz w:val="19"/>
          <w:szCs w:val="19"/>
        </w:rPr>
      </w:pPr>
      <w:r w:rsidRPr="000C0FED">
        <w:rPr>
          <w:rFonts w:ascii="Arial" w:hAnsi="Arial" w:cs="Arial"/>
          <w:color w:val="000000" w:themeColor="text1"/>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3C763332"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1D86B7C2" w14:textId="275AAB0C" w:rsidR="009B7F9B" w:rsidRPr="000C0FED" w:rsidRDefault="009B7F9B" w:rsidP="009B3335">
      <w:pPr>
        <w:ind w:right="49" w:firstLine="708"/>
        <w:jc w:val="both"/>
      </w:pPr>
      <w:r w:rsidRPr="000C0FED">
        <w:rPr>
          <w:rFonts w:ascii="Arial" w:hAnsi="Arial" w:cs="Arial"/>
          <w:color w:val="000000" w:themeColor="text1"/>
          <w:sz w:val="19"/>
          <w:szCs w:val="19"/>
        </w:rPr>
        <w:t>»4. Las autoridades expedirán a costa de aquellas personas que demuestren interés legítimo, copias de las actuaciones y propuestas recibidas, respetando la reserva de que gocen legalmente las patentes, procedimientos y privilegios. [...]”.</w:t>
      </w:r>
    </w:p>
  </w:footnote>
  <w:footnote w:id="4">
    <w:p w14:paraId="795966D2"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p w14:paraId="75CA9087"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5">
    <w:p w14:paraId="77179030"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E03791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Lo anterior, sin perjuicio de las publicaciones previstas en el numeral 3 del artículo 30 de la Ley 80 de 1993.</w:t>
      </w:r>
    </w:p>
    <w:p w14:paraId="46499111" w14:textId="77777777" w:rsidR="00107E4D" w:rsidRPr="00851936" w:rsidRDefault="00107E4D" w:rsidP="00107E4D">
      <w:pPr>
        <w:pStyle w:val="Textonotapie"/>
        <w:ind w:right="49" w:firstLine="709"/>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»Con</w:t>
      </w:r>
      <w:proofErr w:type="gramEnd"/>
      <w:r w:rsidRPr="00851936">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851936">
        <w:rPr>
          <w:rFonts w:ascii="Arial" w:hAnsi="Arial" w:cs="Arial"/>
          <w:color w:val="000000" w:themeColor="text1"/>
          <w:sz w:val="19"/>
          <w:szCs w:val="19"/>
        </w:rPr>
        <w:t>Secop</w:t>
      </w:r>
      <w:proofErr w:type="spellEnd"/>
      <w:r w:rsidRPr="00851936">
        <w:rPr>
          <w:rFonts w:ascii="Arial" w:hAnsi="Arial" w:cs="Arial"/>
          <w:color w:val="000000" w:themeColor="text1"/>
          <w:sz w:val="19"/>
          <w:szCs w:val="19"/>
        </w:rPr>
        <w:t xml:space="preserve">, el cual: </w:t>
      </w:r>
    </w:p>
    <w:p w14:paraId="0F4F22FA"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69FD969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08689BA" w14:textId="77777777" w:rsidR="00107E4D" w:rsidRPr="00851936" w:rsidRDefault="00107E4D" w:rsidP="00107E4D">
      <w:pPr>
        <w:pStyle w:val="Textonotapie"/>
        <w:ind w:right="49"/>
        <w:jc w:val="both"/>
        <w:rPr>
          <w:rFonts w:ascii="Arial" w:hAnsi="Arial" w:cs="Arial"/>
          <w:color w:val="000000" w:themeColor="text1"/>
          <w:sz w:val="19"/>
          <w:szCs w:val="19"/>
        </w:rPr>
      </w:pPr>
    </w:p>
  </w:footnote>
  <w:footnote w:id="6">
    <w:p w14:paraId="045E75DF"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6DCA28F"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7">
    <w:p w14:paraId="49552AC8"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3570489" w14:textId="77777777" w:rsidR="00107E4D" w:rsidRPr="00851936" w:rsidRDefault="00107E4D" w:rsidP="00107E4D">
      <w:pPr>
        <w:pStyle w:val="Textonotapie"/>
        <w:ind w:right="49" w:firstLine="709"/>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»a</w:t>
      </w:r>
      <w:proofErr w:type="gramEnd"/>
      <w:r w:rsidRPr="00851936">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1C55D95C"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8">
    <w:p w14:paraId="24804CE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9121EE4"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14:paraId="38438782" w14:textId="5C60C233" w:rsidR="00107E4D" w:rsidRPr="00851936" w:rsidRDefault="00107E4D">
      <w:pPr>
        <w:pStyle w:val="Textonotapie"/>
        <w:ind w:right="49" w:firstLine="709"/>
        <w:jc w:val="both"/>
        <w:rPr>
          <w:rFonts w:ascii="Arial" w:hAnsi="Arial" w:cs="Arial"/>
          <w:color w:val="000000" w:themeColor="text1"/>
          <w:sz w:val="19"/>
          <w:szCs w:val="19"/>
          <w:lang w:val="es-ES" w:eastAsia="es-ES"/>
        </w:rPr>
      </w:pPr>
      <w:proofErr w:type="gramStart"/>
      <w:r w:rsidRPr="00851936">
        <w:rPr>
          <w:rFonts w:ascii="Arial" w:hAnsi="Arial" w:cs="Arial"/>
          <w:color w:val="000000" w:themeColor="text1"/>
          <w:sz w:val="19"/>
          <w:szCs w:val="19"/>
          <w:lang w:val="es-ES" w:eastAsia="es-ES"/>
        </w:rPr>
        <w:t>»Los</w:t>
      </w:r>
      <w:proofErr w:type="gramEnd"/>
      <w:r w:rsidRPr="00851936">
        <w:rPr>
          <w:rFonts w:ascii="Arial"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footnote>
  <w:footnote w:id="9">
    <w:p w14:paraId="11B257D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w:t>
      </w:r>
      <w:proofErr w:type="spellStart"/>
      <w:r w:rsidRPr="00851936">
        <w:rPr>
          <w:rFonts w:ascii="Arial" w:hAnsi="Arial" w:cs="Arial"/>
          <w:color w:val="000000" w:themeColor="text1"/>
          <w:sz w:val="19"/>
          <w:szCs w:val="19"/>
          <w:lang w:val="es-ES" w:eastAsia="es-ES"/>
        </w:rPr>
        <w:t>orte</w:t>
      </w:r>
      <w:proofErr w:type="spellEnd"/>
      <w:r w:rsidRPr="00851936">
        <w:rPr>
          <w:rFonts w:ascii="Arial" w:hAnsi="Arial" w:cs="Arial"/>
          <w:color w:val="000000" w:themeColor="text1"/>
          <w:sz w:val="19"/>
          <w:szCs w:val="19"/>
          <w:lang w:val="es-ES" w:eastAsia="es-ES"/>
        </w:rPr>
        <w:t xml:space="preserve"> Constitucional. Sentencia C-274 de 9 de mayo de 2013. M.P. María Victoria Calle Correa. </w:t>
      </w:r>
    </w:p>
    <w:p w14:paraId="01E00C14"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10">
    <w:p w14:paraId="0B3C0741"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211F1FFC" w14:textId="07070C60" w:rsidR="00107E4D" w:rsidRPr="00851936" w:rsidRDefault="00107E4D" w:rsidP="009B3335">
      <w:pPr>
        <w:pStyle w:val="Textonotapie"/>
        <w:ind w:right="49" w:firstLine="708"/>
        <w:jc w:val="both"/>
        <w:rPr>
          <w:rFonts w:ascii="Arial" w:hAnsi="Arial" w:cs="Arial"/>
          <w:color w:val="000000" w:themeColor="text1"/>
          <w:sz w:val="19"/>
          <w:szCs w:val="19"/>
          <w:lang w:val="es-ES"/>
        </w:rPr>
      </w:pPr>
      <w:proofErr w:type="gramStart"/>
      <w:r w:rsidRPr="00851936">
        <w:rPr>
          <w:rFonts w:ascii="Arial" w:hAnsi="Arial" w:cs="Arial"/>
          <w:color w:val="000000" w:themeColor="text1"/>
          <w:sz w:val="19"/>
          <w:szCs w:val="19"/>
        </w:rPr>
        <w:t>»La</w:t>
      </w:r>
      <w:proofErr w:type="gramEnd"/>
      <w:r w:rsidRPr="00851936">
        <w:rPr>
          <w:rFonts w:ascii="Arial" w:hAnsi="Arial" w:cs="Arial"/>
          <w:color w:val="000000" w:themeColor="text1"/>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11">
    <w:p w14:paraId="421ABD5B"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Consejo de Estado. Sección Tercera. Sentencia del 14 de diciembre de 2007. </w:t>
      </w:r>
      <w:proofErr w:type="spellStart"/>
      <w:r w:rsidRPr="00851936">
        <w:rPr>
          <w:rFonts w:ascii="Arial" w:hAnsi="Arial" w:cs="Arial"/>
          <w:color w:val="000000" w:themeColor="text1"/>
          <w:sz w:val="19"/>
          <w:szCs w:val="19"/>
        </w:rPr>
        <w:t>Exp</w:t>
      </w:r>
      <w:proofErr w:type="spellEnd"/>
      <w:r w:rsidRPr="00851936">
        <w:rPr>
          <w:rFonts w:ascii="Arial" w:hAnsi="Arial" w:cs="Arial"/>
          <w:color w:val="000000" w:themeColor="text1"/>
          <w:sz w:val="19"/>
          <w:szCs w:val="19"/>
        </w:rPr>
        <w:t>. 24.715. C.P. Ruth Stella Correa Palacio.</w:t>
      </w:r>
    </w:p>
    <w:p w14:paraId="16DF3419" w14:textId="77777777" w:rsidR="00107E4D" w:rsidRPr="00851936" w:rsidRDefault="00107E4D" w:rsidP="00107E4D">
      <w:pPr>
        <w:pStyle w:val="Textonotapie"/>
        <w:ind w:right="49" w:firstLine="708"/>
        <w:jc w:val="both"/>
        <w:rPr>
          <w:rFonts w:ascii="Arial" w:hAnsi="Arial" w:cs="Arial"/>
          <w:color w:val="000000" w:themeColor="text1"/>
          <w:sz w:val="19"/>
          <w:szCs w:val="19"/>
          <w:lang w:val="es-ES"/>
        </w:rPr>
      </w:pPr>
      <w:r w:rsidRPr="00851936">
        <w:rPr>
          <w:rFonts w:ascii="Arial" w:hAnsi="Arial" w:cs="Arial"/>
          <w:color w:val="000000" w:themeColor="text1"/>
          <w:sz w:val="19"/>
          <w:szCs w:val="19"/>
        </w:rPr>
        <w:t xml:space="preserve"> </w:t>
      </w:r>
    </w:p>
  </w:footnote>
  <w:footnote w:id="12">
    <w:p w14:paraId="1587B8A2"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El siguiente análisis se realiza únicamente respecto de las entidades sometidas al Estatuto General de Contratación de la Administración Pública. Sobre el deber de publicación de la actividad contractual de las entidades excluidas de dicho régimen de contratación, esta Agencia expidió el concepto CU–003 del 15 de enero de 2020 –radicado No. 2202013000000164–.</w:t>
      </w:r>
    </w:p>
    <w:p w14:paraId="12C2E609" w14:textId="77777777" w:rsidR="00D12042" w:rsidRPr="00851936" w:rsidRDefault="00D12042" w:rsidP="00D12042">
      <w:pPr>
        <w:pStyle w:val="Textonotapie"/>
        <w:ind w:firstLine="708"/>
        <w:rPr>
          <w:rFonts w:ascii="Arial" w:hAnsi="Arial" w:cs="Arial"/>
          <w:sz w:val="19"/>
          <w:szCs w:val="19"/>
          <w:lang w:val="es-CO"/>
        </w:rPr>
      </w:pPr>
    </w:p>
  </w:footnote>
  <w:footnote w:id="13">
    <w:p w14:paraId="59FFB02C"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1167E1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16EF5C92" w14:textId="77777777" w:rsidR="00D12042" w:rsidRPr="00851936" w:rsidRDefault="00D12042" w:rsidP="00D12042">
      <w:pPr>
        <w:pStyle w:val="Textonotapie"/>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»Proceso</w:t>
      </w:r>
      <w:proofErr w:type="gramEnd"/>
      <w:r w:rsidRPr="00851936">
        <w:rPr>
          <w:rFonts w:ascii="Arial" w:hAnsi="Arial" w:cs="Arial"/>
          <w:color w:val="000000" w:themeColor="text1"/>
          <w:sz w:val="19"/>
          <w:szCs w:val="19"/>
        </w:rPr>
        <w:t xml:space="preserve">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77BF1352" w14:textId="77777777" w:rsidR="00D12042" w:rsidRPr="00851936" w:rsidRDefault="00D12042" w:rsidP="00D12042">
      <w:pPr>
        <w:pStyle w:val="Textonotapie"/>
        <w:ind w:right="49"/>
        <w:jc w:val="both"/>
        <w:rPr>
          <w:rFonts w:ascii="Arial" w:hAnsi="Arial" w:cs="Arial"/>
          <w:color w:val="000000" w:themeColor="text1"/>
          <w:sz w:val="19"/>
          <w:szCs w:val="19"/>
          <w:lang w:val="es-ES"/>
        </w:rPr>
      </w:pPr>
    </w:p>
  </w:footnote>
  <w:footnote w:id="14">
    <w:p w14:paraId="78551929" w14:textId="77777777" w:rsidR="00D12042" w:rsidRPr="00851936" w:rsidRDefault="00D12042" w:rsidP="00D12042">
      <w:pPr>
        <w:spacing w:before="76"/>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51936">
        <w:rPr>
          <w:rFonts w:ascii="Arial" w:hAnsi="Arial" w:cs="Arial"/>
          <w:color w:val="000000" w:themeColor="text1"/>
          <w:spacing w:val="-3"/>
          <w:sz w:val="19"/>
          <w:szCs w:val="19"/>
        </w:rPr>
        <w:t xml:space="preserve"> </w:t>
      </w:r>
      <w:r w:rsidRPr="00851936">
        <w:rPr>
          <w:rFonts w:ascii="Arial" w:hAnsi="Arial" w:cs="Arial"/>
          <w:color w:val="000000" w:themeColor="text1"/>
          <w:sz w:val="19"/>
          <w:szCs w:val="19"/>
        </w:rPr>
        <w:t>Nacional.</w:t>
      </w:r>
    </w:p>
    <w:p w14:paraId="73B33B25" w14:textId="77777777" w:rsidR="00D12042" w:rsidRPr="00851936" w:rsidRDefault="00D12042" w:rsidP="00D12042">
      <w:pPr>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»Lo</w:t>
      </w:r>
      <w:proofErr w:type="gramEnd"/>
      <w:r w:rsidRPr="00851936">
        <w:rPr>
          <w:rFonts w:ascii="Arial" w:hAnsi="Arial" w:cs="Arial"/>
          <w:color w:val="000000" w:themeColor="text1"/>
          <w:sz w:val="19"/>
          <w:szCs w:val="19"/>
        </w:rPr>
        <w:t xml:space="preserve"> anterior, sin perjuicio de las publicaciones previstas en el numeral 3 del artículo 30 de la Ley 80 de 1993.</w:t>
      </w:r>
    </w:p>
    <w:p w14:paraId="3DF0E105" w14:textId="77777777" w:rsidR="00D12042" w:rsidRPr="00851936" w:rsidRDefault="00D12042" w:rsidP="00D12042">
      <w:pPr>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»Con</w:t>
      </w:r>
      <w:proofErr w:type="gramEnd"/>
      <w:r w:rsidRPr="00851936">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851936">
        <w:rPr>
          <w:rFonts w:ascii="Arial" w:hAnsi="Arial" w:cs="Arial"/>
          <w:color w:val="000000" w:themeColor="text1"/>
          <w:sz w:val="19"/>
          <w:szCs w:val="19"/>
        </w:rPr>
        <w:t>Secop</w:t>
      </w:r>
      <w:proofErr w:type="spellEnd"/>
      <w:r w:rsidRPr="00851936">
        <w:rPr>
          <w:rFonts w:ascii="Arial" w:hAnsi="Arial" w:cs="Arial"/>
          <w:color w:val="000000" w:themeColor="text1"/>
          <w:sz w:val="19"/>
          <w:szCs w:val="19"/>
        </w:rPr>
        <w:t>, el cual:</w:t>
      </w:r>
    </w:p>
    <w:p w14:paraId="5CF549EB" w14:textId="77777777" w:rsidR="00D12042" w:rsidRPr="00851936" w:rsidRDefault="00D12042" w:rsidP="00D12042">
      <w:pPr>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»a</w:t>
      </w:r>
      <w:proofErr w:type="gramEnd"/>
      <w:r w:rsidRPr="00851936">
        <w:rPr>
          <w:rFonts w:ascii="Arial" w:hAnsi="Arial" w:cs="Arial"/>
          <w:color w:val="000000" w:themeColor="text1"/>
          <w:sz w:val="19"/>
          <w:szCs w:val="19"/>
        </w:rPr>
        <w:t>) Dispondrá de las funcionalidades tecnológicas para realizar procesos de contratación electrónicos bajo los métodos de selección señalados en el artículo 2o de la presente ley según lo defina el reglamento;</w:t>
      </w:r>
    </w:p>
    <w:p w14:paraId="492192B0" w14:textId="77777777" w:rsidR="00D12042" w:rsidRPr="00851936" w:rsidRDefault="00D12042" w:rsidP="00D12042">
      <w:pPr>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»b</w:t>
      </w:r>
      <w:proofErr w:type="gramEnd"/>
      <w:r w:rsidRPr="00851936">
        <w:rPr>
          <w:rFonts w:ascii="Arial" w:hAnsi="Arial" w:cs="Arial"/>
          <w:color w:val="000000" w:themeColor="text1"/>
          <w:sz w:val="19"/>
          <w:szCs w:val="19"/>
        </w:rPr>
        <w:t>) Servirá de punto único de ingreso de información y de generación de reportes para las entidades estatales y la ciudadanía;</w:t>
      </w:r>
    </w:p>
    <w:p w14:paraId="28054D5E"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6E75EA69" w14:textId="77777777" w:rsidR="00D12042" w:rsidRPr="00851936" w:rsidRDefault="00D12042" w:rsidP="00D12042">
      <w:pPr>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»d</w:t>
      </w:r>
      <w:proofErr w:type="gramEnd"/>
      <w:r w:rsidRPr="00851936">
        <w:rPr>
          <w:rFonts w:ascii="Arial" w:hAnsi="Arial" w:cs="Arial"/>
          <w:color w:val="000000" w:themeColor="text1"/>
          <w:sz w:val="19"/>
          <w:szCs w:val="19"/>
        </w:rPr>
        <w:t xml:space="preserve">) Integrará el Registro </w:t>
      </w:r>
      <w:proofErr w:type="spellStart"/>
      <w:r w:rsidRPr="00851936">
        <w:rPr>
          <w:rFonts w:ascii="Arial" w:hAnsi="Arial" w:cs="Arial"/>
          <w:color w:val="000000" w:themeColor="text1"/>
          <w:sz w:val="19"/>
          <w:szCs w:val="19"/>
        </w:rPr>
        <w:t>Unico</w:t>
      </w:r>
      <w:proofErr w:type="spellEnd"/>
      <w:r w:rsidRPr="00851936">
        <w:rPr>
          <w:rFonts w:ascii="Arial" w:hAnsi="Arial" w:cs="Arial"/>
          <w:color w:val="000000" w:themeColor="text1"/>
          <w:sz w:val="19"/>
          <w:szCs w:val="19"/>
        </w:rPr>
        <w:t xml:space="preserve"> Empresarial de las Cámaras de Comercio, el Diario </w:t>
      </w:r>
      <w:proofErr w:type="spellStart"/>
      <w:r w:rsidRPr="00851936">
        <w:rPr>
          <w:rFonts w:ascii="Arial" w:hAnsi="Arial" w:cs="Arial"/>
          <w:color w:val="000000" w:themeColor="text1"/>
          <w:sz w:val="19"/>
          <w:szCs w:val="19"/>
        </w:rPr>
        <w:t>Unico</w:t>
      </w:r>
      <w:proofErr w:type="spellEnd"/>
      <w:r w:rsidRPr="00851936">
        <w:rPr>
          <w:rFonts w:ascii="Arial" w:hAnsi="Arial" w:cs="Arial"/>
          <w:color w:val="000000" w:themeColor="text1"/>
          <w:sz w:val="19"/>
          <w:szCs w:val="19"/>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3CAEA120" w14:textId="77777777" w:rsidR="00D12042" w:rsidRPr="00851936" w:rsidRDefault="00D12042" w:rsidP="00D12042">
      <w:pPr>
        <w:pStyle w:val="Textonotapie"/>
        <w:ind w:right="49"/>
        <w:jc w:val="both"/>
        <w:rPr>
          <w:rFonts w:ascii="Arial" w:hAnsi="Arial" w:cs="Arial"/>
          <w:color w:val="000000" w:themeColor="text1"/>
          <w:sz w:val="19"/>
          <w:szCs w:val="19"/>
        </w:rPr>
      </w:pPr>
    </w:p>
  </w:footnote>
  <w:footnote w:id="15">
    <w:p w14:paraId="3FB44444" w14:textId="34727D4B" w:rsidR="00D12042" w:rsidRPr="00851936" w:rsidRDefault="00D12042" w:rsidP="00950C49">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w:t>
      </w:r>
      <w:r>
        <w:rPr>
          <w:rFonts w:ascii="Arial" w:hAnsi="Arial" w:cs="Arial"/>
          <w:sz w:val="19"/>
          <w:szCs w:val="19"/>
        </w:rPr>
        <w:t>,</w:t>
      </w:r>
      <w:r w:rsidRPr="00851936">
        <w:rPr>
          <w:rFonts w:ascii="Arial" w:hAnsi="Arial" w:cs="Arial"/>
          <w:sz w:val="19"/>
          <w:szCs w:val="19"/>
        </w:rPr>
        <w:t xml:space="preserve"> son relevantes las consideraciones expuestas por esta </w:t>
      </w:r>
      <w:r>
        <w:rPr>
          <w:rFonts w:ascii="Arial" w:hAnsi="Arial" w:cs="Arial"/>
          <w:sz w:val="19"/>
          <w:szCs w:val="19"/>
        </w:rPr>
        <w:t>Subdirección</w:t>
      </w:r>
      <w:r w:rsidRPr="00851936">
        <w:rPr>
          <w:rFonts w:ascii="Arial" w:hAnsi="Arial" w:cs="Arial"/>
          <w:sz w:val="19"/>
          <w:szCs w:val="19"/>
        </w:rPr>
        <w:t xml:space="preserve"> en el concepto C-160 del 3 de abril de 2020 –radicado No. 2202013000002420–, donde se expuso que «[…] los días hábiles se determinan según la entidad, ya que </w:t>
      </w:r>
      <w:r>
        <w:rPr>
          <w:rFonts w:ascii="Arial" w:hAnsi="Arial" w:cs="Arial"/>
          <w:sz w:val="19"/>
          <w:szCs w:val="19"/>
        </w:rPr>
        <w:t>“</w:t>
      </w:r>
      <w:r w:rsidRPr="00851936">
        <w:rPr>
          <w:rFonts w:ascii="Arial" w:hAnsi="Arial" w:cs="Arial"/>
          <w:sz w:val="19"/>
          <w:szCs w:val="19"/>
        </w:rPr>
        <w:t>cada entidad pública establece la jornada laboral, a través de su reglamento interno, dando certeza sobre los días que atienden al público, e indirectamente definiendo qué día es hábil en determinada institución</w:t>
      </w:r>
      <w:r>
        <w:rPr>
          <w:rFonts w:ascii="Arial" w:hAnsi="Arial" w:cs="Arial"/>
          <w:sz w:val="19"/>
          <w:szCs w:val="19"/>
        </w:rPr>
        <w:t>”</w:t>
      </w:r>
      <w:r w:rsidRPr="00851936">
        <w:rPr>
          <w:rFonts w:ascii="Arial" w:hAnsi="Arial" w:cs="Arial"/>
          <w:sz w:val="19"/>
          <w:szCs w:val="19"/>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footnote>
  <w:footnote w:id="16">
    <w:p w14:paraId="01ABB628"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Decreto 1081 de 2015 «</w:t>
      </w:r>
      <w:r w:rsidRPr="00851936">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77BAA7" w14:textId="77777777" w:rsidR="00D12042" w:rsidRPr="00851936" w:rsidRDefault="00D12042" w:rsidP="00D12042">
      <w:pPr>
        <w:jc w:val="both"/>
        <w:rPr>
          <w:rFonts w:ascii="Arial" w:eastAsia="Times New Roman" w:hAnsi="Arial" w:cs="Arial"/>
          <w:color w:val="000000"/>
          <w:sz w:val="19"/>
          <w:szCs w:val="19"/>
          <w:lang w:val="es-CO" w:eastAsia="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r>
      <w:proofErr w:type="gramStart"/>
      <w:r w:rsidRPr="00851936">
        <w:rPr>
          <w:rFonts w:ascii="Arial" w:eastAsia="Times New Roman" w:hAnsi="Arial" w:cs="Arial"/>
          <w:color w:val="000000"/>
          <w:sz w:val="19"/>
          <w:szCs w:val="19"/>
          <w:lang w:val="es-CO" w:eastAsia="es-CO"/>
        </w:rPr>
        <w:t>»Los</w:t>
      </w:r>
      <w:proofErr w:type="gramEnd"/>
      <w:r w:rsidRPr="00851936">
        <w:rPr>
          <w:rFonts w:ascii="Arial" w:eastAsia="Times New Roman" w:hAnsi="Arial" w:cs="Arial"/>
          <w:color w:val="000000"/>
          <w:sz w:val="19"/>
          <w:szCs w:val="19"/>
          <w:lang w:val="es-CO" w:eastAsia="es-CO"/>
        </w:rPr>
        <w:t xml:space="preserve"> sujetos obligados que contratan con cargo a recursos públicos deben publicar la información de su gestión contractual en el plazo previsto en el artículo 19 del Decreto 1510 de 2013, o el que lo modifique, sustituya o adicione. </w:t>
      </w:r>
    </w:p>
    <w:p w14:paraId="13407343" w14:textId="77777777" w:rsidR="00D12042" w:rsidRPr="00851936" w:rsidRDefault="00D12042" w:rsidP="00D12042">
      <w:pPr>
        <w:jc w:val="both"/>
        <w:rPr>
          <w:rFonts w:ascii="Arial" w:hAnsi="Arial" w:cs="Arial"/>
          <w:sz w:val="19"/>
          <w:szCs w:val="19"/>
          <w:lang w:val="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r>
      <w:proofErr w:type="gramStart"/>
      <w:r w:rsidRPr="00851936">
        <w:rPr>
          <w:rFonts w:ascii="Arial" w:eastAsia="Times New Roman" w:hAnsi="Arial" w:cs="Arial"/>
          <w:color w:val="000000"/>
          <w:sz w:val="19"/>
          <w:szCs w:val="19"/>
          <w:lang w:val="es-CO" w:eastAsia="es-CO"/>
        </w:rPr>
        <w:t>»Los</w:t>
      </w:r>
      <w:proofErr w:type="gramEnd"/>
      <w:r w:rsidRPr="00851936">
        <w:rPr>
          <w:rFonts w:ascii="Arial" w:eastAsia="Times New Roman" w:hAnsi="Arial" w:cs="Arial"/>
          <w:color w:val="000000"/>
          <w:sz w:val="19"/>
          <w:szCs w:val="19"/>
          <w:lang w:val="es-CO" w:eastAsia="es-CO"/>
        </w:rPr>
        <w:t xml:space="preserve"> sujetos obligados que contratan con recursos públicos y recursos privados, deben publicar la información de su gestión contractual con cargo a recursos públicos en el Sistema Electrónico para la Contratación Pública (SECOP)</w:t>
      </w:r>
      <w:r w:rsidRPr="00851936">
        <w:rPr>
          <w:rFonts w:ascii="Arial" w:hAnsi="Arial" w:cs="Arial"/>
          <w:sz w:val="19"/>
          <w:szCs w:val="19"/>
          <w:lang w:val="es-CO"/>
        </w:rPr>
        <w:t>».</w:t>
      </w:r>
    </w:p>
    <w:p w14:paraId="2A928C9C" w14:textId="77777777" w:rsidR="00D12042" w:rsidRPr="00851936" w:rsidRDefault="00D12042" w:rsidP="00D12042">
      <w:pPr>
        <w:jc w:val="both"/>
        <w:rPr>
          <w:rFonts w:ascii="Arial" w:eastAsia="Times New Roman" w:hAnsi="Arial" w:cs="Arial"/>
          <w:color w:val="000000"/>
          <w:sz w:val="19"/>
          <w:szCs w:val="19"/>
          <w:lang w:val="es-CO" w:eastAsia="es-CO"/>
        </w:rPr>
      </w:pPr>
    </w:p>
  </w:footnote>
  <w:footnote w:id="17">
    <w:p w14:paraId="53290A26"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w:t>
      </w:r>
      <w:r w:rsidRPr="00D0322C">
        <w:rPr>
          <w:rFonts w:ascii="Arial" w:hAnsi="Arial" w:cs="Arial"/>
          <w:color w:val="000000" w:themeColor="text1"/>
          <w:sz w:val="19"/>
          <w:szCs w:val="19"/>
        </w:rPr>
        <w:t>procedimientos, lineamientos y políticas en</w:t>
      </w:r>
      <w:r w:rsidRPr="00851936">
        <w:rPr>
          <w:rFonts w:ascii="Arial" w:hAnsi="Arial" w:cs="Arial"/>
          <w:color w:val="000000" w:themeColor="text1"/>
          <w:sz w:val="19"/>
          <w:szCs w:val="19"/>
        </w:rPr>
        <w:t xml:space="preserve">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68772699"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18">
    <w:p w14:paraId="3E10B0C5"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15A52B4" w14:textId="77777777" w:rsidR="00D12042" w:rsidRPr="00851936" w:rsidRDefault="00D12042" w:rsidP="00D12042">
      <w:pPr>
        <w:pStyle w:val="Textonotapie"/>
        <w:ind w:right="49" w:firstLine="709"/>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»Los</w:t>
      </w:r>
      <w:proofErr w:type="gramEnd"/>
      <w:r w:rsidRPr="00851936">
        <w:rPr>
          <w:rFonts w:ascii="Arial" w:hAnsi="Arial" w:cs="Arial"/>
          <w:color w:val="000000" w:themeColor="text1"/>
          <w:sz w:val="19"/>
          <w:szCs w:val="19"/>
        </w:rPr>
        <w:t xml:space="preserve"> sujetos obligados que no contratan con cargo a recursos públicos no están obligados a publicar su Plan Anual de Adquisiciones. </w:t>
      </w:r>
    </w:p>
    <w:p w14:paraId="212394C4" w14:textId="77777777" w:rsidR="00D12042" w:rsidRPr="00851936" w:rsidRDefault="00D12042" w:rsidP="00D12042">
      <w:pPr>
        <w:pStyle w:val="Textonotapie"/>
        <w:ind w:right="49" w:firstLine="709"/>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»Los</w:t>
      </w:r>
      <w:proofErr w:type="gramEnd"/>
      <w:r w:rsidRPr="00851936">
        <w:rPr>
          <w:rFonts w:ascii="Arial" w:hAnsi="Arial" w:cs="Arial"/>
          <w:color w:val="000000" w:themeColor="text1"/>
          <w:sz w:val="19"/>
          <w:szCs w:val="19"/>
        </w:rPr>
        <w:t xml:space="preserve"> sujetos obligados que contratan con cargo a recursos públicos y recursos privados, deben publicar en su página web y en el SECOP el Plan Anual de Adquisiciones para los recursos de carácter público que ejecutarán en el año. </w:t>
      </w:r>
    </w:p>
    <w:p w14:paraId="6ECFD18D" w14:textId="273D657D" w:rsidR="00D12042" w:rsidRPr="00851936" w:rsidRDefault="00D12042">
      <w:pPr>
        <w:pStyle w:val="Textonotapie"/>
        <w:ind w:right="49" w:firstLine="709"/>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»Se</w:t>
      </w:r>
      <w:proofErr w:type="gramEnd"/>
      <w:r w:rsidRPr="00851936">
        <w:rPr>
          <w:rFonts w:ascii="Arial" w:hAnsi="Arial" w:cs="Arial"/>
          <w:color w:val="000000" w:themeColor="text1"/>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footnote>
  <w:footnote w:id="19">
    <w:p w14:paraId="628B583E" w14:textId="796B2B92" w:rsidR="00D12042" w:rsidRPr="00851936" w:rsidRDefault="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w:t>
      </w:r>
      <w:r w:rsidRPr="00D0322C">
        <w:rPr>
          <w:rFonts w:ascii="Arial" w:hAnsi="Arial" w:cs="Arial"/>
          <w:color w:val="000000" w:themeColor="text1"/>
          <w:sz w:val="19"/>
          <w:szCs w:val="19"/>
        </w:rPr>
        <w:t>aprobaciones, autorizaciones, requerimientos o informes del supervisor o del interventor,</w:t>
      </w:r>
      <w:r w:rsidRPr="00851936">
        <w:rPr>
          <w:rFonts w:ascii="Arial" w:hAnsi="Arial" w:cs="Arial"/>
          <w:color w:val="000000" w:themeColor="text1"/>
          <w:sz w:val="19"/>
          <w:szCs w:val="19"/>
        </w:rPr>
        <w:t xml:space="preserve"> que prueben la ejecución del contrato».</w:t>
      </w:r>
    </w:p>
  </w:footnote>
  <w:footnote w:id="20">
    <w:p w14:paraId="16C53012" w14:textId="77777777" w:rsidR="00D12042" w:rsidRPr="00851936" w:rsidRDefault="00D12042" w:rsidP="00D12042">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«Artículo 2</w:t>
      </w:r>
      <w:proofErr w:type="gramStart"/>
      <w:r w:rsidRPr="00851936">
        <w:rPr>
          <w:rFonts w:ascii="Arial" w:hAnsi="Arial" w:cs="Arial"/>
          <w:sz w:val="19"/>
          <w:szCs w:val="19"/>
        </w:rPr>
        <w:t>°.Principio</w:t>
      </w:r>
      <w:proofErr w:type="gramEnd"/>
      <w:r w:rsidRPr="00851936">
        <w:rPr>
          <w:rFonts w:ascii="Arial" w:hAnsi="Arial" w:cs="Arial"/>
          <w:sz w:val="19"/>
          <w:szCs w:val="19"/>
        </w:rPr>
        <w:t xml:space="preserve">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1">
    <w:p w14:paraId="25D1EB72" w14:textId="77777777" w:rsidR="00D12042" w:rsidRPr="00851936" w:rsidRDefault="00D12042" w:rsidP="00D12042">
      <w:pPr>
        <w:pStyle w:val="Textonotapie"/>
        <w:rPr>
          <w:rFonts w:ascii="Arial" w:hAnsi="Arial" w:cs="Arial"/>
          <w:sz w:val="19"/>
          <w:szCs w:val="19"/>
        </w:rPr>
      </w:pPr>
    </w:p>
    <w:p w14:paraId="01424424"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w:t>
      </w:r>
      <w:proofErr w:type="gramStart"/>
      <w:r w:rsidRPr="00851936">
        <w:rPr>
          <w:rFonts w:ascii="Arial" w:hAnsi="Arial" w:cs="Arial"/>
          <w:sz w:val="19"/>
          <w:szCs w:val="19"/>
        </w:rPr>
        <w:t>«</w:t>
      </w:r>
      <w:r w:rsidRPr="00851936">
        <w:rPr>
          <w:rStyle w:val="PiedepginaCar"/>
          <w:rFonts w:ascii="Arial" w:hAnsi="Arial" w:cs="Arial"/>
          <w:color w:val="000000"/>
          <w:sz w:val="19"/>
          <w:szCs w:val="19"/>
        </w:rPr>
        <w:t xml:space="preserve"> </w:t>
      </w:r>
      <w:r w:rsidRPr="00851936">
        <w:rPr>
          <w:rFonts w:ascii="Arial" w:hAnsi="Arial" w:cs="Arial"/>
          <w:color w:val="000000"/>
          <w:sz w:val="19"/>
          <w:szCs w:val="19"/>
        </w:rPr>
        <w:t>Artículo</w:t>
      </w:r>
      <w:proofErr w:type="gramEnd"/>
      <w:r w:rsidRPr="00851936">
        <w:rPr>
          <w:rFonts w:ascii="Arial" w:hAnsi="Arial" w:cs="Arial"/>
          <w:color w:val="000000"/>
          <w:sz w:val="19"/>
          <w:szCs w:val="19"/>
        </w:rPr>
        <w:t xml:space="preserve"> 3°.Otros principios de la transparencia y acceso a la información pública. En la interpretación del derecho de acceso a la información se deberá adoptar un criterio de razonabilidad y proporcionalidad, así como aplicar los siguientes principios: </w:t>
      </w:r>
    </w:p>
    <w:p w14:paraId="663CD6BE"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r>
      <w:proofErr w:type="gramStart"/>
      <w:r w:rsidRPr="00851936">
        <w:rPr>
          <w:rFonts w:ascii="Arial" w:eastAsia="Times New Roman" w:hAnsi="Arial" w:cs="Arial"/>
          <w:color w:val="000000"/>
          <w:sz w:val="19"/>
          <w:szCs w:val="19"/>
          <w:lang w:val="es-CO" w:eastAsia="es-CO"/>
        </w:rPr>
        <w:t>»</w:t>
      </w:r>
      <w:r w:rsidRPr="008C71CB">
        <w:rPr>
          <w:rFonts w:ascii="Arial" w:eastAsia="Times New Roman" w:hAnsi="Arial" w:cs="Arial"/>
          <w:color w:val="000000"/>
          <w:sz w:val="19"/>
          <w:szCs w:val="19"/>
          <w:lang w:val="es-CO" w:eastAsia="es-CO"/>
        </w:rPr>
        <w:t>Principio</w:t>
      </w:r>
      <w:proofErr w:type="gramEnd"/>
      <w:r w:rsidRPr="008C71CB">
        <w:rPr>
          <w:rFonts w:ascii="Arial" w:eastAsia="Times New Roman" w:hAnsi="Arial" w:cs="Arial"/>
          <w:color w:val="000000"/>
          <w:sz w:val="19"/>
          <w:szCs w:val="19"/>
          <w:lang w:val="es-CO" w:eastAsia="es-CO"/>
        </w:rPr>
        <w:t xml:space="preserve"> de transparencia. Principio conforme al cual toda la información en poder de los sujetos obligados definidos en esta ley se presume pública, en </w:t>
      </w:r>
      <w:proofErr w:type="gramStart"/>
      <w:r w:rsidRPr="008C71CB">
        <w:rPr>
          <w:rFonts w:ascii="Arial" w:eastAsia="Times New Roman" w:hAnsi="Arial" w:cs="Arial"/>
          <w:color w:val="000000"/>
          <w:sz w:val="19"/>
          <w:szCs w:val="19"/>
          <w:lang w:val="es-CO" w:eastAsia="es-CO"/>
        </w:rPr>
        <w:t>consecuencia</w:t>
      </w:r>
      <w:proofErr w:type="gramEnd"/>
      <w:r w:rsidRPr="008C71CB">
        <w:rPr>
          <w:rFonts w:ascii="Arial" w:eastAsia="Times New Roman" w:hAnsi="Arial" w:cs="Arial"/>
          <w:color w:val="000000"/>
          <w:sz w:val="19"/>
          <w:szCs w:val="19"/>
          <w:lang w:val="es-CO" w:eastAsia="es-CO"/>
        </w:rPr>
        <w:t xml:space="preserve">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470723AC"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 </w:t>
      </w:r>
    </w:p>
    <w:p w14:paraId="77F04AF5"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r>
      <w:proofErr w:type="gramStart"/>
      <w:r w:rsidRPr="00851936">
        <w:rPr>
          <w:rFonts w:ascii="Arial" w:eastAsia="Times New Roman" w:hAnsi="Arial" w:cs="Arial"/>
          <w:color w:val="000000"/>
          <w:sz w:val="19"/>
          <w:szCs w:val="19"/>
          <w:lang w:val="es-CO" w:eastAsia="es-CO"/>
        </w:rPr>
        <w:t>»</w:t>
      </w:r>
      <w:r w:rsidRPr="008C71CB">
        <w:rPr>
          <w:rFonts w:ascii="Arial" w:eastAsia="Times New Roman" w:hAnsi="Arial" w:cs="Arial"/>
          <w:color w:val="000000"/>
          <w:sz w:val="19"/>
          <w:szCs w:val="19"/>
          <w:lang w:val="es-CO" w:eastAsia="es-CO"/>
        </w:rPr>
        <w:t>Principio</w:t>
      </w:r>
      <w:proofErr w:type="gramEnd"/>
      <w:r w:rsidRPr="008C71CB">
        <w:rPr>
          <w:rFonts w:ascii="Arial" w:eastAsia="Times New Roman" w:hAnsi="Arial" w:cs="Arial"/>
          <w:color w:val="000000"/>
          <w:sz w:val="19"/>
          <w:szCs w:val="19"/>
          <w:lang w:val="es-CO" w:eastAsia="es-CO"/>
        </w:rPr>
        <w:t xml:space="preserve"> de facilitación. En virtud de este principio los sujetos obligados deberán facilitar el ejercicio del derecho de acceso a la información pública, excluyendo exigencias o requisitos que puedan obstruirlo o impedirlo. </w:t>
      </w:r>
    </w:p>
    <w:p w14:paraId="58789229"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p>
    <w:p w14:paraId="2F53F6A3" w14:textId="1F7384F7" w:rsidR="00D12042" w:rsidRPr="00851936" w:rsidRDefault="00D12042" w:rsidP="009B3335">
      <w:pPr>
        <w:jc w:val="both"/>
        <w:rPr>
          <w:lang w:val="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 xml:space="preserve">» </w:t>
      </w:r>
      <w:r w:rsidRPr="008C71CB">
        <w:rPr>
          <w:rFonts w:ascii="Arial" w:eastAsia="Times New Roman" w:hAnsi="Arial" w:cs="Arial"/>
          <w:color w:val="000000"/>
          <w:sz w:val="19"/>
          <w:szCs w:val="19"/>
          <w:lang w:val="es-CO"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851936">
        <w:rPr>
          <w:rFonts w:ascii="Arial" w:eastAsia="Times New Roman" w:hAnsi="Arial" w:cs="Arial"/>
          <w:color w:val="000000"/>
          <w:sz w:val="19"/>
          <w:szCs w:val="19"/>
          <w:lang w:val="es-CO" w:eastAsia="es-CO"/>
        </w:rPr>
        <w:t xml:space="preserve"> […]».</w:t>
      </w:r>
    </w:p>
  </w:footnote>
  <w:footnote w:id="22">
    <w:p w14:paraId="43299877"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1474 de 2011 «</w:t>
      </w:r>
      <w:r w:rsidRPr="00851936">
        <w:rPr>
          <w:rFonts w:ascii="Arial" w:hAnsi="Arial" w:cs="Arial"/>
          <w:color w:val="000000" w:themeColor="text1"/>
          <w:sz w:val="19"/>
          <w:szCs w:val="19"/>
          <w:lang w:val="es-CO"/>
        </w:rPr>
        <w:t>Artículo 74. </w:t>
      </w:r>
      <w:r w:rsidRPr="00851936">
        <w:rPr>
          <w:rFonts w:ascii="Arial" w:hAnsi="Arial" w:cs="Arial"/>
          <w:i/>
          <w:iCs/>
          <w:color w:val="000000" w:themeColor="text1"/>
          <w:sz w:val="19"/>
          <w:szCs w:val="19"/>
          <w:lang w:val="es-CO"/>
        </w:rPr>
        <w:t>Plan de acción de las entidades públicas</w:t>
      </w:r>
      <w:r w:rsidRPr="00851936">
        <w:rPr>
          <w:rFonts w:ascii="Arial" w:hAnsi="Arial" w:cs="Arial"/>
          <w:color w:val="000000" w:themeColor="text1"/>
          <w:sz w:val="19"/>
          <w:szCs w:val="19"/>
          <w:lang w:val="es-CO"/>
        </w:rPr>
        <w:t xml:space="preserve">. A partir de la vigencia de la presente ley, todas las entidades del Estado a más tardar el 31 de enero de cada </w:t>
      </w:r>
      <w:proofErr w:type="gramStart"/>
      <w:r w:rsidRPr="00851936">
        <w:rPr>
          <w:rFonts w:ascii="Arial" w:hAnsi="Arial" w:cs="Arial"/>
          <w:color w:val="000000" w:themeColor="text1"/>
          <w:sz w:val="19"/>
          <w:szCs w:val="19"/>
          <w:lang w:val="es-CO"/>
        </w:rPr>
        <w:t>año,</w:t>
      </w:r>
      <w:proofErr w:type="gramEnd"/>
      <w:r w:rsidRPr="00851936">
        <w:rPr>
          <w:rFonts w:ascii="Arial" w:hAnsi="Arial" w:cs="Arial"/>
          <w:color w:val="000000" w:themeColor="text1"/>
          <w:sz w:val="19"/>
          <w:szCs w:val="19"/>
          <w:lang w:val="es-CO"/>
        </w:rPr>
        <w:t xml:space="preserve">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14:paraId="2DCAF17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r>
      <w:proofErr w:type="gramStart"/>
      <w:r w:rsidRPr="00851936">
        <w:rPr>
          <w:rFonts w:ascii="Arial" w:hAnsi="Arial" w:cs="Arial"/>
          <w:color w:val="000000" w:themeColor="text1"/>
          <w:sz w:val="19"/>
          <w:szCs w:val="19"/>
          <w:lang w:val="es-CO"/>
        </w:rPr>
        <w:t>»A</w:t>
      </w:r>
      <w:proofErr w:type="gramEnd"/>
      <w:r w:rsidRPr="00851936">
        <w:rPr>
          <w:rFonts w:ascii="Arial" w:hAnsi="Arial" w:cs="Arial"/>
          <w:color w:val="000000" w:themeColor="text1"/>
          <w:sz w:val="19"/>
          <w:szCs w:val="19"/>
          <w:lang w:val="es-CO"/>
        </w:rPr>
        <w:t xml:space="preserve"> partir del año siguiente, el Plan de Acción deberá estar acompañado del informe de gestión del año inmediatamente anterior. </w:t>
      </w:r>
    </w:p>
    <w:p w14:paraId="5D9EFD3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r>
      <w:proofErr w:type="gramStart"/>
      <w:r w:rsidRPr="00851936">
        <w:rPr>
          <w:rFonts w:ascii="Arial" w:hAnsi="Arial" w:cs="Arial"/>
          <w:color w:val="000000" w:themeColor="text1"/>
          <w:sz w:val="19"/>
          <w:szCs w:val="19"/>
          <w:lang w:val="es-CO"/>
        </w:rPr>
        <w:t>»Igualmente</w:t>
      </w:r>
      <w:proofErr w:type="gramEnd"/>
      <w:r w:rsidRPr="00851936">
        <w:rPr>
          <w:rFonts w:ascii="Arial" w:hAnsi="Arial" w:cs="Arial"/>
          <w:color w:val="000000" w:themeColor="text1"/>
          <w:sz w:val="19"/>
          <w:szCs w:val="19"/>
          <w:lang w:val="es-CO"/>
        </w:rPr>
        <w:t xml:space="preserve"> publicarán por dicho medio su presupuesto debidamente desagregado, así como las modificaciones a este o a su desagregación. </w:t>
      </w:r>
    </w:p>
    <w:p w14:paraId="3765C2CF"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r>
      <w:proofErr w:type="gramStart"/>
      <w:r w:rsidRPr="00851936">
        <w:rPr>
          <w:rFonts w:ascii="Arial" w:hAnsi="Arial" w:cs="Arial"/>
          <w:color w:val="000000" w:themeColor="text1"/>
          <w:sz w:val="19"/>
          <w:szCs w:val="19"/>
          <w:lang w:val="es-CO"/>
        </w:rPr>
        <w:t>»Parágrafo</w:t>
      </w:r>
      <w:proofErr w:type="gramEnd"/>
      <w:r w:rsidRPr="00851936">
        <w:rPr>
          <w:rFonts w:ascii="Arial" w:hAnsi="Arial" w:cs="Arial"/>
          <w:color w:val="000000" w:themeColor="text1"/>
          <w:sz w:val="19"/>
          <w:szCs w:val="19"/>
          <w:lang w:val="es-CO"/>
        </w:rPr>
        <w:t>. Las empresas industriales y comerciales del Estado y las Sociedades de Economía Mixta estarán exentas de publicar la información relacionada con sus proyectos de inversión». </w:t>
      </w:r>
    </w:p>
    <w:p w14:paraId="55EF5B23" w14:textId="77777777" w:rsidR="00D12042" w:rsidRPr="00851936" w:rsidRDefault="00D12042" w:rsidP="00D12042">
      <w:pPr>
        <w:pStyle w:val="Textonotapie"/>
        <w:jc w:val="both"/>
        <w:rPr>
          <w:rFonts w:ascii="Arial" w:hAnsi="Arial" w:cs="Arial"/>
          <w:color w:val="000000" w:themeColor="text1"/>
          <w:sz w:val="19"/>
          <w:szCs w:val="19"/>
          <w:lang w:val="es-CO"/>
        </w:rPr>
      </w:pPr>
    </w:p>
  </w:footnote>
  <w:footnote w:id="23">
    <w:p w14:paraId="5A8822AF"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2015«Artículo 2.2.1.1.1.4.3. Publicación del Plan Anual de Adquisiciones. La Entidad Estatal debe publicar su Plan Anual de Adquisiciones y las actualizaciones </w:t>
      </w:r>
      <w:proofErr w:type="gramStart"/>
      <w:r w:rsidRPr="00851936">
        <w:rPr>
          <w:rFonts w:ascii="Arial" w:hAnsi="Arial" w:cs="Arial"/>
          <w:color w:val="000000" w:themeColor="text1"/>
          <w:sz w:val="19"/>
          <w:szCs w:val="19"/>
        </w:rPr>
        <w:t>del mismo</w:t>
      </w:r>
      <w:proofErr w:type="gramEnd"/>
      <w:r w:rsidRPr="00851936">
        <w:rPr>
          <w:rFonts w:ascii="Arial" w:hAnsi="Arial" w:cs="Arial"/>
          <w:color w:val="000000" w:themeColor="text1"/>
          <w:sz w:val="19"/>
          <w:szCs w:val="19"/>
        </w:rPr>
        <w:t xml:space="preserve"> en su página web y en el SECOP, en la forma que para el efecto disponga Colombia Compra Eficiente».</w:t>
      </w:r>
    </w:p>
  </w:footnote>
  <w:footnote w:id="24">
    <w:p w14:paraId="39008E79"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80 de 1993 «Artículo 24. Del principio de transparencia. En virtud de este principio: </w:t>
      </w:r>
    </w:p>
    <w:p w14:paraId="65669431" w14:textId="77777777" w:rsidR="00D12042" w:rsidRPr="00851936" w:rsidRDefault="00D12042" w:rsidP="00D12042">
      <w:pPr>
        <w:pStyle w:val="Textonotapie"/>
        <w:ind w:firstLine="708"/>
        <w:jc w:val="both"/>
        <w:rPr>
          <w:rFonts w:ascii="Arial" w:hAnsi="Arial" w:cs="Arial"/>
          <w:sz w:val="19"/>
          <w:szCs w:val="19"/>
        </w:rPr>
      </w:pPr>
      <w:r w:rsidRPr="00851936">
        <w:rPr>
          <w:rFonts w:ascii="Arial" w:hAnsi="Arial" w:cs="Arial"/>
          <w:sz w:val="19"/>
          <w:szCs w:val="19"/>
        </w:rPr>
        <w:t>[…]</w:t>
      </w:r>
    </w:p>
    <w:p w14:paraId="2B500CA5"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3901DE8C"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5">
    <w:p w14:paraId="4155560E" w14:textId="1E28B457" w:rsidR="00D12042" w:rsidRDefault="00D12042" w:rsidP="009B3335">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2014«Artículo 2</w:t>
      </w:r>
      <w:proofErr w:type="gramStart"/>
      <w:r w:rsidRPr="00851936">
        <w:rPr>
          <w:rFonts w:ascii="Arial" w:hAnsi="Arial" w:cs="Arial"/>
          <w:sz w:val="19"/>
          <w:szCs w:val="19"/>
        </w:rPr>
        <w:t>°.Principio</w:t>
      </w:r>
      <w:proofErr w:type="gramEnd"/>
      <w:r w:rsidRPr="00851936">
        <w:rPr>
          <w:rFonts w:ascii="Arial" w:hAnsi="Arial" w:cs="Arial"/>
          <w:sz w:val="19"/>
          <w:szCs w:val="19"/>
        </w:rPr>
        <w:t xml:space="preserve"> de máxima publicidad para titular universal. Toda información en posesión, bajo control o custodia de un sujeto obligado es pública y no podrá ser reservada o limitada sino por disposición constitucional o legal, de conformidad con la presente ley».</w:t>
      </w:r>
    </w:p>
    <w:p w14:paraId="1A9B304B" w14:textId="77777777" w:rsidR="00E31E01" w:rsidRPr="00851936" w:rsidRDefault="00E31E01" w:rsidP="009B3335">
      <w:pPr>
        <w:pStyle w:val="Textonotapie"/>
        <w:ind w:firstLine="708"/>
        <w:jc w:val="both"/>
        <w:rPr>
          <w:rFonts w:ascii="Arial" w:hAnsi="Arial" w:cs="Arial"/>
          <w:sz w:val="19"/>
          <w:szCs w:val="19"/>
          <w:lang w:val="es-CO"/>
        </w:rPr>
      </w:pPr>
    </w:p>
  </w:footnote>
  <w:footnote w:id="26">
    <w:p w14:paraId="01D31BE0"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MATALLANA CAMACHO Ernesto. Manual de Contratación de la Administración Pública. Reforma a la Ley 80 de 1993. Universidad Externado de Colombia, Cuarta edición, 2015, </w:t>
      </w:r>
      <w:proofErr w:type="spellStart"/>
      <w:r w:rsidRPr="00851936">
        <w:rPr>
          <w:rFonts w:ascii="Arial" w:hAnsi="Arial" w:cs="Arial"/>
          <w:sz w:val="19"/>
          <w:szCs w:val="19"/>
        </w:rPr>
        <w:t>pp</w:t>
      </w:r>
      <w:proofErr w:type="spellEnd"/>
      <w:r w:rsidRPr="00851936">
        <w:rPr>
          <w:rFonts w:ascii="Arial" w:hAnsi="Arial" w:cs="Arial"/>
          <w:sz w:val="19"/>
          <w:szCs w:val="19"/>
        </w:rPr>
        <w:t xml:space="preserve"> 139.</w:t>
      </w:r>
    </w:p>
    <w:p w14:paraId="1AE10A1D"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7">
    <w:p w14:paraId="464DB4AF"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1437 de 2011 «Artículo </w:t>
      </w:r>
      <w:proofErr w:type="gramStart"/>
      <w:r w:rsidRPr="00851936">
        <w:rPr>
          <w:rFonts w:ascii="Arial" w:hAnsi="Arial" w:cs="Arial"/>
          <w:sz w:val="19"/>
          <w:szCs w:val="19"/>
        </w:rPr>
        <w:t>24.Informaciones</w:t>
      </w:r>
      <w:proofErr w:type="gramEnd"/>
      <w:r w:rsidRPr="00851936">
        <w:rPr>
          <w:rFonts w:ascii="Arial" w:hAnsi="Arial" w:cs="Arial"/>
          <w:sz w:val="19"/>
          <w:szCs w:val="19"/>
        </w:rPr>
        <w:t xml:space="preserve"> y documentos </w:t>
      </w:r>
      <w:proofErr w:type="spellStart"/>
      <w:r w:rsidRPr="00851936">
        <w:rPr>
          <w:rFonts w:ascii="Arial" w:hAnsi="Arial" w:cs="Arial"/>
          <w:sz w:val="19"/>
          <w:szCs w:val="19"/>
        </w:rPr>
        <w:t>reservados.Solo</w:t>
      </w:r>
      <w:proofErr w:type="spellEnd"/>
      <w:r w:rsidRPr="00851936">
        <w:rPr>
          <w:rFonts w:ascii="Arial" w:hAnsi="Arial" w:cs="Arial"/>
          <w:sz w:val="19"/>
          <w:szCs w:val="19"/>
        </w:rPr>
        <w:t xml:space="preserve"> tendrán carácter reservado las informaciones y documentos expresamente sometidos a reserva por la Constitución Política o la ley, y en especial:  </w:t>
      </w:r>
    </w:p>
    <w:p w14:paraId="2E19664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»1. Los relacionados con la defensa o seguridad nacionales.  </w:t>
      </w:r>
    </w:p>
    <w:p w14:paraId="1F74ACCC"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»2. Las instrucciones en materia diplomática o sobre negociaciones reservadas.  </w:t>
      </w:r>
    </w:p>
    <w:p w14:paraId="5A15D823"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311A23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2689CAB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»5. Los datos referentes a la información financiera y comercial, en los términos de la Ley Estatutaria 1266 de 2008.  </w:t>
      </w:r>
    </w:p>
    <w:p w14:paraId="0F338091"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»6. Los protegidos por el secreto comercial o industrial, así como los planes estratégicos de las empresas públicas de servicios públicos.  </w:t>
      </w:r>
    </w:p>
    <w:p w14:paraId="45D7EE3A"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»7. Los amparados por el secreto profesional.  </w:t>
      </w:r>
    </w:p>
    <w:p w14:paraId="07DAFFB7"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»8. Los datos genéticos humanos.  </w:t>
      </w:r>
    </w:p>
    <w:p w14:paraId="7790BE62" w14:textId="77777777" w:rsidR="00D12042" w:rsidRPr="00851936" w:rsidRDefault="00D12042" w:rsidP="00D12042">
      <w:pPr>
        <w:pStyle w:val="Textonotapie"/>
        <w:ind w:firstLine="708"/>
        <w:rPr>
          <w:rFonts w:ascii="Arial" w:hAnsi="Arial" w:cs="Arial"/>
          <w:sz w:val="19"/>
          <w:szCs w:val="19"/>
        </w:rPr>
      </w:pPr>
      <w:proofErr w:type="gramStart"/>
      <w:r w:rsidRPr="00851936">
        <w:rPr>
          <w:rFonts w:ascii="Arial" w:hAnsi="Arial" w:cs="Arial"/>
          <w:sz w:val="19"/>
          <w:szCs w:val="19"/>
        </w:rPr>
        <w:t>»Parágrafo</w:t>
      </w:r>
      <w:proofErr w:type="gramEnd"/>
      <w:r w:rsidRPr="00851936">
        <w:rPr>
          <w:rFonts w:ascii="Arial" w:hAnsi="Arial" w:cs="Arial"/>
          <w:sz w:val="19"/>
          <w:szCs w:val="19"/>
        </w:rPr>
        <w:t xml:space="preserve">.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06E4AA92" w14:textId="77777777" w:rsidR="00D12042" w:rsidRPr="00851936" w:rsidRDefault="00D12042" w:rsidP="00D12042">
      <w:pPr>
        <w:pStyle w:val="Textonotapie"/>
        <w:ind w:firstLine="708"/>
        <w:rPr>
          <w:rFonts w:ascii="Arial" w:hAnsi="Arial" w:cs="Arial"/>
          <w:sz w:val="19"/>
          <w:szCs w:val="19"/>
        </w:rPr>
      </w:pPr>
    </w:p>
  </w:footnote>
  <w:footnote w:id="28">
    <w:p w14:paraId="3591D264" w14:textId="1C5A25CD" w:rsidR="008242C7" w:rsidRPr="008242C7" w:rsidRDefault="008242C7" w:rsidP="008242C7">
      <w:pPr>
        <w:pStyle w:val="Textonotapie"/>
        <w:ind w:firstLine="708"/>
        <w:jc w:val="both"/>
        <w:rPr>
          <w:rFonts w:ascii="Arial" w:hAnsi="Arial" w:cs="Arial"/>
          <w:sz w:val="19"/>
          <w:szCs w:val="19"/>
        </w:rPr>
      </w:pPr>
      <w:r w:rsidRPr="008242C7">
        <w:rPr>
          <w:rStyle w:val="Refdenotaalpie"/>
          <w:rFonts w:ascii="Arial" w:hAnsi="Arial" w:cs="Arial"/>
          <w:sz w:val="19"/>
          <w:szCs w:val="19"/>
        </w:rPr>
        <w:footnoteRef/>
      </w:r>
      <w:r w:rsidRPr="008242C7">
        <w:rPr>
          <w:rFonts w:ascii="Arial" w:hAnsi="Arial" w:cs="Arial"/>
          <w:sz w:val="19"/>
          <w:szCs w:val="19"/>
        </w:rPr>
        <w:t xml:space="preserve"> Ley 1437 de 2011 «Artículo 36. Formación y examen de expedientes. Los documentos y diligencias relacionados con una misma actuación se organizarán en un solo expediente, al cual se acumularán, con el fin de evitar decisiones contradictorias, de oficio o a petición de interesado, cualesquiera otros que se tramiten ante la misma autoridad.</w:t>
      </w:r>
    </w:p>
    <w:p w14:paraId="7BB560B4" w14:textId="3213851E" w:rsidR="008242C7" w:rsidRPr="008242C7" w:rsidRDefault="008242C7" w:rsidP="008242C7">
      <w:pPr>
        <w:pStyle w:val="Textonotapie"/>
        <w:ind w:firstLine="708"/>
        <w:jc w:val="both"/>
        <w:rPr>
          <w:rFonts w:ascii="Arial" w:hAnsi="Arial" w:cs="Arial"/>
          <w:sz w:val="19"/>
          <w:szCs w:val="19"/>
        </w:rPr>
      </w:pPr>
      <w:proofErr w:type="gramStart"/>
      <w:r w:rsidRPr="008242C7">
        <w:rPr>
          <w:rFonts w:ascii="Arial" w:hAnsi="Arial" w:cs="Arial"/>
          <w:sz w:val="19"/>
          <w:szCs w:val="19"/>
        </w:rPr>
        <w:t>»Si</w:t>
      </w:r>
      <w:proofErr w:type="gramEnd"/>
      <w:r w:rsidRPr="008242C7">
        <w:rPr>
          <w:rFonts w:ascii="Arial" w:hAnsi="Arial" w:cs="Arial"/>
          <w:sz w:val="19"/>
          <w:szCs w:val="19"/>
        </w:rPr>
        <w:t xml:space="preserve"> las actuaciones se tramitaren ante distintas autoridades, la acumulación se hará en la entidad u organismo donde se realizó la primera actuación. Si alguna de ellas se opone a la acumulación, podrá acudirse, sin más trámite, al mecanismo de definición de competencias administrativas.</w:t>
      </w:r>
    </w:p>
    <w:p w14:paraId="0FFBB893" w14:textId="5421DC76" w:rsidR="008242C7" w:rsidRPr="008242C7" w:rsidRDefault="008242C7" w:rsidP="008242C7">
      <w:pPr>
        <w:pStyle w:val="Textonotapie"/>
        <w:ind w:firstLine="708"/>
        <w:jc w:val="both"/>
        <w:rPr>
          <w:rFonts w:ascii="Arial" w:hAnsi="Arial" w:cs="Arial"/>
          <w:sz w:val="19"/>
          <w:szCs w:val="19"/>
        </w:rPr>
      </w:pPr>
      <w:proofErr w:type="gramStart"/>
      <w:r w:rsidRPr="008242C7">
        <w:rPr>
          <w:rFonts w:ascii="Arial" w:hAnsi="Arial" w:cs="Arial"/>
          <w:sz w:val="19"/>
          <w:szCs w:val="19"/>
        </w:rPr>
        <w:t>»Con</w:t>
      </w:r>
      <w:proofErr w:type="gramEnd"/>
      <w:r w:rsidRPr="008242C7">
        <w:rPr>
          <w:rFonts w:ascii="Arial" w:hAnsi="Arial" w:cs="Arial"/>
          <w:sz w:val="19"/>
          <w:szCs w:val="19"/>
        </w:rPr>
        <w:t xml:space="preserve"> los documentos que por mandato de la Constitución Política o de la ley tengan el carácter de reservados y obren dentro de un expediente, se hará cuaderno separado.</w:t>
      </w:r>
    </w:p>
    <w:p w14:paraId="530E0181" w14:textId="457F881D" w:rsidR="008242C7" w:rsidRPr="008242C7" w:rsidRDefault="008242C7" w:rsidP="008242C7">
      <w:pPr>
        <w:pStyle w:val="Textonotapie"/>
        <w:ind w:firstLine="708"/>
        <w:jc w:val="both"/>
        <w:rPr>
          <w:rFonts w:ascii="Arial" w:hAnsi="Arial" w:cs="Arial"/>
          <w:sz w:val="19"/>
          <w:szCs w:val="19"/>
        </w:rPr>
      </w:pPr>
      <w:proofErr w:type="gramStart"/>
      <w:r w:rsidRPr="008242C7">
        <w:rPr>
          <w:rFonts w:ascii="Arial" w:hAnsi="Arial" w:cs="Arial"/>
          <w:sz w:val="19"/>
          <w:szCs w:val="19"/>
        </w:rPr>
        <w:t>»Cualquier</w:t>
      </w:r>
      <w:proofErr w:type="gramEnd"/>
      <w:r w:rsidRPr="008242C7">
        <w:rPr>
          <w:rFonts w:ascii="Arial" w:hAnsi="Arial" w:cs="Arial"/>
          <w:sz w:val="19"/>
          <w:szCs w:val="19"/>
        </w:rPr>
        <w:t xml:space="preserve"> persona tendrá derecho a examinar los expedientes en el estado en que se encuentren, salvo los documentos o cuadernos sujetos a reserva y a obtener copias y certificaciones sobre los mismos, las cuales se entregarán en los plazos señalados en el artículo 14».</w:t>
      </w:r>
    </w:p>
    <w:p w14:paraId="45DBBFF8" w14:textId="77777777" w:rsidR="008242C7" w:rsidRPr="008242C7" w:rsidRDefault="008242C7" w:rsidP="008242C7">
      <w:pPr>
        <w:pStyle w:val="Textonotapie"/>
        <w:rPr>
          <w:lang w:val="es-CO"/>
        </w:rPr>
      </w:pPr>
    </w:p>
  </w:footnote>
  <w:footnote w:id="29">
    <w:p w14:paraId="5F5DC58F" w14:textId="54CDD268" w:rsidR="007D52CB" w:rsidRPr="00851936" w:rsidRDefault="00D12042" w:rsidP="00D12042">
      <w:pPr>
        <w:pStyle w:val="Textonotapie"/>
        <w:ind w:firstLine="708"/>
        <w:jc w:val="both"/>
        <w:rPr>
          <w:rFonts w:ascii="Arial" w:eastAsia="Calibri"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51936">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271335E4" w14:textId="77777777" w:rsidR="00D12042" w:rsidRPr="00851936" w:rsidRDefault="00D12042" w:rsidP="009B3335">
      <w:pPr>
        <w:pStyle w:val="Textonotapie"/>
        <w:ind w:firstLine="708"/>
        <w:jc w:val="both"/>
        <w:rPr>
          <w:rFonts w:ascii="Arial" w:hAnsi="Arial" w:cs="Arial"/>
          <w:sz w:val="19"/>
          <w:szCs w:val="19"/>
        </w:rPr>
      </w:pPr>
    </w:p>
  </w:footnote>
  <w:footnote w:id="30">
    <w:p w14:paraId="599372AB" w14:textId="6E889B9E" w:rsidR="007D19CE" w:rsidRPr="007D19CE" w:rsidRDefault="007D19CE" w:rsidP="007D19CE">
      <w:pPr>
        <w:pStyle w:val="Textonotapie"/>
        <w:ind w:firstLine="708"/>
        <w:jc w:val="both"/>
        <w:rPr>
          <w:rFonts w:ascii="Arial" w:hAnsi="Arial" w:cs="Arial"/>
          <w:sz w:val="19"/>
          <w:szCs w:val="19"/>
          <w:lang w:val="es-CO"/>
        </w:rPr>
      </w:pPr>
      <w:r w:rsidRPr="007D19CE">
        <w:rPr>
          <w:rStyle w:val="Refdenotaalpie"/>
          <w:rFonts w:ascii="Arial" w:hAnsi="Arial" w:cs="Arial"/>
          <w:sz w:val="19"/>
          <w:szCs w:val="19"/>
        </w:rPr>
        <w:footnoteRef/>
      </w:r>
      <w:r w:rsidRPr="007D19CE">
        <w:rPr>
          <w:rFonts w:ascii="Arial" w:hAnsi="Arial" w:cs="Arial"/>
          <w:sz w:val="19"/>
          <w:szCs w:val="19"/>
        </w:rPr>
        <w:t xml:space="preserve"> </w:t>
      </w:r>
      <w:r w:rsidRPr="007D19CE">
        <w:rPr>
          <w:rFonts w:ascii="Arial" w:hAnsi="Arial" w:cs="Arial"/>
          <w:sz w:val="19"/>
          <w:szCs w:val="19"/>
          <w:lang w:val="es-CO"/>
        </w:rPr>
        <w:t xml:space="preserve">Decreto 1082 de 2015 «Artículo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w:t>
      </w:r>
      <w:proofErr w:type="gramStart"/>
      <w:r w:rsidRPr="007D19CE">
        <w:rPr>
          <w:rFonts w:ascii="Arial" w:hAnsi="Arial" w:cs="Arial"/>
          <w:sz w:val="19"/>
          <w:szCs w:val="19"/>
          <w:lang w:val="es-CO"/>
        </w:rPr>
        <w:t>la misma</w:t>
      </w:r>
      <w:proofErr w:type="gramEnd"/>
      <w:r w:rsidRPr="007D19CE">
        <w:rPr>
          <w:rFonts w:ascii="Arial" w:hAnsi="Arial" w:cs="Arial"/>
          <w:sz w:val="19"/>
          <w:szCs w:val="19"/>
          <w:lang w:val="es-CO"/>
        </w:rPr>
        <w:t xml:space="preserve"> en la evaluación de las ofertas. </w:t>
      </w:r>
    </w:p>
    <w:p w14:paraId="6E54D293" w14:textId="3CF84519" w:rsidR="007D19CE" w:rsidRPr="007D19CE" w:rsidRDefault="007D19CE" w:rsidP="008242C7">
      <w:pPr>
        <w:pStyle w:val="Textonotapie"/>
        <w:ind w:firstLine="708"/>
        <w:jc w:val="both"/>
        <w:rPr>
          <w:rFonts w:ascii="Arial" w:hAnsi="Arial" w:cs="Arial"/>
          <w:sz w:val="19"/>
          <w:szCs w:val="19"/>
          <w:lang w:val="es-CO"/>
        </w:rPr>
      </w:pPr>
      <w:proofErr w:type="gramStart"/>
      <w:r w:rsidRPr="007D19CE">
        <w:rPr>
          <w:rFonts w:ascii="Arial" w:hAnsi="Arial" w:cs="Arial"/>
          <w:sz w:val="19"/>
          <w:szCs w:val="19"/>
          <w:lang w:val="es-CO"/>
        </w:rPr>
        <w:t>»Cuando</w:t>
      </w:r>
      <w:proofErr w:type="gramEnd"/>
      <w:r w:rsidRPr="007D19CE">
        <w:rPr>
          <w:rFonts w:ascii="Arial" w:hAnsi="Arial" w:cs="Arial"/>
          <w:sz w:val="19"/>
          <w:szCs w:val="19"/>
          <w:lang w:val="es-CO"/>
        </w:rPr>
        <w:t xml:space="preserve">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 </w:t>
      </w:r>
    </w:p>
    <w:p w14:paraId="347FD9CC" w14:textId="62C41F75" w:rsidR="007D19CE" w:rsidRPr="007D19CE" w:rsidRDefault="007D19CE" w:rsidP="007D19CE">
      <w:pPr>
        <w:pStyle w:val="Textonotapie"/>
        <w:ind w:firstLine="708"/>
        <w:jc w:val="both"/>
        <w:rPr>
          <w:lang w:val="es-CO"/>
        </w:rPr>
      </w:pPr>
      <w:proofErr w:type="gramStart"/>
      <w:r w:rsidRPr="007D19CE">
        <w:rPr>
          <w:rFonts w:ascii="Arial" w:hAnsi="Arial" w:cs="Arial"/>
          <w:sz w:val="19"/>
          <w:szCs w:val="19"/>
          <w:lang w:val="es-CO"/>
        </w:rPr>
        <w:t>»En</w:t>
      </w:r>
      <w:proofErr w:type="gramEnd"/>
      <w:r w:rsidRPr="007D19CE">
        <w:rPr>
          <w:rFonts w:ascii="Arial" w:hAnsi="Arial" w:cs="Arial"/>
          <w:sz w:val="19"/>
          <w:szCs w:val="19"/>
          <w:lang w:val="es-CO"/>
        </w:rPr>
        <w:t xml:space="preserve"> la subasta inversa esta disposición es aplicable sobre el precio obtenido al final de la misma».</w:t>
      </w:r>
    </w:p>
  </w:footnote>
  <w:footnote w:id="31">
    <w:p w14:paraId="2A11D42C" w14:textId="5DD42226" w:rsidR="004F49DA" w:rsidRPr="001348F1" w:rsidRDefault="004F49DA" w:rsidP="001348F1">
      <w:pPr>
        <w:pStyle w:val="Textonotapie"/>
        <w:ind w:firstLine="708"/>
        <w:jc w:val="both"/>
        <w:rPr>
          <w:rFonts w:ascii="Arial" w:hAnsi="Arial" w:cs="Arial"/>
          <w:sz w:val="19"/>
          <w:szCs w:val="19"/>
          <w:lang w:val="es-CO"/>
        </w:rPr>
      </w:pPr>
      <w:r w:rsidRPr="001348F1">
        <w:rPr>
          <w:rStyle w:val="Refdenotaalpie"/>
          <w:rFonts w:ascii="Arial" w:hAnsi="Arial" w:cs="Arial"/>
          <w:sz w:val="19"/>
          <w:szCs w:val="19"/>
        </w:rPr>
        <w:footnoteRef/>
      </w:r>
      <w:r w:rsidRPr="001348F1">
        <w:rPr>
          <w:rFonts w:ascii="Arial" w:hAnsi="Arial" w:cs="Arial"/>
          <w:sz w:val="19"/>
          <w:szCs w:val="19"/>
        </w:rPr>
        <w:t xml:space="preserve"> </w:t>
      </w:r>
      <w:r w:rsidRPr="001348F1">
        <w:rPr>
          <w:rFonts w:ascii="Arial" w:hAnsi="Arial" w:cs="Arial"/>
          <w:sz w:val="19"/>
          <w:szCs w:val="19"/>
          <w:lang w:val="es-CO"/>
        </w:rPr>
        <w:t xml:space="preserve">Ley 1712 de 2014 «Artículo 18. Información exceptuada por daño de derechos a personas naturales o jurídicas. Es toda aquella información pública clasificada, cuyo acceso podrá ser rechazado o denegado de manera motivada y por escrito, siempre que el acceso pudiere causar un daño a los siguientes derechos:  </w:t>
      </w:r>
    </w:p>
    <w:p w14:paraId="07138D3E" w14:textId="13DE879B" w:rsidR="004F49DA" w:rsidRPr="001348F1" w:rsidRDefault="001348F1" w:rsidP="001348F1">
      <w:pPr>
        <w:pStyle w:val="Textonotapie"/>
        <w:ind w:firstLine="708"/>
        <w:jc w:val="both"/>
        <w:rPr>
          <w:rFonts w:ascii="Arial" w:hAnsi="Arial" w:cs="Arial"/>
          <w:sz w:val="19"/>
          <w:szCs w:val="19"/>
          <w:lang w:val="es-CO"/>
        </w:rPr>
      </w:pPr>
      <w:proofErr w:type="gramStart"/>
      <w:r w:rsidRPr="001348F1">
        <w:rPr>
          <w:rFonts w:ascii="Arial" w:hAnsi="Arial" w:cs="Arial"/>
          <w:sz w:val="19"/>
          <w:szCs w:val="19"/>
          <w:lang w:val="es-CO"/>
        </w:rPr>
        <w:t>»</w:t>
      </w:r>
      <w:r w:rsidR="004F49DA" w:rsidRPr="001348F1">
        <w:rPr>
          <w:rFonts w:ascii="Arial" w:hAnsi="Arial" w:cs="Arial"/>
          <w:sz w:val="19"/>
          <w:szCs w:val="19"/>
          <w:lang w:val="es-CO"/>
        </w:rPr>
        <w:t>a</w:t>
      </w:r>
      <w:proofErr w:type="gramEnd"/>
      <w:r w:rsidR="004F49DA" w:rsidRPr="001348F1">
        <w:rPr>
          <w:rFonts w:ascii="Arial" w:hAnsi="Arial" w:cs="Arial"/>
          <w:sz w:val="19"/>
          <w:szCs w:val="19"/>
          <w:lang w:val="es-CO"/>
        </w:rPr>
        <w:t xml:space="preserve">) El derecho de toda persona a la intimidad, bajo las limitaciones propias que impone la condición de servidor público, en concordancia con lo estipulado por el artículo 24 de la Ley 1437 de 2011 </w:t>
      </w:r>
    </w:p>
    <w:p w14:paraId="2B87BF2C" w14:textId="5D4A88C4" w:rsidR="004F49DA" w:rsidRPr="001348F1" w:rsidRDefault="001348F1" w:rsidP="001348F1">
      <w:pPr>
        <w:pStyle w:val="Textonotapie"/>
        <w:ind w:firstLine="708"/>
        <w:jc w:val="both"/>
        <w:rPr>
          <w:rFonts w:ascii="Arial" w:hAnsi="Arial" w:cs="Arial"/>
          <w:sz w:val="19"/>
          <w:szCs w:val="19"/>
          <w:lang w:val="es-CO"/>
        </w:rPr>
      </w:pPr>
      <w:proofErr w:type="gramStart"/>
      <w:r w:rsidRPr="001348F1">
        <w:rPr>
          <w:rFonts w:ascii="Arial" w:hAnsi="Arial" w:cs="Arial"/>
          <w:sz w:val="19"/>
          <w:szCs w:val="19"/>
          <w:lang w:val="es-CO"/>
        </w:rPr>
        <w:t>»</w:t>
      </w:r>
      <w:r w:rsidR="004F49DA" w:rsidRPr="001348F1">
        <w:rPr>
          <w:rFonts w:ascii="Arial" w:hAnsi="Arial" w:cs="Arial"/>
          <w:sz w:val="19"/>
          <w:szCs w:val="19"/>
          <w:lang w:val="es-CO"/>
        </w:rPr>
        <w:t>b</w:t>
      </w:r>
      <w:proofErr w:type="gramEnd"/>
      <w:r w:rsidR="004F49DA" w:rsidRPr="001348F1">
        <w:rPr>
          <w:rFonts w:ascii="Arial" w:hAnsi="Arial" w:cs="Arial"/>
          <w:sz w:val="19"/>
          <w:szCs w:val="19"/>
          <w:lang w:val="es-CO"/>
        </w:rPr>
        <w:t xml:space="preserve">) El derecho de toda persona a la vida, la salud o la seguridad. </w:t>
      </w:r>
    </w:p>
    <w:p w14:paraId="60E5FD53" w14:textId="05C357AD" w:rsidR="004F49DA" w:rsidRPr="001348F1" w:rsidRDefault="001348F1" w:rsidP="001348F1">
      <w:pPr>
        <w:pStyle w:val="Textonotapie"/>
        <w:ind w:firstLine="708"/>
        <w:jc w:val="both"/>
        <w:rPr>
          <w:rFonts w:ascii="Arial" w:hAnsi="Arial" w:cs="Arial"/>
          <w:sz w:val="19"/>
          <w:szCs w:val="19"/>
          <w:lang w:val="es-CO"/>
        </w:rPr>
      </w:pPr>
      <w:r w:rsidRPr="001348F1">
        <w:rPr>
          <w:rFonts w:ascii="Arial" w:hAnsi="Arial" w:cs="Arial"/>
          <w:sz w:val="19"/>
          <w:szCs w:val="19"/>
          <w:lang w:val="es-CO"/>
        </w:rPr>
        <w:t>»</w:t>
      </w:r>
      <w:r w:rsidR="004F49DA" w:rsidRPr="001348F1">
        <w:rPr>
          <w:rFonts w:ascii="Arial" w:hAnsi="Arial" w:cs="Arial"/>
          <w:sz w:val="19"/>
          <w:szCs w:val="19"/>
          <w:lang w:val="es-CO"/>
        </w:rPr>
        <w:t xml:space="preserve">c) Los secretos comerciales, industriales y profesionales. </w:t>
      </w:r>
    </w:p>
    <w:p w14:paraId="1A1A24AF" w14:textId="77AF906C" w:rsidR="004F49DA" w:rsidRPr="004F49DA" w:rsidRDefault="001348F1" w:rsidP="001348F1">
      <w:pPr>
        <w:pStyle w:val="Textonotapie"/>
        <w:ind w:firstLine="708"/>
        <w:jc w:val="both"/>
        <w:rPr>
          <w:lang w:val="es-CO"/>
        </w:rPr>
      </w:pPr>
      <w:proofErr w:type="gramStart"/>
      <w:r w:rsidRPr="001348F1">
        <w:rPr>
          <w:rFonts w:ascii="Arial" w:hAnsi="Arial" w:cs="Arial"/>
          <w:sz w:val="19"/>
          <w:szCs w:val="19"/>
          <w:lang w:val="es-CO"/>
        </w:rPr>
        <w:t>»</w:t>
      </w:r>
      <w:r w:rsidR="004F49DA" w:rsidRPr="001348F1">
        <w:rPr>
          <w:rFonts w:ascii="Arial" w:hAnsi="Arial" w:cs="Arial"/>
          <w:sz w:val="19"/>
          <w:szCs w:val="19"/>
          <w:lang w:val="es-CO"/>
        </w:rPr>
        <w:t>Parágrafo</w:t>
      </w:r>
      <w:proofErr w:type="gramEnd"/>
      <w:r w:rsidR="004F49DA" w:rsidRPr="001348F1">
        <w:rPr>
          <w:rFonts w:ascii="Arial" w:hAnsi="Arial" w:cs="Arial"/>
          <w:sz w:val="19"/>
          <w:szCs w:val="19"/>
          <w:lang w:val="es-CO"/>
        </w:rPr>
        <w:t>. Estas excepciones tienen una duración ilimitada y no deberán aplicarse cuando la persona natural o jurídica ha consentido en la revelación de sus datos personales o privados o bien cuando es claro que la información fue entregada como parte de aquella información que debe estar bajo el régimen de publicidad aplicable</w:t>
      </w:r>
      <w:r w:rsidRPr="001348F1">
        <w:rPr>
          <w:rFonts w:ascii="Arial" w:hAnsi="Arial" w:cs="Arial"/>
          <w:sz w:val="19"/>
          <w:szCs w:val="19"/>
          <w:lang w:val="es-CO"/>
        </w:rPr>
        <w:t>»</w:t>
      </w:r>
      <w:r w:rsidR="004F49DA" w:rsidRPr="001348F1">
        <w:rPr>
          <w:rFonts w:ascii="Arial" w:hAnsi="Arial" w:cs="Arial"/>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D67BD5" w:rsidR="001E291F" w:rsidRDefault="001E291F">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AC509" w14:textId="77777777" w:rsidR="001E291F" w:rsidRDefault="001E2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8"/>
  </w:num>
  <w:num w:numId="10">
    <w:abstractNumId w:val="2"/>
  </w:num>
  <w:num w:numId="11">
    <w:abstractNumId w:val="6"/>
  </w:num>
  <w:num w:numId="12">
    <w:abstractNumId w:val="16"/>
  </w:num>
  <w:num w:numId="13">
    <w:abstractNumId w:val="8"/>
  </w:num>
  <w:num w:numId="14">
    <w:abstractNumId w:val="13"/>
  </w:num>
  <w:num w:numId="15">
    <w:abstractNumId w:val="17"/>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4AE1"/>
    <w:rsid w:val="00035138"/>
    <w:rsid w:val="00035494"/>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3696"/>
    <w:rsid w:val="00054590"/>
    <w:rsid w:val="00054B19"/>
    <w:rsid w:val="00055DFA"/>
    <w:rsid w:val="000562F0"/>
    <w:rsid w:val="00057463"/>
    <w:rsid w:val="00060081"/>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586A"/>
    <w:rsid w:val="0009735A"/>
    <w:rsid w:val="00097C6C"/>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076A"/>
    <w:rsid w:val="000C0FED"/>
    <w:rsid w:val="000C1102"/>
    <w:rsid w:val="000C1707"/>
    <w:rsid w:val="000C1873"/>
    <w:rsid w:val="000C190D"/>
    <w:rsid w:val="000C26DF"/>
    <w:rsid w:val="000C32A6"/>
    <w:rsid w:val="000C44C9"/>
    <w:rsid w:val="000C4AA1"/>
    <w:rsid w:val="000C6BC4"/>
    <w:rsid w:val="000C6E4B"/>
    <w:rsid w:val="000C733A"/>
    <w:rsid w:val="000C739C"/>
    <w:rsid w:val="000C73C7"/>
    <w:rsid w:val="000C7A3B"/>
    <w:rsid w:val="000D0ACC"/>
    <w:rsid w:val="000D12B9"/>
    <w:rsid w:val="000D22FB"/>
    <w:rsid w:val="000D30A6"/>
    <w:rsid w:val="000D343E"/>
    <w:rsid w:val="000D479C"/>
    <w:rsid w:val="000D4C50"/>
    <w:rsid w:val="000D5B32"/>
    <w:rsid w:val="000D6318"/>
    <w:rsid w:val="000D6359"/>
    <w:rsid w:val="000D65F5"/>
    <w:rsid w:val="000D6AFB"/>
    <w:rsid w:val="000D71EE"/>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7072"/>
    <w:rsid w:val="0010237D"/>
    <w:rsid w:val="0010274B"/>
    <w:rsid w:val="00102E6B"/>
    <w:rsid w:val="00103915"/>
    <w:rsid w:val="001039BF"/>
    <w:rsid w:val="00103A69"/>
    <w:rsid w:val="00104161"/>
    <w:rsid w:val="001054A2"/>
    <w:rsid w:val="00106985"/>
    <w:rsid w:val="00107A30"/>
    <w:rsid w:val="00107E4D"/>
    <w:rsid w:val="0011003B"/>
    <w:rsid w:val="001104F6"/>
    <w:rsid w:val="00111CD1"/>
    <w:rsid w:val="00113B52"/>
    <w:rsid w:val="0011502D"/>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8F1"/>
    <w:rsid w:val="00134F34"/>
    <w:rsid w:val="0013525C"/>
    <w:rsid w:val="0013543D"/>
    <w:rsid w:val="001356ED"/>
    <w:rsid w:val="0013612A"/>
    <w:rsid w:val="00137A10"/>
    <w:rsid w:val="00137D19"/>
    <w:rsid w:val="00137FFA"/>
    <w:rsid w:val="001436C6"/>
    <w:rsid w:val="00143855"/>
    <w:rsid w:val="001444AE"/>
    <w:rsid w:val="0014671C"/>
    <w:rsid w:val="001468EF"/>
    <w:rsid w:val="001470D6"/>
    <w:rsid w:val="00150664"/>
    <w:rsid w:val="001513DE"/>
    <w:rsid w:val="001519CE"/>
    <w:rsid w:val="0015261D"/>
    <w:rsid w:val="001528CC"/>
    <w:rsid w:val="00152F23"/>
    <w:rsid w:val="00152F4E"/>
    <w:rsid w:val="0015312F"/>
    <w:rsid w:val="00154129"/>
    <w:rsid w:val="00156251"/>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986"/>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41C"/>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0184"/>
    <w:rsid w:val="001C1F9C"/>
    <w:rsid w:val="001C4350"/>
    <w:rsid w:val="001C4593"/>
    <w:rsid w:val="001C4DED"/>
    <w:rsid w:val="001C61C0"/>
    <w:rsid w:val="001C62A1"/>
    <w:rsid w:val="001C79BB"/>
    <w:rsid w:val="001D0FF9"/>
    <w:rsid w:val="001D17D9"/>
    <w:rsid w:val="001D1E85"/>
    <w:rsid w:val="001D262B"/>
    <w:rsid w:val="001D3276"/>
    <w:rsid w:val="001D32CB"/>
    <w:rsid w:val="001D378D"/>
    <w:rsid w:val="001D3846"/>
    <w:rsid w:val="001D46FE"/>
    <w:rsid w:val="001D4AE9"/>
    <w:rsid w:val="001D60D3"/>
    <w:rsid w:val="001D646A"/>
    <w:rsid w:val="001D69DD"/>
    <w:rsid w:val="001E0375"/>
    <w:rsid w:val="001E10A7"/>
    <w:rsid w:val="001E175B"/>
    <w:rsid w:val="001E1C24"/>
    <w:rsid w:val="001E26AB"/>
    <w:rsid w:val="001E291F"/>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72A"/>
    <w:rsid w:val="002139DE"/>
    <w:rsid w:val="00213A09"/>
    <w:rsid w:val="00213F0E"/>
    <w:rsid w:val="00215255"/>
    <w:rsid w:val="00216F80"/>
    <w:rsid w:val="0021710C"/>
    <w:rsid w:val="0022149D"/>
    <w:rsid w:val="0022247B"/>
    <w:rsid w:val="002225BB"/>
    <w:rsid w:val="002238F9"/>
    <w:rsid w:val="00224081"/>
    <w:rsid w:val="00224F1E"/>
    <w:rsid w:val="0022670B"/>
    <w:rsid w:val="0022729A"/>
    <w:rsid w:val="002275F8"/>
    <w:rsid w:val="00230AE4"/>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376"/>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1F0"/>
    <w:rsid w:val="002A2269"/>
    <w:rsid w:val="002A23F7"/>
    <w:rsid w:val="002A4169"/>
    <w:rsid w:val="002A5C49"/>
    <w:rsid w:val="002A6616"/>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6FD"/>
    <w:rsid w:val="002D0829"/>
    <w:rsid w:val="002D12FC"/>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113"/>
    <w:rsid w:val="003049D5"/>
    <w:rsid w:val="00304EC8"/>
    <w:rsid w:val="003057B2"/>
    <w:rsid w:val="0030664E"/>
    <w:rsid w:val="00307459"/>
    <w:rsid w:val="00310F6E"/>
    <w:rsid w:val="0031128F"/>
    <w:rsid w:val="00312877"/>
    <w:rsid w:val="00313382"/>
    <w:rsid w:val="003138FF"/>
    <w:rsid w:val="0031396A"/>
    <w:rsid w:val="00313A60"/>
    <w:rsid w:val="003144A3"/>
    <w:rsid w:val="00317691"/>
    <w:rsid w:val="0031783A"/>
    <w:rsid w:val="0032017B"/>
    <w:rsid w:val="003204D3"/>
    <w:rsid w:val="00320603"/>
    <w:rsid w:val="0032206C"/>
    <w:rsid w:val="00322271"/>
    <w:rsid w:val="00322937"/>
    <w:rsid w:val="00322BA2"/>
    <w:rsid w:val="0032311F"/>
    <w:rsid w:val="0032519A"/>
    <w:rsid w:val="003252D8"/>
    <w:rsid w:val="003259F0"/>
    <w:rsid w:val="00325A3A"/>
    <w:rsid w:val="00327B71"/>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4C"/>
    <w:rsid w:val="003545EF"/>
    <w:rsid w:val="00354D4B"/>
    <w:rsid w:val="0035533F"/>
    <w:rsid w:val="00355B83"/>
    <w:rsid w:val="00356359"/>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010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D741C"/>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2B9F"/>
    <w:rsid w:val="00402CC5"/>
    <w:rsid w:val="00404D7A"/>
    <w:rsid w:val="00404F7E"/>
    <w:rsid w:val="0040503E"/>
    <w:rsid w:val="00406553"/>
    <w:rsid w:val="00407A8A"/>
    <w:rsid w:val="00407EFE"/>
    <w:rsid w:val="00410806"/>
    <w:rsid w:val="004110C1"/>
    <w:rsid w:val="004118D9"/>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1DA2"/>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2D50"/>
    <w:rsid w:val="00493E5B"/>
    <w:rsid w:val="0049440E"/>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1F63"/>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1BF8"/>
    <w:rsid w:val="004F262A"/>
    <w:rsid w:val="004F2B88"/>
    <w:rsid w:val="004F49DA"/>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9D9"/>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0096"/>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899"/>
    <w:rsid w:val="005B0D75"/>
    <w:rsid w:val="005B15CA"/>
    <w:rsid w:val="005B1993"/>
    <w:rsid w:val="005B39DB"/>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4966"/>
    <w:rsid w:val="005E529C"/>
    <w:rsid w:val="005E5B57"/>
    <w:rsid w:val="005E6118"/>
    <w:rsid w:val="005E640D"/>
    <w:rsid w:val="005E7395"/>
    <w:rsid w:val="005F197B"/>
    <w:rsid w:val="005F1B4D"/>
    <w:rsid w:val="005F1F78"/>
    <w:rsid w:val="005F2102"/>
    <w:rsid w:val="005F2642"/>
    <w:rsid w:val="005F26E3"/>
    <w:rsid w:val="005F3AEA"/>
    <w:rsid w:val="005F46B6"/>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546"/>
    <w:rsid w:val="00607888"/>
    <w:rsid w:val="00610361"/>
    <w:rsid w:val="006105EA"/>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9C3"/>
    <w:rsid w:val="00644ADC"/>
    <w:rsid w:val="00645159"/>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450"/>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9776B"/>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232"/>
    <w:rsid w:val="006B5469"/>
    <w:rsid w:val="006B5E52"/>
    <w:rsid w:val="006B6D5F"/>
    <w:rsid w:val="006B7C79"/>
    <w:rsid w:val="006C02B8"/>
    <w:rsid w:val="006C12D6"/>
    <w:rsid w:val="006C16C4"/>
    <w:rsid w:val="006C1883"/>
    <w:rsid w:val="006C1A9B"/>
    <w:rsid w:val="006C1E20"/>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3F40"/>
    <w:rsid w:val="006D4D3E"/>
    <w:rsid w:val="006D50BE"/>
    <w:rsid w:val="006D524B"/>
    <w:rsid w:val="006D532A"/>
    <w:rsid w:val="006D6BBC"/>
    <w:rsid w:val="006D7687"/>
    <w:rsid w:val="006E0572"/>
    <w:rsid w:val="006E15C5"/>
    <w:rsid w:val="006E178E"/>
    <w:rsid w:val="006E321E"/>
    <w:rsid w:val="006E3401"/>
    <w:rsid w:val="006E3C68"/>
    <w:rsid w:val="006E4184"/>
    <w:rsid w:val="006E4ED6"/>
    <w:rsid w:val="006E5518"/>
    <w:rsid w:val="006E691B"/>
    <w:rsid w:val="006E7BD4"/>
    <w:rsid w:val="006F0339"/>
    <w:rsid w:val="006F1C0D"/>
    <w:rsid w:val="006F2A0F"/>
    <w:rsid w:val="006F2C91"/>
    <w:rsid w:val="006F3A9B"/>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2F9B"/>
    <w:rsid w:val="007559ED"/>
    <w:rsid w:val="0075604B"/>
    <w:rsid w:val="0075647A"/>
    <w:rsid w:val="00756A3D"/>
    <w:rsid w:val="00757208"/>
    <w:rsid w:val="00760526"/>
    <w:rsid w:val="007609CC"/>
    <w:rsid w:val="00761A6B"/>
    <w:rsid w:val="00761DBC"/>
    <w:rsid w:val="00762634"/>
    <w:rsid w:val="00762AEC"/>
    <w:rsid w:val="007633C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3AEB"/>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094"/>
    <w:rsid w:val="007C256E"/>
    <w:rsid w:val="007C3FAF"/>
    <w:rsid w:val="007C552A"/>
    <w:rsid w:val="007C5D1C"/>
    <w:rsid w:val="007C643C"/>
    <w:rsid w:val="007C72EC"/>
    <w:rsid w:val="007C755B"/>
    <w:rsid w:val="007D0056"/>
    <w:rsid w:val="007D02FD"/>
    <w:rsid w:val="007D0313"/>
    <w:rsid w:val="007D0FED"/>
    <w:rsid w:val="007D19CE"/>
    <w:rsid w:val="007D2D49"/>
    <w:rsid w:val="007D2E15"/>
    <w:rsid w:val="007D2FC7"/>
    <w:rsid w:val="007D319C"/>
    <w:rsid w:val="007D52CB"/>
    <w:rsid w:val="007D543F"/>
    <w:rsid w:val="007D5A5A"/>
    <w:rsid w:val="007D5C8F"/>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2C7"/>
    <w:rsid w:val="0082471E"/>
    <w:rsid w:val="00824BA7"/>
    <w:rsid w:val="008255B9"/>
    <w:rsid w:val="0082606C"/>
    <w:rsid w:val="00827527"/>
    <w:rsid w:val="0083119B"/>
    <w:rsid w:val="008317CC"/>
    <w:rsid w:val="008325CA"/>
    <w:rsid w:val="00833494"/>
    <w:rsid w:val="0083389E"/>
    <w:rsid w:val="00833D10"/>
    <w:rsid w:val="00836AC5"/>
    <w:rsid w:val="00836EAB"/>
    <w:rsid w:val="0084011C"/>
    <w:rsid w:val="00840625"/>
    <w:rsid w:val="0084146C"/>
    <w:rsid w:val="008415E3"/>
    <w:rsid w:val="008422C6"/>
    <w:rsid w:val="00842EFF"/>
    <w:rsid w:val="008434CF"/>
    <w:rsid w:val="00843A94"/>
    <w:rsid w:val="00843B34"/>
    <w:rsid w:val="00844611"/>
    <w:rsid w:val="00845FC8"/>
    <w:rsid w:val="008502CC"/>
    <w:rsid w:val="008502F9"/>
    <w:rsid w:val="0085092D"/>
    <w:rsid w:val="00850C0A"/>
    <w:rsid w:val="00850F79"/>
    <w:rsid w:val="0085136E"/>
    <w:rsid w:val="0085175C"/>
    <w:rsid w:val="00851933"/>
    <w:rsid w:val="00853B4B"/>
    <w:rsid w:val="00853CE7"/>
    <w:rsid w:val="00854029"/>
    <w:rsid w:val="00854370"/>
    <w:rsid w:val="008548AC"/>
    <w:rsid w:val="00855F56"/>
    <w:rsid w:val="00856420"/>
    <w:rsid w:val="008576FC"/>
    <w:rsid w:val="008605DD"/>
    <w:rsid w:val="00861CBE"/>
    <w:rsid w:val="008629DE"/>
    <w:rsid w:val="00863B45"/>
    <w:rsid w:val="00864F2E"/>
    <w:rsid w:val="00866D4C"/>
    <w:rsid w:val="00867267"/>
    <w:rsid w:val="0086772B"/>
    <w:rsid w:val="00867FA2"/>
    <w:rsid w:val="00870445"/>
    <w:rsid w:val="00870E1A"/>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802"/>
    <w:rsid w:val="00890A55"/>
    <w:rsid w:val="00890A9A"/>
    <w:rsid w:val="00891993"/>
    <w:rsid w:val="00891DEC"/>
    <w:rsid w:val="00894248"/>
    <w:rsid w:val="008948DF"/>
    <w:rsid w:val="00894E41"/>
    <w:rsid w:val="00895565"/>
    <w:rsid w:val="00895A22"/>
    <w:rsid w:val="00895D71"/>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4788"/>
    <w:rsid w:val="008A5F52"/>
    <w:rsid w:val="008A66DC"/>
    <w:rsid w:val="008A6EB9"/>
    <w:rsid w:val="008A7F4C"/>
    <w:rsid w:val="008B0946"/>
    <w:rsid w:val="008B1B8A"/>
    <w:rsid w:val="008B2228"/>
    <w:rsid w:val="008B2CF7"/>
    <w:rsid w:val="008B365E"/>
    <w:rsid w:val="008B423D"/>
    <w:rsid w:val="008B6CE8"/>
    <w:rsid w:val="008B721F"/>
    <w:rsid w:val="008B7830"/>
    <w:rsid w:val="008B7AE1"/>
    <w:rsid w:val="008C0576"/>
    <w:rsid w:val="008C0579"/>
    <w:rsid w:val="008C0E1F"/>
    <w:rsid w:val="008C1250"/>
    <w:rsid w:val="008C193F"/>
    <w:rsid w:val="008C1A17"/>
    <w:rsid w:val="008C33B6"/>
    <w:rsid w:val="008C39D2"/>
    <w:rsid w:val="008C66F3"/>
    <w:rsid w:val="008C73D8"/>
    <w:rsid w:val="008C75C7"/>
    <w:rsid w:val="008C7ACF"/>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73B"/>
    <w:rsid w:val="009209D7"/>
    <w:rsid w:val="0092194E"/>
    <w:rsid w:val="0092226D"/>
    <w:rsid w:val="009222B7"/>
    <w:rsid w:val="00923029"/>
    <w:rsid w:val="00923BC1"/>
    <w:rsid w:val="009242FF"/>
    <w:rsid w:val="0092483A"/>
    <w:rsid w:val="00925E4F"/>
    <w:rsid w:val="00927679"/>
    <w:rsid w:val="00930062"/>
    <w:rsid w:val="00934A68"/>
    <w:rsid w:val="00934C73"/>
    <w:rsid w:val="00935C90"/>
    <w:rsid w:val="00936CF1"/>
    <w:rsid w:val="009371C8"/>
    <w:rsid w:val="009403A7"/>
    <w:rsid w:val="00940C04"/>
    <w:rsid w:val="009415ED"/>
    <w:rsid w:val="009420E0"/>
    <w:rsid w:val="00942F3F"/>
    <w:rsid w:val="00944B47"/>
    <w:rsid w:val="00944F0D"/>
    <w:rsid w:val="00944F8A"/>
    <w:rsid w:val="0094508D"/>
    <w:rsid w:val="00945684"/>
    <w:rsid w:val="00946F67"/>
    <w:rsid w:val="00947A1C"/>
    <w:rsid w:val="00947A56"/>
    <w:rsid w:val="00950059"/>
    <w:rsid w:val="0095044E"/>
    <w:rsid w:val="00950C49"/>
    <w:rsid w:val="009525B7"/>
    <w:rsid w:val="009528AE"/>
    <w:rsid w:val="009530E8"/>
    <w:rsid w:val="0095335C"/>
    <w:rsid w:val="00953647"/>
    <w:rsid w:val="0095385A"/>
    <w:rsid w:val="00954553"/>
    <w:rsid w:val="00954EA8"/>
    <w:rsid w:val="00955930"/>
    <w:rsid w:val="00955B7F"/>
    <w:rsid w:val="00955CFA"/>
    <w:rsid w:val="009578E8"/>
    <w:rsid w:val="00960168"/>
    <w:rsid w:val="009602A1"/>
    <w:rsid w:val="00961252"/>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5BB5"/>
    <w:rsid w:val="009865B6"/>
    <w:rsid w:val="0098671F"/>
    <w:rsid w:val="00987147"/>
    <w:rsid w:val="00987301"/>
    <w:rsid w:val="00990126"/>
    <w:rsid w:val="00990AEE"/>
    <w:rsid w:val="00990BFE"/>
    <w:rsid w:val="009910EF"/>
    <w:rsid w:val="009916DA"/>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B3335"/>
    <w:rsid w:val="009B4380"/>
    <w:rsid w:val="009B52BF"/>
    <w:rsid w:val="009B7F9B"/>
    <w:rsid w:val="009C117E"/>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815"/>
    <w:rsid w:val="009E4B65"/>
    <w:rsid w:val="009E4C76"/>
    <w:rsid w:val="009E4EDE"/>
    <w:rsid w:val="009E6031"/>
    <w:rsid w:val="009E680D"/>
    <w:rsid w:val="009E6D63"/>
    <w:rsid w:val="009E721A"/>
    <w:rsid w:val="009E754A"/>
    <w:rsid w:val="009F0250"/>
    <w:rsid w:val="009F0BD0"/>
    <w:rsid w:val="009F228F"/>
    <w:rsid w:val="009F2950"/>
    <w:rsid w:val="009F2B05"/>
    <w:rsid w:val="009F4A5A"/>
    <w:rsid w:val="009F5299"/>
    <w:rsid w:val="009F59C2"/>
    <w:rsid w:val="009F5E32"/>
    <w:rsid w:val="009F70B9"/>
    <w:rsid w:val="009F739F"/>
    <w:rsid w:val="009F74DF"/>
    <w:rsid w:val="009F7B0A"/>
    <w:rsid w:val="00A0089B"/>
    <w:rsid w:val="00A013D8"/>
    <w:rsid w:val="00A01EAA"/>
    <w:rsid w:val="00A02035"/>
    <w:rsid w:val="00A02AD6"/>
    <w:rsid w:val="00A03AEC"/>
    <w:rsid w:val="00A04EE8"/>
    <w:rsid w:val="00A054E0"/>
    <w:rsid w:val="00A06104"/>
    <w:rsid w:val="00A1084D"/>
    <w:rsid w:val="00A11AF8"/>
    <w:rsid w:val="00A11E7B"/>
    <w:rsid w:val="00A11E97"/>
    <w:rsid w:val="00A131B4"/>
    <w:rsid w:val="00A13947"/>
    <w:rsid w:val="00A14083"/>
    <w:rsid w:val="00A147D1"/>
    <w:rsid w:val="00A14C37"/>
    <w:rsid w:val="00A14C5B"/>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3585"/>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565"/>
    <w:rsid w:val="00A75CEF"/>
    <w:rsid w:val="00A775B0"/>
    <w:rsid w:val="00A77BDA"/>
    <w:rsid w:val="00A80922"/>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570"/>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336"/>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C676E"/>
    <w:rsid w:val="00AD0A12"/>
    <w:rsid w:val="00AD1929"/>
    <w:rsid w:val="00AD299B"/>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5EFA"/>
    <w:rsid w:val="00AE6C4D"/>
    <w:rsid w:val="00AE7AE2"/>
    <w:rsid w:val="00AF04FE"/>
    <w:rsid w:val="00AF051E"/>
    <w:rsid w:val="00AF14AC"/>
    <w:rsid w:val="00AF1BDF"/>
    <w:rsid w:val="00AF2089"/>
    <w:rsid w:val="00AF2347"/>
    <w:rsid w:val="00AF2EDF"/>
    <w:rsid w:val="00AF3EEF"/>
    <w:rsid w:val="00AF5AE0"/>
    <w:rsid w:val="00AF6FB3"/>
    <w:rsid w:val="00AF7517"/>
    <w:rsid w:val="00B013A4"/>
    <w:rsid w:val="00B0190E"/>
    <w:rsid w:val="00B025C2"/>
    <w:rsid w:val="00B041C7"/>
    <w:rsid w:val="00B04E78"/>
    <w:rsid w:val="00B05815"/>
    <w:rsid w:val="00B071E7"/>
    <w:rsid w:val="00B07667"/>
    <w:rsid w:val="00B0787E"/>
    <w:rsid w:val="00B07987"/>
    <w:rsid w:val="00B07C17"/>
    <w:rsid w:val="00B10353"/>
    <w:rsid w:val="00B1150B"/>
    <w:rsid w:val="00B11581"/>
    <w:rsid w:val="00B11815"/>
    <w:rsid w:val="00B12932"/>
    <w:rsid w:val="00B133F1"/>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6D02"/>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77C16"/>
    <w:rsid w:val="00B80451"/>
    <w:rsid w:val="00B8158A"/>
    <w:rsid w:val="00B822A7"/>
    <w:rsid w:val="00B85762"/>
    <w:rsid w:val="00B8638A"/>
    <w:rsid w:val="00B8652C"/>
    <w:rsid w:val="00B87D98"/>
    <w:rsid w:val="00B9068D"/>
    <w:rsid w:val="00B90BE1"/>
    <w:rsid w:val="00B91B8E"/>
    <w:rsid w:val="00B936F3"/>
    <w:rsid w:val="00B93D22"/>
    <w:rsid w:val="00B94EDD"/>
    <w:rsid w:val="00B96F29"/>
    <w:rsid w:val="00B9789B"/>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40B"/>
    <w:rsid w:val="00BA75DE"/>
    <w:rsid w:val="00BB00EC"/>
    <w:rsid w:val="00BB061D"/>
    <w:rsid w:val="00BB07A4"/>
    <w:rsid w:val="00BB17F0"/>
    <w:rsid w:val="00BB18AE"/>
    <w:rsid w:val="00BB21F4"/>
    <w:rsid w:val="00BB2914"/>
    <w:rsid w:val="00BB29E9"/>
    <w:rsid w:val="00BB3081"/>
    <w:rsid w:val="00BB315C"/>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430"/>
    <w:rsid w:val="00C0077D"/>
    <w:rsid w:val="00C00969"/>
    <w:rsid w:val="00C00BB1"/>
    <w:rsid w:val="00C01378"/>
    <w:rsid w:val="00C03ACB"/>
    <w:rsid w:val="00C03EFE"/>
    <w:rsid w:val="00C0464D"/>
    <w:rsid w:val="00C07794"/>
    <w:rsid w:val="00C113FE"/>
    <w:rsid w:val="00C11A27"/>
    <w:rsid w:val="00C1281E"/>
    <w:rsid w:val="00C13000"/>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34B29"/>
    <w:rsid w:val="00C40657"/>
    <w:rsid w:val="00C407B5"/>
    <w:rsid w:val="00C4125C"/>
    <w:rsid w:val="00C431CD"/>
    <w:rsid w:val="00C435A3"/>
    <w:rsid w:val="00C43CE3"/>
    <w:rsid w:val="00C45E88"/>
    <w:rsid w:val="00C47864"/>
    <w:rsid w:val="00C47AAC"/>
    <w:rsid w:val="00C500EE"/>
    <w:rsid w:val="00C50145"/>
    <w:rsid w:val="00C50604"/>
    <w:rsid w:val="00C53019"/>
    <w:rsid w:val="00C53A37"/>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1E66"/>
    <w:rsid w:val="00C82114"/>
    <w:rsid w:val="00C82E66"/>
    <w:rsid w:val="00C84E96"/>
    <w:rsid w:val="00C854BD"/>
    <w:rsid w:val="00C87152"/>
    <w:rsid w:val="00C87C7E"/>
    <w:rsid w:val="00C91051"/>
    <w:rsid w:val="00C91108"/>
    <w:rsid w:val="00C917EA"/>
    <w:rsid w:val="00C91A60"/>
    <w:rsid w:val="00C9247E"/>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D4"/>
    <w:rsid w:val="00CD32E6"/>
    <w:rsid w:val="00CD34CF"/>
    <w:rsid w:val="00CD3FD2"/>
    <w:rsid w:val="00CD4605"/>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4478"/>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353"/>
    <w:rsid w:val="00D1196A"/>
    <w:rsid w:val="00D11CEB"/>
    <w:rsid w:val="00D11DF5"/>
    <w:rsid w:val="00D12042"/>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4622"/>
    <w:rsid w:val="00D4505E"/>
    <w:rsid w:val="00D4544E"/>
    <w:rsid w:val="00D461FA"/>
    <w:rsid w:val="00D46FBE"/>
    <w:rsid w:val="00D514F0"/>
    <w:rsid w:val="00D55DB3"/>
    <w:rsid w:val="00D56875"/>
    <w:rsid w:val="00D5776B"/>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475C"/>
    <w:rsid w:val="00D7509A"/>
    <w:rsid w:val="00D762D6"/>
    <w:rsid w:val="00D77217"/>
    <w:rsid w:val="00D77451"/>
    <w:rsid w:val="00D82C7C"/>
    <w:rsid w:val="00D82CE5"/>
    <w:rsid w:val="00D83799"/>
    <w:rsid w:val="00D83F17"/>
    <w:rsid w:val="00D850E6"/>
    <w:rsid w:val="00D861D6"/>
    <w:rsid w:val="00D86DC5"/>
    <w:rsid w:val="00D87B43"/>
    <w:rsid w:val="00D9148F"/>
    <w:rsid w:val="00D92BBB"/>
    <w:rsid w:val="00D941AA"/>
    <w:rsid w:val="00D944DD"/>
    <w:rsid w:val="00D960C0"/>
    <w:rsid w:val="00D97434"/>
    <w:rsid w:val="00DA0BD3"/>
    <w:rsid w:val="00DA1356"/>
    <w:rsid w:val="00DA18BE"/>
    <w:rsid w:val="00DA1D25"/>
    <w:rsid w:val="00DA218C"/>
    <w:rsid w:val="00DA2A01"/>
    <w:rsid w:val="00DA2B96"/>
    <w:rsid w:val="00DA41D6"/>
    <w:rsid w:val="00DA4D63"/>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C92"/>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106"/>
    <w:rsid w:val="00DF35ED"/>
    <w:rsid w:val="00DF3701"/>
    <w:rsid w:val="00DF395B"/>
    <w:rsid w:val="00DF5138"/>
    <w:rsid w:val="00DF59D7"/>
    <w:rsid w:val="00DF6159"/>
    <w:rsid w:val="00DF6328"/>
    <w:rsid w:val="00DF6566"/>
    <w:rsid w:val="00DF7A6C"/>
    <w:rsid w:val="00DF7F96"/>
    <w:rsid w:val="00E026BB"/>
    <w:rsid w:val="00E060C4"/>
    <w:rsid w:val="00E06860"/>
    <w:rsid w:val="00E10178"/>
    <w:rsid w:val="00E1071A"/>
    <w:rsid w:val="00E10C20"/>
    <w:rsid w:val="00E10EE8"/>
    <w:rsid w:val="00E125D0"/>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1E01"/>
    <w:rsid w:val="00E32180"/>
    <w:rsid w:val="00E32C94"/>
    <w:rsid w:val="00E32E87"/>
    <w:rsid w:val="00E33A7D"/>
    <w:rsid w:val="00E33B62"/>
    <w:rsid w:val="00E35C0F"/>
    <w:rsid w:val="00E3688E"/>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8EA"/>
    <w:rsid w:val="00E61D16"/>
    <w:rsid w:val="00E622FB"/>
    <w:rsid w:val="00E62F4F"/>
    <w:rsid w:val="00E631D8"/>
    <w:rsid w:val="00E63AE5"/>
    <w:rsid w:val="00E63CDB"/>
    <w:rsid w:val="00E63D0C"/>
    <w:rsid w:val="00E66B9A"/>
    <w:rsid w:val="00E67283"/>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174C"/>
    <w:rsid w:val="00EB27F2"/>
    <w:rsid w:val="00EB340D"/>
    <w:rsid w:val="00EB5921"/>
    <w:rsid w:val="00EB5C48"/>
    <w:rsid w:val="00EB5CEA"/>
    <w:rsid w:val="00EB76C1"/>
    <w:rsid w:val="00EB7A25"/>
    <w:rsid w:val="00EC268B"/>
    <w:rsid w:val="00EC33B9"/>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3E6E"/>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67FA5"/>
    <w:rsid w:val="00F70A57"/>
    <w:rsid w:val="00F7112F"/>
    <w:rsid w:val="00F712ED"/>
    <w:rsid w:val="00F716B8"/>
    <w:rsid w:val="00F717B7"/>
    <w:rsid w:val="00F72A15"/>
    <w:rsid w:val="00F72F33"/>
    <w:rsid w:val="00F737DB"/>
    <w:rsid w:val="00F7412B"/>
    <w:rsid w:val="00F7432F"/>
    <w:rsid w:val="00F745A5"/>
    <w:rsid w:val="00F74F25"/>
    <w:rsid w:val="00F762C6"/>
    <w:rsid w:val="00F80305"/>
    <w:rsid w:val="00F8048F"/>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99C"/>
    <w:rsid w:val="00F92AB5"/>
    <w:rsid w:val="00F93036"/>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238"/>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069"/>
    <w:rsid w:val="00FF543C"/>
    <w:rsid w:val="00FF5A12"/>
    <w:rsid w:val="00FF660C"/>
    <w:rsid w:val="00FF6E90"/>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2B023469-1321-4589-A670-BCF4866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561259137">
      <w:bodyDiv w:val="1"/>
      <w:marLeft w:val="0"/>
      <w:marRight w:val="0"/>
      <w:marTop w:val="0"/>
      <w:marBottom w:val="0"/>
      <w:divBdr>
        <w:top w:val="none" w:sz="0" w:space="0" w:color="auto"/>
        <w:left w:val="none" w:sz="0" w:space="0" w:color="auto"/>
        <w:bottom w:val="none" w:sz="0" w:space="0" w:color="auto"/>
        <w:right w:val="none" w:sz="0" w:space="0" w:color="auto"/>
      </w:divBdr>
    </w:div>
    <w:div w:id="596520694">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804">
      <w:bodyDiv w:val="1"/>
      <w:marLeft w:val="0"/>
      <w:marRight w:val="0"/>
      <w:marTop w:val="0"/>
      <w:marBottom w:val="0"/>
      <w:divBdr>
        <w:top w:val="none" w:sz="0" w:space="0" w:color="auto"/>
        <w:left w:val="none" w:sz="0" w:space="0" w:color="auto"/>
        <w:bottom w:val="none" w:sz="0" w:space="0" w:color="auto"/>
        <w:right w:val="none" w:sz="0" w:space="0" w:color="auto"/>
      </w:divBdr>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07356194">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863980287">
      <w:bodyDiv w:val="1"/>
      <w:marLeft w:val="0"/>
      <w:marRight w:val="0"/>
      <w:marTop w:val="0"/>
      <w:marBottom w:val="0"/>
      <w:divBdr>
        <w:top w:val="none" w:sz="0" w:space="0" w:color="auto"/>
        <w:left w:val="none" w:sz="0" w:space="0" w:color="auto"/>
        <w:bottom w:val="none" w:sz="0" w:space="0" w:color="auto"/>
        <w:right w:val="none" w:sz="0" w:space="0" w:color="auto"/>
      </w:divBdr>
    </w:div>
    <w:div w:id="1946305563">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16D0B-EF4B-40CA-BD2D-EF799DDDB4F5}">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7410</Words>
  <Characters>40755</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4</cp:revision>
  <cp:lastPrinted>2020-01-30T15:05:00Z</cp:lastPrinted>
  <dcterms:created xsi:type="dcterms:W3CDTF">2020-08-19T17:25:00Z</dcterms:created>
  <dcterms:modified xsi:type="dcterms:W3CDTF">2020-08-19T18:39:00Z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