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9D3A9" w14:textId="4F1691FC" w:rsidR="00DE5124" w:rsidRPr="00476ABB" w:rsidRDefault="00DE5124" w:rsidP="00DE5124">
      <w:pPr>
        <w:jc w:val="right"/>
        <w:rPr>
          <w:rFonts w:ascii="Arial" w:hAnsi="Arial" w:cs="Arial"/>
          <w:b/>
          <w:sz w:val="16"/>
          <w:szCs w:val="16"/>
          <w:lang w:eastAsia="es-ES"/>
        </w:rPr>
      </w:pPr>
      <w:bookmarkStart w:id="0" w:name="_Hlk29548183"/>
      <w:bookmarkStart w:id="1" w:name="_Hlk28946138"/>
      <w:bookmarkStart w:id="2" w:name="_GoBack"/>
      <w:bookmarkEnd w:id="2"/>
      <w:r w:rsidRPr="00476ABB">
        <w:rPr>
          <w:rFonts w:ascii="Arial" w:hAnsi="Arial" w:cs="Arial"/>
          <w:b/>
          <w:sz w:val="16"/>
          <w:szCs w:val="16"/>
          <w:lang w:eastAsia="es-ES"/>
        </w:rPr>
        <w:t>CCE-DES-FM-17</w:t>
      </w:r>
      <w:bookmarkEnd w:id="0"/>
      <w:bookmarkEnd w:id="1"/>
    </w:p>
    <w:p w14:paraId="1F85047A" w14:textId="77777777" w:rsidR="001A2559" w:rsidRPr="00476ABB" w:rsidRDefault="001A2559" w:rsidP="001A2559">
      <w:pPr>
        <w:pStyle w:val="Prrafodelista"/>
        <w:spacing w:line="276" w:lineRule="auto"/>
        <w:ind w:left="0"/>
        <w:jc w:val="both"/>
        <w:rPr>
          <w:rFonts w:ascii="Arial" w:eastAsia="Calibri" w:hAnsi="Arial" w:cs="Arial"/>
          <w:sz w:val="20"/>
          <w:szCs w:val="20"/>
        </w:rPr>
      </w:pPr>
    </w:p>
    <w:p w14:paraId="0BF7AEE6" w14:textId="77777777" w:rsidR="00A80922" w:rsidRPr="00476ABB" w:rsidRDefault="00A80922" w:rsidP="00A80922">
      <w:pPr>
        <w:pStyle w:val="Prrafodelista"/>
        <w:ind w:left="0"/>
        <w:jc w:val="both"/>
        <w:rPr>
          <w:rFonts w:ascii="Arial" w:eastAsia="Calibri" w:hAnsi="Arial" w:cs="Arial"/>
          <w:b/>
          <w:sz w:val="22"/>
          <w:szCs w:val="20"/>
          <w:lang w:val="es-ES"/>
        </w:rPr>
      </w:pPr>
      <w:r w:rsidRPr="00476ABB">
        <w:rPr>
          <w:rFonts w:ascii="Arial" w:eastAsia="Calibri" w:hAnsi="Arial" w:cs="Arial"/>
          <w:b/>
          <w:sz w:val="22"/>
          <w:szCs w:val="20"/>
          <w:lang w:val="es-ES"/>
        </w:rPr>
        <w:t>SECOP – Deber de publicación – Finalidad – Principio de publicidad</w:t>
      </w:r>
    </w:p>
    <w:p w14:paraId="37FD7509" w14:textId="77777777" w:rsidR="00A80922" w:rsidRPr="0036200A" w:rsidRDefault="00A80922" w:rsidP="00A80922">
      <w:pPr>
        <w:pStyle w:val="Prrafodelista"/>
        <w:ind w:left="0"/>
        <w:jc w:val="both"/>
        <w:rPr>
          <w:rFonts w:ascii="Arial" w:eastAsia="Calibri" w:hAnsi="Arial" w:cs="Arial"/>
          <w:b/>
          <w:sz w:val="20"/>
          <w:szCs w:val="20"/>
          <w:lang w:val="es-ES"/>
        </w:rPr>
      </w:pPr>
    </w:p>
    <w:p w14:paraId="117FBF0D" w14:textId="4734686F" w:rsidR="00A80922" w:rsidRPr="00476ABB" w:rsidRDefault="00A80922" w:rsidP="00A80922">
      <w:pPr>
        <w:spacing w:after="120"/>
        <w:jc w:val="both"/>
        <w:rPr>
          <w:rFonts w:ascii="Arial" w:hAnsi="Arial" w:cs="Arial"/>
          <w:sz w:val="20"/>
          <w:szCs w:val="20"/>
          <w:lang w:val="es-ES"/>
        </w:rPr>
      </w:pPr>
      <w:r w:rsidRPr="00476ABB">
        <w:rPr>
          <w:rFonts w:ascii="Arial" w:hAnsi="Arial" w:cs="Arial"/>
          <w:sz w:val="20"/>
          <w:szCs w:val="20"/>
          <w:lang w:val="es-ES"/>
        </w:rPr>
        <w:t>[</w:t>
      </w:r>
      <w:r w:rsidR="00C903B8">
        <w:rPr>
          <w:rFonts w:ascii="Arial" w:hAnsi="Arial" w:cs="Arial"/>
          <w:sz w:val="20"/>
          <w:szCs w:val="20"/>
          <w:lang w:val="es-ES"/>
        </w:rPr>
        <w:t>…</w:t>
      </w:r>
      <w:r w:rsidRPr="00476ABB">
        <w:rPr>
          <w:rFonts w:ascii="Arial" w:hAnsi="Arial" w:cs="Arial"/>
          <w:sz w:val="20"/>
          <w:szCs w:val="20"/>
          <w:lang w:val="es-ES"/>
        </w:rPr>
        <w:t xml:space="preserve">] la Agencia Nacional de Contratación Pública – Colombia Compra Eficiente en el concepto de 4 de diciembre de 2019 –4201912000007289–, sostuvo que la disposición del artículo 3 de la Ley 1150 de 2007 debe armonizarse con lo dispuesto por el artículo 2.2.1.1.1.7.1. del Decreto 1082 de 2015 citado, donde se relacionan los documentos que se deben publicar en el SECOP, como un desarrollo de los principios de transparencia y publicidad, que busca permitir mediante la publicación que la ciudadanía pueda conocer la actividad contractual de las entidades, comoquiera que tales documentos dan cuenta de las decisiones de la Administración pública en beneficio del interés general y que por tanto incumben a la ciudadanía.  </w:t>
      </w:r>
    </w:p>
    <w:p w14:paraId="6CD114F6" w14:textId="77777777" w:rsidR="00A80922" w:rsidRPr="00476ABB" w:rsidRDefault="00A80922" w:rsidP="009B3335">
      <w:pPr>
        <w:jc w:val="both"/>
        <w:rPr>
          <w:rFonts w:ascii="Arial" w:hAnsi="Arial" w:cs="Arial"/>
          <w:sz w:val="20"/>
          <w:szCs w:val="20"/>
          <w:lang w:val="es-ES"/>
        </w:rPr>
      </w:pPr>
      <w:r w:rsidRPr="00476ABB">
        <w:rPr>
          <w:rFonts w:ascii="Arial" w:hAnsi="Arial" w:cs="Arial"/>
          <w:sz w:val="20"/>
          <w:szCs w:val="20"/>
          <w:lang w:val="es-ES"/>
        </w:rPr>
        <w:t>En conclusión, el artículo 3 de la Ley 1150 de 2007 desarrolla los principios de publicidad y transparencia de las actuaciones contractuales, del cual se desprende un deber de publicar las actuaciones contractuales, el cual implica que todas las entidades estatales, publiquen los documentos en los que se evidencia el desarrollo de sus procesos de contratación, esto comoquiera que el objetivo del deber de dar publicidad a las actuaciones contractuales es materializar el derecho a conocer e intervenir de las decisiones de la Administración Pública.</w:t>
      </w:r>
    </w:p>
    <w:p w14:paraId="28CDEBD6" w14:textId="77777777" w:rsidR="00944B47" w:rsidRPr="00476ABB" w:rsidRDefault="00944B47" w:rsidP="00AA2570">
      <w:pPr>
        <w:pStyle w:val="Prrafodelista"/>
        <w:spacing w:line="276" w:lineRule="auto"/>
        <w:ind w:left="0"/>
        <w:jc w:val="both"/>
        <w:rPr>
          <w:rFonts w:ascii="Arial" w:eastAsia="Calibri" w:hAnsi="Arial" w:cs="Arial"/>
          <w:b/>
          <w:sz w:val="20"/>
          <w:szCs w:val="20"/>
          <w:lang w:val="es-ES"/>
        </w:rPr>
      </w:pPr>
    </w:p>
    <w:p w14:paraId="1A4B7E63" w14:textId="1DE96760" w:rsidR="00A80922" w:rsidRPr="00476ABB" w:rsidRDefault="00A80922" w:rsidP="000D1914">
      <w:pPr>
        <w:jc w:val="both"/>
        <w:rPr>
          <w:rFonts w:ascii="Arial" w:hAnsi="Arial" w:cs="Arial"/>
          <w:b/>
          <w:bCs/>
          <w:sz w:val="22"/>
          <w:lang w:val="es-ES"/>
        </w:rPr>
      </w:pPr>
      <w:r w:rsidRPr="00476ABB">
        <w:rPr>
          <w:rFonts w:ascii="Arial" w:hAnsi="Arial" w:cs="Arial"/>
          <w:b/>
          <w:bCs/>
          <w:sz w:val="22"/>
          <w:lang w:val="es-ES"/>
        </w:rPr>
        <w:t>DOCUMENTOS DEL PROCESO – Noción – Deber de publicación – Proceso de contratación</w:t>
      </w:r>
    </w:p>
    <w:p w14:paraId="1E2FA026" w14:textId="77777777" w:rsidR="000D1914" w:rsidRPr="0036200A" w:rsidRDefault="000D1914" w:rsidP="005B1203">
      <w:pPr>
        <w:jc w:val="both"/>
        <w:rPr>
          <w:rFonts w:ascii="Arial" w:hAnsi="Arial" w:cs="Arial"/>
          <w:b/>
          <w:bCs/>
          <w:sz w:val="20"/>
          <w:szCs w:val="20"/>
          <w:lang w:val="es-ES"/>
        </w:rPr>
      </w:pPr>
    </w:p>
    <w:p w14:paraId="5D3C6252" w14:textId="77777777" w:rsidR="00A80922" w:rsidRPr="00476ABB" w:rsidRDefault="00A80922" w:rsidP="005B1203">
      <w:pPr>
        <w:spacing w:after="120"/>
        <w:jc w:val="both"/>
        <w:rPr>
          <w:rFonts w:ascii="Arial" w:eastAsia="Calibri" w:hAnsi="Arial" w:cs="Arial"/>
          <w:sz w:val="20"/>
          <w:szCs w:val="20"/>
          <w:lang w:val="es-ES"/>
        </w:rPr>
      </w:pPr>
      <w:r w:rsidRPr="00476ABB">
        <w:rPr>
          <w:rFonts w:ascii="Arial" w:eastAsia="Calibri" w:hAnsi="Arial" w:cs="Arial"/>
          <w:sz w:val="20"/>
          <w:szCs w:val="20"/>
          <w:lang w:val="es-ES"/>
        </w:rPr>
        <w:t xml:space="preserve">[…] el deber de publicidad de la actividad contractual de las entidades estatales no solo se encuentra regulado por el artículo 3 de la Ley 1150 de 2007 y el </w:t>
      </w:r>
      <w:r w:rsidRPr="00476ABB">
        <w:rPr>
          <w:rFonts w:ascii="Arial" w:eastAsia="Arial" w:hAnsi="Arial" w:cs="Arial"/>
          <w:sz w:val="20"/>
          <w:szCs w:val="20"/>
          <w:lang w:val="es-ES"/>
        </w:rPr>
        <w:t xml:space="preserve">artículo 2.2.1.1.1.7.1. del Decreto 1082 de 2015, sino que también se fundamenta en la Ley 1712 de 2014 y el Decreto 1081 de 2015, normas que no solo refuerzan y complementan al régimen de contratación estatal en materia de publicidad, sino que amplían el contenido obligacional de dicho deber al imponer la publicación de los procedimientos y la información relativa a la gestión contractual, sin el condicionamiento de tratarse de </w:t>
      </w:r>
      <w:r w:rsidRPr="00476ABB">
        <w:rPr>
          <w:rFonts w:ascii="Arial" w:eastAsia="Arial" w:hAnsi="Arial" w:cs="Arial"/>
          <w:i/>
          <w:iCs/>
          <w:sz w:val="20"/>
          <w:szCs w:val="20"/>
          <w:lang w:val="es-ES"/>
        </w:rPr>
        <w:t xml:space="preserve">Documentos del Procesos </w:t>
      </w:r>
      <w:r w:rsidRPr="00476ABB">
        <w:rPr>
          <w:rFonts w:ascii="Arial" w:eastAsia="Arial" w:hAnsi="Arial" w:cs="Arial"/>
          <w:sz w:val="20"/>
          <w:szCs w:val="20"/>
          <w:lang w:val="es-ES"/>
        </w:rPr>
        <w:t>expedidos por la entidad estatal.</w:t>
      </w:r>
    </w:p>
    <w:p w14:paraId="7094D321" w14:textId="77777777" w:rsidR="00A80922" w:rsidRPr="00476ABB" w:rsidRDefault="00A80922" w:rsidP="00A80922">
      <w:pPr>
        <w:spacing w:before="120"/>
        <w:jc w:val="both"/>
        <w:rPr>
          <w:rFonts w:ascii="Arial" w:eastAsia="Calibri" w:hAnsi="Arial" w:cs="Arial"/>
          <w:sz w:val="22"/>
          <w:lang w:val="es-ES"/>
        </w:rPr>
      </w:pPr>
      <w:r w:rsidRPr="00476ABB">
        <w:rPr>
          <w:rFonts w:ascii="Arial" w:eastAsia="Calibri" w:hAnsi="Arial" w:cs="Arial"/>
          <w:sz w:val="20"/>
          <w:szCs w:val="20"/>
          <w:lang w:val="es-ES"/>
        </w:rPr>
        <w:t xml:space="preserve">Esto quiere decir que las entidades estatales, además de los documentos y actos administrativos que expidan durante el </w:t>
      </w:r>
      <w:r w:rsidRPr="00476ABB">
        <w:rPr>
          <w:rFonts w:ascii="Arial" w:eastAsia="Calibri" w:hAnsi="Arial" w:cs="Arial"/>
          <w:i/>
          <w:iCs/>
          <w:sz w:val="20"/>
          <w:szCs w:val="20"/>
          <w:lang w:val="es-ES"/>
        </w:rPr>
        <w:t>Proceso de Contratación,</w:t>
      </w:r>
      <w:r w:rsidRPr="00476ABB">
        <w:rPr>
          <w:rFonts w:ascii="Arial" w:eastAsia="Calibri" w:hAnsi="Arial" w:cs="Arial"/>
          <w:sz w:val="20"/>
          <w:szCs w:val="20"/>
          <w:lang w:val="es-ES"/>
        </w:rPr>
        <w:t xml:space="preserve"> deberán publicar los documentos que desarrollan los procedimientos, incluso documentos que no necesariamente son expedidos por ellas pero que hacen parte del proceso, tales como las observaciones formuladas por la ciudadanía al proyecto de pliego de condiciones, o por los proponentes al informe de evaluación, aclaraciones a las ofertas realizadas por oferentes, así como a cualquier otra actuación que a pesar de no tener origen en la entidad estatal, ni encajar en estricto sentido dentro de lo que se entiende por </w:t>
      </w:r>
      <w:r w:rsidRPr="00476ABB">
        <w:rPr>
          <w:rFonts w:ascii="Arial" w:eastAsia="Calibri" w:hAnsi="Arial" w:cs="Arial"/>
          <w:i/>
          <w:iCs/>
          <w:sz w:val="20"/>
          <w:szCs w:val="20"/>
          <w:lang w:val="es-ES"/>
        </w:rPr>
        <w:t xml:space="preserve"> Documento del Proceso, </w:t>
      </w:r>
      <w:r w:rsidRPr="00476ABB">
        <w:rPr>
          <w:rFonts w:ascii="Arial" w:eastAsia="Calibri" w:hAnsi="Arial" w:cs="Arial"/>
          <w:sz w:val="20"/>
          <w:szCs w:val="20"/>
          <w:lang w:val="es-ES"/>
        </w:rPr>
        <w:t>hace parte del desarrollo del proceso de contratación, y que por disposición de la Ley de la transparencia y acceso a la información pública, deber ser publicada de manera proactiva por la entidad estatal</w:t>
      </w:r>
      <w:r w:rsidRPr="00476ABB">
        <w:rPr>
          <w:rFonts w:ascii="Arial" w:eastAsia="Calibri" w:hAnsi="Arial" w:cs="Arial"/>
          <w:sz w:val="22"/>
          <w:lang w:val="es-ES"/>
        </w:rPr>
        <w:t xml:space="preserve">.   </w:t>
      </w:r>
    </w:p>
    <w:p w14:paraId="60FAC6B4" w14:textId="0FA5D29E" w:rsidR="00B26D02" w:rsidRPr="00476ABB" w:rsidRDefault="00B26D02" w:rsidP="008C0579">
      <w:pPr>
        <w:jc w:val="both"/>
        <w:rPr>
          <w:rFonts w:ascii="Arial" w:eastAsia="Calibri" w:hAnsi="Arial" w:cs="Arial"/>
          <w:sz w:val="20"/>
          <w:szCs w:val="20"/>
          <w:lang w:val="es-ES"/>
        </w:rPr>
      </w:pPr>
    </w:p>
    <w:p w14:paraId="4076C9D5" w14:textId="77777777" w:rsidR="00B26D02" w:rsidRPr="00476ABB" w:rsidRDefault="00B26D02" w:rsidP="00B26D02">
      <w:pPr>
        <w:spacing w:line="276" w:lineRule="auto"/>
        <w:jc w:val="both"/>
        <w:rPr>
          <w:rFonts w:ascii="Arial" w:hAnsi="Arial" w:cs="Arial"/>
          <w:b/>
          <w:bCs/>
          <w:sz w:val="22"/>
          <w:lang w:val="es-CO"/>
        </w:rPr>
      </w:pPr>
      <w:r w:rsidRPr="00476ABB">
        <w:rPr>
          <w:rFonts w:ascii="Arial" w:hAnsi="Arial" w:cs="Arial"/>
          <w:b/>
          <w:bCs/>
          <w:sz w:val="22"/>
          <w:lang w:val="es-CO"/>
        </w:rPr>
        <w:t>SECOP – Publicación – Documentos</w:t>
      </w:r>
    </w:p>
    <w:p w14:paraId="2829C8CC" w14:textId="77777777" w:rsidR="00B26D02" w:rsidRPr="00476ABB" w:rsidRDefault="00B26D02" w:rsidP="00B26D02">
      <w:pPr>
        <w:spacing w:line="276" w:lineRule="auto"/>
        <w:jc w:val="both"/>
        <w:rPr>
          <w:rFonts w:ascii="Arial" w:hAnsi="Arial" w:cs="Arial"/>
          <w:b/>
          <w:bCs/>
          <w:sz w:val="20"/>
          <w:szCs w:val="20"/>
          <w:lang w:val="es-CO"/>
        </w:rPr>
      </w:pPr>
    </w:p>
    <w:p w14:paraId="192115C2" w14:textId="172FA569" w:rsidR="009B7F9B" w:rsidRPr="00476ABB" w:rsidRDefault="00B26D02" w:rsidP="0031783A">
      <w:pPr>
        <w:jc w:val="both"/>
        <w:rPr>
          <w:rFonts w:ascii="Arial" w:hAnsi="Arial" w:cs="Arial"/>
          <w:sz w:val="20"/>
          <w:szCs w:val="20"/>
          <w:lang w:val="es-ES_tradnl"/>
        </w:rPr>
      </w:pPr>
      <w:r w:rsidRPr="00476ABB">
        <w:rPr>
          <w:rFonts w:ascii="Arial" w:hAnsi="Arial" w:cs="Arial"/>
          <w:sz w:val="20"/>
          <w:szCs w:val="20"/>
          <w:lang w:val="es-ES_tradnl"/>
        </w:rPr>
        <w:t xml:space="preserve">Las entidades públicas sometidas al Estatuto General de Contratación de la Administración Pública, a las que no correspoda gestionar sus procesos de contratación a través de la plataforma SECOP II, de conformidad con el artículo 3 de la Ley 1150 de 2007, desarrollado por el artículo 2.2.1.1.1.7.1 del Decreto 1082 de 2015, así como según el literal g) del artículo 11 de la Ley 1712 de 2014 y los artículos 2.1.1.2.1.7, 2.1.1.2.1.8, 2.1.1.2.1.9 y 2.1.1.2.1.10 del Decreto 1081 de 2015, deben publicar en SECOP I, además del Plan Anual de Adquisiciones, todos los documentos, actos administrativos </w:t>
      </w:r>
      <w:r w:rsidRPr="00476ABB">
        <w:rPr>
          <w:rFonts w:ascii="Arial" w:hAnsi="Arial" w:cs="Arial"/>
          <w:sz w:val="20"/>
          <w:szCs w:val="20"/>
          <w:lang w:val="es-ES_tradnl"/>
        </w:rPr>
        <w:lastRenderedPageBreak/>
        <w:t>o actuaciones producidos con ocasión del Proceso de Contratación, dentro de los tres (3) días hábiles siguientes a su expedición. Dentro de tales documentos encontramos, entre otros, los siguientes: i) el estudio de oportunidad y conveniencia; ii) los estudios y documentos previos –técnicos o no–; iii) el  aviso de convocatoria; iv) el proyecto de pliego de condiciones y las observaciones que le formulen; v) el pliego de condiciones o la invitación, así como las observaciones que se les realicen; vi) las actas de la audiencia de asignación de riesgos; vii) el acta de cierre del plazo para presentar ofertas; viii) las adendas; ix) la oferta del adjudicatario, así como las aclaraciones que se le realicen; x) el informe de precalificación y las observaciones que se formulen; xi) el informe de evaluación y las observaciones que se formulen; xii) las respuestas a las observaciones; xiii) el contrato y los otrosíes o modificaciones; xiv) el acta de inicio; xv) las garantías; xvi) el acta de liquidación; xvii) los actos administrativos expedidos con ocasión del procedimiento de selección o la ejecución del contrato, como las resoluciones de apertura, de adjudicación, las que se impongan multas, la cláusula penal o declaren la caducidad del contrato; xviii) los documentos de los procesos por incumplimiento contractual que se lleven a cabo conforme al artículo 86 de la Ley 1474 de 2011, como la citación, las pruebas que se practiquen, la resolución que resuelve la actuación y demás documentos que se produzcan; ix) las reclamaciones que presenten las partes y las respuestas que se expidan a las mismas; xx) las actas de entrega o recibo, xxi) los informes de supervisión y/o interventoría; xxii) en cuanto a la ejecución, de conformidad con el artículo 2.1.1.2.1.8 de Decreto 1081 de 2015, deberán publicarse las aprobaciones, autorizaciones, requerimientos o informes del supervisor o del interventor, que prueben la ejecución del contrato; xxiii) la liquidación unilateral y xxiv) en general cualquier otro documento producido o expedido con ocasión del Proceso de Contratación, sin importar quién sea su autor –la Administración o el contratista–, con excepción de los que pertenecen al marco de operaciones de bolsa de productos, expresamente excluidos de publicación por el artículo 2.2.1.1.1.7.1. del Decreto 1082 de 2015.</w:t>
      </w:r>
      <w:bookmarkStart w:id="3" w:name="_Hlk38283712"/>
      <w:bookmarkStart w:id="4" w:name="_Hlk38449610"/>
      <w:bookmarkStart w:id="5" w:name="_Hlk29890381"/>
    </w:p>
    <w:p w14:paraId="5170354D" w14:textId="77777777" w:rsidR="0031783A" w:rsidRPr="00476ABB" w:rsidRDefault="0031783A" w:rsidP="0031783A">
      <w:pPr>
        <w:jc w:val="both"/>
        <w:rPr>
          <w:rFonts w:ascii="Arial" w:hAnsi="Arial" w:cs="Arial"/>
          <w:sz w:val="20"/>
          <w:szCs w:val="20"/>
          <w:lang w:val="es-ES_tradnl"/>
        </w:rPr>
      </w:pPr>
    </w:p>
    <w:p w14:paraId="64F7711A" w14:textId="0B7A1208" w:rsidR="0031783A" w:rsidRPr="00476ABB" w:rsidRDefault="0031783A" w:rsidP="0031783A">
      <w:pPr>
        <w:jc w:val="both"/>
        <w:rPr>
          <w:rFonts w:ascii="Arial" w:hAnsi="Arial" w:cs="Arial"/>
          <w:b/>
          <w:bCs/>
          <w:sz w:val="22"/>
          <w:lang w:val="es-ES_tradnl"/>
        </w:rPr>
      </w:pPr>
      <w:r w:rsidRPr="00476ABB">
        <w:rPr>
          <w:rFonts w:ascii="Arial" w:hAnsi="Arial" w:cs="Arial"/>
          <w:b/>
          <w:bCs/>
          <w:sz w:val="22"/>
          <w:lang w:val="es-ES_tradnl"/>
        </w:rPr>
        <w:t>SECOP – Contratación directa – Publicidad – Excepciones</w:t>
      </w:r>
    </w:p>
    <w:p w14:paraId="3E8D091F" w14:textId="77777777" w:rsidR="0031783A" w:rsidRPr="00476ABB" w:rsidRDefault="0031783A" w:rsidP="0031783A">
      <w:pPr>
        <w:jc w:val="both"/>
        <w:rPr>
          <w:rFonts w:ascii="Arial" w:hAnsi="Arial" w:cs="Arial"/>
          <w:sz w:val="20"/>
          <w:szCs w:val="20"/>
          <w:lang w:val="es-ES_tradnl"/>
        </w:rPr>
      </w:pPr>
    </w:p>
    <w:p w14:paraId="19E97E5F" w14:textId="3BF7EEA5" w:rsidR="0031783A" w:rsidRPr="00476ABB" w:rsidRDefault="0031783A" w:rsidP="0031783A">
      <w:pPr>
        <w:jc w:val="both"/>
        <w:rPr>
          <w:rFonts w:ascii="Arial" w:hAnsi="Arial" w:cs="Arial"/>
          <w:sz w:val="20"/>
          <w:szCs w:val="20"/>
          <w:lang w:val="es-ES_tradnl"/>
        </w:rPr>
      </w:pPr>
      <w:r w:rsidRPr="00476ABB">
        <w:rPr>
          <w:rFonts w:ascii="Arial" w:hAnsi="Arial" w:cs="Arial"/>
          <w:sz w:val="20"/>
          <w:szCs w:val="20"/>
          <w:lang w:val="es-ES_tradnl"/>
        </w:rPr>
        <w:t>[…] en lo que tiene que ver con la modalidad de selección de contratación directa, en virtud de lo dispuesto en lo en el artículo 2.2.1.2.1.4.3 del Decreto 1082 de 2015 , las entidades no están obligadas a publicar los estudios y documentos previos relacionados con: i) la contratación de empréstitos, ii) los contratos interadministrativos que celebre el Ministerio de Hacienda y Crédito Público con el Banco de la República, y iii) los contratos a los que se refiere el artículo 2.2.1.2.1.4.6 del Decreto 1082 de 2015, referido a la adquisición de bienes y servicios del Sector Defensa que requieren reserva para su adquisición. Además, en virtud del  artículo 2.2.1.2.1.4.6  Ibídem, la Dirección Nacional de Inteligencia y la Unidad Nacional de Protección, no estarán obligadas a publicar los Documentos del Proceso referidos a procesos de contratación de bienes y servicios del Sector Defensa, que requieran reserva para su adquisición.</w:t>
      </w:r>
    </w:p>
    <w:p w14:paraId="495F273D" w14:textId="77777777" w:rsidR="0031783A" w:rsidRPr="00476ABB" w:rsidRDefault="0031783A" w:rsidP="0031783A">
      <w:pPr>
        <w:jc w:val="both"/>
        <w:rPr>
          <w:rFonts w:ascii="Arial" w:hAnsi="Arial" w:cs="Arial"/>
          <w:sz w:val="22"/>
          <w:lang w:val="es-CO"/>
        </w:rPr>
      </w:pPr>
    </w:p>
    <w:p w14:paraId="1A15127F" w14:textId="77777777" w:rsidR="00180986" w:rsidRPr="00476ABB" w:rsidRDefault="00180986" w:rsidP="009B7F9B">
      <w:pPr>
        <w:rPr>
          <w:rFonts w:ascii="Arial" w:hAnsi="Arial" w:cs="Arial"/>
          <w:sz w:val="22"/>
          <w:lang w:val="es-CO"/>
        </w:rPr>
      </w:pPr>
    </w:p>
    <w:p w14:paraId="59C83FE3" w14:textId="77777777" w:rsidR="00EC7815" w:rsidRPr="00EC7815" w:rsidRDefault="00EC7815" w:rsidP="00EC7815">
      <w:pPr>
        <w:autoSpaceDE w:val="0"/>
        <w:autoSpaceDN w:val="0"/>
        <w:adjustRightInd w:val="0"/>
        <w:rPr>
          <w:rFonts w:ascii="Arial" w:hAnsi="Arial" w:cs="Arial"/>
          <w:color w:val="000000"/>
          <w:szCs w:val="24"/>
          <w:lang w:val="es-CO"/>
        </w:rPr>
      </w:pPr>
    </w:p>
    <w:p w14:paraId="7247C366" w14:textId="77777777" w:rsidR="00EC7815" w:rsidRPr="00EC7815" w:rsidRDefault="00EC7815" w:rsidP="00EC7815">
      <w:pPr>
        <w:autoSpaceDE w:val="0"/>
        <w:autoSpaceDN w:val="0"/>
        <w:adjustRightInd w:val="0"/>
        <w:rPr>
          <w:rFonts w:ascii="Arial" w:hAnsi="Arial" w:cs="Arial"/>
          <w:color w:val="000000"/>
          <w:sz w:val="22"/>
          <w:lang w:val="es-CO"/>
        </w:rPr>
      </w:pPr>
      <w:r w:rsidRPr="00EC7815">
        <w:rPr>
          <w:rFonts w:ascii="Arial" w:hAnsi="Arial" w:cs="Arial"/>
          <w:color w:val="000000"/>
          <w:szCs w:val="24"/>
          <w:lang w:val="es-CO"/>
        </w:rPr>
        <w:t xml:space="preserve"> </w:t>
      </w:r>
      <w:r w:rsidRPr="00EC7815">
        <w:rPr>
          <w:rFonts w:ascii="Arial" w:hAnsi="Arial" w:cs="Arial"/>
          <w:color w:val="000000"/>
          <w:sz w:val="22"/>
          <w:lang w:val="es-CO"/>
        </w:rPr>
        <w:t xml:space="preserve">Bogotá D.C., </w:t>
      </w:r>
      <w:r w:rsidRPr="00EC7815">
        <w:rPr>
          <w:rFonts w:ascii="Arial" w:hAnsi="Arial" w:cs="Arial"/>
          <w:b/>
          <w:bCs/>
          <w:color w:val="000000"/>
          <w:sz w:val="22"/>
          <w:lang w:val="es-CO"/>
        </w:rPr>
        <w:t xml:space="preserve">21/08/2020 Hora 15:0:2s </w:t>
      </w:r>
    </w:p>
    <w:p w14:paraId="738FEAEE" w14:textId="46201B63" w:rsidR="006E15C5" w:rsidRPr="00476ABB" w:rsidRDefault="00EC7815" w:rsidP="00EC7815">
      <w:pPr>
        <w:jc w:val="right"/>
        <w:rPr>
          <w:rFonts w:ascii="Arial" w:hAnsi="Arial" w:cs="Arial"/>
          <w:b/>
          <w:sz w:val="22"/>
        </w:rPr>
      </w:pPr>
      <w:r w:rsidRPr="00EC7815">
        <w:rPr>
          <w:rFonts w:ascii="Arial" w:hAnsi="Arial" w:cs="Arial"/>
          <w:b/>
          <w:bCs/>
          <w:color w:val="000000"/>
          <w:sz w:val="22"/>
          <w:lang w:val="es-CO"/>
        </w:rPr>
        <w:t>N° Radicado: 2202013000007773</w:t>
      </w:r>
    </w:p>
    <w:p w14:paraId="1A6F1B4C" w14:textId="77777777" w:rsidR="009B7F9B" w:rsidRPr="00476ABB" w:rsidRDefault="009B7F9B" w:rsidP="009B7F9B">
      <w:pPr>
        <w:rPr>
          <w:rFonts w:ascii="Arial" w:eastAsia="Calibri" w:hAnsi="Arial" w:cs="Arial"/>
          <w:sz w:val="22"/>
        </w:rPr>
      </w:pPr>
    </w:p>
    <w:p w14:paraId="3376EEB4" w14:textId="77777777" w:rsidR="009B7F9B" w:rsidRPr="00476ABB" w:rsidRDefault="009B7F9B" w:rsidP="009B7F9B">
      <w:pPr>
        <w:rPr>
          <w:rFonts w:ascii="Arial" w:eastAsia="Calibri" w:hAnsi="Arial" w:cs="Arial"/>
          <w:sz w:val="22"/>
        </w:rPr>
      </w:pPr>
    </w:p>
    <w:p w14:paraId="74B03CCA" w14:textId="08F197E9" w:rsidR="009B7F9B" w:rsidRPr="00476ABB" w:rsidRDefault="009B7F9B" w:rsidP="009B7F9B">
      <w:pPr>
        <w:rPr>
          <w:rFonts w:ascii="Arial" w:eastAsia="Calibri" w:hAnsi="Arial" w:cs="Arial"/>
          <w:sz w:val="22"/>
        </w:rPr>
      </w:pPr>
      <w:r w:rsidRPr="00476ABB">
        <w:rPr>
          <w:rFonts w:ascii="Arial" w:eastAsia="Calibri" w:hAnsi="Arial" w:cs="Arial"/>
          <w:sz w:val="22"/>
        </w:rPr>
        <w:t>Señor</w:t>
      </w:r>
      <w:r w:rsidR="00492D50" w:rsidRPr="00476ABB">
        <w:rPr>
          <w:rFonts w:ascii="Arial" w:eastAsia="Calibri" w:hAnsi="Arial" w:cs="Arial"/>
          <w:sz w:val="22"/>
        </w:rPr>
        <w:t>a</w:t>
      </w:r>
    </w:p>
    <w:p w14:paraId="6C16B626" w14:textId="7CDFC8A0" w:rsidR="00820BE3" w:rsidRPr="00476ABB" w:rsidRDefault="00820BE3" w:rsidP="009B7F9B">
      <w:pPr>
        <w:rPr>
          <w:rFonts w:ascii="Arial" w:eastAsia="Calibri" w:hAnsi="Arial" w:cs="Arial"/>
          <w:b/>
          <w:sz w:val="22"/>
        </w:rPr>
      </w:pPr>
      <w:r w:rsidRPr="00476ABB">
        <w:rPr>
          <w:rFonts w:ascii="Arial" w:eastAsia="Calibri" w:hAnsi="Arial" w:cs="Arial"/>
          <w:b/>
          <w:sz w:val="22"/>
        </w:rPr>
        <w:t>Marly Tatiana Pinzón Ruiz</w:t>
      </w:r>
    </w:p>
    <w:p w14:paraId="62AAF159" w14:textId="315CE939" w:rsidR="009B7F9B" w:rsidRPr="00476ABB" w:rsidRDefault="00820BE3" w:rsidP="009B7F9B">
      <w:pPr>
        <w:rPr>
          <w:rFonts w:ascii="Arial" w:eastAsia="Calibri" w:hAnsi="Arial" w:cs="Arial"/>
          <w:sz w:val="22"/>
        </w:rPr>
      </w:pPr>
      <w:r w:rsidRPr="00476ABB">
        <w:rPr>
          <w:rFonts w:ascii="Arial" w:eastAsia="Calibri" w:hAnsi="Arial" w:cs="Arial"/>
          <w:sz w:val="22"/>
        </w:rPr>
        <w:t>Bogotá D.C.</w:t>
      </w:r>
    </w:p>
    <w:p w14:paraId="52F9C018" w14:textId="77777777" w:rsidR="009B7F9B" w:rsidRPr="00476ABB" w:rsidRDefault="009B7F9B" w:rsidP="009B7F9B">
      <w:pPr>
        <w:rPr>
          <w:rFonts w:ascii="Arial" w:eastAsia="Calibri" w:hAnsi="Arial" w:cs="Arial"/>
          <w:sz w:val="22"/>
        </w:rPr>
      </w:pPr>
    </w:p>
    <w:p w14:paraId="2921B229" w14:textId="77777777" w:rsidR="009B7F9B" w:rsidRPr="00476ABB" w:rsidRDefault="009B7F9B" w:rsidP="009B7F9B">
      <w:pPr>
        <w:rPr>
          <w:rFonts w:ascii="Arial" w:eastAsia="Calibri" w:hAnsi="Arial" w:cs="Arial"/>
          <w:sz w:val="22"/>
        </w:rPr>
      </w:pPr>
    </w:p>
    <w:p w14:paraId="0CBC855F" w14:textId="0F7B82B4" w:rsidR="009B7F9B" w:rsidRPr="00476ABB" w:rsidRDefault="00AE5EFA" w:rsidP="008C0579">
      <w:pPr>
        <w:rPr>
          <w:rFonts w:ascii="Arial" w:eastAsia="Calibri" w:hAnsi="Arial" w:cs="Arial"/>
          <w:b/>
          <w:sz w:val="22"/>
        </w:rPr>
      </w:pPr>
      <w:r w:rsidRPr="00476ABB">
        <w:rPr>
          <w:rFonts w:ascii="Arial" w:eastAsia="Calibri" w:hAnsi="Arial" w:cs="Arial"/>
          <w:b/>
          <w:sz w:val="22"/>
        </w:rPr>
        <w:lastRenderedPageBreak/>
        <w:t xml:space="preserve">                                            </w:t>
      </w:r>
      <w:r w:rsidR="009B7F9B" w:rsidRPr="00476ABB">
        <w:rPr>
          <w:rFonts w:ascii="Arial" w:eastAsia="Calibri" w:hAnsi="Arial" w:cs="Arial"/>
          <w:b/>
          <w:sz w:val="22"/>
        </w:rPr>
        <w:t xml:space="preserve">Concepto C – </w:t>
      </w:r>
      <w:r w:rsidR="0069776B" w:rsidRPr="00476ABB">
        <w:rPr>
          <w:rFonts w:ascii="Arial" w:eastAsia="Calibri" w:hAnsi="Arial" w:cs="Arial"/>
          <w:b/>
          <w:sz w:val="22"/>
        </w:rPr>
        <w:t>5</w:t>
      </w:r>
      <w:r w:rsidR="00820BE3" w:rsidRPr="00476ABB">
        <w:rPr>
          <w:rFonts w:ascii="Arial" w:eastAsia="Calibri" w:hAnsi="Arial" w:cs="Arial"/>
          <w:b/>
          <w:sz w:val="22"/>
        </w:rPr>
        <w:t>44</w:t>
      </w:r>
      <w:r w:rsidR="006E15C5" w:rsidRPr="00476ABB">
        <w:rPr>
          <w:rFonts w:ascii="Arial" w:eastAsia="Calibri" w:hAnsi="Arial" w:cs="Arial"/>
          <w:b/>
          <w:sz w:val="22"/>
        </w:rPr>
        <w:t xml:space="preserve"> </w:t>
      </w:r>
      <w:r w:rsidR="009B7F9B" w:rsidRPr="00476ABB">
        <w:rPr>
          <w:rFonts w:ascii="Arial" w:eastAsia="Calibri" w:hAnsi="Arial" w:cs="Arial"/>
          <w:b/>
          <w:sz w:val="22"/>
        </w:rPr>
        <w:t>de 2020</w:t>
      </w:r>
    </w:p>
    <w:p w14:paraId="232ADF37" w14:textId="77777777" w:rsidR="009B7F9B" w:rsidRPr="00476ABB" w:rsidRDefault="009B7F9B" w:rsidP="009B7F9B">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76ABB" w:rsidRPr="00476ABB" w14:paraId="2123D216" w14:textId="77777777" w:rsidTr="008007A7">
        <w:trPr>
          <w:trHeight w:val="1029"/>
        </w:trPr>
        <w:tc>
          <w:tcPr>
            <w:tcW w:w="2689" w:type="dxa"/>
            <w:hideMark/>
          </w:tcPr>
          <w:p w14:paraId="3EC1F9B4" w14:textId="77777777" w:rsidR="009B7F9B" w:rsidRPr="00476ABB" w:rsidRDefault="009B7F9B" w:rsidP="008007A7">
            <w:pPr>
              <w:rPr>
                <w:rFonts w:ascii="Arial" w:eastAsia="Calibri" w:hAnsi="Arial" w:cs="Arial"/>
                <w:sz w:val="22"/>
              </w:rPr>
            </w:pPr>
            <w:r w:rsidRPr="00476ABB">
              <w:rPr>
                <w:rFonts w:ascii="Arial" w:eastAsia="Calibri" w:hAnsi="Arial" w:cs="Arial"/>
                <w:b/>
                <w:sz w:val="22"/>
              </w:rPr>
              <w:t>Temas:</w:t>
            </w:r>
            <w:r w:rsidRPr="00476ABB">
              <w:rPr>
                <w:rFonts w:ascii="Arial" w:eastAsia="Calibri" w:hAnsi="Arial" w:cs="Arial"/>
                <w:sz w:val="22"/>
              </w:rPr>
              <w:t xml:space="preserve">              </w:t>
            </w:r>
          </w:p>
        </w:tc>
        <w:tc>
          <w:tcPr>
            <w:tcW w:w="6237" w:type="dxa"/>
            <w:hideMark/>
          </w:tcPr>
          <w:p w14:paraId="32953520" w14:textId="237B2393" w:rsidR="009B7F9B" w:rsidRPr="00476ABB" w:rsidRDefault="005B1203" w:rsidP="008C0579">
            <w:pPr>
              <w:spacing w:after="120"/>
              <w:jc w:val="both"/>
              <w:rPr>
                <w:rFonts w:ascii="Arial" w:eastAsia="Calibri" w:hAnsi="Arial" w:cs="Arial"/>
                <w:sz w:val="22"/>
                <w:lang w:val="es-CO"/>
              </w:rPr>
            </w:pPr>
            <w:r w:rsidRPr="00476ABB">
              <w:rPr>
                <w:rFonts w:ascii="Arial" w:eastAsia="Calibri" w:hAnsi="Arial" w:cs="Arial"/>
                <w:sz w:val="22"/>
              </w:rPr>
              <w:t>SECOP – Deber de publicación – Finalidad – Principio de publicidad / DOCUMENTOS DEL PROCESO – Noción – Deber de publicación – Proceso de contratación / PLAN ANUAL DE ADQUISICIONES – Publicación – Fundamento normativo / SECOP – Publicación – Documentos / SECOP – Contratación directa – Publicidad – Excepciones</w:t>
            </w:r>
          </w:p>
        </w:tc>
      </w:tr>
      <w:tr w:rsidR="00842EFF" w:rsidRPr="00476ABB" w14:paraId="0EED7CDA" w14:textId="77777777" w:rsidTr="008007A7">
        <w:trPr>
          <w:trHeight w:val="264"/>
        </w:trPr>
        <w:tc>
          <w:tcPr>
            <w:tcW w:w="2689" w:type="dxa"/>
          </w:tcPr>
          <w:p w14:paraId="763F5813" w14:textId="77777777" w:rsidR="009B7F9B" w:rsidRPr="00476ABB" w:rsidRDefault="009B7F9B" w:rsidP="008007A7">
            <w:pPr>
              <w:rPr>
                <w:rFonts w:ascii="Arial" w:eastAsia="Calibri" w:hAnsi="Arial" w:cs="Arial"/>
                <w:b/>
                <w:sz w:val="22"/>
              </w:rPr>
            </w:pPr>
            <w:r w:rsidRPr="00476ABB">
              <w:rPr>
                <w:rFonts w:ascii="Arial" w:eastAsia="Calibri" w:hAnsi="Arial" w:cs="Arial"/>
                <w:b/>
                <w:sz w:val="22"/>
              </w:rPr>
              <w:t>Radicación:</w:t>
            </w:r>
            <w:r w:rsidRPr="00476ABB">
              <w:rPr>
                <w:rFonts w:ascii="Arial" w:eastAsia="Calibri" w:hAnsi="Arial" w:cs="Arial"/>
                <w:sz w:val="22"/>
              </w:rPr>
              <w:t xml:space="preserve">                              </w:t>
            </w:r>
          </w:p>
        </w:tc>
        <w:tc>
          <w:tcPr>
            <w:tcW w:w="6237" w:type="dxa"/>
          </w:tcPr>
          <w:p w14:paraId="7722D90B" w14:textId="1F8A74C6" w:rsidR="009B7F9B" w:rsidRPr="00476ABB" w:rsidRDefault="009B7F9B" w:rsidP="008007A7">
            <w:pPr>
              <w:jc w:val="both"/>
              <w:rPr>
                <w:rFonts w:ascii="Arial" w:eastAsia="Calibri" w:hAnsi="Arial" w:cs="Arial"/>
                <w:sz w:val="22"/>
              </w:rPr>
            </w:pPr>
            <w:r w:rsidRPr="00476ABB">
              <w:rPr>
                <w:rFonts w:ascii="Arial" w:eastAsia="Calibri" w:hAnsi="Arial" w:cs="Arial"/>
                <w:sz w:val="22"/>
              </w:rPr>
              <w:t xml:space="preserve">Respuesta consulta # </w:t>
            </w:r>
            <w:r w:rsidR="00492D50" w:rsidRPr="00476ABB">
              <w:rPr>
                <w:rFonts w:ascii="Arial" w:eastAsia="Calibri" w:hAnsi="Arial" w:cs="Arial"/>
                <w:sz w:val="22"/>
              </w:rPr>
              <w:t>420201</w:t>
            </w:r>
            <w:r w:rsidR="00820BE3" w:rsidRPr="00476ABB">
              <w:rPr>
                <w:rFonts w:ascii="Arial" w:eastAsia="Calibri" w:hAnsi="Arial" w:cs="Arial"/>
                <w:sz w:val="22"/>
              </w:rPr>
              <w:t>3</w:t>
            </w:r>
            <w:r w:rsidR="00492D50" w:rsidRPr="00476ABB">
              <w:rPr>
                <w:rFonts w:ascii="Arial" w:eastAsia="Calibri" w:hAnsi="Arial" w:cs="Arial"/>
                <w:sz w:val="22"/>
              </w:rPr>
              <w:t>00000</w:t>
            </w:r>
            <w:r w:rsidR="00820BE3" w:rsidRPr="00476ABB">
              <w:rPr>
                <w:rFonts w:ascii="Arial" w:eastAsia="Calibri" w:hAnsi="Arial" w:cs="Arial"/>
                <w:sz w:val="22"/>
              </w:rPr>
              <w:t>7027</w:t>
            </w:r>
          </w:p>
        </w:tc>
      </w:tr>
    </w:tbl>
    <w:p w14:paraId="47DB626E" w14:textId="77777777" w:rsidR="009B7F9B" w:rsidRPr="00476ABB" w:rsidRDefault="009B7F9B" w:rsidP="008C0579">
      <w:pPr>
        <w:spacing w:line="276" w:lineRule="auto"/>
        <w:rPr>
          <w:rFonts w:ascii="Arial" w:eastAsia="Calibri" w:hAnsi="Arial" w:cs="Arial"/>
          <w:sz w:val="22"/>
        </w:rPr>
      </w:pPr>
    </w:p>
    <w:p w14:paraId="4EEEC9F2" w14:textId="77777777" w:rsidR="009B7F9B" w:rsidRPr="00476ABB" w:rsidRDefault="009B7F9B" w:rsidP="008C0579">
      <w:pPr>
        <w:spacing w:line="276" w:lineRule="auto"/>
        <w:rPr>
          <w:rFonts w:ascii="Arial" w:eastAsia="Calibri" w:hAnsi="Arial" w:cs="Arial"/>
          <w:sz w:val="22"/>
        </w:rPr>
      </w:pPr>
    </w:p>
    <w:p w14:paraId="39C63AA8" w14:textId="315D0B5F" w:rsidR="009B7F9B" w:rsidRPr="00476ABB" w:rsidRDefault="009B7F9B" w:rsidP="008C0579">
      <w:pPr>
        <w:spacing w:line="276" w:lineRule="auto"/>
        <w:rPr>
          <w:rFonts w:ascii="Arial" w:eastAsia="Calibri" w:hAnsi="Arial" w:cs="Arial"/>
          <w:sz w:val="22"/>
        </w:rPr>
      </w:pPr>
      <w:r w:rsidRPr="00476ABB">
        <w:rPr>
          <w:rFonts w:ascii="Arial" w:eastAsia="Calibri" w:hAnsi="Arial" w:cs="Arial"/>
          <w:sz w:val="22"/>
        </w:rPr>
        <w:t>Estimad</w:t>
      </w:r>
      <w:r w:rsidR="00492D50" w:rsidRPr="00476ABB">
        <w:rPr>
          <w:rFonts w:ascii="Arial" w:eastAsia="Calibri" w:hAnsi="Arial" w:cs="Arial"/>
          <w:sz w:val="22"/>
        </w:rPr>
        <w:t>a</w:t>
      </w:r>
      <w:r w:rsidRPr="00476ABB">
        <w:rPr>
          <w:rFonts w:ascii="Arial" w:eastAsia="Calibri" w:hAnsi="Arial" w:cs="Arial"/>
          <w:sz w:val="22"/>
        </w:rPr>
        <w:t xml:space="preserve"> señor</w:t>
      </w:r>
      <w:r w:rsidR="00492D50" w:rsidRPr="00476ABB">
        <w:rPr>
          <w:rFonts w:ascii="Arial" w:eastAsia="Calibri" w:hAnsi="Arial" w:cs="Arial"/>
          <w:sz w:val="22"/>
        </w:rPr>
        <w:t>a</w:t>
      </w:r>
      <w:r w:rsidRPr="00476ABB">
        <w:rPr>
          <w:rFonts w:ascii="Arial" w:eastAsia="Calibri" w:hAnsi="Arial" w:cs="Arial"/>
          <w:sz w:val="22"/>
        </w:rPr>
        <w:t xml:space="preserve"> </w:t>
      </w:r>
      <w:r w:rsidR="00820BE3" w:rsidRPr="00476ABB">
        <w:rPr>
          <w:rFonts w:ascii="Arial" w:eastAsia="Calibri" w:hAnsi="Arial" w:cs="Arial"/>
          <w:sz w:val="22"/>
        </w:rPr>
        <w:t>Pinzón</w:t>
      </w:r>
      <w:r w:rsidR="006E15C5" w:rsidRPr="00476ABB">
        <w:rPr>
          <w:rFonts w:ascii="Arial" w:eastAsia="Calibri" w:hAnsi="Arial" w:cs="Arial"/>
          <w:sz w:val="22"/>
        </w:rPr>
        <w:t>,</w:t>
      </w:r>
    </w:p>
    <w:p w14:paraId="16CB4689" w14:textId="77777777" w:rsidR="009B7F9B" w:rsidRPr="00476ABB" w:rsidRDefault="009B7F9B" w:rsidP="009B7F9B">
      <w:pPr>
        <w:spacing w:line="276" w:lineRule="auto"/>
        <w:jc w:val="both"/>
        <w:rPr>
          <w:rFonts w:ascii="Arial" w:eastAsia="Calibri" w:hAnsi="Arial" w:cs="Arial"/>
          <w:sz w:val="22"/>
        </w:rPr>
      </w:pPr>
    </w:p>
    <w:p w14:paraId="0F5DA20E" w14:textId="05D9D40A" w:rsidR="009B7F9B" w:rsidRPr="00476ABB" w:rsidRDefault="009B7F9B" w:rsidP="009B7F9B">
      <w:pPr>
        <w:spacing w:line="276" w:lineRule="auto"/>
        <w:jc w:val="both"/>
        <w:rPr>
          <w:rFonts w:ascii="Arial" w:eastAsia="Calibri" w:hAnsi="Arial" w:cs="Arial"/>
          <w:sz w:val="22"/>
        </w:rPr>
      </w:pPr>
      <w:r w:rsidRPr="00476ABB">
        <w:rPr>
          <w:rFonts w:ascii="Arial" w:eastAsia="Calibri" w:hAnsi="Arial" w:cs="Arial"/>
          <w:sz w:val="22"/>
        </w:rPr>
        <w:t>La Agencia Nacional de Contratación Pública – Colombia Compra Eficiente, en ejercicio de la competencia otorgada por el numeral 5 del artículo 3 y por el numeral 8 del artículo 11 del Decreto 4170 de 2011</w:t>
      </w:r>
      <w:r w:rsidR="00820BE3" w:rsidRPr="00476ABB">
        <w:rPr>
          <w:rFonts w:ascii="Arial" w:eastAsia="Calibri" w:hAnsi="Arial" w:cs="Arial"/>
          <w:sz w:val="22"/>
        </w:rPr>
        <w:t xml:space="preserve">, responde </w:t>
      </w:r>
      <w:r w:rsidR="00203674">
        <w:rPr>
          <w:rFonts w:ascii="Arial" w:eastAsia="Calibri" w:hAnsi="Arial" w:cs="Arial"/>
          <w:sz w:val="22"/>
        </w:rPr>
        <w:t>la</w:t>
      </w:r>
      <w:r w:rsidR="00820BE3" w:rsidRPr="00476ABB">
        <w:rPr>
          <w:rFonts w:ascii="Arial" w:eastAsia="Calibri" w:hAnsi="Arial" w:cs="Arial"/>
          <w:sz w:val="22"/>
        </w:rPr>
        <w:t xml:space="preserve"> consulta remitida el 14 de agosto de 2020 por el Departamento Administrativo de la Función Pública.- </w:t>
      </w:r>
    </w:p>
    <w:p w14:paraId="161EB3FA" w14:textId="77777777" w:rsidR="009B7F9B" w:rsidRPr="00476ABB" w:rsidRDefault="009B7F9B" w:rsidP="009B7F9B">
      <w:pPr>
        <w:spacing w:line="276" w:lineRule="auto"/>
        <w:jc w:val="both"/>
        <w:rPr>
          <w:rFonts w:ascii="Arial" w:eastAsia="Calibri" w:hAnsi="Arial" w:cs="Arial"/>
          <w:sz w:val="22"/>
        </w:rPr>
      </w:pPr>
    </w:p>
    <w:p w14:paraId="32EB3CD6" w14:textId="77777777" w:rsidR="009B7F9B" w:rsidRPr="00476ABB" w:rsidRDefault="009B7F9B" w:rsidP="009B7F9B">
      <w:pPr>
        <w:pStyle w:val="Prrafodelista"/>
        <w:numPr>
          <w:ilvl w:val="0"/>
          <w:numId w:val="8"/>
        </w:numPr>
        <w:tabs>
          <w:tab w:val="left" w:pos="284"/>
        </w:tabs>
        <w:spacing w:line="276" w:lineRule="auto"/>
        <w:ind w:left="0" w:firstLine="0"/>
        <w:rPr>
          <w:rFonts w:ascii="Arial" w:eastAsia="Calibri" w:hAnsi="Arial" w:cs="Arial"/>
          <w:b/>
          <w:sz w:val="22"/>
        </w:rPr>
      </w:pPr>
      <w:r w:rsidRPr="00476ABB">
        <w:rPr>
          <w:rFonts w:ascii="Arial" w:eastAsia="Calibri" w:hAnsi="Arial" w:cs="Arial"/>
          <w:b/>
          <w:sz w:val="22"/>
        </w:rPr>
        <w:t>Problemas planteados</w:t>
      </w:r>
    </w:p>
    <w:p w14:paraId="0589AE5E" w14:textId="77777777" w:rsidR="009B7F9B" w:rsidRPr="00476ABB" w:rsidRDefault="009B7F9B" w:rsidP="009B7F9B">
      <w:pPr>
        <w:pStyle w:val="Prrafodelista"/>
        <w:tabs>
          <w:tab w:val="left" w:pos="284"/>
        </w:tabs>
        <w:spacing w:line="276" w:lineRule="auto"/>
        <w:ind w:left="0"/>
        <w:rPr>
          <w:rFonts w:ascii="Arial" w:eastAsia="Calibri" w:hAnsi="Arial" w:cs="Arial"/>
          <w:b/>
          <w:sz w:val="22"/>
        </w:rPr>
      </w:pPr>
    </w:p>
    <w:p w14:paraId="0DF310B6" w14:textId="746AA221" w:rsidR="009B7F9B" w:rsidRPr="00476ABB" w:rsidRDefault="00BA740B" w:rsidP="00820BE3">
      <w:pPr>
        <w:pStyle w:val="Default"/>
        <w:spacing w:line="276" w:lineRule="auto"/>
        <w:jc w:val="both"/>
        <w:rPr>
          <w:color w:val="auto"/>
          <w:sz w:val="22"/>
          <w:szCs w:val="22"/>
        </w:rPr>
      </w:pPr>
      <w:bookmarkStart w:id="6" w:name="_Hlk44670585"/>
      <w:r w:rsidRPr="00476ABB">
        <w:rPr>
          <w:rFonts w:eastAsia="Calibri"/>
          <w:color w:val="auto"/>
          <w:sz w:val="22"/>
          <w:szCs w:val="22"/>
        </w:rPr>
        <w:t xml:space="preserve">En la petición, </w:t>
      </w:r>
      <w:bookmarkStart w:id="7" w:name="_Hlk48840056"/>
      <w:r w:rsidRPr="00476ABB">
        <w:rPr>
          <w:rFonts w:eastAsia="Calibri"/>
          <w:color w:val="auto"/>
          <w:sz w:val="22"/>
          <w:szCs w:val="22"/>
        </w:rPr>
        <w:t>usted solicita</w:t>
      </w:r>
      <w:r w:rsidR="00952FB2">
        <w:rPr>
          <w:rFonts w:eastAsia="Calibri"/>
          <w:color w:val="auto"/>
          <w:sz w:val="22"/>
          <w:szCs w:val="22"/>
        </w:rPr>
        <w:t xml:space="preserve"> informar</w:t>
      </w:r>
      <w:r w:rsidR="009B7F9B" w:rsidRPr="00476ABB">
        <w:rPr>
          <w:rFonts w:eastAsia="Calibri"/>
          <w:color w:val="auto"/>
          <w:sz w:val="22"/>
          <w:szCs w:val="22"/>
        </w:rPr>
        <w:t xml:space="preserve"> </w:t>
      </w:r>
      <w:bookmarkStart w:id="8" w:name="_Hlk40095622"/>
      <w:bookmarkEnd w:id="7"/>
      <w:r w:rsidR="009B7F9B" w:rsidRPr="00476ABB">
        <w:rPr>
          <w:rFonts w:eastAsia="Calibri"/>
          <w:color w:val="auto"/>
          <w:sz w:val="22"/>
          <w:szCs w:val="22"/>
        </w:rPr>
        <w:t xml:space="preserve">«[…] </w:t>
      </w:r>
      <w:r w:rsidR="00820BE3" w:rsidRPr="00476ABB">
        <w:rPr>
          <w:color w:val="auto"/>
          <w:sz w:val="22"/>
          <w:szCs w:val="22"/>
        </w:rPr>
        <w:t>si el acta de inicio de un contrato de prestación de servicios y los informes de supervisión y actas de pago se deben publicar en la página del el SECOP</w:t>
      </w:r>
      <w:r w:rsidR="009B7F9B" w:rsidRPr="00476ABB">
        <w:rPr>
          <w:color w:val="auto"/>
          <w:sz w:val="22"/>
          <w:szCs w:val="22"/>
        </w:rPr>
        <w:t>».</w:t>
      </w:r>
      <w:bookmarkEnd w:id="6"/>
      <w:bookmarkEnd w:id="8"/>
    </w:p>
    <w:p w14:paraId="00A2AE44" w14:textId="7C0422A4" w:rsidR="005B1203" w:rsidRPr="00476ABB" w:rsidRDefault="005B1203" w:rsidP="009B7F9B">
      <w:pPr>
        <w:spacing w:line="276" w:lineRule="auto"/>
        <w:ind w:left="709" w:right="709"/>
        <w:jc w:val="both"/>
        <w:rPr>
          <w:rFonts w:ascii="Arial" w:eastAsia="Calibri" w:hAnsi="Arial" w:cs="Arial"/>
          <w:sz w:val="21"/>
          <w:szCs w:val="21"/>
        </w:rPr>
      </w:pPr>
    </w:p>
    <w:p w14:paraId="73D03073" w14:textId="079E6BD8" w:rsidR="009B7F9B" w:rsidRPr="00476ABB" w:rsidRDefault="009B7F9B" w:rsidP="009B7F9B">
      <w:pPr>
        <w:pStyle w:val="Prrafodelista"/>
        <w:numPr>
          <w:ilvl w:val="0"/>
          <w:numId w:val="8"/>
        </w:numPr>
        <w:tabs>
          <w:tab w:val="left" w:pos="284"/>
        </w:tabs>
        <w:spacing w:line="276" w:lineRule="auto"/>
        <w:ind w:left="0" w:firstLine="0"/>
        <w:rPr>
          <w:rFonts w:ascii="Arial" w:eastAsia="Calibri" w:hAnsi="Arial" w:cs="Arial"/>
          <w:b/>
          <w:sz w:val="22"/>
        </w:rPr>
      </w:pPr>
      <w:r w:rsidRPr="00476ABB">
        <w:rPr>
          <w:rFonts w:ascii="Arial" w:eastAsia="Calibri" w:hAnsi="Arial" w:cs="Arial"/>
          <w:b/>
          <w:sz w:val="22"/>
        </w:rPr>
        <w:t>Consideraciones</w:t>
      </w:r>
    </w:p>
    <w:p w14:paraId="639BF164" w14:textId="708884CF" w:rsidR="008C0579" w:rsidRPr="00476ABB" w:rsidRDefault="008C0579" w:rsidP="008C0579">
      <w:pPr>
        <w:pStyle w:val="Prrafodelista"/>
        <w:tabs>
          <w:tab w:val="left" w:pos="284"/>
        </w:tabs>
        <w:spacing w:line="276" w:lineRule="auto"/>
        <w:ind w:left="0"/>
        <w:rPr>
          <w:rFonts w:ascii="Arial" w:eastAsia="Calibri" w:hAnsi="Arial" w:cs="Arial"/>
          <w:b/>
          <w:sz w:val="22"/>
        </w:rPr>
      </w:pPr>
    </w:p>
    <w:p w14:paraId="405BE03A" w14:textId="10B779CA" w:rsidR="008C0579" w:rsidRPr="00476ABB" w:rsidRDefault="008C0579" w:rsidP="008C0579">
      <w:pPr>
        <w:pStyle w:val="Prrafodelista"/>
        <w:tabs>
          <w:tab w:val="left" w:pos="284"/>
        </w:tabs>
        <w:spacing w:after="120" w:line="276" w:lineRule="auto"/>
        <w:ind w:left="0"/>
        <w:jc w:val="both"/>
        <w:rPr>
          <w:rFonts w:ascii="Arial" w:eastAsia="Calibri" w:hAnsi="Arial" w:cs="Arial"/>
          <w:sz w:val="22"/>
          <w:lang w:val="es-ES"/>
        </w:rPr>
      </w:pPr>
      <w:r w:rsidRPr="00476ABB">
        <w:rPr>
          <w:rFonts w:ascii="Arial" w:eastAsia="Calibri" w:hAnsi="Arial" w:cs="Arial"/>
          <w:sz w:val="22"/>
          <w:lang w:val="es-ES"/>
        </w:rPr>
        <w:t xml:space="preserve">La Agencia Nacional de Contratación Pública – Colombia Compra Eficiente ha tenido la oportunidad de estudiar en diferentes ocasiones los temas que se abordarán en el presente concepto, relacionados con la publicación de documentación contractual en la plataforma SECOP I. Así en el concepto con radicado No. 4201912000007253 del 4 de diciembre de 2019, reiterado en el concepto con radicado No. 4201912000007289 de la misma fecha, así como en el C-336 del 2 de junio de 2020, donde se estudió la publicidad de los procedimientos contractuales en el SECOP I, respecto de entidades regidas por el Estatuto General de Contratación de la Administración Pública. En los conceptos C-046 del 19 de febrero de 2020, C-095 del 16 de marzo de 2020, C-197 del 26 de marzo de 2020, C-170 del 6 de abril de 2020, C-172 del 6 de abril de 2020, C-176  del 6 de abril de 2020, C-009 del 27 de abril de 2020, C-009 del 27 de abril de 2020 y C-015 del 29 de abril de 2020, se estudiaron temas como el SECOP I como medio de publicidad de las actuaciones contractuales y los documentos que deben publicarse en esta plataforma. Las posiciones expuestas en estos conceptos fueron unificadas en el concepto CU-367 del 23 de julio de </w:t>
      </w:r>
      <w:r w:rsidRPr="00476ABB">
        <w:rPr>
          <w:rFonts w:ascii="Arial" w:eastAsia="Calibri" w:hAnsi="Arial" w:cs="Arial"/>
          <w:sz w:val="22"/>
          <w:lang w:val="es-ES"/>
        </w:rPr>
        <w:lastRenderedPageBreak/>
        <w:t>2020,</w:t>
      </w:r>
      <w:r w:rsidR="0069776B" w:rsidRPr="00476ABB">
        <w:rPr>
          <w:rFonts w:ascii="Arial" w:eastAsia="Calibri" w:hAnsi="Arial" w:cs="Arial"/>
          <w:sz w:val="22"/>
          <w:lang w:val="es-ES"/>
        </w:rPr>
        <w:t xml:space="preserve"> reiterado por los conceptos C-433</w:t>
      </w:r>
      <w:r w:rsidR="00820BE3" w:rsidRPr="00476ABB">
        <w:rPr>
          <w:rFonts w:ascii="Arial" w:eastAsia="Calibri" w:hAnsi="Arial" w:cs="Arial"/>
          <w:sz w:val="22"/>
          <w:lang w:val="es-ES"/>
        </w:rPr>
        <w:t>, C-468,</w:t>
      </w:r>
      <w:r w:rsidR="0069776B" w:rsidRPr="00476ABB">
        <w:rPr>
          <w:rFonts w:ascii="Arial" w:eastAsia="Calibri" w:hAnsi="Arial" w:cs="Arial"/>
          <w:sz w:val="22"/>
          <w:lang w:val="es-ES"/>
        </w:rPr>
        <w:t xml:space="preserve"> C-474 del 24 de julio de 2020,</w:t>
      </w:r>
      <w:r w:rsidR="00820BE3" w:rsidRPr="00476ABB">
        <w:rPr>
          <w:rFonts w:ascii="Arial" w:eastAsia="Calibri" w:hAnsi="Arial" w:cs="Arial"/>
          <w:sz w:val="22"/>
          <w:lang w:val="es-ES"/>
        </w:rPr>
        <w:t xml:space="preserve"> C-488 del 28 de julio de 2020, C-508 del 31 de julio de 2020, C-521 del 11 de agosto de 2020 y C-543 del 19 de agosto de 2020</w:t>
      </w:r>
      <w:r w:rsidR="0069776B" w:rsidRPr="00476ABB">
        <w:rPr>
          <w:rFonts w:ascii="Arial" w:eastAsia="Calibri" w:hAnsi="Arial" w:cs="Arial"/>
          <w:sz w:val="22"/>
          <w:lang w:val="es-ES"/>
        </w:rPr>
        <w:t>. La tesis unificada</w:t>
      </w:r>
      <w:r w:rsidRPr="00476ABB">
        <w:rPr>
          <w:rFonts w:ascii="Arial" w:eastAsia="Calibri" w:hAnsi="Arial" w:cs="Arial"/>
          <w:sz w:val="22"/>
          <w:lang w:val="es-ES"/>
        </w:rPr>
        <w:t xml:space="preserve"> se reitera en el presente concepto.</w:t>
      </w:r>
    </w:p>
    <w:p w14:paraId="64DB223C" w14:textId="58DDADD3" w:rsidR="009B7F9B" w:rsidRPr="00476ABB" w:rsidRDefault="008C0579" w:rsidP="009B7F9B">
      <w:pPr>
        <w:widowControl w:val="0"/>
        <w:tabs>
          <w:tab w:val="left" w:pos="728"/>
        </w:tabs>
        <w:autoSpaceDE w:val="0"/>
        <w:autoSpaceDN w:val="0"/>
        <w:spacing w:after="120" w:line="276" w:lineRule="auto"/>
        <w:jc w:val="both"/>
        <w:rPr>
          <w:rFonts w:ascii="Arial" w:eastAsia="Arial" w:hAnsi="Arial" w:cs="Arial"/>
          <w:sz w:val="22"/>
          <w:lang w:val="es-ES"/>
        </w:rPr>
      </w:pPr>
      <w:r w:rsidRPr="00476ABB">
        <w:rPr>
          <w:rFonts w:ascii="Arial" w:eastAsia="Arial" w:hAnsi="Arial" w:cs="Arial"/>
          <w:sz w:val="22"/>
          <w:lang w:val="es-ES"/>
        </w:rPr>
        <w:tab/>
      </w:r>
      <w:r w:rsidR="009B7F9B" w:rsidRPr="00476ABB">
        <w:rPr>
          <w:rFonts w:ascii="Arial" w:eastAsia="Arial" w:hAnsi="Arial" w:cs="Arial"/>
          <w:sz w:val="22"/>
          <w:lang w:val="es-ES"/>
        </w:rPr>
        <w:t>La contratación pública comprende, entre otros aspectos, la toma de decisiones del gasto que las entidades realizan como ejecución de los recursos públicos asignados para adquirir bienes, obras o servicios que satisfacen sus necesidades, y en esa medida cumplen el interés general, que es la finalidad que la ley les confía a través de las funciones que se les encomiendan.</w:t>
      </w:r>
    </w:p>
    <w:p w14:paraId="45BD47BD" w14:textId="77777777" w:rsidR="009B7F9B" w:rsidRPr="00476ABB" w:rsidRDefault="009B7F9B" w:rsidP="009B7F9B">
      <w:pPr>
        <w:widowControl w:val="0"/>
        <w:tabs>
          <w:tab w:val="left" w:pos="728"/>
        </w:tabs>
        <w:autoSpaceDE w:val="0"/>
        <w:autoSpaceDN w:val="0"/>
        <w:spacing w:after="120" w:line="276" w:lineRule="auto"/>
        <w:jc w:val="both"/>
        <w:rPr>
          <w:rFonts w:ascii="Arial" w:eastAsia="Arial" w:hAnsi="Arial" w:cs="Arial"/>
          <w:sz w:val="22"/>
          <w:lang w:val="es-ES"/>
        </w:rPr>
      </w:pPr>
      <w:r w:rsidRPr="00476ABB">
        <w:rPr>
          <w:rFonts w:ascii="Arial" w:eastAsia="Arial" w:hAnsi="Arial" w:cs="Arial"/>
          <w:sz w:val="22"/>
          <w:lang w:val="es-ES"/>
        </w:rPr>
        <w:tab/>
        <w:t>En ese sentido, teniendo en cuenta que mediante los procedimientos contractuales las entidades ejecutan recursos públicos y satisfacen el interés general, la normativa del sistema de compra pública –Ley 80 de 1993, Ley 1150 de 2007 y Decreto 1082 de 2015–, contiene los principios y procedimientos que rigen los contratos de las entidades estatales. Específicamente, el Estatuto General de Contratación de la Administración Pública –Ley 80 de 1993– se dirige a las entidades estatales que están relacionadas en su artículo 2</w:t>
      </w:r>
      <w:r w:rsidRPr="00476ABB">
        <w:rPr>
          <w:rFonts w:ascii="Arial" w:eastAsia="Arial" w:hAnsi="Arial" w:cs="Arial"/>
          <w:sz w:val="22"/>
          <w:vertAlign w:val="superscript"/>
          <w:lang w:val="es-ES"/>
        </w:rPr>
        <w:footnoteReference w:id="1"/>
      </w:r>
      <w:r w:rsidRPr="00476ABB">
        <w:rPr>
          <w:rFonts w:ascii="Arial" w:eastAsia="Arial" w:hAnsi="Arial" w:cs="Arial"/>
          <w:sz w:val="22"/>
          <w:lang w:val="es-ES"/>
        </w:rPr>
        <w:t>, con  lo cual se puede determinar quiénes deben cumplir los principios y obligaciones señalados en las normas citadas.</w:t>
      </w:r>
    </w:p>
    <w:p w14:paraId="097605BD" w14:textId="77777777" w:rsidR="009B7F9B" w:rsidRPr="00476ABB" w:rsidRDefault="009B7F9B" w:rsidP="009B7F9B">
      <w:pPr>
        <w:widowControl w:val="0"/>
        <w:tabs>
          <w:tab w:val="left" w:pos="728"/>
        </w:tabs>
        <w:autoSpaceDE w:val="0"/>
        <w:autoSpaceDN w:val="0"/>
        <w:spacing w:after="120" w:line="276" w:lineRule="auto"/>
        <w:jc w:val="both"/>
        <w:rPr>
          <w:rFonts w:ascii="Arial" w:eastAsia="Arial" w:hAnsi="Arial" w:cs="Arial"/>
          <w:sz w:val="22"/>
          <w:lang w:val="es-ES"/>
        </w:rPr>
      </w:pPr>
      <w:r w:rsidRPr="00476ABB">
        <w:rPr>
          <w:rFonts w:ascii="Arial" w:eastAsia="Arial" w:hAnsi="Arial" w:cs="Arial"/>
          <w:sz w:val="22"/>
          <w:lang w:val="es-ES"/>
        </w:rPr>
        <w:tab/>
        <w:t>El artículo 23 de la Ley 80 de 1993 regula los principios que rigen las actuaciones dentro de los procedimientos contractuales que adelantan las entidades</w:t>
      </w:r>
      <w:r w:rsidRPr="00476ABB">
        <w:rPr>
          <w:rFonts w:ascii="Arial" w:eastAsia="Arial" w:hAnsi="Arial" w:cs="Arial"/>
          <w:sz w:val="22"/>
          <w:vertAlign w:val="superscript"/>
          <w:lang w:val="es-ES"/>
        </w:rPr>
        <w:footnoteReference w:id="2"/>
      </w:r>
      <w:r w:rsidRPr="00476ABB">
        <w:rPr>
          <w:rFonts w:ascii="Arial" w:eastAsia="Arial" w:hAnsi="Arial" w:cs="Arial"/>
          <w:sz w:val="22"/>
          <w:lang w:val="es-ES"/>
        </w:rPr>
        <w:t xml:space="preserve">, y se destaca el principio de transparencia, desarrollado por el artículo 24, que contiene las reglas que </w:t>
      </w:r>
      <w:r w:rsidRPr="00476ABB">
        <w:rPr>
          <w:rFonts w:ascii="Arial" w:eastAsia="Arial" w:hAnsi="Arial" w:cs="Arial"/>
          <w:sz w:val="22"/>
          <w:lang w:val="es-ES"/>
        </w:rPr>
        <w:lastRenderedPageBreak/>
        <w:t>permiten a los interesados conocer las actuaciones contractuales, que son públicas para poder controvertirlas a través de observaciones, por lo que se conforma un expediente y se expiden copias, de acuerdo con lo dispuesto por la norma</w:t>
      </w:r>
      <w:r w:rsidRPr="00476ABB">
        <w:rPr>
          <w:rFonts w:ascii="Arial" w:eastAsia="Arial" w:hAnsi="Arial" w:cs="Arial"/>
          <w:sz w:val="22"/>
          <w:vertAlign w:val="superscript"/>
          <w:lang w:val="es-ES"/>
        </w:rPr>
        <w:footnoteReference w:id="3"/>
      </w:r>
      <w:r w:rsidRPr="00476ABB">
        <w:rPr>
          <w:rFonts w:ascii="Arial" w:eastAsia="Arial" w:hAnsi="Arial" w:cs="Arial"/>
          <w:sz w:val="22"/>
          <w:lang w:val="es-ES"/>
        </w:rPr>
        <w:t>. De esta forma, las entidades estatales deben publicar sus actuaciones de los procedimientos contractuales en el medio que ha definido el Estado para tal fin.</w:t>
      </w:r>
    </w:p>
    <w:p w14:paraId="0FC6E29A" w14:textId="39DACCA4" w:rsidR="009B7F9B" w:rsidRPr="00476ABB" w:rsidRDefault="009B7F9B" w:rsidP="009B7F9B">
      <w:pPr>
        <w:widowControl w:val="0"/>
        <w:tabs>
          <w:tab w:val="left" w:pos="728"/>
        </w:tabs>
        <w:autoSpaceDE w:val="0"/>
        <w:autoSpaceDN w:val="0"/>
        <w:spacing w:line="276" w:lineRule="auto"/>
        <w:jc w:val="both"/>
        <w:rPr>
          <w:rFonts w:ascii="Arial" w:eastAsia="Arial" w:hAnsi="Arial" w:cs="Arial"/>
          <w:sz w:val="22"/>
          <w:lang w:val="es-ES"/>
        </w:rPr>
      </w:pPr>
      <w:r w:rsidRPr="00476ABB">
        <w:rPr>
          <w:rFonts w:ascii="Arial" w:eastAsia="Arial" w:hAnsi="Arial" w:cs="Arial"/>
          <w:sz w:val="22"/>
          <w:lang w:val="es-ES"/>
        </w:rPr>
        <w:tab/>
        <w:t>Para resolver su consulta relacionada con la publicidad en el SECOP: i) en primer lugar se desarrollará el marco normativo de los procedimientos contractuales y su publicidad; y ii) se señalarán los documentos que se deben publicar en el SECOP</w:t>
      </w:r>
      <w:r w:rsidR="008C0579" w:rsidRPr="00476ABB">
        <w:rPr>
          <w:rFonts w:ascii="Arial" w:eastAsia="Arial" w:hAnsi="Arial" w:cs="Arial"/>
          <w:sz w:val="22"/>
          <w:lang w:val="es-ES"/>
        </w:rPr>
        <w:t>, conforme a la tesis expuesta por esta Agencia en el concepto CU-</w:t>
      </w:r>
      <w:r w:rsidR="00107E4D" w:rsidRPr="00476ABB">
        <w:rPr>
          <w:rFonts w:ascii="Arial" w:eastAsia="Arial" w:hAnsi="Arial" w:cs="Arial"/>
          <w:sz w:val="22"/>
          <w:lang w:val="es-ES"/>
        </w:rPr>
        <w:t>367 del 23 de julio de 2020</w:t>
      </w:r>
      <w:r w:rsidRPr="00476ABB">
        <w:rPr>
          <w:rFonts w:ascii="Arial" w:eastAsia="Arial" w:hAnsi="Arial" w:cs="Arial"/>
          <w:sz w:val="22"/>
          <w:lang w:val="es-ES"/>
        </w:rPr>
        <w:t>.</w:t>
      </w:r>
    </w:p>
    <w:p w14:paraId="23D4B95B" w14:textId="77777777" w:rsidR="00820BE3" w:rsidRPr="00476ABB" w:rsidRDefault="00820BE3" w:rsidP="009B7F9B">
      <w:pPr>
        <w:widowControl w:val="0"/>
        <w:tabs>
          <w:tab w:val="left" w:pos="728"/>
        </w:tabs>
        <w:autoSpaceDE w:val="0"/>
        <w:autoSpaceDN w:val="0"/>
        <w:spacing w:line="276" w:lineRule="auto"/>
        <w:jc w:val="both"/>
        <w:rPr>
          <w:rFonts w:ascii="Arial" w:eastAsia="Arial" w:hAnsi="Arial" w:cs="Arial"/>
          <w:sz w:val="22"/>
          <w:lang w:val="es-ES"/>
        </w:rPr>
      </w:pPr>
    </w:p>
    <w:p w14:paraId="1FFA97A1" w14:textId="05B2939F" w:rsidR="009B7F9B" w:rsidRPr="00476ABB" w:rsidRDefault="009B7F9B" w:rsidP="00D12042">
      <w:pPr>
        <w:pStyle w:val="Prrafodelista"/>
        <w:widowControl w:val="0"/>
        <w:numPr>
          <w:ilvl w:val="1"/>
          <w:numId w:val="8"/>
        </w:numPr>
        <w:tabs>
          <w:tab w:val="left" w:pos="728"/>
        </w:tabs>
        <w:autoSpaceDE w:val="0"/>
        <w:autoSpaceDN w:val="0"/>
        <w:spacing w:line="276" w:lineRule="auto"/>
        <w:ind w:left="709"/>
        <w:jc w:val="both"/>
        <w:rPr>
          <w:rFonts w:ascii="Arial" w:eastAsia="Arial" w:hAnsi="Arial" w:cs="Arial"/>
          <w:b/>
          <w:bCs/>
          <w:sz w:val="22"/>
          <w:lang w:val="es-ES"/>
        </w:rPr>
      </w:pPr>
      <w:r w:rsidRPr="00476ABB">
        <w:rPr>
          <w:rFonts w:ascii="Arial" w:eastAsia="Arial" w:hAnsi="Arial" w:cs="Arial"/>
          <w:b/>
          <w:bCs/>
          <w:sz w:val="22"/>
          <w:lang w:val="es-ES"/>
        </w:rPr>
        <w:t xml:space="preserve">Principio de publicidad y acceso a la información pública </w:t>
      </w:r>
    </w:p>
    <w:p w14:paraId="618C0518" w14:textId="77777777" w:rsidR="00107E4D" w:rsidRPr="00476ABB" w:rsidRDefault="00107E4D" w:rsidP="00107E4D">
      <w:pPr>
        <w:pStyle w:val="Prrafodelista"/>
        <w:widowControl w:val="0"/>
        <w:tabs>
          <w:tab w:val="left" w:pos="728"/>
        </w:tabs>
        <w:autoSpaceDE w:val="0"/>
        <w:autoSpaceDN w:val="0"/>
        <w:spacing w:line="276" w:lineRule="auto"/>
        <w:ind w:left="1080"/>
        <w:jc w:val="both"/>
        <w:rPr>
          <w:rFonts w:ascii="Arial" w:eastAsia="Arial" w:hAnsi="Arial" w:cs="Arial"/>
          <w:b/>
          <w:bCs/>
          <w:sz w:val="22"/>
          <w:lang w:val="es-ES"/>
        </w:rPr>
      </w:pPr>
    </w:p>
    <w:p w14:paraId="53BF6E87" w14:textId="77777777" w:rsidR="00107E4D" w:rsidRPr="00476ABB" w:rsidRDefault="00107E4D" w:rsidP="00107E4D">
      <w:pPr>
        <w:widowControl w:val="0"/>
        <w:tabs>
          <w:tab w:val="left" w:pos="728"/>
        </w:tabs>
        <w:autoSpaceDE w:val="0"/>
        <w:autoSpaceDN w:val="0"/>
        <w:spacing w:line="276" w:lineRule="auto"/>
        <w:jc w:val="both"/>
        <w:rPr>
          <w:rFonts w:ascii="Arial" w:eastAsia="Arial" w:hAnsi="Arial" w:cs="Arial"/>
          <w:b/>
          <w:sz w:val="22"/>
          <w:lang w:val="es-ES"/>
        </w:rPr>
      </w:pPr>
      <w:r w:rsidRPr="00476ABB">
        <w:rPr>
          <w:rFonts w:ascii="Arial" w:eastAsia="Arial" w:hAnsi="Arial" w:cs="Arial"/>
          <w:sz w:val="22"/>
          <w:lang w:val="es-ES"/>
        </w:rPr>
        <w:t xml:space="preserve">Para la Corte Constitucional el principio de publicidad es la garantía de las personas de conocer las actuaciones judiciales y administrativas y con base en ese conocimiento tener la posibilidad de exigir que se realicen conforme a la ley: </w:t>
      </w:r>
    </w:p>
    <w:p w14:paraId="72001239" w14:textId="77777777" w:rsidR="00107E4D" w:rsidRPr="00476ABB" w:rsidRDefault="00107E4D" w:rsidP="00107E4D">
      <w:pPr>
        <w:widowControl w:val="0"/>
        <w:tabs>
          <w:tab w:val="left" w:pos="728"/>
        </w:tabs>
        <w:autoSpaceDE w:val="0"/>
        <w:autoSpaceDN w:val="0"/>
        <w:spacing w:line="276" w:lineRule="auto"/>
        <w:jc w:val="both"/>
        <w:rPr>
          <w:rFonts w:ascii="Arial" w:eastAsia="Arial" w:hAnsi="Arial" w:cs="Arial"/>
          <w:sz w:val="22"/>
          <w:lang w:val="es-ES"/>
        </w:rPr>
      </w:pPr>
    </w:p>
    <w:p w14:paraId="1F787B9B" w14:textId="0AAC69B0" w:rsidR="00107E4D" w:rsidRPr="00476ABB" w:rsidRDefault="00107E4D" w:rsidP="009B3335">
      <w:pPr>
        <w:widowControl w:val="0"/>
        <w:tabs>
          <w:tab w:val="left" w:pos="728"/>
        </w:tabs>
        <w:autoSpaceDE w:val="0"/>
        <w:autoSpaceDN w:val="0"/>
        <w:spacing w:after="120"/>
        <w:ind w:left="709" w:right="709"/>
        <w:jc w:val="both"/>
        <w:rPr>
          <w:rFonts w:ascii="Arial" w:eastAsia="Arial" w:hAnsi="Arial" w:cs="Arial"/>
          <w:sz w:val="21"/>
          <w:szCs w:val="21"/>
          <w:lang w:val="es-ES"/>
        </w:rPr>
      </w:pPr>
      <w:r w:rsidRPr="00476ABB">
        <w:rPr>
          <w:rFonts w:ascii="Arial" w:eastAsia="Arial" w:hAnsi="Arial" w:cs="Arial"/>
          <w:sz w:val="21"/>
          <w:szCs w:val="21"/>
          <w:lang w:val="es-ES"/>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6C2AB5E2" w14:textId="77777777" w:rsidR="00107E4D" w:rsidRPr="00476ABB" w:rsidRDefault="00107E4D" w:rsidP="00107E4D">
      <w:pPr>
        <w:widowControl w:val="0"/>
        <w:tabs>
          <w:tab w:val="left" w:pos="728"/>
        </w:tabs>
        <w:autoSpaceDE w:val="0"/>
        <w:autoSpaceDN w:val="0"/>
        <w:ind w:left="709" w:right="709"/>
        <w:jc w:val="both"/>
        <w:rPr>
          <w:rFonts w:ascii="Arial" w:eastAsia="Arial" w:hAnsi="Arial" w:cs="Arial"/>
          <w:sz w:val="21"/>
          <w:szCs w:val="21"/>
          <w:lang w:val="es-ES"/>
        </w:rPr>
      </w:pPr>
      <w:r w:rsidRPr="00476ABB">
        <w:rPr>
          <w:rFonts w:ascii="Arial" w:eastAsia="Arial" w:hAnsi="Arial" w:cs="Arial"/>
          <w:sz w:val="21"/>
          <w:szCs w:val="21"/>
          <w:lang w:val="es-ES"/>
        </w:rPr>
        <w:t>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autoridades públicas y, a través de ese conocimiento, a exigir que ellas se surtan conforme a la ley</w:t>
      </w:r>
      <w:r w:rsidRPr="00476ABB">
        <w:rPr>
          <w:rFonts w:ascii="Arial" w:eastAsia="Arial" w:hAnsi="Arial" w:cs="Arial"/>
          <w:sz w:val="21"/>
          <w:szCs w:val="21"/>
          <w:vertAlign w:val="superscript"/>
          <w:lang w:val="es-ES"/>
        </w:rPr>
        <w:footnoteReference w:id="4"/>
      </w:r>
      <w:r w:rsidRPr="00476ABB">
        <w:rPr>
          <w:rFonts w:ascii="Arial" w:eastAsia="Arial" w:hAnsi="Arial" w:cs="Arial"/>
          <w:sz w:val="21"/>
          <w:szCs w:val="21"/>
          <w:lang w:val="es-ES"/>
        </w:rPr>
        <w:t>.</w:t>
      </w:r>
    </w:p>
    <w:p w14:paraId="3D90915E" w14:textId="77777777" w:rsidR="00107E4D" w:rsidRPr="00476ABB" w:rsidRDefault="00107E4D" w:rsidP="00107E4D">
      <w:pPr>
        <w:widowControl w:val="0"/>
        <w:tabs>
          <w:tab w:val="left" w:pos="728"/>
        </w:tabs>
        <w:autoSpaceDE w:val="0"/>
        <w:autoSpaceDN w:val="0"/>
        <w:spacing w:line="276" w:lineRule="auto"/>
        <w:jc w:val="both"/>
        <w:rPr>
          <w:rFonts w:ascii="Arial" w:eastAsia="Arial" w:hAnsi="Arial" w:cs="Arial"/>
          <w:sz w:val="22"/>
          <w:lang w:val="es-ES"/>
        </w:rPr>
      </w:pPr>
    </w:p>
    <w:p w14:paraId="6E259D23" w14:textId="77777777" w:rsidR="00107E4D" w:rsidRPr="00476ABB" w:rsidRDefault="00107E4D" w:rsidP="00107E4D">
      <w:pPr>
        <w:widowControl w:val="0"/>
        <w:tabs>
          <w:tab w:val="left" w:pos="728"/>
        </w:tabs>
        <w:autoSpaceDE w:val="0"/>
        <w:autoSpaceDN w:val="0"/>
        <w:spacing w:after="120" w:line="276" w:lineRule="auto"/>
        <w:jc w:val="both"/>
        <w:rPr>
          <w:rFonts w:ascii="Arial" w:eastAsia="Arial" w:hAnsi="Arial" w:cs="Arial"/>
          <w:sz w:val="22"/>
          <w:lang w:val="es-ES"/>
        </w:rPr>
      </w:pPr>
      <w:r w:rsidRPr="00476ABB">
        <w:rPr>
          <w:rFonts w:ascii="Arial" w:eastAsia="Arial" w:hAnsi="Arial" w:cs="Arial"/>
          <w:sz w:val="22"/>
          <w:lang w:val="es-ES"/>
        </w:rPr>
        <w:tab/>
        <w:t xml:space="preserve">El principio de publicidad impone a las autoridades administrativas el deber de dar a conocer sus actos, contratos y decisiones, para que se divulguen y eventualmente se controlen las actuaciones. El literal c) del artículo 3 de la Ley 1150 de 2007 establece que </w:t>
      </w:r>
      <w:r w:rsidRPr="00476ABB">
        <w:rPr>
          <w:rFonts w:ascii="Arial" w:eastAsia="Arial" w:hAnsi="Arial" w:cs="Arial"/>
          <w:sz w:val="22"/>
          <w:lang w:val="es-ES"/>
        </w:rPr>
        <w:lastRenderedPageBreak/>
        <w:t>el Sistema Electrónico para la Contratación Pública –SECOP– «contará con la información oficial de la contratación realizada con dineros públicos, para lo cual establecerá los patrones a que haya lugar y se encargará de su difusión a través de canales electrónicos»</w:t>
      </w:r>
      <w:r w:rsidRPr="00476ABB">
        <w:rPr>
          <w:rFonts w:ascii="Arial" w:eastAsia="Arial" w:hAnsi="Arial" w:cs="Arial"/>
          <w:sz w:val="22"/>
          <w:vertAlign w:val="superscript"/>
          <w:lang w:val="es-ES"/>
        </w:rPr>
        <w:footnoteReference w:id="5"/>
      </w:r>
      <w:r w:rsidRPr="00476ABB">
        <w:rPr>
          <w:rFonts w:ascii="Arial" w:eastAsia="Arial" w:hAnsi="Arial" w:cs="Arial"/>
          <w:sz w:val="22"/>
          <w:lang w:val="es-ES"/>
        </w:rPr>
        <w:t xml:space="preserve">. </w:t>
      </w:r>
    </w:p>
    <w:p w14:paraId="340A2753" w14:textId="77777777" w:rsidR="00107E4D" w:rsidRPr="00476ABB" w:rsidRDefault="00107E4D" w:rsidP="00107E4D">
      <w:pPr>
        <w:widowControl w:val="0"/>
        <w:tabs>
          <w:tab w:val="left" w:pos="728"/>
        </w:tabs>
        <w:autoSpaceDE w:val="0"/>
        <w:autoSpaceDN w:val="0"/>
        <w:spacing w:after="120" w:line="276" w:lineRule="auto"/>
        <w:jc w:val="both"/>
        <w:rPr>
          <w:rFonts w:ascii="Arial" w:eastAsia="Arial" w:hAnsi="Arial" w:cs="Arial"/>
          <w:sz w:val="22"/>
          <w:lang w:val="es-ES"/>
        </w:rPr>
      </w:pPr>
      <w:r w:rsidRPr="00476ABB">
        <w:rPr>
          <w:rFonts w:ascii="Arial" w:eastAsia="Arial" w:hAnsi="Arial" w:cs="Arial"/>
          <w:sz w:val="22"/>
          <w:lang w:val="es-ES"/>
        </w:rPr>
        <w:tab/>
        <w:t>De otra parte, la Ley 1712 de 2014, por medio de la cual se regula la transparencia 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476ABB">
        <w:rPr>
          <w:rFonts w:ascii="Arial" w:eastAsia="Arial" w:hAnsi="Arial" w:cs="Arial"/>
          <w:sz w:val="22"/>
          <w:vertAlign w:val="superscript"/>
          <w:lang w:val="es-ES"/>
        </w:rPr>
        <w:footnoteReference w:id="6"/>
      </w:r>
      <w:r w:rsidRPr="00476ABB">
        <w:rPr>
          <w:rFonts w:ascii="Arial" w:eastAsia="Arial" w:hAnsi="Arial" w:cs="Arial"/>
          <w:sz w:val="22"/>
          <w:lang w:val="es-ES"/>
        </w:rPr>
        <w:t xml:space="preserve">. El principio de transparencia en la información alude al deber de los sujetos de proporcionar y facilitar el acceso a la misma en los términos más amplios posibles, y a través de los medios y procedimientos que establezca la ley. </w:t>
      </w:r>
    </w:p>
    <w:p w14:paraId="04936C4E" w14:textId="2E976790" w:rsidR="00107E4D" w:rsidRPr="00476ABB" w:rsidRDefault="00107E4D" w:rsidP="00107E4D">
      <w:pPr>
        <w:widowControl w:val="0"/>
        <w:tabs>
          <w:tab w:val="left" w:pos="728"/>
        </w:tabs>
        <w:autoSpaceDE w:val="0"/>
        <w:autoSpaceDN w:val="0"/>
        <w:spacing w:after="120" w:line="276" w:lineRule="auto"/>
        <w:jc w:val="both"/>
        <w:rPr>
          <w:rFonts w:ascii="Arial" w:eastAsia="Arial" w:hAnsi="Arial" w:cs="Arial"/>
          <w:sz w:val="22"/>
          <w:lang w:val="es-ES"/>
        </w:rPr>
      </w:pPr>
      <w:r w:rsidRPr="00476ABB">
        <w:rPr>
          <w:rFonts w:ascii="Arial" w:eastAsia="Arial" w:hAnsi="Arial" w:cs="Arial"/>
          <w:sz w:val="22"/>
          <w:lang w:val="es-ES"/>
        </w:rPr>
        <w:tab/>
        <w:t>La ley citada establece, en el literal e) del artículo 9, que los sujetos obligados, que son todas las entidades públicas</w:t>
      </w:r>
      <w:r w:rsidRPr="00476ABB">
        <w:rPr>
          <w:rFonts w:ascii="Arial" w:eastAsia="Arial" w:hAnsi="Arial" w:cs="Arial"/>
          <w:sz w:val="22"/>
          <w:vertAlign w:val="superscript"/>
          <w:lang w:val="es-ES"/>
        </w:rPr>
        <w:footnoteReference w:id="7"/>
      </w:r>
      <w:r w:rsidRPr="00476ABB">
        <w:rPr>
          <w:rFonts w:ascii="Arial" w:eastAsia="Arial" w:hAnsi="Arial" w:cs="Arial"/>
          <w:sz w:val="22"/>
          <w:lang w:val="es-ES"/>
        </w:rPr>
        <w:t>, deben publicar la información relativa a su contratación. Esta obligación fue en principio desarrollada por el Decreto 103 de 2015, hoy compilado en el Decreto Único Reglamentario 1081 de 2015</w:t>
      </w:r>
      <w:r w:rsidRPr="00476ABB">
        <w:rPr>
          <w:rFonts w:ascii="Arial" w:eastAsia="Arial" w:hAnsi="Arial" w:cs="Arial"/>
          <w:sz w:val="22"/>
          <w:vertAlign w:val="superscript"/>
          <w:lang w:val="es-ES"/>
        </w:rPr>
        <w:footnoteReference w:id="8"/>
      </w:r>
      <w:r w:rsidRPr="00476ABB">
        <w:rPr>
          <w:rFonts w:ascii="Arial" w:eastAsia="Arial" w:hAnsi="Arial" w:cs="Arial"/>
          <w:sz w:val="22"/>
          <w:lang w:val="es-ES"/>
        </w:rPr>
        <w:t xml:space="preserve">, el cual dispuso que la publicación de la </w:t>
      </w:r>
      <w:r w:rsidRPr="00476ABB">
        <w:rPr>
          <w:rFonts w:ascii="Arial" w:eastAsia="Arial" w:hAnsi="Arial" w:cs="Arial"/>
          <w:sz w:val="22"/>
          <w:lang w:val="es-ES"/>
        </w:rPr>
        <w:lastRenderedPageBreak/>
        <w:t>información contractual de los sujetos obligados, que contratan con cargo a recursos públicos, debe hacerse en el Sistema Electrónico de Contratación Pública –SECOP–.</w:t>
      </w:r>
    </w:p>
    <w:p w14:paraId="26AE94F3" w14:textId="77777777" w:rsidR="00107E4D" w:rsidRPr="00476ABB" w:rsidRDefault="00107E4D" w:rsidP="00107E4D">
      <w:pPr>
        <w:widowControl w:val="0"/>
        <w:tabs>
          <w:tab w:val="left" w:pos="728"/>
        </w:tabs>
        <w:autoSpaceDE w:val="0"/>
        <w:autoSpaceDN w:val="0"/>
        <w:spacing w:after="120" w:line="276" w:lineRule="auto"/>
        <w:jc w:val="both"/>
        <w:rPr>
          <w:rFonts w:ascii="Arial" w:eastAsia="Arial" w:hAnsi="Arial" w:cs="Arial"/>
          <w:sz w:val="22"/>
          <w:lang w:val="es-ES"/>
        </w:rPr>
      </w:pPr>
      <w:r w:rsidRPr="00476ABB">
        <w:rPr>
          <w:rFonts w:ascii="Arial" w:eastAsia="Arial" w:hAnsi="Arial" w:cs="Arial"/>
          <w:sz w:val="22"/>
          <w:lang w:val="es-ES"/>
        </w:rPr>
        <w:tab/>
        <w:t xml:space="preserve">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1294F2FD" w14:textId="77777777" w:rsidR="00107E4D" w:rsidRPr="00476ABB" w:rsidRDefault="00107E4D" w:rsidP="00107E4D">
      <w:pPr>
        <w:widowControl w:val="0"/>
        <w:tabs>
          <w:tab w:val="left" w:pos="728"/>
        </w:tabs>
        <w:autoSpaceDE w:val="0"/>
        <w:autoSpaceDN w:val="0"/>
        <w:spacing w:after="120" w:line="276" w:lineRule="auto"/>
        <w:jc w:val="both"/>
        <w:rPr>
          <w:rFonts w:ascii="Arial" w:eastAsia="Arial" w:hAnsi="Arial" w:cs="Arial"/>
          <w:sz w:val="22"/>
          <w:lang w:val="es-ES"/>
        </w:rPr>
      </w:pPr>
      <w:r w:rsidRPr="00476ABB">
        <w:rPr>
          <w:rFonts w:ascii="Arial" w:eastAsia="Arial" w:hAnsi="Arial" w:cs="Arial"/>
          <w:sz w:val="22"/>
          <w:lang w:val="es-ES"/>
        </w:rPr>
        <w:tab/>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476ABB">
        <w:rPr>
          <w:rFonts w:ascii="Arial" w:eastAsia="Arial" w:hAnsi="Arial" w:cs="Arial"/>
          <w:sz w:val="22"/>
          <w:vertAlign w:val="superscript"/>
          <w:lang w:val="es-ES"/>
        </w:rPr>
        <w:footnoteReference w:id="9"/>
      </w:r>
      <w:r w:rsidRPr="00476ABB">
        <w:rPr>
          <w:rFonts w:ascii="Arial" w:eastAsia="Arial" w:hAnsi="Arial" w:cs="Arial"/>
          <w:sz w:val="22"/>
          <w:lang w:val="es-ES"/>
        </w:rPr>
        <w:t>.</w:t>
      </w:r>
    </w:p>
    <w:p w14:paraId="773A9D0A" w14:textId="77777777" w:rsidR="00107E4D" w:rsidRPr="00476ABB" w:rsidRDefault="00107E4D" w:rsidP="00107E4D">
      <w:pPr>
        <w:widowControl w:val="0"/>
        <w:tabs>
          <w:tab w:val="left" w:pos="728"/>
        </w:tabs>
        <w:autoSpaceDE w:val="0"/>
        <w:autoSpaceDN w:val="0"/>
        <w:spacing w:line="276" w:lineRule="auto"/>
        <w:jc w:val="both"/>
        <w:rPr>
          <w:rFonts w:ascii="Arial" w:hAnsi="Arial" w:cs="Arial"/>
          <w:sz w:val="22"/>
          <w:lang w:val="es-ES"/>
        </w:rPr>
      </w:pPr>
      <w:r w:rsidRPr="00476ABB">
        <w:rPr>
          <w:rFonts w:ascii="Arial" w:eastAsia="Arial" w:hAnsi="Arial" w:cs="Arial"/>
          <w:sz w:val="22"/>
          <w:lang w:val="es-ES"/>
        </w:rPr>
        <w:tab/>
      </w:r>
      <w:r w:rsidRPr="00476ABB">
        <w:rPr>
          <w:rFonts w:ascii="Arial" w:hAnsi="Arial" w:cs="Arial"/>
          <w:sz w:val="22"/>
          <w:lang w:val="es-ES"/>
        </w:rPr>
        <w:t xml:space="preserve"> El deber de publicidad de los documentos expedidos en virtud de la actividad contractual que se desprende del artículo 3 de la Ley 1150 de 2007, se encuentra regulado por el artículo 2.2.1.1.1.7.1. del Decreto 1082 de 2015 el cual establece los documentos que se deben publicar y al SECOP como medio de publicación</w:t>
      </w:r>
      <w:r w:rsidRPr="00476ABB">
        <w:rPr>
          <w:rFonts w:ascii="Arial" w:hAnsi="Arial" w:cs="Arial"/>
          <w:sz w:val="22"/>
          <w:vertAlign w:val="superscript"/>
          <w:lang w:val="es-ES"/>
        </w:rPr>
        <w:footnoteReference w:id="10"/>
      </w:r>
      <w:r w:rsidRPr="00476ABB">
        <w:rPr>
          <w:rFonts w:ascii="Arial" w:hAnsi="Arial" w:cs="Arial"/>
          <w:sz w:val="22"/>
          <w:lang w:val="es-ES"/>
        </w:rPr>
        <w:t>,  lo que permite controlar las actuaciones y decisiones de la Administración y el cumplimiento de los demás principios de la contratación pública. Así lo confirma el Consejo de Estado, analizando el principio de publicidad:</w:t>
      </w:r>
    </w:p>
    <w:p w14:paraId="1EA76D44" w14:textId="77777777" w:rsidR="00107E4D" w:rsidRPr="00476ABB" w:rsidRDefault="00107E4D" w:rsidP="009B3335">
      <w:pPr>
        <w:ind w:left="709" w:right="709"/>
        <w:jc w:val="both"/>
        <w:rPr>
          <w:rFonts w:ascii="Arial" w:hAnsi="Arial" w:cs="Arial"/>
          <w:sz w:val="22"/>
          <w:lang w:val="es-ES"/>
        </w:rPr>
      </w:pPr>
    </w:p>
    <w:p w14:paraId="57D9A301" w14:textId="135F35DE" w:rsidR="00107E4D" w:rsidRPr="00476ABB" w:rsidRDefault="00107E4D">
      <w:pPr>
        <w:spacing w:after="120"/>
        <w:ind w:left="709" w:right="709"/>
        <w:jc w:val="both"/>
        <w:rPr>
          <w:rFonts w:ascii="Arial" w:hAnsi="Arial" w:cs="Arial"/>
          <w:sz w:val="21"/>
          <w:szCs w:val="21"/>
          <w:lang w:val="es-ES"/>
        </w:rPr>
      </w:pPr>
      <w:r w:rsidRPr="00476ABB">
        <w:rPr>
          <w:rFonts w:ascii="Arial" w:hAnsi="Arial" w:cs="Arial"/>
          <w:sz w:val="21"/>
          <w:szCs w:val="21"/>
          <w:lang w:val="es-ES"/>
        </w:rPr>
        <w:t xml:space="preserve">En virtud del principio de publicidad: las autoridades deben dar a conocer sus actuaciones y decisiones mediante las comunicaciones, notificaciones o publicaciones que ordena la ley, con el propósito de que sean vinculantes y puedan ser acatadas por sus destinatarios. Publicidad significa anunciar, divulgar, difundir, informar y revelar las decisiones y su motivación para hacerlas </w:t>
      </w:r>
      <w:r w:rsidRPr="00476ABB">
        <w:rPr>
          <w:rFonts w:ascii="Arial" w:hAnsi="Arial" w:cs="Arial"/>
          <w:sz w:val="21"/>
          <w:szCs w:val="21"/>
          <w:lang w:val="es-ES"/>
        </w:rPr>
        <w:lastRenderedPageBreak/>
        <w:t>saber a quiénes va dirigida, de manera que puedan ser obligatorias, controvertibles y controlables.</w:t>
      </w:r>
    </w:p>
    <w:p w14:paraId="20FFD7D3" w14:textId="46A25094" w:rsidR="00107E4D" w:rsidRPr="00476ABB" w:rsidRDefault="00107E4D">
      <w:pPr>
        <w:spacing w:after="120"/>
        <w:ind w:left="709" w:right="709"/>
        <w:jc w:val="both"/>
        <w:rPr>
          <w:rFonts w:ascii="Arial" w:hAnsi="Arial" w:cs="Arial"/>
          <w:sz w:val="21"/>
          <w:szCs w:val="21"/>
          <w:lang w:val="es-ES"/>
        </w:rPr>
      </w:pPr>
      <w:r w:rsidRPr="00476ABB">
        <w:rPr>
          <w:rFonts w:ascii="Arial" w:hAnsi="Arial" w:cs="Arial"/>
          <w:sz w:val="21"/>
          <w:szCs w:val="21"/>
          <w:lang w:val="es-ES"/>
        </w:rPr>
        <w:t>En efecto, los posibles oferentes y la comunidad en general deben tener conocimiento o la oportunidad de conocer tanto la convocatoria y reglas del proceso de selección o llamado a la licitación, como los actos y hechos del procedimiento y los participantes de presentar observaciones (art. 24 Nos. 2 y 6 y 30 No. 3 Ley 80 de 1993). La actuación de la administración debe ser abierta al público y a los participantes o concurrentes, quienes, incluso, en el caso de la licitación pueden hacer uso del ejercicio del derecho a la audiencia pública (art. 24 No. 3 ibídem en armonía con el artículo 273 de la Constitución Política).</w:t>
      </w:r>
    </w:p>
    <w:p w14:paraId="120774EC" w14:textId="77777777" w:rsidR="00107E4D" w:rsidRPr="00476ABB" w:rsidRDefault="00107E4D" w:rsidP="009B3335">
      <w:pPr>
        <w:ind w:left="709" w:right="709"/>
        <w:jc w:val="both"/>
        <w:rPr>
          <w:rFonts w:ascii="Arial" w:hAnsi="Arial" w:cs="Arial"/>
          <w:sz w:val="21"/>
          <w:szCs w:val="21"/>
          <w:lang w:val="es-ES"/>
        </w:rPr>
      </w:pPr>
      <w:r w:rsidRPr="00476ABB">
        <w:rPr>
          <w:rFonts w:ascii="Arial" w:hAnsi="Arial" w:cs="Arial"/>
          <w:sz w:val="21"/>
          <w:szCs w:val="21"/>
          <w:lang w:val="es-ES"/>
        </w:rPr>
        <w:t>Este principio-deber también se traduce en el correlativo derecho de los interesados de enterarse de esas actuaciones de la administración, pedir por parte de quien demuestre un interés legítimo información y solicitar las copias de los documentos que la integran, con sujeción a la reserva de ley (art. 23 y 74 de la C.P., No. 4 del artículo 24 de la Ley 80 de 1993, entre otros)</w:t>
      </w:r>
      <w:r w:rsidRPr="00476ABB">
        <w:rPr>
          <w:rFonts w:ascii="Arial" w:hAnsi="Arial" w:cs="Arial"/>
          <w:sz w:val="21"/>
          <w:szCs w:val="21"/>
          <w:vertAlign w:val="superscript"/>
          <w:lang w:val="es-ES"/>
        </w:rPr>
        <w:footnoteReference w:id="11"/>
      </w:r>
      <w:r w:rsidRPr="00476ABB">
        <w:rPr>
          <w:rFonts w:ascii="Arial" w:hAnsi="Arial" w:cs="Arial"/>
          <w:sz w:val="21"/>
          <w:szCs w:val="21"/>
          <w:lang w:val="es-ES"/>
        </w:rPr>
        <w:t>.</w:t>
      </w:r>
    </w:p>
    <w:p w14:paraId="431D4F36" w14:textId="77777777" w:rsidR="00107E4D" w:rsidRPr="00476ABB" w:rsidRDefault="00107E4D" w:rsidP="009B3335">
      <w:pPr>
        <w:ind w:left="709" w:right="709"/>
        <w:jc w:val="both"/>
        <w:rPr>
          <w:rFonts w:ascii="Arial" w:hAnsi="Arial" w:cs="Arial"/>
          <w:sz w:val="22"/>
          <w:lang w:val="es-ES"/>
        </w:rPr>
      </w:pPr>
    </w:p>
    <w:p w14:paraId="56749D69" w14:textId="77777777" w:rsidR="00107E4D" w:rsidRPr="00476ABB" w:rsidRDefault="00107E4D" w:rsidP="00107E4D">
      <w:pPr>
        <w:spacing w:after="120" w:line="276" w:lineRule="auto"/>
        <w:ind w:firstLine="709"/>
        <w:jc w:val="both"/>
        <w:rPr>
          <w:rFonts w:ascii="Arial" w:hAnsi="Arial" w:cs="Arial"/>
          <w:sz w:val="22"/>
          <w:lang w:val="es-ES"/>
        </w:rPr>
      </w:pPr>
      <w:r w:rsidRPr="00476ABB">
        <w:rPr>
          <w:rFonts w:ascii="Arial" w:hAnsi="Arial" w:cs="Arial"/>
          <w:sz w:val="22"/>
          <w:lang w:val="es-ES"/>
        </w:rPr>
        <w:t xml:space="preserve">De acuerdo con esto, las entidades deben cumplir con el principio de publicidad respecto de su actividad contractual como garantía para los administrados, para conocer las actuaciones y participar en el control de estas, siendo el SECOP la herramienta que dispuso el Estado para que las entidades cumplan el principio de publicidad. </w:t>
      </w:r>
    </w:p>
    <w:p w14:paraId="52C7BA55" w14:textId="016CCBAB" w:rsidR="00107E4D" w:rsidRPr="00476ABB" w:rsidRDefault="00107E4D" w:rsidP="00107E4D">
      <w:pPr>
        <w:spacing w:after="120" w:line="276" w:lineRule="auto"/>
        <w:ind w:firstLine="709"/>
        <w:jc w:val="both"/>
        <w:rPr>
          <w:rFonts w:ascii="Arial" w:hAnsi="Arial" w:cs="Arial"/>
          <w:sz w:val="22"/>
          <w:lang w:val="es-ES"/>
        </w:rPr>
      </w:pPr>
      <w:r w:rsidRPr="00476ABB">
        <w:rPr>
          <w:rFonts w:ascii="Arial" w:hAnsi="Arial" w:cs="Arial"/>
          <w:sz w:val="22"/>
          <w:lang w:val="es-ES"/>
        </w:rPr>
        <w:t xml:space="preserve">Conforme a lo anterior, la Agencia Nacional de Contratación Pública – Colombia Compra Eficiente, en el concepto de 4 de diciembre de 2019 –4201912000007289–, sostuvo que la disposición del artículo 3 de la Ley 1150 de 2007 debe armonizarse con lo dispuesto por el artículo 2.2.1.1.1.7.1. del Decreto 1082 de 2015 citado, donde se relacionan los documentos que se deben publicar en el SECOP, como un desarrollo de los principios de transparencia y publicidad, que busca permitir, mediante la publicación, que la ciudadanía pueda conocer la actividad contractual de las entidades, comoquiera que tales documentos dan cuenta de las decisiones de la Administración pública en beneficio del interés general y que por tanto incumben a la ciudadanía.  </w:t>
      </w:r>
    </w:p>
    <w:p w14:paraId="53442C04" w14:textId="77777777" w:rsidR="00107E4D" w:rsidRPr="00476ABB" w:rsidRDefault="00107E4D" w:rsidP="00107E4D">
      <w:pPr>
        <w:spacing w:line="276" w:lineRule="auto"/>
        <w:ind w:firstLine="709"/>
        <w:jc w:val="both"/>
        <w:rPr>
          <w:rFonts w:ascii="Arial" w:hAnsi="Arial" w:cs="Arial"/>
          <w:sz w:val="22"/>
          <w:lang w:val="es-ES"/>
        </w:rPr>
      </w:pPr>
      <w:r w:rsidRPr="00476ABB">
        <w:rPr>
          <w:rFonts w:ascii="Arial" w:hAnsi="Arial" w:cs="Arial"/>
          <w:sz w:val="22"/>
          <w:lang w:val="es-ES"/>
        </w:rPr>
        <w:t xml:space="preserve"> En conclusión, el artículo 3 de la Ley 1150 de 2007 desarrolla los principios de publicidad y transparencia de las actuaciones contractuales, del cual se desprende un deber de publicar las actuaciones contractuales, el cual implica que todas las entidades estatales, publiquen los documentos en los que se evidencia el desarrollo de sus procesos de contratación, esto comoquiera que el objetivo del deber de dar publicidad a las actuaciones contractuales es materializar el derecho a conocer e intervenir de las decisiones de la Administración Pública.</w:t>
      </w:r>
    </w:p>
    <w:p w14:paraId="55DFF81A" w14:textId="77777777" w:rsidR="00842EFF" w:rsidRPr="00476ABB" w:rsidRDefault="00842EFF" w:rsidP="009B7F9B">
      <w:pPr>
        <w:spacing w:line="276" w:lineRule="auto"/>
        <w:jc w:val="both"/>
        <w:rPr>
          <w:rFonts w:ascii="Arial" w:eastAsia="Calibri" w:hAnsi="Arial" w:cs="Arial"/>
          <w:b/>
          <w:bCs/>
          <w:sz w:val="22"/>
          <w:lang w:val="es-ES"/>
        </w:rPr>
      </w:pPr>
    </w:p>
    <w:p w14:paraId="4C3DEEEA" w14:textId="77777777" w:rsidR="00107E4D" w:rsidRPr="00476ABB" w:rsidRDefault="00107E4D" w:rsidP="00107E4D">
      <w:pPr>
        <w:spacing w:line="276" w:lineRule="auto"/>
        <w:jc w:val="both"/>
        <w:rPr>
          <w:rFonts w:ascii="Arial" w:eastAsia="Calibri" w:hAnsi="Arial" w:cs="Arial"/>
          <w:b/>
          <w:sz w:val="22"/>
          <w:lang w:val="es-ES"/>
        </w:rPr>
      </w:pPr>
      <w:r w:rsidRPr="00476ABB">
        <w:rPr>
          <w:rFonts w:ascii="Arial" w:eastAsia="Calibri" w:hAnsi="Arial" w:cs="Arial"/>
          <w:b/>
          <w:bCs/>
          <w:sz w:val="22"/>
          <w:lang w:val="es-ES"/>
        </w:rPr>
        <w:lastRenderedPageBreak/>
        <w:t xml:space="preserve">2.2. </w:t>
      </w:r>
      <w:r w:rsidRPr="00476ABB">
        <w:rPr>
          <w:rFonts w:ascii="Arial" w:eastAsia="Calibri" w:hAnsi="Arial" w:cs="Arial"/>
          <w:b/>
          <w:sz w:val="22"/>
          <w:lang w:val="es-ES"/>
        </w:rPr>
        <w:t>Procedimientos contractuales, publicidad y documentos que deben publicar en el SECOP I las entidades estatales sometidas al Estatuto General de Contratación de la Administración Pública</w:t>
      </w:r>
    </w:p>
    <w:p w14:paraId="7F036D22" w14:textId="77777777" w:rsidR="00107E4D" w:rsidRPr="00476ABB" w:rsidRDefault="00107E4D" w:rsidP="00107E4D">
      <w:pPr>
        <w:spacing w:line="276" w:lineRule="auto"/>
        <w:ind w:left="360"/>
        <w:contextualSpacing/>
        <w:jc w:val="both"/>
        <w:rPr>
          <w:rFonts w:ascii="Arial" w:hAnsi="Arial" w:cs="Arial"/>
          <w:b/>
          <w:sz w:val="22"/>
          <w:lang w:val="es-ES"/>
        </w:rPr>
      </w:pPr>
    </w:p>
    <w:p w14:paraId="2BFFA2A3" w14:textId="66DCC1BC" w:rsidR="00D12042" w:rsidRPr="00476ABB" w:rsidRDefault="00D12042" w:rsidP="00D12042">
      <w:pPr>
        <w:spacing w:line="276" w:lineRule="auto"/>
        <w:contextualSpacing/>
        <w:jc w:val="both"/>
        <w:rPr>
          <w:rFonts w:ascii="Arial" w:hAnsi="Arial" w:cs="Arial"/>
          <w:sz w:val="22"/>
          <w:lang w:val="es-ES"/>
        </w:rPr>
      </w:pPr>
      <w:r w:rsidRPr="00476ABB">
        <w:rPr>
          <w:rFonts w:ascii="Arial" w:hAnsi="Arial" w:cs="Arial"/>
          <w:sz w:val="22"/>
          <w:lang w:val="es-ES"/>
        </w:rPr>
        <w:t xml:space="preserve">La Agencia Nacional de Contratación Pública </w:t>
      </w:r>
      <w:r w:rsidR="00137A10" w:rsidRPr="00476ABB">
        <w:rPr>
          <w:rFonts w:ascii="Arial" w:hAnsi="Arial" w:cs="Arial"/>
          <w:sz w:val="22"/>
          <w:lang w:val="es-ES"/>
        </w:rPr>
        <w:t>–</w:t>
      </w:r>
      <w:r w:rsidRPr="00476ABB">
        <w:rPr>
          <w:rFonts w:ascii="Arial" w:hAnsi="Arial" w:cs="Arial"/>
          <w:sz w:val="22"/>
          <w:lang w:val="es-ES"/>
        </w:rPr>
        <w:t xml:space="preserve"> Colombia Compra Eficiente, en el concepto con radicado No. 4201912000007253 del 4 de diciembre de 2019, reiterado en el concepto con radicado No. 4201912000007289 de la misma fecha, estudió la publicidad de los procedimientos contractuales de las entidades en el SECOP I, respecto de entidades regidas por el Estatuto General de Contratación de la Administración Pública. La tesis desarrollada se expone y complementa a continuación</w:t>
      </w:r>
      <w:r w:rsidRPr="00476ABB">
        <w:rPr>
          <w:rStyle w:val="Refdenotaalpie"/>
          <w:rFonts w:ascii="Arial" w:hAnsi="Arial" w:cs="Arial"/>
          <w:sz w:val="22"/>
          <w:lang w:val="es-ES"/>
        </w:rPr>
        <w:footnoteReference w:id="12"/>
      </w:r>
      <w:r w:rsidRPr="00476ABB">
        <w:rPr>
          <w:rFonts w:ascii="Arial" w:hAnsi="Arial" w:cs="Arial"/>
          <w:sz w:val="22"/>
          <w:lang w:val="es-ES"/>
        </w:rPr>
        <w:t>:</w:t>
      </w:r>
    </w:p>
    <w:p w14:paraId="090F1D9C" w14:textId="77777777" w:rsidR="00D12042" w:rsidRPr="00476ABB" w:rsidRDefault="00D12042" w:rsidP="00D12042">
      <w:pPr>
        <w:spacing w:before="120" w:after="120" w:line="276" w:lineRule="auto"/>
        <w:ind w:firstLine="708"/>
        <w:jc w:val="both"/>
        <w:rPr>
          <w:rFonts w:ascii="Arial" w:eastAsia="Calibri" w:hAnsi="Arial" w:cs="Arial"/>
          <w:sz w:val="22"/>
          <w:lang w:val="es-ES"/>
        </w:rPr>
      </w:pPr>
      <w:r w:rsidRPr="00476ABB">
        <w:rPr>
          <w:rFonts w:ascii="Arial" w:eastAsia="Calibri" w:hAnsi="Arial" w:cs="Arial"/>
          <w:sz w:val="22"/>
          <w:lang w:val="es-ES"/>
        </w:rPr>
        <w:t>El procedimiento de contratación de las entidades es reglado, es decir, no es discrecional y se deben consultar las normas que lo rigen para determinar la forma que la ley prevé para adelantarlo. Por consiguiente, las principales normas son: la Ley 80 de 1993, la Ley 1150 de 2007  ̶ Estatuto General de Contratación de la Administración Pública ̶  y el Decreto 1082 de 2015, que es reglamentario y concreta cada modalidad de selección, señalando las reglas o pasos a seguir para celebrar el contrato estatal</w:t>
      </w:r>
      <w:r w:rsidRPr="00476ABB">
        <w:rPr>
          <w:rFonts w:ascii="Arial" w:eastAsia="Calibri" w:hAnsi="Arial" w:cs="Arial"/>
          <w:sz w:val="22"/>
          <w:vertAlign w:val="superscript"/>
          <w:lang w:val="es-ES"/>
        </w:rPr>
        <w:footnoteReference w:id="13"/>
      </w:r>
      <w:r w:rsidRPr="00476ABB">
        <w:rPr>
          <w:rFonts w:ascii="Arial" w:eastAsia="Calibri" w:hAnsi="Arial" w:cs="Arial"/>
          <w:sz w:val="22"/>
          <w:lang w:val="es-ES"/>
        </w:rPr>
        <w:t>. Por consiguiente, para que los documentos de la actividad contractual se conozcan la entidad debe publicarlos, sin importar la modalidad de selección.</w:t>
      </w:r>
    </w:p>
    <w:p w14:paraId="23EFADB5" w14:textId="77777777" w:rsidR="00D12042" w:rsidRPr="00476ABB" w:rsidRDefault="00D12042" w:rsidP="00D12042">
      <w:pPr>
        <w:widowControl w:val="0"/>
        <w:autoSpaceDE w:val="0"/>
        <w:autoSpaceDN w:val="0"/>
        <w:spacing w:line="276" w:lineRule="auto"/>
        <w:ind w:right="49" w:firstLine="708"/>
        <w:jc w:val="both"/>
        <w:rPr>
          <w:rFonts w:ascii="Arial" w:eastAsia="Arial" w:hAnsi="Arial" w:cs="Arial"/>
          <w:sz w:val="22"/>
          <w:lang w:val="es-ES"/>
        </w:rPr>
      </w:pPr>
      <w:r w:rsidRPr="00476ABB">
        <w:rPr>
          <w:rFonts w:ascii="Arial" w:eastAsia="Arial" w:hAnsi="Arial" w:cs="Arial"/>
          <w:sz w:val="22"/>
          <w:lang w:val="es-ES"/>
        </w:rPr>
        <w:t>El artículo 3 de la Ley 1150 de 2007 señala que los actos relacionados con los procedimientos de contratación de las entidades estatales pueden ser electrónicos, al igual que su publicidad, por lo que el Gobierno nacional debe definir los medios para desarrolla dicha publicidad, y tiene la obligación de desarrollar el SECOP</w:t>
      </w:r>
      <w:r w:rsidRPr="00476ABB">
        <w:rPr>
          <w:rFonts w:ascii="Arial" w:eastAsia="Arial" w:hAnsi="Arial" w:cs="Arial"/>
          <w:sz w:val="22"/>
          <w:vertAlign w:val="superscript"/>
          <w:lang w:val="es-ES"/>
        </w:rPr>
        <w:footnoteReference w:id="14"/>
      </w:r>
      <w:r w:rsidRPr="00476ABB">
        <w:rPr>
          <w:rFonts w:ascii="Arial" w:eastAsia="Arial" w:hAnsi="Arial" w:cs="Arial"/>
          <w:sz w:val="22"/>
          <w:lang w:val="es-ES"/>
        </w:rPr>
        <w:t xml:space="preserve">. Este sistema debe contar </w:t>
      </w:r>
      <w:r w:rsidRPr="00476ABB">
        <w:rPr>
          <w:rFonts w:ascii="Arial" w:eastAsia="Arial" w:hAnsi="Arial" w:cs="Arial"/>
          <w:sz w:val="22"/>
          <w:lang w:val="es-ES"/>
        </w:rPr>
        <w:lastRenderedPageBreak/>
        <w:t>con la información oficial de los procedimientos contractuales de las entidades, de lo cual será la única fuente, que al ser de interés público ameritan su conocimiento por parte de la ciudadanía, más aún cuando involucran la inversión de recursos públicos y el correlativo derecho de la ciudadanía de conocer cómo se invierten y controlar que el objetivo sea la satisfacción de sus necesidades.</w:t>
      </w:r>
    </w:p>
    <w:p w14:paraId="3CE7CFE5" w14:textId="77777777" w:rsidR="00D12042" w:rsidRPr="00476ABB" w:rsidRDefault="00D12042" w:rsidP="00D12042">
      <w:pPr>
        <w:widowControl w:val="0"/>
        <w:autoSpaceDE w:val="0"/>
        <w:autoSpaceDN w:val="0"/>
        <w:spacing w:before="120" w:line="276" w:lineRule="auto"/>
        <w:ind w:right="306" w:firstLine="709"/>
        <w:jc w:val="both"/>
        <w:rPr>
          <w:rFonts w:ascii="Arial" w:eastAsia="Arial" w:hAnsi="Arial" w:cs="Arial"/>
          <w:sz w:val="22"/>
          <w:lang w:val="es-ES"/>
        </w:rPr>
      </w:pPr>
      <w:r w:rsidRPr="00476ABB">
        <w:rPr>
          <w:rFonts w:ascii="Arial" w:eastAsia="Arial" w:hAnsi="Arial" w:cs="Arial"/>
          <w:sz w:val="22"/>
          <w:lang w:val="es-ES"/>
        </w:rPr>
        <w:t>La norma citada genera un cambio en la contratación pública, ámbito en el que las actuaciones de las entidades se realizaban por escrito y en papel, y ahora se crea un mecanismo eficiente que reduce costos, para que se cumpla el principio de publicidad, como un deber de las autoridades públicas en el ejercicio de las funciones administrativas que la ley les otorga.</w:t>
      </w:r>
    </w:p>
    <w:p w14:paraId="241F678C" w14:textId="77777777" w:rsidR="00D12042" w:rsidRPr="00476ABB" w:rsidRDefault="00D12042" w:rsidP="00D12042">
      <w:pPr>
        <w:widowControl w:val="0"/>
        <w:autoSpaceDE w:val="0"/>
        <w:autoSpaceDN w:val="0"/>
        <w:spacing w:before="120" w:line="276" w:lineRule="auto"/>
        <w:ind w:right="306" w:firstLine="709"/>
        <w:jc w:val="both"/>
        <w:rPr>
          <w:rFonts w:ascii="Arial" w:eastAsia="Arial" w:hAnsi="Arial" w:cs="Arial"/>
          <w:sz w:val="22"/>
          <w:lang w:val="es-ES"/>
        </w:rPr>
      </w:pPr>
      <w:r w:rsidRPr="00476ABB">
        <w:rPr>
          <w:rFonts w:ascii="Arial" w:eastAsia="Arial" w:hAnsi="Arial" w:cs="Arial"/>
          <w:sz w:val="22"/>
          <w:lang w:val="es-ES"/>
        </w:rPr>
        <w:t>La Corte Constitucional, en la sentencia C-711 del 12 de septiembre de 2011, con ponencia del Magistrado Mauricio González Cuervo, hizo énfasis en la transición de la actividad contractual impresa que se publicaba en el Diario Único de Contratación, a una contratación pública electrónica desarrollada mediante el SECOP:</w:t>
      </w:r>
    </w:p>
    <w:p w14:paraId="63D43A27" w14:textId="77777777" w:rsidR="00D12042" w:rsidRPr="00476ABB" w:rsidRDefault="00D12042" w:rsidP="00D12042">
      <w:pPr>
        <w:widowControl w:val="0"/>
        <w:autoSpaceDE w:val="0"/>
        <w:autoSpaceDN w:val="0"/>
        <w:rPr>
          <w:rFonts w:ascii="Arial" w:eastAsia="Arial" w:hAnsi="Arial" w:cs="Arial"/>
          <w:sz w:val="25"/>
          <w:lang w:val="es-ES"/>
        </w:rPr>
      </w:pPr>
    </w:p>
    <w:p w14:paraId="0FB41B83" w14:textId="3E012456" w:rsidR="00D12042" w:rsidRPr="00476ABB" w:rsidRDefault="00D12042" w:rsidP="009B3335">
      <w:pPr>
        <w:widowControl w:val="0"/>
        <w:autoSpaceDE w:val="0"/>
        <w:autoSpaceDN w:val="0"/>
        <w:spacing w:after="120"/>
        <w:ind w:left="709" w:right="709"/>
        <w:jc w:val="both"/>
        <w:rPr>
          <w:rFonts w:ascii="Arial" w:eastAsia="Arial" w:hAnsi="Arial" w:cs="Arial"/>
          <w:sz w:val="20"/>
          <w:lang w:val="es-ES"/>
        </w:rPr>
      </w:pPr>
      <w:r w:rsidRPr="00476ABB">
        <w:rPr>
          <w:rFonts w:ascii="Arial" w:eastAsia="Arial" w:hAnsi="Arial" w:cs="Arial"/>
          <w:sz w:val="21"/>
          <w:lang w:val="es-ES"/>
        </w:rPr>
        <w:t xml:space="preserve">En cuanto a que la supresión de la publicación en el Diario Único de Contratación fuese necesaria, y en consecuencia ajena al ámbito de las facultades extraordinarias conferidas, se concluye que, si bien la publicación de los contratos estatales puede tenerse como requisito esencial para la ejecución y control público de los contratos oficiales, no así su inclusión en una forma específica de divulgación, como el DUC. Por el contrario, al disponerse que sea publicado en un medio electrónico, al cargo y cuidado de la Agencia Nacional de Contratación Pública —Colombia Compra Eficiente—, se asegura la regularidad de este tipo de trámite, en manos de una entidad responsable de realizarlo; y, </w:t>
      </w:r>
      <w:r w:rsidRPr="00476ABB">
        <w:rPr>
          <w:rFonts w:ascii="Arial" w:eastAsia="Arial" w:hAnsi="Arial" w:cs="Arial"/>
          <w:sz w:val="21"/>
          <w:lang w:val="es-ES"/>
        </w:rPr>
        <w:lastRenderedPageBreak/>
        <w:t>simultáneamente, se cumple la finalidad de la publicación, que no otra distinta de brindarle al público la posibilidad de acceso fácil, oportuno, idóneo y eficaz a los términos de la contratación</w:t>
      </w:r>
      <w:r w:rsidRPr="00476ABB">
        <w:rPr>
          <w:rFonts w:ascii="Arial" w:eastAsia="Arial" w:hAnsi="Arial" w:cs="Arial"/>
          <w:spacing w:val="-6"/>
          <w:sz w:val="21"/>
          <w:lang w:val="es-ES"/>
        </w:rPr>
        <w:t xml:space="preserve"> </w:t>
      </w:r>
      <w:r w:rsidRPr="00476ABB">
        <w:rPr>
          <w:rFonts w:ascii="Arial" w:eastAsia="Arial" w:hAnsi="Arial" w:cs="Arial"/>
          <w:sz w:val="21"/>
          <w:lang w:val="es-ES"/>
        </w:rPr>
        <w:t>estatal.</w:t>
      </w:r>
    </w:p>
    <w:p w14:paraId="0B902318" w14:textId="77777777" w:rsidR="00D12042" w:rsidRPr="00476ABB" w:rsidRDefault="00D12042" w:rsidP="00D12042">
      <w:pPr>
        <w:widowControl w:val="0"/>
        <w:autoSpaceDE w:val="0"/>
        <w:autoSpaceDN w:val="0"/>
        <w:spacing w:before="1"/>
        <w:ind w:left="709" w:right="709"/>
        <w:jc w:val="both"/>
        <w:rPr>
          <w:rFonts w:ascii="Arial" w:eastAsia="Arial" w:hAnsi="Arial" w:cs="Arial"/>
          <w:sz w:val="21"/>
          <w:lang w:val="es-ES"/>
        </w:rPr>
      </w:pPr>
      <w:r w:rsidRPr="00476ABB">
        <w:rPr>
          <w:rFonts w:ascii="Arial" w:eastAsia="Arial" w:hAnsi="Arial" w:cs="Arial"/>
          <w:sz w:val="21"/>
          <w:lang w:val="es-ES"/>
        </w:rPr>
        <w:t xml:space="preserve">Para la Corte, la publicación de los contratos estatales en el SECOP cumple cabalmente con las exigencias constitucionales de publicidad administrativa. En efecto, permite la presentación de la totalidad del contenido aludido, en un medio al que puede tener acceso al público en general, facilitando a los ciudadanos el conocimiento de las actuaciones de la administración y de los particulares en los procesos de contratación estatal y facilitando su participación en las decisiones que les afectan. </w:t>
      </w:r>
      <w:r w:rsidRPr="00476ABB">
        <w:rPr>
          <w:rFonts w:ascii="Arial" w:eastAsia="Arial" w:hAnsi="Arial" w:cs="Arial"/>
          <w:spacing w:val="-3"/>
          <w:sz w:val="21"/>
          <w:lang w:val="es-ES"/>
        </w:rPr>
        <w:t xml:space="preserve">Y, </w:t>
      </w:r>
      <w:r w:rsidRPr="00476ABB">
        <w:rPr>
          <w:rFonts w:ascii="Arial" w:eastAsia="Arial" w:hAnsi="Arial" w:cs="Arial"/>
          <w:sz w:val="21"/>
          <w:lang w:val="es-ES"/>
        </w:rPr>
        <w:t>de conteras, suple algunas de las limitaciones de las que adolecía el Diario Único de Contratación, en términos de cobertura geográfica, de cantidad de ejemplares y de posibilidad de acceso por parte de la</w:t>
      </w:r>
      <w:r w:rsidRPr="00476ABB">
        <w:rPr>
          <w:rFonts w:ascii="Arial" w:eastAsia="Arial" w:hAnsi="Arial" w:cs="Arial"/>
          <w:spacing w:val="-4"/>
          <w:sz w:val="21"/>
          <w:lang w:val="es-ES"/>
        </w:rPr>
        <w:t xml:space="preserve"> </w:t>
      </w:r>
      <w:r w:rsidRPr="00476ABB">
        <w:rPr>
          <w:rFonts w:ascii="Arial" w:eastAsia="Arial" w:hAnsi="Arial" w:cs="Arial"/>
          <w:sz w:val="21"/>
          <w:lang w:val="es-ES"/>
        </w:rPr>
        <w:t>ciudadanía.</w:t>
      </w:r>
    </w:p>
    <w:p w14:paraId="339F1388" w14:textId="77777777" w:rsidR="00D12042" w:rsidRPr="00476ABB" w:rsidRDefault="00D12042" w:rsidP="00D12042">
      <w:pPr>
        <w:widowControl w:val="0"/>
        <w:autoSpaceDE w:val="0"/>
        <w:autoSpaceDN w:val="0"/>
        <w:spacing w:before="1" w:line="276" w:lineRule="auto"/>
        <w:ind w:right="307"/>
        <w:jc w:val="both"/>
        <w:rPr>
          <w:rFonts w:ascii="Arial" w:eastAsia="Arial" w:hAnsi="Arial" w:cs="Arial"/>
          <w:sz w:val="22"/>
          <w:lang w:val="es-ES"/>
        </w:rPr>
      </w:pPr>
    </w:p>
    <w:p w14:paraId="78BD0AA4" w14:textId="77777777" w:rsidR="00D12042" w:rsidRPr="00476ABB" w:rsidRDefault="00D12042" w:rsidP="00D12042">
      <w:pPr>
        <w:widowControl w:val="0"/>
        <w:autoSpaceDE w:val="0"/>
        <w:autoSpaceDN w:val="0"/>
        <w:spacing w:after="120" w:line="276" w:lineRule="auto"/>
        <w:ind w:firstLine="709"/>
        <w:jc w:val="both"/>
        <w:rPr>
          <w:rFonts w:ascii="Arial" w:eastAsia="Arial" w:hAnsi="Arial" w:cs="Arial"/>
          <w:sz w:val="22"/>
          <w:lang w:val="es-ES"/>
        </w:rPr>
      </w:pPr>
      <w:r w:rsidRPr="00476ABB">
        <w:rPr>
          <w:rFonts w:ascii="Arial" w:eastAsia="Arial" w:hAnsi="Arial" w:cs="Arial"/>
          <w:sz w:val="22"/>
          <w:lang w:val="es-ES"/>
        </w:rPr>
        <w:t xml:space="preserve">Ahora bien, las entidades estatales, conforme al artículo 2.2.1.1.1.7.1. del Decreto 1082 de 2015, tienen la obligación de publicar en el SECOP «[…] los Documentos del Proceso y los actos administrativos del Proceso de Contratación, dentro de los tres (3) días siguientes a su expedición […]». </w:t>
      </w:r>
    </w:p>
    <w:p w14:paraId="074E254D" w14:textId="77777777" w:rsidR="00D12042" w:rsidRPr="00476ABB" w:rsidRDefault="00D12042" w:rsidP="00D12042">
      <w:pPr>
        <w:widowControl w:val="0"/>
        <w:autoSpaceDE w:val="0"/>
        <w:autoSpaceDN w:val="0"/>
        <w:spacing w:after="120" w:line="276" w:lineRule="auto"/>
        <w:ind w:firstLine="709"/>
        <w:jc w:val="both"/>
        <w:rPr>
          <w:rFonts w:ascii="Arial" w:eastAsia="Arial" w:hAnsi="Arial" w:cs="Arial"/>
          <w:sz w:val="22"/>
          <w:lang w:val="es-ES"/>
        </w:rPr>
      </w:pPr>
      <w:r w:rsidRPr="00476ABB">
        <w:rPr>
          <w:rFonts w:ascii="Arial" w:eastAsia="Arial" w:hAnsi="Arial" w:cs="Arial"/>
          <w:sz w:val="22"/>
          <w:lang w:val="es-ES"/>
        </w:rPr>
        <w:t xml:space="preserve">La expresión </w:t>
      </w:r>
      <w:r w:rsidRPr="00476ABB">
        <w:rPr>
          <w:rFonts w:ascii="Arial" w:eastAsia="Arial" w:hAnsi="Arial" w:cs="Arial"/>
          <w:i/>
          <w:iCs/>
          <w:sz w:val="22"/>
          <w:lang w:val="es-ES"/>
        </w:rPr>
        <w:t>Documentos del Proceso</w:t>
      </w:r>
      <w:r w:rsidRPr="00476ABB">
        <w:rPr>
          <w:rFonts w:ascii="Arial" w:eastAsia="Arial" w:hAnsi="Arial" w:cs="Arial"/>
          <w:sz w:val="22"/>
          <w:lang w:val="es-ES"/>
        </w:rPr>
        <w:t xml:space="preserve"> está definida en el artículo 2.2.1.1.1.3.1. del Decreto 1082 de 2015, donde se establece que: «son: (a) los estudios y documentos previos; (b) el aviso de convocatoria; (c) los pliegos de condiciones o la invitación; (d) las adendas; (e) la oferta; (f) el informe de evaluación; (g) el contrato; y cualquier otro documento expedido por la Entidad Estatal durante el Proceso de Contratación». </w:t>
      </w:r>
    </w:p>
    <w:p w14:paraId="5BF9A7DA" w14:textId="77777777" w:rsidR="00D12042" w:rsidRPr="00476ABB" w:rsidRDefault="00D12042" w:rsidP="00D12042">
      <w:pPr>
        <w:widowControl w:val="0"/>
        <w:autoSpaceDE w:val="0"/>
        <w:autoSpaceDN w:val="0"/>
        <w:spacing w:after="120" w:line="276" w:lineRule="auto"/>
        <w:ind w:firstLine="709"/>
        <w:jc w:val="both"/>
        <w:rPr>
          <w:rFonts w:ascii="Arial" w:eastAsia="Arial" w:hAnsi="Arial" w:cs="Arial"/>
          <w:sz w:val="22"/>
          <w:lang w:val="es-ES"/>
        </w:rPr>
      </w:pPr>
      <w:r w:rsidRPr="00476ABB">
        <w:rPr>
          <w:rFonts w:ascii="Arial" w:eastAsia="Arial" w:hAnsi="Arial" w:cs="Arial"/>
          <w:sz w:val="22"/>
          <w:lang w:val="es-ES"/>
        </w:rPr>
        <w:t xml:space="preserve">No obstante, para identificar los documentos que deben publicarse, es necesario realizar una interpretación sistemática de las disposiciones del Decreto 1082 del 2015, comoquiera que el anterior no es un listado taxativo, sino enunciativo, porque además de los documentos enlistados, el artículo 2.2.1.1.1.3.1 </w:t>
      </w:r>
      <w:r w:rsidRPr="00476ABB">
        <w:rPr>
          <w:rFonts w:ascii="Arial" w:eastAsia="Arial" w:hAnsi="Arial" w:cs="Arial"/>
          <w:i/>
          <w:iCs/>
          <w:sz w:val="22"/>
          <w:lang w:val="es-ES"/>
        </w:rPr>
        <w:t>Ibídem</w:t>
      </w:r>
      <w:r w:rsidRPr="00476ABB">
        <w:rPr>
          <w:rFonts w:ascii="Arial" w:eastAsia="Arial" w:hAnsi="Arial" w:cs="Arial"/>
          <w:sz w:val="22"/>
          <w:lang w:val="es-ES"/>
        </w:rPr>
        <w:t xml:space="preserve"> recoge en la noción de </w:t>
      </w:r>
      <w:r w:rsidRPr="00476ABB">
        <w:rPr>
          <w:rFonts w:ascii="Arial" w:eastAsia="Arial" w:hAnsi="Arial" w:cs="Arial"/>
          <w:i/>
          <w:iCs/>
          <w:sz w:val="22"/>
          <w:lang w:val="es-ES"/>
        </w:rPr>
        <w:t>Documentos del Proceso</w:t>
      </w:r>
      <w:r w:rsidRPr="00476ABB">
        <w:rPr>
          <w:rFonts w:ascii="Arial" w:eastAsia="Arial" w:hAnsi="Arial" w:cs="Arial"/>
          <w:sz w:val="22"/>
          <w:lang w:val="es-ES"/>
        </w:rPr>
        <w:t xml:space="preserve"> «cualquier otro documento expedido por la Entidad Estatal durante el </w:t>
      </w:r>
      <w:r w:rsidRPr="00476ABB">
        <w:rPr>
          <w:rFonts w:ascii="Arial" w:eastAsia="Arial" w:hAnsi="Arial" w:cs="Arial"/>
          <w:i/>
          <w:iCs/>
          <w:sz w:val="22"/>
          <w:lang w:val="es-ES"/>
        </w:rPr>
        <w:t>Proceso de Contratación»</w:t>
      </w:r>
      <w:r w:rsidRPr="00476ABB">
        <w:rPr>
          <w:rFonts w:ascii="Arial" w:eastAsia="Arial" w:hAnsi="Arial" w:cs="Arial"/>
          <w:sz w:val="22"/>
          <w:lang w:val="es-ES"/>
        </w:rPr>
        <w:t xml:space="preserve">. Este mismo artículo define la expresión </w:t>
      </w:r>
      <w:r w:rsidRPr="00476ABB">
        <w:rPr>
          <w:rFonts w:ascii="Arial" w:eastAsia="Arial" w:hAnsi="Arial" w:cs="Arial"/>
          <w:i/>
          <w:iCs/>
          <w:sz w:val="22"/>
          <w:lang w:val="es-ES"/>
        </w:rPr>
        <w:t>Proceso de Contratación</w:t>
      </w:r>
      <w:r w:rsidRPr="00476ABB">
        <w:rPr>
          <w:rFonts w:ascii="Arial" w:eastAsia="Arial" w:hAnsi="Arial" w:cs="Arial"/>
          <w:sz w:val="22"/>
          <w:lang w:val="es-ES"/>
        </w:rPr>
        <w:t xml:space="preserve"> como el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w:t>
      </w:r>
    </w:p>
    <w:p w14:paraId="13A94ED5" w14:textId="77777777" w:rsidR="00D12042" w:rsidRPr="00476ABB" w:rsidRDefault="00D12042" w:rsidP="00D12042">
      <w:pPr>
        <w:widowControl w:val="0"/>
        <w:autoSpaceDE w:val="0"/>
        <w:autoSpaceDN w:val="0"/>
        <w:spacing w:after="120" w:line="276" w:lineRule="auto"/>
        <w:ind w:firstLine="709"/>
        <w:jc w:val="both"/>
        <w:rPr>
          <w:rFonts w:ascii="Arial" w:eastAsia="Arial" w:hAnsi="Arial" w:cs="Arial"/>
          <w:sz w:val="22"/>
          <w:lang w:val="es-ES"/>
        </w:rPr>
      </w:pPr>
      <w:r w:rsidRPr="00476ABB">
        <w:rPr>
          <w:rFonts w:ascii="Arial" w:eastAsia="Arial" w:hAnsi="Arial" w:cs="Arial"/>
          <w:sz w:val="22"/>
          <w:lang w:val="es-ES"/>
        </w:rPr>
        <w:t xml:space="preserve">Nótese que la norma hace referencia a los documentos «expedidos por la entidad estatal» durante el proceso de contratación, excluyendo de la noción de </w:t>
      </w:r>
      <w:r w:rsidRPr="00476ABB">
        <w:rPr>
          <w:rFonts w:ascii="Arial" w:eastAsia="Arial" w:hAnsi="Arial" w:cs="Arial"/>
          <w:i/>
          <w:iCs/>
          <w:sz w:val="22"/>
          <w:lang w:val="es-ES"/>
        </w:rPr>
        <w:t>Documentos del Proceso</w:t>
      </w:r>
      <w:r w:rsidRPr="00476ABB">
        <w:rPr>
          <w:rFonts w:ascii="Arial" w:eastAsia="Arial" w:hAnsi="Arial" w:cs="Arial"/>
          <w:sz w:val="22"/>
          <w:lang w:val="es-ES"/>
        </w:rPr>
        <w:t xml:space="preserve"> los expedidos por un sujeto distinto a la entidad, salvo la oferta, la cual se incluye expresamente en el artículo 2.2.1.1.1.3.1. </w:t>
      </w:r>
    </w:p>
    <w:p w14:paraId="614205C9" w14:textId="77777777" w:rsidR="00D12042" w:rsidRPr="00476ABB" w:rsidRDefault="00D12042" w:rsidP="00D12042">
      <w:pPr>
        <w:widowControl w:val="0"/>
        <w:autoSpaceDE w:val="0"/>
        <w:autoSpaceDN w:val="0"/>
        <w:spacing w:after="120" w:line="276" w:lineRule="auto"/>
        <w:ind w:firstLine="708"/>
        <w:jc w:val="both"/>
        <w:rPr>
          <w:rFonts w:ascii="Arial" w:eastAsia="Arial" w:hAnsi="Arial" w:cs="Arial"/>
          <w:sz w:val="22"/>
          <w:lang w:val="es-ES"/>
        </w:rPr>
      </w:pPr>
      <w:r w:rsidRPr="00476ABB">
        <w:rPr>
          <w:rFonts w:ascii="Arial" w:eastAsia="Arial" w:hAnsi="Arial" w:cs="Arial"/>
          <w:sz w:val="22"/>
          <w:lang w:val="es-ES"/>
        </w:rPr>
        <w:t xml:space="preserve">En ese sentido, la interpretación sistemática de los preceptos del Decreto 1082 de 2015, de acuerdo con el principio de publicidad, inicialmente, indica que las entidades estatales tienen la obligación de publicar todos los documentos que expidan con ocasión </w:t>
      </w:r>
      <w:r w:rsidRPr="00476ABB">
        <w:rPr>
          <w:rFonts w:ascii="Arial" w:eastAsia="Arial" w:hAnsi="Arial" w:cs="Arial"/>
          <w:sz w:val="22"/>
          <w:lang w:val="es-ES"/>
        </w:rPr>
        <w:lastRenderedPageBreak/>
        <w:t xml:space="preserve">del </w:t>
      </w:r>
      <w:r w:rsidRPr="00476ABB">
        <w:rPr>
          <w:rFonts w:ascii="Arial" w:eastAsia="Arial" w:hAnsi="Arial" w:cs="Arial"/>
          <w:i/>
          <w:iCs/>
          <w:sz w:val="22"/>
          <w:lang w:val="es-ES"/>
        </w:rPr>
        <w:t>Proceso de Contratación</w:t>
      </w:r>
      <w:r w:rsidRPr="00476ABB">
        <w:rPr>
          <w:rFonts w:ascii="Arial" w:eastAsia="Arial" w:hAnsi="Arial" w:cs="Arial"/>
          <w:sz w:val="22"/>
          <w:lang w:val="es-ES"/>
        </w:rPr>
        <w:t>, esto es, desde la fase de planeación hasta «el vencimiento de las garantías de calidad, estabilidad y mantenimiento, o las condiciones de disposición final o recuperación ambiental de las obras o bienes o el vencimiento del plazo, lo que ocurra más tarde», lo que significa que todos los documentos expedidos por la entidad durante las etapas precontractual, de ejecución y postcontractual deberán ser publicados en SECOP dentro de los tres (3) días siguientes a su expedición, para  cumplir el deber de publicidad regulado por el artículo 2.2.1.1.1.7.1. del Decreto 1082 de 2015.</w:t>
      </w:r>
    </w:p>
    <w:p w14:paraId="3CE4EA01" w14:textId="77777777" w:rsidR="00D12042" w:rsidRPr="00476ABB" w:rsidRDefault="00D12042" w:rsidP="00D12042">
      <w:pPr>
        <w:widowControl w:val="0"/>
        <w:autoSpaceDE w:val="0"/>
        <w:autoSpaceDN w:val="0"/>
        <w:spacing w:after="120" w:line="276" w:lineRule="auto"/>
        <w:ind w:firstLine="708"/>
        <w:jc w:val="both"/>
        <w:rPr>
          <w:rFonts w:ascii="Arial" w:eastAsia="Arial" w:hAnsi="Arial" w:cs="Arial"/>
          <w:sz w:val="22"/>
          <w:lang w:val="es-ES"/>
        </w:rPr>
      </w:pPr>
      <w:r w:rsidRPr="00476ABB">
        <w:rPr>
          <w:rFonts w:ascii="Arial" w:eastAsia="Arial" w:hAnsi="Arial" w:cs="Arial"/>
          <w:sz w:val="22"/>
          <w:lang w:val="es-ES"/>
        </w:rPr>
        <w:t xml:space="preserve">En todo caso, de conformidad con la segunda parte del inciso primero del artículo 2.2.1.1.1.7.1 </w:t>
      </w:r>
      <w:r w:rsidRPr="00476ABB">
        <w:rPr>
          <w:rFonts w:ascii="Arial" w:eastAsia="Arial" w:hAnsi="Arial" w:cs="Arial"/>
          <w:i/>
          <w:iCs/>
          <w:sz w:val="22"/>
          <w:lang w:val="es-ES"/>
        </w:rPr>
        <w:t>Ibídem</w:t>
      </w:r>
      <w:r w:rsidRPr="00476ABB">
        <w:rPr>
          <w:rFonts w:ascii="Arial" w:eastAsia="Arial" w:hAnsi="Arial" w:cs="Arial"/>
          <w:sz w:val="22"/>
          <w:lang w:val="es-ES"/>
        </w:rPr>
        <w:t xml:space="preserve">, el deber de publicar las actuaciones realizadas en el marco del proceso de contratación, en lo referente a las ofertas presentadas, solo se predica de la propuesta del adjudicatario, así que no es necesario publicar las demás. </w:t>
      </w:r>
      <w:r w:rsidRPr="00476ABB">
        <w:rPr>
          <w:rFonts w:ascii="Arial" w:eastAsia="Arial" w:hAnsi="Arial" w:cs="Arial"/>
          <w:i/>
          <w:iCs/>
          <w:sz w:val="22"/>
          <w:lang w:val="es-ES"/>
        </w:rPr>
        <w:t xml:space="preserve"> </w:t>
      </w:r>
      <w:r w:rsidRPr="00476ABB">
        <w:rPr>
          <w:rFonts w:ascii="Arial" w:eastAsia="Arial" w:hAnsi="Arial" w:cs="Arial"/>
          <w:sz w:val="22"/>
          <w:lang w:val="es-ES"/>
        </w:rPr>
        <w:t>Del deber de publicidad, de conformidad con la tercera parte del inciso primero de la referida norma, también se encuentran exentos los documentos de las operaciones que se realicen en bolsa de productos.</w:t>
      </w:r>
    </w:p>
    <w:p w14:paraId="34F1F71D" w14:textId="77777777" w:rsidR="00D12042" w:rsidRPr="00476ABB" w:rsidRDefault="00D12042" w:rsidP="00D12042">
      <w:pPr>
        <w:widowControl w:val="0"/>
        <w:autoSpaceDE w:val="0"/>
        <w:autoSpaceDN w:val="0"/>
        <w:spacing w:after="120" w:line="276" w:lineRule="auto"/>
        <w:ind w:firstLine="708"/>
        <w:jc w:val="both"/>
        <w:rPr>
          <w:rFonts w:ascii="Arial" w:eastAsia="Arial" w:hAnsi="Arial" w:cs="Arial"/>
          <w:sz w:val="22"/>
          <w:lang w:val="es-ES"/>
        </w:rPr>
      </w:pPr>
      <w:r w:rsidRPr="00476ABB">
        <w:rPr>
          <w:rFonts w:ascii="Arial" w:eastAsia="Arial" w:hAnsi="Arial" w:cs="Arial"/>
          <w:sz w:val="22"/>
          <w:lang w:val="es-ES"/>
        </w:rPr>
        <w:t xml:space="preserve"> El inciso segundo del artículo 2.2.1.1.1.7.1 </w:t>
      </w:r>
      <w:r w:rsidRPr="00476ABB">
        <w:rPr>
          <w:rFonts w:ascii="Arial" w:eastAsia="Arial" w:hAnsi="Arial" w:cs="Arial"/>
          <w:i/>
          <w:iCs/>
          <w:sz w:val="22"/>
          <w:lang w:val="es-ES"/>
        </w:rPr>
        <w:t xml:space="preserve">ejusdem, </w:t>
      </w:r>
      <w:r w:rsidRPr="00476ABB">
        <w:rPr>
          <w:rFonts w:ascii="Arial" w:eastAsia="Arial" w:hAnsi="Arial" w:cs="Arial"/>
          <w:sz w:val="22"/>
          <w:lang w:val="es-ES"/>
        </w:rPr>
        <w:t xml:space="preserve">hace explícito el deber de las entidades estatales de publicar el aviso de convocatoria con el objeto de que los interesados formulen observaciones al proyecto de pliego de condiciones o soliciten aclaraciones en los términos del artículo </w:t>
      </w:r>
      <w:r w:rsidRPr="00476ABB">
        <w:rPr>
          <w:rFonts w:ascii="Arial" w:hAnsi="Arial" w:cs="Arial"/>
          <w:sz w:val="22"/>
          <w:lang w:val="es-ES"/>
        </w:rPr>
        <w:t xml:space="preserve">2.2.1.1.2.1.4, deber que hace extensivo a la invitación </w:t>
      </w:r>
      <w:r w:rsidRPr="00476ABB">
        <w:rPr>
          <w:rFonts w:ascii="Arial" w:eastAsia="Arial" w:hAnsi="Arial" w:cs="Arial"/>
          <w:sz w:val="22"/>
          <w:lang w:val="es-ES"/>
        </w:rPr>
        <w:t xml:space="preserve">a participar en procesos de mínima cuantía. No obstante, de conformidad con el inciso final del artículo 2.2.1.1.2.1.2 del Decreto 1082 de 2015, la expedición y publicación en el SECOP del aviso de convocatoria no es necesaria en las modalidades de selección de contratación directa y mínima cuantía. </w:t>
      </w:r>
    </w:p>
    <w:p w14:paraId="41A1E9B4" w14:textId="77777777" w:rsidR="00D12042" w:rsidRPr="00476ABB" w:rsidRDefault="00D12042" w:rsidP="00D12042">
      <w:pPr>
        <w:widowControl w:val="0"/>
        <w:autoSpaceDE w:val="0"/>
        <w:autoSpaceDN w:val="0"/>
        <w:spacing w:after="120" w:line="276" w:lineRule="auto"/>
        <w:ind w:firstLine="708"/>
        <w:jc w:val="both"/>
        <w:rPr>
          <w:rFonts w:ascii="Arial" w:eastAsia="Arial" w:hAnsi="Arial" w:cs="Arial"/>
          <w:sz w:val="22"/>
          <w:lang w:val="es-ES"/>
        </w:rPr>
      </w:pPr>
      <w:r w:rsidRPr="00476ABB">
        <w:rPr>
          <w:rFonts w:ascii="Arial" w:eastAsia="Arial" w:hAnsi="Arial" w:cs="Arial"/>
          <w:sz w:val="22"/>
          <w:lang w:val="es-ES"/>
        </w:rPr>
        <w:t xml:space="preserve">De lo anterior se puede concluir que, en virtud de lo dispuesto en el artículo 3 de la Ley 1150 de 2007, desarrollado por el artículo 2.2.1.1.1.7.1. del Decreto 1082 de 2015, las entidades están obligadas a publicar en el SECOP todos los documentos relacionados con el </w:t>
      </w:r>
      <w:r w:rsidRPr="00476ABB">
        <w:rPr>
          <w:rFonts w:ascii="Arial" w:eastAsia="Arial" w:hAnsi="Arial" w:cs="Arial"/>
          <w:i/>
          <w:iCs/>
          <w:sz w:val="22"/>
          <w:lang w:val="es-ES"/>
        </w:rPr>
        <w:t>Proceso de Contratación</w:t>
      </w:r>
      <w:r w:rsidRPr="00476ABB">
        <w:rPr>
          <w:rFonts w:ascii="Arial" w:eastAsia="Arial" w:hAnsi="Arial" w:cs="Arial"/>
          <w:sz w:val="22"/>
          <w:lang w:val="es-ES"/>
        </w:rPr>
        <w:t xml:space="preserve"> expedidos durante las etapas precontractual, de ejecución y postcontractual, dentro de los tres (3) días hábiles siguientes a su producción</w:t>
      </w:r>
      <w:r w:rsidRPr="00476ABB">
        <w:rPr>
          <w:rStyle w:val="Refdenotaalpie"/>
          <w:rFonts w:ascii="Arial" w:eastAsia="Arial" w:hAnsi="Arial" w:cs="Arial"/>
          <w:sz w:val="22"/>
          <w:lang w:val="es-ES"/>
        </w:rPr>
        <w:footnoteReference w:id="15"/>
      </w:r>
      <w:r w:rsidRPr="00476ABB">
        <w:rPr>
          <w:rFonts w:ascii="Arial" w:eastAsia="Arial" w:hAnsi="Arial" w:cs="Arial"/>
          <w:sz w:val="22"/>
          <w:lang w:val="es-ES"/>
        </w:rPr>
        <w:t xml:space="preserve">, deber que </w:t>
      </w:r>
      <w:r w:rsidRPr="00476ABB">
        <w:rPr>
          <w:rFonts w:ascii="Arial" w:eastAsia="Arial" w:hAnsi="Arial" w:cs="Arial"/>
          <w:sz w:val="22"/>
          <w:lang w:val="es-ES"/>
        </w:rPr>
        <w:lastRenderedPageBreak/>
        <w:t>aplica a todas las modalidades de selección y entidades regidas por el Estatuto General de Contratación de la Administración Pública, y del que solo se encuentran excluidas las ofertas ganadoras y los documentos expedidos en el marco de operaciones de bolsa de productos.</w:t>
      </w:r>
    </w:p>
    <w:p w14:paraId="7B8F73E1" w14:textId="77777777" w:rsidR="00D12042" w:rsidRPr="00476ABB" w:rsidRDefault="00D12042" w:rsidP="00D12042">
      <w:pPr>
        <w:spacing w:before="120" w:after="120" w:line="276" w:lineRule="auto"/>
        <w:ind w:firstLine="709"/>
        <w:jc w:val="both"/>
        <w:rPr>
          <w:rFonts w:ascii="Arial" w:eastAsia="Calibri" w:hAnsi="Arial" w:cs="Arial"/>
          <w:sz w:val="22"/>
          <w:lang w:val="es-ES"/>
        </w:rPr>
      </w:pPr>
      <w:r w:rsidRPr="00476ABB">
        <w:rPr>
          <w:rFonts w:ascii="Arial" w:eastAsia="Calibri" w:hAnsi="Arial" w:cs="Arial"/>
          <w:sz w:val="22"/>
          <w:lang w:val="es-ES"/>
        </w:rPr>
        <w:t xml:space="preserve">No obstante, el deber de publicar los documentos relacionados con la contratación no se encuentra regulado solamente por las normas del Estatuto General de Contratación  de la Administración Pública, ya que la Ley 1712 de 2014, normativa de la transparencia y del derecho de acceso a la información pública, señala en el literal g) del artículo 11, que todo sujeto obligado debe publicar sus procedimientos, lineamientos, políticas en materia de adquisiciones y compras, así como todos los datos de adjudicación y ejecución de sus contratos. Esta obligación, en principio, fue reglamentada por el Decreto 103 de 2015, hoy compilado en el Decreto 1081 de 2015. Este último señala, en el artículo 2.1.1.2.1.7, que las entidades deberán publicar en el SECOP </w:t>
      </w:r>
      <w:r w:rsidRPr="00476ABB">
        <w:rPr>
          <w:rFonts w:ascii="Arial" w:hAnsi="Arial" w:cs="Arial"/>
          <w:sz w:val="22"/>
          <w:lang w:val="es-ES"/>
        </w:rPr>
        <w:t>la información de su gestión contractual</w:t>
      </w:r>
      <w:r w:rsidRPr="00476ABB">
        <w:rPr>
          <w:rStyle w:val="Refdenotaalpie"/>
          <w:rFonts w:ascii="Arial" w:hAnsi="Arial" w:cs="Arial"/>
          <w:sz w:val="22"/>
          <w:lang w:val="es-ES"/>
        </w:rPr>
        <w:footnoteReference w:id="16"/>
      </w:r>
      <w:r w:rsidRPr="00476ABB">
        <w:rPr>
          <w:rFonts w:ascii="Arial" w:eastAsia="Calibri" w:hAnsi="Arial" w:cs="Arial"/>
          <w:sz w:val="22"/>
          <w:lang w:val="es-ES"/>
        </w:rPr>
        <w:t>. Por su parte, el artículo 2.1.1.2.1.9 expresa que las entidades deberán publicar los procedimientos, lineamientos y políticas en materia de adquisición, que no son otros que los previstos en el manual de contratación, el cual debe publicarse en el sitio web del sujeto obligado</w:t>
      </w:r>
      <w:r w:rsidRPr="00476ABB">
        <w:rPr>
          <w:rStyle w:val="Refdenotaalpie"/>
          <w:rFonts w:ascii="Arial" w:eastAsia="Calibri" w:hAnsi="Arial" w:cs="Arial"/>
          <w:sz w:val="22"/>
          <w:lang w:val="es-ES"/>
        </w:rPr>
        <w:footnoteReference w:id="17"/>
      </w:r>
      <w:r w:rsidRPr="00476ABB">
        <w:rPr>
          <w:rFonts w:ascii="Arial" w:eastAsia="Calibri" w:hAnsi="Arial" w:cs="Arial"/>
          <w:sz w:val="22"/>
          <w:lang w:val="es-ES"/>
        </w:rPr>
        <w:t>. El artículo 2.1.1.2.1.10 establece la obligación que tienen las entidades de publicar en el SECOP el Plan Anual de Adquisiciones</w:t>
      </w:r>
      <w:r w:rsidRPr="00476ABB">
        <w:rPr>
          <w:rStyle w:val="Refdenotaalpie"/>
          <w:rFonts w:ascii="Arial" w:eastAsia="Calibri" w:hAnsi="Arial" w:cs="Arial"/>
          <w:sz w:val="22"/>
          <w:lang w:val="es-ES"/>
        </w:rPr>
        <w:footnoteReference w:id="18"/>
      </w:r>
      <w:r w:rsidRPr="00476ABB">
        <w:rPr>
          <w:rFonts w:ascii="Arial" w:eastAsia="Calibri" w:hAnsi="Arial" w:cs="Arial"/>
          <w:sz w:val="22"/>
          <w:lang w:val="es-ES"/>
        </w:rPr>
        <w:t xml:space="preserve">. </w:t>
      </w:r>
    </w:p>
    <w:p w14:paraId="495D889B" w14:textId="77777777" w:rsidR="00D12042" w:rsidRPr="00476ABB" w:rsidRDefault="00D12042" w:rsidP="00D12042">
      <w:pPr>
        <w:spacing w:before="120" w:after="120" w:line="276" w:lineRule="auto"/>
        <w:ind w:firstLine="709"/>
        <w:jc w:val="both"/>
        <w:rPr>
          <w:rFonts w:ascii="Arial" w:eastAsia="Calibri" w:hAnsi="Arial" w:cs="Arial"/>
          <w:sz w:val="22"/>
          <w:lang w:val="es-ES"/>
        </w:rPr>
      </w:pPr>
      <w:r w:rsidRPr="00476ABB">
        <w:rPr>
          <w:rFonts w:ascii="Arial" w:eastAsia="Calibri" w:hAnsi="Arial" w:cs="Arial"/>
          <w:sz w:val="22"/>
          <w:lang w:val="es-ES"/>
        </w:rPr>
        <w:lastRenderedPageBreak/>
        <w:t xml:space="preserve">De otro lado, el artículo 2.1.1.2.1.8, establece los efectos de </w:t>
      </w:r>
      <w:r w:rsidRPr="00476ABB">
        <w:rPr>
          <w:rFonts w:ascii="Arial" w:hAnsi="Arial" w:cs="Arial"/>
          <w:sz w:val="22"/>
          <w:lang w:val="es-ES"/>
        </w:rPr>
        <w:t>la obligación contenida en el literal g) del artículo 11 de la Ley 1712 de 2014, en relación con los documentos producidos durante la ejecución del contrato, señalando que se</w:t>
      </w:r>
      <w:r w:rsidRPr="00476ABB">
        <w:rPr>
          <w:rFonts w:ascii="Arial" w:eastAsia="Calibri" w:hAnsi="Arial" w:cs="Arial"/>
          <w:sz w:val="22"/>
          <w:lang w:val="es-ES"/>
        </w:rPr>
        <w:t xml:space="preserve"> deben publicar las aprobaciones, autorizaciones, requerimientos o informes del supervisor o interventor, que prueben la ejecución del contrato</w:t>
      </w:r>
      <w:r w:rsidRPr="00476ABB">
        <w:rPr>
          <w:rStyle w:val="Refdenotaalpie"/>
          <w:rFonts w:ascii="Arial" w:eastAsia="Calibri" w:hAnsi="Arial" w:cs="Arial"/>
          <w:sz w:val="22"/>
          <w:lang w:val="es-ES"/>
        </w:rPr>
        <w:footnoteReference w:id="19"/>
      </w:r>
      <w:r w:rsidRPr="00476ABB">
        <w:rPr>
          <w:rFonts w:ascii="Arial" w:eastAsia="Calibri" w:hAnsi="Arial" w:cs="Arial"/>
          <w:sz w:val="22"/>
          <w:lang w:val="es-ES"/>
        </w:rPr>
        <w:t>.</w:t>
      </w:r>
    </w:p>
    <w:p w14:paraId="244E848B" w14:textId="77777777" w:rsidR="00D12042" w:rsidRPr="00476ABB" w:rsidRDefault="00D12042" w:rsidP="00D12042">
      <w:pPr>
        <w:spacing w:before="120" w:after="120" w:line="276" w:lineRule="auto"/>
        <w:ind w:firstLine="709"/>
        <w:jc w:val="both"/>
        <w:rPr>
          <w:rFonts w:ascii="Arial" w:eastAsia="Calibri" w:hAnsi="Arial" w:cs="Arial"/>
          <w:sz w:val="22"/>
          <w:lang w:val="es-ES"/>
        </w:rPr>
      </w:pPr>
      <w:r w:rsidRPr="00476ABB">
        <w:rPr>
          <w:rFonts w:ascii="Arial" w:eastAsia="Calibri" w:hAnsi="Arial" w:cs="Arial"/>
          <w:sz w:val="22"/>
          <w:lang w:val="es-ES"/>
        </w:rPr>
        <w:t xml:space="preserve">En ese orden, el deber de publicar la actividad contractual de las entidades estatales no solo está regulado en el artículo 3 de la Ley 1150 de 2007, y en el </w:t>
      </w:r>
      <w:r w:rsidRPr="00476ABB">
        <w:rPr>
          <w:rFonts w:ascii="Arial" w:eastAsia="Arial" w:hAnsi="Arial" w:cs="Arial"/>
          <w:sz w:val="22"/>
          <w:lang w:val="es-ES"/>
        </w:rPr>
        <w:t xml:space="preserve">artículo 2.2.1.1.1.7.1. del Decreto 1082 de 2015, sino también en la Ley 1712 de 2014, y en el Decreto 1081 de 2015, normas que no solo refuerzan y complementan al régimen de contratación estatal en cuanto a la publicidad, sino que lo amplía, para incluir la publicación de los «procedimientos» y la información relativa a la «gestión contractual», sin el condicionamiento de tratarse exclusivamente de los </w:t>
      </w:r>
      <w:r w:rsidRPr="00476ABB">
        <w:rPr>
          <w:rFonts w:ascii="Arial" w:eastAsia="Arial" w:hAnsi="Arial" w:cs="Arial"/>
          <w:i/>
          <w:iCs/>
          <w:sz w:val="22"/>
          <w:lang w:val="es-ES"/>
        </w:rPr>
        <w:t xml:space="preserve">Documentos del Proceso </w:t>
      </w:r>
      <w:r w:rsidRPr="00476ABB">
        <w:rPr>
          <w:rFonts w:ascii="Arial" w:eastAsia="Arial" w:hAnsi="Arial" w:cs="Arial"/>
          <w:sz w:val="22"/>
          <w:lang w:val="es-ES"/>
        </w:rPr>
        <w:t>expedidos por la «entidad estatal».</w:t>
      </w:r>
    </w:p>
    <w:p w14:paraId="733F80FD" w14:textId="77777777" w:rsidR="00D12042" w:rsidRPr="00476ABB" w:rsidRDefault="00D12042" w:rsidP="00D12042">
      <w:pPr>
        <w:spacing w:before="120" w:after="120" w:line="276" w:lineRule="auto"/>
        <w:ind w:firstLine="709"/>
        <w:jc w:val="both"/>
        <w:rPr>
          <w:rFonts w:ascii="Arial" w:eastAsia="Calibri" w:hAnsi="Arial" w:cs="Arial"/>
          <w:sz w:val="22"/>
          <w:lang w:val="es-ES"/>
        </w:rPr>
      </w:pPr>
      <w:r w:rsidRPr="00476ABB">
        <w:rPr>
          <w:rFonts w:ascii="Arial" w:eastAsia="Calibri" w:hAnsi="Arial" w:cs="Arial"/>
          <w:sz w:val="22"/>
          <w:lang w:val="es-ES"/>
        </w:rPr>
        <w:t xml:space="preserve">Las publicaciones que corresponde efectuar a las entidades estatales, como sujetos obligados por la normativa de la transparencia y acceso a la información pública, en particular en lo referente a la información contractual, antes que una derogación o subrogación del contenido del deber de publicidad regulado por el EGCAP, suponen una ampliación de su alcance, que lo hace trascender de la simple publicación de la información «producida por la entidad estatal» asociada a la noción de </w:t>
      </w:r>
      <w:r w:rsidRPr="00476ABB">
        <w:rPr>
          <w:rFonts w:ascii="Arial" w:eastAsia="Calibri" w:hAnsi="Arial" w:cs="Arial"/>
          <w:i/>
          <w:iCs/>
          <w:sz w:val="22"/>
          <w:lang w:val="es-ES"/>
        </w:rPr>
        <w:t>Documentos del Proceso.</w:t>
      </w:r>
      <w:r w:rsidRPr="00476ABB">
        <w:rPr>
          <w:rFonts w:ascii="Arial" w:hAnsi="Arial" w:cs="Arial"/>
          <w:sz w:val="22"/>
          <w:lang w:val="es-ES"/>
        </w:rPr>
        <w:t xml:space="preserve"> Esto</w:t>
      </w:r>
      <w:r w:rsidRPr="00476ABB">
        <w:rPr>
          <w:rFonts w:ascii="Arial" w:eastAsia="Calibri" w:hAnsi="Arial" w:cs="Arial"/>
          <w:i/>
          <w:iCs/>
          <w:sz w:val="22"/>
          <w:lang w:val="es-ES"/>
        </w:rPr>
        <w:t xml:space="preserve"> </w:t>
      </w:r>
      <w:r w:rsidRPr="00476ABB">
        <w:rPr>
          <w:rFonts w:ascii="Arial" w:eastAsia="Calibri" w:hAnsi="Arial" w:cs="Arial"/>
          <w:sz w:val="22"/>
          <w:lang w:val="es-ES"/>
        </w:rPr>
        <w:t xml:space="preserve">en la medida en que, al establecerse la obligación de publicar los «procedimientos» y la «información de la gestión contractual» en el SECOP, se incorporó una visión omnicomprensiva de la actividad contractual que debe publicarse, comoquiera que la noción de procedimiento debe asimilarse a la de </w:t>
      </w:r>
      <w:r w:rsidRPr="00476ABB">
        <w:rPr>
          <w:rFonts w:ascii="Arial" w:eastAsia="Calibri" w:hAnsi="Arial" w:cs="Arial"/>
          <w:i/>
          <w:iCs/>
          <w:sz w:val="22"/>
          <w:lang w:val="es-ES"/>
        </w:rPr>
        <w:t>Proceso de Contratación,</w:t>
      </w:r>
      <w:r w:rsidRPr="00476ABB">
        <w:rPr>
          <w:rFonts w:ascii="Arial" w:eastAsia="Calibri" w:hAnsi="Arial" w:cs="Arial"/>
          <w:sz w:val="22"/>
          <w:lang w:val="es-ES"/>
        </w:rPr>
        <w:t xml:space="preserve"> lo que implica que la publicación que corresponde a las entidades estatales, como sujetos obligados en el marco de la Ley 1712 de 2014, se extienda a todo el desarrollo del procedimiento, desde la </w:t>
      </w:r>
      <w:r w:rsidRPr="00476ABB">
        <w:rPr>
          <w:rFonts w:ascii="Arial" w:eastAsia="Calibri" w:hAnsi="Arial" w:cs="Arial"/>
          <w:sz w:val="22"/>
          <w:lang w:val="es-ES"/>
        </w:rPr>
        <w:lastRenderedPageBreak/>
        <w:t xml:space="preserve">etapa de planeación hasta el vencimiento de las garantías, incluyendo cada actuación que se produzca en ese lapso.  </w:t>
      </w:r>
    </w:p>
    <w:p w14:paraId="66446876" w14:textId="4CDBC551" w:rsidR="00D12042" w:rsidRPr="00476ABB" w:rsidRDefault="00D12042" w:rsidP="00D12042">
      <w:pPr>
        <w:spacing w:before="120" w:after="120" w:line="276" w:lineRule="auto"/>
        <w:ind w:firstLine="709"/>
        <w:jc w:val="both"/>
        <w:rPr>
          <w:rFonts w:ascii="Arial" w:eastAsia="Calibri" w:hAnsi="Arial" w:cs="Arial"/>
          <w:sz w:val="22"/>
          <w:lang w:val="es-ES"/>
        </w:rPr>
      </w:pPr>
      <w:r w:rsidRPr="00476ABB">
        <w:rPr>
          <w:rFonts w:ascii="Arial" w:eastAsia="Calibri" w:hAnsi="Arial" w:cs="Arial"/>
          <w:sz w:val="22"/>
          <w:lang w:val="es-ES"/>
        </w:rPr>
        <w:t>Esto quiere decir que las entidades estatales, además de los documentos y actos administrativos –de trámite o definitivos– que expiden durante los procedimientos de contratación</w:t>
      </w:r>
      <w:r w:rsidRPr="00476ABB">
        <w:rPr>
          <w:rFonts w:ascii="Arial" w:eastAsia="Calibri" w:hAnsi="Arial" w:cs="Arial"/>
          <w:i/>
          <w:iCs/>
          <w:sz w:val="22"/>
          <w:lang w:val="es-ES"/>
        </w:rPr>
        <w:t>,</w:t>
      </w:r>
      <w:r w:rsidRPr="00476ABB">
        <w:rPr>
          <w:rFonts w:ascii="Arial" w:eastAsia="Calibri" w:hAnsi="Arial" w:cs="Arial"/>
          <w:sz w:val="22"/>
          <w:lang w:val="es-ES"/>
        </w:rPr>
        <w:t xml:space="preserve"> deben publicar los documentos que los impulsan y materializan, incluso los que no produce la entidad, pero que hacen parte del procedimiento, como las observaciones formuladas por la ciudadanía al proyecto de pliego de condiciones, o por los proponentes al informe de evaluación, aclaraciones a las ofertas realizadas por los oferentes, y cualquier otra actuación que a pesar de no tener origen en la entidad estatal, ni caber en estricto sentido en lo que se entiende con la expresión</w:t>
      </w:r>
      <w:r w:rsidRPr="00476ABB">
        <w:rPr>
          <w:rFonts w:ascii="Arial" w:eastAsia="Calibri" w:hAnsi="Arial" w:cs="Arial"/>
          <w:i/>
          <w:iCs/>
          <w:sz w:val="22"/>
          <w:lang w:val="es-ES"/>
        </w:rPr>
        <w:t xml:space="preserve"> Documento del Proceso, </w:t>
      </w:r>
      <w:r w:rsidRPr="00476ABB">
        <w:rPr>
          <w:rFonts w:ascii="Arial" w:eastAsia="Calibri" w:hAnsi="Arial" w:cs="Arial"/>
          <w:sz w:val="22"/>
          <w:lang w:val="es-ES"/>
        </w:rPr>
        <w:t xml:space="preserve">hace parte de su desarrollo, y que por disposición de la Ley de transparencia y acceso a la información pública, debe publicar la entidad de manera proactiva.   </w:t>
      </w:r>
    </w:p>
    <w:p w14:paraId="69686F20" w14:textId="77777777" w:rsidR="00D12042" w:rsidRPr="00476ABB" w:rsidRDefault="00D12042" w:rsidP="00D12042">
      <w:pPr>
        <w:spacing w:before="120" w:after="120" w:line="276" w:lineRule="auto"/>
        <w:ind w:firstLine="709"/>
        <w:jc w:val="both"/>
        <w:rPr>
          <w:rFonts w:ascii="Arial" w:eastAsia="Calibri" w:hAnsi="Arial" w:cs="Arial"/>
          <w:sz w:val="22"/>
          <w:lang w:val="es-ES"/>
        </w:rPr>
      </w:pPr>
      <w:r w:rsidRPr="00476ABB">
        <w:rPr>
          <w:rFonts w:ascii="Arial" w:eastAsia="Calibri" w:hAnsi="Arial" w:cs="Arial"/>
          <w:sz w:val="22"/>
          <w:lang w:val="es-ES"/>
        </w:rPr>
        <w:t xml:space="preserve">Ahora, es importante resaltar que al no existir efectos derogatorios o subrogatorios entre las disposiciones del EGCAP y la normativa de la transparencia y el acceso a la información pública, las disposiciones de ambos regímenes deben ser interpretadas de manera complementaria. Esto significa que a pesar de que los documentos objeto de publicación según el Decreto 1082 de 2015, se encuentren recogidos dentro de los que deben ser publicados conforme a la Ley 1712 de 2014 y el Decreto 1081 de 2015, deberán respetarse los aspectos expresamente regulados en cada norma, como, por ejemplo, el término de publicación y la excepción de publicación de los documentos de las operaciones que se celebren en bolsa de productos, conforme al </w:t>
      </w:r>
      <w:r w:rsidRPr="00476ABB">
        <w:rPr>
          <w:rFonts w:ascii="Arial" w:eastAsia="Arial" w:hAnsi="Arial" w:cs="Arial"/>
          <w:sz w:val="22"/>
          <w:lang w:val="es-ES"/>
        </w:rPr>
        <w:t>artículo 2.2.1.1.1.7.1. del Decreto 1082 de 2015.</w:t>
      </w:r>
    </w:p>
    <w:p w14:paraId="667C0CEB" w14:textId="77777777" w:rsidR="00D12042" w:rsidRPr="00476ABB" w:rsidRDefault="00D12042" w:rsidP="00D12042">
      <w:pPr>
        <w:spacing w:before="120" w:after="120" w:line="276" w:lineRule="auto"/>
        <w:ind w:firstLine="709"/>
        <w:jc w:val="both"/>
        <w:rPr>
          <w:rFonts w:ascii="Arial" w:eastAsia="Calibri" w:hAnsi="Arial" w:cs="Arial"/>
          <w:sz w:val="22"/>
          <w:lang w:val="es-ES"/>
        </w:rPr>
      </w:pPr>
      <w:r w:rsidRPr="00476ABB">
        <w:rPr>
          <w:rFonts w:ascii="Arial" w:eastAsia="Calibri" w:hAnsi="Arial" w:cs="Arial"/>
          <w:sz w:val="22"/>
          <w:lang w:val="es-ES"/>
        </w:rPr>
        <w:t xml:space="preserve">De conformidad con lo anterior, esta interpretación de las disposiciones analizadas permite incorporar al EGCAP importantes principios desarrollados por la normativa de la transparencia y acceso a la información pública, como los de </w:t>
      </w:r>
      <w:r w:rsidRPr="00476ABB">
        <w:rPr>
          <w:rStyle w:val="nfasis"/>
          <w:rFonts w:ascii="Arial" w:hAnsi="Arial" w:cs="Arial"/>
          <w:sz w:val="22"/>
          <w:lang w:val="es-ES"/>
        </w:rPr>
        <w:t>máxima publicidad para un titular universal</w:t>
      </w:r>
      <w:r w:rsidRPr="00476ABB">
        <w:rPr>
          <w:rStyle w:val="Refdenotaalpie"/>
          <w:rFonts w:ascii="Arial" w:hAnsi="Arial" w:cs="Arial"/>
          <w:i/>
          <w:iCs/>
          <w:sz w:val="22"/>
          <w:lang w:val="es-ES"/>
        </w:rPr>
        <w:footnoteReference w:id="20"/>
      </w:r>
      <w:r w:rsidRPr="00476ABB">
        <w:rPr>
          <w:rStyle w:val="nfasis"/>
          <w:rFonts w:ascii="Arial" w:hAnsi="Arial" w:cs="Arial"/>
          <w:sz w:val="22"/>
          <w:lang w:val="es-ES"/>
        </w:rPr>
        <w:t>, transparencia, facilitación y divulgación proactiva de la información</w:t>
      </w:r>
      <w:r w:rsidRPr="00476ABB">
        <w:rPr>
          <w:rStyle w:val="Refdenotaalpie"/>
          <w:rFonts w:ascii="Arial" w:hAnsi="Arial" w:cs="Arial"/>
          <w:i/>
          <w:iCs/>
          <w:sz w:val="22"/>
          <w:lang w:val="es-ES"/>
        </w:rPr>
        <w:footnoteReference w:id="21"/>
      </w:r>
      <w:r w:rsidRPr="00476ABB">
        <w:rPr>
          <w:rStyle w:val="nfasis"/>
          <w:rFonts w:ascii="Arial" w:hAnsi="Arial" w:cs="Arial"/>
          <w:sz w:val="22"/>
          <w:lang w:val="es-ES"/>
        </w:rPr>
        <w:t xml:space="preserve">, </w:t>
      </w:r>
      <w:r w:rsidRPr="00476ABB">
        <w:rPr>
          <w:rStyle w:val="nfasis"/>
          <w:rFonts w:ascii="Arial" w:hAnsi="Arial" w:cs="Arial"/>
          <w:i w:val="0"/>
          <w:iCs w:val="0"/>
          <w:sz w:val="22"/>
          <w:lang w:val="es-ES"/>
        </w:rPr>
        <w:t xml:space="preserve"> </w:t>
      </w:r>
      <w:r w:rsidRPr="00476ABB">
        <w:rPr>
          <w:rStyle w:val="nfasis"/>
          <w:rFonts w:ascii="Arial" w:hAnsi="Arial" w:cs="Arial"/>
          <w:i w:val="0"/>
          <w:iCs w:val="0"/>
          <w:sz w:val="22"/>
          <w:lang w:val="es-ES"/>
        </w:rPr>
        <w:lastRenderedPageBreak/>
        <w:t xml:space="preserve">porque al ampliarse la actividad contractual sobre la que recae el deber de publicación, se divulga un mayor volumen de información, que de por sí es pública, mediante un mecanismo  como el SECOP, que facilita el acceso a la misma desde cualquier dispositivo con acceso a internet, garantizando mayor transparencia, al obligarse a las entidades estatales a publicar sus actuaciones de manera proactiva y rutinaria, lo que permite que la ciudadanía conozca con detalle y actualidad el desarrollo de la gestión contractual de la Administración, fomentándose en la contratación pública estándares altos de transparencia.   </w:t>
      </w:r>
    </w:p>
    <w:p w14:paraId="40087B99" w14:textId="77777777" w:rsidR="00D12042" w:rsidRPr="00476ABB" w:rsidRDefault="00D12042" w:rsidP="00D12042">
      <w:pPr>
        <w:spacing w:before="120" w:after="120" w:line="276" w:lineRule="auto"/>
        <w:ind w:firstLine="709"/>
        <w:jc w:val="both"/>
        <w:rPr>
          <w:rFonts w:ascii="Arial" w:eastAsia="Calibri" w:hAnsi="Arial" w:cs="Arial"/>
          <w:sz w:val="22"/>
          <w:lang w:val="es-ES"/>
        </w:rPr>
      </w:pPr>
      <w:r w:rsidRPr="00476ABB">
        <w:rPr>
          <w:rFonts w:ascii="Arial" w:eastAsia="Calibri" w:hAnsi="Arial" w:cs="Arial"/>
          <w:bCs/>
          <w:sz w:val="22"/>
          <w:lang w:val="es-ES"/>
        </w:rPr>
        <w:t>En cuanto al Plan Anual de Adquisiciones, se aclara que si bien es una herramienta de planeación para los procesos de contratación, cuya naturaleza corresponde a la de un acto administrativo, de conformidad con lo expuesto por esta Subdirección en el concepto C–237 del 24 de abril de 2020 –</w:t>
      </w:r>
      <w:r w:rsidRPr="00476ABB">
        <w:rPr>
          <w:rFonts w:ascii="Arial" w:hAnsi="Arial" w:cs="Arial"/>
          <w:sz w:val="22"/>
          <w:lang w:val="es-ES"/>
        </w:rPr>
        <w:t>radicado interno No.</w:t>
      </w:r>
      <w:r w:rsidRPr="00476ABB">
        <w:rPr>
          <w:rFonts w:ascii="Arial" w:hAnsi="Arial" w:cs="Arial"/>
          <w:lang w:val="es-ES"/>
        </w:rPr>
        <w:t xml:space="preserve"> </w:t>
      </w:r>
      <w:r w:rsidRPr="00476ABB">
        <w:rPr>
          <w:rFonts w:ascii="Arial" w:eastAsia="Calibri" w:hAnsi="Arial" w:cs="Arial"/>
          <w:bCs/>
          <w:sz w:val="22"/>
          <w:lang w:val="es-ES"/>
        </w:rPr>
        <w:t xml:space="preserve">2202013000003074–, </w:t>
      </w:r>
      <w:r w:rsidRPr="00476ABB">
        <w:rPr>
          <w:rFonts w:ascii="Arial" w:eastAsia="Calibri" w:hAnsi="Arial" w:cs="Arial"/>
          <w:sz w:val="22"/>
          <w:lang w:val="es-ES"/>
        </w:rPr>
        <w:t>este es un acto jurídico independiente de los objetos contractuales a los que se refiere, el cual contiene decisiones relevantes para quienes aspiren a contratar con el Estado y tiene por finalidad informar a los potenciales proveedores de una estimación de las obras, bienes y servicios requeridos por cada entidad.</w:t>
      </w:r>
    </w:p>
    <w:p w14:paraId="207A6976" w14:textId="77777777" w:rsidR="00D12042" w:rsidRPr="00476ABB" w:rsidRDefault="00D12042" w:rsidP="00D12042">
      <w:pPr>
        <w:spacing w:after="120" w:line="276" w:lineRule="auto"/>
        <w:ind w:firstLine="709"/>
        <w:jc w:val="both"/>
        <w:rPr>
          <w:rStyle w:val="Textoennegrita"/>
          <w:rFonts w:ascii="Arial" w:hAnsi="Arial" w:cs="Arial"/>
          <w:b w:val="0"/>
          <w:bCs w:val="0"/>
          <w:sz w:val="22"/>
          <w:lang w:val="es-ES"/>
        </w:rPr>
      </w:pPr>
      <w:r w:rsidRPr="00476ABB">
        <w:rPr>
          <w:rFonts w:ascii="Arial" w:eastAsia="Calibri" w:hAnsi="Arial" w:cs="Arial"/>
          <w:sz w:val="22"/>
          <w:lang w:val="es-ES"/>
        </w:rPr>
        <w:t xml:space="preserve">En ese sentido, el Plan Anual de Adquisiciones no forma parte de la noción de </w:t>
      </w:r>
      <w:r w:rsidRPr="00476ABB">
        <w:rPr>
          <w:rFonts w:ascii="Arial" w:eastAsia="Calibri" w:hAnsi="Arial" w:cs="Arial"/>
          <w:i/>
          <w:iCs/>
          <w:sz w:val="22"/>
          <w:lang w:val="es-ES"/>
        </w:rPr>
        <w:t xml:space="preserve">Documentos del Proceso, </w:t>
      </w:r>
      <w:r w:rsidRPr="00476ABB">
        <w:rPr>
          <w:rFonts w:ascii="Arial" w:eastAsia="Calibri" w:hAnsi="Arial" w:cs="Arial"/>
          <w:sz w:val="22"/>
          <w:lang w:val="es-ES"/>
        </w:rPr>
        <w:t xml:space="preserve">ni hace parte del </w:t>
      </w:r>
      <w:r w:rsidRPr="00476ABB">
        <w:rPr>
          <w:rFonts w:ascii="Arial" w:eastAsia="Calibri" w:hAnsi="Arial" w:cs="Arial"/>
          <w:i/>
          <w:iCs/>
          <w:sz w:val="22"/>
          <w:lang w:val="es-ES"/>
        </w:rPr>
        <w:t>Proce</w:t>
      </w:r>
      <w:r w:rsidRPr="00476ABB">
        <w:rPr>
          <w:rFonts w:ascii="Arial" w:eastAsia="Calibri" w:hAnsi="Arial" w:cs="Arial"/>
          <w:sz w:val="22"/>
          <w:lang w:val="es-ES"/>
        </w:rPr>
        <w:t xml:space="preserve">so </w:t>
      </w:r>
      <w:r w:rsidRPr="00476ABB">
        <w:rPr>
          <w:rFonts w:ascii="Arial" w:eastAsia="Calibri" w:hAnsi="Arial" w:cs="Arial"/>
          <w:i/>
          <w:iCs/>
          <w:sz w:val="22"/>
          <w:lang w:val="es-ES"/>
        </w:rPr>
        <w:t>de Contratación,</w:t>
      </w:r>
      <w:r w:rsidRPr="00476ABB">
        <w:rPr>
          <w:rFonts w:ascii="Arial" w:eastAsia="Calibri" w:hAnsi="Arial" w:cs="Arial"/>
          <w:sz w:val="22"/>
          <w:lang w:val="es-ES"/>
        </w:rPr>
        <w:t xml:space="preserve"> conforme al artículo 2.2.1.1.1.3.1 del Decreto 1082 de 2015, por lo que el deber de publicarlo encuentra apoyo en normas distintas del artículo 2.2.1.1.1.7.1 </w:t>
      </w:r>
      <w:r w:rsidRPr="00476ABB">
        <w:rPr>
          <w:rFonts w:ascii="Arial" w:eastAsia="Calibri" w:hAnsi="Arial" w:cs="Arial"/>
          <w:i/>
          <w:iCs/>
          <w:sz w:val="22"/>
          <w:lang w:val="es-ES"/>
        </w:rPr>
        <w:t xml:space="preserve">Ibídem. </w:t>
      </w:r>
      <w:r w:rsidRPr="00476ABB">
        <w:rPr>
          <w:rFonts w:ascii="Arial" w:eastAsia="Calibri" w:hAnsi="Arial" w:cs="Arial"/>
          <w:sz w:val="22"/>
          <w:lang w:val="es-ES"/>
        </w:rPr>
        <w:t>Es el artículo 74 de la Ley 1474 de 2011</w:t>
      </w:r>
      <w:r w:rsidRPr="00476ABB">
        <w:rPr>
          <w:rStyle w:val="Refdenotaalpie"/>
          <w:rFonts w:ascii="Arial" w:eastAsia="Calibri" w:hAnsi="Arial" w:cs="Arial"/>
          <w:sz w:val="22"/>
          <w:lang w:val="es-ES"/>
        </w:rPr>
        <w:footnoteReference w:id="22"/>
      </w:r>
      <w:r w:rsidRPr="00476ABB">
        <w:rPr>
          <w:rFonts w:ascii="Arial" w:eastAsia="Calibri" w:hAnsi="Arial" w:cs="Arial"/>
          <w:sz w:val="22"/>
          <w:lang w:val="es-ES"/>
        </w:rPr>
        <w:t xml:space="preserve"> el que dispone que </w:t>
      </w:r>
      <w:r w:rsidRPr="00476ABB">
        <w:rPr>
          <w:rFonts w:ascii="Arial" w:hAnsi="Arial" w:cs="Arial"/>
          <w:sz w:val="22"/>
          <w:lang w:val="es-ES"/>
        </w:rPr>
        <w:t xml:space="preserve">a más tardar el 31 de enero de cada año las entidades deben publicar, en su página web, el Plan de Acción para el año siguiente; y el artículo </w:t>
      </w:r>
      <w:r w:rsidRPr="00476ABB">
        <w:rPr>
          <w:rStyle w:val="Textoennegrita"/>
          <w:rFonts w:ascii="Arial" w:hAnsi="Arial" w:cs="Arial"/>
          <w:b w:val="0"/>
          <w:bCs w:val="0"/>
          <w:sz w:val="22"/>
          <w:lang w:val="es-ES"/>
        </w:rPr>
        <w:lastRenderedPageBreak/>
        <w:t>2.2.1.1.1.4.3</w:t>
      </w:r>
      <w:r w:rsidRPr="00476ABB">
        <w:rPr>
          <w:rStyle w:val="Refdenotaalpie"/>
          <w:rFonts w:ascii="Arial" w:hAnsi="Arial" w:cs="Arial"/>
          <w:sz w:val="22"/>
          <w:lang w:val="es-ES"/>
        </w:rPr>
        <w:footnoteReference w:id="23"/>
      </w:r>
      <w:r w:rsidRPr="00476ABB">
        <w:rPr>
          <w:rStyle w:val="Textoennegrita"/>
          <w:rFonts w:ascii="Arial" w:hAnsi="Arial" w:cs="Arial"/>
          <w:sz w:val="22"/>
          <w:lang w:val="es-ES"/>
        </w:rPr>
        <w:t xml:space="preserve"> </w:t>
      </w:r>
      <w:r w:rsidRPr="00476ABB">
        <w:rPr>
          <w:rStyle w:val="Textoennegrita"/>
          <w:rFonts w:ascii="Arial" w:hAnsi="Arial" w:cs="Arial"/>
          <w:b w:val="0"/>
          <w:bCs w:val="0"/>
          <w:sz w:val="22"/>
          <w:lang w:val="es-ES"/>
        </w:rPr>
        <w:t>del Decreto 1082 de 2015 también exige publicarlo en la página web de la entidad y además en el SECOP; así como también lo indica el citado artículo 2.1.1.2.1.10 del Decreto 1081 de 2015.</w:t>
      </w:r>
    </w:p>
    <w:p w14:paraId="132C9548" w14:textId="6C36A5B5" w:rsidR="00D12042" w:rsidRPr="00476ABB" w:rsidRDefault="00D12042" w:rsidP="00D12042">
      <w:pPr>
        <w:spacing w:after="120" w:line="276" w:lineRule="auto"/>
        <w:ind w:firstLine="709"/>
        <w:jc w:val="both"/>
        <w:rPr>
          <w:rFonts w:ascii="Arial" w:eastAsia="Arial" w:hAnsi="Arial" w:cs="Arial"/>
          <w:sz w:val="22"/>
          <w:lang w:val="es-ES"/>
        </w:rPr>
      </w:pPr>
      <w:r w:rsidRPr="00476ABB">
        <w:rPr>
          <w:rStyle w:val="Textoennegrita"/>
          <w:rFonts w:ascii="Arial" w:hAnsi="Arial" w:cs="Arial"/>
          <w:b w:val="0"/>
          <w:bCs w:val="0"/>
          <w:sz w:val="22"/>
          <w:lang w:val="es-ES"/>
        </w:rPr>
        <w:t xml:space="preserve">En conclusión, con base en los fundamentos normativos y argumentos expuestos, además del Plan Anual de Adquisiciones, las entidades estatales regidas por el EGCAP deberán publicar en SECOP, entre otros, los siguientes documentos expedidos con ocasión del </w:t>
      </w:r>
      <w:r w:rsidRPr="00476ABB">
        <w:rPr>
          <w:rStyle w:val="Textoennegrita"/>
          <w:rFonts w:ascii="Arial" w:hAnsi="Arial" w:cs="Arial"/>
          <w:b w:val="0"/>
          <w:bCs w:val="0"/>
          <w:i/>
          <w:iCs/>
          <w:sz w:val="22"/>
          <w:lang w:val="es-ES"/>
        </w:rPr>
        <w:t>proceso de contratación</w:t>
      </w:r>
      <w:r w:rsidRPr="00476ABB">
        <w:rPr>
          <w:rStyle w:val="Textoennegrita"/>
          <w:rFonts w:ascii="Arial" w:hAnsi="Arial" w:cs="Arial"/>
          <w:b w:val="0"/>
          <w:bCs w:val="0"/>
          <w:sz w:val="22"/>
          <w:lang w:val="es-ES"/>
        </w:rPr>
        <w:t xml:space="preserve">: i) el estudio de oportunidad y conveniencia; ii) </w:t>
      </w:r>
      <w:r w:rsidRPr="00476ABB">
        <w:rPr>
          <w:rFonts w:ascii="Arial" w:hAnsi="Arial" w:cs="Arial"/>
          <w:sz w:val="22"/>
          <w:lang w:val="es-ES"/>
        </w:rPr>
        <w:t xml:space="preserve">los estudios y documentos previos –técnicos o no–; iii) el  aviso de convocatoria; iv) el proyecto de pliego de condiciones y las observaciones que le formulen; v) el pliego de condiciones o la invitación, así como las observaciones que se les realicen; vi) las actas de la audiencia de asignación de riesgos; vii) el acta de cierre del plazo para presentar ofertas; viii) las adendas; ix) en  procesos cuya publicación deba realizarse en SECOP I, la oferta del adjudicatario y las aclaraciones que se le realicen; x) el informe de precalificación y las observaciones que se formulen; xi) el informe de evaluación y las observaciones que se formulen; xii) las respuestas a las observaciones; xiii) el contrato y los otrosíes o modificaciones; xiv) el acta de inicio; xv) las garantías; xvi) el acta de liquidación; xvii) los actos administrativos expedidos con ocasión del procedimiento de selección o la ejecución del contrato, como las resoluciones de apertura, de adjudicación, las que se impongan multas, la cláusula penal o declaren la caducidad del contrato; xviii) los documentos de los procesos por incumplimiento contractual que se lleven a cabo conforme al artículo 86 de la Ley 1474 de 2011, como la citación, las pruebas que se practiquen, la resolución que resuelve la actuación y demás documentos que se produzcan; ix) las reclamaciones que presenten las partes y las respuestas que se expidan a las mismas; xx) las actas de entrega o recibo, xxi) los informes de supervisión y/o interventoría; xxii) en cuanto a la ejecución, de conformidad con el artículo 2.1.1.2.1.8 de Decreto 1081 de 2015, deberán publicarse las aprobaciones, autorizaciones, requerimientos o informes del supervisor o del interventor, que prueben la ejecución del contrato; xxiii) la liquidación unilateral; y xxiv) en general cualquier otro documento producido o expedido con ocasión del </w:t>
      </w:r>
      <w:r w:rsidRPr="00476ABB">
        <w:rPr>
          <w:rFonts w:ascii="Arial" w:hAnsi="Arial" w:cs="Arial"/>
          <w:i/>
          <w:iCs/>
          <w:sz w:val="22"/>
          <w:lang w:val="es-ES"/>
        </w:rPr>
        <w:t>Proceso de Contratación</w:t>
      </w:r>
      <w:r w:rsidRPr="00476ABB">
        <w:rPr>
          <w:rFonts w:ascii="Arial" w:hAnsi="Arial" w:cs="Arial"/>
          <w:sz w:val="22"/>
          <w:lang w:val="es-ES"/>
        </w:rPr>
        <w:t>, sin importar quién sea su autor –la Administración o el contratista–, con excepción de los que pertenecen a</w:t>
      </w:r>
      <w:r w:rsidRPr="00476ABB">
        <w:rPr>
          <w:rFonts w:ascii="Arial" w:eastAsia="Arial" w:hAnsi="Arial" w:cs="Arial"/>
          <w:sz w:val="22"/>
          <w:lang w:val="es-ES"/>
        </w:rPr>
        <w:t xml:space="preserve">l marco de operaciones de bolsa de productos, expresamente excluidos de publicación por el artículo 2.2.1.1.1.7.1. del Decreto 1082 de 2015. </w:t>
      </w:r>
    </w:p>
    <w:p w14:paraId="37666238" w14:textId="11226D7F" w:rsidR="00CF4478" w:rsidRPr="00476ABB" w:rsidRDefault="00CF4478" w:rsidP="0031783A">
      <w:pPr>
        <w:spacing w:after="120" w:line="276" w:lineRule="auto"/>
        <w:ind w:firstLine="709"/>
        <w:jc w:val="both"/>
        <w:rPr>
          <w:rFonts w:ascii="Arial" w:hAnsi="Arial" w:cs="Arial"/>
          <w:sz w:val="22"/>
        </w:rPr>
      </w:pPr>
      <w:r w:rsidRPr="00476ABB">
        <w:rPr>
          <w:rFonts w:ascii="Arial" w:eastAsia="Arial" w:hAnsi="Arial" w:cs="Arial"/>
          <w:sz w:val="22"/>
          <w:lang w:val="es-ES"/>
        </w:rPr>
        <w:t xml:space="preserve">Conforme a esto, las entidades estarán obligadas a publicar todos lo documentos que se produzcan en el marco del </w:t>
      </w:r>
      <w:r w:rsidRPr="00476ABB">
        <w:rPr>
          <w:rFonts w:ascii="Arial" w:eastAsia="Arial" w:hAnsi="Arial" w:cs="Arial"/>
          <w:i/>
          <w:iCs/>
          <w:sz w:val="22"/>
          <w:lang w:val="es-ES"/>
        </w:rPr>
        <w:t>Proceso de Contratación</w:t>
      </w:r>
      <w:r w:rsidRPr="00476ABB">
        <w:rPr>
          <w:rFonts w:ascii="Arial" w:eastAsia="Arial" w:hAnsi="Arial" w:cs="Arial"/>
          <w:sz w:val="22"/>
          <w:lang w:val="es-ES"/>
        </w:rPr>
        <w:t xml:space="preserve">, de conformidad con las normas que que regulan la respectiva modalidad de selección. En sentido resulta necesario precisar que, en lo que tiene que ver con la modalidad de selección de contratación directa, </w:t>
      </w:r>
      <w:bookmarkStart w:id="10" w:name="_Hlk48034832"/>
      <w:r w:rsidRPr="00476ABB">
        <w:rPr>
          <w:rFonts w:ascii="Arial" w:eastAsia="Arial" w:hAnsi="Arial" w:cs="Arial"/>
          <w:sz w:val="22"/>
          <w:lang w:val="es-ES"/>
        </w:rPr>
        <w:t xml:space="preserve">en virtud </w:t>
      </w:r>
      <w:r w:rsidRPr="00476ABB">
        <w:rPr>
          <w:rFonts w:ascii="Arial" w:eastAsia="Arial" w:hAnsi="Arial" w:cs="Arial"/>
          <w:sz w:val="22"/>
          <w:lang w:val="es-ES"/>
        </w:rPr>
        <w:lastRenderedPageBreak/>
        <w:t>de lo dispuesto en lo</w:t>
      </w:r>
      <w:r w:rsidR="00936CF1" w:rsidRPr="00476ABB">
        <w:rPr>
          <w:rFonts w:ascii="Arial" w:eastAsia="Arial" w:hAnsi="Arial" w:cs="Arial"/>
          <w:sz w:val="22"/>
          <w:lang w:val="es-ES"/>
        </w:rPr>
        <w:t xml:space="preserve"> en el</w:t>
      </w:r>
      <w:r w:rsidRPr="00476ABB">
        <w:rPr>
          <w:rFonts w:ascii="Arial" w:eastAsia="Arial" w:hAnsi="Arial" w:cs="Arial"/>
          <w:sz w:val="22"/>
          <w:lang w:val="es-ES"/>
        </w:rPr>
        <w:t xml:space="preserve"> artículo </w:t>
      </w:r>
      <w:r w:rsidRPr="00476ABB">
        <w:rPr>
          <w:rStyle w:val="Textoennegrita"/>
          <w:rFonts w:ascii="Arial" w:hAnsi="Arial" w:cs="Arial"/>
          <w:b w:val="0"/>
          <w:bCs w:val="0"/>
          <w:sz w:val="22"/>
        </w:rPr>
        <w:t xml:space="preserve">2.2.1.2.1.4.3 </w:t>
      </w:r>
      <w:r w:rsidR="00936CF1" w:rsidRPr="00476ABB">
        <w:rPr>
          <w:rStyle w:val="Textoennegrita"/>
          <w:rFonts w:ascii="Arial" w:hAnsi="Arial" w:cs="Arial"/>
          <w:b w:val="0"/>
          <w:bCs w:val="0"/>
          <w:sz w:val="22"/>
        </w:rPr>
        <w:t xml:space="preserve">del </w:t>
      </w:r>
      <w:r w:rsidRPr="00476ABB">
        <w:rPr>
          <w:rStyle w:val="Textoennegrita"/>
          <w:rFonts w:ascii="Arial" w:hAnsi="Arial" w:cs="Arial"/>
          <w:b w:val="0"/>
          <w:bCs w:val="0"/>
          <w:sz w:val="22"/>
        </w:rPr>
        <w:t>Decreto 1082 de 2015</w:t>
      </w:r>
      <w:r w:rsidR="0031783A" w:rsidRPr="00476ABB">
        <w:rPr>
          <w:rStyle w:val="Refdenotaalpie"/>
          <w:rFonts w:ascii="Arial" w:hAnsi="Arial" w:cs="Arial"/>
          <w:sz w:val="22"/>
        </w:rPr>
        <w:footnoteReference w:id="24"/>
      </w:r>
      <w:r w:rsidRPr="00476ABB">
        <w:rPr>
          <w:rStyle w:val="Textoennegrita"/>
          <w:rFonts w:ascii="Arial" w:hAnsi="Arial" w:cs="Arial"/>
          <w:b w:val="0"/>
          <w:bCs w:val="0"/>
          <w:sz w:val="22"/>
        </w:rPr>
        <w:t>, las entidades no están obligadas a publicar los estudios y documentos previos relacionados con</w:t>
      </w:r>
      <w:r w:rsidR="00936CF1" w:rsidRPr="00476ABB">
        <w:rPr>
          <w:rStyle w:val="Textoennegrita"/>
          <w:rFonts w:ascii="Arial" w:hAnsi="Arial" w:cs="Arial"/>
          <w:b w:val="0"/>
          <w:bCs w:val="0"/>
          <w:sz w:val="22"/>
        </w:rPr>
        <w:t>:</w:t>
      </w:r>
      <w:r w:rsidRPr="00476ABB">
        <w:rPr>
          <w:rStyle w:val="Textoennegrita"/>
          <w:rFonts w:ascii="Arial" w:hAnsi="Arial" w:cs="Arial"/>
          <w:b w:val="0"/>
          <w:bCs w:val="0"/>
          <w:sz w:val="22"/>
        </w:rPr>
        <w:t xml:space="preserve"> </w:t>
      </w:r>
      <w:r w:rsidR="00936CF1" w:rsidRPr="00476ABB">
        <w:rPr>
          <w:rStyle w:val="Textoennegrita"/>
          <w:rFonts w:ascii="Arial" w:hAnsi="Arial" w:cs="Arial"/>
          <w:b w:val="0"/>
          <w:bCs w:val="0"/>
          <w:sz w:val="22"/>
        </w:rPr>
        <w:t xml:space="preserve">i) </w:t>
      </w:r>
      <w:r w:rsidRPr="00476ABB">
        <w:rPr>
          <w:rStyle w:val="Textoennegrita"/>
          <w:rFonts w:ascii="Arial" w:hAnsi="Arial" w:cs="Arial"/>
          <w:b w:val="0"/>
          <w:bCs w:val="0"/>
          <w:sz w:val="22"/>
        </w:rPr>
        <w:t xml:space="preserve">la contratación de </w:t>
      </w:r>
      <w:r w:rsidR="00936CF1" w:rsidRPr="00476ABB">
        <w:rPr>
          <w:rStyle w:val="Textoennegrita"/>
          <w:rFonts w:ascii="Arial" w:hAnsi="Arial" w:cs="Arial"/>
          <w:b w:val="0"/>
          <w:bCs w:val="0"/>
          <w:sz w:val="22"/>
        </w:rPr>
        <w:t xml:space="preserve">empréstitos, ii) los contratos </w:t>
      </w:r>
      <w:r w:rsidR="00936CF1" w:rsidRPr="00476ABB">
        <w:rPr>
          <w:rFonts w:ascii="Arial" w:hAnsi="Arial" w:cs="Arial"/>
          <w:sz w:val="22"/>
        </w:rPr>
        <w:t>interadministrativos que celebre el Ministerio de Hacienda y Crédito Público con el Banco de la República, y iii) los contratos a los que se refiere el artículo 2.2.1.2.1.4.6 del Decreto 1082 de 2015, r</w:t>
      </w:r>
      <w:r w:rsidR="00AB2522" w:rsidRPr="00476ABB">
        <w:rPr>
          <w:rFonts w:ascii="Arial" w:hAnsi="Arial" w:cs="Arial"/>
          <w:sz w:val="22"/>
        </w:rPr>
        <w:t xml:space="preserve">elacionados con </w:t>
      </w:r>
      <w:r w:rsidR="00936CF1" w:rsidRPr="00476ABB">
        <w:rPr>
          <w:rFonts w:ascii="Arial" w:hAnsi="Arial" w:cs="Arial"/>
          <w:sz w:val="22"/>
        </w:rPr>
        <w:t>bienes y servicios del Sector Defensa</w:t>
      </w:r>
      <w:r w:rsidR="00AB2522" w:rsidRPr="00476ABB">
        <w:rPr>
          <w:rFonts w:ascii="Arial" w:hAnsi="Arial" w:cs="Arial"/>
          <w:sz w:val="22"/>
        </w:rPr>
        <w:t>, la Dirección Nacional de Inteligencia y la Unidad Nacional de Protección</w:t>
      </w:r>
      <w:r w:rsidR="00936CF1" w:rsidRPr="00476ABB">
        <w:rPr>
          <w:rFonts w:ascii="Arial" w:hAnsi="Arial" w:cs="Arial"/>
          <w:sz w:val="22"/>
        </w:rPr>
        <w:t xml:space="preserve"> que requieren reserva para su adquisición</w:t>
      </w:r>
      <w:bookmarkEnd w:id="10"/>
      <w:r w:rsidR="00AB2522" w:rsidRPr="00476ABB">
        <w:rPr>
          <w:rStyle w:val="Refdenotaalpie"/>
          <w:rFonts w:ascii="Arial" w:hAnsi="Arial" w:cs="Arial"/>
          <w:sz w:val="22"/>
        </w:rPr>
        <w:footnoteReference w:id="25"/>
      </w:r>
      <w:r w:rsidR="00936CF1" w:rsidRPr="00476ABB">
        <w:rPr>
          <w:rFonts w:ascii="Arial" w:hAnsi="Arial" w:cs="Arial"/>
          <w:sz w:val="22"/>
        </w:rPr>
        <w:t xml:space="preserve">. </w:t>
      </w:r>
    </w:p>
    <w:p w14:paraId="3067B496" w14:textId="77777777" w:rsidR="00D12042" w:rsidRPr="00476ABB" w:rsidRDefault="00D12042" w:rsidP="00D12042">
      <w:pPr>
        <w:spacing w:line="276" w:lineRule="auto"/>
        <w:ind w:firstLine="709"/>
        <w:jc w:val="both"/>
        <w:rPr>
          <w:rFonts w:ascii="Arial" w:hAnsi="Arial" w:cs="Arial"/>
          <w:sz w:val="22"/>
          <w:lang w:val="es-ES"/>
        </w:rPr>
      </w:pPr>
      <w:r w:rsidRPr="00476ABB">
        <w:rPr>
          <w:rFonts w:ascii="Arial" w:hAnsi="Arial" w:cs="Arial"/>
          <w:sz w:val="22"/>
          <w:lang w:val="es-ES"/>
        </w:rPr>
        <w:t>Sin perjuicio de lo anterior, no debe perderse de vista que en virtud del principio de transparencia, específicamente por cuenta de lo dispuesto en el numeral 4 del artículo 24 de la Ley 80 de 1993</w:t>
      </w:r>
      <w:r w:rsidRPr="00476ABB">
        <w:rPr>
          <w:rStyle w:val="Refdenotaalpie"/>
          <w:rFonts w:ascii="Arial" w:hAnsi="Arial" w:cs="Arial"/>
          <w:sz w:val="22"/>
          <w:lang w:val="es-ES"/>
        </w:rPr>
        <w:footnoteReference w:id="26"/>
      </w:r>
      <w:r w:rsidRPr="00476ABB">
        <w:rPr>
          <w:rFonts w:ascii="Arial" w:hAnsi="Arial" w:cs="Arial"/>
          <w:sz w:val="22"/>
          <w:lang w:val="es-ES"/>
        </w:rPr>
        <w:t>, así como por el principio de máxima publicidad establecido en el artículo 2 de la Ley 1712 de 2014</w:t>
      </w:r>
      <w:r w:rsidRPr="00476ABB">
        <w:rPr>
          <w:rStyle w:val="Refdenotaalpie"/>
          <w:rFonts w:ascii="Arial" w:hAnsi="Arial" w:cs="Arial"/>
          <w:sz w:val="22"/>
          <w:lang w:val="es-ES"/>
        </w:rPr>
        <w:footnoteReference w:id="27"/>
      </w:r>
      <w:r w:rsidRPr="00476ABB">
        <w:rPr>
          <w:rFonts w:ascii="Arial" w:hAnsi="Arial" w:cs="Arial"/>
          <w:sz w:val="22"/>
          <w:lang w:val="es-ES"/>
        </w:rPr>
        <w:t>, el contenido del expediente en el que reposa la actuación es información pública, independientemente de si se trata de documentos que deban  ser publicados en SECOP, razón por la que pueden ser objeto de solicitud de copias, en ejercicio del derecho de petición, en cualquier momento del proceso de selección, en la medida en que las normas señaladas no imponen ningún condicionamiento, así que podrán solicitarlas cualquier persona, dentro de lo que cabe la vigilancia de la contratación pública, cuestión que podría interesar a cualquier ciudadano</w:t>
      </w:r>
      <w:r w:rsidRPr="00476ABB">
        <w:rPr>
          <w:rStyle w:val="Refdenotaalpie"/>
          <w:rFonts w:ascii="Arial" w:hAnsi="Arial" w:cs="Arial"/>
          <w:sz w:val="22"/>
          <w:lang w:val="es-ES"/>
        </w:rPr>
        <w:footnoteReference w:id="28"/>
      </w:r>
      <w:r w:rsidRPr="00476ABB">
        <w:rPr>
          <w:rFonts w:ascii="Arial" w:hAnsi="Arial" w:cs="Arial"/>
          <w:sz w:val="22"/>
          <w:lang w:val="es-ES"/>
        </w:rPr>
        <w:t xml:space="preserve">. Esta posibilidad solo se encuentra </w:t>
      </w:r>
      <w:r w:rsidRPr="00476ABB">
        <w:rPr>
          <w:rFonts w:ascii="Arial" w:hAnsi="Arial" w:cs="Arial"/>
          <w:sz w:val="22"/>
          <w:lang w:val="es-ES"/>
        </w:rPr>
        <w:lastRenderedPageBreak/>
        <w:t>limitada respecto de la documentación que tenga la calidad de reservada</w:t>
      </w:r>
      <w:r w:rsidRPr="00476ABB">
        <w:rPr>
          <w:rFonts w:ascii="Arial" w:hAnsi="Arial" w:cs="Arial"/>
          <w:sz w:val="22"/>
          <w:vertAlign w:val="superscript"/>
          <w:lang w:val="es-ES"/>
        </w:rPr>
        <w:footnoteReference w:id="29"/>
      </w:r>
      <w:r w:rsidRPr="00476ABB">
        <w:rPr>
          <w:rFonts w:ascii="Arial" w:hAnsi="Arial" w:cs="Arial"/>
          <w:sz w:val="22"/>
          <w:lang w:val="es-ES"/>
        </w:rPr>
        <w:t>, que deberá someterse al tratamiento establecido en el artículo 36 del CPACA, en lo relativo a la formación de cuadernos separados</w:t>
      </w:r>
      <w:r w:rsidRPr="00476ABB">
        <w:rPr>
          <w:rFonts w:ascii="Arial" w:hAnsi="Arial" w:cs="Arial"/>
          <w:sz w:val="22"/>
          <w:vertAlign w:val="superscript"/>
          <w:lang w:val="es-ES"/>
        </w:rPr>
        <w:footnoteReference w:id="30"/>
      </w:r>
      <w:r w:rsidRPr="00476ABB">
        <w:rPr>
          <w:rFonts w:ascii="Arial" w:hAnsi="Arial" w:cs="Arial"/>
          <w:sz w:val="22"/>
          <w:lang w:val="es-ES"/>
        </w:rPr>
        <w:t>.</w:t>
      </w:r>
    </w:p>
    <w:p w14:paraId="5BA6BB6B" w14:textId="79ED603D" w:rsidR="00923029" w:rsidRDefault="00923029" w:rsidP="009B7F9B">
      <w:pPr>
        <w:pStyle w:val="Prrafodelista"/>
        <w:tabs>
          <w:tab w:val="left" w:pos="284"/>
        </w:tabs>
        <w:spacing w:line="276" w:lineRule="auto"/>
        <w:ind w:left="0"/>
        <w:jc w:val="both"/>
        <w:rPr>
          <w:rFonts w:ascii="Arial" w:eastAsia="Calibri" w:hAnsi="Arial" w:cs="Arial"/>
          <w:b/>
          <w:sz w:val="22"/>
          <w:lang w:val="es-ES"/>
        </w:rPr>
      </w:pPr>
    </w:p>
    <w:p w14:paraId="1D19D6B9" w14:textId="77777777" w:rsidR="0057561C" w:rsidRPr="00842EFF" w:rsidRDefault="0057561C" w:rsidP="0057561C">
      <w:pPr>
        <w:spacing w:line="276" w:lineRule="auto"/>
        <w:jc w:val="both"/>
        <w:rPr>
          <w:rFonts w:ascii="Arial" w:eastAsia="Calibri" w:hAnsi="Arial" w:cs="Arial"/>
          <w:b/>
          <w:sz w:val="22"/>
          <w:lang w:val="es-ES"/>
        </w:rPr>
      </w:pPr>
      <w:r w:rsidRPr="00842EFF">
        <w:rPr>
          <w:rFonts w:ascii="Arial" w:eastAsia="Calibri" w:hAnsi="Arial" w:cs="Arial"/>
          <w:b/>
          <w:sz w:val="22"/>
          <w:lang w:val="es-ES"/>
        </w:rPr>
        <w:t>2.3. SECOP II como herramienta para la gestión contractual, su despliegue y utilización como plataforma electrónica transaccional</w:t>
      </w:r>
    </w:p>
    <w:p w14:paraId="034F48F5" w14:textId="77777777" w:rsidR="0057561C" w:rsidRPr="00842EFF" w:rsidRDefault="0057561C" w:rsidP="0057561C">
      <w:pPr>
        <w:spacing w:line="276" w:lineRule="auto"/>
        <w:jc w:val="both"/>
        <w:rPr>
          <w:rFonts w:ascii="Arial" w:eastAsia="Calibri" w:hAnsi="Arial" w:cs="Arial"/>
          <w:b/>
          <w:sz w:val="22"/>
          <w:lang w:val="es-ES"/>
        </w:rPr>
      </w:pPr>
    </w:p>
    <w:p w14:paraId="13AE9900" w14:textId="77777777" w:rsidR="0057561C" w:rsidRPr="00842EFF" w:rsidRDefault="0057561C" w:rsidP="0057561C">
      <w:pPr>
        <w:spacing w:after="120" w:line="276" w:lineRule="auto"/>
        <w:jc w:val="both"/>
        <w:rPr>
          <w:rFonts w:ascii="Arial" w:eastAsia="Calibri" w:hAnsi="Arial" w:cs="Arial"/>
          <w:sz w:val="22"/>
          <w:lang w:val="es-ES"/>
        </w:rPr>
      </w:pPr>
      <w:bookmarkStart w:id="12" w:name="_Hlk46402844"/>
      <w:r w:rsidRPr="00842EFF">
        <w:rPr>
          <w:rFonts w:ascii="Arial" w:eastAsia="Calibri" w:hAnsi="Arial" w:cs="Arial"/>
          <w:sz w:val="22"/>
          <w:lang w:val="es-ES"/>
        </w:rPr>
        <w:t>La Agencia Nacional de Contratación Pública – Colombia Compra Eficiente tiene como función administrar el SECOP</w:t>
      </w:r>
      <w:r w:rsidRPr="00842EFF">
        <w:rPr>
          <w:rStyle w:val="Refdenotaalpie"/>
          <w:rFonts w:ascii="Arial" w:eastAsia="Calibri" w:hAnsi="Arial" w:cs="Arial"/>
          <w:sz w:val="22"/>
          <w:lang w:val="es-ES"/>
        </w:rPr>
        <w:footnoteReference w:id="31"/>
      </w:r>
      <w:r w:rsidRPr="00842EFF">
        <w:rPr>
          <w:rFonts w:ascii="Arial" w:eastAsia="Calibri" w:hAnsi="Arial" w:cs="Arial"/>
          <w:sz w:val="22"/>
          <w:lang w:val="es-ES"/>
        </w:rPr>
        <w:t>, por lo cual se desarrolló la primera versión  de la plataforma</w:t>
      </w:r>
      <w:r>
        <w:rPr>
          <w:rFonts w:ascii="Arial" w:eastAsia="Calibri" w:hAnsi="Arial" w:cs="Arial"/>
          <w:sz w:val="22"/>
          <w:lang w:val="es-ES"/>
        </w:rPr>
        <w:t xml:space="preserve"> </w:t>
      </w:r>
      <w:r w:rsidRPr="00842EFF">
        <w:rPr>
          <w:rFonts w:ascii="Arial" w:eastAsia="Calibri" w:hAnsi="Arial" w:cs="Arial"/>
          <w:sz w:val="22"/>
          <w:lang w:val="es-ES"/>
        </w:rPr>
        <w:t xml:space="preserve"> ̶ SECOP I ̶ , que solo funciona como medio de publicidad, es decir, no es transaccional, lo </w:t>
      </w:r>
      <w:r w:rsidRPr="00842EFF">
        <w:rPr>
          <w:rFonts w:ascii="Arial" w:eastAsia="Calibri" w:hAnsi="Arial" w:cs="Arial"/>
          <w:sz w:val="22"/>
          <w:lang w:val="es-ES"/>
        </w:rPr>
        <w:lastRenderedPageBreak/>
        <w:t>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w:t>
      </w:r>
    </w:p>
    <w:p w14:paraId="2C305F1C" w14:textId="77777777" w:rsidR="0057561C" w:rsidRPr="00842EFF" w:rsidRDefault="0057561C" w:rsidP="0057561C">
      <w:pPr>
        <w:spacing w:before="120" w:after="120" w:line="276" w:lineRule="auto"/>
        <w:ind w:firstLine="708"/>
        <w:jc w:val="both"/>
        <w:rPr>
          <w:rFonts w:ascii="Arial" w:eastAsia="Calibri" w:hAnsi="Arial" w:cs="Arial"/>
          <w:sz w:val="22"/>
          <w:lang w:val="es-ES"/>
        </w:rPr>
      </w:pPr>
      <w:r w:rsidRPr="00842EFF">
        <w:rPr>
          <w:rFonts w:ascii="Arial" w:eastAsia="Calibri" w:hAnsi="Arial" w:cs="Arial"/>
          <w:sz w:val="22"/>
          <w:lang w:val="es-ES"/>
        </w:rPr>
        <w:t>El SECOP II es una plataforma transaccional, que permite gestionar en línea todos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bookmarkEnd w:id="12"/>
    <w:p w14:paraId="56BD71F0" w14:textId="77777777" w:rsidR="0057561C" w:rsidRPr="00842EFF" w:rsidRDefault="0057561C" w:rsidP="0057561C">
      <w:pPr>
        <w:spacing w:before="120" w:after="120" w:line="276" w:lineRule="auto"/>
        <w:ind w:firstLine="708"/>
        <w:jc w:val="both"/>
        <w:rPr>
          <w:rFonts w:ascii="Arial" w:eastAsia="Calibri" w:hAnsi="Arial" w:cs="Arial"/>
          <w:sz w:val="22"/>
          <w:lang w:val="es-ES"/>
        </w:rPr>
      </w:pPr>
      <w:r w:rsidRPr="00842EFF">
        <w:rPr>
          <w:rFonts w:ascii="Arial" w:eastAsia="Calibri" w:hAnsi="Arial" w:cs="Arial"/>
          <w:sz w:val="22"/>
          <w:lang w:val="es-ES"/>
        </w:rPr>
        <w:t xml:space="preserve">La Agencia Nacional de Contratación Pública – Colombia Compra Eficiente realizó el despliegue de SECOP II a nivel territorial en el 2018 y 2019, por lo cual se expidió la Circular Externa No. 1 de 2019 sobre la obligatoriedad del uso del SECOP II en el 2020, que dispone: «A partir del 1 de enero de 2020, todos los procesos de contratación de las entidades relacionadas en el Anexo 1 de esta circular deberán gestionarse, exclusivamente, en el SECOP ll». </w:t>
      </w:r>
    </w:p>
    <w:p w14:paraId="3CC8E9F1" w14:textId="77777777" w:rsidR="0057561C" w:rsidRPr="00842EFF" w:rsidRDefault="0057561C" w:rsidP="0057561C">
      <w:pPr>
        <w:spacing w:before="120" w:after="120" w:line="276" w:lineRule="auto"/>
        <w:ind w:firstLine="708"/>
        <w:jc w:val="both"/>
        <w:rPr>
          <w:rFonts w:ascii="Arial" w:eastAsia="Calibri" w:hAnsi="Arial" w:cs="Arial"/>
          <w:sz w:val="22"/>
          <w:lang w:val="es-ES"/>
        </w:rPr>
      </w:pPr>
      <w:r w:rsidRPr="00842EFF">
        <w:rPr>
          <w:rFonts w:ascii="Arial" w:eastAsia="Calibri" w:hAnsi="Arial" w:cs="Arial"/>
          <w:sz w:val="22"/>
          <w:lang w:val="es-ES"/>
        </w:rPr>
        <w:t xml:space="preserve">Con anterioridad a estas circulares se expidieron la Circular Externa No. 1 de 2013, que regula la publicación en SECOP I de las entidades que contratan con cargo a recursos públicos, y la Circular Externa No. 20 de 2015, que reguló la </w:t>
      </w:r>
      <w:r w:rsidRPr="00842EFF">
        <w:rPr>
          <w:rFonts w:ascii="Arial" w:hAnsi="Arial" w:cs="Arial"/>
          <w:sz w:val="22"/>
          <w:lang w:val="es-ES"/>
        </w:rPr>
        <w:t>publicidad de la actividad contractual de las empresas industriales y comerciales del Estado, las sociedades de economía mixta y las empresas de servicios públicos domiciliarios que en su actividad comercial están en situación de competencia.</w:t>
      </w:r>
    </w:p>
    <w:p w14:paraId="02C38FA8" w14:textId="77777777" w:rsidR="0057561C" w:rsidRPr="00842EFF" w:rsidRDefault="0057561C" w:rsidP="0057561C">
      <w:pPr>
        <w:spacing w:before="120" w:after="120" w:line="276" w:lineRule="auto"/>
        <w:ind w:firstLine="708"/>
        <w:jc w:val="both"/>
        <w:rPr>
          <w:rFonts w:ascii="Arial" w:eastAsia="Calibri" w:hAnsi="Arial" w:cs="Arial"/>
          <w:sz w:val="22"/>
          <w:lang w:val="es-ES"/>
        </w:rPr>
      </w:pPr>
      <w:r w:rsidRPr="00842EFF">
        <w:rPr>
          <w:rFonts w:ascii="Arial" w:eastAsia="Calibri" w:hAnsi="Arial" w:cs="Arial"/>
          <w:sz w:val="22"/>
          <w:lang w:val="es-ES"/>
        </w:rPr>
        <w:t>El SECOP II, entonces, empezó a ser de uso obligatorio solo para las entidades mencionadas en el Anexo 1 de la Circular Externa No. 1 de 2019, y por ende el SECOP I cumple únicamente la función de repositorio de información.</w:t>
      </w:r>
    </w:p>
    <w:p w14:paraId="236ACFFD" w14:textId="77777777" w:rsidR="0057561C" w:rsidRPr="00842EFF" w:rsidRDefault="0057561C" w:rsidP="0057561C">
      <w:pPr>
        <w:spacing w:before="120" w:after="120" w:line="276" w:lineRule="auto"/>
        <w:ind w:firstLine="708"/>
        <w:jc w:val="both"/>
        <w:rPr>
          <w:rFonts w:ascii="Arial" w:eastAsia="Calibri" w:hAnsi="Arial" w:cs="Arial"/>
          <w:sz w:val="22"/>
          <w:lang w:val="es-ES"/>
        </w:rPr>
      </w:pPr>
      <w:r w:rsidRPr="00842EFF">
        <w:rPr>
          <w:rFonts w:ascii="Arial" w:eastAsia="Calibri" w:hAnsi="Arial" w:cs="Arial"/>
          <w:sz w:val="22"/>
          <w:lang w:val="es-ES"/>
        </w:rPr>
        <w:t xml:space="preserve">Este plazo fue prorrogado por la Agencia Nacional de Contratación Pública – Colombia Compra Eficiente, mediante la Circular Externa No. 2 de 2019, a través de la cual se amplió la entrada en vigencia de la obligatoriedad del SECOP ll. En consecuencia, las alcaldías capitales de departamento, Administración central y los departamentos (Administración central) gestionarán todos sus procesos de contratación, exclusivamente en el SECOP ll, a partir del 1 de abril de 2020. </w:t>
      </w:r>
    </w:p>
    <w:p w14:paraId="53B9D9FA" w14:textId="77777777" w:rsidR="0057561C" w:rsidRPr="00842EFF" w:rsidRDefault="0057561C" w:rsidP="0057561C">
      <w:pPr>
        <w:spacing w:before="120" w:after="120" w:line="276" w:lineRule="auto"/>
        <w:ind w:firstLine="708"/>
        <w:jc w:val="both"/>
        <w:rPr>
          <w:rFonts w:ascii="Arial" w:eastAsia="Calibri" w:hAnsi="Arial" w:cs="Arial"/>
          <w:sz w:val="22"/>
          <w:lang w:val="es-ES"/>
        </w:rPr>
      </w:pPr>
      <w:r w:rsidRPr="00842EFF">
        <w:rPr>
          <w:rFonts w:ascii="Arial" w:eastAsia="Calibri" w:hAnsi="Arial" w:cs="Arial"/>
          <w:sz w:val="22"/>
          <w:lang w:val="es-ES"/>
        </w:rPr>
        <w:t xml:space="preserve">Con todo, de acuerdo con lo que se dispuso en la Circular Externa No. 3 de 2020, existen dos grupos de entidades que se excluyeron de dicho plazo. Por un lado, la Gobernación del Chocó, la Gobernación del Archipiélago de San Andrés, Providencia y Santa Catalina, la Alcaldía de Quibdó, la Gobernación del Cauca y la Alcaldía de Popayán y, por el otro, la Gobernación de Guainía, la Alcaldía de Inírida, la Gobernación del </w:t>
      </w:r>
      <w:r w:rsidRPr="00842EFF">
        <w:rPr>
          <w:rFonts w:ascii="Arial" w:eastAsia="Calibri" w:hAnsi="Arial" w:cs="Arial"/>
          <w:sz w:val="22"/>
          <w:lang w:val="es-ES"/>
        </w:rPr>
        <w:lastRenderedPageBreak/>
        <w:t>Amazonas, la Alcaldía de Leticia, la Gobernación del Vichada, la Alcaldía de Puerto Carreño, la Gobernación del Guaviare, la Alcaldía de San José del Guaviare, la Gobernación de Vaupés y la Alcaldía de Mitú. Los primeros, porque a la fecha de expedición de la Circular Externa No. 3 no alcanzaron a capacitarse en el uso de la plataforma SECOP II, por lo que se prorrogó el plazo para que se capacitaran en dos meses, correspondiéndoles gestionar sus procesos en SECOP II a partir del 1 de junio de 2020. Los segundos tienen en común un contexto de conectividad en el que «las velocidades de carga son insuficientes para operar la plataforma en [sus] territorios», esto es, problemas de capacidad técnica de las redes, razón por la que se le permitió seguir gestionando sus procesos en medio físico, pero cumpliendo con el deber de publicidad a través de SECOP I.</w:t>
      </w:r>
    </w:p>
    <w:p w14:paraId="1BEC3E17" w14:textId="77777777" w:rsidR="0057561C" w:rsidRPr="00842EFF" w:rsidRDefault="0057561C" w:rsidP="0057561C">
      <w:pPr>
        <w:spacing w:before="120" w:after="120" w:line="276" w:lineRule="auto"/>
        <w:ind w:firstLine="708"/>
        <w:jc w:val="both"/>
        <w:rPr>
          <w:rFonts w:ascii="Arial" w:eastAsia="Calibri" w:hAnsi="Arial" w:cs="Arial"/>
          <w:b/>
          <w:sz w:val="22"/>
          <w:lang w:val="es-ES"/>
        </w:rPr>
      </w:pPr>
      <w:r w:rsidRPr="00842EFF">
        <w:rPr>
          <w:rFonts w:ascii="Arial" w:eastAsia="Calibri" w:hAnsi="Arial" w:cs="Arial"/>
          <w:sz w:val="22"/>
          <w:lang w:val="es-ES"/>
        </w:rPr>
        <w:t>Es del caso precisar que la obligación de realizar procesos de contratación a través de la plataforma SECOP II está asociada a la inclusión de las entidades estatales en los anexos de las referidas circulares, por lo que tratándose de entidades respecto de las cuales la Circular Externa No. 1 de 2019 definió el uso obligatorio de la plataforma, no siendo exceptuadas en circulares subsiguientes, deberán hacer uso de la plataforma. En ese sentido, las entidades estatales incluidas en el Anexo 1 de la Circular Externa No. 1 de 2019, deben cumplir con el deber de evidenciar la actividad contractual con la publicación de los</w:t>
      </w:r>
      <w:r w:rsidRPr="00842EFF">
        <w:rPr>
          <w:rFonts w:ascii="Arial" w:eastAsia="Calibri" w:hAnsi="Arial" w:cs="Arial"/>
          <w:i/>
          <w:iCs/>
          <w:sz w:val="22"/>
          <w:lang w:val="es-ES"/>
        </w:rPr>
        <w:t xml:space="preserve"> Documentos del Proceso </w:t>
      </w:r>
      <w:r w:rsidRPr="00842EFF">
        <w:rPr>
          <w:rFonts w:ascii="Arial" w:eastAsia="Calibri" w:hAnsi="Arial" w:cs="Arial"/>
          <w:sz w:val="22"/>
          <w:lang w:val="es-ES"/>
        </w:rPr>
        <w:t>y los actos administrativos del</w:t>
      </w:r>
      <w:r w:rsidRPr="00842EFF">
        <w:rPr>
          <w:rFonts w:ascii="Arial" w:eastAsia="Calibri" w:hAnsi="Arial" w:cs="Arial"/>
          <w:i/>
          <w:iCs/>
          <w:sz w:val="22"/>
          <w:lang w:val="es-ES"/>
        </w:rPr>
        <w:t xml:space="preserve"> Proceso de Contratación </w:t>
      </w:r>
      <w:r w:rsidRPr="00842EFF">
        <w:rPr>
          <w:rFonts w:ascii="Arial" w:eastAsia="Calibri" w:hAnsi="Arial" w:cs="Arial"/>
          <w:sz w:val="22"/>
          <w:lang w:val="es-ES"/>
        </w:rPr>
        <w:t>en el SECOP II.</w:t>
      </w:r>
    </w:p>
    <w:p w14:paraId="5116ABE8" w14:textId="77777777" w:rsidR="0057561C" w:rsidRPr="00842EFF" w:rsidRDefault="0057561C" w:rsidP="0057561C">
      <w:pPr>
        <w:spacing w:line="276" w:lineRule="auto"/>
        <w:ind w:firstLine="708"/>
        <w:jc w:val="both"/>
        <w:rPr>
          <w:rFonts w:ascii="Arial" w:eastAsia="Calibri" w:hAnsi="Arial" w:cs="Arial"/>
          <w:sz w:val="22"/>
          <w:lang w:val="es-ES"/>
        </w:rPr>
      </w:pPr>
      <w:r w:rsidRPr="00842EFF">
        <w:rPr>
          <w:rFonts w:ascii="Arial" w:eastAsia="Calibri" w:hAnsi="Arial" w:cs="Arial"/>
          <w:sz w:val="22"/>
          <w:lang w:val="es-ES"/>
        </w:rPr>
        <w:t xml:space="preserve">Sobre la utilización de SECOP II, es necesario aclarar que el procedimiento contractual se desarrolla en línea y dentro de la plataforma, conformándose un expediente electrónico, lo cual denota una diferencia con el SECOP I, donde el procedimiento es físico, esto es, con documentos escritos y físicos que se publican para cumplir las obligaciones de las entidades antes señaladas conforme al artículo 2.2.1.1.1.7.1 del Decreto 1082 de 2015. Al existir esa diferencia entre las dos versiones del SECOP, el cumplimiento del deber de publicidad de las actuaciones contractuales en SECOP II tiene ciertas particularidades respecto de lo precisado en el acápite anterior sobre la publicación en SECOP I. </w:t>
      </w:r>
    </w:p>
    <w:p w14:paraId="6DCDBBEB" w14:textId="77777777" w:rsidR="0057561C" w:rsidRPr="00842EFF" w:rsidRDefault="0057561C" w:rsidP="0057561C">
      <w:pPr>
        <w:spacing w:before="120" w:after="120" w:line="276" w:lineRule="auto"/>
        <w:ind w:firstLine="709"/>
        <w:jc w:val="both"/>
        <w:rPr>
          <w:rFonts w:ascii="Arial" w:eastAsia="Calibri" w:hAnsi="Arial" w:cs="Arial"/>
          <w:sz w:val="22"/>
          <w:lang w:val="es-ES"/>
        </w:rPr>
      </w:pPr>
      <w:r w:rsidRPr="00842EFF">
        <w:rPr>
          <w:rFonts w:ascii="Arial" w:eastAsia="Calibri" w:hAnsi="Arial" w:cs="Arial"/>
          <w:sz w:val="22"/>
          <w:lang w:val="es-ES"/>
        </w:rPr>
        <w:t xml:space="preserve">Si bien los </w:t>
      </w:r>
      <w:r w:rsidRPr="00842EFF">
        <w:rPr>
          <w:rFonts w:ascii="Arial" w:eastAsia="Calibri" w:hAnsi="Arial" w:cs="Arial"/>
          <w:i/>
          <w:iCs/>
          <w:sz w:val="22"/>
          <w:lang w:val="es-ES"/>
        </w:rPr>
        <w:t xml:space="preserve">Documentos del Proceso </w:t>
      </w:r>
      <w:r w:rsidRPr="00842EFF">
        <w:rPr>
          <w:rFonts w:ascii="Arial" w:eastAsia="Calibri" w:hAnsi="Arial" w:cs="Arial"/>
          <w:sz w:val="22"/>
          <w:lang w:val="es-ES"/>
        </w:rPr>
        <w:t xml:space="preserve">que deben publicarse en el SECOP II, corresponden a los mismos antes identificados que deben publicarse en el SECOP I, esto es, los expedidos durante el </w:t>
      </w:r>
      <w:r w:rsidRPr="00842EFF">
        <w:rPr>
          <w:rFonts w:ascii="Arial" w:eastAsia="Calibri" w:hAnsi="Arial" w:cs="Arial"/>
          <w:i/>
          <w:iCs/>
          <w:sz w:val="22"/>
          <w:lang w:val="es-ES"/>
        </w:rPr>
        <w:t>Proceso de Contratación</w:t>
      </w:r>
      <w:r w:rsidRPr="00842EFF">
        <w:rPr>
          <w:rFonts w:ascii="Arial" w:eastAsia="Calibri" w:hAnsi="Arial" w:cs="Arial"/>
          <w:sz w:val="22"/>
          <w:lang w:val="es-ES"/>
        </w:rPr>
        <w:t xml:space="preserve">, la naturaleza transaccional del SECOP II implica que los procesos contractuales no solo deban ser publicados mediante esta plataforma, sino también gestionados a través de ella,  al consistir la mayoría de los hitos contractuales en documentos y actuaciones electrónicas generadas en tiempo real, de tal manera que el proceso contractual avanza en la medida en la que se generen y aprueben estos documentos y actuaciones electrónicas en la plataforma, a diferencia de los procesos publicados en el SECOP I, en los que primero se generan los documentos escritos y luego se publican en la plataforma dentro del plazo de tres(3) días previsto en el </w:t>
      </w:r>
      <w:r w:rsidRPr="00842EFF">
        <w:rPr>
          <w:rFonts w:ascii="Arial" w:eastAsia="Calibri" w:hAnsi="Arial" w:cs="Arial"/>
          <w:sz w:val="22"/>
          <w:lang w:val="es-ES"/>
        </w:rPr>
        <w:lastRenderedPageBreak/>
        <w:t xml:space="preserve">artículo 2.2.1.1.1.7.1 del Decreto 1082 de 2015. Esto significa, que el término de tres (3) días para publicar, en principio, no es aplicable a todas las actuaciones generadas de manera electrónica dentro de los procedimientos gestionados a través de SECOP II, comoquiera que tales documentos son creados o expedidos mediante la propia plataforma, razón por la que una vez estos se aprueban quedan inmediatamente publicados, sin que transcurra el referido término. </w:t>
      </w:r>
    </w:p>
    <w:p w14:paraId="2291EEDC" w14:textId="3D60E0A6" w:rsidR="0057561C" w:rsidRPr="0036200A" w:rsidRDefault="0057561C" w:rsidP="0036200A">
      <w:pPr>
        <w:spacing w:line="276" w:lineRule="auto"/>
        <w:ind w:firstLine="709"/>
        <w:jc w:val="both"/>
        <w:rPr>
          <w:rFonts w:ascii="Arial" w:eastAsia="Calibri" w:hAnsi="Arial" w:cs="Arial"/>
          <w:sz w:val="22"/>
          <w:lang w:val="es-ES"/>
        </w:rPr>
      </w:pPr>
      <w:r w:rsidRPr="00842EFF">
        <w:rPr>
          <w:rFonts w:ascii="Arial" w:eastAsia="Calibri" w:hAnsi="Arial" w:cs="Arial"/>
          <w:sz w:val="22"/>
          <w:lang w:val="es-ES"/>
        </w:rPr>
        <w:t xml:space="preserve">En ese orden, el carácter transaccional de SECOP II, como herramienta que permite no solo publicar sino también gestionar y crear </w:t>
      </w:r>
      <w:r w:rsidRPr="00842EFF">
        <w:rPr>
          <w:rFonts w:ascii="Arial" w:eastAsia="Calibri" w:hAnsi="Arial" w:cs="Arial"/>
          <w:i/>
          <w:iCs/>
          <w:sz w:val="22"/>
          <w:lang w:val="es-ES"/>
        </w:rPr>
        <w:t xml:space="preserve">Documentos del Proceso, </w:t>
      </w:r>
      <w:r w:rsidRPr="00842EFF">
        <w:rPr>
          <w:rFonts w:ascii="Arial" w:eastAsia="Calibri" w:hAnsi="Arial" w:cs="Arial"/>
          <w:sz w:val="22"/>
          <w:lang w:val="es-ES"/>
        </w:rPr>
        <w:t xml:space="preserve">de manera electrónica al interior de la plataforma, implica que el deber de publicidad respecto de estas actuaciones se cumpla de manera distinta a como sucede en SECOP I, donde los documentos contractuales se expiden primero en un medio físico que posteriormente es cargado en la plataforma. </w:t>
      </w:r>
    </w:p>
    <w:p w14:paraId="3924EC46" w14:textId="77777777" w:rsidR="0057561C" w:rsidRPr="00476ABB" w:rsidRDefault="0057561C" w:rsidP="009B7F9B">
      <w:pPr>
        <w:pStyle w:val="Prrafodelista"/>
        <w:tabs>
          <w:tab w:val="left" w:pos="284"/>
        </w:tabs>
        <w:spacing w:line="276" w:lineRule="auto"/>
        <w:ind w:left="0"/>
        <w:jc w:val="both"/>
        <w:rPr>
          <w:rFonts w:ascii="Arial" w:eastAsia="Calibri" w:hAnsi="Arial" w:cs="Arial"/>
          <w:b/>
          <w:sz w:val="22"/>
          <w:lang w:val="es-ES"/>
        </w:rPr>
      </w:pPr>
    </w:p>
    <w:p w14:paraId="39997576" w14:textId="0B5875AA" w:rsidR="009B7F9B" w:rsidRPr="00476ABB" w:rsidRDefault="009B7F9B" w:rsidP="009B7F9B">
      <w:pPr>
        <w:pStyle w:val="Prrafodelista"/>
        <w:tabs>
          <w:tab w:val="left" w:pos="284"/>
        </w:tabs>
        <w:spacing w:line="276" w:lineRule="auto"/>
        <w:ind w:left="0"/>
        <w:jc w:val="both"/>
        <w:rPr>
          <w:rFonts w:ascii="Arial" w:eastAsia="Calibri" w:hAnsi="Arial" w:cs="Arial"/>
          <w:sz w:val="22"/>
          <w:lang w:val="es-ES_tradnl"/>
        </w:rPr>
      </w:pPr>
      <w:r w:rsidRPr="00476ABB">
        <w:rPr>
          <w:rFonts w:ascii="Arial" w:eastAsia="Calibri" w:hAnsi="Arial" w:cs="Arial"/>
          <w:b/>
          <w:sz w:val="22"/>
          <w:lang w:val="es-ES_tradnl"/>
        </w:rPr>
        <w:t>3. Respuesta</w:t>
      </w:r>
    </w:p>
    <w:p w14:paraId="4F3C0942" w14:textId="77777777" w:rsidR="009B7F9B" w:rsidRPr="00476ABB" w:rsidRDefault="009B7F9B" w:rsidP="009B7F9B">
      <w:pPr>
        <w:spacing w:line="276" w:lineRule="auto"/>
        <w:ind w:left="709" w:right="709"/>
        <w:jc w:val="both"/>
        <w:rPr>
          <w:rFonts w:ascii="Arial" w:eastAsia="Calibri" w:hAnsi="Arial" w:cs="Arial"/>
          <w:i/>
          <w:sz w:val="22"/>
          <w:lang w:val="es-ES_tradnl"/>
        </w:rPr>
      </w:pPr>
    </w:p>
    <w:p w14:paraId="198A96D5" w14:textId="677CDDA2" w:rsidR="00492D50" w:rsidRPr="00476ABB" w:rsidRDefault="00952FB2" w:rsidP="00476ABB">
      <w:pPr>
        <w:spacing w:line="276" w:lineRule="auto"/>
        <w:ind w:left="709" w:right="709"/>
        <w:jc w:val="both"/>
        <w:rPr>
          <w:rFonts w:ascii="Arial" w:hAnsi="Arial" w:cs="Arial"/>
          <w:sz w:val="21"/>
          <w:szCs w:val="21"/>
          <w:lang w:val="es-CO"/>
        </w:rPr>
      </w:pPr>
      <w:r>
        <w:rPr>
          <w:rFonts w:ascii="Arial" w:eastAsia="Calibri" w:hAnsi="Arial" w:cs="Arial"/>
          <w:sz w:val="21"/>
          <w:szCs w:val="21"/>
        </w:rPr>
        <w:t>U</w:t>
      </w:r>
      <w:r w:rsidRPr="00952FB2">
        <w:rPr>
          <w:rFonts w:ascii="Arial" w:eastAsia="Calibri" w:hAnsi="Arial" w:cs="Arial"/>
          <w:sz w:val="21"/>
          <w:szCs w:val="21"/>
        </w:rPr>
        <w:t xml:space="preserve">sted solicita informar </w:t>
      </w:r>
      <w:r w:rsidR="00476ABB" w:rsidRPr="00476ABB">
        <w:rPr>
          <w:rFonts w:ascii="Arial" w:eastAsia="Calibri" w:hAnsi="Arial" w:cs="Arial"/>
          <w:sz w:val="21"/>
          <w:szCs w:val="21"/>
        </w:rPr>
        <w:t>«[…]</w:t>
      </w:r>
      <w:r w:rsidR="00476ABB" w:rsidRPr="00476ABB">
        <w:rPr>
          <w:rFonts w:ascii="Arial" w:hAnsi="Arial" w:cs="Arial"/>
          <w:sz w:val="21"/>
          <w:szCs w:val="21"/>
          <w:lang w:val="es-CO"/>
        </w:rPr>
        <w:t xml:space="preserve"> si el acta de inicio de un contrato de prestación de servicios y los informes de supervisión y actas de pago se deben publicar en la página del el SECOP».</w:t>
      </w:r>
    </w:p>
    <w:p w14:paraId="068E7749" w14:textId="77777777" w:rsidR="00476ABB" w:rsidRPr="00476ABB" w:rsidRDefault="00476ABB" w:rsidP="00923029">
      <w:pPr>
        <w:ind w:left="709" w:right="709"/>
        <w:jc w:val="both"/>
        <w:rPr>
          <w:rFonts w:ascii="Arial" w:eastAsia="Calibri" w:hAnsi="Arial" w:cs="Arial"/>
          <w:sz w:val="22"/>
          <w:lang w:val="es-ES_tradnl"/>
        </w:rPr>
      </w:pPr>
    </w:p>
    <w:p w14:paraId="06FB36B7" w14:textId="2360E670" w:rsidR="006C331C" w:rsidRPr="00476ABB" w:rsidRDefault="00107E4D" w:rsidP="0031783A">
      <w:pPr>
        <w:spacing w:after="120" w:line="276" w:lineRule="auto"/>
        <w:jc w:val="both"/>
        <w:rPr>
          <w:rFonts w:ascii="Arial" w:eastAsia="Calibri" w:hAnsi="Arial" w:cs="Arial"/>
          <w:sz w:val="22"/>
          <w:lang w:val="es-ES"/>
        </w:rPr>
      </w:pPr>
      <w:r w:rsidRPr="00476ABB">
        <w:rPr>
          <w:rFonts w:ascii="Arial" w:eastAsia="Calibri" w:hAnsi="Arial" w:cs="Arial"/>
          <w:sz w:val="22"/>
          <w:lang w:val="es-ES"/>
        </w:rPr>
        <w:t xml:space="preserve">Las entidades públicas sometidas al Estatuto General de Contratación de la Administración Pública, </w:t>
      </w:r>
      <w:r w:rsidR="00A80FDD" w:rsidRPr="00842EFF">
        <w:rPr>
          <w:rFonts w:ascii="Arial" w:eastAsia="Calibri" w:hAnsi="Arial" w:cs="Arial"/>
          <w:sz w:val="22"/>
          <w:lang w:val="es-ES"/>
        </w:rPr>
        <w:t>a las que no correspoda gestionar sus procesos de contratación a través de la plataforma SECOP II</w:t>
      </w:r>
      <w:r w:rsidR="00A80FDD">
        <w:rPr>
          <w:rFonts w:ascii="Arial" w:eastAsia="Calibri" w:hAnsi="Arial" w:cs="Arial"/>
          <w:sz w:val="22"/>
          <w:lang w:val="es-ES"/>
        </w:rPr>
        <w:t>,</w:t>
      </w:r>
      <w:r w:rsidRPr="00476ABB">
        <w:rPr>
          <w:rFonts w:ascii="Arial" w:eastAsia="Calibri" w:hAnsi="Arial" w:cs="Arial"/>
          <w:sz w:val="22"/>
          <w:lang w:val="es-ES"/>
        </w:rPr>
        <w:t xml:space="preserve">de conformidad con el artículo 3 de la Ley 1150 de 2007, desarrollado por el artículo 2.2.1.1.1.7.1 del Decreto 1082 de 2015, así como según el literal g) del artículo 11 de la Ley 1712 de 2014 y los artículos 2.1.1.2.1.7, 2.1.1.2.1.8, 2.1.1.2.1.9 y 2.1.1.2.1.10 del Decreto 1081 de 2015, deben publicar en SECOP, además del Plan Anual de Adquisiciones, todos los documentos, actos administrativos o actuaciones </w:t>
      </w:r>
      <w:r w:rsidR="00C34B29" w:rsidRPr="00476ABB">
        <w:rPr>
          <w:rFonts w:ascii="Arial" w:eastAsia="Calibri" w:hAnsi="Arial" w:cs="Arial"/>
          <w:sz w:val="22"/>
          <w:lang w:val="es-ES"/>
        </w:rPr>
        <w:t xml:space="preserve">que debán ser expedidos </w:t>
      </w:r>
      <w:r w:rsidRPr="00476ABB">
        <w:rPr>
          <w:rFonts w:ascii="Arial" w:eastAsia="Calibri" w:hAnsi="Arial" w:cs="Arial"/>
          <w:sz w:val="22"/>
          <w:lang w:val="es-ES"/>
        </w:rPr>
        <w:t xml:space="preserve">con ocasión del </w:t>
      </w:r>
      <w:r w:rsidRPr="00476ABB">
        <w:rPr>
          <w:rFonts w:ascii="Arial" w:eastAsia="Calibri" w:hAnsi="Arial" w:cs="Arial"/>
          <w:i/>
          <w:iCs/>
          <w:sz w:val="22"/>
          <w:lang w:val="es-ES"/>
        </w:rPr>
        <w:t>Proceso de Contratación</w:t>
      </w:r>
      <w:r w:rsidR="00C34B29" w:rsidRPr="00476ABB">
        <w:rPr>
          <w:rFonts w:ascii="Arial" w:eastAsia="Calibri" w:hAnsi="Arial" w:cs="Arial"/>
          <w:i/>
          <w:iCs/>
          <w:sz w:val="22"/>
          <w:lang w:val="es-ES"/>
        </w:rPr>
        <w:t xml:space="preserve">, </w:t>
      </w:r>
      <w:r w:rsidR="00C34B29" w:rsidRPr="00476ABB">
        <w:rPr>
          <w:rFonts w:ascii="Arial" w:eastAsia="Calibri" w:hAnsi="Arial" w:cs="Arial"/>
          <w:sz w:val="22"/>
          <w:lang w:val="es-ES"/>
        </w:rPr>
        <w:t>así como conforme a las normas que regulan cada modalidad de selección,</w:t>
      </w:r>
      <w:r w:rsidR="00A80922" w:rsidRPr="00476ABB">
        <w:rPr>
          <w:rFonts w:ascii="Arial" w:eastAsia="Calibri" w:hAnsi="Arial" w:cs="Arial"/>
          <w:i/>
          <w:iCs/>
          <w:sz w:val="22"/>
          <w:lang w:val="es-ES"/>
        </w:rPr>
        <w:t xml:space="preserve"> </w:t>
      </w:r>
      <w:r w:rsidR="00A80922" w:rsidRPr="00476ABB">
        <w:rPr>
          <w:rFonts w:ascii="Arial" w:eastAsia="Calibri" w:hAnsi="Arial" w:cs="Arial"/>
          <w:sz w:val="22"/>
          <w:lang w:val="es-ES"/>
        </w:rPr>
        <w:t>dentro de los tres (3) días hábiles siguientes a su expedición</w:t>
      </w:r>
      <w:r w:rsidRPr="00476ABB">
        <w:rPr>
          <w:rFonts w:ascii="Arial" w:eastAsia="Calibri" w:hAnsi="Arial" w:cs="Arial"/>
          <w:sz w:val="22"/>
          <w:lang w:val="es-ES"/>
        </w:rPr>
        <w:t xml:space="preserve">. </w:t>
      </w:r>
    </w:p>
    <w:p w14:paraId="3D322EFC" w14:textId="2282DE9F" w:rsidR="00107E4D" w:rsidRPr="00476ABB" w:rsidRDefault="0031783A" w:rsidP="005B1203">
      <w:pPr>
        <w:spacing w:after="120" w:line="276" w:lineRule="auto"/>
        <w:ind w:firstLine="708"/>
        <w:jc w:val="both"/>
        <w:rPr>
          <w:rFonts w:ascii="Arial" w:eastAsia="Arial" w:hAnsi="Arial" w:cs="Arial"/>
          <w:sz w:val="22"/>
          <w:lang w:val="es-ES"/>
        </w:rPr>
      </w:pPr>
      <w:r w:rsidRPr="00476ABB">
        <w:rPr>
          <w:rFonts w:ascii="Arial" w:hAnsi="Arial" w:cs="Arial"/>
          <w:sz w:val="22"/>
          <w:lang w:val="es-ES"/>
        </w:rPr>
        <w:t xml:space="preserve">Conforme a </w:t>
      </w:r>
      <w:r w:rsidR="006C331C" w:rsidRPr="00476ABB">
        <w:rPr>
          <w:rFonts w:ascii="Arial" w:hAnsi="Arial" w:cs="Arial"/>
          <w:sz w:val="22"/>
          <w:lang w:val="es-ES"/>
        </w:rPr>
        <w:t>lo anterior</w:t>
      </w:r>
      <w:r w:rsidRPr="00476ABB">
        <w:rPr>
          <w:rFonts w:ascii="Arial" w:hAnsi="Arial" w:cs="Arial"/>
          <w:sz w:val="22"/>
          <w:lang w:val="es-ES"/>
        </w:rPr>
        <w:t>, las entidades estatales deberán publicar todos</w:t>
      </w:r>
      <w:r w:rsidR="00107E4D" w:rsidRPr="00476ABB">
        <w:rPr>
          <w:rFonts w:ascii="Arial" w:hAnsi="Arial" w:cs="Arial"/>
          <w:sz w:val="22"/>
          <w:lang w:val="es-ES"/>
        </w:rPr>
        <w:t xml:space="preserve"> </w:t>
      </w:r>
      <w:r w:rsidRPr="00476ABB">
        <w:rPr>
          <w:rFonts w:ascii="Arial" w:hAnsi="Arial" w:cs="Arial"/>
          <w:sz w:val="22"/>
          <w:lang w:val="es-ES"/>
        </w:rPr>
        <w:t xml:space="preserve">los </w:t>
      </w:r>
      <w:r w:rsidR="00107E4D" w:rsidRPr="00476ABB">
        <w:rPr>
          <w:rFonts w:ascii="Arial" w:hAnsi="Arial" w:cs="Arial"/>
          <w:sz w:val="22"/>
          <w:lang w:val="es-ES"/>
        </w:rPr>
        <w:t>documento</w:t>
      </w:r>
      <w:r w:rsidRPr="00476ABB">
        <w:rPr>
          <w:rFonts w:ascii="Arial" w:hAnsi="Arial" w:cs="Arial"/>
          <w:sz w:val="22"/>
          <w:lang w:val="es-ES"/>
        </w:rPr>
        <w:t>s</w:t>
      </w:r>
      <w:r w:rsidR="00107E4D" w:rsidRPr="00476ABB">
        <w:rPr>
          <w:rFonts w:ascii="Arial" w:hAnsi="Arial" w:cs="Arial"/>
          <w:sz w:val="22"/>
          <w:lang w:val="es-ES"/>
        </w:rPr>
        <w:t xml:space="preserve"> producido</w:t>
      </w:r>
      <w:r w:rsidRPr="00476ABB">
        <w:rPr>
          <w:rFonts w:ascii="Arial" w:hAnsi="Arial" w:cs="Arial"/>
          <w:sz w:val="22"/>
          <w:lang w:val="es-ES"/>
        </w:rPr>
        <w:t>s</w:t>
      </w:r>
      <w:r w:rsidR="00107E4D" w:rsidRPr="00476ABB">
        <w:rPr>
          <w:rFonts w:ascii="Arial" w:hAnsi="Arial" w:cs="Arial"/>
          <w:sz w:val="22"/>
          <w:lang w:val="es-ES"/>
        </w:rPr>
        <w:t xml:space="preserve"> o expedido</w:t>
      </w:r>
      <w:r w:rsidRPr="00476ABB">
        <w:rPr>
          <w:rFonts w:ascii="Arial" w:hAnsi="Arial" w:cs="Arial"/>
          <w:sz w:val="22"/>
          <w:lang w:val="es-ES"/>
        </w:rPr>
        <w:t>s</w:t>
      </w:r>
      <w:r w:rsidR="00107E4D" w:rsidRPr="00476ABB">
        <w:rPr>
          <w:rFonts w:ascii="Arial" w:hAnsi="Arial" w:cs="Arial"/>
          <w:sz w:val="22"/>
          <w:lang w:val="es-ES"/>
        </w:rPr>
        <w:t xml:space="preserve"> con ocasión del </w:t>
      </w:r>
      <w:r w:rsidR="00107E4D" w:rsidRPr="00476ABB">
        <w:rPr>
          <w:rFonts w:ascii="Arial" w:hAnsi="Arial" w:cs="Arial"/>
          <w:i/>
          <w:iCs/>
          <w:sz w:val="22"/>
          <w:lang w:val="es-ES"/>
        </w:rPr>
        <w:t>Proceso de Contratación</w:t>
      </w:r>
      <w:r w:rsidR="00107E4D" w:rsidRPr="00476ABB">
        <w:rPr>
          <w:rFonts w:ascii="Arial" w:hAnsi="Arial" w:cs="Arial"/>
          <w:sz w:val="22"/>
          <w:lang w:val="es-ES"/>
        </w:rPr>
        <w:t xml:space="preserve">, </w:t>
      </w:r>
      <w:r w:rsidR="00C34B29" w:rsidRPr="00476ABB">
        <w:rPr>
          <w:rFonts w:ascii="Arial" w:hAnsi="Arial" w:cs="Arial"/>
          <w:sz w:val="22"/>
          <w:lang w:val="es-ES"/>
        </w:rPr>
        <w:t>y de acuerdo a lo regulado por el Decreto 1082 de 2015 para cada modalidad de selección</w:t>
      </w:r>
      <w:r w:rsidR="00492D50" w:rsidRPr="00476ABB">
        <w:rPr>
          <w:rFonts w:ascii="Arial" w:hAnsi="Arial" w:cs="Arial"/>
          <w:sz w:val="22"/>
          <w:lang w:val="es-ES"/>
        </w:rPr>
        <w:t xml:space="preserve"> ya sea de licitación pública, selección abreviada, concurso de méritos, contratación directa y mínima cuantía</w:t>
      </w:r>
      <w:r w:rsidR="00C34B29" w:rsidRPr="00476ABB">
        <w:rPr>
          <w:rFonts w:ascii="Arial" w:hAnsi="Arial" w:cs="Arial"/>
          <w:sz w:val="22"/>
          <w:lang w:val="es-ES"/>
        </w:rPr>
        <w:t xml:space="preserve">, </w:t>
      </w:r>
      <w:r w:rsidR="00107E4D" w:rsidRPr="00476ABB">
        <w:rPr>
          <w:rFonts w:ascii="Arial" w:hAnsi="Arial" w:cs="Arial"/>
          <w:sz w:val="22"/>
          <w:lang w:val="es-ES"/>
        </w:rPr>
        <w:t>sin importar quién sea su autor –la Administración o el contratista–, con excepción de los que pertenecen a</w:t>
      </w:r>
      <w:r w:rsidR="00107E4D" w:rsidRPr="00476ABB">
        <w:rPr>
          <w:rFonts w:ascii="Arial" w:eastAsia="Arial" w:hAnsi="Arial" w:cs="Arial"/>
          <w:sz w:val="22"/>
          <w:lang w:val="es-ES"/>
        </w:rPr>
        <w:t xml:space="preserve">l marco de operaciones de bolsa de productos, expresamente excluidos de publicación por el artículo 2.2.1.1.1.7.1. del Decreto 1082 de 2015. </w:t>
      </w:r>
    </w:p>
    <w:p w14:paraId="11A34EF5" w14:textId="4DECB918" w:rsidR="00476ABB" w:rsidRPr="00476ABB" w:rsidRDefault="005675DB" w:rsidP="005B1203">
      <w:pPr>
        <w:spacing w:after="120" w:line="276" w:lineRule="auto"/>
        <w:ind w:firstLine="708"/>
        <w:jc w:val="both"/>
        <w:rPr>
          <w:rFonts w:ascii="Arial" w:eastAsia="Arial" w:hAnsi="Arial" w:cs="Arial"/>
          <w:sz w:val="22"/>
          <w:lang w:val="es-ES"/>
        </w:rPr>
      </w:pPr>
      <w:r>
        <w:rPr>
          <w:rFonts w:ascii="Arial" w:eastAsia="Arial" w:hAnsi="Arial" w:cs="Arial"/>
          <w:sz w:val="22"/>
          <w:lang w:val="es-ES"/>
        </w:rPr>
        <w:lastRenderedPageBreak/>
        <w:t>Por tanto</w:t>
      </w:r>
      <w:r w:rsidR="00476ABB" w:rsidRPr="00476ABB">
        <w:rPr>
          <w:rFonts w:ascii="Arial" w:eastAsia="Arial" w:hAnsi="Arial" w:cs="Arial"/>
          <w:sz w:val="22"/>
          <w:lang w:val="es-ES"/>
        </w:rPr>
        <w:t>, las entidades estatales están obligadas a publicar en el SECOP las actas de inicio y de pago de los contratos de prestación de servicios</w:t>
      </w:r>
      <w:r>
        <w:rPr>
          <w:rFonts w:ascii="Arial" w:eastAsia="Arial" w:hAnsi="Arial" w:cs="Arial"/>
          <w:sz w:val="22"/>
          <w:lang w:val="es-ES"/>
        </w:rPr>
        <w:t>, así como los respectivos informe</w:t>
      </w:r>
      <w:r w:rsidR="00374F1C">
        <w:rPr>
          <w:rFonts w:ascii="Arial" w:eastAsia="Arial" w:hAnsi="Arial" w:cs="Arial"/>
          <w:sz w:val="22"/>
          <w:lang w:val="es-ES"/>
        </w:rPr>
        <w:t>s</w:t>
      </w:r>
      <w:r>
        <w:rPr>
          <w:rFonts w:ascii="Arial" w:eastAsia="Arial" w:hAnsi="Arial" w:cs="Arial"/>
          <w:sz w:val="22"/>
          <w:lang w:val="es-ES"/>
        </w:rPr>
        <w:t xml:space="preserve"> de supervisión</w:t>
      </w:r>
      <w:r w:rsidR="00476ABB" w:rsidRPr="00476ABB">
        <w:rPr>
          <w:rFonts w:ascii="Arial" w:eastAsia="Arial" w:hAnsi="Arial" w:cs="Arial"/>
          <w:sz w:val="22"/>
          <w:lang w:val="es-ES"/>
        </w:rPr>
        <w:t>.</w:t>
      </w:r>
    </w:p>
    <w:p w14:paraId="3771E1BB" w14:textId="77777777" w:rsidR="00476ABB" w:rsidRPr="00476ABB" w:rsidRDefault="00476ABB" w:rsidP="009B7F9B">
      <w:pPr>
        <w:spacing w:line="276" w:lineRule="auto"/>
        <w:jc w:val="both"/>
        <w:rPr>
          <w:rFonts w:ascii="Arial" w:eastAsia="Calibri" w:hAnsi="Arial" w:cs="Arial"/>
          <w:sz w:val="22"/>
        </w:rPr>
      </w:pPr>
    </w:p>
    <w:p w14:paraId="75FDC6B6" w14:textId="19BE5FE7" w:rsidR="009B7F9B" w:rsidRPr="00476ABB" w:rsidRDefault="009B7F9B" w:rsidP="009B7F9B">
      <w:pPr>
        <w:spacing w:line="276" w:lineRule="auto"/>
        <w:jc w:val="both"/>
        <w:rPr>
          <w:rFonts w:ascii="Arial" w:eastAsia="Calibri" w:hAnsi="Arial" w:cs="Arial"/>
          <w:sz w:val="22"/>
        </w:rPr>
      </w:pPr>
      <w:r w:rsidRPr="00476ABB">
        <w:rPr>
          <w:rFonts w:ascii="Arial" w:eastAsia="Calibri" w:hAnsi="Arial" w:cs="Arial"/>
          <w:sz w:val="22"/>
        </w:rPr>
        <w:t>Este concepto tiene el alcance previsto en el artículo 28 del Código de Procedimiento Administrativo y de lo Contencioso Administrativo.</w:t>
      </w:r>
    </w:p>
    <w:p w14:paraId="23BD3479" w14:textId="79BACC5F" w:rsidR="009B7F9B" w:rsidRPr="00476ABB" w:rsidRDefault="009B7F9B" w:rsidP="009B7F9B">
      <w:pPr>
        <w:spacing w:line="276" w:lineRule="auto"/>
        <w:jc w:val="both"/>
        <w:rPr>
          <w:rFonts w:ascii="Arial" w:eastAsia="Times New Roman" w:hAnsi="Arial" w:cs="Arial"/>
          <w:sz w:val="22"/>
          <w:lang w:eastAsia="es-CO"/>
        </w:rPr>
      </w:pPr>
      <w:r w:rsidRPr="00476ABB">
        <w:rPr>
          <w:rFonts w:ascii="Arial" w:eastAsia="Calibri" w:hAnsi="Arial" w:cs="Arial"/>
          <w:noProof/>
          <w:sz w:val="22"/>
          <w:lang w:val="en-US"/>
        </w:rPr>
        <mc:AlternateContent>
          <mc:Choice Requires="wps">
            <w:drawing>
              <wp:anchor distT="0" distB="0" distL="114300" distR="114300" simplePos="0" relativeHeight="251659264" behindDoc="0" locked="0" layoutInCell="1" allowOverlap="1" wp14:anchorId="250FE17C" wp14:editId="415F18B3">
                <wp:simplePos x="0" y="0"/>
                <wp:positionH relativeFrom="page">
                  <wp:posOffset>1514475</wp:posOffset>
                </wp:positionH>
                <wp:positionV relativeFrom="paragraph">
                  <wp:posOffset>-664</wp:posOffset>
                </wp:positionV>
                <wp:extent cx="46863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DE7BD8" id="Conector recto 5"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19.25pt,-.05pt" to="48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ALs2RN2gAAAAcBAAAPAAAAZHJzL2Rvd25yZXYu&#10;eG1sTI7BTsMwEETvSPyDtUjcWqeFljbEqSJEz4hQoR6deJsE4nWInTT8PUsvcHya0cxLdpNtxYi9&#10;bxwpWMwjEEilMw1VCg5v+9kGhA+ajG4doYJv9LBLr68SHRt3plcc81AJHiEfawV1CF0spS9rtNrP&#10;XYfE2cn1VgfGvpKm12cet61cRtFaWt0QP9S6w6cay898sAqGw3FffOR++0LZ/dg12fPq6z1S6vZm&#10;yh5BBJzCXxl+9VkdUnYq3EDGi1bB8m6z4qqC2QIE59uHNXNxYZkm8r9/+gMAAP//AwBQSwECLQAU&#10;AAYACAAAACEAtoM4kv4AAADhAQAAEwAAAAAAAAAAAAAAAAAAAAAAW0NvbnRlbnRfVHlwZXNdLnht&#10;bFBLAQItABQABgAIAAAAIQA4/SH/1gAAAJQBAAALAAAAAAAAAAAAAAAAAC8BAABfcmVscy8ucmVs&#10;c1BLAQItABQABgAIAAAAIQDSmQh7twEAAFkDAAAOAAAAAAAAAAAAAAAAAC4CAABkcnMvZTJvRG9j&#10;LnhtbFBLAQItABQABgAIAAAAIQALs2RN2gAAAAcBAAAPAAAAAAAAAAAAAAAAABEEAABkcnMvZG93&#10;bnJldi54bWxQSwUGAAAAAAQABADzAAAAGAUAAAAA&#10;" strokecolor="#dbdbdb">
                <w10:wrap anchorx="page"/>
              </v:line>
            </w:pict>
          </mc:Fallback>
        </mc:AlternateContent>
      </w:r>
    </w:p>
    <w:p w14:paraId="2C92BF47" w14:textId="0E3F40AA" w:rsidR="009B7F9B" w:rsidRPr="00476ABB" w:rsidRDefault="005B1203" w:rsidP="009B7F9B">
      <w:pPr>
        <w:spacing w:line="276" w:lineRule="auto"/>
        <w:jc w:val="both"/>
        <w:rPr>
          <w:rFonts w:ascii="Arial" w:hAnsi="Arial" w:cs="Arial"/>
          <w:sz w:val="22"/>
          <w:szCs w:val="20"/>
        </w:rPr>
      </w:pPr>
      <w:r w:rsidRPr="00476ABB">
        <w:rPr>
          <w:noProof/>
          <w:lang w:val="en-US"/>
        </w:rPr>
        <w:drawing>
          <wp:anchor distT="0" distB="0" distL="114300" distR="114300" simplePos="0" relativeHeight="251661312" behindDoc="0" locked="0" layoutInCell="1" allowOverlap="1" wp14:anchorId="6F500063" wp14:editId="2BA07FD1">
            <wp:simplePos x="0" y="0"/>
            <wp:positionH relativeFrom="margin">
              <wp:align>center</wp:align>
            </wp:positionH>
            <wp:positionV relativeFrom="paragraph">
              <wp:posOffset>5080</wp:posOffset>
            </wp:positionV>
            <wp:extent cx="2720340" cy="1553845"/>
            <wp:effectExtent l="0" t="0" r="3810" b="825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20340" cy="1553845"/>
                    </a:xfrm>
                    <a:prstGeom prst="rect">
                      <a:avLst/>
                    </a:prstGeom>
                  </pic:spPr>
                </pic:pic>
              </a:graphicData>
            </a:graphic>
            <wp14:sizeRelH relativeFrom="page">
              <wp14:pctWidth>0</wp14:pctWidth>
            </wp14:sizeRelH>
            <wp14:sizeRelV relativeFrom="page">
              <wp14:pctHeight>0</wp14:pctHeight>
            </wp14:sizeRelV>
          </wp:anchor>
        </w:drawing>
      </w:r>
      <w:r w:rsidR="009B7F9B" w:rsidRPr="00476ABB">
        <w:rPr>
          <w:rFonts w:ascii="Arial" w:eastAsia="Times New Roman" w:hAnsi="Arial" w:cs="Arial"/>
          <w:sz w:val="22"/>
          <w:lang w:eastAsia="es-CO"/>
        </w:rPr>
        <w:t>Atentamente,</w:t>
      </w:r>
    </w:p>
    <w:p w14:paraId="14C0DEE9" w14:textId="0C0A032E" w:rsidR="009B7F9B" w:rsidRPr="00476ABB" w:rsidRDefault="009B7F9B" w:rsidP="009B7F9B">
      <w:pPr>
        <w:pStyle w:val="NormalWeb"/>
        <w:spacing w:before="0" w:beforeAutospacing="0" w:after="0" w:afterAutospacing="0"/>
        <w:jc w:val="center"/>
        <w:rPr>
          <w:rFonts w:ascii="Arial" w:hAnsi="Arial" w:cs="Arial"/>
          <w:sz w:val="22"/>
          <w:szCs w:val="20"/>
          <w:lang w:val="es-MX"/>
        </w:rPr>
      </w:pPr>
    </w:p>
    <w:p w14:paraId="46345B7F" w14:textId="17698384" w:rsidR="009B7F9B" w:rsidRPr="00476ABB" w:rsidRDefault="009B7F9B" w:rsidP="009B7F9B">
      <w:pPr>
        <w:spacing w:after="18"/>
        <w:jc w:val="center"/>
        <w:rPr>
          <w:rFonts w:ascii="Arial" w:eastAsia="Times New Roman" w:hAnsi="Arial" w:cs="Arial"/>
          <w:sz w:val="18"/>
          <w:szCs w:val="20"/>
          <w:lang w:eastAsia="es-CO"/>
        </w:rPr>
      </w:pPr>
    </w:p>
    <w:p w14:paraId="61A70295" w14:textId="5B9376FA" w:rsidR="009B7F9B" w:rsidRPr="00476ABB" w:rsidRDefault="009B7F9B" w:rsidP="009B7F9B">
      <w:pPr>
        <w:spacing w:after="18"/>
        <w:jc w:val="center"/>
        <w:rPr>
          <w:rFonts w:ascii="Arial" w:eastAsia="Times New Roman" w:hAnsi="Arial" w:cs="Arial"/>
          <w:sz w:val="18"/>
          <w:szCs w:val="20"/>
          <w:lang w:eastAsia="es-CO"/>
        </w:rPr>
      </w:pPr>
    </w:p>
    <w:p w14:paraId="5F1AFA19" w14:textId="6EC8F606" w:rsidR="009B7F9B" w:rsidRPr="00476ABB" w:rsidRDefault="009B7F9B" w:rsidP="009B7F9B">
      <w:pPr>
        <w:spacing w:after="18"/>
        <w:jc w:val="center"/>
        <w:rPr>
          <w:rFonts w:ascii="Arial" w:eastAsia="Times New Roman" w:hAnsi="Arial" w:cs="Arial"/>
          <w:sz w:val="18"/>
          <w:szCs w:val="20"/>
          <w:lang w:eastAsia="es-CO"/>
        </w:rPr>
      </w:pPr>
    </w:p>
    <w:p w14:paraId="28F98778" w14:textId="3D29D700" w:rsidR="009B7F9B" w:rsidRPr="00476ABB" w:rsidRDefault="009B7F9B" w:rsidP="009B7F9B">
      <w:pPr>
        <w:spacing w:after="18"/>
        <w:jc w:val="center"/>
        <w:rPr>
          <w:rFonts w:ascii="Arial" w:eastAsia="Times New Roman" w:hAnsi="Arial" w:cs="Arial"/>
          <w:sz w:val="18"/>
          <w:szCs w:val="20"/>
          <w:lang w:eastAsia="es-CO"/>
        </w:rPr>
      </w:pPr>
    </w:p>
    <w:p w14:paraId="07CEE023" w14:textId="59337166" w:rsidR="009B7F9B" w:rsidRPr="00476ABB" w:rsidRDefault="009B7F9B" w:rsidP="009B7F9B">
      <w:pPr>
        <w:spacing w:after="18"/>
        <w:jc w:val="center"/>
        <w:rPr>
          <w:rFonts w:ascii="Arial" w:eastAsia="Times New Roman" w:hAnsi="Arial" w:cs="Arial"/>
          <w:sz w:val="18"/>
          <w:szCs w:val="20"/>
          <w:lang w:eastAsia="es-CO"/>
        </w:rPr>
      </w:pPr>
    </w:p>
    <w:p w14:paraId="26795484" w14:textId="77777777" w:rsidR="009B7F9B" w:rsidRPr="00476ABB" w:rsidRDefault="009B7F9B" w:rsidP="009B7F9B">
      <w:pPr>
        <w:spacing w:after="18"/>
        <w:jc w:val="center"/>
        <w:rPr>
          <w:rFonts w:ascii="Arial" w:eastAsia="Times New Roman" w:hAnsi="Arial" w:cs="Arial"/>
          <w:sz w:val="18"/>
          <w:szCs w:val="20"/>
          <w:lang w:eastAsia="es-CO"/>
        </w:rPr>
      </w:pPr>
    </w:p>
    <w:p w14:paraId="17AC0F77" w14:textId="5C3FD92D" w:rsidR="009B7F9B" w:rsidRPr="00476ABB" w:rsidRDefault="009B7F9B" w:rsidP="009B7F9B">
      <w:pPr>
        <w:spacing w:after="18"/>
        <w:jc w:val="center"/>
        <w:rPr>
          <w:rFonts w:ascii="Arial" w:eastAsia="Times New Roman" w:hAnsi="Arial" w:cs="Arial"/>
          <w:sz w:val="18"/>
          <w:szCs w:val="20"/>
          <w:lang w:eastAsia="es-CO"/>
        </w:rPr>
      </w:pPr>
    </w:p>
    <w:tbl>
      <w:tblPr>
        <w:tblStyle w:val="Tablaconcuadrcula"/>
        <w:tblpPr w:leftFromText="141" w:rightFromText="141" w:vertAnchor="text" w:horzAnchor="margin" w:tblpY="8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476ABB" w:rsidRPr="00476ABB" w14:paraId="55F0DD75" w14:textId="77777777" w:rsidTr="005B1203">
        <w:trPr>
          <w:trHeight w:val="286"/>
        </w:trPr>
        <w:tc>
          <w:tcPr>
            <w:tcW w:w="817" w:type="dxa"/>
            <w:vAlign w:val="center"/>
          </w:tcPr>
          <w:p w14:paraId="5F7D1FE7" w14:textId="77777777" w:rsidR="0031783A" w:rsidRPr="00476ABB" w:rsidRDefault="0031783A" w:rsidP="005B1203">
            <w:pPr>
              <w:rPr>
                <w:rFonts w:ascii="Arial" w:eastAsia="Times New Roman" w:hAnsi="Arial" w:cs="Arial"/>
                <w:sz w:val="14"/>
                <w:szCs w:val="14"/>
                <w:lang w:eastAsia="es-ES"/>
              </w:rPr>
            </w:pPr>
            <w:r w:rsidRPr="00476ABB">
              <w:rPr>
                <w:rFonts w:ascii="Arial" w:eastAsia="Times New Roman" w:hAnsi="Arial" w:cs="Arial"/>
                <w:sz w:val="14"/>
                <w:szCs w:val="14"/>
                <w:lang w:eastAsia="es-ES"/>
              </w:rPr>
              <w:t>Elaboró:</w:t>
            </w:r>
          </w:p>
        </w:tc>
        <w:tc>
          <w:tcPr>
            <w:tcW w:w="4445" w:type="dxa"/>
            <w:tcBorders>
              <w:bottom w:val="dotted" w:sz="4" w:space="0" w:color="7F7F7F" w:themeColor="text1" w:themeTint="80"/>
            </w:tcBorders>
            <w:vAlign w:val="center"/>
          </w:tcPr>
          <w:p w14:paraId="5E3DD8BA" w14:textId="77777777" w:rsidR="0031783A" w:rsidRPr="00476ABB" w:rsidRDefault="0031783A" w:rsidP="005B1203">
            <w:pPr>
              <w:rPr>
                <w:rFonts w:ascii="Arial" w:eastAsia="Times New Roman" w:hAnsi="Arial" w:cs="Arial"/>
                <w:sz w:val="14"/>
                <w:szCs w:val="14"/>
                <w:lang w:eastAsia="es-ES"/>
              </w:rPr>
            </w:pPr>
            <w:r w:rsidRPr="00476ABB">
              <w:rPr>
                <w:rFonts w:ascii="Arial" w:eastAsia="Times New Roman" w:hAnsi="Arial" w:cs="Arial"/>
                <w:sz w:val="14"/>
                <w:szCs w:val="14"/>
                <w:lang w:eastAsia="es-ES"/>
              </w:rPr>
              <w:t>Alejandro Sarmiento Cantillo</w:t>
            </w:r>
          </w:p>
          <w:p w14:paraId="05B0426C" w14:textId="77777777" w:rsidR="0031783A" w:rsidRPr="00476ABB" w:rsidRDefault="0031783A" w:rsidP="005B1203">
            <w:pPr>
              <w:rPr>
                <w:rFonts w:ascii="Arial" w:eastAsia="Times New Roman" w:hAnsi="Arial" w:cs="Arial"/>
                <w:sz w:val="14"/>
                <w:szCs w:val="14"/>
                <w:lang w:eastAsia="es-ES"/>
              </w:rPr>
            </w:pPr>
            <w:r w:rsidRPr="00476ABB">
              <w:rPr>
                <w:rFonts w:ascii="Arial" w:eastAsia="Times New Roman" w:hAnsi="Arial" w:cs="Arial"/>
                <w:sz w:val="14"/>
                <w:szCs w:val="14"/>
                <w:lang w:eastAsia="es-ES"/>
              </w:rPr>
              <w:t>Contratista de la Subdirección de Gestión Contractual</w:t>
            </w:r>
          </w:p>
        </w:tc>
      </w:tr>
      <w:tr w:rsidR="00476ABB" w:rsidRPr="00476ABB" w14:paraId="76CE22F8" w14:textId="77777777" w:rsidTr="005B1203">
        <w:trPr>
          <w:trHeight w:val="299"/>
        </w:trPr>
        <w:tc>
          <w:tcPr>
            <w:tcW w:w="817" w:type="dxa"/>
            <w:vAlign w:val="center"/>
          </w:tcPr>
          <w:p w14:paraId="146CC280" w14:textId="77777777" w:rsidR="0031783A" w:rsidRPr="00476ABB" w:rsidRDefault="0031783A" w:rsidP="005B1203">
            <w:pPr>
              <w:rPr>
                <w:rFonts w:ascii="Arial" w:eastAsia="Times New Roman" w:hAnsi="Arial" w:cs="Arial"/>
                <w:sz w:val="14"/>
                <w:szCs w:val="14"/>
                <w:lang w:eastAsia="es-ES"/>
              </w:rPr>
            </w:pPr>
            <w:r w:rsidRPr="00476ABB">
              <w:rPr>
                <w:rFonts w:ascii="Arial" w:eastAsia="Times New Roman" w:hAnsi="Arial" w:cs="Arial"/>
                <w:sz w:val="14"/>
                <w:szCs w:val="14"/>
                <w:lang w:eastAsia="es-ES"/>
              </w:rPr>
              <w:t>Revisó:</w:t>
            </w:r>
          </w:p>
        </w:tc>
        <w:tc>
          <w:tcPr>
            <w:tcW w:w="4445" w:type="dxa"/>
            <w:tcBorders>
              <w:top w:val="dotted" w:sz="4" w:space="0" w:color="7F7F7F" w:themeColor="text1" w:themeTint="80"/>
              <w:bottom w:val="dotted" w:sz="4" w:space="0" w:color="7F7F7F" w:themeColor="text1" w:themeTint="80"/>
            </w:tcBorders>
            <w:vAlign w:val="center"/>
          </w:tcPr>
          <w:p w14:paraId="2B6E58AE" w14:textId="0D859E92" w:rsidR="0031783A" w:rsidRPr="00476ABB" w:rsidRDefault="00203674" w:rsidP="005B1203">
            <w:pPr>
              <w:rPr>
                <w:rFonts w:ascii="Arial" w:eastAsia="Times New Roman" w:hAnsi="Arial" w:cs="Arial"/>
                <w:sz w:val="14"/>
                <w:szCs w:val="14"/>
                <w:lang w:eastAsia="es-ES"/>
              </w:rPr>
            </w:pPr>
            <w:r>
              <w:rPr>
                <w:rFonts w:ascii="Arial" w:eastAsia="Times New Roman" w:hAnsi="Arial" w:cs="Arial"/>
                <w:sz w:val="14"/>
                <w:szCs w:val="14"/>
                <w:lang w:eastAsia="es-ES"/>
              </w:rPr>
              <w:t>Juan David Montoya Penagos</w:t>
            </w:r>
          </w:p>
          <w:p w14:paraId="434CDD2F" w14:textId="77777777" w:rsidR="0031783A" w:rsidRPr="00476ABB" w:rsidRDefault="0031783A" w:rsidP="005B1203">
            <w:pPr>
              <w:rPr>
                <w:rFonts w:ascii="Arial" w:eastAsia="Times New Roman" w:hAnsi="Arial" w:cs="Arial"/>
                <w:sz w:val="14"/>
                <w:szCs w:val="14"/>
                <w:lang w:eastAsia="es-ES"/>
              </w:rPr>
            </w:pPr>
            <w:r w:rsidRPr="00476ABB">
              <w:rPr>
                <w:rFonts w:ascii="Arial" w:eastAsia="Times New Roman" w:hAnsi="Arial" w:cs="Arial"/>
                <w:sz w:val="14"/>
                <w:szCs w:val="14"/>
                <w:lang w:eastAsia="es-ES"/>
              </w:rPr>
              <w:t>Contratista de la Subdirección de Gestión Contractual</w:t>
            </w:r>
          </w:p>
        </w:tc>
      </w:tr>
      <w:tr w:rsidR="00476ABB" w:rsidRPr="00476ABB" w14:paraId="6DA61CDC" w14:textId="77777777" w:rsidTr="005B1203">
        <w:trPr>
          <w:trHeight w:val="272"/>
        </w:trPr>
        <w:tc>
          <w:tcPr>
            <w:tcW w:w="817" w:type="dxa"/>
            <w:vAlign w:val="center"/>
          </w:tcPr>
          <w:p w14:paraId="5D208E8F" w14:textId="77777777" w:rsidR="0031783A" w:rsidRPr="00476ABB" w:rsidRDefault="0031783A" w:rsidP="005B1203">
            <w:pPr>
              <w:rPr>
                <w:rFonts w:ascii="Arial" w:eastAsia="Times New Roman" w:hAnsi="Arial" w:cs="Arial"/>
                <w:sz w:val="14"/>
                <w:szCs w:val="14"/>
                <w:lang w:eastAsia="es-ES"/>
              </w:rPr>
            </w:pPr>
            <w:r w:rsidRPr="00476ABB">
              <w:rPr>
                <w:rFonts w:ascii="Arial" w:eastAsia="Times New Roman" w:hAnsi="Arial" w:cs="Arial"/>
                <w:sz w:val="14"/>
                <w:szCs w:val="14"/>
                <w:lang w:eastAsia="es-ES"/>
              </w:rPr>
              <w:t>Aprobó:</w:t>
            </w:r>
          </w:p>
        </w:tc>
        <w:tc>
          <w:tcPr>
            <w:tcW w:w="4445" w:type="dxa"/>
            <w:tcBorders>
              <w:top w:val="dotted" w:sz="4" w:space="0" w:color="7F7F7F" w:themeColor="text1" w:themeTint="80"/>
              <w:bottom w:val="dotted" w:sz="4" w:space="0" w:color="7F7F7F" w:themeColor="text1" w:themeTint="80"/>
            </w:tcBorders>
            <w:vAlign w:val="center"/>
          </w:tcPr>
          <w:p w14:paraId="4509F790" w14:textId="77777777" w:rsidR="0031783A" w:rsidRPr="00476ABB" w:rsidRDefault="0031783A" w:rsidP="005B1203">
            <w:pPr>
              <w:rPr>
                <w:rFonts w:ascii="Arial" w:eastAsia="Times New Roman" w:hAnsi="Arial" w:cs="Arial"/>
                <w:sz w:val="14"/>
                <w:szCs w:val="14"/>
                <w:lang w:eastAsia="es-ES"/>
              </w:rPr>
            </w:pPr>
            <w:r w:rsidRPr="00476ABB">
              <w:rPr>
                <w:rFonts w:ascii="Arial" w:eastAsia="Times New Roman" w:hAnsi="Arial" w:cs="Arial"/>
                <w:sz w:val="14"/>
                <w:szCs w:val="14"/>
                <w:lang w:eastAsia="es-ES"/>
              </w:rPr>
              <w:t>Fabián Gonzalo Marín Cortés</w:t>
            </w:r>
          </w:p>
          <w:p w14:paraId="2A6B3391" w14:textId="77777777" w:rsidR="0031783A" w:rsidRPr="00476ABB" w:rsidRDefault="0031783A" w:rsidP="005B1203">
            <w:pPr>
              <w:rPr>
                <w:rFonts w:ascii="Arial" w:eastAsia="Times New Roman" w:hAnsi="Arial" w:cs="Arial"/>
                <w:sz w:val="14"/>
                <w:szCs w:val="14"/>
                <w:lang w:eastAsia="es-ES"/>
              </w:rPr>
            </w:pPr>
            <w:r w:rsidRPr="00476ABB">
              <w:rPr>
                <w:rFonts w:ascii="Arial" w:eastAsia="Times New Roman" w:hAnsi="Arial" w:cs="Arial"/>
                <w:sz w:val="14"/>
                <w:szCs w:val="14"/>
                <w:lang w:eastAsia="es-ES"/>
              </w:rPr>
              <w:t>Subdirector de Gestión Contractual</w:t>
            </w:r>
          </w:p>
        </w:tc>
      </w:tr>
    </w:tbl>
    <w:p w14:paraId="3EDA14F5" w14:textId="77777777" w:rsidR="009B7F9B" w:rsidRPr="00476ABB" w:rsidRDefault="009B7F9B" w:rsidP="009B7F9B">
      <w:pPr>
        <w:spacing w:after="18"/>
        <w:jc w:val="center"/>
        <w:rPr>
          <w:rFonts w:ascii="Arial" w:eastAsia="Times New Roman" w:hAnsi="Arial" w:cs="Arial"/>
          <w:sz w:val="18"/>
          <w:szCs w:val="20"/>
          <w:lang w:eastAsia="es-CO"/>
        </w:rPr>
      </w:pPr>
    </w:p>
    <w:p w14:paraId="4F62D4D8" w14:textId="77777777" w:rsidR="009B7F9B" w:rsidRPr="00476ABB" w:rsidRDefault="009B7F9B" w:rsidP="009B7F9B">
      <w:pPr>
        <w:rPr>
          <w:rFonts w:ascii="Arial" w:hAnsi="Arial" w:cs="Arial"/>
        </w:rPr>
      </w:pPr>
    </w:p>
    <w:bookmarkEnd w:id="3"/>
    <w:bookmarkEnd w:id="4"/>
    <w:p w14:paraId="47BB1636" w14:textId="77777777" w:rsidR="009B7F9B" w:rsidRPr="00476ABB" w:rsidRDefault="009B7F9B" w:rsidP="009B7F9B"/>
    <w:bookmarkEnd w:id="5"/>
    <w:p w14:paraId="35B56F46" w14:textId="77777777" w:rsidR="00746E08" w:rsidRPr="00476ABB" w:rsidRDefault="00746E08" w:rsidP="00746E08">
      <w:pPr>
        <w:rPr>
          <w:rFonts w:ascii="Arial" w:eastAsia="Times New Roman" w:hAnsi="Arial" w:cs="Arial"/>
          <w:sz w:val="16"/>
          <w:szCs w:val="16"/>
          <w:lang w:eastAsia="es-ES"/>
        </w:rPr>
      </w:pPr>
    </w:p>
    <w:sectPr w:rsidR="00746E08" w:rsidRPr="00476ABB" w:rsidSect="00015765">
      <w:headerReference w:type="default" r:id="rId12"/>
      <w:footerReference w:type="default" r:id="rId13"/>
      <w:pgSz w:w="12240" w:h="15840"/>
      <w:pgMar w:top="1928" w:right="1701" w:bottom="1361"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8F52B" w14:textId="77777777" w:rsidR="003340C1" w:rsidRDefault="003340C1">
      <w:r>
        <w:separator/>
      </w:r>
    </w:p>
  </w:endnote>
  <w:endnote w:type="continuationSeparator" w:id="0">
    <w:p w14:paraId="025EF82A" w14:textId="77777777" w:rsidR="003340C1" w:rsidRDefault="00334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2A34" w14:textId="3CB14C70" w:rsidR="001E291F" w:rsidRDefault="001E291F" w:rsidP="00322937">
    <w:pPr>
      <w:pStyle w:val="Sinespaciado"/>
      <w:jc w:val="right"/>
      <w:rPr>
        <w:rFonts w:ascii="Arial" w:hAnsi="Arial" w:cs="Arial"/>
        <w:sz w:val="18"/>
        <w:szCs w:val="18"/>
      </w:rPr>
    </w:pPr>
  </w:p>
  <w:p w14:paraId="7A3785F3" w14:textId="3C242460" w:rsidR="001E291F" w:rsidRPr="00E15059" w:rsidRDefault="001E291F" w:rsidP="00FE42ED">
    <w:pPr>
      <w:pStyle w:val="Piedepgina"/>
      <w:jc w:val="right"/>
      <w:rPr>
        <w:rFonts w:ascii="Arial" w:hAnsi="Arial" w:cs="Arial"/>
        <w:color w:val="7F7F7F"/>
        <w:sz w:val="16"/>
        <w:szCs w:val="16"/>
      </w:rPr>
    </w:pPr>
    <w:r w:rsidRPr="00E15059">
      <w:rPr>
        <w:rFonts w:ascii="Arial" w:hAnsi="Arial" w:cs="Arial"/>
        <w:bCs/>
        <w:color w:val="7F7F7F"/>
        <w:sz w:val="16"/>
        <w:szCs w:val="16"/>
      </w:rPr>
      <w:t xml:space="preserve">Página </w:t>
    </w:r>
    <w:r w:rsidRPr="00E15059">
      <w:rPr>
        <w:rFonts w:ascii="Arial" w:hAnsi="Arial" w:cs="Arial"/>
        <w:b/>
        <w:bCs/>
        <w:color w:val="7F7F7F"/>
        <w:sz w:val="16"/>
        <w:szCs w:val="16"/>
      </w:rPr>
      <w:fldChar w:fldCharType="begin"/>
    </w:r>
    <w:r w:rsidRPr="00E15059">
      <w:rPr>
        <w:rFonts w:ascii="Arial" w:hAnsi="Arial" w:cs="Arial"/>
        <w:b/>
        <w:bCs/>
        <w:color w:val="7F7F7F"/>
        <w:sz w:val="16"/>
        <w:szCs w:val="16"/>
      </w:rPr>
      <w:instrText>PAGE  \* Arabic  \* MERGEFORMAT</w:instrText>
    </w:r>
    <w:r w:rsidRPr="00E15059">
      <w:rPr>
        <w:rFonts w:ascii="Arial" w:hAnsi="Arial" w:cs="Arial"/>
        <w:b/>
        <w:bCs/>
        <w:color w:val="7F7F7F"/>
        <w:sz w:val="16"/>
        <w:szCs w:val="16"/>
      </w:rPr>
      <w:fldChar w:fldCharType="separate"/>
    </w:r>
    <w:r w:rsidR="00473A9A">
      <w:rPr>
        <w:rFonts w:ascii="Arial" w:hAnsi="Arial" w:cs="Arial"/>
        <w:b/>
        <w:bCs/>
        <w:noProof/>
        <w:color w:val="7F7F7F"/>
        <w:sz w:val="16"/>
        <w:szCs w:val="16"/>
      </w:rPr>
      <w:t>1</w:t>
    </w:r>
    <w:r w:rsidRPr="00E15059">
      <w:rPr>
        <w:rFonts w:ascii="Arial" w:hAnsi="Arial" w:cs="Arial"/>
        <w:b/>
        <w:bCs/>
        <w:color w:val="7F7F7F"/>
        <w:sz w:val="16"/>
        <w:szCs w:val="16"/>
      </w:rPr>
      <w:fldChar w:fldCharType="end"/>
    </w:r>
    <w:r w:rsidRPr="00E15059">
      <w:rPr>
        <w:rFonts w:ascii="Arial" w:hAnsi="Arial" w:cs="Arial"/>
        <w:color w:val="7F7F7F"/>
        <w:sz w:val="16"/>
        <w:szCs w:val="16"/>
      </w:rPr>
      <w:t xml:space="preserve"> de </w:t>
    </w:r>
    <w:r w:rsidRPr="00E15059">
      <w:rPr>
        <w:rFonts w:ascii="Arial" w:hAnsi="Arial" w:cs="Arial"/>
        <w:b/>
        <w:bCs/>
        <w:color w:val="7F7F7F"/>
        <w:sz w:val="16"/>
        <w:szCs w:val="16"/>
      </w:rPr>
      <w:fldChar w:fldCharType="begin"/>
    </w:r>
    <w:r w:rsidRPr="00E15059">
      <w:rPr>
        <w:rFonts w:ascii="Arial" w:hAnsi="Arial" w:cs="Arial"/>
        <w:b/>
        <w:bCs/>
        <w:color w:val="7F7F7F"/>
        <w:sz w:val="16"/>
        <w:szCs w:val="16"/>
      </w:rPr>
      <w:instrText>NUMPAGES  \* Arabic  \* MERGEFORMAT</w:instrText>
    </w:r>
    <w:r w:rsidRPr="00E15059">
      <w:rPr>
        <w:rFonts w:ascii="Arial" w:hAnsi="Arial" w:cs="Arial"/>
        <w:b/>
        <w:bCs/>
        <w:color w:val="7F7F7F"/>
        <w:sz w:val="16"/>
        <w:szCs w:val="16"/>
      </w:rPr>
      <w:fldChar w:fldCharType="separate"/>
    </w:r>
    <w:r w:rsidR="00473A9A">
      <w:rPr>
        <w:rFonts w:ascii="Arial" w:hAnsi="Arial" w:cs="Arial"/>
        <w:b/>
        <w:bCs/>
        <w:noProof/>
        <w:color w:val="7F7F7F"/>
        <w:sz w:val="16"/>
        <w:szCs w:val="16"/>
      </w:rPr>
      <w:t>23</w:t>
    </w:r>
    <w:r w:rsidRPr="00E15059">
      <w:rPr>
        <w:rFonts w:ascii="Arial" w:hAnsi="Arial" w:cs="Arial"/>
        <w:b/>
        <w:bCs/>
        <w:color w:val="7F7F7F"/>
        <w:sz w:val="16"/>
        <w:szCs w:val="16"/>
      </w:rPr>
      <w:fldChar w:fldCharType="end"/>
    </w:r>
  </w:p>
  <w:p w14:paraId="48FC6A04" w14:textId="5FD1A7C9" w:rsidR="001E291F" w:rsidRDefault="001E291F"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1E291F" w:rsidRDefault="001E291F" w:rsidP="007B0854">
    <w:pPr>
      <w:pStyle w:val="Piedepgina"/>
      <w:jc w:val="center"/>
      <w:rPr>
        <w:lang w:val="es-ES"/>
      </w:rPr>
    </w:pPr>
  </w:p>
  <w:p w14:paraId="6C0EFC49" w14:textId="77777777" w:rsidR="001E291F" w:rsidRPr="007B0854" w:rsidRDefault="001E291F" w:rsidP="007B0854">
    <w:pPr>
      <w:pStyle w:val="Piedepgina"/>
      <w:jc w:val="center"/>
      <w:rPr>
        <w:lang w:val="es-ES"/>
      </w:rPr>
    </w:pPr>
  </w:p>
  <w:p w14:paraId="7DC37BF5" w14:textId="77777777" w:rsidR="001E291F" w:rsidRDefault="001E291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67AFC" w14:textId="77777777" w:rsidR="003340C1" w:rsidRDefault="003340C1">
      <w:r>
        <w:separator/>
      </w:r>
    </w:p>
  </w:footnote>
  <w:footnote w:type="continuationSeparator" w:id="0">
    <w:p w14:paraId="79BF672F" w14:textId="77777777" w:rsidR="003340C1" w:rsidRDefault="003340C1">
      <w:r>
        <w:continuationSeparator/>
      </w:r>
    </w:p>
  </w:footnote>
  <w:footnote w:id="1">
    <w:p w14:paraId="4C976DC8" w14:textId="77777777" w:rsidR="009B7F9B" w:rsidRPr="000C0FED" w:rsidRDefault="009B7F9B" w:rsidP="009B7F9B">
      <w:pPr>
        <w:spacing w:before="73"/>
        <w:ind w:right="49" w:firstLine="708"/>
        <w:jc w:val="both"/>
        <w:rPr>
          <w:rFonts w:ascii="Arial" w:hAnsi="Arial" w:cs="Arial"/>
          <w:color w:val="000000" w:themeColor="text1"/>
          <w:sz w:val="19"/>
          <w:szCs w:val="19"/>
        </w:rPr>
      </w:pPr>
      <w:r w:rsidRPr="000C0FED">
        <w:rPr>
          <w:rStyle w:val="Refdenotaalpie"/>
          <w:rFonts w:ascii="Arial" w:hAnsi="Arial" w:cs="Arial"/>
          <w:color w:val="000000" w:themeColor="text1"/>
          <w:sz w:val="19"/>
          <w:szCs w:val="19"/>
        </w:rPr>
        <w:footnoteRef/>
      </w:r>
      <w:r w:rsidRPr="000C0FED">
        <w:rPr>
          <w:rFonts w:ascii="Arial" w:hAnsi="Arial" w:cs="Arial"/>
          <w:color w:val="000000" w:themeColor="text1"/>
          <w:sz w:val="19"/>
          <w:szCs w:val="19"/>
        </w:rPr>
        <w:t xml:space="preserve"> Ley 80 de 1993: «Artículo 2. De la definición de entidades, servidores y servicios públicos. Para los solos efectos de esta ley:</w:t>
      </w:r>
    </w:p>
    <w:p w14:paraId="685B6CFE" w14:textId="77777777" w:rsidR="009B7F9B" w:rsidRPr="000C0FED" w:rsidRDefault="009B7F9B" w:rsidP="009B7F9B">
      <w:pPr>
        <w:spacing w:before="1"/>
        <w:ind w:right="49" w:firstLine="708"/>
        <w:jc w:val="both"/>
        <w:rPr>
          <w:rFonts w:ascii="Arial" w:hAnsi="Arial" w:cs="Arial"/>
          <w:color w:val="000000" w:themeColor="text1"/>
          <w:sz w:val="19"/>
          <w:szCs w:val="19"/>
        </w:rPr>
      </w:pPr>
      <w:r w:rsidRPr="000C0FED">
        <w:rPr>
          <w:rFonts w:ascii="Arial" w:hAnsi="Arial" w:cs="Arial"/>
          <w:color w:val="000000" w:themeColor="text1"/>
          <w:sz w:val="19"/>
          <w:szCs w:val="19"/>
        </w:rPr>
        <w:t>»1. Se denominan entidades estatales:</w:t>
      </w:r>
    </w:p>
    <w:p w14:paraId="1671363A" w14:textId="77777777" w:rsidR="009B7F9B" w:rsidRPr="000C0FED" w:rsidRDefault="009B7F9B" w:rsidP="009B7F9B">
      <w:pPr>
        <w:ind w:right="49" w:firstLine="708"/>
        <w:jc w:val="both"/>
        <w:rPr>
          <w:rFonts w:ascii="Arial" w:hAnsi="Arial" w:cs="Arial"/>
          <w:color w:val="000000" w:themeColor="text1"/>
          <w:sz w:val="19"/>
          <w:szCs w:val="19"/>
        </w:rPr>
      </w:pPr>
      <w:r w:rsidRPr="000C0FED">
        <w:rPr>
          <w:rFonts w:ascii="Arial" w:hAnsi="Arial" w:cs="Arial"/>
          <w:color w:val="000000" w:themeColor="text1"/>
          <w:sz w:val="19"/>
          <w:szCs w:val="19"/>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1B94D123" w14:textId="3CA7B390" w:rsidR="009B7F9B" w:rsidRDefault="009B7F9B" w:rsidP="008C0579">
      <w:pPr>
        <w:ind w:right="49" w:firstLine="708"/>
        <w:jc w:val="both"/>
        <w:rPr>
          <w:rFonts w:ascii="Arial" w:hAnsi="Arial" w:cs="Arial"/>
          <w:color w:val="000000" w:themeColor="text1"/>
          <w:sz w:val="19"/>
          <w:szCs w:val="19"/>
        </w:rPr>
      </w:pPr>
      <w:r w:rsidRPr="000C0FED">
        <w:rPr>
          <w:rFonts w:ascii="Arial" w:hAnsi="Arial" w:cs="Arial"/>
          <w:color w:val="000000" w:themeColor="text1"/>
          <w:sz w:val="19"/>
          <w:szCs w:val="19"/>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w:t>
      </w:r>
      <w:r w:rsidRPr="000C0FED">
        <w:rPr>
          <w:rFonts w:ascii="Arial" w:hAnsi="Arial" w:cs="Arial"/>
          <w:color w:val="000000" w:themeColor="text1"/>
          <w:spacing w:val="-5"/>
          <w:sz w:val="19"/>
          <w:szCs w:val="19"/>
        </w:rPr>
        <w:t xml:space="preserve"> </w:t>
      </w:r>
      <w:r w:rsidRPr="000C0FED">
        <w:rPr>
          <w:rFonts w:ascii="Arial" w:hAnsi="Arial" w:cs="Arial"/>
          <w:color w:val="000000" w:themeColor="text1"/>
          <w:sz w:val="19"/>
          <w:szCs w:val="19"/>
        </w:rPr>
        <w:t>los</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organismos</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o</w:t>
      </w:r>
      <w:r w:rsidRPr="000C0FED">
        <w:rPr>
          <w:rFonts w:ascii="Arial" w:hAnsi="Arial" w:cs="Arial"/>
          <w:color w:val="000000" w:themeColor="text1"/>
          <w:spacing w:val="-5"/>
          <w:sz w:val="19"/>
          <w:szCs w:val="19"/>
        </w:rPr>
        <w:t xml:space="preserve"> </w:t>
      </w:r>
      <w:r w:rsidRPr="000C0FED">
        <w:rPr>
          <w:rFonts w:ascii="Arial" w:hAnsi="Arial" w:cs="Arial"/>
          <w:color w:val="000000" w:themeColor="text1"/>
          <w:sz w:val="19"/>
          <w:szCs w:val="19"/>
        </w:rPr>
        <w:t>dependencias</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del</w:t>
      </w:r>
      <w:r w:rsidRPr="000C0FED">
        <w:rPr>
          <w:rFonts w:ascii="Arial" w:hAnsi="Arial" w:cs="Arial"/>
          <w:color w:val="000000" w:themeColor="text1"/>
          <w:spacing w:val="-5"/>
          <w:sz w:val="19"/>
          <w:szCs w:val="19"/>
        </w:rPr>
        <w:t xml:space="preserve"> </w:t>
      </w:r>
      <w:r w:rsidRPr="000C0FED">
        <w:rPr>
          <w:rFonts w:ascii="Arial" w:hAnsi="Arial" w:cs="Arial"/>
          <w:color w:val="000000" w:themeColor="text1"/>
          <w:sz w:val="19"/>
          <w:szCs w:val="19"/>
        </w:rPr>
        <w:t>Estado</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a</w:t>
      </w:r>
      <w:r w:rsidRPr="000C0FED">
        <w:rPr>
          <w:rFonts w:ascii="Arial" w:hAnsi="Arial" w:cs="Arial"/>
          <w:color w:val="000000" w:themeColor="text1"/>
          <w:spacing w:val="-5"/>
          <w:sz w:val="19"/>
          <w:szCs w:val="19"/>
        </w:rPr>
        <w:t xml:space="preserve"> </w:t>
      </w:r>
      <w:r w:rsidRPr="000C0FED">
        <w:rPr>
          <w:rFonts w:ascii="Arial" w:hAnsi="Arial" w:cs="Arial"/>
          <w:color w:val="000000" w:themeColor="text1"/>
          <w:sz w:val="19"/>
          <w:szCs w:val="19"/>
        </w:rPr>
        <w:t>los</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que</w:t>
      </w:r>
      <w:r w:rsidRPr="000C0FED">
        <w:rPr>
          <w:rFonts w:ascii="Arial" w:hAnsi="Arial" w:cs="Arial"/>
          <w:color w:val="000000" w:themeColor="text1"/>
          <w:spacing w:val="-5"/>
          <w:sz w:val="19"/>
          <w:szCs w:val="19"/>
        </w:rPr>
        <w:t xml:space="preserve"> </w:t>
      </w:r>
      <w:r w:rsidRPr="000C0FED">
        <w:rPr>
          <w:rFonts w:ascii="Arial" w:hAnsi="Arial" w:cs="Arial"/>
          <w:color w:val="000000" w:themeColor="text1"/>
          <w:sz w:val="19"/>
          <w:szCs w:val="19"/>
        </w:rPr>
        <w:t>la</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ley</w:t>
      </w:r>
      <w:r w:rsidRPr="000C0FED">
        <w:rPr>
          <w:rFonts w:ascii="Arial" w:hAnsi="Arial" w:cs="Arial"/>
          <w:color w:val="000000" w:themeColor="text1"/>
          <w:spacing w:val="-6"/>
          <w:sz w:val="19"/>
          <w:szCs w:val="19"/>
        </w:rPr>
        <w:t xml:space="preserve"> </w:t>
      </w:r>
      <w:r w:rsidRPr="000C0FED">
        <w:rPr>
          <w:rFonts w:ascii="Arial" w:hAnsi="Arial" w:cs="Arial"/>
          <w:color w:val="000000" w:themeColor="text1"/>
          <w:sz w:val="19"/>
          <w:szCs w:val="19"/>
        </w:rPr>
        <w:t>otorgue</w:t>
      </w:r>
      <w:r w:rsidRPr="000C0FED">
        <w:rPr>
          <w:rFonts w:ascii="Arial" w:hAnsi="Arial" w:cs="Arial"/>
          <w:color w:val="000000" w:themeColor="text1"/>
          <w:spacing w:val="-5"/>
          <w:sz w:val="19"/>
          <w:szCs w:val="19"/>
        </w:rPr>
        <w:t xml:space="preserve"> </w:t>
      </w:r>
      <w:r w:rsidRPr="000C0FED">
        <w:rPr>
          <w:rFonts w:ascii="Arial" w:hAnsi="Arial" w:cs="Arial"/>
          <w:color w:val="000000" w:themeColor="text1"/>
          <w:sz w:val="19"/>
          <w:szCs w:val="19"/>
        </w:rPr>
        <w:t>capacidad</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para</w:t>
      </w:r>
      <w:r w:rsidRPr="000C0FED">
        <w:rPr>
          <w:rFonts w:ascii="Arial" w:hAnsi="Arial" w:cs="Arial"/>
          <w:color w:val="000000" w:themeColor="text1"/>
          <w:spacing w:val="-5"/>
          <w:sz w:val="19"/>
          <w:szCs w:val="19"/>
        </w:rPr>
        <w:t xml:space="preserve"> </w:t>
      </w:r>
      <w:r w:rsidRPr="000C0FED">
        <w:rPr>
          <w:rFonts w:ascii="Arial" w:hAnsi="Arial" w:cs="Arial"/>
          <w:color w:val="000000" w:themeColor="text1"/>
          <w:sz w:val="19"/>
          <w:szCs w:val="19"/>
        </w:rPr>
        <w:t>celebrar</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contratos».</w:t>
      </w:r>
    </w:p>
    <w:p w14:paraId="08A06259" w14:textId="77777777" w:rsidR="00012C7C" w:rsidRPr="000C0FED" w:rsidRDefault="00012C7C" w:rsidP="008C0579">
      <w:pPr>
        <w:ind w:right="49" w:firstLine="708"/>
        <w:jc w:val="both"/>
      </w:pPr>
    </w:p>
  </w:footnote>
  <w:footnote w:id="2">
    <w:p w14:paraId="143EF7B6" w14:textId="5A20FA24" w:rsidR="009B7F9B" w:rsidRPr="000C0FED" w:rsidRDefault="009B7F9B" w:rsidP="0036200A">
      <w:pPr>
        <w:pStyle w:val="Textonotapie"/>
        <w:ind w:right="49" w:firstLine="708"/>
        <w:jc w:val="both"/>
        <w:rPr>
          <w:rFonts w:ascii="Arial" w:hAnsi="Arial" w:cs="Arial"/>
          <w:color w:val="000000" w:themeColor="text1"/>
          <w:sz w:val="19"/>
          <w:szCs w:val="19"/>
          <w:lang w:val="es-CO"/>
        </w:rPr>
      </w:pPr>
      <w:r w:rsidRPr="000C0FED">
        <w:rPr>
          <w:rStyle w:val="Refdenotaalpie"/>
          <w:rFonts w:ascii="Arial" w:hAnsi="Arial" w:cs="Arial"/>
          <w:color w:val="000000" w:themeColor="text1"/>
          <w:sz w:val="19"/>
          <w:szCs w:val="19"/>
        </w:rPr>
        <w:footnoteRef/>
      </w:r>
      <w:r w:rsidRPr="000C0FED">
        <w:rPr>
          <w:rFonts w:ascii="Arial" w:hAnsi="Arial" w:cs="Arial"/>
          <w:color w:val="000000" w:themeColor="text1"/>
          <w:sz w:val="19"/>
          <w:szCs w:val="19"/>
        </w:rPr>
        <w:t xml:space="preserve">  </w:t>
      </w:r>
      <w:bookmarkStart w:id="9" w:name="_Hlk40436633"/>
      <w:r w:rsidRPr="000C0FED">
        <w:rPr>
          <w:rFonts w:ascii="Arial" w:hAnsi="Arial" w:cs="Arial"/>
          <w:color w:val="000000" w:themeColor="text1"/>
          <w:sz w:val="19"/>
          <w:szCs w:val="19"/>
        </w:rPr>
        <w:t>Ley 80 de 1993: «Articulo 23. De los principios en las actuaciones contractuales de las entidades estatales.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w:t>
      </w:r>
      <w:bookmarkEnd w:id="9"/>
    </w:p>
  </w:footnote>
  <w:footnote w:id="3">
    <w:p w14:paraId="4EB1BABD" w14:textId="77777777" w:rsidR="009B7F9B" w:rsidRPr="000C0FED" w:rsidRDefault="009B7F9B" w:rsidP="009B7F9B">
      <w:pPr>
        <w:spacing w:before="1"/>
        <w:ind w:left="300" w:right="49" w:firstLine="420"/>
        <w:rPr>
          <w:rFonts w:ascii="Arial" w:hAnsi="Arial" w:cs="Arial"/>
          <w:color w:val="000000" w:themeColor="text1"/>
          <w:sz w:val="19"/>
          <w:szCs w:val="19"/>
        </w:rPr>
      </w:pPr>
      <w:r w:rsidRPr="000C0FED">
        <w:rPr>
          <w:rStyle w:val="Refdenotaalpie"/>
          <w:rFonts w:ascii="Arial" w:hAnsi="Arial" w:cs="Arial"/>
          <w:color w:val="000000" w:themeColor="text1"/>
          <w:sz w:val="19"/>
          <w:szCs w:val="19"/>
        </w:rPr>
        <w:footnoteRef/>
      </w:r>
      <w:r w:rsidRPr="000C0FED">
        <w:rPr>
          <w:rFonts w:ascii="Arial" w:hAnsi="Arial" w:cs="Arial"/>
          <w:color w:val="000000" w:themeColor="text1"/>
          <w:sz w:val="19"/>
          <w:szCs w:val="19"/>
        </w:rPr>
        <w:t xml:space="preserve"> Ley 80 de 1993: «Articulo 24. Del principio de transparencia. En virtud de este principio: </w:t>
      </w:r>
    </w:p>
    <w:p w14:paraId="1355B24A" w14:textId="77777777" w:rsidR="009B7F9B" w:rsidRPr="000C0FED" w:rsidRDefault="009B7F9B" w:rsidP="009B7F9B">
      <w:pPr>
        <w:spacing w:before="1"/>
        <w:ind w:left="300" w:right="49" w:firstLine="420"/>
        <w:rPr>
          <w:rFonts w:ascii="Arial" w:hAnsi="Arial" w:cs="Arial"/>
          <w:color w:val="000000" w:themeColor="text1"/>
          <w:sz w:val="19"/>
          <w:szCs w:val="19"/>
          <w:lang w:val="es-ES"/>
        </w:rPr>
      </w:pPr>
      <w:r w:rsidRPr="000C0FED">
        <w:rPr>
          <w:rFonts w:ascii="Arial" w:hAnsi="Arial" w:cs="Arial"/>
          <w:color w:val="000000" w:themeColor="text1"/>
          <w:sz w:val="19"/>
          <w:szCs w:val="19"/>
        </w:rPr>
        <w:t>[…]</w:t>
      </w:r>
    </w:p>
    <w:p w14:paraId="59A57B40" w14:textId="77777777" w:rsidR="009B7F9B" w:rsidRPr="000C0FED" w:rsidRDefault="009B7F9B" w:rsidP="009B7F9B">
      <w:pPr>
        <w:ind w:left="16" w:right="49" w:firstLine="692"/>
        <w:jc w:val="both"/>
        <w:rPr>
          <w:rFonts w:ascii="Arial" w:hAnsi="Arial" w:cs="Arial"/>
          <w:color w:val="000000" w:themeColor="text1"/>
          <w:sz w:val="19"/>
          <w:szCs w:val="19"/>
        </w:rPr>
      </w:pPr>
      <w:r w:rsidRPr="000C0FED">
        <w:rPr>
          <w:rFonts w:ascii="Arial" w:hAnsi="Arial" w:cs="Arial"/>
          <w:color w:val="000000" w:themeColor="text1"/>
          <w:sz w:val="19"/>
          <w:szCs w:val="19"/>
        </w:rPr>
        <w:t>»2. En los procesos contractuales los interesados tendrán oportunidad de conocer y controvertir los informes, conceptos y decisiones que se rindan o adopten, para lo cual se establecerán etapas que permitan el conocimiento de dichas actuaciones y otorguen la posibilidad de expresar observaciones.</w:t>
      </w:r>
    </w:p>
    <w:p w14:paraId="3C763332" w14:textId="77777777" w:rsidR="009B7F9B" w:rsidRPr="000C0FED" w:rsidRDefault="009B7F9B" w:rsidP="009B7F9B">
      <w:pPr>
        <w:ind w:right="49" w:firstLine="708"/>
        <w:jc w:val="both"/>
        <w:rPr>
          <w:rFonts w:ascii="Arial" w:hAnsi="Arial" w:cs="Arial"/>
          <w:color w:val="000000" w:themeColor="text1"/>
          <w:sz w:val="19"/>
          <w:szCs w:val="19"/>
        </w:rPr>
      </w:pPr>
      <w:r w:rsidRPr="000C0FED">
        <w:rPr>
          <w:rFonts w:ascii="Arial" w:hAnsi="Arial" w:cs="Arial"/>
          <w:color w:val="000000" w:themeColor="text1"/>
          <w:sz w:val="19"/>
          <w:szCs w:val="19"/>
        </w:rPr>
        <w:t>»3. Las actuaciones de las autoridades serán públicas y los expedientes que las contengan estarán abiertos al público, permitiendo en el caso de licitación el ejercicio del derecho de que trata el artículo 273 de la Constitución Política.</w:t>
      </w:r>
    </w:p>
    <w:p w14:paraId="1D86B7C2" w14:textId="275AAB0C" w:rsidR="009B7F9B" w:rsidRPr="000C0FED" w:rsidRDefault="009B7F9B" w:rsidP="009B3335">
      <w:pPr>
        <w:ind w:right="49" w:firstLine="708"/>
        <w:jc w:val="both"/>
      </w:pPr>
      <w:r w:rsidRPr="000C0FED">
        <w:rPr>
          <w:rFonts w:ascii="Arial" w:hAnsi="Arial" w:cs="Arial"/>
          <w:color w:val="000000" w:themeColor="text1"/>
          <w:sz w:val="19"/>
          <w:szCs w:val="19"/>
        </w:rPr>
        <w:t>»4. Las autoridades expedirán a costa de aquellas personas que demuestren interés legítimo, copias de las actuaciones y propuestas recibidas, respetando la reserva de que gocen legalmente las patentes, procedimientos y privilegios. [...]”.</w:t>
      </w:r>
    </w:p>
  </w:footnote>
  <w:footnote w:id="4">
    <w:p w14:paraId="75CA9087" w14:textId="3E290C46" w:rsidR="00107E4D" w:rsidRPr="00851936" w:rsidRDefault="00107E4D">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Corte Constitucional. Sentencia C- 341 del 4 de junio de 2014. M. P. Mauricio González Cuervo.</w:t>
      </w:r>
    </w:p>
  </w:footnote>
  <w:footnote w:id="5">
    <w:p w14:paraId="77179030"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5E037919"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 Lo anterior, sin perjuicio de las publicaciones previstas en el numeral 3 del artículo 30 de la Ley 80 de 1993.</w:t>
      </w:r>
    </w:p>
    <w:p w14:paraId="46499111"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 xml:space="preserve">»Con el fin de materializar los objetivos a que se refiere el inciso anterior, el Gobierno Nacional desarrollará el Sistema Electrónico para la Contratación Pública, Secop, el cual: </w:t>
      </w:r>
    </w:p>
    <w:p w14:paraId="0F4F22FA"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w:t>
      </w:r>
    </w:p>
    <w:p w14:paraId="69FD9694"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408689BA" w14:textId="77777777" w:rsidR="00107E4D" w:rsidRPr="00851936" w:rsidRDefault="00107E4D" w:rsidP="00107E4D">
      <w:pPr>
        <w:pStyle w:val="Textonotapie"/>
        <w:ind w:right="49"/>
        <w:jc w:val="both"/>
        <w:rPr>
          <w:rFonts w:ascii="Arial" w:hAnsi="Arial" w:cs="Arial"/>
          <w:color w:val="000000" w:themeColor="text1"/>
          <w:sz w:val="19"/>
          <w:szCs w:val="19"/>
        </w:rPr>
      </w:pPr>
    </w:p>
  </w:footnote>
  <w:footnote w:id="6">
    <w:p w14:paraId="045E75DF"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36DCA28F" w14:textId="77777777" w:rsidR="00107E4D" w:rsidRPr="00851936" w:rsidRDefault="00107E4D" w:rsidP="00107E4D">
      <w:pPr>
        <w:pStyle w:val="Textonotapie"/>
        <w:ind w:right="49" w:firstLine="709"/>
        <w:jc w:val="both"/>
        <w:rPr>
          <w:rFonts w:ascii="Arial" w:hAnsi="Arial" w:cs="Arial"/>
          <w:color w:val="000000" w:themeColor="text1"/>
          <w:sz w:val="19"/>
          <w:szCs w:val="19"/>
        </w:rPr>
      </w:pPr>
    </w:p>
  </w:footnote>
  <w:footnote w:id="7">
    <w:p w14:paraId="49552AC8"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63570489"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 Obsérvese que este artículo no efectúa distinción alguna sobre el régimen jurídico aplicable a los sujetos obligados.</w:t>
      </w:r>
    </w:p>
    <w:p w14:paraId="1C55D95C" w14:textId="77777777" w:rsidR="00107E4D" w:rsidRPr="00851936" w:rsidRDefault="00107E4D" w:rsidP="00107E4D">
      <w:pPr>
        <w:pStyle w:val="Textonotapie"/>
        <w:ind w:right="49" w:firstLine="709"/>
        <w:jc w:val="both"/>
        <w:rPr>
          <w:rFonts w:ascii="Arial" w:hAnsi="Arial" w:cs="Arial"/>
          <w:color w:val="000000" w:themeColor="text1"/>
          <w:sz w:val="19"/>
          <w:szCs w:val="19"/>
        </w:rPr>
      </w:pPr>
    </w:p>
  </w:footnote>
  <w:footnote w:id="8">
    <w:p w14:paraId="24804CE1"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vertAlign w:val="superscript"/>
          <w:lang w:val="es-ES" w:eastAsia="es-ES"/>
        </w:rPr>
        <w:footnoteRef/>
      </w:r>
      <w:r w:rsidRPr="00851936">
        <w:rPr>
          <w:rFonts w:ascii="Arial" w:hAnsi="Arial" w:cs="Arial"/>
          <w:color w:val="000000" w:themeColor="text1"/>
          <w:sz w:val="19"/>
          <w:szCs w:val="19"/>
          <w:vertAlign w:val="superscript"/>
          <w:lang w:val="es-ES" w:eastAsia="es-ES"/>
        </w:rPr>
        <w:t xml:space="preserve"> </w:t>
      </w:r>
      <w:r w:rsidRPr="00851936">
        <w:rPr>
          <w:rFonts w:ascii="Arial" w:hAnsi="Arial" w:cs="Arial"/>
          <w:color w:val="000000" w:themeColor="text1"/>
          <w:sz w:val="19"/>
          <w:szCs w:val="19"/>
          <w:lang w:val="es-ES" w:eastAsia="es-ES"/>
        </w:rPr>
        <w:t>«</w:t>
      </w:r>
      <w:r w:rsidRPr="00851936">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69121EE4" w14:textId="77777777" w:rsidR="00107E4D" w:rsidRPr="00851936" w:rsidRDefault="00107E4D" w:rsidP="00107E4D">
      <w:pPr>
        <w:pStyle w:val="Textonotapie"/>
        <w:ind w:right="49" w:firstLine="709"/>
        <w:jc w:val="both"/>
        <w:rPr>
          <w:rFonts w:ascii="Arial" w:hAnsi="Arial" w:cs="Arial"/>
          <w:color w:val="000000" w:themeColor="text1"/>
          <w:sz w:val="19"/>
          <w:szCs w:val="19"/>
          <w:lang w:val="es-ES" w:eastAsia="es-ES"/>
        </w:rPr>
      </w:pPr>
      <w:r w:rsidRPr="00851936">
        <w:rPr>
          <w:rFonts w:ascii="Arial" w:hAnsi="Arial" w:cs="Arial"/>
          <w:color w:val="000000" w:themeColor="text1"/>
          <w:sz w:val="19"/>
          <w:szCs w:val="19"/>
        </w:rPr>
        <w:t>[…].</w:t>
      </w:r>
    </w:p>
    <w:p w14:paraId="38438782" w14:textId="5C60C233" w:rsidR="00107E4D" w:rsidRPr="00851936" w:rsidRDefault="00107E4D">
      <w:pPr>
        <w:pStyle w:val="Textonotapie"/>
        <w:ind w:right="49" w:firstLine="709"/>
        <w:jc w:val="both"/>
        <w:rPr>
          <w:rFonts w:ascii="Arial" w:hAnsi="Arial" w:cs="Arial"/>
          <w:color w:val="000000" w:themeColor="text1"/>
          <w:sz w:val="19"/>
          <w:szCs w:val="19"/>
          <w:lang w:val="es-ES" w:eastAsia="es-ES"/>
        </w:rPr>
      </w:pPr>
      <w:r w:rsidRPr="00851936">
        <w:rPr>
          <w:rFonts w:ascii="Arial" w:hAnsi="Arial" w:cs="Arial"/>
          <w:color w:val="000000" w:themeColor="text1"/>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footnote>
  <w:footnote w:id="9">
    <w:p w14:paraId="11B257D4"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C</w:t>
      </w:r>
      <w:r w:rsidRPr="00851936">
        <w:rPr>
          <w:rFonts w:ascii="Arial" w:hAnsi="Arial" w:cs="Arial"/>
          <w:color w:val="000000" w:themeColor="text1"/>
          <w:sz w:val="19"/>
          <w:szCs w:val="19"/>
          <w:lang w:val="es-ES" w:eastAsia="es-ES"/>
        </w:rPr>
        <w:t xml:space="preserve">orte Constitucional. Sentencia C-274 de 9 de mayo de 2013. M.P. María Victoria Calle Correa. </w:t>
      </w:r>
    </w:p>
    <w:p w14:paraId="01E00C14" w14:textId="77777777" w:rsidR="00107E4D" w:rsidRPr="00851936" w:rsidRDefault="00107E4D" w:rsidP="00107E4D">
      <w:pPr>
        <w:pStyle w:val="Textonotapie"/>
        <w:ind w:right="49" w:firstLine="709"/>
        <w:jc w:val="both"/>
        <w:rPr>
          <w:rFonts w:ascii="Arial" w:hAnsi="Arial" w:cs="Arial"/>
          <w:color w:val="000000" w:themeColor="text1"/>
          <w:sz w:val="19"/>
          <w:szCs w:val="19"/>
        </w:rPr>
      </w:pPr>
    </w:p>
  </w:footnote>
  <w:footnote w:id="10">
    <w:p w14:paraId="0B3C0741" w14:textId="77777777" w:rsidR="00107E4D" w:rsidRPr="00851936" w:rsidRDefault="00107E4D" w:rsidP="00107E4D">
      <w:pPr>
        <w:pStyle w:val="Textonotapie"/>
        <w:ind w:right="49" w:firstLine="708"/>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211F1FFC" w14:textId="07070C60" w:rsidR="00107E4D" w:rsidRPr="00851936" w:rsidRDefault="00107E4D" w:rsidP="009B3335">
      <w:pPr>
        <w:pStyle w:val="Textonotapie"/>
        <w:ind w:right="49" w:firstLine="708"/>
        <w:jc w:val="both"/>
        <w:rPr>
          <w:rFonts w:ascii="Arial" w:hAnsi="Arial" w:cs="Arial"/>
          <w:color w:val="000000" w:themeColor="text1"/>
          <w:sz w:val="19"/>
          <w:szCs w:val="19"/>
          <w:lang w:val="es-ES"/>
        </w:rPr>
      </w:pPr>
      <w:r w:rsidRPr="00851936">
        <w:rPr>
          <w:rFonts w:ascii="Arial" w:hAnsi="Arial" w:cs="Arial"/>
          <w:color w:val="000000" w:themeColor="text1"/>
          <w:sz w:val="19"/>
          <w:szCs w:val="19"/>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footnote>
  <w:footnote w:id="11">
    <w:p w14:paraId="16DF3419" w14:textId="76D7AF29" w:rsidR="00107E4D" w:rsidRPr="00851936" w:rsidRDefault="00107E4D">
      <w:pPr>
        <w:pStyle w:val="Textonotapie"/>
        <w:ind w:right="49" w:firstLine="708"/>
        <w:jc w:val="both"/>
        <w:rPr>
          <w:rFonts w:ascii="Arial" w:hAnsi="Arial" w:cs="Arial"/>
          <w:color w:val="000000" w:themeColor="text1"/>
          <w:sz w:val="19"/>
          <w:szCs w:val="19"/>
          <w:lang w:val="es-ES"/>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Consejo de Estado. Sección Tercera. Sentencia del 14 de diciembre de 2007. Exp. 24.715. C.P. Ruth Stella Correa Palacio.</w:t>
      </w:r>
    </w:p>
  </w:footnote>
  <w:footnote w:id="12">
    <w:p w14:paraId="1587B8A2" w14:textId="77777777" w:rsidR="00D12042" w:rsidRPr="00851936" w:rsidRDefault="00D12042" w:rsidP="00D12042">
      <w:pPr>
        <w:pStyle w:val="Textonotapie"/>
        <w:ind w:firstLine="708"/>
        <w:jc w:val="both"/>
        <w:rPr>
          <w:rFonts w:ascii="Arial"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El siguiente análisis se realiza únicamente respecto de las entidades sometidas al Estatuto General de Contratación de la Administración Pública. Sobre el deber de publicación de la actividad contractual de las entidades excluidas de dicho régimen de contratación, esta Agencia expidió el concepto CU–003 del 15 de enero de 2020 –radicado No. 2202013000000164–.</w:t>
      </w:r>
    </w:p>
    <w:p w14:paraId="12C2E609" w14:textId="77777777" w:rsidR="00D12042" w:rsidRPr="00851936" w:rsidRDefault="00D12042" w:rsidP="00D12042">
      <w:pPr>
        <w:pStyle w:val="Textonotapie"/>
        <w:ind w:firstLine="708"/>
        <w:rPr>
          <w:rFonts w:ascii="Arial" w:hAnsi="Arial" w:cs="Arial"/>
          <w:sz w:val="19"/>
          <w:szCs w:val="19"/>
          <w:lang w:val="es-CO"/>
        </w:rPr>
      </w:pPr>
    </w:p>
  </w:footnote>
  <w:footnote w:id="13">
    <w:p w14:paraId="59FFB02C" w14:textId="77777777" w:rsidR="00D12042" w:rsidRPr="00851936" w:rsidRDefault="00D12042" w:rsidP="00D12042">
      <w:pPr>
        <w:pStyle w:val="Textonotapie"/>
        <w:ind w:right="49" w:firstLine="708"/>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1082 de 2015: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41167E12" w14:textId="77777777" w:rsidR="00D12042" w:rsidRPr="00851936" w:rsidRDefault="00D12042" w:rsidP="00D12042">
      <w:pPr>
        <w:pStyle w:val="Textonotapie"/>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w:t>
      </w:r>
    </w:p>
    <w:p w14:paraId="16EF5C92" w14:textId="77777777" w:rsidR="00D12042" w:rsidRPr="00851936" w:rsidRDefault="00D12042" w:rsidP="00D12042">
      <w:pPr>
        <w:pStyle w:val="Textonotapie"/>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»Proceso de Contratación: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w:t>
      </w:r>
    </w:p>
    <w:p w14:paraId="77BF1352" w14:textId="77777777" w:rsidR="00D12042" w:rsidRPr="00851936" w:rsidRDefault="00D12042" w:rsidP="00D12042">
      <w:pPr>
        <w:pStyle w:val="Textonotapie"/>
        <w:ind w:right="49"/>
        <w:jc w:val="both"/>
        <w:rPr>
          <w:rFonts w:ascii="Arial" w:hAnsi="Arial" w:cs="Arial"/>
          <w:color w:val="000000" w:themeColor="text1"/>
          <w:sz w:val="19"/>
          <w:szCs w:val="19"/>
          <w:lang w:val="es-ES"/>
        </w:rPr>
      </w:pPr>
    </w:p>
  </w:footnote>
  <w:footnote w:id="14">
    <w:p w14:paraId="78551929" w14:textId="77777777" w:rsidR="00D12042" w:rsidRPr="00851936" w:rsidRDefault="00D12042" w:rsidP="00D12042">
      <w:pPr>
        <w:spacing w:before="76"/>
        <w:ind w:right="49" w:firstLine="708"/>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Ley 1150 de 2007: «Artículo 3. De la contratación pública electrónica.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w:t>
      </w:r>
      <w:r w:rsidRPr="00851936">
        <w:rPr>
          <w:rFonts w:ascii="Arial" w:hAnsi="Arial" w:cs="Arial"/>
          <w:color w:val="000000" w:themeColor="text1"/>
          <w:spacing w:val="-3"/>
          <w:sz w:val="19"/>
          <w:szCs w:val="19"/>
        </w:rPr>
        <w:t xml:space="preserve"> </w:t>
      </w:r>
      <w:r w:rsidRPr="00851936">
        <w:rPr>
          <w:rFonts w:ascii="Arial" w:hAnsi="Arial" w:cs="Arial"/>
          <w:color w:val="000000" w:themeColor="text1"/>
          <w:sz w:val="19"/>
          <w:szCs w:val="19"/>
        </w:rPr>
        <w:t>Nacional.</w:t>
      </w:r>
    </w:p>
    <w:p w14:paraId="73B33B25" w14:textId="77777777" w:rsidR="00D12042" w:rsidRPr="00851936" w:rsidRDefault="00D12042" w:rsidP="00D12042">
      <w:pPr>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»Lo anterior, sin perjuicio de las publicaciones previstas en el numeral 3 del artículo 30 de la Ley 80 de 1993.</w:t>
      </w:r>
    </w:p>
    <w:p w14:paraId="3DF0E105" w14:textId="77777777" w:rsidR="00D12042" w:rsidRPr="00851936" w:rsidRDefault="00D12042" w:rsidP="00D12042">
      <w:pPr>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»Con el fin de materializar los objetivos a que se refiere el inciso anterior, el Gobierno Nacional desarrollará el Sistema Electrónico para la Contratación Pública, Secop, el cual:</w:t>
      </w:r>
    </w:p>
    <w:p w14:paraId="5CF549EB" w14:textId="77777777" w:rsidR="00D12042" w:rsidRPr="00851936" w:rsidRDefault="00D12042" w:rsidP="00D12042">
      <w:pPr>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»a) Dispondrá de las funcionalidades tecnológicas para realizar procesos de contratación electrónicos bajo los métodos de selección señalados en el artículo 2o de la presente ley según lo defina el reglamento;</w:t>
      </w:r>
    </w:p>
    <w:p w14:paraId="492192B0" w14:textId="77777777" w:rsidR="00D12042" w:rsidRPr="00851936" w:rsidRDefault="00D12042" w:rsidP="00D12042">
      <w:pPr>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»b) Servirá de punto único de ingreso de información y de generación de reportes para las entidades estatales y la ciudadanía;</w:t>
      </w:r>
    </w:p>
    <w:p w14:paraId="28054D5E" w14:textId="77777777" w:rsidR="00D12042" w:rsidRPr="00851936" w:rsidRDefault="00D12042" w:rsidP="00D12042">
      <w:pPr>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»c) Contará con la información oficial de la contratación realizada con dineros públicos, para lo cual establecerá los patrones a que haya lugar y se encargará de su difusión a través de canales electrónicos y;</w:t>
      </w:r>
    </w:p>
    <w:p w14:paraId="3CAEA120" w14:textId="4B67BB9E" w:rsidR="00D12042" w:rsidRPr="00851936" w:rsidRDefault="00D12042" w:rsidP="0036200A">
      <w:pPr>
        <w:ind w:right="49" w:firstLine="708"/>
        <w:jc w:val="both"/>
      </w:pPr>
      <w:r w:rsidRPr="00851936">
        <w:rPr>
          <w:rFonts w:ascii="Arial" w:hAnsi="Arial" w:cs="Arial"/>
          <w:color w:val="000000" w:themeColor="text1"/>
          <w:sz w:val="19"/>
          <w:szCs w:val="19"/>
        </w:rPr>
        <w:t>»d) Integrará el Registro Unico Empresarial de las Cámaras de Comercio, el Diario Unico de Contratación Estatal y los demás sistemas que involucren la gestión contractual pública. Así mismo, se articulará con el Sistema de Información para la Vigilancia de la Contratación Estatal, SICE, creado por la Ley 598 de 2000, sin que este pierda su autonomía para el ejercicio del control fiscal a la contratación pública</w:t>
      </w:r>
      <w:r w:rsidR="00203674">
        <w:rPr>
          <w:rFonts w:ascii="Arial" w:hAnsi="Arial" w:cs="Arial"/>
          <w:color w:val="000000" w:themeColor="text1"/>
          <w:sz w:val="19"/>
          <w:szCs w:val="19"/>
        </w:rPr>
        <w:t>»</w:t>
      </w:r>
      <w:r w:rsidRPr="00851936">
        <w:rPr>
          <w:rFonts w:ascii="Arial" w:hAnsi="Arial" w:cs="Arial"/>
          <w:color w:val="000000" w:themeColor="text1"/>
          <w:sz w:val="19"/>
          <w:szCs w:val="19"/>
        </w:rPr>
        <w:t>.</w:t>
      </w:r>
    </w:p>
  </w:footnote>
  <w:footnote w:id="15">
    <w:p w14:paraId="3FB44444" w14:textId="34727D4B" w:rsidR="00D12042" w:rsidRPr="00851936" w:rsidRDefault="00D12042" w:rsidP="00950C49">
      <w:pPr>
        <w:pStyle w:val="Textonotapie"/>
        <w:ind w:firstLine="708"/>
        <w:jc w:val="both"/>
        <w:rPr>
          <w:rFonts w:ascii="Arial"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Si bien el artículo 2.2.1.1.1.7.1. del Decreto 1082 de 2015 no dice que el término para publicar sea de días hábiles, la Ley 4 de 1913, por un lado, en el artículo 59, establece que los plazos a los que se haga mención en la ley terminan a la medianoche, y que por día se entiende el espacio de veinticuatro horas; mientras que el artículo 62 establece que de los plazos de días señalados en la ley se entienden suprimidos los feriados, y que cuando se aluda a meses se computarán conforme al calendario, extendiéndose hasta el día hábil siguiente si el mes termina en un día feriado o vacante, lo que significa que lo días referidos en la ley deben entenderse como hábiles. Respecto a la noción de día hábil</w:t>
      </w:r>
      <w:r>
        <w:rPr>
          <w:rFonts w:ascii="Arial" w:hAnsi="Arial" w:cs="Arial"/>
          <w:sz w:val="19"/>
          <w:szCs w:val="19"/>
        </w:rPr>
        <w:t>,</w:t>
      </w:r>
      <w:r w:rsidRPr="00851936">
        <w:rPr>
          <w:rFonts w:ascii="Arial" w:hAnsi="Arial" w:cs="Arial"/>
          <w:sz w:val="19"/>
          <w:szCs w:val="19"/>
        </w:rPr>
        <w:t xml:space="preserve"> son relevantes las consideraciones expuestas por esta </w:t>
      </w:r>
      <w:r>
        <w:rPr>
          <w:rFonts w:ascii="Arial" w:hAnsi="Arial" w:cs="Arial"/>
          <w:sz w:val="19"/>
          <w:szCs w:val="19"/>
        </w:rPr>
        <w:t>Subdirección</w:t>
      </w:r>
      <w:r w:rsidRPr="00851936">
        <w:rPr>
          <w:rFonts w:ascii="Arial" w:hAnsi="Arial" w:cs="Arial"/>
          <w:sz w:val="19"/>
          <w:szCs w:val="19"/>
        </w:rPr>
        <w:t xml:space="preserve"> en el concepto C-160 del 3 de abril de 2020 –radicado No. 2202013000002420–, donde se expuso que «[…] los días hábiles se determinan según la entidad, ya que </w:t>
      </w:r>
      <w:r>
        <w:rPr>
          <w:rFonts w:ascii="Arial" w:hAnsi="Arial" w:cs="Arial"/>
          <w:sz w:val="19"/>
          <w:szCs w:val="19"/>
        </w:rPr>
        <w:t>“</w:t>
      </w:r>
      <w:r w:rsidRPr="00851936">
        <w:rPr>
          <w:rFonts w:ascii="Arial" w:hAnsi="Arial" w:cs="Arial"/>
          <w:sz w:val="19"/>
          <w:szCs w:val="19"/>
        </w:rPr>
        <w:t>cada entidad pública establece la jornada laboral, a través de su reglamento interno, dando certeza sobre los días que atienden al público, e indirectamente definiendo qué día es hábil en determinada institución</w:t>
      </w:r>
      <w:r>
        <w:rPr>
          <w:rFonts w:ascii="Arial" w:hAnsi="Arial" w:cs="Arial"/>
          <w:sz w:val="19"/>
          <w:szCs w:val="19"/>
        </w:rPr>
        <w:t>”</w:t>
      </w:r>
      <w:r w:rsidRPr="00851936">
        <w:rPr>
          <w:rFonts w:ascii="Arial" w:hAnsi="Arial" w:cs="Arial"/>
          <w:sz w:val="19"/>
          <w:szCs w:val="19"/>
        </w:rPr>
        <w:t>, por lo que días hábiles son aquellos de la semana durante los cuales las entidades públicas ejercen sus funciones al público, los cuales son, por regla general, todos los días de la semana, con excepción de los sábados, domingos y feriados previstos en la generalidad de entidades como días de descanso».</w:t>
      </w:r>
    </w:p>
  </w:footnote>
  <w:footnote w:id="16">
    <w:p w14:paraId="01ABB628" w14:textId="77777777" w:rsidR="00D12042" w:rsidRPr="00851936" w:rsidRDefault="00D12042" w:rsidP="00D12042">
      <w:pPr>
        <w:pStyle w:val="NormalWeb"/>
        <w:spacing w:before="0" w:beforeAutospacing="0" w:after="0" w:afterAutospacing="0"/>
        <w:ind w:firstLine="708"/>
        <w:jc w:val="both"/>
        <w:rPr>
          <w:rFonts w:ascii="Arial" w:hAnsi="Arial" w:cs="Arial"/>
          <w:color w:val="000000"/>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Decreto 1081 de 2015 «</w:t>
      </w:r>
      <w:r w:rsidRPr="00851936">
        <w:rPr>
          <w:rFonts w:ascii="Arial" w:hAnsi="Arial" w:cs="Arial"/>
          <w:color w:val="000000"/>
          <w:sz w:val="19"/>
          <w:szCs w:val="19"/>
        </w:rPr>
        <w:t>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3377BAA7" w14:textId="77777777" w:rsidR="00D12042" w:rsidRPr="00851936" w:rsidRDefault="00D12042" w:rsidP="00D12042">
      <w:pPr>
        <w:jc w:val="both"/>
        <w:rPr>
          <w:rFonts w:ascii="Arial" w:eastAsia="Times New Roman" w:hAnsi="Arial" w:cs="Arial"/>
          <w:color w:val="000000"/>
          <w:sz w:val="19"/>
          <w:szCs w:val="19"/>
          <w:lang w:val="es-CO" w:eastAsia="es-CO"/>
        </w:rPr>
      </w:pPr>
      <w:r w:rsidRPr="00851936">
        <w:rPr>
          <w:rFonts w:ascii="Arial" w:eastAsia="Times New Roman" w:hAnsi="Arial" w:cs="Arial"/>
          <w:color w:val="000000"/>
          <w:sz w:val="19"/>
          <w:szCs w:val="19"/>
          <w:lang w:val="es-CO" w:eastAsia="es-CO"/>
        </w:rPr>
        <w:t>  </w:t>
      </w:r>
      <w:r w:rsidRPr="00851936">
        <w:rPr>
          <w:rFonts w:ascii="Arial" w:eastAsia="Times New Roman" w:hAnsi="Arial" w:cs="Arial"/>
          <w:color w:val="000000"/>
          <w:sz w:val="19"/>
          <w:szCs w:val="19"/>
          <w:lang w:val="es-CO" w:eastAsia="es-CO"/>
        </w:rPr>
        <w:tab/>
        <w:t>»Los sujetos obligados que contratan con cargo a recursos públicos deben publicar la información de su gestión contractual en el plazo previsto en el artículo 19 del Decreto 1510 de 2013, o el que lo modifique, sustituya o adicione. </w:t>
      </w:r>
    </w:p>
    <w:p w14:paraId="13407343" w14:textId="77777777" w:rsidR="00D12042" w:rsidRPr="00851936" w:rsidRDefault="00D12042" w:rsidP="00D12042">
      <w:pPr>
        <w:jc w:val="both"/>
        <w:rPr>
          <w:rFonts w:ascii="Arial" w:hAnsi="Arial" w:cs="Arial"/>
          <w:sz w:val="19"/>
          <w:szCs w:val="19"/>
          <w:lang w:val="es-CO"/>
        </w:rPr>
      </w:pPr>
      <w:r w:rsidRPr="00851936">
        <w:rPr>
          <w:rFonts w:ascii="Arial" w:eastAsia="Times New Roman" w:hAnsi="Arial" w:cs="Arial"/>
          <w:color w:val="000000"/>
          <w:sz w:val="19"/>
          <w:szCs w:val="19"/>
          <w:lang w:val="es-CO" w:eastAsia="es-CO"/>
        </w:rPr>
        <w:t>  </w:t>
      </w:r>
      <w:r w:rsidRPr="00851936">
        <w:rPr>
          <w:rFonts w:ascii="Arial" w:eastAsia="Times New Roman" w:hAnsi="Arial" w:cs="Arial"/>
          <w:color w:val="000000"/>
          <w:sz w:val="19"/>
          <w:szCs w:val="19"/>
          <w:lang w:val="es-CO" w:eastAsia="es-CO"/>
        </w:rPr>
        <w:tab/>
        <w:t>»Los sujetos obligados que contratan con recursos públicos y recursos privados, deben publicar la información de su gestión contractual con cargo a recursos públicos en el Sistema Electrónico para la Contratación Pública (SECOP)</w:t>
      </w:r>
      <w:r w:rsidRPr="00851936">
        <w:rPr>
          <w:rFonts w:ascii="Arial" w:hAnsi="Arial" w:cs="Arial"/>
          <w:sz w:val="19"/>
          <w:szCs w:val="19"/>
          <w:lang w:val="es-CO"/>
        </w:rPr>
        <w:t>».</w:t>
      </w:r>
    </w:p>
    <w:p w14:paraId="2A928C9C" w14:textId="77777777" w:rsidR="00D12042" w:rsidRPr="00851936" w:rsidRDefault="00D12042" w:rsidP="00D12042">
      <w:pPr>
        <w:jc w:val="both"/>
        <w:rPr>
          <w:rFonts w:ascii="Arial" w:eastAsia="Times New Roman" w:hAnsi="Arial" w:cs="Arial"/>
          <w:color w:val="000000"/>
          <w:sz w:val="19"/>
          <w:szCs w:val="19"/>
          <w:lang w:val="es-CO" w:eastAsia="es-CO"/>
        </w:rPr>
      </w:pPr>
    </w:p>
  </w:footnote>
  <w:footnote w:id="17">
    <w:p w14:paraId="53290A26" w14:textId="77777777" w:rsidR="00D12042" w:rsidRPr="00851936" w:rsidRDefault="00D12042" w:rsidP="00D12042">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1081 de 2015: «Artículo 2.1.1.2.1.9. Publicación de procedimientos, lineamientos y políticas en materia de adquisición y compras. Para los sujetos obligados que contratan con cargo a recursos públicos, los </w:t>
      </w:r>
      <w:r w:rsidRPr="00D0322C">
        <w:rPr>
          <w:rFonts w:ascii="Arial" w:hAnsi="Arial" w:cs="Arial"/>
          <w:color w:val="000000" w:themeColor="text1"/>
          <w:sz w:val="19"/>
          <w:szCs w:val="19"/>
        </w:rPr>
        <w:t>procedimientos, lineamientos y políticas en</w:t>
      </w:r>
      <w:r w:rsidRPr="00851936">
        <w:rPr>
          <w:rFonts w:ascii="Arial" w:hAnsi="Arial" w:cs="Arial"/>
          <w:color w:val="000000" w:themeColor="text1"/>
          <w:sz w:val="19"/>
          <w:szCs w:val="19"/>
        </w:rPr>
        <w:t xml:space="preserve"> materia de adquisición y compras de los que trata el literal g) del artículo 11 de la Ley 1712 de 2014 son los previstos en el manual de contratación expedido conforme a las directrices señaladas por la Agencia Nacional de Contratación Pública –Colombia Compra Eficiente–, el cual debe estar publicado en el sitio web oficial del sujeto obligado».</w:t>
      </w:r>
    </w:p>
    <w:p w14:paraId="68772699" w14:textId="77777777" w:rsidR="00D12042" w:rsidRPr="00851936" w:rsidRDefault="00D12042" w:rsidP="00D12042">
      <w:pPr>
        <w:pStyle w:val="Textonotapie"/>
        <w:ind w:right="49" w:firstLine="709"/>
        <w:jc w:val="both"/>
        <w:rPr>
          <w:rFonts w:ascii="Arial" w:hAnsi="Arial" w:cs="Arial"/>
          <w:color w:val="000000" w:themeColor="text1"/>
          <w:sz w:val="19"/>
          <w:szCs w:val="19"/>
        </w:rPr>
      </w:pPr>
    </w:p>
  </w:footnote>
  <w:footnote w:id="18">
    <w:p w14:paraId="3E10B0C5" w14:textId="77777777" w:rsidR="00D12042" w:rsidRPr="00851936" w:rsidRDefault="00D12042" w:rsidP="00D12042">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1081 de 2015: «Artículo 2.1.1.2.1.10.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 </w:t>
      </w:r>
    </w:p>
    <w:p w14:paraId="215A52B4" w14:textId="77777777" w:rsidR="00D12042" w:rsidRPr="00851936" w:rsidRDefault="00D12042" w:rsidP="00D12042">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 xml:space="preserve">»Los sujetos obligados que no contratan con cargo a recursos públicos no están obligados a publicar su Plan Anual de Adquisiciones. </w:t>
      </w:r>
    </w:p>
    <w:p w14:paraId="212394C4" w14:textId="77777777" w:rsidR="00D12042" w:rsidRPr="00851936" w:rsidRDefault="00D12042" w:rsidP="00D12042">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 xml:space="preserve">»Los sujetos obligados que contratan con cargo a recursos públicos y recursos privados, deben publicar en su página web y en el SECOP el Plan Anual de Adquisiciones para los recursos de carácter público que ejecutarán en el año. </w:t>
      </w:r>
    </w:p>
    <w:p w14:paraId="6ECFD18D" w14:textId="273D657D" w:rsidR="00D12042" w:rsidRPr="00851936" w:rsidRDefault="00D12042">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»Se entenderá como definición de Plan Anual de Adquisiciones respecto a todos los sujetos obligados que contratan con recursos públicos, la prevista en el artículo 3° del Decreto 1510 de 2013, o el que lo modifique, sustituya o adicione».</w:t>
      </w:r>
    </w:p>
  </w:footnote>
  <w:footnote w:id="19">
    <w:p w14:paraId="628B583E" w14:textId="796B2B92" w:rsidR="00D12042" w:rsidRPr="00851936" w:rsidRDefault="00D12042">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1081 de 2015: «Artículo 2.1.1.2.1.8. Publicación de la ejecución de contratos. Para efectos del cumplimiento de la obligación contenida en el literal g) del artículo 11 de la Ley 1712 de 2014, relativa a la información sobre la ejecución de contratos, el sujeto obligado debe publicar las </w:t>
      </w:r>
      <w:r w:rsidRPr="00D0322C">
        <w:rPr>
          <w:rFonts w:ascii="Arial" w:hAnsi="Arial" w:cs="Arial"/>
          <w:color w:val="000000" w:themeColor="text1"/>
          <w:sz w:val="19"/>
          <w:szCs w:val="19"/>
        </w:rPr>
        <w:t>aprobaciones, autorizaciones, requerimientos o informes del supervisor o del interventor,</w:t>
      </w:r>
      <w:r w:rsidRPr="00851936">
        <w:rPr>
          <w:rFonts w:ascii="Arial" w:hAnsi="Arial" w:cs="Arial"/>
          <w:color w:val="000000" w:themeColor="text1"/>
          <w:sz w:val="19"/>
          <w:szCs w:val="19"/>
        </w:rPr>
        <w:t xml:space="preserve"> que prueben la ejecución del contrato».</w:t>
      </w:r>
    </w:p>
  </w:footnote>
  <w:footnote w:id="20">
    <w:p w14:paraId="16C53012" w14:textId="77777777" w:rsidR="00D12042" w:rsidRPr="00851936" w:rsidRDefault="00D12042" w:rsidP="00D12042">
      <w:pPr>
        <w:pStyle w:val="Textonotapie"/>
        <w:ind w:firstLine="708"/>
        <w:jc w:val="both"/>
        <w:rPr>
          <w:rFonts w:ascii="Arial" w:hAnsi="Arial" w:cs="Arial"/>
          <w:sz w:val="19"/>
          <w:szCs w:val="19"/>
          <w:lang w:val="es-CO"/>
        </w:rPr>
      </w:pPr>
      <w:r w:rsidRPr="00851936">
        <w:rPr>
          <w:rStyle w:val="Refdenotaalpie"/>
          <w:rFonts w:ascii="Arial" w:hAnsi="Arial" w:cs="Arial"/>
          <w:sz w:val="19"/>
          <w:szCs w:val="19"/>
        </w:rPr>
        <w:footnoteRef/>
      </w:r>
      <w:r w:rsidRPr="00851936">
        <w:rPr>
          <w:rFonts w:ascii="Arial" w:hAnsi="Arial" w:cs="Arial"/>
          <w:sz w:val="19"/>
          <w:szCs w:val="19"/>
        </w:rPr>
        <w:t xml:space="preserve">  Ley 1712 de 2014 «Artículo 2°.Principio de máxima publicidad para titular universal. Toda información en posesión, bajo control o custodia de un sujeto obligado es pública y no podrá ser reservada o limitada sino por disposición constitucional o legal, de conformidad con la presente ley».</w:t>
      </w:r>
    </w:p>
  </w:footnote>
  <w:footnote w:id="21">
    <w:p w14:paraId="25D1EB72" w14:textId="77777777" w:rsidR="00D12042" w:rsidRPr="00851936" w:rsidRDefault="00D12042" w:rsidP="00D12042">
      <w:pPr>
        <w:pStyle w:val="Textonotapie"/>
        <w:rPr>
          <w:rFonts w:ascii="Arial" w:hAnsi="Arial" w:cs="Arial"/>
          <w:sz w:val="19"/>
          <w:szCs w:val="19"/>
        </w:rPr>
      </w:pPr>
    </w:p>
    <w:p w14:paraId="01424424" w14:textId="77777777" w:rsidR="00D12042" w:rsidRPr="00851936" w:rsidRDefault="00D12042" w:rsidP="00D12042">
      <w:pPr>
        <w:pStyle w:val="NormalWeb"/>
        <w:spacing w:before="0" w:beforeAutospacing="0" w:after="0" w:afterAutospacing="0"/>
        <w:ind w:firstLine="708"/>
        <w:jc w:val="both"/>
        <w:rPr>
          <w:rFonts w:ascii="Arial" w:hAnsi="Arial" w:cs="Arial"/>
          <w:color w:val="000000"/>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Ley 1712 de 2014 «</w:t>
      </w:r>
      <w:r w:rsidRPr="00851936">
        <w:rPr>
          <w:rStyle w:val="PiedepginaCar"/>
          <w:rFonts w:ascii="Arial" w:hAnsi="Arial" w:cs="Arial"/>
          <w:color w:val="000000"/>
          <w:sz w:val="19"/>
          <w:szCs w:val="19"/>
        </w:rPr>
        <w:t xml:space="preserve"> </w:t>
      </w:r>
      <w:r w:rsidRPr="00851936">
        <w:rPr>
          <w:rFonts w:ascii="Arial" w:hAnsi="Arial" w:cs="Arial"/>
          <w:color w:val="000000"/>
          <w:sz w:val="19"/>
          <w:szCs w:val="19"/>
        </w:rPr>
        <w:t>Artículo 3°.Otros principios de la transparencia y acceso a la información pública. En la interpretación del derecho de acceso a la información se deberá adoptar un criterio de razonabilidad y proporcionalidad, así como aplicar los siguientes principios: </w:t>
      </w:r>
    </w:p>
    <w:p w14:paraId="663CD6BE" w14:textId="77777777" w:rsidR="00D12042" w:rsidRPr="008C71CB" w:rsidRDefault="00D12042" w:rsidP="00D12042">
      <w:pPr>
        <w:jc w:val="both"/>
        <w:rPr>
          <w:rFonts w:ascii="Arial" w:eastAsia="Times New Roman" w:hAnsi="Arial" w:cs="Arial"/>
          <w:color w:val="000000"/>
          <w:sz w:val="19"/>
          <w:szCs w:val="19"/>
          <w:lang w:val="es-CO" w:eastAsia="es-CO"/>
        </w:rPr>
      </w:pPr>
      <w:r w:rsidRPr="008C71CB">
        <w:rPr>
          <w:rFonts w:ascii="Arial" w:eastAsia="Times New Roman" w:hAnsi="Arial" w:cs="Arial"/>
          <w:color w:val="000000"/>
          <w:sz w:val="19"/>
          <w:szCs w:val="19"/>
          <w:lang w:val="es-CO" w:eastAsia="es-CO"/>
        </w:rPr>
        <w:t> </w:t>
      </w:r>
      <w:r w:rsidRPr="00851936">
        <w:rPr>
          <w:rFonts w:ascii="Arial" w:eastAsia="Times New Roman" w:hAnsi="Arial" w:cs="Arial"/>
          <w:color w:val="000000"/>
          <w:sz w:val="19"/>
          <w:szCs w:val="19"/>
          <w:lang w:val="es-CO" w:eastAsia="es-CO"/>
        </w:rPr>
        <w:tab/>
        <w:t>»</w:t>
      </w:r>
      <w:r w:rsidRPr="008C71CB">
        <w:rPr>
          <w:rFonts w:ascii="Arial" w:eastAsia="Times New Roman" w:hAnsi="Arial" w:cs="Arial"/>
          <w:color w:val="000000"/>
          <w:sz w:val="19"/>
          <w:szCs w:val="19"/>
          <w:lang w:val="es-CO" w:eastAsia="es-CO"/>
        </w:rPr>
        <w:t>Principio de transparencia. Principio conforme al cual toda la información en poder de los sujetos obligados definidos en esta ley se presume pública, en consecuencia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 </w:t>
      </w:r>
    </w:p>
    <w:p w14:paraId="470723AC" w14:textId="77777777" w:rsidR="00D12042" w:rsidRPr="008C71CB" w:rsidRDefault="00D12042" w:rsidP="00D12042">
      <w:pPr>
        <w:jc w:val="both"/>
        <w:rPr>
          <w:rFonts w:ascii="Arial" w:eastAsia="Times New Roman" w:hAnsi="Arial" w:cs="Arial"/>
          <w:color w:val="000000"/>
          <w:sz w:val="19"/>
          <w:szCs w:val="19"/>
          <w:lang w:val="es-CO" w:eastAsia="es-CO"/>
        </w:rPr>
      </w:pPr>
      <w:r w:rsidRPr="008C71CB">
        <w:rPr>
          <w:rFonts w:ascii="Arial" w:eastAsia="Times New Roman" w:hAnsi="Arial" w:cs="Arial"/>
          <w:color w:val="000000"/>
          <w:sz w:val="19"/>
          <w:szCs w:val="19"/>
          <w:lang w:val="es-CO" w:eastAsia="es-CO"/>
        </w:rPr>
        <w:t>  </w:t>
      </w:r>
      <w:r w:rsidRPr="00851936">
        <w:rPr>
          <w:rFonts w:ascii="Arial" w:eastAsia="Times New Roman" w:hAnsi="Arial" w:cs="Arial"/>
          <w:color w:val="000000"/>
          <w:sz w:val="19"/>
          <w:szCs w:val="19"/>
          <w:lang w:val="es-CO" w:eastAsia="es-CO"/>
        </w:rPr>
        <w:tab/>
        <w:t>[…]</w:t>
      </w:r>
      <w:r w:rsidRPr="008C71CB">
        <w:rPr>
          <w:rFonts w:ascii="Arial" w:eastAsia="Times New Roman" w:hAnsi="Arial" w:cs="Arial"/>
          <w:color w:val="000000"/>
          <w:sz w:val="19"/>
          <w:szCs w:val="19"/>
          <w:lang w:val="es-CO" w:eastAsia="es-CO"/>
        </w:rPr>
        <w:t> </w:t>
      </w:r>
    </w:p>
    <w:p w14:paraId="77F04AF5" w14:textId="77777777" w:rsidR="00D12042" w:rsidRPr="008C71CB" w:rsidRDefault="00D12042" w:rsidP="00D12042">
      <w:pPr>
        <w:jc w:val="both"/>
        <w:rPr>
          <w:rFonts w:ascii="Arial" w:eastAsia="Times New Roman" w:hAnsi="Arial" w:cs="Arial"/>
          <w:color w:val="000000"/>
          <w:sz w:val="19"/>
          <w:szCs w:val="19"/>
          <w:lang w:val="es-CO" w:eastAsia="es-CO"/>
        </w:rPr>
      </w:pPr>
      <w:r w:rsidRPr="008C71CB">
        <w:rPr>
          <w:rFonts w:ascii="Arial" w:eastAsia="Times New Roman" w:hAnsi="Arial" w:cs="Arial"/>
          <w:color w:val="000000"/>
          <w:sz w:val="19"/>
          <w:szCs w:val="19"/>
          <w:lang w:val="es-CO" w:eastAsia="es-CO"/>
        </w:rPr>
        <w:t>  </w:t>
      </w:r>
      <w:r w:rsidRPr="00851936">
        <w:rPr>
          <w:rFonts w:ascii="Arial" w:eastAsia="Times New Roman" w:hAnsi="Arial" w:cs="Arial"/>
          <w:color w:val="000000"/>
          <w:sz w:val="19"/>
          <w:szCs w:val="19"/>
          <w:lang w:val="es-CO" w:eastAsia="es-CO"/>
        </w:rPr>
        <w:tab/>
        <w:t>»</w:t>
      </w:r>
      <w:r w:rsidRPr="008C71CB">
        <w:rPr>
          <w:rFonts w:ascii="Arial" w:eastAsia="Times New Roman" w:hAnsi="Arial" w:cs="Arial"/>
          <w:color w:val="000000"/>
          <w:sz w:val="19"/>
          <w:szCs w:val="19"/>
          <w:lang w:val="es-CO" w:eastAsia="es-CO"/>
        </w:rPr>
        <w:t>Principio de facilitación. En virtud de este principio los sujetos obligados deberán facilitar el ejercicio del derecho de acceso a la información pública, excluyendo exigencias o requisitos que puedan obstruirlo o impedirlo. </w:t>
      </w:r>
    </w:p>
    <w:p w14:paraId="58789229" w14:textId="77777777" w:rsidR="00D12042" w:rsidRPr="008C71CB" w:rsidRDefault="00D12042" w:rsidP="00D12042">
      <w:pPr>
        <w:jc w:val="both"/>
        <w:rPr>
          <w:rFonts w:ascii="Arial" w:eastAsia="Times New Roman" w:hAnsi="Arial" w:cs="Arial"/>
          <w:color w:val="000000"/>
          <w:sz w:val="19"/>
          <w:szCs w:val="19"/>
          <w:lang w:val="es-CO" w:eastAsia="es-CO"/>
        </w:rPr>
      </w:pPr>
      <w:r w:rsidRPr="008C71CB">
        <w:rPr>
          <w:rFonts w:ascii="Arial" w:eastAsia="Times New Roman" w:hAnsi="Arial" w:cs="Arial"/>
          <w:color w:val="000000"/>
          <w:sz w:val="19"/>
          <w:szCs w:val="19"/>
          <w:lang w:val="es-CO" w:eastAsia="es-CO"/>
        </w:rPr>
        <w:t>  </w:t>
      </w:r>
      <w:r w:rsidRPr="00851936">
        <w:rPr>
          <w:rFonts w:ascii="Arial" w:eastAsia="Times New Roman" w:hAnsi="Arial" w:cs="Arial"/>
          <w:color w:val="000000"/>
          <w:sz w:val="19"/>
          <w:szCs w:val="19"/>
          <w:lang w:val="es-CO" w:eastAsia="es-CO"/>
        </w:rPr>
        <w:tab/>
        <w:t>[…]</w:t>
      </w:r>
    </w:p>
    <w:p w14:paraId="2F53F6A3" w14:textId="1F7384F7" w:rsidR="00D12042" w:rsidRPr="00851936" w:rsidRDefault="00D12042" w:rsidP="009B3335">
      <w:pPr>
        <w:jc w:val="both"/>
        <w:rPr>
          <w:lang w:val="es-CO"/>
        </w:rPr>
      </w:pPr>
      <w:r w:rsidRPr="008C71CB">
        <w:rPr>
          <w:rFonts w:ascii="Arial" w:eastAsia="Times New Roman" w:hAnsi="Arial" w:cs="Arial"/>
          <w:color w:val="000000"/>
          <w:sz w:val="19"/>
          <w:szCs w:val="19"/>
          <w:lang w:val="es-CO" w:eastAsia="es-CO"/>
        </w:rPr>
        <w:t>  </w:t>
      </w:r>
      <w:r w:rsidRPr="00851936">
        <w:rPr>
          <w:rFonts w:ascii="Arial" w:eastAsia="Times New Roman" w:hAnsi="Arial" w:cs="Arial"/>
          <w:color w:val="000000"/>
          <w:sz w:val="19"/>
          <w:szCs w:val="19"/>
          <w:lang w:val="es-CO" w:eastAsia="es-CO"/>
        </w:rPr>
        <w:tab/>
        <w:t xml:space="preserve">» </w:t>
      </w:r>
      <w:r w:rsidRPr="008C71CB">
        <w:rPr>
          <w:rFonts w:ascii="Arial" w:eastAsia="Times New Roman" w:hAnsi="Arial" w:cs="Arial"/>
          <w:color w:val="000000"/>
          <w:sz w:val="19"/>
          <w:szCs w:val="19"/>
          <w:lang w:val="es-CO" w:eastAsia="es-CO"/>
        </w:rPr>
        <w:t>Principio de la divulgación proactiva de la información. El derecho de acceso a la información no radica únicamente en la obligación de dar respuesta a las peticiones de la sociedad, sino también en el deber de los sujetos obligados de promover y generar una cultura de transparencia, lo que conlleva la obligación de publicar y divulgar documentos y archivos que plasman la actividad estatal y de interés público, de forma rutinaria y proactiva, actualizada, accesible y comprensible, atendiendo a límites razonables del talento humano y recursos físicos y financieros</w:t>
      </w:r>
      <w:r w:rsidRPr="00851936">
        <w:rPr>
          <w:rFonts w:ascii="Arial" w:eastAsia="Times New Roman" w:hAnsi="Arial" w:cs="Arial"/>
          <w:color w:val="000000"/>
          <w:sz w:val="19"/>
          <w:szCs w:val="19"/>
          <w:lang w:val="es-CO" w:eastAsia="es-CO"/>
        </w:rPr>
        <w:t xml:space="preserve"> […]».</w:t>
      </w:r>
    </w:p>
  </w:footnote>
  <w:footnote w:id="22">
    <w:p w14:paraId="43299877" w14:textId="77777777" w:rsidR="00D12042" w:rsidRPr="00851936" w:rsidRDefault="00D12042" w:rsidP="00D12042">
      <w:pPr>
        <w:pStyle w:val="Textonotapie"/>
        <w:ind w:firstLine="708"/>
        <w:jc w:val="both"/>
        <w:rPr>
          <w:rFonts w:ascii="Arial" w:hAnsi="Arial" w:cs="Arial"/>
          <w:color w:val="000000" w:themeColor="text1"/>
          <w:sz w:val="19"/>
          <w:szCs w:val="19"/>
          <w:lang w:val="es-CO"/>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Ley 1474 de 2011 «</w:t>
      </w:r>
      <w:r w:rsidRPr="00851936">
        <w:rPr>
          <w:rFonts w:ascii="Arial" w:hAnsi="Arial" w:cs="Arial"/>
          <w:color w:val="000000" w:themeColor="text1"/>
          <w:sz w:val="19"/>
          <w:szCs w:val="19"/>
          <w:lang w:val="es-CO"/>
        </w:rPr>
        <w:t>Artículo 74. </w:t>
      </w:r>
      <w:r w:rsidRPr="00851936">
        <w:rPr>
          <w:rFonts w:ascii="Arial" w:hAnsi="Arial" w:cs="Arial"/>
          <w:i/>
          <w:iCs/>
          <w:color w:val="000000" w:themeColor="text1"/>
          <w:sz w:val="19"/>
          <w:szCs w:val="19"/>
          <w:lang w:val="es-CO"/>
        </w:rPr>
        <w:t>Plan de acción de las entidades públicas</w:t>
      </w:r>
      <w:r w:rsidRPr="00851936">
        <w:rPr>
          <w:rFonts w:ascii="Arial" w:hAnsi="Arial" w:cs="Arial"/>
          <w:color w:val="000000" w:themeColor="text1"/>
          <w:sz w:val="19"/>
          <w:szCs w:val="19"/>
          <w:lang w:val="es-CO"/>
        </w:rPr>
        <w:t>. A partir de la vigencia de la presente ley, todas las entidades del Estado a más tardar el 31 de enero de cada año,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 </w:t>
      </w:r>
    </w:p>
    <w:p w14:paraId="2DCAF17C" w14:textId="77777777" w:rsidR="00D12042" w:rsidRPr="00851936" w:rsidRDefault="00D12042" w:rsidP="00D12042">
      <w:pPr>
        <w:pStyle w:val="Textonotapie"/>
        <w:jc w:val="both"/>
        <w:rPr>
          <w:rFonts w:ascii="Arial" w:hAnsi="Arial" w:cs="Arial"/>
          <w:color w:val="000000" w:themeColor="text1"/>
          <w:sz w:val="19"/>
          <w:szCs w:val="19"/>
          <w:lang w:val="es-CO"/>
        </w:rPr>
      </w:pPr>
      <w:r w:rsidRPr="00851936">
        <w:rPr>
          <w:rFonts w:ascii="Arial" w:hAnsi="Arial" w:cs="Arial"/>
          <w:color w:val="000000" w:themeColor="text1"/>
          <w:sz w:val="19"/>
          <w:szCs w:val="19"/>
          <w:lang w:val="es-CO"/>
        </w:rPr>
        <w:t>  </w:t>
      </w:r>
      <w:r w:rsidRPr="00851936">
        <w:rPr>
          <w:rFonts w:ascii="Arial" w:hAnsi="Arial" w:cs="Arial"/>
          <w:color w:val="000000" w:themeColor="text1"/>
          <w:sz w:val="19"/>
          <w:szCs w:val="19"/>
          <w:lang w:val="es-CO"/>
        </w:rPr>
        <w:tab/>
        <w:t>»A partir del año siguiente, el Plan de Acción deberá estar acompañado del informe de gestión del año inmediatamente anterior. </w:t>
      </w:r>
    </w:p>
    <w:p w14:paraId="5D9EFD3C" w14:textId="77777777" w:rsidR="00D12042" w:rsidRPr="00851936" w:rsidRDefault="00D12042" w:rsidP="00D12042">
      <w:pPr>
        <w:pStyle w:val="Textonotapie"/>
        <w:jc w:val="both"/>
        <w:rPr>
          <w:rFonts w:ascii="Arial" w:hAnsi="Arial" w:cs="Arial"/>
          <w:color w:val="000000" w:themeColor="text1"/>
          <w:sz w:val="19"/>
          <w:szCs w:val="19"/>
          <w:lang w:val="es-CO"/>
        </w:rPr>
      </w:pPr>
      <w:r w:rsidRPr="00851936">
        <w:rPr>
          <w:rFonts w:ascii="Arial" w:hAnsi="Arial" w:cs="Arial"/>
          <w:color w:val="000000" w:themeColor="text1"/>
          <w:sz w:val="19"/>
          <w:szCs w:val="19"/>
          <w:lang w:val="es-CO"/>
        </w:rPr>
        <w:t>  </w:t>
      </w:r>
      <w:r w:rsidRPr="00851936">
        <w:rPr>
          <w:rFonts w:ascii="Arial" w:hAnsi="Arial" w:cs="Arial"/>
          <w:color w:val="000000" w:themeColor="text1"/>
          <w:sz w:val="19"/>
          <w:szCs w:val="19"/>
          <w:lang w:val="es-CO"/>
        </w:rPr>
        <w:tab/>
        <w:t>»Igualmente publicarán por dicho medio su presupuesto debidamente desagregado, así como las modificaciones a este o a su desagregación. </w:t>
      </w:r>
    </w:p>
    <w:p w14:paraId="3765C2CF" w14:textId="77777777" w:rsidR="00D12042" w:rsidRPr="00851936" w:rsidRDefault="00D12042" w:rsidP="00D12042">
      <w:pPr>
        <w:pStyle w:val="Textonotapie"/>
        <w:jc w:val="both"/>
        <w:rPr>
          <w:rFonts w:ascii="Arial" w:hAnsi="Arial" w:cs="Arial"/>
          <w:color w:val="000000" w:themeColor="text1"/>
          <w:sz w:val="19"/>
          <w:szCs w:val="19"/>
          <w:lang w:val="es-CO"/>
        </w:rPr>
      </w:pPr>
      <w:r w:rsidRPr="00851936">
        <w:rPr>
          <w:rFonts w:ascii="Arial" w:hAnsi="Arial" w:cs="Arial"/>
          <w:color w:val="000000" w:themeColor="text1"/>
          <w:sz w:val="19"/>
          <w:szCs w:val="19"/>
          <w:lang w:val="es-CO"/>
        </w:rPr>
        <w:t>  </w:t>
      </w:r>
      <w:r w:rsidRPr="00851936">
        <w:rPr>
          <w:rFonts w:ascii="Arial" w:hAnsi="Arial" w:cs="Arial"/>
          <w:color w:val="000000" w:themeColor="text1"/>
          <w:sz w:val="19"/>
          <w:szCs w:val="19"/>
          <w:lang w:val="es-CO"/>
        </w:rPr>
        <w:tab/>
        <w:t>»Parágrafo. Las empresas industriales y comerciales del Estado y las Sociedades de Economía Mixta estarán exentas de publicar la información relacionada con sus proyectos de inversión». </w:t>
      </w:r>
    </w:p>
    <w:p w14:paraId="55EF5B23" w14:textId="77777777" w:rsidR="00D12042" w:rsidRPr="00851936" w:rsidRDefault="00D12042" w:rsidP="00D12042">
      <w:pPr>
        <w:pStyle w:val="Textonotapie"/>
        <w:jc w:val="both"/>
        <w:rPr>
          <w:rFonts w:ascii="Arial" w:hAnsi="Arial" w:cs="Arial"/>
          <w:color w:val="000000" w:themeColor="text1"/>
          <w:sz w:val="19"/>
          <w:szCs w:val="19"/>
          <w:lang w:val="es-CO"/>
        </w:rPr>
      </w:pPr>
    </w:p>
  </w:footnote>
  <w:footnote w:id="23">
    <w:p w14:paraId="5A8822AF" w14:textId="77777777" w:rsidR="00D12042" w:rsidRPr="00851936" w:rsidRDefault="00D12042" w:rsidP="00D12042">
      <w:pPr>
        <w:pStyle w:val="Textonotapie"/>
        <w:ind w:firstLine="708"/>
        <w:jc w:val="both"/>
        <w:rPr>
          <w:rFonts w:ascii="Arial" w:hAnsi="Arial" w:cs="Arial"/>
          <w:color w:val="000000" w:themeColor="text1"/>
          <w:sz w:val="19"/>
          <w:szCs w:val="19"/>
          <w:lang w:val="es-CO"/>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1082 de 2015«Artículo 2.2.1.1.1.4.3. Publicación del Plan Anual de Adquisiciones. La Entidad Estatal debe publicar su Plan Anual de Adquisiciones y las actualizaciones del mismo en su página web y en el SECOP, en la forma que para el efecto disponga Colombia Compra Eficiente».</w:t>
      </w:r>
    </w:p>
  </w:footnote>
  <w:footnote w:id="24">
    <w:p w14:paraId="218D1B6E" w14:textId="77777777" w:rsidR="0031783A" w:rsidRPr="00CF4478" w:rsidRDefault="0031783A" w:rsidP="0031783A">
      <w:pPr>
        <w:pStyle w:val="Textonotapie"/>
        <w:ind w:firstLine="708"/>
        <w:jc w:val="both"/>
        <w:rPr>
          <w:rFonts w:ascii="Arial" w:hAnsi="Arial" w:cs="Arial"/>
          <w:sz w:val="19"/>
          <w:szCs w:val="19"/>
          <w:lang w:val="es-CO"/>
        </w:rPr>
      </w:pPr>
      <w:r w:rsidRPr="00CF4478">
        <w:rPr>
          <w:rStyle w:val="Refdenotaalpie"/>
          <w:rFonts w:ascii="Arial" w:hAnsi="Arial" w:cs="Arial"/>
          <w:sz w:val="19"/>
          <w:szCs w:val="19"/>
        </w:rPr>
        <w:footnoteRef/>
      </w:r>
      <w:r w:rsidRPr="00CF4478">
        <w:rPr>
          <w:rFonts w:ascii="Arial" w:hAnsi="Arial" w:cs="Arial"/>
          <w:sz w:val="19"/>
          <w:szCs w:val="19"/>
        </w:rPr>
        <w:t xml:space="preserve"> Decreto 1082 de 2015 «Artículo 2.2.1.2.1.4.3. No publicidad de estudios y documentos previos. Los estudios y documentos previos elaborados para los siguientes Procesos de Contratación no son públicos: a) la contratación de empréstitos; b) los contratos interadministrativos que celebre el Ministerio de Hacienda y Crédito Público con el Banco de la República, y c) los contratos a los que se refiere el 2.2.1.2.1.4.6 del presente decreto».</w:t>
      </w:r>
    </w:p>
  </w:footnote>
  <w:footnote w:id="25">
    <w:p w14:paraId="36323D59" w14:textId="77777777" w:rsidR="00AB2522" w:rsidRPr="00CF4478" w:rsidRDefault="00AB2522" w:rsidP="00AB2522">
      <w:pPr>
        <w:pStyle w:val="Textonotapie"/>
        <w:rPr>
          <w:rFonts w:ascii="Arial" w:hAnsi="Arial" w:cs="Arial"/>
          <w:sz w:val="19"/>
          <w:szCs w:val="19"/>
        </w:rPr>
      </w:pPr>
    </w:p>
    <w:p w14:paraId="4068580C" w14:textId="77777777" w:rsidR="00AB2522" w:rsidRPr="00CF4478" w:rsidRDefault="00AB2522" w:rsidP="00AB2522">
      <w:pPr>
        <w:pStyle w:val="Textonotapie"/>
        <w:ind w:firstLine="708"/>
        <w:jc w:val="both"/>
        <w:rPr>
          <w:rFonts w:ascii="Arial" w:hAnsi="Arial" w:cs="Arial"/>
          <w:sz w:val="19"/>
          <w:szCs w:val="19"/>
        </w:rPr>
      </w:pPr>
      <w:r w:rsidRPr="00CF4478">
        <w:rPr>
          <w:rStyle w:val="Refdenotaalpie"/>
          <w:rFonts w:ascii="Arial" w:hAnsi="Arial" w:cs="Arial"/>
          <w:sz w:val="19"/>
          <w:szCs w:val="19"/>
        </w:rPr>
        <w:footnoteRef/>
      </w:r>
      <w:r w:rsidRPr="00CF4478">
        <w:rPr>
          <w:rFonts w:ascii="Arial" w:hAnsi="Arial" w:cs="Arial"/>
          <w:sz w:val="19"/>
          <w:szCs w:val="19"/>
        </w:rPr>
        <w:t xml:space="preserve"> Decreto 1082 de 2015 «Artículo 2.2.1.2.1.4.6. Contratación de Bienes y Servicios en el Sector Defensa, </w:t>
      </w:r>
      <w:bookmarkStart w:id="11" w:name="_Hlk48034091"/>
      <w:r w:rsidRPr="00CF4478">
        <w:rPr>
          <w:rFonts w:ascii="Arial" w:hAnsi="Arial" w:cs="Arial"/>
          <w:sz w:val="19"/>
          <w:szCs w:val="19"/>
        </w:rPr>
        <w:t>la Dirección Nacional de Inteligencia y la Unidad Nacional de Protección</w:t>
      </w:r>
      <w:bookmarkEnd w:id="11"/>
      <w:r w:rsidRPr="00CF4478">
        <w:rPr>
          <w:rFonts w:ascii="Arial" w:hAnsi="Arial" w:cs="Arial"/>
          <w:sz w:val="19"/>
          <w:szCs w:val="19"/>
        </w:rPr>
        <w:t xml:space="preserve"> que necesiten reserva para su adquisición. Las Entidades Estatales no están obligadas a publicar los Documentos del Proceso para adquirir bienes y servicios en el Sector Defensa, la Dirección Nacional de Inteligencia y la Unidad Nacional de Protección que requieren reserva. En estos procesos de contratación la adquisición debe hacerse en condiciones de mercado sin que sea necesario recibir varias ofertas».</w:t>
      </w:r>
    </w:p>
    <w:p w14:paraId="7E06A098" w14:textId="77777777" w:rsidR="00AB2522" w:rsidRPr="00CF4478" w:rsidRDefault="00AB2522" w:rsidP="00AB2522">
      <w:pPr>
        <w:pStyle w:val="Textonotapie"/>
        <w:ind w:firstLine="708"/>
        <w:rPr>
          <w:lang w:val="es-CO"/>
        </w:rPr>
      </w:pPr>
      <w:r>
        <w:t xml:space="preserve"> </w:t>
      </w:r>
    </w:p>
  </w:footnote>
  <w:footnote w:id="26">
    <w:p w14:paraId="39008E79" w14:textId="77777777" w:rsidR="00D12042" w:rsidRPr="00851936" w:rsidRDefault="00D12042" w:rsidP="00D12042">
      <w:pPr>
        <w:pStyle w:val="Textonotapie"/>
        <w:ind w:firstLine="708"/>
        <w:jc w:val="both"/>
        <w:rPr>
          <w:rFonts w:ascii="Arial"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Ley 80 de 1993 «Artículo 24. Del principio de transparencia. En virtud de este principio: </w:t>
      </w:r>
    </w:p>
    <w:p w14:paraId="65669431" w14:textId="77777777" w:rsidR="00D12042" w:rsidRPr="00851936" w:rsidRDefault="00D12042" w:rsidP="00D12042">
      <w:pPr>
        <w:pStyle w:val="Textonotapie"/>
        <w:ind w:firstLine="708"/>
        <w:jc w:val="both"/>
        <w:rPr>
          <w:rFonts w:ascii="Arial" w:hAnsi="Arial" w:cs="Arial"/>
          <w:sz w:val="19"/>
          <w:szCs w:val="19"/>
        </w:rPr>
      </w:pPr>
      <w:r w:rsidRPr="00851936">
        <w:rPr>
          <w:rFonts w:ascii="Arial" w:hAnsi="Arial" w:cs="Arial"/>
          <w:sz w:val="19"/>
          <w:szCs w:val="19"/>
        </w:rPr>
        <w:t>[…]</w:t>
      </w:r>
    </w:p>
    <w:p w14:paraId="2B500CA5" w14:textId="77777777" w:rsidR="00D12042" w:rsidRPr="00851936" w:rsidRDefault="00D12042" w:rsidP="00D12042">
      <w:pPr>
        <w:pStyle w:val="Textonotapie"/>
        <w:ind w:firstLine="708"/>
        <w:jc w:val="both"/>
        <w:rPr>
          <w:rFonts w:ascii="Arial" w:hAnsi="Arial" w:cs="Arial"/>
          <w:sz w:val="19"/>
          <w:szCs w:val="19"/>
          <w:lang w:val="es-CO"/>
        </w:rPr>
      </w:pPr>
      <w:r w:rsidRPr="00851936">
        <w:rPr>
          <w:rFonts w:ascii="Arial" w:hAnsi="Arial" w:cs="Arial"/>
          <w:sz w:val="19"/>
          <w:szCs w:val="19"/>
        </w:rPr>
        <w:t>»4o. Las autoridades expedirán a costa de aquellas personas que demuestren interés legítimo, copias de las actuaciones y propuestas recibidas, respetando la reserva de que gocen legalmente las patentes, procedimientos y privilegios».</w:t>
      </w:r>
    </w:p>
    <w:p w14:paraId="3901DE8C" w14:textId="77777777" w:rsidR="00D12042" w:rsidRPr="00851936" w:rsidRDefault="00D12042" w:rsidP="00D12042">
      <w:pPr>
        <w:pStyle w:val="Textonotapie"/>
        <w:ind w:firstLine="708"/>
        <w:jc w:val="both"/>
        <w:rPr>
          <w:rFonts w:ascii="Arial" w:hAnsi="Arial" w:cs="Arial"/>
          <w:sz w:val="19"/>
          <w:szCs w:val="19"/>
          <w:lang w:val="es-CO"/>
        </w:rPr>
      </w:pPr>
      <w:r w:rsidRPr="00851936">
        <w:rPr>
          <w:rFonts w:ascii="Arial" w:hAnsi="Arial" w:cs="Arial"/>
          <w:sz w:val="19"/>
          <w:szCs w:val="19"/>
        </w:rPr>
        <w:t xml:space="preserve"> </w:t>
      </w:r>
    </w:p>
  </w:footnote>
  <w:footnote w:id="27">
    <w:p w14:paraId="4155560E" w14:textId="671FDD41" w:rsidR="00D12042" w:rsidRDefault="00D12042" w:rsidP="009B3335">
      <w:pPr>
        <w:pStyle w:val="Textonotapie"/>
        <w:ind w:firstLine="708"/>
        <w:jc w:val="both"/>
        <w:rPr>
          <w:rFonts w:ascii="Arial"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Ley 1712 de 2014«Artículo 2°.Principio de máxima publicidad para titular universal. Toda información en posesión, bajo control o custodia de un sujeto obligado es pública y no podrá ser reservada o limitada sino por disposición constitucional o legal, de conformidad con la presente ley».</w:t>
      </w:r>
    </w:p>
    <w:p w14:paraId="4C77EA44" w14:textId="77777777" w:rsidR="00203674" w:rsidRPr="00851936" w:rsidRDefault="00203674" w:rsidP="009B3335">
      <w:pPr>
        <w:pStyle w:val="Textonotapie"/>
        <w:ind w:firstLine="708"/>
        <w:jc w:val="both"/>
        <w:rPr>
          <w:rFonts w:ascii="Arial" w:hAnsi="Arial" w:cs="Arial"/>
          <w:sz w:val="19"/>
          <w:szCs w:val="19"/>
          <w:lang w:val="es-CO"/>
        </w:rPr>
      </w:pPr>
    </w:p>
  </w:footnote>
  <w:footnote w:id="28">
    <w:p w14:paraId="1AE10A1D" w14:textId="33C8BE1B" w:rsidR="00D12042" w:rsidRPr="00851936" w:rsidRDefault="00D12042">
      <w:pPr>
        <w:pStyle w:val="Textonotapie"/>
        <w:ind w:firstLine="708"/>
        <w:jc w:val="both"/>
        <w:rPr>
          <w:rFonts w:ascii="Arial" w:hAnsi="Arial" w:cs="Arial"/>
          <w:sz w:val="19"/>
          <w:szCs w:val="19"/>
          <w:lang w:val="es-CO"/>
        </w:rPr>
      </w:pPr>
      <w:r w:rsidRPr="00851936">
        <w:rPr>
          <w:rStyle w:val="Refdenotaalpie"/>
          <w:rFonts w:ascii="Arial" w:hAnsi="Arial" w:cs="Arial"/>
          <w:sz w:val="19"/>
          <w:szCs w:val="19"/>
        </w:rPr>
        <w:footnoteRef/>
      </w:r>
      <w:r w:rsidRPr="00851936">
        <w:rPr>
          <w:rFonts w:ascii="Arial" w:hAnsi="Arial" w:cs="Arial"/>
          <w:sz w:val="19"/>
          <w:szCs w:val="19"/>
        </w:rPr>
        <w:t xml:space="preserve"> MATALLANA CAMACHO Ernesto. Manual de Contratación de la Administración Pública. Reforma a la Ley 80 de 1993. Universidad Externado de Colombia, Cuarta edición, 2015, pp 139.</w:t>
      </w:r>
    </w:p>
  </w:footnote>
  <w:footnote w:id="29">
    <w:p w14:paraId="464DB4AF" w14:textId="3731E967" w:rsidR="00D12042" w:rsidRPr="00851936" w:rsidRDefault="00D12042" w:rsidP="00D12042">
      <w:pPr>
        <w:pStyle w:val="Textonotapie"/>
        <w:ind w:firstLine="708"/>
        <w:jc w:val="both"/>
        <w:rPr>
          <w:rFonts w:ascii="Arial"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Ley 1437 de 2011 «Artículo 24.Informaciones y documentos reservados.Solo tendrán carácter reservado las informaciones y documentos expresamente sometidos a reserva por la Constitución Política o la ley, y en especial:</w:t>
      </w:r>
    </w:p>
    <w:p w14:paraId="2E196642"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»1. Los relacionados con la defensa o seguridad nacionales.  </w:t>
      </w:r>
    </w:p>
    <w:p w14:paraId="1F74ACCC"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»2. Las instrucciones en materia diplomática o sobre negociaciones reservadas.  </w:t>
      </w:r>
    </w:p>
    <w:p w14:paraId="5A15D823"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14:paraId="1311A23D"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w:t>
      </w:r>
    </w:p>
    <w:p w14:paraId="2689CABD"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»5. Los datos referentes a la información financiera y comercial, en los términos de la Ley Estatutaria 1266 de 2008.  </w:t>
      </w:r>
    </w:p>
    <w:p w14:paraId="0F338091"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»6. Los protegidos por el secreto comercial o industrial, así como los planes estratégicos de las empresas públicas de servicios públicos.  </w:t>
      </w:r>
    </w:p>
    <w:p w14:paraId="45D7EE3A"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»7. Los amparados por el secreto profesional.  </w:t>
      </w:r>
    </w:p>
    <w:p w14:paraId="07DAFFB7"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»8. Los datos genéticos humanos.  </w:t>
      </w:r>
    </w:p>
    <w:p w14:paraId="7790BE62"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»Parágrafo. Para efecto de la solicitud de información de carácter reservado, enunciada en los numerales 3, 5, 6 y 7 solo podrá ser solicitada por el titular de la información, por sus apoderados o por personas autorizadas con facultad expresa para acceder a esa información».  </w:t>
      </w:r>
    </w:p>
    <w:p w14:paraId="06E4AA92" w14:textId="77777777" w:rsidR="00D12042" w:rsidRPr="00851936" w:rsidRDefault="00D12042" w:rsidP="00D12042">
      <w:pPr>
        <w:pStyle w:val="Textonotapie"/>
        <w:ind w:firstLine="708"/>
        <w:rPr>
          <w:rFonts w:ascii="Arial" w:hAnsi="Arial" w:cs="Arial"/>
          <w:sz w:val="19"/>
          <w:szCs w:val="19"/>
        </w:rPr>
      </w:pPr>
    </w:p>
  </w:footnote>
  <w:footnote w:id="30">
    <w:p w14:paraId="271335E4" w14:textId="10D3D4DC" w:rsidR="00D12042" w:rsidRPr="00851936" w:rsidRDefault="00D12042">
      <w:pPr>
        <w:pStyle w:val="Textonotapie"/>
        <w:ind w:firstLine="708"/>
        <w:jc w:val="both"/>
        <w:rPr>
          <w:rFonts w:ascii="Arial"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Resultan relevantes las consideraciones expuestas en el concepto C- 322 del 16 de junio de 2020 –radicado No. 2202013000005088–, sobre la aplicación del artículo 36 del CPACA en torno al manejo de información reservada en cuadernos separados: «</w:t>
      </w:r>
      <w:r w:rsidRPr="00851936">
        <w:rPr>
          <w:rFonts w:ascii="Arial" w:eastAsia="Calibri" w:hAnsi="Arial" w:cs="Arial"/>
          <w:sz w:val="19"/>
          <w:szCs w:val="19"/>
        </w:rPr>
        <w:t>tratándose de información sometida a reserva, considera esta Agencia que el tratamiento que corresponde a esta información es el procedente a partir de lo dispuesto en el artículo 36 del CPACA sobre la formación y examen de expedientes, en el que se establece que los documentos sometidos a reserva deberán insertarse en un cuaderno separado del expediente principal, el cual no podrá ser consultado por la ciudadanía o interesados en general. El manejo de estos documentos conforme lo indica esta norma, permite guardar la reserva a la que están sometidos dichos documentos en el marco de procesos de contratación, sin que se vean lesionados los intereses de los titulares de la información o contrariadas las normas del régimen de protección de datos personales».</w:t>
      </w:r>
    </w:p>
  </w:footnote>
  <w:footnote w:id="31">
    <w:p w14:paraId="1A428BE3" w14:textId="77777777" w:rsidR="0057561C" w:rsidRPr="00851936" w:rsidRDefault="0057561C" w:rsidP="0057561C">
      <w:pPr>
        <w:pStyle w:val="Textonotapie"/>
        <w:ind w:firstLine="708"/>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4170 de 2011: «Artículo 3. Funciones: La Agencia Nacional de Contratación Pública –Colombia Compra Eficiente– ejercerá las siguientes funciones:</w:t>
      </w:r>
      <w:r>
        <w:rPr>
          <w:rFonts w:ascii="Arial" w:hAnsi="Arial" w:cs="Arial"/>
          <w:color w:val="000000" w:themeColor="text1"/>
          <w:sz w:val="19"/>
          <w:szCs w:val="19"/>
        </w:rPr>
        <w:t xml:space="preserve"> </w:t>
      </w:r>
      <w:r w:rsidRPr="00851936">
        <w:rPr>
          <w:rFonts w:ascii="Arial" w:hAnsi="Arial" w:cs="Arial"/>
          <w:color w:val="000000" w:themeColor="text1"/>
          <w:sz w:val="19"/>
          <w:szCs w:val="19"/>
        </w:rPr>
        <w:t>[...]</w:t>
      </w:r>
    </w:p>
    <w:p w14:paraId="05FD409C" w14:textId="77777777" w:rsidR="0057561C" w:rsidRPr="00851936" w:rsidRDefault="0057561C" w:rsidP="0057561C">
      <w:pPr>
        <w:pStyle w:val="Textonotapie"/>
        <w:ind w:firstLine="708"/>
        <w:jc w:val="both"/>
        <w:rPr>
          <w:rFonts w:ascii="Arial" w:hAnsi="Arial" w:cs="Arial"/>
          <w:color w:val="000000" w:themeColor="text1"/>
          <w:sz w:val="19"/>
          <w:szCs w:val="19"/>
        </w:rPr>
      </w:pPr>
      <w:r w:rsidRPr="00851936">
        <w:rPr>
          <w:rFonts w:ascii="Arial" w:hAnsi="Arial" w:cs="Arial"/>
          <w:color w:val="000000" w:themeColor="text1"/>
          <w:sz w:val="19"/>
          <w:szCs w:val="19"/>
        </w:rPr>
        <w:t>»8. Desarrollar y administrar el Sistema Electrónico para la Contratación Pública (SECOP) o el que haga sus veces, y gestionar nuevos desarrollos tecnológicos en los asuntos de su competencia, teniendo en cuenta los parámetros fijados por el Consejo Directivo.[...]».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D67BD5" w:rsidR="001E291F" w:rsidRDefault="001E291F">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9AC509" w14:textId="77777777" w:rsidR="001E291F" w:rsidRDefault="001E291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C61FCE"/>
    <w:multiLevelType w:val="hybridMultilevel"/>
    <w:tmpl w:val="B9265A48"/>
    <w:lvl w:ilvl="0" w:tplc="AD5882F0">
      <w:start w:val="1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704319"/>
    <w:multiLevelType w:val="hybridMultilevel"/>
    <w:tmpl w:val="5CF46284"/>
    <w:lvl w:ilvl="0" w:tplc="58981ED0">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063A23"/>
    <w:multiLevelType w:val="hybridMultilevel"/>
    <w:tmpl w:val="EEE66F06"/>
    <w:lvl w:ilvl="0" w:tplc="76A89634">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40FD58EC"/>
    <w:multiLevelType w:val="multilevel"/>
    <w:tmpl w:val="51A22B1A"/>
    <w:lvl w:ilvl="0">
      <w:start w:val="1"/>
      <w:numFmt w:val="decimal"/>
      <w:lvlText w:val="%1."/>
      <w:lvlJc w:val="left"/>
      <w:pPr>
        <w:ind w:left="543" w:hanging="243"/>
      </w:pPr>
      <w:rPr>
        <w:rFonts w:ascii="Arial" w:eastAsia="Arial" w:hAnsi="Arial" w:cs="Arial" w:hint="default"/>
        <w:b/>
        <w:bCs/>
        <w:spacing w:val="-1"/>
        <w:w w:val="100"/>
        <w:sz w:val="22"/>
        <w:szCs w:val="22"/>
        <w:lang w:val="es-ES" w:eastAsia="en-US" w:bidi="ar-SA"/>
      </w:rPr>
    </w:lvl>
    <w:lvl w:ilvl="1">
      <w:start w:val="1"/>
      <w:numFmt w:val="decimal"/>
      <w:lvlText w:val="%1.%2."/>
      <w:lvlJc w:val="left"/>
      <w:pPr>
        <w:ind w:left="728" w:hanging="428"/>
      </w:pPr>
      <w:rPr>
        <w:rFonts w:ascii="Arial" w:eastAsia="Arial" w:hAnsi="Arial" w:cs="Arial" w:hint="default"/>
        <w:b/>
        <w:bCs/>
        <w:spacing w:val="-2"/>
        <w:w w:val="100"/>
        <w:sz w:val="22"/>
        <w:szCs w:val="22"/>
        <w:lang w:val="es-ES" w:eastAsia="en-US" w:bidi="ar-SA"/>
      </w:rPr>
    </w:lvl>
    <w:lvl w:ilvl="2">
      <w:numFmt w:val="bullet"/>
      <w:lvlText w:val="•"/>
      <w:lvlJc w:val="left"/>
      <w:pPr>
        <w:ind w:left="1700" w:hanging="428"/>
      </w:pPr>
      <w:rPr>
        <w:lang w:val="es-ES" w:eastAsia="en-US" w:bidi="ar-SA"/>
      </w:rPr>
    </w:lvl>
    <w:lvl w:ilvl="3">
      <w:numFmt w:val="bullet"/>
      <w:lvlText w:val="•"/>
      <w:lvlJc w:val="left"/>
      <w:pPr>
        <w:ind w:left="2680" w:hanging="428"/>
      </w:pPr>
      <w:rPr>
        <w:lang w:val="es-ES" w:eastAsia="en-US" w:bidi="ar-SA"/>
      </w:rPr>
    </w:lvl>
    <w:lvl w:ilvl="4">
      <w:numFmt w:val="bullet"/>
      <w:lvlText w:val="•"/>
      <w:lvlJc w:val="left"/>
      <w:pPr>
        <w:ind w:left="3660" w:hanging="428"/>
      </w:pPr>
      <w:rPr>
        <w:lang w:val="es-ES" w:eastAsia="en-US" w:bidi="ar-SA"/>
      </w:rPr>
    </w:lvl>
    <w:lvl w:ilvl="5">
      <w:numFmt w:val="bullet"/>
      <w:lvlText w:val="•"/>
      <w:lvlJc w:val="left"/>
      <w:pPr>
        <w:ind w:left="4640" w:hanging="428"/>
      </w:pPr>
      <w:rPr>
        <w:lang w:val="es-ES" w:eastAsia="en-US" w:bidi="ar-SA"/>
      </w:rPr>
    </w:lvl>
    <w:lvl w:ilvl="6">
      <w:numFmt w:val="bullet"/>
      <w:lvlText w:val="•"/>
      <w:lvlJc w:val="left"/>
      <w:pPr>
        <w:ind w:left="5620" w:hanging="428"/>
      </w:pPr>
      <w:rPr>
        <w:lang w:val="es-ES" w:eastAsia="en-US" w:bidi="ar-SA"/>
      </w:rPr>
    </w:lvl>
    <w:lvl w:ilvl="7">
      <w:numFmt w:val="bullet"/>
      <w:lvlText w:val="•"/>
      <w:lvlJc w:val="left"/>
      <w:pPr>
        <w:ind w:left="6600" w:hanging="428"/>
      </w:pPr>
      <w:rPr>
        <w:lang w:val="es-ES" w:eastAsia="en-US" w:bidi="ar-SA"/>
      </w:rPr>
    </w:lvl>
    <w:lvl w:ilvl="8">
      <w:numFmt w:val="bullet"/>
      <w:lvlText w:val="•"/>
      <w:lvlJc w:val="left"/>
      <w:pPr>
        <w:ind w:left="7580" w:hanging="428"/>
      </w:pPr>
      <w:rPr>
        <w:lang w:val="es-ES" w:eastAsia="en-US" w:bidi="ar-SA"/>
      </w:rPr>
    </w:lvl>
  </w:abstractNum>
  <w:abstractNum w:abstractNumId="8" w15:restartNumberingAfterBreak="0">
    <w:nsid w:val="4762497B"/>
    <w:multiLevelType w:val="hybridMultilevel"/>
    <w:tmpl w:val="9528AFFC"/>
    <w:lvl w:ilvl="0" w:tplc="6E94BFEE">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9"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1"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D7D5B46"/>
    <w:multiLevelType w:val="hybridMultilevel"/>
    <w:tmpl w:val="CD1EA26C"/>
    <w:lvl w:ilvl="0" w:tplc="44107A50">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3" w15:restartNumberingAfterBreak="0">
    <w:nsid w:val="627C75E4"/>
    <w:multiLevelType w:val="hybridMultilevel"/>
    <w:tmpl w:val="124C736E"/>
    <w:lvl w:ilvl="0" w:tplc="54B64B8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BEB731B"/>
    <w:multiLevelType w:val="hybridMultilevel"/>
    <w:tmpl w:val="5BAC283E"/>
    <w:lvl w:ilvl="0" w:tplc="24CCF18E">
      <w:start w:val="1"/>
      <w:numFmt w:val="lowerLetter"/>
      <w:lvlText w:val="%1)"/>
      <w:lvlJc w:val="left"/>
      <w:pPr>
        <w:ind w:left="555" w:hanging="255"/>
      </w:pPr>
      <w:rPr>
        <w:rFonts w:ascii="Arial" w:eastAsia="Arial" w:hAnsi="Arial" w:cs="Arial" w:hint="default"/>
        <w:b/>
        <w:bCs/>
        <w:spacing w:val="-1"/>
        <w:w w:val="100"/>
        <w:sz w:val="22"/>
        <w:szCs w:val="22"/>
        <w:lang w:val="es-ES" w:eastAsia="en-US" w:bidi="ar-SA"/>
      </w:rPr>
    </w:lvl>
    <w:lvl w:ilvl="1" w:tplc="5CA836AC">
      <w:numFmt w:val="bullet"/>
      <w:lvlText w:val="•"/>
      <w:lvlJc w:val="left"/>
      <w:pPr>
        <w:ind w:left="1458" w:hanging="255"/>
      </w:pPr>
      <w:rPr>
        <w:lang w:val="es-ES" w:eastAsia="en-US" w:bidi="ar-SA"/>
      </w:rPr>
    </w:lvl>
    <w:lvl w:ilvl="2" w:tplc="D5605412">
      <w:numFmt w:val="bullet"/>
      <w:lvlText w:val="•"/>
      <w:lvlJc w:val="left"/>
      <w:pPr>
        <w:ind w:left="2356" w:hanging="255"/>
      </w:pPr>
      <w:rPr>
        <w:lang w:val="es-ES" w:eastAsia="en-US" w:bidi="ar-SA"/>
      </w:rPr>
    </w:lvl>
    <w:lvl w:ilvl="3" w:tplc="9A6456BA">
      <w:numFmt w:val="bullet"/>
      <w:lvlText w:val="•"/>
      <w:lvlJc w:val="left"/>
      <w:pPr>
        <w:ind w:left="3254" w:hanging="255"/>
      </w:pPr>
      <w:rPr>
        <w:lang w:val="es-ES" w:eastAsia="en-US" w:bidi="ar-SA"/>
      </w:rPr>
    </w:lvl>
    <w:lvl w:ilvl="4" w:tplc="9AD8D76A">
      <w:numFmt w:val="bullet"/>
      <w:lvlText w:val="•"/>
      <w:lvlJc w:val="left"/>
      <w:pPr>
        <w:ind w:left="4152" w:hanging="255"/>
      </w:pPr>
      <w:rPr>
        <w:lang w:val="es-ES" w:eastAsia="en-US" w:bidi="ar-SA"/>
      </w:rPr>
    </w:lvl>
    <w:lvl w:ilvl="5" w:tplc="AE7E9A82">
      <w:numFmt w:val="bullet"/>
      <w:lvlText w:val="•"/>
      <w:lvlJc w:val="left"/>
      <w:pPr>
        <w:ind w:left="5050" w:hanging="255"/>
      </w:pPr>
      <w:rPr>
        <w:lang w:val="es-ES" w:eastAsia="en-US" w:bidi="ar-SA"/>
      </w:rPr>
    </w:lvl>
    <w:lvl w:ilvl="6" w:tplc="F6723F7E">
      <w:numFmt w:val="bullet"/>
      <w:lvlText w:val="•"/>
      <w:lvlJc w:val="left"/>
      <w:pPr>
        <w:ind w:left="5948" w:hanging="255"/>
      </w:pPr>
      <w:rPr>
        <w:lang w:val="es-ES" w:eastAsia="en-US" w:bidi="ar-SA"/>
      </w:rPr>
    </w:lvl>
    <w:lvl w:ilvl="7" w:tplc="2138E968">
      <w:numFmt w:val="bullet"/>
      <w:lvlText w:val="•"/>
      <w:lvlJc w:val="left"/>
      <w:pPr>
        <w:ind w:left="6846" w:hanging="255"/>
      </w:pPr>
      <w:rPr>
        <w:lang w:val="es-ES" w:eastAsia="en-US" w:bidi="ar-SA"/>
      </w:rPr>
    </w:lvl>
    <w:lvl w:ilvl="8" w:tplc="D73816CA">
      <w:numFmt w:val="bullet"/>
      <w:lvlText w:val="•"/>
      <w:lvlJc w:val="left"/>
      <w:pPr>
        <w:ind w:left="7744" w:hanging="255"/>
      </w:pPr>
      <w:rPr>
        <w:lang w:val="es-ES" w:eastAsia="en-US" w:bidi="ar-SA"/>
      </w:rPr>
    </w:lvl>
  </w:abstractNum>
  <w:abstractNum w:abstractNumId="1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71BC7ED6"/>
    <w:multiLevelType w:val="hybridMultilevel"/>
    <w:tmpl w:val="F6E67F0C"/>
    <w:lvl w:ilvl="0" w:tplc="0964B51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9410817"/>
    <w:multiLevelType w:val="hybridMultilevel"/>
    <w:tmpl w:val="124C736E"/>
    <w:lvl w:ilvl="0" w:tplc="54B64B8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C440DC2"/>
    <w:multiLevelType w:val="hybridMultilevel"/>
    <w:tmpl w:val="8CBEB672"/>
    <w:lvl w:ilvl="0" w:tplc="B72230D8">
      <w:start w:val="1"/>
      <w:numFmt w:val="lowerRoman"/>
      <w:lvlText w:val="%1)"/>
      <w:lvlJc w:val="left"/>
      <w:pPr>
        <w:ind w:left="1425" w:hanging="720"/>
      </w:pPr>
      <w:rPr>
        <w:rFonts w:ascii="Arial" w:eastAsia="Calibri" w:hAnsi="Arial" w:cs="Arial"/>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num w:numId="1">
    <w:abstractNumId w:val="5"/>
  </w:num>
  <w:num w:numId="2">
    <w:abstractNumId w:val="4"/>
  </w:num>
  <w:num w:numId="3">
    <w:abstractNumId w:val="9"/>
  </w:num>
  <w:num w:numId="4">
    <w:abstractNumId w:val="10"/>
  </w:num>
  <w:num w:numId="5">
    <w:abstractNumId w:val="1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
  </w:num>
  <w:num w:numId="9">
    <w:abstractNumId w:val="18"/>
  </w:num>
  <w:num w:numId="10">
    <w:abstractNumId w:val="2"/>
  </w:num>
  <w:num w:numId="11">
    <w:abstractNumId w:val="6"/>
  </w:num>
  <w:num w:numId="12">
    <w:abstractNumId w:val="16"/>
  </w:num>
  <w:num w:numId="13">
    <w:abstractNumId w:val="8"/>
  </w:num>
  <w:num w:numId="14">
    <w:abstractNumId w:val="13"/>
  </w:num>
  <w:num w:numId="15">
    <w:abstractNumId w:val="17"/>
  </w:num>
  <w:num w:numId="16">
    <w:abstractNumId w:val="3"/>
  </w:num>
  <w:num w:numId="17">
    <w:abstractNumId w:val="12"/>
  </w:num>
  <w:num w:numId="18">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1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042A"/>
    <w:rsid w:val="000020D3"/>
    <w:rsid w:val="00002C6B"/>
    <w:rsid w:val="00003F7C"/>
    <w:rsid w:val="000048CA"/>
    <w:rsid w:val="00004DBF"/>
    <w:rsid w:val="00004F00"/>
    <w:rsid w:val="0000562F"/>
    <w:rsid w:val="0000655E"/>
    <w:rsid w:val="000078A0"/>
    <w:rsid w:val="00007D2A"/>
    <w:rsid w:val="0001127D"/>
    <w:rsid w:val="00012C7C"/>
    <w:rsid w:val="000130DF"/>
    <w:rsid w:val="00013780"/>
    <w:rsid w:val="000142C6"/>
    <w:rsid w:val="000142E3"/>
    <w:rsid w:val="0001453F"/>
    <w:rsid w:val="0001500A"/>
    <w:rsid w:val="000152E6"/>
    <w:rsid w:val="000155B8"/>
    <w:rsid w:val="00015765"/>
    <w:rsid w:val="00015A08"/>
    <w:rsid w:val="000161CF"/>
    <w:rsid w:val="000164A5"/>
    <w:rsid w:val="000173E0"/>
    <w:rsid w:val="0001751A"/>
    <w:rsid w:val="00017D43"/>
    <w:rsid w:val="00017ED8"/>
    <w:rsid w:val="00020786"/>
    <w:rsid w:val="00020D91"/>
    <w:rsid w:val="00020F00"/>
    <w:rsid w:val="00021744"/>
    <w:rsid w:val="00022AB6"/>
    <w:rsid w:val="000230F6"/>
    <w:rsid w:val="00023516"/>
    <w:rsid w:val="0002419B"/>
    <w:rsid w:val="0002473E"/>
    <w:rsid w:val="00024F08"/>
    <w:rsid w:val="00025437"/>
    <w:rsid w:val="0002698E"/>
    <w:rsid w:val="00026ED4"/>
    <w:rsid w:val="00027148"/>
    <w:rsid w:val="000301BA"/>
    <w:rsid w:val="00030433"/>
    <w:rsid w:val="000311E0"/>
    <w:rsid w:val="000318B0"/>
    <w:rsid w:val="000330B0"/>
    <w:rsid w:val="000339C2"/>
    <w:rsid w:val="00035138"/>
    <w:rsid w:val="00035494"/>
    <w:rsid w:val="00035582"/>
    <w:rsid w:val="00040F8F"/>
    <w:rsid w:val="00041ECA"/>
    <w:rsid w:val="00041EFC"/>
    <w:rsid w:val="00041F59"/>
    <w:rsid w:val="00042092"/>
    <w:rsid w:val="00042CFF"/>
    <w:rsid w:val="00042F27"/>
    <w:rsid w:val="00043143"/>
    <w:rsid w:val="00043878"/>
    <w:rsid w:val="00043FC3"/>
    <w:rsid w:val="000459D0"/>
    <w:rsid w:val="00046036"/>
    <w:rsid w:val="00047723"/>
    <w:rsid w:val="000478A9"/>
    <w:rsid w:val="00050838"/>
    <w:rsid w:val="00050CEE"/>
    <w:rsid w:val="00050E0F"/>
    <w:rsid w:val="000518AA"/>
    <w:rsid w:val="000519C1"/>
    <w:rsid w:val="00052533"/>
    <w:rsid w:val="00052A34"/>
    <w:rsid w:val="00052FE5"/>
    <w:rsid w:val="0005313E"/>
    <w:rsid w:val="00053583"/>
    <w:rsid w:val="00053696"/>
    <w:rsid w:val="00054590"/>
    <w:rsid w:val="00054B19"/>
    <w:rsid w:val="00055DFA"/>
    <w:rsid w:val="000562F0"/>
    <w:rsid w:val="00057463"/>
    <w:rsid w:val="00057557"/>
    <w:rsid w:val="00060081"/>
    <w:rsid w:val="00060FA9"/>
    <w:rsid w:val="0006116C"/>
    <w:rsid w:val="000611E8"/>
    <w:rsid w:val="0006194B"/>
    <w:rsid w:val="00061AC0"/>
    <w:rsid w:val="00062739"/>
    <w:rsid w:val="00062CC1"/>
    <w:rsid w:val="00063ED3"/>
    <w:rsid w:val="00064538"/>
    <w:rsid w:val="000656E6"/>
    <w:rsid w:val="00065A0E"/>
    <w:rsid w:val="00065B67"/>
    <w:rsid w:val="000663AB"/>
    <w:rsid w:val="00066E28"/>
    <w:rsid w:val="00067D96"/>
    <w:rsid w:val="00071C0D"/>
    <w:rsid w:val="00071D50"/>
    <w:rsid w:val="0007231A"/>
    <w:rsid w:val="00073203"/>
    <w:rsid w:val="00073431"/>
    <w:rsid w:val="0007374F"/>
    <w:rsid w:val="00073EE0"/>
    <w:rsid w:val="00075739"/>
    <w:rsid w:val="00075F2C"/>
    <w:rsid w:val="000771D5"/>
    <w:rsid w:val="0007786B"/>
    <w:rsid w:val="0007792B"/>
    <w:rsid w:val="00080157"/>
    <w:rsid w:val="00080692"/>
    <w:rsid w:val="0008096C"/>
    <w:rsid w:val="000816EA"/>
    <w:rsid w:val="00082A48"/>
    <w:rsid w:val="00082EFF"/>
    <w:rsid w:val="00084B97"/>
    <w:rsid w:val="0008657D"/>
    <w:rsid w:val="00086AFA"/>
    <w:rsid w:val="00086C22"/>
    <w:rsid w:val="00086F0C"/>
    <w:rsid w:val="00087316"/>
    <w:rsid w:val="000917AE"/>
    <w:rsid w:val="00091B9F"/>
    <w:rsid w:val="000921B4"/>
    <w:rsid w:val="0009238E"/>
    <w:rsid w:val="00092788"/>
    <w:rsid w:val="000927C2"/>
    <w:rsid w:val="0009281E"/>
    <w:rsid w:val="00092B13"/>
    <w:rsid w:val="000938EA"/>
    <w:rsid w:val="0009391B"/>
    <w:rsid w:val="000942EB"/>
    <w:rsid w:val="0009586A"/>
    <w:rsid w:val="0009735A"/>
    <w:rsid w:val="00097C6C"/>
    <w:rsid w:val="000A0439"/>
    <w:rsid w:val="000A064C"/>
    <w:rsid w:val="000A09D2"/>
    <w:rsid w:val="000A2BAB"/>
    <w:rsid w:val="000A3A91"/>
    <w:rsid w:val="000A3C4E"/>
    <w:rsid w:val="000A3CBD"/>
    <w:rsid w:val="000A426B"/>
    <w:rsid w:val="000A4AAE"/>
    <w:rsid w:val="000A502E"/>
    <w:rsid w:val="000A511D"/>
    <w:rsid w:val="000A5BD3"/>
    <w:rsid w:val="000A6122"/>
    <w:rsid w:val="000A628F"/>
    <w:rsid w:val="000A66F3"/>
    <w:rsid w:val="000A7B03"/>
    <w:rsid w:val="000B012B"/>
    <w:rsid w:val="000B0465"/>
    <w:rsid w:val="000B0F5D"/>
    <w:rsid w:val="000B0FB0"/>
    <w:rsid w:val="000B103F"/>
    <w:rsid w:val="000B258E"/>
    <w:rsid w:val="000B2850"/>
    <w:rsid w:val="000B2CB3"/>
    <w:rsid w:val="000B359C"/>
    <w:rsid w:val="000B38BD"/>
    <w:rsid w:val="000B41A7"/>
    <w:rsid w:val="000B49DF"/>
    <w:rsid w:val="000B4D45"/>
    <w:rsid w:val="000B5520"/>
    <w:rsid w:val="000B5E82"/>
    <w:rsid w:val="000B626B"/>
    <w:rsid w:val="000B70B5"/>
    <w:rsid w:val="000B7851"/>
    <w:rsid w:val="000B7F0E"/>
    <w:rsid w:val="000C076A"/>
    <w:rsid w:val="000C0FED"/>
    <w:rsid w:val="000C1102"/>
    <w:rsid w:val="000C1707"/>
    <w:rsid w:val="000C1873"/>
    <w:rsid w:val="000C190D"/>
    <w:rsid w:val="000C26DF"/>
    <w:rsid w:val="000C32A6"/>
    <w:rsid w:val="000C44C9"/>
    <w:rsid w:val="000C4AA1"/>
    <w:rsid w:val="000C6BC4"/>
    <w:rsid w:val="000C6E4B"/>
    <w:rsid w:val="000C739C"/>
    <w:rsid w:val="000C73C7"/>
    <w:rsid w:val="000C7A3B"/>
    <w:rsid w:val="000D0ACC"/>
    <w:rsid w:val="000D12B9"/>
    <w:rsid w:val="000D1914"/>
    <w:rsid w:val="000D22FB"/>
    <w:rsid w:val="000D30A6"/>
    <w:rsid w:val="000D343E"/>
    <w:rsid w:val="000D479C"/>
    <w:rsid w:val="000D4C50"/>
    <w:rsid w:val="000D5B32"/>
    <w:rsid w:val="000D6318"/>
    <w:rsid w:val="000D6359"/>
    <w:rsid w:val="000D65F5"/>
    <w:rsid w:val="000D6AFB"/>
    <w:rsid w:val="000D71EE"/>
    <w:rsid w:val="000E0A73"/>
    <w:rsid w:val="000E0D1E"/>
    <w:rsid w:val="000E14F6"/>
    <w:rsid w:val="000E15ED"/>
    <w:rsid w:val="000E3937"/>
    <w:rsid w:val="000E43A0"/>
    <w:rsid w:val="000E4D78"/>
    <w:rsid w:val="000E4DFD"/>
    <w:rsid w:val="000E4F7B"/>
    <w:rsid w:val="000F0697"/>
    <w:rsid w:val="000F07CE"/>
    <w:rsid w:val="000F09BB"/>
    <w:rsid w:val="000F0D68"/>
    <w:rsid w:val="000F0F07"/>
    <w:rsid w:val="000F14E8"/>
    <w:rsid w:val="000F2436"/>
    <w:rsid w:val="000F4323"/>
    <w:rsid w:val="000F4CD3"/>
    <w:rsid w:val="000F6C08"/>
    <w:rsid w:val="000F7072"/>
    <w:rsid w:val="0010237D"/>
    <w:rsid w:val="0010274B"/>
    <w:rsid w:val="00102E6B"/>
    <w:rsid w:val="00103915"/>
    <w:rsid w:val="001039BF"/>
    <w:rsid w:val="00103A69"/>
    <w:rsid w:val="00104161"/>
    <w:rsid w:val="001054A2"/>
    <w:rsid w:val="00107A30"/>
    <w:rsid w:val="00107E4D"/>
    <w:rsid w:val="0011003B"/>
    <w:rsid w:val="001104F6"/>
    <w:rsid w:val="00111CD1"/>
    <w:rsid w:val="00113B52"/>
    <w:rsid w:val="0011502D"/>
    <w:rsid w:val="00115B65"/>
    <w:rsid w:val="00115FC9"/>
    <w:rsid w:val="00116DD5"/>
    <w:rsid w:val="00117502"/>
    <w:rsid w:val="00117513"/>
    <w:rsid w:val="001178E6"/>
    <w:rsid w:val="00120422"/>
    <w:rsid w:val="0012068A"/>
    <w:rsid w:val="00121B07"/>
    <w:rsid w:val="001221CB"/>
    <w:rsid w:val="00122B23"/>
    <w:rsid w:val="00125559"/>
    <w:rsid w:val="00126752"/>
    <w:rsid w:val="00126BB4"/>
    <w:rsid w:val="00126E35"/>
    <w:rsid w:val="001273A7"/>
    <w:rsid w:val="00127A8F"/>
    <w:rsid w:val="00130DC6"/>
    <w:rsid w:val="00131ABE"/>
    <w:rsid w:val="0013213A"/>
    <w:rsid w:val="0013442F"/>
    <w:rsid w:val="00134845"/>
    <w:rsid w:val="00134F34"/>
    <w:rsid w:val="0013525C"/>
    <w:rsid w:val="0013543D"/>
    <w:rsid w:val="001356ED"/>
    <w:rsid w:val="0013612A"/>
    <w:rsid w:val="00137A10"/>
    <w:rsid w:val="00137D19"/>
    <w:rsid w:val="00137FFA"/>
    <w:rsid w:val="001436C6"/>
    <w:rsid w:val="00143855"/>
    <w:rsid w:val="001444AE"/>
    <w:rsid w:val="0014671C"/>
    <w:rsid w:val="001468EF"/>
    <w:rsid w:val="001470D6"/>
    <w:rsid w:val="00150664"/>
    <w:rsid w:val="001513DE"/>
    <w:rsid w:val="001519CE"/>
    <w:rsid w:val="0015261D"/>
    <w:rsid w:val="001528CC"/>
    <w:rsid w:val="00152F23"/>
    <w:rsid w:val="00152F4E"/>
    <w:rsid w:val="0015312F"/>
    <w:rsid w:val="00154129"/>
    <w:rsid w:val="00156251"/>
    <w:rsid w:val="00156953"/>
    <w:rsid w:val="00156B65"/>
    <w:rsid w:val="00156F1B"/>
    <w:rsid w:val="0015752F"/>
    <w:rsid w:val="00160334"/>
    <w:rsid w:val="00160D40"/>
    <w:rsid w:val="0016229B"/>
    <w:rsid w:val="00163A2E"/>
    <w:rsid w:val="00163BA4"/>
    <w:rsid w:val="0016431F"/>
    <w:rsid w:val="00165B9C"/>
    <w:rsid w:val="00166859"/>
    <w:rsid w:val="0017053E"/>
    <w:rsid w:val="0017092C"/>
    <w:rsid w:val="00170B6D"/>
    <w:rsid w:val="00170C72"/>
    <w:rsid w:val="00170D41"/>
    <w:rsid w:val="00171201"/>
    <w:rsid w:val="00171527"/>
    <w:rsid w:val="00171EA0"/>
    <w:rsid w:val="00172946"/>
    <w:rsid w:val="00174E00"/>
    <w:rsid w:val="001752C6"/>
    <w:rsid w:val="0017578E"/>
    <w:rsid w:val="0017651B"/>
    <w:rsid w:val="0017669C"/>
    <w:rsid w:val="00177618"/>
    <w:rsid w:val="0018028E"/>
    <w:rsid w:val="00180986"/>
    <w:rsid w:val="00180CAE"/>
    <w:rsid w:val="00181312"/>
    <w:rsid w:val="00181B42"/>
    <w:rsid w:val="00181CA0"/>
    <w:rsid w:val="0018230E"/>
    <w:rsid w:val="00184602"/>
    <w:rsid w:val="001868F6"/>
    <w:rsid w:val="00186FD1"/>
    <w:rsid w:val="00187267"/>
    <w:rsid w:val="001876F7"/>
    <w:rsid w:val="0019180F"/>
    <w:rsid w:val="00193107"/>
    <w:rsid w:val="00193E9B"/>
    <w:rsid w:val="001945BB"/>
    <w:rsid w:val="00194762"/>
    <w:rsid w:val="001952FD"/>
    <w:rsid w:val="00195D3C"/>
    <w:rsid w:val="00195EB8"/>
    <w:rsid w:val="00195F16"/>
    <w:rsid w:val="00196172"/>
    <w:rsid w:val="00196F5B"/>
    <w:rsid w:val="001A0C18"/>
    <w:rsid w:val="001A1BA8"/>
    <w:rsid w:val="001A21C4"/>
    <w:rsid w:val="001A23EA"/>
    <w:rsid w:val="001A2559"/>
    <w:rsid w:val="001A284A"/>
    <w:rsid w:val="001A29B7"/>
    <w:rsid w:val="001A3705"/>
    <w:rsid w:val="001A3E11"/>
    <w:rsid w:val="001A50BF"/>
    <w:rsid w:val="001A5222"/>
    <w:rsid w:val="001A59AC"/>
    <w:rsid w:val="001A5BD9"/>
    <w:rsid w:val="001A6036"/>
    <w:rsid w:val="001A641C"/>
    <w:rsid w:val="001A650A"/>
    <w:rsid w:val="001A6CA1"/>
    <w:rsid w:val="001A7116"/>
    <w:rsid w:val="001B0444"/>
    <w:rsid w:val="001B0B4F"/>
    <w:rsid w:val="001B1203"/>
    <w:rsid w:val="001B34CF"/>
    <w:rsid w:val="001B39D9"/>
    <w:rsid w:val="001B4048"/>
    <w:rsid w:val="001B5CE7"/>
    <w:rsid w:val="001B666C"/>
    <w:rsid w:val="001B6906"/>
    <w:rsid w:val="001B731D"/>
    <w:rsid w:val="001B7466"/>
    <w:rsid w:val="001B7F08"/>
    <w:rsid w:val="001C0184"/>
    <w:rsid w:val="001C1F9C"/>
    <w:rsid w:val="001C4350"/>
    <w:rsid w:val="001C4593"/>
    <w:rsid w:val="001C4DED"/>
    <w:rsid w:val="001C61C0"/>
    <w:rsid w:val="001C62A1"/>
    <w:rsid w:val="001C79BB"/>
    <w:rsid w:val="001D0FF9"/>
    <w:rsid w:val="001D17D9"/>
    <w:rsid w:val="001D1E85"/>
    <w:rsid w:val="001D262B"/>
    <w:rsid w:val="001D3276"/>
    <w:rsid w:val="001D32CB"/>
    <w:rsid w:val="001D378D"/>
    <w:rsid w:val="001D3846"/>
    <w:rsid w:val="001D46FE"/>
    <w:rsid w:val="001D4AE9"/>
    <w:rsid w:val="001D60D3"/>
    <w:rsid w:val="001D646A"/>
    <w:rsid w:val="001D69DD"/>
    <w:rsid w:val="001E0375"/>
    <w:rsid w:val="001E10A7"/>
    <w:rsid w:val="001E175B"/>
    <w:rsid w:val="001E1C24"/>
    <w:rsid w:val="001E26AB"/>
    <w:rsid w:val="001E291F"/>
    <w:rsid w:val="001E2B0B"/>
    <w:rsid w:val="001E69F5"/>
    <w:rsid w:val="001E7D67"/>
    <w:rsid w:val="001F04AC"/>
    <w:rsid w:val="001F140C"/>
    <w:rsid w:val="001F1E12"/>
    <w:rsid w:val="001F4453"/>
    <w:rsid w:val="001F4D79"/>
    <w:rsid w:val="001F4E27"/>
    <w:rsid w:val="001F569D"/>
    <w:rsid w:val="001F5C1B"/>
    <w:rsid w:val="001F73AD"/>
    <w:rsid w:val="001F744E"/>
    <w:rsid w:val="00202718"/>
    <w:rsid w:val="002031C1"/>
    <w:rsid w:val="00203674"/>
    <w:rsid w:val="00203D28"/>
    <w:rsid w:val="00204DB3"/>
    <w:rsid w:val="00205BD8"/>
    <w:rsid w:val="0020632A"/>
    <w:rsid w:val="00206AE9"/>
    <w:rsid w:val="002072DF"/>
    <w:rsid w:val="00210605"/>
    <w:rsid w:val="002110EB"/>
    <w:rsid w:val="00211338"/>
    <w:rsid w:val="0021180F"/>
    <w:rsid w:val="00211BB0"/>
    <w:rsid w:val="00212888"/>
    <w:rsid w:val="0021372A"/>
    <w:rsid w:val="002139DE"/>
    <w:rsid w:val="00213A09"/>
    <w:rsid w:val="00213F0E"/>
    <w:rsid w:val="00215255"/>
    <w:rsid w:val="00216F80"/>
    <w:rsid w:val="0021710C"/>
    <w:rsid w:val="0022149D"/>
    <w:rsid w:val="00221947"/>
    <w:rsid w:val="0022247B"/>
    <w:rsid w:val="002225BB"/>
    <w:rsid w:val="002238F9"/>
    <w:rsid w:val="00224081"/>
    <w:rsid w:val="00224F1E"/>
    <w:rsid w:val="0022670B"/>
    <w:rsid w:val="0022729A"/>
    <w:rsid w:val="002275F8"/>
    <w:rsid w:val="00230AE4"/>
    <w:rsid w:val="00230B9D"/>
    <w:rsid w:val="00231C7B"/>
    <w:rsid w:val="00232698"/>
    <w:rsid w:val="00233F1C"/>
    <w:rsid w:val="00234645"/>
    <w:rsid w:val="002346BA"/>
    <w:rsid w:val="00234B84"/>
    <w:rsid w:val="00234D59"/>
    <w:rsid w:val="00236B42"/>
    <w:rsid w:val="00236C3C"/>
    <w:rsid w:val="00236CEB"/>
    <w:rsid w:val="00240C53"/>
    <w:rsid w:val="00240E16"/>
    <w:rsid w:val="00240E19"/>
    <w:rsid w:val="00241AEF"/>
    <w:rsid w:val="00243870"/>
    <w:rsid w:val="00244521"/>
    <w:rsid w:val="00244BBC"/>
    <w:rsid w:val="00244C0A"/>
    <w:rsid w:val="00245446"/>
    <w:rsid w:val="0024563E"/>
    <w:rsid w:val="0024773C"/>
    <w:rsid w:val="002500DF"/>
    <w:rsid w:val="002509AC"/>
    <w:rsid w:val="00250C91"/>
    <w:rsid w:val="00251635"/>
    <w:rsid w:val="002525B1"/>
    <w:rsid w:val="00253BD6"/>
    <w:rsid w:val="0025459E"/>
    <w:rsid w:val="0025479C"/>
    <w:rsid w:val="00256AE4"/>
    <w:rsid w:val="00257321"/>
    <w:rsid w:val="0025759C"/>
    <w:rsid w:val="00257984"/>
    <w:rsid w:val="00257B3B"/>
    <w:rsid w:val="00260154"/>
    <w:rsid w:val="0026261D"/>
    <w:rsid w:val="0026265B"/>
    <w:rsid w:val="002626B4"/>
    <w:rsid w:val="0026284F"/>
    <w:rsid w:val="00265376"/>
    <w:rsid w:val="0026593D"/>
    <w:rsid w:val="00265A81"/>
    <w:rsid w:val="00265F17"/>
    <w:rsid w:val="00266B26"/>
    <w:rsid w:val="002678A0"/>
    <w:rsid w:val="00267B8E"/>
    <w:rsid w:val="00270EAA"/>
    <w:rsid w:val="00271891"/>
    <w:rsid w:val="0027322D"/>
    <w:rsid w:val="00273832"/>
    <w:rsid w:val="00273978"/>
    <w:rsid w:val="00273AAE"/>
    <w:rsid w:val="002740C5"/>
    <w:rsid w:val="002758CB"/>
    <w:rsid w:val="00275E80"/>
    <w:rsid w:val="00277DDC"/>
    <w:rsid w:val="00280DF5"/>
    <w:rsid w:val="00282FE2"/>
    <w:rsid w:val="00283532"/>
    <w:rsid w:val="00284184"/>
    <w:rsid w:val="0028487F"/>
    <w:rsid w:val="00286186"/>
    <w:rsid w:val="00286B7A"/>
    <w:rsid w:val="00287C56"/>
    <w:rsid w:val="00291A19"/>
    <w:rsid w:val="00291A2C"/>
    <w:rsid w:val="002924CD"/>
    <w:rsid w:val="00292579"/>
    <w:rsid w:val="00292E93"/>
    <w:rsid w:val="0029342E"/>
    <w:rsid w:val="00293FA8"/>
    <w:rsid w:val="00293FBF"/>
    <w:rsid w:val="0029401E"/>
    <w:rsid w:val="002941B8"/>
    <w:rsid w:val="00295308"/>
    <w:rsid w:val="00295E32"/>
    <w:rsid w:val="00295E57"/>
    <w:rsid w:val="00296460"/>
    <w:rsid w:val="00296463"/>
    <w:rsid w:val="002969BC"/>
    <w:rsid w:val="00297C23"/>
    <w:rsid w:val="002A0043"/>
    <w:rsid w:val="002A0D45"/>
    <w:rsid w:val="002A2269"/>
    <w:rsid w:val="002A23F7"/>
    <w:rsid w:val="002A4169"/>
    <w:rsid w:val="002A5C49"/>
    <w:rsid w:val="002A6616"/>
    <w:rsid w:val="002B0068"/>
    <w:rsid w:val="002B0C19"/>
    <w:rsid w:val="002B1137"/>
    <w:rsid w:val="002B1235"/>
    <w:rsid w:val="002B16D4"/>
    <w:rsid w:val="002B1D91"/>
    <w:rsid w:val="002B26D6"/>
    <w:rsid w:val="002B2E33"/>
    <w:rsid w:val="002B353D"/>
    <w:rsid w:val="002B3AE9"/>
    <w:rsid w:val="002B53B8"/>
    <w:rsid w:val="002B56A6"/>
    <w:rsid w:val="002B5A46"/>
    <w:rsid w:val="002B690C"/>
    <w:rsid w:val="002B69EA"/>
    <w:rsid w:val="002B716D"/>
    <w:rsid w:val="002B763B"/>
    <w:rsid w:val="002C00F3"/>
    <w:rsid w:val="002C0F45"/>
    <w:rsid w:val="002C119D"/>
    <w:rsid w:val="002C1446"/>
    <w:rsid w:val="002C1B67"/>
    <w:rsid w:val="002C1D5F"/>
    <w:rsid w:val="002C2452"/>
    <w:rsid w:val="002C24D5"/>
    <w:rsid w:val="002C2C00"/>
    <w:rsid w:val="002C3900"/>
    <w:rsid w:val="002C4C0C"/>
    <w:rsid w:val="002C65CE"/>
    <w:rsid w:val="002C66CD"/>
    <w:rsid w:val="002C6E18"/>
    <w:rsid w:val="002D06FD"/>
    <w:rsid w:val="002D0829"/>
    <w:rsid w:val="002D12FC"/>
    <w:rsid w:val="002D1383"/>
    <w:rsid w:val="002D1632"/>
    <w:rsid w:val="002D1C0C"/>
    <w:rsid w:val="002D3F19"/>
    <w:rsid w:val="002D522E"/>
    <w:rsid w:val="002D569D"/>
    <w:rsid w:val="002D5F6B"/>
    <w:rsid w:val="002D67DC"/>
    <w:rsid w:val="002D79E9"/>
    <w:rsid w:val="002E00E3"/>
    <w:rsid w:val="002E066B"/>
    <w:rsid w:val="002E0960"/>
    <w:rsid w:val="002E18B5"/>
    <w:rsid w:val="002E385F"/>
    <w:rsid w:val="002E3BE9"/>
    <w:rsid w:val="002E56E8"/>
    <w:rsid w:val="002E6EB8"/>
    <w:rsid w:val="002E7165"/>
    <w:rsid w:val="002F0029"/>
    <w:rsid w:val="002F0294"/>
    <w:rsid w:val="002F1553"/>
    <w:rsid w:val="002F1759"/>
    <w:rsid w:val="002F2B2E"/>
    <w:rsid w:val="002F2BDD"/>
    <w:rsid w:val="002F2F1D"/>
    <w:rsid w:val="002F3CE9"/>
    <w:rsid w:val="002F4849"/>
    <w:rsid w:val="002F4F42"/>
    <w:rsid w:val="002F605B"/>
    <w:rsid w:val="002F6B43"/>
    <w:rsid w:val="002F7BEF"/>
    <w:rsid w:val="002F7F83"/>
    <w:rsid w:val="0030041A"/>
    <w:rsid w:val="003033BA"/>
    <w:rsid w:val="00303F20"/>
    <w:rsid w:val="00304113"/>
    <w:rsid w:val="003049D5"/>
    <w:rsid w:val="00304EC8"/>
    <w:rsid w:val="003057B2"/>
    <w:rsid w:val="0030664E"/>
    <w:rsid w:val="00307459"/>
    <w:rsid w:val="00310F6E"/>
    <w:rsid w:val="00312877"/>
    <w:rsid w:val="00313382"/>
    <w:rsid w:val="003138FF"/>
    <w:rsid w:val="0031396A"/>
    <w:rsid w:val="00313A60"/>
    <w:rsid w:val="003144A3"/>
    <w:rsid w:val="00317691"/>
    <w:rsid w:val="0031783A"/>
    <w:rsid w:val="0032017B"/>
    <w:rsid w:val="003204D3"/>
    <w:rsid w:val="00320603"/>
    <w:rsid w:val="0032206C"/>
    <w:rsid w:val="00322271"/>
    <w:rsid w:val="00322937"/>
    <w:rsid w:val="00322BA2"/>
    <w:rsid w:val="0032311F"/>
    <w:rsid w:val="0032519A"/>
    <w:rsid w:val="003252D8"/>
    <w:rsid w:val="003259F0"/>
    <w:rsid w:val="00325A3A"/>
    <w:rsid w:val="00327BDD"/>
    <w:rsid w:val="00332005"/>
    <w:rsid w:val="003323C9"/>
    <w:rsid w:val="00332516"/>
    <w:rsid w:val="00332D62"/>
    <w:rsid w:val="00333368"/>
    <w:rsid w:val="003333FB"/>
    <w:rsid w:val="003334E7"/>
    <w:rsid w:val="003340C1"/>
    <w:rsid w:val="00334999"/>
    <w:rsid w:val="003349A5"/>
    <w:rsid w:val="00334B47"/>
    <w:rsid w:val="00334F9D"/>
    <w:rsid w:val="00335F0E"/>
    <w:rsid w:val="00336712"/>
    <w:rsid w:val="00336897"/>
    <w:rsid w:val="00337945"/>
    <w:rsid w:val="0034177C"/>
    <w:rsid w:val="0034268A"/>
    <w:rsid w:val="0034444F"/>
    <w:rsid w:val="00345134"/>
    <w:rsid w:val="00346096"/>
    <w:rsid w:val="0034680A"/>
    <w:rsid w:val="00346BD3"/>
    <w:rsid w:val="0034748E"/>
    <w:rsid w:val="003474FD"/>
    <w:rsid w:val="0035006A"/>
    <w:rsid w:val="0035171F"/>
    <w:rsid w:val="00351925"/>
    <w:rsid w:val="00351EAD"/>
    <w:rsid w:val="00352C84"/>
    <w:rsid w:val="00353147"/>
    <w:rsid w:val="00353DD5"/>
    <w:rsid w:val="0035431C"/>
    <w:rsid w:val="00354482"/>
    <w:rsid w:val="003545EF"/>
    <w:rsid w:val="00354D4B"/>
    <w:rsid w:val="0035533F"/>
    <w:rsid w:val="00355B83"/>
    <w:rsid w:val="00356359"/>
    <w:rsid w:val="003564A6"/>
    <w:rsid w:val="0035653A"/>
    <w:rsid w:val="0035671F"/>
    <w:rsid w:val="0035753D"/>
    <w:rsid w:val="0036037E"/>
    <w:rsid w:val="00360C2B"/>
    <w:rsid w:val="0036200A"/>
    <w:rsid w:val="00362275"/>
    <w:rsid w:val="00362B65"/>
    <w:rsid w:val="00362E84"/>
    <w:rsid w:val="003630DA"/>
    <w:rsid w:val="003649DE"/>
    <w:rsid w:val="0036505D"/>
    <w:rsid w:val="003658F8"/>
    <w:rsid w:val="00365E12"/>
    <w:rsid w:val="003662A4"/>
    <w:rsid w:val="00366C70"/>
    <w:rsid w:val="00366CC3"/>
    <w:rsid w:val="00372A00"/>
    <w:rsid w:val="00372FA7"/>
    <w:rsid w:val="003731A5"/>
    <w:rsid w:val="003735D3"/>
    <w:rsid w:val="0037412D"/>
    <w:rsid w:val="00374467"/>
    <w:rsid w:val="00374F1C"/>
    <w:rsid w:val="00375331"/>
    <w:rsid w:val="00377431"/>
    <w:rsid w:val="0038037B"/>
    <w:rsid w:val="0038198E"/>
    <w:rsid w:val="003828E4"/>
    <w:rsid w:val="00384C21"/>
    <w:rsid w:val="00384E46"/>
    <w:rsid w:val="003851F6"/>
    <w:rsid w:val="003852EA"/>
    <w:rsid w:val="00386456"/>
    <w:rsid w:val="0038689A"/>
    <w:rsid w:val="00387205"/>
    <w:rsid w:val="003879DA"/>
    <w:rsid w:val="0039078B"/>
    <w:rsid w:val="00391570"/>
    <w:rsid w:val="003928BA"/>
    <w:rsid w:val="00392CD0"/>
    <w:rsid w:val="003939E7"/>
    <w:rsid w:val="00393A5C"/>
    <w:rsid w:val="0039449D"/>
    <w:rsid w:val="003945DE"/>
    <w:rsid w:val="00395814"/>
    <w:rsid w:val="0039653A"/>
    <w:rsid w:val="003966C8"/>
    <w:rsid w:val="0039686B"/>
    <w:rsid w:val="00397723"/>
    <w:rsid w:val="00397C22"/>
    <w:rsid w:val="003A0069"/>
    <w:rsid w:val="003A0878"/>
    <w:rsid w:val="003A0D3D"/>
    <w:rsid w:val="003A14F0"/>
    <w:rsid w:val="003A1700"/>
    <w:rsid w:val="003A24C2"/>
    <w:rsid w:val="003A317B"/>
    <w:rsid w:val="003A39E3"/>
    <w:rsid w:val="003A4BFE"/>
    <w:rsid w:val="003A4C50"/>
    <w:rsid w:val="003A581E"/>
    <w:rsid w:val="003A61EC"/>
    <w:rsid w:val="003A64BF"/>
    <w:rsid w:val="003A6C1F"/>
    <w:rsid w:val="003A70A2"/>
    <w:rsid w:val="003A78E0"/>
    <w:rsid w:val="003B0348"/>
    <w:rsid w:val="003B1B0F"/>
    <w:rsid w:val="003B2884"/>
    <w:rsid w:val="003B309D"/>
    <w:rsid w:val="003B3206"/>
    <w:rsid w:val="003B39DA"/>
    <w:rsid w:val="003B4371"/>
    <w:rsid w:val="003B4825"/>
    <w:rsid w:val="003B4C76"/>
    <w:rsid w:val="003B4DDA"/>
    <w:rsid w:val="003B50BD"/>
    <w:rsid w:val="003B51CB"/>
    <w:rsid w:val="003B5432"/>
    <w:rsid w:val="003B608E"/>
    <w:rsid w:val="003B67A2"/>
    <w:rsid w:val="003B6DC7"/>
    <w:rsid w:val="003B71D8"/>
    <w:rsid w:val="003B74FA"/>
    <w:rsid w:val="003C010A"/>
    <w:rsid w:val="003C22CA"/>
    <w:rsid w:val="003C26D5"/>
    <w:rsid w:val="003C3690"/>
    <w:rsid w:val="003C3A6B"/>
    <w:rsid w:val="003C426A"/>
    <w:rsid w:val="003C4422"/>
    <w:rsid w:val="003C6131"/>
    <w:rsid w:val="003C7A5F"/>
    <w:rsid w:val="003C7DAE"/>
    <w:rsid w:val="003D3093"/>
    <w:rsid w:val="003D3C2E"/>
    <w:rsid w:val="003D3E2D"/>
    <w:rsid w:val="003D4456"/>
    <w:rsid w:val="003D4467"/>
    <w:rsid w:val="003D4E6B"/>
    <w:rsid w:val="003D741C"/>
    <w:rsid w:val="003E001D"/>
    <w:rsid w:val="003E14BA"/>
    <w:rsid w:val="003E23EA"/>
    <w:rsid w:val="003E3695"/>
    <w:rsid w:val="003E3BC4"/>
    <w:rsid w:val="003E4C6C"/>
    <w:rsid w:val="003E657C"/>
    <w:rsid w:val="003E7355"/>
    <w:rsid w:val="003E73F1"/>
    <w:rsid w:val="003E7F15"/>
    <w:rsid w:val="003F084D"/>
    <w:rsid w:val="003F0BB9"/>
    <w:rsid w:val="003F0F09"/>
    <w:rsid w:val="003F1B8A"/>
    <w:rsid w:val="003F1C84"/>
    <w:rsid w:val="003F1E6F"/>
    <w:rsid w:val="003F2C90"/>
    <w:rsid w:val="003F3B9D"/>
    <w:rsid w:val="003F4472"/>
    <w:rsid w:val="003F4886"/>
    <w:rsid w:val="003F4FAC"/>
    <w:rsid w:val="003F5A0D"/>
    <w:rsid w:val="003F5D87"/>
    <w:rsid w:val="003F5F0D"/>
    <w:rsid w:val="003F7F27"/>
    <w:rsid w:val="004007D7"/>
    <w:rsid w:val="0040111B"/>
    <w:rsid w:val="00401511"/>
    <w:rsid w:val="004015AE"/>
    <w:rsid w:val="00402B9F"/>
    <w:rsid w:val="00402CC5"/>
    <w:rsid w:val="00404D7A"/>
    <w:rsid w:val="00404F7E"/>
    <w:rsid w:val="0040503E"/>
    <w:rsid w:val="00406553"/>
    <w:rsid w:val="00407A8A"/>
    <w:rsid w:val="00407EFE"/>
    <w:rsid w:val="00410806"/>
    <w:rsid w:val="004110C1"/>
    <w:rsid w:val="00411FA4"/>
    <w:rsid w:val="00412F7D"/>
    <w:rsid w:val="00413E4A"/>
    <w:rsid w:val="0041629E"/>
    <w:rsid w:val="00416CE1"/>
    <w:rsid w:val="00416F9D"/>
    <w:rsid w:val="00422B39"/>
    <w:rsid w:val="00423AD3"/>
    <w:rsid w:val="00423F9F"/>
    <w:rsid w:val="00425CA8"/>
    <w:rsid w:val="00426DF2"/>
    <w:rsid w:val="00430285"/>
    <w:rsid w:val="00431738"/>
    <w:rsid w:val="00432555"/>
    <w:rsid w:val="0043379B"/>
    <w:rsid w:val="0043379F"/>
    <w:rsid w:val="00434D34"/>
    <w:rsid w:val="00436487"/>
    <w:rsid w:val="00436701"/>
    <w:rsid w:val="0043673A"/>
    <w:rsid w:val="00436CF2"/>
    <w:rsid w:val="00436EE1"/>
    <w:rsid w:val="0044094B"/>
    <w:rsid w:val="00441949"/>
    <w:rsid w:val="00441E6D"/>
    <w:rsid w:val="0044219E"/>
    <w:rsid w:val="0044228D"/>
    <w:rsid w:val="004422D6"/>
    <w:rsid w:val="0044290D"/>
    <w:rsid w:val="00446012"/>
    <w:rsid w:val="00446133"/>
    <w:rsid w:val="00446954"/>
    <w:rsid w:val="00447189"/>
    <w:rsid w:val="00447914"/>
    <w:rsid w:val="004502C6"/>
    <w:rsid w:val="00450374"/>
    <w:rsid w:val="004503CA"/>
    <w:rsid w:val="00450793"/>
    <w:rsid w:val="004508FF"/>
    <w:rsid w:val="0045122B"/>
    <w:rsid w:val="00451785"/>
    <w:rsid w:val="00451F4F"/>
    <w:rsid w:val="0045222D"/>
    <w:rsid w:val="00452602"/>
    <w:rsid w:val="004526D3"/>
    <w:rsid w:val="00452A0D"/>
    <w:rsid w:val="0045499B"/>
    <w:rsid w:val="004558DD"/>
    <w:rsid w:val="004568C7"/>
    <w:rsid w:val="00457A81"/>
    <w:rsid w:val="00457BC1"/>
    <w:rsid w:val="00460729"/>
    <w:rsid w:val="00460D59"/>
    <w:rsid w:val="004613DB"/>
    <w:rsid w:val="004616A9"/>
    <w:rsid w:val="004617CF"/>
    <w:rsid w:val="00461DA2"/>
    <w:rsid w:val="004625D0"/>
    <w:rsid w:val="00462C5C"/>
    <w:rsid w:val="00463469"/>
    <w:rsid w:val="00463CBF"/>
    <w:rsid w:val="00464836"/>
    <w:rsid w:val="00464867"/>
    <w:rsid w:val="00464BE7"/>
    <w:rsid w:val="004651EF"/>
    <w:rsid w:val="00466347"/>
    <w:rsid w:val="00466DD2"/>
    <w:rsid w:val="0047017D"/>
    <w:rsid w:val="004705A2"/>
    <w:rsid w:val="004709D9"/>
    <w:rsid w:val="00470D26"/>
    <w:rsid w:val="0047137B"/>
    <w:rsid w:val="00471F23"/>
    <w:rsid w:val="00472E62"/>
    <w:rsid w:val="00473A9A"/>
    <w:rsid w:val="0047438D"/>
    <w:rsid w:val="00476670"/>
    <w:rsid w:val="00476ABB"/>
    <w:rsid w:val="004772DA"/>
    <w:rsid w:val="004772E9"/>
    <w:rsid w:val="00477ABF"/>
    <w:rsid w:val="00481F31"/>
    <w:rsid w:val="00482235"/>
    <w:rsid w:val="004823D1"/>
    <w:rsid w:val="00483ABB"/>
    <w:rsid w:val="00484856"/>
    <w:rsid w:val="00484A3A"/>
    <w:rsid w:val="00484B0A"/>
    <w:rsid w:val="004858BC"/>
    <w:rsid w:val="004866BF"/>
    <w:rsid w:val="00486E19"/>
    <w:rsid w:val="00487936"/>
    <w:rsid w:val="004902ED"/>
    <w:rsid w:val="00491BA4"/>
    <w:rsid w:val="00491F1C"/>
    <w:rsid w:val="0049241A"/>
    <w:rsid w:val="004926EF"/>
    <w:rsid w:val="00492D50"/>
    <w:rsid w:val="00493E5B"/>
    <w:rsid w:val="0049440E"/>
    <w:rsid w:val="00494646"/>
    <w:rsid w:val="00495988"/>
    <w:rsid w:val="004A06D8"/>
    <w:rsid w:val="004A0D1E"/>
    <w:rsid w:val="004A1030"/>
    <w:rsid w:val="004A194E"/>
    <w:rsid w:val="004A1C01"/>
    <w:rsid w:val="004A1D82"/>
    <w:rsid w:val="004A2579"/>
    <w:rsid w:val="004A26B5"/>
    <w:rsid w:val="004A2777"/>
    <w:rsid w:val="004A34D2"/>
    <w:rsid w:val="004A396E"/>
    <w:rsid w:val="004A3E56"/>
    <w:rsid w:val="004A41C5"/>
    <w:rsid w:val="004A627A"/>
    <w:rsid w:val="004A7062"/>
    <w:rsid w:val="004A7BC6"/>
    <w:rsid w:val="004B0381"/>
    <w:rsid w:val="004B0502"/>
    <w:rsid w:val="004B09FE"/>
    <w:rsid w:val="004B0C80"/>
    <w:rsid w:val="004B0EF1"/>
    <w:rsid w:val="004B323E"/>
    <w:rsid w:val="004B4965"/>
    <w:rsid w:val="004B680F"/>
    <w:rsid w:val="004B708C"/>
    <w:rsid w:val="004B72C6"/>
    <w:rsid w:val="004B7962"/>
    <w:rsid w:val="004C0F66"/>
    <w:rsid w:val="004C2076"/>
    <w:rsid w:val="004C32B5"/>
    <w:rsid w:val="004C4DAC"/>
    <w:rsid w:val="004C54DA"/>
    <w:rsid w:val="004C58D0"/>
    <w:rsid w:val="004C6A5A"/>
    <w:rsid w:val="004C72F9"/>
    <w:rsid w:val="004C7664"/>
    <w:rsid w:val="004C7D8B"/>
    <w:rsid w:val="004D1B34"/>
    <w:rsid w:val="004D1E36"/>
    <w:rsid w:val="004D22F5"/>
    <w:rsid w:val="004D2C56"/>
    <w:rsid w:val="004D4CD7"/>
    <w:rsid w:val="004D6024"/>
    <w:rsid w:val="004D6B1A"/>
    <w:rsid w:val="004D7167"/>
    <w:rsid w:val="004D7247"/>
    <w:rsid w:val="004E1522"/>
    <w:rsid w:val="004E1AFE"/>
    <w:rsid w:val="004E1D7D"/>
    <w:rsid w:val="004E2121"/>
    <w:rsid w:val="004E24B4"/>
    <w:rsid w:val="004E376E"/>
    <w:rsid w:val="004E3CCA"/>
    <w:rsid w:val="004E4412"/>
    <w:rsid w:val="004E74C0"/>
    <w:rsid w:val="004F0D23"/>
    <w:rsid w:val="004F1329"/>
    <w:rsid w:val="004F1BF8"/>
    <w:rsid w:val="004F262A"/>
    <w:rsid w:val="004F2B88"/>
    <w:rsid w:val="004F5FFC"/>
    <w:rsid w:val="004F71B4"/>
    <w:rsid w:val="004F74A8"/>
    <w:rsid w:val="004F7652"/>
    <w:rsid w:val="004F778C"/>
    <w:rsid w:val="0050096C"/>
    <w:rsid w:val="00500B28"/>
    <w:rsid w:val="00500E46"/>
    <w:rsid w:val="005010D1"/>
    <w:rsid w:val="0050147A"/>
    <w:rsid w:val="00502027"/>
    <w:rsid w:val="005022F4"/>
    <w:rsid w:val="005030EA"/>
    <w:rsid w:val="0050382F"/>
    <w:rsid w:val="0050395A"/>
    <w:rsid w:val="005039D9"/>
    <w:rsid w:val="00503C30"/>
    <w:rsid w:val="00504CFE"/>
    <w:rsid w:val="005056EE"/>
    <w:rsid w:val="0050666F"/>
    <w:rsid w:val="0051074C"/>
    <w:rsid w:val="00510814"/>
    <w:rsid w:val="00510D99"/>
    <w:rsid w:val="00510FCA"/>
    <w:rsid w:val="00511E1C"/>
    <w:rsid w:val="0051256D"/>
    <w:rsid w:val="00512F6A"/>
    <w:rsid w:val="00513A64"/>
    <w:rsid w:val="00513AF2"/>
    <w:rsid w:val="00514118"/>
    <w:rsid w:val="00514281"/>
    <w:rsid w:val="0051450C"/>
    <w:rsid w:val="005148D7"/>
    <w:rsid w:val="005158B4"/>
    <w:rsid w:val="0051637C"/>
    <w:rsid w:val="005174FC"/>
    <w:rsid w:val="00517B77"/>
    <w:rsid w:val="00520096"/>
    <w:rsid w:val="00521105"/>
    <w:rsid w:val="00524F09"/>
    <w:rsid w:val="0052547D"/>
    <w:rsid w:val="005278E6"/>
    <w:rsid w:val="00527B56"/>
    <w:rsid w:val="00527FB0"/>
    <w:rsid w:val="005310DF"/>
    <w:rsid w:val="00531103"/>
    <w:rsid w:val="005317FA"/>
    <w:rsid w:val="00531BFC"/>
    <w:rsid w:val="0053299A"/>
    <w:rsid w:val="0053339B"/>
    <w:rsid w:val="00533C19"/>
    <w:rsid w:val="005355A1"/>
    <w:rsid w:val="00537521"/>
    <w:rsid w:val="00540751"/>
    <w:rsid w:val="00540A4F"/>
    <w:rsid w:val="00541058"/>
    <w:rsid w:val="00541E29"/>
    <w:rsid w:val="00541F5C"/>
    <w:rsid w:val="00542157"/>
    <w:rsid w:val="005440DB"/>
    <w:rsid w:val="0054413A"/>
    <w:rsid w:val="005443DD"/>
    <w:rsid w:val="00544C5B"/>
    <w:rsid w:val="00544EF8"/>
    <w:rsid w:val="00546363"/>
    <w:rsid w:val="005472FD"/>
    <w:rsid w:val="00547D71"/>
    <w:rsid w:val="00554B18"/>
    <w:rsid w:val="005564CA"/>
    <w:rsid w:val="005570A8"/>
    <w:rsid w:val="0055743D"/>
    <w:rsid w:val="00557C62"/>
    <w:rsid w:val="00557FDD"/>
    <w:rsid w:val="0056055D"/>
    <w:rsid w:val="00560C72"/>
    <w:rsid w:val="0056182B"/>
    <w:rsid w:val="0056283E"/>
    <w:rsid w:val="00563A5C"/>
    <w:rsid w:val="00564FC2"/>
    <w:rsid w:val="00565877"/>
    <w:rsid w:val="005675DB"/>
    <w:rsid w:val="00567928"/>
    <w:rsid w:val="00571FD6"/>
    <w:rsid w:val="00572591"/>
    <w:rsid w:val="005728F1"/>
    <w:rsid w:val="00572C3A"/>
    <w:rsid w:val="00572F5F"/>
    <w:rsid w:val="00573D5D"/>
    <w:rsid w:val="00574143"/>
    <w:rsid w:val="00574BA4"/>
    <w:rsid w:val="00574E90"/>
    <w:rsid w:val="0057561C"/>
    <w:rsid w:val="005756AA"/>
    <w:rsid w:val="00576BBB"/>
    <w:rsid w:val="005771A5"/>
    <w:rsid w:val="00580B03"/>
    <w:rsid w:val="00583A09"/>
    <w:rsid w:val="00583C2D"/>
    <w:rsid w:val="00584771"/>
    <w:rsid w:val="00584BC5"/>
    <w:rsid w:val="00584E0C"/>
    <w:rsid w:val="005852BA"/>
    <w:rsid w:val="00586E4D"/>
    <w:rsid w:val="00590516"/>
    <w:rsid w:val="005907A9"/>
    <w:rsid w:val="005909ED"/>
    <w:rsid w:val="00590E4F"/>
    <w:rsid w:val="005912A0"/>
    <w:rsid w:val="005924EF"/>
    <w:rsid w:val="005957C8"/>
    <w:rsid w:val="005958F3"/>
    <w:rsid w:val="00595D86"/>
    <w:rsid w:val="00596DE4"/>
    <w:rsid w:val="00597883"/>
    <w:rsid w:val="00597DAB"/>
    <w:rsid w:val="005A1976"/>
    <w:rsid w:val="005A1A73"/>
    <w:rsid w:val="005A1AA6"/>
    <w:rsid w:val="005A220D"/>
    <w:rsid w:val="005A2C83"/>
    <w:rsid w:val="005A2FD9"/>
    <w:rsid w:val="005A38D8"/>
    <w:rsid w:val="005A4FFA"/>
    <w:rsid w:val="005A555D"/>
    <w:rsid w:val="005A61F1"/>
    <w:rsid w:val="005A7850"/>
    <w:rsid w:val="005A7A24"/>
    <w:rsid w:val="005A7FAA"/>
    <w:rsid w:val="005B0899"/>
    <w:rsid w:val="005B0D75"/>
    <w:rsid w:val="005B1203"/>
    <w:rsid w:val="005B15CA"/>
    <w:rsid w:val="005B1993"/>
    <w:rsid w:val="005B39DB"/>
    <w:rsid w:val="005B3CD8"/>
    <w:rsid w:val="005B4756"/>
    <w:rsid w:val="005B5AD6"/>
    <w:rsid w:val="005B5B57"/>
    <w:rsid w:val="005C0AE8"/>
    <w:rsid w:val="005C162D"/>
    <w:rsid w:val="005C1AC6"/>
    <w:rsid w:val="005C2779"/>
    <w:rsid w:val="005C2EF4"/>
    <w:rsid w:val="005C3A6A"/>
    <w:rsid w:val="005C3EA4"/>
    <w:rsid w:val="005C4AB8"/>
    <w:rsid w:val="005C4B97"/>
    <w:rsid w:val="005C5EB0"/>
    <w:rsid w:val="005C7600"/>
    <w:rsid w:val="005C79A2"/>
    <w:rsid w:val="005C7AED"/>
    <w:rsid w:val="005D0D7F"/>
    <w:rsid w:val="005D10F1"/>
    <w:rsid w:val="005D1FEF"/>
    <w:rsid w:val="005D2539"/>
    <w:rsid w:val="005D263C"/>
    <w:rsid w:val="005D2D9B"/>
    <w:rsid w:val="005D3438"/>
    <w:rsid w:val="005D4C4C"/>
    <w:rsid w:val="005D4CC1"/>
    <w:rsid w:val="005D50AA"/>
    <w:rsid w:val="005D51FA"/>
    <w:rsid w:val="005D5542"/>
    <w:rsid w:val="005D6977"/>
    <w:rsid w:val="005D6CAC"/>
    <w:rsid w:val="005D791B"/>
    <w:rsid w:val="005E0888"/>
    <w:rsid w:val="005E3D00"/>
    <w:rsid w:val="005E4966"/>
    <w:rsid w:val="005E529C"/>
    <w:rsid w:val="005E5B57"/>
    <w:rsid w:val="005E6118"/>
    <w:rsid w:val="005E640D"/>
    <w:rsid w:val="005E7395"/>
    <w:rsid w:val="005F197B"/>
    <w:rsid w:val="005F1B4D"/>
    <w:rsid w:val="005F1F78"/>
    <w:rsid w:val="005F2102"/>
    <w:rsid w:val="005F2642"/>
    <w:rsid w:val="005F26E3"/>
    <w:rsid w:val="005F3AEA"/>
    <w:rsid w:val="005F46B6"/>
    <w:rsid w:val="005F48AA"/>
    <w:rsid w:val="005F48C8"/>
    <w:rsid w:val="005F4FAB"/>
    <w:rsid w:val="005F6740"/>
    <w:rsid w:val="005F67B3"/>
    <w:rsid w:val="00600C3F"/>
    <w:rsid w:val="0060167D"/>
    <w:rsid w:val="00602939"/>
    <w:rsid w:val="006032CA"/>
    <w:rsid w:val="00604809"/>
    <w:rsid w:val="00604E35"/>
    <w:rsid w:val="006053B5"/>
    <w:rsid w:val="00606400"/>
    <w:rsid w:val="00606CC8"/>
    <w:rsid w:val="00606D1C"/>
    <w:rsid w:val="00606EAE"/>
    <w:rsid w:val="006072D1"/>
    <w:rsid w:val="00607546"/>
    <w:rsid w:val="00607888"/>
    <w:rsid w:val="00610361"/>
    <w:rsid w:val="006105EA"/>
    <w:rsid w:val="0061081B"/>
    <w:rsid w:val="006118C9"/>
    <w:rsid w:val="0061304B"/>
    <w:rsid w:val="00613442"/>
    <w:rsid w:val="00613CA4"/>
    <w:rsid w:val="00614817"/>
    <w:rsid w:val="00614AAB"/>
    <w:rsid w:val="006158F0"/>
    <w:rsid w:val="00617C35"/>
    <w:rsid w:val="006208FE"/>
    <w:rsid w:val="00621165"/>
    <w:rsid w:val="00621A78"/>
    <w:rsid w:val="00622F73"/>
    <w:rsid w:val="00623168"/>
    <w:rsid w:val="00623B77"/>
    <w:rsid w:val="00624C50"/>
    <w:rsid w:val="0062540D"/>
    <w:rsid w:val="00625F19"/>
    <w:rsid w:val="00627BEE"/>
    <w:rsid w:val="00627CE3"/>
    <w:rsid w:val="00630258"/>
    <w:rsid w:val="00630A35"/>
    <w:rsid w:val="00630B32"/>
    <w:rsid w:val="00630FDF"/>
    <w:rsid w:val="006313F4"/>
    <w:rsid w:val="006317D9"/>
    <w:rsid w:val="00632269"/>
    <w:rsid w:val="0063261F"/>
    <w:rsid w:val="00633262"/>
    <w:rsid w:val="006338A8"/>
    <w:rsid w:val="00633DBF"/>
    <w:rsid w:val="00633E03"/>
    <w:rsid w:val="00633EC0"/>
    <w:rsid w:val="00634350"/>
    <w:rsid w:val="0063508B"/>
    <w:rsid w:val="006350E6"/>
    <w:rsid w:val="00636D35"/>
    <w:rsid w:val="0064058D"/>
    <w:rsid w:val="00641786"/>
    <w:rsid w:val="006441E9"/>
    <w:rsid w:val="006449C3"/>
    <w:rsid w:val="00644ADC"/>
    <w:rsid w:val="00645159"/>
    <w:rsid w:val="006453C1"/>
    <w:rsid w:val="00645CF8"/>
    <w:rsid w:val="006464BC"/>
    <w:rsid w:val="00647180"/>
    <w:rsid w:val="0064734D"/>
    <w:rsid w:val="00647C3A"/>
    <w:rsid w:val="00650FDB"/>
    <w:rsid w:val="0065118A"/>
    <w:rsid w:val="0065154D"/>
    <w:rsid w:val="00651659"/>
    <w:rsid w:val="00654AD5"/>
    <w:rsid w:val="00655371"/>
    <w:rsid w:val="00655552"/>
    <w:rsid w:val="00656997"/>
    <w:rsid w:val="00656BD3"/>
    <w:rsid w:val="00656C7D"/>
    <w:rsid w:val="006609AB"/>
    <w:rsid w:val="006613B1"/>
    <w:rsid w:val="00662F65"/>
    <w:rsid w:val="00663314"/>
    <w:rsid w:val="0066452D"/>
    <w:rsid w:val="00664556"/>
    <w:rsid w:val="00664EBA"/>
    <w:rsid w:val="00665553"/>
    <w:rsid w:val="006660FA"/>
    <w:rsid w:val="00666303"/>
    <w:rsid w:val="0066696D"/>
    <w:rsid w:val="006676AA"/>
    <w:rsid w:val="00667FD6"/>
    <w:rsid w:val="00670AFD"/>
    <w:rsid w:val="006715BC"/>
    <w:rsid w:val="00672379"/>
    <w:rsid w:val="006726C7"/>
    <w:rsid w:val="006732EF"/>
    <w:rsid w:val="006745D9"/>
    <w:rsid w:val="00675DAA"/>
    <w:rsid w:val="0067671D"/>
    <w:rsid w:val="00676959"/>
    <w:rsid w:val="0067719F"/>
    <w:rsid w:val="00677428"/>
    <w:rsid w:val="00680ACA"/>
    <w:rsid w:val="00680CD0"/>
    <w:rsid w:val="00680EE3"/>
    <w:rsid w:val="006811A6"/>
    <w:rsid w:val="00681957"/>
    <w:rsid w:val="00685196"/>
    <w:rsid w:val="0068678E"/>
    <w:rsid w:val="00690195"/>
    <w:rsid w:val="006905C1"/>
    <w:rsid w:val="006905D6"/>
    <w:rsid w:val="00691277"/>
    <w:rsid w:val="00693363"/>
    <w:rsid w:val="00693EB0"/>
    <w:rsid w:val="00694390"/>
    <w:rsid w:val="00694523"/>
    <w:rsid w:val="00695596"/>
    <w:rsid w:val="00695B23"/>
    <w:rsid w:val="00696669"/>
    <w:rsid w:val="006966AB"/>
    <w:rsid w:val="0069763C"/>
    <w:rsid w:val="00697665"/>
    <w:rsid w:val="0069776B"/>
    <w:rsid w:val="006A0BB2"/>
    <w:rsid w:val="006A0BC3"/>
    <w:rsid w:val="006A0F37"/>
    <w:rsid w:val="006A14C3"/>
    <w:rsid w:val="006A1B54"/>
    <w:rsid w:val="006A490E"/>
    <w:rsid w:val="006A4CD0"/>
    <w:rsid w:val="006A52CE"/>
    <w:rsid w:val="006A667D"/>
    <w:rsid w:val="006A6C98"/>
    <w:rsid w:val="006A7CB5"/>
    <w:rsid w:val="006A7FD0"/>
    <w:rsid w:val="006B02DD"/>
    <w:rsid w:val="006B0A01"/>
    <w:rsid w:val="006B1211"/>
    <w:rsid w:val="006B2D2D"/>
    <w:rsid w:val="006B340F"/>
    <w:rsid w:val="006B4131"/>
    <w:rsid w:val="006B419C"/>
    <w:rsid w:val="006B4A03"/>
    <w:rsid w:val="006B4BC9"/>
    <w:rsid w:val="006B5232"/>
    <w:rsid w:val="006B5469"/>
    <w:rsid w:val="006B5E52"/>
    <w:rsid w:val="006B6D5F"/>
    <w:rsid w:val="006B7C79"/>
    <w:rsid w:val="006C02B8"/>
    <w:rsid w:val="006C12D6"/>
    <w:rsid w:val="006C16C4"/>
    <w:rsid w:val="006C1883"/>
    <w:rsid w:val="006C1A9B"/>
    <w:rsid w:val="006C1E20"/>
    <w:rsid w:val="006C3315"/>
    <w:rsid w:val="006C331C"/>
    <w:rsid w:val="006C34C1"/>
    <w:rsid w:val="006C40B0"/>
    <w:rsid w:val="006C4865"/>
    <w:rsid w:val="006C4FB6"/>
    <w:rsid w:val="006C55B0"/>
    <w:rsid w:val="006C59F1"/>
    <w:rsid w:val="006C5CBB"/>
    <w:rsid w:val="006C5FF8"/>
    <w:rsid w:val="006D05F7"/>
    <w:rsid w:val="006D0944"/>
    <w:rsid w:val="006D1A6C"/>
    <w:rsid w:val="006D316E"/>
    <w:rsid w:val="006D391A"/>
    <w:rsid w:val="006D3F40"/>
    <w:rsid w:val="006D4D3E"/>
    <w:rsid w:val="006D50BE"/>
    <w:rsid w:val="006D524B"/>
    <w:rsid w:val="006D6BBC"/>
    <w:rsid w:val="006D7687"/>
    <w:rsid w:val="006E0572"/>
    <w:rsid w:val="006E15C5"/>
    <w:rsid w:val="006E178E"/>
    <w:rsid w:val="006E321E"/>
    <w:rsid w:val="006E3401"/>
    <w:rsid w:val="006E3C68"/>
    <w:rsid w:val="006E4184"/>
    <w:rsid w:val="006E4ED6"/>
    <w:rsid w:val="006E5518"/>
    <w:rsid w:val="006E691B"/>
    <w:rsid w:val="006E7BD4"/>
    <w:rsid w:val="006F0339"/>
    <w:rsid w:val="006F1C0D"/>
    <w:rsid w:val="006F2A0F"/>
    <w:rsid w:val="006F2C91"/>
    <w:rsid w:val="006F3A9B"/>
    <w:rsid w:val="006F3DDD"/>
    <w:rsid w:val="006F5452"/>
    <w:rsid w:val="006F77C0"/>
    <w:rsid w:val="006F7B98"/>
    <w:rsid w:val="00700094"/>
    <w:rsid w:val="0070018D"/>
    <w:rsid w:val="00700C40"/>
    <w:rsid w:val="00702675"/>
    <w:rsid w:val="007027E7"/>
    <w:rsid w:val="00702B8B"/>
    <w:rsid w:val="00703A0F"/>
    <w:rsid w:val="00703B28"/>
    <w:rsid w:val="00705631"/>
    <w:rsid w:val="0070611C"/>
    <w:rsid w:val="007065A8"/>
    <w:rsid w:val="00706A51"/>
    <w:rsid w:val="00710305"/>
    <w:rsid w:val="0071288C"/>
    <w:rsid w:val="007132FB"/>
    <w:rsid w:val="0071348C"/>
    <w:rsid w:val="0071390D"/>
    <w:rsid w:val="00714530"/>
    <w:rsid w:val="00714B3E"/>
    <w:rsid w:val="00715E83"/>
    <w:rsid w:val="00715EAA"/>
    <w:rsid w:val="00717566"/>
    <w:rsid w:val="00720AC5"/>
    <w:rsid w:val="0072169F"/>
    <w:rsid w:val="00721B75"/>
    <w:rsid w:val="0072307E"/>
    <w:rsid w:val="00723A7A"/>
    <w:rsid w:val="00723ABB"/>
    <w:rsid w:val="007240C9"/>
    <w:rsid w:val="00724AFD"/>
    <w:rsid w:val="00726A61"/>
    <w:rsid w:val="00726E84"/>
    <w:rsid w:val="00727520"/>
    <w:rsid w:val="00727F26"/>
    <w:rsid w:val="00730618"/>
    <w:rsid w:val="00731222"/>
    <w:rsid w:val="00731CBB"/>
    <w:rsid w:val="0073322B"/>
    <w:rsid w:val="00733F5A"/>
    <w:rsid w:val="00734286"/>
    <w:rsid w:val="007346C5"/>
    <w:rsid w:val="00734F7F"/>
    <w:rsid w:val="00735685"/>
    <w:rsid w:val="00735C4B"/>
    <w:rsid w:val="00736DE3"/>
    <w:rsid w:val="0073748A"/>
    <w:rsid w:val="00737765"/>
    <w:rsid w:val="00740500"/>
    <w:rsid w:val="007407BE"/>
    <w:rsid w:val="00741A2C"/>
    <w:rsid w:val="00742A69"/>
    <w:rsid w:val="00742DD2"/>
    <w:rsid w:val="0074303C"/>
    <w:rsid w:val="0074669E"/>
    <w:rsid w:val="00746E08"/>
    <w:rsid w:val="007479F8"/>
    <w:rsid w:val="00747C96"/>
    <w:rsid w:val="00750174"/>
    <w:rsid w:val="0075094E"/>
    <w:rsid w:val="007509D3"/>
    <w:rsid w:val="00751421"/>
    <w:rsid w:val="00751E94"/>
    <w:rsid w:val="007522E8"/>
    <w:rsid w:val="007526B2"/>
    <w:rsid w:val="00752F9B"/>
    <w:rsid w:val="007559ED"/>
    <w:rsid w:val="0075604B"/>
    <w:rsid w:val="0075647A"/>
    <w:rsid w:val="00756A3D"/>
    <w:rsid w:val="00757208"/>
    <w:rsid w:val="00760526"/>
    <w:rsid w:val="007609CC"/>
    <w:rsid w:val="00761A6B"/>
    <w:rsid w:val="00761DBC"/>
    <w:rsid w:val="00762634"/>
    <w:rsid w:val="00762AEC"/>
    <w:rsid w:val="007633CC"/>
    <w:rsid w:val="007634AD"/>
    <w:rsid w:val="00764D4E"/>
    <w:rsid w:val="00764E67"/>
    <w:rsid w:val="00765694"/>
    <w:rsid w:val="00765B48"/>
    <w:rsid w:val="00767F50"/>
    <w:rsid w:val="00770CEE"/>
    <w:rsid w:val="00770F51"/>
    <w:rsid w:val="0077377C"/>
    <w:rsid w:val="0077470A"/>
    <w:rsid w:val="00775007"/>
    <w:rsid w:val="007759E8"/>
    <w:rsid w:val="00776709"/>
    <w:rsid w:val="00777249"/>
    <w:rsid w:val="0078122E"/>
    <w:rsid w:val="00781331"/>
    <w:rsid w:val="00782053"/>
    <w:rsid w:val="00782878"/>
    <w:rsid w:val="00783027"/>
    <w:rsid w:val="007839BF"/>
    <w:rsid w:val="00783AEB"/>
    <w:rsid w:val="007843B6"/>
    <w:rsid w:val="00785913"/>
    <w:rsid w:val="00786353"/>
    <w:rsid w:val="007866FF"/>
    <w:rsid w:val="00786CB0"/>
    <w:rsid w:val="00786E20"/>
    <w:rsid w:val="00787DC5"/>
    <w:rsid w:val="0079028F"/>
    <w:rsid w:val="00790AC4"/>
    <w:rsid w:val="00791E28"/>
    <w:rsid w:val="007934AE"/>
    <w:rsid w:val="0079381B"/>
    <w:rsid w:val="00793EC8"/>
    <w:rsid w:val="00794171"/>
    <w:rsid w:val="00795647"/>
    <w:rsid w:val="007963B2"/>
    <w:rsid w:val="007A05B2"/>
    <w:rsid w:val="007A07E4"/>
    <w:rsid w:val="007A179D"/>
    <w:rsid w:val="007A3612"/>
    <w:rsid w:val="007A3911"/>
    <w:rsid w:val="007A399C"/>
    <w:rsid w:val="007A3D08"/>
    <w:rsid w:val="007A53EF"/>
    <w:rsid w:val="007A6DE0"/>
    <w:rsid w:val="007A7761"/>
    <w:rsid w:val="007B0854"/>
    <w:rsid w:val="007B1526"/>
    <w:rsid w:val="007B204E"/>
    <w:rsid w:val="007B2571"/>
    <w:rsid w:val="007B2D62"/>
    <w:rsid w:val="007B3524"/>
    <w:rsid w:val="007B3CCE"/>
    <w:rsid w:val="007B4540"/>
    <w:rsid w:val="007B495B"/>
    <w:rsid w:val="007B5414"/>
    <w:rsid w:val="007B58F4"/>
    <w:rsid w:val="007B6EA2"/>
    <w:rsid w:val="007B7CED"/>
    <w:rsid w:val="007C097B"/>
    <w:rsid w:val="007C2094"/>
    <w:rsid w:val="007C256E"/>
    <w:rsid w:val="007C3FAF"/>
    <w:rsid w:val="007C552A"/>
    <w:rsid w:val="007C5D1C"/>
    <w:rsid w:val="007C643C"/>
    <w:rsid w:val="007C72EC"/>
    <w:rsid w:val="007C755B"/>
    <w:rsid w:val="007D0056"/>
    <w:rsid w:val="007D02FD"/>
    <w:rsid w:val="007D0313"/>
    <w:rsid w:val="007D0FED"/>
    <w:rsid w:val="007D2D49"/>
    <w:rsid w:val="007D2E15"/>
    <w:rsid w:val="007D2FC7"/>
    <w:rsid w:val="007D319C"/>
    <w:rsid w:val="007D52CB"/>
    <w:rsid w:val="007D543F"/>
    <w:rsid w:val="007D5A5A"/>
    <w:rsid w:val="007D5C8F"/>
    <w:rsid w:val="007D6000"/>
    <w:rsid w:val="007D6AEE"/>
    <w:rsid w:val="007D74F0"/>
    <w:rsid w:val="007E0393"/>
    <w:rsid w:val="007E043C"/>
    <w:rsid w:val="007E04BB"/>
    <w:rsid w:val="007E0C2B"/>
    <w:rsid w:val="007E2D42"/>
    <w:rsid w:val="007E33FB"/>
    <w:rsid w:val="007E392D"/>
    <w:rsid w:val="007E4FB0"/>
    <w:rsid w:val="007E5073"/>
    <w:rsid w:val="007E5253"/>
    <w:rsid w:val="007E61BB"/>
    <w:rsid w:val="007E6773"/>
    <w:rsid w:val="007E758C"/>
    <w:rsid w:val="007F0CE8"/>
    <w:rsid w:val="007F12AC"/>
    <w:rsid w:val="007F1C03"/>
    <w:rsid w:val="007F2386"/>
    <w:rsid w:val="007F316B"/>
    <w:rsid w:val="007F3369"/>
    <w:rsid w:val="007F3386"/>
    <w:rsid w:val="007F5252"/>
    <w:rsid w:val="007F6728"/>
    <w:rsid w:val="007F6B46"/>
    <w:rsid w:val="007F6B96"/>
    <w:rsid w:val="007F6BC0"/>
    <w:rsid w:val="007F72CB"/>
    <w:rsid w:val="007F737B"/>
    <w:rsid w:val="00800380"/>
    <w:rsid w:val="008003EA"/>
    <w:rsid w:val="008007F7"/>
    <w:rsid w:val="00800CB0"/>
    <w:rsid w:val="00802BF5"/>
    <w:rsid w:val="00802FA2"/>
    <w:rsid w:val="008035BB"/>
    <w:rsid w:val="0080413E"/>
    <w:rsid w:val="00805341"/>
    <w:rsid w:val="00805892"/>
    <w:rsid w:val="00805C47"/>
    <w:rsid w:val="00805E3B"/>
    <w:rsid w:val="0080720B"/>
    <w:rsid w:val="00807754"/>
    <w:rsid w:val="00807D70"/>
    <w:rsid w:val="00807F70"/>
    <w:rsid w:val="0081079D"/>
    <w:rsid w:val="00810E94"/>
    <w:rsid w:val="00811198"/>
    <w:rsid w:val="00812889"/>
    <w:rsid w:val="008128E6"/>
    <w:rsid w:val="00812CF7"/>
    <w:rsid w:val="0081319D"/>
    <w:rsid w:val="00815C43"/>
    <w:rsid w:val="008161A0"/>
    <w:rsid w:val="00817A08"/>
    <w:rsid w:val="00820AAA"/>
    <w:rsid w:val="00820B4A"/>
    <w:rsid w:val="00820BE3"/>
    <w:rsid w:val="008217B7"/>
    <w:rsid w:val="00821A69"/>
    <w:rsid w:val="008236D2"/>
    <w:rsid w:val="0082471E"/>
    <w:rsid w:val="00824BA7"/>
    <w:rsid w:val="008255B9"/>
    <w:rsid w:val="0082606C"/>
    <w:rsid w:val="00827527"/>
    <w:rsid w:val="0083119B"/>
    <w:rsid w:val="008317CC"/>
    <w:rsid w:val="008325CA"/>
    <w:rsid w:val="00833494"/>
    <w:rsid w:val="0083389E"/>
    <w:rsid w:val="00833D10"/>
    <w:rsid w:val="00836AC5"/>
    <w:rsid w:val="00836EAB"/>
    <w:rsid w:val="0084011C"/>
    <w:rsid w:val="00840625"/>
    <w:rsid w:val="0084146C"/>
    <w:rsid w:val="008415E3"/>
    <w:rsid w:val="008422C6"/>
    <w:rsid w:val="00842EFF"/>
    <w:rsid w:val="008434CF"/>
    <w:rsid w:val="00843A94"/>
    <w:rsid w:val="00843B34"/>
    <w:rsid w:val="00844611"/>
    <w:rsid w:val="00845FC8"/>
    <w:rsid w:val="008502CC"/>
    <w:rsid w:val="008502F9"/>
    <w:rsid w:val="0085092D"/>
    <w:rsid w:val="00850C0A"/>
    <w:rsid w:val="00850D08"/>
    <w:rsid w:val="00850F79"/>
    <w:rsid w:val="0085136E"/>
    <w:rsid w:val="0085175C"/>
    <w:rsid w:val="00851933"/>
    <w:rsid w:val="00853B4B"/>
    <w:rsid w:val="00853CE7"/>
    <w:rsid w:val="00854029"/>
    <w:rsid w:val="00854370"/>
    <w:rsid w:val="008548AC"/>
    <w:rsid w:val="00855F56"/>
    <w:rsid w:val="00856420"/>
    <w:rsid w:val="008576FC"/>
    <w:rsid w:val="008605DD"/>
    <w:rsid w:val="00861CBE"/>
    <w:rsid w:val="008629DE"/>
    <w:rsid w:val="00863B45"/>
    <w:rsid w:val="00864F2E"/>
    <w:rsid w:val="00866D4C"/>
    <w:rsid w:val="00867267"/>
    <w:rsid w:val="0086772B"/>
    <w:rsid w:val="00867FA2"/>
    <w:rsid w:val="00870445"/>
    <w:rsid w:val="00870E1A"/>
    <w:rsid w:val="00870F97"/>
    <w:rsid w:val="0087139E"/>
    <w:rsid w:val="0087255F"/>
    <w:rsid w:val="00872B3B"/>
    <w:rsid w:val="0087326A"/>
    <w:rsid w:val="008741CF"/>
    <w:rsid w:val="00874D55"/>
    <w:rsid w:val="00875469"/>
    <w:rsid w:val="0087549E"/>
    <w:rsid w:val="00877050"/>
    <w:rsid w:val="00877A16"/>
    <w:rsid w:val="00877D34"/>
    <w:rsid w:val="00880023"/>
    <w:rsid w:val="008800ED"/>
    <w:rsid w:val="008807A6"/>
    <w:rsid w:val="00880C7D"/>
    <w:rsid w:val="008820EF"/>
    <w:rsid w:val="0088288B"/>
    <w:rsid w:val="0088292E"/>
    <w:rsid w:val="00883014"/>
    <w:rsid w:val="0088373F"/>
    <w:rsid w:val="00883844"/>
    <w:rsid w:val="00884680"/>
    <w:rsid w:val="008847A7"/>
    <w:rsid w:val="00890802"/>
    <w:rsid w:val="00890A55"/>
    <w:rsid w:val="00890A9A"/>
    <w:rsid w:val="00891993"/>
    <w:rsid w:val="00891DEC"/>
    <w:rsid w:val="00894248"/>
    <w:rsid w:val="008948DF"/>
    <w:rsid w:val="00894E41"/>
    <w:rsid w:val="00895565"/>
    <w:rsid w:val="00895A22"/>
    <w:rsid w:val="00895D71"/>
    <w:rsid w:val="00896B8A"/>
    <w:rsid w:val="0089774F"/>
    <w:rsid w:val="008977E5"/>
    <w:rsid w:val="00897CFE"/>
    <w:rsid w:val="008A0392"/>
    <w:rsid w:val="008A0BE8"/>
    <w:rsid w:val="008A0D56"/>
    <w:rsid w:val="008A113A"/>
    <w:rsid w:val="008A1C8C"/>
    <w:rsid w:val="008A210F"/>
    <w:rsid w:val="008A22FB"/>
    <w:rsid w:val="008A24D7"/>
    <w:rsid w:val="008A265E"/>
    <w:rsid w:val="008A2781"/>
    <w:rsid w:val="008A36B6"/>
    <w:rsid w:val="008A4788"/>
    <w:rsid w:val="008A5F52"/>
    <w:rsid w:val="008A66DC"/>
    <w:rsid w:val="008A6EB9"/>
    <w:rsid w:val="008A7F4C"/>
    <w:rsid w:val="008B0946"/>
    <w:rsid w:val="008B1B8A"/>
    <w:rsid w:val="008B2228"/>
    <w:rsid w:val="008B2CF7"/>
    <w:rsid w:val="008B365E"/>
    <w:rsid w:val="008B423D"/>
    <w:rsid w:val="008B6CE8"/>
    <w:rsid w:val="008B721F"/>
    <w:rsid w:val="008B7830"/>
    <w:rsid w:val="008B7AE1"/>
    <w:rsid w:val="008C0576"/>
    <w:rsid w:val="008C0579"/>
    <w:rsid w:val="008C0E1F"/>
    <w:rsid w:val="008C1250"/>
    <w:rsid w:val="008C193F"/>
    <w:rsid w:val="008C1A17"/>
    <w:rsid w:val="008C33B6"/>
    <w:rsid w:val="008C39D2"/>
    <w:rsid w:val="008C66F3"/>
    <w:rsid w:val="008C73D8"/>
    <w:rsid w:val="008C75C7"/>
    <w:rsid w:val="008C7FE6"/>
    <w:rsid w:val="008D294A"/>
    <w:rsid w:val="008D47C2"/>
    <w:rsid w:val="008D53A2"/>
    <w:rsid w:val="008D6624"/>
    <w:rsid w:val="008D6EC1"/>
    <w:rsid w:val="008D7089"/>
    <w:rsid w:val="008E023A"/>
    <w:rsid w:val="008E0826"/>
    <w:rsid w:val="008E11F9"/>
    <w:rsid w:val="008E121F"/>
    <w:rsid w:val="008E1A00"/>
    <w:rsid w:val="008E1C15"/>
    <w:rsid w:val="008E1F64"/>
    <w:rsid w:val="008E365E"/>
    <w:rsid w:val="008E3A2A"/>
    <w:rsid w:val="008E52A4"/>
    <w:rsid w:val="008E705D"/>
    <w:rsid w:val="008E70DB"/>
    <w:rsid w:val="008E7BB9"/>
    <w:rsid w:val="008F0098"/>
    <w:rsid w:val="008F08FE"/>
    <w:rsid w:val="008F1E12"/>
    <w:rsid w:val="008F25EF"/>
    <w:rsid w:val="008F331A"/>
    <w:rsid w:val="008F3623"/>
    <w:rsid w:val="008F4074"/>
    <w:rsid w:val="008F534C"/>
    <w:rsid w:val="008F538E"/>
    <w:rsid w:val="008F5BE0"/>
    <w:rsid w:val="008F5BFC"/>
    <w:rsid w:val="008F6ABB"/>
    <w:rsid w:val="0090042B"/>
    <w:rsid w:val="00900D56"/>
    <w:rsid w:val="00900F3C"/>
    <w:rsid w:val="009016FC"/>
    <w:rsid w:val="0090174A"/>
    <w:rsid w:val="00901EDA"/>
    <w:rsid w:val="00901F3D"/>
    <w:rsid w:val="009022C1"/>
    <w:rsid w:val="00902D39"/>
    <w:rsid w:val="00903CBC"/>
    <w:rsid w:val="009047C5"/>
    <w:rsid w:val="00904DDB"/>
    <w:rsid w:val="00904E06"/>
    <w:rsid w:val="00905B35"/>
    <w:rsid w:val="00906935"/>
    <w:rsid w:val="00906D3F"/>
    <w:rsid w:val="009101A5"/>
    <w:rsid w:val="00910AAA"/>
    <w:rsid w:val="00910B8D"/>
    <w:rsid w:val="00911B7F"/>
    <w:rsid w:val="00912A37"/>
    <w:rsid w:val="00912D3F"/>
    <w:rsid w:val="00912F8B"/>
    <w:rsid w:val="00916046"/>
    <w:rsid w:val="009161B3"/>
    <w:rsid w:val="009167D7"/>
    <w:rsid w:val="00916BC7"/>
    <w:rsid w:val="009201F3"/>
    <w:rsid w:val="0092073B"/>
    <w:rsid w:val="009209D7"/>
    <w:rsid w:val="0092194E"/>
    <w:rsid w:val="0092226D"/>
    <w:rsid w:val="009222B7"/>
    <w:rsid w:val="00923029"/>
    <w:rsid w:val="00923BC1"/>
    <w:rsid w:val="009242FF"/>
    <w:rsid w:val="0092483A"/>
    <w:rsid w:val="00925E4F"/>
    <w:rsid w:val="00927679"/>
    <w:rsid w:val="00930062"/>
    <w:rsid w:val="00934A68"/>
    <w:rsid w:val="00934C73"/>
    <w:rsid w:val="00935C90"/>
    <w:rsid w:val="00936CF1"/>
    <w:rsid w:val="009371C8"/>
    <w:rsid w:val="009403A7"/>
    <w:rsid w:val="00940C04"/>
    <w:rsid w:val="009415ED"/>
    <w:rsid w:val="009420E0"/>
    <w:rsid w:val="00942F3F"/>
    <w:rsid w:val="00944B47"/>
    <w:rsid w:val="00944F0D"/>
    <w:rsid w:val="00944F8A"/>
    <w:rsid w:val="0094508D"/>
    <w:rsid w:val="00945684"/>
    <w:rsid w:val="00946F67"/>
    <w:rsid w:val="00947A1C"/>
    <w:rsid w:val="00947A56"/>
    <w:rsid w:val="00950059"/>
    <w:rsid w:val="0095044E"/>
    <w:rsid w:val="00950C49"/>
    <w:rsid w:val="009525B7"/>
    <w:rsid w:val="009528AE"/>
    <w:rsid w:val="00952FB2"/>
    <w:rsid w:val="009530E8"/>
    <w:rsid w:val="0095335C"/>
    <w:rsid w:val="00953647"/>
    <w:rsid w:val="0095385A"/>
    <w:rsid w:val="00954553"/>
    <w:rsid w:val="00954EA8"/>
    <w:rsid w:val="00955930"/>
    <w:rsid w:val="00955B7F"/>
    <w:rsid w:val="00955CFA"/>
    <w:rsid w:val="009578E8"/>
    <w:rsid w:val="00960168"/>
    <w:rsid w:val="009602A1"/>
    <w:rsid w:val="00961252"/>
    <w:rsid w:val="00962706"/>
    <w:rsid w:val="0096275E"/>
    <w:rsid w:val="00962DAD"/>
    <w:rsid w:val="009646C1"/>
    <w:rsid w:val="00964E57"/>
    <w:rsid w:val="009650ED"/>
    <w:rsid w:val="009651B8"/>
    <w:rsid w:val="009667F1"/>
    <w:rsid w:val="00966AFD"/>
    <w:rsid w:val="00966E63"/>
    <w:rsid w:val="00970386"/>
    <w:rsid w:val="00970B51"/>
    <w:rsid w:val="009719B0"/>
    <w:rsid w:val="00971CDC"/>
    <w:rsid w:val="00973B5E"/>
    <w:rsid w:val="00973D37"/>
    <w:rsid w:val="00975E8B"/>
    <w:rsid w:val="00975EC6"/>
    <w:rsid w:val="009764E0"/>
    <w:rsid w:val="00976599"/>
    <w:rsid w:val="009779D4"/>
    <w:rsid w:val="00977C8E"/>
    <w:rsid w:val="00980899"/>
    <w:rsid w:val="00980FE9"/>
    <w:rsid w:val="00981341"/>
    <w:rsid w:val="00981AEC"/>
    <w:rsid w:val="009836D0"/>
    <w:rsid w:val="0098580C"/>
    <w:rsid w:val="009865B6"/>
    <w:rsid w:val="0098671F"/>
    <w:rsid w:val="00987147"/>
    <w:rsid w:val="00987301"/>
    <w:rsid w:val="00990126"/>
    <w:rsid w:val="00990AEE"/>
    <w:rsid w:val="00990BFE"/>
    <w:rsid w:val="009910EF"/>
    <w:rsid w:val="009916DA"/>
    <w:rsid w:val="00992F84"/>
    <w:rsid w:val="00993FD7"/>
    <w:rsid w:val="009945BB"/>
    <w:rsid w:val="009947DB"/>
    <w:rsid w:val="00995357"/>
    <w:rsid w:val="00995F97"/>
    <w:rsid w:val="0099782E"/>
    <w:rsid w:val="009978AB"/>
    <w:rsid w:val="00997CF4"/>
    <w:rsid w:val="00997E39"/>
    <w:rsid w:val="009A0CF4"/>
    <w:rsid w:val="009A0D5E"/>
    <w:rsid w:val="009A0E6F"/>
    <w:rsid w:val="009A13B5"/>
    <w:rsid w:val="009A1EDC"/>
    <w:rsid w:val="009A2449"/>
    <w:rsid w:val="009A25A3"/>
    <w:rsid w:val="009A3949"/>
    <w:rsid w:val="009A5A98"/>
    <w:rsid w:val="009A5D65"/>
    <w:rsid w:val="009A5F34"/>
    <w:rsid w:val="009A6C8E"/>
    <w:rsid w:val="009A77E3"/>
    <w:rsid w:val="009B0C2E"/>
    <w:rsid w:val="009B18FD"/>
    <w:rsid w:val="009B2874"/>
    <w:rsid w:val="009B2EFC"/>
    <w:rsid w:val="009B3329"/>
    <w:rsid w:val="009B3335"/>
    <w:rsid w:val="009B52BF"/>
    <w:rsid w:val="009B7F9B"/>
    <w:rsid w:val="009C117E"/>
    <w:rsid w:val="009C1D7D"/>
    <w:rsid w:val="009C4ADA"/>
    <w:rsid w:val="009C50EC"/>
    <w:rsid w:val="009C5F58"/>
    <w:rsid w:val="009C75FC"/>
    <w:rsid w:val="009C7E94"/>
    <w:rsid w:val="009D01FA"/>
    <w:rsid w:val="009D1D2F"/>
    <w:rsid w:val="009D38B3"/>
    <w:rsid w:val="009D4730"/>
    <w:rsid w:val="009D5015"/>
    <w:rsid w:val="009D5269"/>
    <w:rsid w:val="009D531C"/>
    <w:rsid w:val="009D62C3"/>
    <w:rsid w:val="009D68DA"/>
    <w:rsid w:val="009E1D2D"/>
    <w:rsid w:val="009E405A"/>
    <w:rsid w:val="009E4815"/>
    <w:rsid w:val="009E4B65"/>
    <w:rsid w:val="009E4C76"/>
    <w:rsid w:val="009E4EDE"/>
    <w:rsid w:val="009E6031"/>
    <w:rsid w:val="009E680D"/>
    <w:rsid w:val="009E6D63"/>
    <w:rsid w:val="009E721A"/>
    <w:rsid w:val="009E754A"/>
    <w:rsid w:val="009F0250"/>
    <w:rsid w:val="009F0BD0"/>
    <w:rsid w:val="009F228F"/>
    <w:rsid w:val="009F2950"/>
    <w:rsid w:val="009F2B05"/>
    <w:rsid w:val="009F4A5A"/>
    <w:rsid w:val="009F5299"/>
    <w:rsid w:val="009F59C2"/>
    <w:rsid w:val="009F5E32"/>
    <w:rsid w:val="009F70B9"/>
    <w:rsid w:val="009F739F"/>
    <w:rsid w:val="009F74DF"/>
    <w:rsid w:val="009F7B0A"/>
    <w:rsid w:val="00A0089B"/>
    <w:rsid w:val="00A013D8"/>
    <w:rsid w:val="00A01EAA"/>
    <w:rsid w:val="00A02035"/>
    <w:rsid w:val="00A02AD6"/>
    <w:rsid w:val="00A03AEC"/>
    <w:rsid w:val="00A04EE8"/>
    <w:rsid w:val="00A054E0"/>
    <w:rsid w:val="00A06104"/>
    <w:rsid w:val="00A06A27"/>
    <w:rsid w:val="00A1084D"/>
    <w:rsid w:val="00A11AF8"/>
    <w:rsid w:val="00A11E7B"/>
    <w:rsid w:val="00A11E97"/>
    <w:rsid w:val="00A131B4"/>
    <w:rsid w:val="00A13947"/>
    <w:rsid w:val="00A14083"/>
    <w:rsid w:val="00A147D1"/>
    <w:rsid w:val="00A14C37"/>
    <w:rsid w:val="00A14C5B"/>
    <w:rsid w:val="00A155F8"/>
    <w:rsid w:val="00A16471"/>
    <w:rsid w:val="00A167C9"/>
    <w:rsid w:val="00A16841"/>
    <w:rsid w:val="00A16A18"/>
    <w:rsid w:val="00A211E3"/>
    <w:rsid w:val="00A219D9"/>
    <w:rsid w:val="00A229B7"/>
    <w:rsid w:val="00A22FBC"/>
    <w:rsid w:val="00A24560"/>
    <w:rsid w:val="00A24CAD"/>
    <w:rsid w:val="00A26BFD"/>
    <w:rsid w:val="00A271B8"/>
    <w:rsid w:val="00A27651"/>
    <w:rsid w:val="00A27EDB"/>
    <w:rsid w:val="00A30168"/>
    <w:rsid w:val="00A322B4"/>
    <w:rsid w:val="00A335ED"/>
    <w:rsid w:val="00A33991"/>
    <w:rsid w:val="00A34538"/>
    <w:rsid w:val="00A34560"/>
    <w:rsid w:val="00A35D44"/>
    <w:rsid w:val="00A36775"/>
    <w:rsid w:val="00A36F25"/>
    <w:rsid w:val="00A37FB6"/>
    <w:rsid w:val="00A410E2"/>
    <w:rsid w:val="00A41B6C"/>
    <w:rsid w:val="00A41E3C"/>
    <w:rsid w:val="00A42001"/>
    <w:rsid w:val="00A43175"/>
    <w:rsid w:val="00A4320E"/>
    <w:rsid w:val="00A43FA8"/>
    <w:rsid w:val="00A44B90"/>
    <w:rsid w:val="00A457F7"/>
    <w:rsid w:val="00A45ACF"/>
    <w:rsid w:val="00A47045"/>
    <w:rsid w:val="00A5091A"/>
    <w:rsid w:val="00A5131D"/>
    <w:rsid w:val="00A51711"/>
    <w:rsid w:val="00A52C97"/>
    <w:rsid w:val="00A52D0B"/>
    <w:rsid w:val="00A52E90"/>
    <w:rsid w:val="00A53286"/>
    <w:rsid w:val="00A53585"/>
    <w:rsid w:val="00A541CC"/>
    <w:rsid w:val="00A54E33"/>
    <w:rsid w:val="00A575B0"/>
    <w:rsid w:val="00A57EB8"/>
    <w:rsid w:val="00A610B8"/>
    <w:rsid w:val="00A6162B"/>
    <w:rsid w:val="00A619B9"/>
    <w:rsid w:val="00A61F69"/>
    <w:rsid w:val="00A62496"/>
    <w:rsid w:val="00A64056"/>
    <w:rsid w:val="00A64B27"/>
    <w:rsid w:val="00A65D14"/>
    <w:rsid w:val="00A67017"/>
    <w:rsid w:val="00A7024A"/>
    <w:rsid w:val="00A705DE"/>
    <w:rsid w:val="00A7084E"/>
    <w:rsid w:val="00A70E24"/>
    <w:rsid w:val="00A714F9"/>
    <w:rsid w:val="00A73795"/>
    <w:rsid w:val="00A73C36"/>
    <w:rsid w:val="00A73FD1"/>
    <w:rsid w:val="00A74CAD"/>
    <w:rsid w:val="00A75565"/>
    <w:rsid w:val="00A75CEF"/>
    <w:rsid w:val="00A775B0"/>
    <w:rsid w:val="00A77BDA"/>
    <w:rsid w:val="00A80922"/>
    <w:rsid w:val="00A80FDD"/>
    <w:rsid w:val="00A82ECC"/>
    <w:rsid w:val="00A83510"/>
    <w:rsid w:val="00A83E3E"/>
    <w:rsid w:val="00A8551A"/>
    <w:rsid w:val="00A85C29"/>
    <w:rsid w:val="00A85F56"/>
    <w:rsid w:val="00A8664A"/>
    <w:rsid w:val="00A8666B"/>
    <w:rsid w:val="00A86AC1"/>
    <w:rsid w:val="00A86E40"/>
    <w:rsid w:val="00A872AE"/>
    <w:rsid w:val="00A87369"/>
    <w:rsid w:val="00A878FD"/>
    <w:rsid w:val="00A907E5"/>
    <w:rsid w:val="00A90C55"/>
    <w:rsid w:val="00A91139"/>
    <w:rsid w:val="00A91717"/>
    <w:rsid w:val="00A920EF"/>
    <w:rsid w:val="00A921D6"/>
    <w:rsid w:val="00A923D7"/>
    <w:rsid w:val="00A9483A"/>
    <w:rsid w:val="00A956BC"/>
    <w:rsid w:val="00A962F0"/>
    <w:rsid w:val="00A96C55"/>
    <w:rsid w:val="00A97447"/>
    <w:rsid w:val="00A975FF"/>
    <w:rsid w:val="00AA0462"/>
    <w:rsid w:val="00AA08E7"/>
    <w:rsid w:val="00AA0BF6"/>
    <w:rsid w:val="00AA1836"/>
    <w:rsid w:val="00AA2570"/>
    <w:rsid w:val="00AA292E"/>
    <w:rsid w:val="00AA29F7"/>
    <w:rsid w:val="00AA304E"/>
    <w:rsid w:val="00AA3312"/>
    <w:rsid w:val="00AA3615"/>
    <w:rsid w:val="00AA3648"/>
    <w:rsid w:val="00AA3E1F"/>
    <w:rsid w:val="00AA442B"/>
    <w:rsid w:val="00AA44AF"/>
    <w:rsid w:val="00AA669D"/>
    <w:rsid w:val="00AA7234"/>
    <w:rsid w:val="00AA7C55"/>
    <w:rsid w:val="00AB1F97"/>
    <w:rsid w:val="00AB1FB9"/>
    <w:rsid w:val="00AB2522"/>
    <w:rsid w:val="00AB3860"/>
    <w:rsid w:val="00AB4107"/>
    <w:rsid w:val="00AB509E"/>
    <w:rsid w:val="00AB5336"/>
    <w:rsid w:val="00AB5620"/>
    <w:rsid w:val="00AB5E69"/>
    <w:rsid w:val="00AB5F26"/>
    <w:rsid w:val="00AB6124"/>
    <w:rsid w:val="00AB70AD"/>
    <w:rsid w:val="00AB7289"/>
    <w:rsid w:val="00AB7572"/>
    <w:rsid w:val="00AB788C"/>
    <w:rsid w:val="00AB7CAA"/>
    <w:rsid w:val="00AC08D3"/>
    <w:rsid w:val="00AC15D9"/>
    <w:rsid w:val="00AC2143"/>
    <w:rsid w:val="00AC28A7"/>
    <w:rsid w:val="00AC2FC3"/>
    <w:rsid w:val="00AC3C8A"/>
    <w:rsid w:val="00AC3E67"/>
    <w:rsid w:val="00AC48F1"/>
    <w:rsid w:val="00AC52D9"/>
    <w:rsid w:val="00AC56ED"/>
    <w:rsid w:val="00AC621D"/>
    <w:rsid w:val="00AC676E"/>
    <w:rsid w:val="00AD0A12"/>
    <w:rsid w:val="00AD1929"/>
    <w:rsid w:val="00AD37FA"/>
    <w:rsid w:val="00AD4542"/>
    <w:rsid w:val="00AD580B"/>
    <w:rsid w:val="00AD665A"/>
    <w:rsid w:val="00AD6FF9"/>
    <w:rsid w:val="00AD77F3"/>
    <w:rsid w:val="00AD7B8F"/>
    <w:rsid w:val="00AD7F28"/>
    <w:rsid w:val="00AE020D"/>
    <w:rsid w:val="00AE08DA"/>
    <w:rsid w:val="00AE13FC"/>
    <w:rsid w:val="00AE1AA0"/>
    <w:rsid w:val="00AE3F3A"/>
    <w:rsid w:val="00AE4236"/>
    <w:rsid w:val="00AE4568"/>
    <w:rsid w:val="00AE47F2"/>
    <w:rsid w:val="00AE5421"/>
    <w:rsid w:val="00AE5765"/>
    <w:rsid w:val="00AE5C0E"/>
    <w:rsid w:val="00AE5EFA"/>
    <w:rsid w:val="00AE6C4D"/>
    <w:rsid w:val="00AE7AE2"/>
    <w:rsid w:val="00AF04FE"/>
    <w:rsid w:val="00AF051E"/>
    <w:rsid w:val="00AF14AC"/>
    <w:rsid w:val="00AF1BDF"/>
    <w:rsid w:val="00AF2089"/>
    <w:rsid w:val="00AF2347"/>
    <w:rsid w:val="00AF2EDF"/>
    <w:rsid w:val="00AF3EEF"/>
    <w:rsid w:val="00AF5AE0"/>
    <w:rsid w:val="00AF6FB3"/>
    <w:rsid w:val="00AF7517"/>
    <w:rsid w:val="00B013A4"/>
    <w:rsid w:val="00B0190E"/>
    <w:rsid w:val="00B025C2"/>
    <w:rsid w:val="00B041C7"/>
    <w:rsid w:val="00B04E78"/>
    <w:rsid w:val="00B05815"/>
    <w:rsid w:val="00B071E7"/>
    <w:rsid w:val="00B07667"/>
    <w:rsid w:val="00B0787E"/>
    <w:rsid w:val="00B07987"/>
    <w:rsid w:val="00B07C17"/>
    <w:rsid w:val="00B10353"/>
    <w:rsid w:val="00B1150B"/>
    <w:rsid w:val="00B11581"/>
    <w:rsid w:val="00B11815"/>
    <w:rsid w:val="00B12932"/>
    <w:rsid w:val="00B13EC0"/>
    <w:rsid w:val="00B1405A"/>
    <w:rsid w:val="00B14E2C"/>
    <w:rsid w:val="00B15AE0"/>
    <w:rsid w:val="00B162E7"/>
    <w:rsid w:val="00B162ED"/>
    <w:rsid w:val="00B165CF"/>
    <w:rsid w:val="00B17153"/>
    <w:rsid w:val="00B174C3"/>
    <w:rsid w:val="00B176A4"/>
    <w:rsid w:val="00B179C7"/>
    <w:rsid w:val="00B17C4E"/>
    <w:rsid w:val="00B218AC"/>
    <w:rsid w:val="00B22E22"/>
    <w:rsid w:val="00B23305"/>
    <w:rsid w:val="00B23548"/>
    <w:rsid w:val="00B23E57"/>
    <w:rsid w:val="00B2403A"/>
    <w:rsid w:val="00B243DF"/>
    <w:rsid w:val="00B26965"/>
    <w:rsid w:val="00B26D02"/>
    <w:rsid w:val="00B26D54"/>
    <w:rsid w:val="00B270CF"/>
    <w:rsid w:val="00B27C1A"/>
    <w:rsid w:val="00B305CD"/>
    <w:rsid w:val="00B306B1"/>
    <w:rsid w:val="00B30B5D"/>
    <w:rsid w:val="00B30DAD"/>
    <w:rsid w:val="00B30EEA"/>
    <w:rsid w:val="00B3111A"/>
    <w:rsid w:val="00B313D5"/>
    <w:rsid w:val="00B31FB3"/>
    <w:rsid w:val="00B32C12"/>
    <w:rsid w:val="00B3327E"/>
    <w:rsid w:val="00B33898"/>
    <w:rsid w:val="00B33F01"/>
    <w:rsid w:val="00B3580D"/>
    <w:rsid w:val="00B363DE"/>
    <w:rsid w:val="00B36F3E"/>
    <w:rsid w:val="00B37A62"/>
    <w:rsid w:val="00B37FB6"/>
    <w:rsid w:val="00B40230"/>
    <w:rsid w:val="00B41937"/>
    <w:rsid w:val="00B42327"/>
    <w:rsid w:val="00B4236B"/>
    <w:rsid w:val="00B43546"/>
    <w:rsid w:val="00B43603"/>
    <w:rsid w:val="00B445F5"/>
    <w:rsid w:val="00B4532B"/>
    <w:rsid w:val="00B46EB2"/>
    <w:rsid w:val="00B473D9"/>
    <w:rsid w:val="00B47BB9"/>
    <w:rsid w:val="00B47D1A"/>
    <w:rsid w:val="00B52581"/>
    <w:rsid w:val="00B525CB"/>
    <w:rsid w:val="00B52E18"/>
    <w:rsid w:val="00B53385"/>
    <w:rsid w:val="00B53868"/>
    <w:rsid w:val="00B53B68"/>
    <w:rsid w:val="00B5535C"/>
    <w:rsid w:val="00B5621C"/>
    <w:rsid w:val="00B56B4F"/>
    <w:rsid w:val="00B5777D"/>
    <w:rsid w:val="00B57868"/>
    <w:rsid w:val="00B61183"/>
    <w:rsid w:val="00B61C7A"/>
    <w:rsid w:val="00B63872"/>
    <w:rsid w:val="00B639D0"/>
    <w:rsid w:val="00B63CB2"/>
    <w:rsid w:val="00B643CE"/>
    <w:rsid w:val="00B6452D"/>
    <w:rsid w:val="00B64811"/>
    <w:rsid w:val="00B64DEB"/>
    <w:rsid w:val="00B64EDB"/>
    <w:rsid w:val="00B66A26"/>
    <w:rsid w:val="00B66A9E"/>
    <w:rsid w:val="00B6750E"/>
    <w:rsid w:val="00B67669"/>
    <w:rsid w:val="00B676FB"/>
    <w:rsid w:val="00B679A1"/>
    <w:rsid w:val="00B67B81"/>
    <w:rsid w:val="00B7273F"/>
    <w:rsid w:val="00B7315F"/>
    <w:rsid w:val="00B740B1"/>
    <w:rsid w:val="00B744EF"/>
    <w:rsid w:val="00B7453A"/>
    <w:rsid w:val="00B75CDE"/>
    <w:rsid w:val="00B7700A"/>
    <w:rsid w:val="00B774FD"/>
    <w:rsid w:val="00B77C16"/>
    <w:rsid w:val="00B80451"/>
    <w:rsid w:val="00B8158A"/>
    <w:rsid w:val="00B822A7"/>
    <w:rsid w:val="00B85762"/>
    <w:rsid w:val="00B8638A"/>
    <w:rsid w:val="00B8652C"/>
    <w:rsid w:val="00B87D98"/>
    <w:rsid w:val="00B9068D"/>
    <w:rsid w:val="00B90BE1"/>
    <w:rsid w:val="00B91B8E"/>
    <w:rsid w:val="00B936F3"/>
    <w:rsid w:val="00B93D22"/>
    <w:rsid w:val="00B94EDD"/>
    <w:rsid w:val="00B96F29"/>
    <w:rsid w:val="00B9789B"/>
    <w:rsid w:val="00BA010A"/>
    <w:rsid w:val="00BA0355"/>
    <w:rsid w:val="00BA0FCE"/>
    <w:rsid w:val="00BA129F"/>
    <w:rsid w:val="00BA1474"/>
    <w:rsid w:val="00BA1AB9"/>
    <w:rsid w:val="00BA22A9"/>
    <w:rsid w:val="00BA2829"/>
    <w:rsid w:val="00BA2D67"/>
    <w:rsid w:val="00BA369B"/>
    <w:rsid w:val="00BA36EE"/>
    <w:rsid w:val="00BA4319"/>
    <w:rsid w:val="00BA47FF"/>
    <w:rsid w:val="00BA6769"/>
    <w:rsid w:val="00BA6CAD"/>
    <w:rsid w:val="00BA6E6A"/>
    <w:rsid w:val="00BA740B"/>
    <w:rsid w:val="00BA75DE"/>
    <w:rsid w:val="00BB00EC"/>
    <w:rsid w:val="00BB061D"/>
    <w:rsid w:val="00BB07A4"/>
    <w:rsid w:val="00BB17F0"/>
    <w:rsid w:val="00BB18AE"/>
    <w:rsid w:val="00BB21F4"/>
    <w:rsid w:val="00BB2914"/>
    <w:rsid w:val="00BB29E9"/>
    <w:rsid w:val="00BB3081"/>
    <w:rsid w:val="00BB315C"/>
    <w:rsid w:val="00BB331F"/>
    <w:rsid w:val="00BB4E71"/>
    <w:rsid w:val="00BB5D66"/>
    <w:rsid w:val="00BB6307"/>
    <w:rsid w:val="00BB63FA"/>
    <w:rsid w:val="00BB658E"/>
    <w:rsid w:val="00BB7EE5"/>
    <w:rsid w:val="00BC03B3"/>
    <w:rsid w:val="00BC0CD1"/>
    <w:rsid w:val="00BC143E"/>
    <w:rsid w:val="00BC1A00"/>
    <w:rsid w:val="00BC25CD"/>
    <w:rsid w:val="00BC294A"/>
    <w:rsid w:val="00BC2EB7"/>
    <w:rsid w:val="00BC3513"/>
    <w:rsid w:val="00BC3633"/>
    <w:rsid w:val="00BD0148"/>
    <w:rsid w:val="00BD0442"/>
    <w:rsid w:val="00BD1EDA"/>
    <w:rsid w:val="00BD22F7"/>
    <w:rsid w:val="00BD247A"/>
    <w:rsid w:val="00BD25A7"/>
    <w:rsid w:val="00BD57DB"/>
    <w:rsid w:val="00BD5A8C"/>
    <w:rsid w:val="00BD66F4"/>
    <w:rsid w:val="00BD75B7"/>
    <w:rsid w:val="00BD78FE"/>
    <w:rsid w:val="00BD7AEF"/>
    <w:rsid w:val="00BE0628"/>
    <w:rsid w:val="00BE2416"/>
    <w:rsid w:val="00BE3274"/>
    <w:rsid w:val="00BE35B3"/>
    <w:rsid w:val="00BE5BCB"/>
    <w:rsid w:val="00BE5D41"/>
    <w:rsid w:val="00BE5F24"/>
    <w:rsid w:val="00BE62B7"/>
    <w:rsid w:val="00BE6C2C"/>
    <w:rsid w:val="00BE7664"/>
    <w:rsid w:val="00BF04BA"/>
    <w:rsid w:val="00BF17D3"/>
    <w:rsid w:val="00BF188A"/>
    <w:rsid w:val="00BF2833"/>
    <w:rsid w:val="00BF4219"/>
    <w:rsid w:val="00BF5623"/>
    <w:rsid w:val="00BF5CBC"/>
    <w:rsid w:val="00BF7DB0"/>
    <w:rsid w:val="00C00430"/>
    <w:rsid w:val="00C0077D"/>
    <w:rsid w:val="00C00969"/>
    <w:rsid w:val="00C00BB1"/>
    <w:rsid w:val="00C01378"/>
    <w:rsid w:val="00C03ACB"/>
    <w:rsid w:val="00C03EFE"/>
    <w:rsid w:val="00C0464D"/>
    <w:rsid w:val="00C07794"/>
    <w:rsid w:val="00C113FE"/>
    <w:rsid w:val="00C11A27"/>
    <w:rsid w:val="00C1281E"/>
    <w:rsid w:val="00C149B0"/>
    <w:rsid w:val="00C15753"/>
    <w:rsid w:val="00C17545"/>
    <w:rsid w:val="00C227EF"/>
    <w:rsid w:val="00C22BD5"/>
    <w:rsid w:val="00C24368"/>
    <w:rsid w:val="00C252EE"/>
    <w:rsid w:val="00C25D13"/>
    <w:rsid w:val="00C260FC"/>
    <w:rsid w:val="00C30364"/>
    <w:rsid w:val="00C30E74"/>
    <w:rsid w:val="00C313BC"/>
    <w:rsid w:val="00C3362A"/>
    <w:rsid w:val="00C33983"/>
    <w:rsid w:val="00C34032"/>
    <w:rsid w:val="00C34B29"/>
    <w:rsid w:val="00C40657"/>
    <w:rsid w:val="00C407B5"/>
    <w:rsid w:val="00C4125C"/>
    <w:rsid w:val="00C431CD"/>
    <w:rsid w:val="00C435A3"/>
    <w:rsid w:val="00C43CE3"/>
    <w:rsid w:val="00C45E88"/>
    <w:rsid w:val="00C47864"/>
    <w:rsid w:val="00C47AAC"/>
    <w:rsid w:val="00C500EE"/>
    <w:rsid w:val="00C50145"/>
    <w:rsid w:val="00C53019"/>
    <w:rsid w:val="00C53A37"/>
    <w:rsid w:val="00C546B8"/>
    <w:rsid w:val="00C55BA5"/>
    <w:rsid w:val="00C57C56"/>
    <w:rsid w:val="00C57E7A"/>
    <w:rsid w:val="00C607AA"/>
    <w:rsid w:val="00C63B28"/>
    <w:rsid w:val="00C643F8"/>
    <w:rsid w:val="00C64A18"/>
    <w:rsid w:val="00C65237"/>
    <w:rsid w:val="00C653FB"/>
    <w:rsid w:val="00C65C9D"/>
    <w:rsid w:val="00C65E43"/>
    <w:rsid w:val="00C6620B"/>
    <w:rsid w:val="00C6688A"/>
    <w:rsid w:val="00C6755C"/>
    <w:rsid w:val="00C718C1"/>
    <w:rsid w:val="00C73E8A"/>
    <w:rsid w:val="00C8034E"/>
    <w:rsid w:val="00C80665"/>
    <w:rsid w:val="00C80741"/>
    <w:rsid w:val="00C81223"/>
    <w:rsid w:val="00C82114"/>
    <w:rsid w:val="00C82E66"/>
    <w:rsid w:val="00C84E96"/>
    <w:rsid w:val="00C854BD"/>
    <w:rsid w:val="00C87152"/>
    <w:rsid w:val="00C87C7E"/>
    <w:rsid w:val="00C903B8"/>
    <w:rsid w:val="00C91051"/>
    <w:rsid w:val="00C91108"/>
    <w:rsid w:val="00C917EA"/>
    <w:rsid w:val="00C91A60"/>
    <w:rsid w:val="00C9247E"/>
    <w:rsid w:val="00C940BE"/>
    <w:rsid w:val="00C95E8B"/>
    <w:rsid w:val="00C9605A"/>
    <w:rsid w:val="00C964EC"/>
    <w:rsid w:val="00C966DA"/>
    <w:rsid w:val="00C96CF7"/>
    <w:rsid w:val="00C9701D"/>
    <w:rsid w:val="00C9745F"/>
    <w:rsid w:val="00CA0620"/>
    <w:rsid w:val="00CA1BB7"/>
    <w:rsid w:val="00CA2ADB"/>
    <w:rsid w:val="00CA30D7"/>
    <w:rsid w:val="00CA3113"/>
    <w:rsid w:val="00CA3A50"/>
    <w:rsid w:val="00CA3BB4"/>
    <w:rsid w:val="00CA4180"/>
    <w:rsid w:val="00CA4715"/>
    <w:rsid w:val="00CA74A2"/>
    <w:rsid w:val="00CA7C99"/>
    <w:rsid w:val="00CB0879"/>
    <w:rsid w:val="00CB1BDC"/>
    <w:rsid w:val="00CB2348"/>
    <w:rsid w:val="00CB68F4"/>
    <w:rsid w:val="00CB7E83"/>
    <w:rsid w:val="00CC00CD"/>
    <w:rsid w:val="00CC0920"/>
    <w:rsid w:val="00CC1043"/>
    <w:rsid w:val="00CC1419"/>
    <w:rsid w:val="00CC16C3"/>
    <w:rsid w:val="00CC1E8E"/>
    <w:rsid w:val="00CC1EAA"/>
    <w:rsid w:val="00CC2B3E"/>
    <w:rsid w:val="00CC40FC"/>
    <w:rsid w:val="00CC438C"/>
    <w:rsid w:val="00CC45BF"/>
    <w:rsid w:val="00CC589F"/>
    <w:rsid w:val="00CC5E7D"/>
    <w:rsid w:val="00CC5FAA"/>
    <w:rsid w:val="00CC650B"/>
    <w:rsid w:val="00CC6B88"/>
    <w:rsid w:val="00CD0F52"/>
    <w:rsid w:val="00CD1F6D"/>
    <w:rsid w:val="00CD21D2"/>
    <w:rsid w:val="00CD2693"/>
    <w:rsid w:val="00CD281A"/>
    <w:rsid w:val="00CD32D4"/>
    <w:rsid w:val="00CD32E6"/>
    <w:rsid w:val="00CD34CF"/>
    <w:rsid w:val="00CD3FD2"/>
    <w:rsid w:val="00CD4605"/>
    <w:rsid w:val="00CD4F65"/>
    <w:rsid w:val="00CD5750"/>
    <w:rsid w:val="00CD5E4E"/>
    <w:rsid w:val="00CD6030"/>
    <w:rsid w:val="00CD657A"/>
    <w:rsid w:val="00CD6FDA"/>
    <w:rsid w:val="00CD7D7E"/>
    <w:rsid w:val="00CE0121"/>
    <w:rsid w:val="00CE0956"/>
    <w:rsid w:val="00CE0A8E"/>
    <w:rsid w:val="00CE21E7"/>
    <w:rsid w:val="00CE2CF1"/>
    <w:rsid w:val="00CE3CCF"/>
    <w:rsid w:val="00CE3DEC"/>
    <w:rsid w:val="00CE4775"/>
    <w:rsid w:val="00CE4C12"/>
    <w:rsid w:val="00CE4EFE"/>
    <w:rsid w:val="00CE5BBD"/>
    <w:rsid w:val="00CE5EB6"/>
    <w:rsid w:val="00CE5EFE"/>
    <w:rsid w:val="00CE7183"/>
    <w:rsid w:val="00CE776A"/>
    <w:rsid w:val="00CE79D0"/>
    <w:rsid w:val="00CF0724"/>
    <w:rsid w:val="00CF1774"/>
    <w:rsid w:val="00CF27F8"/>
    <w:rsid w:val="00CF2DCA"/>
    <w:rsid w:val="00CF33F3"/>
    <w:rsid w:val="00CF4478"/>
    <w:rsid w:val="00CF5C30"/>
    <w:rsid w:val="00CF5DBF"/>
    <w:rsid w:val="00CF74E8"/>
    <w:rsid w:val="00D00C29"/>
    <w:rsid w:val="00D01760"/>
    <w:rsid w:val="00D02423"/>
    <w:rsid w:val="00D02462"/>
    <w:rsid w:val="00D02736"/>
    <w:rsid w:val="00D03FDC"/>
    <w:rsid w:val="00D04ADE"/>
    <w:rsid w:val="00D054B8"/>
    <w:rsid w:val="00D0571D"/>
    <w:rsid w:val="00D07D4A"/>
    <w:rsid w:val="00D07FC4"/>
    <w:rsid w:val="00D100F4"/>
    <w:rsid w:val="00D10F1C"/>
    <w:rsid w:val="00D11160"/>
    <w:rsid w:val="00D11353"/>
    <w:rsid w:val="00D1196A"/>
    <w:rsid w:val="00D11CEB"/>
    <w:rsid w:val="00D11DF5"/>
    <w:rsid w:val="00D12042"/>
    <w:rsid w:val="00D12D94"/>
    <w:rsid w:val="00D133FD"/>
    <w:rsid w:val="00D13892"/>
    <w:rsid w:val="00D144D7"/>
    <w:rsid w:val="00D14BBA"/>
    <w:rsid w:val="00D166EF"/>
    <w:rsid w:val="00D16E39"/>
    <w:rsid w:val="00D177B2"/>
    <w:rsid w:val="00D17F09"/>
    <w:rsid w:val="00D21017"/>
    <w:rsid w:val="00D21334"/>
    <w:rsid w:val="00D2185D"/>
    <w:rsid w:val="00D21C7E"/>
    <w:rsid w:val="00D21FE3"/>
    <w:rsid w:val="00D220DA"/>
    <w:rsid w:val="00D221E1"/>
    <w:rsid w:val="00D223B6"/>
    <w:rsid w:val="00D225E6"/>
    <w:rsid w:val="00D22A24"/>
    <w:rsid w:val="00D23713"/>
    <w:rsid w:val="00D2522E"/>
    <w:rsid w:val="00D25709"/>
    <w:rsid w:val="00D25723"/>
    <w:rsid w:val="00D267A0"/>
    <w:rsid w:val="00D27895"/>
    <w:rsid w:val="00D27B09"/>
    <w:rsid w:val="00D310A9"/>
    <w:rsid w:val="00D31281"/>
    <w:rsid w:val="00D331A2"/>
    <w:rsid w:val="00D334D9"/>
    <w:rsid w:val="00D3476C"/>
    <w:rsid w:val="00D34F4B"/>
    <w:rsid w:val="00D35039"/>
    <w:rsid w:val="00D3511E"/>
    <w:rsid w:val="00D369EF"/>
    <w:rsid w:val="00D373B8"/>
    <w:rsid w:val="00D37524"/>
    <w:rsid w:val="00D37619"/>
    <w:rsid w:val="00D37A35"/>
    <w:rsid w:val="00D40007"/>
    <w:rsid w:val="00D40DF8"/>
    <w:rsid w:val="00D427FB"/>
    <w:rsid w:val="00D42868"/>
    <w:rsid w:val="00D43481"/>
    <w:rsid w:val="00D436D7"/>
    <w:rsid w:val="00D44622"/>
    <w:rsid w:val="00D4505E"/>
    <w:rsid w:val="00D4544E"/>
    <w:rsid w:val="00D460F1"/>
    <w:rsid w:val="00D461FA"/>
    <w:rsid w:val="00D46FBE"/>
    <w:rsid w:val="00D514F0"/>
    <w:rsid w:val="00D55DB3"/>
    <w:rsid w:val="00D56875"/>
    <w:rsid w:val="00D5776B"/>
    <w:rsid w:val="00D60327"/>
    <w:rsid w:val="00D60BFB"/>
    <w:rsid w:val="00D61A5A"/>
    <w:rsid w:val="00D61ACF"/>
    <w:rsid w:val="00D61C81"/>
    <w:rsid w:val="00D65156"/>
    <w:rsid w:val="00D6550B"/>
    <w:rsid w:val="00D6637B"/>
    <w:rsid w:val="00D66605"/>
    <w:rsid w:val="00D67081"/>
    <w:rsid w:val="00D67B67"/>
    <w:rsid w:val="00D67ED5"/>
    <w:rsid w:val="00D702F9"/>
    <w:rsid w:val="00D7064D"/>
    <w:rsid w:val="00D71B8E"/>
    <w:rsid w:val="00D71FCE"/>
    <w:rsid w:val="00D72332"/>
    <w:rsid w:val="00D72E9D"/>
    <w:rsid w:val="00D7355B"/>
    <w:rsid w:val="00D7365B"/>
    <w:rsid w:val="00D737D8"/>
    <w:rsid w:val="00D74178"/>
    <w:rsid w:val="00D744C2"/>
    <w:rsid w:val="00D7475C"/>
    <w:rsid w:val="00D7509A"/>
    <w:rsid w:val="00D762D6"/>
    <w:rsid w:val="00D77217"/>
    <w:rsid w:val="00D77451"/>
    <w:rsid w:val="00D82C7C"/>
    <w:rsid w:val="00D82CE5"/>
    <w:rsid w:val="00D83799"/>
    <w:rsid w:val="00D83F17"/>
    <w:rsid w:val="00D850E6"/>
    <w:rsid w:val="00D861D6"/>
    <w:rsid w:val="00D86DC5"/>
    <w:rsid w:val="00D87B43"/>
    <w:rsid w:val="00D9148F"/>
    <w:rsid w:val="00D92BBB"/>
    <w:rsid w:val="00D944DD"/>
    <w:rsid w:val="00D960C0"/>
    <w:rsid w:val="00D97434"/>
    <w:rsid w:val="00DA0BD3"/>
    <w:rsid w:val="00DA1356"/>
    <w:rsid w:val="00DA18BE"/>
    <w:rsid w:val="00DA1D25"/>
    <w:rsid w:val="00DA218C"/>
    <w:rsid w:val="00DA2A01"/>
    <w:rsid w:val="00DA2B96"/>
    <w:rsid w:val="00DA41D6"/>
    <w:rsid w:val="00DA4D63"/>
    <w:rsid w:val="00DA5AB1"/>
    <w:rsid w:val="00DA5B8A"/>
    <w:rsid w:val="00DA6356"/>
    <w:rsid w:val="00DA64FE"/>
    <w:rsid w:val="00DA6BA3"/>
    <w:rsid w:val="00DA7509"/>
    <w:rsid w:val="00DA77E7"/>
    <w:rsid w:val="00DB033E"/>
    <w:rsid w:val="00DB06D2"/>
    <w:rsid w:val="00DB172C"/>
    <w:rsid w:val="00DB1AE2"/>
    <w:rsid w:val="00DB2C59"/>
    <w:rsid w:val="00DB3B0B"/>
    <w:rsid w:val="00DB40E0"/>
    <w:rsid w:val="00DB45AB"/>
    <w:rsid w:val="00DB47B5"/>
    <w:rsid w:val="00DB52FA"/>
    <w:rsid w:val="00DB5D13"/>
    <w:rsid w:val="00DB618D"/>
    <w:rsid w:val="00DB68B9"/>
    <w:rsid w:val="00DB75D6"/>
    <w:rsid w:val="00DB763A"/>
    <w:rsid w:val="00DB7B8E"/>
    <w:rsid w:val="00DB7CD8"/>
    <w:rsid w:val="00DC056E"/>
    <w:rsid w:val="00DC056F"/>
    <w:rsid w:val="00DC0BB4"/>
    <w:rsid w:val="00DC144C"/>
    <w:rsid w:val="00DC1DCA"/>
    <w:rsid w:val="00DC2A15"/>
    <w:rsid w:val="00DC348A"/>
    <w:rsid w:val="00DC3CAC"/>
    <w:rsid w:val="00DC3D1E"/>
    <w:rsid w:val="00DC4048"/>
    <w:rsid w:val="00DC5E43"/>
    <w:rsid w:val="00DC5F0C"/>
    <w:rsid w:val="00DC62A3"/>
    <w:rsid w:val="00DC62E5"/>
    <w:rsid w:val="00DC67B0"/>
    <w:rsid w:val="00DC681B"/>
    <w:rsid w:val="00DC7F2E"/>
    <w:rsid w:val="00DD0A21"/>
    <w:rsid w:val="00DD14A5"/>
    <w:rsid w:val="00DD1DD9"/>
    <w:rsid w:val="00DD2D43"/>
    <w:rsid w:val="00DD4882"/>
    <w:rsid w:val="00DD51BC"/>
    <w:rsid w:val="00DD5670"/>
    <w:rsid w:val="00DD734A"/>
    <w:rsid w:val="00DD735D"/>
    <w:rsid w:val="00DD78C4"/>
    <w:rsid w:val="00DD7CF2"/>
    <w:rsid w:val="00DE0938"/>
    <w:rsid w:val="00DE1016"/>
    <w:rsid w:val="00DE1175"/>
    <w:rsid w:val="00DE182A"/>
    <w:rsid w:val="00DE1B6D"/>
    <w:rsid w:val="00DE2690"/>
    <w:rsid w:val="00DE2F1D"/>
    <w:rsid w:val="00DE3119"/>
    <w:rsid w:val="00DE39B3"/>
    <w:rsid w:val="00DE3C78"/>
    <w:rsid w:val="00DE3D72"/>
    <w:rsid w:val="00DE41CD"/>
    <w:rsid w:val="00DE43DA"/>
    <w:rsid w:val="00DE5124"/>
    <w:rsid w:val="00DE5D06"/>
    <w:rsid w:val="00DE7692"/>
    <w:rsid w:val="00DE770A"/>
    <w:rsid w:val="00DF05E1"/>
    <w:rsid w:val="00DF1AF7"/>
    <w:rsid w:val="00DF236B"/>
    <w:rsid w:val="00DF35ED"/>
    <w:rsid w:val="00DF3701"/>
    <w:rsid w:val="00DF395B"/>
    <w:rsid w:val="00DF5138"/>
    <w:rsid w:val="00DF6159"/>
    <w:rsid w:val="00DF6328"/>
    <w:rsid w:val="00DF6566"/>
    <w:rsid w:val="00DF7A6C"/>
    <w:rsid w:val="00DF7F96"/>
    <w:rsid w:val="00E026BB"/>
    <w:rsid w:val="00E060C4"/>
    <w:rsid w:val="00E06860"/>
    <w:rsid w:val="00E10178"/>
    <w:rsid w:val="00E1071A"/>
    <w:rsid w:val="00E10EE8"/>
    <w:rsid w:val="00E125D0"/>
    <w:rsid w:val="00E13306"/>
    <w:rsid w:val="00E13AB8"/>
    <w:rsid w:val="00E13BC5"/>
    <w:rsid w:val="00E13F51"/>
    <w:rsid w:val="00E14E0D"/>
    <w:rsid w:val="00E15059"/>
    <w:rsid w:val="00E152E0"/>
    <w:rsid w:val="00E164E5"/>
    <w:rsid w:val="00E170F8"/>
    <w:rsid w:val="00E17401"/>
    <w:rsid w:val="00E20C03"/>
    <w:rsid w:val="00E2184C"/>
    <w:rsid w:val="00E21A8B"/>
    <w:rsid w:val="00E21FD3"/>
    <w:rsid w:val="00E2279C"/>
    <w:rsid w:val="00E22B02"/>
    <w:rsid w:val="00E231C8"/>
    <w:rsid w:val="00E23217"/>
    <w:rsid w:val="00E23B63"/>
    <w:rsid w:val="00E23C67"/>
    <w:rsid w:val="00E24218"/>
    <w:rsid w:val="00E24AB7"/>
    <w:rsid w:val="00E24CC0"/>
    <w:rsid w:val="00E25706"/>
    <w:rsid w:val="00E25CB3"/>
    <w:rsid w:val="00E27C20"/>
    <w:rsid w:val="00E304DC"/>
    <w:rsid w:val="00E30AE3"/>
    <w:rsid w:val="00E30EFF"/>
    <w:rsid w:val="00E311BA"/>
    <w:rsid w:val="00E314E6"/>
    <w:rsid w:val="00E31A9F"/>
    <w:rsid w:val="00E31D3A"/>
    <w:rsid w:val="00E32180"/>
    <w:rsid w:val="00E32C94"/>
    <w:rsid w:val="00E32E87"/>
    <w:rsid w:val="00E33A7D"/>
    <w:rsid w:val="00E33B62"/>
    <w:rsid w:val="00E35C0F"/>
    <w:rsid w:val="00E3688E"/>
    <w:rsid w:val="00E36C74"/>
    <w:rsid w:val="00E36ED1"/>
    <w:rsid w:val="00E37230"/>
    <w:rsid w:val="00E377D9"/>
    <w:rsid w:val="00E377FA"/>
    <w:rsid w:val="00E4143A"/>
    <w:rsid w:val="00E435F2"/>
    <w:rsid w:val="00E437AB"/>
    <w:rsid w:val="00E4422A"/>
    <w:rsid w:val="00E44938"/>
    <w:rsid w:val="00E44E85"/>
    <w:rsid w:val="00E45C4E"/>
    <w:rsid w:val="00E472CA"/>
    <w:rsid w:val="00E508D3"/>
    <w:rsid w:val="00E52850"/>
    <w:rsid w:val="00E52CEF"/>
    <w:rsid w:val="00E52FCE"/>
    <w:rsid w:val="00E53BEB"/>
    <w:rsid w:val="00E549E9"/>
    <w:rsid w:val="00E609BD"/>
    <w:rsid w:val="00E6136C"/>
    <w:rsid w:val="00E618EA"/>
    <w:rsid w:val="00E61D16"/>
    <w:rsid w:val="00E622FB"/>
    <w:rsid w:val="00E62F4F"/>
    <w:rsid w:val="00E631D8"/>
    <w:rsid w:val="00E63AE5"/>
    <w:rsid w:val="00E63CDB"/>
    <w:rsid w:val="00E63D0C"/>
    <w:rsid w:val="00E66B9A"/>
    <w:rsid w:val="00E67283"/>
    <w:rsid w:val="00E6749B"/>
    <w:rsid w:val="00E67609"/>
    <w:rsid w:val="00E71A84"/>
    <w:rsid w:val="00E72B16"/>
    <w:rsid w:val="00E737E5"/>
    <w:rsid w:val="00E74705"/>
    <w:rsid w:val="00E76729"/>
    <w:rsid w:val="00E7782E"/>
    <w:rsid w:val="00E77D59"/>
    <w:rsid w:val="00E814AA"/>
    <w:rsid w:val="00E81A62"/>
    <w:rsid w:val="00E81A75"/>
    <w:rsid w:val="00E830A2"/>
    <w:rsid w:val="00E8343C"/>
    <w:rsid w:val="00E84207"/>
    <w:rsid w:val="00E85D4E"/>
    <w:rsid w:val="00E85ECA"/>
    <w:rsid w:val="00E86D96"/>
    <w:rsid w:val="00E913A1"/>
    <w:rsid w:val="00E91EDD"/>
    <w:rsid w:val="00E92A74"/>
    <w:rsid w:val="00E92F57"/>
    <w:rsid w:val="00E940F1"/>
    <w:rsid w:val="00E947C0"/>
    <w:rsid w:val="00E94CE5"/>
    <w:rsid w:val="00E954A3"/>
    <w:rsid w:val="00E95FB7"/>
    <w:rsid w:val="00E96C64"/>
    <w:rsid w:val="00E97541"/>
    <w:rsid w:val="00E97BC5"/>
    <w:rsid w:val="00EA0203"/>
    <w:rsid w:val="00EA1421"/>
    <w:rsid w:val="00EA22A5"/>
    <w:rsid w:val="00EA3146"/>
    <w:rsid w:val="00EA3271"/>
    <w:rsid w:val="00EA40A3"/>
    <w:rsid w:val="00EA477B"/>
    <w:rsid w:val="00EA4CA9"/>
    <w:rsid w:val="00EA5137"/>
    <w:rsid w:val="00EA572E"/>
    <w:rsid w:val="00EA5C4C"/>
    <w:rsid w:val="00EA63D2"/>
    <w:rsid w:val="00EA666F"/>
    <w:rsid w:val="00EB0DE5"/>
    <w:rsid w:val="00EB27F2"/>
    <w:rsid w:val="00EB340D"/>
    <w:rsid w:val="00EB5921"/>
    <w:rsid w:val="00EB5C48"/>
    <w:rsid w:val="00EB5CEA"/>
    <w:rsid w:val="00EB76C1"/>
    <w:rsid w:val="00EB7A25"/>
    <w:rsid w:val="00EC268B"/>
    <w:rsid w:val="00EC33B9"/>
    <w:rsid w:val="00EC628B"/>
    <w:rsid w:val="00EC7815"/>
    <w:rsid w:val="00EC7EFE"/>
    <w:rsid w:val="00ED068F"/>
    <w:rsid w:val="00ED149A"/>
    <w:rsid w:val="00ED2BE0"/>
    <w:rsid w:val="00ED41B2"/>
    <w:rsid w:val="00ED52D1"/>
    <w:rsid w:val="00ED54D6"/>
    <w:rsid w:val="00ED5626"/>
    <w:rsid w:val="00ED60DF"/>
    <w:rsid w:val="00EE00DA"/>
    <w:rsid w:val="00EE044A"/>
    <w:rsid w:val="00EE1009"/>
    <w:rsid w:val="00EE14A5"/>
    <w:rsid w:val="00EE22BA"/>
    <w:rsid w:val="00EE2774"/>
    <w:rsid w:val="00EE2F7B"/>
    <w:rsid w:val="00EE4B65"/>
    <w:rsid w:val="00EE4C00"/>
    <w:rsid w:val="00EE55B9"/>
    <w:rsid w:val="00EE59B5"/>
    <w:rsid w:val="00EE5A06"/>
    <w:rsid w:val="00EE5D43"/>
    <w:rsid w:val="00EF000D"/>
    <w:rsid w:val="00EF0584"/>
    <w:rsid w:val="00EF0F3E"/>
    <w:rsid w:val="00EF14B9"/>
    <w:rsid w:val="00EF21B8"/>
    <w:rsid w:val="00EF23ED"/>
    <w:rsid w:val="00EF35C2"/>
    <w:rsid w:val="00EF5227"/>
    <w:rsid w:val="00EF52E7"/>
    <w:rsid w:val="00EF57D2"/>
    <w:rsid w:val="00EF61CE"/>
    <w:rsid w:val="00EF6427"/>
    <w:rsid w:val="00EF7152"/>
    <w:rsid w:val="00EF7CD9"/>
    <w:rsid w:val="00F00E98"/>
    <w:rsid w:val="00F01A5F"/>
    <w:rsid w:val="00F02556"/>
    <w:rsid w:val="00F02870"/>
    <w:rsid w:val="00F02C21"/>
    <w:rsid w:val="00F02F6D"/>
    <w:rsid w:val="00F048BC"/>
    <w:rsid w:val="00F04E37"/>
    <w:rsid w:val="00F05E93"/>
    <w:rsid w:val="00F05F36"/>
    <w:rsid w:val="00F068F4"/>
    <w:rsid w:val="00F07626"/>
    <w:rsid w:val="00F078DF"/>
    <w:rsid w:val="00F107DE"/>
    <w:rsid w:val="00F10CAD"/>
    <w:rsid w:val="00F10ED2"/>
    <w:rsid w:val="00F119DE"/>
    <w:rsid w:val="00F12855"/>
    <w:rsid w:val="00F12E8C"/>
    <w:rsid w:val="00F13209"/>
    <w:rsid w:val="00F1320C"/>
    <w:rsid w:val="00F1332C"/>
    <w:rsid w:val="00F13633"/>
    <w:rsid w:val="00F1486A"/>
    <w:rsid w:val="00F15490"/>
    <w:rsid w:val="00F1555A"/>
    <w:rsid w:val="00F16446"/>
    <w:rsid w:val="00F1773B"/>
    <w:rsid w:val="00F17886"/>
    <w:rsid w:val="00F20068"/>
    <w:rsid w:val="00F206D5"/>
    <w:rsid w:val="00F20726"/>
    <w:rsid w:val="00F218E6"/>
    <w:rsid w:val="00F22404"/>
    <w:rsid w:val="00F22646"/>
    <w:rsid w:val="00F22D50"/>
    <w:rsid w:val="00F22D7A"/>
    <w:rsid w:val="00F23493"/>
    <w:rsid w:val="00F23E6E"/>
    <w:rsid w:val="00F246D6"/>
    <w:rsid w:val="00F249B4"/>
    <w:rsid w:val="00F249B5"/>
    <w:rsid w:val="00F254CC"/>
    <w:rsid w:val="00F25ED5"/>
    <w:rsid w:val="00F260BA"/>
    <w:rsid w:val="00F267EE"/>
    <w:rsid w:val="00F270A5"/>
    <w:rsid w:val="00F303EC"/>
    <w:rsid w:val="00F316F5"/>
    <w:rsid w:val="00F31A1D"/>
    <w:rsid w:val="00F324C0"/>
    <w:rsid w:val="00F3472E"/>
    <w:rsid w:val="00F357E7"/>
    <w:rsid w:val="00F3693B"/>
    <w:rsid w:val="00F36BB5"/>
    <w:rsid w:val="00F37157"/>
    <w:rsid w:val="00F372D2"/>
    <w:rsid w:val="00F402FD"/>
    <w:rsid w:val="00F40599"/>
    <w:rsid w:val="00F4094F"/>
    <w:rsid w:val="00F42B15"/>
    <w:rsid w:val="00F430A9"/>
    <w:rsid w:val="00F43C2D"/>
    <w:rsid w:val="00F43C80"/>
    <w:rsid w:val="00F442F0"/>
    <w:rsid w:val="00F44379"/>
    <w:rsid w:val="00F443D6"/>
    <w:rsid w:val="00F45A81"/>
    <w:rsid w:val="00F460D4"/>
    <w:rsid w:val="00F47665"/>
    <w:rsid w:val="00F52F83"/>
    <w:rsid w:val="00F5311E"/>
    <w:rsid w:val="00F5386C"/>
    <w:rsid w:val="00F53BE5"/>
    <w:rsid w:val="00F54939"/>
    <w:rsid w:val="00F552A6"/>
    <w:rsid w:val="00F5536F"/>
    <w:rsid w:val="00F555BE"/>
    <w:rsid w:val="00F5587E"/>
    <w:rsid w:val="00F55B6E"/>
    <w:rsid w:val="00F56AE4"/>
    <w:rsid w:val="00F56CA8"/>
    <w:rsid w:val="00F56CB7"/>
    <w:rsid w:val="00F60C30"/>
    <w:rsid w:val="00F61006"/>
    <w:rsid w:val="00F61336"/>
    <w:rsid w:val="00F62306"/>
    <w:rsid w:val="00F62E7E"/>
    <w:rsid w:val="00F631BE"/>
    <w:rsid w:val="00F64EB8"/>
    <w:rsid w:val="00F65686"/>
    <w:rsid w:val="00F65850"/>
    <w:rsid w:val="00F675BE"/>
    <w:rsid w:val="00F67FA5"/>
    <w:rsid w:val="00F70A57"/>
    <w:rsid w:val="00F7112F"/>
    <w:rsid w:val="00F712ED"/>
    <w:rsid w:val="00F716B8"/>
    <w:rsid w:val="00F717B7"/>
    <w:rsid w:val="00F72A15"/>
    <w:rsid w:val="00F72F33"/>
    <w:rsid w:val="00F737DB"/>
    <w:rsid w:val="00F7412B"/>
    <w:rsid w:val="00F7432F"/>
    <w:rsid w:val="00F745A5"/>
    <w:rsid w:val="00F74F25"/>
    <w:rsid w:val="00F762C6"/>
    <w:rsid w:val="00F80305"/>
    <w:rsid w:val="00F8048F"/>
    <w:rsid w:val="00F82893"/>
    <w:rsid w:val="00F83838"/>
    <w:rsid w:val="00F83FF2"/>
    <w:rsid w:val="00F842D9"/>
    <w:rsid w:val="00F84691"/>
    <w:rsid w:val="00F84899"/>
    <w:rsid w:val="00F855B7"/>
    <w:rsid w:val="00F859F0"/>
    <w:rsid w:val="00F87254"/>
    <w:rsid w:val="00F87C3E"/>
    <w:rsid w:val="00F911D4"/>
    <w:rsid w:val="00F915D0"/>
    <w:rsid w:val="00F91C32"/>
    <w:rsid w:val="00F91F95"/>
    <w:rsid w:val="00F925F7"/>
    <w:rsid w:val="00F9299C"/>
    <w:rsid w:val="00F92AB5"/>
    <w:rsid w:val="00F93036"/>
    <w:rsid w:val="00F95277"/>
    <w:rsid w:val="00F952F9"/>
    <w:rsid w:val="00F961C4"/>
    <w:rsid w:val="00F962BF"/>
    <w:rsid w:val="00F967BB"/>
    <w:rsid w:val="00F971E7"/>
    <w:rsid w:val="00FA120E"/>
    <w:rsid w:val="00FA121E"/>
    <w:rsid w:val="00FA14DE"/>
    <w:rsid w:val="00FA19B8"/>
    <w:rsid w:val="00FA3AEE"/>
    <w:rsid w:val="00FA3B3B"/>
    <w:rsid w:val="00FA3E29"/>
    <w:rsid w:val="00FA4333"/>
    <w:rsid w:val="00FA4BFC"/>
    <w:rsid w:val="00FA508A"/>
    <w:rsid w:val="00FA553E"/>
    <w:rsid w:val="00FA61F3"/>
    <w:rsid w:val="00FA6D8A"/>
    <w:rsid w:val="00FB01E5"/>
    <w:rsid w:val="00FB2CA4"/>
    <w:rsid w:val="00FB33BA"/>
    <w:rsid w:val="00FB364B"/>
    <w:rsid w:val="00FB56C6"/>
    <w:rsid w:val="00FB5D8C"/>
    <w:rsid w:val="00FB6646"/>
    <w:rsid w:val="00FB6D91"/>
    <w:rsid w:val="00FB7032"/>
    <w:rsid w:val="00FB781F"/>
    <w:rsid w:val="00FC0041"/>
    <w:rsid w:val="00FC075A"/>
    <w:rsid w:val="00FC133A"/>
    <w:rsid w:val="00FC1A07"/>
    <w:rsid w:val="00FC2A34"/>
    <w:rsid w:val="00FC4C3C"/>
    <w:rsid w:val="00FC4FE8"/>
    <w:rsid w:val="00FC7795"/>
    <w:rsid w:val="00FD0EF2"/>
    <w:rsid w:val="00FD101F"/>
    <w:rsid w:val="00FD1137"/>
    <w:rsid w:val="00FD365C"/>
    <w:rsid w:val="00FD458C"/>
    <w:rsid w:val="00FD4943"/>
    <w:rsid w:val="00FD4B00"/>
    <w:rsid w:val="00FD5759"/>
    <w:rsid w:val="00FD63FB"/>
    <w:rsid w:val="00FD699E"/>
    <w:rsid w:val="00FD6A5D"/>
    <w:rsid w:val="00FD6B72"/>
    <w:rsid w:val="00FD7BFD"/>
    <w:rsid w:val="00FD7F5B"/>
    <w:rsid w:val="00FE08A6"/>
    <w:rsid w:val="00FE0E65"/>
    <w:rsid w:val="00FE100D"/>
    <w:rsid w:val="00FE141E"/>
    <w:rsid w:val="00FE1B89"/>
    <w:rsid w:val="00FE3617"/>
    <w:rsid w:val="00FE3CA5"/>
    <w:rsid w:val="00FE42ED"/>
    <w:rsid w:val="00FE68CC"/>
    <w:rsid w:val="00FE6B6C"/>
    <w:rsid w:val="00FE7785"/>
    <w:rsid w:val="00FE7983"/>
    <w:rsid w:val="00FF216D"/>
    <w:rsid w:val="00FF286F"/>
    <w:rsid w:val="00FF29F6"/>
    <w:rsid w:val="00FF4081"/>
    <w:rsid w:val="00FF435B"/>
    <w:rsid w:val="00FF479C"/>
    <w:rsid w:val="00FF543C"/>
    <w:rsid w:val="00FF5A12"/>
    <w:rsid w:val="00FF660C"/>
    <w:rsid w:val="00FF6E90"/>
    <w:rsid w:val="00FF755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2B023469-1321-4589-A670-BCF48668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paragraph" w:styleId="Ttulo1">
    <w:name w:val="heading 1"/>
    <w:basedOn w:val="Normal"/>
    <w:next w:val="Normal"/>
    <w:link w:val="Ttulo1Car"/>
    <w:uiPriority w:val="9"/>
    <w:qFormat/>
    <w:rsid w:val="00E1505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nhideWhenUsed/>
    <w:qFormat/>
    <w:rsid w:val="003852EA"/>
    <w:pPr>
      <w:keepNext/>
      <w:jc w:val="both"/>
      <w:outlineLvl w:val="1"/>
    </w:pPr>
    <w:rPr>
      <w:rFonts w:ascii="Century Gothic" w:eastAsia="Times New Roman" w:hAnsi="Century Gothic" w:cs="Arial"/>
      <w:b/>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aliases w:val="Footnote Text Char Char Char Char Car,Footnote Text Cha Car,Footnote Text Char Char Char Car,FA Fußnotentext Car,FA Fuﬂnotentext Car,texto de nota al p Car"/>
    <w:basedOn w:val="Fuentedeprrafopredeter"/>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1378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22A9"/>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B9068D"/>
    <w:rPr>
      <w:b/>
      <w:bCs/>
    </w:rPr>
  </w:style>
  <w:style w:type="character" w:styleId="nfasis">
    <w:name w:val="Emphasis"/>
    <w:basedOn w:val="Fuentedeprrafopredeter"/>
    <w:uiPriority w:val="20"/>
    <w:qFormat/>
    <w:rsid w:val="00B9068D"/>
    <w:rPr>
      <w:i/>
      <w:iCs/>
    </w:rPr>
  </w:style>
  <w:style w:type="character" w:styleId="Textodelmarcadordeposicin">
    <w:name w:val="Placeholder Text"/>
    <w:basedOn w:val="Fuentedeprrafopredeter"/>
    <w:uiPriority w:val="99"/>
    <w:semiHidden/>
    <w:rsid w:val="00E24218"/>
    <w:rPr>
      <w:color w:val="808080"/>
    </w:rPr>
  </w:style>
  <w:style w:type="character" w:customStyle="1" w:styleId="Mencinsinresolver1">
    <w:name w:val="Mención sin resolver1"/>
    <w:basedOn w:val="Fuentedeprrafopredeter"/>
    <w:uiPriority w:val="99"/>
    <w:semiHidden/>
    <w:unhideWhenUsed/>
    <w:rsid w:val="007E61BB"/>
    <w:rPr>
      <w:color w:val="605E5C"/>
      <w:shd w:val="clear" w:color="auto" w:fill="E1DFDD"/>
    </w:rPr>
  </w:style>
  <w:style w:type="paragraph" w:customStyle="1" w:styleId="textocaja">
    <w:name w:val="textocaja"/>
    <w:basedOn w:val="Normal"/>
    <w:rsid w:val="006726C7"/>
    <w:pPr>
      <w:spacing w:before="100" w:beforeAutospacing="1" w:after="100" w:afterAutospacing="1"/>
      <w:jc w:val="both"/>
    </w:pPr>
    <w:rPr>
      <w:rFonts w:ascii="Georgia" w:eastAsia="Times New Roman" w:hAnsi="Georgia" w:cs="Times New Roman"/>
      <w:sz w:val="22"/>
      <w:lang w:val="es-CO" w:eastAsia="es-CO"/>
    </w:rPr>
  </w:style>
  <w:style w:type="paragraph" w:styleId="Textoindependiente">
    <w:name w:val="Body Text"/>
    <w:basedOn w:val="Normal"/>
    <w:link w:val="TextoindependienteCar"/>
    <w:uiPriority w:val="99"/>
    <w:semiHidden/>
    <w:unhideWhenUsed/>
    <w:rsid w:val="00F02556"/>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oindependienteCar">
    <w:name w:val="Texto independiente Car"/>
    <w:basedOn w:val="Fuentedeprrafopredeter"/>
    <w:link w:val="Textoindependiente"/>
    <w:uiPriority w:val="99"/>
    <w:semiHidden/>
    <w:rsid w:val="00F02556"/>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rsid w:val="003852EA"/>
    <w:rPr>
      <w:rFonts w:ascii="Century Gothic" w:eastAsia="Times New Roman" w:hAnsi="Century Gothic" w:cs="Arial"/>
      <w:b/>
      <w:lang w:val="es-ES" w:eastAsia="es-ES"/>
    </w:rPr>
  </w:style>
  <w:style w:type="character" w:customStyle="1" w:styleId="nacep">
    <w:name w:val="n_acep"/>
    <w:basedOn w:val="Fuentedeprrafopredeter"/>
    <w:rsid w:val="001436C6"/>
  </w:style>
  <w:style w:type="character" w:customStyle="1" w:styleId="u">
    <w:name w:val="u"/>
    <w:basedOn w:val="Fuentedeprrafopredeter"/>
    <w:rsid w:val="00050838"/>
  </w:style>
  <w:style w:type="character" w:customStyle="1" w:styleId="NormalWebCar">
    <w:name w:val="Normal (Web) Car"/>
    <w:link w:val="NormalWeb"/>
    <w:uiPriority w:val="99"/>
    <w:rsid w:val="00CD4F65"/>
    <w:rPr>
      <w:rFonts w:ascii="Times New Roman" w:eastAsia="Times New Roman" w:hAnsi="Times New Roman" w:cs="Times New Roman"/>
      <w:sz w:val="24"/>
      <w:szCs w:val="24"/>
      <w:lang w:eastAsia="es-CO"/>
    </w:rPr>
  </w:style>
  <w:style w:type="paragraph" w:customStyle="1" w:styleId="m1280678090329625985xmsonormal">
    <w:name w:val="m_1280678090329625985xmsonormal"/>
    <w:basedOn w:val="Normal"/>
    <w:rsid w:val="001D1E85"/>
    <w:pPr>
      <w:spacing w:before="100" w:beforeAutospacing="1" w:after="100" w:afterAutospacing="1"/>
    </w:pPr>
    <w:rPr>
      <w:rFonts w:ascii="Times New Roman" w:hAnsi="Times New Roman" w:cs="Times New Roman"/>
      <w:szCs w:val="24"/>
      <w:lang w:val="es-ES_tradnl" w:eastAsia="es-ES_tradnl"/>
    </w:rPr>
  </w:style>
  <w:style w:type="character" w:customStyle="1" w:styleId="Ttulo1Car">
    <w:name w:val="Título 1 Car"/>
    <w:basedOn w:val="Fuentedeprrafopredeter"/>
    <w:link w:val="Ttulo1"/>
    <w:uiPriority w:val="9"/>
    <w:rsid w:val="00E15059"/>
    <w:rPr>
      <w:rFonts w:asciiTheme="majorHAnsi" w:eastAsiaTheme="majorEastAsia" w:hAnsiTheme="majorHAnsi" w:cstheme="majorBidi"/>
      <w:color w:val="365F91" w:themeColor="accent1" w:themeShade="BF"/>
      <w:sz w:val="32"/>
      <w:szCs w:val="3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8662">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4835325">
      <w:bodyDiv w:val="1"/>
      <w:marLeft w:val="0"/>
      <w:marRight w:val="0"/>
      <w:marTop w:val="0"/>
      <w:marBottom w:val="0"/>
      <w:divBdr>
        <w:top w:val="none" w:sz="0" w:space="0" w:color="auto"/>
        <w:left w:val="none" w:sz="0" w:space="0" w:color="auto"/>
        <w:bottom w:val="none" w:sz="0" w:space="0" w:color="auto"/>
        <w:right w:val="none" w:sz="0" w:space="0" w:color="auto"/>
      </w:divBdr>
    </w:div>
    <w:div w:id="74859803">
      <w:bodyDiv w:val="1"/>
      <w:marLeft w:val="0"/>
      <w:marRight w:val="0"/>
      <w:marTop w:val="0"/>
      <w:marBottom w:val="0"/>
      <w:divBdr>
        <w:top w:val="none" w:sz="0" w:space="0" w:color="auto"/>
        <w:left w:val="none" w:sz="0" w:space="0" w:color="auto"/>
        <w:bottom w:val="none" w:sz="0" w:space="0" w:color="auto"/>
        <w:right w:val="none" w:sz="0" w:space="0" w:color="auto"/>
      </w:divBdr>
    </w:div>
    <w:div w:id="13156321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46116411">
      <w:bodyDiv w:val="1"/>
      <w:marLeft w:val="0"/>
      <w:marRight w:val="0"/>
      <w:marTop w:val="0"/>
      <w:marBottom w:val="0"/>
      <w:divBdr>
        <w:top w:val="none" w:sz="0" w:space="0" w:color="auto"/>
        <w:left w:val="none" w:sz="0" w:space="0" w:color="auto"/>
        <w:bottom w:val="none" w:sz="0" w:space="0" w:color="auto"/>
        <w:right w:val="none" w:sz="0" w:space="0" w:color="auto"/>
      </w:divBdr>
    </w:div>
    <w:div w:id="263342648">
      <w:bodyDiv w:val="1"/>
      <w:marLeft w:val="0"/>
      <w:marRight w:val="0"/>
      <w:marTop w:val="0"/>
      <w:marBottom w:val="0"/>
      <w:divBdr>
        <w:top w:val="none" w:sz="0" w:space="0" w:color="auto"/>
        <w:left w:val="none" w:sz="0" w:space="0" w:color="auto"/>
        <w:bottom w:val="none" w:sz="0" w:space="0" w:color="auto"/>
        <w:right w:val="none" w:sz="0" w:space="0" w:color="auto"/>
      </w:divBdr>
    </w:div>
    <w:div w:id="265843300">
      <w:bodyDiv w:val="1"/>
      <w:marLeft w:val="0"/>
      <w:marRight w:val="0"/>
      <w:marTop w:val="0"/>
      <w:marBottom w:val="0"/>
      <w:divBdr>
        <w:top w:val="none" w:sz="0" w:space="0" w:color="auto"/>
        <w:left w:val="none" w:sz="0" w:space="0" w:color="auto"/>
        <w:bottom w:val="none" w:sz="0" w:space="0" w:color="auto"/>
        <w:right w:val="none" w:sz="0" w:space="0" w:color="auto"/>
      </w:divBdr>
    </w:div>
    <w:div w:id="276451897">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13341538">
      <w:bodyDiv w:val="1"/>
      <w:marLeft w:val="0"/>
      <w:marRight w:val="0"/>
      <w:marTop w:val="0"/>
      <w:marBottom w:val="0"/>
      <w:divBdr>
        <w:top w:val="none" w:sz="0" w:space="0" w:color="auto"/>
        <w:left w:val="none" w:sz="0" w:space="0" w:color="auto"/>
        <w:bottom w:val="none" w:sz="0" w:space="0" w:color="auto"/>
        <w:right w:val="none" w:sz="0" w:space="0" w:color="auto"/>
      </w:divBdr>
    </w:div>
    <w:div w:id="384718795">
      <w:bodyDiv w:val="1"/>
      <w:marLeft w:val="0"/>
      <w:marRight w:val="0"/>
      <w:marTop w:val="0"/>
      <w:marBottom w:val="0"/>
      <w:divBdr>
        <w:top w:val="none" w:sz="0" w:space="0" w:color="auto"/>
        <w:left w:val="none" w:sz="0" w:space="0" w:color="auto"/>
        <w:bottom w:val="none" w:sz="0" w:space="0" w:color="auto"/>
        <w:right w:val="none" w:sz="0" w:space="0" w:color="auto"/>
      </w:divBdr>
    </w:div>
    <w:div w:id="422992938">
      <w:bodyDiv w:val="1"/>
      <w:marLeft w:val="0"/>
      <w:marRight w:val="0"/>
      <w:marTop w:val="0"/>
      <w:marBottom w:val="0"/>
      <w:divBdr>
        <w:top w:val="none" w:sz="0" w:space="0" w:color="auto"/>
        <w:left w:val="none" w:sz="0" w:space="0" w:color="auto"/>
        <w:bottom w:val="none" w:sz="0" w:space="0" w:color="auto"/>
        <w:right w:val="none" w:sz="0" w:space="0" w:color="auto"/>
      </w:divBdr>
    </w:div>
    <w:div w:id="497505712">
      <w:bodyDiv w:val="1"/>
      <w:marLeft w:val="0"/>
      <w:marRight w:val="0"/>
      <w:marTop w:val="0"/>
      <w:marBottom w:val="0"/>
      <w:divBdr>
        <w:top w:val="none" w:sz="0" w:space="0" w:color="auto"/>
        <w:left w:val="none" w:sz="0" w:space="0" w:color="auto"/>
        <w:bottom w:val="none" w:sz="0" w:space="0" w:color="auto"/>
        <w:right w:val="none" w:sz="0" w:space="0" w:color="auto"/>
      </w:divBdr>
    </w:div>
    <w:div w:id="502742086">
      <w:bodyDiv w:val="1"/>
      <w:marLeft w:val="0"/>
      <w:marRight w:val="0"/>
      <w:marTop w:val="0"/>
      <w:marBottom w:val="0"/>
      <w:divBdr>
        <w:top w:val="none" w:sz="0" w:space="0" w:color="auto"/>
        <w:left w:val="none" w:sz="0" w:space="0" w:color="auto"/>
        <w:bottom w:val="none" w:sz="0" w:space="0" w:color="auto"/>
        <w:right w:val="none" w:sz="0" w:space="0" w:color="auto"/>
      </w:divBdr>
    </w:div>
    <w:div w:id="507796221">
      <w:bodyDiv w:val="1"/>
      <w:marLeft w:val="0"/>
      <w:marRight w:val="0"/>
      <w:marTop w:val="0"/>
      <w:marBottom w:val="0"/>
      <w:divBdr>
        <w:top w:val="none" w:sz="0" w:space="0" w:color="auto"/>
        <w:left w:val="none" w:sz="0" w:space="0" w:color="auto"/>
        <w:bottom w:val="none" w:sz="0" w:space="0" w:color="auto"/>
        <w:right w:val="none" w:sz="0" w:space="0" w:color="auto"/>
      </w:divBdr>
    </w:div>
    <w:div w:id="529994347">
      <w:bodyDiv w:val="1"/>
      <w:marLeft w:val="0"/>
      <w:marRight w:val="0"/>
      <w:marTop w:val="0"/>
      <w:marBottom w:val="0"/>
      <w:divBdr>
        <w:top w:val="none" w:sz="0" w:space="0" w:color="auto"/>
        <w:left w:val="none" w:sz="0" w:space="0" w:color="auto"/>
        <w:bottom w:val="none" w:sz="0" w:space="0" w:color="auto"/>
        <w:right w:val="none" w:sz="0" w:space="0" w:color="auto"/>
      </w:divBdr>
    </w:div>
    <w:div w:id="533346310">
      <w:bodyDiv w:val="1"/>
      <w:marLeft w:val="0"/>
      <w:marRight w:val="0"/>
      <w:marTop w:val="0"/>
      <w:marBottom w:val="0"/>
      <w:divBdr>
        <w:top w:val="none" w:sz="0" w:space="0" w:color="auto"/>
        <w:left w:val="none" w:sz="0" w:space="0" w:color="auto"/>
        <w:bottom w:val="none" w:sz="0" w:space="0" w:color="auto"/>
        <w:right w:val="none" w:sz="0" w:space="0" w:color="auto"/>
      </w:divBdr>
    </w:div>
    <w:div w:id="611329338">
      <w:bodyDiv w:val="1"/>
      <w:marLeft w:val="0"/>
      <w:marRight w:val="0"/>
      <w:marTop w:val="0"/>
      <w:marBottom w:val="0"/>
      <w:divBdr>
        <w:top w:val="none" w:sz="0" w:space="0" w:color="auto"/>
        <w:left w:val="none" w:sz="0" w:space="0" w:color="auto"/>
        <w:bottom w:val="none" w:sz="0" w:space="0" w:color="auto"/>
        <w:right w:val="none" w:sz="0" w:space="0" w:color="auto"/>
      </w:divBdr>
    </w:div>
    <w:div w:id="665206259">
      <w:bodyDiv w:val="1"/>
      <w:marLeft w:val="0"/>
      <w:marRight w:val="0"/>
      <w:marTop w:val="0"/>
      <w:marBottom w:val="0"/>
      <w:divBdr>
        <w:top w:val="none" w:sz="0" w:space="0" w:color="auto"/>
        <w:left w:val="none" w:sz="0" w:space="0" w:color="auto"/>
        <w:bottom w:val="none" w:sz="0" w:space="0" w:color="auto"/>
        <w:right w:val="none" w:sz="0" w:space="0" w:color="auto"/>
      </w:divBdr>
    </w:div>
    <w:div w:id="778451739">
      <w:bodyDiv w:val="1"/>
      <w:marLeft w:val="0"/>
      <w:marRight w:val="0"/>
      <w:marTop w:val="0"/>
      <w:marBottom w:val="0"/>
      <w:divBdr>
        <w:top w:val="none" w:sz="0" w:space="0" w:color="auto"/>
        <w:left w:val="none" w:sz="0" w:space="0" w:color="auto"/>
        <w:bottom w:val="none" w:sz="0" w:space="0" w:color="auto"/>
        <w:right w:val="none" w:sz="0" w:space="0" w:color="auto"/>
      </w:divBdr>
    </w:div>
    <w:div w:id="800271304">
      <w:bodyDiv w:val="1"/>
      <w:marLeft w:val="0"/>
      <w:marRight w:val="0"/>
      <w:marTop w:val="0"/>
      <w:marBottom w:val="0"/>
      <w:divBdr>
        <w:top w:val="none" w:sz="0" w:space="0" w:color="auto"/>
        <w:left w:val="none" w:sz="0" w:space="0" w:color="auto"/>
        <w:bottom w:val="none" w:sz="0" w:space="0" w:color="auto"/>
        <w:right w:val="none" w:sz="0" w:space="0" w:color="auto"/>
      </w:divBdr>
    </w:div>
    <w:div w:id="864951089">
      <w:bodyDiv w:val="1"/>
      <w:marLeft w:val="0"/>
      <w:marRight w:val="0"/>
      <w:marTop w:val="0"/>
      <w:marBottom w:val="0"/>
      <w:divBdr>
        <w:top w:val="none" w:sz="0" w:space="0" w:color="auto"/>
        <w:left w:val="none" w:sz="0" w:space="0" w:color="auto"/>
        <w:bottom w:val="none" w:sz="0" w:space="0" w:color="auto"/>
        <w:right w:val="none" w:sz="0" w:space="0" w:color="auto"/>
      </w:divBdr>
    </w:div>
    <w:div w:id="866063594">
      <w:bodyDiv w:val="1"/>
      <w:marLeft w:val="0"/>
      <w:marRight w:val="0"/>
      <w:marTop w:val="0"/>
      <w:marBottom w:val="0"/>
      <w:divBdr>
        <w:top w:val="none" w:sz="0" w:space="0" w:color="auto"/>
        <w:left w:val="none" w:sz="0" w:space="0" w:color="auto"/>
        <w:bottom w:val="none" w:sz="0" w:space="0" w:color="auto"/>
        <w:right w:val="none" w:sz="0" w:space="0" w:color="auto"/>
      </w:divBdr>
    </w:div>
    <w:div w:id="910194243">
      <w:bodyDiv w:val="1"/>
      <w:marLeft w:val="0"/>
      <w:marRight w:val="0"/>
      <w:marTop w:val="0"/>
      <w:marBottom w:val="0"/>
      <w:divBdr>
        <w:top w:val="none" w:sz="0" w:space="0" w:color="auto"/>
        <w:left w:val="none" w:sz="0" w:space="0" w:color="auto"/>
        <w:bottom w:val="none" w:sz="0" w:space="0" w:color="auto"/>
        <w:right w:val="none" w:sz="0" w:space="0" w:color="auto"/>
      </w:divBdr>
    </w:div>
    <w:div w:id="932587630">
      <w:bodyDiv w:val="1"/>
      <w:marLeft w:val="0"/>
      <w:marRight w:val="0"/>
      <w:marTop w:val="0"/>
      <w:marBottom w:val="0"/>
      <w:divBdr>
        <w:top w:val="none" w:sz="0" w:space="0" w:color="auto"/>
        <w:left w:val="none" w:sz="0" w:space="0" w:color="auto"/>
        <w:bottom w:val="none" w:sz="0" w:space="0" w:color="auto"/>
        <w:right w:val="none" w:sz="0" w:space="0" w:color="auto"/>
      </w:divBdr>
    </w:div>
    <w:div w:id="938833628">
      <w:bodyDiv w:val="1"/>
      <w:marLeft w:val="0"/>
      <w:marRight w:val="0"/>
      <w:marTop w:val="0"/>
      <w:marBottom w:val="0"/>
      <w:divBdr>
        <w:top w:val="none" w:sz="0" w:space="0" w:color="auto"/>
        <w:left w:val="none" w:sz="0" w:space="0" w:color="auto"/>
        <w:bottom w:val="none" w:sz="0" w:space="0" w:color="auto"/>
        <w:right w:val="none" w:sz="0" w:space="0" w:color="auto"/>
      </w:divBdr>
      <w:divsChild>
        <w:div w:id="752750107">
          <w:marLeft w:val="0"/>
          <w:marRight w:val="0"/>
          <w:marTop w:val="0"/>
          <w:marBottom w:val="0"/>
          <w:divBdr>
            <w:top w:val="none" w:sz="0" w:space="0" w:color="auto"/>
            <w:left w:val="none" w:sz="0" w:space="0" w:color="auto"/>
            <w:bottom w:val="none" w:sz="0" w:space="0" w:color="auto"/>
            <w:right w:val="none" w:sz="0" w:space="0" w:color="auto"/>
          </w:divBdr>
          <w:divsChild>
            <w:div w:id="1728872318">
              <w:marLeft w:val="0"/>
              <w:marRight w:val="0"/>
              <w:marTop w:val="0"/>
              <w:marBottom w:val="0"/>
              <w:divBdr>
                <w:top w:val="none" w:sz="0" w:space="0" w:color="auto"/>
                <w:left w:val="none" w:sz="0" w:space="0" w:color="auto"/>
                <w:bottom w:val="none" w:sz="0" w:space="0" w:color="auto"/>
                <w:right w:val="none" w:sz="0" w:space="0" w:color="auto"/>
              </w:divBdr>
            </w:div>
          </w:divsChild>
        </w:div>
        <w:div w:id="1461878712">
          <w:marLeft w:val="0"/>
          <w:marRight w:val="0"/>
          <w:marTop w:val="0"/>
          <w:marBottom w:val="0"/>
          <w:divBdr>
            <w:top w:val="none" w:sz="0" w:space="0" w:color="auto"/>
            <w:left w:val="none" w:sz="0" w:space="0" w:color="auto"/>
            <w:bottom w:val="none" w:sz="0" w:space="0" w:color="auto"/>
            <w:right w:val="none" w:sz="0" w:space="0" w:color="auto"/>
          </w:divBdr>
          <w:divsChild>
            <w:div w:id="149128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667858">
      <w:bodyDiv w:val="1"/>
      <w:marLeft w:val="0"/>
      <w:marRight w:val="0"/>
      <w:marTop w:val="0"/>
      <w:marBottom w:val="0"/>
      <w:divBdr>
        <w:top w:val="none" w:sz="0" w:space="0" w:color="auto"/>
        <w:left w:val="none" w:sz="0" w:space="0" w:color="auto"/>
        <w:bottom w:val="none" w:sz="0" w:space="0" w:color="auto"/>
        <w:right w:val="none" w:sz="0" w:space="0" w:color="auto"/>
      </w:divBdr>
    </w:div>
    <w:div w:id="1022705072">
      <w:bodyDiv w:val="1"/>
      <w:marLeft w:val="0"/>
      <w:marRight w:val="0"/>
      <w:marTop w:val="0"/>
      <w:marBottom w:val="0"/>
      <w:divBdr>
        <w:top w:val="none" w:sz="0" w:space="0" w:color="auto"/>
        <w:left w:val="none" w:sz="0" w:space="0" w:color="auto"/>
        <w:bottom w:val="none" w:sz="0" w:space="0" w:color="auto"/>
        <w:right w:val="none" w:sz="0" w:space="0" w:color="auto"/>
      </w:divBdr>
    </w:div>
    <w:div w:id="1043210650">
      <w:bodyDiv w:val="1"/>
      <w:marLeft w:val="0"/>
      <w:marRight w:val="0"/>
      <w:marTop w:val="0"/>
      <w:marBottom w:val="0"/>
      <w:divBdr>
        <w:top w:val="none" w:sz="0" w:space="0" w:color="auto"/>
        <w:left w:val="none" w:sz="0" w:space="0" w:color="auto"/>
        <w:bottom w:val="none" w:sz="0" w:space="0" w:color="auto"/>
        <w:right w:val="none" w:sz="0" w:space="0" w:color="auto"/>
      </w:divBdr>
    </w:div>
    <w:div w:id="1194270620">
      <w:bodyDiv w:val="1"/>
      <w:marLeft w:val="0"/>
      <w:marRight w:val="0"/>
      <w:marTop w:val="0"/>
      <w:marBottom w:val="0"/>
      <w:divBdr>
        <w:top w:val="none" w:sz="0" w:space="0" w:color="auto"/>
        <w:left w:val="none" w:sz="0" w:space="0" w:color="auto"/>
        <w:bottom w:val="none" w:sz="0" w:space="0" w:color="auto"/>
        <w:right w:val="none" w:sz="0" w:space="0" w:color="auto"/>
      </w:divBdr>
    </w:div>
    <w:div w:id="1203790537">
      <w:bodyDiv w:val="1"/>
      <w:marLeft w:val="0"/>
      <w:marRight w:val="0"/>
      <w:marTop w:val="0"/>
      <w:marBottom w:val="0"/>
      <w:divBdr>
        <w:top w:val="none" w:sz="0" w:space="0" w:color="auto"/>
        <w:left w:val="none" w:sz="0" w:space="0" w:color="auto"/>
        <w:bottom w:val="none" w:sz="0" w:space="0" w:color="auto"/>
        <w:right w:val="none" w:sz="0" w:space="0" w:color="auto"/>
      </w:divBdr>
    </w:div>
    <w:div w:id="1222406955">
      <w:bodyDiv w:val="1"/>
      <w:marLeft w:val="0"/>
      <w:marRight w:val="0"/>
      <w:marTop w:val="0"/>
      <w:marBottom w:val="0"/>
      <w:divBdr>
        <w:top w:val="none" w:sz="0" w:space="0" w:color="auto"/>
        <w:left w:val="none" w:sz="0" w:space="0" w:color="auto"/>
        <w:bottom w:val="none" w:sz="0" w:space="0" w:color="auto"/>
        <w:right w:val="none" w:sz="0" w:space="0" w:color="auto"/>
      </w:divBdr>
    </w:div>
    <w:div w:id="127081549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91883079">
      <w:bodyDiv w:val="1"/>
      <w:marLeft w:val="0"/>
      <w:marRight w:val="0"/>
      <w:marTop w:val="0"/>
      <w:marBottom w:val="0"/>
      <w:divBdr>
        <w:top w:val="none" w:sz="0" w:space="0" w:color="auto"/>
        <w:left w:val="none" w:sz="0" w:space="0" w:color="auto"/>
        <w:bottom w:val="none" w:sz="0" w:space="0" w:color="auto"/>
        <w:right w:val="none" w:sz="0" w:space="0" w:color="auto"/>
      </w:divBdr>
    </w:div>
    <w:div w:id="1428112701">
      <w:bodyDiv w:val="1"/>
      <w:marLeft w:val="0"/>
      <w:marRight w:val="0"/>
      <w:marTop w:val="0"/>
      <w:marBottom w:val="0"/>
      <w:divBdr>
        <w:top w:val="none" w:sz="0" w:space="0" w:color="auto"/>
        <w:left w:val="none" w:sz="0" w:space="0" w:color="auto"/>
        <w:bottom w:val="none" w:sz="0" w:space="0" w:color="auto"/>
        <w:right w:val="none" w:sz="0" w:space="0" w:color="auto"/>
      </w:divBdr>
    </w:div>
    <w:div w:id="1442795265">
      <w:bodyDiv w:val="1"/>
      <w:marLeft w:val="0"/>
      <w:marRight w:val="0"/>
      <w:marTop w:val="0"/>
      <w:marBottom w:val="0"/>
      <w:divBdr>
        <w:top w:val="none" w:sz="0" w:space="0" w:color="auto"/>
        <w:left w:val="none" w:sz="0" w:space="0" w:color="auto"/>
        <w:bottom w:val="none" w:sz="0" w:space="0" w:color="auto"/>
        <w:right w:val="none" w:sz="0" w:space="0" w:color="auto"/>
      </w:divBdr>
    </w:div>
    <w:div w:id="1510295183">
      <w:bodyDiv w:val="1"/>
      <w:marLeft w:val="0"/>
      <w:marRight w:val="0"/>
      <w:marTop w:val="0"/>
      <w:marBottom w:val="0"/>
      <w:divBdr>
        <w:top w:val="none" w:sz="0" w:space="0" w:color="auto"/>
        <w:left w:val="none" w:sz="0" w:space="0" w:color="auto"/>
        <w:bottom w:val="none" w:sz="0" w:space="0" w:color="auto"/>
        <w:right w:val="none" w:sz="0" w:space="0" w:color="auto"/>
      </w:divBdr>
    </w:div>
    <w:div w:id="1571689379">
      <w:bodyDiv w:val="1"/>
      <w:marLeft w:val="0"/>
      <w:marRight w:val="0"/>
      <w:marTop w:val="0"/>
      <w:marBottom w:val="0"/>
      <w:divBdr>
        <w:top w:val="none" w:sz="0" w:space="0" w:color="auto"/>
        <w:left w:val="none" w:sz="0" w:space="0" w:color="auto"/>
        <w:bottom w:val="none" w:sz="0" w:space="0" w:color="auto"/>
        <w:right w:val="none" w:sz="0" w:space="0" w:color="auto"/>
      </w:divBdr>
    </w:div>
    <w:div w:id="1572079723">
      <w:bodyDiv w:val="1"/>
      <w:marLeft w:val="0"/>
      <w:marRight w:val="0"/>
      <w:marTop w:val="0"/>
      <w:marBottom w:val="0"/>
      <w:divBdr>
        <w:top w:val="none" w:sz="0" w:space="0" w:color="auto"/>
        <w:left w:val="none" w:sz="0" w:space="0" w:color="auto"/>
        <w:bottom w:val="none" w:sz="0" w:space="0" w:color="auto"/>
        <w:right w:val="none" w:sz="0" w:space="0" w:color="auto"/>
      </w:divBdr>
    </w:div>
    <w:div w:id="1583639110">
      <w:bodyDiv w:val="1"/>
      <w:marLeft w:val="0"/>
      <w:marRight w:val="0"/>
      <w:marTop w:val="0"/>
      <w:marBottom w:val="0"/>
      <w:divBdr>
        <w:top w:val="none" w:sz="0" w:space="0" w:color="auto"/>
        <w:left w:val="none" w:sz="0" w:space="0" w:color="auto"/>
        <w:bottom w:val="none" w:sz="0" w:space="0" w:color="auto"/>
        <w:right w:val="none" w:sz="0" w:space="0" w:color="auto"/>
      </w:divBdr>
    </w:div>
    <w:div w:id="1620137380">
      <w:bodyDiv w:val="1"/>
      <w:marLeft w:val="0"/>
      <w:marRight w:val="0"/>
      <w:marTop w:val="0"/>
      <w:marBottom w:val="0"/>
      <w:divBdr>
        <w:top w:val="none" w:sz="0" w:space="0" w:color="auto"/>
        <w:left w:val="none" w:sz="0" w:space="0" w:color="auto"/>
        <w:bottom w:val="none" w:sz="0" w:space="0" w:color="auto"/>
        <w:right w:val="none" w:sz="0" w:space="0" w:color="auto"/>
      </w:divBdr>
    </w:div>
    <w:div w:id="1624069791">
      <w:bodyDiv w:val="1"/>
      <w:marLeft w:val="0"/>
      <w:marRight w:val="0"/>
      <w:marTop w:val="0"/>
      <w:marBottom w:val="0"/>
      <w:divBdr>
        <w:top w:val="none" w:sz="0" w:space="0" w:color="auto"/>
        <w:left w:val="none" w:sz="0" w:space="0" w:color="auto"/>
        <w:bottom w:val="none" w:sz="0" w:space="0" w:color="auto"/>
        <w:right w:val="none" w:sz="0" w:space="0" w:color="auto"/>
      </w:divBdr>
    </w:div>
    <w:div w:id="1697383940">
      <w:bodyDiv w:val="1"/>
      <w:marLeft w:val="0"/>
      <w:marRight w:val="0"/>
      <w:marTop w:val="0"/>
      <w:marBottom w:val="0"/>
      <w:divBdr>
        <w:top w:val="none" w:sz="0" w:space="0" w:color="auto"/>
        <w:left w:val="none" w:sz="0" w:space="0" w:color="auto"/>
        <w:bottom w:val="none" w:sz="0" w:space="0" w:color="auto"/>
        <w:right w:val="none" w:sz="0" w:space="0" w:color="auto"/>
      </w:divBdr>
    </w:div>
    <w:div w:id="1724866852">
      <w:bodyDiv w:val="1"/>
      <w:marLeft w:val="0"/>
      <w:marRight w:val="0"/>
      <w:marTop w:val="0"/>
      <w:marBottom w:val="0"/>
      <w:divBdr>
        <w:top w:val="none" w:sz="0" w:space="0" w:color="auto"/>
        <w:left w:val="none" w:sz="0" w:space="0" w:color="auto"/>
        <w:bottom w:val="none" w:sz="0" w:space="0" w:color="auto"/>
        <w:right w:val="none" w:sz="0" w:space="0" w:color="auto"/>
      </w:divBdr>
    </w:div>
    <w:div w:id="1765026887">
      <w:bodyDiv w:val="1"/>
      <w:marLeft w:val="0"/>
      <w:marRight w:val="0"/>
      <w:marTop w:val="0"/>
      <w:marBottom w:val="0"/>
      <w:divBdr>
        <w:top w:val="none" w:sz="0" w:space="0" w:color="auto"/>
        <w:left w:val="none" w:sz="0" w:space="0" w:color="auto"/>
        <w:bottom w:val="none" w:sz="0" w:space="0" w:color="auto"/>
        <w:right w:val="none" w:sz="0" w:space="0" w:color="auto"/>
      </w:divBdr>
    </w:div>
    <w:div w:id="1821995934">
      <w:bodyDiv w:val="1"/>
      <w:marLeft w:val="0"/>
      <w:marRight w:val="0"/>
      <w:marTop w:val="0"/>
      <w:marBottom w:val="0"/>
      <w:divBdr>
        <w:top w:val="none" w:sz="0" w:space="0" w:color="auto"/>
        <w:left w:val="none" w:sz="0" w:space="0" w:color="auto"/>
        <w:bottom w:val="none" w:sz="0" w:space="0" w:color="auto"/>
        <w:right w:val="none" w:sz="0" w:space="0" w:color="auto"/>
      </w:divBdr>
    </w:div>
    <w:div w:id="1844196729">
      <w:bodyDiv w:val="1"/>
      <w:marLeft w:val="0"/>
      <w:marRight w:val="0"/>
      <w:marTop w:val="0"/>
      <w:marBottom w:val="0"/>
      <w:divBdr>
        <w:top w:val="none" w:sz="0" w:space="0" w:color="auto"/>
        <w:left w:val="none" w:sz="0" w:space="0" w:color="auto"/>
        <w:bottom w:val="none" w:sz="0" w:space="0" w:color="auto"/>
        <w:right w:val="none" w:sz="0" w:space="0" w:color="auto"/>
      </w:divBdr>
    </w:div>
    <w:div w:id="1863980287">
      <w:bodyDiv w:val="1"/>
      <w:marLeft w:val="0"/>
      <w:marRight w:val="0"/>
      <w:marTop w:val="0"/>
      <w:marBottom w:val="0"/>
      <w:divBdr>
        <w:top w:val="none" w:sz="0" w:space="0" w:color="auto"/>
        <w:left w:val="none" w:sz="0" w:space="0" w:color="auto"/>
        <w:bottom w:val="none" w:sz="0" w:space="0" w:color="auto"/>
        <w:right w:val="none" w:sz="0" w:space="0" w:color="auto"/>
      </w:divBdr>
    </w:div>
    <w:div w:id="1979139934">
      <w:bodyDiv w:val="1"/>
      <w:marLeft w:val="0"/>
      <w:marRight w:val="0"/>
      <w:marTop w:val="0"/>
      <w:marBottom w:val="0"/>
      <w:divBdr>
        <w:top w:val="none" w:sz="0" w:space="0" w:color="auto"/>
        <w:left w:val="none" w:sz="0" w:space="0" w:color="auto"/>
        <w:bottom w:val="none" w:sz="0" w:space="0" w:color="auto"/>
        <w:right w:val="none" w:sz="0" w:space="0" w:color="auto"/>
      </w:divBdr>
    </w:div>
    <w:div w:id="1997103245">
      <w:bodyDiv w:val="1"/>
      <w:marLeft w:val="0"/>
      <w:marRight w:val="0"/>
      <w:marTop w:val="0"/>
      <w:marBottom w:val="0"/>
      <w:divBdr>
        <w:top w:val="none" w:sz="0" w:space="0" w:color="auto"/>
        <w:left w:val="none" w:sz="0" w:space="0" w:color="auto"/>
        <w:bottom w:val="none" w:sz="0" w:space="0" w:color="auto"/>
        <w:right w:val="none" w:sz="0" w:space="0" w:color="auto"/>
      </w:divBdr>
    </w:div>
    <w:div w:id="1997493031">
      <w:bodyDiv w:val="1"/>
      <w:marLeft w:val="0"/>
      <w:marRight w:val="0"/>
      <w:marTop w:val="0"/>
      <w:marBottom w:val="0"/>
      <w:divBdr>
        <w:top w:val="none" w:sz="0" w:space="0" w:color="auto"/>
        <w:left w:val="none" w:sz="0" w:space="0" w:color="auto"/>
        <w:bottom w:val="none" w:sz="0" w:space="0" w:color="auto"/>
        <w:right w:val="none" w:sz="0" w:space="0" w:color="auto"/>
      </w:divBdr>
    </w:div>
    <w:div w:id="2030905743">
      <w:bodyDiv w:val="1"/>
      <w:marLeft w:val="0"/>
      <w:marRight w:val="0"/>
      <w:marTop w:val="0"/>
      <w:marBottom w:val="0"/>
      <w:divBdr>
        <w:top w:val="none" w:sz="0" w:space="0" w:color="auto"/>
        <w:left w:val="none" w:sz="0" w:space="0" w:color="auto"/>
        <w:bottom w:val="none" w:sz="0" w:space="0" w:color="auto"/>
        <w:right w:val="none" w:sz="0" w:space="0" w:color="auto"/>
      </w:divBdr>
    </w:div>
    <w:div w:id="2094350044">
      <w:bodyDiv w:val="1"/>
      <w:marLeft w:val="0"/>
      <w:marRight w:val="0"/>
      <w:marTop w:val="0"/>
      <w:marBottom w:val="0"/>
      <w:divBdr>
        <w:top w:val="none" w:sz="0" w:space="0" w:color="auto"/>
        <w:left w:val="none" w:sz="0" w:space="0" w:color="auto"/>
        <w:bottom w:val="none" w:sz="0" w:space="0" w:color="auto"/>
        <w:right w:val="none" w:sz="0" w:space="0" w:color="auto"/>
      </w:divBdr>
    </w:div>
    <w:div w:id="2114087025">
      <w:bodyDiv w:val="1"/>
      <w:marLeft w:val="0"/>
      <w:marRight w:val="0"/>
      <w:marTop w:val="0"/>
      <w:marBottom w:val="0"/>
      <w:divBdr>
        <w:top w:val="none" w:sz="0" w:space="0" w:color="auto"/>
        <w:left w:val="none" w:sz="0" w:space="0" w:color="auto"/>
        <w:bottom w:val="none" w:sz="0" w:space="0" w:color="auto"/>
        <w:right w:val="none" w:sz="0" w:space="0" w:color="auto"/>
      </w:divBdr>
    </w:div>
    <w:div w:id="2115712201">
      <w:bodyDiv w:val="1"/>
      <w:marLeft w:val="0"/>
      <w:marRight w:val="0"/>
      <w:marTop w:val="0"/>
      <w:marBottom w:val="0"/>
      <w:divBdr>
        <w:top w:val="none" w:sz="0" w:space="0" w:color="auto"/>
        <w:left w:val="none" w:sz="0" w:space="0" w:color="auto"/>
        <w:bottom w:val="none" w:sz="0" w:space="0" w:color="auto"/>
        <w:right w:val="none" w:sz="0" w:space="0" w:color="auto"/>
      </w:divBdr>
    </w:div>
    <w:div w:id="2127656506">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492BD-0C06-429E-90DC-E65713642BFA}">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E08BEEA0-C8AC-4A27-9B73-94EB3CBB7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258A5C-5D01-4E96-A1F4-862E66A62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7377</Words>
  <Characters>42053</Characters>
  <Application>Microsoft Office Word</Application>
  <DocSecurity>0</DocSecurity>
  <Lines>350</Lines>
  <Paragraphs>98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Nina María Padrón</cp:lastModifiedBy>
  <cp:revision>2</cp:revision>
  <cp:lastPrinted>2020-01-30T15:05:00Z</cp:lastPrinted>
  <dcterms:created xsi:type="dcterms:W3CDTF">2020-08-26T17:45:00Z</dcterms:created>
  <dcterms:modified xsi:type="dcterms:W3CDTF">2020-08-26T17:45:00Z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