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8594B" w14:textId="3FDBA8EB" w:rsidR="00C10962" w:rsidRPr="00292F1B" w:rsidRDefault="00C10962" w:rsidP="0010548D">
      <w:pPr>
        <w:pStyle w:val="InviasNormal"/>
        <w:spacing w:before="0" w:after="0"/>
        <w:jc w:val="right"/>
        <w:rPr>
          <w:b/>
          <w:color w:val="auto"/>
          <w:sz w:val="20"/>
          <w:szCs w:val="20"/>
        </w:rPr>
      </w:pPr>
      <w:bookmarkStart w:id="0" w:name="_Hlk34041509"/>
      <w:bookmarkStart w:id="1" w:name="_GoBack"/>
      <w:bookmarkEnd w:id="0"/>
      <w:bookmarkEnd w:id="1"/>
      <w:r w:rsidRPr="00292F1B">
        <w:rPr>
          <w:b/>
          <w:color w:val="auto"/>
          <w:sz w:val="20"/>
          <w:szCs w:val="20"/>
        </w:rPr>
        <w:t>CCE-DES-FM-17</w:t>
      </w:r>
    </w:p>
    <w:p w14:paraId="47541965" w14:textId="77777777" w:rsidR="009C6145" w:rsidRDefault="009C6145" w:rsidP="0010548D">
      <w:pPr>
        <w:tabs>
          <w:tab w:val="left" w:pos="426"/>
        </w:tabs>
        <w:jc w:val="both"/>
        <w:rPr>
          <w:rFonts w:ascii="Arial" w:eastAsia="Calibri" w:hAnsi="Arial" w:cs="Arial"/>
          <w:b/>
          <w:sz w:val="22"/>
        </w:rPr>
      </w:pPr>
    </w:p>
    <w:p w14:paraId="753255FF" w14:textId="3DE9A462" w:rsidR="00A14A6F" w:rsidRPr="00292F1B" w:rsidRDefault="00A14A6F" w:rsidP="0010548D">
      <w:pPr>
        <w:tabs>
          <w:tab w:val="left" w:pos="426"/>
        </w:tabs>
        <w:jc w:val="both"/>
        <w:rPr>
          <w:rFonts w:ascii="Arial" w:eastAsia="Calibri" w:hAnsi="Arial" w:cs="Arial"/>
          <w:b/>
          <w:sz w:val="22"/>
        </w:rPr>
      </w:pPr>
      <w:r w:rsidRPr="00292F1B">
        <w:rPr>
          <w:rFonts w:ascii="Arial" w:eastAsia="Calibri" w:hAnsi="Arial" w:cs="Arial"/>
          <w:b/>
          <w:sz w:val="22"/>
        </w:rPr>
        <w:t>INSTITUCIONES EDUCATIVAS OFICIAL</w:t>
      </w:r>
      <w:bookmarkStart w:id="2" w:name="_Hlk39676694"/>
      <w:r w:rsidR="0010548D" w:rsidRPr="00292F1B">
        <w:rPr>
          <w:rFonts w:ascii="Arial" w:eastAsia="Calibri" w:hAnsi="Arial" w:cs="Arial"/>
          <w:b/>
          <w:sz w:val="22"/>
        </w:rPr>
        <w:t>ES</w:t>
      </w:r>
      <w:r w:rsidR="007B2B9C" w:rsidRPr="00292F1B">
        <w:rPr>
          <w:rFonts w:ascii="Arial" w:eastAsia="Calibri" w:hAnsi="Arial" w:cs="Arial"/>
          <w:b/>
          <w:sz w:val="22"/>
        </w:rPr>
        <w:t xml:space="preserve"> </w:t>
      </w:r>
      <w:r w:rsidR="00BE3D8E" w:rsidRPr="00292F1B">
        <w:rPr>
          <w:rFonts w:ascii="Arial" w:eastAsia="Calibri" w:hAnsi="Arial" w:cs="Arial"/>
          <w:b/>
          <w:sz w:val="22"/>
        </w:rPr>
        <w:t>–</w:t>
      </w:r>
      <w:bookmarkEnd w:id="2"/>
      <w:r w:rsidR="0010548D" w:rsidRPr="00292F1B">
        <w:rPr>
          <w:rFonts w:ascii="Arial" w:eastAsia="Calibri" w:hAnsi="Arial" w:cs="Arial"/>
          <w:b/>
          <w:sz w:val="22"/>
        </w:rPr>
        <w:t xml:space="preserve"> Naturaleza jurídica </w:t>
      </w:r>
      <w:r w:rsidR="00BE3D8E" w:rsidRPr="00292F1B">
        <w:rPr>
          <w:rFonts w:ascii="Arial" w:eastAsia="Calibri" w:hAnsi="Arial" w:cs="Arial"/>
          <w:b/>
          <w:sz w:val="22"/>
        </w:rPr>
        <w:t>–</w:t>
      </w:r>
      <w:r w:rsidR="002F71CA" w:rsidRPr="00292F1B">
        <w:rPr>
          <w:rFonts w:ascii="Arial" w:eastAsia="Calibri" w:hAnsi="Arial" w:cs="Arial"/>
          <w:b/>
          <w:sz w:val="22"/>
        </w:rPr>
        <w:t xml:space="preserve"> Capacidad para contratar</w:t>
      </w:r>
    </w:p>
    <w:p w14:paraId="271A1AC3" w14:textId="77777777" w:rsidR="00A14A6F" w:rsidRPr="00292F1B" w:rsidRDefault="00A14A6F" w:rsidP="0010548D">
      <w:pPr>
        <w:tabs>
          <w:tab w:val="left" w:pos="426"/>
        </w:tabs>
        <w:jc w:val="both"/>
        <w:rPr>
          <w:rFonts w:ascii="Arial" w:eastAsia="Calibri" w:hAnsi="Arial" w:cs="Arial"/>
          <w:b/>
          <w:sz w:val="20"/>
          <w:szCs w:val="20"/>
        </w:rPr>
      </w:pPr>
    </w:p>
    <w:p w14:paraId="6B3FB21D" w14:textId="77777777" w:rsidR="004D38B9" w:rsidRPr="00292F1B" w:rsidRDefault="004D38B9" w:rsidP="004D38B9">
      <w:pPr>
        <w:jc w:val="both"/>
        <w:rPr>
          <w:rFonts w:ascii="Arial" w:hAnsi="Arial" w:cs="Arial"/>
          <w:sz w:val="20"/>
          <w:szCs w:val="20"/>
        </w:rPr>
      </w:pPr>
      <w:r w:rsidRPr="00292F1B">
        <w:rPr>
          <w:rFonts w:ascii="Arial" w:hAnsi="Arial" w:cs="Arial"/>
          <w:sz w:val="20"/>
          <w:szCs w:val="20"/>
        </w:rPr>
        <w:t>Las Leyes 60 de 1993 y 715 de 2001 descentralizaron el sistema educativo en Colombia, asignándoles a los departamentos, distritos y municipios las competencias y los recursos económicos para dirigir las instituciones educativas. Es decir, el sistema educativo está descentralizado por las competencias propias que se le han otorgado a las entidades territoriales para administrar las instituciones educativas que pueden ser de los diferentes niveles pero estas no son entidades descentralizadas</w:t>
      </w:r>
    </w:p>
    <w:p w14:paraId="15F1E8DE" w14:textId="55EC748A" w:rsidR="004D38B9" w:rsidRPr="00292F1B" w:rsidRDefault="004D38B9" w:rsidP="004D38B9">
      <w:pPr>
        <w:jc w:val="both"/>
        <w:rPr>
          <w:rFonts w:ascii="Arial" w:hAnsi="Arial" w:cs="Arial"/>
          <w:sz w:val="20"/>
          <w:szCs w:val="20"/>
        </w:rPr>
      </w:pPr>
      <w:r w:rsidRPr="00292F1B">
        <w:rPr>
          <w:rFonts w:ascii="Arial" w:hAnsi="Arial" w:cs="Arial"/>
          <w:sz w:val="20"/>
          <w:szCs w:val="20"/>
        </w:rPr>
        <w:t xml:space="preserve">. </w:t>
      </w:r>
    </w:p>
    <w:p w14:paraId="04F96F83" w14:textId="05A0F687" w:rsidR="0010548D" w:rsidRPr="00292F1B" w:rsidRDefault="004D38B9" w:rsidP="004D38B9">
      <w:pPr>
        <w:jc w:val="both"/>
        <w:rPr>
          <w:rFonts w:ascii="Arial" w:hAnsi="Arial" w:cs="Arial"/>
          <w:sz w:val="20"/>
          <w:szCs w:val="20"/>
        </w:rPr>
      </w:pPr>
      <w:r w:rsidRPr="00292F1B">
        <w:rPr>
          <w:rFonts w:ascii="Arial" w:hAnsi="Arial" w:cs="Arial"/>
          <w:sz w:val="20"/>
          <w:szCs w:val="20"/>
        </w:rPr>
        <w:t>Conforme a lo anterior, las instituciones educativas pertenecen a la entidad territorial que haya efectuado su reconocimiento de carácter oficial. No obstante, carecen de personería jurídica, pero tienen capacidad para contratar y se concreta en la competencia que le otorgó el legislador en la Ley 715 de 2001 para administrar los fondos de servicios educativos, siendo cuentas contables que le permiten a las instituciones realizar la gestión y ejecución presupuestal de los recursos que reciben los establecimientos educativos</w:t>
      </w:r>
    </w:p>
    <w:p w14:paraId="0B1E536A" w14:textId="77777777" w:rsidR="004D38B9" w:rsidRPr="00292F1B" w:rsidRDefault="004D38B9" w:rsidP="004D38B9">
      <w:pPr>
        <w:jc w:val="both"/>
        <w:rPr>
          <w:rFonts w:ascii="Arial" w:hAnsi="Arial" w:cs="Arial"/>
          <w:sz w:val="20"/>
          <w:szCs w:val="20"/>
        </w:rPr>
      </w:pPr>
    </w:p>
    <w:p w14:paraId="210F3882" w14:textId="0853C4FE" w:rsidR="0010548D" w:rsidRPr="00292F1B" w:rsidRDefault="0010548D" w:rsidP="0010548D">
      <w:pPr>
        <w:jc w:val="both"/>
        <w:rPr>
          <w:rFonts w:ascii="Arial" w:hAnsi="Arial" w:cs="Arial"/>
          <w:b/>
          <w:bCs/>
          <w:sz w:val="22"/>
        </w:rPr>
      </w:pPr>
      <w:r w:rsidRPr="00292F1B">
        <w:rPr>
          <w:rFonts w:ascii="Arial" w:hAnsi="Arial" w:cs="Arial"/>
          <w:b/>
          <w:bCs/>
          <w:sz w:val="22"/>
        </w:rPr>
        <w:t>INSTITUCIONES EDUCATIVAS OFICIALES – Contratación – Umbral – Veinte salarios mínimos legales mensuales vigentes – Competencia del Consejo Directivo</w:t>
      </w:r>
    </w:p>
    <w:p w14:paraId="76F30311" w14:textId="63C99A9C" w:rsidR="0010548D" w:rsidRPr="00292F1B" w:rsidRDefault="0010548D" w:rsidP="0010548D">
      <w:pPr>
        <w:jc w:val="both"/>
        <w:rPr>
          <w:rFonts w:ascii="Arial" w:hAnsi="Arial" w:cs="Arial"/>
          <w:b/>
          <w:bCs/>
          <w:sz w:val="22"/>
        </w:rPr>
      </w:pPr>
    </w:p>
    <w:p w14:paraId="5C55DAAC" w14:textId="0EEA28D2" w:rsidR="004D38B9" w:rsidRPr="00292F1B" w:rsidRDefault="004D38B9" w:rsidP="00716408">
      <w:pPr>
        <w:spacing w:after="120"/>
        <w:jc w:val="both"/>
        <w:rPr>
          <w:rFonts w:ascii="Arial" w:hAnsi="Arial" w:cs="Arial"/>
          <w:sz w:val="20"/>
          <w:szCs w:val="20"/>
        </w:rPr>
      </w:pPr>
      <w:r w:rsidRPr="00292F1B">
        <w:rPr>
          <w:rFonts w:ascii="Arial" w:hAnsi="Arial" w:cs="Arial"/>
          <w:sz w:val="20"/>
          <w:szCs w:val="20"/>
        </w:rPr>
        <w:t>Respecto de la capacidad para contratar con la que cuentan las instituciones educativas por medio de los fondos de servicios educativos, hay que precisar que cuando se trate de actos y contratos cuya cuantía no exceda los veinte (20) salarios mínimos mensuales legales vigentes, se sujetarán a las condiciones previstas en el reglamento de contratación que expida el consejo directivo de la institución, de conformidad con lo dispuesto en el artículo 13 de la Ley 715 de 2001. […]</w:t>
      </w:r>
    </w:p>
    <w:p w14:paraId="64B2DB03" w14:textId="77777777" w:rsidR="004D38B9" w:rsidRPr="00292F1B" w:rsidRDefault="004D38B9" w:rsidP="00716408">
      <w:pPr>
        <w:spacing w:after="120"/>
        <w:jc w:val="both"/>
        <w:rPr>
          <w:rFonts w:ascii="Arial" w:hAnsi="Arial" w:cs="Arial"/>
          <w:sz w:val="20"/>
          <w:szCs w:val="20"/>
        </w:rPr>
      </w:pPr>
      <w:r w:rsidRPr="00292F1B">
        <w:rPr>
          <w:rFonts w:ascii="Arial" w:hAnsi="Arial" w:cs="Arial"/>
          <w:sz w:val="20"/>
          <w:szCs w:val="20"/>
        </w:rPr>
        <w:t xml:space="preserve">En ese sentido, tratándose de la contratación realizada por dichas instituciones por debajo de la cuantía de veinte (20) salarios mínimos legales mensuales vigentes, es el consejo directivo quien tiene la competencia para establecer las reglas conforme a las cuales debe realizarse la adquisición de bienes, obras y servicios, incluidos los procedimientos, mecanismos, requisitos y formalidades que deben respetarse en estos procesos de contratación. </w:t>
      </w:r>
    </w:p>
    <w:p w14:paraId="3C88FCD3" w14:textId="60F19F46" w:rsidR="004D38B9" w:rsidRPr="00292F1B" w:rsidRDefault="004D38B9" w:rsidP="005C40E9">
      <w:pPr>
        <w:jc w:val="both"/>
        <w:rPr>
          <w:rFonts w:ascii="Arial" w:hAnsi="Arial" w:cs="Arial"/>
          <w:sz w:val="20"/>
          <w:szCs w:val="20"/>
        </w:rPr>
      </w:pPr>
      <w:r w:rsidRPr="00292F1B">
        <w:rPr>
          <w:rFonts w:ascii="Arial" w:hAnsi="Arial" w:cs="Arial"/>
          <w:sz w:val="20"/>
          <w:szCs w:val="20"/>
        </w:rPr>
        <w:t>Por el contrario, cuando la celebración de contratos a que haya lugar con recursos del fondo de servicios educativos supere la cuantía de los veinte (20) salarios mínimos legales mensuales vigentes, debe hacerse con estricta sujeción a lo dispuesto en la Ley 80 de 1993, por lo que las reglas a las que deben sujetarse los procedimientos dentro de los que se enmarque esta contratación son las del Estatuto General de Contratación de la Administración Pública, procediendo la aplicación de las modalidades de selección definidas en la Ley 1150 de 2007, así como los requisitos y formalidades establecidas en el Decreto 1082 del 2015 y demás normatividad integrante del referido estatuto.</w:t>
      </w:r>
    </w:p>
    <w:p w14:paraId="23B2B606" w14:textId="77777777" w:rsidR="00A14A6F" w:rsidRPr="00292F1B" w:rsidRDefault="00A14A6F" w:rsidP="0010548D">
      <w:pPr>
        <w:jc w:val="both"/>
        <w:rPr>
          <w:rFonts w:ascii="Arial" w:eastAsia="Calibri" w:hAnsi="Arial" w:cs="Arial"/>
          <w:b/>
          <w:sz w:val="20"/>
          <w:szCs w:val="20"/>
        </w:rPr>
      </w:pPr>
    </w:p>
    <w:p w14:paraId="19FDCB24" w14:textId="4ABD00B8" w:rsidR="00A14A6F" w:rsidRPr="00292F1B" w:rsidRDefault="00A14A6F" w:rsidP="0010548D">
      <w:pPr>
        <w:jc w:val="both"/>
        <w:rPr>
          <w:rFonts w:ascii="Arial" w:eastAsia="Calibri" w:hAnsi="Arial" w:cs="Arial"/>
          <w:b/>
          <w:sz w:val="22"/>
        </w:rPr>
      </w:pPr>
      <w:r w:rsidRPr="00292F1B">
        <w:rPr>
          <w:rFonts w:ascii="Arial" w:eastAsia="Calibri" w:hAnsi="Arial" w:cs="Arial"/>
          <w:b/>
          <w:sz w:val="22"/>
        </w:rPr>
        <w:t>PUBLICIDAD SECOP</w:t>
      </w:r>
      <w:r w:rsidR="00BE3D8E" w:rsidRPr="00292F1B">
        <w:rPr>
          <w:rFonts w:ascii="Arial" w:eastAsia="Calibri" w:hAnsi="Arial" w:cs="Arial"/>
          <w:b/>
          <w:sz w:val="22"/>
        </w:rPr>
        <w:t xml:space="preserve"> –</w:t>
      </w:r>
      <w:r w:rsidRPr="00292F1B">
        <w:rPr>
          <w:rFonts w:ascii="Arial" w:eastAsia="Calibri" w:hAnsi="Arial" w:cs="Arial"/>
          <w:b/>
          <w:sz w:val="22"/>
        </w:rPr>
        <w:t xml:space="preserve"> Entidades de régimen especial</w:t>
      </w:r>
      <w:r w:rsidR="00BE3D8E" w:rsidRPr="00292F1B">
        <w:rPr>
          <w:rFonts w:ascii="Arial" w:eastAsia="Calibri" w:hAnsi="Arial" w:cs="Arial"/>
          <w:b/>
          <w:sz w:val="22"/>
        </w:rPr>
        <w:t xml:space="preserve"> –</w:t>
      </w:r>
      <w:r w:rsidRPr="00292F1B">
        <w:rPr>
          <w:rFonts w:ascii="Arial" w:eastAsia="Calibri" w:hAnsi="Arial" w:cs="Arial"/>
          <w:b/>
          <w:sz w:val="22"/>
        </w:rPr>
        <w:t xml:space="preserve"> Fundamento normativo</w:t>
      </w:r>
    </w:p>
    <w:p w14:paraId="3866D814" w14:textId="77777777" w:rsidR="00A14A6F" w:rsidRPr="00292F1B" w:rsidRDefault="00A14A6F" w:rsidP="0010548D">
      <w:pPr>
        <w:jc w:val="both"/>
        <w:rPr>
          <w:rFonts w:ascii="Arial" w:eastAsia="Calibri" w:hAnsi="Arial" w:cs="Arial"/>
          <w:b/>
          <w:sz w:val="20"/>
          <w:szCs w:val="20"/>
        </w:rPr>
      </w:pPr>
    </w:p>
    <w:p w14:paraId="5C7C535A" w14:textId="46D1A1BA" w:rsidR="00A14A6F" w:rsidRPr="00292F1B" w:rsidRDefault="00BE3D8E" w:rsidP="0010548D">
      <w:pPr>
        <w:spacing w:after="120"/>
        <w:jc w:val="both"/>
        <w:rPr>
          <w:rFonts w:ascii="Arial" w:hAnsi="Arial" w:cs="Arial"/>
          <w:sz w:val="20"/>
          <w:szCs w:val="20"/>
        </w:rPr>
      </w:pPr>
      <w:r w:rsidRPr="00292F1B">
        <w:rPr>
          <w:rFonts w:ascii="Arial" w:hAnsi="Arial" w:cs="Arial"/>
          <w:sz w:val="20"/>
          <w:szCs w:val="20"/>
        </w:rPr>
        <w:t xml:space="preserve">[…] </w:t>
      </w:r>
      <w:r w:rsidR="005E2D11" w:rsidRPr="00292F1B">
        <w:rPr>
          <w:rFonts w:ascii="Arial" w:hAnsi="Arial" w:cs="Arial"/>
          <w:sz w:val="20"/>
          <w:szCs w:val="20"/>
        </w:rPr>
        <w:t>e</w:t>
      </w:r>
      <w:r w:rsidR="00A14A6F" w:rsidRPr="00292F1B">
        <w:rPr>
          <w:rFonts w:ascii="Arial" w:hAnsi="Arial" w:cs="Arial"/>
          <w:sz w:val="20"/>
          <w:szCs w:val="20"/>
        </w:rPr>
        <w:t xml:space="preserve">l Consejo de Estado asumió como criterio para determinar la obligatoriedad de publicar en el SECOP que la contratación se haga con recursos públicos, conclusión que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de Colombia Compra Eficiente un pronunciamiento del Consejo de Estado. </w:t>
      </w:r>
    </w:p>
    <w:p w14:paraId="709C6F2A" w14:textId="77777777" w:rsidR="0010548D" w:rsidRPr="00292F1B" w:rsidRDefault="0010548D" w:rsidP="0010548D">
      <w:pPr>
        <w:jc w:val="both"/>
        <w:rPr>
          <w:rFonts w:ascii="Arial" w:eastAsia="Calibri" w:hAnsi="Arial" w:cs="Arial"/>
          <w:sz w:val="21"/>
          <w:szCs w:val="21"/>
        </w:rPr>
      </w:pPr>
    </w:p>
    <w:p w14:paraId="05908312" w14:textId="77777777" w:rsidR="0010548D" w:rsidRPr="00292F1B" w:rsidRDefault="0010548D" w:rsidP="0010548D">
      <w:pPr>
        <w:jc w:val="both"/>
        <w:rPr>
          <w:rFonts w:ascii="Arial" w:eastAsia="Calibri" w:hAnsi="Arial" w:cs="Arial"/>
          <w:sz w:val="21"/>
          <w:szCs w:val="21"/>
        </w:rPr>
      </w:pPr>
    </w:p>
    <w:p w14:paraId="03D50131" w14:textId="77777777" w:rsidR="0010548D" w:rsidRPr="00292F1B" w:rsidRDefault="0010548D" w:rsidP="0010548D">
      <w:pPr>
        <w:jc w:val="both"/>
        <w:rPr>
          <w:rFonts w:ascii="Arial" w:eastAsia="Calibri" w:hAnsi="Arial" w:cs="Arial"/>
          <w:sz w:val="21"/>
          <w:szCs w:val="21"/>
        </w:rPr>
      </w:pPr>
    </w:p>
    <w:p w14:paraId="2896869A" w14:textId="1400F573" w:rsidR="00A14A6F" w:rsidRPr="00292F1B" w:rsidRDefault="00A14A6F" w:rsidP="0010548D">
      <w:pPr>
        <w:jc w:val="both"/>
        <w:rPr>
          <w:rFonts w:ascii="Arial" w:eastAsia="Calibri" w:hAnsi="Arial" w:cs="Arial"/>
          <w:sz w:val="20"/>
          <w:szCs w:val="20"/>
          <w:lang w:val="es-ES"/>
        </w:rPr>
      </w:pPr>
      <w:r w:rsidRPr="00292F1B">
        <w:rPr>
          <w:rFonts w:ascii="Arial" w:eastAsia="Calibri" w:hAnsi="Arial" w:cs="Arial"/>
          <w:sz w:val="21"/>
          <w:szCs w:val="21"/>
        </w:rPr>
        <w:t xml:space="preserve"> </w:t>
      </w:r>
    </w:p>
    <w:p w14:paraId="31B692CB" w14:textId="6DB7D2A8" w:rsidR="00A14A6F" w:rsidRPr="00292F1B" w:rsidRDefault="009C7FF2" w:rsidP="0010548D">
      <w:pPr>
        <w:pStyle w:val="Prrafodelista"/>
        <w:ind w:left="0"/>
        <w:contextualSpacing w:val="0"/>
        <w:rPr>
          <w:rFonts w:ascii="Arial" w:eastAsia="Calibri" w:hAnsi="Arial" w:cs="Arial"/>
          <w:b/>
          <w:sz w:val="22"/>
        </w:rPr>
      </w:pPr>
      <w:r w:rsidRPr="00292F1B">
        <w:rPr>
          <w:rFonts w:ascii="Arial" w:eastAsia="Calibri" w:hAnsi="Arial" w:cs="Arial"/>
          <w:b/>
          <w:sz w:val="22"/>
        </w:rPr>
        <w:t>PUBLIC</w:t>
      </w:r>
      <w:r w:rsidR="0048065E">
        <w:rPr>
          <w:rFonts w:ascii="Arial" w:eastAsia="Calibri" w:hAnsi="Arial" w:cs="Arial"/>
          <w:b/>
          <w:sz w:val="22"/>
        </w:rPr>
        <w:t>IDAD</w:t>
      </w:r>
      <w:r w:rsidR="00A14A6F" w:rsidRPr="00292F1B">
        <w:rPr>
          <w:rFonts w:ascii="Arial" w:eastAsia="Calibri" w:hAnsi="Arial" w:cs="Arial"/>
          <w:b/>
          <w:sz w:val="22"/>
        </w:rPr>
        <w:t xml:space="preserve"> SECOP </w:t>
      </w:r>
      <w:r w:rsidR="00BE3D8E" w:rsidRPr="00292F1B">
        <w:rPr>
          <w:rFonts w:ascii="Arial" w:eastAsia="Calibri" w:hAnsi="Arial" w:cs="Arial"/>
          <w:b/>
          <w:sz w:val="22"/>
        </w:rPr>
        <w:t>–</w:t>
      </w:r>
      <w:r w:rsidR="00A14A6F" w:rsidRPr="00292F1B">
        <w:rPr>
          <w:rFonts w:ascii="Arial" w:eastAsia="Calibri" w:hAnsi="Arial" w:cs="Arial"/>
          <w:b/>
          <w:sz w:val="22"/>
        </w:rPr>
        <w:t xml:space="preserve"> Entidades de régimen especial</w:t>
      </w:r>
      <w:r w:rsidR="00D15F84">
        <w:rPr>
          <w:rFonts w:ascii="Arial" w:eastAsia="Calibri" w:hAnsi="Arial" w:cs="Arial"/>
          <w:b/>
          <w:sz w:val="22"/>
        </w:rPr>
        <w:t xml:space="preserve"> – Documentos</w:t>
      </w:r>
    </w:p>
    <w:p w14:paraId="442A4F36" w14:textId="77777777" w:rsidR="00A14A6F" w:rsidRPr="00292F1B" w:rsidRDefault="00A14A6F" w:rsidP="0010548D">
      <w:pPr>
        <w:pStyle w:val="Prrafodelista"/>
        <w:ind w:left="0"/>
        <w:contextualSpacing w:val="0"/>
        <w:rPr>
          <w:rFonts w:ascii="Arial" w:eastAsia="Calibri" w:hAnsi="Arial" w:cs="Arial"/>
          <w:sz w:val="20"/>
          <w:szCs w:val="20"/>
        </w:rPr>
      </w:pPr>
    </w:p>
    <w:p w14:paraId="6557FE0E" w14:textId="4019695F" w:rsidR="009C7FF2" w:rsidRDefault="003C1395" w:rsidP="005C40E9">
      <w:pPr>
        <w:jc w:val="both"/>
        <w:rPr>
          <w:rFonts w:ascii="Arial" w:hAnsi="Arial" w:cs="Arial"/>
          <w:sz w:val="20"/>
          <w:szCs w:val="20"/>
        </w:rPr>
      </w:pPr>
      <w:r w:rsidRPr="00292F1B">
        <w:rPr>
          <w:rFonts w:ascii="Arial" w:hAnsi="Arial" w:cs="Arial"/>
          <w:sz w:val="20"/>
          <w:szCs w:val="20"/>
        </w:rPr>
        <w:t>E</w:t>
      </w:r>
      <w:r w:rsidR="0010548D" w:rsidRPr="00292F1B">
        <w:rPr>
          <w:rFonts w:ascii="Arial" w:hAnsi="Arial" w:cs="Arial"/>
          <w:sz w:val="20"/>
          <w:szCs w:val="20"/>
        </w:rPr>
        <w:t>l Decreto 1081 de 2015, «Por medio del cual se expide el Decreto Reglamentario Único del Sector Presidencia de la República», y en el cual quedó compilado el Decreto 103 de 2015, reglamentario de la Ley 1712 de 2014, en el artículo 2.1.1.2.1.8, señala, de forma enunciativa, que se debe publicar la información relativa a la ejecución del contrato, como las aprobaciones, autorizaciones, requerimientos o informes del supervisor o interventor, que aprueben la ejecución del contrato. Por su parte, el artículo 2.1.1.2.1.9 señala que las entidades deberán publicar los procedimientos, lineamientos y políticas en materia de adquisición, que no son otros que los previstos en el manual de contratación, que se expidió de acuerdo con los lineamientos de la Agencia Nacional de Contratación Pública, el cual debe publicarse en el sitio web del sujeto obligado. Finalmente, el artículo 2.1.1.2.1.10 establece la obligación que tienen las entidades de publicar en el SECOP el Plan Anual de Adquisiciones.</w:t>
      </w:r>
    </w:p>
    <w:p w14:paraId="2BD91F85" w14:textId="77777777" w:rsidR="009C6145" w:rsidRPr="00292F1B" w:rsidRDefault="009C6145" w:rsidP="005C40E9">
      <w:pPr>
        <w:jc w:val="both"/>
        <w:rPr>
          <w:rFonts w:ascii="Arial" w:eastAsia="Calibri" w:hAnsi="Arial" w:cs="Arial"/>
          <w:sz w:val="22"/>
        </w:rPr>
      </w:pPr>
    </w:p>
    <w:p w14:paraId="79806D50" w14:textId="29EC428C" w:rsidR="00A14A6F" w:rsidRPr="00292F1B" w:rsidRDefault="00A14A6F" w:rsidP="0010548D">
      <w:pPr>
        <w:jc w:val="both"/>
        <w:rPr>
          <w:rFonts w:ascii="Arial" w:hAnsi="Arial" w:cs="Arial"/>
          <w:b/>
          <w:sz w:val="22"/>
        </w:rPr>
      </w:pPr>
      <w:r w:rsidRPr="00292F1B">
        <w:rPr>
          <w:rFonts w:ascii="Arial" w:hAnsi="Arial" w:cs="Arial"/>
          <w:b/>
          <w:sz w:val="22"/>
        </w:rPr>
        <w:t>PUBLI</w:t>
      </w:r>
      <w:r w:rsidR="0048065E">
        <w:rPr>
          <w:rFonts w:ascii="Arial" w:hAnsi="Arial" w:cs="Arial"/>
          <w:b/>
          <w:sz w:val="22"/>
        </w:rPr>
        <w:t xml:space="preserve">CIDAD </w:t>
      </w:r>
      <w:r w:rsidRPr="00292F1B">
        <w:rPr>
          <w:rFonts w:ascii="Arial" w:hAnsi="Arial" w:cs="Arial"/>
          <w:b/>
          <w:sz w:val="22"/>
        </w:rPr>
        <w:t xml:space="preserve">SECOP </w:t>
      </w:r>
      <w:r w:rsidR="00BE3D8E" w:rsidRPr="00292F1B">
        <w:rPr>
          <w:rFonts w:ascii="Arial" w:eastAsia="Calibri" w:hAnsi="Arial" w:cs="Arial"/>
          <w:b/>
          <w:sz w:val="22"/>
        </w:rPr>
        <w:t>–</w:t>
      </w:r>
      <w:r w:rsidRPr="00292F1B">
        <w:rPr>
          <w:rFonts w:ascii="Arial" w:hAnsi="Arial" w:cs="Arial"/>
          <w:b/>
          <w:sz w:val="22"/>
        </w:rPr>
        <w:t xml:space="preserve"> </w:t>
      </w:r>
      <w:r w:rsidR="009C7FF2" w:rsidRPr="00292F1B">
        <w:rPr>
          <w:rFonts w:ascii="Arial" w:hAnsi="Arial" w:cs="Arial"/>
          <w:b/>
          <w:sz w:val="22"/>
        </w:rPr>
        <w:t xml:space="preserve">Plazo </w:t>
      </w:r>
      <w:r w:rsidR="009C7FF2" w:rsidRPr="00292F1B">
        <w:rPr>
          <w:rFonts w:ascii="Arial" w:eastAsia="Calibri" w:hAnsi="Arial" w:cs="Arial"/>
          <w:b/>
          <w:sz w:val="22"/>
        </w:rPr>
        <w:t xml:space="preserve">– </w:t>
      </w:r>
      <w:r w:rsidRPr="00292F1B">
        <w:rPr>
          <w:rFonts w:ascii="Arial" w:hAnsi="Arial" w:cs="Arial"/>
          <w:b/>
          <w:sz w:val="22"/>
        </w:rPr>
        <w:t>Entidades régimen especial</w:t>
      </w:r>
    </w:p>
    <w:p w14:paraId="4EEE7C57" w14:textId="77777777" w:rsidR="00A14A6F" w:rsidRPr="00292F1B" w:rsidRDefault="00A14A6F" w:rsidP="0010548D">
      <w:pPr>
        <w:jc w:val="both"/>
        <w:rPr>
          <w:rFonts w:ascii="Arial" w:hAnsi="Arial" w:cs="Arial"/>
          <w:sz w:val="20"/>
          <w:szCs w:val="20"/>
        </w:rPr>
      </w:pPr>
    </w:p>
    <w:p w14:paraId="04F194F7" w14:textId="32E2C1C1" w:rsidR="00BE3D8E" w:rsidRPr="00292F1B" w:rsidRDefault="00A14A6F" w:rsidP="0010548D">
      <w:pPr>
        <w:spacing w:after="120"/>
        <w:jc w:val="both"/>
        <w:rPr>
          <w:rFonts w:ascii="Arial" w:hAnsi="Arial" w:cs="Arial"/>
          <w:sz w:val="20"/>
          <w:szCs w:val="20"/>
        </w:rPr>
      </w:pPr>
      <w:r w:rsidRPr="00292F1B">
        <w:rPr>
          <w:rFonts w:ascii="Arial" w:hAnsi="Arial" w:cs="Arial"/>
          <w:sz w:val="20"/>
          <w:szCs w:val="20"/>
        </w:rPr>
        <w:t>Si bien el Decreto 1082 de 2015, en principio no aplica a las entidades estatales exceptuadas del Estatuto General de Contratación de la Administración Pública, porque su régimen de contratación es el derecho privado, es posible aplicarle el artículo 2.2.1.1.1.7.1. en virtud de la analogía. Lo anterior, debido a que esta norma guarda similitud con el asunto tratado ya que regula la publicidad de los documentos del SECOP y, por lo tanto, es viable aplicarle su consecuencia jurídica a las entidades de régimen especial.</w:t>
      </w:r>
    </w:p>
    <w:p w14:paraId="1A137E90" w14:textId="77777777" w:rsidR="00BE3D8E" w:rsidRPr="00292F1B" w:rsidRDefault="00A14A6F" w:rsidP="0010548D">
      <w:pPr>
        <w:spacing w:after="120"/>
        <w:jc w:val="both"/>
        <w:rPr>
          <w:rFonts w:ascii="Arial" w:hAnsi="Arial" w:cs="Arial"/>
          <w:sz w:val="20"/>
          <w:szCs w:val="20"/>
        </w:rPr>
      </w:pPr>
      <w:r w:rsidRPr="00292F1B">
        <w:rPr>
          <w:rFonts w:ascii="Arial" w:hAnsi="Arial" w:cs="Arial"/>
          <w:sz w:val="20"/>
          <w:szCs w:val="20"/>
        </w:rPr>
        <w:t>Conforme a lo anterior, las entidades de régimen especial deben publicar sus documentos del proceso de contratación dentro de los tres (3) días siguientes a su expedición; porque a pesar de que en principio el artículo 2.2.1.1.1.7.1 del Decreto 1082 de 2015 no les aplica, sí es posible y necesario en virtud de la analogía.</w:t>
      </w:r>
    </w:p>
    <w:p w14:paraId="2E24ED33" w14:textId="6487B768" w:rsidR="00A14A6F" w:rsidRPr="00292F1B" w:rsidRDefault="00A14A6F" w:rsidP="0010548D">
      <w:pPr>
        <w:spacing w:after="120"/>
        <w:jc w:val="both"/>
        <w:rPr>
          <w:rFonts w:ascii="Arial" w:hAnsi="Arial" w:cs="Arial"/>
          <w:sz w:val="20"/>
          <w:szCs w:val="20"/>
        </w:rPr>
      </w:pPr>
      <w:r w:rsidRPr="00292F1B">
        <w:rPr>
          <w:rFonts w:ascii="Arial" w:hAnsi="Arial" w:cs="Arial"/>
          <w:sz w:val="20"/>
          <w:szCs w:val="20"/>
        </w:rPr>
        <w:t xml:space="preserve">En todo caso, si se adoptara la posición del Consejo de Estado, explicada con anterioridad, es decir, que la obligación de publicar en el SECOP se apoya del literal c) del artículo 3 de la Ley 1150 de 2007, entonces también se debe publicar toda la contratación realizada con recursos públicos, independientemente del régimen de contratación de la entidad, porque el Decreto 1082 de 2015 reglamenta el artículo 3 de la Ley 1150 de 2007 y se aplicaría el artículo 2.2.1.1.1.7.1. </w:t>
      </w:r>
    </w:p>
    <w:p w14:paraId="59AC7DF7" w14:textId="77777777" w:rsidR="00A14A6F" w:rsidRPr="00292F1B" w:rsidRDefault="00A14A6F" w:rsidP="005E2D11">
      <w:pPr>
        <w:spacing w:after="120"/>
        <w:jc w:val="both"/>
        <w:rPr>
          <w:rFonts w:ascii="Arial" w:hAnsi="Arial" w:cs="Arial"/>
          <w:sz w:val="20"/>
          <w:szCs w:val="20"/>
        </w:rPr>
      </w:pPr>
    </w:p>
    <w:p w14:paraId="34C0BA76" w14:textId="77777777" w:rsidR="00B24529" w:rsidRPr="00292F1B" w:rsidRDefault="00B24529" w:rsidP="00B24529">
      <w:pPr>
        <w:pStyle w:val="Default"/>
        <w:rPr>
          <w:color w:val="auto"/>
          <w:sz w:val="20"/>
          <w:szCs w:val="20"/>
        </w:rPr>
      </w:pPr>
    </w:p>
    <w:p w14:paraId="21BAF961" w14:textId="77777777" w:rsidR="00AC14EA" w:rsidRPr="00AC14EA" w:rsidRDefault="00AC14EA" w:rsidP="00AC14EA">
      <w:pPr>
        <w:autoSpaceDE w:val="0"/>
        <w:autoSpaceDN w:val="0"/>
        <w:adjustRightInd w:val="0"/>
        <w:rPr>
          <w:rFonts w:ascii="Arial" w:hAnsi="Arial" w:cs="Arial"/>
          <w:color w:val="000000"/>
          <w:szCs w:val="24"/>
          <w:lang w:val="es-CO"/>
        </w:rPr>
      </w:pPr>
    </w:p>
    <w:p w14:paraId="1CFDBF21" w14:textId="77777777" w:rsidR="00AC14EA" w:rsidRPr="00AC14EA" w:rsidRDefault="00AC14EA" w:rsidP="00AC14EA">
      <w:pPr>
        <w:autoSpaceDE w:val="0"/>
        <w:autoSpaceDN w:val="0"/>
        <w:adjustRightInd w:val="0"/>
        <w:rPr>
          <w:rFonts w:ascii="Arial" w:hAnsi="Arial" w:cs="Arial"/>
          <w:color w:val="000000"/>
          <w:sz w:val="22"/>
          <w:lang w:val="es-CO"/>
        </w:rPr>
      </w:pPr>
      <w:r w:rsidRPr="00AC14EA">
        <w:rPr>
          <w:rFonts w:ascii="Arial" w:hAnsi="Arial" w:cs="Arial"/>
          <w:color w:val="000000"/>
          <w:szCs w:val="24"/>
          <w:lang w:val="es-CO"/>
        </w:rPr>
        <w:t xml:space="preserve"> </w:t>
      </w:r>
      <w:r w:rsidRPr="00AC14EA">
        <w:rPr>
          <w:rFonts w:ascii="Arial" w:hAnsi="Arial" w:cs="Arial"/>
          <w:color w:val="000000"/>
          <w:sz w:val="22"/>
          <w:lang w:val="es-CO"/>
        </w:rPr>
        <w:t xml:space="preserve">Bogotá D.C., </w:t>
      </w:r>
      <w:r w:rsidRPr="00AC14EA">
        <w:rPr>
          <w:rFonts w:ascii="Arial" w:hAnsi="Arial" w:cs="Arial"/>
          <w:b/>
          <w:bCs/>
          <w:color w:val="000000"/>
          <w:sz w:val="22"/>
          <w:lang w:val="es-CO"/>
        </w:rPr>
        <w:t xml:space="preserve">25/08/2020 Hora 18:59:18s </w:t>
      </w:r>
    </w:p>
    <w:p w14:paraId="4DE0C012" w14:textId="77777777" w:rsidR="00AC14EA" w:rsidRDefault="00AC14EA" w:rsidP="00AC14EA">
      <w:pPr>
        <w:jc w:val="right"/>
        <w:rPr>
          <w:rFonts w:ascii="Arial" w:hAnsi="Arial" w:cs="Arial"/>
          <w:b/>
          <w:bCs/>
          <w:color w:val="000000"/>
          <w:sz w:val="22"/>
          <w:lang w:val="es-CO"/>
        </w:rPr>
      </w:pPr>
      <w:r w:rsidRPr="00AC14EA">
        <w:rPr>
          <w:rFonts w:ascii="Arial" w:hAnsi="Arial" w:cs="Arial"/>
          <w:b/>
          <w:bCs/>
          <w:color w:val="000000"/>
          <w:sz w:val="22"/>
          <w:lang w:val="es-CO"/>
        </w:rPr>
        <w:t xml:space="preserve">N° Radicado: 2202013000007951 </w:t>
      </w:r>
    </w:p>
    <w:p w14:paraId="1260EFAC" w14:textId="77777777" w:rsidR="00AC14EA" w:rsidRDefault="00AC14EA" w:rsidP="00AC14EA">
      <w:pPr>
        <w:jc w:val="right"/>
        <w:rPr>
          <w:rFonts w:ascii="Arial" w:hAnsi="Arial" w:cs="Arial"/>
          <w:b/>
          <w:bCs/>
          <w:color w:val="000000"/>
          <w:sz w:val="22"/>
          <w:lang w:val="es-CO"/>
        </w:rPr>
      </w:pPr>
    </w:p>
    <w:p w14:paraId="6AE58259" w14:textId="42355093" w:rsidR="00630D34" w:rsidRPr="00292F1B" w:rsidRDefault="00630D34" w:rsidP="00AC14EA">
      <w:pPr>
        <w:rPr>
          <w:rFonts w:ascii="Arial" w:eastAsia="Calibri" w:hAnsi="Arial" w:cs="Arial"/>
          <w:sz w:val="22"/>
        </w:rPr>
      </w:pPr>
      <w:r w:rsidRPr="00292F1B">
        <w:rPr>
          <w:rFonts w:ascii="Arial" w:eastAsia="Calibri" w:hAnsi="Arial" w:cs="Arial"/>
          <w:sz w:val="22"/>
        </w:rPr>
        <w:t>Señor</w:t>
      </w:r>
    </w:p>
    <w:p w14:paraId="78DD65F1" w14:textId="0A2292D2" w:rsidR="0073638E" w:rsidRPr="00292F1B" w:rsidRDefault="0073638E" w:rsidP="00234D71">
      <w:pPr>
        <w:rPr>
          <w:rFonts w:ascii="Arial" w:eastAsia="Calibri" w:hAnsi="Arial" w:cs="Arial"/>
          <w:b/>
          <w:bCs/>
          <w:sz w:val="22"/>
        </w:rPr>
      </w:pPr>
      <w:r w:rsidRPr="00292F1B">
        <w:rPr>
          <w:rFonts w:ascii="Arial" w:eastAsia="Calibri" w:hAnsi="Arial" w:cs="Arial"/>
          <w:b/>
          <w:bCs/>
          <w:sz w:val="22"/>
        </w:rPr>
        <w:t>Rubén Darío Cabrera</w:t>
      </w:r>
    </w:p>
    <w:p w14:paraId="4F0F7D0F" w14:textId="003C9F76" w:rsidR="00630D34" w:rsidRPr="00292F1B" w:rsidRDefault="0073638E" w:rsidP="00234D71">
      <w:pPr>
        <w:rPr>
          <w:rFonts w:ascii="Arial" w:eastAsia="Calibri" w:hAnsi="Arial" w:cs="Arial"/>
          <w:b/>
          <w:sz w:val="22"/>
        </w:rPr>
      </w:pPr>
      <w:r w:rsidRPr="00292F1B">
        <w:rPr>
          <w:rFonts w:ascii="Arial" w:eastAsia="Calibri" w:hAnsi="Arial" w:cs="Arial"/>
          <w:sz w:val="22"/>
        </w:rPr>
        <w:t xml:space="preserve">Florencia, Caquetá </w:t>
      </w:r>
    </w:p>
    <w:p w14:paraId="203D79F9" w14:textId="67C1B0F3" w:rsidR="00630D34" w:rsidRPr="00292F1B" w:rsidRDefault="00630D34" w:rsidP="00630D34">
      <w:pPr>
        <w:spacing w:before="120" w:after="120" w:line="276" w:lineRule="auto"/>
        <w:jc w:val="center"/>
        <w:rPr>
          <w:rFonts w:ascii="Arial" w:eastAsia="Calibri" w:hAnsi="Arial" w:cs="Arial"/>
          <w:b/>
          <w:sz w:val="22"/>
        </w:rPr>
      </w:pPr>
      <w:r w:rsidRPr="00292F1B">
        <w:rPr>
          <w:rFonts w:ascii="Arial" w:eastAsia="Calibri" w:hAnsi="Arial" w:cs="Arial"/>
          <w:b/>
          <w:sz w:val="22"/>
        </w:rPr>
        <w:t>Concepto C ─</w:t>
      </w:r>
      <w:r w:rsidR="00AC4CB8" w:rsidRPr="00292F1B">
        <w:rPr>
          <w:rFonts w:ascii="Arial" w:eastAsia="Calibri" w:hAnsi="Arial" w:cs="Arial"/>
          <w:b/>
          <w:sz w:val="22"/>
        </w:rPr>
        <w:t xml:space="preserve"> </w:t>
      </w:r>
      <w:r w:rsidR="003578F1">
        <w:rPr>
          <w:rFonts w:ascii="Arial" w:eastAsia="Calibri" w:hAnsi="Arial" w:cs="Arial"/>
          <w:b/>
          <w:sz w:val="22"/>
        </w:rPr>
        <w:t>562</w:t>
      </w:r>
      <w:r w:rsidR="00CA5B28" w:rsidRPr="00292F1B">
        <w:rPr>
          <w:rFonts w:ascii="Arial" w:eastAsia="Calibri" w:hAnsi="Arial" w:cs="Arial"/>
          <w:b/>
          <w:sz w:val="22"/>
        </w:rPr>
        <w:t xml:space="preserve"> </w:t>
      </w:r>
      <w:r w:rsidR="004026EC" w:rsidRPr="00292F1B">
        <w:rPr>
          <w:rFonts w:ascii="Arial" w:eastAsia="Calibri" w:hAnsi="Arial" w:cs="Arial"/>
          <w:b/>
          <w:sz w:val="22"/>
        </w:rPr>
        <w:t>de 2020</w:t>
      </w:r>
    </w:p>
    <w:p w14:paraId="094141BC" w14:textId="77777777" w:rsidR="00234D71" w:rsidRPr="00292F1B" w:rsidRDefault="00234D71" w:rsidP="00630D34">
      <w:pPr>
        <w:spacing w:before="120" w:after="120" w:line="276" w:lineRule="auto"/>
        <w:jc w:val="center"/>
        <w:rPr>
          <w:rFonts w:ascii="Arial" w:eastAsia="Calibri" w:hAnsi="Arial" w:cs="Arial"/>
          <w:b/>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9"/>
        <w:gridCol w:w="5807"/>
      </w:tblGrid>
      <w:tr w:rsidR="00292F1B" w:rsidRPr="00292F1B" w14:paraId="57333B88" w14:textId="77777777" w:rsidTr="00D4313A">
        <w:tc>
          <w:tcPr>
            <w:tcW w:w="3119" w:type="dxa"/>
            <w:hideMark/>
          </w:tcPr>
          <w:p w14:paraId="717D10E8" w14:textId="77777777" w:rsidR="00630D34" w:rsidRPr="00292F1B" w:rsidRDefault="00630D34" w:rsidP="00D77F01">
            <w:pPr>
              <w:rPr>
                <w:rFonts w:ascii="Arial" w:eastAsia="Calibri" w:hAnsi="Arial" w:cs="Arial"/>
                <w:bCs/>
                <w:sz w:val="22"/>
              </w:rPr>
            </w:pPr>
            <w:r w:rsidRPr="00292F1B">
              <w:rPr>
                <w:rFonts w:ascii="Arial" w:eastAsia="Calibri" w:hAnsi="Arial" w:cs="Arial"/>
                <w:bCs/>
                <w:sz w:val="22"/>
              </w:rPr>
              <w:t xml:space="preserve">Temas:           </w:t>
            </w:r>
          </w:p>
          <w:p w14:paraId="65FE911C" w14:textId="77777777" w:rsidR="00630D34" w:rsidRPr="00292F1B" w:rsidRDefault="00630D34" w:rsidP="00D77F01">
            <w:pPr>
              <w:rPr>
                <w:rFonts w:ascii="Arial" w:eastAsia="Calibri" w:hAnsi="Arial" w:cs="Arial"/>
                <w:bCs/>
                <w:sz w:val="22"/>
              </w:rPr>
            </w:pPr>
            <w:r w:rsidRPr="00292F1B">
              <w:rPr>
                <w:rFonts w:ascii="Arial" w:eastAsia="Calibri" w:hAnsi="Arial" w:cs="Arial"/>
                <w:bCs/>
                <w:sz w:val="22"/>
              </w:rPr>
              <w:t xml:space="preserve">                           </w:t>
            </w:r>
          </w:p>
        </w:tc>
        <w:tc>
          <w:tcPr>
            <w:tcW w:w="5807" w:type="dxa"/>
            <w:hideMark/>
          </w:tcPr>
          <w:p w14:paraId="1CC1F07A" w14:textId="6AA2BC98" w:rsidR="00630D34" w:rsidRPr="00292F1B" w:rsidRDefault="0010548D" w:rsidP="00D77F01">
            <w:pPr>
              <w:jc w:val="both"/>
              <w:rPr>
                <w:rFonts w:ascii="Arial" w:eastAsia="Calibri" w:hAnsi="Arial" w:cs="Arial"/>
                <w:bCs/>
                <w:sz w:val="22"/>
              </w:rPr>
            </w:pPr>
            <w:r w:rsidRPr="00292F1B">
              <w:rPr>
                <w:rFonts w:ascii="Arial" w:eastAsia="Calibri" w:hAnsi="Arial" w:cs="Arial"/>
                <w:bCs/>
                <w:sz w:val="22"/>
              </w:rPr>
              <w:t xml:space="preserve">INSTITUCIONES EDUCATIVAS OFICIALES – Naturaleza jurídica – Régimen de contratación – Capacidad para contratar / INSTITUCIONES EDUCATIVAS OFICIALES – </w:t>
            </w:r>
            <w:r w:rsidRPr="00292F1B">
              <w:rPr>
                <w:rFonts w:ascii="Arial" w:eastAsia="Calibri" w:hAnsi="Arial" w:cs="Arial"/>
                <w:bCs/>
                <w:sz w:val="22"/>
              </w:rPr>
              <w:lastRenderedPageBreak/>
              <w:t>Contratación – Umbral – Veinte salarios mínimos legales mensuales vigentes – Competencia del Consejo Directivo / PUBLICIDAD SECOP – Entidades de régimen especial – Fundamento normativo / PUBLIC</w:t>
            </w:r>
            <w:r w:rsidR="0048065E">
              <w:rPr>
                <w:rFonts w:ascii="Arial" w:eastAsia="Calibri" w:hAnsi="Arial" w:cs="Arial"/>
                <w:bCs/>
                <w:sz w:val="22"/>
              </w:rPr>
              <w:t>IDAD</w:t>
            </w:r>
            <w:r w:rsidRPr="00292F1B">
              <w:rPr>
                <w:rFonts w:ascii="Arial" w:eastAsia="Calibri" w:hAnsi="Arial" w:cs="Arial"/>
                <w:bCs/>
                <w:sz w:val="22"/>
              </w:rPr>
              <w:t xml:space="preserve"> SECOP – Entidades de régimen especial</w:t>
            </w:r>
            <w:r w:rsidR="00D15F84">
              <w:rPr>
                <w:rFonts w:ascii="Arial" w:eastAsia="Calibri" w:hAnsi="Arial" w:cs="Arial"/>
                <w:bCs/>
                <w:sz w:val="22"/>
              </w:rPr>
              <w:t xml:space="preserve"> – Documentos</w:t>
            </w:r>
            <w:r w:rsidRPr="00292F1B">
              <w:rPr>
                <w:rFonts w:ascii="Arial" w:eastAsia="Calibri" w:hAnsi="Arial" w:cs="Arial"/>
                <w:bCs/>
                <w:sz w:val="22"/>
              </w:rPr>
              <w:t xml:space="preserve"> / PUBLIC</w:t>
            </w:r>
            <w:r w:rsidR="0048065E">
              <w:rPr>
                <w:rFonts w:ascii="Arial" w:eastAsia="Calibri" w:hAnsi="Arial" w:cs="Arial"/>
                <w:bCs/>
                <w:sz w:val="22"/>
              </w:rPr>
              <w:t>IDAD</w:t>
            </w:r>
            <w:r w:rsidRPr="00292F1B">
              <w:rPr>
                <w:rFonts w:ascii="Arial" w:eastAsia="Calibri" w:hAnsi="Arial" w:cs="Arial"/>
                <w:bCs/>
                <w:sz w:val="22"/>
              </w:rPr>
              <w:t xml:space="preserve"> SECOP – Plazo – Entidades régimen especial</w:t>
            </w:r>
          </w:p>
        </w:tc>
      </w:tr>
      <w:tr w:rsidR="00292F1B" w:rsidRPr="00292F1B" w14:paraId="6222412A" w14:textId="77777777" w:rsidTr="00D4313A">
        <w:trPr>
          <w:trHeight w:val="297"/>
        </w:trPr>
        <w:tc>
          <w:tcPr>
            <w:tcW w:w="3119" w:type="dxa"/>
          </w:tcPr>
          <w:p w14:paraId="637FA79F" w14:textId="77777777" w:rsidR="00630D34" w:rsidRPr="00292F1B" w:rsidRDefault="00630D34" w:rsidP="00D77F01">
            <w:pPr>
              <w:rPr>
                <w:rFonts w:ascii="Arial" w:eastAsia="Calibri" w:hAnsi="Arial" w:cs="Arial"/>
                <w:b/>
                <w:sz w:val="22"/>
              </w:rPr>
            </w:pPr>
            <w:r w:rsidRPr="00292F1B">
              <w:rPr>
                <w:rFonts w:ascii="Arial" w:eastAsia="Calibri" w:hAnsi="Arial" w:cs="Arial"/>
                <w:b/>
                <w:sz w:val="22"/>
              </w:rPr>
              <w:lastRenderedPageBreak/>
              <w:t xml:space="preserve"> Radicación:</w:t>
            </w:r>
            <w:r w:rsidRPr="00292F1B">
              <w:rPr>
                <w:rFonts w:ascii="Arial" w:eastAsia="Calibri" w:hAnsi="Arial" w:cs="Arial"/>
                <w:sz w:val="22"/>
              </w:rPr>
              <w:t xml:space="preserve">                              </w:t>
            </w:r>
          </w:p>
        </w:tc>
        <w:tc>
          <w:tcPr>
            <w:tcW w:w="5807" w:type="dxa"/>
          </w:tcPr>
          <w:p w14:paraId="334E6916" w14:textId="7AB24FB5" w:rsidR="00630D34" w:rsidRPr="00292F1B" w:rsidRDefault="00630D34" w:rsidP="00D77F01">
            <w:pPr>
              <w:jc w:val="both"/>
              <w:rPr>
                <w:rFonts w:ascii="Arial" w:eastAsia="Calibri" w:hAnsi="Arial" w:cs="Arial"/>
                <w:sz w:val="22"/>
              </w:rPr>
            </w:pPr>
            <w:r w:rsidRPr="00292F1B">
              <w:rPr>
                <w:rFonts w:ascii="Arial" w:eastAsia="Calibri" w:hAnsi="Arial" w:cs="Arial"/>
                <w:sz w:val="22"/>
              </w:rPr>
              <w:t>Respuesta a consulta #</w:t>
            </w:r>
            <w:r w:rsidR="00234D71" w:rsidRPr="00292F1B">
              <w:t xml:space="preserve"> </w:t>
            </w:r>
            <w:r w:rsidR="0073638E" w:rsidRPr="00292F1B">
              <w:rPr>
                <w:rFonts w:ascii="Arial" w:eastAsia="Calibri" w:hAnsi="Arial" w:cs="Arial"/>
                <w:sz w:val="22"/>
              </w:rPr>
              <w:t>4202012000007034</w:t>
            </w:r>
          </w:p>
        </w:tc>
      </w:tr>
    </w:tbl>
    <w:p w14:paraId="572ACFBC" w14:textId="0CB33529" w:rsidR="00630D34" w:rsidRPr="00292F1B" w:rsidRDefault="00630D34" w:rsidP="004026EC">
      <w:pPr>
        <w:rPr>
          <w:rFonts w:ascii="Arial" w:eastAsia="Calibri" w:hAnsi="Arial" w:cs="Arial"/>
          <w:sz w:val="22"/>
        </w:rPr>
      </w:pPr>
    </w:p>
    <w:p w14:paraId="520B16AC" w14:textId="77777777" w:rsidR="0073638E" w:rsidRPr="00292F1B" w:rsidRDefault="0073638E" w:rsidP="004026EC">
      <w:pPr>
        <w:rPr>
          <w:rFonts w:ascii="Arial" w:eastAsia="Calibri" w:hAnsi="Arial" w:cs="Arial"/>
          <w:sz w:val="22"/>
        </w:rPr>
      </w:pPr>
    </w:p>
    <w:p w14:paraId="20703338" w14:textId="0546D14D" w:rsidR="00630D34" w:rsidRPr="00292F1B" w:rsidRDefault="00630D34" w:rsidP="004026EC">
      <w:pPr>
        <w:rPr>
          <w:rFonts w:ascii="Arial" w:eastAsia="Calibri" w:hAnsi="Arial" w:cs="Arial"/>
          <w:sz w:val="22"/>
        </w:rPr>
      </w:pPr>
      <w:r w:rsidRPr="00292F1B">
        <w:rPr>
          <w:rFonts w:ascii="Arial" w:eastAsia="Calibri" w:hAnsi="Arial" w:cs="Arial"/>
          <w:sz w:val="22"/>
        </w:rPr>
        <w:t>Estimad</w:t>
      </w:r>
      <w:r w:rsidR="00234D71" w:rsidRPr="00292F1B">
        <w:rPr>
          <w:rFonts w:ascii="Arial" w:eastAsia="Calibri" w:hAnsi="Arial" w:cs="Arial"/>
          <w:sz w:val="22"/>
        </w:rPr>
        <w:t>o</w:t>
      </w:r>
      <w:r w:rsidRPr="00292F1B">
        <w:rPr>
          <w:rFonts w:ascii="Arial" w:eastAsia="Calibri" w:hAnsi="Arial" w:cs="Arial"/>
          <w:sz w:val="22"/>
        </w:rPr>
        <w:t xml:space="preserve"> señor </w:t>
      </w:r>
      <w:r w:rsidR="0073638E" w:rsidRPr="00292F1B">
        <w:rPr>
          <w:rFonts w:ascii="Arial" w:eastAsia="Calibri" w:hAnsi="Arial" w:cs="Arial"/>
          <w:sz w:val="22"/>
        </w:rPr>
        <w:t>Cabrera</w:t>
      </w:r>
      <w:r w:rsidR="004026EC" w:rsidRPr="00292F1B">
        <w:rPr>
          <w:rFonts w:ascii="Arial" w:eastAsia="Calibri" w:hAnsi="Arial" w:cs="Arial"/>
          <w:sz w:val="22"/>
        </w:rPr>
        <w:t>,</w:t>
      </w:r>
    </w:p>
    <w:p w14:paraId="67165113" w14:textId="77777777" w:rsidR="004026EC" w:rsidRPr="00292F1B" w:rsidRDefault="004026EC" w:rsidP="004026EC">
      <w:pPr>
        <w:rPr>
          <w:rFonts w:ascii="Arial" w:eastAsia="Calibri" w:hAnsi="Arial" w:cs="Arial"/>
          <w:sz w:val="22"/>
        </w:rPr>
      </w:pPr>
    </w:p>
    <w:p w14:paraId="0B69AF9B" w14:textId="69A802DC" w:rsidR="00630D34" w:rsidRPr="00292F1B" w:rsidRDefault="00630D34" w:rsidP="005C40E9">
      <w:pPr>
        <w:spacing w:before="120" w:line="276" w:lineRule="auto"/>
        <w:ind w:right="51"/>
        <w:jc w:val="both"/>
        <w:rPr>
          <w:rFonts w:ascii="Arial" w:eastAsia="Calibri" w:hAnsi="Arial" w:cs="Arial"/>
          <w:sz w:val="22"/>
        </w:rPr>
      </w:pPr>
      <w:r w:rsidRPr="00292F1B">
        <w:rPr>
          <w:rFonts w:ascii="Arial" w:eastAsia="Calibri" w:hAnsi="Arial" w:cs="Arial"/>
          <w:sz w:val="22"/>
        </w:rPr>
        <w:t xml:space="preserve">La Agencia Nacional de Contratación Pública </w:t>
      </w:r>
      <w:r w:rsidR="009C6145">
        <w:rPr>
          <w:rFonts w:ascii="Arial" w:eastAsia="Calibri" w:hAnsi="Arial" w:cs="Arial"/>
          <w:sz w:val="22"/>
        </w:rPr>
        <w:t>–</w:t>
      </w:r>
      <w:r w:rsidRPr="00292F1B">
        <w:rPr>
          <w:rFonts w:ascii="Arial" w:eastAsia="Calibri" w:hAnsi="Arial" w:cs="Arial"/>
          <w:sz w:val="22"/>
        </w:rPr>
        <w:t xml:space="preserve"> Colombia Compra Eficiente responde su consulta del </w:t>
      </w:r>
      <w:r w:rsidR="0073638E" w:rsidRPr="00292F1B">
        <w:rPr>
          <w:rFonts w:ascii="Arial" w:eastAsia="Calibri" w:hAnsi="Arial" w:cs="Arial"/>
          <w:sz w:val="22"/>
        </w:rPr>
        <w:t>14</w:t>
      </w:r>
      <w:r w:rsidRPr="00292F1B">
        <w:rPr>
          <w:rFonts w:ascii="Arial" w:eastAsia="Calibri" w:hAnsi="Arial" w:cs="Arial"/>
          <w:sz w:val="22"/>
        </w:rPr>
        <w:t xml:space="preserve"> de </w:t>
      </w:r>
      <w:r w:rsidR="0073638E" w:rsidRPr="00292F1B">
        <w:rPr>
          <w:rFonts w:ascii="Arial" w:eastAsia="Calibri" w:hAnsi="Arial" w:cs="Arial"/>
          <w:sz w:val="22"/>
        </w:rPr>
        <w:t>agost</w:t>
      </w:r>
      <w:r w:rsidR="00234D71" w:rsidRPr="00292F1B">
        <w:rPr>
          <w:rFonts w:ascii="Arial" w:eastAsia="Calibri" w:hAnsi="Arial" w:cs="Arial"/>
          <w:sz w:val="22"/>
        </w:rPr>
        <w:t>o</w:t>
      </w:r>
      <w:r w:rsidRPr="00292F1B">
        <w:rPr>
          <w:rFonts w:ascii="Arial" w:eastAsia="Calibri" w:hAnsi="Arial" w:cs="Arial"/>
          <w:sz w:val="22"/>
        </w:rPr>
        <w:t xml:space="preserve"> de 2020, en ejercicio de la competencia otorgada por el numeral 8 del artículo 11 y el numeral 5 del artículo 3 del Decreto Ley 4170 de 2011. </w:t>
      </w:r>
    </w:p>
    <w:p w14:paraId="645B1E41" w14:textId="77777777" w:rsidR="00234D71" w:rsidRPr="00292F1B" w:rsidRDefault="00234D71" w:rsidP="004026EC">
      <w:pPr>
        <w:pStyle w:val="Prrafodelista"/>
        <w:tabs>
          <w:tab w:val="left" w:pos="284"/>
        </w:tabs>
        <w:ind w:left="0"/>
        <w:rPr>
          <w:rFonts w:ascii="Arial" w:eastAsia="Calibri" w:hAnsi="Arial" w:cs="Arial"/>
          <w:b/>
          <w:sz w:val="22"/>
        </w:rPr>
      </w:pPr>
    </w:p>
    <w:p w14:paraId="5C4DF144" w14:textId="5E3137B8" w:rsidR="00630D34" w:rsidRPr="00292F1B" w:rsidRDefault="00630D34" w:rsidP="004026EC">
      <w:pPr>
        <w:pStyle w:val="Prrafodelista"/>
        <w:tabs>
          <w:tab w:val="left" w:pos="284"/>
        </w:tabs>
        <w:ind w:left="0"/>
        <w:rPr>
          <w:rFonts w:ascii="Arial" w:eastAsia="Calibri" w:hAnsi="Arial" w:cs="Arial"/>
          <w:b/>
          <w:sz w:val="22"/>
        </w:rPr>
      </w:pPr>
      <w:r w:rsidRPr="00292F1B">
        <w:rPr>
          <w:rFonts w:ascii="Arial" w:eastAsia="Calibri" w:hAnsi="Arial" w:cs="Arial"/>
          <w:b/>
          <w:sz w:val="22"/>
        </w:rPr>
        <w:t xml:space="preserve">1. Problemas planteados </w:t>
      </w:r>
    </w:p>
    <w:p w14:paraId="352D9333" w14:textId="77777777" w:rsidR="00630D34" w:rsidRPr="00292F1B" w:rsidRDefault="00630D34" w:rsidP="002F71CA">
      <w:pPr>
        <w:pStyle w:val="Prrafodelista"/>
        <w:tabs>
          <w:tab w:val="left" w:pos="284"/>
        </w:tabs>
        <w:ind w:left="0"/>
        <w:rPr>
          <w:rFonts w:ascii="Arial" w:eastAsia="Calibri" w:hAnsi="Arial" w:cs="Arial"/>
          <w:b/>
          <w:sz w:val="22"/>
        </w:rPr>
      </w:pPr>
    </w:p>
    <w:p w14:paraId="3074C8AC" w14:textId="270DEF65" w:rsidR="00630D34" w:rsidRPr="00292F1B" w:rsidRDefault="00630D34" w:rsidP="0073638E">
      <w:pPr>
        <w:pStyle w:val="Default"/>
        <w:spacing w:line="276" w:lineRule="auto"/>
        <w:jc w:val="both"/>
        <w:rPr>
          <w:rFonts w:eastAsia="Calibri"/>
          <w:bCs/>
          <w:color w:val="auto"/>
          <w:sz w:val="22"/>
          <w:szCs w:val="22"/>
        </w:rPr>
      </w:pPr>
      <w:r w:rsidRPr="00292F1B">
        <w:rPr>
          <w:rFonts w:eastAsia="Calibri"/>
          <w:bCs/>
          <w:color w:val="auto"/>
          <w:sz w:val="22"/>
          <w:szCs w:val="22"/>
        </w:rPr>
        <w:t>Usted realiza la siguiente</w:t>
      </w:r>
      <w:r w:rsidR="00E80494" w:rsidRPr="00292F1B">
        <w:rPr>
          <w:rFonts w:eastAsia="Calibri"/>
          <w:bCs/>
          <w:color w:val="auto"/>
          <w:sz w:val="22"/>
          <w:szCs w:val="22"/>
        </w:rPr>
        <w:t xml:space="preserve"> </w:t>
      </w:r>
      <w:r w:rsidRPr="00292F1B">
        <w:rPr>
          <w:rFonts w:eastAsia="Calibri"/>
          <w:bCs/>
          <w:color w:val="auto"/>
          <w:sz w:val="22"/>
          <w:szCs w:val="22"/>
        </w:rPr>
        <w:t>pregunta:</w:t>
      </w:r>
      <w:r w:rsidR="0073638E" w:rsidRPr="00292F1B">
        <w:rPr>
          <w:rFonts w:eastAsia="Calibri"/>
          <w:bCs/>
          <w:color w:val="auto"/>
          <w:sz w:val="22"/>
          <w:szCs w:val="22"/>
        </w:rPr>
        <w:t xml:space="preserve"> </w:t>
      </w:r>
      <w:r w:rsidR="00234D71" w:rsidRPr="00292F1B">
        <w:rPr>
          <w:rFonts w:eastAsia="Calibri"/>
          <w:bCs/>
          <w:color w:val="auto"/>
          <w:sz w:val="22"/>
          <w:szCs w:val="22"/>
        </w:rPr>
        <w:t>«</w:t>
      </w:r>
      <w:r w:rsidR="004D4E2B" w:rsidRPr="00292F1B">
        <w:rPr>
          <w:rFonts w:eastAsia="Calibri"/>
          <w:bCs/>
          <w:color w:val="auto"/>
          <w:sz w:val="22"/>
          <w:szCs w:val="22"/>
        </w:rPr>
        <w:t xml:space="preserve">[…] </w:t>
      </w:r>
      <w:r w:rsidR="0073638E" w:rsidRPr="00292F1B">
        <w:rPr>
          <w:color w:val="auto"/>
          <w:sz w:val="22"/>
          <w:szCs w:val="22"/>
        </w:rPr>
        <w:t xml:space="preserve">¿Las instituciones educativas de carácter oficial están obligadas a registrar en el SECOP II todas las compras y contratos de menor cuantía? </w:t>
      </w:r>
      <w:r w:rsidR="004D4E2B" w:rsidRPr="00292F1B">
        <w:rPr>
          <w:color w:val="auto"/>
          <w:sz w:val="22"/>
          <w:szCs w:val="22"/>
        </w:rPr>
        <w:t>[…]</w:t>
      </w:r>
      <w:r w:rsidR="00234D71" w:rsidRPr="00292F1B">
        <w:rPr>
          <w:color w:val="auto"/>
          <w:sz w:val="22"/>
          <w:szCs w:val="22"/>
        </w:rPr>
        <w:t>».</w:t>
      </w:r>
    </w:p>
    <w:p w14:paraId="0B432A5B" w14:textId="77777777" w:rsidR="00E80494" w:rsidRPr="00292F1B" w:rsidRDefault="00E80494" w:rsidP="0027761D">
      <w:pPr>
        <w:tabs>
          <w:tab w:val="left" w:pos="426"/>
        </w:tabs>
        <w:jc w:val="both"/>
        <w:rPr>
          <w:rFonts w:ascii="Arial" w:eastAsia="Calibri" w:hAnsi="Arial" w:cs="Arial"/>
          <w:bCs/>
          <w:sz w:val="22"/>
        </w:rPr>
      </w:pPr>
    </w:p>
    <w:p w14:paraId="2ABC9D8E" w14:textId="77777777" w:rsidR="00630D34" w:rsidRPr="00292F1B" w:rsidRDefault="00630D34" w:rsidP="0027761D">
      <w:pPr>
        <w:tabs>
          <w:tab w:val="left" w:pos="426"/>
        </w:tabs>
        <w:jc w:val="both"/>
        <w:rPr>
          <w:rFonts w:ascii="Arial" w:eastAsia="Calibri" w:hAnsi="Arial" w:cs="Arial"/>
          <w:b/>
          <w:sz w:val="22"/>
        </w:rPr>
      </w:pPr>
      <w:r w:rsidRPr="00292F1B">
        <w:rPr>
          <w:rFonts w:ascii="Arial" w:eastAsia="Calibri" w:hAnsi="Arial" w:cs="Arial"/>
          <w:b/>
          <w:sz w:val="22"/>
        </w:rPr>
        <w:t>2. Consideraciones</w:t>
      </w:r>
    </w:p>
    <w:p w14:paraId="20F528C7" w14:textId="77777777" w:rsidR="00E80494" w:rsidRPr="00292F1B" w:rsidRDefault="00E80494" w:rsidP="0027761D">
      <w:pPr>
        <w:tabs>
          <w:tab w:val="left" w:pos="426"/>
        </w:tabs>
        <w:jc w:val="both"/>
        <w:rPr>
          <w:rFonts w:ascii="Arial" w:eastAsia="Calibri" w:hAnsi="Arial" w:cs="Arial"/>
          <w:b/>
          <w:sz w:val="22"/>
        </w:rPr>
      </w:pPr>
    </w:p>
    <w:p w14:paraId="2C29644F" w14:textId="2D9C7877" w:rsidR="0073638E" w:rsidRPr="00292F1B" w:rsidRDefault="00630D34" w:rsidP="0073638E">
      <w:pPr>
        <w:spacing w:line="276" w:lineRule="auto"/>
        <w:jc w:val="both"/>
        <w:rPr>
          <w:rFonts w:ascii="Arial" w:eastAsia="Calibri" w:hAnsi="Arial" w:cs="Arial"/>
          <w:sz w:val="22"/>
        </w:rPr>
      </w:pPr>
      <w:r w:rsidRPr="00292F1B">
        <w:rPr>
          <w:rFonts w:ascii="Arial" w:eastAsia="Calibri" w:hAnsi="Arial" w:cs="Arial"/>
          <w:sz w:val="22"/>
        </w:rPr>
        <w:t xml:space="preserve">Para </w:t>
      </w:r>
      <w:r w:rsidR="0073638E" w:rsidRPr="00292F1B">
        <w:rPr>
          <w:rFonts w:ascii="Arial" w:eastAsia="Calibri" w:hAnsi="Arial" w:cs="Arial"/>
          <w:sz w:val="22"/>
        </w:rPr>
        <w:t>resolver la inquietud planteada</w:t>
      </w:r>
      <w:r w:rsidRPr="00292F1B">
        <w:rPr>
          <w:rFonts w:ascii="Arial" w:eastAsia="Calibri" w:hAnsi="Arial" w:cs="Arial"/>
          <w:sz w:val="22"/>
        </w:rPr>
        <w:t xml:space="preserve"> </w:t>
      </w:r>
      <w:r w:rsidR="0073638E" w:rsidRPr="00292F1B">
        <w:rPr>
          <w:rFonts w:ascii="Arial" w:eastAsia="Calibri" w:hAnsi="Arial" w:cs="Arial"/>
          <w:sz w:val="22"/>
        </w:rPr>
        <w:t xml:space="preserve">se </w:t>
      </w:r>
      <w:r w:rsidR="00C83CE0" w:rsidRPr="00292F1B">
        <w:rPr>
          <w:rFonts w:ascii="Arial" w:eastAsia="Calibri" w:hAnsi="Arial" w:cs="Arial"/>
          <w:sz w:val="22"/>
        </w:rPr>
        <w:t>abordarán</w:t>
      </w:r>
      <w:r w:rsidR="0073638E" w:rsidRPr="00292F1B">
        <w:rPr>
          <w:rFonts w:ascii="Arial" w:eastAsia="Calibri" w:hAnsi="Arial" w:cs="Arial"/>
          <w:sz w:val="22"/>
        </w:rPr>
        <w:t xml:space="preserve"> los siguientes tópicos: i) la naturaleza jurídica de las Instituciones Educativas de carácter oficial y su régimen de contratación; ii) </w:t>
      </w:r>
      <w:r w:rsidR="00526B4A" w:rsidRPr="00292F1B">
        <w:rPr>
          <w:rFonts w:ascii="Arial" w:eastAsia="Calibri" w:hAnsi="Arial" w:cs="Arial"/>
          <w:sz w:val="22"/>
        </w:rPr>
        <w:t>principio de publicidad y acceso a la información pública</w:t>
      </w:r>
      <w:r w:rsidR="0073638E" w:rsidRPr="00292F1B">
        <w:rPr>
          <w:rFonts w:ascii="Arial" w:eastAsia="Calibri" w:hAnsi="Arial" w:cs="Arial"/>
          <w:sz w:val="22"/>
        </w:rPr>
        <w:t>; iii) documentos que deben publicar las entidades de régimen especial en el SECOP y término para hacerlo; y iv) publicidad en las plataformas SECOP I y II.</w:t>
      </w:r>
    </w:p>
    <w:p w14:paraId="7CA57661" w14:textId="29C34C5A" w:rsidR="00C83CE0" w:rsidRPr="00292F1B" w:rsidRDefault="00C83CE0" w:rsidP="00C83CE0">
      <w:pPr>
        <w:spacing w:before="120" w:after="120" w:line="276" w:lineRule="auto"/>
        <w:ind w:firstLine="708"/>
        <w:jc w:val="both"/>
        <w:rPr>
          <w:rFonts w:ascii="Arial" w:hAnsi="Arial" w:cs="Arial"/>
          <w:sz w:val="22"/>
        </w:rPr>
      </w:pPr>
      <w:r w:rsidRPr="00292F1B">
        <w:rPr>
          <w:rFonts w:ascii="Arial" w:hAnsi="Arial" w:cs="Arial"/>
          <w:sz w:val="22"/>
        </w:rPr>
        <w:t xml:space="preserve">La Agencia Nacional de Contratación Pública – Colombia Compra eficiente estudió el tema de la naturaleza jurídica de las Instituciones educativas y su régimen de contratación en los conceptos con radicado 2201913000006285 del 27 de agosto de 2019, No. </w:t>
      </w:r>
      <w:hyperlink r:id="rId10" w:tgtFrame="_blank" w:history="1">
        <w:r w:rsidRPr="00292F1B">
          <w:rPr>
            <w:rFonts w:ascii="Arial" w:hAnsi="Arial" w:cs="Arial"/>
            <w:sz w:val="22"/>
          </w:rPr>
          <w:t>2201913000006068</w:t>
        </w:r>
      </w:hyperlink>
      <w:r w:rsidRPr="00292F1B">
        <w:rPr>
          <w:rFonts w:ascii="Arial" w:hAnsi="Arial" w:cs="Arial"/>
          <w:sz w:val="22"/>
        </w:rPr>
        <w:t xml:space="preserve"> del 28 de agosto de 2019, 2201913000008174 del 31 de octubre de 2019</w:t>
      </w:r>
      <w:r w:rsidR="009C6145">
        <w:rPr>
          <w:rFonts w:ascii="Arial" w:hAnsi="Arial" w:cs="Arial"/>
          <w:sz w:val="22"/>
        </w:rPr>
        <w:t>,</w:t>
      </w:r>
      <w:r w:rsidRPr="00292F1B">
        <w:rPr>
          <w:rFonts w:ascii="Arial" w:hAnsi="Arial" w:cs="Arial"/>
          <w:sz w:val="22"/>
        </w:rPr>
        <w:t xml:space="preserve">  </w:t>
      </w:r>
      <w:hyperlink r:id="rId11" w:tgtFrame="_blank" w:history="1">
        <w:r w:rsidRPr="00292F1B">
          <w:rPr>
            <w:rFonts w:ascii="Arial" w:hAnsi="Arial" w:cs="Arial"/>
            <w:sz w:val="22"/>
          </w:rPr>
          <w:t>2201913000008197</w:t>
        </w:r>
      </w:hyperlink>
      <w:r w:rsidRPr="00292F1B">
        <w:rPr>
          <w:rFonts w:ascii="Arial" w:hAnsi="Arial" w:cs="Arial"/>
          <w:sz w:val="22"/>
        </w:rPr>
        <w:t xml:space="preserve"> del 1 de noviembre de 2019, C-181 del 6 de abril de 2020, C-272 del 27 de abril de 2020, C-284 del 27 de mayo de 2010 y C-399 del 23 de junio de 2020.</w:t>
      </w:r>
      <w:r w:rsidRPr="00292F1B">
        <w:rPr>
          <w:rFonts w:ascii="Arial" w:hAnsi="Arial" w:cs="Arial"/>
          <w:sz w:val="22"/>
        </w:rPr>
        <w:tab/>
      </w:r>
    </w:p>
    <w:p w14:paraId="04EB3BDD" w14:textId="2E7E84CA" w:rsidR="00630D34" w:rsidRPr="00292F1B" w:rsidRDefault="00292F1B" w:rsidP="00292F1B">
      <w:pPr>
        <w:tabs>
          <w:tab w:val="left" w:pos="426"/>
        </w:tabs>
        <w:spacing w:line="276" w:lineRule="auto"/>
        <w:jc w:val="both"/>
        <w:rPr>
          <w:rFonts w:ascii="Arial" w:hAnsi="Arial" w:cs="Arial"/>
          <w:sz w:val="22"/>
        </w:rPr>
      </w:pPr>
      <w:r w:rsidRPr="00292F1B">
        <w:rPr>
          <w:rFonts w:ascii="Arial" w:eastAsia="Calibri" w:hAnsi="Arial" w:cs="Arial"/>
          <w:bCs/>
          <w:sz w:val="22"/>
        </w:rPr>
        <w:tab/>
      </w:r>
      <w:r w:rsidRPr="00292F1B">
        <w:rPr>
          <w:rFonts w:ascii="Arial" w:eastAsia="Calibri" w:hAnsi="Arial" w:cs="Arial"/>
          <w:bCs/>
          <w:sz w:val="22"/>
        </w:rPr>
        <w:tab/>
      </w:r>
      <w:r w:rsidR="00230EC0" w:rsidRPr="00292F1B">
        <w:rPr>
          <w:rFonts w:ascii="Arial" w:eastAsia="Calibri" w:hAnsi="Arial" w:cs="Arial"/>
          <w:bCs/>
          <w:sz w:val="22"/>
        </w:rPr>
        <w:t xml:space="preserve">De otra parte, esta Agencia estudió por primera vez el tema de la publicidad de </w:t>
      </w:r>
      <w:r w:rsidRPr="00292F1B">
        <w:rPr>
          <w:rFonts w:ascii="Arial" w:eastAsia="Calibri" w:hAnsi="Arial" w:cs="Arial"/>
          <w:bCs/>
          <w:sz w:val="22"/>
        </w:rPr>
        <w:t>la gestión contractual de las entidades estatales con régimen especial</w:t>
      </w:r>
      <w:r w:rsidR="00230EC0" w:rsidRPr="00292F1B">
        <w:rPr>
          <w:rFonts w:ascii="Arial" w:eastAsia="Calibri" w:hAnsi="Arial" w:cs="Arial"/>
          <w:bCs/>
          <w:sz w:val="22"/>
        </w:rPr>
        <w:t xml:space="preserve"> en la consulta No. 4201913000005397 del 9 de agosto de 2019 y reiteró la posición en las siguientes consultas: 4201912000006611 del 25 de septiembre de 2019, </w:t>
      </w:r>
      <w:r w:rsidR="00230EC0" w:rsidRPr="00292F1B">
        <w:rPr>
          <w:rFonts w:ascii="Arial" w:hAnsi="Arial" w:cs="Arial"/>
          <w:sz w:val="22"/>
        </w:rPr>
        <w:t xml:space="preserve">4201913000006847 del 4 de octubre de 2019, </w:t>
      </w:r>
      <w:r w:rsidR="00230EC0" w:rsidRPr="00292F1B">
        <w:rPr>
          <w:rFonts w:ascii="Arial" w:eastAsia="Calibri" w:hAnsi="Arial" w:cs="Arial"/>
          <w:bCs/>
          <w:sz w:val="22"/>
        </w:rPr>
        <w:t>4201912000007762 del 18 de noviembre de 2019, y en la consulta 4201912000007828 del 13 de noviembre de 2019</w:t>
      </w:r>
      <w:r w:rsidR="009C6145">
        <w:rPr>
          <w:rFonts w:ascii="Arial" w:hAnsi="Arial" w:cs="Arial"/>
          <w:sz w:val="22"/>
        </w:rPr>
        <w:t>;</w:t>
      </w:r>
      <w:r w:rsidR="00230EC0" w:rsidRPr="00292F1B">
        <w:rPr>
          <w:rFonts w:ascii="Arial" w:hAnsi="Arial" w:cs="Arial"/>
          <w:sz w:val="22"/>
        </w:rPr>
        <w:t xml:space="preserve"> en el Concepto CU </w:t>
      </w:r>
      <w:r w:rsidR="009C6145">
        <w:rPr>
          <w:rFonts w:ascii="Arial" w:hAnsi="Arial" w:cs="Arial"/>
          <w:sz w:val="22"/>
        </w:rPr>
        <w:t>–</w:t>
      </w:r>
      <w:r w:rsidR="00230EC0" w:rsidRPr="00292F1B">
        <w:rPr>
          <w:rFonts w:ascii="Arial" w:hAnsi="Arial" w:cs="Arial"/>
          <w:sz w:val="22"/>
        </w:rPr>
        <w:t xml:space="preserve"> 003 de 15 de enero 2020 unificó la tesis sobre el particular</w:t>
      </w:r>
      <w:r w:rsidR="009C6145">
        <w:rPr>
          <w:rFonts w:ascii="Arial" w:hAnsi="Arial" w:cs="Arial"/>
          <w:sz w:val="22"/>
        </w:rPr>
        <w:t>,</w:t>
      </w:r>
      <w:r w:rsidR="00230EC0" w:rsidRPr="00292F1B">
        <w:rPr>
          <w:rFonts w:ascii="Arial" w:hAnsi="Arial" w:cs="Arial"/>
          <w:sz w:val="22"/>
        </w:rPr>
        <w:t xml:space="preserve"> la cual fue reiterada en las consultas C – 061 de 21 de enero de 2020, C – 115 de 11 de febrero de 2020, C – 149 de 14 de febrero de 2020, </w:t>
      </w:r>
      <w:r w:rsidR="00230EC0" w:rsidRPr="00292F1B">
        <w:rPr>
          <w:rFonts w:ascii="Arial" w:eastAsia="Calibri" w:hAnsi="Arial" w:cs="Arial"/>
          <w:bCs/>
          <w:sz w:val="22"/>
        </w:rPr>
        <w:t xml:space="preserve">C </w:t>
      </w:r>
      <w:r w:rsidR="00230EC0" w:rsidRPr="00292F1B">
        <w:rPr>
          <w:rFonts w:ascii="Arial" w:eastAsia="Calibri" w:hAnsi="Arial" w:cs="Arial"/>
          <w:bCs/>
          <w:sz w:val="22"/>
        </w:rPr>
        <w:lastRenderedPageBreak/>
        <w:t>– 095 del 16 de marzo de 2020, C–181 del 6 de abril de 2020</w:t>
      </w:r>
      <w:r w:rsidRPr="00292F1B">
        <w:rPr>
          <w:rFonts w:ascii="Arial" w:hAnsi="Arial" w:cs="Arial"/>
          <w:sz w:val="22"/>
        </w:rPr>
        <w:t xml:space="preserve">, </w:t>
      </w:r>
      <w:r w:rsidR="00230EC0" w:rsidRPr="00292F1B">
        <w:rPr>
          <w:rFonts w:ascii="Arial" w:hAnsi="Arial" w:cs="Arial"/>
          <w:sz w:val="22"/>
        </w:rPr>
        <w:t>C – 312 del 6 de mayo de 2020</w:t>
      </w:r>
      <w:r w:rsidRPr="00292F1B">
        <w:rPr>
          <w:rFonts w:ascii="Arial" w:hAnsi="Arial" w:cs="Arial"/>
          <w:sz w:val="22"/>
        </w:rPr>
        <w:t>, entre otros</w:t>
      </w:r>
      <w:r w:rsidR="00230EC0" w:rsidRPr="00292F1B">
        <w:rPr>
          <w:rFonts w:ascii="Arial" w:hAnsi="Arial" w:cs="Arial"/>
          <w:sz w:val="22"/>
        </w:rPr>
        <w:t>.</w:t>
      </w:r>
      <w:r w:rsidRPr="00292F1B">
        <w:rPr>
          <w:rFonts w:ascii="Arial" w:hAnsi="Arial" w:cs="Arial"/>
          <w:sz w:val="22"/>
        </w:rPr>
        <w:t xml:space="preserve"> Las tesis expuestas se reiteran a continuación. </w:t>
      </w:r>
    </w:p>
    <w:p w14:paraId="42C52820" w14:textId="77777777" w:rsidR="00292F1B" w:rsidRPr="00292F1B" w:rsidRDefault="00292F1B" w:rsidP="00292F1B">
      <w:pPr>
        <w:tabs>
          <w:tab w:val="left" w:pos="426"/>
        </w:tabs>
        <w:spacing w:line="276" w:lineRule="auto"/>
        <w:jc w:val="both"/>
        <w:rPr>
          <w:rFonts w:ascii="Arial" w:eastAsia="Calibri" w:hAnsi="Arial" w:cs="Arial"/>
          <w:b/>
          <w:sz w:val="22"/>
        </w:rPr>
      </w:pPr>
    </w:p>
    <w:p w14:paraId="4F645358" w14:textId="46B9080F" w:rsidR="00630D34" w:rsidRPr="00292F1B" w:rsidRDefault="00630D34" w:rsidP="00E80494">
      <w:pPr>
        <w:tabs>
          <w:tab w:val="left" w:pos="426"/>
        </w:tabs>
        <w:jc w:val="both"/>
        <w:rPr>
          <w:rFonts w:ascii="Arial" w:eastAsia="Calibri" w:hAnsi="Arial" w:cs="Arial"/>
          <w:b/>
          <w:sz w:val="22"/>
        </w:rPr>
      </w:pPr>
      <w:r w:rsidRPr="00292F1B">
        <w:rPr>
          <w:rFonts w:ascii="Arial" w:eastAsia="Calibri" w:hAnsi="Arial" w:cs="Arial"/>
          <w:b/>
          <w:sz w:val="22"/>
        </w:rPr>
        <w:t xml:space="preserve">2.1. </w:t>
      </w:r>
      <w:r w:rsidR="00E80494" w:rsidRPr="00292F1B">
        <w:rPr>
          <w:rFonts w:ascii="Arial" w:eastAsia="Calibri" w:hAnsi="Arial" w:cs="Arial"/>
          <w:b/>
          <w:sz w:val="22"/>
        </w:rPr>
        <w:t xml:space="preserve">Naturaleza Jurídica de las Instituciones Educativas de </w:t>
      </w:r>
      <w:r w:rsidR="00A026BB" w:rsidRPr="00292F1B">
        <w:rPr>
          <w:rFonts w:ascii="Arial" w:eastAsia="Calibri" w:hAnsi="Arial" w:cs="Arial"/>
          <w:b/>
          <w:sz w:val="22"/>
        </w:rPr>
        <w:t>c</w:t>
      </w:r>
      <w:r w:rsidR="00E80494" w:rsidRPr="00292F1B">
        <w:rPr>
          <w:rFonts w:ascii="Arial" w:eastAsia="Calibri" w:hAnsi="Arial" w:cs="Arial"/>
          <w:b/>
          <w:sz w:val="22"/>
        </w:rPr>
        <w:t>arácter oficial y su régimen de contratación</w:t>
      </w:r>
    </w:p>
    <w:p w14:paraId="56DE2A70" w14:textId="77777777" w:rsidR="00E80494" w:rsidRPr="00292F1B" w:rsidRDefault="00E80494" w:rsidP="00E80494">
      <w:pPr>
        <w:tabs>
          <w:tab w:val="left" w:pos="426"/>
        </w:tabs>
        <w:jc w:val="both"/>
        <w:rPr>
          <w:rFonts w:ascii="Arial" w:eastAsia="Calibri" w:hAnsi="Arial" w:cs="Arial"/>
          <w:b/>
          <w:sz w:val="22"/>
        </w:rPr>
      </w:pPr>
    </w:p>
    <w:p w14:paraId="74EC4668" w14:textId="4376F6A6" w:rsidR="00044E28" w:rsidRPr="00292F1B" w:rsidRDefault="00044E28" w:rsidP="00526B4A">
      <w:pPr>
        <w:spacing w:after="120" w:line="276" w:lineRule="auto"/>
        <w:jc w:val="both"/>
        <w:rPr>
          <w:rFonts w:ascii="Arial" w:hAnsi="Arial" w:cs="Arial"/>
          <w:sz w:val="22"/>
        </w:rPr>
      </w:pPr>
      <w:r w:rsidRPr="00292F1B">
        <w:rPr>
          <w:rFonts w:ascii="Arial" w:hAnsi="Arial" w:cs="Arial"/>
          <w:sz w:val="22"/>
        </w:rPr>
        <w:t>Las Leyes 60 de 1993 y 715 de 2001 descentralizaron el sistema educativo en Colombia, asignándole</w:t>
      </w:r>
      <w:r w:rsidR="005D3D12" w:rsidRPr="00292F1B">
        <w:rPr>
          <w:rFonts w:ascii="Arial" w:hAnsi="Arial" w:cs="Arial"/>
          <w:sz w:val="22"/>
        </w:rPr>
        <w:t>s</w:t>
      </w:r>
      <w:r w:rsidRPr="00292F1B">
        <w:rPr>
          <w:rFonts w:ascii="Arial" w:hAnsi="Arial" w:cs="Arial"/>
          <w:sz w:val="22"/>
        </w:rPr>
        <w:t xml:space="preserve"> a los departamentos, distritos y municipios las competencias y los recursos para dirigir las instituciones educativas. Es decir, el sistema educativo está descentralizado por las competencias propias que se le han otorgado a las entidades territoriales para administrar las instituciones educativas</w:t>
      </w:r>
      <w:r w:rsidR="008D6A30">
        <w:rPr>
          <w:rFonts w:ascii="Arial" w:hAnsi="Arial" w:cs="Arial"/>
          <w:sz w:val="22"/>
        </w:rPr>
        <w:t>,</w:t>
      </w:r>
      <w:r w:rsidRPr="00292F1B">
        <w:rPr>
          <w:rFonts w:ascii="Arial" w:hAnsi="Arial" w:cs="Arial"/>
          <w:sz w:val="22"/>
        </w:rPr>
        <w:t xml:space="preserve"> que pueden ser de los diferentes niveles</w:t>
      </w:r>
      <w:r w:rsidR="009C6145">
        <w:rPr>
          <w:rFonts w:ascii="Arial" w:hAnsi="Arial" w:cs="Arial"/>
          <w:sz w:val="22"/>
        </w:rPr>
        <w:t>,</w:t>
      </w:r>
      <w:r w:rsidRPr="00292F1B">
        <w:rPr>
          <w:rFonts w:ascii="Arial" w:hAnsi="Arial" w:cs="Arial"/>
          <w:sz w:val="22"/>
        </w:rPr>
        <w:t xml:space="preserve"> pero estas no son entidades descentralizadas</w:t>
      </w:r>
      <w:r w:rsidRPr="00292F1B">
        <w:rPr>
          <w:rStyle w:val="Refdenotaalpie"/>
          <w:rFonts w:ascii="Arial" w:hAnsi="Arial" w:cs="Arial"/>
          <w:sz w:val="22"/>
        </w:rPr>
        <w:footnoteReference w:id="1"/>
      </w:r>
      <w:r w:rsidRPr="00292F1B">
        <w:rPr>
          <w:rFonts w:ascii="Arial" w:hAnsi="Arial" w:cs="Arial"/>
          <w:sz w:val="22"/>
        </w:rPr>
        <w:t xml:space="preserve">. </w:t>
      </w:r>
    </w:p>
    <w:p w14:paraId="2755EE68" w14:textId="7DBACA6C" w:rsidR="00044E28" w:rsidRPr="00292F1B" w:rsidRDefault="00044E28" w:rsidP="004026EC">
      <w:pPr>
        <w:spacing w:before="120" w:after="120" w:line="276" w:lineRule="auto"/>
        <w:ind w:firstLine="709"/>
        <w:jc w:val="both"/>
        <w:rPr>
          <w:rFonts w:ascii="Arial" w:hAnsi="Arial" w:cs="Arial"/>
          <w:sz w:val="22"/>
        </w:rPr>
      </w:pPr>
      <w:r w:rsidRPr="00292F1B">
        <w:rPr>
          <w:rFonts w:ascii="Arial" w:hAnsi="Arial" w:cs="Arial"/>
          <w:sz w:val="22"/>
        </w:rPr>
        <w:t xml:space="preserve">Conforme a lo anterior, las instituciones educativas pertenecen a la entidad territorial que haya efectuado su reconocimiento de carácter oficial. No obstante, carecen de personería jurídica, pero tienen capacidad para contratar y se concreta en la competencia que le otorgó el legislador en la Ley 715 de 2001 para administrar los fondos de servicios educativos, siendo cuentas contables que le permiten a las instituciones </w:t>
      </w:r>
      <w:r w:rsidR="004026EC" w:rsidRPr="00292F1B">
        <w:rPr>
          <w:rFonts w:ascii="Arial" w:hAnsi="Arial" w:cs="Arial"/>
          <w:sz w:val="22"/>
        </w:rPr>
        <w:t>r</w:t>
      </w:r>
      <w:r w:rsidRPr="00292F1B">
        <w:rPr>
          <w:rFonts w:ascii="Arial" w:hAnsi="Arial" w:cs="Arial"/>
          <w:sz w:val="22"/>
        </w:rPr>
        <w:t>ealizar</w:t>
      </w:r>
      <w:r w:rsidR="004026EC" w:rsidRPr="00292F1B">
        <w:rPr>
          <w:rFonts w:ascii="Arial" w:hAnsi="Arial" w:cs="Arial"/>
          <w:sz w:val="22"/>
        </w:rPr>
        <w:t xml:space="preserve"> la g</w:t>
      </w:r>
      <w:r w:rsidRPr="00292F1B">
        <w:rPr>
          <w:rFonts w:ascii="Arial" w:hAnsi="Arial" w:cs="Arial"/>
          <w:sz w:val="22"/>
        </w:rPr>
        <w:t>estión y ejecución presupuestal de los recursos que reciben los establecimientos educativos</w:t>
      </w:r>
      <w:r w:rsidRPr="00292F1B">
        <w:rPr>
          <w:rStyle w:val="Refdenotaalpie"/>
          <w:rFonts w:ascii="Arial" w:hAnsi="Arial" w:cs="Arial"/>
          <w:sz w:val="22"/>
        </w:rPr>
        <w:footnoteReference w:id="2"/>
      </w:r>
      <w:r w:rsidRPr="00292F1B">
        <w:rPr>
          <w:rFonts w:ascii="Arial" w:hAnsi="Arial" w:cs="Arial"/>
          <w:sz w:val="22"/>
        </w:rPr>
        <w:t xml:space="preserve"> </w:t>
      </w:r>
      <w:r w:rsidRPr="00292F1B">
        <w:rPr>
          <w:rStyle w:val="Refdenotaalpie"/>
          <w:rFonts w:ascii="Arial" w:hAnsi="Arial" w:cs="Arial"/>
          <w:sz w:val="22"/>
        </w:rPr>
        <w:footnoteReference w:id="3"/>
      </w:r>
      <w:r w:rsidRPr="00292F1B">
        <w:rPr>
          <w:rFonts w:ascii="Arial" w:hAnsi="Arial" w:cs="Arial"/>
          <w:sz w:val="22"/>
        </w:rPr>
        <w:t>.</w:t>
      </w:r>
    </w:p>
    <w:p w14:paraId="0F1E7919" w14:textId="1982E9FB" w:rsidR="00044E28" w:rsidRPr="00292F1B" w:rsidRDefault="00044E28" w:rsidP="00526B4A">
      <w:pPr>
        <w:spacing w:before="120" w:line="276" w:lineRule="auto"/>
        <w:ind w:firstLine="709"/>
        <w:jc w:val="both"/>
        <w:rPr>
          <w:rFonts w:ascii="Arial" w:hAnsi="Arial" w:cs="Arial"/>
          <w:sz w:val="22"/>
        </w:rPr>
      </w:pPr>
      <w:r w:rsidRPr="00292F1B">
        <w:rPr>
          <w:rFonts w:ascii="Arial" w:hAnsi="Arial" w:cs="Arial"/>
          <w:sz w:val="22"/>
        </w:rPr>
        <w:t>Los fondos de servicios educativos tampoco cuentan con personería jurídica según lo previsto en el artículo 2.3.1.6.3.4 del Decreto 1075 de 2015, Decreto Único Reglamentario del Sector Educación:</w:t>
      </w:r>
    </w:p>
    <w:p w14:paraId="4E5702D9" w14:textId="77777777" w:rsidR="00526B4A" w:rsidRPr="00292F1B" w:rsidRDefault="00526B4A" w:rsidP="00526B4A">
      <w:pPr>
        <w:spacing w:before="120" w:line="276" w:lineRule="auto"/>
        <w:ind w:firstLine="709"/>
        <w:jc w:val="both"/>
        <w:rPr>
          <w:rFonts w:ascii="Arial" w:hAnsi="Arial" w:cs="Arial"/>
          <w:sz w:val="22"/>
        </w:rPr>
      </w:pPr>
    </w:p>
    <w:p w14:paraId="1F185F05" w14:textId="77777777" w:rsidR="00044E28" w:rsidRPr="00292F1B" w:rsidRDefault="00044E28" w:rsidP="00526B4A">
      <w:pPr>
        <w:spacing w:before="120"/>
        <w:ind w:left="709" w:right="709"/>
        <w:jc w:val="both"/>
        <w:rPr>
          <w:rFonts w:ascii="Arial" w:hAnsi="Arial" w:cs="Arial"/>
          <w:sz w:val="21"/>
          <w:szCs w:val="21"/>
        </w:rPr>
      </w:pPr>
      <w:r w:rsidRPr="00292F1B">
        <w:rPr>
          <w:rFonts w:ascii="Arial" w:hAnsi="Arial" w:cs="Arial"/>
          <w:sz w:val="21"/>
          <w:szCs w:val="21"/>
        </w:rPr>
        <w:t>Artículo 2.3.1.6.3.4. Ordenación del gasto. Los fondos de servicios educativos carecen de personería jurídica. El rector o director rural es el ordenador del gasto del Fondo de Servicios Educativos y su ejercicio no implica representación legal</w:t>
      </w:r>
      <w:r w:rsidRPr="00292F1B">
        <w:rPr>
          <w:rStyle w:val="Refdenotaalpie"/>
          <w:rFonts w:ascii="Arial" w:hAnsi="Arial" w:cs="Arial"/>
          <w:sz w:val="21"/>
          <w:szCs w:val="21"/>
        </w:rPr>
        <w:footnoteReference w:id="4"/>
      </w:r>
      <w:r w:rsidRPr="00292F1B">
        <w:rPr>
          <w:rFonts w:ascii="Arial" w:hAnsi="Arial" w:cs="Arial"/>
          <w:sz w:val="21"/>
          <w:szCs w:val="21"/>
        </w:rPr>
        <w:t>.</w:t>
      </w:r>
    </w:p>
    <w:p w14:paraId="0501F95E" w14:textId="77777777" w:rsidR="00044E28" w:rsidRPr="00292F1B" w:rsidRDefault="00044E28" w:rsidP="00526B4A">
      <w:pPr>
        <w:spacing w:line="276" w:lineRule="auto"/>
        <w:jc w:val="both"/>
        <w:rPr>
          <w:rFonts w:ascii="Arial" w:hAnsi="Arial" w:cs="Arial"/>
          <w:sz w:val="22"/>
        </w:rPr>
      </w:pPr>
    </w:p>
    <w:p w14:paraId="5B3C1E96" w14:textId="77777777" w:rsidR="00011E77" w:rsidRPr="00292F1B" w:rsidRDefault="00044E28" w:rsidP="005C40E9">
      <w:pPr>
        <w:spacing w:after="120" w:line="276" w:lineRule="auto"/>
        <w:ind w:firstLine="709"/>
        <w:jc w:val="both"/>
        <w:rPr>
          <w:rFonts w:ascii="Arial" w:hAnsi="Arial" w:cs="Arial"/>
          <w:sz w:val="22"/>
        </w:rPr>
      </w:pPr>
      <w:r w:rsidRPr="00292F1B">
        <w:rPr>
          <w:rFonts w:ascii="Arial" w:hAnsi="Arial" w:cs="Arial"/>
          <w:sz w:val="22"/>
        </w:rPr>
        <w:t>Respecto de la capacidad para contratar con la que cuentan las instituciones educativas por medio de los fondos de servicios educativos, hay que precisar que cuando se trate de actos y contratos cuya cuantía no exceda los veinte (20) salarios mínimos mensuales legales vigentes</w:t>
      </w:r>
      <w:r w:rsidR="004026EC" w:rsidRPr="00292F1B">
        <w:rPr>
          <w:rFonts w:ascii="Arial" w:hAnsi="Arial" w:cs="Arial"/>
          <w:sz w:val="22"/>
        </w:rPr>
        <w:t>,</w:t>
      </w:r>
      <w:r w:rsidRPr="00292F1B">
        <w:rPr>
          <w:rFonts w:ascii="Arial" w:hAnsi="Arial" w:cs="Arial"/>
          <w:sz w:val="22"/>
        </w:rPr>
        <w:t xml:space="preserve"> se sujetarán a las condiciones previstas en el reglamento de contratación que expida el consejo directivo de la institución, de conformidad con lo dispuesto en el artículo 13 de la Ley 715 de 2001</w:t>
      </w:r>
      <w:r w:rsidRPr="00292F1B">
        <w:rPr>
          <w:rStyle w:val="Refdenotaalpie"/>
          <w:rFonts w:ascii="Arial" w:hAnsi="Arial" w:cs="Arial"/>
          <w:sz w:val="22"/>
        </w:rPr>
        <w:footnoteReference w:id="5"/>
      </w:r>
      <w:r w:rsidRPr="00292F1B">
        <w:rPr>
          <w:rFonts w:ascii="Arial" w:hAnsi="Arial" w:cs="Arial"/>
          <w:sz w:val="22"/>
        </w:rPr>
        <w:t>.</w:t>
      </w:r>
      <w:r w:rsidR="00863C61" w:rsidRPr="00292F1B">
        <w:rPr>
          <w:rFonts w:ascii="Arial" w:hAnsi="Arial" w:cs="Arial"/>
          <w:sz w:val="22"/>
        </w:rPr>
        <w:t xml:space="preserve"> </w:t>
      </w:r>
    </w:p>
    <w:p w14:paraId="37C8479E" w14:textId="6C5EF3A5" w:rsidR="00044E28" w:rsidRPr="00292F1B" w:rsidRDefault="00CA5B28" w:rsidP="004026EC">
      <w:pPr>
        <w:spacing w:before="120" w:after="120" w:line="276" w:lineRule="auto"/>
        <w:ind w:firstLine="709"/>
        <w:jc w:val="both"/>
        <w:rPr>
          <w:rFonts w:ascii="Arial" w:hAnsi="Arial" w:cs="Arial"/>
          <w:sz w:val="22"/>
        </w:rPr>
      </w:pPr>
      <w:r w:rsidRPr="00292F1B">
        <w:rPr>
          <w:rFonts w:ascii="Arial" w:hAnsi="Arial" w:cs="Arial"/>
          <w:sz w:val="22"/>
        </w:rPr>
        <w:t>Esto significa que</w:t>
      </w:r>
      <w:r w:rsidR="005E3121" w:rsidRPr="00292F1B">
        <w:rPr>
          <w:rFonts w:ascii="Arial" w:hAnsi="Arial" w:cs="Arial"/>
          <w:sz w:val="22"/>
        </w:rPr>
        <w:t xml:space="preserve"> la contratación que realicen l</w:t>
      </w:r>
      <w:r w:rsidR="00011E77" w:rsidRPr="00292F1B">
        <w:rPr>
          <w:rFonts w:ascii="Arial" w:hAnsi="Arial" w:cs="Arial"/>
          <w:sz w:val="22"/>
        </w:rPr>
        <w:t>as instituciones</w:t>
      </w:r>
      <w:r w:rsidR="005E3121" w:rsidRPr="00292F1B">
        <w:rPr>
          <w:rFonts w:ascii="Arial" w:hAnsi="Arial" w:cs="Arial"/>
          <w:sz w:val="22"/>
        </w:rPr>
        <w:t xml:space="preserve"> educativ</w:t>
      </w:r>
      <w:r w:rsidR="00011E77" w:rsidRPr="00292F1B">
        <w:rPr>
          <w:rFonts w:ascii="Arial" w:hAnsi="Arial" w:cs="Arial"/>
          <w:sz w:val="22"/>
        </w:rPr>
        <w:t>a</w:t>
      </w:r>
      <w:r w:rsidR="005E3121" w:rsidRPr="00292F1B">
        <w:rPr>
          <w:rFonts w:ascii="Arial" w:hAnsi="Arial" w:cs="Arial"/>
          <w:sz w:val="22"/>
        </w:rPr>
        <w:t>s, siempre que se ubique por debajo del referido umbral, no deberá ceñirse a las reglas del Estatuto General de Contratación de la Administración</w:t>
      </w:r>
      <w:r w:rsidR="00011E77" w:rsidRPr="00292F1B">
        <w:rPr>
          <w:rFonts w:ascii="Arial" w:hAnsi="Arial" w:cs="Arial"/>
          <w:sz w:val="22"/>
        </w:rPr>
        <w:t xml:space="preserve"> Pública</w:t>
      </w:r>
      <w:r w:rsidR="005E3121" w:rsidRPr="00292F1B">
        <w:rPr>
          <w:rFonts w:ascii="Arial" w:hAnsi="Arial" w:cs="Arial"/>
          <w:sz w:val="22"/>
        </w:rPr>
        <w:t>, sino a las determinadas por el reglamento expedido por el consejo directivo de la institución educativa conforme al artículo 13 de la Ley 715 de 2001</w:t>
      </w:r>
      <w:r w:rsidR="00011E77" w:rsidRPr="00292F1B">
        <w:rPr>
          <w:rFonts w:ascii="Arial" w:hAnsi="Arial" w:cs="Arial"/>
          <w:sz w:val="22"/>
        </w:rPr>
        <w:t>, que implica que tales reglamentos se expidan de conformidad con los principios de igualdad, moralidad, imparcialidad y publicidad,  así como de acuerdo con en la experiencia y el análisis concreto de las necesidades del establecimiento, determina</w:t>
      </w:r>
      <w:r w:rsidR="008D6A30">
        <w:rPr>
          <w:rFonts w:ascii="Arial" w:hAnsi="Arial" w:cs="Arial"/>
          <w:sz w:val="22"/>
        </w:rPr>
        <w:t>n</w:t>
      </w:r>
      <w:r w:rsidR="00011E77" w:rsidRPr="00292F1B">
        <w:rPr>
          <w:rFonts w:ascii="Arial" w:hAnsi="Arial" w:cs="Arial"/>
          <w:sz w:val="22"/>
        </w:rPr>
        <w:t xml:space="preserve">do los trámites, garantías y constancias que deben cumplirse para que el rector </w:t>
      </w:r>
      <w:r w:rsidR="00011E77" w:rsidRPr="00292F1B">
        <w:rPr>
          <w:rFonts w:ascii="Arial" w:hAnsi="Arial" w:cs="Arial"/>
          <w:sz w:val="22"/>
        </w:rPr>
        <w:lastRenderedPageBreak/>
        <w:t>o director celebre cualquier acto o contrato que cree, extinga o modifique obligaciones con cargo al respectivo fondo de servicios educativos.</w:t>
      </w:r>
      <w:r w:rsidR="00281435" w:rsidRPr="00292F1B">
        <w:rPr>
          <w:rFonts w:ascii="Arial" w:hAnsi="Arial" w:cs="Arial"/>
          <w:sz w:val="22"/>
        </w:rPr>
        <w:t xml:space="preserve"> </w:t>
      </w:r>
    </w:p>
    <w:p w14:paraId="33E42311" w14:textId="43B1CC80" w:rsidR="00281435" w:rsidRPr="00292F1B" w:rsidRDefault="00281435" w:rsidP="004026EC">
      <w:pPr>
        <w:spacing w:before="120" w:after="120" w:line="276" w:lineRule="auto"/>
        <w:ind w:firstLine="709"/>
        <w:jc w:val="both"/>
        <w:rPr>
          <w:rFonts w:ascii="Arial" w:hAnsi="Arial" w:cs="Arial"/>
          <w:sz w:val="22"/>
        </w:rPr>
      </w:pPr>
      <w:r w:rsidRPr="00292F1B">
        <w:rPr>
          <w:rFonts w:ascii="Arial" w:hAnsi="Arial" w:cs="Arial"/>
          <w:sz w:val="22"/>
        </w:rPr>
        <w:t>En ese sentido, tratándose de la contratación realizada por dichas instituciones por debajo de la cuantía de veinte (20) salarios mínimos legales mensuales vigentes, es el consejo directivo quien tiene la competencia para establecer las reglas conforme a las cuales debe realizarse la adquisición de bienes, obras y servicios, incluidos los procedimientos,</w:t>
      </w:r>
      <w:r w:rsidR="00ED7A8F" w:rsidRPr="00292F1B">
        <w:rPr>
          <w:rFonts w:ascii="Arial" w:hAnsi="Arial" w:cs="Arial"/>
          <w:sz w:val="22"/>
        </w:rPr>
        <w:t xml:space="preserve"> mecanismos,</w:t>
      </w:r>
      <w:r w:rsidRPr="00292F1B">
        <w:rPr>
          <w:rFonts w:ascii="Arial" w:hAnsi="Arial" w:cs="Arial"/>
          <w:sz w:val="22"/>
        </w:rPr>
        <w:t xml:space="preserve"> requisitos y formalidades </w:t>
      </w:r>
      <w:r w:rsidR="00ED7A8F" w:rsidRPr="00292F1B">
        <w:rPr>
          <w:rFonts w:ascii="Arial" w:hAnsi="Arial" w:cs="Arial"/>
          <w:sz w:val="22"/>
        </w:rPr>
        <w:t xml:space="preserve">que deben respetarse en estos procesos de contratación. </w:t>
      </w:r>
    </w:p>
    <w:p w14:paraId="19704248" w14:textId="11B5F070" w:rsidR="00044E28" w:rsidRPr="00292F1B" w:rsidRDefault="00ED7A8F" w:rsidP="00863C61">
      <w:pPr>
        <w:spacing w:before="120" w:line="276" w:lineRule="auto"/>
        <w:ind w:firstLine="709"/>
        <w:jc w:val="both"/>
        <w:rPr>
          <w:rFonts w:ascii="Arial" w:hAnsi="Arial" w:cs="Arial"/>
          <w:sz w:val="22"/>
        </w:rPr>
      </w:pPr>
      <w:r w:rsidRPr="00292F1B">
        <w:rPr>
          <w:rFonts w:ascii="Arial" w:hAnsi="Arial" w:cs="Arial"/>
          <w:sz w:val="22"/>
        </w:rPr>
        <w:t>Por el contrario, c</w:t>
      </w:r>
      <w:r w:rsidR="00044E28" w:rsidRPr="00292F1B">
        <w:rPr>
          <w:rFonts w:ascii="Arial" w:hAnsi="Arial" w:cs="Arial"/>
          <w:sz w:val="22"/>
        </w:rPr>
        <w:t>uando la celebración de contratos a que haya lugar con recursos del fondo de servicios educativos supere la cuantía de los veinte (20) salarios mínimos legales mensuales vigentes</w:t>
      </w:r>
      <w:r w:rsidR="00FE2DC5" w:rsidRPr="00292F1B">
        <w:rPr>
          <w:rFonts w:ascii="Arial" w:hAnsi="Arial" w:cs="Arial"/>
          <w:sz w:val="22"/>
        </w:rPr>
        <w:t>,</w:t>
      </w:r>
      <w:r w:rsidR="00044E28" w:rsidRPr="00292F1B">
        <w:rPr>
          <w:rFonts w:ascii="Arial" w:hAnsi="Arial" w:cs="Arial"/>
          <w:sz w:val="22"/>
        </w:rPr>
        <w:t xml:space="preserve"> debe hacerse con estricta sujeción a lo dispuesto en la Ley 80 de 1993</w:t>
      </w:r>
      <w:r w:rsidRPr="00292F1B">
        <w:rPr>
          <w:rFonts w:ascii="Arial" w:hAnsi="Arial" w:cs="Arial"/>
          <w:sz w:val="22"/>
        </w:rPr>
        <w:t>, por lo que las reglas a las que deben sujetarse los procedimientos dentro de los que se enmarque esta contratación son las del Estatuto General de Contratación de la Administración Pública, procediendo la aplicación de las modalidades de selección definidas en la Ley 1150 de 2007, así como los requisitos y formalidades establecidas en el Decreto 1082 del 2015 y demás normativ</w:t>
      </w:r>
      <w:r w:rsidR="008D6A30">
        <w:rPr>
          <w:rFonts w:ascii="Arial" w:hAnsi="Arial" w:cs="Arial"/>
          <w:sz w:val="22"/>
        </w:rPr>
        <w:t>a</w:t>
      </w:r>
      <w:r w:rsidRPr="00292F1B">
        <w:rPr>
          <w:rFonts w:ascii="Arial" w:hAnsi="Arial" w:cs="Arial"/>
          <w:sz w:val="22"/>
        </w:rPr>
        <w:t xml:space="preserve"> integrante del referido estatuto.</w:t>
      </w:r>
    </w:p>
    <w:p w14:paraId="02AB7B62" w14:textId="77777777" w:rsidR="00E80494" w:rsidRPr="00292F1B" w:rsidRDefault="00E80494" w:rsidP="00E80494">
      <w:pPr>
        <w:ind w:firstLine="709"/>
        <w:jc w:val="both"/>
        <w:rPr>
          <w:rFonts w:ascii="Arial" w:hAnsi="Arial" w:cs="Arial"/>
          <w:sz w:val="22"/>
        </w:rPr>
      </w:pPr>
    </w:p>
    <w:p w14:paraId="07A90D10" w14:textId="34101B4E" w:rsidR="00A14A6F" w:rsidRPr="00292F1B" w:rsidRDefault="00A14A6F" w:rsidP="00A14A6F">
      <w:pPr>
        <w:tabs>
          <w:tab w:val="left" w:pos="426"/>
        </w:tabs>
        <w:spacing w:line="276" w:lineRule="auto"/>
        <w:jc w:val="both"/>
        <w:rPr>
          <w:rFonts w:ascii="Arial" w:eastAsia="Calibri" w:hAnsi="Arial" w:cs="Arial"/>
          <w:b/>
          <w:sz w:val="22"/>
        </w:rPr>
      </w:pPr>
      <w:r w:rsidRPr="00292F1B">
        <w:rPr>
          <w:rFonts w:ascii="Arial" w:eastAsia="Calibri" w:hAnsi="Arial" w:cs="Arial"/>
          <w:b/>
          <w:sz w:val="22"/>
        </w:rPr>
        <w:t>2.</w:t>
      </w:r>
      <w:r w:rsidR="00ED7A8F" w:rsidRPr="00292F1B">
        <w:rPr>
          <w:rFonts w:ascii="Arial" w:eastAsia="Calibri" w:hAnsi="Arial" w:cs="Arial"/>
          <w:b/>
          <w:sz w:val="22"/>
        </w:rPr>
        <w:t>2</w:t>
      </w:r>
      <w:r w:rsidRPr="00292F1B">
        <w:rPr>
          <w:rFonts w:ascii="Arial" w:eastAsia="Calibri" w:hAnsi="Arial" w:cs="Arial"/>
          <w:b/>
          <w:sz w:val="22"/>
        </w:rPr>
        <w:t xml:space="preserve"> </w:t>
      </w:r>
      <w:r w:rsidR="00526B4A" w:rsidRPr="00292F1B">
        <w:rPr>
          <w:rFonts w:ascii="Arial" w:eastAsia="Calibri" w:hAnsi="Arial" w:cs="Arial"/>
          <w:b/>
          <w:sz w:val="22"/>
        </w:rPr>
        <w:t>Principio de publicidad y acceso a la información pública</w:t>
      </w:r>
    </w:p>
    <w:p w14:paraId="04BAEAEA" w14:textId="77777777" w:rsidR="00526B4A" w:rsidRPr="00292F1B" w:rsidRDefault="00526B4A" w:rsidP="00A14A6F">
      <w:pPr>
        <w:tabs>
          <w:tab w:val="left" w:pos="426"/>
        </w:tabs>
        <w:spacing w:line="276" w:lineRule="auto"/>
        <w:jc w:val="both"/>
        <w:rPr>
          <w:rFonts w:ascii="Arial" w:eastAsia="Calibri" w:hAnsi="Arial" w:cs="Arial"/>
          <w:b/>
          <w:sz w:val="22"/>
        </w:rPr>
      </w:pPr>
    </w:p>
    <w:p w14:paraId="74D9B689" w14:textId="77777777" w:rsidR="00292F1B" w:rsidRPr="00292F1B" w:rsidRDefault="00292F1B" w:rsidP="00292F1B">
      <w:pPr>
        <w:spacing w:line="276" w:lineRule="auto"/>
        <w:jc w:val="both"/>
        <w:rPr>
          <w:rFonts w:ascii="Arial" w:hAnsi="Arial" w:cs="Arial"/>
          <w:sz w:val="22"/>
        </w:rPr>
      </w:pPr>
      <w:r w:rsidRPr="00292F1B">
        <w:rPr>
          <w:rFonts w:ascii="Arial" w:eastAsia="Calibri" w:hAnsi="Arial" w:cs="Arial"/>
          <w:sz w:val="22"/>
        </w:rPr>
        <w:t xml:space="preserve">Para la Corte Constitucional, el principio de publicidad es la garantía que tienen las personas de conocer las actuaciones judiciales y administrativas y con base en ese </w:t>
      </w:r>
      <w:r w:rsidRPr="00292F1B">
        <w:rPr>
          <w:rFonts w:ascii="Arial" w:hAnsi="Arial" w:cs="Arial"/>
          <w:sz w:val="22"/>
        </w:rPr>
        <w:t xml:space="preserve">conocimiento tener la posibilidad de exigir que se surtan conforme a la ley: </w:t>
      </w:r>
    </w:p>
    <w:p w14:paraId="5F3C9F60" w14:textId="77777777" w:rsidR="00292F1B" w:rsidRPr="00292F1B" w:rsidRDefault="00292F1B" w:rsidP="00292F1B">
      <w:pPr>
        <w:ind w:firstLine="708"/>
        <w:jc w:val="both"/>
        <w:rPr>
          <w:rFonts w:ascii="Arial" w:hAnsi="Arial" w:cs="Arial"/>
          <w:sz w:val="22"/>
        </w:rPr>
      </w:pPr>
    </w:p>
    <w:p w14:paraId="33BB1E96" w14:textId="77777777" w:rsidR="00292F1B" w:rsidRPr="00292F1B" w:rsidRDefault="00292F1B" w:rsidP="00292F1B">
      <w:pPr>
        <w:ind w:left="709" w:right="709"/>
        <w:jc w:val="both"/>
        <w:rPr>
          <w:rFonts w:ascii="Arial" w:hAnsi="Arial" w:cs="Arial"/>
          <w:sz w:val="21"/>
          <w:szCs w:val="21"/>
        </w:rPr>
      </w:pPr>
      <w:r w:rsidRPr="00292F1B">
        <w:rPr>
          <w:rFonts w:ascii="Arial" w:hAnsi="Arial" w:cs="Arial"/>
          <w:sz w:val="21"/>
          <w:szCs w:val="21"/>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 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292F1B">
        <w:rPr>
          <w:rStyle w:val="Refdenotaalpie"/>
          <w:rFonts w:ascii="Arial" w:hAnsi="Arial" w:cs="Arial"/>
          <w:sz w:val="21"/>
          <w:szCs w:val="21"/>
        </w:rPr>
        <w:footnoteReference w:id="6"/>
      </w:r>
      <w:r w:rsidRPr="00292F1B">
        <w:rPr>
          <w:rFonts w:ascii="Arial" w:hAnsi="Arial" w:cs="Arial"/>
          <w:sz w:val="21"/>
          <w:szCs w:val="21"/>
        </w:rPr>
        <w:t>.</w:t>
      </w:r>
    </w:p>
    <w:p w14:paraId="2C912BDF" w14:textId="77777777" w:rsidR="00292F1B" w:rsidRPr="00292F1B" w:rsidRDefault="00292F1B" w:rsidP="00292F1B">
      <w:pPr>
        <w:ind w:firstLine="708"/>
        <w:jc w:val="both"/>
        <w:rPr>
          <w:rFonts w:ascii="Arial" w:hAnsi="Arial" w:cs="Arial"/>
          <w:sz w:val="21"/>
          <w:szCs w:val="21"/>
        </w:rPr>
      </w:pPr>
    </w:p>
    <w:p w14:paraId="584CD982" w14:textId="77777777" w:rsidR="00292F1B" w:rsidRPr="00292F1B" w:rsidRDefault="00292F1B" w:rsidP="00292F1B">
      <w:pPr>
        <w:spacing w:line="276" w:lineRule="auto"/>
        <w:ind w:firstLine="708"/>
        <w:jc w:val="both"/>
        <w:rPr>
          <w:rFonts w:ascii="Arial" w:eastAsia="Calibri" w:hAnsi="Arial" w:cs="Arial"/>
          <w:sz w:val="22"/>
        </w:rPr>
      </w:pPr>
      <w:r w:rsidRPr="00292F1B">
        <w:rPr>
          <w:rFonts w:ascii="Arial" w:hAnsi="Arial" w:cs="Arial"/>
          <w:sz w:val="22"/>
        </w:rPr>
        <w:t>El principio de publicidad impone a las autoridades administrativas el deber de dar</w:t>
      </w:r>
      <w:r w:rsidRPr="00292F1B">
        <w:rPr>
          <w:rFonts w:ascii="Arial" w:eastAsia="Calibri" w:hAnsi="Arial" w:cs="Arial"/>
          <w:sz w:val="22"/>
        </w:rPr>
        <w:t xml:space="preserve"> a conocer sus actos, contratos y decisiones, para que se divulguen y eventualmente se controlen las actuaciones. </w:t>
      </w:r>
    </w:p>
    <w:p w14:paraId="174145B8" w14:textId="77777777" w:rsidR="00292F1B" w:rsidRPr="00292F1B" w:rsidRDefault="00292F1B" w:rsidP="00292F1B">
      <w:pPr>
        <w:spacing w:before="120" w:after="120" w:line="276" w:lineRule="auto"/>
        <w:ind w:firstLine="709"/>
        <w:jc w:val="both"/>
        <w:rPr>
          <w:rFonts w:ascii="Arial" w:eastAsia="Calibri" w:hAnsi="Arial" w:cs="Arial"/>
          <w:sz w:val="22"/>
        </w:rPr>
      </w:pPr>
      <w:r w:rsidRPr="00292F1B">
        <w:rPr>
          <w:rFonts w:ascii="Arial" w:eastAsia="Calibri" w:hAnsi="Arial" w:cs="Arial"/>
          <w:sz w:val="22"/>
        </w:rPr>
        <w:t xml:space="preserve">El literal c) del artículo 3 de la Ley 1150 de 2007 establece que el Sistema Electrónico para la Contratación Pública «contará con la información oficial de la  </w:t>
      </w:r>
      <w:r w:rsidRPr="00292F1B">
        <w:rPr>
          <w:rFonts w:ascii="Arial" w:eastAsia="Calibri" w:hAnsi="Arial" w:cs="Arial"/>
          <w:sz w:val="22"/>
        </w:rPr>
        <w:lastRenderedPageBreak/>
        <w:t>contratación realizada con dineros públicos, para lo cual establecerá los patrones a que haya lugar y se encargará de su difusión a través de canales electrónicos»</w:t>
      </w:r>
      <w:r w:rsidRPr="00292F1B">
        <w:rPr>
          <w:rFonts w:ascii="Arial" w:eastAsia="Calibri" w:hAnsi="Arial" w:cs="Arial"/>
          <w:sz w:val="22"/>
          <w:vertAlign w:val="superscript"/>
        </w:rPr>
        <w:footnoteReference w:id="7"/>
      </w:r>
      <w:r w:rsidRPr="00292F1B">
        <w:rPr>
          <w:rFonts w:ascii="Arial" w:eastAsia="Calibri" w:hAnsi="Arial" w:cs="Arial"/>
          <w:sz w:val="22"/>
        </w:rPr>
        <w:t xml:space="preserve">. </w:t>
      </w:r>
    </w:p>
    <w:p w14:paraId="3E1C5020" w14:textId="77777777" w:rsidR="00292F1B" w:rsidRPr="00292F1B" w:rsidRDefault="00292F1B" w:rsidP="00292F1B">
      <w:pPr>
        <w:spacing w:before="120" w:after="120" w:line="276" w:lineRule="auto"/>
        <w:ind w:firstLine="709"/>
        <w:jc w:val="both"/>
        <w:rPr>
          <w:rFonts w:ascii="Arial" w:eastAsia="Calibri" w:hAnsi="Arial" w:cs="Arial"/>
          <w:sz w:val="22"/>
        </w:rPr>
      </w:pPr>
      <w:r w:rsidRPr="00292F1B">
        <w:rPr>
          <w:rFonts w:ascii="Arial" w:hAnsi="Arial" w:cs="Arial"/>
          <w:sz w:val="22"/>
        </w:rPr>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292F1B">
        <w:rPr>
          <w:rFonts w:ascii="Arial" w:hAnsi="Arial" w:cs="Arial"/>
          <w:sz w:val="22"/>
          <w:vertAlign w:val="superscript"/>
        </w:rPr>
        <w:footnoteReference w:id="8"/>
      </w:r>
      <w:r w:rsidRPr="00292F1B">
        <w:rPr>
          <w:rFonts w:ascii="Arial" w:hAnsi="Arial" w:cs="Arial"/>
          <w:sz w:val="22"/>
        </w:rPr>
        <w:t xml:space="preserve">. El principio de transparencia en la información alude al deber de los sujetos de proporcionar y facilitar el acceso a la misma en los términos más amplios posibles, y a través de los medios y procedimientos que establezca la ley. </w:t>
      </w:r>
    </w:p>
    <w:p w14:paraId="5F3AC2E0" w14:textId="77777777" w:rsidR="00292F1B" w:rsidRPr="00292F1B" w:rsidRDefault="00292F1B" w:rsidP="00292F1B">
      <w:pPr>
        <w:spacing w:before="120" w:after="120" w:line="276" w:lineRule="auto"/>
        <w:ind w:firstLine="709"/>
        <w:jc w:val="both"/>
        <w:rPr>
          <w:rFonts w:ascii="Arial" w:hAnsi="Arial" w:cs="Arial"/>
          <w:sz w:val="22"/>
        </w:rPr>
      </w:pPr>
      <w:r w:rsidRPr="00292F1B">
        <w:rPr>
          <w:rFonts w:ascii="Arial" w:hAnsi="Arial" w:cs="Arial"/>
          <w:sz w:val="22"/>
        </w:rPr>
        <w:t>La ley citada establece, en el literal e) del artículo 9, que los sujetos obligados, que son todas las entidades públicas</w:t>
      </w:r>
      <w:r w:rsidRPr="00292F1B">
        <w:rPr>
          <w:rFonts w:ascii="Arial" w:hAnsi="Arial" w:cs="Arial"/>
          <w:sz w:val="22"/>
          <w:vertAlign w:val="superscript"/>
        </w:rPr>
        <w:footnoteReference w:id="9"/>
      </w:r>
      <w:r w:rsidRPr="00292F1B">
        <w:rPr>
          <w:rFonts w:ascii="Arial" w:hAnsi="Arial" w:cs="Arial"/>
          <w:sz w:val="22"/>
        </w:rPr>
        <w:t>, deben publicar la información relativa a su contratación. Esta obligación fue desarrollada por el Decreto Único Reglamentario 1081 de 2015</w:t>
      </w:r>
      <w:r w:rsidRPr="00292F1B">
        <w:rPr>
          <w:rFonts w:ascii="Arial" w:hAnsi="Arial" w:cs="Arial"/>
          <w:sz w:val="22"/>
          <w:vertAlign w:val="superscript"/>
        </w:rPr>
        <w:footnoteReference w:id="10"/>
      </w:r>
      <w:r w:rsidRPr="00292F1B">
        <w:rPr>
          <w:rFonts w:ascii="Arial" w:hAnsi="Arial" w:cs="Arial"/>
          <w:sz w:val="22"/>
        </w:rPr>
        <w:t xml:space="preserve">, el </w:t>
      </w:r>
      <w:r w:rsidRPr="00292F1B">
        <w:rPr>
          <w:rFonts w:ascii="Arial" w:hAnsi="Arial" w:cs="Arial"/>
          <w:sz w:val="22"/>
        </w:rPr>
        <w:lastRenderedPageBreak/>
        <w:t>cual dispuso que la publicación de la información contractual de los sujetos obligados, que contratan con cargo a recursos públicos, debe hacerse en el Sistema Electrónico de Contratación Pública ─ SECOP.</w:t>
      </w:r>
    </w:p>
    <w:p w14:paraId="6C52F0C0" w14:textId="77777777" w:rsidR="00292F1B" w:rsidRPr="00292F1B" w:rsidRDefault="00292F1B" w:rsidP="00292F1B">
      <w:pPr>
        <w:spacing w:before="120" w:after="120" w:line="276" w:lineRule="auto"/>
        <w:ind w:firstLine="709"/>
        <w:jc w:val="both"/>
        <w:rPr>
          <w:rFonts w:ascii="Arial" w:hAnsi="Arial" w:cs="Arial"/>
          <w:sz w:val="22"/>
          <w:lang w:val="es-ES"/>
        </w:rPr>
      </w:pPr>
      <w:r w:rsidRPr="00292F1B">
        <w:rPr>
          <w:rFonts w:ascii="Arial" w:hAnsi="Arial" w:cs="Arial"/>
          <w:sz w:val="22"/>
        </w:rPr>
        <w:t xml:space="preserve">Asimismo, de </w:t>
      </w:r>
      <w:r w:rsidRPr="00292F1B">
        <w:rPr>
          <w:rFonts w:ascii="Arial" w:hAnsi="Arial" w:cs="Arial"/>
          <w:sz w:val="22"/>
          <w:lang w:val="es-ES"/>
        </w:rPr>
        <w:t xml:space="preserve">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44EAECBC" w14:textId="77777777" w:rsidR="00292F1B" w:rsidRPr="00292F1B" w:rsidRDefault="00292F1B" w:rsidP="00292F1B">
      <w:pPr>
        <w:spacing w:before="120" w:after="120" w:line="276" w:lineRule="auto"/>
        <w:ind w:firstLine="709"/>
        <w:jc w:val="both"/>
        <w:rPr>
          <w:rFonts w:ascii="Arial" w:eastAsia="Calibri" w:hAnsi="Arial" w:cs="Arial"/>
          <w:sz w:val="22"/>
        </w:rPr>
      </w:pPr>
      <w:r w:rsidRPr="00292F1B">
        <w:rPr>
          <w:rFonts w:ascii="Arial" w:eastAsia="Calibri" w:hAnsi="Arial" w:cs="Arial"/>
          <w:sz w:val="22"/>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292F1B">
        <w:rPr>
          <w:rFonts w:ascii="Arial" w:eastAsia="Calibri" w:hAnsi="Arial" w:cs="Arial"/>
          <w:sz w:val="22"/>
          <w:vertAlign w:val="superscript"/>
        </w:rPr>
        <w:footnoteReference w:id="11"/>
      </w:r>
      <w:r w:rsidRPr="00292F1B">
        <w:rPr>
          <w:rFonts w:ascii="Arial" w:eastAsia="Calibri" w:hAnsi="Arial" w:cs="Arial"/>
          <w:sz w:val="22"/>
        </w:rPr>
        <w:t>.</w:t>
      </w:r>
    </w:p>
    <w:p w14:paraId="0388D339" w14:textId="77777777" w:rsidR="00292F1B" w:rsidRPr="00292F1B" w:rsidRDefault="00292F1B" w:rsidP="00292F1B">
      <w:pPr>
        <w:spacing w:before="120" w:after="120" w:line="276" w:lineRule="auto"/>
        <w:ind w:firstLine="709"/>
        <w:jc w:val="both"/>
        <w:rPr>
          <w:rFonts w:ascii="Arial" w:hAnsi="Arial" w:cs="Arial"/>
          <w:sz w:val="22"/>
          <w:lang w:val="es-ES"/>
        </w:rPr>
      </w:pPr>
      <w:r w:rsidRPr="00292F1B">
        <w:rPr>
          <w:rFonts w:ascii="Arial" w:hAnsi="Arial" w:cs="Arial"/>
          <w:sz w:val="22"/>
          <w:lang w:val="es-ES"/>
        </w:rPr>
        <w:t>Para el año 2013, la Agencia Nacional de Contratación Pública ─ Colombia Compra Eficiente, mediante la mediante la Circular Externa No 1 del</w:t>
      </w:r>
      <w:r w:rsidRPr="00292F1B">
        <w:rPr>
          <w:rFonts w:ascii="Arial" w:hAnsi="Arial" w:cs="Arial"/>
          <w:sz w:val="22"/>
        </w:rPr>
        <w:t xml:space="preserve"> </w:t>
      </w:r>
      <w:r w:rsidRPr="00292F1B">
        <w:rPr>
          <w:rFonts w:ascii="Arial" w:hAnsi="Arial" w:cs="Arial"/>
          <w:sz w:val="22"/>
          <w:lang w:val="es-ES"/>
        </w:rPr>
        <w:t>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w:t>
      </w:r>
      <w:r w:rsidRPr="00292F1B">
        <w:rPr>
          <w:rFonts w:ascii="Arial" w:hAnsi="Arial" w:cs="Arial"/>
          <w:sz w:val="22"/>
          <w:vertAlign w:val="superscript"/>
          <w:lang w:val="es-ES"/>
        </w:rPr>
        <w:footnoteReference w:id="12"/>
      </w:r>
      <w:r w:rsidRPr="00292F1B">
        <w:rPr>
          <w:rFonts w:ascii="Arial" w:hAnsi="Arial" w:cs="Arial"/>
          <w:sz w:val="22"/>
          <w:lang w:val="es-ES"/>
        </w:rPr>
        <w:t>. Además, la Circular Externa Única, en el numeral 1.1., establece,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331BECE7" w14:textId="77777777" w:rsidR="00292F1B" w:rsidRPr="00292F1B" w:rsidRDefault="00292F1B" w:rsidP="00292F1B">
      <w:pPr>
        <w:spacing w:line="276" w:lineRule="auto"/>
        <w:ind w:firstLine="709"/>
        <w:jc w:val="both"/>
        <w:rPr>
          <w:rFonts w:ascii="Arial" w:hAnsi="Arial" w:cs="Arial"/>
          <w:sz w:val="22"/>
          <w:lang w:val="es-ES"/>
        </w:rPr>
      </w:pPr>
      <w:r w:rsidRPr="00292F1B">
        <w:rPr>
          <w:rFonts w:ascii="Arial" w:hAnsi="Arial" w:cs="Arial"/>
          <w:sz w:val="22"/>
          <w:lang w:val="es-ES"/>
        </w:rPr>
        <w:t>El debate sobre la obligatoriedad o no de publicar en el SECOP, para las entidades con régimen especial de contratación, ya fue definido, al menos de manera preliminar, por el Consejo de Estado, que expresó que la obligación prevista en la Circular Externa No. 1 se ajusta a la normativa superior:</w:t>
      </w:r>
    </w:p>
    <w:p w14:paraId="515C206D" w14:textId="77777777" w:rsidR="00292F1B" w:rsidRPr="00292F1B" w:rsidRDefault="00292F1B" w:rsidP="00292F1B">
      <w:pPr>
        <w:ind w:firstLine="709"/>
        <w:jc w:val="both"/>
        <w:rPr>
          <w:rFonts w:ascii="Arial" w:hAnsi="Arial" w:cs="Arial"/>
          <w:sz w:val="22"/>
          <w:lang w:val="es-ES"/>
        </w:rPr>
      </w:pPr>
    </w:p>
    <w:p w14:paraId="5654CC83" w14:textId="77777777" w:rsidR="00292F1B" w:rsidRPr="00292F1B" w:rsidRDefault="00292F1B" w:rsidP="00292F1B">
      <w:pPr>
        <w:tabs>
          <w:tab w:val="left" w:pos="3885"/>
        </w:tabs>
        <w:ind w:left="709" w:right="709"/>
        <w:jc w:val="both"/>
        <w:rPr>
          <w:rFonts w:ascii="Arial" w:hAnsi="Arial" w:cs="Arial"/>
          <w:sz w:val="21"/>
          <w:szCs w:val="21"/>
          <w:lang w:val="es-ES"/>
        </w:rPr>
      </w:pPr>
      <w:r w:rsidRPr="00292F1B">
        <w:rPr>
          <w:rFonts w:ascii="Arial" w:hAnsi="Arial" w:cs="Arial"/>
          <w:sz w:val="21"/>
          <w:szCs w:val="21"/>
          <w:lang w:val="es-ES"/>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0E36B268" w14:textId="77777777" w:rsidR="00292F1B" w:rsidRPr="00292F1B" w:rsidRDefault="00292F1B" w:rsidP="00292F1B">
      <w:pPr>
        <w:tabs>
          <w:tab w:val="left" w:pos="3885"/>
        </w:tabs>
        <w:ind w:left="709" w:right="709"/>
        <w:jc w:val="both"/>
        <w:rPr>
          <w:rFonts w:ascii="Arial" w:hAnsi="Arial" w:cs="Arial"/>
          <w:sz w:val="21"/>
          <w:szCs w:val="21"/>
          <w:lang w:val="es-ES"/>
        </w:rPr>
      </w:pPr>
    </w:p>
    <w:p w14:paraId="6366FA13" w14:textId="77777777" w:rsidR="00292F1B" w:rsidRPr="00292F1B" w:rsidRDefault="00292F1B" w:rsidP="00292F1B">
      <w:pPr>
        <w:tabs>
          <w:tab w:val="left" w:pos="3885"/>
        </w:tabs>
        <w:ind w:left="709" w:right="709"/>
        <w:jc w:val="both"/>
        <w:rPr>
          <w:rFonts w:ascii="Arial" w:hAnsi="Arial" w:cs="Arial"/>
          <w:sz w:val="21"/>
          <w:szCs w:val="21"/>
          <w:lang w:val="es-ES"/>
        </w:rPr>
      </w:pPr>
      <w:r w:rsidRPr="00292F1B">
        <w:rPr>
          <w:rFonts w:ascii="Arial" w:hAnsi="Arial" w:cs="Arial"/>
          <w:sz w:val="21"/>
          <w:szCs w:val="21"/>
          <w:lang w:val="es-ES"/>
        </w:rPr>
        <w:lastRenderedPageBreak/>
        <w:t>11.5. ─Y es que, si se quiere en términos más detallados el literal c) del artículo 3o de la Ley en comento responde claramente las siguientes inquietudes: ¿Quiénes están obligados? los que realizan contratación con dineros públicos; ¿en razón de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009490E2" w14:textId="77777777" w:rsidR="00292F1B" w:rsidRPr="00292F1B" w:rsidRDefault="00292F1B" w:rsidP="00292F1B">
      <w:pPr>
        <w:tabs>
          <w:tab w:val="left" w:pos="3885"/>
        </w:tabs>
        <w:ind w:left="709" w:right="709"/>
        <w:jc w:val="both"/>
        <w:rPr>
          <w:rFonts w:ascii="Arial" w:hAnsi="Arial" w:cs="Arial"/>
          <w:sz w:val="21"/>
          <w:szCs w:val="21"/>
          <w:lang w:val="es-ES"/>
        </w:rPr>
      </w:pPr>
      <w:r w:rsidRPr="00292F1B">
        <w:rPr>
          <w:rFonts w:ascii="Arial" w:hAnsi="Arial" w:cs="Arial"/>
          <w:sz w:val="21"/>
          <w:szCs w:val="21"/>
          <w:lang w:val="es-ES"/>
        </w:rPr>
        <w:t>[…]</w:t>
      </w:r>
    </w:p>
    <w:p w14:paraId="5E86E9BE" w14:textId="77777777" w:rsidR="00292F1B" w:rsidRPr="00292F1B" w:rsidRDefault="00292F1B" w:rsidP="00292F1B">
      <w:pPr>
        <w:tabs>
          <w:tab w:val="left" w:pos="3885"/>
        </w:tabs>
        <w:ind w:left="709" w:right="709"/>
        <w:jc w:val="both"/>
        <w:rPr>
          <w:rFonts w:ascii="Arial" w:hAnsi="Arial" w:cs="Arial"/>
          <w:sz w:val="21"/>
          <w:szCs w:val="21"/>
          <w:lang w:val="es-ES"/>
        </w:rPr>
      </w:pPr>
    </w:p>
    <w:p w14:paraId="78C20E57" w14:textId="77777777" w:rsidR="00292F1B" w:rsidRPr="00292F1B" w:rsidRDefault="00292F1B" w:rsidP="00292F1B">
      <w:pPr>
        <w:tabs>
          <w:tab w:val="left" w:pos="3885"/>
        </w:tabs>
        <w:ind w:left="709" w:right="709"/>
        <w:jc w:val="both"/>
        <w:rPr>
          <w:rFonts w:ascii="Arial" w:hAnsi="Arial" w:cs="Arial"/>
          <w:sz w:val="21"/>
          <w:szCs w:val="21"/>
          <w:lang w:val="es-ES"/>
        </w:rPr>
      </w:pPr>
      <w:r w:rsidRPr="00292F1B">
        <w:rPr>
          <w:rFonts w:ascii="Arial" w:hAnsi="Arial" w:cs="Arial"/>
          <w:sz w:val="21"/>
          <w:szCs w:val="21"/>
          <w:lang w:val="es-ES"/>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292F1B">
        <w:rPr>
          <w:rFonts w:ascii="Arial" w:hAnsi="Arial" w:cs="Arial"/>
          <w:sz w:val="21"/>
          <w:szCs w:val="21"/>
          <w:vertAlign w:val="superscript"/>
        </w:rPr>
        <w:footnoteReference w:id="13"/>
      </w:r>
      <w:r w:rsidRPr="00292F1B">
        <w:rPr>
          <w:rFonts w:ascii="Arial" w:hAnsi="Arial" w:cs="Arial"/>
          <w:sz w:val="21"/>
          <w:szCs w:val="21"/>
          <w:lang w:val="es-ES"/>
        </w:rPr>
        <w:t>.</w:t>
      </w:r>
    </w:p>
    <w:p w14:paraId="47AD0FA0" w14:textId="77777777" w:rsidR="00292F1B" w:rsidRPr="00292F1B" w:rsidRDefault="00292F1B" w:rsidP="00292F1B">
      <w:pPr>
        <w:tabs>
          <w:tab w:val="left" w:pos="3885"/>
        </w:tabs>
        <w:spacing w:line="276" w:lineRule="auto"/>
        <w:ind w:left="709" w:right="709"/>
        <w:jc w:val="both"/>
        <w:rPr>
          <w:rFonts w:ascii="Arial" w:hAnsi="Arial" w:cs="Arial"/>
          <w:sz w:val="21"/>
          <w:szCs w:val="21"/>
          <w:lang w:val="es-ES"/>
        </w:rPr>
      </w:pPr>
    </w:p>
    <w:p w14:paraId="553D35E1" w14:textId="77777777" w:rsidR="00292F1B" w:rsidRPr="00292F1B" w:rsidRDefault="00292F1B" w:rsidP="00292F1B">
      <w:pPr>
        <w:spacing w:line="276" w:lineRule="auto"/>
        <w:ind w:firstLine="708"/>
        <w:jc w:val="both"/>
        <w:rPr>
          <w:rFonts w:ascii="Arial" w:hAnsi="Arial" w:cs="Arial"/>
          <w:sz w:val="22"/>
          <w:lang w:val="es-ES"/>
        </w:rPr>
      </w:pPr>
      <w:r w:rsidRPr="00292F1B">
        <w:rPr>
          <w:rFonts w:ascii="Arial" w:hAnsi="Arial" w:cs="Arial"/>
          <w:sz w:val="22"/>
          <w:lang w:val="es-ES"/>
        </w:rPr>
        <w:t xml:space="preserve">Adicionalmente, el deber de hacer pública la información contractual oficial no se determina por la naturaleza de la entidad ejecutora ─pública o privada─, ni del régimen sustantivo contractual que aplique, sea de la Ley 80 de 1993 o de los regímenes exceptuados. En particular, sobre el deber de publicidad de estos, el Consejo de Estado sostuvo: </w:t>
      </w:r>
    </w:p>
    <w:p w14:paraId="2848E0E4" w14:textId="77777777" w:rsidR="00292F1B" w:rsidRPr="00292F1B" w:rsidRDefault="00292F1B" w:rsidP="00292F1B">
      <w:pPr>
        <w:ind w:firstLine="708"/>
        <w:jc w:val="both"/>
        <w:rPr>
          <w:rFonts w:ascii="Arial" w:hAnsi="Arial" w:cs="Arial"/>
          <w:sz w:val="21"/>
          <w:szCs w:val="21"/>
          <w:lang w:val="es-ES"/>
        </w:rPr>
      </w:pPr>
    </w:p>
    <w:p w14:paraId="0EE850BD" w14:textId="77777777" w:rsidR="00292F1B" w:rsidRPr="00292F1B" w:rsidRDefault="00292F1B" w:rsidP="00292F1B">
      <w:pPr>
        <w:ind w:leftChars="295" w:left="708" w:right="709"/>
        <w:jc w:val="both"/>
        <w:rPr>
          <w:rFonts w:ascii="Arial" w:hAnsi="Arial" w:cs="Arial"/>
          <w:sz w:val="21"/>
          <w:szCs w:val="21"/>
          <w:lang w:val="es-ES"/>
        </w:rPr>
      </w:pPr>
      <w:r w:rsidRPr="00292F1B">
        <w:rPr>
          <w:rFonts w:ascii="Arial" w:hAnsi="Arial" w:cs="Arial"/>
          <w:sz w:val="21"/>
          <w:szCs w:val="21"/>
          <w:lang w:val="es-ES"/>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14:paraId="016E2833" w14:textId="77777777" w:rsidR="00292F1B" w:rsidRPr="00292F1B" w:rsidRDefault="00292F1B" w:rsidP="00292F1B">
      <w:pPr>
        <w:ind w:leftChars="295" w:left="708" w:right="709"/>
        <w:jc w:val="both"/>
        <w:rPr>
          <w:rFonts w:ascii="Arial" w:hAnsi="Arial" w:cs="Arial"/>
          <w:sz w:val="21"/>
          <w:szCs w:val="21"/>
          <w:lang w:val="es-ES"/>
        </w:rPr>
      </w:pPr>
    </w:p>
    <w:p w14:paraId="7A08CF37" w14:textId="0BD5B6F5" w:rsidR="00292F1B" w:rsidRPr="00292F1B" w:rsidRDefault="00292F1B" w:rsidP="00292F1B">
      <w:pPr>
        <w:spacing w:before="120" w:after="120" w:line="276" w:lineRule="auto"/>
        <w:ind w:firstLine="709"/>
        <w:jc w:val="both"/>
        <w:rPr>
          <w:rFonts w:ascii="Arial" w:hAnsi="Arial" w:cs="Arial"/>
          <w:sz w:val="22"/>
          <w:lang w:val="es-ES"/>
        </w:rPr>
      </w:pPr>
      <w:r w:rsidRPr="00292F1B">
        <w:rPr>
          <w:rFonts w:ascii="Arial" w:hAnsi="Arial" w:cs="Arial"/>
          <w:sz w:val="22"/>
          <w:lang w:val="es-ES"/>
        </w:rPr>
        <w:t xml:space="preserve">Nótese, entonces, que el Consejo de Estado asumió como criterio para determinar la obligatoriedad de publicar en el SECOP que la contratación se haga con recursos públicos, conclusión que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de Colombia Compra Eficiente, un pronunciamiento del Consejo de Estado. </w:t>
      </w:r>
    </w:p>
    <w:p w14:paraId="3F027501" w14:textId="77777777" w:rsidR="00292F1B" w:rsidRPr="00292F1B" w:rsidRDefault="00292F1B" w:rsidP="00292F1B">
      <w:pPr>
        <w:spacing w:line="276" w:lineRule="auto"/>
        <w:ind w:firstLine="709"/>
        <w:jc w:val="both"/>
        <w:rPr>
          <w:rFonts w:ascii="Arial" w:hAnsi="Arial" w:cs="Arial"/>
          <w:sz w:val="22"/>
          <w:lang w:val="es-ES"/>
        </w:rPr>
      </w:pPr>
      <w:r w:rsidRPr="00292F1B">
        <w:rPr>
          <w:rFonts w:ascii="Arial" w:hAnsi="Arial" w:cs="Arial"/>
          <w:sz w:val="22"/>
          <w:lang w:val="es-ES"/>
        </w:rPr>
        <w:lastRenderedPageBreak/>
        <w:t xml:space="preserve">Dentro de los fundamentos que consideró el máximo tribunal de lo contencioso administrativo, no tuvo en cuenta razones de orden fáctico, relativas a las responsabilidades de las entidades o su posible afectación en la competitividad para aquellas que operan en diferentes mercados. La razón relevante es que si la entidad contrata con dineros públicos debe publicar su proceso de contratación en el SECOP. </w:t>
      </w:r>
    </w:p>
    <w:p w14:paraId="38EF0843" w14:textId="77777777" w:rsidR="00ED7A8F" w:rsidRPr="00292F1B" w:rsidRDefault="00ED7A8F" w:rsidP="00675DCA">
      <w:pPr>
        <w:spacing w:line="276" w:lineRule="auto"/>
        <w:jc w:val="both"/>
        <w:rPr>
          <w:rFonts w:ascii="Arial" w:eastAsia="Calibri" w:hAnsi="Arial" w:cs="Arial"/>
          <w:sz w:val="22"/>
          <w:lang w:val="es-ES"/>
        </w:rPr>
      </w:pPr>
    </w:p>
    <w:p w14:paraId="083DFA26" w14:textId="20D8864F" w:rsidR="00A14A6F" w:rsidRPr="00292F1B" w:rsidRDefault="00A14A6F" w:rsidP="00A14A6F">
      <w:pPr>
        <w:tabs>
          <w:tab w:val="left" w:pos="284"/>
          <w:tab w:val="left" w:pos="426"/>
        </w:tabs>
        <w:spacing w:line="276" w:lineRule="auto"/>
        <w:jc w:val="both"/>
        <w:rPr>
          <w:rFonts w:ascii="Arial" w:hAnsi="Arial" w:cs="Arial"/>
          <w:b/>
          <w:sz w:val="22"/>
          <w:lang w:val="es-ES"/>
        </w:rPr>
      </w:pPr>
      <w:r w:rsidRPr="00292F1B">
        <w:rPr>
          <w:rFonts w:ascii="Arial" w:hAnsi="Arial" w:cs="Arial"/>
          <w:b/>
          <w:sz w:val="22"/>
          <w:lang w:val="es-ES"/>
        </w:rPr>
        <w:t>2.</w:t>
      </w:r>
      <w:r w:rsidR="004D4E2B" w:rsidRPr="00292F1B">
        <w:rPr>
          <w:rFonts w:ascii="Arial" w:hAnsi="Arial" w:cs="Arial"/>
          <w:b/>
          <w:sz w:val="22"/>
          <w:lang w:val="es-ES"/>
        </w:rPr>
        <w:t>3</w:t>
      </w:r>
      <w:r w:rsidRPr="00292F1B">
        <w:rPr>
          <w:rFonts w:ascii="Arial" w:hAnsi="Arial" w:cs="Arial"/>
          <w:b/>
          <w:sz w:val="22"/>
          <w:lang w:val="es-ES"/>
        </w:rPr>
        <w:t xml:space="preserve">. Documentos que </w:t>
      </w:r>
      <w:r w:rsidR="00374D62">
        <w:rPr>
          <w:rFonts w:ascii="Arial" w:hAnsi="Arial" w:cs="Arial"/>
          <w:b/>
          <w:sz w:val="22"/>
          <w:lang w:val="es-ES"/>
        </w:rPr>
        <w:t>deben publicar</w:t>
      </w:r>
      <w:r w:rsidR="00374D62" w:rsidRPr="00292F1B">
        <w:rPr>
          <w:rFonts w:ascii="Arial" w:hAnsi="Arial" w:cs="Arial"/>
          <w:b/>
          <w:sz w:val="22"/>
          <w:lang w:val="es-ES"/>
        </w:rPr>
        <w:t xml:space="preserve"> </w:t>
      </w:r>
      <w:r w:rsidRPr="00292F1B">
        <w:rPr>
          <w:rFonts w:ascii="Arial" w:hAnsi="Arial" w:cs="Arial"/>
          <w:b/>
          <w:sz w:val="22"/>
          <w:lang w:val="es-ES"/>
        </w:rPr>
        <w:t>las entidades de régimen especial en el SECOP y término para hacerlo</w:t>
      </w:r>
    </w:p>
    <w:p w14:paraId="4CB2479E" w14:textId="77777777" w:rsidR="00A14A6F" w:rsidRPr="00292F1B" w:rsidRDefault="00A14A6F" w:rsidP="00A14A6F">
      <w:pPr>
        <w:tabs>
          <w:tab w:val="left" w:pos="284"/>
          <w:tab w:val="left" w:pos="426"/>
        </w:tabs>
        <w:spacing w:line="276" w:lineRule="auto"/>
        <w:ind w:left="142"/>
        <w:jc w:val="both"/>
        <w:rPr>
          <w:rFonts w:ascii="Arial" w:hAnsi="Arial" w:cs="Arial"/>
          <w:b/>
          <w:sz w:val="22"/>
          <w:lang w:val="es-ES"/>
        </w:rPr>
      </w:pPr>
    </w:p>
    <w:p w14:paraId="6E7251A0" w14:textId="77777777" w:rsidR="00A14A6F" w:rsidRPr="00292F1B" w:rsidRDefault="00A14A6F" w:rsidP="00A14A6F">
      <w:pPr>
        <w:spacing w:line="276" w:lineRule="auto"/>
        <w:jc w:val="both"/>
        <w:rPr>
          <w:rFonts w:ascii="Arial" w:eastAsia="Calibri" w:hAnsi="Arial" w:cs="Arial"/>
          <w:sz w:val="22"/>
          <w:lang w:val="es-ES"/>
        </w:rPr>
      </w:pPr>
      <w:r w:rsidRPr="00292F1B">
        <w:rPr>
          <w:rFonts w:ascii="Arial" w:eastAsia="Calibri" w:hAnsi="Arial" w:cs="Arial"/>
          <w:sz w:val="22"/>
          <w:lang w:val="es-ES"/>
        </w:rPr>
        <w:t>Determinada la obligación que tienen las entidades sujetas a un régimen especial de publicar su actividad contractual en el SECOP, a continuación se identificarán los documentos que deben publicar, n</w:t>
      </w:r>
      <w:r w:rsidRPr="00292F1B">
        <w:rPr>
          <w:rFonts w:ascii="Arial" w:hAnsi="Arial" w:cs="Arial"/>
          <w:bCs/>
          <w:sz w:val="22"/>
          <w:lang w:val="es-ES"/>
        </w:rPr>
        <w:t>o sin antes explicar la posición que la Agencia Nacional de Contratación Pública ─ Colombia Compra Eficiente ha adoptado desde el 2016 hasta el 2019.</w:t>
      </w:r>
    </w:p>
    <w:p w14:paraId="32B264DB" w14:textId="77777777" w:rsidR="00A14A6F" w:rsidRPr="00292F1B" w:rsidRDefault="00A14A6F" w:rsidP="00A14A6F">
      <w:pPr>
        <w:spacing w:line="276" w:lineRule="auto"/>
        <w:ind w:firstLine="708"/>
        <w:jc w:val="both"/>
        <w:rPr>
          <w:rFonts w:ascii="Arial" w:eastAsia="Calibri" w:hAnsi="Arial" w:cs="Arial"/>
          <w:sz w:val="22"/>
          <w:lang w:val="es-ES"/>
        </w:rPr>
      </w:pPr>
      <w:r w:rsidRPr="00292F1B">
        <w:rPr>
          <w:rFonts w:ascii="Arial" w:hAnsi="Arial" w:cs="Arial"/>
          <w:bCs/>
          <w:sz w:val="22"/>
          <w:lang w:val="es-ES"/>
        </w:rPr>
        <w:t>En la consulta identificada con el Radicado No. 41612000877 del 15 de febrero de 2016, señaló que las empresas industriales y comerciales del Estado, las empresas de servicios públicos domiciliarios y las sociedades de economía mixta, todas sometidas a un régimen especial de contratación, debían publicar en el SECOP todos los documentos del proceso que define el Decreto 1082 de 2015, así como lo relativo a la ejecución del contrato. Lo anterior se fundamentó en el literal c) del artículo 3 de la Ley 1150 de 2007</w:t>
      </w:r>
      <w:r w:rsidRPr="00292F1B">
        <w:rPr>
          <w:rFonts w:ascii="Arial" w:hAnsi="Arial" w:cs="Arial"/>
          <w:bCs/>
          <w:sz w:val="22"/>
          <w:vertAlign w:val="superscript"/>
          <w:lang w:val="es-ES"/>
        </w:rPr>
        <w:footnoteReference w:id="14"/>
      </w:r>
      <w:r w:rsidRPr="00292F1B">
        <w:rPr>
          <w:rFonts w:ascii="Arial" w:hAnsi="Arial" w:cs="Arial"/>
          <w:bCs/>
          <w:sz w:val="22"/>
          <w:lang w:val="es-ES"/>
        </w:rPr>
        <w:t>.</w:t>
      </w:r>
    </w:p>
    <w:p w14:paraId="00D3F79C" w14:textId="77777777" w:rsidR="00A14A6F" w:rsidRPr="00292F1B" w:rsidRDefault="00A14A6F" w:rsidP="00A14A6F">
      <w:pPr>
        <w:spacing w:before="120" w:after="120" w:line="276" w:lineRule="auto"/>
        <w:ind w:firstLine="709"/>
        <w:jc w:val="both"/>
        <w:rPr>
          <w:rFonts w:ascii="Arial" w:eastAsia="Calibri" w:hAnsi="Arial" w:cs="Arial"/>
          <w:sz w:val="22"/>
          <w:lang w:val="es-ES"/>
        </w:rPr>
      </w:pPr>
      <w:r w:rsidRPr="00292F1B">
        <w:rPr>
          <w:rFonts w:ascii="Arial" w:hAnsi="Arial" w:cs="Arial"/>
          <w:sz w:val="22"/>
          <w:lang w:val="es-ES"/>
        </w:rPr>
        <w:t xml:space="preserve">En este sentido, la Agencia Nacional de Contratación Pública, en virtud del literal c) del artículo 3 de la Ley 1150 de 2007, reconoció la obligatoriedad, por parte de las entidades de régimen especial, de publicar su actividad contractual en el SECOP. Ahora, con fundamento en el artículo 2.2.1.1.1.3.1 del Decreto 1082 de 2015, normativa que aplica a las entidades que se rigen por la Ley 80 de 1993, se enunciaron los </w:t>
      </w:r>
      <w:r w:rsidRPr="00292F1B">
        <w:rPr>
          <w:rFonts w:ascii="Arial" w:eastAsia="Calibri" w:hAnsi="Arial" w:cs="Arial"/>
          <w:sz w:val="22"/>
          <w:lang w:val="es-ES"/>
        </w:rPr>
        <w:t xml:space="preserve">documentos del proceso que se debían publicar. </w:t>
      </w:r>
    </w:p>
    <w:p w14:paraId="5ECECB2D" w14:textId="77777777" w:rsidR="00A14A6F" w:rsidRPr="00292F1B" w:rsidRDefault="00A14A6F" w:rsidP="00A14A6F">
      <w:pPr>
        <w:spacing w:before="120" w:after="120" w:line="276" w:lineRule="auto"/>
        <w:ind w:firstLine="709"/>
        <w:jc w:val="both"/>
        <w:rPr>
          <w:rFonts w:ascii="Arial" w:eastAsia="Calibri" w:hAnsi="Arial" w:cs="Arial"/>
          <w:sz w:val="22"/>
          <w:lang w:val="es-ES"/>
        </w:rPr>
      </w:pPr>
      <w:r w:rsidRPr="00292F1B">
        <w:rPr>
          <w:rFonts w:ascii="Arial" w:eastAsia="Calibri" w:hAnsi="Arial" w:cs="Arial"/>
          <w:sz w:val="22"/>
          <w:lang w:val="es-ES"/>
        </w:rPr>
        <w:t xml:space="preserve">Posteriormente, en el año 2018, cambió el fundamento normativo que define los documentos que las entidades de régimen especial debían publicar en el SECOP. En el concepto con radicado No. 4201814000008329 del 8 de octubre de 2018 se dijo que en virtud del artículo 11 de la Ley 1712 de 2014, los destinatarios de las normas contenidas en la ley de transparencia deben publicar los procedimientos, lineamientos, políticas en materia de adquisiciones y compras, así como todos los datos de adjudicación y ejecución de contratos, incluidos concursos y licitaciones. Por lo tanto, los documentos que se deben </w:t>
      </w:r>
      <w:r w:rsidRPr="00292F1B">
        <w:rPr>
          <w:rFonts w:ascii="Arial" w:eastAsia="Calibri" w:hAnsi="Arial" w:cs="Arial"/>
          <w:sz w:val="22"/>
          <w:lang w:val="es-ES"/>
        </w:rPr>
        <w:lastRenderedPageBreak/>
        <w:t>publicar serán los previstos en el manual de contratación de cada entidad de régimen especial para la adquisición de un bien o servicio, y no los que define el artículo 2.2.1.1.1.3.1 del Decreto 1082 de 2015</w:t>
      </w:r>
      <w:r w:rsidRPr="00292F1B">
        <w:rPr>
          <w:rFonts w:ascii="Arial" w:eastAsia="Calibri" w:hAnsi="Arial" w:cs="Arial"/>
          <w:sz w:val="22"/>
          <w:vertAlign w:val="superscript"/>
          <w:lang w:val="es-ES"/>
        </w:rPr>
        <w:footnoteReference w:id="15"/>
      </w:r>
      <w:r w:rsidRPr="00292F1B">
        <w:rPr>
          <w:rFonts w:ascii="Arial" w:eastAsia="Calibri" w:hAnsi="Arial" w:cs="Arial"/>
          <w:sz w:val="22"/>
          <w:lang w:val="es-ES"/>
        </w:rPr>
        <w:t xml:space="preserve">. </w:t>
      </w:r>
    </w:p>
    <w:p w14:paraId="3E555D55" w14:textId="77777777" w:rsidR="00A14A6F" w:rsidRPr="00292F1B" w:rsidRDefault="00A14A6F" w:rsidP="00A14A6F">
      <w:pPr>
        <w:spacing w:before="120" w:after="120" w:line="276" w:lineRule="auto"/>
        <w:ind w:firstLine="709"/>
        <w:jc w:val="both"/>
        <w:rPr>
          <w:rFonts w:ascii="Arial" w:eastAsia="Calibri" w:hAnsi="Arial" w:cs="Arial"/>
          <w:sz w:val="22"/>
          <w:lang w:val="es-ES"/>
        </w:rPr>
      </w:pPr>
      <w:r w:rsidRPr="00292F1B">
        <w:rPr>
          <w:rFonts w:ascii="Arial" w:eastAsia="Calibri" w:hAnsi="Arial" w:cs="Arial"/>
          <w:sz w:val="22"/>
          <w:lang w:val="es-ES"/>
        </w:rPr>
        <w:t xml:space="preserve">Conforme a lo anterior, en un primer momento la Agencia Nacional de Contratación Pública definió los documentos del proceso que las entidades de régimen especial debían publicar en el SECOP, con fundamento en el artículo 2.2.1.1.1.3.1 del Decreto 1082 de 2015; en un segundo momento se identificaron los documentos en virtud del literal g), del artículo 11 de la Ley 1712 de 2014 y lo previsto en el Decreto 103 de 2015. Esta posición es la que se acogerá y desarrollará en esta consulta. </w:t>
      </w:r>
    </w:p>
    <w:p w14:paraId="6BEA5EF7" w14:textId="77777777" w:rsidR="00A14A6F" w:rsidRPr="00292F1B" w:rsidRDefault="00A14A6F" w:rsidP="00A14A6F">
      <w:pPr>
        <w:spacing w:before="120" w:after="120" w:line="276" w:lineRule="auto"/>
        <w:ind w:firstLine="709"/>
        <w:jc w:val="both"/>
        <w:rPr>
          <w:rFonts w:ascii="Arial" w:eastAsia="Calibri" w:hAnsi="Arial" w:cs="Arial"/>
          <w:sz w:val="22"/>
        </w:rPr>
      </w:pPr>
      <w:r w:rsidRPr="00292F1B">
        <w:rPr>
          <w:rFonts w:ascii="Arial" w:eastAsia="Calibri" w:hAnsi="Arial" w:cs="Arial"/>
          <w:sz w:val="22"/>
        </w:rPr>
        <w:t xml:space="preserve">En efecto, la Ley 1712 de 2014 o Ley de Transparencia y del Derecho de Acceso a la Información Pública, señala en el literal g), artículo 11, que todo sujeto obligado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14:paraId="24D254D5" w14:textId="77777777" w:rsidR="00ED7A8F" w:rsidRPr="00292F1B" w:rsidRDefault="00ED7A8F" w:rsidP="00ED7A8F">
      <w:pPr>
        <w:spacing w:before="120" w:after="120" w:line="276" w:lineRule="auto"/>
        <w:ind w:firstLine="709"/>
        <w:jc w:val="both"/>
        <w:rPr>
          <w:rFonts w:ascii="Arial" w:eastAsia="Calibri" w:hAnsi="Arial" w:cs="Arial"/>
          <w:sz w:val="22"/>
        </w:rPr>
      </w:pPr>
      <w:r w:rsidRPr="00292F1B">
        <w:rPr>
          <w:rFonts w:ascii="Arial" w:eastAsia="Calibri" w:hAnsi="Arial" w:cs="Arial"/>
          <w:sz w:val="22"/>
        </w:rPr>
        <w:t>Luego, el Decreto 1081 de 2015, «Por medio del cual se expide el Decreto Reglamentario Único del Sector Presidencia de la República», y en el cual quedó compilado el Decreto 103 de 2015, reglamentario de la Ley 1712 de 2014, en el artículo 2.1.1.2.1.8, señala, de forma enunciativa, que se debe publicar la información relativa a la ejecución del contrato, como las aprobaciones, autorizaciones, requerimientos o informes del supervisor o interventor, que aprueben la ejecución del contrato</w:t>
      </w:r>
      <w:r w:rsidRPr="00292F1B">
        <w:rPr>
          <w:rStyle w:val="Refdenotaalpie"/>
          <w:rFonts w:ascii="Arial" w:eastAsia="Calibri" w:hAnsi="Arial" w:cs="Arial"/>
          <w:sz w:val="22"/>
        </w:rPr>
        <w:footnoteReference w:id="16"/>
      </w:r>
      <w:r w:rsidRPr="00292F1B">
        <w:rPr>
          <w:rFonts w:ascii="Arial" w:eastAsia="Calibri" w:hAnsi="Arial" w:cs="Arial"/>
          <w:sz w:val="22"/>
        </w:rPr>
        <w:t xml:space="preserve">. Por su parte, el artículo 2.1.1.2.1.9 señala que las entidades deberán publicar los procedimientos, lineamientos y políticas en materia de adquisición, que no son otros que los previstos en el manual de contratación, que se expidió de acuerdo con los lineamientos de la Agencia Nacional de Contratación </w:t>
      </w:r>
      <w:r w:rsidRPr="00292F1B">
        <w:rPr>
          <w:rFonts w:ascii="Arial" w:eastAsia="Calibri" w:hAnsi="Arial" w:cs="Arial"/>
          <w:sz w:val="22"/>
        </w:rPr>
        <w:lastRenderedPageBreak/>
        <w:t>Pública, el cual debe publicarse en el sitio web del sujeto obligado</w:t>
      </w:r>
      <w:r w:rsidRPr="00292F1B">
        <w:rPr>
          <w:rStyle w:val="Refdenotaalpie"/>
          <w:rFonts w:ascii="Arial" w:eastAsia="Calibri" w:hAnsi="Arial" w:cs="Arial"/>
          <w:sz w:val="22"/>
        </w:rPr>
        <w:footnoteReference w:id="17"/>
      </w:r>
      <w:r w:rsidRPr="00292F1B">
        <w:rPr>
          <w:rFonts w:ascii="Arial" w:eastAsia="Calibri" w:hAnsi="Arial" w:cs="Arial"/>
          <w:sz w:val="22"/>
        </w:rPr>
        <w:t>. Finalmente, el artículo 2.1.1.2.1.10 establece la obligación que tienen las entidades de publicar en el SECOP el Plan Anual de Adquisiciones</w:t>
      </w:r>
      <w:r w:rsidRPr="00292F1B">
        <w:rPr>
          <w:rStyle w:val="Refdenotaalpie"/>
          <w:rFonts w:ascii="Arial" w:eastAsia="Calibri" w:hAnsi="Arial" w:cs="Arial"/>
          <w:sz w:val="22"/>
        </w:rPr>
        <w:footnoteReference w:id="18"/>
      </w:r>
      <w:r w:rsidRPr="00292F1B">
        <w:rPr>
          <w:rFonts w:ascii="Arial" w:eastAsia="Calibri" w:hAnsi="Arial" w:cs="Arial"/>
          <w:sz w:val="22"/>
        </w:rPr>
        <w:t xml:space="preserve">. </w:t>
      </w:r>
    </w:p>
    <w:p w14:paraId="4D0C696F" w14:textId="3965859F" w:rsidR="00A14A6F" w:rsidRPr="00292F1B" w:rsidRDefault="00A14A6F" w:rsidP="00A14A6F">
      <w:pPr>
        <w:spacing w:before="120" w:after="120" w:line="276" w:lineRule="auto"/>
        <w:ind w:firstLine="709"/>
        <w:jc w:val="both"/>
        <w:rPr>
          <w:rFonts w:ascii="Arial" w:eastAsia="Calibri" w:hAnsi="Arial" w:cs="Arial"/>
          <w:sz w:val="22"/>
        </w:rPr>
      </w:pPr>
      <w:r w:rsidRPr="00292F1B">
        <w:rPr>
          <w:rFonts w:ascii="Arial" w:eastAsia="Calibri" w:hAnsi="Arial" w:cs="Arial"/>
          <w:sz w:val="22"/>
        </w:rPr>
        <w:t>De conformidad con lo anterior, el Decreto 10</w:t>
      </w:r>
      <w:r w:rsidR="00ED7A8F" w:rsidRPr="00292F1B">
        <w:rPr>
          <w:rFonts w:ascii="Arial" w:eastAsia="Calibri" w:hAnsi="Arial" w:cs="Arial"/>
          <w:sz w:val="22"/>
        </w:rPr>
        <w:t xml:space="preserve">81 </w:t>
      </w:r>
      <w:r w:rsidRPr="00292F1B">
        <w:rPr>
          <w:rFonts w:ascii="Arial" w:eastAsia="Calibri" w:hAnsi="Arial" w:cs="Arial"/>
          <w:sz w:val="22"/>
        </w:rPr>
        <w:t>de 2015 señala que los documentos que deben publicar las entidades estatales a quienes les aplica la Ley 1712 de 2014, entre estas, por ejemplo, las empresas de servicios públicos mixtas, oficiales y privadas con participación pública</w:t>
      </w:r>
      <w:r w:rsidR="00374D62">
        <w:rPr>
          <w:rFonts w:ascii="Arial" w:eastAsia="Calibri" w:hAnsi="Arial" w:cs="Arial"/>
          <w:sz w:val="22"/>
        </w:rPr>
        <w:t xml:space="preserve"> o</w:t>
      </w:r>
      <w:r w:rsidRPr="00292F1B">
        <w:rPr>
          <w:rFonts w:ascii="Arial" w:eastAsia="Calibri" w:hAnsi="Arial" w:cs="Arial"/>
          <w:sz w:val="22"/>
        </w:rPr>
        <w:t xml:space="preserve"> </w:t>
      </w:r>
      <w:r w:rsidR="00374D62">
        <w:rPr>
          <w:rFonts w:ascii="Arial" w:eastAsia="Calibri" w:hAnsi="Arial" w:cs="Arial"/>
          <w:sz w:val="22"/>
        </w:rPr>
        <w:t>las instituciones educativas</w:t>
      </w:r>
      <w:r w:rsidR="00374D62" w:rsidRPr="00292F1B">
        <w:rPr>
          <w:rFonts w:ascii="Arial" w:hAnsi="Arial" w:cs="Arial"/>
          <w:sz w:val="22"/>
        </w:rPr>
        <w:t xml:space="preserve"> cuando se trate de contratos cuya cuantía no exceda los veinte (20) salarios mínimos mensuales legales vigentes</w:t>
      </w:r>
      <w:r w:rsidR="00374D62" w:rsidRPr="00292F1B">
        <w:rPr>
          <w:rFonts w:ascii="Arial" w:eastAsia="Calibri" w:hAnsi="Arial" w:cs="Arial"/>
          <w:sz w:val="22"/>
        </w:rPr>
        <w:t xml:space="preserve"> </w:t>
      </w:r>
      <w:r w:rsidRPr="00292F1B">
        <w:rPr>
          <w:rFonts w:ascii="Arial" w:eastAsia="Calibri" w:hAnsi="Arial" w:cs="Arial"/>
          <w:sz w:val="22"/>
        </w:rPr>
        <w:t xml:space="preserve">son: i) las autorizaciones, requerimientos, aprobaciones o informes del supervisor o del interventor, que prueben la ejecución del contrato, ii) los procedimientos, lineamientos y políticas en materia de adquisición que corresponden a los documentos que los conforman, previstos en el manual de contratación de la entidad, y finalmente, iii) el plan anual de adquisiciones. </w:t>
      </w:r>
    </w:p>
    <w:p w14:paraId="7035B82A" w14:textId="77777777" w:rsidR="00A14A6F" w:rsidRPr="00292F1B" w:rsidRDefault="00A14A6F" w:rsidP="00A14A6F">
      <w:pPr>
        <w:spacing w:before="120" w:after="120" w:line="276" w:lineRule="auto"/>
        <w:ind w:firstLine="709"/>
        <w:jc w:val="both"/>
        <w:rPr>
          <w:rFonts w:ascii="Arial" w:eastAsia="Calibri" w:hAnsi="Arial" w:cs="Arial"/>
          <w:sz w:val="22"/>
        </w:rPr>
      </w:pPr>
      <w:r w:rsidRPr="00292F1B">
        <w:rPr>
          <w:rFonts w:ascii="Arial" w:eastAsia="Calibri" w:hAnsi="Arial" w:cs="Arial"/>
          <w:sz w:val="22"/>
        </w:rPr>
        <w:t xml:space="preserve">Frente al segundo grupo de documentos, debido a que estas entidades están sometidas al derecho privado, y por lo tanto no celebran sus procesos de contratación mediante las modalidades previstas en la Ley 80 de 1993, cada una definirá en su manual el procedimiento para contratar sus bienes y servicios. </w:t>
      </w:r>
    </w:p>
    <w:p w14:paraId="57E7123A" w14:textId="77777777" w:rsidR="00A14A6F" w:rsidRPr="00292F1B" w:rsidRDefault="00A14A6F" w:rsidP="00A14A6F">
      <w:pPr>
        <w:spacing w:before="120" w:after="120" w:line="276" w:lineRule="auto"/>
        <w:ind w:firstLine="709"/>
        <w:jc w:val="both"/>
        <w:rPr>
          <w:rFonts w:ascii="Arial" w:eastAsia="Calibri" w:hAnsi="Arial" w:cs="Arial"/>
          <w:sz w:val="22"/>
        </w:rPr>
      </w:pPr>
      <w:r w:rsidRPr="00292F1B">
        <w:rPr>
          <w:rFonts w:ascii="Arial" w:eastAsia="Calibri" w:hAnsi="Arial" w:cs="Arial"/>
          <w:sz w:val="22"/>
        </w:rPr>
        <w:t>En este sentido, la entidad lo hará ya sea por medio de un procedimiento público, mediante el cual se realice una convocatoria y una evaluación para seleccionar la oferta más favorable; o a través de una contratación directa, cuando no es necesario realizar un proceso competitivo. En estos casos, el manual definirá las etapas y los documentos que forman parte del procedimiento que realicen; y todos se publicarán en la plataforma del SECOP para cada procedimiento de contratación que se adelante, incluido el acto de adjudicación, por expresa disposición del literal g) del artículo 11 de la Ley 1712 de 2014.</w:t>
      </w:r>
    </w:p>
    <w:p w14:paraId="56B3155C" w14:textId="06C3E820" w:rsidR="00A14A6F" w:rsidRDefault="00A14A6F" w:rsidP="005C40E9">
      <w:pPr>
        <w:spacing w:before="120" w:line="276" w:lineRule="auto"/>
        <w:ind w:firstLine="709"/>
        <w:jc w:val="both"/>
        <w:rPr>
          <w:rFonts w:ascii="Arial" w:eastAsia="Calibri" w:hAnsi="Arial" w:cs="Arial"/>
          <w:sz w:val="22"/>
        </w:rPr>
      </w:pPr>
      <w:r w:rsidRPr="00292F1B">
        <w:rPr>
          <w:rFonts w:ascii="Arial" w:eastAsia="Calibri" w:hAnsi="Arial" w:cs="Arial"/>
          <w:sz w:val="22"/>
        </w:rPr>
        <w:lastRenderedPageBreak/>
        <w:t>Por lo tanto, en estos casos aplica la Ley 1712 de 2014 y el Decreto 10</w:t>
      </w:r>
      <w:r w:rsidR="00ED7A8F" w:rsidRPr="00292F1B">
        <w:rPr>
          <w:rFonts w:ascii="Arial" w:eastAsia="Calibri" w:hAnsi="Arial" w:cs="Arial"/>
          <w:sz w:val="22"/>
        </w:rPr>
        <w:t>81</w:t>
      </w:r>
      <w:r w:rsidRPr="00292F1B">
        <w:rPr>
          <w:rFonts w:ascii="Arial" w:eastAsia="Calibri" w:hAnsi="Arial" w:cs="Arial"/>
          <w:sz w:val="22"/>
        </w:rPr>
        <w:t xml:space="preserve"> de 2015, no el Decreto 1082 de 2015, porque es</w:t>
      </w:r>
      <w:r w:rsidR="00292F1B" w:rsidRPr="00292F1B">
        <w:rPr>
          <w:rFonts w:ascii="Arial" w:eastAsia="Calibri" w:hAnsi="Arial" w:cs="Arial"/>
          <w:sz w:val="22"/>
        </w:rPr>
        <w:t>ta</w:t>
      </w:r>
      <w:r w:rsidRPr="00292F1B">
        <w:rPr>
          <w:rFonts w:ascii="Arial" w:eastAsia="Calibri" w:hAnsi="Arial" w:cs="Arial"/>
          <w:sz w:val="22"/>
        </w:rPr>
        <w:t xml:space="preserve"> últim</w:t>
      </w:r>
      <w:r w:rsidR="00292F1B" w:rsidRPr="00292F1B">
        <w:rPr>
          <w:rFonts w:ascii="Arial" w:eastAsia="Calibri" w:hAnsi="Arial" w:cs="Arial"/>
          <w:sz w:val="22"/>
        </w:rPr>
        <w:t>a</w:t>
      </w:r>
      <w:r w:rsidRPr="00292F1B">
        <w:rPr>
          <w:rFonts w:ascii="Arial" w:eastAsia="Calibri" w:hAnsi="Arial" w:cs="Arial"/>
          <w:sz w:val="22"/>
        </w:rPr>
        <w:t xml:space="preserve"> norma rige a la</w:t>
      </w:r>
      <w:r w:rsidR="00ED7A8F" w:rsidRPr="00292F1B">
        <w:rPr>
          <w:rFonts w:ascii="Arial" w:eastAsia="Calibri" w:hAnsi="Arial" w:cs="Arial"/>
          <w:sz w:val="22"/>
        </w:rPr>
        <w:t xml:space="preserve"> contratación </w:t>
      </w:r>
      <w:r w:rsidRPr="00292F1B">
        <w:rPr>
          <w:rFonts w:ascii="Arial" w:eastAsia="Calibri" w:hAnsi="Arial" w:cs="Arial"/>
          <w:sz w:val="22"/>
        </w:rPr>
        <w:t xml:space="preserve"> </w:t>
      </w:r>
      <w:r w:rsidR="00ED7A8F" w:rsidRPr="00292F1B">
        <w:rPr>
          <w:rFonts w:ascii="Arial" w:eastAsia="Calibri" w:hAnsi="Arial" w:cs="Arial"/>
          <w:sz w:val="22"/>
        </w:rPr>
        <w:t xml:space="preserve">realizada con sujeción </w:t>
      </w:r>
      <w:r w:rsidRPr="00292F1B">
        <w:rPr>
          <w:rFonts w:ascii="Arial" w:eastAsia="Calibri" w:hAnsi="Arial" w:cs="Arial"/>
          <w:sz w:val="22"/>
        </w:rPr>
        <w:t>al Estatuto General de Contratación de la Administración Pública, y por lo tanto no aplica, por ejemplo, a l</w:t>
      </w:r>
      <w:r w:rsidR="00ED7A8F" w:rsidRPr="00292F1B">
        <w:rPr>
          <w:rFonts w:ascii="Arial" w:eastAsia="Calibri" w:hAnsi="Arial" w:cs="Arial"/>
          <w:sz w:val="22"/>
        </w:rPr>
        <w:t>a</w:t>
      </w:r>
      <w:r w:rsidR="004D4E2B" w:rsidRPr="00292F1B">
        <w:rPr>
          <w:rFonts w:ascii="Arial" w:eastAsia="Calibri" w:hAnsi="Arial" w:cs="Arial"/>
          <w:sz w:val="22"/>
        </w:rPr>
        <w:t xml:space="preserve"> contratación realizada por instituciones educativas por debajo del umbral de los veinte (20) salarios mínimos legales mensuales vigentes</w:t>
      </w:r>
      <w:r w:rsidRPr="00292F1B">
        <w:rPr>
          <w:rFonts w:ascii="Arial" w:eastAsia="Calibri" w:hAnsi="Arial" w:cs="Arial"/>
          <w:sz w:val="22"/>
        </w:rPr>
        <w:t>,</w:t>
      </w:r>
      <w:r w:rsidR="004D4E2B" w:rsidRPr="00292F1B">
        <w:rPr>
          <w:rFonts w:ascii="Arial" w:eastAsia="Calibri" w:hAnsi="Arial" w:cs="Arial"/>
          <w:sz w:val="22"/>
        </w:rPr>
        <w:t xml:space="preserve"> la cual como </w:t>
      </w:r>
      <w:r w:rsidR="00292F1B" w:rsidRPr="00292F1B">
        <w:rPr>
          <w:rFonts w:ascii="Arial" w:eastAsia="Calibri" w:hAnsi="Arial" w:cs="Arial"/>
          <w:sz w:val="22"/>
        </w:rPr>
        <w:t>arriba</w:t>
      </w:r>
      <w:r w:rsidR="004D4E2B" w:rsidRPr="00292F1B">
        <w:rPr>
          <w:rFonts w:ascii="Arial" w:eastAsia="Calibri" w:hAnsi="Arial" w:cs="Arial"/>
          <w:sz w:val="22"/>
        </w:rPr>
        <w:t xml:space="preserve"> </w:t>
      </w:r>
      <w:r w:rsidR="00292F1B" w:rsidRPr="00292F1B">
        <w:rPr>
          <w:rFonts w:ascii="Arial" w:eastAsia="Calibri" w:hAnsi="Arial" w:cs="Arial"/>
          <w:sz w:val="22"/>
        </w:rPr>
        <w:t xml:space="preserve">se </w:t>
      </w:r>
      <w:r w:rsidR="004D4E2B" w:rsidRPr="00292F1B">
        <w:rPr>
          <w:rFonts w:ascii="Arial" w:eastAsia="Calibri" w:hAnsi="Arial" w:cs="Arial"/>
          <w:sz w:val="22"/>
        </w:rPr>
        <w:t>estableció, debe realizarse con arreglo a las reglas definidas por el respectivo reglamento expedido por el consejo directivo de la institución</w:t>
      </w:r>
      <w:r w:rsidRPr="00292F1B">
        <w:rPr>
          <w:rFonts w:ascii="Arial" w:eastAsia="Calibri" w:hAnsi="Arial" w:cs="Arial"/>
          <w:sz w:val="22"/>
        </w:rPr>
        <w:t>. Por su parte, la Ley 1712 de 2014 y el Decreto 10</w:t>
      </w:r>
      <w:r w:rsidR="004D4E2B" w:rsidRPr="00292F1B">
        <w:rPr>
          <w:rFonts w:ascii="Arial" w:eastAsia="Calibri" w:hAnsi="Arial" w:cs="Arial"/>
          <w:sz w:val="22"/>
        </w:rPr>
        <w:t>81</w:t>
      </w:r>
      <w:r w:rsidRPr="00292F1B">
        <w:rPr>
          <w:rFonts w:ascii="Arial" w:eastAsia="Calibri" w:hAnsi="Arial" w:cs="Arial"/>
          <w:sz w:val="22"/>
        </w:rPr>
        <w:t xml:space="preserve"> de 2015 rigen a cualquier entidad pública, incluyendo</w:t>
      </w:r>
      <w:r w:rsidRPr="00292F1B">
        <w:rPr>
          <w:rFonts w:ascii="Arial" w:hAnsi="Arial" w:cs="Arial"/>
          <w:sz w:val="22"/>
        </w:rPr>
        <w:t xml:space="preserve"> </w:t>
      </w:r>
      <w:r w:rsidRPr="00292F1B">
        <w:rPr>
          <w:rFonts w:ascii="Arial" w:eastAsia="Times New Roman" w:hAnsi="Arial" w:cs="Arial"/>
          <w:sz w:val="22"/>
          <w:lang w:val="es-CO" w:eastAsia="es-CO"/>
        </w:rPr>
        <w:t xml:space="preserve">las pertenecientes a todas las Ramas del Poder Público, en todos los niveles de la estructura estatal, central o descentralizada por servicios o territorialmente, en los </w:t>
      </w:r>
      <w:r w:rsidRPr="00292F1B">
        <w:rPr>
          <w:rFonts w:ascii="Arial" w:eastAsia="Calibri" w:hAnsi="Arial" w:cs="Arial"/>
          <w:sz w:val="22"/>
        </w:rPr>
        <w:t xml:space="preserve">órdenes nacional, departamental, municipal y distrital. </w:t>
      </w:r>
    </w:p>
    <w:p w14:paraId="1A221FDB" w14:textId="77777777" w:rsidR="00374D62" w:rsidRDefault="00374D62" w:rsidP="005C40E9">
      <w:pPr>
        <w:spacing w:line="276" w:lineRule="auto"/>
        <w:ind w:firstLine="709"/>
        <w:jc w:val="both"/>
        <w:rPr>
          <w:rFonts w:ascii="Arial" w:eastAsia="Calibri" w:hAnsi="Arial" w:cs="Arial"/>
          <w:sz w:val="22"/>
        </w:rPr>
      </w:pPr>
    </w:p>
    <w:p w14:paraId="6E11563D" w14:textId="2A2CCC28" w:rsidR="00374D62" w:rsidRDefault="00374D62" w:rsidP="005C40E9">
      <w:pPr>
        <w:spacing w:line="276" w:lineRule="auto"/>
        <w:jc w:val="both"/>
        <w:rPr>
          <w:rFonts w:ascii="Arial" w:hAnsi="Arial" w:cs="Arial"/>
          <w:b/>
          <w:sz w:val="22"/>
          <w:lang w:val="es-ES"/>
        </w:rPr>
      </w:pPr>
      <w:r>
        <w:rPr>
          <w:rFonts w:ascii="Arial" w:hAnsi="Arial" w:cs="Arial"/>
          <w:b/>
          <w:sz w:val="22"/>
          <w:lang w:val="es-ES"/>
        </w:rPr>
        <w:t xml:space="preserve">2.4. Término que tienen las </w:t>
      </w:r>
      <w:r w:rsidRPr="00292F1B">
        <w:rPr>
          <w:rFonts w:ascii="Arial" w:hAnsi="Arial" w:cs="Arial"/>
          <w:b/>
          <w:sz w:val="22"/>
          <w:lang w:val="es-ES"/>
        </w:rPr>
        <w:t xml:space="preserve">entidades de régimen especial </w:t>
      </w:r>
      <w:r>
        <w:rPr>
          <w:rFonts w:ascii="Arial" w:hAnsi="Arial" w:cs="Arial"/>
          <w:b/>
          <w:sz w:val="22"/>
          <w:lang w:val="es-ES"/>
        </w:rPr>
        <w:t>para publicar los documentos en el SECOP</w:t>
      </w:r>
    </w:p>
    <w:p w14:paraId="13A0EBD5" w14:textId="77777777" w:rsidR="00374D62" w:rsidRPr="00292F1B" w:rsidRDefault="00374D62" w:rsidP="005C40E9">
      <w:pPr>
        <w:spacing w:line="276" w:lineRule="auto"/>
        <w:jc w:val="both"/>
        <w:rPr>
          <w:rFonts w:ascii="Arial" w:eastAsia="Calibri" w:hAnsi="Arial" w:cs="Arial"/>
          <w:sz w:val="22"/>
        </w:rPr>
      </w:pPr>
    </w:p>
    <w:p w14:paraId="2F473F8B" w14:textId="24ACD26B" w:rsidR="00A14A6F" w:rsidRPr="00292F1B" w:rsidRDefault="00A14A6F" w:rsidP="005C40E9">
      <w:pPr>
        <w:spacing w:line="276" w:lineRule="auto"/>
        <w:jc w:val="both"/>
        <w:rPr>
          <w:rFonts w:ascii="Arial" w:eastAsia="Calibri" w:hAnsi="Arial" w:cs="Arial"/>
          <w:sz w:val="22"/>
        </w:rPr>
      </w:pPr>
      <w:r w:rsidRPr="00292F1B">
        <w:rPr>
          <w:rFonts w:ascii="Arial" w:eastAsia="Calibri" w:hAnsi="Arial" w:cs="Arial"/>
          <w:sz w:val="22"/>
        </w:rPr>
        <w:t>Identificados los documentos que deben publicar las entidades de régimen especial y su fundamento normativo, a continuación</w:t>
      </w:r>
      <w:r w:rsidR="004D4E2B" w:rsidRPr="00292F1B">
        <w:rPr>
          <w:rFonts w:ascii="Arial" w:eastAsia="Calibri" w:hAnsi="Arial" w:cs="Arial"/>
          <w:sz w:val="22"/>
        </w:rPr>
        <w:t xml:space="preserve"> </w:t>
      </w:r>
      <w:r w:rsidRPr="00292F1B">
        <w:rPr>
          <w:rFonts w:ascii="Arial" w:eastAsia="Calibri" w:hAnsi="Arial" w:cs="Arial"/>
          <w:sz w:val="22"/>
        </w:rPr>
        <w:t>se explicará cu</w:t>
      </w:r>
      <w:r w:rsidR="00374D62">
        <w:rPr>
          <w:rFonts w:ascii="Arial" w:eastAsia="Calibri" w:hAnsi="Arial" w:cs="Arial"/>
          <w:sz w:val="22"/>
        </w:rPr>
        <w:t>á</w:t>
      </w:r>
      <w:r w:rsidRPr="00292F1B">
        <w:rPr>
          <w:rFonts w:ascii="Arial" w:eastAsia="Calibri" w:hAnsi="Arial" w:cs="Arial"/>
          <w:sz w:val="22"/>
        </w:rPr>
        <w:t xml:space="preserve">ndo se deben publicar, no sin antes explicar la posición que Colombia Compra Eficiente ha tenido en relación con este asunto. </w:t>
      </w:r>
    </w:p>
    <w:p w14:paraId="5B5D7828" w14:textId="708F3F9C" w:rsidR="00A14A6F" w:rsidRPr="00292F1B" w:rsidRDefault="00A14A6F" w:rsidP="004D4E2B">
      <w:pPr>
        <w:spacing w:before="120" w:after="120" w:line="276" w:lineRule="auto"/>
        <w:ind w:firstLine="708"/>
        <w:jc w:val="both"/>
        <w:rPr>
          <w:rFonts w:ascii="Arial" w:eastAsia="Calibri" w:hAnsi="Arial" w:cs="Arial"/>
          <w:sz w:val="22"/>
        </w:rPr>
      </w:pPr>
      <w:r w:rsidRPr="00292F1B">
        <w:rPr>
          <w:rFonts w:ascii="Arial" w:eastAsia="Calibri" w:hAnsi="Arial" w:cs="Arial"/>
          <w:sz w:val="22"/>
        </w:rPr>
        <w:t xml:space="preserve">En el año 2017, en la consulta con radicado No. 4201713000005390 </w:t>
      </w:r>
      <w:r w:rsidR="004D4E2B" w:rsidRPr="00292F1B">
        <w:rPr>
          <w:rFonts w:ascii="Arial" w:eastAsia="Calibri" w:hAnsi="Arial" w:cs="Arial"/>
          <w:sz w:val="22"/>
        </w:rPr>
        <w:t xml:space="preserve">esta Agencia sostuvo </w:t>
      </w:r>
      <w:r w:rsidRPr="00292F1B">
        <w:rPr>
          <w:rFonts w:ascii="Arial" w:eastAsia="Calibri" w:hAnsi="Arial" w:cs="Arial"/>
          <w:sz w:val="22"/>
        </w:rPr>
        <w:t>que</w:t>
      </w:r>
      <w:r w:rsidR="004D4E2B" w:rsidRPr="00292F1B">
        <w:rPr>
          <w:rFonts w:ascii="Arial" w:eastAsia="Calibri" w:hAnsi="Arial" w:cs="Arial"/>
          <w:sz w:val="22"/>
        </w:rPr>
        <w:t xml:space="preserve"> «</w:t>
      </w:r>
      <w:r w:rsidRPr="00292F1B">
        <w:rPr>
          <w:rFonts w:ascii="Arial" w:eastAsia="Calibri" w:hAnsi="Arial" w:cs="Arial"/>
          <w:sz w:val="22"/>
        </w:rPr>
        <w:t>el plazo para publicar por parte de las entidades de régimen especial es el que se fije en el manual de contratación de la entidad</w:t>
      </w:r>
      <w:r w:rsidR="00374D62">
        <w:rPr>
          <w:rFonts w:ascii="Arial" w:eastAsia="Calibri" w:hAnsi="Arial" w:cs="Arial"/>
          <w:sz w:val="22"/>
        </w:rPr>
        <w:t>»</w:t>
      </w:r>
      <w:r w:rsidRPr="00292F1B">
        <w:rPr>
          <w:rStyle w:val="Refdenotaalpie"/>
          <w:rFonts w:ascii="Arial" w:eastAsia="Calibri" w:hAnsi="Arial" w:cs="Arial"/>
          <w:sz w:val="22"/>
        </w:rPr>
        <w:footnoteReference w:id="19"/>
      </w:r>
      <w:r w:rsidRPr="00292F1B">
        <w:rPr>
          <w:rFonts w:ascii="Arial" w:eastAsia="Calibri" w:hAnsi="Arial" w:cs="Arial"/>
          <w:sz w:val="22"/>
        </w:rPr>
        <w:t>. Por su parte, en el año 2018, con la expedición de la Circular Externa Única, se cambió la postura y se indica: «las entidades que aun utilizan el SECOP I están obligadas a publicar los documentos del proceso dentro de los tres (3) días siguientes a su expedición […]</w:t>
      </w:r>
      <w:r w:rsidRPr="00292F1B">
        <w:rPr>
          <w:rStyle w:val="Refdenotaalpie"/>
          <w:rFonts w:ascii="Arial" w:eastAsia="Calibri" w:hAnsi="Arial" w:cs="Arial"/>
          <w:sz w:val="22"/>
        </w:rPr>
        <w:footnoteReference w:id="20"/>
      </w:r>
      <w:r w:rsidRPr="00292F1B">
        <w:rPr>
          <w:rFonts w:ascii="Arial" w:eastAsia="Calibri" w:hAnsi="Arial" w:cs="Arial"/>
          <w:sz w:val="22"/>
        </w:rPr>
        <w:t xml:space="preserve">». De lo regulado en la Circular Externa Única se infiere que se otorga un tratamiento igualitario a las entidades, </w:t>
      </w:r>
      <w:r w:rsidRPr="00292F1B">
        <w:rPr>
          <w:rFonts w:ascii="Arial" w:eastAsia="Calibri" w:hAnsi="Arial" w:cs="Arial"/>
          <w:sz w:val="22"/>
        </w:rPr>
        <w:lastRenderedPageBreak/>
        <w:t xml:space="preserve">independientemente de su régimen de contratación, por lo tanto, aplica el artículo 2.2.1.1.1.7.1. del Decreto 1082 de 2015. </w:t>
      </w:r>
    </w:p>
    <w:p w14:paraId="2BD78D5E" w14:textId="20EA81BD" w:rsidR="00A14A6F" w:rsidRPr="00292F1B" w:rsidRDefault="00A14A6F" w:rsidP="00A14A6F">
      <w:pPr>
        <w:spacing w:before="120" w:after="120" w:line="276" w:lineRule="auto"/>
        <w:ind w:firstLine="709"/>
        <w:jc w:val="both"/>
        <w:rPr>
          <w:rFonts w:ascii="Arial" w:eastAsia="Calibri" w:hAnsi="Arial" w:cs="Arial"/>
          <w:sz w:val="22"/>
        </w:rPr>
      </w:pPr>
      <w:r w:rsidRPr="00292F1B">
        <w:rPr>
          <w:rFonts w:ascii="Arial" w:eastAsia="Calibri" w:hAnsi="Arial" w:cs="Arial"/>
          <w:sz w:val="22"/>
        </w:rPr>
        <w:t xml:space="preserve">En este sentido, se han tenido dos posturas frente a la oportunidad de publicar los documentos en el SECOP. En un primer momento, la entidad tiene autonomía para determinar el plazo en su manual de contratación, debido a que no les aplica el Estatuto General de Contratación de la Administración Pública; en un segundo momento, a partir de la expedición de la Circular Externa Única, tanto </w:t>
      </w:r>
      <w:r w:rsidR="004D4E2B" w:rsidRPr="00292F1B">
        <w:rPr>
          <w:rFonts w:ascii="Arial" w:eastAsia="Calibri" w:hAnsi="Arial" w:cs="Arial"/>
          <w:sz w:val="22"/>
        </w:rPr>
        <w:t xml:space="preserve"> los documentos de </w:t>
      </w:r>
      <w:r w:rsidRPr="00292F1B">
        <w:rPr>
          <w:rFonts w:ascii="Arial" w:eastAsia="Calibri" w:hAnsi="Arial" w:cs="Arial"/>
          <w:sz w:val="22"/>
        </w:rPr>
        <w:t>l</w:t>
      </w:r>
      <w:r w:rsidR="004D4E2B" w:rsidRPr="00292F1B">
        <w:rPr>
          <w:rFonts w:ascii="Arial" w:eastAsia="Calibri" w:hAnsi="Arial" w:cs="Arial"/>
          <w:sz w:val="22"/>
        </w:rPr>
        <w:t>a contratación realizada</w:t>
      </w:r>
      <w:r w:rsidRPr="00292F1B">
        <w:rPr>
          <w:rFonts w:ascii="Arial" w:eastAsia="Calibri" w:hAnsi="Arial" w:cs="Arial"/>
          <w:sz w:val="22"/>
        </w:rPr>
        <w:t xml:space="preserve"> </w:t>
      </w:r>
      <w:r w:rsidR="004D4E2B" w:rsidRPr="00292F1B">
        <w:rPr>
          <w:rFonts w:ascii="Arial" w:eastAsia="Calibri" w:hAnsi="Arial" w:cs="Arial"/>
          <w:sz w:val="22"/>
        </w:rPr>
        <w:t>conforme a</w:t>
      </w:r>
      <w:r w:rsidRPr="00292F1B">
        <w:rPr>
          <w:rFonts w:ascii="Arial" w:eastAsia="Calibri" w:hAnsi="Arial" w:cs="Arial"/>
          <w:sz w:val="22"/>
        </w:rPr>
        <w:t xml:space="preserve"> la Ley 80</w:t>
      </w:r>
      <w:r w:rsidR="004D4E2B" w:rsidRPr="00292F1B">
        <w:rPr>
          <w:rFonts w:ascii="Arial" w:eastAsia="Calibri" w:hAnsi="Arial" w:cs="Arial"/>
          <w:sz w:val="22"/>
        </w:rPr>
        <w:t xml:space="preserve"> de 1993,</w:t>
      </w:r>
      <w:r w:rsidRPr="00292F1B">
        <w:rPr>
          <w:rFonts w:ascii="Arial" w:eastAsia="Calibri" w:hAnsi="Arial" w:cs="Arial"/>
          <w:sz w:val="22"/>
        </w:rPr>
        <w:t xml:space="preserve"> </w:t>
      </w:r>
      <w:r w:rsidR="004D4E2B" w:rsidRPr="00292F1B">
        <w:rPr>
          <w:rFonts w:ascii="Arial" w:eastAsia="Calibri" w:hAnsi="Arial" w:cs="Arial"/>
          <w:sz w:val="22"/>
        </w:rPr>
        <w:t xml:space="preserve">como aquella realizada en virtud un </w:t>
      </w:r>
      <w:r w:rsidRPr="00292F1B">
        <w:rPr>
          <w:rFonts w:ascii="Arial" w:eastAsia="Calibri" w:hAnsi="Arial" w:cs="Arial"/>
          <w:sz w:val="22"/>
        </w:rPr>
        <w:t>régimen especial</w:t>
      </w:r>
      <w:r w:rsidR="004D4E2B" w:rsidRPr="00292F1B">
        <w:rPr>
          <w:rFonts w:ascii="Arial" w:eastAsia="Calibri" w:hAnsi="Arial" w:cs="Arial"/>
          <w:sz w:val="22"/>
        </w:rPr>
        <w:t xml:space="preserve"> de contratación</w:t>
      </w:r>
      <w:r w:rsidRPr="00292F1B">
        <w:rPr>
          <w:rFonts w:ascii="Arial" w:eastAsia="Calibri" w:hAnsi="Arial" w:cs="Arial"/>
          <w:sz w:val="22"/>
        </w:rPr>
        <w:t>, deberá</w:t>
      </w:r>
      <w:r w:rsidR="004D4E2B" w:rsidRPr="00292F1B">
        <w:rPr>
          <w:rFonts w:ascii="Arial" w:eastAsia="Calibri" w:hAnsi="Arial" w:cs="Arial"/>
          <w:sz w:val="22"/>
        </w:rPr>
        <w:t>n ser</w:t>
      </w:r>
      <w:r w:rsidRPr="00292F1B">
        <w:rPr>
          <w:rFonts w:ascii="Arial" w:eastAsia="Calibri" w:hAnsi="Arial" w:cs="Arial"/>
          <w:sz w:val="22"/>
        </w:rPr>
        <w:t xml:space="preserve"> publica</w:t>
      </w:r>
      <w:r w:rsidR="004D4E2B" w:rsidRPr="00292F1B">
        <w:rPr>
          <w:rFonts w:ascii="Arial" w:eastAsia="Calibri" w:hAnsi="Arial" w:cs="Arial"/>
          <w:sz w:val="22"/>
        </w:rPr>
        <w:t>dos</w:t>
      </w:r>
      <w:r w:rsidRPr="00292F1B">
        <w:rPr>
          <w:rFonts w:ascii="Arial" w:eastAsia="Calibri" w:hAnsi="Arial" w:cs="Arial"/>
          <w:sz w:val="22"/>
        </w:rPr>
        <w:t xml:space="preserve"> dentro de los tres (3) días siguientes a su expedición, por expresa disposición del artículo 2.2.1.1.1.7.1 del Decreto 1082 de 2015. Esta última posición es la que se acogerá y se desarrollará en esta consulta. </w:t>
      </w:r>
    </w:p>
    <w:p w14:paraId="07572C23" w14:textId="73F8C2B3" w:rsidR="00A14A6F" w:rsidRPr="00292F1B" w:rsidRDefault="00A14A6F" w:rsidP="00A14A6F">
      <w:pPr>
        <w:spacing w:before="120" w:after="120" w:line="276" w:lineRule="auto"/>
        <w:ind w:firstLine="709"/>
        <w:jc w:val="both"/>
        <w:rPr>
          <w:rFonts w:ascii="Arial" w:eastAsia="Calibri" w:hAnsi="Arial" w:cs="Arial"/>
          <w:sz w:val="22"/>
        </w:rPr>
      </w:pPr>
      <w:r w:rsidRPr="00292F1B">
        <w:rPr>
          <w:rFonts w:ascii="Arial" w:eastAsia="Calibri" w:hAnsi="Arial" w:cs="Arial"/>
          <w:sz w:val="22"/>
        </w:rPr>
        <w:t>La Ley 1712 de 2014 y el Decreto reglamentario 10</w:t>
      </w:r>
      <w:r w:rsidR="004D4E2B" w:rsidRPr="00292F1B">
        <w:rPr>
          <w:rFonts w:ascii="Arial" w:eastAsia="Calibri" w:hAnsi="Arial" w:cs="Arial"/>
          <w:sz w:val="22"/>
        </w:rPr>
        <w:t>81</w:t>
      </w:r>
      <w:r w:rsidRPr="00292F1B">
        <w:rPr>
          <w:rFonts w:ascii="Arial" w:eastAsia="Calibri" w:hAnsi="Arial" w:cs="Arial"/>
          <w:sz w:val="22"/>
        </w:rPr>
        <w:t xml:space="preserve"> de 2015, normativas que indican los documentos que se deben publicar, no señalan el momento para su divulgación, y en ese sentido existe un vacío normativo. En los casos que no exista norma aplicable, la Corte Constitucional, en la sentencia C-083 de 1995, reconoce a la analogía como una fuente de derecho autónoma a la que se pueden acudir para suplir el vacío. De esta forma, reconoce que: «la analogía es la aplicación de la ley a situaciones no contempladas expresamente a ellas, pero que sólo difieren a las que sí lo están en aspectos jurídicamente irrelevantes, es decir, ajenos a aquellos que explican y fundamentan la razón de ser de la norma»</w:t>
      </w:r>
      <w:r w:rsidRPr="00292F1B">
        <w:rPr>
          <w:rStyle w:val="Refdenotaalpie"/>
          <w:rFonts w:ascii="Arial" w:eastAsia="Calibri" w:hAnsi="Arial" w:cs="Arial"/>
          <w:sz w:val="22"/>
        </w:rPr>
        <w:footnoteReference w:id="21"/>
      </w:r>
      <w:r w:rsidRPr="00292F1B">
        <w:rPr>
          <w:rFonts w:ascii="Arial" w:eastAsia="Calibri" w:hAnsi="Arial" w:cs="Arial"/>
          <w:sz w:val="22"/>
        </w:rPr>
        <w:t>. En este sentido, el juez razona por analogía, cuando aplica una ley frente una situación no contemplada explícitamente en ella, a partir del estudio de situaciones fácticas que fueron tratadas por el legislador y guardan similitud con el asunto tratado.</w:t>
      </w:r>
    </w:p>
    <w:p w14:paraId="3644FE27" w14:textId="7BB48D7E" w:rsidR="00A14A6F" w:rsidRPr="00292F1B" w:rsidRDefault="00A14A6F" w:rsidP="00A14A6F">
      <w:pPr>
        <w:spacing w:before="120" w:after="120" w:line="276" w:lineRule="auto"/>
        <w:ind w:firstLine="709"/>
        <w:jc w:val="both"/>
        <w:rPr>
          <w:rFonts w:ascii="Arial" w:eastAsia="Calibri" w:hAnsi="Arial" w:cs="Arial"/>
          <w:sz w:val="22"/>
        </w:rPr>
      </w:pPr>
      <w:r w:rsidRPr="00292F1B">
        <w:rPr>
          <w:rFonts w:ascii="Arial" w:eastAsia="Calibri" w:hAnsi="Arial" w:cs="Arial"/>
          <w:sz w:val="22"/>
        </w:rPr>
        <w:t>El Decreto 1082 de 2015, en el artículo 2.2.1.1.1.7.1</w:t>
      </w:r>
      <w:r w:rsidR="004D4E2B" w:rsidRPr="00292F1B">
        <w:rPr>
          <w:rFonts w:ascii="Arial" w:eastAsia="Calibri" w:hAnsi="Arial" w:cs="Arial"/>
          <w:sz w:val="22"/>
        </w:rPr>
        <w:t xml:space="preserve"> </w:t>
      </w:r>
      <w:r w:rsidR="004D4E2B" w:rsidRPr="00292F1B">
        <w:rPr>
          <w:rFonts w:ascii="Arial" w:eastAsia="Calibri" w:hAnsi="Arial" w:cs="Arial"/>
          <w:i/>
          <w:iCs/>
          <w:sz w:val="22"/>
        </w:rPr>
        <w:t>Ibídem</w:t>
      </w:r>
      <w:r w:rsidRPr="00292F1B">
        <w:rPr>
          <w:rFonts w:ascii="Arial" w:eastAsia="Calibri" w:hAnsi="Arial" w:cs="Arial"/>
          <w:sz w:val="22"/>
        </w:rPr>
        <w:t>, normativa que regula la publicidad en el SECOP, establece que las entidades están obligadas a publicar los documentos del proceso y los actos administrativos del proceso de contratación, dentro de los tres (3) días siguientes a su expedición. Además, indica el deber de las entidades de publicar oportunamente el aviso de convocatoria o la invitación en los procesos de contratación de mínima cuantía y el proyecto de pliego de condiciones en el SECOP para que presenten observaciones o soliciten aclaraciones</w:t>
      </w:r>
      <w:r w:rsidRPr="00292F1B">
        <w:rPr>
          <w:rStyle w:val="Refdenotaalpie"/>
          <w:rFonts w:ascii="Arial" w:eastAsia="Calibri" w:hAnsi="Arial" w:cs="Arial"/>
          <w:sz w:val="22"/>
        </w:rPr>
        <w:footnoteReference w:id="22"/>
      </w:r>
      <w:r w:rsidRPr="00292F1B">
        <w:rPr>
          <w:rFonts w:ascii="Arial" w:eastAsia="Calibri" w:hAnsi="Arial" w:cs="Arial"/>
          <w:sz w:val="22"/>
        </w:rPr>
        <w:t xml:space="preserve">. En este sentido, las entidades </w:t>
      </w:r>
      <w:r w:rsidRPr="00292F1B">
        <w:rPr>
          <w:rFonts w:ascii="Arial" w:eastAsia="Calibri" w:hAnsi="Arial" w:cs="Arial"/>
          <w:sz w:val="22"/>
        </w:rPr>
        <w:lastRenderedPageBreak/>
        <w:t xml:space="preserve">sometidas al régimen de contratación de Ley 80 de 1993 publican en el SECOP sus documentos dentro de los 3 días siguientes a su expedición. </w:t>
      </w:r>
    </w:p>
    <w:p w14:paraId="0FD6E3EE" w14:textId="15CA9D83" w:rsidR="00A14A6F" w:rsidRPr="00292F1B" w:rsidRDefault="00A14A6F" w:rsidP="00A14A6F">
      <w:pPr>
        <w:spacing w:before="120" w:after="120" w:line="276" w:lineRule="auto"/>
        <w:ind w:firstLine="709"/>
        <w:jc w:val="both"/>
        <w:rPr>
          <w:rFonts w:ascii="Arial" w:eastAsia="Calibri" w:hAnsi="Arial" w:cs="Arial"/>
          <w:sz w:val="22"/>
        </w:rPr>
      </w:pPr>
      <w:r w:rsidRPr="00292F1B">
        <w:rPr>
          <w:rFonts w:ascii="Arial" w:eastAsia="Calibri" w:hAnsi="Arial" w:cs="Arial"/>
          <w:sz w:val="22"/>
        </w:rPr>
        <w:t xml:space="preserve">Si bien el Decreto 1082 de 2015, en principio no aplica a la </w:t>
      </w:r>
      <w:r w:rsidR="004D4E2B" w:rsidRPr="00292F1B">
        <w:rPr>
          <w:rFonts w:ascii="Arial" w:eastAsia="Calibri" w:hAnsi="Arial" w:cs="Arial"/>
          <w:sz w:val="22"/>
        </w:rPr>
        <w:t xml:space="preserve">contratación pública </w:t>
      </w:r>
      <w:r w:rsidRPr="00292F1B">
        <w:rPr>
          <w:rFonts w:ascii="Arial" w:eastAsia="Calibri" w:hAnsi="Arial" w:cs="Arial"/>
          <w:sz w:val="22"/>
        </w:rPr>
        <w:t xml:space="preserve">exceptuada del Estatuto General de Contratación de la Administración Pública, es posible aplicarle el artículo 2.2.1.1.1.7.1. en virtud de la analogía. Lo anterior, debido a que esta norma guarda similitud con el asunto tratado ya que regula la publicidad de los documentos del SECOP y, por lo tanto, es viable aplicarle su consecuencia jurídica a las entidades de régimen especial. </w:t>
      </w:r>
    </w:p>
    <w:p w14:paraId="41F2D90F" w14:textId="77777777" w:rsidR="00A14A6F" w:rsidRPr="00292F1B" w:rsidRDefault="00A14A6F" w:rsidP="00A14A6F">
      <w:pPr>
        <w:spacing w:before="120" w:after="120" w:line="276" w:lineRule="auto"/>
        <w:ind w:firstLine="709"/>
        <w:jc w:val="both"/>
        <w:rPr>
          <w:rFonts w:ascii="Arial" w:eastAsia="Calibri" w:hAnsi="Arial" w:cs="Arial"/>
          <w:sz w:val="22"/>
        </w:rPr>
      </w:pPr>
      <w:r w:rsidRPr="00292F1B">
        <w:rPr>
          <w:rFonts w:ascii="Arial" w:eastAsia="Calibri" w:hAnsi="Arial" w:cs="Arial"/>
          <w:sz w:val="22"/>
        </w:rPr>
        <w:t xml:space="preserve">A su vez, no es posible que las entidades definan en su manual de contratación el momento en el cual publicarán sus documentos contractuales, porque este es un asunto que debe definir el legislador o el gobierno por medio de un reglamento. </w:t>
      </w:r>
    </w:p>
    <w:p w14:paraId="1C7DE5C0" w14:textId="77777777" w:rsidR="00A14A6F" w:rsidRPr="00292F1B" w:rsidRDefault="00A14A6F" w:rsidP="00A14A6F">
      <w:pPr>
        <w:spacing w:before="120" w:after="120" w:line="276" w:lineRule="auto"/>
        <w:ind w:firstLine="709"/>
        <w:jc w:val="both"/>
        <w:rPr>
          <w:rFonts w:ascii="Arial" w:eastAsia="Calibri" w:hAnsi="Arial" w:cs="Arial"/>
          <w:sz w:val="22"/>
        </w:rPr>
      </w:pPr>
      <w:r w:rsidRPr="00292F1B">
        <w:rPr>
          <w:rFonts w:ascii="Arial" w:eastAsia="Calibri" w:hAnsi="Arial" w:cs="Arial"/>
          <w:sz w:val="22"/>
        </w:rPr>
        <w:t>Conforme a lo anterior, las entidades de régimen especial deben publicar sus documentos del proceso de contratación dentro de los tres (3) días siguientes a su expedición; porque a pesar de que en principio el artículo 2.2.1.1.1.7.1 del Decreto 1082 de 2015 no les aplica, sí es posible y necesario en virtud de la analogía.</w:t>
      </w:r>
    </w:p>
    <w:p w14:paraId="24E3AD4D" w14:textId="77777777" w:rsidR="00A14A6F" w:rsidRPr="00292F1B" w:rsidRDefault="00A14A6F" w:rsidP="00A14A6F">
      <w:pPr>
        <w:spacing w:line="276" w:lineRule="auto"/>
        <w:ind w:firstLine="709"/>
        <w:jc w:val="both"/>
        <w:rPr>
          <w:rFonts w:ascii="Arial" w:eastAsia="Calibri" w:hAnsi="Arial" w:cs="Arial"/>
          <w:sz w:val="22"/>
        </w:rPr>
      </w:pPr>
      <w:r w:rsidRPr="00292F1B">
        <w:rPr>
          <w:rFonts w:ascii="Arial" w:eastAsia="Calibri" w:hAnsi="Arial" w:cs="Arial"/>
          <w:sz w:val="22"/>
        </w:rPr>
        <w:t xml:space="preserve">En todo caso, si se adoptara la posición del Consejo de Estado, explicada con anterioridad, es decir, que la obligación de publicar en el SECOP se apoya del literal c) del artículo 3 de la Ley 1150 de 2007, entonces también se debe publicar toda la contratación realizada con recursos públicos, independientemente del régimen de contratación de la entidad, porque el Decreto 1082 de 2015 reglamenta el artículo 3 de la Ley 1150 de 2007, y se aplicaría el artículo 2.2.1.1.1.7.1. </w:t>
      </w:r>
    </w:p>
    <w:p w14:paraId="2DCEFBEE" w14:textId="77777777" w:rsidR="00A14A6F" w:rsidRPr="00292F1B" w:rsidRDefault="00A14A6F" w:rsidP="00A14A6F">
      <w:pPr>
        <w:spacing w:line="276" w:lineRule="auto"/>
        <w:jc w:val="both"/>
        <w:rPr>
          <w:rFonts w:ascii="Arial" w:eastAsia="Calibri" w:hAnsi="Arial" w:cs="Arial"/>
          <w:b/>
          <w:sz w:val="16"/>
          <w:szCs w:val="16"/>
        </w:rPr>
      </w:pPr>
    </w:p>
    <w:p w14:paraId="78A3B70B" w14:textId="0CFEA8CA" w:rsidR="00A14A6F" w:rsidRPr="00292F1B" w:rsidRDefault="00A14A6F" w:rsidP="00A14A6F">
      <w:pPr>
        <w:spacing w:line="276" w:lineRule="auto"/>
        <w:jc w:val="both"/>
        <w:rPr>
          <w:rFonts w:ascii="Arial" w:eastAsia="Calibri" w:hAnsi="Arial" w:cs="Arial"/>
          <w:b/>
          <w:sz w:val="22"/>
        </w:rPr>
      </w:pPr>
      <w:r w:rsidRPr="00292F1B">
        <w:rPr>
          <w:rFonts w:ascii="Arial" w:eastAsia="Calibri" w:hAnsi="Arial" w:cs="Arial"/>
          <w:b/>
          <w:sz w:val="22"/>
        </w:rPr>
        <w:t>2.</w:t>
      </w:r>
      <w:r w:rsidR="004D4E2B" w:rsidRPr="00292F1B">
        <w:rPr>
          <w:rFonts w:ascii="Arial" w:eastAsia="Calibri" w:hAnsi="Arial" w:cs="Arial"/>
          <w:b/>
          <w:sz w:val="22"/>
        </w:rPr>
        <w:t>4</w:t>
      </w:r>
      <w:r w:rsidRPr="00292F1B">
        <w:rPr>
          <w:rFonts w:ascii="Arial" w:eastAsia="Calibri" w:hAnsi="Arial" w:cs="Arial"/>
          <w:b/>
          <w:sz w:val="22"/>
        </w:rPr>
        <w:t xml:space="preserve"> Publicidad en las plataformas SECOP I y II </w:t>
      </w:r>
    </w:p>
    <w:p w14:paraId="3BB21C2E" w14:textId="77777777" w:rsidR="00A14A6F" w:rsidRPr="00292F1B" w:rsidRDefault="00A14A6F" w:rsidP="00A14A6F">
      <w:pPr>
        <w:spacing w:line="276" w:lineRule="auto"/>
        <w:jc w:val="both"/>
        <w:rPr>
          <w:rFonts w:ascii="Arial" w:eastAsia="Calibri" w:hAnsi="Arial" w:cs="Arial"/>
          <w:b/>
          <w:sz w:val="16"/>
          <w:szCs w:val="16"/>
        </w:rPr>
      </w:pPr>
    </w:p>
    <w:p w14:paraId="488EC4C7" w14:textId="5E9D59A4" w:rsidR="00292F1B" w:rsidRPr="00292F1B" w:rsidRDefault="00292F1B" w:rsidP="00292F1B">
      <w:pPr>
        <w:spacing w:after="120" w:line="276" w:lineRule="auto"/>
        <w:jc w:val="both"/>
        <w:rPr>
          <w:rFonts w:ascii="Arial" w:eastAsia="Calibri" w:hAnsi="Arial" w:cs="Arial"/>
          <w:sz w:val="22"/>
          <w:lang w:val="es-ES"/>
        </w:rPr>
      </w:pPr>
      <w:r w:rsidRPr="00292F1B">
        <w:rPr>
          <w:rFonts w:ascii="Arial" w:eastAsia="Calibri" w:hAnsi="Arial" w:cs="Arial"/>
          <w:sz w:val="22"/>
          <w:lang w:val="es-ES"/>
        </w:rPr>
        <w:t>La Agencia Nacional de Contratación Pública – Colombia Compra Eficiente tiene como función  administrar el SECOP</w:t>
      </w:r>
      <w:r w:rsidRPr="00292F1B">
        <w:rPr>
          <w:rStyle w:val="Refdenotaalpie"/>
          <w:rFonts w:ascii="Arial" w:eastAsia="Calibri" w:hAnsi="Arial" w:cs="Arial"/>
          <w:sz w:val="22"/>
          <w:lang w:val="es-ES"/>
        </w:rPr>
        <w:footnoteReference w:id="23"/>
      </w:r>
      <w:r w:rsidRPr="00292F1B">
        <w:rPr>
          <w:rFonts w:ascii="Arial" w:eastAsia="Calibri" w:hAnsi="Arial" w:cs="Arial"/>
          <w:sz w:val="22"/>
          <w:lang w:val="es-ES"/>
        </w:rPr>
        <w:t xml:space="preserve">, por lo cual se desarrolló la primera versión  de la plataforma </w:t>
      </w:r>
      <w:r w:rsidR="00374D62">
        <w:rPr>
          <w:rFonts w:ascii="Arial" w:eastAsia="Calibri" w:hAnsi="Arial" w:cs="Arial"/>
          <w:sz w:val="22"/>
          <w:lang w:val="es-ES"/>
        </w:rPr>
        <w:t>–</w:t>
      </w:r>
      <w:r w:rsidRPr="00292F1B">
        <w:rPr>
          <w:rFonts w:ascii="Arial" w:eastAsia="Calibri" w:hAnsi="Arial" w:cs="Arial"/>
          <w:sz w:val="22"/>
          <w:lang w:val="es-ES"/>
        </w:rPr>
        <w:t>SECOP I</w:t>
      </w:r>
      <w:r w:rsidR="00374D62">
        <w:rPr>
          <w:rFonts w:ascii="Arial" w:eastAsia="Calibri" w:hAnsi="Arial" w:cs="Arial"/>
          <w:sz w:val="22"/>
          <w:lang w:val="es-ES"/>
        </w:rPr>
        <w:t>–</w:t>
      </w:r>
      <w:r w:rsidRPr="00292F1B">
        <w:rPr>
          <w:rFonts w:ascii="Arial" w:eastAsia="Calibri" w:hAnsi="Arial" w:cs="Arial"/>
          <w:sz w:val="22"/>
          <w:lang w:val="es-ES"/>
        </w:rPr>
        <w:t xml:space="preserve"> , que solo funciona como medio de publicidad, es decir, no es transaccional, lo que significa que el procedimiento contractual ocurre fuera de la plataforma</w:t>
      </w:r>
      <w:r w:rsidR="00374D62">
        <w:rPr>
          <w:rFonts w:ascii="Arial" w:eastAsia="Calibri" w:hAnsi="Arial" w:cs="Arial"/>
          <w:sz w:val="22"/>
          <w:lang w:val="es-ES"/>
        </w:rPr>
        <w:t>,</w:t>
      </w:r>
      <w:r w:rsidRPr="00292F1B">
        <w:rPr>
          <w:rFonts w:ascii="Arial" w:eastAsia="Calibri" w:hAnsi="Arial" w:cs="Arial"/>
          <w:sz w:val="22"/>
          <w:lang w:val="es-ES"/>
        </w:rPr>
        <w:t xml:space="preserve"> a través de un expediente físico en la entidad, pero las actuaciones y los documentos se convierten en electrónicos para ser cargados a la plataforma, por quien tenga la función dentro de la entidad, de acuerdo con su organización interna.</w:t>
      </w:r>
    </w:p>
    <w:p w14:paraId="281FD365" w14:textId="77777777" w:rsidR="00292F1B" w:rsidRPr="00292F1B" w:rsidRDefault="00292F1B" w:rsidP="00292F1B">
      <w:pPr>
        <w:spacing w:before="120" w:after="120" w:line="276" w:lineRule="auto"/>
        <w:ind w:firstLine="708"/>
        <w:jc w:val="both"/>
        <w:rPr>
          <w:rFonts w:ascii="Arial" w:eastAsia="Calibri" w:hAnsi="Arial" w:cs="Arial"/>
          <w:sz w:val="22"/>
          <w:lang w:val="es-ES"/>
        </w:rPr>
      </w:pPr>
      <w:r w:rsidRPr="00292F1B">
        <w:rPr>
          <w:rFonts w:ascii="Arial" w:eastAsia="Calibri" w:hAnsi="Arial" w:cs="Arial"/>
          <w:sz w:val="22"/>
          <w:lang w:val="es-ES"/>
        </w:rPr>
        <w:t xml:space="preserve">El SECOP II es una plataforma transaccional, que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w:t>
      </w:r>
      <w:r w:rsidRPr="00292F1B">
        <w:rPr>
          <w:rFonts w:ascii="Arial" w:eastAsia="Calibri" w:hAnsi="Arial" w:cs="Arial"/>
          <w:sz w:val="22"/>
          <w:lang w:val="es-ES"/>
        </w:rPr>
        <w:lastRenderedPageBreak/>
        <w:t>proveedores pueden hacer comentarios a los documentos del procedimiento, presentar ofertas y seguir el procedimiento de selección en línea.</w:t>
      </w:r>
    </w:p>
    <w:p w14:paraId="67FDA002" w14:textId="77777777" w:rsidR="00292F1B" w:rsidRPr="00292F1B" w:rsidRDefault="00292F1B" w:rsidP="00292F1B">
      <w:pPr>
        <w:spacing w:before="120" w:after="120" w:line="276" w:lineRule="auto"/>
        <w:ind w:firstLine="708"/>
        <w:jc w:val="both"/>
        <w:rPr>
          <w:rFonts w:ascii="Arial" w:eastAsia="Calibri" w:hAnsi="Arial" w:cs="Arial"/>
          <w:sz w:val="22"/>
          <w:lang w:val="es-ES"/>
        </w:rPr>
      </w:pPr>
      <w:r w:rsidRPr="00292F1B">
        <w:rPr>
          <w:rFonts w:ascii="Arial" w:eastAsia="Calibri" w:hAnsi="Arial" w:cs="Arial"/>
          <w:sz w:val="22"/>
          <w:lang w:val="es-ES"/>
        </w:rPr>
        <w:t xml:space="preserve">La Agencia Nacional de Contratación Pública – Colombia Compra Eficiente realizó el despliegue de SECOP II a nivel territorial en el 2018 y 2019, por lo cual se expidió la Circular Externa No. 1 de 2019 sobre la obligatoriedad del uso del SECOP II en el 2020, que dispone: «A partir del 1 de enero de 2020, todos los procesos de contratación de las entidades relacionadas en el Anexo 1 de esta circular deberán gestionarse, exclusivamente, en el SECOP ll». </w:t>
      </w:r>
    </w:p>
    <w:p w14:paraId="07F05029" w14:textId="77777777" w:rsidR="00292F1B" w:rsidRPr="00292F1B" w:rsidRDefault="00292F1B" w:rsidP="00292F1B">
      <w:pPr>
        <w:spacing w:before="120" w:after="120" w:line="276" w:lineRule="auto"/>
        <w:ind w:firstLine="708"/>
        <w:jc w:val="both"/>
        <w:rPr>
          <w:rFonts w:ascii="Arial" w:eastAsia="Calibri" w:hAnsi="Arial" w:cs="Arial"/>
          <w:sz w:val="22"/>
          <w:lang w:val="es-ES"/>
        </w:rPr>
      </w:pPr>
      <w:r w:rsidRPr="00292F1B">
        <w:rPr>
          <w:rFonts w:ascii="Arial" w:eastAsia="Calibri" w:hAnsi="Arial" w:cs="Arial"/>
          <w:sz w:val="22"/>
          <w:lang w:val="es-ES"/>
        </w:rPr>
        <w:t xml:space="preserve">Con anterioridad a estas circulares se expidieron la Circular Externa No. 1 de 2013, que regula la publicación en SECOP I de las entidades que contratan con cargo a recursos públicos, y la Circular Externa No. 20 de 2015, que reguló la </w:t>
      </w:r>
      <w:r w:rsidRPr="00292F1B">
        <w:rPr>
          <w:rFonts w:ascii="Arial" w:hAnsi="Arial" w:cs="Arial"/>
          <w:sz w:val="22"/>
          <w:lang w:val="es-ES"/>
        </w:rPr>
        <w:t>publicidad de la actividad contractual de las empresas industriales y comerciales del Estado, las sociedades de economía mixta y las empresas de servicios públicos domiciliarios que en su actividad comercial están en situación de competencia.</w:t>
      </w:r>
    </w:p>
    <w:p w14:paraId="293FE9CC" w14:textId="77777777" w:rsidR="00292F1B" w:rsidRPr="00292F1B" w:rsidRDefault="00292F1B" w:rsidP="00292F1B">
      <w:pPr>
        <w:spacing w:before="120" w:after="120" w:line="276" w:lineRule="auto"/>
        <w:ind w:firstLine="708"/>
        <w:jc w:val="both"/>
        <w:rPr>
          <w:rFonts w:ascii="Arial" w:eastAsia="Calibri" w:hAnsi="Arial" w:cs="Arial"/>
          <w:sz w:val="22"/>
          <w:lang w:val="es-ES"/>
        </w:rPr>
      </w:pPr>
      <w:r w:rsidRPr="00292F1B">
        <w:rPr>
          <w:rFonts w:ascii="Arial" w:eastAsia="Calibri" w:hAnsi="Arial" w:cs="Arial"/>
          <w:sz w:val="22"/>
          <w:lang w:val="es-ES"/>
        </w:rPr>
        <w:t>El SECOP II, entonces, empezó a ser de uso obligatorio solo para las entidades mencionadas en el Anexo 1 de la Circular Externa No. 1 de 2019, y por ende el SECOP I cumple únicamente la función de repositorio de información.</w:t>
      </w:r>
    </w:p>
    <w:p w14:paraId="13F8F3BB" w14:textId="77777777" w:rsidR="00292F1B" w:rsidRPr="00292F1B" w:rsidRDefault="00292F1B" w:rsidP="00292F1B">
      <w:pPr>
        <w:spacing w:before="120" w:after="120" w:line="276" w:lineRule="auto"/>
        <w:ind w:firstLine="708"/>
        <w:jc w:val="both"/>
        <w:rPr>
          <w:rFonts w:ascii="Arial" w:eastAsia="Calibri" w:hAnsi="Arial" w:cs="Arial"/>
          <w:sz w:val="22"/>
          <w:lang w:val="es-ES"/>
        </w:rPr>
      </w:pPr>
      <w:r w:rsidRPr="00292F1B">
        <w:rPr>
          <w:rFonts w:ascii="Arial" w:eastAsia="Calibri" w:hAnsi="Arial" w:cs="Arial"/>
          <w:sz w:val="22"/>
          <w:lang w:val="es-ES"/>
        </w:rPr>
        <w:t xml:space="preserve">Este plazo fue prorrogado por la Agencia Nacional de Contratación Pública – Colombia Compra Eficiente, mediante la Circular Externa No. 2 de 2019, a través de la cual se amplió la entrada en vigencia de la obligatoriedad del SECOP ll. En consecuencia, las alcaldías capitales de departamento, Administración central y los departamentos (Administración central) gestionarán todos sus procesos de contratación, exclusivamente en el SECOP ll, a partir del 1 de abril de 2020. </w:t>
      </w:r>
    </w:p>
    <w:p w14:paraId="50AAFE63" w14:textId="77777777" w:rsidR="00292F1B" w:rsidRPr="00292F1B" w:rsidRDefault="00292F1B" w:rsidP="00292F1B">
      <w:pPr>
        <w:spacing w:before="120" w:after="120" w:line="276" w:lineRule="auto"/>
        <w:ind w:firstLine="708"/>
        <w:jc w:val="both"/>
        <w:rPr>
          <w:rFonts w:ascii="Arial" w:eastAsia="Calibri" w:hAnsi="Arial" w:cs="Arial"/>
          <w:sz w:val="22"/>
          <w:lang w:val="es-ES"/>
        </w:rPr>
      </w:pPr>
      <w:r w:rsidRPr="00292F1B">
        <w:rPr>
          <w:rFonts w:ascii="Arial" w:eastAsia="Calibri" w:hAnsi="Arial" w:cs="Arial"/>
          <w:sz w:val="22"/>
          <w:lang w:val="es-ES"/>
        </w:rPr>
        <w:t>Con todo, de acuerdo con lo que se dispuso en la Circular Externa No. 3 de 2020, existen dos grupos de entidades que se excluyeron de dicho plazo. Por un lado, la Gobernación del Chocó, la Gobernación del Archipiélago de San Andrés, Providencia y Santa Catalina, la Alcaldía de Quibdó, la Gobernación del Cauca y la Alcaldía de Popayán y, por el otro, la Gobernación de Guainía, la Alcaldía de Inírida, la Gobernación del Amazonas, la Alcaldía de Leticia, la Gobernación del Vichada, la Alcaldía de Puerto Carreño, la Gobernación del Guaviare, la Alcaldía de San José del Guaviare, la Gobernación de Vaupés y la Alcaldía de Mitú. Los primeros, porque a la fecha de expedición de la Circular Externa No. 3 no alcanzaron a capacitarse en el uso de la plataforma SECOP II, por lo que se prorrogó el plazo para que se capacitaran en dos meses, correspondiéndoles gestionar sus procesos en SECOP II a partir del 1 de junio de 2020. Los segundos tienen en común un contexto de conectividad en el que «las velocidades de carga son insuficientes para operar la plataforma en [sus] territorios», esto es, problemas de capacidad técnica de las redes, razón por la que se le permitió seguir gestionando sus procesos en medio físico, pero cumpliendo con el deber de publicidad a través de SECOP I.</w:t>
      </w:r>
    </w:p>
    <w:p w14:paraId="4AEDF14F" w14:textId="77777777" w:rsidR="00292F1B" w:rsidRPr="00292F1B" w:rsidRDefault="00292F1B" w:rsidP="00292F1B">
      <w:pPr>
        <w:spacing w:before="120" w:after="120" w:line="276" w:lineRule="auto"/>
        <w:ind w:firstLine="708"/>
        <w:jc w:val="both"/>
        <w:rPr>
          <w:rFonts w:ascii="Arial" w:eastAsia="Calibri" w:hAnsi="Arial" w:cs="Arial"/>
          <w:b/>
          <w:sz w:val="22"/>
          <w:lang w:val="es-ES"/>
        </w:rPr>
      </w:pPr>
      <w:r w:rsidRPr="00292F1B">
        <w:rPr>
          <w:rFonts w:ascii="Arial" w:eastAsia="Calibri" w:hAnsi="Arial" w:cs="Arial"/>
          <w:sz w:val="22"/>
          <w:lang w:val="es-ES"/>
        </w:rPr>
        <w:lastRenderedPageBreak/>
        <w:t>Es del caso precisar que la obligación de realizar procesos de contratación a través de la plataforma SECOP II está asociada a la inclusión de las entidades estatales en los anexos de las referidas circulares, por lo que tratándose de entidades respecto de las cuales la Circular Externa No. 1 de 2019 definió el uso obligatorio de la plataforma, no siendo exceptuadas en circulares subsiguientes, deberán hacer uso de la plataforma. En ese sentido, las entidades estatales incluidas en el Anexo 1 de la Circular Externa No. 1 de 2019, deben cumplir con el deber de evidenciar la actividad contractual con la publicación de los</w:t>
      </w:r>
      <w:r w:rsidRPr="00292F1B">
        <w:rPr>
          <w:rFonts w:ascii="Arial" w:eastAsia="Calibri" w:hAnsi="Arial" w:cs="Arial"/>
          <w:i/>
          <w:iCs/>
          <w:sz w:val="22"/>
          <w:lang w:val="es-ES"/>
        </w:rPr>
        <w:t xml:space="preserve"> Documentos del Proceso </w:t>
      </w:r>
      <w:r w:rsidRPr="00292F1B">
        <w:rPr>
          <w:rFonts w:ascii="Arial" w:eastAsia="Calibri" w:hAnsi="Arial" w:cs="Arial"/>
          <w:sz w:val="22"/>
          <w:lang w:val="es-ES"/>
        </w:rPr>
        <w:t>y los actos administrativos del</w:t>
      </w:r>
      <w:r w:rsidRPr="00292F1B">
        <w:rPr>
          <w:rFonts w:ascii="Arial" w:eastAsia="Calibri" w:hAnsi="Arial" w:cs="Arial"/>
          <w:i/>
          <w:iCs/>
          <w:sz w:val="22"/>
          <w:lang w:val="es-ES"/>
        </w:rPr>
        <w:t xml:space="preserve"> Proceso de Contratación </w:t>
      </w:r>
      <w:r w:rsidRPr="00292F1B">
        <w:rPr>
          <w:rFonts w:ascii="Arial" w:eastAsia="Calibri" w:hAnsi="Arial" w:cs="Arial"/>
          <w:sz w:val="22"/>
          <w:lang w:val="es-ES"/>
        </w:rPr>
        <w:t>en el SECOP II.</w:t>
      </w:r>
    </w:p>
    <w:p w14:paraId="0EA7BC04" w14:textId="77777777" w:rsidR="00A14A6F" w:rsidRPr="00292F1B" w:rsidRDefault="00A14A6F" w:rsidP="00A14A6F">
      <w:pPr>
        <w:spacing w:before="120" w:after="120" w:line="276" w:lineRule="auto"/>
        <w:ind w:firstLine="709"/>
        <w:jc w:val="both"/>
        <w:rPr>
          <w:rFonts w:ascii="Arial" w:eastAsia="Calibri" w:hAnsi="Arial" w:cs="Arial"/>
          <w:sz w:val="22"/>
          <w:lang w:val="es-ES"/>
        </w:rPr>
      </w:pPr>
      <w:r w:rsidRPr="00292F1B">
        <w:rPr>
          <w:rFonts w:ascii="Arial" w:eastAsia="Calibri" w:hAnsi="Arial" w:cs="Arial"/>
          <w:sz w:val="22"/>
          <w:lang w:val="es-ES"/>
        </w:rPr>
        <w:t>Ahora, en relación con las entidades descentralizadas del nivel municipal, el Anexo 1 de la Circular No. 1 de 2019 las excluyó del deber de publicar en el SECOP II, pues, al indicar las entidades de este nivel con obligación de publicar en esa plataforma, textualmente señaló que «</w:t>
      </w:r>
      <w:r w:rsidRPr="00292F1B">
        <w:rPr>
          <w:rFonts w:ascii="Arial" w:hAnsi="Arial" w:cs="Arial"/>
          <w:sz w:val="22"/>
        </w:rPr>
        <w:t xml:space="preserve">sólo incluye el sector central. No incluye entidades descentralizadas del respectivo nivel» y estableció </w:t>
      </w:r>
      <w:r w:rsidRPr="00292F1B">
        <w:rPr>
          <w:rFonts w:ascii="Arial" w:eastAsia="Calibri" w:hAnsi="Arial" w:cs="Arial"/>
          <w:sz w:val="22"/>
          <w:lang w:val="es-ES"/>
        </w:rPr>
        <w:t xml:space="preserve">la obligatoriedad del uso del SECOP II únicamente a las alcaldías capitales de departamentos. </w:t>
      </w:r>
    </w:p>
    <w:p w14:paraId="53E4909C" w14:textId="21493F5A" w:rsidR="00A14A6F" w:rsidRPr="00292F1B" w:rsidRDefault="00A14A6F" w:rsidP="00A14A6F">
      <w:pPr>
        <w:spacing w:line="276" w:lineRule="auto"/>
        <w:ind w:firstLine="709"/>
        <w:jc w:val="both"/>
        <w:rPr>
          <w:rFonts w:ascii="Arial" w:eastAsia="Calibri" w:hAnsi="Arial" w:cs="Arial"/>
          <w:sz w:val="22"/>
          <w:lang w:val="es-ES"/>
        </w:rPr>
      </w:pPr>
      <w:r w:rsidRPr="00292F1B">
        <w:rPr>
          <w:rFonts w:ascii="Arial" w:eastAsia="Calibri" w:hAnsi="Arial" w:cs="Arial"/>
          <w:sz w:val="22"/>
          <w:lang w:val="es-ES"/>
        </w:rPr>
        <w:t xml:space="preserve">Así las cosas, la Subdirección de Gestión Contractual concluye que, a la fecha, las entidades descentralizadas del nivel municipal no están obligadas a publicar sus procesos de contratación en el SECOP II, conforme a la salvedad que sobre el particular establece el Anexo 1 de la Circular Externa No. 1 de 2019.  Sin embargo, esta exclusión no relevará a las entidades descentralizadas del nivel municipal de continuar publicando sus procesos de contratación en la plataforma de SECOP I. </w:t>
      </w:r>
    </w:p>
    <w:p w14:paraId="42AE1382" w14:textId="2B2F36D2" w:rsidR="003B0A0C" w:rsidRPr="00292F1B" w:rsidRDefault="003B0A0C" w:rsidP="003B0A0C">
      <w:pPr>
        <w:spacing w:line="276" w:lineRule="auto"/>
        <w:jc w:val="both"/>
        <w:rPr>
          <w:rFonts w:ascii="Arial" w:eastAsia="Calibri" w:hAnsi="Arial" w:cs="Arial"/>
          <w:b/>
          <w:bCs/>
          <w:sz w:val="16"/>
          <w:szCs w:val="16"/>
          <w:lang w:val="es-ES"/>
        </w:rPr>
      </w:pPr>
    </w:p>
    <w:p w14:paraId="6B53B8C0" w14:textId="77777777" w:rsidR="003B0A0C" w:rsidRPr="00292F1B" w:rsidRDefault="003B0A0C" w:rsidP="003B0A0C">
      <w:pPr>
        <w:spacing w:line="276" w:lineRule="atLeast"/>
        <w:jc w:val="both"/>
        <w:rPr>
          <w:lang w:val="es-CO" w:eastAsia="es-ES_tradnl"/>
        </w:rPr>
      </w:pPr>
      <w:r w:rsidRPr="00292F1B">
        <w:rPr>
          <w:rFonts w:ascii="Arial" w:hAnsi="Arial" w:cs="Arial"/>
          <w:b/>
          <w:bCs/>
          <w:sz w:val="22"/>
          <w:lang w:val="es-ES" w:eastAsia="es-ES_tradnl"/>
        </w:rPr>
        <w:t>3. Respuesta</w:t>
      </w:r>
    </w:p>
    <w:p w14:paraId="05E398C9" w14:textId="77777777" w:rsidR="003B0A0C" w:rsidRPr="00292F1B" w:rsidRDefault="003B0A0C" w:rsidP="003B0A0C">
      <w:pPr>
        <w:spacing w:line="276" w:lineRule="atLeast"/>
        <w:jc w:val="both"/>
        <w:rPr>
          <w:lang w:eastAsia="es-ES_tradnl"/>
        </w:rPr>
      </w:pPr>
      <w:r w:rsidRPr="00292F1B">
        <w:rPr>
          <w:rFonts w:ascii="Arial" w:hAnsi="Arial" w:cs="Arial"/>
          <w:sz w:val="22"/>
          <w:lang w:val="es-ES" w:eastAsia="es-ES_tradnl"/>
        </w:rPr>
        <w:t> </w:t>
      </w:r>
    </w:p>
    <w:p w14:paraId="1B8E4F1C" w14:textId="3E242283" w:rsidR="000A3619" w:rsidRPr="00292F1B" w:rsidRDefault="00292F1B" w:rsidP="000A3619">
      <w:pPr>
        <w:spacing w:line="276" w:lineRule="auto"/>
        <w:ind w:left="709" w:right="709"/>
        <w:jc w:val="both"/>
        <w:textAlignment w:val="baseline"/>
        <w:rPr>
          <w:rFonts w:ascii="Arial" w:hAnsi="Arial" w:cs="Arial"/>
          <w:bCs/>
          <w:sz w:val="21"/>
          <w:szCs w:val="21"/>
          <w:lang w:eastAsia="es-ES_tradnl"/>
        </w:rPr>
      </w:pPr>
      <w:r w:rsidRPr="00292F1B">
        <w:rPr>
          <w:rFonts w:ascii="Arial" w:hAnsi="Arial" w:cs="Arial"/>
          <w:bCs/>
          <w:sz w:val="21"/>
          <w:szCs w:val="21"/>
          <w:lang w:eastAsia="es-ES_tradnl"/>
        </w:rPr>
        <w:t>«[…] ¿Las instituciones educativas de carácter oficial están obligadas a registrar en el SECOP II todas las compras y contratos de menor cuantía? […]»</w:t>
      </w:r>
    </w:p>
    <w:p w14:paraId="69F6DA5D" w14:textId="77777777" w:rsidR="00292F1B" w:rsidRPr="00292F1B" w:rsidRDefault="00292F1B" w:rsidP="000A3619">
      <w:pPr>
        <w:spacing w:line="276" w:lineRule="auto"/>
        <w:ind w:left="709" w:right="709"/>
        <w:jc w:val="both"/>
        <w:textAlignment w:val="baseline"/>
        <w:rPr>
          <w:rFonts w:ascii="Arial" w:hAnsi="Arial" w:cs="Arial"/>
          <w:sz w:val="21"/>
          <w:szCs w:val="21"/>
          <w:lang w:eastAsia="es-ES_tradnl"/>
        </w:rPr>
      </w:pPr>
    </w:p>
    <w:p w14:paraId="6D20226F" w14:textId="7EF69828" w:rsidR="000A3619" w:rsidRPr="00292F1B" w:rsidRDefault="000A3619" w:rsidP="000A3619">
      <w:pPr>
        <w:pStyle w:val="Textoindependiente"/>
        <w:spacing w:after="120" w:line="276" w:lineRule="auto"/>
        <w:ind w:right="49"/>
        <w:jc w:val="both"/>
      </w:pPr>
      <w:r w:rsidRPr="00292F1B">
        <w:t>Las instituciones educativas estatales deben publicar en el Sistema Electrónico de Contratación Pública –SECOP</w:t>
      </w:r>
      <w:r w:rsidR="00006304">
        <w:t>–</w:t>
      </w:r>
      <w:r w:rsidRPr="00292F1B">
        <w:t xml:space="preserve"> toda la actividad que se ejecute con carg</w:t>
      </w:r>
      <w:r w:rsidR="00006304">
        <w:t>o</w:t>
      </w:r>
      <w:r w:rsidRPr="00292F1B">
        <w:t xml:space="preserve"> a recursos públicos, independientemente del régimen de contratación con el que los ejecute, incluyendo aquellos documentos que surjan con ocasión de su actividad contractual</w:t>
      </w:r>
      <w:r w:rsidR="00006304">
        <w:t>,</w:t>
      </w:r>
      <w:r w:rsidRPr="00292F1B">
        <w:t xml:space="preserve"> cuya cuantía </w:t>
      </w:r>
      <w:r w:rsidR="00006304">
        <w:t>sea</w:t>
      </w:r>
      <w:r w:rsidR="00006304" w:rsidRPr="00292F1B">
        <w:t xml:space="preserve"> </w:t>
      </w:r>
      <w:r w:rsidRPr="00292F1B">
        <w:t>inferior a los veinte 20 SMLMV.</w:t>
      </w:r>
    </w:p>
    <w:p w14:paraId="653FEABC" w14:textId="051A3A1E" w:rsidR="003B0A0C" w:rsidRPr="00292F1B" w:rsidRDefault="003B0A0C" w:rsidP="000A3619">
      <w:pPr>
        <w:spacing w:after="120" w:line="276" w:lineRule="auto"/>
        <w:ind w:firstLine="705"/>
        <w:jc w:val="both"/>
        <w:textAlignment w:val="baseline"/>
        <w:rPr>
          <w:rFonts w:ascii="Arial" w:hAnsi="Arial" w:cs="Arial"/>
          <w:lang w:eastAsia="es-ES_tradnl"/>
        </w:rPr>
      </w:pPr>
      <w:r w:rsidRPr="00292F1B">
        <w:rPr>
          <w:rFonts w:ascii="Arial" w:hAnsi="Arial" w:cs="Arial"/>
          <w:sz w:val="22"/>
          <w:lang w:eastAsia="es-ES_tradnl"/>
        </w:rPr>
        <w:t>De conformidad con el Decreto 10</w:t>
      </w:r>
      <w:r w:rsidR="000A3619" w:rsidRPr="00292F1B">
        <w:rPr>
          <w:rFonts w:ascii="Arial" w:hAnsi="Arial" w:cs="Arial"/>
          <w:sz w:val="22"/>
          <w:lang w:eastAsia="es-ES_tradnl"/>
        </w:rPr>
        <w:t>81</w:t>
      </w:r>
      <w:r w:rsidRPr="00292F1B">
        <w:rPr>
          <w:rFonts w:ascii="Arial" w:hAnsi="Arial" w:cs="Arial"/>
          <w:sz w:val="22"/>
          <w:lang w:eastAsia="es-ES_tradnl"/>
        </w:rPr>
        <w:t xml:space="preserve"> de 2015 los documentos que deben publicar las entidades estatales, entre estas las instituciones educativas</w:t>
      </w:r>
      <w:r w:rsidR="000A3619" w:rsidRPr="00292F1B">
        <w:rPr>
          <w:rFonts w:ascii="Arial" w:hAnsi="Arial" w:cs="Arial"/>
          <w:sz w:val="22"/>
          <w:lang w:eastAsia="es-ES_tradnl"/>
        </w:rPr>
        <w:t>,</w:t>
      </w:r>
      <w:r w:rsidRPr="00292F1B">
        <w:rPr>
          <w:rFonts w:ascii="Arial" w:hAnsi="Arial" w:cs="Arial"/>
          <w:sz w:val="22"/>
          <w:lang w:eastAsia="es-ES_tradnl"/>
        </w:rPr>
        <w:t xml:space="preserve"> son: i) en relación con los procedimientos, lineamientos y políticas en materia de adquisición, se deberán publicar los documentos del procedimi</w:t>
      </w:r>
      <w:r w:rsidR="000C7584" w:rsidRPr="00292F1B">
        <w:rPr>
          <w:rFonts w:ascii="Arial" w:hAnsi="Arial" w:cs="Arial"/>
          <w:sz w:val="22"/>
          <w:lang w:eastAsia="es-ES_tradnl"/>
        </w:rPr>
        <w:t>e</w:t>
      </w:r>
      <w:r w:rsidRPr="00292F1B">
        <w:rPr>
          <w:rFonts w:ascii="Arial" w:hAnsi="Arial" w:cs="Arial"/>
          <w:sz w:val="22"/>
          <w:lang w:eastAsia="es-ES_tradnl"/>
        </w:rPr>
        <w:t>n</w:t>
      </w:r>
      <w:r w:rsidR="000C7584" w:rsidRPr="00292F1B">
        <w:rPr>
          <w:rFonts w:ascii="Arial" w:hAnsi="Arial" w:cs="Arial"/>
          <w:sz w:val="22"/>
          <w:lang w:eastAsia="es-ES_tradnl"/>
        </w:rPr>
        <w:t>t</w:t>
      </w:r>
      <w:r w:rsidRPr="00292F1B">
        <w:rPr>
          <w:rFonts w:ascii="Arial" w:hAnsi="Arial" w:cs="Arial"/>
          <w:sz w:val="22"/>
          <w:lang w:eastAsia="es-ES_tradnl"/>
        </w:rPr>
        <w:t>o contractual previstos en el manual de contratación de la entidad, ii) las autorizaciones, requerimientos, aprobaciones o informes del supervisor o del interventor, que prueben la ejecución del contrato, y finalmente, y iii) el plan anual de adquisiciones.  </w:t>
      </w:r>
    </w:p>
    <w:p w14:paraId="601D2728" w14:textId="5A344652" w:rsidR="003B0A0C" w:rsidRPr="00292F1B" w:rsidRDefault="003B0A0C" w:rsidP="00292F1B">
      <w:pPr>
        <w:spacing w:after="120" w:line="276" w:lineRule="auto"/>
        <w:ind w:firstLine="703"/>
        <w:jc w:val="both"/>
        <w:textAlignment w:val="baseline"/>
        <w:rPr>
          <w:rFonts w:ascii="Arial" w:hAnsi="Arial" w:cs="Arial"/>
          <w:sz w:val="22"/>
          <w:lang w:eastAsia="es-ES_tradnl"/>
        </w:rPr>
      </w:pPr>
      <w:r w:rsidRPr="00292F1B">
        <w:rPr>
          <w:rFonts w:ascii="Arial" w:hAnsi="Arial" w:cs="Arial"/>
          <w:sz w:val="22"/>
          <w:lang w:eastAsia="es-ES_tradnl"/>
        </w:rPr>
        <w:t>Frente al primer grupo de documentos, como estas entidades</w:t>
      </w:r>
      <w:r w:rsidR="00902EFE" w:rsidRPr="00292F1B">
        <w:rPr>
          <w:rFonts w:ascii="Arial" w:hAnsi="Arial" w:cs="Arial"/>
          <w:sz w:val="22"/>
          <w:lang w:eastAsia="es-ES_tradnl"/>
        </w:rPr>
        <w:t xml:space="preserve"> al contratar bienes, obras y servicios por debajo de los veinte (20) salarios mínimos legales mensuales vigentes,</w:t>
      </w:r>
      <w:r w:rsidRPr="00292F1B">
        <w:rPr>
          <w:rFonts w:ascii="Arial" w:hAnsi="Arial" w:cs="Arial"/>
          <w:sz w:val="22"/>
          <w:lang w:eastAsia="es-ES_tradnl"/>
        </w:rPr>
        <w:t xml:space="preserve"> </w:t>
      </w:r>
      <w:r w:rsidRPr="00292F1B">
        <w:rPr>
          <w:rFonts w:ascii="Arial" w:hAnsi="Arial" w:cs="Arial"/>
          <w:sz w:val="22"/>
          <w:lang w:eastAsia="es-ES_tradnl"/>
        </w:rPr>
        <w:lastRenderedPageBreak/>
        <w:t xml:space="preserve">no realizan sus procesos de contratación </w:t>
      </w:r>
      <w:r w:rsidR="00006304">
        <w:rPr>
          <w:rFonts w:ascii="Arial" w:hAnsi="Arial" w:cs="Arial"/>
          <w:sz w:val="22"/>
          <w:lang w:eastAsia="es-ES_tradnl"/>
        </w:rPr>
        <w:t>bajo</w:t>
      </w:r>
      <w:r w:rsidR="00006304" w:rsidRPr="00292F1B">
        <w:rPr>
          <w:rFonts w:ascii="Arial" w:hAnsi="Arial" w:cs="Arial"/>
          <w:sz w:val="22"/>
          <w:lang w:eastAsia="es-ES_tradnl"/>
        </w:rPr>
        <w:t xml:space="preserve"> </w:t>
      </w:r>
      <w:r w:rsidRPr="00292F1B">
        <w:rPr>
          <w:rFonts w:ascii="Arial" w:hAnsi="Arial" w:cs="Arial"/>
          <w:sz w:val="22"/>
          <w:lang w:eastAsia="es-ES_tradnl"/>
        </w:rPr>
        <w:t xml:space="preserve">las modalidades previstas en la Ley 80 de 1993, cada una definirá en </w:t>
      </w:r>
      <w:r w:rsidR="00902EFE" w:rsidRPr="00292F1B">
        <w:rPr>
          <w:rFonts w:ascii="Arial" w:hAnsi="Arial" w:cs="Arial"/>
          <w:sz w:val="22"/>
          <w:lang w:eastAsia="es-ES_tradnl"/>
        </w:rPr>
        <w:t>el reglamento al que se refiere el artículo 13 de la Ley 715 de 2001, los</w:t>
      </w:r>
      <w:r w:rsidRPr="00292F1B">
        <w:rPr>
          <w:rFonts w:ascii="Arial" w:hAnsi="Arial" w:cs="Arial"/>
          <w:sz w:val="22"/>
          <w:lang w:eastAsia="es-ES_tradnl"/>
        </w:rPr>
        <w:t xml:space="preserve"> procedimiento</w:t>
      </w:r>
      <w:r w:rsidR="00902EFE" w:rsidRPr="00292F1B">
        <w:rPr>
          <w:rFonts w:ascii="Arial" w:hAnsi="Arial" w:cs="Arial"/>
          <w:sz w:val="22"/>
          <w:lang w:eastAsia="es-ES_tradnl"/>
        </w:rPr>
        <w:t>s</w:t>
      </w:r>
      <w:r w:rsidRPr="00292F1B">
        <w:rPr>
          <w:rFonts w:ascii="Arial" w:hAnsi="Arial" w:cs="Arial"/>
          <w:sz w:val="22"/>
          <w:lang w:eastAsia="es-ES_tradnl"/>
        </w:rPr>
        <w:t xml:space="preserve"> para </w:t>
      </w:r>
      <w:r w:rsidR="00902EFE" w:rsidRPr="00292F1B">
        <w:rPr>
          <w:rFonts w:ascii="Arial" w:hAnsi="Arial" w:cs="Arial"/>
          <w:sz w:val="22"/>
          <w:lang w:eastAsia="es-ES_tradnl"/>
        </w:rPr>
        <w:t xml:space="preserve">esta </w:t>
      </w:r>
      <w:r w:rsidRPr="00292F1B">
        <w:rPr>
          <w:rFonts w:ascii="Arial" w:hAnsi="Arial" w:cs="Arial"/>
          <w:sz w:val="22"/>
          <w:lang w:eastAsia="es-ES_tradnl"/>
        </w:rPr>
        <w:t>contratación. En estos casos, el</w:t>
      </w:r>
      <w:r w:rsidR="00902EFE" w:rsidRPr="00292F1B">
        <w:rPr>
          <w:rFonts w:ascii="Arial" w:hAnsi="Arial" w:cs="Arial"/>
          <w:sz w:val="22"/>
          <w:lang w:eastAsia="es-ES_tradnl"/>
        </w:rPr>
        <w:t xml:space="preserve"> referido</w:t>
      </w:r>
      <w:r w:rsidRPr="00292F1B">
        <w:rPr>
          <w:rFonts w:ascii="Arial" w:hAnsi="Arial" w:cs="Arial"/>
          <w:sz w:val="22"/>
          <w:lang w:eastAsia="es-ES_tradnl"/>
        </w:rPr>
        <w:t xml:space="preserve"> </w:t>
      </w:r>
      <w:r w:rsidR="00902EFE" w:rsidRPr="00292F1B">
        <w:rPr>
          <w:rFonts w:ascii="Arial" w:hAnsi="Arial" w:cs="Arial"/>
          <w:sz w:val="22"/>
          <w:lang w:eastAsia="es-ES_tradnl"/>
        </w:rPr>
        <w:t>reglamento</w:t>
      </w:r>
      <w:r w:rsidRPr="00292F1B">
        <w:rPr>
          <w:rFonts w:ascii="Arial" w:hAnsi="Arial" w:cs="Arial"/>
          <w:sz w:val="22"/>
          <w:lang w:eastAsia="es-ES_tradnl"/>
        </w:rPr>
        <w:t xml:space="preserve"> definirá las etapas y los documentos que forman parte del procedimiento que realicen, y todos se publicarán en la plataforma del SECOP para cada procedimiento de contratación que se adelante, incluido el acto de adjudicación, por expresa disposición del literal g) del artículo 11 de la Ley 1712 de 2014.</w:t>
      </w:r>
    </w:p>
    <w:p w14:paraId="3A53E91D" w14:textId="227AA530" w:rsidR="00292F1B" w:rsidRPr="00292F1B" w:rsidRDefault="00292F1B" w:rsidP="00292F1B">
      <w:pPr>
        <w:spacing w:before="120" w:line="276" w:lineRule="auto"/>
        <w:ind w:firstLine="709"/>
        <w:jc w:val="both"/>
        <w:rPr>
          <w:rFonts w:ascii="Arial" w:eastAsia="Calibri" w:hAnsi="Arial" w:cs="Arial"/>
          <w:sz w:val="22"/>
          <w:lang w:val="es-ES"/>
        </w:rPr>
      </w:pPr>
      <w:r w:rsidRPr="00292F1B">
        <w:rPr>
          <w:rFonts w:ascii="Arial" w:hAnsi="Arial" w:cs="Arial"/>
          <w:sz w:val="22"/>
          <w:lang w:eastAsia="es-ES_tradnl"/>
        </w:rPr>
        <w:t xml:space="preserve">La publicación de estos documentos deberá realizarse en el SECOP I y no en el SECOP II, ya que de conformidad con la </w:t>
      </w:r>
      <w:r w:rsidRPr="00292F1B">
        <w:rPr>
          <w:rFonts w:ascii="Arial" w:eastAsia="Calibri" w:hAnsi="Arial" w:cs="Arial"/>
          <w:sz w:val="22"/>
          <w:lang w:val="es-ES"/>
        </w:rPr>
        <w:t xml:space="preserve">Circular No. 1 de 2019 expedida por esta entidad, la obligación de publicar en el SECOP II de las entidades del nivel territorial </w:t>
      </w:r>
      <w:r w:rsidRPr="00292F1B">
        <w:rPr>
          <w:rFonts w:ascii="Arial" w:hAnsi="Arial" w:cs="Arial"/>
          <w:sz w:val="22"/>
        </w:rPr>
        <w:t>s</w:t>
      </w:r>
      <w:r w:rsidR="00006304">
        <w:rPr>
          <w:rFonts w:ascii="Arial" w:hAnsi="Arial" w:cs="Arial"/>
          <w:sz w:val="22"/>
        </w:rPr>
        <w:t>o</w:t>
      </w:r>
      <w:r w:rsidRPr="00292F1B">
        <w:rPr>
          <w:rFonts w:ascii="Arial" w:hAnsi="Arial" w:cs="Arial"/>
          <w:sz w:val="22"/>
        </w:rPr>
        <w:t xml:space="preserve">lo se predica del sector central, excluyéndose con ello a las entidades descentralizadas del nivel municipal y departamental, como </w:t>
      </w:r>
      <w:r w:rsidR="00006304">
        <w:rPr>
          <w:rFonts w:ascii="Arial" w:hAnsi="Arial" w:cs="Arial"/>
          <w:sz w:val="22"/>
        </w:rPr>
        <w:t xml:space="preserve">son </w:t>
      </w:r>
      <w:r w:rsidRPr="00292F1B">
        <w:rPr>
          <w:rFonts w:ascii="Arial" w:hAnsi="Arial" w:cs="Arial"/>
          <w:sz w:val="22"/>
        </w:rPr>
        <w:t xml:space="preserve">las instituciones educativas oficiales. </w:t>
      </w:r>
      <w:r w:rsidRPr="00292F1B">
        <w:rPr>
          <w:rFonts w:ascii="Arial" w:eastAsia="Calibri" w:hAnsi="Arial" w:cs="Arial"/>
          <w:sz w:val="22"/>
          <w:lang w:val="es-ES"/>
        </w:rPr>
        <w:t xml:space="preserve"> </w:t>
      </w:r>
    </w:p>
    <w:p w14:paraId="591B4C03" w14:textId="77777777" w:rsidR="00292F1B" w:rsidRPr="00292F1B" w:rsidRDefault="00292F1B" w:rsidP="00292F1B">
      <w:pPr>
        <w:spacing w:line="276" w:lineRule="auto"/>
        <w:jc w:val="both"/>
        <w:rPr>
          <w:rFonts w:ascii="Arial" w:hAnsi="Arial" w:cs="Arial"/>
          <w:sz w:val="22"/>
        </w:rPr>
      </w:pPr>
    </w:p>
    <w:p w14:paraId="681CEB27" w14:textId="78E777BA" w:rsidR="003B0A0C" w:rsidRPr="00292F1B" w:rsidRDefault="000426EA" w:rsidP="000C7584">
      <w:pPr>
        <w:spacing w:before="120" w:after="120" w:line="276" w:lineRule="auto"/>
        <w:jc w:val="both"/>
        <w:rPr>
          <w:rFonts w:ascii="Arial" w:hAnsi="Arial" w:cs="Arial"/>
          <w:sz w:val="22"/>
        </w:rPr>
      </w:pPr>
      <w:r w:rsidRPr="00292F1B">
        <w:rPr>
          <w:noProof/>
          <w:lang w:val="en-US"/>
        </w:rPr>
        <w:drawing>
          <wp:anchor distT="0" distB="0" distL="114300" distR="114300" simplePos="0" relativeHeight="251659264" behindDoc="0" locked="0" layoutInCell="1" allowOverlap="1" wp14:anchorId="56D03A37" wp14:editId="62E9172D">
            <wp:simplePos x="0" y="0"/>
            <wp:positionH relativeFrom="margin">
              <wp:align>center</wp:align>
            </wp:positionH>
            <wp:positionV relativeFrom="paragraph">
              <wp:posOffset>477732</wp:posOffset>
            </wp:positionV>
            <wp:extent cx="3027680" cy="1730375"/>
            <wp:effectExtent l="0" t="0" r="1270" b="317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27680" cy="1730375"/>
                    </a:xfrm>
                    <a:prstGeom prst="rect">
                      <a:avLst/>
                    </a:prstGeom>
                  </pic:spPr>
                </pic:pic>
              </a:graphicData>
            </a:graphic>
            <wp14:sizeRelH relativeFrom="page">
              <wp14:pctWidth>0</wp14:pctWidth>
            </wp14:sizeRelH>
            <wp14:sizeRelV relativeFrom="page">
              <wp14:pctHeight>0</wp14:pctHeight>
            </wp14:sizeRelV>
          </wp:anchor>
        </w:drawing>
      </w:r>
      <w:r w:rsidR="003B0A0C" w:rsidRPr="00292F1B">
        <w:rPr>
          <w:rFonts w:ascii="Arial" w:hAnsi="Arial" w:cs="Arial"/>
          <w:sz w:val="22"/>
        </w:rPr>
        <w:t>Este concepto tiene el alcance previsto en el artículo 28 del Código de Procedimiento Administrativo y de lo Contencioso Administrativo.</w:t>
      </w:r>
    </w:p>
    <w:p w14:paraId="33D41A54" w14:textId="4B4E23CF" w:rsidR="00BE3D8E" w:rsidRPr="00292F1B" w:rsidRDefault="00BE3D8E" w:rsidP="000C7584">
      <w:pPr>
        <w:spacing w:before="120" w:after="120" w:line="276" w:lineRule="auto"/>
        <w:jc w:val="both"/>
        <w:rPr>
          <w:rFonts w:ascii="Arial" w:hAnsi="Arial" w:cs="Arial"/>
          <w:sz w:val="22"/>
        </w:rPr>
      </w:pPr>
    </w:p>
    <w:p w14:paraId="5B733DF4" w14:textId="7BBF6736" w:rsidR="00330A5A" w:rsidRPr="00292F1B" w:rsidRDefault="00330A5A" w:rsidP="00330A5A">
      <w:pPr>
        <w:spacing w:before="120" w:after="120" w:line="276" w:lineRule="auto"/>
        <w:rPr>
          <w:rFonts w:ascii="Arial" w:eastAsia="Times New Roman" w:hAnsi="Arial" w:cs="Arial"/>
          <w:sz w:val="22"/>
          <w:lang w:eastAsia="es-CO"/>
        </w:rPr>
      </w:pPr>
      <w:r w:rsidRPr="00292F1B">
        <w:rPr>
          <w:rFonts w:ascii="Arial" w:eastAsia="Times New Roman" w:hAnsi="Arial" w:cs="Arial"/>
          <w:sz w:val="22"/>
          <w:lang w:eastAsia="es-CO"/>
        </w:rPr>
        <w:t>Atentamente,</w:t>
      </w:r>
    </w:p>
    <w:p w14:paraId="6F1C96D9" w14:textId="6CA469FE" w:rsidR="00330A5A" w:rsidRPr="00292F1B" w:rsidRDefault="00330A5A" w:rsidP="00330A5A">
      <w:pPr>
        <w:spacing w:before="120" w:after="120" w:line="276" w:lineRule="auto"/>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92F1B" w:rsidRPr="00292F1B" w14:paraId="236B78C3" w14:textId="77777777" w:rsidTr="00533FD8">
        <w:trPr>
          <w:trHeight w:val="315"/>
        </w:trPr>
        <w:tc>
          <w:tcPr>
            <w:tcW w:w="812" w:type="dxa"/>
            <w:vAlign w:val="center"/>
            <w:hideMark/>
          </w:tcPr>
          <w:p w14:paraId="36D40189" w14:textId="77777777" w:rsidR="00330A5A" w:rsidRPr="00292F1B" w:rsidRDefault="00330A5A" w:rsidP="00533FD8">
            <w:pPr>
              <w:spacing w:before="120" w:after="120"/>
              <w:rPr>
                <w:rFonts w:ascii="Arial" w:eastAsia="Times New Roman" w:hAnsi="Arial" w:cs="Arial"/>
                <w:sz w:val="16"/>
                <w:szCs w:val="16"/>
                <w:lang w:eastAsia="es-ES"/>
              </w:rPr>
            </w:pPr>
            <w:r w:rsidRPr="00292F1B">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E4BC499" w14:textId="39E737A0" w:rsidR="00330A5A" w:rsidRPr="00292F1B" w:rsidRDefault="0010548D" w:rsidP="00533FD8">
            <w:pPr>
              <w:rPr>
                <w:rFonts w:ascii="Arial" w:eastAsia="Times New Roman" w:hAnsi="Arial" w:cs="Arial"/>
                <w:sz w:val="16"/>
                <w:szCs w:val="16"/>
                <w:lang w:eastAsia="es-ES"/>
              </w:rPr>
            </w:pPr>
            <w:r w:rsidRPr="00292F1B">
              <w:rPr>
                <w:rFonts w:ascii="Arial" w:eastAsia="Times New Roman" w:hAnsi="Arial" w:cs="Arial"/>
                <w:sz w:val="16"/>
                <w:szCs w:val="16"/>
                <w:lang w:eastAsia="es-ES"/>
              </w:rPr>
              <w:t>Alejandro Sarmiento Cantillo</w:t>
            </w:r>
          </w:p>
          <w:p w14:paraId="3BC22E00" w14:textId="55688751" w:rsidR="00330A5A" w:rsidRPr="00292F1B" w:rsidRDefault="00330A5A" w:rsidP="00533FD8">
            <w:pPr>
              <w:rPr>
                <w:rFonts w:ascii="Arial" w:eastAsia="Times New Roman" w:hAnsi="Arial" w:cs="Arial"/>
                <w:sz w:val="16"/>
                <w:szCs w:val="16"/>
                <w:lang w:eastAsia="es-ES"/>
              </w:rPr>
            </w:pPr>
            <w:r w:rsidRPr="00292F1B">
              <w:rPr>
                <w:rFonts w:ascii="Arial" w:eastAsia="Times New Roman" w:hAnsi="Arial" w:cs="Arial"/>
                <w:sz w:val="16"/>
                <w:szCs w:val="16"/>
                <w:lang w:eastAsia="es-ES"/>
              </w:rPr>
              <w:t xml:space="preserve">Contratista </w:t>
            </w:r>
            <w:r w:rsidR="0010548D" w:rsidRPr="00292F1B">
              <w:rPr>
                <w:rFonts w:ascii="Arial" w:eastAsia="Times New Roman" w:hAnsi="Arial" w:cs="Arial"/>
                <w:sz w:val="16"/>
                <w:szCs w:val="16"/>
                <w:lang w:eastAsia="es-ES"/>
              </w:rPr>
              <w:t>– Subdirección de Gestión Contractual</w:t>
            </w:r>
          </w:p>
        </w:tc>
      </w:tr>
      <w:tr w:rsidR="00292F1B" w:rsidRPr="00292F1B" w14:paraId="66E40071" w14:textId="77777777" w:rsidTr="00533FD8">
        <w:trPr>
          <w:trHeight w:val="330"/>
        </w:trPr>
        <w:tc>
          <w:tcPr>
            <w:tcW w:w="812" w:type="dxa"/>
            <w:vAlign w:val="center"/>
            <w:hideMark/>
          </w:tcPr>
          <w:p w14:paraId="6D04A49B" w14:textId="77777777" w:rsidR="00330A5A" w:rsidRPr="00292F1B" w:rsidRDefault="00330A5A" w:rsidP="00533FD8">
            <w:pPr>
              <w:rPr>
                <w:rFonts w:ascii="Arial" w:eastAsia="Times New Roman" w:hAnsi="Arial" w:cs="Arial"/>
                <w:sz w:val="16"/>
                <w:szCs w:val="16"/>
                <w:lang w:eastAsia="es-ES"/>
              </w:rPr>
            </w:pPr>
            <w:r w:rsidRPr="00292F1B">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62BD15B" w14:textId="561FDD68" w:rsidR="00330A5A" w:rsidRPr="00292F1B" w:rsidRDefault="00253423" w:rsidP="00533FD8">
            <w:pPr>
              <w:rPr>
                <w:rFonts w:ascii="Arial" w:eastAsia="Times New Roman" w:hAnsi="Arial" w:cs="Arial"/>
                <w:sz w:val="16"/>
                <w:szCs w:val="16"/>
                <w:lang w:eastAsia="es-ES"/>
              </w:rPr>
            </w:pPr>
            <w:r>
              <w:rPr>
                <w:rFonts w:ascii="Arial" w:eastAsia="Times New Roman" w:hAnsi="Arial" w:cs="Arial"/>
                <w:sz w:val="16"/>
                <w:szCs w:val="16"/>
                <w:lang w:eastAsia="es-ES"/>
              </w:rPr>
              <w:t>Sebastián Ramírez Grisales</w:t>
            </w:r>
          </w:p>
          <w:p w14:paraId="3A0B846C" w14:textId="1D94372D" w:rsidR="00330A5A" w:rsidRPr="00292F1B" w:rsidRDefault="0010548D" w:rsidP="00533FD8">
            <w:pPr>
              <w:rPr>
                <w:rFonts w:ascii="Arial" w:eastAsia="Times New Roman" w:hAnsi="Arial" w:cs="Arial"/>
                <w:sz w:val="16"/>
                <w:szCs w:val="16"/>
                <w:lang w:eastAsia="es-ES"/>
              </w:rPr>
            </w:pPr>
            <w:r w:rsidRPr="00292F1B">
              <w:rPr>
                <w:rFonts w:ascii="Arial" w:eastAsia="Times New Roman" w:hAnsi="Arial" w:cs="Arial"/>
                <w:sz w:val="16"/>
                <w:szCs w:val="16"/>
                <w:lang w:eastAsia="es-ES"/>
              </w:rPr>
              <w:t>Contratista – Subdirección de Gestión Contractual</w:t>
            </w:r>
          </w:p>
        </w:tc>
      </w:tr>
      <w:tr w:rsidR="0010548D" w:rsidRPr="00292F1B" w14:paraId="796E6BD0" w14:textId="77777777" w:rsidTr="00533FD8">
        <w:trPr>
          <w:trHeight w:val="300"/>
        </w:trPr>
        <w:tc>
          <w:tcPr>
            <w:tcW w:w="812" w:type="dxa"/>
            <w:vAlign w:val="center"/>
            <w:hideMark/>
          </w:tcPr>
          <w:p w14:paraId="53F1EDC1" w14:textId="77777777" w:rsidR="00330A5A" w:rsidRPr="00292F1B" w:rsidRDefault="00330A5A" w:rsidP="00533FD8">
            <w:pPr>
              <w:spacing w:before="120" w:after="120"/>
              <w:rPr>
                <w:rFonts w:ascii="Arial" w:eastAsia="Times New Roman" w:hAnsi="Arial" w:cs="Arial"/>
                <w:sz w:val="16"/>
                <w:szCs w:val="16"/>
                <w:lang w:eastAsia="es-ES"/>
              </w:rPr>
            </w:pPr>
            <w:r w:rsidRPr="00292F1B">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3AE4E0" w14:textId="346B520C" w:rsidR="00330A5A" w:rsidRPr="00292F1B" w:rsidRDefault="00330A5A" w:rsidP="00533FD8">
            <w:pPr>
              <w:rPr>
                <w:rFonts w:ascii="Arial" w:eastAsia="Times New Roman" w:hAnsi="Arial" w:cs="Arial"/>
                <w:sz w:val="16"/>
                <w:szCs w:val="16"/>
                <w:lang w:eastAsia="es-ES"/>
              </w:rPr>
            </w:pPr>
            <w:r w:rsidRPr="00292F1B">
              <w:rPr>
                <w:rFonts w:ascii="Arial" w:eastAsia="Times New Roman" w:hAnsi="Arial" w:cs="Arial"/>
                <w:sz w:val="16"/>
                <w:szCs w:val="16"/>
                <w:lang w:eastAsia="es-ES"/>
              </w:rPr>
              <w:t>Fabián Gonzalo Marín Cort</w:t>
            </w:r>
            <w:r w:rsidR="00E82B30" w:rsidRPr="00292F1B">
              <w:rPr>
                <w:rFonts w:ascii="Arial" w:eastAsia="Times New Roman" w:hAnsi="Arial" w:cs="Arial"/>
                <w:sz w:val="16"/>
                <w:szCs w:val="16"/>
                <w:lang w:eastAsia="es-ES"/>
              </w:rPr>
              <w:t>és</w:t>
            </w:r>
          </w:p>
          <w:p w14:paraId="056B1E1A" w14:textId="44394086" w:rsidR="00330A5A" w:rsidRPr="00292F1B" w:rsidRDefault="00330A5A" w:rsidP="00533FD8">
            <w:pPr>
              <w:rPr>
                <w:rFonts w:ascii="Arial" w:eastAsia="Times New Roman" w:hAnsi="Arial" w:cs="Arial"/>
                <w:sz w:val="16"/>
                <w:szCs w:val="16"/>
                <w:lang w:eastAsia="es-ES"/>
              </w:rPr>
            </w:pPr>
            <w:r w:rsidRPr="00292F1B">
              <w:rPr>
                <w:rFonts w:ascii="Arial" w:eastAsia="Times New Roman" w:hAnsi="Arial" w:cs="Arial"/>
                <w:sz w:val="16"/>
                <w:szCs w:val="16"/>
                <w:lang w:eastAsia="es-ES"/>
              </w:rPr>
              <w:t>Subdirector de Gestión Contractual</w:t>
            </w:r>
          </w:p>
        </w:tc>
      </w:tr>
    </w:tbl>
    <w:p w14:paraId="028CA27E" w14:textId="7654213E" w:rsidR="00044E28" w:rsidRPr="00292F1B" w:rsidRDefault="00044E28"/>
    <w:sectPr w:rsidR="00044E28" w:rsidRPr="00292F1B">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90223" w14:textId="77777777" w:rsidR="00401A92" w:rsidRDefault="00401A92" w:rsidP="00044E28">
      <w:r>
        <w:separator/>
      </w:r>
    </w:p>
  </w:endnote>
  <w:endnote w:type="continuationSeparator" w:id="0">
    <w:p w14:paraId="6E8D6545" w14:textId="77777777" w:rsidR="00401A92" w:rsidRDefault="00401A92" w:rsidP="0004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C14ED" w14:textId="77777777" w:rsidR="004026EC" w:rsidRDefault="004026EC" w:rsidP="004026EC">
    <w:pPr>
      <w:pStyle w:val="Sinespaciado"/>
      <w:jc w:val="right"/>
      <w:rPr>
        <w:rFonts w:ascii="Arial" w:hAnsi="Arial" w:cs="Arial"/>
        <w:sz w:val="18"/>
        <w:szCs w:val="18"/>
      </w:rPr>
    </w:pPr>
  </w:p>
  <w:p w14:paraId="33BBBEEF" w14:textId="6CA884C1" w:rsidR="004026EC" w:rsidRPr="008217B7" w:rsidRDefault="004026EC" w:rsidP="004026E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EB2E61">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EB2E61">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p>
  <w:p w14:paraId="4498B3F6" w14:textId="023203C2" w:rsidR="004026EC" w:rsidRDefault="004026EC" w:rsidP="004026EC">
    <w:pPr>
      <w:pStyle w:val="Piedepgina"/>
      <w:jc w:val="center"/>
      <w:rPr>
        <w:lang w:val="es-ES"/>
      </w:rPr>
    </w:pPr>
    <w:r>
      <w:rPr>
        <w:noProof/>
        <w:lang w:val="en-US"/>
      </w:rPr>
      <w:drawing>
        <wp:inline distT="0" distB="0" distL="0" distR="0" wp14:anchorId="57E2ABCA" wp14:editId="2DE55830">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3C6E006" w14:textId="77777777" w:rsidR="00BE3D8E" w:rsidRPr="00BE3D8E" w:rsidRDefault="00BE3D8E" w:rsidP="004026EC">
    <w:pPr>
      <w:pStyle w:val="Piedepgina"/>
      <w:jc w:val="center"/>
      <w:rPr>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16533" w14:textId="77777777" w:rsidR="00401A92" w:rsidRDefault="00401A92" w:rsidP="00044E28">
      <w:r>
        <w:separator/>
      </w:r>
    </w:p>
  </w:footnote>
  <w:footnote w:type="continuationSeparator" w:id="0">
    <w:p w14:paraId="696382C9" w14:textId="77777777" w:rsidR="00401A92" w:rsidRDefault="00401A92" w:rsidP="00044E28">
      <w:r>
        <w:continuationSeparator/>
      </w:r>
    </w:p>
  </w:footnote>
  <w:footnote w:id="1">
    <w:p w14:paraId="568DBC16" w14:textId="63DEA23B" w:rsidR="00044E28" w:rsidRPr="00011E77" w:rsidRDefault="00044E28" w:rsidP="00044E28">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Ley 60 de 1993: </w:t>
      </w:r>
      <w:r w:rsidR="00011E77">
        <w:rPr>
          <w:rFonts w:ascii="Arial" w:hAnsi="Arial" w:cs="Arial"/>
          <w:color w:val="000000" w:themeColor="text1"/>
          <w:sz w:val="19"/>
          <w:szCs w:val="19"/>
        </w:rPr>
        <w:t>«</w:t>
      </w:r>
      <w:r w:rsidRPr="00011E77">
        <w:rPr>
          <w:rFonts w:ascii="Arial" w:hAnsi="Arial" w:cs="Arial"/>
          <w:color w:val="000000" w:themeColor="text1"/>
          <w:sz w:val="19"/>
          <w:szCs w:val="19"/>
        </w:rPr>
        <w:t xml:space="preserve">Artículo 2. Competencias de los Municipios. Corresponde a los Municipios, a través de las dependencias de su organización central o de las entidades descentralizadas municipales competentes, en su carácter de entidades ejecutoras principales de las acciones en materia social, dirigir, prestar o participar en la prestación de los servicios directamente, conforme a la ley, a las normas técnicas de carácter nacional, a las ordenanzas y a los respectivos acuerdos municipales. </w:t>
      </w:r>
    </w:p>
    <w:p w14:paraId="1675846B" w14:textId="6F69109C" w:rsidR="00044E28" w:rsidRPr="00011E77" w:rsidRDefault="00011E77" w:rsidP="00011E77">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044E28" w:rsidRPr="00011E77">
        <w:rPr>
          <w:rFonts w:ascii="Arial" w:hAnsi="Arial" w:cs="Arial"/>
          <w:color w:val="000000" w:themeColor="text1"/>
          <w:sz w:val="19"/>
          <w:szCs w:val="19"/>
        </w:rPr>
        <w:t>…</w:t>
      </w:r>
      <w:r>
        <w:rPr>
          <w:rFonts w:ascii="Arial" w:hAnsi="Arial" w:cs="Arial"/>
          <w:color w:val="000000" w:themeColor="text1"/>
          <w:sz w:val="19"/>
          <w:szCs w:val="19"/>
        </w:rPr>
        <w:t>]</w:t>
      </w:r>
    </w:p>
    <w:p w14:paraId="1836C300" w14:textId="5796D742" w:rsidR="00044E28" w:rsidRPr="00011E77" w:rsidRDefault="00011E77" w:rsidP="00011E77">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044E28" w:rsidRPr="00011E77">
        <w:rPr>
          <w:rFonts w:ascii="Arial" w:hAnsi="Arial" w:cs="Arial"/>
          <w:color w:val="000000" w:themeColor="text1"/>
          <w:sz w:val="19"/>
          <w:szCs w:val="19"/>
        </w:rPr>
        <w:t xml:space="preserve">Artículo 3. Competencias de los departamentos. Corresponde a los departamentos, a través de las dependencias de su organización central o de las entidades descentralizadas departamentales competentes, conforme a la Constitución Política, la ley, a las normas técnicas nacionales y a las respectivas ordenanzas. </w:t>
      </w:r>
    </w:p>
    <w:p w14:paraId="07E38F0D" w14:textId="7465BB7A" w:rsidR="00044E28" w:rsidRPr="00011E77" w:rsidRDefault="00011E77" w:rsidP="00011E77">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044E28" w:rsidRPr="00011E77">
        <w:rPr>
          <w:rFonts w:ascii="Arial" w:hAnsi="Arial" w:cs="Arial"/>
          <w:color w:val="000000" w:themeColor="text1"/>
          <w:sz w:val="19"/>
          <w:szCs w:val="19"/>
        </w:rPr>
        <w:t>…</w:t>
      </w:r>
      <w:r>
        <w:rPr>
          <w:rFonts w:ascii="Arial" w:hAnsi="Arial" w:cs="Arial"/>
          <w:color w:val="000000" w:themeColor="text1"/>
          <w:sz w:val="19"/>
          <w:szCs w:val="19"/>
        </w:rPr>
        <w:t>]</w:t>
      </w:r>
    </w:p>
    <w:p w14:paraId="7E8593FD" w14:textId="0F70378F" w:rsidR="00044E28" w:rsidRPr="00011E77" w:rsidRDefault="00011E77" w:rsidP="00011E77">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044E28" w:rsidRPr="00011E77">
        <w:rPr>
          <w:rFonts w:ascii="Arial" w:hAnsi="Arial" w:cs="Arial"/>
          <w:color w:val="000000" w:themeColor="text1"/>
          <w:sz w:val="19"/>
          <w:szCs w:val="19"/>
        </w:rPr>
        <w:t>Artículo 4. Competencias de los distritos. Corresponde a los distritos, a través de las dependencias de su organización central o de las entidades descentralizadas competentes, conforme a la Ley, a las normas técnicas nacionales y a los respectivos acuerdos</w:t>
      </w:r>
      <w:r>
        <w:rPr>
          <w:rFonts w:ascii="Arial" w:hAnsi="Arial" w:cs="Arial"/>
          <w:color w:val="000000" w:themeColor="text1"/>
          <w:sz w:val="19"/>
          <w:szCs w:val="19"/>
        </w:rPr>
        <w:t>»</w:t>
      </w:r>
      <w:r w:rsidR="00044E28" w:rsidRPr="00011E77">
        <w:rPr>
          <w:rFonts w:ascii="Arial" w:hAnsi="Arial" w:cs="Arial"/>
          <w:color w:val="000000" w:themeColor="text1"/>
          <w:sz w:val="19"/>
          <w:szCs w:val="19"/>
        </w:rPr>
        <w:t xml:space="preserve">. </w:t>
      </w:r>
    </w:p>
    <w:p w14:paraId="2E62C3E2" w14:textId="7DD6368C" w:rsidR="00044E28" w:rsidRPr="00011E77" w:rsidRDefault="00044E28" w:rsidP="00011E77">
      <w:pPr>
        <w:pStyle w:val="Textonotapie"/>
        <w:ind w:firstLine="708"/>
        <w:jc w:val="both"/>
        <w:rPr>
          <w:rFonts w:ascii="Arial" w:hAnsi="Arial" w:cs="Arial"/>
          <w:color w:val="000000" w:themeColor="text1"/>
          <w:sz w:val="19"/>
          <w:szCs w:val="19"/>
        </w:rPr>
      </w:pPr>
      <w:r w:rsidRPr="00011E77">
        <w:rPr>
          <w:rFonts w:ascii="Arial" w:hAnsi="Arial" w:cs="Arial"/>
          <w:color w:val="000000" w:themeColor="text1"/>
          <w:sz w:val="19"/>
          <w:szCs w:val="19"/>
        </w:rPr>
        <w:t xml:space="preserve">Ley 715 de 2005: </w:t>
      </w:r>
      <w:r w:rsidR="00011E77">
        <w:rPr>
          <w:rFonts w:ascii="Arial" w:hAnsi="Arial" w:cs="Arial"/>
          <w:color w:val="000000" w:themeColor="text1"/>
          <w:sz w:val="19"/>
          <w:szCs w:val="19"/>
        </w:rPr>
        <w:t>«</w:t>
      </w:r>
      <w:r w:rsidRPr="00011E77">
        <w:rPr>
          <w:rFonts w:ascii="Arial" w:hAnsi="Arial" w:cs="Arial"/>
          <w:color w:val="000000" w:themeColor="text1"/>
          <w:sz w:val="19"/>
          <w:szCs w:val="19"/>
        </w:rPr>
        <w:t>Artículo 9. (…) Las instituciones educativas estatales son departamentales, distritales o municipales</w:t>
      </w:r>
      <w:r w:rsidR="00011E77">
        <w:rPr>
          <w:rFonts w:ascii="Arial" w:hAnsi="Arial" w:cs="Arial"/>
          <w:color w:val="000000" w:themeColor="text1"/>
          <w:sz w:val="18"/>
          <w:szCs w:val="18"/>
        </w:rPr>
        <w:t>»</w:t>
      </w:r>
      <w:r w:rsidRPr="00011E77">
        <w:rPr>
          <w:rFonts w:ascii="Arial" w:hAnsi="Arial" w:cs="Arial"/>
          <w:color w:val="000000" w:themeColor="text1"/>
          <w:sz w:val="19"/>
          <w:szCs w:val="19"/>
        </w:rPr>
        <w:t xml:space="preserve">. </w:t>
      </w:r>
    </w:p>
    <w:p w14:paraId="1E01911E" w14:textId="77777777" w:rsidR="00044E28" w:rsidRPr="00011E77" w:rsidRDefault="00044E28" w:rsidP="00044E28">
      <w:pPr>
        <w:pStyle w:val="Textonotapie"/>
        <w:ind w:firstLine="708"/>
        <w:jc w:val="both"/>
        <w:rPr>
          <w:rFonts w:ascii="Arial" w:hAnsi="Arial" w:cs="Arial"/>
          <w:color w:val="000000" w:themeColor="text1"/>
          <w:sz w:val="19"/>
          <w:szCs w:val="19"/>
        </w:rPr>
      </w:pPr>
    </w:p>
  </w:footnote>
  <w:footnote w:id="2">
    <w:p w14:paraId="3D28E179" w14:textId="1EDC110D" w:rsidR="00044E28" w:rsidRPr="00011E77" w:rsidRDefault="00044E28" w:rsidP="00044E28">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w:t>
      </w:r>
      <w:r w:rsidR="003B0A0C" w:rsidRPr="00011E77">
        <w:rPr>
          <w:rFonts w:ascii="Arial" w:hAnsi="Arial" w:cs="Arial"/>
          <w:color w:val="000000" w:themeColor="text1"/>
          <w:sz w:val="19"/>
          <w:szCs w:val="19"/>
        </w:rPr>
        <w:t>«</w:t>
      </w:r>
      <w:r w:rsidRPr="00011E77">
        <w:rPr>
          <w:rFonts w:ascii="Arial" w:hAnsi="Arial" w:cs="Arial"/>
          <w:color w:val="000000" w:themeColor="text1"/>
          <w:sz w:val="19"/>
          <w:szCs w:val="19"/>
        </w:rPr>
        <w:t>Artículo 11. Fondos De Servicios Educativos. Las instituciones educativas estatales podrán administrar Fondos de Servicios Educativos en los cuales se manejarán los recursos destinados a financiar gastos distintos a los de personal, que faciliten el funcionamiento de la institución</w:t>
      </w:r>
      <w:r w:rsidR="003B0A0C" w:rsidRPr="00011E77">
        <w:rPr>
          <w:rFonts w:ascii="Arial" w:hAnsi="Arial" w:cs="Arial"/>
          <w:color w:val="000000" w:themeColor="text1"/>
          <w:sz w:val="19"/>
          <w:szCs w:val="19"/>
        </w:rPr>
        <w:t>»</w:t>
      </w:r>
      <w:r w:rsidRPr="00011E77">
        <w:rPr>
          <w:rFonts w:ascii="Arial" w:hAnsi="Arial" w:cs="Arial"/>
          <w:color w:val="000000" w:themeColor="text1"/>
          <w:sz w:val="19"/>
          <w:szCs w:val="19"/>
        </w:rPr>
        <w:t>.</w:t>
      </w:r>
    </w:p>
    <w:p w14:paraId="645EB3EC" w14:textId="77777777" w:rsidR="00044E28" w:rsidRPr="00011E77" w:rsidRDefault="00044E28" w:rsidP="00044E28">
      <w:pPr>
        <w:pStyle w:val="Textonotapie"/>
        <w:jc w:val="both"/>
        <w:rPr>
          <w:rFonts w:ascii="Arial" w:hAnsi="Arial" w:cs="Arial"/>
          <w:color w:val="000000" w:themeColor="text1"/>
          <w:sz w:val="19"/>
          <w:szCs w:val="19"/>
        </w:rPr>
      </w:pPr>
    </w:p>
  </w:footnote>
  <w:footnote w:id="3">
    <w:p w14:paraId="20296431" w14:textId="19F9D56E" w:rsidR="00044E28" w:rsidRPr="00011E77" w:rsidRDefault="00044E28" w:rsidP="00044E28">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Style w:val="Refdenotaalpie"/>
          <w:rFonts w:ascii="Arial" w:hAnsi="Arial" w:cs="Arial"/>
          <w:color w:val="000000" w:themeColor="text1"/>
          <w:sz w:val="19"/>
          <w:szCs w:val="19"/>
        </w:rPr>
        <w:t xml:space="preserve"> </w:t>
      </w:r>
      <w:r w:rsidRPr="00011E77">
        <w:rPr>
          <w:rFonts w:ascii="Arial" w:hAnsi="Arial" w:cs="Arial"/>
          <w:color w:val="000000" w:themeColor="text1"/>
          <w:sz w:val="19"/>
          <w:szCs w:val="19"/>
        </w:rPr>
        <w:t>Consejo de Estado. Sección Tercera</w:t>
      </w:r>
      <w:r w:rsidR="003B0A0C" w:rsidRPr="00011E77">
        <w:rPr>
          <w:rFonts w:ascii="Arial" w:hAnsi="Arial" w:cs="Arial"/>
          <w:color w:val="000000" w:themeColor="text1"/>
          <w:sz w:val="19"/>
          <w:szCs w:val="19"/>
        </w:rPr>
        <w:t xml:space="preserve"> Subsección A</w:t>
      </w:r>
      <w:r w:rsidRPr="00011E77">
        <w:rPr>
          <w:rFonts w:ascii="Arial" w:hAnsi="Arial" w:cs="Arial"/>
          <w:color w:val="000000" w:themeColor="text1"/>
          <w:sz w:val="19"/>
          <w:szCs w:val="19"/>
        </w:rPr>
        <w:t>.</w:t>
      </w:r>
      <w:r w:rsidR="005C40E9">
        <w:rPr>
          <w:rFonts w:ascii="Arial" w:hAnsi="Arial" w:cs="Arial"/>
          <w:color w:val="000000" w:themeColor="text1"/>
          <w:sz w:val="19"/>
          <w:szCs w:val="19"/>
        </w:rPr>
        <w:t xml:space="preserve"> Sentencia del 12 de octubre de 2017.</w:t>
      </w:r>
      <w:r w:rsidRPr="00011E77">
        <w:rPr>
          <w:rFonts w:ascii="Arial" w:hAnsi="Arial" w:cs="Arial"/>
          <w:color w:val="000000" w:themeColor="text1"/>
          <w:sz w:val="19"/>
          <w:szCs w:val="19"/>
        </w:rPr>
        <w:t xml:space="preserve"> Consejera Ponente: Marta Nubia Velásquez Rico. Radicación número: 68001-23-31-000-2005-03845-01(51.634).</w:t>
      </w:r>
    </w:p>
    <w:p w14:paraId="6EF55E26" w14:textId="77777777" w:rsidR="00044E28" w:rsidRPr="00011E77" w:rsidRDefault="00044E28" w:rsidP="00044E28">
      <w:pPr>
        <w:pStyle w:val="Textonotapie"/>
        <w:jc w:val="both"/>
        <w:rPr>
          <w:rFonts w:ascii="Arial" w:hAnsi="Arial" w:cs="Arial"/>
          <w:color w:val="000000" w:themeColor="text1"/>
          <w:sz w:val="19"/>
          <w:szCs w:val="19"/>
        </w:rPr>
      </w:pPr>
    </w:p>
  </w:footnote>
  <w:footnote w:id="4">
    <w:p w14:paraId="5629DA67" w14:textId="57D5C0E9" w:rsidR="00044E28" w:rsidRPr="00011E77" w:rsidRDefault="00044E28" w:rsidP="00044E28">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004026EC" w:rsidRPr="00011E77">
        <w:rPr>
          <w:rFonts w:ascii="Arial" w:hAnsi="Arial" w:cs="Arial"/>
          <w:color w:val="000000" w:themeColor="text1"/>
          <w:sz w:val="19"/>
          <w:szCs w:val="19"/>
        </w:rPr>
        <w:t xml:space="preserve"> «</w:t>
      </w:r>
      <w:r w:rsidRPr="00011E77">
        <w:rPr>
          <w:rFonts w:ascii="Arial" w:hAnsi="Arial" w:cs="Arial"/>
          <w:color w:val="000000" w:themeColor="text1"/>
          <w:sz w:val="19"/>
          <w:szCs w:val="19"/>
        </w:rPr>
        <w:t>Artículo 2.3.1.6.3.4. Ordenación del gasto. Los fondos de servicios educativos carecen de personería jurídica</w:t>
      </w:r>
      <w:r w:rsidR="004026EC" w:rsidRPr="00011E77">
        <w:rPr>
          <w:rFonts w:ascii="Arial" w:hAnsi="Arial" w:cs="Arial"/>
          <w:color w:val="000000" w:themeColor="text1"/>
          <w:sz w:val="19"/>
          <w:szCs w:val="19"/>
        </w:rPr>
        <w:t>»</w:t>
      </w:r>
      <w:r w:rsidRPr="00011E77">
        <w:rPr>
          <w:rFonts w:ascii="Arial" w:hAnsi="Arial" w:cs="Arial"/>
          <w:color w:val="000000" w:themeColor="text1"/>
          <w:sz w:val="19"/>
          <w:szCs w:val="19"/>
        </w:rPr>
        <w:t>.</w:t>
      </w:r>
    </w:p>
    <w:p w14:paraId="1EAC9256" w14:textId="77777777" w:rsidR="00044E28" w:rsidRPr="00011E77" w:rsidRDefault="00044E28" w:rsidP="00044E28">
      <w:pPr>
        <w:pStyle w:val="Textonotapie"/>
        <w:jc w:val="both"/>
        <w:rPr>
          <w:rFonts w:ascii="Arial" w:hAnsi="Arial" w:cs="Arial"/>
          <w:color w:val="000000" w:themeColor="text1"/>
          <w:sz w:val="19"/>
          <w:szCs w:val="19"/>
        </w:rPr>
      </w:pPr>
    </w:p>
  </w:footnote>
  <w:footnote w:id="5">
    <w:p w14:paraId="6AF42533" w14:textId="77777777" w:rsidR="005E3121" w:rsidRPr="00011E77" w:rsidRDefault="00044E28" w:rsidP="00011E77">
      <w:pPr>
        <w:pStyle w:val="NormalWeb"/>
        <w:spacing w:before="0" w:beforeAutospacing="0" w:after="0" w:afterAutospacing="0"/>
        <w:ind w:firstLine="708"/>
        <w:jc w:val="both"/>
        <w:rPr>
          <w:rFonts w:ascii="Arial" w:hAnsi="Arial" w:cs="Arial"/>
          <w:sz w:val="19"/>
          <w:szCs w:val="19"/>
        </w:rPr>
      </w:pPr>
      <w:r w:rsidRPr="00011E77">
        <w:rPr>
          <w:rStyle w:val="Refdenotaalpie"/>
          <w:rFonts w:ascii="Arial" w:hAnsi="Arial" w:cs="Arial"/>
          <w:sz w:val="19"/>
          <w:szCs w:val="19"/>
        </w:rPr>
        <w:footnoteRef/>
      </w:r>
      <w:r w:rsidRPr="00011E77">
        <w:rPr>
          <w:rStyle w:val="Refdenotaalpie"/>
          <w:rFonts w:ascii="Arial" w:hAnsi="Arial" w:cs="Arial"/>
          <w:sz w:val="19"/>
          <w:szCs w:val="19"/>
        </w:rPr>
        <w:t xml:space="preserve"> </w:t>
      </w:r>
      <w:r w:rsidR="004026EC" w:rsidRPr="00011E77">
        <w:rPr>
          <w:rFonts w:ascii="Arial" w:hAnsi="Arial" w:cs="Arial"/>
          <w:sz w:val="19"/>
          <w:szCs w:val="19"/>
        </w:rPr>
        <w:t>«</w:t>
      </w:r>
      <w:r w:rsidRPr="00011E77">
        <w:rPr>
          <w:rFonts w:ascii="Arial" w:hAnsi="Arial" w:cs="Arial"/>
          <w:sz w:val="19"/>
          <w:szCs w:val="19"/>
        </w:rPr>
        <w:t xml:space="preserve">Artículo 13. Procedimientos de contratación de los fondos de servicios educativos. </w:t>
      </w:r>
      <w:r w:rsidR="005E3121" w:rsidRPr="00011E77">
        <w:rPr>
          <w:rFonts w:ascii="Arial" w:hAnsi="Arial" w:cs="Arial"/>
          <w:sz w:val="19"/>
          <w:szCs w:val="19"/>
        </w:rPr>
        <w:t>Todos los actos y contratos que tengan por objeto bienes y obligaciones que hayan de registrarse en la contabilidad de los Fondos de servicios educativos a los que se refiere el artículo anterior, se harán respetando los principios de igualdad, moralidad, imparcialidad y publicidad, aplicados en forma razonable a las circunstancias concretas en las que hayan de celebrarse. Se harán con el propósito fundamental de proteger los derechos de los niños y de los jóvenes, y de conseguir eficacia y celeridad en la atención del servicio educativo, y economía en el uso de los recursos públicos.</w:t>
      </w:r>
    </w:p>
    <w:p w14:paraId="52EEDC1D" w14:textId="08EEB73A" w:rsidR="005E3121" w:rsidRPr="005E3121" w:rsidRDefault="00011E77" w:rsidP="00011E77">
      <w:pPr>
        <w:ind w:firstLine="708"/>
        <w:jc w:val="both"/>
        <w:rPr>
          <w:rFonts w:ascii="Arial" w:eastAsia="Times New Roman" w:hAnsi="Arial" w:cs="Arial"/>
          <w:sz w:val="19"/>
          <w:szCs w:val="19"/>
          <w:lang w:val="es-CO" w:eastAsia="es-CO"/>
        </w:rPr>
      </w:pPr>
      <w:r w:rsidRPr="00011E77">
        <w:rPr>
          <w:rFonts w:ascii="Arial" w:eastAsia="Times New Roman" w:hAnsi="Arial" w:cs="Arial"/>
          <w:sz w:val="19"/>
          <w:szCs w:val="19"/>
          <w:lang w:val="es-CO" w:eastAsia="es-CO"/>
        </w:rPr>
        <w:t>»</w:t>
      </w:r>
      <w:r w:rsidR="005E3121" w:rsidRPr="005E3121">
        <w:rPr>
          <w:rFonts w:ascii="Arial" w:eastAsia="Times New Roman" w:hAnsi="Arial" w:cs="Arial"/>
          <w:sz w:val="19"/>
          <w:szCs w:val="19"/>
          <w:lang w:val="es-CO" w:eastAsia="es-CO"/>
        </w:rPr>
        <w:t>Los actos y </w:t>
      </w:r>
      <w:r w:rsidR="005E3121" w:rsidRPr="005E3121">
        <w:rPr>
          <w:rFonts w:ascii="Arial" w:eastAsia="Times New Roman" w:hAnsi="Arial" w:cs="Arial"/>
          <w:sz w:val="19"/>
          <w:szCs w:val="19"/>
          <w:u w:val="single"/>
          <w:lang w:val="es-CO" w:eastAsia="es-CO"/>
        </w:rPr>
        <w:t>contratos de cuantía superior a veinte (20) salarios mínimos mensuales</w:t>
      </w:r>
      <w:r w:rsidR="005E3121" w:rsidRPr="005E3121">
        <w:rPr>
          <w:rFonts w:ascii="Arial" w:eastAsia="Times New Roman" w:hAnsi="Arial" w:cs="Arial"/>
          <w:sz w:val="19"/>
          <w:szCs w:val="19"/>
          <w:lang w:val="es-CO" w:eastAsia="es-CO"/>
        </w:rPr>
        <w:t> se regirán por las reglas de la contratación estatal, teniendo en cuenta su valor y naturaleza, y las circunstancias en las que se celebren. </w:t>
      </w:r>
      <w:r w:rsidR="005E3121" w:rsidRPr="005E3121">
        <w:rPr>
          <w:rFonts w:ascii="Arial" w:eastAsia="Times New Roman" w:hAnsi="Arial" w:cs="Arial"/>
          <w:sz w:val="19"/>
          <w:szCs w:val="19"/>
          <w:u w:val="single"/>
          <w:lang w:val="es-CO" w:eastAsia="es-CO"/>
        </w:rPr>
        <w:t>El Gobierno Nacional podrá indicar los casos en los cuales la cuantía señalada en el presente inciso será menor</w:t>
      </w:r>
      <w:r w:rsidR="005E3121" w:rsidRPr="005E3121">
        <w:rPr>
          <w:rFonts w:ascii="Arial" w:eastAsia="Times New Roman" w:hAnsi="Arial" w:cs="Arial"/>
          <w:sz w:val="19"/>
          <w:szCs w:val="19"/>
          <w:lang w:val="es-CO" w:eastAsia="es-CO"/>
        </w:rPr>
        <w:t>.</w:t>
      </w:r>
      <w:r w:rsidR="005E3121" w:rsidRPr="00011E77">
        <w:rPr>
          <w:rFonts w:ascii="Arial" w:eastAsia="Times New Roman" w:hAnsi="Arial" w:cs="Arial"/>
          <w:sz w:val="19"/>
          <w:szCs w:val="19"/>
          <w:lang w:val="es-CO" w:eastAsia="es-CO"/>
        </w:rPr>
        <w:t xml:space="preserve"> </w:t>
      </w:r>
    </w:p>
    <w:p w14:paraId="67AE1676" w14:textId="48F7E158" w:rsidR="005E3121" w:rsidRPr="005E3121" w:rsidRDefault="00011E77" w:rsidP="00011E77">
      <w:pPr>
        <w:ind w:firstLine="708"/>
        <w:jc w:val="both"/>
        <w:rPr>
          <w:rFonts w:ascii="Arial" w:eastAsia="Times New Roman" w:hAnsi="Arial" w:cs="Arial"/>
          <w:sz w:val="19"/>
          <w:szCs w:val="19"/>
          <w:lang w:val="es-CO" w:eastAsia="es-CO"/>
        </w:rPr>
      </w:pPr>
      <w:r w:rsidRPr="00011E77">
        <w:rPr>
          <w:rFonts w:ascii="Arial" w:eastAsia="Times New Roman" w:hAnsi="Arial" w:cs="Arial"/>
          <w:sz w:val="19"/>
          <w:szCs w:val="19"/>
          <w:lang w:val="es-CO" w:eastAsia="es-CO"/>
        </w:rPr>
        <w:t>»</w:t>
      </w:r>
      <w:r w:rsidR="005E3121" w:rsidRPr="005E3121">
        <w:rPr>
          <w:rFonts w:ascii="Arial" w:eastAsia="Times New Roman" w:hAnsi="Arial" w:cs="Arial"/>
          <w:sz w:val="19"/>
          <w:szCs w:val="19"/>
          <w:lang w:val="es-CO" w:eastAsia="es-CO"/>
        </w:rPr>
        <w:t>El rector o director celebrará los contratos que hayan de pagarse con cargo a los recursos vinculados a los Fondos, en las condiciones y dentro de los límites que fijen los reglamentos.</w:t>
      </w:r>
    </w:p>
    <w:p w14:paraId="1CA0A222" w14:textId="4C54E2B0" w:rsidR="005E3121" w:rsidRPr="005E3121" w:rsidRDefault="00011E77" w:rsidP="00011E77">
      <w:pPr>
        <w:ind w:firstLine="708"/>
        <w:jc w:val="both"/>
        <w:rPr>
          <w:rFonts w:ascii="Arial" w:eastAsia="Times New Roman" w:hAnsi="Arial" w:cs="Arial"/>
          <w:sz w:val="19"/>
          <w:szCs w:val="19"/>
          <w:lang w:val="es-CO" w:eastAsia="es-CO"/>
        </w:rPr>
      </w:pPr>
      <w:r>
        <w:rPr>
          <w:rFonts w:ascii="Arial" w:eastAsia="Times New Roman" w:hAnsi="Arial" w:cs="Arial"/>
          <w:sz w:val="19"/>
          <w:szCs w:val="19"/>
          <w:u w:val="single"/>
          <w:lang w:val="es-CO" w:eastAsia="es-CO"/>
        </w:rPr>
        <w:t>»</w:t>
      </w:r>
      <w:r w:rsidR="005E3121" w:rsidRPr="005E3121">
        <w:rPr>
          <w:rFonts w:ascii="Arial" w:eastAsia="Times New Roman" w:hAnsi="Arial" w:cs="Arial"/>
          <w:sz w:val="19"/>
          <w:szCs w:val="19"/>
          <w:u w:val="single"/>
          <w:lang w:val="es-CO" w:eastAsia="es-CO"/>
        </w:rPr>
        <w:t>Con estricta sujeción a los principios y propósitos enunciados en el primer inciso de este artículo, y a los reglamentos de esta Ley, el Consejo Directivo de cada establecimiento podrá señalar, con base en la experiencia y en el análisis concreto de las necesidades del establecimiento, los trámites, garantías y constancias que deben cumplirse para que el rector o director celebre cualquier acto o contrato que cree, extinga o modifique obligaciones que deban registrarse en el Fondo, y cuya cuantía sea inferior a veinte (20) salarios mínimos mensuales. El Consejo puede exigir, además, que ciertos actos o contratos requieran una autorización suya específica</w:t>
      </w:r>
      <w:r w:rsidRPr="00011E77">
        <w:rPr>
          <w:rFonts w:ascii="Arial" w:eastAsia="Times New Roman" w:hAnsi="Arial" w:cs="Arial"/>
          <w:sz w:val="19"/>
          <w:szCs w:val="19"/>
          <w:lang w:val="es-CO" w:eastAsia="es-CO"/>
        </w:rPr>
        <w:t>»</w:t>
      </w:r>
    </w:p>
    <w:p w14:paraId="02994862" w14:textId="77777777" w:rsidR="00011E77" w:rsidRDefault="00011E77" w:rsidP="00011E77">
      <w:pPr>
        <w:pStyle w:val="Textonotapie"/>
        <w:ind w:firstLine="708"/>
        <w:jc w:val="both"/>
        <w:rPr>
          <w:rFonts w:ascii="Arial" w:hAnsi="Arial" w:cs="Arial"/>
          <w:color w:val="000000" w:themeColor="text1"/>
          <w:sz w:val="19"/>
          <w:szCs w:val="19"/>
        </w:rPr>
      </w:pPr>
    </w:p>
    <w:p w14:paraId="0511E145" w14:textId="6F895546" w:rsidR="00044E28" w:rsidRPr="00011E77" w:rsidRDefault="00044E28" w:rsidP="00011E77">
      <w:pPr>
        <w:pStyle w:val="Textonotapie"/>
        <w:ind w:firstLine="708"/>
        <w:jc w:val="both"/>
        <w:rPr>
          <w:rFonts w:ascii="Arial" w:hAnsi="Arial" w:cs="Arial"/>
          <w:color w:val="000000" w:themeColor="text1"/>
          <w:sz w:val="19"/>
          <w:szCs w:val="19"/>
        </w:rPr>
      </w:pPr>
      <w:r w:rsidRPr="00011E77">
        <w:rPr>
          <w:rFonts w:ascii="Arial" w:hAnsi="Arial" w:cs="Arial"/>
          <w:color w:val="000000" w:themeColor="text1"/>
          <w:sz w:val="19"/>
          <w:szCs w:val="19"/>
        </w:rPr>
        <w:t xml:space="preserve">Decreto 1075 de 2015: </w:t>
      </w:r>
      <w:r w:rsidR="003B0A0C" w:rsidRPr="00011E77">
        <w:rPr>
          <w:rFonts w:ascii="Arial" w:hAnsi="Arial" w:cs="Arial"/>
          <w:color w:val="000000" w:themeColor="text1"/>
          <w:sz w:val="19"/>
          <w:szCs w:val="19"/>
        </w:rPr>
        <w:t>«</w:t>
      </w:r>
      <w:r w:rsidRPr="00011E77">
        <w:rPr>
          <w:rFonts w:ascii="Arial" w:hAnsi="Arial" w:cs="Arial"/>
          <w:color w:val="000000" w:themeColor="text1"/>
          <w:sz w:val="19"/>
          <w:szCs w:val="19"/>
        </w:rPr>
        <w:t>Artículo 2.3.1.6.3.5. Funciones del Consejo Directivo. (…) 6. Reglamentar mediante acuerdo los procedimientos, formalidades y garantías para toda contratación que no supere los veinte (20) salarios mínimos legales mensuales vigentes (SMLMV)</w:t>
      </w:r>
      <w:r w:rsidR="003B0A0C" w:rsidRPr="00011E77">
        <w:rPr>
          <w:rFonts w:ascii="Arial" w:hAnsi="Arial" w:cs="Arial"/>
          <w:color w:val="000000" w:themeColor="text1"/>
          <w:sz w:val="19"/>
          <w:szCs w:val="19"/>
        </w:rPr>
        <w:t>»</w:t>
      </w:r>
      <w:r w:rsidRPr="00011E77">
        <w:rPr>
          <w:rFonts w:ascii="Arial" w:hAnsi="Arial" w:cs="Arial"/>
          <w:color w:val="000000" w:themeColor="text1"/>
          <w:sz w:val="19"/>
          <w:szCs w:val="19"/>
        </w:rPr>
        <w:t>.</w:t>
      </w:r>
    </w:p>
    <w:p w14:paraId="19FBB423" w14:textId="77777777" w:rsidR="00044E28" w:rsidRPr="00011E77" w:rsidRDefault="00044E28" w:rsidP="00044E28">
      <w:pPr>
        <w:pStyle w:val="Textonotapie"/>
        <w:jc w:val="both"/>
        <w:rPr>
          <w:rFonts w:ascii="Arial" w:hAnsi="Arial" w:cs="Arial"/>
          <w:color w:val="000000" w:themeColor="text1"/>
          <w:sz w:val="19"/>
          <w:szCs w:val="19"/>
          <w:lang w:val="es-CO"/>
        </w:rPr>
      </w:pPr>
    </w:p>
  </w:footnote>
  <w:footnote w:id="6">
    <w:p w14:paraId="5C4F8EB0" w14:textId="77777777" w:rsidR="00292F1B" w:rsidRPr="00011E77" w:rsidRDefault="00292F1B" w:rsidP="00292F1B">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Corte Constitucional. Sentencia C- 341 del 4 de junio de 2014. M. P. Mauricio González Cuervo.</w:t>
      </w:r>
    </w:p>
    <w:p w14:paraId="7321E248" w14:textId="77777777" w:rsidR="00292F1B" w:rsidRPr="00011E77" w:rsidRDefault="00292F1B" w:rsidP="00292F1B">
      <w:pPr>
        <w:pStyle w:val="Textonotapie"/>
        <w:ind w:firstLine="708"/>
        <w:jc w:val="both"/>
        <w:rPr>
          <w:rFonts w:ascii="Arial" w:hAnsi="Arial" w:cs="Arial"/>
          <w:color w:val="000000" w:themeColor="text1"/>
          <w:sz w:val="19"/>
          <w:szCs w:val="19"/>
          <w:lang w:val="es-CO"/>
        </w:rPr>
      </w:pPr>
    </w:p>
  </w:footnote>
  <w:footnote w:id="7">
    <w:p w14:paraId="75F2D705" w14:textId="77777777" w:rsidR="00292F1B" w:rsidRPr="00011E77" w:rsidRDefault="00292F1B" w:rsidP="00292F1B">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002FC631" w14:textId="77777777" w:rsidR="00292F1B" w:rsidRPr="00011E77" w:rsidRDefault="00292F1B" w:rsidP="00292F1B">
      <w:pPr>
        <w:pStyle w:val="Textonotapie"/>
        <w:ind w:firstLine="708"/>
        <w:jc w:val="both"/>
        <w:rPr>
          <w:rFonts w:ascii="Arial" w:hAnsi="Arial" w:cs="Arial"/>
          <w:color w:val="000000" w:themeColor="text1"/>
          <w:sz w:val="19"/>
          <w:szCs w:val="19"/>
        </w:rPr>
      </w:pPr>
      <w:r w:rsidRPr="00011E77">
        <w:rPr>
          <w:rFonts w:ascii="Arial" w:hAnsi="Arial" w:cs="Arial"/>
          <w:color w:val="000000" w:themeColor="text1"/>
          <w:sz w:val="19"/>
          <w:szCs w:val="19"/>
        </w:rPr>
        <w:t>»Lo anterior, sin perjuicio de las publicaciones previstas en el numeral 3 del artículo 30 de la Ley 80 de 1993.</w:t>
      </w:r>
    </w:p>
    <w:p w14:paraId="43D30484" w14:textId="77777777" w:rsidR="00292F1B" w:rsidRPr="00011E77" w:rsidRDefault="00292F1B" w:rsidP="00292F1B">
      <w:pPr>
        <w:pStyle w:val="Textonotapie"/>
        <w:ind w:firstLine="708"/>
        <w:jc w:val="both"/>
        <w:rPr>
          <w:rFonts w:ascii="Arial" w:hAnsi="Arial" w:cs="Arial"/>
          <w:color w:val="000000" w:themeColor="text1"/>
          <w:sz w:val="19"/>
          <w:szCs w:val="19"/>
        </w:rPr>
      </w:pPr>
      <w:r w:rsidRPr="00011E77">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11611712" w14:textId="77777777" w:rsidR="00292F1B" w:rsidRPr="00011E77" w:rsidRDefault="00292F1B" w:rsidP="00292F1B">
      <w:pPr>
        <w:pStyle w:val="Textonotapie"/>
        <w:ind w:firstLine="708"/>
        <w:jc w:val="both"/>
        <w:rPr>
          <w:rFonts w:ascii="Arial" w:hAnsi="Arial" w:cs="Arial"/>
          <w:color w:val="000000" w:themeColor="text1"/>
          <w:sz w:val="19"/>
          <w:szCs w:val="19"/>
        </w:rPr>
      </w:pPr>
      <w:r w:rsidRPr="00011E77">
        <w:rPr>
          <w:rFonts w:ascii="Arial" w:hAnsi="Arial" w:cs="Arial"/>
          <w:color w:val="000000" w:themeColor="text1"/>
          <w:sz w:val="19"/>
          <w:szCs w:val="19"/>
        </w:rPr>
        <w:t>[…]</w:t>
      </w:r>
    </w:p>
    <w:p w14:paraId="54BECA9B" w14:textId="77777777" w:rsidR="00292F1B" w:rsidRPr="00011E77" w:rsidRDefault="00292F1B" w:rsidP="00292F1B">
      <w:pPr>
        <w:pStyle w:val="Textonotapie"/>
        <w:ind w:firstLine="708"/>
        <w:jc w:val="both"/>
        <w:rPr>
          <w:rFonts w:ascii="Arial" w:hAnsi="Arial" w:cs="Arial"/>
          <w:color w:val="000000" w:themeColor="text1"/>
          <w:sz w:val="19"/>
          <w:szCs w:val="19"/>
        </w:rPr>
      </w:pPr>
      <w:r w:rsidRPr="00011E77">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366F7792" w14:textId="77777777" w:rsidR="00292F1B" w:rsidRPr="00011E77" w:rsidRDefault="00292F1B" w:rsidP="00292F1B">
      <w:pPr>
        <w:pStyle w:val="Textonotapie"/>
        <w:ind w:firstLine="708"/>
        <w:jc w:val="both"/>
        <w:rPr>
          <w:rFonts w:ascii="Arial" w:hAnsi="Arial" w:cs="Arial"/>
          <w:color w:val="000000" w:themeColor="text1"/>
          <w:sz w:val="19"/>
          <w:szCs w:val="19"/>
        </w:rPr>
      </w:pPr>
    </w:p>
  </w:footnote>
  <w:footnote w:id="8">
    <w:p w14:paraId="6D4AFF04" w14:textId="77777777" w:rsidR="00292F1B" w:rsidRPr="00011E77" w:rsidRDefault="00292F1B" w:rsidP="00292F1B">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71263AA1" w14:textId="77777777" w:rsidR="00292F1B" w:rsidRPr="00011E77" w:rsidRDefault="00292F1B" w:rsidP="00292F1B">
      <w:pPr>
        <w:pStyle w:val="Textonotapie"/>
        <w:ind w:firstLine="708"/>
        <w:jc w:val="both"/>
        <w:rPr>
          <w:rFonts w:ascii="Arial" w:hAnsi="Arial" w:cs="Arial"/>
          <w:color w:val="000000" w:themeColor="text1"/>
          <w:sz w:val="19"/>
          <w:szCs w:val="19"/>
        </w:rPr>
      </w:pPr>
    </w:p>
  </w:footnote>
  <w:footnote w:id="9">
    <w:p w14:paraId="62A42E31" w14:textId="77777777" w:rsidR="00292F1B" w:rsidRPr="00011E77" w:rsidRDefault="00292F1B" w:rsidP="00292F1B">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4F8D09CE" w14:textId="77777777" w:rsidR="00292F1B" w:rsidRPr="00011E77" w:rsidRDefault="00292F1B" w:rsidP="00292F1B">
      <w:pPr>
        <w:pStyle w:val="Textonotapie"/>
        <w:ind w:firstLine="708"/>
        <w:jc w:val="both"/>
        <w:rPr>
          <w:rFonts w:ascii="Arial" w:hAnsi="Arial" w:cs="Arial"/>
          <w:color w:val="000000" w:themeColor="text1"/>
          <w:sz w:val="19"/>
          <w:szCs w:val="19"/>
        </w:rPr>
      </w:pPr>
      <w:r w:rsidRPr="00011E77">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70BE1546" w14:textId="77777777" w:rsidR="00292F1B" w:rsidRPr="00011E77" w:rsidRDefault="00292F1B" w:rsidP="00292F1B">
      <w:pPr>
        <w:pStyle w:val="Textonotapie"/>
        <w:jc w:val="both"/>
        <w:rPr>
          <w:rFonts w:ascii="Arial" w:hAnsi="Arial" w:cs="Arial"/>
          <w:color w:val="000000" w:themeColor="text1"/>
          <w:sz w:val="19"/>
          <w:szCs w:val="19"/>
          <w:lang w:val="es-CO"/>
        </w:rPr>
      </w:pPr>
    </w:p>
  </w:footnote>
  <w:footnote w:id="10">
    <w:p w14:paraId="47431EC8" w14:textId="77777777" w:rsidR="00292F1B" w:rsidRPr="00011E77" w:rsidRDefault="00292F1B" w:rsidP="00292F1B">
      <w:pPr>
        <w:pStyle w:val="Textonotapie"/>
        <w:ind w:firstLine="709"/>
        <w:jc w:val="both"/>
        <w:rPr>
          <w:rFonts w:ascii="Arial" w:hAnsi="Arial" w:cs="Arial"/>
          <w:color w:val="000000" w:themeColor="text1"/>
          <w:sz w:val="19"/>
          <w:szCs w:val="19"/>
        </w:rPr>
      </w:pPr>
      <w:r w:rsidRPr="00011E77">
        <w:rPr>
          <w:rFonts w:ascii="Arial" w:eastAsia="Times New Roman" w:hAnsi="Arial" w:cs="Arial"/>
          <w:color w:val="000000" w:themeColor="text1"/>
          <w:sz w:val="19"/>
          <w:szCs w:val="19"/>
          <w:vertAlign w:val="superscript"/>
          <w:lang w:val="es-ES" w:eastAsia="es-ES"/>
        </w:rPr>
        <w:footnoteRef/>
      </w:r>
      <w:r w:rsidRPr="00011E77">
        <w:rPr>
          <w:rFonts w:ascii="Arial" w:eastAsia="Times New Roman" w:hAnsi="Arial" w:cs="Arial"/>
          <w:color w:val="000000" w:themeColor="text1"/>
          <w:sz w:val="19"/>
          <w:szCs w:val="19"/>
          <w:vertAlign w:val="superscript"/>
          <w:lang w:val="es-ES" w:eastAsia="es-ES"/>
        </w:rPr>
        <w:t xml:space="preserve"> </w:t>
      </w:r>
      <w:r w:rsidRPr="00011E77">
        <w:rPr>
          <w:rFonts w:ascii="Arial" w:eastAsia="Times New Roman" w:hAnsi="Arial" w:cs="Arial"/>
          <w:color w:val="000000" w:themeColor="text1"/>
          <w:sz w:val="19"/>
          <w:szCs w:val="19"/>
          <w:lang w:val="es-ES" w:eastAsia="es-ES"/>
        </w:rPr>
        <w:t>«</w:t>
      </w:r>
      <w:r w:rsidRPr="00011E77">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7500BE56" w14:textId="77777777" w:rsidR="00292F1B" w:rsidRPr="00011E77" w:rsidRDefault="00292F1B" w:rsidP="00292F1B">
      <w:pPr>
        <w:pStyle w:val="Textonotapie"/>
        <w:ind w:firstLine="709"/>
        <w:jc w:val="both"/>
        <w:rPr>
          <w:rFonts w:ascii="Arial" w:hAnsi="Arial" w:cs="Arial"/>
          <w:color w:val="000000" w:themeColor="text1"/>
          <w:sz w:val="19"/>
          <w:szCs w:val="19"/>
        </w:rPr>
      </w:pPr>
      <w:r w:rsidRPr="00011E77">
        <w:rPr>
          <w:rFonts w:ascii="Arial" w:hAnsi="Arial" w:cs="Arial"/>
          <w:color w:val="000000" w:themeColor="text1"/>
          <w:sz w:val="19"/>
          <w:szCs w:val="19"/>
        </w:rPr>
        <w:t>[…]</w:t>
      </w:r>
    </w:p>
    <w:p w14:paraId="3892E7B9" w14:textId="77777777" w:rsidR="00292F1B" w:rsidRPr="00011E77" w:rsidRDefault="00292F1B" w:rsidP="00292F1B">
      <w:pPr>
        <w:pStyle w:val="Textonotapie"/>
        <w:ind w:firstLine="709"/>
        <w:jc w:val="both"/>
        <w:rPr>
          <w:rFonts w:ascii="Arial" w:hAnsi="Arial" w:cs="Arial"/>
          <w:color w:val="000000" w:themeColor="text1"/>
          <w:sz w:val="19"/>
          <w:szCs w:val="19"/>
        </w:rPr>
      </w:pPr>
    </w:p>
    <w:p w14:paraId="76D06F0F" w14:textId="77777777" w:rsidR="00292F1B" w:rsidRPr="00011E77" w:rsidRDefault="00292F1B" w:rsidP="00292F1B">
      <w:pPr>
        <w:pStyle w:val="Textonotapie"/>
        <w:ind w:firstLine="709"/>
        <w:jc w:val="both"/>
        <w:rPr>
          <w:rFonts w:ascii="Arial" w:eastAsia="Times New Roman" w:hAnsi="Arial" w:cs="Arial"/>
          <w:color w:val="000000" w:themeColor="text1"/>
          <w:sz w:val="19"/>
          <w:szCs w:val="19"/>
          <w:lang w:val="es-ES" w:eastAsia="es-ES"/>
        </w:rPr>
      </w:pPr>
      <w:r w:rsidRPr="00011E77">
        <w:rPr>
          <w:rFonts w:ascii="Arial" w:eastAsia="Times New Roman"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35417DE6" w14:textId="77777777" w:rsidR="00292F1B" w:rsidRPr="00011E77" w:rsidRDefault="00292F1B" w:rsidP="00292F1B">
      <w:pPr>
        <w:pStyle w:val="Textonotapie"/>
        <w:ind w:firstLine="709"/>
        <w:jc w:val="both"/>
        <w:rPr>
          <w:rFonts w:ascii="Arial" w:eastAsia="Times New Roman" w:hAnsi="Arial" w:cs="Arial"/>
          <w:color w:val="000000" w:themeColor="text1"/>
          <w:sz w:val="19"/>
          <w:szCs w:val="19"/>
          <w:lang w:val="es-ES" w:eastAsia="es-ES"/>
        </w:rPr>
      </w:pPr>
    </w:p>
  </w:footnote>
  <w:footnote w:id="11">
    <w:p w14:paraId="2C87A650" w14:textId="77777777" w:rsidR="00292F1B" w:rsidRPr="00011E77" w:rsidRDefault="00292F1B" w:rsidP="00292F1B">
      <w:pPr>
        <w:pStyle w:val="Textonotapie"/>
        <w:ind w:firstLine="708"/>
        <w:jc w:val="both"/>
        <w:rPr>
          <w:rFonts w:ascii="Arial" w:eastAsia="Times New Roman" w:hAnsi="Arial" w:cs="Arial"/>
          <w:color w:val="000000" w:themeColor="text1"/>
          <w:sz w:val="19"/>
          <w:szCs w:val="19"/>
          <w:lang w:val="es-ES" w:eastAsia="es-ES"/>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C</w:t>
      </w:r>
      <w:r w:rsidRPr="00011E77">
        <w:rPr>
          <w:rFonts w:ascii="Arial" w:eastAsia="Times New Roman" w:hAnsi="Arial" w:cs="Arial"/>
          <w:color w:val="000000" w:themeColor="text1"/>
          <w:sz w:val="19"/>
          <w:szCs w:val="19"/>
          <w:lang w:val="es-ES" w:eastAsia="es-ES"/>
        </w:rPr>
        <w:t xml:space="preserve">orte Constitucional. Sentencia C─274 de 9 de mayo de 2013. M.P. María Victoria Calle Correa. </w:t>
      </w:r>
    </w:p>
    <w:p w14:paraId="6B042905" w14:textId="77777777" w:rsidR="00292F1B" w:rsidRPr="00011E77" w:rsidRDefault="00292F1B" w:rsidP="00292F1B">
      <w:pPr>
        <w:pStyle w:val="Textonotapie"/>
        <w:ind w:firstLine="708"/>
        <w:jc w:val="both"/>
        <w:rPr>
          <w:rFonts w:ascii="Arial" w:eastAsia="Times New Roman" w:hAnsi="Arial" w:cs="Arial"/>
          <w:color w:val="000000" w:themeColor="text1"/>
          <w:sz w:val="19"/>
          <w:szCs w:val="19"/>
          <w:lang w:val="es-ES" w:eastAsia="es-ES"/>
        </w:rPr>
      </w:pPr>
    </w:p>
  </w:footnote>
  <w:footnote w:id="12">
    <w:p w14:paraId="19A69C7B" w14:textId="77777777" w:rsidR="00292F1B" w:rsidRPr="00011E77" w:rsidRDefault="00292F1B" w:rsidP="00292F1B">
      <w:pPr>
        <w:pStyle w:val="Textonotapie"/>
        <w:ind w:firstLine="708"/>
        <w:jc w:val="both"/>
        <w:rPr>
          <w:rFonts w:ascii="Arial" w:hAnsi="Arial" w:cs="Arial"/>
          <w:color w:val="000000" w:themeColor="text1"/>
          <w:sz w:val="19"/>
          <w:szCs w:val="19"/>
          <w:lang w:val="es-CO"/>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footnote>
  <w:footnote w:id="13">
    <w:p w14:paraId="27CDD14F" w14:textId="77777777" w:rsidR="00292F1B" w:rsidRPr="00011E77" w:rsidRDefault="00292F1B" w:rsidP="00292F1B">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Consejo de Estado. Sección Tercera. Auto del 14 de agosto de 2017.  Exp: 58.820. C.P. Jaime Orlando Santofimio Gamboa. </w:t>
      </w:r>
    </w:p>
    <w:p w14:paraId="1DE38723" w14:textId="77777777" w:rsidR="00292F1B" w:rsidRPr="00011E77" w:rsidRDefault="00292F1B" w:rsidP="00292F1B">
      <w:pPr>
        <w:pStyle w:val="Textonotapie"/>
        <w:ind w:firstLine="708"/>
        <w:jc w:val="both"/>
        <w:rPr>
          <w:rFonts w:ascii="Arial" w:hAnsi="Arial" w:cs="Arial"/>
          <w:color w:val="000000" w:themeColor="text1"/>
          <w:sz w:val="19"/>
          <w:szCs w:val="19"/>
          <w:lang w:val="es-CO"/>
        </w:rPr>
      </w:pPr>
    </w:p>
  </w:footnote>
  <w:footnote w:id="14">
    <w:p w14:paraId="3B4584EB" w14:textId="77777777" w:rsidR="00A14A6F" w:rsidRPr="00011E77" w:rsidRDefault="00A14A6F" w:rsidP="00A14A6F">
      <w:pPr>
        <w:pStyle w:val="Prrafodelista"/>
        <w:ind w:left="0" w:firstLine="708"/>
        <w:contextualSpacing w:val="0"/>
        <w:rPr>
          <w:rFonts w:ascii="Arial" w:hAnsi="Arial" w:cs="Arial"/>
          <w:bCs/>
          <w:color w:val="000000" w:themeColor="text1"/>
          <w:sz w:val="19"/>
          <w:szCs w:val="19"/>
          <w:lang w:val="es-ES"/>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w:t>
      </w:r>
      <w:r w:rsidRPr="00011E77">
        <w:rPr>
          <w:rFonts w:ascii="Arial" w:hAnsi="Arial" w:cs="Arial"/>
          <w:bCs/>
          <w:color w:val="000000" w:themeColor="text1"/>
          <w:sz w:val="19"/>
          <w:szCs w:val="19"/>
          <w:lang w:val="es-ES"/>
        </w:rPr>
        <w:t xml:space="preserve">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entidades con régimen especial de contratación publicarán los documentos del proceso que define el Decreto 1082 de 2015, es decir: a) los estudios y documentos previos, b) el aviso de convocatoria; c) los pliegos de condiciones o la invitación; d) las Adendas; e) la oferta; f) el informe de evaluación; g) el contrato; y cualquier otro documento expedido por la Entidad Estatal durante el Proceso. </w:t>
      </w:r>
    </w:p>
    <w:p w14:paraId="7508F76C" w14:textId="77777777" w:rsidR="00A14A6F" w:rsidRPr="00011E77" w:rsidRDefault="00A14A6F" w:rsidP="00A14A6F">
      <w:pPr>
        <w:pStyle w:val="Textonotapie"/>
        <w:ind w:firstLine="708"/>
        <w:jc w:val="both"/>
        <w:rPr>
          <w:rFonts w:ascii="Arial" w:hAnsi="Arial" w:cs="Arial"/>
          <w:color w:val="000000" w:themeColor="text1"/>
          <w:sz w:val="19"/>
          <w:szCs w:val="19"/>
          <w:lang w:val="es-ES"/>
        </w:rPr>
      </w:pPr>
    </w:p>
  </w:footnote>
  <w:footnote w:id="15">
    <w:p w14:paraId="7408D215" w14:textId="77777777" w:rsidR="00A14A6F" w:rsidRPr="00011E77" w:rsidRDefault="00A14A6F" w:rsidP="00A14A6F">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Esta posición se reiteró en las siguientes consultas: No. 4201813000006842 del 16 de agosto de 2018, 4201813000010011 del 5 de diciembre de 2018, 4201813000009778 del 29 de octubre de 2018, entre otros,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14:paraId="1170668B" w14:textId="77777777" w:rsidR="00A14A6F" w:rsidRPr="00011E77" w:rsidRDefault="00A14A6F" w:rsidP="00A14A6F">
      <w:pPr>
        <w:pStyle w:val="Textonotapie"/>
        <w:ind w:firstLine="708"/>
        <w:jc w:val="both"/>
        <w:rPr>
          <w:rFonts w:ascii="Arial" w:eastAsia="Times New Roman" w:hAnsi="Arial" w:cs="Arial"/>
          <w:color w:val="000000" w:themeColor="text1"/>
          <w:sz w:val="19"/>
          <w:szCs w:val="19"/>
          <w:lang w:val="es-ES" w:eastAsia="es-ES"/>
        </w:rPr>
      </w:pPr>
      <w:r w:rsidRPr="00011E77">
        <w:rPr>
          <w:rFonts w:ascii="Arial" w:hAnsi="Arial" w:cs="Arial"/>
          <w:color w:val="000000" w:themeColor="text1"/>
          <w:sz w:val="19"/>
          <w:szCs w:val="19"/>
          <w:lang w:val="es-ES"/>
        </w:rPr>
        <w:t>»</w:t>
      </w:r>
      <w:r w:rsidRPr="00011E77">
        <w:rPr>
          <w:rFonts w:ascii="Arial" w:hAnsi="Arial" w:cs="Arial"/>
          <w:color w:val="000000" w:themeColor="text1"/>
          <w:sz w:val="19"/>
          <w:szCs w:val="19"/>
        </w:rPr>
        <w:t>Así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footnote>
  <w:footnote w:id="16">
    <w:p w14:paraId="340D397C" w14:textId="77777777" w:rsidR="00ED7A8F" w:rsidRPr="003054D6" w:rsidRDefault="00ED7A8F" w:rsidP="00ED7A8F">
      <w:pPr>
        <w:pStyle w:val="Textonotapie"/>
        <w:ind w:firstLine="709"/>
        <w:jc w:val="both"/>
        <w:rPr>
          <w:rFonts w:ascii="Arial" w:hAnsi="Arial" w:cs="Arial"/>
          <w:color w:val="000000" w:themeColor="text1"/>
          <w:sz w:val="19"/>
          <w:szCs w:val="19"/>
        </w:rPr>
      </w:pPr>
      <w:r w:rsidRPr="003054D6">
        <w:rPr>
          <w:rStyle w:val="Refdenotaalpie"/>
          <w:rFonts w:ascii="Arial" w:hAnsi="Arial" w:cs="Arial"/>
          <w:color w:val="000000" w:themeColor="text1"/>
          <w:sz w:val="19"/>
          <w:szCs w:val="19"/>
        </w:rPr>
        <w:footnoteRef/>
      </w:r>
      <w:r w:rsidRPr="003054D6">
        <w:rPr>
          <w:rFonts w:ascii="Arial" w:hAnsi="Arial" w:cs="Arial"/>
          <w:color w:val="000000" w:themeColor="text1"/>
          <w:sz w:val="19"/>
          <w:szCs w:val="19"/>
        </w:rPr>
        <w:t xml:space="preserve"> Decreto 1081 de 2015: «Artículo 2.1.1.2.1.8.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 ».</w:t>
      </w:r>
    </w:p>
    <w:p w14:paraId="7A63162C" w14:textId="77777777" w:rsidR="00ED7A8F" w:rsidRPr="003054D6" w:rsidRDefault="00ED7A8F" w:rsidP="00ED7A8F">
      <w:pPr>
        <w:pStyle w:val="Textonotapie"/>
        <w:ind w:firstLine="709"/>
        <w:jc w:val="both"/>
        <w:rPr>
          <w:rFonts w:ascii="Arial" w:hAnsi="Arial" w:cs="Arial"/>
          <w:color w:val="000000" w:themeColor="text1"/>
          <w:sz w:val="19"/>
          <w:szCs w:val="19"/>
        </w:rPr>
      </w:pPr>
    </w:p>
  </w:footnote>
  <w:footnote w:id="17">
    <w:p w14:paraId="465684CE" w14:textId="77777777" w:rsidR="00ED7A8F" w:rsidRPr="003054D6" w:rsidRDefault="00ED7A8F" w:rsidP="00ED7A8F">
      <w:pPr>
        <w:pStyle w:val="Textonotapie"/>
        <w:ind w:firstLine="709"/>
        <w:jc w:val="both"/>
        <w:rPr>
          <w:rFonts w:ascii="Arial" w:hAnsi="Arial" w:cs="Arial"/>
          <w:color w:val="000000" w:themeColor="text1"/>
          <w:sz w:val="19"/>
          <w:szCs w:val="19"/>
        </w:rPr>
      </w:pPr>
      <w:r w:rsidRPr="003054D6">
        <w:rPr>
          <w:rStyle w:val="Refdenotaalpie"/>
          <w:rFonts w:ascii="Arial" w:hAnsi="Arial" w:cs="Arial"/>
          <w:color w:val="000000" w:themeColor="text1"/>
          <w:sz w:val="19"/>
          <w:szCs w:val="19"/>
        </w:rPr>
        <w:footnoteRef/>
      </w:r>
      <w:r w:rsidRPr="003054D6">
        <w:rPr>
          <w:rFonts w:ascii="Arial" w:hAnsi="Arial" w:cs="Arial"/>
          <w:color w:val="000000" w:themeColor="text1"/>
          <w:sz w:val="19"/>
          <w:szCs w:val="19"/>
        </w:rPr>
        <w:t xml:space="preserve"> Decreto 1081 de 2015: «Artículo 2.1.1.2.1.9.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–Colombia Compra Eficiente–, el cual debe estar publicado en el sitio web oficial del sujeto obligado. ».</w:t>
      </w:r>
    </w:p>
    <w:p w14:paraId="00319F31" w14:textId="77777777" w:rsidR="00ED7A8F" w:rsidRPr="003054D6" w:rsidRDefault="00ED7A8F" w:rsidP="00ED7A8F">
      <w:pPr>
        <w:pStyle w:val="Textonotapie"/>
        <w:ind w:firstLine="709"/>
        <w:jc w:val="both"/>
        <w:rPr>
          <w:rFonts w:ascii="Arial" w:hAnsi="Arial" w:cs="Arial"/>
          <w:color w:val="000000" w:themeColor="text1"/>
          <w:sz w:val="19"/>
          <w:szCs w:val="19"/>
        </w:rPr>
      </w:pPr>
    </w:p>
  </w:footnote>
  <w:footnote w:id="18">
    <w:p w14:paraId="0AB4D1CD" w14:textId="77777777" w:rsidR="00ED7A8F" w:rsidRPr="003054D6" w:rsidRDefault="00ED7A8F" w:rsidP="00ED7A8F">
      <w:pPr>
        <w:pStyle w:val="Textonotapie"/>
        <w:ind w:firstLine="709"/>
        <w:jc w:val="both"/>
        <w:rPr>
          <w:rFonts w:ascii="Arial" w:hAnsi="Arial" w:cs="Arial"/>
          <w:color w:val="000000" w:themeColor="text1"/>
          <w:sz w:val="19"/>
          <w:szCs w:val="19"/>
        </w:rPr>
      </w:pPr>
      <w:r w:rsidRPr="003054D6">
        <w:rPr>
          <w:rStyle w:val="Refdenotaalpie"/>
          <w:rFonts w:ascii="Arial" w:hAnsi="Arial" w:cs="Arial"/>
          <w:color w:val="000000" w:themeColor="text1"/>
          <w:sz w:val="19"/>
          <w:szCs w:val="19"/>
        </w:rPr>
        <w:footnoteRef/>
      </w:r>
      <w:r w:rsidRPr="003054D6">
        <w:rPr>
          <w:rFonts w:ascii="Arial" w:hAnsi="Arial" w:cs="Arial"/>
          <w:color w:val="000000" w:themeColor="text1"/>
          <w:sz w:val="19"/>
          <w:szCs w:val="19"/>
        </w:rPr>
        <w:t xml:space="preserve"> Decreto 1081 de 2015: «Artículo 2.1.1.2.1.10.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 </w:t>
      </w:r>
    </w:p>
    <w:p w14:paraId="55E16563" w14:textId="77777777" w:rsidR="00ED7A8F" w:rsidRPr="003054D6" w:rsidRDefault="00ED7A8F" w:rsidP="00ED7A8F">
      <w:pPr>
        <w:pStyle w:val="Textonotapie"/>
        <w:ind w:firstLine="709"/>
        <w:jc w:val="both"/>
        <w:rPr>
          <w:rFonts w:ascii="Arial" w:hAnsi="Arial" w:cs="Arial"/>
          <w:color w:val="000000" w:themeColor="text1"/>
          <w:sz w:val="19"/>
          <w:szCs w:val="19"/>
        </w:rPr>
      </w:pPr>
      <w:r w:rsidRPr="003054D6">
        <w:rPr>
          <w:rFonts w:ascii="Arial" w:hAnsi="Arial" w:cs="Arial"/>
          <w:color w:val="000000" w:themeColor="text1"/>
          <w:sz w:val="19"/>
          <w:szCs w:val="19"/>
        </w:rPr>
        <w:t xml:space="preserve">»Los sujetos obligados que no contratan con cargo a recursos públicos no están obligados a publicar su Plan Anual de Adquisiciones. </w:t>
      </w:r>
    </w:p>
    <w:p w14:paraId="42FB6CDC" w14:textId="77777777" w:rsidR="00ED7A8F" w:rsidRPr="003054D6" w:rsidRDefault="00ED7A8F" w:rsidP="00ED7A8F">
      <w:pPr>
        <w:pStyle w:val="Textonotapie"/>
        <w:ind w:firstLine="709"/>
        <w:jc w:val="both"/>
        <w:rPr>
          <w:rFonts w:ascii="Arial" w:hAnsi="Arial" w:cs="Arial"/>
          <w:color w:val="000000" w:themeColor="text1"/>
          <w:sz w:val="19"/>
          <w:szCs w:val="19"/>
        </w:rPr>
      </w:pPr>
      <w:r w:rsidRPr="003054D6">
        <w:rPr>
          <w:rFonts w:ascii="Arial" w:hAnsi="Arial" w:cs="Arial"/>
          <w:color w:val="000000" w:themeColor="text1"/>
          <w:sz w:val="19"/>
          <w:szCs w:val="19"/>
        </w:rPr>
        <w:t xml:space="preserve">»Los sujetos obligados que contratan con cargo a recursos públicos y recursos privados, deben publicar en su página web y en el SECOP el Plan Anual de Adquisiciones para los recursos de carácter público que ejecutarán en el año. </w:t>
      </w:r>
    </w:p>
    <w:p w14:paraId="428BFFAD" w14:textId="77777777" w:rsidR="00ED7A8F" w:rsidRPr="003054D6" w:rsidRDefault="00ED7A8F" w:rsidP="00ED7A8F">
      <w:pPr>
        <w:pStyle w:val="Textonotapie"/>
        <w:ind w:firstLine="709"/>
        <w:jc w:val="both"/>
        <w:rPr>
          <w:rFonts w:ascii="Arial" w:hAnsi="Arial" w:cs="Arial"/>
          <w:color w:val="000000" w:themeColor="text1"/>
          <w:sz w:val="19"/>
          <w:szCs w:val="19"/>
        </w:rPr>
      </w:pPr>
      <w:r w:rsidRPr="003054D6">
        <w:rPr>
          <w:rFonts w:ascii="Arial" w:hAnsi="Arial" w:cs="Arial"/>
          <w:color w:val="000000" w:themeColor="text1"/>
          <w:sz w:val="19"/>
          <w:szCs w:val="19"/>
        </w:rPr>
        <w:t>»Se entenderá como definición de Plan Anual de Adquisiciones respecto a todos los sujetos obligados que contratan con recursos públicos, la prevista en el artículo 3° del Decreto 1510 de 2013, o el que lo modifique, sustituya o adicione».</w:t>
      </w:r>
    </w:p>
    <w:p w14:paraId="0FDC5BD4" w14:textId="77777777" w:rsidR="00ED7A8F" w:rsidRPr="003054D6" w:rsidRDefault="00ED7A8F" w:rsidP="00ED7A8F">
      <w:pPr>
        <w:pStyle w:val="Textonotapie"/>
        <w:ind w:firstLine="709"/>
        <w:jc w:val="both"/>
        <w:rPr>
          <w:rFonts w:ascii="Arial" w:hAnsi="Arial" w:cs="Arial"/>
          <w:color w:val="000000" w:themeColor="text1"/>
          <w:sz w:val="19"/>
          <w:szCs w:val="19"/>
        </w:rPr>
      </w:pPr>
    </w:p>
  </w:footnote>
  <w:footnote w:id="19">
    <w:p w14:paraId="3DBC70C7" w14:textId="77777777" w:rsidR="00A14A6F" w:rsidRPr="00011E77" w:rsidRDefault="00A14A6F" w:rsidP="00A14A6F">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Esta posición fue acogida en las siguientes consultas Rad. 4201813000006240: «Las Entidades Estatales que cuentan con régimen especial de contratación pueden aplicar las reglas contenidas en su propio manual de contratación, en consecuencia, estas entidades pueden establecer un término diferente a los 3 días que determina el Decreto 1082 de 2015 para publicar su actividad contractual en SECOP.</w:t>
      </w:r>
    </w:p>
    <w:p w14:paraId="013F4E33" w14:textId="77777777" w:rsidR="00A14A6F" w:rsidRPr="00011E77" w:rsidRDefault="00A14A6F" w:rsidP="00A14A6F">
      <w:pPr>
        <w:pStyle w:val="Textonotapie"/>
        <w:ind w:firstLine="708"/>
        <w:jc w:val="both"/>
        <w:rPr>
          <w:rFonts w:ascii="Arial" w:hAnsi="Arial" w:cs="Arial"/>
          <w:color w:val="000000" w:themeColor="text1"/>
          <w:sz w:val="19"/>
          <w:szCs w:val="19"/>
        </w:rPr>
      </w:pPr>
      <w:r w:rsidRPr="00011E77">
        <w:rPr>
          <w:rFonts w:ascii="Arial" w:eastAsia="Calibri" w:hAnsi="Arial" w:cs="Arial"/>
          <w:color w:val="000000" w:themeColor="text1"/>
          <w:sz w:val="19"/>
          <w:szCs w:val="19"/>
        </w:rPr>
        <w:t>»</w:t>
      </w:r>
      <w:r w:rsidRPr="00011E77">
        <w:rPr>
          <w:rFonts w:ascii="Arial" w:hAnsi="Arial" w:cs="Arial"/>
          <w:color w:val="000000" w:themeColor="text1"/>
          <w:sz w:val="19"/>
          <w:szCs w:val="19"/>
        </w:rPr>
        <w:t>En todo caso, en virtud del principio de transparencia al cual están sujetas las entidades de régimen especial, el término que establezcan en su manual de contratación debe garantizar que el SECOP cuente con la información del Sistema de Compra Pública de forma oportuna. Recomendamos a las entidades de régimen especial publicar su información contractual una vez la tengan disponible ya que esa información es relevante para el Sistema de Compra Pública».</w:t>
      </w:r>
    </w:p>
    <w:p w14:paraId="74A7AE13" w14:textId="77777777" w:rsidR="00A14A6F" w:rsidRPr="00011E77" w:rsidRDefault="00A14A6F" w:rsidP="00A14A6F">
      <w:pPr>
        <w:pStyle w:val="Textonotapie"/>
        <w:ind w:firstLine="708"/>
        <w:jc w:val="both"/>
        <w:rPr>
          <w:rFonts w:ascii="Arial" w:hAnsi="Arial" w:cs="Arial"/>
          <w:color w:val="000000" w:themeColor="text1"/>
          <w:sz w:val="19"/>
          <w:szCs w:val="19"/>
          <w:lang w:val="es-CO"/>
        </w:rPr>
      </w:pPr>
    </w:p>
  </w:footnote>
  <w:footnote w:id="20">
    <w:p w14:paraId="5FCE0DE8" w14:textId="77777777" w:rsidR="00A14A6F" w:rsidRPr="00011E77" w:rsidRDefault="00A14A6F" w:rsidP="00A14A6F">
      <w:pPr>
        <w:pStyle w:val="Textonotapie"/>
        <w:ind w:firstLine="709"/>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Circular Externa Única: «Numeral 1.2 Oportunidad en la publicación de la información en el SECOP: Las Entidades que aún utilizan el SECOP I están obligadas a publicar en el SECOP los Documentos del Proceso dentro de los tres (3) días siguientes a su expedición.</w:t>
      </w:r>
    </w:p>
    <w:p w14:paraId="7EF85E29" w14:textId="77777777" w:rsidR="00A14A6F" w:rsidRPr="00011E77" w:rsidRDefault="00A14A6F" w:rsidP="00A14A6F">
      <w:pPr>
        <w:pStyle w:val="Textonotapie"/>
        <w:ind w:firstLine="709"/>
        <w:jc w:val="both"/>
        <w:rPr>
          <w:rFonts w:ascii="Arial" w:hAnsi="Arial" w:cs="Arial"/>
          <w:color w:val="000000" w:themeColor="text1"/>
          <w:sz w:val="19"/>
          <w:szCs w:val="19"/>
        </w:rPr>
      </w:pPr>
      <w:r w:rsidRPr="00011E77">
        <w:rPr>
          <w:rFonts w:ascii="Arial" w:eastAsia="Calibri" w:hAnsi="Arial" w:cs="Arial"/>
          <w:color w:val="000000" w:themeColor="text1"/>
          <w:sz w:val="19"/>
          <w:szCs w:val="19"/>
        </w:rPr>
        <w:t>»</w:t>
      </w:r>
      <w:r w:rsidRPr="00011E77">
        <w:rPr>
          <w:rFonts w:ascii="Arial" w:hAnsi="Arial" w:cs="Arial"/>
          <w:color w:val="000000" w:themeColor="text1"/>
          <w:sz w:val="19"/>
          <w:szCs w:val="19"/>
        </w:rPr>
        <w:t>La información registrada por las Entidades en el SECOP II y en la Tienda Virtual del Estado Colombiano, está disponible en tiempo real en razón a que las actuaciones del Proceso de Contratación tienen lugar electrónicamente a través de dichas plataformas transaccionales</w:t>
      </w:r>
      <w:r w:rsidRPr="00011E77">
        <w:rPr>
          <w:rFonts w:ascii="Arial" w:eastAsia="Calibri" w:hAnsi="Arial" w:cs="Arial"/>
          <w:color w:val="000000" w:themeColor="text1"/>
          <w:sz w:val="19"/>
          <w:szCs w:val="19"/>
        </w:rPr>
        <w:t>»</w:t>
      </w:r>
      <w:r w:rsidRPr="00011E77">
        <w:rPr>
          <w:rFonts w:ascii="Arial" w:hAnsi="Arial" w:cs="Arial"/>
          <w:color w:val="000000" w:themeColor="text1"/>
          <w:sz w:val="19"/>
          <w:szCs w:val="19"/>
        </w:rPr>
        <w:t xml:space="preserve">. </w:t>
      </w:r>
    </w:p>
    <w:p w14:paraId="194145C8" w14:textId="77777777" w:rsidR="00A14A6F" w:rsidRPr="00011E77" w:rsidRDefault="00A14A6F" w:rsidP="00A14A6F">
      <w:pPr>
        <w:pStyle w:val="Textonotapie"/>
        <w:ind w:firstLine="708"/>
        <w:jc w:val="both"/>
        <w:rPr>
          <w:rFonts w:ascii="Arial" w:hAnsi="Arial" w:cs="Arial"/>
          <w:color w:val="000000" w:themeColor="text1"/>
          <w:sz w:val="19"/>
          <w:szCs w:val="19"/>
        </w:rPr>
      </w:pPr>
      <w:r w:rsidRPr="00011E77">
        <w:rPr>
          <w:rFonts w:ascii="Arial" w:eastAsia="Calibri" w:hAnsi="Arial" w:cs="Arial"/>
          <w:color w:val="000000" w:themeColor="text1"/>
          <w:sz w:val="19"/>
          <w:szCs w:val="19"/>
        </w:rPr>
        <w:t>»</w:t>
      </w:r>
      <w:r w:rsidRPr="00011E77">
        <w:rPr>
          <w:rFonts w:ascii="Arial" w:hAnsi="Arial" w:cs="Arial"/>
          <w:color w:val="000000" w:themeColor="text1"/>
          <w:sz w:val="19"/>
          <w:szCs w:val="19"/>
        </w:rPr>
        <w:t>Con respecto a los documentos que no son generados electrónicamente, el SECOP II permite publicarlos a través de un “mensaje público” o como un “documento del proceso”, para la publicidad de dichos documentos la Entidad Estatal tiene el plazo de tres días siguientes a su expedición».</w:t>
      </w:r>
    </w:p>
    <w:p w14:paraId="781EB8EF" w14:textId="77777777" w:rsidR="00A14A6F" w:rsidRPr="00011E77" w:rsidRDefault="00A14A6F" w:rsidP="00A14A6F">
      <w:pPr>
        <w:pStyle w:val="Textonotapie"/>
        <w:ind w:firstLine="708"/>
        <w:jc w:val="both"/>
        <w:rPr>
          <w:rFonts w:ascii="Arial" w:hAnsi="Arial" w:cs="Arial"/>
          <w:color w:val="000000" w:themeColor="text1"/>
          <w:sz w:val="19"/>
          <w:szCs w:val="19"/>
          <w:lang w:val="es-CO"/>
        </w:rPr>
      </w:pPr>
    </w:p>
  </w:footnote>
  <w:footnote w:id="21">
    <w:p w14:paraId="4DA99A44" w14:textId="77777777" w:rsidR="00A14A6F" w:rsidRPr="00011E77" w:rsidRDefault="00A14A6F" w:rsidP="00A14A6F">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Corte Constitucional. Sentencia C- 083 del 1 de marzo de 1995. M.P. Carlos Gaviria Díaz.</w:t>
      </w:r>
    </w:p>
    <w:p w14:paraId="7E8FFCD7" w14:textId="77777777" w:rsidR="00A14A6F" w:rsidRPr="00011E77" w:rsidRDefault="00A14A6F" w:rsidP="00A14A6F">
      <w:pPr>
        <w:pStyle w:val="Textonotapie"/>
        <w:ind w:firstLine="708"/>
        <w:jc w:val="both"/>
        <w:rPr>
          <w:rFonts w:ascii="Arial" w:hAnsi="Arial" w:cs="Arial"/>
          <w:color w:val="000000" w:themeColor="text1"/>
          <w:sz w:val="19"/>
          <w:szCs w:val="19"/>
          <w:lang w:val="es-CO"/>
        </w:rPr>
      </w:pPr>
    </w:p>
  </w:footnote>
  <w:footnote w:id="22">
    <w:p w14:paraId="74E3B1A6" w14:textId="77777777" w:rsidR="00A14A6F" w:rsidRPr="00011E77" w:rsidRDefault="00A14A6F" w:rsidP="00A14A6F">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5E231CB9" w14:textId="77777777" w:rsidR="00A14A6F" w:rsidRPr="00011E77" w:rsidRDefault="00A14A6F" w:rsidP="00A14A6F">
      <w:pPr>
        <w:pStyle w:val="Textonotapie"/>
        <w:ind w:firstLine="708"/>
        <w:jc w:val="both"/>
        <w:rPr>
          <w:rFonts w:ascii="Arial" w:hAnsi="Arial" w:cs="Arial"/>
          <w:color w:val="000000" w:themeColor="text1"/>
          <w:sz w:val="19"/>
          <w:szCs w:val="19"/>
        </w:rPr>
      </w:pPr>
      <w:r w:rsidRPr="00011E77">
        <w:rPr>
          <w:rFonts w:ascii="Arial" w:eastAsia="Calibri" w:hAnsi="Arial" w:cs="Arial"/>
          <w:color w:val="000000" w:themeColor="text1"/>
          <w:sz w:val="19"/>
          <w:szCs w:val="19"/>
        </w:rPr>
        <w:t>»</w:t>
      </w:r>
      <w:r w:rsidRPr="00011E77">
        <w:rPr>
          <w:rFonts w:ascii="Arial" w:hAnsi="Arial" w:cs="Arial"/>
          <w:color w:val="000000" w:themeColor="text1"/>
          <w:sz w:val="19"/>
          <w:szCs w:val="19"/>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14:paraId="0411C2F2" w14:textId="77777777" w:rsidR="00A14A6F" w:rsidRPr="00011E77" w:rsidRDefault="00A14A6F" w:rsidP="00A14A6F">
      <w:pPr>
        <w:pStyle w:val="Textonotapie"/>
        <w:ind w:firstLine="708"/>
        <w:jc w:val="both"/>
        <w:rPr>
          <w:rFonts w:ascii="Arial" w:hAnsi="Arial" w:cs="Arial"/>
          <w:color w:val="000000" w:themeColor="text1"/>
          <w:sz w:val="19"/>
          <w:szCs w:val="19"/>
          <w:lang w:val="es-CO"/>
        </w:rPr>
      </w:pPr>
    </w:p>
  </w:footnote>
  <w:footnote w:id="23">
    <w:p w14:paraId="254F3945" w14:textId="77777777" w:rsidR="00292F1B" w:rsidRPr="00851936" w:rsidRDefault="00292F1B" w:rsidP="00292F1B">
      <w:pPr>
        <w:pStyle w:val="Textonotapie"/>
        <w:ind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4170 de 2011: «Artículo 3. Funciones: La Agencia Nacional de Contratación Pública –Colombia Compra Eficiente– ejercerá las siguientes funciones:</w:t>
      </w:r>
      <w:r>
        <w:rPr>
          <w:rFonts w:ascii="Arial" w:hAnsi="Arial" w:cs="Arial"/>
          <w:color w:val="000000" w:themeColor="text1"/>
          <w:sz w:val="19"/>
          <w:szCs w:val="19"/>
        </w:rPr>
        <w:t xml:space="preserve"> </w:t>
      </w:r>
      <w:r w:rsidRPr="00851936">
        <w:rPr>
          <w:rFonts w:ascii="Arial" w:hAnsi="Arial" w:cs="Arial"/>
          <w:color w:val="000000" w:themeColor="text1"/>
          <w:sz w:val="19"/>
          <w:szCs w:val="19"/>
        </w:rPr>
        <w:t>[...]</w:t>
      </w:r>
    </w:p>
    <w:p w14:paraId="6B54D02D" w14:textId="77777777" w:rsidR="00292F1B" w:rsidRPr="00851936" w:rsidRDefault="00292F1B" w:rsidP="00292F1B">
      <w:pPr>
        <w:pStyle w:val="Textonotapie"/>
        <w:ind w:firstLine="708"/>
        <w:jc w:val="both"/>
        <w:rPr>
          <w:rFonts w:ascii="Arial" w:hAnsi="Arial" w:cs="Arial"/>
          <w:color w:val="000000" w:themeColor="text1"/>
          <w:sz w:val="19"/>
          <w:szCs w:val="19"/>
        </w:rPr>
      </w:pPr>
      <w:r w:rsidRPr="00851936">
        <w:rPr>
          <w:rFonts w:ascii="Arial" w:hAnsi="Arial" w:cs="Arial"/>
          <w:color w:val="000000" w:themeColor="text1"/>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39BB7" w14:textId="6E6AC18F" w:rsidR="004026EC" w:rsidRDefault="004026EC" w:rsidP="004026EC">
    <w:pPr>
      <w:pStyle w:val="Encabezado"/>
      <w:jc w:val="right"/>
    </w:pPr>
    <w:r>
      <w:rPr>
        <w:noProof/>
        <w:lang w:val="en-US"/>
      </w:rPr>
      <w:drawing>
        <wp:anchor distT="0" distB="0" distL="114300" distR="114300" simplePos="0" relativeHeight="251659264" behindDoc="1" locked="0" layoutInCell="1" allowOverlap="1" wp14:anchorId="109083BD" wp14:editId="7795F176">
          <wp:simplePos x="0" y="0"/>
          <wp:positionH relativeFrom="margin">
            <wp:align>right</wp:align>
          </wp:positionH>
          <wp:positionV relativeFrom="paragraph">
            <wp:posOffset>-135807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E28"/>
    <w:rsid w:val="00006304"/>
    <w:rsid w:val="00011E77"/>
    <w:rsid w:val="00025C12"/>
    <w:rsid w:val="000320C7"/>
    <w:rsid w:val="000426EA"/>
    <w:rsid w:val="00044E28"/>
    <w:rsid w:val="00071982"/>
    <w:rsid w:val="000A3619"/>
    <w:rsid w:val="000C7584"/>
    <w:rsid w:val="000D086F"/>
    <w:rsid w:val="0010326F"/>
    <w:rsid w:val="0010548D"/>
    <w:rsid w:val="00151925"/>
    <w:rsid w:val="00164DC1"/>
    <w:rsid w:val="0018589F"/>
    <w:rsid w:val="001B5BCF"/>
    <w:rsid w:val="00230EC0"/>
    <w:rsid w:val="00234D71"/>
    <w:rsid w:val="00253423"/>
    <w:rsid w:val="0027761D"/>
    <w:rsid w:val="00281435"/>
    <w:rsid w:val="00292F1B"/>
    <w:rsid w:val="002F71CA"/>
    <w:rsid w:val="00330A5A"/>
    <w:rsid w:val="0035606A"/>
    <w:rsid w:val="003578F1"/>
    <w:rsid w:val="00374D62"/>
    <w:rsid w:val="003B0A0C"/>
    <w:rsid w:val="003C1395"/>
    <w:rsid w:val="003D1973"/>
    <w:rsid w:val="00401A92"/>
    <w:rsid w:val="004026EC"/>
    <w:rsid w:val="00420C0F"/>
    <w:rsid w:val="00467D65"/>
    <w:rsid w:val="004728CC"/>
    <w:rsid w:val="0048065E"/>
    <w:rsid w:val="00482100"/>
    <w:rsid w:val="004D38B9"/>
    <w:rsid w:val="004D4E2B"/>
    <w:rsid w:val="00525795"/>
    <w:rsid w:val="00526B4A"/>
    <w:rsid w:val="0054232D"/>
    <w:rsid w:val="005559F8"/>
    <w:rsid w:val="00577CC0"/>
    <w:rsid w:val="005C40E9"/>
    <w:rsid w:val="005D3D12"/>
    <w:rsid w:val="005E0ED1"/>
    <w:rsid w:val="005E2D11"/>
    <w:rsid w:val="005E3121"/>
    <w:rsid w:val="00630D34"/>
    <w:rsid w:val="00634DE3"/>
    <w:rsid w:val="0064630A"/>
    <w:rsid w:val="00647047"/>
    <w:rsid w:val="00675DCA"/>
    <w:rsid w:val="00716408"/>
    <w:rsid w:val="0073638E"/>
    <w:rsid w:val="00790B6D"/>
    <w:rsid w:val="007B2B9C"/>
    <w:rsid w:val="00813BF0"/>
    <w:rsid w:val="00863C61"/>
    <w:rsid w:val="0086595D"/>
    <w:rsid w:val="00875244"/>
    <w:rsid w:val="008D6A30"/>
    <w:rsid w:val="00902EFE"/>
    <w:rsid w:val="00935AB9"/>
    <w:rsid w:val="009B13D1"/>
    <w:rsid w:val="009C529A"/>
    <w:rsid w:val="009C6145"/>
    <w:rsid w:val="009C7FF2"/>
    <w:rsid w:val="009E5C52"/>
    <w:rsid w:val="00A026BB"/>
    <w:rsid w:val="00A14A6F"/>
    <w:rsid w:val="00A74160"/>
    <w:rsid w:val="00AC14EA"/>
    <w:rsid w:val="00AC4CB8"/>
    <w:rsid w:val="00B24529"/>
    <w:rsid w:val="00B653DE"/>
    <w:rsid w:val="00BA703C"/>
    <w:rsid w:val="00BC0CDB"/>
    <w:rsid w:val="00BE0533"/>
    <w:rsid w:val="00BE3D8E"/>
    <w:rsid w:val="00C10962"/>
    <w:rsid w:val="00C1452D"/>
    <w:rsid w:val="00C83CE0"/>
    <w:rsid w:val="00CA528D"/>
    <w:rsid w:val="00CA5B28"/>
    <w:rsid w:val="00D15F84"/>
    <w:rsid w:val="00D4313A"/>
    <w:rsid w:val="00D53724"/>
    <w:rsid w:val="00D61785"/>
    <w:rsid w:val="00DD2EB9"/>
    <w:rsid w:val="00E80494"/>
    <w:rsid w:val="00E82B30"/>
    <w:rsid w:val="00E86BD9"/>
    <w:rsid w:val="00EA13D6"/>
    <w:rsid w:val="00EB2E61"/>
    <w:rsid w:val="00EB7195"/>
    <w:rsid w:val="00ED7A8F"/>
    <w:rsid w:val="00F14B5E"/>
    <w:rsid w:val="00F443AA"/>
    <w:rsid w:val="00F9676D"/>
    <w:rsid w:val="00FE2DC5"/>
    <w:rsid w:val="00FE6C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C3EC"/>
  <w15:chartTrackingRefBased/>
  <w15:docId w15:val="{29EB762D-1CE8-4475-957F-7923FFE6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E2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t"/>
    <w:basedOn w:val="Normal"/>
    <w:link w:val="TextonotapieCar"/>
    <w:uiPriority w:val="99"/>
    <w:unhideWhenUsed/>
    <w:qFormat/>
    <w:rsid w:val="00044E28"/>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044E28"/>
    <w:rPr>
      <w:sz w:val="20"/>
      <w:szCs w:val="20"/>
      <w:lang w:val="es-MX"/>
    </w:rPr>
  </w:style>
  <w:style w:type="character" w:styleId="Refdenotaalpie">
    <w:name w:val="footnote reference"/>
    <w:aliases w:val="Ref. de nota al pie 2,Texto de nota al pie,Footnotes refss,Appel note de bas de page,referencia nota al pie,Footnote number,BVI fnr,f,4_G,16 Point,Superscript 6 Point,Texto nota al pie,Pie de Página,FC,Texto de nota al pi,Nota de pie"/>
    <w:basedOn w:val="Fuentedeprrafopredeter"/>
    <w:uiPriority w:val="99"/>
    <w:unhideWhenUsed/>
    <w:qFormat/>
    <w:rsid w:val="00044E28"/>
    <w:rPr>
      <w:vertAlign w:val="superscript"/>
    </w:rPr>
  </w:style>
  <w:style w:type="paragraph" w:styleId="NormalWeb">
    <w:name w:val="Normal (Web)"/>
    <w:basedOn w:val="Normal"/>
    <w:link w:val="NormalWebCar"/>
    <w:uiPriority w:val="99"/>
    <w:unhideWhenUsed/>
    <w:rsid w:val="00044E28"/>
    <w:pPr>
      <w:spacing w:before="100" w:beforeAutospacing="1" w:after="100" w:afterAutospacing="1"/>
    </w:pPr>
    <w:rPr>
      <w:rFonts w:ascii="Times New Roman" w:eastAsia="Times New Roman" w:hAnsi="Times New Roman" w:cs="Times New Roman"/>
      <w:szCs w:val="24"/>
      <w:lang w:val="es-CO" w:eastAsia="es-CO"/>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44E28"/>
    <w:pPr>
      <w:ind w:left="720"/>
      <w:contextualSpacing/>
      <w:jc w:val="both"/>
    </w:pPr>
  </w:style>
  <w:style w:type="character" w:customStyle="1" w:styleId="NormalWebCar">
    <w:name w:val="Normal (Web) Car"/>
    <w:link w:val="NormalWeb"/>
    <w:uiPriority w:val="99"/>
    <w:rsid w:val="00044E28"/>
    <w:rPr>
      <w:rFonts w:ascii="Times New Roman" w:eastAsia="Times New Roman" w:hAnsi="Times New Roman" w:cs="Times New Roman"/>
      <w:sz w:val="24"/>
      <w:szCs w:val="24"/>
      <w:lang w:eastAsia="es-CO"/>
    </w:rPr>
  </w:style>
  <w:style w:type="table" w:styleId="Tablaconcuadrcula">
    <w:name w:val="Table Grid"/>
    <w:basedOn w:val="Tablanormal"/>
    <w:uiPriority w:val="39"/>
    <w:rsid w:val="00630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630D34"/>
    <w:rPr>
      <w:sz w:val="24"/>
      <w:lang w:val="es-MX"/>
    </w:rPr>
  </w:style>
  <w:style w:type="paragraph" w:styleId="Encabezado">
    <w:name w:val="header"/>
    <w:basedOn w:val="Normal"/>
    <w:link w:val="EncabezadoCar"/>
    <w:uiPriority w:val="99"/>
    <w:unhideWhenUsed/>
    <w:rsid w:val="004026EC"/>
    <w:pPr>
      <w:tabs>
        <w:tab w:val="center" w:pos="4419"/>
        <w:tab w:val="right" w:pos="8838"/>
      </w:tabs>
    </w:pPr>
  </w:style>
  <w:style w:type="character" w:customStyle="1" w:styleId="EncabezadoCar">
    <w:name w:val="Encabezado Car"/>
    <w:basedOn w:val="Fuentedeprrafopredeter"/>
    <w:link w:val="Encabezado"/>
    <w:uiPriority w:val="99"/>
    <w:rsid w:val="004026EC"/>
    <w:rPr>
      <w:sz w:val="24"/>
      <w:lang w:val="es-MX"/>
    </w:rPr>
  </w:style>
  <w:style w:type="paragraph" w:styleId="Piedepgina">
    <w:name w:val="footer"/>
    <w:basedOn w:val="Normal"/>
    <w:link w:val="PiedepginaCar"/>
    <w:uiPriority w:val="99"/>
    <w:unhideWhenUsed/>
    <w:rsid w:val="004026EC"/>
    <w:pPr>
      <w:tabs>
        <w:tab w:val="center" w:pos="4419"/>
        <w:tab w:val="right" w:pos="8838"/>
      </w:tabs>
    </w:pPr>
  </w:style>
  <w:style w:type="character" w:customStyle="1" w:styleId="PiedepginaCar">
    <w:name w:val="Pie de página Car"/>
    <w:basedOn w:val="Fuentedeprrafopredeter"/>
    <w:link w:val="Piedepgina"/>
    <w:uiPriority w:val="99"/>
    <w:rsid w:val="004026EC"/>
    <w:rPr>
      <w:sz w:val="24"/>
      <w:lang w:val="es-MX"/>
    </w:rPr>
  </w:style>
  <w:style w:type="paragraph" w:styleId="Sinespaciado">
    <w:name w:val="No Spacing"/>
    <w:aliases w:val="No Indent"/>
    <w:uiPriority w:val="3"/>
    <w:qFormat/>
    <w:rsid w:val="004026EC"/>
    <w:pPr>
      <w:spacing w:after="0" w:line="240" w:lineRule="auto"/>
    </w:pPr>
    <w:rPr>
      <w:sz w:val="24"/>
      <w:lang w:val="es-MX"/>
    </w:rPr>
  </w:style>
  <w:style w:type="paragraph" w:customStyle="1" w:styleId="InviasNormal">
    <w:name w:val="Invias Normal"/>
    <w:basedOn w:val="Normal"/>
    <w:link w:val="InviasNormalCar"/>
    <w:qFormat/>
    <w:rsid w:val="00C10962"/>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C10962"/>
    <w:rPr>
      <w:rFonts w:ascii="Arial Narrow" w:eastAsia="Times New Roman" w:hAnsi="Arial Narrow" w:cs="Times New Roman"/>
      <w:color w:val="3B3838" w:themeColor="background2" w:themeShade="40"/>
      <w:sz w:val="24"/>
      <w:szCs w:val="24"/>
      <w:lang w:val="x-none" w:eastAsia="es-ES"/>
    </w:rPr>
  </w:style>
  <w:style w:type="paragraph" w:customStyle="1" w:styleId="Default">
    <w:name w:val="Default"/>
    <w:rsid w:val="00B24529"/>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semiHidden/>
    <w:unhideWhenUsed/>
    <w:rsid w:val="005E3121"/>
    <w:rPr>
      <w:color w:val="0000FF"/>
      <w:u w:val="single"/>
    </w:rPr>
  </w:style>
  <w:style w:type="paragraph" w:styleId="Textoindependiente">
    <w:name w:val="Body Text"/>
    <w:basedOn w:val="Normal"/>
    <w:link w:val="TextoindependienteCar"/>
    <w:uiPriority w:val="1"/>
    <w:qFormat/>
    <w:rsid w:val="000A3619"/>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0A3619"/>
    <w:rPr>
      <w:rFonts w:ascii="Arial" w:eastAsia="Arial" w:hAnsi="Arial" w:cs="Arial"/>
      <w:lang w:val="es-ES"/>
    </w:rPr>
  </w:style>
  <w:style w:type="character" w:styleId="Refdecomentario">
    <w:name w:val="annotation reference"/>
    <w:basedOn w:val="Fuentedeprrafopredeter"/>
    <w:uiPriority w:val="99"/>
    <w:semiHidden/>
    <w:unhideWhenUsed/>
    <w:rsid w:val="009B13D1"/>
    <w:rPr>
      <w:sz w:val="16"/>
      <w:szCs w:val="16"/>
    </w:rPr>
  </w:style>
  <w:style w:type="paragraph" w:styleId="Textocomentario">
    <w:name w:val="annotation text"/>
    <w:basedOn w:val="Normal"/>
    <w:link w:val="TextocomentarioCar"/>
    <w:uiPriority w:val="99"/>
    <w:semiHidden/>
    <w:unhideWhenUsed/>
    <w:rsid w:val="009B13D1"/>
    <w:rPr>
      <w:sz w:val="20"/>
      <w:szCs w:val="20"/>
    </w:rPr>
  </w:style>
  <w:style w:type="character" w:customStyle="1" w:styleId="TextocomentarioCar">
    <w:name w:val="Texto comentario Car"/>
    <w:basedOn w:val="Fuentedeprrafopredeter"/>
    <w:link w:val="Textocomentario"/>
    <w:uiPriority w:val="99"/>
    <w:semiHidden/>
    <w:rsid w:val="009B13D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9B13D1"/>
    <w:rPr>
      <w:b/>
      <w:bCs/>
    </w:rPr>
  </w:style>
  <w:style w:type="character" w:customStyle="1" w:styleId="AsuntodelcomentarioCar">
    <w:name w:val="Asunto del comentario Car"/>
    <w:basedOn w:val="TextocomentarioCar"/>
    <w:link w:val="Asuntodelcomentario"/>
    <w:uiPriority w:val="99"/>
    <w:semiHidden/>
    <w:rsid w:val="009B13D1"/>
    <w:rPr>
      <w:b/>
      <w:bCs/>
      <w:sz w:val="20"/>
      <w:szCs w:val="20"/>
      <w:lang w:val="es-MX"/>
    </w:rPr>
  </w:style>
  <w:style w:type="paragraph" w:styleId="Textodeglobo">
    <w:name w:val="Balloon Text"/>
    <w:basedOn w:val="Normal"/>
    <w:link w:val="TextodegloboCar"/>
    <w:uiPriority w:val="99"/>
    <w:semiHidden/>
    <w:unhideWhenUsed/>
    <w:rsid w:val="009B13D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B13D1"/>
    <w:rPr>
      <w:rFonts w:ascii="Times New Roman" w:hAnsi="Times New Roman" w:cs="Times New Roman"/>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3749">
      <w:bodyDiv w:val="1"/>
      <w:marLeft w:val="0"/>
      <w:marRight w:val="0"/>
      <w:marTop w:val="0"/>
      <w:marBottom w:val="0"/>
      <w:divBdr>
        <w:top w:val="none" w:sz="0" w:space="0" w:color="auto"/>
        <w:left w:val="none" w:sz="0" w:space="0" w:color="auto"/>
        <w:bottom w:val="none" w:sz="0" w:space="0" w:color="auto"/>
        <w:right w:val="none" w:sz="0" w:space="0" w:color="auto"/>
      </w:divBdr>
    </w:div>
    <w:div w:id="90094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oxta2.colombiacompra.gov.co/sites/docs/_layouts/15/listform.aspx?PageType=6&amp;ListId=%7b41406f67-8aaf-444a-8f23-f6b9ad006b34%7d&amp;ID=90277"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poxta2.colombiacompra.gov.co/sites/docs/_layouts/15/listform.aspx?PageType=6&amp;ListId=%7b41406f67-8aaf-444a-8f23-f6b9ad006b34%7d&amp;ID=8615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AD8C344-55C6-4774-936E-9642202DC5F5}">
  <ds:schemaRefs>
    <ds:schemaRef ds:uri="http://schemas.microsoft.com/sharepoint/v3/contenttype/forms"/>
  </ds:schemaRefs>
</ds:datastoreItem>
</file>

<file path=customXml/itemProps2.xml><?xml version="1.0" encoding="utf-8"?>
<ds:datastoreItem xmlns:ds="http://schemas.openxmlformats.org/officeDocument/2006/customXml" ds:itemID="{ADF96186-512E-4750-A983-7D1A864FF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C93953-9434-4CBB-8D43-A361EBE0DA40}">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6291</Words>
  <Characters>35862</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Nina María Padrón</cp:lastModifiedBy>
  <cp:revision>2</cp:revision>
  <dcterms:created xsi:type="dcterms:W3CDTF">2020-08-26T17:53:00Z</dcterms:created>
  <dcterms:modified xsi:type="dcterms:W3CDTF">2020-08-26T17:53:00Z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