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Default="005A79FE" w:rsidP="005A79FE">
      <w:pPr>
        <w:spacing w:line="276" w:lineRule="auto"/>
        <w:jc w:val="right"/>
        <w:rPr>
          <w:rFonts w:ascii="Arial" w:eastAsia="Calibri" w:hAnsi="Arial" w:cs="Arial"/>
          <w:b/>
          <w:color w:val="4E4D4D"/>
          <w:sz w:val="22"/>
        </w:rPr>
      </w:pPr>
      <w:bookmarkStart w:id="0" w:name="_Hlk49324625"/>
      <w:bookmarkStart w:id="1" w:name="_GoBack"/>
      <w:bookmarkEnd w:id="1"/>
      <w:r w:rsidRPr="00BC2704">
        <w:rPr>
          <w:rFonts w:ascii="Arial" w:eastAsia="Times New Roman" w:hAnsi="Arial" w:cs="Arial"/>
          <w:color w:val="7F7F7F" w:themeColor="text1" w:themeTint="80"/>
          <w:sz w:val="16"/>
          <w:szCs w:val="16"/>
          <w:lang w:eastAsia="es-ES"/>
        </w:rPr>
        <w:t>CCE-DES-FM-17</w:t>
      </w:r>
    </w:p>
    <w:p w14:paraId="5035A3D8" w14:textId="2AB8DF83" w:rsidR="00D445CB" w:rsidRPr="00D445CB" w:rsidRDefault="00D445CB" w:rsidP="00D445CB">
      <w:pPr>
        <w:jc w:val="both"/>
        <w:rPr>
          <w:rFonts w:ascii="Arial" w:eastAsia="Calibri" w:hAnsi="Arial" w:cs="Arial"/>
          <w:b/>
          <w:bCs/>
          <w:color w:val="000000" w:themeColor="text1"/>
          <w:sz w:val="22"/>
        </w:rPr>
      </w:pPr>
      <w:r w:rsidRPr="00D445CB">
        <w:rPr>
          <w:rFonts w:ascii="Arial" w:eastAsia="Calibri" w:hAnsi="Arial" w:cs="Arial"/>
          <w:b/>
          <w:bCs/>
          <w:color w:val="000000" w:themeColor="text1"/>
          <w:sz w:val="22"/>
        </w:rPr>
        <w:t xml:space="preserve">DOCUMENTOS TIPO – </w:t>
      </w:r>
      <w:r w:rsidR="008F0BD9">
        <w:rPr>
          <w:rFonts w:ascii="Arial" w:eastAsia="Calibri" w:hAnsi="Arial" w:cs="Arial"/>
          <w:b/>
          <w:bCs/>
          <w:color w:val="000000" w:themeColor="text1"/>
          <w:sz w:val="22"/>
        </w:rPr>
        <w:t xml:space="preserve">Versión 1 </w:t>
      </w:r>
      <w:r w:rsidR="008F0BD9" w:rsidRPr="00D445CB">
        <w:rPr>
          <w:rFonts w:ascii="Arial" w:eastAsia="Calibri" w:hAnsi="Arial" w:cs="Arial"/>
          <w:b/>
          <w:bCs/>
          <w:color w:val="000000" w:themeColor="text1"/>
          <w:sz w:val="22"/>
        </w:rPr>
        <w:t xml:space="preserve">– </w:t>
      </w:r>
      <w:r w:rsidRPr="00D445CB">
        <w:rPr>
          <w:rFonts w:ascii="Arial" w:eastAsia="Calibri" w:hAnsi="Arial" w:cs="Arial"/>
          <w:b/>
          <w:bCs/>
          <w:color w:val="000000" w:themeColor="text1"/>
          <w:sz w:val="22"/>
        </w:rPr>
        <w:t>Capacidad residual – Capacidad de organización – Certificado antecedentes contador – Vigente al cierre</w:t>
      </w:r>
    </w:p>
    <w:p w14:paraId="34DB6E1C" w14:textId="77777777" w:rsidR="00D445CB" w:rsidRPr="00D445CB" w:rsidRDefault="00D445CB" w:rsidP="00D445CB">
      <w:pPr>
        <w:jc w:val="both"/>
        <w:rPr>
          <w:rFonts w:ascii="Arial" w:eastAsia="Calibri" w:hAnsi="Arial" w:cs="Arial"/>
          <w:b/>
          <w:bCs/>
          <w:color w:val="000000" w:themeColor="text1"/>
          <w:sz w:val="22"/>
        </w:rPr>
      </w:pPr>
    </w:p>
    <w:p w14:paraId="37174A34" w14:textId="04A44016" w:rsidR="00907458" w:rsidRPr="00907458" w:rsidRDefault="00D445CB" w:rsidP="00D445CB">
      <w:pPr>
        <w:jc w:val="both"/>
        <w:rPr>
          <w:rFonts w:ascii="Arial" w:eastAsia="Calibri" w:hAnsi="Arial" w:cs="Arial"/>
          <w:color w:val="000000" w:themeColor="text1"/>
          <w:sz w:val="20"/>
          <w:szCs w:val="20"/>
        </w:rPr>
      </w:pPr>
      <w:r w:rsidRPr="00124034">
        <w:rPr>
          <w:rFonts w:ascii="Arial" w:eastAsia="Calibri" w:hAnsi="Arial" w:cs="Arial"/>
          <w:color w:val="000000" w:themeColor="text1"/>
          <w:sz w:val="20"/>
          <w:szCs w:val="20"/>
        </w:rPr>
        <w:t xml:space="preserve">Los proponentes obligados a tener RUP deben presentar el certificado de antecedentes disciplinarios de los contadores con fecha de expedición no mayor a tres </w:t>
      </w:r>
      <w:r w:rsidR="00807D18">
        <w:rPr>
          <w:rFonts w:ascii="Arial" w:eastAsia="Calibri" w:hAnsi="Arial" w:cs="Arial"/>
          <w:color w:val="000000" w:themeColor="text1"/>
          <w:sz w:val="20"/>
          <w:szCs w:val="20"/>
        </w:rPr>
        <w:t>(</w:t>
      </w:r>
      <w:r w:rsidRPr="00124034">
        <w:rPr>
          <w:rFonts w:ascii="Arial" w:eastAsia="Calibri" w:hAnsi="Arial" w:cs="Arial"/>
          <w:color w:val="000000" w:themeColor="text1"/>
          <w:sz w:val="20"/>
          <w:szCs w:val="20"/>
        </w:rPr>
        <w:t>3</w:t>
      </w:r>
      <w:r w:rsidR="00807D18">
        <w:rPr>
          <w:rFonts w:ascii="Arial" w:eastAsia="Calibri" w:hAnsi="Arial" w:cs="Arial"/>
          <w:color w:val="000000" w:themeColor="text1"/>
          <w:sz w:val="20"/>
          <w:szCs w:val="20"/>
        </w:rPr>
        <w:t>)</w:t>
      </w:r>
      <w:r w:rsidRPr="00124034">
        <w:rPr>
          <w:rFonts w:ascii="Arial" w:eastAsia="Calibri" w:hAnsi="Arial" w:cs="Arial"/>
          <w:color w:val="000000" w:themeColor="text1"/>
          <w:sz w:val="20"/>
          <w:szCs w:val="20"/>
        </w:rPr>
        <w:t xml:space="preserve"> meses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w:t>
      </w:r>
      <w:r w:rsidR="00807D18">
        <w:rPr>
          <w:rFonts w:ascii="Arial" w:eastAsia="Calibri" w:hAnsi="Arial" w:cs="Arial"/>
          <w:color w:val="000000" w:themeColor="text1"/>
          <w:sz w:val="20"/>
          <w:szCs w:val="20"/>
        </w:rPr>
        <w:t>(</w:t>
      </w:r>
      <w:r w:rsidRPr="00124034">
        <w:rPr>
          <w:rFonts w:ascii="Arial" w:eastAsia="Calibri" w:hAnsi="Arial" w:cs="Arial"/>
          <w:color w:val="000000" w:themeColor="text1"/>
          <w:sz w:val="20"/>
          <w:szCs w:val="20"/>
        </w:rPr>
        <w:t>3</w:t>
      </w:r>
      <w:r w:rsidR="00807D18">
        <w:rPr>
          <w:rFonts w:ascii="Arial" w:eastAsia="Calibri" w:hAnsi="Arial" w:cs="Arial"/>
          <w:color w:val="000000" w:themeColor="text1"/>
          <w:sz w:val="20"/>
          <w:szCs w:val="20"/>
        </w:rPr>
        <w:t>)</w:t>
      </w:r>
      <w:r w:rsidRPr="00124034">
        <w:rPr>
          <w:rFonts w:ascii="Arial" w:eastAsia="Calibri" w:hAnsi="Arial" w:cs="Arial"/>
          <w:color w:val="000000" w:themeColor="text1"/>
          <w:sz w:val="20"/>
          <w:szCs w:val="20"/>
        </w:rPr>
        <w:t xml:space="preserve"> meses desde su expedición.</w:t>
      </w:r>
    </w:p>
    <w:p w14:paraId="138670EE" w14:textId="4EB9CB5E" w:rsidR="00907458" w:rsidRDefault="00907458" w:rsidP="00907458">
      <w:pPr>
        <w:jc w:val="both"/>
        <w:rPr>
          <w:rFonts w:ascii="Arial" w:eastAsia="Calibri" w:hAnsi="Arial" w:cs="Arial"/>
          <w:bCs/>
          <w:color w:val="000000" w:themeColor="text1"/>
          <w:sz w:val="20"/>
          <w:szCs w:val="20"/>
        </w:rPr>
      </w:pPr>
    </w:p>
    <w:p w14:paraId="48BBA8B1" w14:textId="77777777" w:rsidR="00124034" w:rsidRPr="00907458" w:rsidRDefault="00124034" w:rsidP="00907458">
      <w:pPr>
        <w:jc w:val="both"/>
        <w:rPr>
          <w:rFonts w:ascii="Arial" w:eastAsia="Calibri" w:hAnsi="Arial" w:cs="Arial"/>
          <w:bCs/>
          <w:color w:val="000000" w:themeColor="text1"/>
          <w:sz w:val="20"/>
          <w:szCs w:val="20"/>
        </w:rPr>
      </w:pPr>
    </w:p>
    <w:p w14:paraId="27A70B3E" w14:textId="40805B0C" w:rsidR="00907458" w:rsidRPr="00907458" w:rsidRDefault="00907458" w:rsidP="00907458">
      <w:pPr>
        <w:rPr>
          <w:rFonts w:ascii="Arial" w:eastAsia="Calibri" w:hAnsi="Arial" w:cs="Arial"/>
          <w:b/>
          <w:color w:val="000000" w:themeColor="text1"/>
          <w:sz w:val="22"/>
          <w:lang w:val="es-CO"/>
        </w:rPr>
      </w:pPr>
      <w:r w:rsidRPr="00907458">
        <w:rPr>
          <w:rFonts w:ascii="Arial" w:eastAsia="Calibri" w:hAnsi="Arial" w:cs="Arial"/>
          <w:color w:val="000000" w:themeColor="text1"/>
          <w:sz w:val="22"/>
        </w:rPr>
        <w:t xml:space="preserve">Bogotá D.C., </w:t>
      </w:r>
      <w:r w:rsidR="00C62559" w:rsidRPr="00C62559">
        <w:rPr>
          <w:rFonts w:ascii="Arial" w:eastAsia="Calibri" w:hAnsi="Arial" w:cs="Arial"/>
          <w:b/>
          <w:bCs/>
          <w:color w:val="000000" w:themeColor="text1"/>
          <w:sz w:val="22"/>
        </w:rPr>
        <w:t>26/08/2020 Hora 8:59:27s</w:t>
      </w:r>
    </w:p>
    <w:p w14:paraId="4E670684" w14:textId="160E0D4D" w:rsidR="00907458" w:rsidRPr="00907458" w:rsidRDefault="00907458" w:rsidP="00907458">
      <w:pPr>
        <w:jc w:val="right"/>
        <w:rPr>
          <w:rFonts w:ascii="Arial" w:eastAsia="Calibri" w:hAnsi="Arial" w:cs="Arial"/>
          <w:b/>
          <w:color w:val="000000" w:themeColor="text1"/>
          <w:sz w:val="22"/>
        </w:rPr>
      </w:pPr>
      <w:r w:rsidRPr="00907458">
        <w:rPr>
          <w:rFonts w:ascii="Arial" w:eastAsia="Calibri" w:hAnsi="Arial" w:cs="Arial"/>
          <w:b/>
          <w:color w:val="000000" w:themeColor="text1"/>
          <w:sz w:val="22"/>
        </w:rPr>
        <w:t xml:space="preserve">N° Radicado: </w:t>
      </w:r>
      <w:r w:rsidR="007777CE" w:rsidRPr="007777CE">
        <w:rPr>
          <w:rFonts w:ascii="Arial" w:hAnsi="Arial" w:cs="Arial"/>
          <w:b/>
          <w:sz w:val="22"/>
        </w:rPr>
        <w:t>2202013000007967</w:t>
      </w:r>
    </w:p>
    <w:p w14:paraId="6171CA3F" w14:textId="77777777" w:rsidR="00907458" w:rsidRPr="00907458" w:rsidRDefault="00907458" w:rsidP="00907458">
      <w:pPr>
        <w:rPr>
          <w:rFonts w:ascii="Arial" w:eastAsia="Calibri" w:hAnsi="Arial" w:cs="Arial"/>
          <w:color w:val="000000" w:themeColor="text1"/>
          <w:sz w:val="22"/>
        </w:rPr>
      </w:pPr>
    </w:p>
    <w:p w14:paraId="6568B9FC" w14:textId="77777777" w:rsidR="00907458" w:rsidRPr="00907458" w:rsidRDefault="00907458" w:rsidP="00907458">
      <w:pPr>
        <w:rPr>
          <w:rFonts w:ascii="Arial" w:eastAsia="Calibri" w:hAnsi="Arial" w:cs="Arial"/>
          <w:color w:val="000000" w:themeColor="text1"/>
          <w:sz w:val="22"/>
        </w:rPr>
      </w:pPr>
      <w:r w:rsidRPr="00907458">
        <w:rPr>
          <w:rFonts w:ascii="Arial" w:eastAsia="Calibri" w:hAnsi="Arial" w:cs="Arial"/>
          <w:color w:val="000000" w:themeColor="text1"/>
          <w:sz w:val="22"/>
        </w:rPr>
        <w:t>Señor</w:t>
      </w:r>
    </w:p>
    <w:p w14:paraId="7DB3F659" w14:textId="357C7DE6" w:rsidR="00907458" w:rsidRPr="00907458" w:rsidRDefault="00D445CB" w:rsidP="00907458">
      <w:pPr>
        <w:rPr>
          <w:rFonts w:ascii="Arial" w:eastAsia="Calibri" w:hAnsi="Arial" w:cs="Arial"/>
          <w:b/>
          <w:color w:val="000000" w:themeColor="text1"/>
          <w:sz w:val="22"/>
        </w:rPr>
      </w:pPr>
      <w:r>
        <w:rPr>
          <w:rFonts w:ascii="Arial" w:eastAsia="Calibri" w:hAnsi="Arial" w:cs="Arial"/>
          <w:b/>
          <w:color w:val="000000" w:themeColor="text1"/>
          <w:sz w:val="22"/>
        </w:rPr>
        <w:t>Giovanni Pineda Cortes</w:t>
      </w:r>
    </w:p>
    <w:p w14:paraId="7BFEB38F" w14:textId="77777777" w:rsidR="00907458" w:rsidRPr="00907458" w:rsidRDefault="00907458" w:rsidP="00907458">
      <w:pPr>
        <w:rPr>
          <w:rFonts w:ascii="Arial" w:eastAsia="Calibri" w:hAnsi="Arial" w:cs="Arial"/>
          <w:color w:val="000000" w:themeColor="text1"/>
          <w:sz w:val="22"/>
        </w:rPr>
      </w:pPr>
      <w:r w:rsidRPr="00907458">
        <w:rPr>
          <w:rFonts w:ascii="Arial" w:eastAsia="Calibri" w:hAnsi="Arial" w:cs="Arial"/>
          <w:color w:val="000000" w:themeColor="text1"/>
          <w:sz w:val="22"/>
        </w:rPr>
        <w:t>Villavicencio, Meta</w:t>
      </w:r>
    </w:p>
    <w:p w14:paraId="753B5F45" w14:textId="77777777" w:rsidR="00907458" w:rsidRPr="00907458" w:rsidRDefault="00907458" w:rsidP="00907458">
      <w:pPr>
        <w:rPr>
          <w:rFonts w:ascii="Arial" w:eastAsia="Calibri" w:hAnsi="Arial" w:cs="Arial"/>
          <w:color w:val="000000" w:themeColor="text1"/>
          <w:sz w:val="22"/>
        </w:rPr>
      </w:pPr>
    </w:p>
    <w:p w14:paraId="01C2D0AF" w14:textId="77777777" w:rsidR="00907458" w:rsidRPr="00907458" w:rsidRDefault="00907458" w:rsidP="00907458">
      <w:pPr>
        <w:rPr>
          <w:rFonts w:ascii="Arial" w:eastAsia="Calibri" w:hAnsi="Arial" w:cs="Arial"/>
          <w:color w:val="000000" w:themeColor="text1"/>
          <w:sz w:val="22"/>
        </w:rPr>
      </w:pPr>
    </w:p>
    <w:p w14:paraId="29CC6B5E" w14:textId="6967DC50" w:rsidR="00907458" w:rsidRPr="00907458" w:rsidRDefault="00907458" w:rsidP="00907458">
      <w:pPr>
        <w:ind w:firstLine="2694"/>
        <w:rPr>
          <w:rFonts w:ascii="Arial" w:eastAsia="Calibri" w:hAnsi="Arial" w:cs="Arial"/>
          <w:b/>
          <w:color w:val="000000" w:themeColor="text1"/>
          <w:sz w:val="22"/>
        </w:rPr>
      </w:pPr>
      <w:r w:rsidRPr="00907458">
        <w:rPr>
          <w:rFonts w:ascii="Arial" w:eastAsia="Calibri" w:hAnsi="Arial" w:cs="Arial"/>
          <w:b/>
          <w:color w:val="000000" w:themeColor="text1"/>
          <w:sz w:val="22"/>
        </w:rPr>
        <w:t xml:space="preserve">Concepto C – </w:t>
      </w:r>
      <w:r w:rsidR="008F0BD9" w:rsidRPr="008F0BD9">
        <w:rPr>
          <w:rFonts w:ascii="Arial" w:eastAsia="Calibri" w:hAnsi="Arial" w:cs="Arial"/>
          <w:b/>
          <w:color w:val="000000" w:themeColor="text1"/>
          <w:sz w:val="22"/>
        </w:rPr>
        <w:t>563</w:t>
      </w:r>
      <w:r w:rsidRPr="008F0BD9">
        <w:rPr>
          <w:rFonts w:ascii="Arial" w:eastAsia="Calibri" w:hAnsi="Arial" w:cs="Arial"/>
          <w:b/>
          <w:color w:val="000000" w:themeColor="text1"/>
          <w:sz w:val="22"/>
        </w:rPr>
        <w:t xml:space="preserve"> de 2020</w:t>
      </w:r>
    </w:p>
    <w:p w14:paraId="223FCBEB" w14:textId="77777777" w:rsidR="00907458" w:rsidRPr="00907458" w:rsidRDefault="00907458" w:rsidP="00907458">
      <w:pPr>
        <w:rPr>
          <w:rFonts w:ascii="Arial" w:eastAsia="Calibri" w:hAnsi="Arial" w:cs="Arial"/>
          <w:color w:val="000000" w:themeColor="text1"/>
          <w:sz w:val="22"/>
        </w:rPr>
      </w:pPr>
    </w:p>
    <w:tbl>
      <w:tblPr>
        <w:tblStyle w:val="Tablaconcuadrcula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7458" w:rsidRPr="00907458" w14:paraId="3D95C65F" w14:textId="77777777" w:rsidTr="00907458">
        <w:tc>
          <w:tcPr>
            <w:tcW w:w="2689" w:type="dxa"/>
            <w:hideMark/>
          </w:tcPr>
          <w:p w14:paraId="047ECDE4" w14:textId="77777777" w:rsidR="00907458" w:rsidRPr="00907458" w:rsidRDefault="00907458" w:rsidP="00907458">
            <w:pPr>
              <w:rPr>
                <w:rFonts w:ascii="Arial" w:hAnsi="Arial" w:cs="Arial"/>
                <w:color w:val="000000" w:themeColor="text1"/>
                <w:sz w:val="22"/>
              </w:rPr>
            </w:pPr>
            <w:r w:rsidRPr="00907458">
              <w:rPr>
                <w:rFonts w:ascii="Arial" w:hAnsi="Arial" w:cs="Arial"/>
                <w:b/>
                <w:color w:val="000000" w:themeColor="text1"/>
                <w:sz w:val="22"/>
              </w:rPr>
              <w:t>Temas:</w:t>
            </w:r>
            <w:r w:rsidRPr="00907458">
              <w:rPr>
                <w:rFonts w:ascii="Arial" w:hAnsi="Arial" w:cs="Arial"/>
                <w:color w:val="000000" w:themeColor="text1"/>
                <w:sz w:val="22"/>
              </w:rPr>
              <w:t xml:space="preserve">           </w:t>
            </w:r>
          </w:p>
          <w:p w14:paraId="0FAD5D4D" w14:textId="77777777" w:rsidR="00907458" w:rsidRPr="00907458" w:rsidRDefault="00907458" w:rsidP="00907458">
            <w:pPr>
              <w:rPr>
                <w:rFonts w:ascii="Arial" w:hAnsi="Arial" w:cs="Arial"/>
                <w:color w:val="000000" w:themeColor="text1"/>
                <w:sz w:val="22"/>
              </w:rPr>
            </w:pPr>
            <w:r w:rsidRPr="00907458">
              <w:rPr>
                <w:rFonts w:ascii="Arial" w:hAnsi="Arial" w:cs="Arial"/>
                <w:color w:val="000000" w:themeColor="text1"/>
                <w:sz w:val="22"/>
              </w:rPr>
              <w:t xml:space="preserve">                           </w:t>
            </w:r>
          </w:p>
        </w:tc>
        <w:tc>
          <w:tcPr>
            <w:tcW w:w="6237" w:type="dxa"/>
            <w:hideMark/>
          </w:tcPr>
          <w:p w14:paraId="08E112AA" w14:textId="2C3B2DB6" w:rsidR="00907458" w:rsidRPr="00907458" w:rsidRDefault="00907458" w:rsidP="00907458">
            <w:pPr>
              <w:jc w:val="both"/>
              <w:rPr>
                <w:rFonts w:ascii="Arial" w:hAnsi="Arial" w:cs="Arial"/>
                <w:bCs/>
                <w:color w:val="000000" w:themeColor="text1"/>
                <w:sz w:val="22"/>
              </w:rPr>
            </w:pPr>
            <w:r w:rsidRPr="00907458">
              <w:rPr>
                <w:rFonts w:ascii="Arial" w:hAnsi="Arial" w:cs="Arial"/>
                <w:bCs/>
                <w:color w:val="000000" w:themeColor="text1"/>
                <w:sz w:val="22"/>
              </w:rPr>
              <w:t>DOCUMENTOS TIPO</w:t>
            </w:r>
            <w:r w:rsidRPr="00907458">
              <w:rPr>
                <w:rFonts w:ascii="Arial" w:hAnsi="Arial" w:cs="Arial"/>
                <w:bCs/>
                <w:color w:val="000000" w:themeColor="text1"/>
                <w:sz w:val="22"/>
              </w:rPr>
              <w:softHyphen/>
              <w:t xml:space="preserve"> – Versión </w:t>
            </w:r>
            <w:r w:rsidR="008F0BD9">
              <w:rPr>
                <w:rFonts w:ascii="Arial" w:hAnsi="Arial" w:cs="Arial"/>
                <w:bCs/>
                <w:color w:val="000000" w:themeColor="text1"/>
                <w:sz w:val="22"/>
              </w:rPr>
              <w:t>1</w:t>
            </w:r>
            <w:r w:rsidRPr="00907458">
              <w:rPr>
                <w:rFonts w:ascii="Arial" w:hAnsi="Arial" w:cs="Arial"/>
                <w:bCs/>
                <w:color w:val="000000" w:themeColor="text1"/>
                <w:sz w:val="22"/>
              </w:rPr>
              <w:t xml:space="preserve"> – Capacidad residual – Capacidad organizacional – </w:t>
            </w:r>
            <w:r w:rsidR="00807D18" w:rsidRPr="00463A7F">
              <w:rPr>
                <w:rFonts w:ascii="Arial" w:hAnsi="Arial" w:cs="Arial"/>
                <w:bCs/>
                <w:color w:val="000000" w:themeColor="text1"/>
                <w:sz w:val="22"/>
              </w:rPr>
              <w:t>Certificado antecedentes contador – Vigente al cierre</w:t>
            </w:r>
            <w:r w:rsidR="00807D18" w:rsidRPr="00907458" w:rsidDel="00807D18">
              <w:rPr>
                <w:rFonts w:ascii="Arial" w:hAnsi="Arial" w:cs="Arial"/>
                <w:bCs/>
                <w:color w:val="000000" w:themeColor="text1"/>
                <w:sz w:val="22"/>
              </w:rPr>
              <w:t xml:space="preserve"> </w:t>
            </w:r>
          </w:p>
        </w:tc>
      </w:tr>
      <w:tr w:rsidR="00907458" w:rsidRPr="00907458" w14:paraId="71EBF8BA" w14:textId="77777777" w:rsidTr="00907458">
        <w:tc>
          <w:tcPr>
            <w:tcW w:w="2689" w:type="dxa"/>
            <w:hideMark/>
          </w:tcPr>
          <w:p w14:paraId="35E7F059" w14:textId="77777777" w:rsidR="00907458" w:rsidRPr="00907458" w:rsidRDefault="00907458" w:rsidP="00907458">
            <w:pPr>
              <w:spacing w:before="120"/>
              <w:rPr>
                <w:rFonts w:ascii="Arial" w:hAnsi="Arial" w:cs="Arial"/>
                <w:b/>
                <w:color w:val="000000" w:themeColor="text1"/>
                <w:sz w:val="22"/>
              </w:rPr>
            </w:pPr>
            <w:r w:rsidRPr="00907458">
              <w:rPr>
                <w:rFonts w:ascii="Arial" w:hAnsi="Arial" w:cs="Arial"/>
                <w:b/>
                <w:color w:val="000000" w:themeColor="text1"/>
                <w:sz w:val="22"/>
              </w:rPr>
              <w:t>Radicación:</w:t>
            </w:r>
            <w:r w:rsidRPr="00907458">
              <w:rPr>
                <w:rFonts w:ascii="Arial" w:hAnsi="Arial" w:cs="Arial"/>
                <w:color w:val="000000" w:themeColor="text1"/>
                <w:sz w:val="22"/>
              </w:rPr>
              <w:t xml:space="preserve">                              </w:t>
            </w:r>
          </w:p>
        </w:tc>
        <w:tc>
          <w:tcPr>
            <w:tcW w:w="6237" w:type="dxa"/>
            <w:hideMark/>
          </w:tcPr>
          <w:p w14:paraId="1DFC44E6" w14:textId="7290B03A" w:rsidR="00907458" w:rsidRPr="00907458" w:rsidRDefault="00907458" w:rsidP="00907458">
            <w:pPr>
              <w:spacing w:before="120"/>
              <w:jc w:val="both"/>
              <w:rPr>
                <w:rFonts w:ascii="Arial" w:hAnsi="Arial" w:cs="Arial"/>
                <w:color w:val="000000" w:themeColor="text1"/>
                <w:sz w:val="22"/>
              </w:rPr>
            </w:pPr>
            <w:r w:rsidRPr="00907458">
              <w:rPr>
                <w:rFonts w:ascii="Arial" w:hAnsi="Arial" w:cs="Arial"/>
                <w:color w:val="000000" w:themeColor="text1"/>
                <w:sz w:val="22"/>
              </w:rPr>
              <w:t>Respuesta a consulta 420201300000</w:t>
            </w:r>
            <w:r w:rsidR="00D445CB">
              <w:rPr>
                <w:rFonts w:ascii="Arial" w:hAnsi="Arial" w:cs="Arial"/>
                <w:color w:val="000000" w:themeColor="text1"/>
                <w:sz w:val="22"/>
              </w:rPr>
              <w:t>7158</w:t>
            </w:r>
            <w:r w:rsidRPr="00907458">
              <w:rPr>
                <w:rFonts w:ascii="Arial" w:hAnsi="Arial" w:cs="Arial"/>
                <w:color w:val="000000" w:themeColor="text1"/>
                <w:sz w:val="22"/>
              </w:rPr>
              <w:t xml:space="preserve"> </w:t>
            </w:r>
          </w:p>
        </w:tc>
      </w:tr>
      <w:tr w:rsidR="00907458" w:rsidRPr="00907458" w14:paraId="74E12C2C" w14:textId="77777777" w:rsidTr="00907458">
        <w:tc>
          <w:tcPr>
            <w:tcW w:w="2689" w:type="dxa"/>
          </w:tcPr>
          <w:p w14:paraId="04B1FB39" w14:textId="77777777" w:rsidR="00907458" w:rsidRPr="00907458" w:rsidRDefault="00907458" w:rsidP="00907458">
            <w:pPr>
              <w:spacing w:before="120"/>
              <w:rPr>
                <w:rFonts w:ascii="Arial" w:hAnsi="Arial" w:cs="Arial"/>
                <w:b/>
                <w:color w:val="000000" w:themeColor="text1"/>
                <w:sz w:val="22"/>
              </w:rPr>
            </w:pPr>
          </w:p>
        </w:tc>
        <w:tc>
          <w:tcPr>
            <w:tcW w:w="6237" w:type="dxa"/>
          </w:tcPr>
          <w:p w14:paraId="3AFF72BA" w14:textId="77777777" w:rsidR="00907458" w:rsidRPr="00907458" w:rsidRDefault="00907458" w:rsidP="00907458">
            <w:pPr>
              <w:spacing w:before="120"/>
              <w:jc w:val="both"/>
              <w:rPr>
                <w:rFonts w:ascii="Arial" w:hAnsi="Arial" w:cs="Arial"/>
                <w:color w:val="000000" w:themeColor="text1"/>
                <w:sz w:val="22"/>
              </w:rPr>
            </w:pPr>
          </w:p>
        </w:tc>
      </w:tr>
    </w:tbl>
    <w:p w14:paraId="7D6895AF" w14:textId="77777777" w:rsidR="00907458" w:rsidRPr="00907458" w:rsidRDefault="00907458" w:rsidP="00907458">
      <w:pPr>
        <w:jc w:val="both"/>
        <w:rPr>
          <w:rFonts w:ascii="Arial" w:eastAsia="Calibri" w:hAnsi="Arial" w:cs="Arial"/>
          <w:color w:val="000000" w:themeColor="text1"/>
          <w:sz w:val="22"/>
        </w:rPr>
      </w:pPr>
    </w:p>
    <w:p w14:paraId="30434499" w14:textId="0E1EC7B2" w:rsidR="00907458" w:rsidRPr="00907458" w:rsidRDefault="00907458" w:rsidP="00907458">
      <w:pPr>
        <w:rPr>
          <w:rFonts w:ascii="Arial" w:eastAsia="Calibri" w:hAnsi="Arial" w:cs="Arial"/>
          <w:color w:val="000000" w:themeColor="text1"/>
          <w:sz w:val="22"/>
        </w:rPr>
      </w:pPr>
      <w:r w:rsidRPr="00907458">
        <w:rPr>
          <w:rFonts w:ascii="Arial" w:eastAsia="Calibri" w:hAnsi="Arial" w:cs="Arial"/>
          <w:color w:val="000000" w:themeColor="text1"/>
          <w:sz w:val="22"/>
        </w:rPr>
        <w:t xml:space="preserve">Estimado señor </w:t>
      </w:r>
      <w:r w:rsidR="00D445CB">
        <w:rPr>
          <w:rFonts w:ascii="Arial" w:eastAsia="Calibri" w:hAnsi="Arial" w:cs="Arial"/>
          <w:color w:val="000000" w:themeColor="text1"/>
          <w:sz w:val="22"/>
        </w:rPr>
        <w:t>Pineda</w:t>
      </w:r>
      <w:r w:rsidRPr="00907458">
        <w:rPr>
          <w:rFonts w:ascii="Arial" w:eastAsia="Calibri" w:hAnsi="Arial" w:cs="Arial"/>
          <w:color w:val="000000" w:themeColor="text1"/>
          <w:sz w:val="22"/>
        </w:rPr>
        <w:t>:</w:t>
      </w:r>
    </w:p>
    <w:p w14:paraId="1FAB7C53" w14:textId="77777777" w:rsidR="00907458" w:rsidRPr="00907458" w:rsidRDefault="00907458" w:rsidP="00907458">
      <w:pPr>
        <w:rPr>
          <w:rFonts w:ascii="Arial" w:eastAsia="Calibri" w:hAnsi="Arial" w:cs="Arial"/>
          <w:color w:val="000000" w:themeColor="text1"/>
          <w:sz w:val="22"/>
        </w:rPr>
      </w:pPr>
    </w:p>
    <w:p w14:paraId="10CD2E5C" w14:textId="00511147" w:rsidR="00907458" w:rsidRPr="00907458" w:rsidRDefault="00907458" w:rsidP="00907458">
      <w:pPr>
        <w:spacing w:line="276" w:lineRule="auto"/>
        <w:jc w:val="both"/>
        <w:rPr>
          <w:rFonts w:ascii="Arial" w:eastAsia="Calibri" w:hAnsi="Arial" w:cs="Arial"/>
          <w:color w:val="000000" w:themeColor="text1"/>
          <w:sz w:val="22"/>
        </w:rPr>
      </w:pPr>
      <w:r w:rsidRPr="00907458">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 − Colombia Compra Eficiente responde su consulta del 1</w:t>
      </w:r>
      <w:r w:rsidR="00D445CB">
        <w:rPr>
          <w:rFonts w:ascii="Arial" w:eastAsia="Calibri" w:hAnsi="Arial" w:cs="Arial"/>
          <w:color w:val="000000" w:themeColor="text1"/>
          <w:sz w:val="22"/>
        </w:rPr>
        <w:t>8</w:t>
      </w:r>
      <w:r w:rsidRPr="00907458">
        <w:rPr>
          <w:rFonts w:ascii="Arial" w:eastAsia="Calibri" w:hAnsi="Arial" w:cs="Arial"/>
          <w:color w:val="000000" w:themeColor="text1"/>
          <w:sz w:val="22"/>
        </w:rPr>
        <w:t xml:space="preserve"> de </w:t>
      </w:r>
      <w:r w:rsidR="00D445CB">
        <w:rPr>
          <w:rFonts w:ascii="Arial" w:eastAsia="Calibri" w:hAnsi="Arial" w:cs="Arial"/>
          <w:color w:val="000000" w:themeColor="text1"/>
          <w:sz w:val="22"/>
        </w:rPr>
        <w:t>agosto</w:t>
      </w:r>
      <w:r w:rsidRPr="00907458">
        <w:rPr>
          <w:rFonts w:ascii="Arial" w:eastAsia="Calibri" w:hAnsi="Arial" w:cs="Arial"/>
          <w:color w:val="000000" w:themeColor="text1"/>
          <w:sz w:val="22"/>
        </w:rPr>
        <w:t xml:space="preserve"> de 2020.</w:t>
      </w:r>
    </w:p>
    <w:p w14:paraId="2A78275C" w14:textId="77777777" w:rsidR="00907458" w:rsidRPr="00907458" w:rsidRDefault="00907458" w:rsidP="00907458">
      <w:pPr>
        <w:spacing w:line="276" w:lineRule="auto"/>
        <w:jc w:val="both"/>
        <w:rPr>
          <w:rFonts w:ascii="Arial" w:eastAsia="Calibri" w:hAnsi="Arial" w:cs="Arial"/>
          <w:color w:val="000000" w:themeColor="text1"/>
          <w:sz w:val="22"/>
        </w:rPr>
      </w:pPr>
    </w:p>
    <w:p w14:paraId="5E8AC724" w14:textId="77777777" w:rsidR="00907458" w:rsidRPr="00907458" w:rsidRDefault="00907458" w:rsidP="00907458">
      <w:pPr>
        <w:numPr>
          <w:ilvl w:val="0"/>
          <w:numId w:val="6"/>
        </w:numPr>
        <w:tabs>
          <w:tab w:val="left" w:pos="284"/>
        </w:tabs>
        <w:spacing w:line="276" w:lineRule="auto"/>
        <w:ind w:left="0" w:firstLine="0"/>
        <w:contextualSpacing/>
        <w:jc w:val="both"/>
        <w:rPr>
          <w:rFonts w:ascii="Arial" w:hAnsi="Arial" w:cs="Arial"/>
          <w:b/>
          <w:color w:val="000000" w:themeColor="text1"/>
          <w:sz w:val="22"/>
        </w:rPr>
      </w:pPr>
      <w:r w:rsidRPr="00907458">
        <w:rPr>
          <w:rFonts w:ascii="Arial" w:hAnsi="Arial" w:cs="Arial"/>
          <w:b/>
          <w:color w:val="000000" w:themeColor="text1"/>
          <w:sz w:val="22"/>
        </w:rPr>
        <w:t xml:space="preserve">Problemas planteados </w:t>
      </w:r>
    </w:p>
    <w:p w14:paraId="0D069E4D" w14:textId="77777777" w:rsidR="00907458" w:rsidRPr="00907458" w:rsidRDefault="00907458" w:rsidP="00907458">
      <w:pPr>
        <w:tabs>
          <w:tab w:val="left" w:pos="426"/>
        </w:tabs>
        <w:spacing w:line="276" w:lineRule="auto"/>
        <w:jc w:val="both"/>
        <w:rPr>
          <w:rFonts w:ascii="Arial" w:eastAsia="Calibri" w:hAnsi="Arial" w:cs="Arial"/>
          <w:b/>
          <w:color w:val="000000" w:themeColor="text1"/>
          <w:sz w:val="22"/>
        </w:rPr>
      </w:pPr>
    </w:p>
    <w:p w14:paraId="51F3AADE" w14:textId="604B4ACF" w:rsidR="00907458" w:rsidRPr="00907458" w:rsidRDefault="00907458" w:rsidP="00907458">
      <w:pPr>
        <w:tabs>
          <w:tab w:val="left" w:pos="426"/>
        </w:tabs>
        <w:spacing w:line="276" w:lineRule="auto"/>
        <w:jc w:val="both"/>
        <w:rPr>
          <w:rFonts w:ascii="Arial" w:eastAsia="Calibri" w:hAnsi="Arial" w:cs="Arial"/>
          <w:color w:val="000000" w:themeColor="text1"/>
          <w:sz w:val="22"/>
        </w:rPr>
      </w:pPr>
      <w:r w:rsidRPr="00907458">
        <w:rPr>
          <w:rFonts w:ascii="Arial" w:eastAsia="Calibri" w:hAnsi="Arial" w:cs="Arial"/>
          <w:color w:val="000000" w:themeColor="text1"/>
          <w:sz w:val="22"/>
        </w:rPr>
        <w:t xml:space="preserve">Usted </w:t>
      </w:r>
      <w:r w:rsidR="00B23146">
        <w:rPr>
          <w:rFonts w:ascii="Arial" w:eastAsia="Calibri" w:hAnsi="Arial" w:cs="Arial"/>
          <w:color w:val="000000" w:themeColor="text1"/>
          <w:sz w:val="22"/>
        </w:rPr>
        <w:t>pregunta</w:t>
      </w:r>
      <w:r w:rsidRPr="00907458">
        <w:rPr>
          <w:rFonts w:ascii="Arial" w:eastAsia="Calibri" w:hAnsi="Arial" w:cs="Arial"/>
          <w:color w:val="000000" w:themeColor="text1"/>
          <w:sz w:val="22"/>
        </w:rPr>
        <w:t xml:space="preserve"> </w:t>
      </w:r>
      <w:r w:rsidR="00124034">
        <w:rPr>
          <w:rFonts w:ascii="Arial" w:eastAsia="Calibri" w:hAnsi="Arial" w:cs="Arial"/>
          <w:color w:val="000000" w:themeColor="text1"/>
          <w:sz w:val="22"/>
        </w:rPr>
        <w:t xml:space="preserve">en </w:t>
      </w:r>
      <w:r w:rsidR="00D445CB">
        <w:rPr>
          <w:rFonts w:ascii="Arial" w:eastAsia="Calibri" w:hAnsi="Arial" w:cs="Arial"/>
          <w:color w:val="000000" w:themeColor="text1"/>
          <w:sz w:val="22"/>
        </w:rPr>
        <w:t>los documentos tipo de licitación de obra pública de infraestructura de transporte – versión 1</w:t>
      </w:r>
      <w:r w:rsidRPr="00907458">
        <w:rPr>
          <w:rFonts w:ascii="Arial" w:eastAsia="Calibri" w:hAnsi="Arial" w:cs="Arial"/>
          <w:color w:val="000000" w:themeColor="text1"/>
          <w:sz w:val="22"/>
        </w:rPr>
        <w:t>:</w:t>
      </w:r>
      <w:r w:rsidR="00D445CB">
        <w:rPr>
          <w:rFonts w:ascii="Arial" w:eastAsia="Calibri" w:hAnsi="Arial" w:cs="Arial"/>
          <w:color w:val="000000" w:themeColor="text1"/>
          <w:sz w:val="22"/>
        </w:rPr>
        <w:t xml:space="preserve"> «</w:t>
      </w:r>
      <w:bookmarkStart w:id="2" w:name="_Hlk42692076"/>
      <w:r w:rsidR="00124034">
        <w:rPr>
          <w:rFonts w:ascii="Arial" w:eastAsia="Calibri" w:hAnsi="Arial" w:cs="Arial"/>
          <w:color w:val="000000" w:themeColor="text1"/>
          <w:sz w:val="22"/>
        </w:rPr>
        <w:t>Para acreditar la capacidad organizacional se presenta los certificados de antecedentes disciplinarios vigentes de los contadores públicos, revisores fiscales, contadores independientes, quienes suscribieron los documentos señalados en el presente literal […] cuando se refiere a “antecedentes disciplinarios vigentes”, ¿vigentes a qué fecha? ¿a</w:t>
      </w:r>
      <w:r w:rsidR="00D445CB">
        <w:rPr>
          <w:rFonts w:ascii="Arial" w:eastAsia="Calibri" w:hAnsi="Arial" w:cs="Arial"/>
          <w:color w:val="000000" w:themeColor="text1"/>
          <w:sz w:val="22"/>
        </w:rPr>
        <w:t xml:space="preserve">l cierre? </w:t>
      </w:r>
      <w:r w:rsidR="00124034">
        <w:rPr>
          <w:rFonts w:ascii="Arial" w:eastAsia="Calibri" w:hAnsi="Arial" w:cs="Arial"/>
          <w:color w:val="000000" w:themeColor="text1"/>
          <w:sz w:val="22"/>
        </w:rPr>
        <w:t>¿a</w:t>
      </w:r>
      <w:r w:rsidR="00D445CB">
        <w:rPr>
          <w:rFonts w:ascii="Arial" w:eastAsia="Calibri" w:hAnsi="Arial" w:cs="Arial"/>
          <w:color w:val="000000" w:themeColor="text1"/>
          <w:sz w:val="22"/>
        </w:rPr>
        <w:t xml:space="preserve"> la fecha de firma de los antecedentes financieros? […]»</w:t>
      </w:r>
      <w:r w:rsidRPr="00907458">
        <w:rPr>
          <w:rFonts w:ascii="Arial" w:eastAsia="Calibri" w:hAnsi="Arial" w:cs="Arial"/>
          <w:color w:val="000000" w:themeColor="text1"/>
          <w:sz w:val="22"/>
        </w:rPr>
        <w:t xml:space="preserve"> </w:t>
      </w:r>
    </w:p>
    <w:bookmarkEnd w:id="2"/>
    <w:p w14:paraId="0BEED7A6" w14:textId="08F303D5" w:rsidR="00907458" w:rsidRDefault="00907458" w:rsidP="00907458">
      <w:pPr>
        <w:tabs>
          <w:tab w:val="left" w:pos="709"/>
        </w:tabs>
        <w:spacing w:line="276" w:lineRule="auto"/>
        <w:jc w:val="both"/>
        <w:rPr>
          <w:rFonts w:ascii="Arial" w:eastAsia="Calibri" w:hAnsi="Arial" w:cs="Arial"/>
          <w:color w:val="000000" w:themeColor="text1"/>
          <w:sz w:val="22"/>
        </w:rPr>
      </w:pPr>
    </w:p>
    <w:p w14:paraId="6DE6BDF2" w14:textId="77777777" w:rsidR="00463A7F" w:rsidRPr="00907458" w:rsidRDefault="00463A7F" w:rsidP="00907458">
      <w:pPr>
        <w:tabs>
          <w:tab w:val="left" w:pos="709"/>
        </w:tabs>
        <w:spacing w:line="276" w:lineRule="auto"/>
        <w:jc w:val="both"/>
        <w:rPr>
          <w:rFonts w:ascii="Arial" w:eastAsia="Calibri" w:hAnsi="Arial" w:cs="Arial"/>
          <w:color w:val="000000" w:themeColor="text1"/>
          <w:sz w:val="22"/>
        </w:rPr>
      </w:pPr>
    </w:p>
    <w:p w14:paraId="64D3BC57" w14:textId="77777777" w:rsidR="00907458" w:rsidRPr="00907458" w:rsidRDefault="00907458" w:rsidP="00907458">
      <w:pPr>
        <w:numPr>
          <w:ilvl w:val="0"/>
          <w:numId w:val="6"/>
        </w:numPr>
        <w:tabs>
          <w:tab w:val="left" w:pos="426"/>
        </w:tabs>
        <w:spacing w:line="276" w:lineRule="auto"/>
        <w:ind w:left="284" w:hanging="284"/>
        <w:contextualSpacing/>
        <w:jc w:val="both"/>
        <w:rPr>
          <w:rFonts w:ascii="Arial" w:hAnsi="Arial" w:cs="Arial"/>
          <w:b/>
          <w:color w:val="000000" w:themeColor="text1"/>
          <w:sz w:val="22"/>
        </w:rPr>
      </w:pPr>
      <w:r w:rsidRPr="00907458">
        <w:rPr>
          <w:rFonts w:ascii="Arial" w:hAnsi="Arial" w:cs="Arial"/>
          <w:b/>
          <w:color w:val="000000" w:themeColor="text1"/>
          <w:sz w:val="22"/>
        </w:rPr>
        <w:lastRenderedPageBreak/>
        <w:t>Consideraciones</w:t>
      </w:r>
    </w:p>
    <w:p w14:paraId="29ED48EC" w14:textId="77777777" w:rsidR="00907458" w:rsidRPr="00907458" w:rsidRDefault="00907458" w:rsidP="00907458">
      <w:pPr>
        <w:spacing w:line="276" w:lineRule="auto"/>
        <w:jc w:val="both"/>
        <w:rPr>
          <w:rFonts w:ascii="Arial" w:eastAsia="Calibri" w:hAnsi="Arial" w:cs="Arial"/>
          <w:color w:val="000000" w:themeColor="text1"/>
          <w:sz w:val="22"/>
        </w:rPr>
      </w:pPr>
    </w:p>
    <w:p w14:paraId="3773921D" w14:textId="5F2CF8E3" w:rsidR="00D445CB" w:rsidRDefault="00D445CB" w:rsidP="00D445CB">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La Agencia Nacional de Contratación Pública − Colombia Compra Eficiente se ha pronunciado en diferentes conceptos </w:t>
      </w:r>
      <w:r>
        <w:rPr>
          <w:rFonts w:ascii="Arial" w:eastAsia="Calibri" w:hAnsi="Arial" w:cs="Arial"/>
          <w:color w:val="000000" w:themeColor="text1"/>
          <w:sz w:val="22"/>
        </w:rPr>
        <w:t xml:space="preserve">en relación con el requisito habilitante de capacidad residual. El concepto con radicado No. 4201912000006883 del 17 de octubre de 2019 estudió la forma como se presentan los estados financieros para acreditar la capacidad residual. </w:t>
      </w:r>
      <w:r w:rsidRPr="00F10D5A">
        <w:rPr>
          <w:rFonts w:ascii="Arial" w:eastAsia="Calibri" w:hAnsi="Arial" w:cs="Arial"/>
          <w:color w:val="000000" w:themeColor="text1"/>
          <w:sz w:val="22"/>
        </w:rPr>
        <w:t>Por otro lado, el concepto C-127 del 3 de marzo de 2020 estudió la posibilidad de subsanar el dictamen de</w:t>
      </w:r>
      <w:r>
        <w:rPr>
          <w:rFonts w:ascii="Arial" w:eastAsia="Calibri" w:hAnsi="Arial" w:cs="Arial"/>
          <w:color w:val="000000" w:themeColor="text1"/>
          <w:sz w:val="22"/>
        </w:rPr>
        <w:t>l</w:t>
      </w:r>
      <w:r w:rsidRPr="00F10D5A">
        <w:rPr>
          <w:rFonts w:ascii="Arial" w:eastAsia="Calibri" w:hAnsi="Arial" w:cs="Arial"/>
          <w:color w:val="000000" w:themeColor="text1"/>
          <w:sz w:val="22"/>
        </w:rPr>
        <w:t xml:space="preserve"> revisor fiscal para acreditar el cumplimiento de este requisito. </w:t>
      </w:r>
      <w:r w:rsidR="00022DC3">
        <w:rPr>
          <w:rFonts w:ascii="Arial" w:eastAsia="Calibri" w:hAnsi="Arial" w:cs="Arial"/>
          <w:color w:val="000000" w:themeColor="text1"/>
          <w:sz w:val="22"/>
        </w:rPr>
        <w:t>A su vez</w:t>
      </w:r>
      <w:r>
        <w:rPr>
          <w:rFonts w:ascii="Arial" w:eastAsia="Calibri" w:hAnsi="Arial" w:cs="Arial"/>
          <w:color w:val="000000" w:themeColor="text1"/>
          <w:sz w:val="22"/>
        </w:rPr>
        <w:t xml:space="preserve">, el concepto C – 112 del 16 de marzo de 2020 estudió la forma como se diligencia en los Documentos Tipo el «Formato 5D Saldo de contratos en ejecución». </w:t>
      </w:r>
      <w:r w:rsidRPr="006C15D5">
        <w:rPr>
          <w:rFonts w:ascii="Arial" w:eastAsia="Calibri" w:hAnsi="Arial" w:cs="Arial"/>
          <w:color w:val="000000" w:themeColor="text1"/>
          <w:sz w:val="22"/>
        </w:rPr>
        <w:t xml:space="preserve">Las tesis propuestas se </w:t>
      </w:r>
      <w:r w:rsidR="00807D18">
        <w:rPr>
          <w:rFonts w:ascii="Arial" w:eastAsia="Calibri" w:hAnsi="Arial" w:cs="Arial"/>
          <w:color w:val="000000" w:themeColor="text1"/>
          <w:sz w:val="22"/>
        </w:rPr>
        <w:t>reiteran</w:t>
      </w:r>
      <w:r w:rsidR="00807D18" w:rsidRPr="006C15D5">
        <w:rPr>
          <w:rFonts w:ascii="Arial" w:eastAsia="Calibri" w:hAnsi="Arial" w:cs="Arial"/>
          <w:color w:val="000000" w:themeColor="text1"/>
          <w:sz w:val="22"/>
        </w:rPr>
        <w:t xml:space="preserve"> </w:t>
      </w:r>
      <w:r w:rsidRPr="006C15D5">
        <w:rPr>
          <w:rFonts w:ascii="Arial" w:eastAsia="Calibri" w:hAnsi="Arial" w:cs="Arial"/>
          <w:color w:val="000000" w:themeColor="text1"/>
          <w:sz w:val="22"/>
        </w:rPr>
        <w:t>a continuación.</w:t>
      </w:r>
    </w:p>
    <w:p w14:paraId="67B92E23" w14:textId="77777777" w:rsidR="00D445CB" w:rsidRPr="00011A98" w:rsidRDefault="00D445CB" w:rsidP="00D445CB">
      <w:pPr>
        <w:spacing w:before="120" w:after="120" w:line="276" w:lineRule="auto"/>
        <w:ind w:firstLine="708"/>
        <w:jc w:val="both"/>
        <w:rPr>
          <w:rFonts w:ascii="Arial" w:hAnsi="Arial" w:cs="Arial"/>
          <w:color w:val="000000" w:themeColor="text1"/>
          <w:sz w:val="22"/>
        </w:rPr>
      </w:pPr>
      <w:r w:rsidRPr="00011A98">
        <w:rPr>
          <w:rFonts w:ascii="Arial" w:hAnsi="Arial" w:cs="Arial"/>
          <w:color w:val="000000" w:themeColor="text1"/>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sidRPr="00011A98">
        <w:rPr>
          <w:rFonts w:ascii="Arial" w:hAnsi="Arial" w:cs="Arial"/>
          <w:color w:val="000000" w:themeColor="text1"/>
          <w:sz w:val="22"/>
          <w:szCs w:val="20"/>
          <w:vertAlign w:val="superscript"/>
        </w:rPr>
        <w:footnoteReference w:id="1"/>
      </w:r>
      <w:r w:rsidRPr="00011A98">
        <w:rPr>
          <w:rFonts w:ascii="Arial" w:hAnsi="Arial" w:cs="Arial"/>
          <w:color w:val="000000" w:themeColor="text1"/>
          <w:sz w:val="22"/>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011A98">
        <w:rPr>
          <w:rStyle w:val="Refdenotaalpie"/>
          <w:rFonts w:ascii="Arial" w:eastAsia="Calibri" w:hAnsi="Arial" w:cs="Arial"/>
          <w:color w:val="000000" w:themeColor="text1"/>
          <w:sz w:val="22"/>
        </w:rPr>
        <w:footnoteReference w:id="2"/>
      </w:r>
      <w:r w:rsidRPr="00011A98">
        <w:rPr>
          <w:rFonts w:ascii="Arial" w:hAnsi="Arial" w:cs="Arial"/>
          <w:color w:val="000000" w:themeColor="text1"/>
          <w:sz w:val="22"/>
        </w:rPr>
        <w:t>.</w:t>
      </w:r>
    </w:p>
    <w:p w14:paraId="462BD91E" w14:textId="77777777" w:rsidR="00D445CB" w:rsidRPr="00011A98" w:rsidRDefault="00D445CB" w:rsidP="00D445CB">
      <w:pPr>
        <w:spacing w:before="120" w:after="120" w:line="276" w:lineRule="auto"/>
        <w:ind w:firstLine="708"/>
        <w:jc w:val="both"/>
        <w:rPr>
          <w:rFonts w:ascii="Arial" w:hAnsi="Arial" w:cs="Arial"/>
          <w:color w:val="000000" w:themeColor="text1"/>
          <w:sz w:val="22"/>
        </w:rPr>
      </w:pPr>
      <w:r w:rsidRPr="00011A98">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1B353D07" w14:textId="77777777" w:rsidR="00D445CB" w:rsidRPr="00011A98" w:rsidRDefault="00D445CB" w:rsidP="00D445CB">
      <w:pPr>
        <w:spacing w:line="276" w:lineRule="auto"/>
        <w:ind w:firstLine="708"/>
        <w:jc w:val="both"/>
        <w:rPr>
          <w:rFonts w:ascii="Arial" w:hAnsi="Arial" w:cs="Arial"/>
          <w:color w:val="000000" w:themeColor="text1"/>
          <w:sz w:val="22"/>
        </w:rPr>
      </w:pPr>
      <w:r w:rsidRPr="00011A98">
        <w:rPr>
          <w:rFonts w:ascii="Arial" w:hAnsi="Arial" w:cs="Arial"/>
          <w:color w:val="000000" w:themeColor="text1"/>
          <w:sz w:val="22"/>
        </w:rPr>
        <w:t xml:space="preserve">El artículo 6 de la Ley 1150 de 2007, estableció como condición «para poder participar en los procesos de selección de los contratos de obra, la capacidad residual del proponente o K de contratación», y determinó que esta debe ser igual o superior a </w:t>
      </w:r>
      <w:r>
        <w:rPr>
          <w:rFonts w:ascii="Arial" w:hAnsi="Arial" w:cs="Arial"/>
          <w:color w:val="000000" w:themeColor="text1"/>
          <w:sz w:val="22"/>
        </w:rPr>
        <w:t>establecida</w:t>
      </w:r>
      <w:r w:rsidRPr="00011A98">
        <w:rPr>
          <w:rFonts w:ascii="Arial" w:hAnsi="Arial" w:cs="Arial"/>
          <w:color w:val="000000" w:themeColor="text1"/>
          <w:sz w:val="22"/>
        </w:rPr>
        <w:t xml:space="preserve"> en los pliegos de condiciones, en los siguientes términos: </w:t>
      </w:r>
    </w:p>
    <w:p w14:paraId="6472E2F3" w14:textId="77777777" w:rsidR="00D445CB" w:rsidRPr="00011A98" w:rsidRDefault="00D445CB" w:rsidP="00D445CB">
      <w:pPr>
        <w:ind w:right="709"/>
        <w:jc w:val="both"/>
        <w:rPr>
          <w:rFonts w:ascii="Arial" w:eastAsia="Calibri" w:hAnsi="Arial" w:cs="Arial"/>
          <w:color w:val="000000" w:themeColor="text1"/>
          <w:sz w:val="21"/>
          <w:szCs w:val="21"/>
        </w:rPr>
      </w:pPr>
    </w:p>
    <w:p w14:paraId="267960F7" w14:textId="77777777" w:rsidR="00D445CB" w:rsidRPr="00011A98" w:rsidRDefault="00D445CB" w:rsidP="00D445CB">
      <w:pPr>
        <w:ind w:left="708" w:right="709"/>
        <w:jc w:val="both"/>
        <w:rPr>
          <w:rFonts w:ascii="Arial" w:eastAsia="Calibri" w:hAnsi="Arial" w:cs="Arial"/>
          <w:color w:val="000000" w:themeColor="text1"/>
          <w:sz w:val="21"/>
          <w:szCs w:val="21"/>
        </w:rPr>
      </w:pPr>
      <w:r w:rsidRPr="00011A98">
        <w:rPr>
          <w:rFonts w:ascii="Arial" w:eastAsia="Calibri" w:hAnsi="Arial" w:cs="Arial"/>
          <w:color w:val="000000" w:themeColor="text1"/>
          <w:sz w:val="21"/>
          <w:szCs w:val="21"/>
        </w:rPr>
        <w:lastRenderedPageBreak/>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89B1A9" w14:textId="77777777" w:rsidR="00D445CB" w:rsidRPr="00011A98" w:rsidRDefault="00D445CB" w:rsidP="00D445CB">
      <w:pPr>
        <w:ind w:left="708" w:right="709"/>
        <w:jc w:val="both"/>
        <w:rPr>
          <w:rFonts w:ascii="Arial" w:eastAsia="Calibri" w:hAnsi="Arial" w:cs="Arial"/>
          <w:color w:val="000000" w:themeColor="text1"/>
          <w:sz w:val="21"/>
          <w:szCs w:val="21"/>
        </w:rPr>
      </w:pPr>
    </w:p>
    <w:p w14:paraId="52715046" w14:textId="77777777" w:rsidR="00D445CB" w:rsidRDefault="00D445CB" w:rsidP="00D445CB">
      <w:pPr>
        <w:ind w:left="708" w:right="709"/>
        <w:jc w:val="both"/>
        <w:rPr>
          <w:rFonts w:ascii="Arial" w:eastAsia="Calibri" w:hAnsi="Arial" w:cs="Arial"/>
          <w:color w:val="000000" w:themeColor="text1"/>
          <w:sz w:val="21"/>
          <w:szCs w:val="21"/>
        </w:rPr>
      </w:pPr>
      <w:r w:rsidRPr="00011A98">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602169E4" w14:textId="77777777" w:rsidR="00D445CB" w:rsidRDefault="00D445CB" w:rsidP="00D445CB">
      <w:pPr>
        <w:spacing w:line="276" w:lineRule="auto"/>
        <w:ind w:right="709"/>
        <w:jc w:val="both"/>
        <w:rPr>
          <w:rFonts w:ascii="Arial" w:eastAsia="Calibri" w:hAnsi="Arial" w:cs="Arial"/>
          <w:color w:val="000000" w:themeColor="text1"/>
          <w:sz w:val="21"/>
          <w:szCs w:val="21"/>
        </w:rPr>
      </w:pPr>
    </w:p>
    <w:p w14:paraId="7CE82F35" w14:textId="77777777" w:rsidR="00D445CB" w:rsidRDefault="00D445CB" w:rsidP="00D445CB">
      <w:pPr>
        <w:spacing w:before="120" w:after="120"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72680D38" w14:textId="6EBEF1B4" w:rsidR="00D445CB" w:rsidRDefault="00D445CB" w:rsidP="00D445CB">
      <w:pPr>
        <w:spacing w:before="120" w:after="120" w:line="276" w:lineRule="auto"/>
        <w:jc w:val="both"/>
        <w:rPr>
          <w:rFonts w:ascii="Arial" w:hAnsi="Arial" w:cs="Arial"/>
          <w:color w:val="000000" w:themeColor="text1"/>
          <w:sz w:val="22"/>
        </w:rPr>
      </w:pPr>
      <w:r>
        <w:rPr>
          <w:rFonts w:ascii="Arial" w:eastAsia="Calibri" w:hAnsi="Arial" w:cs="Arial"/>
          <w:bCs/>
          <w:color w:val="000000" w:themeColor="text1"/>
          <w:sz w:val="22"/>
        </w:rPr>
        <w:tab/>
        <w:t>Definido el alcance del requisito habilitante de capacidad residual en los procesos de contratación, a continuación, se explicará la forma como se acredita este requisito en los Documentos Tipo de l</w:t>
      </w:r>
      <w:r w:rsidRPr="00D36A22">
        <w:rPr>
          <w:rFonts w:ascii="Arial" w:eastAsia="Calibri" w:hAnsi="Arial" w:cs="Arial"/>
          <w:bCs/>
          <w:color w:val="000000" w:themeColor="text1"/>
          <w:sz w:val="22"/>
        </w:rPr>
        <w:t xml:space="preserve">icitación – Versión </w:t>
      </w:r>
      <w:r w:rsidR="00B23146">
        <w:rPr>
          <w:rFonts w:ascii="Arial" w:eastAsia="Calibri" w:hAnsi="Arial" w:cs="Arial"/>
          <w:bCs/>
          <w:color w:val="000000" w:themeColor="text1"/>
          <w:sz w:val="22"/>
        </w:rPr>
        <w:t>1</w:t>
      </w:r>
      <w:r w:rsidRPr="00D36A22">
        <w:rPr>
          <w:rFonts w:ascii="Arial" w:eastAsia="Calibri" w:hAnsi="Arial" w:cs="Arial"/>
          <w:bCs/>
          <w:color w:val="000000" w:themeColor="text1"/>
          <w:sz w:val="22"/>
        </w:rPr>
        <w:t xml:space="preserve"> </w:t>
      </w:r>
      <w:r>
        <w:rPr>
          <w:rFonts w:ascii="Arial" w:eastAsia="Calibri" w:hAnsi="Arial" w:cs="Arial"/>
          <w:bCs/>
          <w:color w:val="000000" w:themeColor="text1"/>
          <w:sz w:val="22"/>
        </w:rPr>
        <w:t>de</w:t>
      </w:r>
      <w:r w:rsidRPr="00D36A22">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obra pública </w:t>
      </w:r>
      <w:r w:rsidRPr="00D36A22">
        <w:rPr>
          <w:rFonts w:ascii="Arial" w:eastAsia="Calibri" w:hAnsi="Arial" w:cs="Arial"/>
          <w:bCs/>
          <w:color w:val="000000" w:themeColor="text1"/>
          <w:sz w:val="22"/>
        </w:rPr>
        <w:t xml:space="preserve">de </w:t>
      </w:r>
      <w:r>
        <w:rPr>
          <w:rFonts w:ascii="Arial" w:eastAsia="Calibri" w:hAnsi="Arial" w:cs="Arial"/>
          <w:bCs/>
          <w:color w:val="000000" w:themeColor="text1"/>
          <w:sz w:val="22"/>
        </w:rPr>
        <w:t>i</w:t>
      </w:r>
      <w:r w:rsidRPr="00D36A22">
        <w:rPr>
          <w:rFonts w:ascii="Arial" w:eastAsia="Calibri" w:hAnsi="Arial" w:cs="Arial"/>
          <w:bCs/>
          <w:color w:val="000000" w:themeColor="text1"/>
          <w:sz w:val="22"/>
        </w:rPr>
        <w:t xml:space="preserve">nfraestructura de </w:t>
      </w:r>
      <w:r>
        <w:rPr>
          <w:rFonts w:ascii="Arial" w:eastAsia="Calibri" w:hAnsi="Arial" w:cs="Arial"/>
          <w:bCs/>
          <w:color w:val="000000" w:themeColor="text1"/>
          <w:sz w:val="22"/>
        </w:rPr>
        <w:t>t</w:t>
      </w:r>
      <w:r w:rsidRPr="00D36A22">
        <w:rPr>
          <w:rFonts w:ascii="Arial" w:eastAsia="Calibri" w:hAnsi="Arial" w:cs="Arial"/>
          <w:bCs/>
          <w:color w:val="000000" w:themeColor="text1"/>
          <w:sz w:val="22"/>
        </w:rPr>
        <w:t>ransporte</w:t>
      </w:r>
      <w:r>
        <w:rPr>
          <w:rFonts w:ascii="Arial" w:eastAsia="Calibri" w:hAnsi="Arial" w:cs="Arial"/>
          <w:bCs/>
          <w:color w:val="000000" w:themeColor="text1"/>
          <w:sz w:val="22"/>
        </w:rPr>
        <w:t xml:space="preserve">. </w:t>
      </w:r>
    </w:p>
    <w:p w14:paraId="1CD01F0C" w14:textId="0F1DB8DB" w:rsidR="00D445CB" w:rsidRDefault="00D445CB" w:rsidP="00D445CB">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t>El numeral 3.</w:t>
      </w:r>
      <w:r w:rsidR="00B23146">
        <w:rPr>
          <w:rFonts w:ascii="Arial" w:hAnsi="Arial" w:cs="Arial"/>
          <w:color w:val="000000" w:themeColor="text1"/>
          <w:sz w:val="22"/>
        </w:rPr>
        <w:t>10.1</w:t>
      </w:r>
      <w:r>
        <w:rPr>
          <w:rFonts w:ascii="Arial" w:hAnsi="Arial" w:cs="Arial"/>
          <w:color w:val="000000" w:themeColor="text1"/>
          <w:sz w:val="22"/>
        </w:rPr>
        <w:t>, de los Documentos Tipo, define que el proponente será hábil si su capacidad residual es mayor o igual a la capacidad residual del proceso de contratación. Así:</w:t>
      </w:r>
    </w:p>
    <w:p w14:paraId="7743D304" w14:textId="77777777" w:rsidR="00D445CB" w:rsidRPr="0033677B" w:rsidRDefault="00D445CB" w:rsidP="00D445CB">
      <w:pPr>
        <w:widowControl w:val="0"/>
        <w:spacing w:line="276" w:lineRule="auto"/>
        <w:jc w:val="center"/>
        <w:rPr>
          <w:rFonts w:cs="Arial"/>
          <w:szCs w:val="20"/>
        </w:rPr>
      </w:pPr>
      <m:oMathPara>
        <m:oMath>
          <m:r>
            <w:rPr>
              <w:rFonts w:ascii="Cambria Math" w:hAnsi="Cambria Math" w:cs="Arial"/>
              <w:szCs w:val="20"/>
            </w:rPr>
            <m:t>CRP ≥CRPC</m:t>
          </m:r>
        </m:oMath>
      </m:oMathPara>
    </w:p>
    <w:p w14:paraId="0003417C" w14:textId="77777777" w:rsidR="00D445CB" w:rsidRDefault="00D445CB" w:rsidP="00D445CB">
      <w:pPr>
        <w:spacing w:before="120" w:after="120" w:line="276" w:lineRule="auto"/>
        <w:jc w:val="both"/>
        <w:rPr>
          <w:rFonts w:ascii="Arial" w:hAnsi="Arial" w:cs="Arial"/>
          <w:color w:val="000000" w:themeColor="text1"/>
          <w:sz w:val="22"/>
        </w:rPr>
      </w:pPr>
    </w:p>
    <w:p w14:paraId="17F3DD6F" w14:textId="526C207C" w:rsidR="00D445CB" w:rsidRDefault="00D445CB" w:rsidP="00D445CB">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De igual manera, el numeral 3.1</w:t>
      </w:r>
      <w:r w:rsidR="00B23146">
        <w:rPr>
          <w:rFonts w:ascii="Arial" w:hAnsi="Arial" w:cs="Arial"/>
          <w:color w:val="000000" w:themeColor="text1"/>
          <w:sz w:val="22"/>
        </w:rPr>
        <w:t>0</w:t>
      </w:r>
      <w:r>
        <w:rPr>
          <w:rFonts w:ascii="Arial" w:hAnsi="Arial" w:cs="Arial"/>
          <w:color w:val="000000" w:themeColor="text1"/>
          <w:sz w:val="22"/>
        </w:rPr>
        <w:t>.2 define el método para evaluar cada uno de los factores de la capacidad residual, tales como: la Capacidad de Organización [CO], Experiencia [E], Capacidad Financiera [CF], Capacidad Técnica [CT] y Saldos contratos en ejecución [SCE].</w:t>
      </w:r>
    </w:p>
    <w:p w14:paraId="0182A553" w14:textId="52465A7D"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hAnsi="Arial" w:cs="Arial"/>
          <w:color w:val="000000" w:themeColor="text1"/>
          <w:sz w:val="22"/>
        </w:rPr>
        <w:t xml:space="preserve">En razón a que su consulta se relaciona directamente con el factor de capacidad de organización, a continuación, se explicará su alcance y la forma de para acreditarlo. </w:t>
      </w:r>
      <w:r>
        <w:rPr>
          <w:rFonts w:ascii="Arial" w:eastAsia="Calibri" w:hAnsi="Arial" w:cs="Arial"/>
          <w:color w:val="000000" w:themeColor="text1"/>
          <w:sz w:val="22"/>
        </w:rPr>
        <w:t>L</w:t>
      </w:r>
      <w:r w:rsidRPr="0012468B">
        <w:rPr>
          <w:rFonts w:ascii="Arial" w:eastAsia="Calibri" w:hAnsi="Arial" w:cs="Arial"/>
          <w:color w:val="000000" w:themeColor="text1"/>
          <w:sz w:val="22"/>
        </w:rPr>
        <w:t xml:space="preserve">a Capacidad </w:t>
      </w:r>
      <w:r>
        <w:rPr>
          <w:rFonts w:ascii="Arial" w:eastAsia="Calibri" w:hAnsi="Arial" w:cs="Arial"/>
          <w:color w:val="000000" w:themeColor="text1"/>
          <w:sz w:val="22"/>
        </w:rPr>
        <w:t xml:space="preserve">de </w:t>
      </w:r>
      <w:r w:rsidR="00B23146">
        <w:rPr>
          <w:rFonts w:ascii="Arial" w:eastAsia="Calibri" w:hAnsi="Arial" w:cs="Arial"/>
          <w:color w:val="000000" w:themeColor="text1"/>
          <w:sz w:val="22"/>
        </w:rPr>
        <w:t>o</w:t>
      </w:r>
      <w:r w:rsidRPr="0012468B">
        <w:rPr>
          <w:rFonts w:ascii="Arial" w:eastAsia="Calibri" w:hAnsi="Arial" w:cs="Arial"/>
          <w:color w:val="000000" w:themeColor="text1"/>
          <w:sz w:val="22"/>
        </w:rPr>
        <w:t>rganización</w:t>
      </w:r>
      <w:r>
        <w:rPr>
          <w:rFonts w:ascii="Arial" w:eastAsia="Calibri" w:hAnsi="Arial" w:cs="Arial"/>
          <w:color w:val="000000" w:themeColor="text1"/>
          <w:sz w:val="22"/>
        </w:rPr>
        <w:t xml:space="preserve"> corresponde a los ingresos operacion</w:t>
      </w:r>
      <w:r w:rsidR="00807D18">
        <w:rPr>
          <w:rFonts w:ascii="Arial" w:eastAsia="Calibri" w:hAnsi="Arial" w:cs="Arial"/>
          <w:color w:val="000000" w:themeColor="text1"/>
          <w:sz w:val="22"/>
        </w:rPr>
        <w:t>ales</w:t>
      </w:r>
      <w:r>
        <w:rPr>
          <w:rFonts w:ascii="Arial" w:eastAsia="Calibri" w:hAnsi="Arial" w:cs="Arial"/>
          <w:color w:val="000000" w:themeColor="text1"/>
          <w:sz w:val="22"/>
        </w:rPr>
        <w:t xml:space="preserve"> del proponente</w:t>
      </w:r>
      <w:r w:rsidR="00807D18">
        <w:rPr>
          <w:rFonts w:ascii="Arial" w:eastAsia="Calibri" w:hAnsi="Arial" w:cs="Arial"/>
          <w:color w:val="000000" w:themeColor="text1"/>
          <w:sz w:val="22"/>
        </w:rPr>
        <w:t>,</w:t>
      </w:r>
      <w:r>
        <w:rPr>
          <w:rFonts w:ascii="Arial" w:eastAsia="Calibri" w:hAnsi="Arial" w:cs="Arial"/>
          <w:color w:val="000000" w:themeColor="text1"/>
          <w:sz w:val="22"/>
        </w:rPr>
        <w:t xml:space="preserve"> teniendo en cuenta lo siguiente:</w:t>
      </w:r>
    </w:p>
    <w:p w14:paraId="0C0D12B9" w14:textId="77777777" w:rsidR="00D445CB" w:rsidRDefault="00D445CB" w:rsidP="00D445CB">
      <w:pPr>
        <w:spacing w:before="120" w:after="120" w:line="276" w:lineRule="auto"/>
        <w:ind w:firstLine="708"/>
        <w:jc w:val="both"/>
        <w:rPr>
          <w:rFonts w:ascii="Arial" w:eastAsia="Calibri" w:hAnsi="Arial" w:cs="Arial"/>
          <w:color w:val="000000" w:themeColor="text1"/>
          <w:sz w:val="22"/>
        </w:rPr>
      </w:pPr>
    </w:p>
    <w:tbl>
      <w:tblPr>
        <w:tblW w:w="0" w:type="auto"/>
        <w:jc w:val="center"/>
        <w:tblLayout w:type="fixed"/>
        <w:tblLook w:val="04A0" w:firstRow="1" w:lastRow="0" w:firstColumn="1" w:lastColumn="0" w:noHBand="0" w:noVBand="1"/>
      </w:tblPr>
      <w:tblGrid>
        <w:gridCol w:w="2630"/>
        <w:gridCol w:w="5305"/>
      </w:tblGrid>
      <w:tr w:rsidR="00D445CB" w:rsidRPr="0033677B" w14:paraId="44DEA9CC" w14:textId="77777777" w:rsidTr="00CB05AF">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6C93E975" w14:textId="77777777" w:rsidR="00D445CB" w:rsidRPr="0033677B" w:rsidRDefault="00D445CB" w:rsidP="00CB05AF">
            <w:pPr>
              <w:autoSpaceDE w:val="0"/>
              <w:autoSpaceDN w:val="0"/>
              <w:adjustRightInd w:val="0"/>
              <w:spacing w:line="276" w:lineRule="auto"/>
              <w:jc w:val="center"/>
              <w:rPr>
                <w:rFonts w:eastAsia="Arial" w:cs="Arial"/>
                <w:b/>
                <w:bCs/>
                <w:color w:val="DBDBDB" w:themeColor="background1"/>
                <w:sz w:val="16"/>
                <w:szCs w:val="16"/>
              </w:rPr>
            </w:pPr>
            <w:r w:rsidRPr="0033677B">
              <w:rPr>
                <w:rFonts w:cs="Arial"/>
                <w:b/>
                <w:bCs/>
                <w:color w:val="DBDBDB" w:themeColor="background1"/>
                <w:sz w:val="16"/>
                <w:szCs w:val="16"/>
              </w:rPr>
              <w:t>Años</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de</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información</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financiera</w:t>
            </w:r>
            <w:r w:rsidRPr="0033677B">
              <w:rPr>
                <w:rFonts w:eastAsia="Arial" w:cs="Arial"/>
                <w:b/>
                <w:bCs/>
                <w:color w:val="DBDBDB"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01701B94" w14:textId="77777777" w:rsidR="00D445CB" w:rsidRPr="0033677B" w:rsidRDefault="00D445CB" w:rsidP="00CB05AF">
            <w:pPr>
              <w:autoSpaceDE w:val="0"/>
              <w:autoSpaceDN w:val="0"/>
              <w:adjustRightInd w:val="0"/>
              <w:spacing w:line="276" w:lineRule="auto"/>
              <w:jc w:val="center"/>
              <w:rPr>
                <w:rFonts w:eastAsia="Arial" w:cs="Arial"/>
                <w:b/>
                <w:bCs/>
                <w:color w:val="DBDBDB" w:themeColor="background1"/>
                <w:sz w:val="16"/>
                <w:szCs w:val="16"/>
              </w:rPr>
            </w:pPr>
            <w:r w:rsidRPr="0033677B">
              <w:rPr>
                <w:rFonts w:cs="Arial"/>
                <w:b/>
                <w:bCs/>
                <w:color w:val="DBDBDB" w:themeColor="background1"/>
                <w:sz w:val="16"/>
                <w:szCs w:val="16"/>
              </w:rPr>
              <w:t>Capacidad</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de</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organización</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(CO)</w:t>
            </w:r>
            <w:r w:rsidRPr="0033677B">
              <w:rPr>
                <w:rFonts w:eastAsia="Arial" w:cs="Arial"/>
                <w:b/>
                <w:bCs/>
                <w:color w:val="DBDBDB" w:themeColor="background1"/>
                <w:sz w:val="16"/>
                <w:szCs w:val="16"/>
              </w:rPr>
              <w:t xml:space="preserve"> </w:t>
            </w:r>
          </w:p>
        </w:tc>
      </w:tr>
      <w:tr w:rsidR="00D445CB" w:rsidRPr="0033677B" w14:paraId="3965F796" w14:textId="77777777" w:rsidTr="00CB05AF">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D24D752"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t>Cinco</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r w:rsidRPr="0033677B">
              <w:rPr>
                <w:rFonts w:eastAsia="Arial" w:cs="Arial"/>
                <w:sz w:val="16"/>
                <w:szCs w:val="16"/>
              </w:rPr>
              <w:t xml:space="preserve"> </w:t>
            </w:r>
            <w:r w:rsidRPr="0033677B">
              <w:rPr>
                <w:rFonts w:cs="Arial"/>
                <w:sz w:val="16"/>
                <w:szCs w:val="16"/>
              </w:rPr>
              <w:t>o</w:t>
            </w:r>
            <w:r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9652C6B"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t>Mayor</w:t>
            </w:r>
            <w:r w:rsidRPr="0033677B">
              <w:rPr>
                <w:rFonts w:eastAsia="Arial" w:cs="Arial"/>
                <w:sz w:val="16"/>
                <w:szCs w:val="16"/>
              </w:rPr>
              <w:t xml:space="preserve"> </w:t>
            </w:r>
            <w:r w:rsidRPr="0033677B">
              <w:rPr>
                <w:rFonts w:cs="Arial"/>
                <w:sz w:val="16"/>
                <w:szCs w:val="16"/>
              </w:rPr>
              <w:t>Ingreso</w:t>
            </w:r>
            <w:r w:rsidRPr="0033677B">
              <w:rPr>
                <w:rFonts w:eastAsia="Arial" w:cs="Arial"/>
                <w:sz w:val="16"/>
                <w:szCs w:val="16"/>
              </w:rPr>
              <w:t xml:space="preserve"> </w:t>
            </w:r>
            <w:r w:rsidRPr="0033677B">
              <w:rPr>
                <w:rFonts w:cs="Arial"/>
                <w:sz w:val="16"/>
                <w:szCs w:val="16"/>
              </w:rPr>
              <w:t>Operacional</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los</w:t>
            </w:r>
            <w:r w:rsidRPr="0033677B">
              <w:rPr>
                <w:rFonts w:eastAsia="Arial" w:cs="Arial"/>
                <w:sz w:val="16"/>
                <w:szCs w:val="16"/>
              </w:rPr>
              <w:t xml:space="preserve"> </w:t>
            </w:r>
            <w:r w:rsidRPr="0033677B">
              <w:rPr>
                <w:rFonts w:cs="Arial"/>
                <w:sz w:val="16"/>
                <w:szCs w:val="16"/>
              </w:rPr>
              <w:t>últimos</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p>
        </w:tc>
      </w:tr>
      <w:tr w:rsidR="00D445CB" w:rsidRPr="0033677B" w14:paraId="5869325D" w14:textId="77777777" w:rsidTr="00CB05AF">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17D812EE"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t>Entre</w:t>
            </w:r>
            <w:r w:rsidRPr="0033677B">
              <w:rPr>
                <w:rFonts w:eastAsia="Arial" w:cs="Arial"/>
                <w:sz w:val="16"/>
                <w:szCs w:val="16"/>
              </w:rPr>
              <w:t xml:space="preserve"> </w:t>
            </w:r>
            <w:r w:rsidRPr="0033677B">
              <w:rPr>
                <w:rFonts w:cs="Arial"/>
                <w:sz w:val="16"/>
                <w:szCs w:val="16"/>
              </w:rPr>
              <w:t>uno</w:t>
            </w:r>
            <w:r w:rsidRPr="0033677B">
              <w:rPr>
                <w:rFonts w:eastAsia="Arial" w:cs="Arial"/>
                <w:sz w:val="16"/>
                <w:szCs w:val="16"/>
              </w:rPr>
              <w:t xml:space="preserve"> </w:t>
            </w:r>
            <w:r w:rsidRPr="0033677B">
              <w:rPr>
                <w:rFonts w:cs="Arial"/>
                <w:sz w:val="16"/>
                <w:szCs w:val="16"/>
              </w:rPr>
              <w:t>(1)</w:t>
            </w:r>
            <w:r w:rsidRPr="0033677B">
              <w:rPr>
                <w:rFonts w:eastAsia="Arial" w:cs="Arial"/>
                <w:sz w:val="16"/>
                <w:szCs w:val="16"/>
              </w:rPr>
              <w:t xml:space="preserve"> </w:t>
            </w:r>
            <w:r w:rsidRPr="0033677B">
              <w:rPr>
                <w:rFonts w:cs="Arial"/>
                <w:sz w:val="16"/>
                <w:szCs w:val="16"/>
              </w:rPr>
              <w:t>y</w:t>
            </w:r>
            <w:r w:rsidRPr="0033677B">
              <w:rPr>
                <w:rFonts w:eastAsia="Arial" w:cs="Arial"/>
                <w:sz w:val="16"/>
                <w:szCs w:val="16"/>
              </w:rPr>
              <w:t xml:space="preserve"> </w:t>
            </w:r>
            <w:r w:rsidRPr="0033677B">
              <w:rPr>
                <w:rFonts w:cs="Arial"/>
                <w:sz w:val="16"/>
                <w:szCs w:val="16"/>
              </w:rPr>
              <w:t>cinco</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75AFB58"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t>Mayor</w:t>
            </w:r>
            <w:r w:rsidRPr="0033677B">
              <w:rPr>
                <w:rFonts w:eastAsia="Arial" w:cs="Arial"/>
                <w:sz w:val="16"/>
                <w:szCs w:val="16"/>
              </w:rPr>
              <w:t xml:space="preserve"> </w:t>
            </w:r>
            <w:r w:rsidRPr="0033677B">
              <w:rPr>
                <w:rFonts w:cs="Arial"/>
                <w:sz w:val="16"/>
                <w:szCs w:val="16"/>
              </w:rPr>
              <w:t>Ingreso</w:t>
            </w:r>
            <w:r w:rsidRPr="0033677B">
              <w:rPr>
                <w:rFonts w:eastAsia="Arial" w:cs="Arial"/>
                <w:sz w:val="16"/>
                <w:szCs w:val="16"/>
              </w:rPr>
              <w:t xml:space="preserve"> </w:t>
            </w:r>
            <w:r w:rsidRPr="0033677B">
              <w:rPr>
                <w:rFonts w:cs="Arial"/>
                <w:sz w:val="16"/>
                <w:szCs w:val="16"/>
              </w:rPr>
              <w:t>Operacional</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 xml:space="preserve">los años de existencia del Proponente. </w:t>
            </w:r>
          </w:p>
        </w:tc>
      </w:tr>
      <w:tr w:rsidR="00D445CB" w:rsidRPr="0033677B" w14:paraId="2F971E35" w14:textId="77777777" w:rsidTr="00CB05AF">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56BDF9FE"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lastRenderedPageBreak/>
              <w:t>Menos</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un</w:t>
            </w:r>
            <w:r w:rsidRPr="0033677B">
              <w:rPr>
                <w:rFonts w:eastAsia="Arial" w:cs="Arial"/>
                <w:sz w:val="16"/>
                <w:szCs w:val="16"/>
              </w:rPr>
              <w:t xml:space="preserve"> </w:t>
            </w:r>
            <w:r w:rsidRPr="0033677B">
              <w:rPr>
                <w:rFonts w:cs="Arial"/>
                <w:sz w:val="16"/>
                <w:szCs w:val="16"/>
              </w:rPr>
              <w:t>(1)</w:t>
            </w:r>
            <w:r w:rsidRPr="0033677B">
              <w:rPr>
                <w:rFonts w:eastAsia="Arial" w:cs="Arial"/>
                <w:sz w:val="16"/>
                <w:szCs w:val="16"/>
              </w:rPr>
              <w:t xml:space="preserve"> </w:t>
            </w:r>
            <w:r w:rsidRPr="0033677B">
              <w:rPr>
                <w:rFonts w:cs="Arial"/>
                <w:sz w:val="16"/>
                <w:szCs w:val="16"/>
              </w:rPr>
              <w:t>año</w:t>
            </w:r>
            <w:r w:rsidRPr="0033677B">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512C67CE" w14:textId="77777777" w:rsidR="00D445CB" w:rsidRPr="0033677B" w:rsidRDefault="00D445CB" w:rsidP="00CB05AF">
            <w:pPr>
              <w:autoSpaceDE w:val="0"/>
              <w:autoSpaceDN w:val="0"/>
              <w:adjustRightInd w:val="0"/>
              <w:spacing w:line="276" w:lineRule="auto"/>
              <w:jc w:val="center"/>
              <w:rPr>
                <w:rFonts w:eastAsia="Arial" w:cs="Arial"/>
                <w:sz w:val="16"/>
                <w:szCs w:val="16"/>
              </w:rPr>
            </w:pPr>
            <w:r w:rsidRPr="0033677B">
              <w:rPr>
                <w:rFonts w:cs="Arial"/>
                <w:sz w:val="16"/>
                <w:szCs w:val="16"/>
              </w:rPr>
              <w:t>USD</w:t>
            </w:r>
            <w:r w:rsidRPr="0033677B">
              <w:rPr>
                <w:rFonts w:eastAsia="Arial" w:cs="Arial"/>
                <w:sz w:val="16"/>
                <w:szCs w:val="16"/>
              </w:rPr>
              <w:t xml:space="preserve"> </w:t>
            </w:r>
            <w:r w:rsidRPr="0033677B">
              <w:rPr>
                <w:rFonts w:cs="Arial"/>
                <w:sz w:val="16"/>
                <w:szCs w:val="16"/>
              </w:rPr>
              <w:t>125.000</w:t>
            </w:r>
            <w:r w:rsidRPr="0033677B">
              <w:rPr>
                <w:rFonts w:eastAsia="Arial" w:cs="Arial"/>
                <w:sz w:val="16"/>
                <w:szCs w:val="16"/>
              </w:rPr>
              <w:t xml:space="preserve"> (</w:t>
            </w:r>
            <w:r w:rsidRPr="0033677B">
              <w:rPr>
                <w:rFonts w:cs="Arial"/>
                <w:sz w:val="16"/>
                <w:szCs w:val="16"/>
              </w:rPr>
              <w:t>Liquidados a la tasa de cambio determinada por el Ministerio de Comercio, Industria y Turismo cada 2 años para efectos del umbral del beneficio de las Mipyme.</w:t>
            </w:r>
            <w:r w:rsidRPr="0033677B">
              <w:rPr>
                <w:rFonts w:eastAsia="Arial" w:cs="Arial"/>
                <w:sz w:val="16"/>
                <w:szCs w:val="16"/>
              </w:rPr>
              <w:t>)</w:t>
            </w:r>
          </w:p>
        </w:tc>
      </w:tr>
    </w:tbl>
    <w:p w14:paraId="536E9EF6" w14:textId="77777777" w:rsidR="00D445CB" w:rsidRDefault="00D445CB" w:rsidP="00D445CB">
      <w:pPr>
        <w:spacing w:before="120" w:after="120" w:line="276" w:lineRule="auto"/>
        <w:ind w:firstLine="708"/>
        <w:jc w:val="both"/>
        <w:rPr>
          <w:rFonts w:ascii="Arial" w:eastAsia="Calibri" w:hAnsi="Arial" w:cs="Arial"/>
          <w:color w:val="000000" w:themeColor="text1"/>
          <w:sz w:val="22"/>
        </w:rPr>
      </w:pPr>
    </w:p>
    <w:p w14:paraId="6368F7CC" w14:textId="77777777" w:rsidR="00B23146" w:rsidRDefault="00B23146" w:rsidP="00B2314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En la primera versión de los Documentos Tipo de licitación de obra pública de infraestructura de transporte, en el numeral 3.10.2, se definió que para acreditar la capacidad de organización (CO) el proponente debe presentar los siguientes documentos:</w:t>
      </w:r>
    </w:p>
    <w:p w14:paraId="4CF738EE" w14:textId="77777777" w:rsidR="00B23146" w:rsidRDefault="00B23146" w:rsidP="00B2314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434FEAE9" w14:textId="77777777" w:rsidR="00B23146" w:rsidRDefault="00B23146" w:rsidP="00B2314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 xml:space="preserve">ii) Información financiera auditada y aprobada por el máximo órgano social que pretende acreditar el proponente. </w:t>
      </w:r>
    </w:p>
    <w:p w14:paraId="6BF3CE6C" w14:textId="77777777" w:rsidR="00B23146" w:rsidRDefault="00B23146" w:rsidP="00B23146">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iii)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03430704" w14:textId="77777777" w:rsidR="00B23146" w:rsidRDefault="00B23146" w:rsidP="00B23146">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iv)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3D70C8A5" w14:textId="77777777" w:rsidR="00B23146" w:rsidRDefault="00B23146" w:rsidP="00B23146">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v) Copia de la tarjeta profesional y certificado de antecedentes disciplinarios vigentes de los contadores públicos, revisores fiscales, contadores independientes (externos), quienes suscribieron los documentos señalados previamente. </w:t>
      </w:r>
    </w:p>
    <w:p w14:paraId="2ACE3185" w14:textId="700A3FFB" w:rsidR="00B23146" w:rsidRDefault="00B23146" w:rsidP="00B23146">
      <w:pPr>
        <w:spacing w:line="276" w:lineRule="auto"/>
        <w:jc w:val="both"/>
        <w:rPr>
          <w:rFonts w:ascii="Arial" w:hAnsi="Arial" w:cs="Arial"/>
          <w:color w:val="000000" w:themeColor="text1"/>
          <w:sz w:val="22"/>
        </w:rPr>
      </w:pPr>
      <w:r>
        <w:rPr>
          <w:rFonts w:ascii="Arial" w:hAnsi="Arial" w:cs="Arial"/>
          <w:color w:val="000000" w:themeColor="text1"/>
          <w:sz w:val="22"/>
        </w:rPr>
        <w:tab/>
        <w:t>Por su parte, los proponentes e integrantes extranjeros sin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 Eficiente.</w:t>
      </w:r>
    </w:p>
    <w:p w14:paraId="434E820D" w14:textId="54456077" w:rsidR="00B23146" w:rsidRDefault="00B23146" w:rsidP="00B23146">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t xml:space="preserve">Asimismo, </w:t>
      </w:r>
      <w:r w:rsidR="00904B44">
        <w:rPr>
          <w:rFonts w:ascii="Arial" w:hAnsi="Arial" w:cs="Arial"/>
          <w:color w:val="000000" w:themeColor="text1"/>
          <w:sz w:val="22"/>
        </w:rPr>
        <w:t xml:space="preserve">se establece </w:t>
      </w:r>
      <w:r>
        <w:rPr>
          <w:rFonts w:ascii="Arial" w:hAnsi="Arial" w:cs="Arial"/>
          <w:color w:val="000000" w:themeColor="text1"/>
          <w:sz w:val="22"/>
        </w:rPr>
        <w:t>que adicional a lo anterior, deben allegar la traducción al idioma castellano de la información financiera</w:t>
      </w:r>
      <w:r w:rsidR="00904B44">
        <w:rPr>
          <w:rFonts w:ascii="Arial" w:hAnsi="Arial" w:cs="Arial"/>
          <w:color w:val="000000" w:themeColor="text1"/>
          <w:sz w:val="22"/>
        </w:rPr>
        <w:t xml:space="preserve"> de</w:t>
      </w:r>
      <w:r>
        <w:rPr>
          <w:rFonts w:ascii="Arial" w:hAnsi="Arial" w:cs="Arial"/>
          <w:color w:val="000000" w:themeColor="text1"/>
          <w:sz w:val="22"/>
        </w:rPr>
        <w:t xml:space="preserve">: </w:t>
      </w:r>
      <w:r>
        <w:rPr>
          <w:rFonts w:ascii="Arial" w:eastAsia="Calibri" w:hAnsi="Arial" w:cs="Arial"/>
          <w:color w:val="3B3838"/>
          <w:sz w:val="20"/>
          <w:lang w:val="es-CO"/>
        </w:rPr>
        <w:t>(</w:t>
      </w:r>
      <w:r>
        <w:rPr>
          <w:rFonts w:ascii="Arial" w:hAnsi="Arial" w:cs="Arial"/>
          <w:color w:val="000000" w:themeColor="text1"/>
          <w:sz w:val="22"/>
        </w:rPr>
        <w:t xml:space="preserve">i) los valores convertidos a pesos colombianos a la tasa de cambio de la fecha de corte de los mismos; (ii) presentados de </w:t>
      </w:r>
      <w:r>
        <w:rPr>
          <w:rFonts w:ascii="Arial" w:hAnsi="Arial" w:cs="Arial"/>
          <w:color w:val="000000" w:themeColor="text1"/>
          <w:sz w:val="22"/>
        </w:rPr>
        <w:lastRenderedPageBreak/>
        <w:t xml:space="preserve">acuerdo con las normas NIIF; (iii) expresados en pesos colombianos, convertidos a la tasa representativa del mercado (TRM) de la fecha de corte de los mismos en los términos descritos en la sección 1.13 del Pliego de Condiciones y (iv) debidamente firmados por el Contador Público Colombiano que los hubiere convertido. </w:t>
      </w:r>
    </w:p>
    <w:p w14:paraId="71E7F424" w14:textId="123181AE" w:rsidR="00D445CB" w:rsidRDefault="00D445CB" w:rsidP="00D445CB">
      <w:pPr>
        <w:spacing w:before="120"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Ahora bien, tal y como se explicó previamente, los proponentes entregarán el estado de resultados integral del año en que hayan obtenido mayor ingreso operacional y copia de la tarjeta profesional y certificado de antecedentes disciplinarios de los contadores públicos que suscribieron esos documentos. De este modo, si el proponente presenta el estado de resultados integral del año 2017 se deberá presentar la tarjeta profesional y la copia del certificado de antecedentes disciplinarios del contador que suscribió ese estado financiero en el año 2017. </w:t>
      </w:r>
    </w:p>
    <w:p w14:paraId="6A8E089B" w14:textId="43289DA6"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relación con el certificado de antecedentes disciplinarios del contador usted pregunta: ¿los mencionados antecedentes deben estar vigentes a la fecha del cierre del proceso o el certificado de los antecedentes de contadores vigentes a </w:t>
      </w:r>
      <w:r w:rsidR="00124034">
        <w:rPr>
          <w:rFonts w:ascii="Arial" w:eastAsia="Calibri" w:hAnsi="Arial" w:cs="Arial"/>
          <w:color w:val="000000" w:themeColor="text1"/>
          <w:sz w:val="22"/>
        </w:rPr>
        <w:t>la fecha de la firma de los estados financieros</w:t>
      </w:r>
      <w:r>
        <w:rPr>
          <w:rFonts w:ascii="Arial" w:eastAsia="Calibri" w:hAnsi="Arial" w:cs="Arial"/>
          <w:color w:val="000000" w:themeColor="text1"/>
          <w:sz w:val="22"/>
        </w:rPr>
        <w:t>?</w:t>
      </w:r>
    </w:p>
    <w:p w14:paraId="65ED0224" w14:textId="07E31C0E"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El Ministerio de Educación Nacional, en la resolución 074 de 2002, reglamenta los certificados de vigencia de inscripción y antecedentes disciplinarios del contador público, y, en el artículo 2, señala que estos certificados se expedirán previa solicitud del interesado, cuando se requiera acreditar la calidad de contador público y siempre que se solicite información histórica sobre los antecedentes disciplinarios del inscrito</w:t>
      </w:r>
      <w:r>
        <w:rPr>
          <w:rStyle w:val="Refdenotaalpie"/>
          <w:rFonts w:ascii="Arial" w:eastAsia="Calibri" w:hAnsi="Arial" w:cs="Arial"/>
          <w:color w:val="000000" w:themeColor="text1"/>
          <w:sz w:val="22"/>
        </w:rPr>
        <w:footnoteReference w:id="3"/>
      </w:r>
      <w:r>
        <w:rPr>
          <w:rFonts w:ascii="Arial" w:eastAsia="Calibri" w:hAnsi="Arial" w:cs="Arial"/>
          <w:color w:val="000000" w:themeColor="text1"/>
          <w:sz w:val="22"/>
        </w:rPr>
        <w:t xml:space="preserve">. De igual forma, se indica que estos certificados deben contener las anotaciones de providencias ejecutoriadas dentro de los cinco </w:t>
      </w:r>
      <w:r w:rsidR="00904B44">
        <w:rPr>
          <w:rFonts w:ascii="Arial" w:eastAsia="Calibri" w:hAnsi="Arial" w:cs="Arial"/>
          <w:color w:val="000000" w:themeColor="text1"/>
          <w:sz w:val="22"/>
        </w:rPr>
        <w:t>(</w:t>
      </w:r>
      <w:r>
        <w:rPr>
          <w:rFonts w:ascii="Arial" w:eastAsia="Calibri" w:hAnsi="Arial" w:cs="Arial"/>
          <w:color w:val="000000" w:themeColor="text1"/>
          <w:sz w:val="22"/>
        </w:rPr>
        <w:t>5</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años anteriores a su expedición y, en todo caso, aquellas que se refieran a sanciones o inhabilidades que se encuentren vigentes en dicho momento</w:t>
      </w:r>
      <w:r>
        <w:rPr>
          <w:rStyle w:val="Refdenotaalpie"/>
          <w:rFonts w:ascii="Arial" w:eastAsia="Calibri" w:hAnsi="Arial" w:cs="Arial"/>
          <w:color w:val="000000" w:themeColor="text1"/>
          <w:sz w:val="22"/>
        </w:rPr>
        <w:footnoteReference w:id="4"/>
      </w:r>
      <w:r>
        <w:rPr>
          <w:rFonts w:ascii="Arial" w:eastAsia="Calibri" w:hAnsi="Arial" w:cs="Arial"/>
          <w:color w:val="000000" w:themeColor="text1"/>
          <w:sz w:val="22"/>
        </w:rPr>
        <w:t xml:space="preserve">. </w:t>
      </w:r>
    </w:p>
    <w:p w14:paraId="50780521" w14:textId="71F851CE"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Por su parte, el artículo 5 </w:t>
      </w:r>
      <w:r w:rsidR="00904B44">
        <w:rPr>
          <w:rFonts w:ascii="Arial" w:eastAsia="Calibri" w:hAnsi="Arial" w:cs="Arial"/>
          <w:color w:val="000000" w:themeColor="text1"/>
          <w:sz w:val="22"/>
        </w:rPr>
        <w:t xml:space="preserve">establece </w:t>
      </w:r>
      <w:r>
        <w:rPr>
          <w:rFonts w:ascii="Arial" w:eastAsia="Calibri" w:hAnsi="Arial" w:cs="Arial"/>
          <w:color w:val="000000" w:themeColor="text1"/>
          <w:sz w:val="22"/>
        </w:rPr>
        <w:t xml:space="preserve">que el certificado de vigencia de inscripción y de antecedentes disciplinarios debe contener la siguiente información: </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d) si el profesional tiene o no vigente su inscripción ante la Junta Central de Contadores y si durante los últimos cinco </w:t>
      </w:r>
      <w:r w:rsidR="00904B44">
        <w:rPr>
          <w:rFonts w:ascii="Arial" w:eastAsia="Calibri" w:hAnsi="Arial" w:cs="Arial"/>
          <w:color w:val="000000" w:themeColor="text1"/>
          <w:sz w:val="22"/>
        </w:rPr>
        <w:t>(</w:t>
      </w:r>
      <w:r>
        <w:rPr>
          <w:rFonts w:ascii="Arial" w:eastAsia="Calibri" w:hAnsi="Arial" w:cs="Arial"/>
          <w:color w:val="000000" w:themeColor="text1"/>
          <w:sz w:val="22"/>
        </w:rPr>
        <w:t>5</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años, o desde su registro como contador público, presenta o no anotaciones sobre antecedentes disciplinarios</w:t>
      </w:r>
      <w:r w:rsidR="00904B44">
        <w:rPr>
          <w:rFonts w:ascii="Arial" w:eastAsia="Calibri" w:hAnsi="Arial" w:cs="Arial"/>
          <w:color w:val="000000" w:themeColor="text1"/>
          <w:sz w:val="22"/>
        </w:rPr>
        <w:t>»</w:t>
      </w:r>
      <w:r>
        <w:rPr>
          <w:rStyle w:val="Refdenotaalpie"/>
          <w:rFonts w:ascii="Arial" w:eastAsia="Calibri" w:hAnsi="Arial" w:cs="Arial"/>
          <w:color w:val="000000" w:themeColor="text1"/>
          <w:sz w:val="22"/>
        </w:rPr>
        <w:footnoteReference w:id="5"/>
      </w:r>
      <w:r>
        <w:rPr>
          <w:rFonts w:ascii="Arial" w:eastAsia="Calibri" w:hAnsi="Arial" w:cs="Arial"/>
          <w:color w:val="000000" w:themeColor="text1"/>
          <w:sz w:val="22"/>
        </w:rPr>
        <w:t xml:space="preserve">. Conforme a lo anterior, el certificado de antecedentes </w:t>
      </w:r>
      <w:r>
        <w:rPr>
          <w:rFonts w:ascii="Arial" w:eastAsia="Calibri" w:hAnsi="Arial" w:cs="Arial"/>
          <w:color w:val="000000" w:themeColor="text1"/>
          <w:sz w:val="22"/>
        </w:rPr>
        <w:lastRenderedPageBreak/>
        <w:t xml:space="preserve">disciplinarios del contador público debe contener las anotaciones de providencias ejecutoriadas dentro de los cinco años anteriores a su expedición, y de igual forma </w:t>
      </w:r>
      <w:r w:rsidR="00904B44">
        <w:rPr>
          <w:rFonts w:ascii="Arial" w:eastAsia="Calibri" w:hAnsi="Arial" w:cs="Arial"/>
          <w:color w:val="000000" w:themeColor="text1"/>
          <w:sz w:val="22"/>
        </w:rPr>
        <w:t>debe identificar</w:t>
      </w:r>
      <w:r>
        <w:rPr>
          <w:rFonts w:ascii="Arial" w:eastAsia="Calibri" w:hAnsi="Arial" w:cs="Arial"/>
          <w:color w:val="000000" w:themeColor="text1"/>
          <w:sz w:val="22"/>
        </w:rPr>
        <w:t xml:space="preserve"> las sanciones o inhabilidades que se encuentren vigentes en dicho momento. </w:t>
      </w:r>
    </w:p>
    <w:p w14:paraId="2769ABF7" w14:textId="56AF2274"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Asimismo, en virtud del parágrafo segundo, del artículo 5, los certificados a </w:t>
      </w:r>
      <w:r w:rsidR="00904B44">
        <w:rPr>
          <w:rFonts w:ascii="Arial" w:eastAsia="Calibri" w:hAnsi="Arial" w:cs="Arial"/>
          <w:color w:val="000000" w:themeColor="text1"/>
          <w:sz w:val="22"/>
        </w:rPr>
        <w:t xml:space="preserve">los </w:t>
      </w:r>
      <w:r>
        <w:rPr>
          <w:rFonts w:ascii="Arial" w:eastAsia="Calibri" w:hAnsi="Arial" w:cs="Arial"/>
          <w:color w:val="000000" w:themeColor="text1"/>
          <w:sz w:val="22"/>
        </w:rPr>
        <w:t xml:space="preserve">que se refiere dicha resolución tendrán una vigencia de tres </w:t>
      </w:r>
      <w:r w:rsidR="00904B44">
        <w:rPr>
          <w:rFonts w:ascii="Arial" w:eastAsia="Calibri" w:hAnsi="Arial" w:cs="Arial"/>
          <w:color w:val="000000" w:themeColor="text1"/>
          <w:sz w:val="22"/>
        </w:rPr>
        <w:t>(</w:t>
      </w:r>
      <w:r>
        <w:rPr>
          <w:rFonts w:ascii="Arial" w:eastAsia="Calibri" w:hAnsi="Arial" w:cs="Arial"/>
          <w:color w:val="000000" w:themeColor="text1"/>
          <w:sz w:val="22"/>
        </w:rPr>
        <w:t>3</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meses, contados a partir de su expedición</w:t>
      </w:r>
      <w:r>
        <w:rPr>
          <w:rStyle w:val="Refdenotaalpie"/>
          <w:rFonts w:ascii="Arial" w:eastAsia="Calibri" w:hAnsi="Arial" w:cs="Arial"/>
          <w:color w:val="000000" w:themeColor="text1"/>
          <w:sz w:val="22"/>
        </w:rPr>
        <w:footnoteReference w:id="6"/>
      </w:r>
      <w:r>
        <w:rPr>
          <w:rFonts w:ascii="Arial" w:eastAsia="Calibri" w:hAnsi="Arial" w:cs="Arial"/>
          <w:color w:val="000000" w:themeColor="text1"/>
          <w:sz w:val="22"/>
        </w:rPr>
        <w:t>.</w:t>
      </w:r>
    </w:p>
    <w:p w14:paraId="1BF6E891" w14:textId="2E682775" w:rsidR="00D445CB" w:rsidRDefault="00D445CB" w:rsidP="00D445CB">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los proponentes deben presentar el certificado de antecedentes disciplinarios de contadores con fecha de expedición no mayor a tres </w:t>
      </w:r>
      <w:r w:rsidR="00904B44">
        <w:rPr>
          <w:rFonts w:ascii="Arial" w:eastAsia="Calibri" w:hAnsi="Arial" w:cs="Arial"/>
          <w:color w:val="000000" w:themeColor="text1"/>
          <w:sz w:val="22"/>
        </w:rPr>
        <w:t>(</w:t>
      </w:r>
      <w:r>
        <w:rPr>
          <w:rFonts w:ascii="Arial" w:eastAsia="Calibri" w:hAnsi="Arial" w:cs="Arial"/>
          <w:color w:val="000000" w:themeColor="text1"/>
          <w:sz w:val="22"/>
        </w:rPr>
        <w:t>3</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meses</w:t>
      </w:r>
      <w:r w:rsidDel="0059343A">
        <w:rPr>
          <w:rFonts w:ascii="Arial" w:eastAsia="Calibri" w:hAnsi="Arial" w:cs="Arial"/>
          <w:color w:val="000000" w:themeColor="text1"/>
          <w:sz w:val="22"/>
        </w:rPr>
        <w:t xml:space="preserve"> </w:t>
      </w:r>
      <w:r>
        <w:rPr>
          <w:rFonts w:ascii="Arial" w:eastAsia="Calibri" w:hAnsi="Arial" w:cs="Arial"/>
          <w:color w:val="000000" w:themeColor="text1"/>
          <w:sz w:val="22"/>
        </w:rPr>
        <w:t xml:space="preserve">anteriores a la fecha del cierre del </w:t>
      </w:r>
      <w:r w:rsidR="00BD6489">
        <w:rPr>
          <w:rFonts w:ascii="Arial" w:eastAsia="Calibri" w:hAnsi="Arial" w:cs="Arial"/>
          <w:color w:val="000000" w:themeColor="text1"/>
          <w:sz w:val="22"/>
        </w:rPr>
        <w:t>p</w:t>
      </w:r>
      <w:r>
        <w:rPr>
          <w:rFonts w:ascii="Arial" w:eastAsia="Calibri" w:hAnsi="Arial" w:cs="Arial"/>
          <w:color w:val="000000" w:themeColor="text1"/>
          <w:sz w:val="22"/>
        </w:rPr>
        <w:t xml:space="preserve">roceso de </w:t>
      </w:r>
      <w:r w:rsidR="00BD6489">
        <w:rPr>
          <w:rFonts w:ascii="Arial" w:eastAsia="Calibri" w:hAnsi="Arial" w:cs="Arial"/>
          <w:color w:val="000000" w:themeColor="text1"/>
          <w:sz w:val="22"/>
        </w:rPr>
        <w:t>c</w:t>
      </w:r>
      <w:r>
        <w:rPr>
          <w:rFonts w:ascii="Arial" w:eastAsia="Calibri" w:hAnsi="Arial" w:cs="Arial"/>
          <w:color w:val="000000" w:themeColor="text1"/>
          <w:sz w:val="22"/>
        </w:rPr>
        <w:t>ontratación</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w:t>
      </w:r>
      <w:r w:rsidR="00904B44">
        <w:rPr>
          <w:rFonts w:ascii="Arial" w:eastAsia="Calibri" w:hAnsi="Arial" w:cs="Arial"/>
          <w:color w:val="000000" w:themeColor="text1"/>
          <w:sz w:val="22"/>
        </w:rPr>
        <w:t>(</w:t>
      </w:r>
      <w:r>
        <w:rPr>
          <w:rFonts w:ascii="Arial" w:eastAsia="Calibri" w:hAnsi="Arial" w:cs="Arial"/>
          <w:color w:val="000000" w:themeColor="text1"/>
          <w:sz w:val="22"/>
        </w:rPr>
        <w:t>3</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meses desde su expedición.</w:t>
      </w:r>
    </w:p>
    <w:p w14:paraId="6A44C13D" w14:textId="6321F315" w:rsidR="00D445CB" w:rsidRDefault="00D445CB" w:rsidP="00D445CB">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Por lo tanto, el proponente que esté en la obligación de aportar el RUP para acreditar la capacidad de organización aportará los siguientes documentos: i) el estado de resultados integral, del año en que hayan obtenido el mayor ingreso operacional de los último cinco años debidamente firmado y ii) copia de la tarjeta profesional y certificado de antecedentes disciplinarios con fecha de expedición de no mayor a tres </w:t>
      </w:r>
      <w:r w:rsidR="00904B44">
        <w:rPr>
          <w:rFonts w:ascii="Arial" w:eastAsia="Calibri" w:hAnsi="Arial" w:cs="Arial"/>
          <w:color w:val="000000" w:themeColor="text1"/>
          <w:sz w:val="22"/>
        </w:rPr>
        <w:t>(</w:t>
      </w:r>
      <w:r>
        <w:rPr>
          <w:rFonts w:ascii="Arial" w:eastAsia="Calibri" w:hAnsi="Arial" w:cs="Arial"/>
          <w:color w:val="000000" w:themeColor="text1"/>
          <w:sz w:val="22"/>
        </w:rPr>
        <w:t>3</w:t>
      </w:r>
      <w:r w:rsidR="00904B44">
        <w:rPr>
          <w:rFonts w:ascii="Arial" w:eastAsia="Calibri" w:hAnsi="Arial" w:cs="Arial"/>
          <w:color w:val="000000" w:themeColor="text1"/>
          <w:sz w:val="22"/>
        </w:rPr>
        <w:t>)</w:t>
      </w:r>
      <w:r>
        <w:rPr>
          <w:rFonts w:ascii="Arial" w:eastAsia="Calibri" w:hAnsi="Arial" w:cs="Arial"/>
          <w:color w:val="000000" w:themeColor="text1"/>
          <w:sz w:val="22"/>
        </w:rPr>
        <w:t xml:space="preserve"> meses</w:t>
      </w:r>
      <w:r w:rsidDel="0059343A">
        <w:rPr>
          <w:rFonts w:ascii="Arial" w:eastAsia="Calibri" w:hAnsi="Arial" w:cs="Arial"/>
          <w:color w:val="000000" w:themeColor="text1"/>
          <w:sz w:val="22"/>
        </w:rPr>
        <w:t xml:space="preserve"> </w:t>
      </w:r>
      <w:r>
        <w:rPr>
          <w:rFonts w:ascii="Arial" w:eastAsia="Calibri" w:hAnsi="Arial" w:cs="Arial"/>
          <w:color w:val="000000" w:themeColor="text1"/>
          <w:sz w:val="22"/>
        </w:rPr>
        <w:t xml:space="preserve">anteriores a la fecha del cierre del proceso de contratación del contador público, revisor fiscal o contadores externos de quienes suscribieron los documentos señalados anteriormente. </w:t>
      </w:r>
    </w:p>
    <w:p w14:paraId="44A117E4" w14:textId="04EBEC4E" w:rsidR="00907458" w:rsidRDefault="00907458" w:rsidP="00D445CB">
      <w:pPr>
        <w:spacing w:line="276" w:lineRule="auto"/>
        <w:jc w:val="both"/>
        <w:rPr>
          <w:rFonts w:ascii="Arial" w:eastAsia="Calibri" w:hAnsi="Arial" w:cs="Arial"/>
          <w:color w:val="000000" w:themeColor="text1"/>
          <w:sz w:val="22"/>
        </w:rPr>
      </w:pPr>
    </w:p>
    <w:p w14:paraId="731E6CED" w14:textId="77777777" w:rsidR="00907458" w:rsidRPr="00907458" w:rsidRDefault="00907458" w:rsidP="00907458">
      <w:pPr>
        <w:numPr>
          <w:ilvl w:val="0"/>
          <w:numId w:val="6"/>
        </w:numPr>
        <w:tabs>
          <w:tab w:val="left" w:pos="284"/>
        </w:tabs>
        <w:spacing w:line="276" w:lineRule="auto"/>
        <w:ind w:left="0" w:firstLine="0"/>
        <w:contextualSpacing/>
        <w:rPr>
          <w:rFonts w:ascii="Arial" w:hAnsi="Arial" w:cs="Arial"/>
          <w:b/>
          <w:bCs/>
          <w:color w:val="000000" w:themeColor="text1"/>
          <w:sz w:val="22"/>
          <w:lang w:val="es-CO"/>
        </w:rPr>
      </w:pPr>
      <w:r w:rsidRPr="00907458">
        <w:rPr>
          <w:rFonts w:ascii="Arial" w:hAnsi="Arial" w:cs="Arial"/>
          <w:b/>
          <w:bCs/>
          <w:color w:val="000000" w:themeColor="text1"/>
          <w:sz w:val="22"/>
          <w:lang w:val="es-CO"/>
        </w:rPr>
        <w:t xml:space="preserve">Respuesta </w:t>
      </w:r>
    </w:p>
    <w:p w14:paraId="7145BDE6" w14:textId="77777777" w:rsidR="00907458" w:rsidRPr="00907458" w:rsidRDefault="00907458" w:rsidP="00907458">
      <w:pPr>
        <w:spacing w:line="276" w:lineRule="auto"/>
        <w:ind w:right="709"/>
        <w:jc w:val="both"/>
        <w:rPr>
          <w:rFonts w:ascii="Arial" w:eastAsia="Calibri" w:hAnsi="Arial" w:cs="Arial"/>
          <w:color w:val="000000" w:themeColor="text1"/>
          <w:sz w:val="21"/>
          <w:szCs w:val="21"/>
          <w:lang w:val="es-CO"/>
        </w:rPr>
      </w:pPr>
    </w:p>
    <w:p w14:paraId="763A05C6" w14:textId="6F4D5D4C" w:rsidR="00907458" w:rsidRDefault="008F0BD9" w:rsidP="00907458">
      <w:pPr>
        <w:ind w:left="708" w:right="709"/>
        <w:jc w:val="both"/>
        <w:rPr>
          <w:rFonts w:ascii="Arial" w:eastAsia="Calibri" w:hAnsi="Arial" w:cs="Arial"/>
          <w:color w:val="000000" w:themeColor="text1"/>
          <w:sz w:val="21"/>
          <w:szCs w:val="21"/>
        </w:rPr>
      </w:pPr>
      <w:r w:rsidRPr="008F0BD9">
        <w:rPr>
          <w:rFonts w:ascii="Arial" w:eastAsia="Calibri" w:hAnsi="Arial" w:cs="Arial"/>
          <w:color w:val="000000" w:themeColor="text1"/>
          <w:sz w:val="21"/>
          <w:szCs w:val="21"/>
        </w:rPr>
        <w:t>«Para acreditar la capacidad organizacional se presenta los certificados de antecedentes disciplinarios vigentes de los contadores públicos, revisores fiscales, contadores independientes, quienes suscribieron los documentos señalados en el presente literal […] cuando se refiere a “antecedentes disciplinarios vigentes”, ¿vigentes a qué fecha? ¿al cierre? ¿a la fecha de firma de los antecedentes financieros? […] »</w:t>
      </w:r>
    </w:p>
    <w:p w14:paraId="06012B3E" w14:textId="77777777" w:rsidR="0020365B" w:rsidRPr="00907458" w:rsidRDefault="0020365B" w:rsidP="00907458">
      <w:pPr>
        <w:ind w:left="708" w:right="709"/>
        <w:jc w:val="both"/>
        <w:rPr>
          <w:rFonts w:ascii="Arial" w:eastAsia="Calibri" w:hAnsi="Arial" w:cs="Arial"/>
          <w:color w:val="000000" w:themeColor="text1"/>
          <w:sz w:val="22"/>
        </w:rPr>
      </w:pPr>
    </w:p>
    <w:p w14:paraId="0EDC47D7" w14:textId="732E5A5B" w:rsidR="00D445CB" w:rsidRDefault="00D445CB" w:rsidP="00463A7F">
      <w:pPr>
        <w:spacing w:line="276" w:lineRule="auto"/>
        <w:jc w:val="both"/>
        <w:rPr>
          <w:rFonts w:ascii="Arial" w:eastAsia="Calibri" w:hAnsi="Arial" w:cs="Arial"/>
          <w:color w:val="000000" w:themeColor="text1"/>
          <w:sz w:val="22"/>
        </w:rPr>
      </w:pPr>
      <w:r w:rsidRPr="00D445CB">
        <w:rPr>
          <w:rFonts w:ascii="Arial" w:eastAsia="Calibri" w:hAnsi="Arial" w:cs="Arial"/>
          <w:color w:val="000000" w:themeColor="text1"/>
          <w:sz w:val="22"/>
        </w:rPr>
        <w:t xml:space="preserve">Los proponentes deben presentar el certificado de antecedentes disciplinarios de los contadores con fecha de expedición no mayor a tres </w:t>
      </w:r>
      <w:r w:rsidR="0020365B">
        <w:rPr>
          <w:rFonts w:ascii="Arial" w:eastAsia="Calibri" w:hAnsi="Arial" w:cs="Arial"/>
          <w:color w:val="000000" w:themeColor="text1"/>
          <w:sz w:val="22"/>
        </w:rPr>
        <w:t>(</w:t>
      </w:r>
      <w:r w:rsidRPr="00D445CB">
        <w:rPr>
          <w:rFonts w:ascii="Arial" w:eastAsia="Calibri" w:hAnsi="Arial" w:cs="Arial"/>
          <w:color w:val="000000" w:themeColor="text1"/>
          <w:sz w:val="22"/>
        </w:rPr>
        <w:t>3</w:t>
      </w:r>
      <w:r w:rsidR="0020365B">
        <w:rPr>
          <w:rFonts w:ascii="Arial" w:eastAsia="Calibri" w:hAnsi="Arial" w:cs="Arial"/>
          <w:color w:val="000000" w:themeColor="text1"/>
          <w:sz w:val="22"/>
        </w:rPr>
        <w:t>)</w:t>
      </w:r>
      <w:r w:rsidRPr="00D445CB">
        <w:rPr>
          <w:rFonts w:ascii="Arial" w:eastAsia="Calibri" w:hAnsi="Arial" w:cs="Arial"/>
          <w:color w:val="000000" w:themeColor="text1"/>
          <w:sz w:val="22"/>
        </w:rPr>
        <w:t xml:space="preserve"> meses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w:t>
      </w:r>
      <w:r w:rsidR="0020365B">
        <w:rPr>
          <w:rFonts w:ascii="Arial" w:eastAsia="Calibri" w:hAnsi="Arial" w:cs="Arial"/>
          <w:color w:val="000000" w:themeColor="text1"/>
          <w:sz w:val="22"/>
        </w:rPr>
        <w:t>(</w:t>
      </w:r>
      <w:r w:rsidRPr="00D445CB">
        <w:rPr>
          <w:rFonts w:ascii="Arial" w:eastAsia="Calibri" w:hAnsi="Arial" w:cs="Arial"/>
          <w:color w:val="000000" w:themeColor="text1"/>
          <w:sz w:val="22"/>
        </w:rPr>
        <w:t>3</w:t>
      </w:r>
      <w:r w:rsidR="0020365B">
        <w:rPr>
          <w:rFonts w:ascii="Arial" w:eastAsia="Calibri" w:hAnsi="Arial" w:cs="Arial"/>
          <w:color w:val="000000" w:themeColor="text1"/>
          <w:sz w:val="22"/>
        </w:rPr>
        <w:t>)</w:t>
      </w:r>
      <w:r w:rsidRPr="00D445CB">
        <w:rPr>
          <w:rFonts w:ascii="Arial" w:eastAsia="Calibri" w:hAnsi="Arial" w:cs="Arial"/>
          <w:color w:val="000000" w:themeColor="text1"/>
          <w:sz w:val="22"/>
        </w:rPr>
        <w:t xml:space="preserve"> meses desde su expedición.</w:t>
      </w:r>
    </w:p>
    <w:p w14:paraId="67254E37" w14:textId="77777777" w:rsidR="00904B44" w:rsidRPr="00D445CB" w:rsidRDefault="00904B44" w:rsidP="00D445CB">
      <w:pPr>
        <w:spacing w:before="120" w:line="276" w:lineRule="auto"/>
        <w:jc w:val="both"/>
        <w:rPr>
          <w:rFonts w:ascii="Arial" w:eastAsia="Calibri" w:hAnsi="Arial" w:cs="Arial"/>
          <w:color w:val="000000" w:themeColor="text1"/>
          <w:sz w:val="22"/>
        </w:rPr>
      </w:pPr>
    </w:p>
    <w:p w14:paraId="32A81299" w14:textId="77777777" w:rsidR="00907458" w:rsidRPr="00907458" w:rsidRDefault="00907458" w:rsidP="00907458">
      <w:pPr>
        <w:spacing w:before="120" w:line="276" w:lineRule="auto"/>
        <w:jc w:val="both"/>
        <w:rPr>
          <w:rFonts w:ascii="Arial" w:eastAsia="Calibri" w:hAnsi="Arial" w:cs="Arial"/>
          <w:color w:val="000000" w:themeColor="text1"/>
          <w:sz w:val="22"/>
        </w:rPr>
      </w:pPr>
      <w:r w:rsidRPr="00907458">
        <w:rPr>
          <w:rFonts w:ascii="Arial" w:eastAsia="Calibri" w:hAnsi="Arial" w:cs="Arial"/>
          <w:color w:val="000000" w:themeColor="text1"/>
          <w:sz w:val="22"/>
        </w:rPr>
        <w:t>Este concepto tiene el alcance previsto en el artículo 28 del Código de Procedimiento Administrativo y de lo Contencioso Administrativo.</w:t>
      </w:r>
    </w:p>
    <w:p w14:paraId="7080CFA4" w14:textId="77777777" w:rsidR="005A79FE" w:rsidRDefault="005A79FE" w:rsidP="005A79FE">
      <w:pPr>
        <w:jc w:val="both"/>
        <w:rPr>
          <w:rFonts w:ascii="Arial" w:eastAsia="Calibri" w:hAnsi="Arial" w:cs="Arial"/>
          <w:color w:val="4E4D4D"/>
          <w:sz w:val="22"/>
        </w:rPr>
      </w:pPr>
      <w:r>
        <w:rPr>
          <w:noProof/>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637ED"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8AAB28D" w14:textId="69C6E700" w:rsidR="005A79FE" w:rsidRDefault="005A79FE" w:rsidP="005A79FE">
      <w:pPr>
        <w:rPr>
          <w:rFonts w:ascii="Arial" w:eastAsia="Calibri" w:hAnsi="Arial" w:cs="Arial"/>
          <w:color w:val="000000" w:themeColor="text1"/>
          <w:sz w:val="22"/>
        </w:rPr>
      </w:pPr>
      <w:r w:rsidRPr="008F0BD9">
        <w:rPr>
          <w:rFonts w:ascii="Arial" w:eastAsia="Calibri" w:hAnsi="Arial" w:cs="Arial"/>
          <w:color w:val="000000" w:themeColor="text1"/>
          <w:sz w:val="22"/>
        </w:rPr>
        <w:t>Atentamente,</w:t>
      </w:r>
    </w:p>
    <w:p w14:paraId="0E98C8E3" w14:textId="165F76CC" w:rsidR="008F331E" w:rsidRDefault="008F331E" w:rsidP="005A79FE">
      <w:pPr>
        <w:rPr>
          <w:rFonts w:ascii="Arial" w:eastAsia="Calibri" w:hAnsi="Arial" w:cs="Arial"/>
          <w:color w:val="000000" w:themeColor="text1"/>
          <w:sz w:val="22"/>
        </w:rPr>
      </w:pPr>
    </w:p>
    <w:p w14:paraId="675D2AC7" w14:textId="77777777" w:rsidR="008F331E" w:rsidRPr="008F0BD9" w:rsidRDefault="008F331E" w:rsidP="005A79FE">
      <w:pPr>
        <w:rPr>
          <w:rFonts w:ascii="Arial" w:eastAsia="Calibri" w:hAnsi="Arial" w:cs="Arial"/>
          <w:color w:val="000000" w:themeColor="text1"/>
          <w:sz w:val="22"/>
        </w:rPr>
      </w:pPr>
    </w:p>
    <w:p w14:paraId="67909B52" w14:textId="1DA44033" w:rsidR="005A79FE" w:rsidRDefault="008F331E" w:rsidP="008F331E">
      <w:pPr>
        <w:jc w:val="center"/>
        <w:rPr>
          <w:rFonts w:ascii="Arial" w:eastAsia="Times New Roman" w:hAnsi="Arial" w:cs="Arial"/>
          <w:color w:val="4E4D4D"/>
          <w:sz w:val="22"/>
          <w:lang w:eastAsia="es-CO"/>
        </w:rPr>
      </w:pPr>
      <w:r>
        <w:rPr>
          <w:noProof/>
          <w:lang w:val="en-US"/>
        </w:rPr>
        <w:drawing>
          <wp:inline distT="0" distB="0" distL="0" distR="0" wp14:anchorId="621F4995" wp14:editId="6556CCBE">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40E419B" w14:textId="77777777" w:rsidR="005A79FE" w:rsidRPr="008C3C53" w:rsidRDefault="005A79FE" w:rsidP="005A79FE">
      <w:pPr>
        <w:rPr>
          <w:rFonts w:ascii="Arial" w:eastAsia="Times New Roman" w:hAnsi="Arial" w:cs="Arial"/>
          <w:color w:val="4E4D4D"/>
          <w:sz w:val="22"/>
          <w:lang w:eastAsia="es-CO"/>
        </w:rPr>
      </w:pPr>
    </w:p>
    <w:p w14:paraId="3309E133" w14:textId="6088A36E" w:rsidR="00D445CB" w:rsidRDefault="00D445CB" w:rsidP="00D445CB">
      <w:pPr>
        <w:rPr>
          <w:rFonts w:ascii="Arial" w:eastAsia="Times New Roman" w:hAnsi="Arial" w:cs="Arial"/>
          <w:color w:val="4E4D4D"/>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45CB" w:rsidRPr="003F6D32" w14:paraId="0679B6F8" w14:textId="77777777" w:rsidTr="00CB05AF">
        <w:trPr>
          <w:trHeight w:val="315"/>
        </w:trPr>
        <w:tc>
          <w:tcPr>
            <w:tcW w:w="812" w:type="dxa"/>
            <w:vAlign w:val="center"/>
            <w:hideMark/>
          </w:tcPr>
          <w:p w14:paraId="1C82B2EF" w14:textId="77777777" w:rsidR="00D445CB" w:rsidRPr="006C15D5" w:rsidRDefault="00D445CB" w:rsidP="00CB05A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D173FAF" w14:textId="77777777" w:rsidR="00D445CB" w:rsidRPr="006C15D5" w:rsidRDefault="00D445CB" w:rsidP="00CB05A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Sara Milena Núñez Aldana</w:t>
            </w:r>
          </w:p>
          <w:p w14:paraId="5FF2F3A4" w14:textId="77777777" w:rsidR="00D445CB" w:rsidRPr="006C15D5" w:rsidRDefault="00D445CB" w:rsidP="00CB05A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 2 – Grado 06</w:t>
            </w:r>
          </w:p>
        </w:tc>
      </w:tr>
      <w:tr w:rsidR="00D445CB" w:rsidRPr="003F6D32" w14:paraId="0D84419A" w14:textId="77777777" w:rsidTr="00CB05AF">
        <w:trPr>
          <w:trHeight w:val="330"/>
        </w:trPr>
        <w:tc>
          <w:tcPr>
            <w:tcW w:w="812" w:type="dxa"/>
            <w:vAlign w:val="center"/>
            <w:hideMark/>
          </w:tcPr>
          <w:p w14:paraId="066CFA26" w14:textId="77777777" w:rsidR="00D445CB" w:rsidRPr="006C15D5" w:rsidRDefault="00D445CB" w:rsidP="00CB05A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C5442C" w14:textId="77777777" w:rsidR="00D445CB" w:rsidRPr="006C15D5" w:rsidRDefault="00D445CB" w:rsidP="00CB05A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3D50096" w14:textId="77777777" w:rsidR="00D445CB" w:rsidRPr="006C15D5" w:rsidRDefault="00D445CB" w:rsidP="00CB05A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Subdirección </w:t>
            </w:r>
            <w:r w:rsidRPr="006C15D5">
              <w:rPr>
                <w:rFonts w:ascii="Arial" w:eastAsia="Times New Roman" w:hAnsi="Arial" w:cs="Arial"/>
                <w:color w:val="000000" w:themeColor="text1"/>
                <w:sz w:val="16"/>
                <w:szCs w:val="16"/>
                <w:lang w:eastAsia="es-ES"/>
              </w:rPr>
              <w:t>de Gestión Contractual</w:t>
            </w:r>
          </w:p>
        </w:tc>
      </w:tr>
      <w:tr w:rsidR="00D445CB" w:rsidRPr="003F6D32" w14:paraId="1B5908D9" w14:textId="77777777" w:rsidTr="00CB05AF">
        <w:trPr>
          <w:trHeight w:val="300"/>
        </w:trPr>
        <w:tc>
          <w:tcPr>
            <w:tcW w:w="812" w:type="dxa"/>
            <w:vAlign w:val="center"/>
            <w:hideMark/>
          </w:tcPr>
          <w:p w14:paraId="25D572E2" w14:textId="77777777" w:rsidR="00D445CB" w:rsidRPr="006C15D5" w:rsidRDefault="00D445CB" w:rsidP="00CB05A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A51BF3" w14:textId="77777777" w:rsidR="00D445CB" w:rsidRPr="006C15D5" w:rsidRDefault="00D445CB" w:rsidP="00CB05A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412DF692" w14:textId="77777777" w:rsidR="00D445CB" w:rsidRPr="006C15D5" w:rsidRDefault="00D445CB" w:rsidP="00CB05A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74F2AA78" w14:textId="77777777" w:rsidR="00D445CB" w:rsidRDefault="00D445CB" w:rsidP="00D445CB">
      <w:pPr>
        <w:rPr>
          <w:rFonts w:ascii="Arial" w:eastAsia="Times New Roman" w:hAnsi="Arial" w:cs="Arial"/>
          <w:color w:val="4E4D4D"/>
          <w:sz w:val="18"/>
          <w:szCs w:val="20"/>
          <w:lang w:eastAsia="es-CO"/>
        </w:rPr>
      </w:pPr>
    </w:p>
    <w:p w14:paraId="7EBF297E" w14:textId="77777777" w:rsidR="007B0854" w:rsidRDefault="007B0854" w:rsidP="00CA287E">
      <w:pPr>
        <w:jc w:val="both"/>
        <w:rPr>
          <w:rFonts w:ascii="Arial" w:eastAsia="Calibri" w:hAnsi="Arial" w:cs="Arial"/>
          <w:color w:val="4E4D4D"/>
          <w:sz w:val="22"/>
        </w:rPr>
      </w:pPr>
      <w:bookmarkStart w:id="3" w:name="_Hlk29890381"/>
      <w:bookmarkEnd w:id="0"/>
      <w:bookmarkEnd w:id="3"/>
    </w:p>
    <w:sectPr w:rsidR="007B085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2EFA" w14:textId="77777777" w:rsidR="0070625F" w:rsidRDefault="0070625F">
      <w:r>
        <w:separator/>
      </w:r>
    </w:p>
  </w:endnote>
  <w:endnote w:type="continuationSeparator" w:id="0">
    <w:p w14:paraId="64002685" w14:textId="77777777" w:rsidR="0070625F" w:rsidRDefault="0070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7D6F8597"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02FB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02FBD">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9100" w14:textId="77777777" w:rsidR="0070625F" w:rsidRDefault="0070625F">
      <w:r>
        <w:separator/>
      </w:r>
    </w:p>
  </w:footnote>
  <w:footnote w:type="continuationSeparator" w:id="0">
    <w:p w14:paraId="6783D7D9" w14:textId="77777777" w:rsidR="0070625F" w:rsidRDefault="0070625F">
      <w:r>
        <w:continuationSeparator/>
      </w:r>
    </w:p>
  </w:footnote>
  <w:footnote w:id="1">
    <w:p w14:paraId="6B109450" w14:textId="77777777" w:rsidR="00D445CB" w:rsidRPr="00904B44" w:rsidRDefault="00D445CB" w:rsidP="00D445CB">
      <w:pPr>
        <w:pStyle w:val="Textonotapie"/>
        <w:ind w:firstLine="708"/>
        <w:jc w:val="both"/>
        <w:rPr>
          <w:rFonts w:ascii="Arial" w:eastAsia="Calibri" w:hAnsi="Arial" w:cs="Arial"/>
          <w:color w:val="000000" w:themeColor="text1"/>
          <w:sz w:val="19"/>
          <w:szCs w:val="19"/>
        </w:rPr>
      </w:pPr>
      <w:r w:rsidRPr="00904B44">
        <w:rPr>
          <w:rStyle w:val="Refdenotaalpie"/>
          <w:rFonts w:ascii="Arial" w:hAnsi="Arial" w:cs="Arial"/>
          <w:color w:val="000000" w:themeColor="text1"/>
          <w:sz w:val="19"/>
          <w:szCs w:val="19"/>
        </w:rPr>
        <w:footnoteRef/>
      </w:r>
      <w:r w:rsidRPr="00904B44">
        <w:rPr>
          <w:rFonts w:ascii="Arial" w:hAnsi="Arial" w:cs="Arial"/>
          <w:color w:val="000000" w:themeColor="text1"/>
          <w:sz w:val="19"/>
          <w:szCs w:val="19"/>
        </w:rPr>
        <w:t xml:space="preserve"> </w:t>
      </w:r>
      <w:r w:rsidRPr="00904B44">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616A05E" w14:textId="77777777" w:rsidR="00D445CB" w:rsidRPr="00904B44" w:rsidRDefault="00D445CB" w:rsidP="00D445CB">
      <w:pPr>
        <w:pStyle w:val="Textonotapie"/>
        <w:ind w:firstLine="708"/>
        <w:jc w:val="both"/>
        <w:rPr>
          <w:rFonts w:ascii="Arial" w:eastAsia="Calibri" w:hAnsi="Arial" w:cs="Arial"/>
          <w:color w:val="000000" w:themeColor="text1"/>
          <w:sz w:val="19"/>
          <w:szCs w:val="19"/>
        </w:rPr>
      </w:pPr>
      <w:r w:rsidRPr="00904B44">
        <w:rPr>
          <w:rFonts w:ascii="Arial" w:eastAsia="Calibri" w:hAnsi="Arial" w:cs="Arial"/>
          <w:color w:val="000000" w:themeColor="text1"/>
          <w:sz w:val="19"/>
          <w:szCs w:val="19"/>
        </w:rPr>
        <w:t>[…]</w:t>
      </w:r>
    </w:p>
    <w:p w14:paraId="5D133826" w14:textId="77777777" w:rsidR="00D445CB" w:rsidRPr="00904B44" w:rsidRDefault="00D445CB" w:rsidP="00D445CB">
      <w:pPr>
        <w:pStyle w:val="Textonotapie"/>
        <w:ind w:firstLine="708"/>
        <w:jc w:val="both"/>
        <w:rPr>
          <w:rFonts w:ascii="Arial" w:hAnsi="Arial" w:cs="Arial"/>
          <w:color w:val="000000" w:themeColor="text1"/>
          <w:sz w:val="19"/>
          <w:szCs w:val="19"/>
          <w:lang w:val="es-CO"/>
        </w:rPr>
      </w:pPr>
      <w:r w:rsidRPr="00904B44">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904B44">
        <w:rPr>
          <w:rFonts w:ascii="Arial" w:hAnsi="Arial" w:cs="Arial"/>
          <w:color w:val="000000" w:themeColor="text1"/>
          <w:sz w:val="19"/>
          <w:szCs w:val="19"/>
          <w:lang w:val="es-CO"/>
        </w:rPr>
        <w:t xml:space="preserve"> </w:t>
      </w:r>
    </w:p>
    <w:p w14:paraId="455DE957" w14:textId="77777777" w:rsidR="00D445CB" w:rsidRPr="00904B44" w:rsidRDefault="00D445CB" w:rsidP="00D445CB">
      <w:pPr>
        <w:pStyle w:val="Textonotapie"/>
        <w:spacing w:line="276" w:lineRule="auto"/>
        <w:jc w:val="both"/>
        <w:rPr>
          <w:rFonts w:ascii="Arial" w:hAnsi="Arial" w:cs="Arial"/>
          <w:color w:val="000000" w:themeColor="text1"/>
          <w:sz w:val="19"/>
          <w:szCs w:val="19"/>
          <w:lang w:val="es-CO"/>
        </w:rPr>
      </w:pPr>
    </w:p>
  </w:footnote>
  <w:footnote w:id="2">
    <w:p w14:paraId="3ECD78C9" w14:textId="77777777" w:rsidR="00D445CB" w:rsidRPr="00904B44" w:rsidRDefault="00D445CB" w:rsidP="00D445CB">
      <w:pPr>
        <w:pStyle w:val="Textonotapie"/>
        <w:spacing w:line="276" w:lineRule="auto"/>
        <w:ind w:firstLine="708"/>
        <w:jc w:val="both"/>
        <w:rPr>
          <w:rFonts w:ascii="Arial" w:hAnsi="Arial" w:cs="Arial"/>
          <w:color w:val="000000" w:themeColor="text1"/>
          <w:sz w:val="19"/>
          <w:szCs w:val="19"/>
          <w:lang w:val="es-CO"/>
        </w:rPr>
      </w:pPr>
      <w:r w:rsidRPr="00904B44">
        <w:rPr>
          <w:rFonts w:ascii="Arial" w:eastAsia="Calibri" w:hAnsi="Arial" w:cs="Arial"/>
          <w:color w:val="000000" w:themeColor="text1"/>
          <w:sz w:val="19"/>
          <w:szCs w:val="19"/>
          <w:vertAlign w:val="superscript"/>
        </w:rPr>
        <w:footnoteRef/>
      </w:r>
      <w:r w:rsidRPr="00904B44">
        <w:rPr>
          <w:rFonts w:ascii="Arial" w:eastAsia="Calibri" w:hAnsi="Arial" w:cs="Arial"/>
          <w:color w:val="000000" w:themeColor="text1"/>
          <w:sz w:val="19"/>
          <w:szCs w:val="19"/>
          <w:vertAlign w:val="superscript"/>
        </w:rPr>
        <w:t xml:space="preserve"> </w:t>
      </w:r>
      <w:r w:rsidRPr="00904B44">
        <w:rPr>
          <w:rFonts w:ascii="Arial" w:eastAsia="Calibri" w:hAnsi="Arial" w:cs="Arial"/>
          <w:color w:val="000000" w:themeColor="text1"/>
          <w:sz w:val="19"/>
          <w:szCs w:val="19"/>
        </w:rPr>
        <w:t xml:space="preserve">Consejo de Estado. Sección Tercera. Sentencia del 26 de junio de 2003. Rad. 13.354. Consejera Ponente: María Elena Giraldo Gómez. </w:t>
      </w:r>
    </w:p>
  </w:footnote>
  <w:footnote w:id="3">
    <w:p w14:paraId="6B9F8A1D" w14:textId="77777777" w:rsidR="00D445CB" w:rsidRPr="00463A7F" w:rsidRDefault="00D445CB" w:rsidP="00D445CB">
      <w:pPr>
        <w:pStyle w:val="Textonotapie"/>
        <w:ind w:firstLine="708"/>
        <w:jc w:val="both"/>
        <w:rPr>
          <w:rFonts w:ascii="Arial" w:hAnsi="Arial" w:cs="Arial"/>
          <w:sz w:val="19"/>
          <w:szCs w:val="19"/>
          <w:lang w:val="es-CO"/>
        </w:rPr>
      </w:pPr>
      <w:r w:rsidRPr="00463A7F">
        <w:rPr>
          <w:rStyle w:val="Refdenotaalpie"/>
          <w:rFonts w:ascii="Arial" w:hAnsi="Arial" w:cs="Arial"/>
          <w:sz w:val="19"/>
          <w:szCs w:val="19"/>
        </w:rPr>
        <w:footnoteRef/>
      </w:r>
      <w:r w:rsidRPr="00463A7F">
        <w:rPr>
          <w:rFonts w:ascii="Arial" w:hAnsi="Arial" w:cs="Arial"/>
          <w:sz w:val="19"/>
          <w:szCs w:val="19"/>
        </w:rPr>
        <w:t xml:space="preserve"> </w:t>
      </w:r>
      <w:r w:rsidRPr="00904B44">
        <w:rPr>
          <w:rFonts w:ascii="Arial" w:eastAsia="Calibri" w:hAnsi="Arial" w:cs="Arial"/>
          <w:color w:val="000000" w:themeColor="text1"/>
          <w:sz w:val="19"/>
          <w:szCs w:val="19"/>
        </w:rPr>
        <w:t>Ministerio de Educación Nacional. Resolución No. 074 de 2002 «Artículo segundo. Los certificados de vigencia de inscripción y de antecedentes disciplinarios se expedirán, previa solicitud del interesado, cuando se requiera acreditar la calidad de contador público, sociedad de contadores públicos o persona jurídica inscrita ante la Junta Central de Contadores, habilitados por tanto para ejercer la profesión, y siempre que se solicite información histórica sobre los antecedentes disciplinarios del inscrito».</w:t>
      </w:r>
    </w:p>
  </w:footnote>
  <w:footnote w:id="4">
    <w:p w14:paraId="6282653B" w14:textId="77777777" w:rsidR="00D445CB" w:rsidRPr="00463A7F" w:rsidRDefault="00D445CB" w:rsidP="00D445CB">
      <w:pPr>
        <w:pStyle w:val="Textonotapie"/>
        <w:ind w:firstLine="708"/>
        <w:rPr>
          <w:rFonts w:ascii="Arial" w:hAnsi="Arial" w:cs="Arial"/>
          <w:sz w:val="19"/>
          <w:szCs w:val="19"/>
        </w:rPr>
      </w:pPr>
    </w:p>
    <w:p w14:paraId="3F727B73" w14:textId="77777777" w:rsidR="00D445CB" w:rsidRPr="00463A7F" w:rsidRDefault="00D445CB" w:rsidP="00D445CB">
      <w:pPr>
        <w:pStyle w:val="Textonotapie"/>
        <w:ind w:firstLine="708"/>
        <w:jc w:val="both"/>
        <w:rPr>
          <w:rFonts w:ascii="Arial" w:hAnsi="Arial" w:cs="Arial"/>
          <w:sz w:val="19"/>
          <w:szCs w:val="19"/>
          <w:lang w:val="es-CO"/>
        </w:rPr>
      </w:pPr>
      <w:r w:rsidRPr="00463A7F">
        <w:rPr>
          <w:rStyle w:val="Refdenotaalpie"/>
          <w:rFonts w:ascii="Arial" w:hAnsi="Arial" w:cs="Arial"/>
          <w:sz w:val="19"/>
          <w:szCs w:val="19"/>
        </w:rPr>
        <w:footnoteRef/>
      </w:r>
      <w:r w:rsidRPr="00463A7F">
        <w:rPr>
          <w:rFonts w:ascii="Arial" w:hAnsi="Arial" w:cs="Arial"/>
          <w:sz w:val="19"/>
          <w:szCs w:val="19"/>
        </w:rPr>
        <w:t xml:space="preserve"> </w:t>
      </w:r>
      <w:r w:rsidRPr="00904B44">
        <w:rPr>
          <w:rFonts w:ascii="Arial" w:eastAsia="Calibri" w:hAnsi="Arial" w:cs="Arial"/>
          <w:color w:val="000000" w:themeColor="text1"/>
          <w:sz w:val="19"/>
          <w:szCs w:val="19"/>
        </w:rPr>
        <w:t>Ministerio de Educación Nacional. Resolución No. 074 de 2002 «Artículo tercero. La certificación de antecedentes deberá contener las anotaciones de providencias ejecutoriadas dentro de los cinco [5] años anteriores a su expedición y, en todo caso, aquellas que se refieran a sanciones o inhabilidades que se encuentran vigentes en dicho momento»</w:t>
      </w:r>
    </w:p>
  </w:footnote>
  <w:footnote w:id="5">
    <w:p w14:paraId="25F6BDA6" w14:textId="77777777" w:rsidR="00D445CB" w:rsidRPr="00463A7F" w:rsidRDefault="00D445CB" w:rsidP="00D445CB">
      <w:pPr>
        <w:pStyle w:val="Textonotapie"/>
        <w:rPr>
          <w:rFonts w:ascii="Arial" w:hAnsi="Arial" w:cs="Arial"/>
          <w:sz w:val="19"/>
          <w:szCs w:val="19"/>
        </w:rPr>
      </w:pPr>
    </w:p>
    <w:p w14:paraId="05D65F1A" w14:textId="77777777" w:rsidR="00D445CB" w:rsidRPr="00904B44" w:rsidRDefault="00D445CB" w:rsidP="00D445CB">
      <w:pPr>
        <w:pStyle w:val="Textonotapie"/>
        <w:ind w:firstLine="708"/>
        <w:jc w:val="both"/>
        <w:rPr>
          <w:rFonts w:ascii="Arial" w:eastAsia="Calibri" w:hAnsi="Arial" w:cs="Arial"/>
          <w:color w:val="000000" w:themeColor="text1"/>
          <w:sz w:val="19"/>
          <w:szCs w:val="19"/>
        </w:rPr>
      </w:pPr>
      <w:r w:rsidRPr="00463A7F">
        <w:rPr>
          <w:rStyle w:val="Refdenotaalpie"/>
          <w:rFonts w:ascii="Arial" w:hAnsi="Arial" w:cs="Arial"/>
          <w:sz w:val="19"/>
          <w:szCs w:val="19"/>
        </w:rPr>
        <w:footnoteRef/>
      </w:r>
      <w:r w:rsidRPr="00463A7F">
        <w:rPr>
          <w:rFonts w:ascii="Arial" w:hAnsi="Arial" w:cs="Arial"/>
          <w:sz w:val="19"/>
          <w:szCs w:val="19"/>
        </w:rPr>
        <w:t xml:space="preserve"> </w:t>
      </w:r>
      <w:r w:rsidRPr="00904B44">
        <w:rPr>
          <w:rFonts w:ascii="Arial" w:eastAsia="Calibri" w:hAnsi="Arial" w:cs="Arial"/>
          <w:color w:val="000000" w:themeColor="text1"/>
          <w:sz w:val="19"/>
          <w:szCs w:val="19"/>
        </w:rPr>
        <w:t xml:space="preserve">Ministerio de Educación Nacional.  Resolución No. 074 de 2020 «Artículo quinto. Los certificados de vigencia de inscripción y de antecedentes disciplinarios de personas naturales deberán contener la siguiente información: </w:t>
      </w:r>
    </w:p>
    <w:p w14:paraId="0C0B1B1A" w14:textId="77777777" w:rsidR="00D445CB" w:rsidRPr="00904B44" w:rsidRDefault="00D445CB" w:rsidP="00D445CB">
      <w:pPr>
        <w:pStyle w:val="Textonotapie"/>
        <w:ind w:firstLine="708"/>
        <w:jc w:val="both"/>
        <w:rPr>
          <w:rFonts w:ascii="Arial" w:eastAsia="Calibri" w:hAnsi="Arial" w:cs="Arial"/>
          <w:color w:val="000000" w:themeColor="text1"/>
          <w:sz w:val="19"/>
          <w:szCs w:val="19"/>
        </w:rPr>
      </w:pPr>
      <w:r w:rsidRPr="00904B44">
        <w:rPr>
          <w:rFonts w:ascii="Arial" w:eastAsia="Calibri" w:hAnsi="Arial" w:cs="Arial"/>
          <w:color w:val="000000" w:themeColor="text1"/>
          <w:sz w:val="19"/>
          <w:szCs w:val="19"/>
        </w:rPr>
        <w:t>[…]</w:t>
      </w:r>
    </w:p>
    <w:p w14:paraId="211B5FD5" w14:textId="16040415" w:rsidR="00D445CB" w:rsidRPr="00904B44" w:rsidRDefault="00D445CB" w:rsidP="00D445CB">
      <w:pPr>
        <w:pStyle w:val="Textonotapie"/>
        <w:ind w:firstLine="708"/>
        <w:jc w:val="both"/>
        <w:rPr>
          <w:rFonts w:ascii="Arial" w:eastAsia="Calibri" w:hAnsi="Arial" w:cs="Arial"/>
          <w:color w:val="000000" w:themeColor="text1"/>
          <w:sz w:val="19"/>
          <w:szCs w:val="19"/>
        </w:rPr>
      </w:pPr>
      <w:r w:rsidRPr="00904B44">
        <w:rPr>
          <w:rFonts w:ascii="Arial" w:eastAsia="Calibri" w:hAnsi="Arial" w:cs="Arial"/>
          <w:color w:val="000000" w:themeColor="text1"/>
          <w:sz w:val="19"/>
          <w:szCs w:val="19"/>
        </w:rPr>
        <w:t xml:space="preserve">d) Si el profesional tiene o no vigente su inscripción ante la Junta Central de Contadores y si durante los últimos cinco (5) años, o desde su registro como contador público, presenta o no anotaciones sobre antecedentes disciplinarios. </w:t>
      </w:r>
    </w:p>
    <w:p w14:paraId="331D5101" w14:textId="77777777" w:rsidR="00904B44" w:rsidRPr="00463A7F" w:rsidRDefault="00904B44" w:rsidP="00D445CB">
      <w:pPr>
        <w:pStyle w:val="Textonotapie"/>
        <w:ind w:firstLine="708"/>
        <w:jc w:val="both"/>
        <w:rPr>
          <w:rFonts w:ascii="Arial" w:hAnsi="Arial" w:cs="Arial"/>
          <w:sz w:val="19"/>
          <w:szCs w:val="19"/>
          <w:lang w:val="es-CO"/>
        </w:rPr>
      </w:pPr>
    </w:p>
  </w:footnote>
  <w:footnote w:id="6">
    <w:p w14:paraId="32382860" w14:textId="77777777" w:rsidR="00D445CB" w:rsidRPr="00463A7F" w:rsidRDefault="00D445CB" w:rsidP="00D445CB">
      <w:pPr>
        <w:pStyle w:val="Textonotapie"/>
        <w:ind w:firstLine="708"/>
        <w:jc w:val="both"/>
        <w:rPr>
          <w:rFonts w:ascii="Arial" w:hAnsi="Arial" w:cs="Arial"/>
          <w:sz w:val="19"/>
          <w:szCs w:val="19"/>
          <w:lang w:val="es-CO"/>
        </w:rPr>
      </w:pPr>
      <w:r w:rsidRPr="00463A7F">
        <w:rPr>
          <w:rStyle w:val="Refdenotaalpie"/>
          <w:rFonts w:ascii="Arial" w:hAnsi="Arial" w:cs="Arial"/>
          <w:sz w:val="19"/>
          <w:szCs w:val="19"/>
        </w:rPr>
        <w:footnoteRef/>
      </w:r>
      <w:r w:rsidRPr="00463A7F">
        <w:rPr>
          <w:rFonts w:ascii="Arial" w:hAnsi="Arial" w:cs="Arial"/>
          <w:sz w:val="19"/>
          <w:szCs w:val="19"/>
        </w:rPr>
        <w:t xml:space="preserve"> </w:t>
      </w:r>
      <w:r w:rsidRPr="00904B44">
        <w:rPr>
          <w:rFonts w:ascii="Arial" w:eastAsia="Calibri" w:hAnsi="Arial" w:cs="Arial"/>
          <w:color w:val="000000" w:themeColor="text1"/>
          <w:sz w:val="19"/>
          <w:szCs w:val="19"/>
        </w:rPr>
        <w:t xml:space="preserve">Ministerio de Educación Nacional.  Resolución No. 074 de 2020 «Artículo quinto. Parágrafo segundo. Los certificados a que se refiere la presente resolución tendrán una vigencia de tres [3] meses, y su valor será el establecido en la fecha de radicación de la respectiva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BBE2D4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2DC3"/>
    <w:rsid w:val="000942EB"/>
    <w:rsid w:val="000B103F"/>
    <w:rsid w:val="000F14E8"/>
    <w:rsid w:val="00103915"/>
    <w:rsid w:val="00122B23"/>
    <w:rsid w:val="00124034"/>
    <w:rsid w:val="00137FFA"/>
    <w:rsid w:val="0020365B"/>
    <w:rsid w:val="00234B84"/>
    <w:rsid w:val="003033BA"/>
    <w:rsid w:val="0034680A"/>
    <w:rsid w:val="00354320"/>
    <w:rsid w:val="00386456"/>
    <w:rsid w:val="003A581E"/>
    <w:rsid w:val="004422D6"/>
    <w:rsid w:val="00463A7F"/>
    <w:rsid w:val="004A34D2"/>
    <w:rsid w:val="0051074C"/>
    <w:rsid w:val="00513AF2"/>
    <w:rsid w:val="0054413A"/>
    <w:rsid w:val="005564CA"/>
    <w:rsid w:val="005A79FE"/>
    <w:rsid w:val="00655371"/>
    <w:rsid w:val="00684C92"/>
    <w:rsid w:val="00697665"/>
    <w:rsid w:val="006A7FD0"/>
    <w:rsid w:val="006D7687"/>
    <w:rsid w:val="006E0572"/>
    <w:rsid w:val="00705631"/>
    <w:rsid w:val="0070625F"/>
    <w:rsid w:val="00742DD2"/>
    <w:rsid w:val="0075647A"/>
    <w:rsid w:val="007634AD"/>
    <w:rsid w:val="007777CE"/>
    <w:rsid w:val="0078122E"/>
    <w:rsid w:val="007B0854"/>
    <w:rsid w:val="007F72CB"/>
    <w:rsid w:val="00807D18"/>
    <w:rsid w:val="0083119B"/>
    <w:rsid w:val="00836EAB"/>
    <w:rsid w:val="0085092D"/>
    <w:rsid w:val="008E1C15"/>
    <w:rsid w:val="008F0BD9"/>
    <w:rsid w:val="008F331E"/>
    <w:rsid w:val="00902FBD"/>
    <w:rsid w:val="009047C5"/>
    <w:rsid w:val="00904B44"/>
    <w:rsid w:val="00907458"/>
    <w:rsid w:val="0093617E"/>
    <w:rsid w:val="0095385A"/>
    <w:rsid w:val="00A24560"/>
    <w:rsid w:val="00A34538"/>
    <w:rsid w:val="00AA442B"/>
    <w:rsid w:val="00B22E22"/>
    <w:rsid w:val="00B23146"/>
    <w:rsid w:val="00B42116"/>
    <w:rsid w:val="00B525CB"/>
    <w:rsid w:val="00B63CB2"/>
    <w:rsid w:val="00BD6489"/>
    <w:rsid w:val="00BD78FE"/>
    <w:rsid w:val="00C10AB4"/>
    <w:rsid w:val="00C62559"/>
    <w:rsid w:val="00CA287E"/>
    <w:rsid w:val="00CC00CD"/>
    <w:rsid w:val="00D16E39"/>
    <w:rsid w:val="00D445CB"/>
    <w:rsid w:val="00D72E9D"/>
    <w:rsid w:val="00D82CE5"/>
    <w:rsid w:val="00DA5AB1"/>
    <w:rsid w:val="00DC62E5"/>
    <w:rsid w:val="00DD735D"/>
    <w:rsid w:val="00DE3119"/>
    <w:rsid w:val="00DF236B"/>
    <w:rsid w:val="00E13AB8"/>
    <w:rsid w:val="00E33B62"/>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39"/>
    <w:rsid w:val="009074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27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F8A7-380E-45A5-9EC3-3BC2096EF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F1B3088-8984-4126-8373-2959A83E090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434876C-56D9-4788-A114-C9CC8E84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6</Pages>
  <Words>2148</Words>
  <Characters>12244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2020-08-26T17:54:00Z</dcterms:created>
  <dcterms:modified xsi:type="dcterms:W3CDTF">2020-08-26T17:54:00Z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