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5491C" w14:textId="12699D62" w:rsidR="00661B24" w:rsidRPr="009D0C73" w:rsidRDefault="00661B24" w:rsidP="00661B24">
      <w:pPr>
        <w:jc w:val="both"/>
        <w:rPr>
          <w:rFonts w:ascii="Arial" w:hAnsi="Arial" w:cs="Arial"/>
          <w:b/>
          <w:sz w:val="22"/>
          <w:lang w:val="es-ES" w:eastAsia="es-ES"/>
        </w:rPr>
      </w:pPr>
      <w:bookmarkStart w:id="0" w:name="_Hlk29890381"/>
      <w:r>
        <w:rPr>
          <w:rFonts w:ascii="Arial" w:hAnsi="Arial" w:cs="Arial"/>
          <w:b/>
          <w:sz w:val="22"/>
          <w:lang w:val="es-ES" w:eastAsia="es-ES"/>
        </w:rPr>
        <w:t>DACIÓN EN PAGO</w:t>
      </w:r>
      <w:r w:rsidRPr="009D0C73">
        <w:rPr>
          <w:rFonts w:ascii="Arial" w:hAnsi="Arial" w:cs="Arial"/>
          <w:b/>
          <w:sz w:val="22"/>
          <w:lang w:val="es-ES" w:eastAsia="es-ES"/>
        </w:rPr>
        <w:t xml:space="preserve"> - Definición – </w:t>
      </w:r>
      <w:r>
        <w:rPr>
          <w:rFonts w:ascii="Arial" w:hAnsi="Arial" w:cs="Arial"/>
          <w:b/>
          <w:sz w:val="22"/>
          <w:lang w:val="es-ES" w:eastAsia="es-ES"/>
        </w:rPr>
        <w:t>Naturaleza</w:t>
      </w:r>
      <w:r w:rsidRPr="009D0C73">
        <w:rPr>
          <w:rFonts w:ascii="Arial" w:hAnsi="Arial" w:cs="Arial"/>
          <w:b/>
          <w:sz w:val="22"/>
          <w:lang w:val="es-ES" w:eastAsia="es-ES"/>
        </w:rPr>
        <w:t xml:space="preserve"> </w:t>
      </w:r>
    </w:p>
    <w:p w14:paraId="08B2991B" w14:textId="77777777" w:rsidR="00661B24" w:rsidRPr="009D0C73" w:rsidRDefault="00661B24" w:rsidP="00661B24">
      <w:pPr>
        <w:jc w:val="both"/>
        <w:rPr>
          <w:rFonts w:ascii="Arial" w:hAnsi="Arial" w:cs="Arial"/>
          <w:b/>
          <w:sz w:val="16"/>
          <w:szCs w:val="16"/>
          <w:lang w:val="es-ES" w:eastAsia="es-ES"/>
        </w:rPr>
      </w:pPr>
    </w:p>
    <w:p w14:paraId="45094B6C" w14:textId="2C66C9E6" w:rsidR="00661B24" w:rsidRDefault="00661B24" w:rsidP="00661B24">
      <w:pPr>
        <w:jc w:val="both"/>
        <w:rPr>
          <w:rFonts w:ascii="Arial" w:hAnsi="Arial" w:cs="Arial"/>
          <w:sz w:val="20"/>
          <w:szCs w:val="20"/>
          <w:lang w:val="es-ES" w:eastAsia="es-ES"/>
        </w:rPr>
      </w:pPr>
      <w:r w:rsidRPr="00661B24">
        <w:rPr>
          <w:rFonts w:ascii="Arial" w:hAnsi="Arial" w:cs="Arial"/>
          <w:sz w:val="20"/>
          <w:szCs w:val="20"/>
          <w:lang w:val="es-ES" w:eastAsia="es-ES"/>
        </w:rPr>
        <w:t>La naturaleza de la dación en pago ha sido motivo de análisis a nivel doctrinario y jurisprudencial, en tanto no existe consagración legislativa explícita que se encargue de la figura. La dación en pago se ubica genéricamente dentro de los modos de extinguir las obligaciones, y aunque no hay consenso respecto de su clasificación, pues algunos doctrinantes la ubican dentro de las modalidades especiales de pago, otros la asimilan a la novación, y unos más señalan que es un modo autónomo de extinguir las obligaciones, todos coinciden en su efecto liberador del vínculo obligacional</w:t>
      </w:r>
      <w:r>
        <w:rPr>
          <w:rFonts w:ascii="Arial" w:hAnsi="Arial" w:cs="Arial"/>
          <w:sz w:val="20"/>
          <w:szCs w:val="20"/>
          <w:lang w:val="es-ES" w:eastAsia="es-ES"/>
        </w:rPr>
        <w:t>.</w:t>
      </w:r>
    </w:p>
    <w:p w14:paraId="7E5C5484" w14:textId="77777777" w:rsidR="00661B24" w:rsidRPr="009D0C73" w:rsidRDefault="00661B24" w:rsidP="00661B24">
      <w:pPr>
        <w:jc w:val="both"/>
        <w:rPr>
          <w:rFonts w:ascii="Arial" w:hAnsi="Arial" w:cs="Arial"/>
          <w:sz w:val="20"/>
          <w:szCs w:val="20"/>
          <w:lang w:val="es-ES" w:eastAsia="es-ES"/>
        </w:rPr>
      </w:pPr>
    </w:p>
    <w:p w14:paraId="109F3E90" w14:textId="145B9D76" w:rsidR="00661B24" w:rsidRPr="009D0C73" w:rsidRDefault="00661B24" w:rsidP="00661B24">
      <w:pPr>
        <w:jc w:val="both"/>
        <w:rPr>
          <w:rFonts w:ascii="Arial" w:hAnsi="Arial" w:cs="Arial"/>
          <w:b/>
          <w:sz w:val="22"/>
          <w:lang w:val="es-ES" w:eastAsia="es-ES"/>
        </w:rPr>
      </w:pPr>
      <w:r>
        <w:rPr>
          <w:rFonts w:ascii="Arial" w:hAnsi="Arial" w:cs="Arial"/>
          <w:b/>
          <w:sz w:val="22"/>
          <w:lang w:val="es-ES" w:eastAsia="es-ES"/>
        </w:rPr>
        <w:t>DACIÓN EN PAGO</w:t>
      </w:r>
      <w:r w:rsidRPr="009D0C73">
        <w:rPr>
          <w:rFonts w:ascii="Arial" w:hAnsi="Arial" w:cs="Arial"/>
          <w:b/>
          <w:sz w:val="22"/>
          <w:lang w:val="es-ES" w:eastAsia="es-ES"/>
        </w:rPr>
        <w:t xml:space="preserve"> – </w:t>
      </w:r>
      <w:r>
        <w:rPr>
          <w:rFonts w:ascii="Arial" w:hAnsi="Arial" w:cs="Arial"/>
          <w:b/>
          <w:sz w:val="22"/>
          <w:lang w:val="es-ES" w:eastAsia="es-ES"/>
        </w:rPr>
        <w:t>Elementos</w:t>
      </w:r>
      <w:r w:rsidRPr="009D0C73">
        <w:rPr>
          <w:rFonts w:ascii="Arial" w:hAnsi="Arial" w:cs="Arial"/>
          <w:b/>
          <w:sz w:val="22"/>
          <w:lang w:val="es-ES" w:eastAsia="es-ES"/>
        </w:rPr>
        <w:t xml:space="preserve"> </w:t>
      </w:r>
    </w:p>
    <w:p w14:paraId="482FC300" w14:textId="77777777" w:rsidR="00661B24" w:rsidRPr="009D0C73" w:rsidRDefault="00661B24" w:rsidP="00661B24">
      <w:pPr>
        <w:jc w:val="both"/>
        <w:rPr>
          <w:rFonts w:ascii="Arial" w:hAnsi="Arial" w:cs="Arial"/>
          <w:sz w:val="20"/>
          <w:szCs w:val="20"/>
          <w:lang w:val="es-ES" w:eastAsia="es-ES"/>
        </w:rPr>
      </w:pPr>
    </w:p>
    <w:p w14:paraId="4FEAF375" w14:textId="7C582ABB" w:rsidR="00756C8F" w:rsidRPr="00661B24" w:rsidRDefault="00661B24" w:rsidP="00756C8F">
      <w:pPr>
        <w:jc w:val="both"/>
        <w:rPr>
          <w:rFonts w:ascii="Arial" w:eastAsia="Calibri" w:hAnsi="Arial" w:cs="Arial"/>
          <w:bCs/>
          <w:color w:val="000000" w:themeColor="text1"/>
          <w:sz w:val="22"/>
          <w:lang w:val="es-ES"/>
        </w:rPr>
      </w:pPr>
      <w:r>
        <w:rPr>
          <w:rFonts w:ascii="Arial" w:hAnsi="Arial" w:cs="Arial"/>
          <w:sz w:val="20"/>
          <w:szCs w:val="20"/>
          <w:lang w:val="es-ES" w:eastAsia="es-ES"/>
        </w:rPr>
        <w:t>S</w:t>
      </w:r>
      <w:r w:rsidRPr="00661B24">
        <w:rPr>
          <w:rFonts w:ascii="Arial" w:hAnsi="Arial" w:cs="Arial"/>
          <w:sz w:val="20"/>
          <w:szCs w:val="20"/>
          <w:lang w:val="es-ES" w:eastAsia="es-ES"/>
        </w:rPr>
        <w:t>in perjuicio del debate que pueda sostenerse a nivel doctrinal o jurisprudencial, resulta claro que para que se presente la figura de dación en pago, se requiere, al menos, la presencia de los siguientes elementos: (i) una obligación original cuyo pago o extinción se pretenda y (ii) un acuerdo entre el deudor y el acreedor para extinguir la obligación mediante la entrega de un objeto en reemplazo de lo debido. Dicho con mayor claridad, la dación en pago supone la necesidad de un negocio jurídico que deberá reunir los requisitos de existencia y validez propio de su naturaleza, atendiendo además a la naturaleza del bien que pretenda entregarse para extinguir la obligación original, prestando particular atención a las solemnidades que pudieran ser requeridas para cumplir con la tradición del bien.</w:t>
      </w:r>
    </w:p>
    <w:p w14:paraId="46EFD736" w14:textId="77777777" w:rsidR="00661B24" w:rsidRDefault="00661B24" w:rsidP="00756C8F">
      <w:pPr>
        <w:rPr>
          <w:rFonts w:ascii="Arial" w:hAnsi="Arial" w:cs="Arial"/>
          <w:color w:val="000000" w:themeColor="text1"/>
          <w:sz w:val="22"/>
        </w:rPr>
      </w:pPr>
    </w:p>
    <w:p w14:paraId="3CA43DFE" w14:textId="77777777" w:rsidR="00661B24" w:rsidRDefault="00661B24" w:rsidP="00756C8F">
      <w:pPr>
        <w:rPr>
          <w:rFonts w:ascii="Arial" w:hAnsi="Arial" w:cs="Arial"/>
          <w:color w:val="000000" w:themeColor="text1"/>
          <w:sz w:val="22"/>
        </w:rPr>
      </w:pPr>
    </w:p>
    <w:p w14:paraId="6BB957AC" w14:textId="77777777" w:rsidR="00661B24" w:rsidRDefault="00661B24" w:rsidP="00756C8F">
      <w:pPr>
        <w:rPr>
          <w:rFonts w:ascii="Arial" w:hAnsi="Arial" w:cs="Arial"/>
          <w:color w:val="000000" w:themeColor="text1"/>
          <w:sz w:val="22"/>
        </w:rPr>
      </w:pPr>
    </w:p>
    <w:p w14:paraId="038ABA48" w14:textId="104A465A" w:rsidR="00756C8F" w:rsidRPr="006C15D5" w:rsidRDefault="00756C8F" w:rsidP="00756C8F">
      <w:pPr>
        <w:rPr>
          <w:rFonts w:ascii="Arial" w:hAnsi="Arial" w:cs="Arial"/>
          <w:b/>
          <w:color w:val="000000" w:themeColor="text1"/>
          <w:sz w:val="22"/>
        </w:rPr>
      </w:pPr>
      <w:r w:rsidRPr="006C15D5">
        <w:rPr>
          <w:rFonts w:ascii="Arial" w:hAnsi="Arial" w:cs="Arial"/>
          <w:color w:val="000000" w:themeColor="text1"/>
          <w:sz w:val="22"/>
        </w:rPr>
        <w:t xml:space="preserve">Bogotá D.C., </w:t>
      </w:r>
      <w:r w:rsidR="00E86DB7">
        <w:rPr>
          <w:rFonts w:ascii="Arial" w:hAnsi="Arial" w:cs="Arial"/>
          <w:b/>
          <w:color w:val="000000" w:themeColor="text1"/>
          <w:sz w:val="22"/>
        </w:rPr>
        <w:t>29/09/2020 Hora 14:59:30s</w:t>
      </w:r>
    </w:p>
    <w:p w14:paraId="7C190969" w14:textId="77777777" w:rsidR="00756C8F" w:rsidRDefault="00756C8F" w:rsidP="00756C8F">
      <w:pPr>
        <w:jc w:val="right"/>
        <w:rPr>
          <w:rFonts w:ascii="Arial" w:hAnsi="Arial" w:cs="Arial"/>
          <w:b/>
          <w:color w:val="000000" w:themeColor="text1"/>
          <w:sz w:val="22"/>
        </w:rPr>
      </w:pPr>
    </w:p>
    <w:p w14:paraId="678AF641" w14:textId="66554FB7" w:rsidR="00756C8F" w:rsidRPr="006C15D5" w:rsidRDefault="00756C8F" w:rsidP="00756C8F">
      <w:pPr>
        <w:jc w:val="right"/>
        <w:rPr>
          <w:rFonts w:ascii="Arial" w:hAnsi="Arial" w:cs="Arial"/>
          <w:b/>
          <w:color w:val="000000" w:themeColor="text1"/>
          <w:sz w:val="22"/>
        </w:rPr>
      </w:pPr>
      <w:proofErr w:type="spellStart"/>
      <w:r w:rsidRPr="006C15D5">
        <w:rPr>
          <w:rFonts w:ascii="Arial" w:hAnsi="Arial" w:cs="Arial"/>
          <w:b/>
          <w:color w:val="000000" w:themeColor="text1"/>
          <w:sz w:val="22"/>
        </w:rPr>
        <w:t>N°</w:t>
      </w:r>
      <w:proofErr w:type="spellEnd"/>
      <w:r w:rsidRPr="006C15D5">
        <w:rPr>
          <w:rFonts w:ascii="Arial" w:hAnsi="Arial" w:cs="Arial"/>
          <w:b/>
          <w:color w:val="000000" w:themeColor="text1"/>
          <w:sz w:val="22"/>
        </w:rPr>
        <w:t xml:space="preserve"> Radicado: </w:t>
      </w:r>
      <w:r w:rsidR="00E86DB7">
        <w:rPr>
          <w:rFonts w:ascii="Arial" w:hAnsi="Arial" w:cs="Arial"/>
          <w:b/>
          <w:color w:val="000000" w:themeColor="text1"/>
          <w:sz w:val="22"/>
        </w:rPr>
        <w:t>2202013000009308</w:t>
      </w:r>
    </w:p>
    <w:p w14:paraId="5E4DE164" w14:textId="77777777" w:rsidR="008F3278" w:rsidRPr="006C15D5" w:rsidRDefault="008F3278" w:rsidP="00756C8F">
      <w:pPr>
        <w:rPr>
          <w:rFonts w:ascii="Arial" w:eastAsia="Calibri" w:hAnsi="Arial" w:cs="Arial"/>
          <w:color w:val="000000" w:themeColor="text1"/>
          <w:sz w:val="22"/>
        </w:rPr>
      </w:pPr>
    </w:p>
    <w:p w14:paraId="0DB3409F" w14:textId="7EBAA38A" w:rsidR="0010723B" w:rsidRPr="0010723B" w:rsidRDefault="0010723B" w:rsidP="0010723B">
      <w:pPr>
        <w:rPr>
          <w:rFonts w:ascii="Arial" w:eastAsia="Calibri" w:hAnsi="Arial" w:cs="Arial"/>
          <w:sz w:val="22"/>
          <w:lang w:val="es-ES"/>
        </w:rPr>
      </w:pPr>
      <w:r w:rsidRPr="0010723B">
        <w:rPr>
          <w:rFonts w:ascii="Arial" w:eastAsia="Calibri" w:hAnsi="Arial" w:cs="Arial"/>
          <w:sz w:val="22"/>
          <w:lang w:val="es-ES"/>
        </w:rPr>
        <w:t>Señor</w:t>
      </w:r>
    </w:p>
    <w:p w14:paraId="157011A5" w14:textId="5A3AD61E" w:rsidR="0072423F" w:rsidRPr="0072423F" w:rsidRDefault="00D50CCB" w:rsidP="0072423F">
      <w:pPr>
        <w:rPr>
          <w:rFonts w:ascii="Arial" w:eastAsia="Calibri" w:hAnsi="Arial" w:cs="Arial"/>
          <w:b/>
          <w:sz w:val="22"/>
          <w:lang w:val="es-ES"/>
        </w:rPr>
      </w:pPr>
      <w:r>
        <w:rPr>
          <w:rFonts w:ascii="Arial" w:eastAsia="Calibri" w:hAnsi="Arial" w:cs="Arial"/>
          <w:b/>
          <w:sz w:val="22"/>
          <w:lang w:val="es-ES"/>
        </w:rPr>
        <w:t>William Andrés Toca Niño</w:t>
      </w:r>
    </w:p>
    <w:p w14:paraId="39EC91A5" w14:textId="473143C0" w:rsidR="0010723B" w:rsidRPr="0010723B" w:rsidRDefault="0072423F" w:rsidP="0072423F">
      <w:pPr>
        <w:rPr>
          <w:rFonts w:ascii="Arial" w:eastAsia="Calibri" w:hAnsi="Arial" w:cs="Arial"/>
          <w:sz w:val="22"/>
          <w:lang w:val="es-ES"/>
        </w:rPr>
      </w:pPr>
      <w:r>
        <w:rPr>
          <w:rFonts w:ascii="Arial" w:eastAsia="Calibri" w:hAnsi="Arial" w:cs="Arial"/>
          <w:sz w:val="22"/>
          <w:lang w:val="es-ES"/>
        </w:rPr>
        <w:t>Ciudad</w:t>
      </w:r>
      <w:r w:rsidR="0080772D">
        <w:rPr>
          <w:rFonts w:ascii="Arial" w:eastAsia="Calibri" w:hAnsi="Arial" w:cs="Arial"/>
          <w:sz w:val="22"/>
          <w:lang w:val="es-ES"/>
        </w:rPr>
        <w:t xml:space="preserve"> </w:t>
      </w:r>
    </w:p>
    <w:p w14:paraId="33A9673B" w14:textId="0015063A" w:rsidR="008F3278" w:rsidRDefault="008F3278" w:rsidP="0010723B">
      <w:pPr>
        <w:rPr>
          <w:rFonts w:ascii="Arial" w:eastAsia="Calibri" w:hAnsi="Arial" w:cs="Arial"/>
          <w:b/>
          <w:sz w:val="22"/>
          <w:lang w:val="es-ES"/>
        </w:rPr>
      </w:pPr>
    </w:p>
    <w:p w14:paraId="2DEB5F54" w14:textId="1DAF7165" w:rsidR="00BD3436" w:rsidRPr="00F8190C" w:rsidRDefault="00BD3436" w:rsidP="00BD3436">
      <w:pPr>
        <w:jc w:val="center"/>
        <w:rPr>
          <w:rFonts w:ascii="Arial" w:eastAsia="Calibri" w:hAnsi="Arial" w:cs="Arial"/>
          <w:b/>
          <w:bCs/>
          <w:color w:val="000000" w:themeColor="text1"/>
          <w:sz w:val="22"/>
          <w:lang w:val="es-ES_tradnl"/>
        </w:rPr>
      </w:pPr>
      <w:r w:rsidRPr="00F8190C">
        <w:rPr>
          <w:rFonts w:ascii="Arial" w:eastAsia="Calibri" w:hAnsi="Arial" w:cs="Arial"/>
          <w:b/>
          <w:bCs/>
          <w:color w:val="000000" w:themeColor="text1"/>
          <w:sz w:val="22"/>
          <w:lang w:val="es-ES_tradnl"/>
        </w:rPr>
        <w:t xml:space="preserve">Concepto C‒ </w:t>
      </w:r>
      <w:r w:rsidR="002B4DEE">
        <w:rPr>
          <w:rFonts w:ascii="Arial" w:eastAsia="Calibri" w:hAnsi="Arial" w:cs="Arial"/>
          <w:b/>
          <w:bCs/>
          <w:color w:val="000000" w:themeColor="text1"/>
          <w:sz w:val="22"/>
          <w:lang w:val="es-ES_tradnl"/>
        </w:rPr>
        <w:t>601</w:t>
      </w:r>
      <w:r w:rsidRPr="00F8190C">
        <w:rPr>
          <w:rFonts w:ascii="Arial" w:eastAsia="Calibri" w:hAnsi="Arial" w:cs="Arial"/>
          <w:b/>
          <w:bCs/>
          <w:color w:val="000000" w:themeColor="text1"/>
          <w:sz w:val="22"/>
          <w:lang w:val="es-ES_tradnl"/>
        </w:rPr>
        <w:t xml:space="preserve"> de 2020</w:t>
      </w:r>
    </w:p>
    <w:p w14:paraId="419C8D73" w14:textId="77777777" w:rsidR="00BD3436" w:rsidRPr="003D7C1B" w:rsidRDefault="00BD3436" w:rsidP="0010723B">
      <w:pPr>
        <w:rPr>
          <w:rFonts w:ascii="Arial" w:eastAsia="Calibri" w:hAnsi="Arial" w:cs="Arial"/>
          <w:b/>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071A4" w:rsidRPr="00CB1793" w14:paraId="46732290" w14:textId="77777777" w:rsidTr="00293C5C">
        <w:tc>
          <w:tcPr>
            <w:tcW w:w="2689" w:type="dxa"/>
          </w:tcPr>
          <w:p w14:paraId="55357BEB" w14:textId="77777777" w:rsidR="009071A4" w:rsidRPr="00CB1793" w:rsidRDefault="009071A4" w:rsidP="00293C5C">
            <w:pPr>
              <w:rPr>
                <w:rFonts w:ascii="Arial" w:eastAsia="Calibri" w:hAnsi="Arial" w:cs="Arial"/>
                <w:color w:val="000000" w:themeColor="text1"/>
                <w:sz w:val="22"/>
                <w:lang w:val="es-ES_tradnl"/>
              </w:rPr>
            </w:pPr>
            <w:r w:rsidRPr="00CB1793">
              <w:rPr>
                <w:rFonts w:ascii="Arial" w:eastAsia="Calibri" w:hAnsi="Arial" w:cs="Arial"/>
                <w:b/>
                <w:color w:val="000000" w:themeColor="text1"/>
                <w:sz w:val="22"/>
                <w:lang w:val="es-ES_tradnl"/>
              </w:rPr>
              <w:t>Temas:</w:t>
            </w:r>
            <w:r w:rsidRPr="00FC29DB">
              <w:rPr>
                <w:rFonts w:ascii="Arial" w:eastAsia="Calibri" w:hAnsi="Arial" w:cs="Arial"/>
                <w:color w:val="000000" w:themeColor="text1"/>
                <w:sz w:val="22"/>
                <w:lang w:val="es-ES_tradnl"/>
              </w:rPr>
              <w:t xml:space="preserve">                                      </w:t>
            </w:r>
          </w:p>
        </w:tc>
        <w:tc>
          <w:tcPr>
            <w:tcW w:w="6237" w:type="dxa"/>
          </w:tcPr>
          <w:p w14:paraId="7FDFC41A" w14:textId="4674E8D8" w:rsidR="009071A4" w:rsidRPr="003D7C1B" w:rsidRDefault="009071A4" w:rsidP="00293C5C">
            <w:pPr>
              <w:jc w:val="both"/>
              <w:rPr>
                <w:rFonts w:ascii="Arial" w:eastAsia="Calibri" w:hAnsi="Arial" w:cs="Arial"/>
                <w:color w:val="000000" w:themeColor="text1"/>
                <w:sz w:val="22"/>
                <w:lang w:val="es-ES"/>
              </w:rPr>
            </w:pPr>
            <w:r w:rsidRPr="00CB1793">
              <w:rPr>
                <w:rFonts w:ascii="Arial" w:eastAsia="Calibri" w:hAnsi="Arial" w:cs="Arial"/>
                <w:color w:val="000000" w:themeColor="text1"/>
                <w:sz w:val="22"/>
                <w:lang w:val="es-ES_tradnl"/>
              </w:rPr>
              <w:t>DACIÓN EN PAGO - Definición – Naturaleza / DACIÓN EN PAGO – Elementos</w:t>
            </w:r>
          </w:p>
        </w:tc>
      </w:tr>
      <w:tr w:rsidR="009071A4" w:rsidRPr="00F8190C" w14:paraId="734E87C0" w14:textId="77777777" w:rsidTr="00293C5C">
        <w:tc>
          <w:tcPr>
            <w:tcW w:w="2689" w:type="dxa"/>
          </w:tcPr>
          <w:p w14:paraId="4A01D7BC" w14:textId="77777777" w:rsidR="009071A4" w:rsidRPr="00CB1793" w:rsidRDefault="009071A4" w:rsidP="00293C5C">
            <w:pPr>
              <w:spacing w:before="120"/>
              <w:rPr>
                <w:rFonts w:ascii="Arial" w:eastAsia="Calibri" w:hAnsi="Arial" w:cs="Arial"/>
                <w:b/>
                <w:color w:val="000000" w:themeColor="text1"/>
                <w:sz w:val="22"/>
                <w:lang w:val="es-ES_tradnl"/>
              </w:rPr>
            </w:pPr>
            <w:r w:rsidRPr="00CB1793">
              <w:rPr>
                <w:rFonts w:ascii="Arial" w:eastAsia="Calibri" w:hAnsi="Arial" w:cs="Arial"/>
                <w:b/>
                <w:color w:val="000000" w:themeColor="text1"/>
                <w:sz w:val="22"/>
                <w:lang w:val="es-ES_tradnl"/>
              </w:rPr>
              <w:t>Radicación:</w:t>
            </w:r>
            <w:r w:rsidRPr="00FC29DB">
              <w:rPr>
                <w:rFonts w:ascii="Arial" w:eastAsia="Calibri" w:hAnsi="Arial" w:cs="Arial"/>
                <w:color w:val="000000" w:themeColor="text1"/>
                <w:sz w:val="22"/>
                <w:lang w:val="es-ES_tradnl"/>
              </w:rPr>
              <w:t xml:space="preserve">                              </w:t>
            </w:r>
          </w:p>
        </w:tc>
        <w:tc>
          <w:tcPr>
            <w:tcW w:w="6237" w:type="dxa"/>
          </w:tcPr>
          <w:p w14:paraId="43BE36F1" w14:textId="06276F7D" w:rsidR="009071A4" w:rsidRPr="00F8190C" w:rsidRDefault="009071A4" w:rsidP="00293C5C">
            <w:pPr>
              <w:spacing w:before="120"/>
              <w:jc w:val="both"/>
              <w:rPr>
                <w:rFonts w:ascii="Arial" w:eastAsia="Calibri" w:hAnsi="Arial" w:cs="Arial"/>
                <w:color w:val="000000" w:themeColor="text1"/>
                <w:sz w:val="22"/>
                <w:lang w:val="es-ES_tradnl"/>
              </w:rPr>
            </w:pPr>
            <w:r w:rsidRPr="00CB1793">
              <w:rPr>
                <w:rFonts w:ascii="Arial" w:eastAsia="Calibri" w:hAnsi="Arial" w:cs="Arial"/>
                <w:color w:val="000000" w:themeColor="text1"/>
                <w:sz w:val="22"/>
                <w:lang w:val="es-ES_tradnl"/>
              </w:rPr>
              <w:t>Respuesta a consulta # 4202013000007714</w:t>
            </w:r>
          </w:p>
        </w:tc>
      </w:tr>
    </w:tbl>
    <w:p w14:paraId="2054C8C1" w14:textId="77777777" w:rsidR="008F3278" w:rsidRPr="0010723B" w:rsidRDefault="008F3278" w:rsidP="0010723B">
      <w:pPr>
        <w:rPr>
          <w:rFonts w:ascii="Arial" w:eastAsia="Calibri" w:hAnsi="Arial" w:cs="Arial"/>
          <w:sz w:val="22"/>
          <w:lang w:val="es-ES"/>
        </w:rPr>
      </w:pPr>
    </w:p>
    <w:p w14:paraId="38ADD812" w14:textId="2FC97E07" w:rsidR="0010723B" w:rsidRPr="0010723B" w:rsidRDefault="0010723B" w:rsidP="0010723B">
      <w:pPr>
        <w:spacing w:before="12" w:line="276" w:lineRule="auto"/>
        <w:rPr>
          <w:rFonts w:ascii="Arial" w:eastAsia="Calibri" w:hAnsi="Arial" w:cs="Arial"/>
          <w:sz w:val="22"/>
          <w:lang w:val="es-ES"/>
        </w:rPr>
      </w:pPr>
      <w:r w:rsidRPr="0010723B">
        <w:rPr>
          <w:rFonts w:ascii="Arial" w:eastAsia="Calibri" w:hAnsi="Arial" w:cs="Arial"/>
          <w:sz w:val="22"/>
          <w:lang w:val="es-ES"/>
        </w:rPr>
        <w:t>Estimad</w:t>
      </w:r>
      <w:r w:rsidR="00D50CCB">
        <w:rPr>
          <w:rFonts w:ascii="Arial" w:eastAsia="Calibri" w:hAnsi="Arial" w:cs="Arial"/>
          <w:sz w:val="22"/>
          <w:lang w:val="es-ES"/>
        </w:rPr>
        <w:t>o</w:t>
      </w:r>
      <w:r w:rsidR="0080772D">
        <w:rPr>
          <w:rFonts w:ascii="Arial" w:eastAsia="Calibri" w:hAnsi="Arial" w:cs="Arial"/>
          <w:sz w:val="22"/>
          <w:lang w:val="es-ES"/>
        </w:rPr>
        <w:t xml:space="preserve"> señor </w:t>
      </w:r>
      <w:r w:rsidR="00D50CCB">
        <w:rPr>
          <w:rFonts w:ascii="Arial" w:eastAsia="Calibri" w:hAnsi="Arial" w:cs="Arial"/>
          <w:sz w:val="22"/>
          <w:lang w:val="es-ES"/>
        </w:rPr>
        <w:t>Toca</w:t>
      </w:r>
      <w:r w:rsidR="0080772D">
        <w:rPr>
          <w:rFonts w:ascii="Arial" w:eastAsia="Calibri" w:hAnsi="Arial" w:cs="Arial"/>
          <w:sz w:val="22"/>
          <w:lang w:val="es-ES"/>
        </w:rPr>
        <w:t>:</w:t>
      </w:r>
    </w:p>
    <w:p w14:paraId="0046FFA9" w14:textId="77777777" w:rsidR="0010723B" w:rsidRPr="0010723B" w:rsidRDefault="0010723B" w:rsidP="0080772D">
      <w:pPr>
        <w:spacing w:line="276" w:lineRule="auto"/>
        <w:rPr>
          <w:rFonts w:ascii="Arial" w:eastAsia="Calibri" w:hAnsi="Arial" w:cs="Arial"/>
          <w:sz w:val="22"/>
          <w:lang w:val="es-ES"/>
        </w:rPr>
      </w:pPr>
    </w:p>
    <w:p w14:paraId="54D63715" w14:textId="77777777" w:rsidR="004A7C6D" w:rsidRDefault="00236F9E" w:rsidP="004E16D0">
      <w:pPr>
        <w:spacing w:line="276" w:lineRule="auto"/>
        <w:jc w:val="both"/>
        <w:rPr>
          <w:rStyle w:val="normaltextrun"/>
          <w:rFonts w:ascii="Arial" w:hAnsi="Arial" w:cs="Arial"/>
          <w:color w:val="000000"/>
          <w:sz w:val="22"/>
          <w:shd w:val="clear" w:color="auto" w:fill="FFFFFF"/>
        </w:rPr>
      </w:pPr>
      <w:r>
        <w:rPr>
          <w:rStyle w:val="normaltextrun"/>
          <w:rFonts w:ascii="Arial" w:hAnsi="Arial" w:cs="Arial"/>
          <w:color w:val="000000"/>
          <w:sz w:val="22"/>
          <w:shd w:val="clear" w:color="auto" w:fill="FFFFFF"/>
        </w:rPr>
        <w:t xml:space="preserve">En ejercicio de la competencia otorgada por los artículos 11, numeral 8º, y 3º, numeral 5º, del Decreto Ley 4170 de 2011, la Agencia Nacional de Contratación Pública − Colombia Compra Eficiente responde </w:t>
      </w:r>
      <w:r w:rsidR="0080772D">
        <w:rPr>
          <w:rStyle w:val="normaltextrun"/>
          <w:rFonts w:ascii="Arial" w:hAnsi="Arial" w:cs="Arial"/>
          <w:color w:val="000000"/>
          <w:sz w:val="22"/>
          <w:shd w:val="clear" w:color="auto" w:fill="FFFFFF"/>
        </w:rPr>
        <w:t xml:space="preserve">su petición del </w:t>
      </w:r>
      <w:r w:rsidR="00D50CCB">
        <w:rPr>
          <w:rStyle w:val="normaltextrun"/>
          <w:rFonts w:ascii="Arial" w:hAnsi="Arial" w:cs="Arial"/>
          <w:color w:val="000000"/>
          <w:sz w:val="22"/>
          <w:shd w:val="clear" w:color="auto" w:fill="FFFFFF"/>
        </w:rPr>
        <w:t>2</w:t>
      </w:r>
      <w:r w:rsidR="0080772D">
        <w:rPr>
          <w:rStyle w:val="normaltextrun"/>
          <w:rFonts w:ascii="Arial" w:hAnsi="Arial" w:cs="Arial"/>
          <w:color w:val="000000"/>
          <w:sz w:val="22"/>
          <w:shd w:val="clear" w:color="auto" w:fill="FFFFFF"/>
        </w:rPr>
        <w:t xml:space="preserve"> de </w:t>
      </w:r>
      <w:r w:rsidR="003B29CE">
        <w:rPr>
          <w:rStyle w:val="normaltextrun"/>
          <w:rFonts w:ascii="Arial" w:hAnsi="Arial" w:cs="Arial"/>
          <w:color w:val="000000"/>
          <w:sz w:val="22"/>
          <w:shd w:val="clear" w:color="auto" w:fill="FFFFFF"/>
        </w:rPr>
        <w:t>septiembre</w:t>
      </w:r>
      <w:r w:rsidR="0080772D">
        <w:rPr>
          <w:rStyle w:val="normaltextrun"/>
          <w:rFonts w:ascii="Arial" w:hAnsi="Arial" w:cs="Arial"/>
          <w:color w:val="000000"/>
          <w:sz w:val="22"/>
          <w:shd w:val="clear" w:color="auto" w:fill="FFFFFF"/>
        </w:rPr>
        <w:t xml:space="preserve"> de 2020</w:t>
      </w:r>
      <w:r w:rsidR="004A7C6D">
        <w:rPr>
          <w:rStyle w:val="normaltextrun"/>
          <w:rFonts w:ascii="Arial" w:hAnsi="Arial" w:cs="Arial"/>
          <w:color w:val="000000"/>
          <w:sz w:val="22"/>
          <w:shd w:val="clear" w:color="auto" w:fill="FFFFFF"/>
        </w:rPr>
        <w:t>.</w:t>
      </w:r>
    </w:p>
    <w:p w14:paraId="1E8E5CFF" w14:textId="56926A1E" w:rsidR="004A7C6D" w:rsidRDefault="004A7C6D" w:rsidP="004E16D0">
      <w:pPr>
        <w:spacing w:line="276" w:lineRule="auto"/>
        <w:jc w:val="both"/>
        <w:rPr>
          <w:rStyle w:val="normaltextrun"/>
          <w:rFonts w:ascii="Arial" w:hAnsi="Arial" w:cs="Arial"/>
          <w:color w:val="000000"/>
          <w:sz w:val="22"/>
          <w:shd w:val="clear" w:color="auto" w:fill="FFFFFF"/>
        </w:rPr>
      </w:pPr>
    </w:p>
    <w:p w14:paraId="2C610374" w14:textId="77777777" w:rsidR="004A7C6D" w:rsidRPr="00F8190C" w:rsidRDefault="004A7C6D" w:rsidP="004A7C6D">
      <w:pPr>
        <w:pStyle w:val="Prrafodelista"/>
        <w:numPr>
          <w:ilvl w:val="0"/>
          <w:numId w:val="7"/>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F8190C">
        <w:rPr>
          <w:rFonts w:ascii="Arial" w:eastAsia="Calibri" w:hAnsi="Arial" w:cs="Arial"/>
          <w:b/>
          <w:color w:val="000000" w:themeColor="text1"/>
          <w:sz w:val="22"/>
          <w:lang w:val="es-ES_tradnl"/>
        </w:rPr>
        <w:t xml:space="preserve">Problema planteado </w:t>
      </w:r>
    </w:p>
    <w:p w14:paraId="49FDE5AD" w14:textId="77777777" w:rsidR="004A7C6D" w:rsidRDefault="004A7C6D" w:rsidP="004E16D0">
      <w:pPr>
        <w:spacing w:line="276" w:lineRule="auto"/>
        <w:jc w:val="both"/>
        <w:rPr>
          <w:rStyle w:val="normaltextrun"/>
          <w:rFonts w:ascii="Arial" w:hAnsi="Arial" w:cs="Arial"/>
          <w:color w:val="000000"/>
          <w:sz w:val="22"/>
          <w:shd w:val="clear" w:color="auto" w:fill="FFFFFF"/>
        </w:rPr>
      </w:pPr>
    </w:p>
    <w:p w14:paraId="24D5F862" w14:textId="7EE20924" w:rsidR="00CF19A5" w:rsidRDefault="00284507" w:rsidP="004E16D0">
      <w:pPr>
        <w:spacing w:line="276" w:lineRule="auto"/>
        <w:jc w:val="both"/>
        <w:rPr>
          <w:rStyle w:val="normaltextrun"/>
          <w:rFonts w:ascii="Arial" w:hAnsi="Arial" w:cs="Arial"/>
          <w:color w:val="000000"/>
          <w:sz w:val="21"/>
          <w:szCs w:val="21"/>
          <w:shd w:val="clear" w:color="auto" w:fill="FFFFFF"/>
        </w:rPr>
      </w:pPr>
      <w:r>
        <w:rPr>
          <w:rStyle w:val="normaltextrun"/>
          <w:rFonts w:ascii="Arial" w:hAnsi="Arial" w:cs="Arial"/>
          <w:color w:val="000000"/>
          <w:sz w:val="22"/>
          <w:shd w:val="clear" w:color="auto" w:fill="FFFFFF"/>
        </w:rPr>
        <w:t>Usted realiza la</w:t>
      </w:r>
      <w:r w:rsidR="00CF19A5">
        <w:rPr>
          <w:rStyle w:val="normaltextrun"/>
          <w:rFonts w:ascii="Arial" w:hAnsi="Arial" w:cs="Arial"/>
          <w:color w:val="000000"/>
          <w:sz w:val="22"/>
          <w:shd w:val="clear" w:color="auto" w:fill="FFFFFF"/>
        </w:rPr>
        <w:t>s</w:t>
      </w:r>
      <w:r>
        <w:rPr>
          <w:rStyle w:val="normaltextrun"/>
          <w:rFonts w:ascii="Arial" w:hAnsi="Arial" w:cs="Arial"/>
          <w:color w:val="000000"/>
          <w:sz w:val="22"/>
          <w:shd w:val="clear" w:color="auto" w:fill="FFFFFF"/>
        </w:rPr>
        <w:t xml:space="preserve"> </w:t>
      </w:r>
      <w:r w:rsidR="00D50CCB">
        <w:rPr>
          <w:rStyle w:val="normaltextrun"/>
          <w:rFonts w:ascii="Arial" w:hAnsi="Arial" w:cs="Arial"/>
          <w:color w:val="000000"/>
          <w:sz w:val="22"/>
          <w:shd w:val="clear" w:color="auto" w:fill="FFFFFF"/>
        </w:rPr>
        <w:t>siguiente</w:t>
      </w:r>
      <w:r w:rsidR="00CF19A5">
        <w:rPr>
          <w:rStyle w:val="normaltextrun"/>
          <w:rFonts w:ascii="Arial" w:hAnsi="Arial" w:cs="Arial"/>
          <w:color w:val="000000"/>
          <w:sz w:val="22"/>
          <w:shd w:val="clear" w:color="auto" w:fill="FFFFFF"/>
        </w:rPr>
        <w:t>s</w:t>
      </w:r>
      <w:r w:rsidR="00D50CCB">
        <w:rPr>
          <w:rStyle w:val="normaltextrun"/>
          <w:rFonts w:ascii="Arial" w:hAnsi="Arial" w:cs="Arial"/>
          <w:color w:val="000000"/>
          <w:sz w:val="22"/>
          <w:shd w:val="clear" w:color="auto" w:fill="FFFFFF"/>
        </w:rPr>
        <w:t xml:space="preserve"> pregunta</w:t>
      </w:r>
      <w:r w:rsidR="00CF19A5">
        <w:rPr>
          <w:rStyle w:val="normaltextrun"/>
          <w:rFonts w:ascii="Arial" w:hAnsi="Arial" w:cs="Arial"/>
          <w:color w:val="000000"/>
          <w:sz w:val="22"/>
          <w:shd w:val="clear" w:color="auto" w:fill="FFFFFF"/>
        </w:rPr>
        <w:t>s</w:t>
      </w:r>
      <w:r w:rsidR="00DE609B" w:rsidRPr="00DE609B">
        <w:rPr>
          <w:rStyle w:val="normaltextrun"/>
          <w:rFonts w:ascii="Arial" w:hAnsi="Arial" w:cs="Arial"/>
          <w:color w:val="000000"/>
          <w:sz w:val="22"/>
          <w:shd w:val="clear" w:color="auto" w:fill="FFFFFF"/>
        </w:rPr>
        <w:t>:</w:t>
      </w:r>
      <w:r w:rsidR="0026002B">
        <w:rPr>
          <w:rStyle w:val="normaltextrun"/>
          <w:rFonts w:ascii="Arial" w:hAnsi="Arial" w:cs="Arial"/>
          <w:color w:val="000000"/>
          <w:sz w:val="21"/>
          <w:szCs w:val="21"/>
          <w:shd w:val="clear" w:color="auto" w:fill="FFFFFF"/>
        </w:rPr>
        <w:t xml:space="preserve"> </w:t>
      </w:r>
    </w:p>
    <w:p w14:paraId="747B5584" w14:textId="77777777" w:rsidR="00CF19A5" w:rsidRDefault="00CF19A5" w:rsidP="004E16D0">
      <w:pPr>
        <w:spacing w:line="276" w:lineRule="auto"/>
        <w:jc w:val="both"/>
        <w:rPr>
          <w:rStyle w:val="normaltextrun"/>
          <w:rFonts w:ascii="Arial" w:hAnsi="Arial" w:cs="Arial"/>
          <w:color w:val="000000"/>
          <w:sz w:val="22"/>
          <w:shd w:val="clear" w:color="auto" w:fill="FFFFFF"/>
        </w:rPr>
      </w:pPr>
    </w:p>
    <w:p w14:paraId="54661FE4" w14:textId="1D1107B3" w:rsidR="00D50CCB" w:rsidRDefault="00DE609B" w:rsidP="003D7C1B">
      <w:pPr>
        <w:ind w:left="709" w:right="709"/>
        <w:jc w:val="both"/>
        <w:rPr>
          <w:rStyle w:val="normaltextrun"/>
          <w:rFonts w:ascii="Arial" w:hAnsi="Arial" w:cs="Arial"/>
          <w:color w:val="000000"/>
          <w:sz w:val="21"/>
          <w:szCs w:val="21"/>
          <w:shd w:val="clear" w:color="auto" w:fill="FFFFFF"/>
        </w:rPr>
      </w:pPr>
      <w:r w:rsidRPr="00661B24">
        <w:rPr>
          <w:rStyle w:val="normaltextrun"/>
          <w:rFonts w:ascii="Arial" w:hAnsi="Arial" w:cs="Arial"/>
          <w:color w:val="000000"/>
          <w:sz w:val="21"/>
          <w:szCs w:val="21"/>
          <w:shd w:val="clear" w:color="auto" w:fill="FFFFFF"/>
        </w:rPr>
        <w:t>«</w:t>
      </w:r>
      <w:r w:rsidR="00D50CCB" w:rsidRPr="00661B24">
        <w:rPr>
          <w:rStyle w:val="normaltextrun"/>
          <w:rFonts w:ascii="Arial" w:hAnsi="Arial" w:cs="Arial"/>
          <w:color w:val="000000"/>
          <w:sz w:val="21"/>
          <w:szCs w:val="21"/>
          <w:shd w:val="clear" w:color="auto" w:fill="FFFFFF"/>
        </w:rPr>
        <w:t>1.</w:t>
      </w:r>
      <w:r w:rsidR="0026002B">
        <w:rPr>
          <w:rStyle w:val="normaltextrun"/>
          <w:rFonts w:ascii="Arial" w:hAnsi="Arial" w:cs="Arial"/>
          <w:color w:val="000000"/>
          <w:sz w:val="21"/>
          <w:szCs w:val="21"/>
          <w:shd w:val="clear" w:color="auto" w:fill="FFFFFF"/>
        </w:rPr>
        <w:t xml:space="preserve"> </w:t>
      </w:r>
      <w:r w:rsidR="00D50CCB" w:rsidRPr="00661B24">
        <w:rPr>
          <w:rStyle w:val="normaltextrun"/>
          <w:rFonts w:ascii="Arial" w:hAnsi="Arial" w:cs="Arial"/>
          <w:color w:val="000000"/>
          <w:sz w:val="21"/>
          <w:szCs w:val="21"/>
          <w:shd w:val="clear" w:color="auto" w:fill="FFFFFF"/>
        </w:rPr>
        <w:t>¿Una Empresa Social del Estado puede entregar algunos bienes inmuebles, en dación en pago, a personas naturales o jurídicas para cumplir una obligación a su cargo, sin que se violen los principios de la función administrativa, de la gestión fiscal y la contratación pública?</w:t>
      </w:r>
    </w:p>
    <w:p w14:paraId="3FD80593" w14:textId="5D5AA6ED" w:rsidR="00CF19A5" w:rsidRDefault="00CF19A5" w:rsidP="003D7C1B">
      <w:pPr>
        <w:ind w:left="709" w:right="709"/>
        <w:jc w:val="both"/>
        <w:rPr>
          <w:rStyle w:val="normaltextrun"/>
          <w:rFonts w:ascii="Arial" w:hAnsi="Arial" w:cs="Arial"/>
          <w:color w:val="000000"/>
          <w:sz w:val="21"/>
          <w:szCs w:val="21"/>
          <w:shd w:val="clear" w:color="auto" w:fill="FFFFFF"/>
        </w:rPr>
      </w:pPr>
    </w:p>
    <w:p w14:paraId="3E5BD010" w14:textId="75105649" w:rsidR="00CF19A5" w:rsidRPr="00661B24" w:rsidRDefault="0065300E" w:rsidP="003D7C1B">
      <w:pPr>
        <w:ind w:left="709" w:right="709"/>
        <w:jc w:val="both"/>
        <w:rPr>
          <w:rStyle w:val="normaltextrun"/>
          <w:rFonts w:ascii="Arial" w:hAnsi="Arial" w:cs="Arial"/>
          <w:color w:val="000000"/>
          <w:sz w:val="21"/>
          <w:szCs w:val="21"/>
          <w:shd w:val="clear" w:color="auto" w:fill="FFFFFF"/>
        </w:rPr>
      </w:pPr>
      <w:r>
        <w:rPr>
          <w:rStyle w:val="normaltextrun"/>
          <w:rFonts w:ascii="Arial" w:hAnsi="Arial" w:cs="Arial"/>
          <w:color w:val="000000"/>
          <w:sz w:val="21"/>
          <w:szCs w:val="21"/>
          <w:shd w:val="clear" w:color="auto" w:fill="FFFFFF"/>
        </w:rPr>
        <w:t>»</w:t>
      </w:r>
      <w:r w:rsidR="00CF19A5" w:rsidRPr="00661B24">
        <w:rPr>
          <w:rStyle w:val="normaltextrun"/>
          <w:rFonts w:ascii="Arial" w:hAnsi="Arial" w:cs="Arial"/>
          <w:color w:val="000000"/>
          <w:sz w:val="21"/>
          <w:szCs w:val="21"/>
          <w:shd w:val="clear" w:color="auto" w:fill="FFFFFF"/>
        </w:rPr>
        <w:t>2. ¿Cuál es el alcance jurídico de la palabra (adquirir) prevista en el literal (i) del artículo 2 de la Ley 1150 de 2007? ¿Esta adquisición opera sólo en los términos del contrato de compraventa o es también aplicable al modo de extinción de las obligaciones conocido como dación en pago?».</w:t>
      </w:r>
    </w:p>
    <w:p w14:paraId="0344061A" w14:textId="63AAD515" w:rsidR="00D50CCB" w:rsidRDefault="00D50CCB" w:rsidP="00D50CCB">
      <w:pPr>
        <w:jc w:val="both"/>
        <w:rPr>
          <w:rStyle w:val="normaltextrun"/>
          <w:rFonts w:ascii="Arial" w:hAnsi="Arial" w:cs="Arial"/>
          <w:color w:val="000000"/>
          <w:sz w:val="22"/>
          <w:shd w:val="clear" w:color="auto" w:fill="FFFFFF"/>
        </w:rPr>
      </w:pPr>
    </w:p>
    <w:p w14:paraId="518CBD66" w14:textId="77777777" w:rsidR="004D7B70" w:rsidRPr="003D7C1B" w:rsidRDefault="004D7B70" w:rsidP="004E16D0">
      <w:pPr>
        <w:spacing w:line="276" w:lineRule="auto"/>
        <w:jc w:val="both"/>
        <w:rPr>
          <w:rStyle w:val="normaltextrun"/>
          <w:rFonts w:ascii="Arial" w:hAnsi="Arial" w:cs="Arial"/>
          <w:b/>
          <w:bCs/>
          <w:color w:val="000000"/>
          <w:sz w:val="22"/>
          <w:shd w:val="clear" w:color="auto" w:fill="FFFFFF"/>
        </w:rPr>
      </w:pPr>
      <w:r w:rsidRPr="003D7C1B">
        <w:rPr>
          <w:rStyle w:val="normaltextrun"/>
          <w:rFonts w:ascii="Arial" w:hAnsi="Arial" w:cs="Arial"/>
          <w:b/>
          <w:bCs/>
          <w:color w:val="000000"/>
          <w:sz w:val="22"/>
          <w:shd w:val="clear" w:color="auto" w:fill="FFFFFF"/>
        </w:rPr>
        <w:t>2. Consideraciones</w:t>
      </w:r>
    </w:p>
    <w:p w14:paraId="123DD039" w14:textId="77777777" w:rsidR="004D7B70" w:rsidRDefault="004D7B70" w:rsidP="004E16D0">
      <w:pPr>
        <w:spacing w:line="276" w:lineRule="auto"/>
        <w:jc w:val="both"/>
        <w:rPr>
          <w:rStyle w:val="normaltextrun"/>
          <w:rFonts w:ascii="Arial" w:hAnsi="Arial" w:cs="Arial"/>
          <w:color w:val="000000"/>
          <w:sz w:val="22"/>
          <w:shd w:val="clear" w:color="auto" w:fill="FFFFFF"/>
        </w:rPr>
      </w:pPr>
    </w:p>
    <w:p w14:paraId="2BBD64F8" w14:textId="1F4AC394" w:rsidR="00D50CCB" w:rsidRDefault="00D50CCB" w:rsidP="004E16D0">
      <w:pPr>
        <w:spacing w:line="276" w:lineRule="auto"/>
        <w:jc w:val="both"/>
        <w:rPr>
          <w:rStyle w:val="normaltextrun"/>
          <w:rFonts w:ascii="Arial" w:hAnsi="Arial" w:cs="Arial"/>
          <w:color w:val="000000"/>
          <w:sz w:val="22"/>
          <w:shd w:val="clear" w:color="auto" w:fill="FFFFFF"/>
        </w:rPr>
      </w:pPr>
      <w:r>
        <w:rPr>
          <w:rStyle w:val="normaltextrun"/>
          <w:rFonts w:ascii="Arial" w:hAnsi="Arial" w:cs="Arial"/>
          <w:color w:val="000000"/>
          <w:sz w:val="22"/>
          <w:shd w:val="clear" w:color="auto" w:fill="FFFFFF"/>
        </w:rPr>
        <w:t xml:space="preserve">Con el propósito de </w:t>
      </w:r>
      <w:r w:rsidR="00D27FB5">
        <w:rPr>
          <w:rStyle w:val="normaltextrun"/>
          <w:rFonts w:ascii="Arial" w:hAnsi="Arial" w:cs="Arial"/>
          <w:color w:val="000000"/>
          <w:sz w:val="22"/>
          <w:shd w:val="clear" w:color="auto" w:fill="FFFFFF"/>
        </w:rPr>
        <w:t>responder</w:t>
      </w:r>
      <w:r>
        <w:rPr>
          <w:rStyle w:val="normaltextrun"/>
          <w:rFonts w:ascii="Arial" w:hAnsi="Arial" w:cs="Arial"/>
          <w:color w:val="000000"/>
          <w:sz w:val="22"/>
          <w:shd w:val="clear" w:color="auto" w:fill="FFFFFF"/>
        </w:rPr>
        <w:t xml:space="preserve"> su </w:t>
      </w:r>
      <w:r w:rsidR="005A2EE6">
        <w:rPr>
          <w:rStyle w:val="normaltextrun"/>
          <w:rFonts w:ascii="Arial" w:hAnsi="Arial" w:cs="Arial"/>
          <w:color w:val="000000"/>
          <w:sz w:val="22"/>
          <w:shd w:val="clear" w:color="auto" w:fill="FFFFFF"/>
        </w:rPr>
        <w:t xml:space="preserve">primera </w:t>
      </w:r>
      <w:r>
        <w:rPr>
          <w:rStyle w:val="normaltextrun"/>
          <w:rFonts w:ascii="Arial" w:hAnsi="Arial" w:cs="Arial"/>
          <w:color w:val="000000"/>
          <w:sz w:val="22"/>
          <w:shd w:val="clear" w:color="auto" w:fill="FFFFFF"/>
        </w:rPr>
        <w:t xml:space="preserve">pregunta, </w:t>
      </w:r>
      <w:r w:rsidR="005F0F4B">
        <w:rPr>
          <w:rStyle w:val="normaltextrun"/>
          <w:rFonts w:ascii="Arial" w:hAnsi="Arial" w:cs="Arial"/>
          <w:color w:val="000000"/>
          <w:sz w:val="22"/>
          <w:shd w:val="clear" w:color="auto" w:fill="FFFFFF"/>
        </w:rPr>
        <w:t>damos por supuesta la existencia y validez de la obligación, esto es, que haya surgido conforme a alguna de las fuentes reconocidas en el sistema jurídico colombiano</w:t>
      </w:r>
      <w:r w:rsidR="005F0F4B">
        <w:rPr>
          <w:rStyle w:val="Refdenotaalpie"/>
          <w:rFonts w:ascii="Arial" w:hAnsi="Arial" w:cs="Arial"/>
          <w:color w:val="000000"/>
          <w:sz w:val="22"/>
          <w:shd w:val="clear" w:color="auto" w:fill="FFFFFF"/>
        </w:rPr>
        <w:footnoteReference w:id="1"/>
      </w:r>
      <w:r w:rsidR="00277C72">
        <w:rPr>
          <w:rStyle w:val="normaltextrun"/>
          <w:rFonts w:ascii="Arial" w:hAnsi="Arial" w:cs="Arial"/>
          <w:color w:val="000000"/>
          <w:sz w:val="22"/>
          <w:shd w:val="clear" w:color="auto" w:fill="FFFFFF"/>
        </w:rPr>
        <w:t>. La obligación impone</w:t>
      </w:r>
      <w:r w:rsidR="005A2EE6">
        <w:rPr>
          <w:rStyle w:val="normaltextrun"/>
          <w:rFonts w:ascii="Arial" w:hAnsi="Arial" w:cs="Arial"/>
          <w:color w:val="000000"/>
          <w:sz w:val="22"/>
          <w:shd w:val="clear" w:color="auto" w:fill="FFFFFF"/>
        </w:rPr>
        <w:t>,</w:t>
      </w:r>
      <w:r w:rsidR="00277C72">
        <w:rPr>
          <w:rStyle w:val="normaltextrun"/>
          <w:rFonts w:ascii="Arial" w:hAnsi="Arial" w:cs="Arial"/>
          <w:color w:val="000000"/>
          <w:sz w:val="22"/>
          <w:shd w:val="clear" w:color="auto" w:fill="FFFFFF"/>
        </w:rPr>
        <w:t xml:space="preserve"> a quien está sujeto a la misma, el cumplimiento de lo debido a través del pago</w:t>
      </w:r>
      <w:r w:rsidR="005A2EE6">
        <w:rPr>
          <w:rStyle w:val="Refdenotaalpie"/>
          <w:rFonts w:ascii="Arial" w:hAnsi="Arial" w:cs="Arial"/>
          <w:color w:val="000000"/>
          <w:sz w:val="22"/>
          <w:shd w:val="clear" w:color="auto" w:fill="FFFFFF"/>
        </w:rPr>
        <w:footnoteReference w:id="2"/>
      </w:r>
      <w:r w:rsidR="00277C72">
        <w:rPr>
          <w:rStyle w:val="normaltextrun"/>
          <w:rFonts w:ascii="Arial" w:hAnsi="Arial" w:cs="Arial"/>
          <w:color w:val="000000"/>
          <w:sz w:val="22"/>
          <w:shd w:val="clear" w:color="auto" w:fill="FFFFFF"/>
        </w:rPr>
        <w:t>, que no es otra cosa que la ejecución completa y oportuna de la prestación objeto del vínculo obligacional.</w:t>
      </w:r>
      <w:r w:rsidR="005A2EE6">
        <w:rPr>
          <w:rStyle w:val="normaltextrun"/>
          <w:rFonts w:ascii="Arial" w:hAnsi="Arial" w:cs="Arial"/>
          <w:color w:val="000000"/>
          <w:sz w:val="22"/>
          <w:shd w:val="clear" w:color="auto" w:fill="FFFFFF"/>
        </w:rPr>
        <w:t xml:space="preserve"> El pago es entonces, el modo por excelencia de extinguir una obligación</w:t>
      </w:r>
      <w:r w:rsidR="00FC50AC">
        <w:rPr>
          <w:rStyle w:val="normaltextrun"/>
          <w:rFonts w:ascii="Arial" w:hAnsi="Arial" w:cs="Arial"/>
          <w:color w:val="000000"/>
          <w:sz w:val="22"/>
          <w:shd w:val="clear" w:color="auto" w:fill="FFFFFF"/>
        </w:rPr>
        <w:t xml:space="preserve">. Esta claridad, aunque básica, es esencial para resolver la consulta planteada, pues, aunque como se verá más adelante, la dación en pago comporta la celebración de un negocio jurídico (convención), la finalidad y objeto </w:t>
      </w:r>
      <w:proofErr w:type="gramStart"/>
      <w:r w:rsidR="00FC50AC">
        <w:rPr>
          <w:rStyle w:val="normaltextrun"/>
          <w:rFonts w:ascii="Arial" w:hAnsi="Arial" w:cs="Arial"/>
          <w:color w:val="000000"/>
          <w:sz w:val="22"/>
          <w:shd w:val="clear" w:color="auto" w:fill="FFFFFF"/>
        </w:rPr>
        <w:t>del mismo</w:t>
      </w:r>
      <w:proofErr w:type="gramEnd"/>
      <w:r w:rsidR="00FC50AC">
        <w:rPr>
          <w:rStyle w:val="normaltextrun"/>
          <w:rFonts w:ascii="Arial" w:hAnsi="Arial" w:cs="Arial"/>
          <w:color w:val="000000"/>
          <w:sz w:val="22"/>
          <w:shd w:val="clear" w:color="auto" w:fill="FFFFFF"/>
        </w:rPr>
        <w:t xml:space="preserve"> consiste en la extinción de una obligación mediante la figura precitada, fin por completo distinto a la gestión contractual ordinaria encaminada a la procura de bienes y servicios para la entidad.</w:t>
      </w:r>
    </w:p>
    <w:p w14:paraId="58640E4C" w14:textId="7632AB55" w:rsidR="0025766F" w:rsidRDefault="0025766F" w:rsidP="004E16D0">
      <w:pPr>
        <w:spacing w:line="276" w:lineRule="auto"/>
        <w:jc w:val="both"/>
        <w:rPr>
          <w:rStyle w:val="normaltextrun"/>
          <w:rFonts w:ascii="Arial" w:hAnsi="Arial" w:cs="Arial"/>
          <w:color w:val="000000"/>
          <w:sz w:val="22"/>
          <w:shd w:val="clear" w:color="auto" w:fill="FFFFFF"/>
        </w:rPr>
      </w:pPr>
    </w:p>
    <w:p w14:paraId="10E3C71B" w14:textId="6185D943" w:rsidR="0025766F" w:rsidRDefault="0025766F" w:rsidP="004E16D0">
      <w:pPr>
        <w:spacing w:line="276" w:lineRule="auto"/>
        <w:ind w:firstLine="708"/>
        <w:jc w:val="both"/>
        <w:rPr>
          <w:rStyle w:val="normaltextrun"/>
          <w:rFonts w:ascii="Arial" w:hAnsi="Arial" w:cs="Arial"/>
          <w:i/>
          <w:iCs/>
          <w:color w:val="000000"/>
          <w:sz w:val="22"/>
          <w:shd w:val="clear" w:color="auto" w:fill="FFFFFF"/>
        </w:rPr>
      </w:pPr>
      <w:bookmarkStart w:id="1" w:name="_Hlk51667367"/>
      <w:r>
        <w:rPr>
          <w:rStyle w:val="normaltextrun"/>
          <w:rFonts w:ascii="Arial" w:hAnsi="Arial" w:cs="Arial"/>
          <w:color w:val="000000"/>
          <w:sz w:val="22"/>
          <w:shd w:val="clear" w:color="auto" w:fill="FFFFFF"/>
        </w:rPr>
        <w:t>La naturaleza de la dación en pago ha sido motivo de análisis a nivel doctrinario y jurisprudencial, en tanto no existe consagración legislativa explícita que se encargue de la figura.</w:t>
      </w:r>
      <w:r w:rsidR="006F4275">
        <w:rPr>
          <w:rStyle w:val="normaltextrun"/>
          <w:rFonts w:ascii="Arial" w:hAnsi="Arial" w:cs="Arial"/>
          <w:color w:val="000000"/>
          <w:sz w:val="22"/>
          <w:shd w:val="clear" w:color="auto" w:fill="FFFFFF"/>
        </w:rPr>
        <w:t xml:space="preserve"> La dación en pago se ubica genéricamente dentro de los modos de extinguir las obligaciones, y aunque no hay consenso respecto de su clasificación, pues algunos doctrinantes la ubican dentro de las modalidades especiales de pago, otros la asimilan a la novación, y unos más señalan que es un modo autónomo de extinguir las obligaciones, todos coinciden en su efecto liberador del vínculo obligacional</w:t>
      </w:r>
      <w:bookmarkEnd w:id="1"/>
      <w:r w:rsidR="006F4275">
        <w:rPr>
          <w:rStyle w:val="normaltextrun"/>
          <w:rFonts w:ascii="Arial" w:hAnsi="Arial" w:cs="Arial"/>
          <w:color w:val="000000"/>
          <w:sz w:val="22"/>
          <w:shd w:val="clear" w:color="auto" w:fill="FFFFFF"/>
        </w:rPr>
        <w:t>.</w:t>
      </w:r>
      <w:r w:rsidR="00222C9C">
        <w:rPr>
          <w:rStyle w:val="normaltextrun"/>
          <w:rFonts w:ascii="Arial" w:hAnsi="Arial" w:cs="Arial"/>
          <w:color w:val="000000"/>
          <w:sz w:val="22"/>
          <w:shd w:val="clear" w:color="auto" w:fill="FFFFFF"/>
        </w:rPr>
        <w:t xml:space="preserve"> A su vez, la Corte Suprema </w:t>
      </w:r>
      <w:r w:rsidR="00222C9C">
        <w:rPr>
          <w:rStyle w:val="normaltextrun"/>
          <w:rFonts w:ascii="Arial" w:hAnsi="Arial" w:cs="Arial"/>
          <w:color w:val="000000"/>
          <w:sz w:val="22"/>
          <w:shd w:val="clear" w:color="auto" w:fill="FFFFFF"/>
        </w:rPr>
        <w:lastRenderedPageBreak/>
        <w:t>de Justicia</w:t>
      </w:r>
      <w:r w:rsidR="001C1F67">
        <w:rPr>
          <w:rStyle w:val="normaltextrun"/>
          <w:rFonts w:ascii="Arial" w:hAnsi="Arial" w:cs="Arial"/>
          <w:color w:val="000000"/>
          <w:sz w:val="22"/>
          <w:shd w:val="clear" w:color="auto" w:fill="FFFFFF"/>
        </w:rPr>
        <w:t xml:space="preserve"> en pronunciamiento más o menos reciente, al aproximarse al concepto señaló: </w:t>
      </w:r>
      <w:r w:rsidR="001C1F67">
        <w:rPr>
          <w:rStyle w:val="normaltextrun"/>
          <w:rFonts w:ascii="Arial" w:hAnsi="Arial" w:cs="Arial"/>
          <w:i/>
          <w:iCs/>
          <w:color w:val="000000"/>
          <w:sz w:val="22"/>
          <w:shd w:val="clear" w:color="auto" w:fill="FFFFFF"/>
        </w:rPr>
        <w:t>“Luce más acorde con el cometido que le asiste al deudor para efectuar una dación y al acreedor a aceptarla, estimar que se trata de un modo o mecanismo autónomo, y, de suyo, independiente de extinguir las obligaciones (negocio solutorio), en virtud del cual el solvens, previo acuerdo con el accipiens, le entrega a éste un bien diferente para solucionar la obligación, sin que, para los efectos extintivos aludidos, interese si dicha cosa es de igual o mayor valor de la debida, pues una y otra se deben mirar como equivalentes. Como el deudor no satisface la obligación con la prestación -primitivamente- debida, en sana lógica, no puede hablarse de pago (C.C. art 1626); pero siendo la genuina intención de las partes cancelar la obligación preexistente, es decir, extinguirla, la dación debe, entonces, calificarse como una manera –o modo– más de cumplir, supeditada, por supuesto, a que el acreedor la acepte y a que los bienes objeto de ella ingresen efectivamente al patrimonio de aquel”</w:t>
      </w:r>
      <w:r w:rsidR="00D16C8B">
        <w:rPr>
          <w:rStyle w:val="Refdenotaalpie"/>
          <w:rFonts w:ascii="Arial" w:hAnsi="Arial" w:cs="Arial"/>
          <w:i/>
          <w:iCs/>
          <w:color w:val="000000"/>
          <w:sz w:val="22"/>
          <w:shd w:val="clear" w:color="auto" w:fill="FFFFFF"/>
        </w:rPr>
        <w:footnoteReference w:id="3"/>
      </w:r>
      <w:r w:rsidR="001C1F67">
        <w:rPr>
          <w:rStyle w:val="normaltextrun"/>
          <w:rFonts w:ascii="Arial" w:hAnsi="Arial" w:cs="Arial"/>
          <w:i/>
          <w:iCs/>
          <w:color w:val="000000"/>
          <w:sz w:val="22"/>
          <w:shd w:val="clear" w:color="auto" w:fill="FFFFFF"/>
        </w:rPr>
        <w:t>.</w:t>
      </w:r>
    </w:p>
    <w:p w14:paraId="66ECBA13" w14:textId="22AB69D5" w:rsidR="00CF78FB" w:rsidRDefault="00CF78FB" w:rsidP="004E16D0">
      <w:pPr>
        <w:spacing w:line="276" w:lineRule="auto"/>
        <w:jc w:val="both"/>
        <w:rPr>
          <w:rStyle w:val="normaltextrun"/>
          <w:rFonts w:ascii="Arial" w:hAnsi="Arial" w:cs="Arial"/>
          <w:i/>
          <w:iCs/>
          <w:color w:val="000000"/>
          <w:sz w:val="22"/>
          <w:shd w:val="clear" w:color="auto" w:fill="FFFFFF"/>
        </w:rPr>
      </w:pPr>
    </w:p>
    <w:p w14:paraId="2507DEAE" w14:textId="265E20F2" w:rsidR="00CF78FB" w:rsidRPr="0010561C" w:rsidRDefault="00CF78FB" w:rsidP="004E16D0">
      <w:pPr>
        <w:spacing w:line="276" w:lineRule="auto"/>
        <w:ind w:firstLine="708"/>
        <w:jc w:val="both"/>
        <w:rPr>
          <w:rStyle w:val="normaltextrun"/>
          <w:rFonts w:ascii="Arial" w:hAnsi="Arial" w:cs="Arial"/>
          <w:i/>
          <w:iCs/>
          <w:color w:val="000000"/>
          <w:sz w:val="22"/>
          <w:shd w:val="clear" w:color="auto" w:fill="FFFFFF"/>
        </w:rPr>
      </w:pPr>
      <w:r w:rsidRPr="00CF78FB">
        <w:rPr>
          <w:rStyle w:val="normaltextrun"/>
          <w:rFonts w:ascii="Arial" w:hAnsi="Arial" w:cs="Arial"/>
          <w:color w:val="000000"/>
          <w:sz w:val="22"/>
          <w:shd w:val="clear" w:color="auto" w:fill="FFFFFF"/>
        </w:rPr>
        <w:t xml:space="preserve">En similar sentido </w:t>
      </w:r>
      <w:r>
        <w:rPr>
          <w:rStyle w:val="normaltextrun"/>
          <w:rFonts w:ascii="Arial" w:hAnsi="Arial" w:cs="Arial"/>
          <w:color w:val="000000"/>
          <w:sz w:val="22"/>
          <w:shd w:val="clear" w:color="auto" w:fill="FFFFFF"/>
        </w:rPr>
        <w:t xml:space="preserve">se pronuncia el Dr. Fernando Hinestrosa, quien, al abordar la naturaleza jurídica de la dación en pago, señala que la tendencia (de quienes estudian el tema) es </w:t>
      </w:r>
      <w:r>
        <w:rPr>
          <w:rStyle w:val="normaltextrun"/>
          <w:rFonts w:ascii="Arial" w:hAnsi="Arial" w:cs="Arial"/>
          <w:i/>
          <w:iCs/>
          <w:color w:val="000000"/>
          <w:sz w:val="22"/>
          <w:shd w:val="clear" w:color="auto" w:fill="FFFFFF"/>
        </w:rPr>
        <w:t>“a asimilarla a aquella a la que resulte más parecida, dentro de la resistencia por inercia a tenerla como algo autónomo, legalmente atípico, con caracteres propios y disciplina</w:t>
      </w:r>
      <w:r w:rsidR="0010561C">
        <w:rPr>
          <w:rStyle w:val="normaltextrun"/>
          <w:rFonts w:ascii="Arial" w:hAnsi="Arial" w:cs="Arial"/>
          <w:i/>
          <w:iCs/>
          <w:color w:val="000000"/>
          <w:sz w:val="22"/>
          <w:shd w:val="clear" w:color="auto" w:fill="FFFFFF"/>
        </w:rPr>
        <w:t xml:space="preserve">, primero paralegal por </w:t>
      </w:r>
      <w:r w:rsidR="0010561C">
        <w:rPr>
          <w:rStyle w:val="normaltextrun"/>
          <w:rFonts w:ascii="Arial" w:hAnsi="Arial" w:cs="Arial"/>
          <w:color w:val="000000"/>
          <w:sz w:val="22"/>
          <w:shd w:val="clear" w:color="auto" w:fill="FFFFFF"/>
        </w:rPr>
        <w:t xml:space="preserve">analogía legis. </w:t>
      </w:r>
      <w:r w:rsidR="0010561C">
        <w:rPr>
          <w:rStyle w:val="normaltextrun"/>
          <w:rFonts w:ascii="Arial" w:hAnsi="Arial" w:cs="Arial"/>
          <w:i/>
          <w:iCs/>
          <w:color w:val="000000"/>
          <w:sz w:val="22"/>
          <w:shd w:val="clear" w:color="auto" w:fill="FFFFFF"/>
        </w:rPr>
        <w:t>Eso ocurrió con la dación en pago, aproximada, cuando no asimilada de tiempo atrás ya a la compraventa, ya a la novación. Ahora se propone su calificación como “contrato ‘solutorio’ (¿solutivo?), o sea como un contrato que tiene por objeto la extinción satisfactoria del crédito.”</w:t>
      </w:r>
      <w:r w:rsidR="0010561C">
        <w:rPr>
          <w:rStyle w:val="Refdenotaalpie"/>
          <w:rFonts w:ascii="Arial" w:hAnsi="Arial" w:cs="Arial"/>
          <w:i/>
          <w:iCs/>
          <w:color w:val="000000"/>
          <w:sz w:val="22"/>
          <w:shd w:val="clear" w:color="auto" w:fill="FFFFFF"/>
        </w:rPr>
        <w:footnoteReference w:id="4"/>
      </w:r>
    </w:p>
    <w:p w14:paraId="382616E8" w14:textId="284980FF" w:rsidR="00D16C8B" w:rsidRDefault="00D16C8B" w:rsidP="004E16D0">
      <w:pPr>
        <w:spacing w:line="276" w:lineRule="auto"/>
        <w:jc w:val="both"/>
        <w:rPr>
          <w:rStyle w:val="normaltextrun"/>
          <w:rFonts w:ascii="Arial" w:hAnsi="Arial" w:cs="Arial"/>
          <w:i/>
          <w:iCs/>
          <w:color w:val="000000"/>
          <w:sz w:val="22"/>
          <w:shd w:val="clear" w:color="auto" w:fill="FFFFFF"/>
        </w:rPr>
      </w:pPr>
    </w:p>
    <w:p w14:paraId="4CCCF65E" w14:textId="74932C9E" w:rsidR="00F6125B" w:rsidRDefault="00D16C8B" w:rsidP="004E16D0">
      <w:pPr>
        <w:spacing w:line="276" w:lineRule="auto"/>
        <w:ind w:firstLine="708"/>
        <w:jc w:val="both"/>
        <w:rPr>
          <w:rStyle w:val="normaltextrun"/>
          <w:rFonts w:ascii="Arial" w:hAnsi="Arial" w:cs="Arial"/>
          <w:color w:val="000000"/>
          <w:sz w:val="22"/>
          <w:shd w:val="clear" w:color="auto" w:fill="FFFFFF"/>
        </w:rPr>
      </w:pPr>
      <w:r>
        <w:rPr>
          <w:rStyle w:val="normaltextrun"/>
          <w:rFonts w:ascii="Arial" w:hAnsi="Arial" w:cs="Arial"/>
          <w:color w:val="000000"/>
          <w:sz w:val="22"/>
          <w:shd w:val="clear" w:color="auto" w:fill="FFFFFF"/>
        </w:rPr>
        <w:t xml:space="preserve">Así las cosas, sin perjuicio del debate que pueda sostenerse a nivel doctrinal o jurisprudencial, resulta claro que para que se presente la figura de dación en pago, se requiere, al menos, la presencia de los siguientes elementos: (i) una obligación original cuyo pago o extinción se pretenda y (ii) un acuerdo entre el deudor y el acreedor para extinguir la obligación mediante la entrega de un objeto en reemplazo de lo debido. </w:t>
      </w:r>
      <w:r w:rsidR="00F6125B">
        <w:rPr>
          <w:rStyle w:val="normaltextrun"/>
          <w:rFonts w:ascii="Arial" w:hAnsi="Arial" w:cs="Arial"/>
          <w:color w:val="000000"/>
          <w:sz w:val="22"/>
          <w:shd w:val="clear" w:color="auto" w:fill="FFFFFF"/>
        </w:rPr>
        <w:t>Dicho con mayor claridad, la dación en pago supone la necesidad de un negocio jurídico que deberá reunir los requisitos de existencia y validez propio de su naturaleza, atendiendo</w:t>
      </w:r>
      <w:r w:rsidR="00FF2ECA">
        <w:rPr>
          <w:rStyle w:val="normaltextrun"/>
          <w:rFonts w:ascii="Arial" w:hAnsi="Arial" w:cs="Arial"/>
          <w:color w:val="000000"/>
          <w:sz w:val="22"/>
          <w:shd w:val="clear" w:color="auto" w:fill="FFFFFF"/>
        </w:rPr>
        <w:t xml:space="preserve"> además a la naturaleza del</w:t>
      </w:r>
      <w:r w:rsidR="00F6125B">
        <w:rPr>
          <w:rStyle w:val="normaltextrun"/>
          <w:rFonts w:ascii="Arial" w:hAnsi="Arial" w:cs="Arial"/>
          <w:color w:val="000000"/>
          <w:sz w:val="22"/>
          <w:shd w:val="clear" w:color="auto" w:fill="FFFFFF"/>
        </w:rPr>
        <w:t xml:space="preserve"> bien que pretenda entregarse para extinguir la obligación original</w:t>
      </w:r>
      <w:r w:rsidR="00FF2ECA">
        <w:rPr>
          <w:rStyle w:val="normaltextrun"/>
          <w:rFonts w:ascii="Arial" w:hAnsi="Arial" w:cs="Arial"/>
          <w:color w:val="000000"/>
          <w:sz w:val="22"/>
          <w:shd w:val="clear" w:color="auto" w:fill="FFFFFF"/>
        </w:rPr>
        <w:t>, prestando particular atención a las solemnidades que pudieran ser requeridas para cumplir con la tradición del bien.</w:t>
      </w:r>
    </w:p>
    <w:p w14:paraId="1D6DC429" w14:textId="77777777" w:rsidR="00F6125B" w:rsidRDefault="00F6125B" w:rsidP="004E16D0">
      <w:pPr>
        <w:spacing w:line="276" w:lineRule="auto"/>
        <w:jc w:val="both"/>
        <w:rPr>
          <w:rStyle w:val="normaltextrun"/>
          <w:rFonts w:ascii="Arial" w:hAnsi="Arial" w:cs="Arial"/>
          <w:color w:val="000000"/>
          <w:sz w:val="22"/>
          <w:shd w:val="clear" w:color="auto" w:fill="FFFFFF"/>
        </w:rPr>
      </w:pPr>
    </w:p>
    <w:p w14:paraId="26E691C0" w14:textId="21B6759D" w:rsidR="00D16C8B" w:rsidRDefault="00D16C8B" w:rsidP="004E16D0">
      <w:pPr>
        <w:spacing w:line="276" w:lineRule="auto"/>
        <w:ind w:firstLine="708"/>
        <w:jc w:val="both"/>
        <w:rPr>
          <w:rStyle w:val="normaltextrun"/>
          <w:rFonts w:ascii="Arial" w:hAnsi="Arial" w:cs="Arial"/>
          <w:i/>
          <w:iCs/>
          <w:color w:val="000000"/>
          <w:sz w:val="22"/>
          <w:shd w:val="clear" w:color="auto" w:fill="FFFFFF"/>
        </w:rPr>
      </w:pPr>
      <w:r>
        <w:rPr>
          <w:rStyle w:val="normaltextrun"/>
          <w:rFonts w:ascii="Arial" w:hAnsi="Arial" w:cs="Arial"/>
          <w:color w:val="000000"/>
          <w:sz w:val="22"/>
          <w:shd w:val="clear" w:color="auto" w:fill="FFFFFF"/>
        </w:rPr>
        <w:t xml:space="preserve">Respecto de este segundo elemento, el profesor Hinestrosa </w:t>
      </w:r>
      <w:r w:rsidR="00F6125B">
        <w:rPr>
          <w:rStyle w:val="normaltextrun"/>
          <w:rFonts w:ascii="Arial" w:hAnsi="Arial" w:cs="Arial"/>
          <w:color w:val="000000"/>
          <w:sz w:val="22"/>
          <w:shd w:val="clear" w:color="auto" w:fill="FFFFFF"/>
        </w:rPr>
        <w:t xml:space="preserve">señala con precisión que </w:t>
      </w:r>
      <w:r w:rsidR="00F6125B" w:rsidRPr="00F6125B">
        <w:rPr>
          <w:rStyle w:val="normaltextrun"/>
          <w:rFonts w:ascii="Arial" w:hAnsi="Arial" w:cs="Arial"/>
          <w:i/>
          <w:iCs/>
          <w:color w:val="000000"/>
          <w:sz w:val="22"/>
          <w:shd w:val="clear" w:color="auto" w:fill="FFFFFF"/>
        </w:rPr>
        <w:t xml:space="preserve">“[e]n lo que respecta a la dación en pago, ha de hacerse el descuento propio de la </w:t>
      </w:r>
      <w:r w:rsidR="00F6125B" w:rsidRPr="00F6125B">
        <w:rPr>
          <w:rStyle w:val="normaltextrun"/>
          <w:rFonts w:ascii="Arial" w:hAnsi="Arial" w:cs="Arial"/>
          <w:i/>
          <w:iCs/>
          <w:color w:val="000000"/>
          <w:sz w:val="22"/>
          <w:shd w:val="clear" w:color="auto" w:fill="FFFFFF"/>
        </w:rPr>
        <w:lastRenderedPageBreak/>
        <w:t xml:space="preserve">distinción romanista que establece nuestro derecho entre título y modo, </w:t>
      </w:r>
      <w:proofErr w:type="gramStart"/>
      <w:r w:rsidR="00F6125B" w:rsidRPr="00F6125B">
        <w:rPr>
          <w:rStyle w:val="normaltextrun"/>
          <w:rFonts w:ascii="Arial" w:hAnsi="Arial" w:cs="Arial"/>
          <w:i/>
          <w:iCs/>
          <w:color w:val="000000"/>
          <w:sz w:val="22"/>
          <w:shd w:val="clear" w:color="auto" w:fill="FFFFFF"/>
        </w:rPr>
        <w:t>en razón del</w:t>
      </w:r>
      <w:proofErr w:type="gramEnd"/>
      <w:r w:rsidR="00F6125B" w:rsidRPr="00F6125B">
        <w:rPr>
          <w:rStyle w:val="normaltextrun"/>
          <w:rFonts w:ascii="Arial" w:hAnsi="Arial" w:cs="Arial"/>
          <w:i/>
          <w:iCs/>
          <w:color w:val="000000"/>
          <w:sz w:val="22"/>
          <w:shd w:val="clear" w:color="auto" w:fill="FFFFFF"/>
        </w:rPr>
        <w:t xml:space="preserve"> cual es menester la tradición para transferir el dominio sobre las cosas (…)</w:t>
      </w:r>
      <w:r w:rsidR="00F6125B">
        <w:rPr>
          <w:rStyle w:val="normaltextrun"/>
          <w:rFonts w:ascii="Arial" w:hAnsi="Arial" w:cs="Arial"/>
          <w:i/>
          <w:iCs/>
          <w:color w:val="000000"/>
          <w:sz w:val="22"/>
          <w:shd w:val="clear" w:color="auto" w:fill="FFFFFF"/>
        </w:rPr>
        <w:t>”</w:t>
      </w:r>
      <w:r w:rsidR="00F6125B">
        <w:rPr>
          <w:rStyle w:val="Refdenotaalpie"/>
          <w:rFonts w:ascii="Arial" w:hAnsi="Arial" w:cs="Arial"/>
          <w:i/>
          <w:iCs/>
          <w:color w:val="000000"/>
          <w:sz w:val="22"/>
          <w:shd w:val="clear" w:color="auto" w:fill="FFFFFF"/>
        </w:rPr>
        <w:footnoteReference w:id="5"/>
      </w:r>
      <w:r w:rsidR="00F6125B">
        <w:rPr>
          <w:rStyle w:val="normaltextrun"/>
          <w:rFonts w:ascii="Arial" w:hAnsi="Arial" w:cs="Arial"/>
          <w:i/>
          <w:iCs/>
          <w:color w:val="000000"/>
          <w:sz w:val="22"/>
          <w:shd w:val="clear" w:color="auto" w:fill="FFFFFF"/>
        </w:rPr>
        <w:t>.</w:t>
      </w:r>
    </w:p>
    <w:p w14:paraId="6FCAD7AE" w14:textId="15CA7968" w:rsidR="00FF2ECA" w:rsidRDefault="00FF2ECA" w:rsidP="004E16D0">
      <w:pPr>
        <w:spacing w:line="276" w:lineRule="auto"/>
        <w:jc w:val="both"/>
        <w:rPr>
          <w:rStyle w:val="normaltextrun"/>
          <w:rFonts w:ascii="Arial" w:hAnsi="Arial" w:cs="Arial"/>
          <w:i/>
          <w:iCs/>
          <w:color w:val="000000"/>
          <w:sz w:val="22"/>
          <w:shd w:val="clear" w:color="auto" w:fill="FFFFFF"/>
        </w:rPr>
      </w:pPr>
    </w:p>
    <w:p w14:paraId="339D671A" w14:textId="30F3658C" w:rsidR="00B54F82" w:rsidRDefault="00B54F82" w:rsidP="00C62BE7">
      <w:pPr>
        <w:spacing w:line="276" w:lineRule="auto"/>
        <w:ind w:firstLine="708"/>
        <w:jc w:val="both"/>
        <w:rPr>
          <w:rStyle w:val="normaltextrun"/>
          <w:rFonts w:ascii="Arial" w:hAnsi="Arial" w:cs="Arial"/>
          <w:sz w:val="22"/>
          <w:shd w:val="clear" w:color="auto" w:fill="FFFFFF"/>
        </w:rPr>
      </w:pPr>
      <w:r>
        <w:rPr>
          <w:rStyle w:val="normaltextrun"/>
          <w:rFonts w:ascii="Arial" w:hAnsi="Arial" w:cs="Arial"/>
          <w:sz w:val="22"/>
          <w:shd w:val="clear" w:color="auto" w:fill="FFFFFF"/>
        </w:rPr>
        <w:t xml:space="preserve">Estando claro lo anterior, resulta imperativo concluir </w:t>
      </w:r>
      <w:r w:rsidR="00863D39" w:rsidRPr="00B54F82">
        <w:rPr>
          <w:rStyle w:val="normaltextrun"/>
          <w:rFonts w:ascii="Arial" w:hAnsi="Arial" w:cs="Arial"/>
          <w:sz w:val="22"/>
          <w:shd w:val="clear" w:color="auto" w:fill="FFFFFF"/>
        </w:rPr>
        <w:t>que,</w:t>
      </w:r>
      <w:r w:rsidR="0010561C" w:rsidRPr="00B54F82">
        <w:rPr>
          <w:rStyle w:val="normaltextrun"/>
          <w:rFonts w:ascii="Arial" w:hAnsi="Arial" w:cs="Arial"/>
          <w:sz w:val="22"/>
          <w:shd w:val="clear" w:color="auto" w:fill="FFFFFF"/>
        </w:rPr>
        <w:t xml:space="preserve"> bajo </w:t>
      </w:r>
      <w:r>
        <w:rPr>
          <w:rStyle w:val="normaltextrun"/>
          <w:rFonts w:ascii="Arial" w:hAnsi="Arial" w:cs="Arial"/>
          <w:sz w:val="22"/>
          <w:shd w:val="clear" w:color="auto" w:fill="FFFFFF"/>
        </w:rPr>
        <w:t>el</w:t>
      </w:r>
      <w:r w:rsidR="0010561C" w:rsidRPr="00B54F82">
        <w:rPr>
          <w:rStyle w:val="normaltextrun"/>
          <w:rFonts w:ascii="Arial" w:hAnsi="Arial" w:cs="Arial"/>
          <w:sz w:val="22"/>
          <w:shd w:val="clear" w:color="auto" w:fill="FFFFFF"/>
        </w:rPr>
        <w:t xml:space="preserve"> régimen </w:t>
      </w:r>
      <w:r>
        <w:rPr>
          <w:rStyle w:val="normaltextrun"/>
          <w:rFonts w:ascii="Arial" w:hAnsi="Arial" w:cs="Arial"/>
          <w:sz w:val="22"/>
          <w:shd w:val="clear" w:color="auto" w:fill="FFFFFF"/>
        </w:rPr>
        <w:t>de derecho privado, aun existiendo cierto debate doctrinal y jurisprudencial en torno a la naturaleza de la dación en pago, dicha figura es plenamente</w:t>
      </w:r>
      <w:r w:rsidR="0010561C" w:rsidRPr="00B54F82">
        <w:rPr>
          <w:rStyle w:val="normaltextrun"/>
          <w:rFonts w:ascii="Arial" w:hAnsi="Arial" w:cs="Arial"/>
          <w:sz w:val="22"/>
          <w:shd w:val="clear" w:color="auto" w:fill="FFFFFF"/>
        </w:rPr>
        <w:t xml:space="preserve"> reconocida y perfectamente válida</w:t>
      </w:r>
      <w:r>
        <w:rPr>
          <w:rStyle w:val="normaltextrun"/>
          <w:rFonts w:ascii="Arial" w:hAnsi="Arial" w:cs="Arial"/>
          <w:sz w:val="22"/>
          <w:shd w:val="clear" w:color="auto" w:fill="FFFFFF"/>
        </w:rPr>
        <w:t xml:space="preserve">. </w:t>
      </w:r>
    </w:p>
    <w:p w14:paraId="7FBAF49D" w14:textId="77777777" w:rsidR="00B54F82" w:rsidRDefault="00B54F82" w:rsidP="004E16D0">
      <w:pPr>
        <w:spacing w:line="276" w:lineRule="auto"/>
        <w:jc w:val="both"/>
        <w:rPr>
          <w:rStyle w:val="normaltextrun"/>
          <w:rFonts w:ascii="Arial" w:hAnsi="Arial" w:cs="Arial"/>
          <w:sz w:val="22"/>
          <w:shd w:val="clear" w:color="auto" w:fill="FFFFFF"/>
        </w:rPr>
      </w:pPr>
    </w:p>
    <w:p w14:paraId="3F6EC966" w14:textId="1D5B62BA" w:rsidR="0010561C" w:rsidRPr="00B54F82" w:rsidRDefault="00B54F82" w:rsidP="00C62BE7">
      <w:pPr>
        <w:spacing w:line="276" w:lineRule="auto"/>
        <w:ind w:firstLine="709"/>
        <w:jc w:val="both"/>
        <w:rPr>
          <w:rStyle w:val="normaltextrun"/>
          <w:rFonts w:ascii="Arial" w:hAnsi="Arial" w:cs="Arial"/>
          <w:sz w:val="22"/>
          <w:shd w:val="clear" w:color="auto" w:fill="FFFFFF"/>
        </w:rPr>
      </w:pPr>
      <w:r>
        <w:rPr>
          <w:rStyle w:val="normaltextrun"/>
          <w:rFonts w:ascii="Arial" w:hAnsi="Arial" w:cs="Arial"/>
          <w:sz w:val="22"/>
          <w:shd w:val="clear" w:color="auto" w:fill="FFFFFF"/>
        </w:rPr>
        <w:t xml:space="preserve">Dicho lo anterior, es menester recordar que la </w:t>
      </w:r>
      <w:r w:rsidRPr="00B54F82">
        <w:rPr>
          <w:rStyle w:val="normaltextrun"/>
          <w:rFonts w:ascii="Arial" w:hAnsi="Arial" w:cs="Arial"/>
          <w:sz w:val="22"/>
          <w:shd w:val="clear" w:color="auto" w:fill="FFFFFF"/>
        </w:rPr>
        <w:t>Agencia</w:t>
      </w:r>
      <w:r>
        <w:rPr>
          <w:rStyle w:val="normaltextrun"/>
          <w:rFonts w:ascii="Arial" w:hAnsi="Arial" w:cs="Arial"/>
          <w:sz w:val="22"/>
          <w:shd w:val="clear" w:color="auto" w:fill="FFFFFF"/>
        </w:rPr>
        <w:t xml:space="preserve">, al tenor de lo previsto en </w:t>
      </w:r>
      <w:r w:rsidRPr="00B54F82">
        <w:rPr>
          <w:rStyle w:val="normaltextrun"/>
          <w:rFonts w:ascii="Arial" w:hAnsi="Arial" w:cs="Arial"/>
          <w:sz w:val="22"/>
          <w:shd w:val="clear" w:color="auto" w:fill="FFFFFF"/>
        </w:rPr>
        <w:t>el Decreto 4170 de 2011</w:t>
      </w:r>
      <w:r>
        <w:rPr>
          <w:rStyle w:val="normaltextrun"/>
          <w:rFonts w:ascii="Arial" w:hAnsi="Arial" w:cs="Arial"/>
          <w:sz w:val="22"/>
          <w:shd w:val="clear" w:color="auto" w:fill="FFFFFF"/>
        </w:rPr>
        <w:t>, no tiene competencia</w:t>
      </w:r>
      <w:r w:rsidRPr="00B54F82">
        <w:rPr>
          <w:rStyle w:val="normaltextrun"/>
          <w:rFonts w:ascii="Arial" w:hAnsi="Arial" w:cs="Arial"/>
          <w:sz w:val="22"/>
          <w:shd w:val="clear" w:color="auto" w:fill="FFFFFF"/>
        </w:rPr>
        <w:t xml:space="preserve"> para interpretar en concreto la viabilidad de un negocio jurídico determinado</w:t>
      </w:r>
      <w:r>
        <w:rPr>
          <w:rStyle w:val="normaltextrun"/>
          <w:rFonts w:ascii="Arial" w:hAnsi="Arial" w:cs="Arial"/>
          <w:sz w:val="22"/>
          <w:shd w:val="clear" w:color="auto" w:fill="FFFFFF"/>
        </w:rPr>
        <w:t>, razón por la cual no procedería una respuesta en tal sentido. Sin perjuicio de lo anterior, y de manera general</w:t>
      </w:r>
      <w:r w:rsidR="00863D39">
        <w:rPr>
          <w:rStyle w:val="normaltextrun"/>
          <w:rFonts w:ascii="Arial" w:hAnsi="Arial" w:cs="Arial"/>
          <w:sz w:val="22"/>
          <w:shd w:val="clear" w:color="auto" w:fill="FFFFFF"/>
        </w:rPr>
        <w:t>,</w:t>
      </w:r>
      <w:r>
        <w:rPr>
          <w:rStyle w:val="normaltextrun"/>
          <w:rFonts w:ascii="Arial" w:hAnsi="Arial" w:cs="Arial"/>
          <w:sz w:val="22"/>
          <w:shd w:val="clear" w:color="auto" w:fill="FFFFFF"/>
        </w:rPr>
        <w:t xml:space="preserve"> </w:t>
      </w:r>
      <w:r w:rsidR="00863D39">
        <w:rPr>
          <w:rStyle w:val="normaltextrun"/>
          <w:rFonts w:ascii="Arial" w:hAnsi="Arial" w:cs="Arial"/>
          <w:sz w:val="22"/>
          <w:shd w:val="clear" w:color="auto" w:fill="FFFFFF"/>
        </w:rPr>
        <w:t>resulta</w:t>
      </w:r>
      <w:r>
        <w:rPr>
          <w:rStyle w:val="normaltextrun"/>
          <w:rFonts w:ascii="Arial" w:hAnsi="Arial" w:cs="Arial"/>
          <w:sz w:val="22"/>
          <w:shd w:val="clear" w:color="auto" w:fill="FFFFFF"/>
        </w:rPr>
        <w:t xml:space="preserve"> dable considerar que una</w:t>
      </w:r>
      <w:r w:rsidR="0010561C" w:rsidRPr="00B54F82">
        <w:rPr>
          <w:rStyle w:val="normaltextrun"/>
          <w:rFonts w:ascii="Arial" w:hAnsi="Arial" w:cs="Arial"/>
          <w:sz w:val="22"/>
          <w:shd w:val="clear" w:color="auto" w:fill="FFFFFF"/>
        </w:rPr>
        <w:t xml:space="preserve"> posible dación en pago no </w:t>
      </w:r>
      <w:proofErr w:type="gramStart"/>
      <w:r w:rsidR="0010561C" w:rsidRPr="00B54F82">
        <w:rPr>
          <w:rStyle w:val="normaltextrun"/>
          <w:rFonts w:ascii="Arial" w:hAnsi="Arial" w:cs="Arial"/>
          <w:sz w:val="22"/>
          <w:shd w:val="clear" w:color="auto" w:fill="FFFFFF"/>
        </w:rPr>
        <w:t>se enmarca dentro de</w:t>
      </w:r>
      <w:proofErr w:type="gramEnd"/>
      <w:r w:rsidR="0010561C" w:rsidRPr="00B54F82">
        <w:rPr>
          <w:rStyle w:val="normaltextrun"/>
          <w:rFonts w:ascii="Arial" w:hAnsi="Arial" w:cs="Arial"/>
          <w:sz w:val="22"/>
          <w:shd w:val="clear" w:color="auto" w:fill="FFFFFF"/>
        </w:rPr>
        <w:t xml:space="preserve"> la gestión contractual de abastecimiento a la que se refieren las normas de contratos interadministrativos referidos por el peticionario</w:t>
      </w:r>
      <w:r>
        <w:rPr>
          <w:rStyle w:val="normaltextrun"/>
          <w:rFonts w:ascii="Arial" w:hAnsi="Arial" w:cs="Arial"/>
          <w:sz w:val="22"/>
          <w:shd w:val="clear" w:color="auto" w:fill="FFFFFF"/>
        </w:rPr>
        <w:t>.</w:t>
      </w:r>
    </w:p>
    <w:p w14:paraId="1A62128F" w14:textId="77777777" w:rsidR="0010561C" w:rsidRPr="00B54F82" w:rsidRDefault="0010561C" w:rsidP="00D50CCB">
      <w:pPr>
        <w:jc w:val="both"/>
        <w:rPr>
          <w:rStyle w:val="normaltextrun"/>
          <w:rFonts w:ascii="Arial" w:hAnsi="Arial" w:cs="Arial"/>
          <w:color w:val="000000"/>
          <w:sz w:val="22"/>
          <w:shd w:val="clear" w:color="auto" w:fill="FFFFFF"/>
        </w:rPr>
      </w:pPr>
    </w:p>
    <w:p w14:paraId="2DA112B9" w14:textId="17580DD7" w:rsidR="0010561C" w:rsidRDefault="0010561C" w:rsidP="00CF78FB">
      <w:pPr>
        <w:jc w:val="both"/>
        <w:rPr>
          <w:rStyle w:val="normaltextrun"/>
          <w:rFonts w:ascii="Arial" w:hAnsi="Arial" w:cs="Arial"/>
          <w:color w:val="000000"/>
          <w:sz w:val="22"/>
          <w:shd w:val="clear" w:color="auto" w:fill="FFFFFF"/>
        </w:rPr>
      </w:pPr>
    </w:p>
    <w:p w14:paraId="2817A149" w14:textId="74EAE600" w:rsidR="0010561C" w:rsidRDefault="003D7C1B" w:rsidP="004E16D0">
      <w:pPr>
        <w:spacing w:line="276" w:lineRule="auto"/>
        <w:ind w:firstLine="708"/>
        <w:jc w:val="both"/>
        <w:rPr>
          <w:rStyle w:val="normaltextrun"/>
          <w:rFonts w:ascii="Arial" w:hAnsi="Arial" w:cs="Arial"/>
          <w:color w:val="000000"/>
          <w:sz w:val="22"/>
          <w:shd w:val="clear" w:color="auto" w:fill="FFFFFF"/>
        </w:rPr>
      </w:pPr>
      <w:r>
        <w:rPr>
          <w:rStyle w:val="normaltextrun"/>
          <w:rFonts w:ascii="Arial" w:hAnsi="Arial" w:cs="Arial"/>
          <w:color w:val="000000"/>
          <w:sz w:val="22"/>
          <w:shd w:val="clear" w:color="auto" w:fill="FFFFFF"/>
        </w:rPr>
        <w:t>En cuanto a su segundo cuestionamiento,</w:t>
      </w:r>
      <w:r w:rsidR="0010561C">
        <w:rPr>
          <w:rStyle w:val="normaltextrun"/>
          <w:rFonts w:ascii="Arial" w:hAnsi="Arial" w:cs="Arial"/>
          <w:color w:val="000000"/>
          <w:sz w:val="22"/>
          <w:shd w:val="clear" w:color="auto" w:fill="FFFFFF"/>
        </w:rPr>
        <w:t xml:space="preserve"> resulta menester acudir a lo dispuesto por el Código Civil, particularmente a lo establecido en el capítulo IV del Título Preliminar sobre interpretación de la ley. Así, debemos señalar que el vocablo “adquirir” no tiene en el caso concreto un sentido legalmente definido que delinee un contenido particular y especial, por lo que habrá de atenderse lo consagrado en la norma del artículo 28 del mencionado código, según la cual</w:t>
      </w:r>
      <w:r w:rsidR="00634837">
        <w:rPr>
          <w:rStyle w:val="normaltextrun"/>
          <w:rFonts w:ascii="Arial" w:hAnsi="Arial" w:cs="Arial"/>
          <w:color w:val="000000"/>
          <w:sz w:val="22"/>
          <w:shd w:val="clear" w:color="auto" w:fill="FFFFFF"/>
        </w:rPr>
        <w:t xml:space="preserve"> la palabra deberá entenderse en su sentido natural y obvio.</w:t>
      </w:r>
    </w:p>
    <w:p w14:paraId="1FB6924A" w14:textId="3A16F2EE" w:rsidR="00634837" w:rsidRDefault="00634837" w:rsidP="004E16D0">
      <w:pPr>
        <w:spacing w:line="276" w:lineRule="auto"/>
        <w:jc w:val="both"/>
        <w:rPr>
          <w:rStyle w:val="normaltextrun"/>
          <w:rFonts w:ascii="Arial" w:hAnsi="Arial" w:cs="Arial"/>
          <w:color w:val="000000"/>
          <w:sz w:val="22"/>
          <w:shd w:val="clear" w:color="auto" w:fill="FFFFFF"/>
        </w:rPr>
      </w:pPr>
    </w:p>
    <w:p w14:paraId="1D726A55" w14:textId="2C3C10C3" w:rsidR="00634837" w:rsidRDefault="00634837" w:rsidP="004E16D0">
      <w:pPr>
        <w:spacing w:line="276" w:lineRule="auto"/>
        <w:ind w:firstLine="708"/>
        <w:jc w:val="both"/>
        <w:rPr>
          <w:rStyle w:val="normaltextrun"/>
          <w:rFonts w:ascii="Arial" w:hAnsi="Arial" w:cs="Arial"/>
          <w:color w:val="000000"/>
          <w:sz w:val="22"/>
          <w:shd w:val="clear" w:color="auto" w:fill="FFFFFF"/>
        </w:rPr>
      </w:pPr>
      <w:r>
        <w:rPr>
          <w:rStyle w:val="normaltextrun"/>
          <w:rFonts w:ascii="Arial" w:hAnsi="Arial" w:cs="Arial"/>
          <w:color w:val="000000"/>
          <w:sz w:val="22"/>
          <w:shd w:val="clear" w:color="auto" w:fill="FFFFFF"/>
        </w:rPr>
        <w:t>En auxilio de tal disposición, y acudiendo a la definición del Diccionario de la Real Academia Española de la Lengua (primera acepción) encontramos que adquirir equivaldría a “</w:t>
      </w:r>
      <w:r w:rsidRPr="00634837">
        <w:rPr>
          <w:rStyle w:val="normaltextrun"/>
          <w:rFonts w:ascii="Arial" w:hAnsi="Arial" w:cs="Arial"/>
          <w:i/>
          <w:iCs/>
          <w:color w:val="000000"/>
          <w:sz w:val="22"/>
          <w:shd w:val="clear" w:color="auto" w:fill="FFFFFF"/>
        </w:rPr>
        <w:t>ganar o conseguir con el propio trabajo o industria</w:t>
      </w:r>
      <w:r>
        <w:rPr>
          <w:rStyle w:val="normaltextrun"/>
          <w:rFonts w:ascii="Arial" w:hAnsi="Arial" w:cs="Arial"/>
          <w:color w:val="000000"/>
          <w:sz w:val="22"/>
          <w:shd w:val="clear" w:color="auto" w:fill="FFFFFF"/>
        </w:rPr>
        <w:t xml:space="preserve">”. Si bien es cierto que la segunda acepción de la palabra en el mismo diccionario hace referencia a “comprar”, consideramos que la noción natural y obvia de la palabra, en el contexto de la norma, se refiere a conseguir u obtener el dominio de un bien, en este caso, un bien inmueble. </w:t>
      </w:r>
    </w:p>
    <w:p w14:paraId="175BD858" w14:textId="398767BC" w:rsidR="00634837" w:rsidRDefault="00634837" w:rsidP="004E16D0">
      <w:pPr>
        <w:spacing w:line="276" w:lineRule="auto"/>
        <w:jc w:val="both"/>
        <w:rPr>
          <w:rStyle w:val="normaltextrun"/>
          <w:rFonts w:ascii="Arial" w:hAnsi="Arial" w:cs="Arial"/>
          <w:color w:val="000000"/>
          <w:sz w:val="22"/>
          <w:shd w:val="clear" w:color="auto" w:fill="FFFFFF"/>
        </w:rPr>
      </w:pPr>
    </w:p>
    <w:p w14:paraId="1AA360E1" w14:textId="4BAD17AD" w:rsidR="00634837" w:rsidRDefault="00634837" w:rsidP="004E16D0">
      <w:pPr>
        <w:spacing w:line="276" w:lineRule="auto"/>
        <w:ind w:firstLine="708"/>
        <w:jc w:val="both"/>
        <w:rPr>
          <w:rStyle w:val="normaltextrun"/>
          <w:rFonts w:ascii="Arial" w:hAnsi="Arial" w:cs="Arial"/>
          <w:color w:val="000000"/>
          <w:sz w:val="22"/>
          <w:shd w:val="clear" w:color="auto" w:fill="FFFFFF"/>
        </w:rPr>
      </w:pPr>
      <w:r>
        <w:rPr>
          <w:rStyle w:val="normaltextrun"/>
          <w:rFonts w:ascii="Arial" w:hAnsi="Arial" w:cs="Arial"/>
          <w:color w:val="000000"/>
          <w:sz w:val="22"/>
          <w:shd w:val="clear" w:color="auto" w:fill="FFFFFF"/>
        </w:rPr>
        <w:t>Siguiendo este raciocinio, la “adquisición de inmuebles” en el contexto de la norma citada, se refiere, en nuestra opinión, a la adquisición del derecho de dominio sobre dichos inmuebles, la cual, como se explicó anteriormente, se consigue en nuestro sistema jurídico a través del requisito dual de título y modo. En el caso en cuestión, la tradición sería el modo adecuado para la adquisición del derecho de dominio, la cual también se debería completar bajo la figura de la dación en pago</w:t>
      </w:r>
      <w:r w:rsidR="00661B24">
        <w:rPr>
          <w:rStyle w:val="normaltextrun"/>
          <w:rFonts w:ascii="Arial" w:hAnsi="Arial" w:cs="Arial"/>
          <w:color w:val="000000"/>
          <w:sz w:val="22"/>
          <w:shd w:val="clear" w:color="auto" w:fill="FFFFFF"/>
        </w:rPr>
        <w:t xml:space="preserve"> siguiendo los requisitos y solemnidades que la ley contemple para cada caso</w:t>
      </w:r>
      <w:r>
        <w:rPr>
          <w:rStyle w:val="normaltextrun"/>
          <w:rFonts w:ascii="Arial" w:hAnsi="Arial" w:cs="Arial"/>
          <w:color w:val="000000"/>
          <w:sz w:val="22"/>
          <w:shd w:val="clear" w:color="auto" w:fill="FFFFFF"/>
        </w:rPr>
        <w:t>.</w:t>
      </w:r>
    </w:p>
    <w:p w14:paraId="4A722AFA" w14:textId="18E79E93" w:rsidR="00F96956" w:rsidRDefault="00F96956" w:rsidP="004E16D0">
      <w:pPr>
        <w:spacing w:line="276" w:lineRule="auto"/>
        <w:ind w:firstLine="708"/>
        <w:jc w:val="both"/>
        <w:rPr>
          <w:rStyle w:val="normaltextrun"/>
          <w:rFonts w:ascii="Arial" w:hAnsi="Arial" w:cs="Arial"/>
          <w:color w:val="000000"/>
          <w:sz w:val="22"/>
          <w:shd w:val="clear" w:color="auto" w:fill="FFFFFF"/>
        </w:rPr>
      </w:pPr>
    </w:p>
    <w:p w14:paraId="08BB3A82" w14:textId="2E61A900" w:rsidR="00F96956" w:rsidRDefault="00F96956" w:rsidP="00F96956">
      <w:pPr>
        <w:spacing w:line="276" w:lineRule="auto"/>
        <w:jc w:val="both"/>
        <w:rPr>
          <w:rStyle w:val="normaltextrun"/>
          <w:rFonts w:ascii="Arial" w:hAnsi="Arial" w:cs="Arial"/>
          <w:b/>
          <w:bCs/>
          <w:color w:val="000000"/>
          <w:sz w:val="22"/>
          <w:shd w:val="clear" w:color="auto" w:fill="FFFFFF"/>
        </w:rPr>
      </w:pPr>
      <w:r w:rsidRPr="003D7C1B">
        <w:rPr>
          <w:rStyle w:val="normaltextrun"/>
          <w:rFonts w:ascii="Arial" w:hAnsi="Arial" w:cs="Arial"/>
          <w:b/>
          <w:bCs/>
          <w:color w:val="000000"/>
          <w:sz w:val="22"/>
          <w:shd w:val="clear" w:color="auto" w:fill="FFFFFF"/>
        </w:rPr>
        <w:t>3. Respuestas</w:t>
      </w:r>
    </w:p>
    <w:p w14:paraId="739D1E78" w14:textId="18EF2010" w:rsidR="00F96956" w:rsidRDefault="00F96956" w:rsidP="00F96956">
      <w:pPr>
        <w:spacing w:line="276" w:lineRule="auto"/>
        <w:jc w:val="both"/>
        <w:rPr>
          <w:rStyle w:val="normaltextrun"/>
          <w:rFonts w:ascii="Arial" w:hAnsi="Arial" w:cs="Arial"/>
          <w:b/>
          <w:bCs/>
          <w:color w:val="000000"/>
          <w:sz w:val="22"/>
          <w:shd w:val="clear" w:color="auto" w:fill="FFFFFF"/>
        </w:rPr>
      </w:pPr>
    </w:p>
    <w:p w14:paraId="2CC3D0E2" w14:textId="77777777" w:rsidR="00671E4D" w:rsidRDefault="00671E4D" w:rsidP="00671E4D">
      <w:pPr>
        <w:ind w:left="709" w:right="709"/>
        <w:jc w:val="both"/>
        <w:rPr>
          <w:rStyle w:val="normaltextrun"/>
          <w:rFonts w:ascii="Arial" w:hAnsi="Arial" w:cs="Arial"/>
          <w:color w:val="000000"/>
          <w:sz w:val="21"/>
          <w:szCs w:val="21"/>
          <w:shd w:val="clear" w:color="auto" w:fill="FFFFFF"/>
        </w:rPr>
      </w:pPr>
      <w:r w:rsidRPr="00661B24">
        <w:rPr>
          <w:rStyle w:val="normaltextrun"/>
          <w:rFonts w:ascii="Arial" w:hAnsi="Arial" w:cs="Arial"/>
          <w:color w:val="000000"/>
          <w:sz w:val="21"/>
          <w:szCs w:val="21"/>
          <w:shd w:val="clear" w:color="auto" w:fill="FFFFFF"/>
        </w:rPr>
        <w:t>«1.</w:t>
      </w:r>
      <w:r>
        <w:rPr>
          <w:rStyle w:val="normaltextrun"/>
          <w:rFonts w:ascii="Arial" w:hAnsi="Arial" w:cs="Arial"/>
          <w:color w:val="000000"/>
          <w:sz w:val="21"/>
          <w:szCs w:val="21"/>
          <w:shd w:val="clear" w:color="auto" w:fill="FFFFFF"/>
        </w:rPr>
        <w:t xml:space="preserve"> </w:t>
      </w:r>
      <w:r w:rsidRPr="00661B24">
        <w:rPr>
          <w:rStyle w:val="normaltextrun"/>
          <w:rFonts w:ascii="Arial" w:hAnsi="Arial" w:cs="Arial"/>
          <w:color w:val="000000"/>
          <w:sz w:val="21"/>
          <w:szCs w:val="21"/>
          <w:shd w:val="clear" w:color="auto" w:fill="FFFFFF"/>
        </w:rPr>
        <w:t>¿Una Empresa Social del Estado puede entregar algunos bienes inmuebles, en dación en pago, a personas naturales o jurídicas para cumplir una obligación a su cargo, sin que se violen los principios de la función administrativa, de la gestión fiscal y la contratación pública?</w:t>
      </w:r>
    </w:p>
    <w:p w14:paraId="6F313342" w14:textId="7686BE5B" w:rsidR="00671E4D" w:rsidRDefault="00671E4D" w:rsidP="00671E4D">
      <w:pPr>
        <w:ind w:right="709"/>
        <w:jc w:val="both"/>
        <w:rPr>
          <w:rStyle w:val="normaltextrun"/>
          <w:rFonts w:ascii="Arial" w:hAnsi="Arial" w:cs="Arial"/>
          <w:color w:val="000000"/>
          <w:sz w:val="21"/>
          <w:szCs w:val="21"/>
          <w:shd w:val="clear" w:color="auto" w:fill="FFFFFF"/>
        </w:rPr>
      </w:pPr>
    </w:p>
    <w:p w14:paraId="2A41AB6F" w14:textId="7740527A" w:rsidR="00671E4D" w:rsidRDefault="003D7C1B" w:rsidP="00671E4D">
      <w:pPr>
        <w:ind w:right="709"/>
        <w:jc w:val="both"/>
        <w:rPr>
          <w:rStyle w:val="normaltextrun"/>
          <w:rFonts w:ascii="Arial" w:hAnsi="Arial" w:cs="Arial"/>
          <w:color w:val="000000"/>
          <w:sz w:val="21"/>
          <w:szCs w:val="21"/>
          <w:shd w:val="clear" w:color="auto" w:fill="FFFFFF"/>
        </w:rPr>
      </w:pPr>
      <w:r>
        <w:rPr>
          <w:rStyle w:val="normaltextrun"/>
          <w:rFonts w:ascii="Arial" w:hAnsi="Arial" w:cs="Arial"/>
          <w:color w:val="000000"/>
          <w:sz w:val="21"/>
          <w:szCs w:val="21"/>
          <w:shd w:val="clear" w:color="auto" w:fill="FFFFFF"/>
        </w:rPr>
        <w:t xml:space="preserve">La dación en pago es una figura reconocida en el ordenamiento jurídico colombiano, perfectamente válida en el régimen de derecho privado aplicable a las Empresas Sociales del Estado, en tanto se cumplan los requisitos de existencia y validez que la ley prevea para cada caso. Su utilización no </w:t>
      </w:r>
      <w:proofErr w:type="gramStart"/>
      <w:r>
        <w:rPr>
          <w:rStyle w:val="normaltextrun"/>
          <w:rFonts w:ascii="Arial" w:hAnsi="Arial" w:cs="Arial"/>
          <w:color w:val="000000"/>
          <w:sz w:val="21"/>
          <w:szCs w:val="21"/>
          <w:shd w:val="clear" w:color="auto" w:fill="FFFFFF"/>
        </w:rPr>
        <w:t>se enmarca dentro de</w:t>
      </w:r>
      <w:proofErr w:type="gramEnd"/>
      <w:r>
        <w:rPr>
          <w:rStyle w:val="normaltextrun"/>
          <w:rFonts w:ascii="Arial" w:hAnsi="Arial" w:cs="Arial"/>
          <w:color w:val="000000"/>
          <w:sz w:val="21"/>
          <w:szCs w:val="21"/>
          <w:shd w:val="clear" w:color="auto" w:fill="FFFFFF"/>
        </w:rPr>
        <w:t xml:space="preserve"> la gestión de abastecimiento, sino que corresponde a una variante particular dentro de los modos de extinción de obligaciones</w:t>
      </w:r>
    </w:p>
    <w:p w14:paraId="1FFD8784" w14:textId="77777777" w:rsidR="00671E4D" w:rsidRDefault="00671E4D" w:rsidP="003D7C1B">
      <w:pPr>
        <w:ind w:right="709"/>
        <w:jc w:val="both"/>
        <w:rPr>
          <w:rStyle w:val="normaltextrun"/>
          <w:rFonts w:ascii="Arial" w:hAnsi="Arial" w:cs="Arial"/>
          <w:color w:val="000000"/>
          <w:sz w:val="21"/>
          <w:szCs w:val="21"/>
          <w:shd w:val="clear" w:color="auto" w:fill="FFFFFF"/>
        </w:rPr>
      </w:pPr>
    </w:p>
    <w:p w14:paraId="4D885DEB" w14:textId="77777777" w:rsidR="00671E4D" w:rsidRPr="00661B24" w:rsidRDefault="00671E4D" w:rsidP="00671E4D">
      <w:pPr>
        <w:ind w:left="709" w:right="709"/>
        <w:jc w:val="both"/>
        <w:rPr>
          <w:rStyle w:val="normaltextrun"/>
          <w:rFonts w:ascii="Arial" w:hAnsi="Arial" w:cs="Arial"/>
          <w:color w:val="000000"/>
          <w:sz w:val="21"/>
          <w:szCs w:val="21"/>
          <w:shd w:val="clear" w:color="auto" w:fill="FFFFFF"/>
        </w:rPr>
      </w:pPr>
      <w:r>
        <w:rPr>
          <w:rStyle w:val="normaltextrun"/>
          <w:rFonts w:ascii="Arial" w:hAnsi="Arial" w:cs="Arial"/>
          <w:color w:val="000000"/>
          <w:sz w:val="21"/>
          <w:szCs w:val="21"/>
          <w:shd w:val="clear" w:color="auto" w:fill="FFFFFF"/>
        </w:rPr>
        <w:t>»</w:t>
      </w:r>
      <w:r w:rsidRPr="00661B24">
        <w:rPr>
          <w:rStyle w:val="normaltextrun"/>
          <w:rFonts w:ascii="Arial" w:hAnsi="Arial" w:cs="Arial"/>
          <w:color w:val="000000"/>
          <w:sz w:val="21"/>
          <w:szCs w:val="21"/>
          <w:shd w:val="clear" w:color="auto" w:fill="FFFFFF"/>
        </w:rPr>
        <w:t>2. ¿Cuál es el alcance jurídico de la palabra (adquirir) prevista en el literal (i) del artículo 2 de la Ley 1150 de 2007? ¿Esta adquisición opera sólo en los términos del contrato de compraventa o es también aplicable al modo de extinción de las obligaciones conocido como dación en pago?».</w:t>
      </w:r>
    </w:p>
    <w:p w14:paraId="28ADC0A2" w14:textId="77777777" w:rsidR="00671E4D" w:rsidRPr="003D7C1B" w:rsidRDefault="00671E4D" w:rsidP="003D7C1B">
      <w:pPr>
        <w:spacing w:line="276" w:lineRule="auto"/>
        <w:jc w:val="both"/>
        <w:rPr>
          <w:rStyle w:val="normaltextrun"/>
          <w:rFonts w:ascii="Arial" w:hAnsi="Arial" w:cs="Arial"/>
          <w:b/>
          <w:bCs/>
          <w:color w:val="000000"/>
          <w:sz w:val="22"/>
          <w:shd w:val="clear" w:color="auto" w:fill="FFFFFF"/>
        </w:rPr>
      </w:pPr>
    </w:p>
    <w:p w14:paraId="028E50B1" w14:textId="77777777" w:rsidR="00671E4D" w:rsidRDefault="00671E4D" w:rsidP="00671E4D">
      <w:pPr>
        <w:ind w:right="709"/>
        <w:jc w:val="both"/>
        <w:rPr>
          <w:rStyle w:val="normaltextrun"/>
          <w:rFonts w:ascii="Arial" w:hAnsi="Arial" w:cs="Arial"/>
          <w:color w:val="000000"/>
          <w:sz w:val="21"/>
          <w:szCs w:val="21"/>
          <w:shd w:val="clear" w:color="auto" w:fill="FFFFFF"/>
        </w:rPr>
      </w:pPr>
    </w:p>
    <w:p w14:paraId="4FB74FA9" w14:textId="5E43DC5B" w:rsidR="00671E4D" w:rsidRDefault="003D7C1B" w:rsidP="00671E4D">
      <w:pPr>
        <w:ind w:right="709"/>
        <w:jc w:val="both"/>
        <w:rPr>
          <w:rStyle w:val="normaltextrun"/>
          <w:rFonts w:ascii="Arial" w:hAnsi="Arial" w:cs="Arial"/>
          <w:color w:val="000000"/>
          <w:sz w:val="21"/>
          <w:szCs w:val="21"/>
          <w:shd w:val="clear" w:color="auto" w:fill="FFFFFF"/>
        </w:rPr>
      </w:pPr>
      <w:r>
        <w:rPr>
          <w:rStyle w:val="normaltextrun"/>
          <w:rFonts w:ascii="Arial" w:hAnsi="Arial" w:cs="Arial"/>
          <w:color w:val="000000"/>
          <w:sz w:val="21"/>
          <w:szCs w:val="21"/>
          <w:shd w:val="clear" w:color="auto" w:fill="FFFFFF"/>
        </w:rPr>
        <w:t>Siguiendo los parámetros legales de interpretación de las normas, el vocablo “adquirir” debe entenderse dentro de su amplio sentido natural y obvio, y, en tratándose de la “adquisición de inmuebles” hace referencia a la adquisición del derecho de dominio, sujeto en nuestro sistema jurídico al mecanismo dual de título y modo</w:t>
      </w:r>
      <w:r w:rsidR="004939D7">
        <w:rPr>
          <w:rStyle w:val="normaltextrun"/>
          <w:rFonts w:ascii="Arial" w:hAnsi="Arial" w:cs="Arial"/>
          <w:color w:val="000000"/>
          <w:sz w:val="21"/>
          <w:szCs w:val="21"/>
          <w:shd w:val="clear" w:color="auto" w:fill="FFFFFF"/>
        </w:rPr>
        <w:t>, aplicable también a los casos en los que medie el mecanismo de dación en pago.</w:t>
      </w:r>
    </w:p>
    <w:p w14:paraId="69B7F4B3" w14:textId="77777777" w:rsidR="00CF78FB" w:rsidRDefault="00CF78FB" w:rsidP="004E16D0">
      <w:pPr>
        <w:spacing w:line="276" w:lineRule="auto"/>
        <w:jc w:val="both"/>
        <w:rPr>
          <w:rStyle w:val="normaltextrun"/>
          <w:rFonts w:ascii="Arial" w:hAnsi="Arial" w:cs="Arial"/>
          <w:b/>
          <w:bCs/>
          <w:color w:val="000000"/>
          <w:sz w:val="22"/>
          <w:shd w:val="clear" w:color="auto" w:fill="FFFFFF"/>
        </w:rPr>
      </w:pPr>
    </w:p>
    <w:p w14:paraId="18FE954D" w14:textId="77777777" w:rsidR="004E16D0" w:rsidRPr="004E16D0" w:rsidRDefault="004E16D0" w:rsidP="004E16D0">
      <w:pPr>
        <w:spacing w:after="120" w:line="276" w:lineRule="auto"/>
        <w:jc w:val="both"/>
        <w:rPr>
          <w:rFonts w:ascii="Arial" w:eastAsia="Times New Roman" w:hAnsi="Arial" w:cs="Arial"/>
          <w:sz w:val="22"/>
          <w:lang w:val="es-ES"/>
        </w:rPr>
      </w:pPr>
      <w:r w:rsidRPr="004E16D0">
        <w:rPr>
          <w:rFonts w:ascii="Arial" w:eastAsia="Calibri" w:hAnsi="Arial" w:cs="Arial"/>
          <w:sz w:val="22"/>
          <w:szCs w:val="24"/>
          <w:lang w:val="es-ES"/>
        </w:rPr>
        <w:t>Este concepto tiene el alcance previsto en el artículo 28 del Código de Procedimiento Administrativo y de lo Contencioso Administrativo.</w:t>
      </w:r>
    </w:p>
    <w:p w14:paraId="79B27C57" w14:textId="77777777" w:rsidR="004E16D0" w:rsidRPr="004E16D0" w:rsidRDefault="004E16D0" w:rsidP="004E16D0">
      <w:pPr>
        <w:spacing w:line="276" w:lineRule="auto"/>
        <w:rPr>
          <w:rFonts w:ascii="Arial" w:eastAsia="Arial" w:hAnsi="Arial" w:cs="Arial"/>
          <w:sz w:val="22"/>
          <w:lang w:val="es-CO"/>
        </w:rPr>
      </w:pPr>
    </w:p>
    <w:p w14:paraId="4F591FD9" w14:textId="77777777" w:rsidR="004E16D0" w:rsidRPr="004E16D0" w:rsidRDefault="004E16D0" w:rsidP="004E16D0">
      <w:pPr>
        <w:spacing w:line="276" w:lineRule="auto"/>
        <w:jc w:val="both"/>
        <w:rPr>
          <w:rFonts w:ascii="Arial" w:eastAsia="Times New Roman" w:hAnsi="Arial" w:cs="Arial"/>
          <w:szCs w:val="20"/>
          <w:lang w:val="es-CO"/>
        </w:rPr>
      </w:pPr>
      <w:bookmarkStart w:id="2" w:name="_Hlk50370367"/>
      <w:r w:rsidRPr="004E16D0">
        <w:rPr>
          <w:rFonts w:ascii="Arial" w:eastAsia="Times New Roman" w:hAnsi="Arial" w:cs="Arial"/>
          <w:szCs w:val="24"/>
          <w:lang w:val="es-CO" w:eastAsia="es-CO"/>
        </w:rPr>
        <w:t>Atentamente,</w:t>
      </w:r>
    </w:p>
    <w:bookmarkEnd w:id="2"/>
    <w:p w14:paraId="37BFF0CF" w14:textId="0C56C385" w:rsidR="004E16D0" w:rsidRPr="004E16D0" w:rsidRDefault="00E86DB7" w:rsidP="00E86DB7">
      <w:pPr>
        <w:jc w:val="center"/>
        <w:rPr>
          <w:rFonts w:ascii="Arial" w:eastAsia="Times New Roman" w:hAnsi="Arial" w:cs="Arial"/>
          <w:szCs w:val="24"/>
          <w:lang w:val="es-CO" w:eastAsia="es-CO"/>
        </w:rPr>
      </w:pPr>
      <w:r>
        <w:rPr>
          <w:noProof/>
        </w:rPr>
        <w:drawing>
          <wp:inline distT="0" distB="0" distL="0" distR="0" wp14:anchorId="3BC25227" wp14:editId="28D67DE2">
            <wp:extent cx="2171700" cy="923925"/>
            <wp:effectExtent l="0" t="0" r="0" b="9525"/>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923925"/>
                    </a:xfrm>
                    <a:prstGeom prst="rect">
                      <a:avLst/>
                    </a:prstGeom>
                    <a:noFill/>
                    <a:ln>
                      <a:noFill/>
                    </a:ln>
                  </pic:spPr>
                </pic:pic>
              </a:graphicData>
            </a:graphic>
          </wp:inline>
        </w:drawing>
      </w:r>
    </w:p>
    <w:p w14:paraId="59861328" w14:textId="77777777" w:rsidR="004E16D0" w:rsidRPr="004E16D0" w:rsidRDefault="004E16D0" w:rsidP="004E16D0">
      <w:pPr>
        <w:spacing w:after="18"/>
        <w:jc w:val="center"/>
        <w:rPr>
          <w:rFonts w:ascii="Arial" w:eastAsia="Times New Roman" w:hAnsi="Arial" w:cs="Arial"/>
          <w:szCs w:val="24"/>
          <w:lang w:val="es-CO" w:eastAsia="es-CO"/>
        </w:rPr>
      </w:pPr>
    </w:p>
    <w:tbl>
      <w:tblPr>
        <w:tblStyle w:val="Tablaconcuadrcula11"/>
        <w:tblpPr w:leftFromText="141" w:rightFromText="141" w:vertAnchor="text" w:horzAnchor="margin" w:tblpY="-1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003"/>
      </w:tblGrid>
      <w:tr w:rsidR="004E16D0" w:rsidRPr="004E16D0" w14:paraId="69A1E128" w14:textId="77777777" w:rsidTr="00C970D9">
        <w:trPr>
          <w:trHeight w:val="286"/>
        </w:trPr>
        <w:tc>
          <w:tcPr>
            <w:tcW w:w="817" w:type="dxa"/>
            <w:vAlign w:val="center"/>
            <w:hideMark/>
          </w:tcPr>
          <w:p w14:paraId="0799DD32" w14:textId="77777777" w:rsidR="004E16D0" w:rsidRPr="004E16D0" w:rsidRDefault="004E16D0" w:rsidP="004E16D0">
            <w:pPr>
              <w:rPr>
                <w:rFonts w:ascii="Arial" w:eastAsia="Times New Roman" w:hAnsi="Arial" w:cs="Arial"/>
                <w:sz w:val="14"/>
                <w:szCs w:val="14"/>
                <w:lang w:eastAsia="es-ES"/>
              </w:rPr>
            </w:pPr>
            <w:r w:rsidRPr="004E16D0">
              <w:rPr>
                <w:rFonts w:ascii="Arial" w:eastAsia="Times New Roman" w:hAnsi="Arial" w:cs="Arial"/>
                <w:sz w:val="14"/>
                <w:szCs w:val="14"/>
                <w:lang w:eastAsia="es-ES"/>
              </w:rPr>
              <w:t>Elaboró:</w:t>
            </w:r>
          </w:p>
        </w:tc>
        <w:tc>
          <w:tcPr>
            <w:tcW w:w="4003" w:type="dxa"/>
            <w:tcBorders>
              <w:top w:val="nil"/>
              <w:left w:val="nil"/>
              <w:bottom w:val="dotted" w:sz="4" w:space="0" w:color="7F7F7F"/>
              <w:right w:val="nil"/>
            </w:tcBorders>
            <w:vAlign w:val="center"/>
            <w:hideMark/>
          </w:tcPr>
          <w:p w14:paraId="34C77DB6" w14:textId="73C3083B" w:rsidR="004E16D0" w:rsidRPr="004E16D0" w:rsidRDefault="004E16D0" w:rsidP="004E16D0">
            <w:pPr>
              <w:jc w:val="both"/>
              <w:rPr>
                <w:rFonts w:ascii="Arial" w:eastAsia="Times New Roman" w:hAnsi="Arial" w:cs="Arial"/>
                <w:sz w:val="14"/>
                <w:szCs w:val="14"/>
                <w:lang w:eastAsia="es-ES"/>
              </w:rPr>
            </w:pPr>
            <w:r>
              <w:rPr>
                <w:rFonts w:ascii="Arial" w:eastAsia="Times New Roman" w:hAnsi="Arial" w:cs="Arial"/>
                <w:sz w:val="14"/>
                <w:szCs w:val="14"/>
                <w:lang w:eastAsia="es-ES"/>
              </w:rPr>
              <w:t>Alvaro Josué Yáñez Alsina</w:t>
            </w:r>
          </w:p>
          <w:p w14:paraId="642E91F2" w14:textId="3AF2A7E0" w:rsidR="004E16D0" w:rsidRPr="004E16D0" w:rsidRDefault="004E16D0" w:rsidP="004E16D0">
            <w:pPr>
              <w:rPr>
                <w:rFonts w:ascii="Arial" w:eastAsia="Times New Roman" w:hAnsi="Arial" w:cs="Arial"/>
                <w:sz w:val="14"/>
                <w:szCs w:val="14"/>
                <w:lang w:eastAsia="es-ES"/>
              </w:rPr>
            </w:pPr>
            <w:r w:rsidRPr="004E16D0">
              <w:rPr>
                <w:rFonts w:ascii="Arial" w:eastAsia="Times New Roman" w:hAnsi="Arial" w:cs="Arial"/>
                <w:sz w:val="14"/>
                <w:szCs w:val="14"/>
                <w:lang w:eastAsia="es-ES"/>
              </w:rPr>
              <w:t xml:space="preserve">Contratista </w:t>
            </w:r>
            <w:r w:rsidR="007139AC">
              <w:rPr>
                <w:rFonts w:ascii="Arial" w:eastAsia="Times New Roman" w:hAnsi="Arial" w:cs="Arial"/>
                <w:sz w:val="14"/>
                <w:szCs w:val="14"/>
                <w:lang w:eastAsia="es-ES"/>
              </w:rPr>
              <w:t xml:space="preserve">de la </w:t>
            </w:r>
            <w:r w:rsidRPr="004E16D0">
              <w:rPr>
                <w:rFonts w:ascii="Arial" w:eastAsia="Times New Roman" w:hAnsi="Arial" w:cs="Arial"/>
                <w:sz w:val="14"/>
                <w:szCs w:val="14"/>
                <w:lang w:eastAsia="es-ES"/>
              </w:rPr>
              <w:t>Subdirección de Gestión Contractual</w:t>
            </w:r>
          </w:p>
        </w:tc>
      </w:tr>
      <w:tr w:rsidR="004E16D0" w:rsidRPr="004E16D0" w14:paraId="047A1F9A" w14:textId="77777777" w:rsidTr="00C970D9">
        <w:trPr>
          <w:trHeight w:val="299"/>
        </w:trPr>
        <w:tc>
          <w:tcPr>
            <w:tcW w:w="817" w:type="dxa"/>
            <w:vAlign w:val="center"/>
            <w:hideMark/>
          </w:tcPr>
          <w:p w14:paraId="0247991F" w14:textId="77777777" w:rsidR="004E16D0" w:rsidRPr="004E16D0" w:rsidRDefault="004E16D0" w:rsidP="004E16D0">
            <w:pPr>
              <w:rPr>
                <w:rFonts w:ascii="Arial" w:eastAsia="Times New Roman" w:hAnsi="Arial" w:cs="Arial"/>
                <w:sz w:val="14"/>
                <w:szCs w:val="14"/>
                <w:lang w:eastAsia="es-ES"/>
              </w:rPr>
            </w:pPr>
            <w:r w:rsidRPr="004E16D0">
              <w:rPr>
                <w:rFonts w:ascii="Arial" w:eastAsia="Times New Roman" w:hAnsi="Arial" w:cs="Arial"/>
                <w:sz w:val="14"/>
                <w:szCs w:val="14"/>
                <w:lang w:eastAsia="es-ES"/>
              </w:rPr>
              <w:t>Revisó:</w:t>
            </w:r>
          </w:p>
        </w:tc>
        <w:tc>
          <w:tcPr>
            <w:tcW w:w="4003" w:type="dxa"/>
            <w:tcBorders>
              <w:top w:val="dotted" w:sz="4" w:space="0" w:color="7F7F7F"/>
              <w:left w:val="nil"/>
              <w:bottom w:val="dotted" w:sz="4" w:space="0" w:color="7F7F7F"/>
              <w:right w:val="nil"/>
            </w:tcBorders>
            <w:vAlign w:val="center"/>
            <w:hideMark/>
          </w:tcPr>
          <w:p w14:paraId="0FC9E8B8" w14:textId="6C697F86" w:rsidR="004E16D0" w:rsidRPr="004E16D0" w:rsidRDefault="00B67549" w:rsidP="004E16D0">
            <w:pPr>
              <w:rPr>
                <w:rFonts w:ascii="Arial" w:eastAsia="Times New Roman" w:hAnsi="Arial" w:cs="Arial"/>
                <w:sz w:val="14"/>
                <w:szCs w:val="14"/>
                <w:lang w:eastAsia="es-ES"/>
              </w:rPr>
            </w:pPr>
            <w:r>
              <w:rPr>
                <w:rFonts w:ascii="Arial" w:eastAsia="Times New Roman" w:hAnsi="Arial" w:cs="Arial"/>
                <w:sz w:val="14"/>
                <w:szCs w:val="14"/>
                <w:lang w:eastAsia="es-ES"/>
              </w:rPr>
              <w:t xml:space="preserve">Cristian </w:t>
            </w:r>
            <w:r w:rsidRPr="00B67549">
              <w:rPr>
                <w:rFonts w:ascii="Arial" w:eastAsia="Times New Roman" w:hAnsi="Arial" w:cs="Arial"/>
                <w:sz w:val="14"/>
                <w:szCs w:val="14"/>
                <w:lang w:eastAsia="es-ES"/>
              </w:rPr>
              <w:t>Andr</w:t>
            </w:r>
            <w:r w:rsidRPr="004939D7">
              <w:rPr>
                <w:rFonts w:ascii="Arial" w:eastAsia="Times New Roman" w:hAnsi="Arial" w:cs="Arial"/>
                <w:sz w:val="14"/>
                <w:szCs w:val="14"/>
                <w:lang w:eastAsia="es-ES"/>
              </w:rPr>
              <w:t>é</w:t>
            </w:r>
            <w:r w:rsidRPr="00B67549">
              <w:rPr>
                <w:rFonts w:ascii="Arial" w:eastAsia="Times New Roman" w:hAnsi="Arial" w:cs="Arial"/>
                <w:sz w:val="14"/>
                <w:szCs w:val="14"/>
                <w:lang w:eastAsia="es-ES"/>
              </w:rPr>
              <w:t>s D</w:t>
            </w:r>
            <w:r w:rsidRPr="007139AC">
              <w:rPr>
                <w:rFonts w:ascii="Arial" w:eastAsia="Times New Roman" w:hAnsi="Arial" w:cs="Arial"/>
                <w:sz w:val="14"/>
                <w:szCs w:val="14"/>
                <w:lang w:eastAsia="es-ES"/>
              </w:rPr>
              <w:t>íaz Díez</w:t>
            </w:r>
          </w:p>
          <w:p w14:paraId="4FF1A600" w14:textId="264E2A2C" w:rsidR="004E16D0" w:rsidRPr="004E16D0" w:rsidRDefault="004E16D0" w:rsidP="004E16D0">
            <w:pPr>
              <w:rPr>
                <w:rFonts w:ascii="Arial" w:eastAsia="Times New Roman" w:hAnsi="Arial" w:cs="Arial"/>
                <w:sz w:val="14"/>
                <w:szCs w:val="14"/>
                <w:lang w:eastAsia="es-ES"/>
              </w:rPr>
            </w:pPr>
            <w:r w:rsidRPr="004E16D0">
              <w:rPr>
                <w:rFonts w:ascii="Arial" w:eastAsia="Times New Roman" w:hAnsi="Arial" w:cs="Arial"/>
                <w:sz w:val="14"/>
                <w:szCs w:val="14"/>
                <w:lang w:eastAsia="es-ES"/>
              </w:rPr>
              <w:t xml:space="preserve">Contratista </w:t>
            </w:r>
            <w:r w:rsidR="007139AC">
              <w:rPr>
                <w:rFonts w:ascii="Arial" w:eastAsia="Times New Roman" w:hAnsi="Arial" w:cs="Arial"/>
                <w:sz w:val="14"/>
                <w:szCs w:val="14"/>
                <w:lang w:eastAsia="es-ES"/>
              </w:rPr>
              <w:t xml:space="preserve">de la </w:t>
            </w:r>
            <w:r w:rsidRPr="004E16D0">
              <w:rPr>
                <w:rFonts w:ascii="Arial" w:eastAsia="Times New Roman" w:hAnsi="Arial" w:cs="Arial"/>
                <w:sz w:val="14"/>
                <w:szCs w:val="14"/>
                <w:lang w:eastAsia="es-ES"/>
              </w:rPr>
              <w:t>Subdirección de Gestión Contractual</w:t>
            </w:r>
          </w:p>
        </w:tc>
      </w:tr>
      <w:tr w:rsidR="004E16D0" w:rsidRPr="004E16D0" w14:paraId="2359CBA3" w14:textId="77777777" w:rsidTr="00C970D9">
        <w:trPr>
          <w:trHeight w:val="272"/>
        </w:trPr>
        <w:tc>
          <w:tcPr>
            <w:tcW w:w="817" w:type="dxa"/>
            <w:vAlign w:val="center"/>
            <w:hideMark/>
          </w:tcPr>
          <w:p w14:paraId="5C1B0300" w14:textId="77777777" w:rsidR="004E16D0" w:rsidRPr="004E16D0" w:rsidRDefault="004E16D0" w:rsidP="004E16D0">
            <w:pPr>
              <w:rPr>
                <w:rFonts w:ascii="Arial" w:eastAsia="Times New Roman" w:hAnsi="Arial" w:cs="Arial"/>
                <w:sz w:val="14"/>
                <w:szCs w:val="14"/>
                <w:lang w:eastAsia="es-ES"/>
              </w:rPr>
            </w:pPr>
            <w:r w:rsidRPr="004E16D0">
              <w:rPr>
                <w:rFonts w:ascii="Arial" w:eastAsia="Times New Roman" w:hAnsi="Arial" w:cs="Arial"/>
                <w:sz w:val="14"/>
                <w:szCs w:val="14"/>
                <w:lang w:eastAsia="es-ES"/>
              </w:rPr>
              <w:t>Aprobó:</w:t>
            </w:r>
          </w:p>
        </w:tc>
        <w:tc>
          <w:tcPr>
            <w:tcW w:w="4003" w:type="dxa"/>
            <w:tcBorders>
              <w:top w:val="dotted" w:sz="4" w:space="0" w:color="7F7F7F"/>
              <w:left w:val="nil"/>
              <w:bottom w:val="dotted" w:sz="4" w:space="0" w:color="7F7F7F"/>
              <w:right w:val="nil"/>
            </w:tcBorders>
            <w:vAlign w:val="center"/>
            <w:hideMark/>
          </w:tcPr>
          <w:p w14:paraId="134F0FB6" w14:textId="018D5A05" w:rsidR="004E16D0" w:rsidRPr="004E16D0" w:rsidRDefault="004E16D0" w:rsidP="004E16D0">
            <w:pPr>
              <w:rPr>
                <w:rFonts w:ascii="Arial" w:eastAsia="Times New Roman" w:hAnsi="Arial" w:cs="Arial"/>
                <w:sz w:val="14"/>
                <w:szCs w:val="14"/>
                <w:lang w:eastAsia="es-ES"/>
              </w:rPr>
            </w:pPr>
            <w:r w:rsidRPr="004E16D0">
              <w:rPr>
                <w:rFonts w:ascii="Arial" w:eastAsia="Times New Roman" w:hAnsi="Arial" w:cs="Arial"/>
                <w:sz w:val="14"/>
                <w:szCs w:val="14"/>
                <w:lang w:eastAsia="es-ES"/>
              </w:rPr>
              <w:t>Andrés Ricardo Ma</w:t>
            </w:r>
            <w:r>
              <w:rPr>
                <w:rFonts w:ascii="Arial" w:eastAsia="Times New Roman" w:hAnsi="Arial" w:cs="Arial"/>
                <w:sz w:val="14"/>
                <w:szCs w:val="14"/>
                <w:lang w:eastAsia="es-ES"/>
              </w:rPr>
              <w:t>n</w:t>
            </w:r>
            <w:r w:rsidRPr="004E16D0">
              <w:rPr>
                <w:rFonts w:ascii="Arial" w:eastAsia="Times New Roman" w:hAnsi="Arial" w:cs="Arial"/>
                <w:sz w:val="14"/>
                <w:szCs w:val="14"/>
                <w:lang w:eastAsia="es-ES"/>
              </w:rPr>
              <w:t>cipe González</w:t>
            </w:r>
          </w:p>
          <w:p w14:paraId="5B1A847E" w14:textId="77777777" w:rsidR="004E16D0" w:rsidRPr="004E16D0" w:rsidRDefault="004E16D0" w:rsidP="004E16D0">
            <w:pPr>
              <w:rPr>
                <w:rFonts w:ascii="Arial" w:eastAsia="Times New Roman" w:hAnsi="Arial" w:cs="Arial"/>
                <w:sz w:val="14"/>
                <w:szCs w:val="14"/>
                <w:lang w:eastAsia="es-ES"/>
              </w:rPr>
            </w:pPr>
            <w:r w:rsidRPr="004E16D0">
              <w:rPr>
                <w:rFonts w:ascii="Arial" w:eastAsia="Times New Roman" w:hAnsi="Arial" w:cs="Arial"/>
                <w:sz w:val="14"/>
                <w:szCs w:val="14"/>
                <w:lang w:eastAsia="es-ES"/>
              </w:rPr>
              <w:t>Subdirector de Gestión Contractual (E)</w:t>
            </w:r>
          </w:p>
        </w:tc>
      </w:tr>
    </w:tbl>
    <w:p w14:paraId="46E5FB57" w14:textId="77777777" w:rsidR="004E16D0" w:rsidRPr="004E16D0" w:rsidRDefault="004E16D0" w:rsidP="004E16D0">
      <w:pPr>
        <w:rPr>
          <w:rFonts w:ascii="Arial" w:eastAsia="Times New Roman" w:hAnsi="Arial" w:cs="Arial"/>
          <w:szCs w:val="24"/>
          <w:lang w:val="es-CO" w:eastAsia="es-ES"/>
        </w:rPr>
      </w:pPr>
    </w:p>
    <w:p w14:paraId="7FE80B3F" w14:textId="77777777" w:rsidR="004E16D0" w:rsidRPr="004E16D0" w:rsidRDefault="004E16D0" w:rsidP="004E16D0">
      <w:pPr>
        <w:rPr>
          <w:rFonts w:ascii="Arial" w:eastAsia="Times New Roman" w:hAnsi="Arial" w:cs="Arial"/>
          <w:szCs w:val="24"/>
          <w:lang w:val="es-CO" w:eastAsia="es-ES"/>
        </w:rPr>
      </w:pPr>
    </w:p>
    <w:p w14:paraId="04047D81" w14:textId="77777777" w:rsidR="004E16D0" w:rsidRPr="004E16D0" w:rsidRDefault="004E16D0" w:rsidP="004E16D0">
      <w:pPr>
        <w:rPr>
          <w:rFonts w:ascii="Arial" w:eastAsia="Times New Roman" w:hAnsi="Arial" w:cs="Arial"/>
          <w:szCs w:val="24"/>
          <w:lang w:val="es-CO" w:eastAsia="es-ES"/>
        </w:rPr>
      </w:pPr>
    </w:p>
    <w:bookmarkEnd w:id="0"/>
    <w:p w14:paraId="7EBF297E" w14:textId="2EA46094" w:rsidR="007B0854" w:rsidRPr="0010723B" w:rsidRDefault="007B0854" w:rsidP="00FF2ECA">
      <w:pPr>
        <w:spacing w:after="120" w:line="276" w:lineRule="auto"/>
        <w:jc w:val="both"/>
        <w:rPr>
          <w:rFonts w:ascii="Arial" w:hAnsi="Arial" w:cs="Arial"/>
          <w:sz w:val="22"/>
        </w:rPr>
      </w:pPr>
    </w:p>
    <w:sectPr w:rsidR="007B0854" w:rsidRPr="0010723B"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358CB" w14:textId="77777777" w:rsidR="00602917" w:rsidRDefault="00602917">
      <w:r>
        <w:separator/>
      </w:r>
    </w:p>
  </w:endnote>
  <w:endnote w:type="continuationSeparator" w:id="0">
    <w:p w14:paraId="18C6D9A3" w14:textId="77777777" w:rsidR="00602917" w:rsidRDefault="00602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4A34D2" w:rsidRDefault="004A34D2" w:rsidP="007B0854">
    <w:pPr>
      <w:pStyle w:val="Sinespaciado"/>
      <w:jc w:val="center"/>
      <w:rPr>
        <w:rFonts w:ascii="Arial" w:hAnsi="Arial" w:cs="Arial"/>
        <w:sz w:val="18"/>
        <w:szCs w:val="18"/>
      </w:rPr>
    </w:pPr>
  </w:p>
  <w:p w14:paraId="312C4A14" w14:textId="1CC17C36"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9047C5" w:rsidRDefault="007B0854" w:rsidP="007B0854">
    <w:pPr>
      <w:pStyle w:val="Piedepgina"/>
      <w:jc w:val="center"/>
      <w:rPr>
        <w:lang w:val="es-ES"/>
      </w:rPr>
    </w:pPr>
    <w:r>
      <w:rPr>
        <w:noProof/>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F23C3" w14:textId="77777777" w:rsidR="00602917" w:rsidRDefault="00602917">
      <w:r>
        <w:separator/>
      </w:r>
    </w:p>
  </w:footnote>
  <w:footnote w:type="continuationSeparator" w:id="0">
    <w:p w14:paraId="5E6AD0E2" w14:textId="77777777" w:rsidR="00602917" w:rsidRDefault="00602917">
      <w:r>
        <w:continuationSeparator/>
      </w:r>
    </w:p>
  </w:footnote>
  <w:footnote w:id="1">
    <w:p w14:paraId="4C17A218" w14:textId="42752A56" w:rsidR="005F0F4B" w:rsidRPr="00C47529" w:rsidRDefault="005F0F4B">
      <w:pPr>
        <w:pStyle w:val="Textonotapie"/>
        <w:rPr>
          <w:rFonts w:ascii="Arial" w:hAnsi="Arial" w:cs="Arial"/>
          <w:sz w:val="19"/>
          <w:szCs w:val="19"/>
        </w:rPr>
      </w:pPr>
      <w:r w:rsidRPr="00C47529">
        <w:rPr>
          <w:rStyle w:val="Refdenotaalpie"/>
          <w:rFonts w:ascii="Arial" w:hAnsi="Arial" w:cs="Arial"/>
          <w:sz w:val="19"/>
          <w:szCs w:val="19"/>
        </w:rPr>
        <w:footnoteRef/>
      </w:r>
      <w:r w:rsidRPr="00C47529">
        <w:rPr>
          <w:rFonts w:ascii="Arial" w:hAnsi="Arial" w:cs="Arial"/>
          <w:sz w:val="19"/>
          <w:szCs w:val="19"/>
        </w:rPr>
        <w:t xml:space="preserve"> Las fuentes clásicas de las obligaciones, según se encuentran en el Código Civil </w:t>
      </w:r>
      <w:r w:rsidR="00277C72" w:rsidRPr="00C47529">
        <w:rPr>
          <w:rFonts w:ascii="Arial" w:hAnsi="Arial" w:cs="Arial"/>
          <w:sz w:val="19"/>
          <w:szCs w:val="19"/>
        </w:rPr>
        <w:t xml:space="preserve">(artículos 1494 y 2302) </w:t>
      </w:r>
      <w:r w:rsidRPr="00C47529">
        <w:rPr>
          <w:rFonts w:ascii="Arial" w:hAnsi="Arial" w:cs="Arial"/>
          <w:sz w:val="19"/>
          <w:szCs w:val="19"/>
        </w:rPr>
        <w:t>son</w:t>
      </w:r>
      <w:r w:rsidR="00D27FB5" w:rsidRPr="00C47529">
        <w:rPr>
          <w:rFonts w:ascii="Arial" w:hAnsi="Arial" w:cs="Arial"/>
          <w:sz w:val="19"/>
          <w:szCs w:val="19"/>
        </w:rPr>
        <w:t>:</w:t>
      </w:r>
      <w:r w:rsidRPr="00C47529">
        <w:rPr>
          <w:rFonts w:ascii="Arial" w:hAnsi="Arial" w:cs="Arial"/>
          <w:sz w:val="19"/>
          <w:szCs w:val="19"/>
        </w:rPr>
        <w:t xml:space="preserve"> la ley, el contrato, el cuasicontrato, el delito y el cuasidelito. Sin embargo, distintas corrientes doctrinarias han hecho clasificaciones diferentes, con el propósito de facilitar su estudio. Para los efectos del presente documento no nos detendremos en las distintas clasificaciones, pero asumiremos, como se ha dicho, que las obligaciones a las que hace referencia la consulta han surgido de una fuente reconocida por nuestro sistema y conservan su exigibilidad y validez.</w:t>
      </w:r>
    </w:p>
  </w:footnote>
  <w:footnote w:id="2">
    <w:p w14:paraId="40AC500E" w14:textId="72D02023" w:rsidR="005A2EE6" w:rsidRPr="005A2EE6" w:rsidRDefault="005A2EE6">
      <w:pPr>
        <w:pStyle w:val="Textonotapie"/>
      </w:pPr>
      <w:r w:rsidRPr="00C47529">
        <w:rPr>
          <w:rStyle w:val="Refdenotaalpie"/>
          <w:rFonts w:ascii="Arial" w:hAnsi="Arial" w:cs="Arial"/>
          <w:sz w:val="19"/>
          <w:szCs w:val="19"/>
        </w:rPr>
        <w:footnoteRef/>
      </w:r>
      <w:r w:rsidRPr="00C47529">
        <w:rPr>
          <w:rFonts w:ascii="Arial" w:hAnsi="Arial" w:cs="Arial"/>
          <w:sz w:val="19"/>
          <w:szCs w:val="19"/>
        </w:rPr>
        <w:t xml:space="preserve"> José Armando Bonivento Jiménez, en su obra “Obligaciones” luego de referir la noción de pago a lo señalado por el artículo 1626 del Código Civil resumida en </w:t>
      </w:r>
      <w:r w:rsidRPr="00C47529">
        <w:rPr>
          <w:rFonts w:ascii="Arial" w:hAnsi="Arial" w:cs="Arial"/>
          <w:i/>
          <w:iCs/>
          <w:sz w:val="19"/>
          <w:szCs w:val="19"/>
        </w:rPr>
        <w:t xml:space="preserve">la prestación de lo que se debe, </w:t>
      </w:r>
      <w:r w:rsidRPr="00C47529">
        <w:rPr>
          <w:rFonts w:ascii="Arial" w:hAnsi="Arial" w:cs="Arial"/>
          <w:sz w:val="19"/>
          <w:szCs w:val="19"/>
        </w:rPr>
        <w:t xml:space="preserve">resalta que este modo de extinción de las obligaciones es la “forma natural de realización del antiguo adagio según el cual </w:t>
      </w:r>
      <w:r w:rsidRPr="00C47529">
        <w:rPr>
          <w:rFonts w:ascii="Arial" w:hAnsi="Arial" w:cs="Arial"/>
          <w:i/>
          <w:iCs/>
          <w:sz w:val="19"/>
          <w:szCs w:val="19"/>
        </w:rPr>
        <w:t>las obligaciones nacen para cumplirse,</w:t>
      </w:r>
      <w:r w:rsidRPr="00C47529">
        <w:rPr>
          <w:rFonts w:ascii="Arial" w:hAnsi="Arial" w:cs="Arial"/>
          <w:sz w:val="19"/>
          <w:szCs w:val="19"/>
        </w:rPr>
        <w:t xml:space="preserve"> con lo que comportad desde la óptica de satisfacción del derecho personal de que es titular el acreedor, y de liberación de la responsabilidad radicada en cabeza del deudor”.</w:t>
      </w:r>
      <w:r w:rsidRPr="00C47529">
        <w:rPr>
          <w:rFonts w:ascii="Arial" w:hAnsi="Arial" w:cs="Arial"/>
          <w:i/>
          <w:iCs/>
          <w:sz w:val="19"/>
          <w:szCs w:val="19"/>
        </w:rPr>
        <w:t xml:space="preserve"> </w:t>
      </w:r>
      <w:r w:rsidRPr="00C47529">
        <w:rPr>
          <w:rFonts w:ascii="Arial" w:hAnsi="Arial" w:cs="Arial"/>
          <w:sz w:val="19"/>
          <w:szCs w:val="19"/>
        </w:rPr>
        <w:t>BONIVENTO Jiménez, José Armando, Obligaciones, 1ª edición Ed. Legis, pág 415.</w:t>
      </w:r>
    </w:p>
  </w:footnote>
  <w:footnote w:id="3">
    <w:p w14:paraId="47BCFEFE" w14:textId="7624ACDF" w:rsidR="00D16C8B" w:rsidRPr="00C47529" w:rsidRDefault="00D16C8B">
      <w:pPr>
        <w:pStyle w:val="Textonotapie"/>
        <w:rPr>
          <w:rFonts w:ascii="Arial" w:hAnsi="Arial" w:cs="Arial"/>
          <w:sz w:val="19"/>
          <w:szCs w:val="19"/>
        </w:rPr>
      </w:pPr>
      <w:r w:rsidRPr="00C47529">
        <w:rPr>
          <w:rStyle w:val="Refdenotaalpie"/>
          <w:rFonts w:ascii="Arial" w:hAnsi="Arial" w:cs="Arial"/>
          <w:sz w:val="19"/>
          <w:szCs w:val="19"/>
        </w:rPr>
        <w:footnoteRef/>
      </w:r>
      <w:r w:rsidRPr="00C47529">
        <w:rPr>
          <w:rFonts w:ascii="Arial" w:hAnsi="Arial" w:cs="Arial"/>
          <w:sz w:val="19"/>
          <w:szCs w:val="19"/>
        </w:rPr>
        <w:t xml:space="preserve"> Corte Suprema de Justicia, Sala Civil, Exp 110013103037-1998-00058-01 MP Carlos Ignacio Jaramillo</w:t>
      </w:r>
      <w:r w:rsidR="004262C6" w:rsidRPr="00C47529">
        <w:rPr>
          <w:rFonts w:ascii="Arial" w:hAnsi="Arial" w:cs="Arial"/>
          <w:sz w:val="19"/>
          <w:szCs w:val="19"/>
        </w:rPr>
        <w:t>.</w:t>
      </w:r>
      <w:r w:rsidR="001D5DC4" w:rsidRPr="00C47529">
        <w:rPr>
          <w:rFonts w:ascii="Arial" w:hAnsi="Arial" w:cs="Arial"/>
          <w:sz w:val="19"/>
          <w:szCs w:val="19"/>
        </w:rPr>
        <w:t xml:space="preserve"> 6 de julio de 2007.</w:t>
      </w:r>
      <w:r w:rsidR="004262C6" w:rsidRPr="00C47529">
        <w:rPr>
          <w:rFonts w:ascii="Arial" w:hAnsi="Arial" w:cs="Arial"/>
          <w:sz w:val="19"/>
          <w:szCs w:val="19"/>
        </w:rPr>
        <w:t xml:space="preserve"> </w:t>
      </w:r>
    </w:p>
  </w:footnote>
  <w:footnote w:id="4">
    <w:p w14:paraId="0422B1EB" w14:textId="37DDA78F" w:rsidR="0010561C" w:rsidRPr="0010561C" w:rsidRDefault="0010561C">
      <w:pPr>
        <w:pStyle w:val="Textonotapie"/>
      </w:pPr>
      <w:r w:rsidRPr="00C47529">
        <w:rPr>
          <w:rStyle w:val="Refdenotaalpie"/>
          <w:rFonts w:ascii="Arial" w:hAnsi="Arial" w:cs="Arial"/>
          <w:sz w:val="19"/>
          <w:szCs w:val="19"/>
        </w:rPr>
        <w:footnoteRef/>
      </w:r>
      <w:r w:rsidRPr="00C47529">
        <w:rPr>
          <w:rFonts w:ascii="Arial" w:hAnsi="Arial" w:cs="Arial"/>
          <w:sz w:val="19"/>
          <w:szCs w:val="19"/>
        </w:rPr>
        <w:t xml:space="preserve"> HINESTROSA, Fernando, Tratado de las Obligaciones, Tomo 1, 3ª edición, Universidad Externado de Colombia, pág. 708</w:t>
      </w:r>
    </w:p>
  </w:footnote>
  <w:footnote w:id="5">
    <w:p w14:paraId="23E9DAC2" w14:textId="29C80AB7" w:rsidR="00F6125B" w:rsidRPr="00C47529" w:rsidRDefault="00F6125B">
      <w:pPr>
        <w:pStyle w:val="Textonotapie"/>
        <w:rPr>
          <w:rFonts w:ascii="Arial" w:hAnsi="Arial" w:cs="Arial"/>
          <w:sz w:val="19"/>
          <w:szCs w:val="19"/>
        </w:rPr>
      </w:pPr>
      <w:r w:rsidRPr="00C47529">
        <w:rPr>
          <w:rStyle w:val="Refdenotaalpie"/>
          <w:rFonts w:ascii="Arial" w:hAnsi="Arial" w:cs="Arial"/>
          <w:sz w:val="19"/>
          <w:szCs w:val="19"/>
        </w:rPr>
        <w:footnoteRef/>
      </w:r>
      <w:r w:rsidRPr="00C47529">
        <w:rPr>
          <w:rFonts w:ascii="Arial" w:hAnsi="Arial" w:cs="Arial"/>
          <w:sz w:val="19"/>
          <w:szCs w:val="19"/>
        </w:rPr>
        <w:t xml:space="preserve"> HINESTROSA, Fernando, </w:t>
      </w:r>
      <w:r w:rsidR="0010561C" w:rsidRPr="00C47529">
        <w:rPr>
          <w:rFonts w:ascii="Arial" w:hAnsi="Arial" w:cs="Arial"/>
          <w:sz w:val="19"/>
          <w:szCs w:val="19"/>
        </w:rPr>
        <w:t>Op.Cit.</w:t>
      </w:r>
      <w:r w:rsidRPr="00C47529">
        <w:rPr>
          <w:rFonts w:ascii="Arial" w:hAnsi="Arial" w:cs="Arial"/>
          <w:sz w:val="19"/>
          <w:szCs w:val="19"/>
        </w:rPr>
        <w:t>, pág. 702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4A6"/>
    <w:rsid w:val="000144E5"/>
    <w:rsid w:val="00035947"/>
    <w:rsid w:val="00053BD1"/>
    <w:rsid w:val="000566D5"/>
    <w:rsid w:val="00064536"/>
    <w:rsid w:val="000674F8"/>
    <w:rsid w:val="00070D2F"/>
    <w:rsid w:val="0009373B"/>
    <w:rsid w:val="00093D9C"/>
    <w:rsid w:val="000942EB"/>
    <w:rsid w:val="00094BF7"/>
    <w:rsid w:val="000A1CC8"/>
    <w:rsid w:val="000A372D"/>
    <w:rsid w:val="000B103F"/>
    <w:rsid w:val="000B6A79"/>
    <w:rsid w:val="000C68A5"/>
    <w:rsid w:val="000D2129"/>
    <w:rsid w:val="000F14E8"/>
    <w:rsid w:val="00103915"/>
    <w:rsid w:val="0010561C"/>
    <w:rsid w:val="0010723B"/>
    <w:rsid w:val="00122B23"/>
    <w:rsid w:val="00137FFA"/>
    <w:rsid w:val="00164413"/>
    <w:rsid w:val="00170F96"/>
    <w:rsid w:val="00181558"/>
    <w:rsid w:val="001843AF"/>
    <w:rsid w:val="00190239"/>
    <w:rsid w:val="001A39B9"/>
    <w:rsid w:val="001B2C02"/>
    <w:rsid w:val="001C1F67"/>
    <w:rsid w:val="001C277B"/>
    <w:rsid w:val="001C7805"/>
    <w:rsid w:val="001D5DC4"/>
    <w:rsid w:val="001D7431"/>
    <w:rsid w:val="001E4001"/>
    <w:rsid w:val="001F3CE1"/>
    <w:rsid w:val="001F57B8"/>
    <w:rsid w:val="00213FD0"/>
    <w:rsid w:val="00222C9C"/>
    <w:rsid w:val="002272AE"/>
    <w:rsid w:val="00227C0D"/>
    <w:rsid w:val="00234B84"/>
    <w:rsid w:val="00236F9E"/>
    <w:rsid w:val="0024061D"/>
    <w:rsid w:val="00242EEE"/>
    <w:rsid w:val="0025766F"/>
    <w:rsid w:val="0026002B"/>
    <w:rsid w:val="00271E83"/>
    <w:rsid w:val="00277C72"/>
    <w:rsid w:val="00284507"/>
    <w:rsid w:val="0028582C"/>
    <w:rsid w:val="002B4DEE"/>
    <w:rsid w:val="002F38A2"/>
    <w:rsid w:val="00302727"/>
    <w:rsid w:val="003033BA"/>
    <w:rsid w:val="0031098D"/>
    <w:rsid w:val="00322BEC"/>
    <w:rsid w:val="003256C7"/>
    <w:rsid w:val="0034680A"/>
    <w:rsid w:val="0035702B"/>
    <w:rsid w:val="00360396"/>
    <w:rsid w:val="00386456"/>
    <w:rsid w:val="003965D4"/>
    <w:rsid w:val="003A581E"/>
    <w:rsid w:val="003B232C"/>
    <w:rsid w:val="003B29CE"/>
    <w:rsid w:val="003D50E7"/>
    <w:rsid w:val="003D7C1B"/>
    <w:rsid w:val="003D7D75"/>
    <w:rsid w:val="003F4437"/>
    <w:rsid w:val="003F7CB2"/>
    <w:rsid w:val="003F7F46"/>
    <w:rsid w:val="00402977"/>
    <w:rsid w:val="0040629B"/>
    <w:rsid w:val="004262C6"/>
    <w:rsid w:val="00433A49"/>
    <w:rsid w:val="00434F2B"/>
    <w:rsid w:val="004422D6"/>
    <w:rsid w:val="00446A7E"/>
    <w:rsid w:val="00462E2A"/>
    <w:rsid w:val="004675C0"/>
    <w:rsid w:val="004758C7"/>
    <w:rsid w:val="004939D7"/>
    <w:rsid w:val="00493B85"/>
    <w:rsid w:val="004A3202"/>
    <w:rsid w:val="004A34D2"/>
    <w:rsid w:val="004A7C6D"/>
    <w:rsid w:val="004B2F25"/>
    <w:rsid w:val="004D2B1C"/>
    <w:rsid w:val="004D7B70"/>
    <w:rsid w:val="004E16D0"/>
    <w:rsid w:val="004F043A"/>
    <w:rsid w:val="004F3956"/>
    <w:rsid w:val="004F41BB"/>
    <w:rsid w:val="00504F14"/>
    <w:rsid w:val="00505B4E"/>
    <w:rsid w:val="0051074C"/>
    <w:rsid w:val="00512D69"/>
    <w:rsid w:val="00513AF2"/>
    <w:rsid w:val="00522CDE"/>
    <w:rsid w:val="0052405C"/>
    <w:rsid w:val="005335DD"/>
    <w:rsid w:val="0054413A"/>
    <w:rsid w:val="00545CAB"/>
    <w:rsid w:val="00551089"/>
    <w:rsid w:val="005545AB"/>
    <w:rsid w:val="005564CA"/>
    <w:rsid w:val="00584CCF"/>
    <w:rsid w:val="00593CA2"/>
    <w:rsid w:val="005967A7"/>
    <w:rsid w:val="005A0519"/>
    <w:rsid w:val="005A2EE6"/>
    <w:rsid w:val="005A79FE"/>
    <w:rsid w:val="005B2680"/>
    <w:rsid w:val="005B6F7B"/>
    <w:rsid w:val="005D2EB6"/>
    <w:rsid w:val="005E79E7"/>
    <w:rsid w:val="005F0F4B"/>
    <w:rsid w:val="005F47B5"/>
    <w:rsid w:val="00602917"/>
    <w:rsid w:val="00614BF0"/>
    <w:rsid w:val="00633D5F"/>
    <w:rsid w:val="00634837"/>
    <w:rsid w:val="00635666"/>
    <w:rsid w:val="0065300E"/>
    <w:rsid w:val="00655371"/>
    <w:rsid w:val="00661B24"/>
    <w:rsid w:val="00671E4D"/>
    <w:rsid w:val="00673CB2"/>
    <w:rsid w:val="00697665"/>
    <w:rsid w:val="006A0F8C"/>
    <w:rsid w:val="006A7FD0"/>
    <w:rsid w:val="006B7C1A"/>
    <w:rsid w:val="006C1769"/>
    <w:rsid w:val="006D0CBE"/>
    <w:rsid w:val="006D5DE4"/>
    <w:rsid w:val="006D7687"/>
    <w:rsid w:val="006E0572"/>
    <w:rsid w:val="006E2DF6"/>
    <w:rsid w:val="006F3541"/>
    <w:rsid w:val="006F4275"/>
    <w:rsid w:val="00705631"/>
    <w:rsid w:val="00712A66"/>
    <w:rsid w:val="007139AC"/>
    <w:rsid w:val="00714BC1"/>
    <w:rsid w:val="00717D61"/>
    <w:rsid w:val="0072423F"/>
    <w:rsid w:val="007255C6"/>
    <w:rsid w:val="00742DD2"/>
    <w:rsid w:val="0075647A"/>
    <w:rsid w:val="00756C8F"/>
    <w:rsid w:val="007634AD"/>
    <w:rsid w:val="007708A5"/>
    <w:rsid w:val="00777D90"/>
    <w:rsid w:val="0078122E"/>
    <w:rsid w:val="00791FD8"/>
    <w:rsid w:val="007B0854"/>
    <w:rsid w:val="007E048C"/>
    <w:rsid w:val="007E5A5C"/>
    <w:rsid w:val="007F3468"/>
    <w:rsid w:val="007F415E"/>
    <w:rsid w:val="007F4622"/>
    <w:rsid w:val="007F5B7F"/>
    <w:rsid w:val="007F72CB"/>
    <w:rsid w:val="00800941"/>
    <w:rsid w:val="008038AF"/>
    <w:rsid w:val="0080772D"/>
    <w:rsid w:val="00812146"/>
    <w:rsid w:val="008142A2"/>
    <w:rsid w:val="008148E7"/>
    <w:rsid w:val="00820D29"/>
    <w:rsid w:val="0083119B"/>
    <w:rsid w:val="00836EAB"/>
    <w:rsid w:val="0085092D"/>
    <w:rsid w:val="00863D39"/>
    <w:rsid w:val="00867290"/>
    <w:rsid w:val="0087015F"/>
    <w:rsid w:val="00884A4C"/>
    <w:rsid w:val="00897949"/>
    <w:rsid w:val="008B2DE3"/>
    <w:rsid w:val="008B3272"/>
    <w:rsid w:val="008C1047"/>
    <w:rsid w:val="008C3849"/>
    <w:rsid w:val="008D6ABA"/>
    <w:rsid w:val="008E0CB0"/>
    <w:rsid w:val="008E1C15"/>
    <w:rsid w:val="008E61E9"/>
    <w:rsid w:val="008F3278"/>
    <w:rsid w:val="008F6349"/>
    <w:rsid w:val="009047C5"/>
    <w:rsid w:val="009071A4"/>
    <w:rsid w:val="00927873"/>
    <w:rsid w:val="009328CF"/>
    <w:rsid w:val="0095385A"/>
    <w:rsid w:val="00953860"/>
    <w:rsid w:val="00962B65"/>
    <w:rsid w:val="00975B34"/>
    <w:rsid w:val="00977904"/>
    <w:rsid w:val="00990A0E"/>
    <w:rsid w:val="00991CB6"/>
    <w:rsid w:val="009A1C9D"/>
    <w:rsid w:val="009B3CE8"/>
    <w:rsid w:val="009B556F"/>
    <w:rsid w:val="009E71DF"/>
    <w:rsid w:val="009F237E"/>
    <w:rsid w:val="009F4AEA"/>
    <w:rsid w:val="009F5050"/>
    <w:rsid w:val="00A11903"/>
    <w:rsid w:val="00A156CA"/>
    <w:rsid w:val="00A22D0B"/>
    <w:rsid w:val="00A24560"/>
    <w:rsid w:val="00A32FC3"/>
    <w:rsid w:val="00A34538"/>
    <w:rsid w:val="00A456B3"/>
    <w:rsid w:val="00A507EF"/>
    <w:rsid w:val="00A63252"/>
    <w:rsid w:val="00A800A5"/>
    <w:rsid w:val="00AA007B"/>
    <w:rsid w:val="00AA3BB0"/>
    <w:rsid w:val="00AA442B"/>
    <w:rsid w:val="00AA5DED"/>
    <w:rsid w:val="00AB114E"/>
    <w:rsid w:val="00AB7F18"/>
    <w:rsid w:val="00AC3F07"/>
    <w:rsid w:val="00AD073E"/>
    <w:rsid w:val="00B0495A"/>
    <w:rsid w:val="00B22E22"/>
    <w:rsid w:val="00B426BC"/>
    <w:rsid w:val="00B520C3"/>
    <w:rsid w:val="00B525CB"/>
    <w:rsid w:val="00B54F82"/>
    <w:rsid w:val="00B63CB2"/>
    <w:rsid w:val="00B67549"/>
    <w:rsid w:val="00B76E61"/>
    <w:rsid w:val="00BA2474"/>
    <w:rsid w:val="00BB3FB3"/>
    <w:rsid w:val="00BC1ADF"/>
    <w:rsid w:val="00BC5C10"/>
    <w:rsid w:val="00BD3436"/>
    <w:rsid w:val="00BD78FE"/>
    <w:rsid w:val="00BE0F65"/>
    <w:rsid w:val="00C01F43"/>
    <w:rsid w:val="00C07312"/>
    <w:rsid w:val="00C22098"/>
    <w:rsid w:val="00C33FC7"/>
    <w:rsid w:val="00C47529"/>
    <w:rsid w:val="00C57493"/>
    <w:rsid w:val="00C62BE7"/>
    <w:rsid w:val="00C642A3"/>
    <w:rsid w:val="00C91E69"/>
    <w:rsid w:val="00C92E9D"/>
    <w:rsid w:val="00C937DD"/>
    <w:rsid w:val="00CA287E"/>
    <w:rsid w:val="00CA3027"/>
    <w:rsid w:val="00CB1793"/>
    <w:rsid w:val="00CC00CD"/>
    <w:rsid w:val="00CD5972"/>
    <w:rsid w:val="00CD69EE"/>
    <w:rsid w:val="00CE0A72"/>
    <w:rsid w:val="00CF19A5"/>
    <w:rsid w:val="00CF78FB"/>
    <w:rsid w:val="00D059DA"/>
    <w:rsid w:val="00D16C8B"/>
    <w:rsid w:val="00D16E39"/>
    <w:rsid w:val="00D27FB5"/>
    <w:rsid w:val="00D41448"/>
    <w:rsid w:val="00D50CCB"/>
    <w:rsid w:val="00D72E9D"/>
    <w:rsid w:val="00D7491B"/>
    <w:rsid w:val="00D75AA9"/>
    <w:rsid w:val="00D82CE5"/>
    <w:rsid w:val="00DA5AB1"/>
    <w:rsid w:val="00DC62E5"/>
    <w:rsid w:val="00DD407B"/>
    <w:rsid w:val="00DD735D"/>
    <w:rsid w:val="00DE3119"/>
    <w:rsid w:val="00DE4F5C"/>
    <w:rsid w:val="00DE609B"/>
    <w:rsid w:val="00DF09A7"/>
    <w:rsid w:val="00DF236B"/>
    <w:rsid w:val="00DF3C3E"/>
    <w:rsid w:val="00DF3F7D"/>
    <w:rsid w:val="00E07D09"/>
    <w:rsid w:val="00E130F5"/>
    <w:rsid w:val="00E13AB8"/>
    <w:rsid w:val="00E26238"/>
    <w:rsid w:val="00E30D43"/>
    <w:rsid w:val="00E33B62"/>
    <w:rsid w:val="00E65326"/>
    <w:rsid w:val="00E67ACF"/>
    <w:rsid w:val="00E71936"/>
    <w:rsid w:val="00E72D0B"/>
    <w:rsid w:val="00E8669A"/>
    <w:rsid w:val="00E86DB7"/>
    <w:rsid w:val="00E97C76"/>
    <w:rsid w:val="00EA2DF7"/>
    <w:rsid w:val="00EB26B1"/>
    <w:rsid w:val="00EC3486"/>
    <w:rsid w:val="00EC59B6"/>
    <w:rsid w:val="00EE1040"/>
    <w:rsid w:val="00F448DD"/>
    <w:rsid w:val="00F6125B"/>
    <w:rsid w:val="00F6565A"/>
    <w:rsid w:val="00F724B0"/>
    <w:rsid w:val="00F74711"/>
    <w:rsid w:val="00F84899"/>
    <w:rsid w:val="00F859F0"/>
    <w:rsid w:val="00F96956"/>
    <w:rsid w:val="00FC29DB"/>
    <w:rsid w:val="00FC50AC"/>
    <w:rsid w:val="00FC6952"/>
    <w:rsid w:val="00FE141E"/>
    <w:rsid w:val="00FF0D3C"/>
    <w:rsid w:val="00FF2EC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paragraph" w:customStyle="1" w:styleId="ft1">
    <w:name w:val="ft1"/>
    <w:basedOn w:val="Normal"/>
    <w:next w:val="Textonotapie"/>
    <w:unhideWhenUsed/>
    <w:qFormat/>
    <w:rsid w:val="0010723B"/>
    <w:rPr>
      <w:sz w:val="20"/>
      <w:szCs w:val="20"/>
    </w:rPr>
  </w:style>
  <w:style w:type="character" w:customStyle="1" w:styleId="normaltextrun">
    <w:name w:val="normaltextrun"/>
    <w:basedOn w:val="Fuentedeprrafopredeter"/>
    <w:rsid w:val="00236F9E"/>
  </w:style>
  <w:style w:type="character" w:customStyle="1" w:styleId="eop">
    <w:name w:val="eop"/>
    <w:basedOn w:val="Fuentedeprrafopredeter"/>
    <w:rsid w:val="00236F9E"/>
  </w:style>
  <w:style w:type="table" w:customStyle="1" w:styleId="Tablaconcuadrcula1">
    <w:name w:val="Tabla con cuadrícula1"/>
    <w:basedOn w:val="Tablanormal"/>
    <w:next w:val="Tablaconcuadrcula"/>
    <w:uiPriority w:val="59"/>
    <w:rsid w:val="00953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E67ACF"/>
    <w:rPr>
      <w:b/>
      <w:bCs/>
    </w:rPr>
  </w:style>
  <w:style w:type="character" w:styleId="nfasis">
    <w:name w:val="Emphasis"/>
    <w:basedOn w:val="Fuentedeprrafopredeter"/>
    <w:uiPriority w:val="20"/>
    <w:qFormat/>
    <w:rsid w:val="00E67ACF"/>
    <w:rPr>
      <w:i/>
      <w:iCs/>
    </w:rPr>
  </w:style>
  <w:style w:type="character" w:styleId="Mencinsinresolver">
    <w:name w:val="Unresolved Mention"/>
    <w:basedOn w:val="Fuentedeprrafopredeter"/>
    <w:uiPriority w:val="99"/>
    <w:semiHidden/>
    <w:unhideWhenUsed/>
    <w:rsid w:val="000C68A5"/>
    <w:rPr>
      <w:color w:val="605E5C"/>
      <w:shd w:val="clear" w:color="auto" w:fill="E1DFDD"/>
    </w:rPr>
  </w:style>
  <w:style w:type="character" w:styleId="Hipervnculovisitado">
    <w:name w:val="FollowedHyperlink"/>
    <w:basedOn w:val="Fuentedeprrafopredeter"/>
    <w:uiPriority w:val="99"/>
    <w:semiHidden/>
    <w:unhideWhenUsed/>
    <w:rsid w:val="008148E7"/>
    <w:rPr>
      <w:color w:val="F2F2F2" w:themeColor="followedHyperlink"/>
      <w:u w:val="single"/>
    </w:rPr>
  </w:style>
  <w:style w:type="table" w:customStyle="1" w:styleId="Tablaconcuadrcula11">
    <w:name w:val="Tabla con cuadrícula11"/>
    <w:basedOn w:val="Tablanormal"/>
    <w:next w:val="Tablaconcuadrcula"/>
    <w:uiPriority w:val="59"/>
    <w:rsid w:val="004E16D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7074">
      <w:bodyDiv w:val="1"/>
      <w:marLeft w:val="0"/>
      <w:marRight w:val="0"/>
      <w:marTop w:val="0"/>
      <w:marBottom w:val="0"/>
      <w:divBdr>
        <w:top w:val="none" w:sz="0" w:space="0" w:color="auto"/>
        <w:left w:val="none" w:sz="0" w:space="0" w:color="auto"/>
        <w:bottom w:val="none" w:sz="0" w:space="0" w:color="auto"/>
        <w:right w:val="none" w:sz="0" w:space="0" w:color="auto"/>
      </w:divBdr>
      <w:divsChild>
        <w:div w:id="123041043">
          <w:marLeft w:val="0"/>
          <w:marRight w:val="0"/>
          <w:marTop w:val="0"/>
          <w:marBottom w:val="0"/>
          <w:divBdr>
            <w:top w:val="none" w:sz="0" w:space="0" w:color="auto"/>
            <w:left w:val="none" w:sz="0" w:space="0" w:color="auto"/>
            <w:bottom w:val="none" w:sz="0" w:space="0" w:color="auto"/>
            <w:right w:val="none" w:sz="0" w:space="0" w:color="auto"/>
          </w:divBdr>
        </w:div>
        <w:div w:id="91973879">
          <w:marLeft w:val="0"/>
          <w:marRight w:val="0"/>
          <w:marTop w:val="0"/>
          <w:marBottom w:val="0"/>
          <w:divBdr>
            <w:top w:val="none" w:sz="0" w:space="0" w:color="auto"/>
            <w:left w:val="none" w:sz="0" w:space="0" w:color="auto"/>
            <w:bottom w:val="none" w:sz="0" w:space="0" w:color="auto"/>
            <w:right w:val="none" w:sz="0" w:space="0" w:color="auto"/>
          </w:divBdr>
        </w:div>
      </w:divsChild>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585992418">
      <w:bodyDiv w:val="1"/>
      <w:marLeft w:val="0"/>
      <w:marRight w:val="0"/>
      <w:marTop w:val="0"/>
      <w:marBottom w:val="0"/>
      <w:divBdr>
        <w:top w:val="none" w:sz="0" w:space="0" w:color="auto"/>
        <w:left w:val="none" w:sz="0" w:space="0" w:color="auto"/>
        <w:bottom w:val="none" w:sz="0" w:space="0" w:color="auto"/>
        <w:right w:val="none" w:sz="0" w:space="0" w:color="auto"/>
      </w:divBdr>
      <w:divsChild>
        <w:div w:id="1627198434">
          <w:marLeft w:val="0"/>
          <w:marRight w:val="0"/>
          <w:marTop w:val="0"/>
          <w:marBottom w:val="0"/>
          <w:divBdr>
            <w:top w:val="none" w:sz="0" w:space="0" w:color="auto"/>
            <w:left w:val="none" w:sz="0" w:space="0" w:color="auto"/>
            <w:bottom w:val="none" w:sz="0" w:space="0" w:color="auto"/>
            <w:right w:val="none" w:sz="0" w:space="0" w:color="auto"/>
          </w:divBdr>
        </w:div>
        <w:div w:id="1324774407">
          <w:marLeft w:val="0"/>
          <w:marRight w:val="0"/>
          <w:marTop w:val="0"/>
          <w:marBottom w:val="0"/>
          <w:divBdr>
            <w:top w:val="none" w:sz="0" w:space="0" w:color="auto"/>
            <w:left w:val="none" w:sz="0" w:space="0" w:color="auto"/>
            <w:bottom w:val="none" w:sz="0" w:space="0" w:color="auto"/>
            <w:right w:val="none" w:sz="0" w:space="0" w:color="auto"/>
          </w:divBdr>
        </w:div>
        <w:div w:id="1848130727">
          <w:marLeft w:val="0"/>
          <w:marRight w:val="0"/>
          <w:marTop w:val="0"/>
          <w:marBottom w:val="0"/>
          <w:divBdr>
            <w:top w:val="none" w:sz="0" w:space="0" w:color="auto"/>
            <w:left w:val="none" w:sz="0" w:space="0" w:color="auto"/>
            <w:bottom w:val="none" w:sz="0" w:space="0" w:color="auto"/>
            <w:right w:val="none" w:sz="0" w:space="0" w:color="auto"/>
          </w:divBdr>
        </w:div>
      </w:divsChild>
    </w:div>
    <w:div w:id="202952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ustomXml" Target="../customXml/item6.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Tipo Documental" ma:contentTypeID="0x0101007045E28AA3084979BF2513D1CFD6D4F50086C83865E0D7C74B8532A9336F313947" ma:contentTypeVersion="2" ma:contentTypeDescription="Tipo de contenido asociado a la lista de Tipos de Documentos / Plantillas de Documentos" ma:contentTypeScope="" ma:versionID="735a450d3b9e6a6505cfa7645587d2fa">
  <xsd:schema xmlns:xsd="http://www.w3.org/2001/XMLSchema" xmlns:xs="http://www.w3.org/2001/XMLSchema" xmlns:p="http://schemas.microsoft.com/office/2006/metadata/properties" xmlns:ns2="b18a110d-c4ac-4c11-a41b-6e6a659cb70f" xmlns:ns3="aae88665-0b56-4ff3-bd36-5f8213d73777" targetNamespace="http://schemas.microsoft.com/office/2006/metadata/properties" ma:root="true" ma:fieldsID="0eea638d4095bbf8d4ed9022f2868ddc" ns2:_="" ns3:_="">
    <xsd:import namespace="b18a110d-c4ac-4c11-a41b-6e6a659cb70f"/>
    <xsd:import namespace="aae88665-0b56-4ff3-bd36-5f8213d73777"/>
    <xsd:element name="properties">
      <xsd:complexType>
        <xsd:sequence>
          <xsd:element name="documentManagement">
            <xsd:complexType>
              <xsd:all>
                <xsd:element ref="ns2:_dlc_DocId" minOccurs="0"/>
                <xsd:element ref="ns2:_dlc_DocIdUrl" minOccurs="0"/>
                <xsd:element ref="ns2:_dlc_DocIdPersistId" minOccurs="0"/>
                <xsd:element ref="ns3:Code" minOccurs="0"/>
                <xsd:element ref="ns3:TemplateVersion" minOccurs="0"/>
                <xsd:element ref="ns3:TemplateCreationDate"/>
                <xsd:element ref="ns3:HasTemplateAssociated" minOccurs="0"/>
                <xsd:element ref="ns3:CCAM_Es_Requeri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a110d-c4ac-4c11-a41b-6e6a659cb70f"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ae88665-0b56-4ff3-bd36-5f8213d73777" elementFormDefault="qualified">
    <xsd:import namespace="http://schemas.microsoft.com/office/2006/documentManagement/types"/>
    <xsd:import namespace="http://schemas.microsoft.com/office/infopath/2007/PartnerControls"/>
    <xsd:element name="Code" ma:index="11" nillable="true" ma:displayName="Código" ma:indexed="true" ma:internalName="Code">
      <xsd:simpleType>
        <xsd:restriction base="dms:Text">
          <xsd:maxLength value="10"/>
        </xsd:restriction>
      </xsd:simpleType>
    </xsd:element>
    <xsd:element name="TemplateVersion" ma:index="12" nillable="true" ma:displayName="Versión" ma:internalName="TemplateVersion">
      <xsd:simpleType>
        <xsd:restriction base="dms:Number"/>
      </xsd:simpleType>
    </xsd:element>
    <xsd:element name="TemplateCreationDate" ma:index="13" ma:displayName="Fecha de Creación" ma:format="DateOnly" ma:internalName="TemplateCreationDate">
      <xsd:simpleType>
        <xsd:restriction base="dms:DateTime"/>
      </xsd:simpleType>
    </xsd:element>
    <xsd:element name="HasTemplateAssociated" ma:index="14" nillable="true" ma:displayName="Tiene Archivo Asociado" ma:internalName="HasTemplateAssociated">
      <xsd:simpleType>
        <xsd:restriction base="dms:Boolean"/>
      </xsd:simpleType>
    </xsd:element>
    <xsd:element name="CCAM_Es_Requerido" ma:index="15" nillable="true" ma:displayName="Es Requerido tipo documental" ma:internalName="CCAM_Es_Requerid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2.xml><?xml version="1.0" encoding="utf-8"?>
<ds:datastoreItem xmlns:ds="http://schemas.openxmlformats.org/officeDocument/2006/customXml" ds:itemID="{90E685DA-02DC-4513-BD54-FDDD37964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a110d-c4ac-4c11-a41b-6e6a659cb70f"/>
    <ds:schemaRef ds:uri="aae88665-0b56-4ff3-bd36-5f8213d73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16B43D-B011-4A0A-8A19-CD0E475741D5}"/>
</file>

<file path=customXml/itemProps4.xml><?xml version="1.0" encoding="utf-8"?>
<ds:datastoreItem xmlns:ds="http://schemas.openxmlformats.org/officeDocument/2006/customXml" ds:itemID="{B1596A5D-3809-3942-BE96-C2799F717FC8}">
  <ds:schemaRefs>
    <ds:schemaRef ds:uri="http://schemas.openxmlformats.org/officeDocument/2006/bibliography"/>
  </ds:schemaRefs>
</ds:datastoreItem>
</file>

<file path=customXml/itemProps5.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6.xml><?xml version="1.0" encoding="utf-8"?>
<ds:datastoreItem xmlns:ds="http://schemas.openxmlformats.org/officeDocument/2006/customXml" ds:itemID="{F93DD2BB-511E-4195-AF26-3D6B383E6E59}"/>
</file>

<file path=docProps/app.xml><?xml version="1.0" encoding="utf-8"?>
<Properties xmlns="http://schemas.openxmlformats.org/officeDocument/2006/extended-properties" xmlns:vt="http://schemas.openxmlformats.org/officeDocument/2006/docPropsVTypes">
  <Template>Respuesta a consultas</Template>
  <TotalTime>1</TotalTime>
  <Pages>5</Pages>
  <Words>1764</Words>
  <Characters>9705</Characters>
  <Application>Microsoft Office Word</Application>
  <DocSecurity>4</DocSecurity>
  <Lines>80</Lines>
  <Paragraphs>22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Cindy Natalia Sierra Benítez</cp:lastModifiedBy>
  <cp:revision>2</cp:revision>
  <dcterms:created xsi:type="dcterms:W3CDTF">2020-09-29T20:04:00Z</dcterms:created>
  <dcterms:modified xsi:type="dcterms:W3CDTF">2020-09-29T20:04:00Z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