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0C695E" w14:textId="68D8CCD9" w:rsidR="003661DD" w:rsidRDefault="002411DE" w:rsidP="00193B52">
      <w:pPr>
        <w:jc w:val="right"/>
        <w:rPr>
          <w:rFonts w:ascii="Arial" w:hAnsi="Arial" w:cs="Arial"/>
          <w:b/>
          <w:color w:val="000000" w:themeColor="text1"/>
          <w:sz w:val="16"/>
          <w:szCs w:val="16"/>
          <w:lang w:val="es-ES_tradnl" w:eastAsia="es-ES"/>
        </w:rPr>
      </w:pPr>
      <w:bookmarkStart w:id="0" w:name="_Hlk28946138"/>
      <w:bookmarkStart w:id="1" w:name="_Hlk29548183"/>
      <w:r>
        <w:rPr>
          <w:rFonts w:ascii="Arial" w:hAnsi="Arial" w:cs="Arial"/>
          <w:b/>
          <w:color w:val="000000" w:themeColor="text1"/>
          <w:sz w:val="16"/>
          <w:szCs w:val="16"/>
          <w:lang w:val="es-ES_tradnl" w:eastAsia="es-ES"/>
        </w:rPr>
        <w:t xml:space="preserve"> </w:t>
      </w:r>
      <w:r w:rsidR="00B55C69" w:rsidRPr="00FE1418">
        <w:rPr>
          <w:rFonts w:ascii="Arial" w:hAnsi="Arial" w:cs="Arial"/>
          <w:b/>
          <w:color w:val="000000" w:themeColor="text1"/>
          <w:sz w:val="16"/>
          <w:szCs w:val="16"/>
          <w:lang w:val="es-ES_tradnl" w:eastAsia="es-ES"/>
        </w:rPr>
        <w:t>CCE-DES-FM-17</w:t>
      </w:r>
      <w:bookmarkStart w:id="2" w:name="_Hlk50481752"/>
      <w:bookmarkEnd w:id="0"/>
      <w:bookmarkEnd w:id="1"/>
    </w:p>
    <w:p w14:paraId="60379D49" w14:textId="5099EE68" w:rsidR="00464278" w:rsidRDefault="00464278" w:rsidP="00193B52">
      <w:pPr>
        <w:jc w:val="right"/>
        <w:rPr>
          <w:rFonts w:ascii="Arial" w:hAnsi="Arial" w:cs="Arial"/>
          <w:b/>
          <w:color w:val="000000" w:themeColor="text1"/>
          <w:sz w:val="16"/>
          <w:szCs w:val="16"/>
          <w:lang w:val="es-ES_tradnl" w:eastAsia="es-ES"/>
        </w:rPr>
      </w:pPr>
    </w:p>
    <w:p w14:paraId="52229B83" w14:textId="77777777" w:rsidR="00464278" w:rsidRPr="0066186F" w:rsidRDefault="00464278" w:rsidP="00464278">
      <w:pPr>
        <w:tabs>
          <w:tab w:val="left" w:pos="0"/>
        </w:tabs>
        <w:jc w:val="both"/>
        <w:rPr>
          <w:rFonts w:ascii="Arial" w:eastAsia="Calibri" w:hAnsi="Arial" w:cs="Arial"/>
          <w:b/>
          <w:sz w:val="20"/>
          <w:szCs w:val="20"/>
        </w:rPr>
      </w:pPr>
      <w:r w:rsidRPr="0066186F">
        <w:rPr>
          <w:rFonts w:ascii="Arial" w:eastAsia="Calibri" w:hAnsi="Arial" w:cs="Arial"/>
          <w:b/>
          <w:sz w:val="20"/>
          <w:szCs w:val="20"/>
        </w:rPr>
        <w:t xml:space="preserve">CAPACIDAD RESIDUAL – Cálculo </w:t>
      </w:r>
    </w:p>
    <w:p w14:paraId="14B4E40F" w14:textId="77777777" w:rsidR="00464278" w:rsidRPr="0066186F" w:rsidRDefault="00464278" w:rsidP="00464278">
      <w:pPr>
        <w:tabs>
          <w:tab w:val="left" w:pos="0"/>
        </w:tabs>
        <w:jc w:val="both"/>
        <w:rPr>
          <w:rFonts w:ascii="Arial" w:eastAsia="Calibri" w:hAnsi="Arial" w:cs="Arial"/>
          <w:b/>
          <w:sz w:val="20"/>
          <w:szCs w:val="20"/>
        </w:rPr>
      </w:pPr>
    </w:p>
    <w:p w14:paraId="7A9DC366" w14:textId="57E3C109" w:rsidR="00464278" w:rsidRDefault="00464278" w:rsidP="00464278">
      <w:pPr>
        <w:tabs>
          <w:tab w:val="left" w:pos="0"/>
        </w:tabs>
        <w:jc w:val="both"/>
        <w:rPr>
          <w:rFonts w:ascii="Arial" w:hAnsi="Arial" w:cs="Arial"/>
          <w:sz w:val="20"/>
          <w:szCs w:val="20"/>
        </w:rPr>
      </w:pPr>
      <w:r w:rsidRPr="0066186F">
        <w:rPr>
          <w:rFonts w:ascii="Arial" w:eastAsiaTheme="minorHAnsi" w:hAnsi="Arial" w:cs="Arial"/>
          <w:color w:val="000000" w:themeColor="text1"/>
          <w:sz w:val="20"/>
          <w:szCs w:val="20"/>
          <w:lang w:val="es-MX"/>
        </w:rPr>
        <w:t xml:space="preserve">De acuerdo con la definición establecida en el artículo 2.2.1.1.1.3.1. del Decreto 1082 de 2015, la capacidad residual es la aptitud de los oferentes para cumplir de manera oportuna y a cabalidad el objeto de un contrato de obra, sin que los demás compromisos contractuales que han adquirido </w:t>
      </w:r>
      <w:r w:rsidRPr="00C25DCC">
        <w:rPr>
          <w:rFonts w:ascii="Arial" w:eastAsiaTheme="minorHAnsi" w:hAnsi="Arial" w:cs="Arial"/>
          <w:color w:val="000000" w:themeColor="text1"/>
          <w:sz w:val="20"/>
          <w:szCs w:val="20"/>
          <w:lang w:val="es-MX"/>
        </w:rPr>
        <w:t>afecten su habilidad para cumplir el objeto del contrato que está en proceso de selección. Por su parte, el Consejo de Estado ha definido la capacidad residual como «[…] la diferencia que existe entre el potencial de contratación que se tiene y los compromisos que haya adquirido y que se encuentren en ejecución, para la fecha de presentación de la oferta».En tales términos, la capacidad residual hace referencia a la suficiencia que tiene el proponente para asumir nuevas obligaciones que se derivan del contrato objeto del proceso de contratación, en relación con las obligaciones que ya adquirió frente a otros contratos</w:t>
      </w:r>
      <w:r w:rsidRPr="00C25DCC">
        <w:rPr>
          <w:rFonts w:ascii="Arial" w:hAnsi="Arial" w:cs="Arial"/>
          <w:sz w:val="20"/>
          <w:szCs w:val="20"/>
        </w:rPr>
        <w:t xml:space="preserve">. </w:t>
      </w:r>
    </w:p>
    <w:p w14:paraId="57715A39" w14:textId="329F2263" w:rsidR="00307F1C" w:rsidRDefault="00307F1C" w:rsidP="00464278">
      <w:pPr>
        <w:tabs>
          <w:tab w:val="left" w:pos="0"/>
        </w:tabs>
        <w:jc w:val="both"/>
        <w:rPr>
          <w:rFonts w:ascii="Arial" w:hAnsi="Arial" w:cs="Arial"/>
          <w:sz w:val="20"/>
          <w:szCs w:val="20"/>
        </w:rPr>
      </w:pPr>
    </w:p>
    <w:p w14:paraId="1DF6F61A" w14:textId="71F0FC80" w:rsidR="00307F1C" w:rsidRPr="00307F1C" w:rsidRDefault="00307F1C" w:rsidP="00464278">
      <w:pPr>
        <w:tabs>
          <w:tab w:val="left" w:pos="0"/>
        </w:tabs>
        <w:jc w:val="both"/>
        <w:rPr>
          <w:rFonts w:ascii="Arial" w:hAnsi="Arial" w:cs="Arial"/>
          <w:b/>
          <w:bCs/>
          <w:sz w:val="20"/>
          <w:szCs w:val="20"/>
        </w:rPr>
      </w:pPr>
      <w:r w:rsidRPr="00307F1C">
        <w:rPr>
          <w:rFonts w:ascii="Arial" w:hAnsi="Arial" w:cs="Arial"/>
          <w:b/>
          <w:bCs/>
          <w:sz w:val="20"/>
          <w:szCs w:val="20"/>
        </w:rPr>
        <w:t xml:space="preserve">FECHA DE PRESENTACIÓN – Capacidad Residual </w:t>
      </w:r>
    </w:p>
    <w:p w14:paraId="1A67D27D" w14:textId="71D233CD" w:rsidR="001B7BF3" w:rsidRPr="001B7BF3" w:rsidRDefault="001B7BF3" w:rsidP="001B7BF3">
      <w:pPr>
        <w:widowControl w:val="0"/>
        <w:autoSpaceDE w:val="0"/>
        <w:autoSpaceDN w:val="0"/>
        <w:spacing w:before="120"/>
        <w:jc w:val="both"/>
        <w:rPr>
          <w:rFonts w:ascii="Arial" w:eastAsia="Arial" w:hAnsi="Arial" w:cs="Arial"/>
          <w:sz w:val="20"/>
          <w:szCs w:val="20"/>
        </w:rPr>
      </w:pPr>
      <w:r w:rsidRPr="001B7BF3">
        <w:rPr>
          <w:rFonts w:ascii="Arial" w:eastAsia="Arial" w:hAnsi="Arial" w:cs="Arial"/>
          <w:sz w:val="20"/>
          <w:szCs w:val="20"/>
        </w:rPr>
        <w:t xml:space="preserve">En este contexto, resulta oportuno precisar que, si bien es cierto la entidad estatal es la que debe calcular la capacidad residual de los proponentes, también lo es que estos últimos, como se referenció, tienen la carga de aportar los documentos para acreditar su capacidad residual, </w:t>
      </w:r>
      <w:r w:rsidRPr="001B7BF3">
        <w:rPr>
          <w:rFonts w:ascii="Arial" w:hAnsi="Arial" w:cs="Arial"/>
          <w:sz w:val="20"/>
          <w:szCs w:val="20"/>
        </w:rPr>
        <w:t xml:space="preserve">es necesario tener en cuenta que la información que debe presentarse, deberá corresponder a los datos recolectados a la fecha de presentación de la oferta, toda vez que con base en esta es que se obliga el proponente. </w:t>
      </w:r>
    </w:p>
    <w:p w14:paraId="3C5BF368" w14:textId="79D86424" w:rsidR="00464278" w:rsidRPr="00C25DCC" w:rsidRDefault="00464278" w:rsidP="00193B52">
      <w:pPr>
        <w:jc w:val="right"/>
        <w:rPr>
          <w:rFonts w:ascii="Arial" w:hAnsi="Arial" w:cs="Arial"/>
          <w:b/>
          <w:color w:val="000000" w:themeColor="text1"/>
          <w:sz w:val="20"/>
          <w:szCs w:val="20"/>
          <w:lang w:val="es-ES_tradnl" w:eastAsia="es-ES"/>
        </w:rPr>
      </w:pPr>
    </w:p>
    <w:p w14:paraId="05A0803A" w14:textId="7963D2C9" w:rsidR="00464278" w:rsidRDefault="00464278" w:rsidP="00193B52">
      <w:pPr>
        <w:jc w:val="right"/>
        <w:rPr>
          <w:rFonts w:ascii="Arial" w:hAnsi="Arial" w:cs="Arial"/>
          <w:b/>
          <w:color w:val="000000" w:themeColor="text1"/>
          <w:sz w:val="16"/>
          <w:szCs w:val="16"/>
          <w:lang w:val="es-ES_tradnl" w:eastAsia="es-ES"/>
        </w:rPr>
      </w:pPr>
    </w:p>
    <w:p w14:paraId="059A5F2F" w14:textId="0E4252C9" w:rsidR="00464278" w:rsidRDefault="00464278" w:rsidP="00193B52">
      <w:pPr>
        <w:jc w:val="right"/>
        <w:rPr>
          <w:rFonts w:ascii="Arial" w:hAnsi="Arial" w:cs="Arial"/>
          <w:b/>
          <w:color w:val="000000" w:themeColor="text1"/>
          <w:sz w:val="16"/>
          <w:szCs w:val="16"/>
          <w:lang w:val="es-ES_tradnl" w:eastAsia="es-ES"/>
        </w:rPr>
      </w:pPr>
    </w:p>
    <w:p w14:paraId="216EB227" w14:textId="2EB5406F" w:rsidR="00464278" w:rsidRDefault="00464278" w:rsidP="00193B52">
      <w:pPr>
        <w:jc w:val="right"/>
        <w:rPr>
          <w:rFonts w:ascii="Arial" w:hAnsi="Arial" w:cs="Arial"/>
          <w:b/>
          <w:color w:val="000000" w:themeColor="text1"/>
          <w:sz w:val="16"/>
          <w:szCs w:val="16"/>
          <w:lang w:val="es-ES_tradnl" w:eastAsia="es-ES"/>
        </w:rPr>
      </w:pPr>
    </w:p>
    <w:p w14:paraId="7A75B9FD" w14:textId="116D0CAF" w:rsidR="00464278" w:rsidRDefault="00464278" w:rsidP="00193B52">
      <w:pPr>
        <w:jc w:val="right"/>
        <w:rPr>
          <w:rFonts w:ascii="Arial" w:hAnsi="Arial" w:cs="Arial"/>
          <w:b/>
          <w:color w:val="000000" w:themeColor="text1"/>
          <w:sz w:val="16"/>
          <w:szCs w:val="16"/>
          <w:lang w:val="es-ES_tradnl" w:eastAsia="es-ES"/>
        </w:rPr>
      </w:pPr>
    </w:p>
    <w:p w14:paraId="765EC121" w14:textId="2C23F4F8" w:rsidR="00464278" w:rsidRDefault="00464278" w:rsidP="00193B52">
      <w:pPr>
        <w:jc w:val="right"/>
        <w:rPr>
          <w:rFonts w:ascii="Arial" w:hAnsi="Arial" w:cs="Arial"/>
          <w:b/>
          <w:color w:val="000000" w:themeColor="text1"/>
          <w:sz w:val="16"/>
          <w:szCs w:val="16"/>
          <w:lang w:val="es-ES_tradnl" w:eastAsia="es-ES"/>
        </w:rPr>
      </w:pPr>
    </w:p>
    <w:p w14:paraId="7A7989CF" w14:textId="23A8C17D" w:rsidR="00464278" w:rsidRDefault="00464278" w:rsidP="00193B52">
      <w:pPr>
        <w:jc w:val="right"/>
        <w:rPr>
          <w:rFonts w:ascii="Arial" w:hAnsi="Arial" w:cs="Arial"/>
          <w:b/>
          <w:color w:val="000000" w:themeColor="text1"/>
          <w:sz w:val="16"/>
          <w:szCs w:val="16"/>
          <w:lang w:val="es-ES_tradnl" w:eastAsia="es-ES"/>
        </w:rPr>
      </w:pPr>
    </w:p>
    <w:p w14:paraId="1C13927B" w14:textId="35E749C2" w:rsidR="00464278" w:rsidRDefault="00464278" w:rsidP="00193B52">
      <w:pPr>
        <w:jc w:val="right"/>
        <w:rPr>
          <w:rFonts w:ascii="Arial" w:hAnsi="Arial" w:cs="Arial"/>
          <w:b/>
          <w:color w:val="000000" w:themeColor="text1"/>
          <w:sz w:val="16"/>
          <w:szCs w:val="16"/>
          <w:lang w:val="es-ES_tradnl" w:eastAsia="es-ES"/>
        </w:rPr>
      </w:pPr>
    </w:p>
    <w:p w14:paraId="05055F7D" w14:textId="3A2CE0E1" w:rsidR="00464278" w:rsidRDefault="00464278" w:rsidP="00193B52">
      <w:pPr>
        <w:jc w:val="right"/>
        <w:rPr>
          <w:rFonts w:ascii="Arial" w:hAnsi="Arial" w:cs="Arial"/>
          <w:b/>
          <w:color w:val="000000" w:themeColor="text1"/>
          <w:sz w:val="16"/>
          <w:szCs w:val="16"/>
          <w:lang w:val="es-ES_tradnl" w:eastAsia="es-ES"/>
        </w:rPr>
      </w:pPr>
    </w:p>
    <w:p w14:paraId="66BBE07E" w14:textId="50A029EC" w:rsidR="00464278" w:rsidRDefault="00464278" w:rsidP="00193B52">
      <w:pPr>
        <w:jc w:val="right"/>
        <w:rPr>
          <w:rFonts w:ascii="Arial" w:hAnsi="Arial" w:cs="Arial"/>
          <w:b/>
          <w:color w:val="000000" w:themeColor="text1"/>
          <w:sz w:val="16"/>
          <w:szCs w:val="16"/>
          <w:lang w:val="es-ES_tradnl" w:eastAsia="es-ES"/>
        </w:rPr>
      </w:pPr>
    </w:p>
    <w:p w14:paraId="2B752F02" w14:textId="49992542" w:rsidR="00464278" w:rsidRDefault="00464278" w:rsidP="00193B52">
      <w:pPr>
        <w:jc w:val="right"/>
        <w:rPr>
          <w:rFonts w:ascii="Arial" w:hAnsi="Arial" w:cs="Arial"/>
          <w:b/>
          <w:color w:val="000000" w:themeColor="text1"/>
          <w:sz w:val="16"/>
          <w:szCs w:val="16"/>
          <w:lang w:val="es-ES_tradnl" w:eastAsia="es-ES"/>
        </w:rPr>
      </w:pPr>
    </w:p>
    <w:p w14:paraId="13374466" w14:textId="77777777" w:rsidR="00464278" w:rsidRDefault="00464278" w:rsidP="00193B52">
      <w:pPr>
        <w:jc w:val="right"/>
        <w:rPr>
          <w:rFonts w:ascii="Arial" w:hAnsi="Arial" w:cs="Arial"/>
          <w:b/>
          <w:color w:val="000000" w:themeColor="text1"/>
          <w:sz w:val="16"/>
          <w:szCs w:val="16"/>
          <w:lang w:val="es-ES_tradnl" w:eastAsia="es-ES"/>
        </w:rPr>
      </w:pPr>
    </w:p>
    <w:p w14:paraId="3F0526AF" w14:textId="43A9F0B3" w:rsidR="00464278" w:rsidRDefault="00464278" w:rsidP="00193B52">
      <w:pPr>
        <w:jc w:val="right"/>
        <w:rPr>
          <w:rFonts w:ascii="Arial" w:hAnsi="Arial" w:cs="Arial"/>
          <w:b/>
          <w:color w:val="000000" w:themeColor="text1"/>
          <w:sz w:val="16"/>
          <w:szCs w:val="16"/>
          <w:lang w:val="es-ES_tradnl" w:eastAsia="es-ES"/>
        </w:rPr>
      </w:pPr>
    </w:p>
    <w:p w14:paraId="6983D6CC" w14:textId="281A35DC" w:rsidR="00464278" w:rsidRDefault="00464278" w:rsidP="00193B52">
      <w:pPr>
        <w:jc w:val="right"/>
        <w:rPr>
          <w:rFonts w:ascii="Arial" w:hAnsi="Arial" w:cs="Arial"/>
          <w:b/>
          <w:color w:val="000000" w:themeColor="text1"/>
          <w:sz w:val="16"/>
          <w:szCs w:val="16"/>
          <w:lang w:val="es-ES_tradnl" w:eastAsia="es-ES"/>
        </w:rPr>
      </w:pPr>
    </w:p>
    <w:p w14:paraId="10911277" w14:textId="287E1508" w:rsidR="001B7BF3" w:rsidRDefault="001B7BF3" w:rsidP="00193B52">
      <w:pPr>
        <w:jc w:val="right"/>
        <w:rPr>
          <w:rFonts w:ascii="Arial" w:hAnsi="Arial" w:cs="Arial"/>
          <w:b/>
          <w:color w:val="000000" w:themeColor="text1"/>
          <w:sz w:val="16"/>
          <w:szCs w:val="16"/>
          <w:lang w:val="es-ES_tradnl" w:eastAsia="es-ES"/>
        </w:rPr>
      </w:pPr>
    </w:p>
    <w:p w14:paraId="07F9976C" w14:textId="0D32B09A" w:rsidR="001B7BF3" w:rsidRDefault="001B7BF3" w:rsidP="00193B52">
      <w:pPr>
        <w:jc w:val="right"/>
        <w:rPr>
          <w:rFonts w:ascii="Arial" w:hAnsi="Arial" w:cs="Arial"/>
          <w:b/>
          <w:color w:val="000000" w:themeColor="text1"/>
          <w:sz w:val="16"/>
          <w:szCs w:val="16"/>
          <w:lang w:val="es-ES_tradnl" w:eastAsia="es-ES"/>
        </w:rPr>
      </w:pPr>
    </w:p>
    <w:p w14:paraId="6CADB76B" w14:textId="5F627BE8" w:rsidR="001B7BF3" w:rsidRDefault="001B7BF3" w:rsidP="00193B52">
      <w:pPr>
        <w:jc w:val="right"/>
        <w:rPr>
          <w:rFonts w:ascii="Arial" w:hAnsi="Arial" w:cs="Arial"/>
          <w:b/>
          <w:color w:val="000000" w:themeColor="text1"/>
          <w:sz w:val="16"/>
          <w:szCs w:val="16"/>
          <w:lang w:val="es-ES_tradnl" w:eastAsia="es-ES"/>
        </w:rPr>
      </w:pPr>
    </w:p>
    <w:p w14:paraId="60384CD2" w14:textId="6AE7F073" w:rsidR="001B7BF3" w:rsidRDefault="001B7BF3" w:rsidP="00193B52">
      <w:pPr>
        <w:jc w:val="right"/>
        <w:rPr>
          <w:rFonts w:ascii="Arial" w:hAnsi="Arial" w:cs="Arial"/>
          <w:b/>
          <w:color w:val="000000" w:themeColor="text1"/>
          <w:sz w:val="16"/>
          <w:szCs w:val="16"/>
          <w:lang w:val="es-ES_tradnl" w:eastAsia="es-ES"/>
        </w:rPr>
      </w:pPr>
    </w:p>
    <w:p w14:paraId="5F0055A6" w14:textId="2AE2B479" w:rsidR="001B7BF3" w:rsidRDefault="001B7BF3" w:rsidP="00193B52">
      <w:pPr>
        <w:jc w:val="right"/>
        <w:rPr>
          <w:rFonts w:ascii="Arial" w:hAnsi="Arial" w:cs="Arial"/>
          <w:b/>
          <w:color w:val="000000" w:themeColor="text1"/>
          <w:sz w:val="16"/>
          <w:szCs w:val="16"/>
          <w:lang w:val="es-ES_tradnl" w:eastAsia="es-ES"/>
        </w:rPr>
      </w:pPr>
    </w:p>
    <w:p w14:paraId="56324066" w14:textId="60DD7CF8" w:rsidR="001B7BF3" w:rsidRDefault="001B7BF3" w:rsidP="00193B52">
      <w:pPr>
        <w:jc w:val="right"/>
        <w:rPr>
          <w:rFonts w:ascii="Arial" w:hAnsi="Arial" w:cs="Arial"/>
          <w:b/>
          <w:color w:val="000000" w:themeColor="text1"/>
          <w:sz w:val="16"/>
          <w:szCs w:val="16"/>
          <w:lang w:val="es-ES_tradnl" w:eastAsia="es-ES"/>
        </w:rPr>
      </w:pPr>
    </w:p>
    <w:p w14:paraId="2C100FDC" w14:textId="7F3D359F" w:rsidR="001B7BF3" w:rsidRDefault="001B7BF3" w:rsidP="00193B52">
      <w:pPr>
        <w:jc w:val="right"/>
        <w:rPr>
          <w:rFonts w:ascii="Arial" w:hAnsi="Arial" w:cs="Arial"/>
          <w:b/>
          <w:color w:val="000000" w:themeColor="text1"/>
          <w:sz w:val="16"/>
          <w:szCs w:val="16"/>
          <w:lang w:val="es-ES_tradnl" w:eastAsia="es-ES"/>
        </w:rPr>
      </w:pPr>
    </w:p>
    <w:p w14:paraId="6A3F18A2" w14:textId="11A0F312" w:rsidR="001B7BF3" w:rsidRDefault="001B7BF3" w:rsidP="00193B52">
      <w:pPr>
        <w:jc w:val="right"/>
        <w:rPr>
          <w:rFonts w:ascii="Arial" w:hAnsi="Arial" w:cs="Arial"/>
          <w:b/>
          <w:color w:val="000000" w:themeColor="text1"/>
          <w:sz w:val="16"/>
          <w:szCs w:val="16"/>
          <w:lang w:val="es-ES_tradnl" w:eastAsia="es-ES"/>
        </w:rPr>
      </w:pPr>
    </w:p>
    <w:p w14:paraId="6699A273" w14:textId="2EF9F65C" w:rsidR="001B7BF3" w:rsidRDefault="001B7BF3" w:rsidP="00193B52">
      <w:pPr>
        <w:jc w:val="right"/>
        <w:rPr>
          <w:rFonts w:ascii="Arial" w:hAnsi="Arial" w:cs="Arial"/>
          <w:b/>
          <w:color w:val="000000" w:themeColor="text1"/>
          <w:sz w:val="16"/>
          <w:szCs w:val="16"/>
          <w:lang w:val="es-ES_tradnl" w:eastAsia="es-ES"/>
        </w:rPr>
      </w:pPr>
    </w:p>
    <w:p w14:paraId="466D066E" w14:textId="5F9C9016" w:rsidR="001B7BF3" w:rsidRDefault="001B7BF3" w:rsidP="00193B52">
      <w:pPr>
        <w:jc w:val="right"/>
        <w:rPr>
          <w:rFonts w:ascii="Arial" w:hAnsi="Arial" w:cs="Arial"/>
          <w:b/>
          <w:color w:val="000000" w:themeColor="text1"/>
          <w:sz w:val="16"/>
          <w:szCs w:val="16"/>
          <w:lang w:val="es-ES_tradnl" w:eastAsia="es-ES"/>
        </w:rPr>
      </w:pPr>
    </w:p>
    <w:p w14:paraId="14508BF0" w14:textId="711537E6" w:rsidR="001B7BF3" w:rsidRDefault="001B7BF3" w:rsidP="00193B52">
      <w:pPr>
        <w:jc w:val="right"/>
        <w:rPr>
          <w:rFonts w:ascii="Arial" w:hAnsi="Arial" w:cs="Arial"/>
          <w:b/>
          <w:color w:val="000000" w:themeColor="text1"/>
          <w:sz w:val="16"/>
          <w:szCs w:val="16"/>
          <w:lang w:val="es-ES_tradnl" w:eastAsia="es-ES"/>
        </w:rPr>
      </w:pPr>
    </w:p>
    <w:p w14:paraId="560E57DB" w14:textId="7F4D5C93" w:rsidR="001B7BF3" w:rsidRDefault="001B7BF3" w:rsidP="00193B52">
      <w:pPr>
        <w:jc w:val="right"/>
        <w:rPr>
          <w:rFonts w:ascii="Arial" w:hAnsi="Arial" w:cs="Arial"/>
          <w:b/>
          <w:color w:val="000000" w:themeColor="text1"/>
          <w:sz w:val="16"/>
          <w:szCs w:val="16"/>
          <w:lang w:val="es-ES_tradnl" w:eastAsia="es-ES"/>
        </w:rPr>
      </w:pPr>
    </w:p>
    <w:p w14:paraId="55E56272" w14:textId="5BFE90BF" w:rsidR="001B7BF3" w:rsidRDefault="001B7BF3" w:rsidP="00193B52">
      <w:pPr>
        <w:jc w:val="right"/>
        <w:rPr>
          <w:rFonts w:ascii="Arial" w:hAnsi="Arial" w:cs="Arial"/>
          <w:b/>
          <w:color w:val="000000" w:themeColor="text1"/>
          <w:sz w:val="16"/>
          <w:szCs w:val="16"/>
          <w:lang w:val="es-ES_tradnl" w:eastAsia="es-ES"/>
        </w:rPr>
      </w:pPr>
    </w:p>
    <w:p w14:paraId="5003C75A" w14:textId="3C03AAFA" w:rsidR="001B7BF3" w:rsidRDefault="001B7BF3" w:rsidP="00193B52">
      <w:pPr>
        <w:jc w:val="right"/>
        <w:rPr>
          <w:rFonts w:ascii="Arial" w:hAnsi="Arial" w:cs="Arial"/>
          <w:b/>
          <w:color w:val="000000" w:themeColor="text1"/>
          <w:sz w:val="16"/>
          <w:szCs w:val="16"/>
          <w:lang w:val="es-ES_tradnl" w:eastAsia="es-ES"/>
        </w:rPr>
      </w:pPr>
    </w:p>
    <w:p w14:paraId="73C30625" w14:textId="77777777" w:rsidR="001B7BF3" w:rsidRDefault="001B7BF3" w:rsidP="00193B52">
      <w:pPr>
        <w:jc w:val="right"/>
        <w:rPr>
          <w:rFonts w:ascii="Arial" w:hAnsi="Arial" w:cs="Arial"/>
          <w:b/>
          <w:color w:val="000000" w:themeColor="text1"/>
          <w:sz w:val="16"/>
          <w:szCs w:val="16"/>
          <w:lang w:val="es-ES_tradnl" w:eastAsia="es-ES"/>
        </w:rPr>
      </w:pPr>
    </w:p>
    <w:p w14:paraId="43C75C09" w14:textId="77777777" w:rsidR="00464278" w:rsidRPr="00FE1418" w:rsidRDefault="00464278" w:rsidP="00193B52">
      <w:pPr>
        <w:jc w:val="right"/>
        <w:rPr>
          <w:rFonts w:ascii="Arial" w:eastAsia="Calibri" w:hAnsi="Arial" w:cs="Arial"/>
          <w:b/>
          <w:color w:val="000000" w:themeColor="text1"/>
          <w:sz w:val="20"/>
          <w:szCs w:val="20"/>
          <w:lang w:val="es-ES_tradnl"/>
        </w:rPr>
      </w:pPr>
    </w:p>
    <w:p w14:paraId="488BE577" w14:textId="77777777" w:rsidR="000C0444" w:rsidRPr="00FE1418" w:rsidRDefault="000C0444" w:rsidP="000C0444">
      <w:pPr>
        <w:jc w:val="both"/>
        <w:rPr>
          <w:rFonts w:ascii="Arial" w:eastAsia="Calibri" w:hAnsi="Arial" w:cs="Arial"/>
          <w:bCs/>
          <w:sz w:val="20"/>
          <w:szCs w:val="20"/>
        </w:rPr>
      </w:pPr>
    </w:p>
    <w:bookmarkEnd w:id="2"/>
    <w:p w14:paraId="4EFEDC0D" w14:textId="590AC517" w:rsidR="003C60BB" w:rsidRDefault="00207C1E" w:rsidP="00C118DB">
      <w:pPr>
        <w:spacing w:line="276" w:lineRule="auto"/>
        <w:jc w:val="both"/>
        <w:rPr>
          <w:rFonts w:ascii="Arial" w:hAnsi="Arial" w:cs="Arial"/>
          <w:noProof/>
          <w:color w:val="000000" w:themeColor="text1"/>
          <w:sz w:val="22"/>
          <w:lang w:val="pt-BR"/>
        </w:rPr>
      </w:pPr>
      <w:r w:rsidRPr="00FE1418">
        <w:rPr>
          <w:rFonts w:ascii="Arial" w:hAnsi="Arial" w:cs="Arial"/>
          <w:noProof/>
          <w:color w:val="000000" w:themeColor="text1"/>
          <w:sz w:val="22"/>
          <w:lang w:val="pt-BR"/>
        </w:rPr>
        <w:lastRenderedPageBreak/>
        <w:t>Bogotá</w:t>
      </w:r>
      <w:r w:rsidR="00690FF7" w:rsidRPr="00FE1418">
        <w:rPr>
          <w:rFonts w:ascii="Arial" w:hAnsi="Arial" w:cs="Arial"/>
          <w:noProof/>
          <w:color w:val="000000" w:themeColor="text1"/>
          <w:sz w:val="22"/>
          <w:lang w:val="pt-BR"/>
        </w:rPr>
        <w:t>, D.C.</w:t>
      </w:r>
    </w:p>
    <w:p w14:paraId="40FCB7BD" w14:textId="253916B5" w:rsidR="00C25DCC" w:rsidRPr="00E748F4" w:rsidRDefault="00E748F4" w:rsidP="00E748F4">
      <w:pPr>
        <w:jc w:val="right"/>
      </w:pPr>
      <w:r>
        <w:fldChar w:fldCharType="begin"/>
      </w:r>
      <w:r>
        <w:instrText xml:space="preserve"> INCLUDEPICTURE "/var/folders/tb/0fmk9b510f57pz5rwhv8lnpw0000gp/T/com.microsoft.Word/WebArchiveCopyPasteTempFiles/page1image17713392" \* MERGEFORMATINET </w:instrText>
      </w:r>
      <w:r>
        <w:fldChar w:fldCharType="separate"/>
      </w:r>
      <w:r>
        <w:rPr>
          <w:noProof/>
        </w:rPr>
        <w:drawing>
          <wp:inline distT="0" distB="0" distL="0" distR="0" wp14:anchorId="68550575" wp14:editId="4C51ED32">
            <wp:extent cx="2402205" cy="614045"/>
            <wp:effectExtent l="0" t="0" r="0" b="0"/>
            <wp:docPr id="2" name="Imagen 2" descr="page1image17713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177133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02205" cy="614045"/>
                    </a:xfrm>
                    <a:prstGeom prst="rect">
                      <a:avLst/>
                    </a:prstGeom>
                    <a:noFill/>
                    <a:ln>
                      <a:noFill/>
                    </a:ln>
                  </pic:spPr>
                </pic:pic>
              </a:graphicData>
            </a:graphic>
          </wp:inline>
        </w:drawing>
      </w:r>
      <w:r>
        <w:fldChar w:fldCharType="end"/>
      </w:r>
    </w:p>
    <w:p w14:paraId="65C5CFB5" w14:textId="77777777" w:rsidR="005831B5" w:rsidRPr="00FE1418" w:rsidRDefault="005831B5" w:rsidP="00B95C30">
      <w:pPr>
        <w:jc w:val="both"/>
        <w:rPr>
          <w:rFonts w:ascii="Arial" w:hAnsi="Arial" w:cs="Arial"/>
          <w:b/>
          <w:color w:val="000000" w:themeColor="text1"/>
          <w:sz w:val="22"/>
          <w:lang w:val="pt-BR"/>
        </w:rPr>
      </w:pPr>
      <w:bookmarkStart w:id="3" w:name="_Hlk95237798"/>
    </w:p>
    <w:p w14:paraId="5F5AE9EF" w14:textId="02E07D32" w:rsidR="00B95C30" w:rsidRPr="00FE1418" w:rsidRDefault="00B95C30" w:rsidP="00B95C30">
      <w:pPr>
        <w:jc w:val="both"/>
        <w:rPr>
          <w:rFonts w:ascii="Arial" w:eastAsia="Calibri" w:hAnsi="Arial" w:cs="Arial"/>
          <w:color w:val="000000" w:themeColor="text1"/>
          <w:sz w:val="22"/>
          <w:lang w:val="es-ES_tradnl"/>
        </w:rPr>
      </w:pPr>
      <w:r w:rsidRPr="00FE1418">
        <w:rPr>
          <w:rFonts w:ascii="Arial" w:eastAsia="Calibri" w:hAnsi="Arial" w:cs="Arial"/>
          <w:color w:val="000000" w:themeColor="text1"/>
          <w:sz w:val="22"/>
          <w:lang w:val="es-ES_tradnl"/>
        </w:rPr>
        <w:t>Señor</w:t>
      </w:r>
    </w:p>
    <w:p w14:paraId="08A0FA34" w14:textId="320C6717" w:rsidR="007D409B" w:rsidRPr="00FE1418" w:rsidRDefault="00384466" w:rsidP="00B95C30">
      <w:pPr>
        <w:jc w:val="both"/>
        <w:rPr>
          <w:rFonts w:ascii="Arial" w:eastAsia="Calibri" w:hAnsi="Arial" w:cs="Arial"/>
          <w:b/>
          <w:color w:val="000000" w:themeColor="text1"/>
          <w:sz w:val="22"/>
          <w:lang w:val="es-ES_tradnl"/>
        </w:rPr>
      </w:pPr>
      <w:r>
        <w:rPr>
          <w:rFonts w:ascii="Arial" w:eastAsia="Calibri" w:hAnsi="Arial" w:cs="Arial"/>
          <w:b/>
          <w:color w:val="000000" w:themeColor="text1"/>
          <w:sz w:val="22"/>
        </w:rPr>
        <w:t xml:space="preserve">Andrés Mauricio Rosero Riascos </w:t>
      </w:r>
    </w:p>
    <w:p w14:paraId="1F53FEB5" w14:textId="460705EC" w:rsidR="00631A31" w:rsidRPr="00FE1418" w:rsidRDefault="00384466" w:rsidP="00B95C30">
      <w:pPr>
        <w:jc w:val="both"/>
        <w:rPr>
          <w:rFonts w:ascii="Arial" w:eastAsia="Calibri" w:hAnsi="Arial" w:cs="Arial"/>
          <w:color w:val="000000" w:themeColor="text1"/>
          <w:sz w:val="22"/>
          <w:lang w:val="es-ES_tradnl"/>
        </w:rPr>
      </w:pPr>
      <w:r>
        <w:rPr>
          <w:rFonts w:ascii="Arial" w:eastAsia="Calibri" w:hAnsi="Arial" w:cs="Arial"/>
          <w:color w:val="000000" w:themeColor="text1"/>
          <w:sz w:val="22"/>
          <w:lang w:val="es-ES_tradnl"/>
        </w:rPr>
        <w:t xml:space="preserve">La estrella, Antioquia </w:t>
      </w:r>
    </w:p>
    <w:p w14:paraId="6F1EED12" w14:textId="77777777" w:rsidR="00F96D27" w:rsidRPr="00FE1418" w:rsidRDefault="00F96D27" w:rsidP="00B95C30">
      <w:pPr>
        <w:jc w:val="both"/>
        <w:rPr>
          <w:rFonts w:ascii="Arial" w:eastAsia="Calibri" w:hAnsi="Arial" w:cs="Arial"/>
          <w:color w:val="000000" w:themeColor="text1"/>
          <w:sz w:val="22"/>
          <w:lang w:val="es-ES_tradnl"/>
        </w:rPr>
      </w:pPr>
    </w:p>
    <w:p w14:paraId="1BD594F9" w14:textId="4F5030D3" w:rsidR="00B95C30" w:rsidRPr="00FE1418" w:rsidRDefault="007F1C42" w:rsidP="003C0791">
      <w:pPr>
        <w:rPr>
          <w:rFonts w:ascii="Arial" w:eastAsia="Calibri" w:hAnsi="Arial" w:cs="Arial"/>
          <w:b/>
          <w:bCs/>
          <w:color w:val="000000" w:themeColor="text1"/>
          <w:sz w:val="22"/>
          <w:lang w:val="es-ES_tradnl"/>
        </w:rPr>
      </w:pPr>
      <w:r w:rsidRPr="00FE1418">
        <w:rPr>
          <w:rFonts w:ascii="Arial" w:eastAsia="Calibri" w:hAnsi="Arial" w:cs="Arial"/>
          <w:b/>
          <w:bCs/>
          <w:color w:val="000000" w:themeColor="text1"/>
          <w:sz w:val="22"/>
          <w:lang w:val="es-ES_tradnl"/>
        </w:rPr>
        <w:t xml:space="preserve">                                            </w:t>
      </w:r>
      <w:r w:rsidR="00023FA5" w:rsidRPr="00FE1418">
        <w:rPr>
          <w:rFonts w:ascii="Arial" w:eastAsia="Calibri" w:hAnsi="Arial" w:cs="Arial"/>
          <w:b/>
          <w:bCs/>
          <w:color w:val="000000" w:themeColor="text1"/>
          <w:sz w:val="22"/>
          <w:lang w:val="es-ES_tradnl"/>
        </w:rPr>
        <w:t>Concepto C‒</w:t>
      </w:r>
      <w:r w:rsidR="00384466">
        <w:rPr>
          <w:rFonts w:ascii="Arial" w:eastAsia="Calibri" w:hAnsi="Arial" w:cs="Arial"/>
          <w:b/>
          <w:bCs/>
          <w:color w:val="000000" w:themeColor="text1"/>
          <w:sz w:val="22"/>
          <w:lang w:val="es-ES_tradnl"/>
        </w:rPr>
        <w:t>6</w:t>
      </w:r>
      <w:r w:rsidR="00307F1C">
        <w:rPr>
          <w:rFonts w:ascii="Arial" w:eastAsia="Calibri" w:hAnsi="Arial" w:cs="Arial"/>
          <w:b/>
          <w:bCs/>
          <w:color w:val="000000" w:themeColor="text1"/>
          <w:sz w:val="22"/>
          <w:lang w:val="es-ES_tradnl"/>
        </w:rPr>
        <w:t>12</w:t>
      </w:r>
      <w:r w:rsidR="00384466">
        <w:rPr>
          <w:rFonts w:ascii="Arial" w:eastAsia="Calibri" w:hAnsi="Arial" w:cs="Arial"/>
          <w:b/>
          <w:bCs/>
          <w:color w:val="000000" w:themeColor="text1"/>
          <w:sz w:val="22"/>
          <w:lang w:val="es-ES_tradnl"/>
        </w:rPr>
        <w:t xml:space="preserve"> </w:t>
      </w:r>
      <w:r w:rsidR="00275FBF" w:rsidRPr="00FE1418">
        <w:rPr>
          <w:rFonts w:ascii="Arial" w:eastAsia="Calibri" w:hAnsi="Arial" w:cs="Arial"/>
          <w:b/>
          <w:bCs/>
          <w:color w:val="000000" w:themeColor="text1"/>
          <w:sz w:val="22"/>
          <w:lang w:val="es-ES_tradnl"/>
        </w:rPr>
        <w:t>de 202</w:t>
      </w:r>
      <w:r w:rsidR="0092085F" w:rsidRPr="00FE1418">
        <w:rPr>
          <w:rFonts w:ascii="Arial" w:eastAsia="Calibri" w:hAnsi="Arial" w:cs="Arial"/>
          <w:b/>
          <w:bCs/>
          <w:color w:val="000000" w:themeColor="text1"/>
          <w:sz w:val="22"/>
          <w:lang w:val="es-ES_tradnl"/>
        </w:rPr>
        <w:t>2</w:t>
      </w:r>
    </w:p>
    <w:p w14:paraId="1E43C8B9" w14:textId="77777777" w:rsidR="009A52E4" w:rsidRPr="00FE1418" w:rsidRDefault="009A52E4" w:rsidP="003C0791">
      <w:pPr>
        <w:rPr>
          <w:rFonts w:ascii="Arial" w:eastAsia="Calibri" w:hAnsi="Arial" w:cs="Arial"/>
          <w:b/>
          <w:bCs/>
          <w:color w:val="000000" w:themeColor="text1"/>
          <w:sz w:val="22"/>
          <w:lang w:val="es-ES_tradnl"/>
        </w:rPr>
      </w:pPr>
    </w:p>
    <w:tbl>
      <w:tblPr>
        <w:tblStyle w:val="Tablaconcuadrcula"/>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237"/>
      </w:tblGrid>
      <w:tr w:rsidR="00B95C30" w:rsidRPr="00FE1418" w14:paraId="19DFC051" w14:textId="77777777" w:rsidTr="00D15356">
        <w:tc>
          <w:tcPr>
            <w:tcW w:w="2689" w:type="dxa"/>
          </w:tcPr>
          <w:p w14:paraId="6BC0D1AC" w14:textId="77777777" w:rsidR="00B95C30" w:rsidRPr="00FE1418" w:rsidRDefault="00B95C30" w:rsidP="00D15356">
            <w:pPr>
              <w:jc w:val="both"/>
              <w:rPr>
                <w:rFonts w:ascii="Arial" w:eastAsia="Calibri" w:hAnsi="Arial" w:cs="Arial"/>
                <w:color w:val="000000" w:themeColor="text1"/>
                <w:sz w:val="22"/>
                <w:szCs w:val="22"/>
                <w:lang w:val="es-ES_tradnl"/>
              </w:rPr>
            </w:pPr>
            <w:r w:rsidRPr="00FE1418">
              <w:rPr>
                <w:rFonts w:ascii="Arial" w:eastAsia="Calibri" w:hAnsi="Arial" w:cs="Arial"/>
                <w:b/>
                <w:color w:val="000000" w:themeColor="text1"/>
                <w:sz w:val="22"/>
                <w:szCs w:val="22"/>
                <w:lang w:val="es-ES_tradnl"/>
              </w:rPr>
              <w:t>Temas:</w:t>
            </w:r>
            <w:r w:rsidRPr="00FE1418">
              <w:rPr>
                <w:rFonts w:ascii="Arial" w:eastAsia="Calibri" w:hAnsi="Arial" w:cs="Arial"/>
                <w:color w:val="000000" w:themeColor="text1"/>
                <w:sz w:val="22"/>
                <w:szCs w:val="22"/>
                <w:lang w:val="es-ES_tradnl"/>
              </w:rPr>
              <w:t xml:space="preserve">                                      </w:t>
            </w:r>
          </w:p>
        </w:tc>
        <w:tc>
          <w:tcPr>
            <w:tcW w:w="6237" w:type="dxa"/>
          </w:tcPr>
          <w:p w14:paraId="4D8C6084" w14:textId="3AFB9D09" w:rsidR="00307F1C" w:rsidRPr="006C632B" w:rsidRDefault="00464278" w:rsidP="0063367B">
            <w:pPr>
              <w:tabs>
                <w:tab w:val="left" w:pos="6551"/>
              </w:tabs>
              <w:jc w:val="both"/>
              <w:rPr>
                <w:rFonts w:ascii="Arial" w:eastAsia="Calibri" w:hAnsi="Arial" w:cs="Arial"/>
                <w:bCs/>
                <w:color w:val="000000" w:themeColor="text1"/>
                <w:sz w:val="20"/>
                <w:szCs w:val="20"/>
                <w:lang w:val="es-ES_tradnl"/>
              </w:rPr>
            </w:pPr>
            <w:r w:rsidRPr="006C632B">
              <w:rPr>
                <w:rFonts w:ascii="Arial" w:eastAsia="Calibri" w:hAnsi="Arial" w:cs="Arial"/>
                <w:bCs/>
                <w:color w:val="000000" w:themeColor="text1"/>
                <w:sz w:val="20"/>
                <w:szCs w:val="20"/>
                <w:lang w:val="es-ES_tradnl"/>
              </w:rPr>
              <w:t xml:space="preserve">CAPACIDAD RESIDUAL – Cálculo / </w:t>
            </w:r>
            <w:r w:rsidR="00307F1C" w:rsidRPr="006C632B">
              <w:rPr>
                <w:rFonts w:ascii="Arial" w:eastAsia="Calibri" w:hAnsi="Arial" w:cs="Arial"/>
                <w:bCs/>
                <w:color w:val="000000" w:themeColor="text1"/>
                <w:sz w:val="20"/>
                <w:szCs w:val="20"/>
                <w:lang w:val="es-ES_tradnl"/>
              </w:rPr>
              <w:t xml:space="preserve">FECHA DE PRESENTACIÓN </w:t>
            </w:r>
            <w:r w:rsidR="001B7BF3" w:rsidRPr="006C632B">
              <w:rPr>
                <w:rFonts w:ascii="Arial" w:eastAsia="Calibri" w:hAnsi="Arial" w:cs="Arial"/>
                <w:bCs/>
                <w:color w:val="000000" w:themeColor="text1"/>
                <w:sz w:val="20"/>
                <w:szCs w:val="20"/>
                <w:lang w:val="es-ES_tradnl"/>
              </w:rPr>
              <w:t>– Capacidad Residual</w:t>
            </w:r>
          </w:p>
          <w:p w14:paraId="5F389CAF" w14:textId="71CD6784" w:rsidR="00464278" w:rsidRPr="006C632B" w:rsidRDefault="00464278" w:rsidP="0063367B">
            <w:pPr>
              <w:tabs>
                <w:tab w:val="left" w:pos="6551"/>
              </w:tabs>
              <w:jc w:val="both"/>
              <w:rPr>
                <w:rFonts w:ascii="Arial" w:eastAsia="Calibri" w:hAnsi="Arial" w:cs="Arial"/>
                <w:bCs/>
                <w:color w:val="000000" w:themeColor="text1"/>
                <w:sz w:val="20"/>
                <w:szCs w:val="20"/>
                <w:lang w:val="es-ES_tradnl"/>
              </w:rPr>
            </w:pPr>
          </w:p>
        </w:tc>
      </w:tr>
      <w:tr w:rsidR="00B95C30" w:rsidRPr="00FE1418" w14:paraId="27CD52AB" w14:textId="77777777" w:rsidTr="00D15356">
        <w:tc>
          <w:tcPr>
            <w:tcW w:w="2689" w:type="dxa"/>
          </w:tcPr>
          <w:p w14:paraId="37E195A1" w14:textId="65D3E02B" w:rsidR="00B95C30" w:rsidRPr="00FE1418" w:rsidRDefault="00B95C30" w:rsidP="00D15356">
            <w:pPr>
              <w:spacing w:before="120"/>
              <w:jc w:val="both"/>
              <w:rPr>
                <w:rFonts w:ascii="Arial" w:eastAsia="Calibri" w:hAnsi="Arial" w:cs="Arial"/>
                <w:b/>
                <w:color w:val="000000" w:themeColor="text1"/>
                <w:sz w:val="22"/>
                <w:szCs w:val="22"/>
                <w:lang w:val="es-ES_tradnl"/>
              </w:rPr>
            </w:pPr>
            <w:r w:rsidRPr="00FE1418">
              <w:rPr>
                <w:rFonts w:ascii="Arial" w:eastAsia="Calibri" w:hAnsi="Arial" w:cs="Arial"/>
                <w:b/>
                <w:color w:val="000000" w:themeColor="text1"/>
                <w:sz w:val="22"/>
                <w:szCs w:val="22"/>
                <w:lang w:val="es-ES_tradnl"/>
              </w:rPr>
              <w:t>Radicación:</w:t>
            </w:r>
            <w:r w:rsidRPr="00FE1418">
              <w:rPr>
                <w:rFonts w:ascii="Arial" w:eastAsia="Calibri" w:hAnsi="Arial" w:cs="Arial"/>
                <w:color w:val="000000" w:themeColor="text1"/>
                <w:sz w:val="22"/>
                <w:szCs w:val="22"/>
                <w:lang w:val="es-ES_tradnl"/>
              </w:rPr>
              <w:t xml:space="preserve">                              </w:t>
            </w:r>
          </w:p>
        </w:tc>
        <w:tc>
          <w:tcPr>
            <w:tcW w:w="6237" w:type="dxa"/>
          </w:tcPr>
          <w:p w14:paraId="232A5B99" w14:textId="610F16AC" w:rsidR="00384466" w:rsidRPr="00021C6E" w:rsidRDefault="00B95C30" w:rsidP="00384466">
            <w:pPr>
              <w:spacing w:line="276" w:lineRule="auto"/>
              <w:rPr>
                <w:rFonts w:ascii="Arial" w:hAnsi="Arial" w:cs="Arial"/>
                <w:sz w:val="22"/>
                <w:szCs w:val="22"/>
              </w:rPr>
            </w:pPr>
            <w:r w:rsidRPr="00FE1418">
              <w:rPr>
                <w:rFonts w:ascii="Arial" w:eastAsia="Calibri" w:hAnsi="Arial" w:cs="Arial"/>
                <w:color w:val="000000" w:themeColor="text1"/>
                <w:sz w:val="22"/>
                <w:szCs w:val="22"/>
                <w:lang w:val="es-ES_tradnl"/>
              </w:rPr>
              <w:t>Respuesta a consulta</w:t>
            </w:r>
            <w:r w:rsidR="00F21D6D" w:rsidRPr="00FE1418">
              <w:rPr>
                <w:rFonts w:ascii="Arial" w:eastAsia="Calibri" w:hAnsi="Arial" w:cs="Arial"/>
                <w:color w:val="000000" w:themeColor="text1"/>
                <w:sz w:val="22"/>
                <w:szCs w:val="22"/>
                <w:lang w:val="es-ES_tradnl"/>
              </w:rPr>
              <w:t xml:space="preserve"> </w:t>
            </w:r>
            <w:bookmarkStart w:id="4" w:name="_Hlk115044639"/>
            <w:r w:rsidR="00384466" w:rsidRPr="00021C6E">
              <w:rPr>
                <w:rFonts w:ascii="Arial" w:hAnsi="Arial" w:cs="Arial"/>
                <w:sz w:val="22"/>
                <w:szCs w:val="22"/>
              </w:rPr>
              <w:t>P2022081</w:t>
            </w:r>
            <w:r w:rsidR="00307F1C">
              <w:rPr>
                <w:rFonts w:ascii="Arial" w:hAnsi="Arial" w:cs="Arial"/>
                <w:sz w:val="22"/>
                <w:szCs w:val="22"/>
              </w:rPr>
              <w:t>2008015</w:t>
            </w:r>
            <w:bookmarkEnd w:id="4"/>
          </w:p>
          <w:p w14:paraId="09088B1B" w14:textId="2B08C03E" w:rsidR="00B95C30" w:rsidRPr="00FE1418" w:rsidRDefault="00B95C30" w:rsidP="00FF7134">
            <w:pPr>
              <w:spacing w:before="120"/>
              <w:jc w:val="both"/>
              <w:rPr>
                <w:rFonts w:ascii="Arial" w:eastAsia="Calibri" w:hAnsi="Arial" w:cs="Arial"/>
                <w:color w:val="000000" w:themeColor="text1"/>
                <w:sz w:val="22"/>
                <w:szCs w:val="22"/>
                <w:lang w:val="es-ES_tradnl"/>
              </w:rPr>
            </w:pPr>
          </w:p>
        </w:tc>
      </w:tr>
    </w:tbl>
    <w:p w14:paraId="7F7926D6" w14:textId="77777777" w:rsidR="009A52E4" w:rsidRPr="00FE1418" w:rsidRDefault="009A52E4" w:rsidP="003C3339">
      <w:pPr>
        <w:contextualSpacing/>
        <w:jc w:val="both"/>
        <w:rPr>
          <w:rFonts w:ascii="Arial" w:eastAsia="Calibri" w:hAnsi="Arial" w:cs="Arial"/>
          <w:color w:val="000000" w:themeColor="text1"/>
          <w:sz w:val="22"/>
          <w:lang w:val="es-ES_tradnl"/>
        </w:rPr>
      </w:pPr>
    </w:p>
    <w:p w14:paraId="1CF4AEA0" w14:textId="49AA7236" w:rsidR="003C3339" w:rsidRPr="00FE1418" w:rsidRDefault="003C3339" w:rsidP="003C3339">
      <w:pPr>
        <w:contextualSpacing/>
        <w:jc w:val="both"/>
        <w:rPr>
          <w:rFonts w:ascii="Arial" w:eastAsia="Calibri" w:hAnsi="Arial" w:cs="Arial"/>
          <w:color w:val="000000" w:themeColor="text1"/>
          <w:sz w:val="22"/>
          <w:lang w:val="es-ES_tradnl"/>
        </w:rPr>
      </w:pPr>
      <w:r w:rsidRPr="00FE1418">
        <w:rPr>
          <w:rFonts w:ascii="Arial" w:eastAsia="Calibri" w:hAnsi="Arial" w:cs="Arial"/>
          <w:color w:val="000000" w:themeColor="text1"/>
          <w:sz w:val="22"/>
          <w:lang w:val="es-ES_tradnl"/>
        </w:rPr>
        <w:t>Estimad</w:t>
      </w:r>
      <w:r w:rsidR="00207C1E" w:rsidRPr="00FE1418">
        <w:rPr>
          <w:rFonts w:ascii="Arial" w:eastAsia="Calibri" w:hAnsi="Arial" w:cs="Arial"/>
          <w:color w:val="000000" w:themeColor="text1"/>
          <w:sz w:val="22"/>
          <w:lang w:val="es-ES_tradnl"/>
        </w:rPr>
        <w:t xml:space="preserve">o señor </w:t>
      </w:r>
      <w:r w:rsidR="00384466">
        <w:rPr>
          <w:rFonts w:ascii="Arial" w:eastAsia="Calibri" w:hAnsi="Arial" w:cs="Arial"/>
          <w:color w:val="000000" w:themeColor="text1"/>
          <w:sz w:val="22"/>
          <w:lang w:val="es-ES_tradnl"/>
        </w:rPr>
        <w:t>Rosero</w:t>
      </w:r>
      <w:r w:rsidRPr="00FE1418">
        <w:rPr>
          <w:rFonts w:ascii="Arial" w:eastAsia="Calibri" w:hAnsi="Arial" w:cs="Arial"/>
          <w:color w:val="000000" w:themeColor="text1"/>
          <w:sz w:val="22"/>
          <w:lang w:val="es-ES_tradnl"/>
        </w:rPr>
        <w:t>:</w:t>
      </w:r>
    </w:p>
    <w:p w14:paraId="1EAE5543" w14:textId="37990AD8" w:rsidR="00DD5B04" w:rsidRPr="00FE1418" w:rsidRDefault="00DD5B04" w:rsidP="00DF76A2">
      <w:pPr>
        <w:contextualSpacing/>
        <w:jc w:val="both"/>
        <w:rPr>
          <w:rFonts w:ascii="Arial" w:eastAsia="Calibri" w:hAnsi="Arial" w:cs="Arial"/>
          <w:color w:val="000000" w:themeColor="text1"/>
          <w:sz w:val="22"/>
          <w:lang w:val="es-ES_tradnl"/>
        </w:rPr>
      </w:pPr>
    </w:p>
    <w:p w14:paraId="2109B2D3" w14:textId="274008C3" w:rsidR="00DD5B04" w:rsidRPr="00FE1418" w:rsidRDefault="00DD5B04" w:rsidP="00DF76A2">
      <w:pPr>
        <w:spacing w:line="276" w:lineRule="auto"/>
        <w:contextualSpacing/>
        <w:jc w:val="both"/>
        <w:rPr>
          <w:rFonts w:ascii="Arial" w:eastAsia="Calibri" w:hAnsi="Arial" w:cs="Arial"/>
          <w:color w:val="000000" w:themeColor="text1"/>
          <w:sz w:val="22"/>
          <w:lang w:val="es-ES_tradnl"/>
        </w:rPr>
      </w:pPr>
      <w:r w:rsidRPr="00FE1418">
        <w:rPr>
          <w:rFonts w:ascii="Arial" w:eastAsia="Calibri" w:hAnsi="Arial" w:cs="Arial"/>
          <w:color w:val="000000" w:themeColor="text1"/>
          <w:sz w:val="22"/>
          <w:lang w:val="es-ES_tradnl"/>
        </w:rPr>
        <w:t>En ejercicio de la competencia otorgada por el numeral 8 del artículo 11 y el numeral 5 del artículo 3 del Decreto Ley 4170 de 2011, la Agencia Nacional de Contratación Pública ― Colombia Compra Eficiente</w:t>
      </w:r>
      <w:r w:rsidR="00CE69CC" w:rsidRPr="00FE1418">
        <w:rPr>
          <w:rFonts w:ascii="Arial" w:eastAsia="Calibri" w:hAnsi="Arial" w:cs="Arial"/>
          <w:color w:val="000000" w:themeColor="text1"/>
          <w:sz w:val="22"/>
          <w:lang w:val="es-ES_tradnl"/>
        </w:rPr>
        <w:t>,</w:t>
      </w:r>
      <w:r w:rsidRPr="00FE1418">
        <w:rPr>
          <w:rFonts w:ascii="Arial" w:eastAsia="Calibri" w:hAnsi="Arial" w:cs="Arial"/>
          <w:color w:val="000000" w:themeColor="text1"/>
          <w:sz w:val="22"/>
          <w:lang w:val="es-ES_tradnl"/>
        </w:rPr>
        <w:t xml:space="preserve"> responde su consulta</w:t>
      </w:r>
      <w:r w:rsidR="00E8414B" w:rsidRPr="00FE1418">
        <w:rPr>
          <w:rFonts w:ascii="Arial" w:eastAsia="Calibri" w:hAnsi="Arial" w:cs="Arial"/>
          <w:color w:val="000000" w:themeColor="text1"/>
          <w:sz w:val="22"/>
          <w:lang w:val="es-ES_tradnl"/>
        </w:rPr>
        <w:t xml:space="preserve"> </w:t>
      </w:r>
      <w:r w:rsidRPr="00FE1418">
        <w:rPr>
          <w:rFonts w:ascii="Arial" w:eastAsia="Calibri" w:hAnsi="Arial" w:cs="Arial"/>
          <w:color w:val="000000" w:themeColor="text1"/>
          <w:sz w:val="22"/>
          <w:lang w:val="es-ES_tradnl"/>
        </w:rPr>
        <w:t>del</w:t>
      </w:r>
      <w:r w:rsidR="00846DBE" w:rsidRPr="00FE1418">
        <w:rPr>
          <w:rFonts w:ascii="Arial" w:eastAsia="Calibri" w:hAnsi="Arial" w:cs="Arial"/>
          <w:color w:val="000000" w:themeColor="text1"/>
          <w:sz w:val="22"/>
          <w:lang w:val="es-ES_tradnl"/>
        </w:rPr>
        <w:t xml:space="preserve"> </w:t>
      </w:r>
      <w:r w:rsidR="00384466">
        <w:rPr>
          <w:rFonts w:ascii="Arial" w:eastAsia="Calibri" w:hAnsi="Arial" w:cs="Arial"/>
          <w:color w:val="000000" w:themeColor="text1"/>
          <w:sz w:val="22"/>
          <w:lang w:val="es-ES_tradnl"/>
        </w:rPr>
        <w:t>1</w:t>
      </w:r>
      <w:r w:rsidR="00AE5996">
        <w:rPr>
          <w:rFonts w:ascii="Arial" w:eastAsia="Calibri" w:hAnsi="Arial" w:cs="Arial"/>
          <w:color w:val="000000" w:themeColor="text1"/>
          <w:sz w:val="22"/>
          <w:lang w:val="es-ES_tradnl"/>
        </w:rPr>
        <w:t>2</w:t>
      </w:r>
      <w:r w:rsidR="00384466">
        <w:rPr>
          <w:rFonts w:ascii="Arial" w:eastAsia="Calibri" w:hAnsi="Arial" w:cs="Arial"/>
          <w:color w:val="000000" w:themeColor="text1"/>
          <w:sz w:val="22"/>
          <w:lang w:val="es-ES_tradnl"/>
        </w:rPr>
        <w:t xml:space="preserve"> </w:t>
      </w:r>
      <w:r w:rsidR="00C52FB1">
        <w:rPr>
          <w:rFonts w:ascii="Arial" w:eastAsia="Calibri" w:hAnsi="Arial" w:cs="Arial"/>
          <w:color w:val="000000" w:themeColor="text1"/>
          <w:sz w:val="22"/>
          <w:lang w:val="es-ES_tradnl"/>
        </w:rPr>
        <w:t>de agosto</w:t>
      </w:r>
      <w:r w:rsidR="00207C1E" w:rsidRPr="00FE1418">
        <w:rPr>
          <w:rFonts w:ascii="Arial" w:eastAsia="Calibri" w:hAnsi="Arial" w:cs="Arial"/>
          <w:color w:val="000000" w:themeColor="text1"/>
          <w:sz w:val="22"/>
          <w:lang w:val="es-ES_tradnl"/>
        </w:rPr>
        <w:t xml:space="preserve"> de 2022</w:t>
      </w:r>
      <w:r w:rsidR="00F21D6D" w:rsidRPr="00FE1418">
        <w:rPr>
          <w:rFonts w:ascii="Arial" w:eastAsia="Calibri" w:hAnsi="Arial" w:cs="Arial"/>
          <w:color w:val="000000" w:themeColor="text1"/>
          <w:sz w:val="22"/>
          <w:lang w:val="es-ES_tradnl"/>
        </w:rPr>
        <w:t>.</w:t>
      </w:r>
    </w:p>
    <w:p w14:paraId="0C1E0712" w14:textId="77777777" w:rsidR="00DD5B04" w:rsidRPr="00FE1418" w:rsidRDefault="00DD5B04" w:rsidP="00DF76A2">
      <w:pPr>
        <w:spacing w:line="276" w:lineRule="auto"/>
        <w:contextualSpacing/>
        <w:jc w:val="both"/>
        <w:rPr>
          <w:rFonts w:ascii="Arial" w:eastAsia="Calibri" w:hAnsi="Arial" w:cs="Arial"/>
          <w:b/>
          <w:color w:val="000000" w:themeColor="text1"/>
          <w:sz w:val="22"/>
          <w:lang w:val="es-ES_tradnl"/>
        </w:rPr>
      </w:pPr>
    </w:p>
    <w:p w14:paraId="7701FCC7" w14:textId="77777777" w:rsidR="00DD5B04" w:rsidRPr="00FE1418" w:rsidRDefault="00DD5B04" w:rsidP="00DF76A2">
      <w:pPr>
        <w:pStyle w:val="Prrafodelista"/>
        <w:numPr>
          <w:ilvl w:val="0"/>
          <w:numId w:val="8"/>
        </w:numPr>
        <w:tabs>
          <w:tab w:val="left" w:pos="0"/>
          <w:tab w:val="left" w:pos="142"/>
          <w:tab w:val="left" w:pos="284"/>
        </w:tabs>
        <w:spacing w:line="276" w:lineRule="auto"/>
        <w:ind w:left="0" w:firstLine="0"/>
        <w:jc w:val="both"/>
        <w:rPr>
          <w:rFonts w:ascii="Arial" w:eastAsia="Calibri" w:hAnsi="Arial" w:cs="Arial"/>
          <w:b/>
          <w:color w:val="000000" w:themeColor="text1"/>
          <w:sz w:val="22"/>
          <w:lang w:val="es-ES_tradnl"/>
        </w:rPr>
      </w:pPr>
      <w:r w:rsidRPr="00FE1418">
        <w:rPr>
          <w:rFonts w:ascii="Arial" w:eastAsia="Calibri" w:hAnsi="Arial" w:cs="Arial"/>
          <w:b/>
          <w:color w:val="000000" w:themeColor="text1"/>
          <w:sz w:val="22"/>
          <w:lang w:val="es-ES_tradnl"/>
        </w:rPr>
        <w:t xml:space="preserve">Problema planteado </w:t>
      </w:r>
    </w:p>
    <w:p w14:paraId="3D22AAE5" w14:textId="77777777" w:rsidR="00384466" w:rsidRDefault="00384466" w:rsidP="00384466">
      <w:pPr>
        <w:pStyle w:val="NormalWeb"/>
        <w:spacing w:before="0" w:beforeAutospacing="0" w:after="0" w:afterAutospacing="0" w:line="276" w:lineRule="auto"/>
        <w:contextualSpacing/>
        <w:jc w:val="both"/>
        <w:rPr>
          <w:rFonts w:ascii="Arial" w:hAnsi="Arial" w:cs="Arial"/>
          <w:color w:val="000000" w:themeColor="text1"/>
          <w:sz w:val="22"/>
          <w:lang w:val="es-ES_tradnl"/>
        </w:rPr>
      </w:pPr>
    </w:p>
    <w:p w14:paraId="03CB2619" w14:textId="71235C32" w:rsidR="00AE5996" w:rsidRDefault="00AE5996" w:rsidP="00307F1C">
      <w:pPr>
        <w:pStyle w:val="NormalWeb"/>
        <w:spacing w:before="0" w:beforeAutospacing="0" w:after="0" w:afterAutospacing="0" w:line="276" w:lineRule="auto"/>
        <w:contextualSpacing/>
        <w:jc w:val="both"/>
        <w:rPr>
          <w:rFonts w:ascii="Arial" w:hAnsi="Arial" w:cs="Arial"/>
          <w:color w:val="000000" w:themeColor="text1"/>
          <w:sz w:val="22"/>
          <w:lang w:val="es-ES_tradnl"/>
        </w:rPr>
      </w:pPr>
      <w:r>
        <w:rPr>
          <w:rFonts w:ascii="Arial" w:hAnsi="Arial" w:cs="Arial"/>
          <w:color w:val="000000" w:themeColor="text1"/>
          <w:sz w:val="22"/>
          <w:lang w:val="es-ES_tradnl"/>
        </w:rPr>
        <w:t xml:space="preserve">Respecto </w:t>
      </w:r>
      <w:r w:rsidR="00AA2E16">
        <w:rPr>
          <w:rFonts w:ascii="Arial" w:hAnsi="Arial" w:cs="Arial"/>
          <w:color w:val="000000" w:themeColor="text1"/>
          <w:sz w:val="22"/>
          <w:lang w:val="es-ES_tradnl"/>
        </w:rPr>
        <w:t xml:space="preserve">del cálculo </w:t>
      </w:r>
      <w:r>
        <w:rPr>
          <w:rFonts w:ascii="Arial" w:hAnsi="Arial" w:cs="Arial"/>
          <w:color w:val="000000" w:themeColor="text1"/>
          <w:sz w:val="22"/>
          <w:lang w:val="es-ES_tradnl"/>
        </w:rPr>
        <w:t xml:space="preserve">de la capacidad residual, </w:t>
      </w:r>
      <w:r w:rsidRPr="00FE1418">
        <w:rPr>
          <w:rFonts w:ascii="Arial" w:hAnsi="Arial" w:cs="Arial"/>
          <w:color w:val="000000" w:themeColor="text1"/>
          <w:sz w:val="22"/>
          <w:lang w:val="es-ES_tradnl"/>
        </w:rPr>
        <w:t xml:space="preserve">usted </w:t>
      </w:r>
      <w:r w:rsidR="000841A2" w:rsidRPr="00FE1418">
        <w:rPr>
          <w:rFonts w:ascii="Arial" w:hAnsi="Arial" w:cs="Arial"/>
          <w:color w:val="000000" w:themeColor="text1"/>
          <w:sz w:val="22"/>
          <w:lang w:val="es-ES_tradnl"/>
        </w:rPr>
        <w:t>realiza</w:t>
      </w:r>
      <w:r w:rsidR="00827203" w:rsidRPr="00FE1418">
        <w:rPr>
          <w:rFonts w:ascii="Arial" w:hAnsi="Arial" w:cs="Arial"/>
          <w:color w:val="000000" w:themeColor="text1"/>
          <w:sz w:val="22"/>
          <w:lang w:val="es-ES_tradnl"/>
        </w:rPr>
        <w:t xml:space="preserve"> </w:t>
      </w:r>
      <w:r w:rsidR="00026092" w:rsidRPr="00FE1418">
        <w:rPr>
          <w:rFonts w:ascii="Arial" w:hAnsi="Arial" w:cs="Arial"/>
          <w:color w:val="000000" w:themeColor="text1"/>
          <w:sz w:val="22"/>
          <w:lang w:val="es-ES_tradnl"/>
        </w:rPr>
        <w:t>la siguiente</w:t>
      </w:r>
      <w:r w:rsidR="00AC4D8F" w:rsidRPr="00FE1418">
        <w:rPr>
          <w:rFonts w:ascii="Arial" w:hAnsi="Arial" w:cs="Arial"/>
          <w:color w:val="000000" w:themeColor="text1"/>
          <w:sz w:val="22"/>
          <w:lang w:val="es-ES_tradnl"/>
        </w:rPr>
        <w:t xml:space="preserve"> consulta</w:t>
      </w:r>
      <w:r w:rsidR="007577DA" w:rsidRPr="00FE1418">
        <w:rPr>
          <w:rFonts w:ascii="Arial" w:hAnsi="Arial" w:cs="Arial"/>
          <w:color w:val="000000" w:themeColor="text1"/>
          <w:sz w:val="22"/>
          <w:lang w:val="es-ES_tradnl"/>
        </w:rPr>
        <w:t xml:space="preserve">: </w:t>
      </w:r>
      <w:bookmarkStart w:id="5" w:name="_Hlk103091320"/>
    </w:p>
    <w:p w14:paraId="6B2A8810" w14:textId="77777777" w:rsidR="00AE5996" w:rsidRDefault="00AE5996" w:rsidP="00307F1C">
      <w:pPr>
        <w:pStyle w:val="NormalWeb"/>
        <w:spacing w:before="0" w:beforeAutospacing="0" w:after="0" w:afterAutospacing="0" w:line="276" w:lineRule="auto"/>
        <w:contextualSpacing/>
        <w:jc w:val="both"/>
        <w:rPr>
          <w:rFonts w:ascii="Arial" w:hAnsi="Arial" w:cs="Arial"/>
          <w:color w:val="000000" w:themeColor="text1"/>
          <w:sz w:val="22"/>
          <w:lang w:val="es-ES_tradnl"/>
        </w:rPr>
      </w:pPr>
    </w:p>
    <w:p w14:paraId="5BB23B7F" w14:textId="3C6AE045" w:rsidR="00307F1C" w:rsidRPr="004E5136" w:rsidRDefault="00307F1C" w:rsidP="00A705CA">
      <w:pPr>
        <w:pStyle w:val="NormalWeb"/>
        <w:spacing w:before="0" w:beforeAutospacing="0" w:after="0" w:afterAutospacing="0"/>
        <w:ind w:left="709" w:right="709"/>
        <w:contextualSpacing/>
        <w:jc w:val="both"/>
        <w:rPr>
          <w:rFonts w:ascii="Arial" w:hAnsi="Arial" w:cs="Arial"/>
          <w:sz w:val="21"/>
          <w:szCs w:val="21"/>
        </w:rPr>
      </w:pPr>
      <w:r w:rsidRPr="004E5136">
        <w:rPr>
          <w:rFonts w:ascii="Arial" w:hAnsi="Arial" w:cs="Arial"/>
          <w:sz w:val="21"/>
          <w:szCs w:val="21"/>
        </w:rPr>
        <w:t>«</w:t>
      </w:r>
      <w:bookmarkEnd w:id="5"/>
      <w:r w:rsidRPr="004E5136">
        <w:rPr>
          <w:rFonts w:ascii="Arial" w:hAnsi="Arial" w:cs="Arial"/>
          <w:sz w:val="21"/>
          <w:szCs w:val="21"/>
        </w:rPr>
        <w:t>[…] una aclaración en la evaluación de la capacidad residual, me podrían aclarar con que fecha se debe determinar la capacidad residual, si con la fecha de presentación de la oferta o con la fecha de publicación de pliegos definitivos?</w:t>
      </w:r>
      <w:bookmarkStart w:id="6" w:name="_Hlk103091300"/>
      <w:r w:rsidRPr="004E5136">
        <w:rPr>
          <w:rFonts w:ascii="Arial" w:hAnsi="Arial" w:cs="Arial"/>
          <w:sz w:val="21"/>
          <w:szCs w:val="21"/>
        </w:rPr>
        <w:t>»</w:t>
      </w:r>
      <w:bookmarkEnd w:id="6"/>
      <w:r>
        <w:rPr>
          <w:rFonts w:ascii="Arial" w:hAnsi="Arial" w:cs="Arial"/>
          <w:sz w:val="21"/>
          <w:szCs w:val="21"/>
        </w:rPr>
        <w:t xml:space="preserve">. </w:t>
      </w:r>
    </w:p>
    <w:p w14:paraId="36B2F21E" w14:textId="5FA151E0" w:rsidR="00384466" w:rsidRDefault="00384466" w:rsidP="008004FC">
      <w:pPr>
        <w:pStyle w:val="NormalWeb"/>
        <w:spacing w:before="0" w:beforeAutospacing="0" w:after="0" w:afterAutospacing="0" w:line="276" w:lineRule="auto"/>
        <w:contextualSpacing/>
        <w:jc w:val="both"/>
        <w:rPr>
          <w:rFonts w:ascii="Arial" w:hAnsi="Arial" w:cs="Arial"/>
          <w:sz w:val="22"/>
          <w:szCs w:val="22"/>
        </w:rPr>
      </w:pPr>
    </w:p>
    <w:p w14:paraId="4A54C3B6" w14:textId="22E01109" w:rsidR="00AC6C90" w:rsidRPr="00384466" w:rsidRDefault="00AC6C90" w:rsidP="008004FC">
      <w:pPr>
        <w:pStyle w:val="NormalWeb"/>
        <w:numPr>
          <w:ilvl w:val="0"/>
          <w:numId w:val="8"/>
        </w:numPr>
        <w:spacing w:before="0" w:beforeAutospacing="0" w:after="0" w:afterAutospacing="0" w:line="276" w:lineRule="auto"/>
        <w:contextualSpacing/>
        <w:jc w:val="both"/>
        <w:rPr>
          <w:rFonts w:ascii="Arial" w:hAnsi="Arial" w:cs="Arial"/>
          <w:sz w:val="22"/>
          <w:szCs w:val="22"/>
        </w:rPr>
      </w:pPr>
      <w:r w:rsidRPr="00FE1418">
        <w:rPr>
          <w:rFonts w:ascii="Arial" w:eastAsia="Calibri" w:hAnsi="Arial" w:cs="Arial"/>
          <w:b/>
          <w:color w:val="000000" w:themeColor="text1"/>
          <w:sz w:val="22"/>
          <w:lang w:val="es-ES_tradnl"/>
        </w:rPr>
        <w:t>Consideraciones</w:t>
      </w:r>
    </w:p>
    <w:p w14:paraId="14C799C5" w14:textId="77777777" w:rsidR="00AC6C90" w:rsidRPr="00FE1418" w:rsidRDefault="00AC6C90" w:rsidP="008004FC">
      <w:pPr>
        <w:spacing w:line="276" w:lineRule="auto"/>
        <w:contextualSpacing/>
        <w:jc w:val="both"/>
        <w:rPr>
          <w:rFonts w:ascii="Arial" w:eastAsia="Calibri" w:hAnsi="Arial" w:cs="Arial"/>
          <w:sz w:val="22"/>
          <w:szCs w:val="22"/>
          <w:lang w:val="es-ES_tradnl"/>
        </w:rPr>
      </w:pPr>
    </w:p>
    <w:p w14:paraId="0E7E36F4" w14:textId="44E2C222" w:rsidR="00AC6C90" w:rsidRPr="00FE1418" w:rsidRDefault="00AC6C90" w:rsidP="00A705CA">
      <w:pPr>
        <w:spacing w:after="120" w:line="276" w:lineRule="auto"/>
        <w:jc w:val="both"/>
        <w:rPr>
          <w:rFonts w:ascii="Arial" w:eastAsia="Calibri" w:hAnsi="Arial" w:cs="Arial"/>
          <w:sz w:val="22"/>
          <w:szCs w:val="22"/>
          <w:lang w:val="es-ES_tradnl"/>
        </w:rPr>
      </w:pPr>
      <w:r w:rsidRPr="00FE1418">
        <w:rPr>
          <w:rFonts w:ascii="Arial" w:eastAsia="Calibri" w:hAnsi="Arial" w:cs="Arial"/>
          <w:sz w:val="22"/>
          <w:szCs w:val="22"/>
          <w:lang w:val="es-ES_tradnl"/>
        </w:rPr>
        <w:t xml:space="preserve">La Subdirección de Gestión Contractual responderá la consulta, luego de analizar </w:t>
      </w:r>
      <w:r w:rsidR="00307F1C">
        <w:rPr>
          <w:rFonts w:ascii="Arial" w:eastAsia="Calibri" w:hAnsi="Arial" w:cs="Arial"/>
          <w:sz w:val="22"/>
          <w:szCs w:val="22"/>
          <w:lang w:val="es-ES_tradnl"/>
        </w:rPr>
        <w:t>l</w:t>
      </w:r>
      <w:r w:rsidR="00872990">
        <w:rPr>
          <w:rFonts w:ascii="Arial" w:eastAsia="Calibri" w:hAnsi="Arial" w:cs="Arial"/>
          <w:sz w:val="22"/>
          <w:szCs w:val="22"/>
          <w:lang w:val="es-ES_tradnl"/>
        </w:rPr>
        <w:t>os</w:t>
      </w:r>
      <w:r w:rsidR="00307F1C">
        <w:rPr>
          <w:rFonts w:ascii="Arial" w:eastAsia="Calibri" w:hAnsi="Arial" w:cs="Arial"/>
          <w:sz w:val="22"/>
          <w:szCs w:val="22"/>
          <w:lang w:val="es-ES_tradnl"/>
        </w:rPr>
        <w:t xml:space="preserve"> </w:t>
      </w:r>
      <w:r w:rsidRPr="00FE1418">
        <w:rPr>
          <w:rFonts w:ascii="Arial" w:eastAsia="Calibri" w:hAnsi="Arial" w:cs="Arial"/>
          <w:sz w:val="22"/>
          <w:szCs w:val="22"/>
          <w:lang w:val="es-ES_tradnl"/>
        </w:rPr>
        <w:t>siguiente</w:t>
      </w:r>
      <w:r w:rsidR="00872990">
        <w:rPr>
          <w:rFonts w:ascii="Arial" w:eastAsia="Calibri" w:hAnsi="Arial" w:cs="Arial"/>
          <w:sz w:val="22"/>
          <w:szCs w:val="22"/>
          <w:lang w:val="es-ES_tradnl"/>
        </w:rPr>
        <w:t>s</w:t>
      </w:r>
      <w:r w:rsidRPr="00FE1418">
        <w:rPr>
          <w:rFonts w:ascii="Arial" w:eastAsia="Calibri" w:hAnsi="Arial" w:cs="Arial"/>
          <w:sz w:val="22"/>
          <w:szCs w:val="22"/>
          <w:lang w:val="es-ES_tradnl"/>
        </w:rPr>
        <w:t xml:space="preserve"> tema</w:t>
      </w:r>
      <w:r w:rsidR="00872990">
        <w:rPr>
          <w:rFonts w:ascii="Arial" w:eastAsia="Calibri" w:hAnsi="Arial" w:cs="Arial"/>
          <w:sz w:val="22"/>
          <w:szCs w:val="22"/>
          <w:lang w:val="es-ES_tradnl"/>
        </w:rPr>
        <w:t>s</w:t>
      </w:r>
      <w:r w:rsidRPr="00FE1418">
        <w:rPr>
          <w:rFonts w:ascii="Arial" w:eastAsia="Calibri" w:hAnsi="Arial" w:cs="Arial"/>
          <w:sz w:val="22"/>
          <w:szCs w:val="22"/>
          <w:lang w:val="es-ES_tradnl"/>
        </w:rPr>
        <w:t>: i</w:t>
      </w:r>
      <w:r w:rsidR="00384466">
        <w:rPr>
          <w:rFonts w:ascii="Arial" w:eastAsia="Calibri" w:hAnsi="Arial" w:cs="Arial"/>
          <w:sz w:val="22"/>
          <w:szCs w:val="22"/>
          <w:lang w:val="es-ES_tradnl"/>
        </w:rPr>
        <w:t>) capacidad residual: Generalidades</w:t>
      </w:r>
      <w:r w:rsidR="00872990">
        <w:rPr>
          <w:rFonts w:ascii="Arial" w:eastAsia="Calibri" w:hAnsi="Arial" w:cs="Arial"/>
          <w:sz w:val="22"/>
          <w:szCs w:val="22"/>
        </w:rPr>
        <w:t xml:space="preserve">; </w:t>
      </w:r>
      <w:proofErr w:type="spellStart"/>
      <w:r w:rsidR="00872990">
        <w:rPr>
          <w:rFonts w:ascii="Arial" w:eastAsia="Calibri" w:hAnsi="Arial" w:cs="Arial"/>
          <w:sz w:val="22"/>
          <w:szCs w:val="22"/>
        </w:rPr>
        <w:t>ii</w:t>
      </w:r>
      <w:proofErr w:type="spellEnd"/>
      <w:r w:rsidR="00872990">
        <w:rPr>
          <w:rFonts w:ascii="Arial" w:eastAsia="Calibri" w:hAnsi="Arial" w:cs="Arial"/>
          <w:sz w:val="22"/>
          <w:szCs w:val="22"/>
        </w:rPr>
        <w:t xml:space="preserve">) </w:t>
      </w:r>
      <w:bookmarkStart w:id="7" w:name="_Hlk81557838"/>
      <w:r w:rsidR="00872990" w:rsidRPr="003D4D1F">
        <w:rPr>
          <w:rFonts w:ascii="Arial" w:hAnsi="Arial" w:cs="Arial"/>
          <w:sz w:val="22"/>
          <w:szCs w:val="22"/>
        </w:rPr>
        <w:t xml:space="preserve">Contratos </w:t>
      </w:r>
      <w:proofErr w:type="gramStart"/>
      <w:r w:rsidR="00872990" w:rsidRPr="003D4D1F">
        <w:rPr>
          <w:rFonts w:ascii="Arial" w:hAnsi="Arial" w:cs="Arial"/>
          <w:sz w:val="22"/>
          <w:szCs w:val="22"/>
        </w:rPr>
        <w:t>a</w:t>
      </w:r>
      <w:proofErr w:type="gramEnd"/>
      <w:r w:rsidR="00872990" w:rsidRPr="003D4D1F">
        <w:rPr>
          <w:rFonts w:ascii="Arial" w:hAnsi="Arial" w:cs="Arial"/>
          <w:sz w:val="22"/>
          <w:szCs w:val="22"/>
        </w:rPr>
        <w:t xml:space="preserve"> tener en cuenta para el cálculo del factor Saldos de Contratos en Ejecución (SCE) de la fórmula para determinar la Capacidad Residual del Proponente (CRP)</w:t>
      </w:r>
      <w:bookmarkEnd w:id="7"/>
      <w:r w:rsidR="008004FC">
        <w:rPr>
          <w:rFonts w:ascii="Arial" w:hAnsi="Arial" w:cs="Arial"/>
          <w:sz w:val="22"/>
          <w:szCs w:val="22"/>
        </w:rPr>
        <w:t>.</w:t>
      </w:r>
    </w:p>
    <w:p w14:paraId="1B0EF201" w14:textId="4A3E75C8" w:rsidR="00AC6C90" w:rsidRPr="00464278" w:rsidRDefault="00AC6C90" w:rsidP="00464278">
      <w:pPr>
        <w:spacing w:before="120" w:line="276" w:lineRule="auto"/>
        <w:ind w:firstLine="705"/>
        <w:jc w:val="both"/>
        <w:textAlignment w:val="baseline"/>
        <w:rPr>
          <w:rFonts w:ascii="Segoe UI" w:hAnsi="Segoe UI" w:cs="Segoe UI"/>
          <w:sz w:val="14"/>
          <w:szCs w:val="14"/>
        </w:rPr>
      </w:pPr>
      <w:r w:rsidRPr="00FE1418">
        <w:rPr>
          <w:rFonts w:ascii="Arial" w:eastAsia="Calibri" w:hAnsi="Arial" w:cs="Arial"/>
          <w:sz w:val="22"/>
          <w:szCs w:val="22"/>
          <w:lang w:val="es-ES_tradnl"/>
        </w:rPr>
        <w:lastRenderedPageBreak/>
        <w:t xml:space="preserve">Es importante destacar que la Agencia Nacional de Contratación Pública – Colombia Compra Eficiente se pronunció </w:t>
      </w:r>
      <w:r w:rsidR="00464278" w:rsidRPr="003D4D1F">
        <w:rPr>
          <w:rFonts w:ascii="Arial" w:hAnsi="Arial" w:cs="Arial"/>
          <w:sz w:val="22"/>
        </w:rPr>
        <w:t>sobre la capacidad residual y la forma como esta se debe acreditar en los conceptos 2201913000006275 del 27 de agosto de 2019, 2201913000009465 del 20 de diciembre de 2019, 2201913000009642 y 2201913000009640 del 26 de diciembre de 2019; así como en los conceptos C–022 del 20 de febrero de 2020, C–089 del 4 de marzo de 2020, C–112 del 16 de marzo de 2020, C–133 del 25 de marzo de 2020, C–194 del 21 de abril de 2020, C–326 del 9 de junio de 2020, C–446 del 6 de julio de 2020,</w:t>
      </w:r>
      <w:r w:rsidR="00464278" w:rsidRPr="003D4D1F">
        <w:t xml:space="preserve"> </w:t>
      </w:r>
      <w:r w:rsidR="00464278" w:rsidRPr="003D4D1F">
        <w:rPr>
          <w:rFonts w:ascii="Arial" w:hAnsi="Arial" w:cs="Arial"/>
          <w:sz w:val="22"/>
        </w:rPr>
        <w:t>C-461 del 13 de julio de 2020, C–668 del 20 de noviembre de 2020, C–742 del 16 de diciembre de 2020, C–045 del 5 de marzo de 2021, C–003 del 26 de marzo de 2021, C–121 del 31 de marzo de 2021, C–143 del 9 de abril de 2021, C–202 del 7 de mayo de 2021, C–219 del 19 de mayo de 2021, C–368 del 28 de julio de 2021, C–392 del 5 de agosto de 2021, C–513 del 23 de septiembre de 2021</w:t>
      </w:r>
      <w:r w:rsidR="00AA2E16">
        <w:rPr>
          <w:rFonts w:ascii="Arial" w:hAnsi="Arial" w:cs="Arial"/>
          <w:sz w:val="22"/>
        </w:rPr>
        <w:t>,</w:t>
      </w:r>
      <w:r w:rsidR="00464278" w:rsidRPr="003D4D1F">
        <w:rPr>
          <w:rFonts w:ascii="Arial" w:hAnsi="Arial" w:cs="Arial"/>
          <w:sz w:val="22"/>
        </w:rPr>
        <w:t xml:space="preserve"> C–590 del 12 de octubre de 2021</w:t>
      </w:r>
      <w:r w:rsidR="00AA2E16">
        <w:rPr>
          <w:rFonts w:ascii="Arial" w:hAnsi="Arial" w:cs="Arial"/>
          <w:sz w:val="22"/>
        </w:rPr>
        <w:t>, C-013 del 17 de febrero de 2022, C-068 del 8 de marzo de 2022, C-070 del 14 de marzo de 2022, C-104 del 22 de marzo de 2022, C-173 del 6 de abril de 2022, C-220 del 22 de abril de 2022, C-306 del 16 de mayo de 2022, C-351 del 23 de mayo de 2022, C-392 del 16 de junio de 2022, C-402</w:t>
      </w:r>
      <w:r w:rsidR="009960C8">
        <w:rPr>
          <w:rFonts w:ascii="Arial" w:hAnsi="Arial" w:cs="Arial"/>
          <w:sz w:val="22"/>
        </w:rPr>
        <w:t xml:space="preserve"> del 28 de junio de 2022</w:t>
      </w:r>
      <w:r w:rsidR="00AA2E16">
        <w:rPr>
          <w:rFonts w:ascii="Arial" w:hAnsi="Arial" w:cs="Arial"/>
          <w:sz w:val="22"/>
        </w:rPr>
        <w:t>, C-463</w:t>
      </w:r>
      <w:r w:rsidR="009960C8">
        <w:rPr>
          <w:rFonts w:ascii="Arial" w:hAnsi="Arial" w:cs="Arial"/>
          <w:sz w:val="22"/>
        </w:rPr>
        <w:t xml:space="preserve"> del 19 de julio de 2022</w:t>
      </w:r>
      <w:r w:rsidR="00AA2E16">
        <w:rPr>
          <w:rFonts w:ascii="Arial" w:hAnsi="Arial" w:cs="Arial"/>
          <w:sz w:val="22"/>
        </w:rPr>
        <w:t>, C-536</w:t>
      </w:r>
      <w:r w:rsidR="009960C8">
        <w:rPr>
          <w:rFonts w:ascii="Arial" w:hAnsi="Arial" w:cs="Arial"/>
          <w:sz w:val="22"/>
        </w:rPr>
        <w:t xml:space="preserve"> del 22 de agosto de 2022</w:t>
      </w:r>
      <w:r w:rsidR="00AA2E16">
        <w:rPr>
          <w:rFonts w:ascii="Arial" w:hAnsi="Arial" w:cs="Arial"/>
          <w:sz w:val="22"/>
        </w:rPr>
        <w:t>, C-538</w:t>
      </w:r>
      <w:r w:rsidR="009960C8">
        <w:rPr>
          <w:rFonts w:ascii="Arial" w:hAnsi="Arial" w:cs="Arial"/>
          <w:sz w:val="22"/>
        </w:rPr>
        <w:t xml:space="preserve"> del 26 de agosto de 2022</w:t>
      </w:r>
      <w:r w:rsidR="00AA2E16">
        <w:rPr>
          <w:rFonts w:ascii="Arial" w:hAnsi="Arial" w:cs="Arial"/>
          <w:sz w:val="22"/>
        </w:rPr>
        <w:t>, C-545</w:t>
      </w:r>
      <w:r w:rsidR="009960C8">
        <w:rPr>
          <w:rFonts w:ascii="Arial" w:hAnsi="Arial" w:cs="Arial"/>
          <w:sz w:val="22"/>
        </w:rPr>
        <w:t xml:space="preserve"> del 29 de agosto de 2022</w:t>
      </w:r>
      <w:r w:rsidR="00AA2E16">
        <w:rPr>
          <w:rFonts w:ascii="Arial" w:hAnsi="Arial" w:cs="Arial"/>
          <w:sz w:val="22"/>
        </w:rPr>
        <w:t>, C-567</w:t>
      </w:r>
      <w:r w:rsidR="009960C8">
        <w:rPr>
          <w:rFonts w:ascii="Arial" w:hAnsi="Arial" w:cs="Arial"/>
          <w:sz w:val="22"/>
        </w:rPr>
        <w:t xml:space="preserve"> del 2 de septiembre de 2022</w:t>
      </w:r>
      <w:r w:rsidR="00AA2E16">
        <w:rPr>
          <w:rFonts w:ascii="Arial" w:hAnsi="Arial" w:cs="Arial"/>
          <w:sz w:val="22"/>
        </w:rPr>
        <w:t xml:space="preserve"> y C-615</w:t>
      </w:r>
      <w:r w:rsidR="009960C8">
        <w:rPr>
          <w:rFonts w:ascii="Arial" w:hAnsi="Arial" w:cs="Arial"/>
          <w:sz w:val="22"/>
        </w:rPr>
        <w:t xml:space="preserve"> del 19 de agosto de 2022</w:t>
      </w:r>
      <w:r w:rsidR="00464278" w:rsidRPr="003D4D1F">
        <w:rPr>
          <w:rFonts w:ascii="Arial" w:hAnsi="Arial" w:cs="Arial"/>
          <w:sz w:val="22"/>
        </w:rPr>
        <w:t>. En lo pertinente, las ideas expuestas en estos conceptos se reiteran y complementan a continuación.</w:t>
      </w:r>
      <w:r w:rsidR="00464278" w:rsidRPr="003D4D1F">
        <w:rPr>
          <w:rFonts w:ascii="Arial" w:hAnsi="Arial" w:cs="Arial"/>
          <w:sz w:val="22"/>
          <w:szCs w:val="22"/>
        </w:rPr>
        <w:t> </w:t>
      </w:r>
    </w:p>
    <w:p w14:paraId="0D72D169" w14:textId="77777777" w:rsidR="00384466" w:rsidRPr="00021C6E" w:rsidRDefault="00384466" w:rsidP="00A705CA">
      <w:pPr>
        <w:pStyle w:val="NormalWeb"/>
        <w:spacing w:before="0" w:beforeAutospacing="0" w:after="0" w:afterAutospacing="0" w:line="276" w:lineRule="auto"/>
        <w:contextualSpacing/>
        <w:jc w:val="both"/>
        <w:rPr>
          <w:rFonts w:ascii="Arial" w:hAnsi="Arial" w:cs="Arial"/>
          <w:sz w:val="22"/>
          <w:szCs w:val="22"/>
        </w:rPr>
      </w:pPr>
    </w:p>
    <w:p w14:paraId="08D8617F" w14:textId="77777777" w:rsidR="00384466" w:rsidRPr="003D4D1F" w:rsidRDefault="00384466" w:rsidP="00A705CA">
      <w:pPr>
        <w:spacing w:line="276" w:lineRule="auto"/>
        <w:contextualSpacing/>
        <w:jc w:val="both"/>
        <w:rPr>
          <w:rFonts w:ascii="Arial" w:hAnsi="Arial" w:cs="Arial"/>
          <w:b/>
          <w:bCs/>
          <w:sz w:val="22"/>
          <w:lang w:val="es-ES"/>
        </w:rPr>
      </w:pPr>
      <w:r w:rsidRPr="003D4D1F">
        <w:rPr>
          <w:rFonts w:ascii="Arial" w:eastAsia="Calibri" w:hAnsi="Arial" w:cs="Arial"/>
          <w:b/>
          <w:bCs/>
          <w:sz w:val="22"/>
          <w:szCs w:val="22"/>
          <w:lang w:val="es-ES"/>
        </w:rPr>
        <w:t>2.1.</w:t>
      </w:r>
      <w:r w:rsidRPr="003D4D1F">
        <w:rPr>
          <w:rFonts w:ascii="Arial" w:hAnsi="Arial" w:cs="Arial"/>
          <w:b/>
          <w:bCs/>
          <w:sz w:val="22"/>
          <w:lang w:val="es-ES"/>
        </w:rPr>
        <w:t xml:space="preserve"> Capacidad residual: Generalidades </w:t>
      </w:r>
    </w:p>
    <w:p w14:paraId="70210007" w14:textId="77777777" w:rsidR="00384466" w:rsidRPr="003D4D1F" w:rsidRDefault="00384466" w:rsidP="00A705CA">
      <w:pPr>
        <w:widowControl w:val="0"/>
        <w:autoSpaceDE w:val="0"/>
        <w:autoSpaceDN w:val="0"/>
        <w:spacing w:line="276" w:lineRule="auto"/>
        <w:contextualSpacing/>
        <w:jc w:val="both"/>
        <w:rPr>
          <w:rFonts w:ascii="Arial" w:eastAsia="Calibri" w:hAnsi="Arial" w:cs="Arial"/>
          <w:color w:val="000000"/>
          <w:sz w:val="22"/>
          <w:szCs w:val="22"/>
          <w:lang w:val="es-MX"/>
        </w:rPr>
      </w:pPr>
    </w:p>
    <w:p w14:paraId="2D890A88" w14:textId="02CB6C74" w:rsidR="00307F1C" w:rsidRPr="003D4D1F" w:rsidRDefault="00307F1C" w:rsidP="00307F1C">
      <w:pPr>
        <w:widowControl w:val="0"/>
        <w:autoSpaceDE w:val="0"/>
        <w:autoSpaceDN w:val="0"/>
        <w:spacing w:after="120" w:line="276" w:lineRule="auto"/>
        <w:jc w:val="both"/>
        <w:rPr>
          <w:rFonts w:ascii="Arial" w:eastAsia="Calibri" w:hAnsi="Arial" w:cs="Arial"/>
          <w:color w:val="000000"/>
          <w:sz w:val="22"/>
          <w:szCs w:val="22"/>
          <w:lang w:val="es-MX"/>
        </w:rPr>
      </w:pPr>
      <w:r w:rsidRPr="003D4D1F">
        <w:rPr>
          <w:rFonts w:ascii="Arial" w:eastAsia="Calibri" w:hAnsi="Arial" w:cs="Arial"/>
          <w:color w:val="000000"/>
          <w:sz w:val="22"/>
          <w:szCs w:val="22"/>
          <w:lang w:val="es-MX"/>
        </w:rPr>
        <w:t xml:space="preserve">De acuerdo con la definición establecida en el artículo 2.2.1.1.1.3.1. del Decreto 1082 de 2015, la capacidad residual es la aptitud de los oferentes para cumplir de manera oportuna y a cabalidad el objeto de un contrato de obra, sin que los demás compromisos contractuales que han adquirido afecten su habilidad para cumplir </w:t>
      </w:r>
      <w:r w:rsidR="00F93AAD">
        <w:rPr>
          <w:rFonts w:ascii="Arial" w:eastAsia="Calibri" w:hAnsi="Arial" w:cs="Arial"/>
          <w:color w:val="000000"/>
          <w:sz w:val="22"/>
          <w:szCs w:val="22"/>
          <w:lang w:val="es-MX"/>
        </w:rPr>
        <w:t xml:space="preserve">con </w:t>
      </w:r>
      <w:r w:rsidRPr="003D4D1F">
        <w:rPr>
          <w:rFonts w:ascii="Arial" w:eastAsia="Calibri" w:hAnsi="Arial" w:cs="Arial"/>
          <w:color w:val="000000"/>
          <w:sz w:val="22"/>
          <w:szCs w:val="22"/>
          <w:lang w:val="es-MX"/>
        </w:rPr>
        <w:t>el objeto del contrato que está en proceso de selección</w:t>
      </w:r>
      <w:r w:rsidRPr="003D4D1F">
        <w:rPr>
          <w:rFonts w:ascii="Arial" w:eastAsia="Calibri" w:hAnsi="Arial" w:cs="Arial"/>
          <w:color w:val="000000"/>
          <w:sz w:val="22"/>
          <w:szCs w:val="20"/>
          <w:vertAlign w:val="superscript"/>
          <w:lang w:val="es-MX"/>
        </w:rPr>
        <w:footnoteReference w:id="2"/>
      </w:r>
      <w:r w:rsidRPr="003D4D1F">
        <w:rPr>
          <w:rFonts w:ascii="Arial" w:eastAsia="Calibri" w:hAnsi="Arial" w:cs="Arial"/>
          <w:color w:val="000000"/>
          <w:sz w:val="22"/>
          <w:szCs w:val="22"/>
          <w:lang w:val="es-MX"/>
        </w:rPr>
        <w:t xml:space="preserve">. </w:t>
      </w:r>
      <w:bookmarkStart w:id="8" w:name="_Hlk115041701"/>
      <w:r w:rsidRPr="003D4D1F">
        <w:rPr>
          <w:rFonts w:ascii="Arial" w:eastAsia="Calibri" w:hAnsi="Arial" w:cs="Arial"/>
          <w:color w:val="000000"/>
          <w:sz w:val="22"/>
          <w:szCs w:val="22"/>
          <w:lang w:val="es-MX"/>
        </w:rPr>
        <w:t xml:space="preserve">Por su parte, el Consejo de Estado ha definido la capacidad residual </w:t>
      </w:r>
      <w:r w:rsidRPr="003D4D1F">
        <w:rPr>
          <w:rFonts w:ascii="Arial" w:eastAsia="Calibri" w:hAnsi="Arial" w:cs="Arial"/>
          <w:color w:val="000000"/>
          <w:sz w:val="22"/>
          <w:szCs w:val="22"/>
          <w:lang w:val="es-MX"/>
        </w:rPr>
        <w:lastRenderedPageBreak/>
        <w:t>como «[…] la diferencia que existe entre el potencial de contratación que se tiene y los compromisos que haya adquirido y que se encuentren en ejecución, para la fecha de presentación de la oferta»</w:t>
      </w:r>
      <w:bookmarkEnd w:id="8"/>
      <w:r w:rsidRPr="003D4D1F">
        <w:rPr>
          <w:rFonts w:ascii="Arial" w:eastAsia="Calibri" w:hAnsi="Arial" w:cs="Arial"/>
          <w:color w:val="000000"/>
          <w:sz w:val="22"/>
          <w:szCs w:val="22"/>
          <w:vertAlign w:val="superscript"/>
          <w:lang w:val="es-MX"/>
        </w:rPr>
        <w:footnoteReference w:id="3"/>
      </w:r>
      <w:r w:rsidRPr="003D4D1F">
        <w:rPr>
          <w:rFonts w:ascii="Arial" w:eastAsia="Calibri" w:hAnsi="Arial" w:cs="Arial"/>
          <w:color w:val="000000"/>
          <w:sz w:val="22"/>
          <w:szCs w:val="22"/>
          <w:lang w:val="es-MX"/>
        </w:rPr>
        <w:t>. En tales términos, la capacidad residual hace referencia a la suficiencia que tiene el proponente para asumir nuevas obligaciones que se derivan del contrato objeto del proceso de contratación, en relación con las obligaciones que ya adquirió frente a otros contratos.</w:t>
      </w:r>
    </w:p>
    <w:p w14:paraId="7D65CD3F" w14:textId="77777777" w:rsidR="00307F1C" w:rsidRPr="003D4D1F" w:rsidRDefault="00307F1C" w:rsidP="00307F1C">
      <w:pPr>
        <w:spacing w:before="120" w:line="276" w:lineRule="auto"/>
        <w:ind w:firstLine="708"/>
        <w:jc w:val="both"/>
        <w:rPr>
          <w:rFonts w:ascii="Arial" w:hAnsi="Arial" w:cs="Arial"/>
          <w:color w:val="000000"/>
          <w:sz w:val="22"/>
          <w:szCs w:val="22"/>
          <w:lang w:val="es-MX"/>
        </w:rPr>
      </w:pPr>
      <w:r w:rsidRPr="003D4D1F">
        <w:rPr>
          <w:rFonts w:ascii="Arial" w:hAnsi="Arial" w:cs="Arial"/>
          <w:color w:val="000000"/>
          <w:sz w:val="22"/>
          <w:szCs w:val="22"/>
          <w:lang w:val="es-MX"/>
        </w:rPr>
        <w:t xml:space="preserve">El artículo 6 de la Ley 1150 de 2007 estableció como condición «para poder participar en los procesos de selección de los contratos de obra, la capacidad residual del proponente o </w:t>
      </w:r>
      <w:r w:rsidRPr="003D4D1F">
        <w:rPr>
          <w:rFonts w:ascii="Arial" w:hAnsi="Arial" w:cs="Arial"/>
          <w:i/>
          <w:iCs/>
          <w:color w:val="000000"/>
          <w:sz w:val="22"/>
          <w:szCs w:val="22"/>
          <w:lang w:val="es-MX"/>
        </w:rPr>
        <w:t>K</w:t>
      </w:r>
      <w:r w:rsidRPr="003D4D1F">
        <w:rPr>
          <w:rFonts w:ascii="Arial" w:hAnsi="Arial" w:cs="Arial"/>
          <w:color w:val="000000"/>
          <w:sz w:val="22"/>
          <w:szCs w:val="22"/>
          <w:lang w:val="es-MX"/>
        </w:rPr>
        <w:t xml:space="preserve"> de contratación». Además, determinó que esta debe ser igual o superior a la establecida en los pliegos de condiciones, en los siguientes términos: </w:t>
      </w:r>
    </w:p>
    <w:p w14:paraId="457FD72B" w14:textId="77777777" w:rsidR="00307F1C" w:rsidRPr="003D4D1F" w:rsidRDefault="00307F1C" w:rsidP="00A705CA">
      <w:pPr>
        <w:ind w:right="709"/>
        <w:contextualSpacing/>
        <w:jc w:val="both"/>
        <w:rPr>
          <w:rFonts w:ascii="Arial" w:eastAsia="Calibri" w:hAnsi="Arial" w:cs="Arial"/>
          <w:color w:val="000000"/>
          <w:sz w:val="21"/>
          <w:szCs w:val="21"/>
          <w:lang w:val="es-MX"/>
        </w:rPr>
      </w:pPr>
    </w:p>
    <w:p w14:paraId="546E76CB" w14:textId="77777777" w:rsidR="00307F1C" w:rsidRDefault="00307F1C" w:rsidP="00A705CA">
      <w:pPr>
        <w:ind w:left="708" w:right="709"/>
        <w:contextualSpacing/>
        <w:jc w:val="both"/>
        <w:rPr>
          <w:rFonts w:ascii="Arial" w:hAnsi="Arial" w:cs="Arial"/>
          <w:sz w:val="21"/>
          <w:szCs w:val="21"/>
        </w:rPr>
      </w:pPr>
      <w:r w:rsidRPr="006337DF">
        <w:rPr>
          <w:rFonts w:ascii="Arial" w:hAnsi="Arial" w:cs="Arial"/>
          <w:sz w:val="21"/>
          <w:szCs w:val="21"/>
        </w:rPr>
        <w:t>«</w:t>
      </w:r>
      <w:r>
        <w:rPr>
          <w:rFonts w:ascii="Arial" w:hAnsi="Arial" w:cs="Arial"/>
          <w:sz w:val="21"/>
          <w:szCs w:val="21"/>
        </w:rPr>
        <w:t>[…]</w:t>
      </w:r>
    </w:p>
    <w:p w14:paraId="2CD03259" w14:textId="77777777" w:rsidR="00307F1C" w:rsidRDefault="00307F1C" w:rsidP="00A705CA">
      <w:pPr>
        <w:ind w:left="708" w:right="709"/>
        <w:contextualSpacing/>
        <w:jc w:val="both"/>
        <w:rPr>
          <w:rFonts w:ascii="Arial" w:hAnsi="Arial" w:cs="Arial"/>
          <w:sz w:val="21"/>
          <w:szCs w:val="21"/>
        </w:rPr>
      </w:pPr>
    </w:p>
    <w:p w14:paraId="4A2849B0" w14:textId="77777777" w:rsidR="00307F1C" w:rsidRPr="003D4D1F" w:rsidRDefault="00307F1C" w:rsidP="00A705CA">
      <w:pPr>
        <w:ind w:left="708" w:right="709"/>
        <w:contextualSpacing/>
        <w:jc w:val="both"/>
        <w:rPr>
          <w:rFonts w:ascii="Arial" w:eastAsia="Calibri" w:hAnsi="Arial" w:cs="Arial"/>
          <w:color w:val="000000"/>
          <w:sz w:val="21"/>
          <w:szCs w:val="21"/>
          <w:lang w:val="es-MX"/>
        </w:rPr>
      </w:pPr>
      <w:r w:rsidRPr="003D4D1F">
        <w:rPr>
          <w:rFonts w:ascii="Arial" w:eastAsia="Calibri" w:hAnsi="Arial" w:cs="Arial"/>
          <w:color w:val="000000"/>
          <w:sz w:val="21"/>
          <w:szCs w:val="21"/>
          <w:lang w:val="es-MX"/>
        </w:rPr>
        <w:t>Parágrafo 1°. Para poder participar en los procesos de selección de los contratos de obra y demás que señale el reglamento, la capacidad residual del proponente o K de contratación deberá ser igual o superior al que la entidad haya establecido para el efecto en los pliegos de condiciones.</w:t>
      </w:r>
    </w:p>
    <w:p w14:paraId="069FB81D" w14:textId="77777777" w:rsidR="00307F1C" w:rsidRPr="003D4D1F" w:rsidRDefault="00307F1C" w:rsidP="00A705CA">
      <w:pPr>
        <w:ind w:left="708" w:right="709"/>
        <w:contextualSpacing/>
        <w:jc w:val="both"/>
        <w:rPr>
          <w:rFonts w:ascii="Arial" w:eastAsia="Calibri" w:hAnsi="Arial" w:cs="Arial"/>
          <w:color w:val="000000"/>
          <w:sz w:val="21"/>
          <w:szCs w:val="21"/>
          <w:lang w:val="es-MX"/>
        </w:rPr>
      </w:pPr>
    </w:p>
    <w:p w14:paraId="3866D57A" w14:textId="77777777" w:rsidR="00307F1C" w:rsidRPr="003D4D1F" w:rsidRDefault="00307F1C" w:rsidP="00A705CA">
      <w:pPr>
        <w:ind w:left="708" w:right="709"/>
        <w:contextualSpacing/>
        <w:jc w:val="both"/>
        <w:rPr>
          <w:rFonts w:ascii="Arial" w:eastAsia="Calibri" w:hAnsi="Arial" w:cs="Arial"/>
          <w:color w:val="000000"/>
          <w:sz w:val="22"/>
          <w:szCs w:val="22"/>
          <w:lang w:val="es-MX"/>
        </w:rPr>
      </w:pPr>
      <w:r w:rsidRPr="003D4D1F">
        <w:rPr>
          <w:rFonts w:ascii="Arial" w:eastAsia="Calibri" w:hAnsi="Arial" w:cs="Arial"/>
          <w:color w:val="000000"/>
          <w:sz w:val="21"/>
          <w:szCs w:val="21"/>
          <w:lang w:val="es-MX"/>
        </w:rPr>
        <w:t>Para establecer la capacidad residual del proponente o K de contratación, se deberán considerar todos los contratos que tenga en ejecución el proponente al momento de presentar la oferta. El desarrollo y ejecución del contrato podrá dar lugar a que los valores que sean cancelados al contratista se consideren para establecer el real K de contratación, en cada oportunidad. El Gobierno Nacional reglamentará la materia.</w:t>
      </w:r>
    </w:p>
    <w:p w14:paraId="5C1871D9" w14:textId="77777777" w:rsidR="00307F1C" w:rsidRPr="003D4D1F" w:rsidRDefault="00307F1C" w:rsidP="00A705CA">
      <w:pPr>
        <w:widowControl w:val="0"/>
        <w:autoSpaceDE w:val="0"/>
        <w:autoSpaceDN w:val="0"/>
        <w:ind w:right="49"/>
        <w:contextualSpacing/>
        <w:rPr>
          <w:rFonts w:ascii="Arial" w:eastAsia="Arial" w:hAnsi="Arial" w:cs="Arial"/>
          <w:sz w:val="22"/>
          <w:szCs w:val="22"/>
        </w:rPr>
      </w:pPr>
    </w:p>
    <w:p w14:paraId="30D48B71" w14:textId="77777777" w:rsidR="00307F1C" w:rsidRPr="003D4D1F" w:rsidRDefault="00307F1C" w:rsidP="00A705CA">
      <w:pPr>
        <w:spacing w:after="120" w:line="276" w:lineRule="auto"/>
        <w:ind w:firstLine="709"/>
        <w:jc w:val="both"/>
        <w:rPr>
          <w:rFonts w:ascii="Arial" w:hAnsi="Arial" w:cs="Arial"/>
          <w:color w:val="000000"/>
          <w:sz w:val="22"/>
          <w:szCs w:val="22"/>
          <w:lang w:val="es-MX"/>
        </w:rPr>
      </w:pPr>
      <w:r w:rsidRPr="003D4D1F">
        <w:rPr>
          <w:rFonts w:ascii="Arial" w:hAnsi="Arial" w:cs="Arial"/>
          <w:color w:val="000000"/>
          <w:sz w:val="22"/>
          <w:szCs w:val="22"/>
          <w:lang w:val="es-MX"/>
        </w:rPr>
        <w:t xml:space="preserve">Por su parte, el artículo 72 de la Ley 1682 de 2013, por la cual se adoptan medidas y disposiciones para los proyectos de infraestructura de transporte, estableció que la capacidad residual del proponente se debe calcular mediante la evaluación de los siguientes factores: Experiencia –E–, Capacidad Financiera –CF–, Capacidad Técnica –CT– y Capacidad de </w:t>
      </w:r>
      <w:r w:rsidRPr="003D4D1F">
        <w:rPr>
          <w:rFonts w:ascii="Arial" w:eastAsia="Calibri" w:hAnsi="Arial" w:cs="Arial"/>
          <w:bCs/>
          <w:color w:val="000000"/>
          <w:sz w:val="22"/>
          <w:szCs w:val="22"/>
          <w:lang w:val="es-MX"/>
        </w:rPr>
        <w:t>Organización</w:t>
      </w:r>
      <w:r w:rsidRPr="003D4D1F">
        <w:rPr>
          <w:rFonts w:ascii="Arial" w:hAnsi="Arial" w:cs="Arial"/>
          <w:color w:val="000000"/>
          <w:sz w:val="22"/>
          <w:szCs w:val="22"/>
          <w:lang w:val="es-MX"/>
        </w:rPr>
        <w:t xml:space="preserve"> –CO–. </w:t>
      </w:r>
    </w:p>
    <w:p w14:paraId="64F64052" w14:textId="37657D55" w:rsidR="00307F1C" w:rsidRPr="003D4D1F" w:rsidRDefault="00307F1C" w:rsidP="00307F1C">
      <w:pPr>
        <w:spacing w:before="120" w:line="276" w:lineRule="auto"/>
        <w:ind w:firstLine="709"/>
        <w:jc w:val="both"/>
        <w:rPr>
          <w:rFonts w:ascii="Arial" w:eastAsia="Calibri" w:hAnsi="Arial" w:cs="Arial"/>
          <w:color w:val="000000"/>
          <w:sz w:val="22"/>
          <w:szCs w:val="22"/>
          <w:lang w:val="es-MX"/>
        </w:rPr>
      </w:pPr>
      <w:r w:rsidRPr="003D4D1F">
        <w:rPr>
          <w:rFonts w:ascii="Arial" w:eastAsia="Calibri" w:hAnsi="Arial" w:cs="Arial"/>
          <w:color w:val="000000"/>
          <w:sz w:val="22"/>
          <w:szCs w:val="22"/>
          <w:lang w:val="es-MX"/>
        </w:rPr>
        <w:t xml:space="preserve">Igualmente, el artículo 2.2.1.1.1.6.4 del Decreto 1082 de 2015, establece que las entidades estatales deberán calcular la capacidad residual conforme a la metodología definida por </w:t>
      </w:r>
      <w:r w:rsidR="00F56F47">
        <w:rPr>
          <w:rFonts w:ascii="Arial" w:eastAsia="Calibri" w:hAnsi="Arial" w:cs="Arial"/>
          <w:color w:val="000000"/>
          <w:sz w:val="22"/>
          <w:szCs w:val="22"/>
          <w:lang w:val="es-MX"/>
        </w:rPr>
        <w:t xml:space="preserve">la Agencia Nacional de Contratación - </w:t>
      </w:r>
      <w:r w:rsidRPr="003D4D1F">
        <w:rPr>
          <w:rFonts w:ascii="Arial" w:eastAsia="Calibri" w:hAnsi="Arial" w:cs="Arial"/>
          <w:color w:val="000000"/>
          <w:sz w:val="22"/>
          <w:szCs w:val="22"/>
          <w:lang w:val="es-MX"/>
        </w:rPr>
        <w:t>Colombia Compre Eficiente y precisó que, para tales fines, resulta necesario tener en cuenta los factores de: i) experiencia; ii) capacidad financiera; iii) capacidad técnica; iv) capacidad de organización; y v) los saldos de los contratos en ejecución, así:</w:t>
      </w:r>
    </w:p>
    <w:p w14:paraId="560E7490" w14:textId="77777777" w:rsidR="00307F1C" w:rsidRPr="003D4D1F" w:rsidRDefault="00307F1C" w:rsidP="00307F1C">
      <w:pPr>
        <w:spacing w:line="276" w:lineRule="auto"/>
        <w:ind w:right="709"/>
        <w:jc w:val="both"/>
        <w:rPr>
          <w:rFonts w:ascii="Arial" w:eastAsia="Calibri" w:hAnsi="Arial" w:cs="Arial"/>
          <w:color w:val="000000"/>
          <w:sz w:val="21"/>
          <w:szCs w:val="21"/>
          <w:lang w:val="es-MX"/>
        </w:rPr>
      </w:pPr>
    </w:p>
    <w:p w14:paraId="039A8BF0" w14:textId="77777777" w:rsidR="00307F1C" w:rsidRDefault="00307F1C" w:rsidP="00307F1C">
      <w:pPr>
        <w:ind w:left="708" w:right="709"/>
        <w:jc w:val="both"/>
        <w:rPr>
          <w:rFonts w:ascii="Arial" w:eastAsia="Calibri" w:hAnsi="Arial" w:cs="Arial"/>
          <w:color w:val="000000"/>
          <w:sz w:val="21"/>
          <w:szCs w:val="21"/>
          <w:lang w:val="es-MX"/>
        </w:rPr>
      </w:pPr>
      <w:r w:rsidRPr="006337DF">
        <w:rPr>
          <w:rFonts w:ascii="Arial" w:hAnsi="Arial" w:cs="Arial"/>
          <w:sz w:val="21"/>
          <w:szCs w:val="21"/>
        </w:rPr>
        <w:t>«</w:t>
      </w:r>
      <w:r w:rsidRPr="003D4D1F">
        <w:rPr>
          <w:rFonts w:ascii="Arial" w:eastAsia="Calibri" w:hAnsi="Arial" w:cs="Arial"/>
          <w:color w:val="000000"/>
          <w:sz w:val="21"/>
          <w:szCs w:val="21"/>
          <w:lang w:val="es-MX"/>
        </w:rPr>
        <w:t xml:space="preserve">Artículo 2.2.1.1.1.6.4. Capacidad Residual. El interesado en celebrar contratos de obra pública con Entidades Estatales debe acreditar su Capacidad Residual o K de Contratación con los siguientes documentos: </w:t>
      </w:r>
    </w:p>
    <w:p w14:paraId="5AF71E93" w14:textId="77777777" w:rsidR="00307F1C" w:rsidRDefault="00307F1C" w:rsidP="00307F1C">
      <w:pPr>
        <w:ind w:left="708" w:right="709"/>
        <w:jc w:val="both"/>
        <w:rPr>
          <w:rFonts w:ascii="Arial" w:eastAsia="Calibri" w:hAnsi="Arial" w:cs="Arial"/>
          <w:color w:val="000000"/>
          <w:sz w:val="21"/>
          <w:szCs w:val="21"/>
          <w:lang w:val="es-MX"/>
        </w:rPr>
      </w:pPr>
    </w:p>
    <w:p w14:paraId="555CC392" w14:textId="77777777" w:rsidR="00307F1C" w:rsidRPr="003D4D1F" w:rsidRDefault="00307F1C" w:rsidP="00307F1C">
      <w:pPr>
        <w:ind w:left="708" w:right="709"/>
        <w:jc w:val="both"/>
        <w:rPr>
          <w:rFonts w:ascii="Arial" w:eastAsia="Calibri" w:hAnsi="Arial" w:cs="Arial"/>
          <w:color w:val="000000"/>
          <w:sz w:val="21"/>
          <w:szCs w:val="21"/>
          <w:lang w:val="es-MX"/>
        </w:rPr>
      </w:pPr>
      <w:r w:rsidRPr="003D4D1F">
        <w:rPr>
          <w:rFonts w:ascii="Arial" w:eastAsia="Calibri" w:hAnsi="Arial" w:cs="Arial"/>
          <w:color w:val="000000"/>
          <w:sz w:val="21"/>
          <w:szCs w:val="21"/>
          <w:lang w:val="es-MX"/>
        </w:rPr>
        <w:t>[…]</w:t>
      </w:r>
    </w:p>
    <w:p w14:paraId="62C78D88" w14:textId="77777777" w:rsidR="00307F1C" w:rsidRPr="003D4D1F" w:rsidRDefault="00307F1C" w:rsidP="00307F1C">
      <w:pPr>
        <w:ind w:left="708" w:right="709"/>
        <w:jc w:val="both"/>
        <w:rPr>
          <w:rFonts w:ascii="Arial" w:eastAsia="Calibri" w:hAnsi="Arial" w:cs="Arial"/>
          <w:color w:val="000000"/>
          <w:sz w:val="21"/>
          <w:szCs w:val="21"/>
          <w:lang w:val="es-MX"/>
        </w:rPr>
      </w:pPr>
    </w:p>
    <w:p w14:paraId="1C8D7DEA" w14:textId="77777777" w:rsidR="00307F1C" w:rsidRPr="003D4D1F" w:rsidRDefault="00307F1C" w:rsidP="00307F1C">
      <w:pPr>
        <w:widowControl w:val="0"/>
        <w:autoSpaceDE w:val="0"/>
        <w:autoSpaceDN w:val="0"/>
        <w:spacing w:before="120" w:line="276" w:lineRule="auto"/>
        <w:ind w:left="708" w:right="616" w:firstLine="1"/>
        <w:jc w:val="both"/>
        <w:rPr>
          <w:rFonts w:ascii="Arial" w:eastAsia="Arial" w:hAnsi="Arial" w:cs="Arial"/>
          <w:sz w:val="22"/>
          <w:szCs w:val="22"/>
        </w:rPr>
      </w:pPr>
      <w:r w:rsidRPr="003D4D1F">
        <w:rPr>
          <w:rFonts w:ascii="Arial" w:eastAsia="Calibri" w:hAnsi="Arial" w:cs="Arial"/>
          <w:color w:val="000000"/>
          <w:sz w:val="21"/>
          <w:szCs w:val="21"/>
          <w:lang w:val="es-MX"/>
        </w:rPr>
        <w:t>La Entidad Estatal debe calcular la Capacidad Residual del proponente de acuerdo con la metodología que defina Colombia Compra Eficiente, teniendo en cuenta los factores de: Experiencia (E), Capacidad Financiera (CF), Capacidad Técnica (CT), Capacidad de Organización (CO), y los saldos de los contratos en ejecución (SCE).</w:t>
      </w:r>
    </w:p>
    <w:p w14:paraId="7B2435DF" w14:textId="77777777" w:rsidR="00307F1C" w:rsidRPr="003D4D1F" w:rsidRDefault="00307F1C" w:rsidP="00307F1C">
      <w:pPr>
        <w:widowControl w:val="0"/>
        <w:autoSpaceDE w:val="0"/>
        <w:autoSpaceDN w:val="0"/>
        <w:ind w:right="49"/>
        <w:rPr>
          <w:rFonts w:ascii="Arial" w:eastAsia="Arial" w:hAnsi="Arial" w:cs="Arial"/>
          <w:sz w:val="22"/>
          <w:szCs w:val="22"/>
        </w:rPr>
      </w:pPr>
    </w:p>
    <w:p w14:paraId="3733B13C" w14:textId="28FB5082" w:rsidR="00307F1C" w:rsidRPr="003D4D1F" w:rsidRDefault="00307F1C" w:rsidP="00307F1C">
      <w:pPr>
        <w:widowControl w:val="0"/>
        <w:autoSpaceDE w:val="0"/>
        <w:autoSpaceDN w:val="0"/>
        <w:spacing w:line="276" w:lineRule="auto"/>
        <w:ind w:firstLine="709"/>
        <w:jc w:val="both"/>
        <w:rPr>
          <w:rFonts w:ascii="Arial" w:eastAsia="Arial" w:hAnsi="Arial" w:cs="Arial"/>
          <w:sz w:val="22"/>
          <w:szCs w:val="22"/>
        </w:rPr>
      </w:pPr>
      <w:r w:rsidRPr="0088516E">
        <w:rPr>
          <w:rFonts w:ascii="Arial" w:eastAsia="Arial" w:hAnsi="Arial" w:cs="Arial"/>
          <w:sz w:val="22"/>
          <w:szCs w:val="22"/>
        </w:rPr>
        <w:t xml:space="preserve">De conformidad con lo anterior, esta Agencia expidió la </w:t>
      </w:r>
      <w:r w:rsidR="00F56F47" w:rsidRPr="00A705CA">
        <w:rPr>
          <w:rFonts w:ascii="Arial" w:hAnsi="Arial" w:cs="Arial"/>
          <w:sz w:val="22"/>
          <w:szCs w:val="22"/>
        </w:rPr>
        <w:t>«</w:t>
      </w:r>
      <w:r w:rsidRPr="0088516E">
        <w:rPr>
          <w:rFonts w:ascii="Arial" w:eastAsia="Arial" w:hAnsi="Arial" w:cs="Arial"/>
          <w:i/>
          <w:iCs/>
          <w:sz w:val="22"/>
          <w:szCs w:val="22"/>
        </w:rPr>
        <w:t>Guía para Determinar y Verificar la Capacidad Residual del Proponente en los Procesos de Contratación de Obra Pública</w:t>
      </w:r>
      <w:r w:rsidR="00F56F47" w:rsidRPr="00A705CA">
        <w:rPr>
          <w:rFonts w:ascii="Arial" w:hAnsi="Arial" w:cs="Arial"/>
          <w:sz w:val="22"/>
          <w:szCs w:val="22"/>
        </w:rPr>
        <w:t>»</w:t>
      </w:r>
      <w:r w:rsidR="005839D8" w:rsidRPr="00A705CA">
        <w:rPr>
          <w:rStyle w:val="Refdenotaalpie"/>
          <w:rFonts w:ascii="Arial" w:hAnsi="Arial" w:cs="Arial"/>
          <w:sz w:val="22"/>
          <w:szCs w:val="22"/>
        </w:rPr>
        <w:footnoteReference w:id="4"/>
      </w:r>
      <w:r w:rsidRPr="0088516E">
        <w:rPr>
          <w:rFonts w:ascii="Arial" w:eastAsia="Arial" w:hAnsi="Arial" w:cs="Arial"/>
          <w:sz w:val="22"/>
          <w:szCs w:val="22"/>
        </w:rPr>
        <w:t>.</w:t>
      </w:r>
      <w:r w:rsidRPr="003D4D1F">
        <w:rPr>
          <w:rFonts w:ascii="Arial" w:eastAsia="Arial" w:hAnsi="Arial" w:cs="Arial"/>
          <w:sz w:val="22"/>
          <w:szCs w:val="22"/>
        </w:rPr>
        <w:t xml:space="preserve"> En este documento se establece, entre otras cuestiones, que a la entidad contratante le corresponde, primero, establecer la capacidad residual del proceso de contratación –</w:t>
      </w:r>
      <w:r w:rsidRPr="003D4D1F">
        <w:rPr>
          <w:rFonts w:ascii="Arial" w:eastAsia="Arial" w:hAnsi="Arial" w:cs="Arial"/>
          <w:i/>
          <w:iCs/>
          <w:sz w:val="22"/>
          <w:szCs w:val="22"/>
        </w:rPr>
        <w:t>CRPC–</w:t>
      </w:r>
      <w:r w:rsidRPr="003D4D1F">
        <w:rPr>
          <w:rFonts w:ascii="Arial" w:eastAsia="Arial" w:hAnsi="Arial" w:cs="Arial"/>
          <w:sz w:val="22"/>
          <w:szCs w:val="22"/>
        </w:rPr>
        <w:t xml:space="preserve"> y, segundo, determinar si los proponentes cumplen con la capacidad residual del proceso de contratación, claro está, teniendo en cuenta la siguiente información aportada por el proponente:</w:t>
      </w:r>
    </w:p>
    <w:p w14:paraId="55232323" w14:textId="77777777" w:rsidR="00307F1C" w:rsidRPr="003D4D1F" w:rsidRDefault="00307F1C" w:rsidP="00307F1C">
      <w:pPr>
        <w:widowControl w:val="0"/>
        <w:autoSpaceDE w:val="0"/>
        <w:autoSpaceDN w:val="0"/>
        <w:ind w:left="709" w:right="760"/>
        <w:jc w:val="both"/>
        <w:rPr>
          <w:rFonts w:ascii="Arial" w:eastAsia="Arial" w:hAnsi="Arial" w:cs="Arial"/>
          <w:sz w:val="22"/>
          <w:szCs w:val="22"/>
        </w:rPr>
      </w:pPr>
    </w:p>
    <w:p w14:paraId="4007D579" w14:textId="77777777" w:rsidR="00307F1C" w:rsidRPr="003D4D1F" w:rsidRDefault="00307F1C" w:rsidP="00307F1C">
      <w:pPr>
        <w:widowControl w:val="0"/>
        <w:numPr>
          <w:ilvl w:val="0"/>
          <w:numId w:val="42"/>
        </w:numPr>
        <w:tabs>
          <w:tab w:val="left" w:pos="993"/>
        </w:tabs>
        <w:autoSpaceDE w:val="0"/>
        <w:autoSpaceDN w:val="0"/>
        <w:ind w:left="709" w:right="709" w:firstLine="0"/>
        <w:jc w:val="both"/>
        <w:rPr>
          <w:rFonts w:ascii="Arial" w:eastAsia="Arial" w:hAnsi="Arial" w:cs="Arial"/>
          <w:sz w:val="22"/>
          <w:szCs w:val="22"/>
        </w:rPr>
      </w:pPr>
      <w:r w:rsidRPr="003D4D1F">
        <w:rPr>
          <w:rFonts w:ascii="Arial" w:eastAsia="Arial" w:hAnsi="Arial" w:cs="Arial"/>
          <w:sz w:val="22"/>
          <w:szCs w:val="22"/>
        </w:rPr>
        <w:t>La lista de los Contratos en Ejecución, así como el valor y plazo de tales contratos.</w:t>
      </w:r>
    </w:p>
    <w:p w14:paraId="0795620B" w14:textId="77777777" w:rsidR="00307F1C" w:rsidRPr="003D4D1F" w:rsidRDefault="00307F1C" w:rsidP="00307F1C">
      <w:pPr>
        <w:widowControl w:val="0"/>
        <w:tabs>
          <w:tab w:val="left" w:pos="993"/>
        </w:tabs>
        <w:autoSpaceDE w:val="0"/>
        <w:autoSpaceDN w:val="0"/>
        <w:ind w:left="709" w:right="709"/>
        <w:jc w:val="both"/>
        <w:rPr>
          <w:rFonts w:ascii="Arial" w:eastAsia="Arial" w:hAnsi="Arial" w:cs="Arial"/>
          <w:sz w:val="22"/>
          <w:szCs w:val="22"/>
        </w:rPr>
      </w:pPr>
    </w:p>
    <w:p w14:paraId="08DF06BB" w14:textId="77777777" w:rsidR="00307F1C" w:rsidRPr="003D4D1F" w:rsidRDefault="00307F1C" w:rsidP="00307F1C">
      <w:pPr>
        <w:widowControl w:val="0"/>
        <w:numPr>
          <w:ilvl w:val="0"/>
          <w:numId w:val="42"/>
        </w:numPr>
        <w:tabs>
          <w:tab w:val="left" w:pos="993"/>
        </w:tabs>
        <w:autoSpaceDE w:val="0"/>
        <w:autoSpaceDN w:val="0"/>
        <w:ind w:left="709" w:right="709" w:firstLine="0"/>
        <w:jc w:val="both"/>
        <w:rPr>
          <w:rFonts w:ascii="Arial" w:eastAsia="Arial" w:hAnsi="Arial" w:cs="Arial"/>
          <w:sz w:val="22"/>
          <w:szCs w:val="22"/>
        </w:rPr>
      </w:pPr>
      <w:r w:rsidRPr="003D4D1F">
        <w:rPr>
          <w:rFonts w:ascii="Arial" w:eastAsia="Arial" w:hAnsi="Arial" w:cs="Arial"/>
          <w:sz w:val="22"/>
          <w:szCs w:val="22"/>
        </w:rPr>
        <w:t>La lista de los Contratos en Ejecución, suscritos por sociedades, consorcios o uniones temporales, en los cuales el proponente tenga participación, así como el valor y plazo de tales contratos.</w:t>
      </w:r>
    </w:p>
    <w:p w14:paraId="6F11F964" w14:textId="77777777" w:rsidR="00307F1C" w:rsidRPr="003D4D1F" w:rsidRDefault="00307F1C" w:rsidP="00307F1C">
      <w:pPr>
        <w:widowControl w:val="0"/>
        <w:tabs>
          <w:tab w:val="left" w:pos="993"/>
        </w:tabs>
        <w:autoSpaceDE w:val="0"/>
        <w:autoSpaceDN w:val="0"/>
        <w:ind w:right="709"/>
        <w:jc w:val="both"/>
        <w:rPr>
          <w:rFonts w:ascii="Arial" w:eastAsia="Arial" w:hAnsi="Arial" w:cs="Arial"/>
          <w:sz w:val="22"/>
          <w:szCs w:val="22"/>
        </w:rPr>
      </w:pPr>
    </w:p>
    <w:p w14:paraId="1F9959C8" w14:textId="77777777" w:rsidR="00307F1C" w:rsidRPr="003D4D1F" w:rsidRDefault="00307F1C" w:rsidP="00307F1C">
      <w:pPr>
        <w:widowControl w:val="0"/>
        <w:numPr>
          <w:ilvl w:val="0"/>
          <w:numId w:val="42"/>
        </w:numPr>
        <w:tabs>
          <w:tab w:val="left" w:pos="993"/>
        </w:tabs>
        <w:autoSpaceDE w:val="0"/>
        <w:autoSpaceDN w:val="0"/>
        <w:ind w:left="709" w:right="709" w:firstLine="0"/>
        <w:jc w:val="both"/>
        <w:rPr>
          <w:rFonts w:ascii="Arial" w:eastAsia="Arial" w:hAnsi="Arial" w:cs="Arial"/>
          <w:sz w:val="22"/>
          <w:szCs w:val="22"/>
        </w:rPr>
      </w:pPr>
      <w:r w:rsidRPr="003D4D1F">
        <w:rPr>
          <w:rFonts w:ascii="Arial" w:eastAsia="Arial" w:hAnsi="Arial" w:cs="Arial"/>
          <w:sz w:val="22"/>
          <w:szCs w:val="22"/>
        </w:rPr>
        <w:t>El estado de resultados auditado que contiene el mejor ingreso operacional de los últimos cinco (5) años y el balance general auditado del último año, suscrito por el interesado o su representante legal y el revisor fiscal si está obligado a tenerlo, o el auditor o contador si no está obligado a tener revisor fiscal. Si se trata de proponentes obligados a tener RUP, las Entidades Estatales solo deben solicitar como documento adicional el estado de resultados que contiene el mejor ingreso operacional de los últimos cinco (5) años puesto que la información de la liquidez se encuentra en el RUP.</w:t>
      </w:r>
    </w:p>
    <w:p w14:paraId="59160939" w14:textId="77777777" w:rsidR="00307F1C" w:rsidRPr="003D4D1F" w:rsidRDefault="00307F1C" w:rsidP="00307F1C">
      <w:pPr>
        <w:widowControl w:val="0"/>
        <w:autoSpaceDE w:val="0"/>
        <w:autoSpaceDN w:val="0"/>
        <w:spacing w:line="276" w:lineRule="auto"/>
        <w:ind w:firstLine="709"/>
        <w:jc w:val="both"/>
        <w:rPr>
          <w:rFonts w:ascii="Arial" w:eastAsia="Arial" w:hAnsi="Arial" w:cs="Arial"/>
          <w:sz w:val="22"/>
          <w:szCs w:val="22"/>
        </w:rPr>
      </w:pPr>
    </w:p>
    <w:p w14:paraId="3D6CB90F" w14:textId="6B77EF88" w:rsidR="00307F1C" w:rsidRPr="003D4D1F" w:rsidRDefault="00307F1C" w:rsidP="00307F1C">
      <w:pPr>
        <w:widowControl w:val="0"/>
        <w:autoSpaceDE w:val="0"/>
        <w:autoSpaceDN w:val="0"/>
        <w:spacing w:after="120" w:line="276" w:lineRule="auto"/>
        <w:ind w:firstLine="709"/>
        <w:jc w:val="both"/>
        <w:rPr>
          <w:rFonts w:ascii="Arial" w:eastAsia="Arial" w:hAnsi="Arial" w:cs="Arial"/>
          <w:sz w:val="22"/>
          <w:szCs w:val="22"/>
        </w:rPr>
      </w:pPr>
      <w:r w:rsidRPr="003D4D1F">
        <w:rPr>
          <w:rFonts w:ascii="Arial" w:eastAsia="Arial" w:hAnsi="Arial" w:cs="Arial"/>
          <w:sz w:val="22"/>
          <w:szCs w:val="22"/>
        </w:rPr>
        <w:t xml:space="preserve">Ahora bien, para lo primero, esto es, para establecer la capacidad residual del proceso de contratación «CRPC», se debe determinar si el plazo del contrato es superior a doce </w:t>
      </w:r>
      <w:r w:rsidR="00225F82">
        <w:rPr>
          <w:rFonts w:ascii="Arial" w:eastAsia="Arial" w:hAnsi="Arial" w:cs="Arial"/>
          <w:sz w:val="22"/>
          <w:szCs w:val="22"/>
        </w:rPr>
        <w:t xml:space="preserve">(12) </w:t>
      </w:r>
      <w:r w:rsidRPr="003D4D1F">
        <w:rPr>
          <w:rFonts w:ascii="Arial" w:eastAsia="Arial" w:hAnsi="Arial" w:cs="Arial"/>
          <w:sz w:val="22"/>
          <w:szCs w:val="22"/>
        </w:rPr>
        <w:t xml:space="preserve">meses. Si no lo es, la CRPC equivale al presupuesto oficial estimado del Proceso de Contratación menos el anticipo o pago anticipado cuando haya lugar. Si lo es, equivale a la proporción lineal de </w:t>
      </w:r>
      <w:r w:rsidR="00225F82">
        <w:rPr>
          <w:rFonts w:ascii="Arial" w:eastAsia="Arial" w:hAnsi="Arial" w:cs="Arial"/>
          <w:sz w:val="22"/>
          <w:szCs w:val="22"/>
        </w:rPr>
        <w:t>doce (</w:t>
      </w:r>
      <w:r w:rsidRPr="003D4D1F">
        <w:rPr>
          <w:rFonts w:ascii="Arial" w:eastAsia="Arial" w:hAnsi="Arial" w:cs="Arial"/>
          <w:sz w:val="22"/>
          <w:szCs w:val="22"/>
        </w:rPr>
        <w:t>12</w:t>
      </w:r>
      <w:r w:rsidR="00225F82">
        <w:rPr>
          <w:rFonts w:ascii="Arial" w:eastAsia="Arial" w:hAnsi="Arial" w:cs="Arial"/>
          <w:sz w:val="22"/>
          <w:szCs w:val="22"/>
        </w:rPr>
        <w:t>)</w:t>
      </w:r>
      <w:r w:rsidRPr="003D4D1F">
        <w:rPr>
          <w:rFonts w:ascii="Arial" w:eastAsia="Arial" w:hAnsi="Arial" w:cs="Arial"/>
          <w:sz w:val="22"/>
          <w:szCs w:val="22"/>
        </w:rPr>
        <w:t xml:space="preserve"> meses del presupuesto oficial estimado menos el anticipo o pago anticipado.</w:t>
      </w:r>
    </w:p>
    <w:p w14:paraId="0F0436C4" w14:textId="7C51BA5D" w:rsidR="00307F1C" w:rsidRPr="003D4D1F" w:rsidRDefault="00225F82" w:rsidP="00307F1C">
      <w:pPr>
        <w:widowControl w:val="0"/>
        <w:autoSpaceDE w:val="0"/>
        <w:autoSpaceDN w:val="0"/>
        <w:spacing w:before="120" w:after="120" w:line="276" w:lineRule="auto"/>
        <w:ind w:firstLine="709"/>
        <w:jc w:val="both"/>
        <w:rPr>
          <w:rFonts w:ascii="Arial" w:eastAsia="Arial" w:hAnsi="Arial" w:cs="Arial"/>
          <w:sz w:val="22"/>
          <w:szCs w:val="22"/>
        </w:rPr>
      </w:pPr>
      <w:r w:rsidRPr="003D4D1F">
        <w:rPr>
          <w:rFonts w:ascii="Arial" w:eastAsia="Arial" w:hAnsi="Arial" w:cs="Arial"/>
          <w:noProof/>
          <w:sz w:val="22"/>
          <w:szCs w:val="22"/>
        </w:rPr>
        <w:drawing>
          <wp:anchor distT="0" distB="0" distL="0" distR="0" simplePos="0" relativeHeight="251659264" behindDoc="0" locked="0" layoutInCell="1" allowOverlap="1" wp14:anchorId="632D8D1E" wp14:editId="31A90804">
            <wp:simplePos x="0" y="0"/>
            <wp:positionH relativeFrom="page">
              <wp:posOffset>1502410</wp:posOffset>
            </wp:positionH>
            <wp:positionV relativeFrom="paragraph">
              <wp:posOffset>1164590</wp:posOffset>
            </wp:positionV>
            <wp:extent cx="4319270" cy="628015"/>
            <wp:effectExtent l="0" t="0" r="5080" b="635"/>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2" cstate="print"/>
                    <a:stretch>
                      <a:fillRect/>
                    </a:stretch>
                  </pic:blipFill>
                  <pic:spPr>
                    <a:xfrm>
                      <a:off x="0" y="0"/>
                      <a:ext cx="4319270" cy="628015"/>
                    </a:xfrm>
                    <a:prstGeom prst="rect">
                      <a:avLst/>
                    </a:prstGeom>
                  </pic:spPr>
                </pic:pic>
              </a:graphicData>
            </a:graphic>
            <wp14:sizeRelH relativeFrom="margin">
              <wp14:pctWidth>0</wp14:pctWidth>
            </wp14:sizeRelH>
            <wp14:sizeRelV relativeFrom="margin">
              <wp14:pctHeight>0</wp14:pctHeight>
            </wp14:sizeRelV>
          </wp:anchor>
        </w:drawing>
      </w:r>
      <w:r w:rsidR="00307F1C" w:rsidRPr="003D4D1F">
        <w:rPr>
          <w:rFonts w:ascii="Arial" w:eastAsia="Arial" w:hAnsi="Arial" w:cs="Arial"/>
          <w:sz w:val="22"/>
          <w:szCs w:val="22"/>
        </w:rPr>
        <w:t xml:space="preserve">Para lo segundo, es decir, para verificar que cada proponente cumple con la CRPC, la entidad pública debe verificar que la capacidad residual del proponente «CRP» sea igual o superior a la capacidad referida en el párrafo precedente. De todas formas, previamente debe establecer la CRP, con fundamento en los siguientes factores: i) experiencia «E»; </w:t>
      </w:r>
      <w:proofErr w:type="spellStart"/>
      <w:r w:rsidR="00307F1C" w:rsidRPr="003D4D1F">
        <w:rPr>
          <w:rFonts w:ascii="Arial" w:eastAsia="Arial" w:hAnsi="Arial" w:cs="Arial"/>
          <w:sz w:val="22"/>
          <w:szCs w:val="22"/>
        </w:rPr>
        <w:t>ii</w:t>
      </w:r>
      <w:proofErr w:type="spellEnd"/>
      <w:r w:rsidR="00307F1C" w:rsidRPr="003D4D1F">
        <w:rPr>
          <w:rFonts w:ascii="Arial" w:eastAsia="Arial" w:hAnsi="Arial" w:cs="Arial"/>
          <w:sz w:val="22"/>
          <w:szCs w:val="22"/>
        </w:rPr>
        <w:t xml:space="preserve">) capacidad financiera «CF»; </w:t>
      </w:r>
      <w:proofErr w:type="spellStart"/>
      <w:r w:rsidR="00307F1C" w:rsidRPr="003D4D1F">
        <w:rPr>
          <w:rFonts w:ascii="Arial" w:eastAsia="Arial" w:hAnsi="Arial" w:cs="Arial"/>
          <w:sz w:val="22"/>
          <w:szCs w:val="22"/>
        </w:rPr>
        <w:t>iii</w:t>
      </w:r>
      <w:proofErr w:type="spellEnd"/>
      <w:r w:rsidR="00307F1C" w:rsidRPr="003D4D1F">
        <w:rPr>
          <w:rFonts w:ascii="Arial" w:eastAsia="Arial" w:hAnsi="Arial" w:cs="Arial"/>
          <w:sz w:val="22"/>
          <w:szCs w:val="22"/>
        </w:rPr>
        <w:t xml:space="preserve">) capacidad técnica «CT», </w:t>
      </w:r>
      <w:proofErr w:type="spellStart"/>
      <w:r w:rsidR="00307F1C" w:rsidRPr="003D4D1F">
        <w:rPr>
          <w:rFonts w:ascii="Arial" w:eastAsia="Arial" w:hAnsi="Arial" w:cs="Arial"/>
          <w:sz w:val="22"/>
          <w:szCs w:val="22"/>
        </w:rPr>
        <w:t>iv</w:t>
      </w:r>
      <w:proofErr w:type="spellEnd"/>
      <w:r w:rsidR="00307F1C" w:rsidRPr="003D4D1F">
        <w:rPr>
          <w:rFonts w:ascii="Arial" w:eastAsia="Arial" w:hAnsi="Arial" w:cs="Arial"/>
          <w:sz w:val="22"/>
          <w:szCs w:val="22"/>
        </w:rPr>
        <w:t>) capacidad de organización «CO»; y v) los saldos de los contratos en ejecución «SCE», según la siguiente fórmula:</w:t>
      </w:r>
    </w:p>
    <w:p w14:paraId="2FB5A72A" w14:textId="1767987D" w:rsidR="00307F1C" w:rsidRPr="003D4D1F" w:rsidRDefault="00307F1C" w:rsidP="00307F1C">
      <w:pPr>
        <w:widowControl w:val="0"/>
        <w:tabs>
          <w:tab w:val="left" w:pos="709"/>
          <w:tab w:val="left" w:pos="8080"/>
        </w:tabs>
        <w:autoSpaceDE w:val="0"/>
        <w:autoSpaceDN w:val="0"/>
        <w:spacing w:before="10"/>
        <w:ind w:right="49"/>
        <w:rPr>
          <w:rFonts w:ascii="Arial" w:eastAsia="Arial" w:hAnsi="Arial" w:cs="Arial"/>
          <w:sz w:val="22"/>
          <w:szCs w:val="22"/>
        </w:rPr>
      </w:pPr>
    </w:p>
    <w:p w14:paraId="71D03360" w14:textId="736E722B" w:rsidR="00307F1C" w:rsidRPr="003D4D1F" w:rsidRDefault="00307F1C" w:rsidP="00307F1C">
      <w:pPr>
        <w:widowControl w:val="0"/>
        <w:autoSpaceDE w:val="0"/>
        <w:autoSpaceDN w:val="0"/>
        <w:spacing w:before="120" w:after="120" w:line="276" w:lineRule="auto"/>
        <w:ind w:firstLine="709"/>
        <w:jc w:val="both"/>
        <w:rPr>
          <w:rFonts w:ascii="Arial" w:eastAsia="Arial" w:hAnsi="Arial" w:cs="Arial"/>
          <w:sz w:val="22"/>
          <w:szCs w:val="22"/>
        </w:rPr>
      </w:pPr>
      <w:r w:rsidRPr="003D4D1F">
        <w:rPr>
          <w:rFonts w:ascii="Arial" w:eastAsia="Arial" w:hAnsi="Arial" w:cs="Arial"/>
          <w:sz w:val="22"/>
          <w:szCs w:val="22"/>
        </w:rPr>
        <w:t>A cada uno de estos factores se les debe asignar</w:t>
      </w:r>
      <w:r w:rsidR="00225F82">
        <w:rPr>
          <w:rFonts w:ascii="Arial" w:eastAsia="Arial" w:hAnsi="Arial" w:cs="Arial"/>
          <w:sz w:val="22"/>
          <w:szCs w:val="22"/>
        </w:rPr>
        <w:t>, respectivamente,</w:t>
      </w:r>
      <w:r w:rsidRPr="003D4D1F">
        <w:rPr>
          <w:rFonts w:ascii="Arial" w:eastAsia="Arial" w:hAnsi="Arial" w:cs="Arial"/>
          <w:sz w:val="22"/>
          <w:szCs w:val="22"/>
        </w:rPr>
        <w:t xml:space="preserve"> l</w:t>
      </w:r>
      <w:r w:rsidR="00225F82">
        <w:rPr>
          <w:rFonts w:ascii="Arial" w:eastAsia="Arial" w:hAnsi="Arial" w:cs="Arial"/>
          <w:sz w:val="22"/>
          <w:szCs w:val="22"/>
        </w:rPr>
        <w:t>os</w:t>
      </w:r>
      <w:r w:rsidRPr="003D4D1F">
        <w:rPr>
          <w:rFonts w:ascii="Arial" w:eastAsia="Arial" w:hAnsi="Arial" w:cs="Arial"/>
          <w:sz w:val="22"/>
          <w:szCs w:val="22"/>
        </w:rPr>
        <w:t xml:space="preserve"> siguiente</w:t>
      </w:r>
      <w:r w:rsidR="00225F82">
        <w:rPr>
          <w:rFonts w:ascii="Arial" w:eastAsia="Arial" w:hAnsi="Arial" w:cs="Arial"/>
          <w:sz w:val="22"/>
          <w:szCs w:val="22"/>
        </w:rPr>
        <w:t>s</w:t>
      </w:r>
      <w:r w:rsidRPr="003D4D1F">
        <w:rPr>
          <w:rFonts w:ascii="Arial" w:eastAsia="Arial" w:hAnsi="Arial" w:cs="Arial"/>
          <w:sz w:val="22"/>
          <w:szCs w:val="22"/>
        </w:rPr>
        <w:t xml:space="preserve"> puntaje</w:t>
      </w:r>
      <w:r w:rsidR="00225F82">
        <w:rPr>
          <w:rFonts w:ascii="Arial" w:eastAsia="Arial" w:hAnsi="Arial" w:cs="Arial"/>
          <w:sz w:val="22"/>
          <w:szCs w:val="22"/>
        </w:rPr>
        <w:t>s</w:t>
      </w:r>
      <w:r w:rsidRPr="003D4D1F">
        <w:rPr>
          <w:rFonts w:ascii="Arial" w:eastAsia="Arial" w:hAnsi="Arial" w:cs="Arial"/>
          <w:sz w:val="22"/>
          <w:szCs w:val="22"/>
        </w:rPr>
        <w:t xml:space="preserve"> máximo</w:t>
      </w:r>
      <w:r w:rsidR="00225F82">
        <w:rPr>
          <w:rFonts w:ascii="Arial" w:eastAsia="Arial" w:hAnsi="Arial" w:cs="Arial"/>
          <w:sz w:val="22"/>
          <w:szCs w:val="22"/>
        </w:rPr>
        <w:t>s</w:t>
      </w:r>
      <w:r w:rsidRPr="003D4D1F">
        <w:rPr>
          <w:rFonts w:ascii="Arial" w:eastAsia="Arial" w:hAnsi="Arial" w:cs="Arial"/>
          <w:sz w:val="22"/>
          <w:szCs w:val="22"/>
        </w:rPr>
        <w:t xml:space="preserve">: i) «E» 120; </w:t>
      </w:r>
      <w:proofErr w:type="spellStart"/>
      <w:r w:rsidRPr="003D4D1F">
        <w:rPr>
          <w:rFonts w:ascii="Arial" w:eastAsia="Arial" w:hAnsi="Arial" w:cs="Arial"/>
          <w:sz w:val="22"/>
          <w:szCs w:val="22"/>
        </w:rPr>
        <w:t>ii</w:t>
      </w:r>
      <w:proofErr w:type="spellEnd"/>
      <w:r w:rsidRPr="003D4D1F">
        <w:rPr>
          <w:rFonts w:ascii="Arial" w:eastAsia="Arial" w:hAnsi="Arial" w:cs="Arial"/>
          <w:sz w:val="22"/>
          <w:szCs w:val="22"/>
        </w:rPr>
        <w:t xml:space="preserve">) «CF» 40; y </w:t>
      </w:r>
      <w:proofErr w:type="spellStart"/>
      <w:r w:rsidRPr="003D4D1F">
        <w:rPr>
          <w:rFonts w:ascii="Arial" w:eastAsia="Arial" w:hAnsi="Arial" w:cs="Arial"/>
          <w:sz w:val="22"/>
          <w:szCs w:val="22"/>
        </w:rPr>
        <w:t>iii</w:t>
      </w:r>
      <w:proofErr w:type="spellEnd"/>
      <w:r w:rsidRPr="003D4D1F">
        <w:rPr>
          <w:rFonts w:ascii="Arial" w:eastAsia="Arial" w:hAnsi="Arial" w:cs="Arial"/>
          <w:sz w:val="22"/>
          <w:szCs w:val="22"/>
        </w:rPr>
        <w:t>) «CT» 40. La «CO» no tiene asignación de puntaje en la fórmula, por un lado, porque su unidad de medida es en pesos colombianos «COP» y, por el otro, debido a que el mismo constituye un factor multiplicador de los demás factores en la fórmula. A continuación, se explicará, en términos generales, cómo calcular cada factor:</w:t>
      </w:r>
    </w:p>
    <w:p w14:paraId="5B4FD53F" w14:textId="2464F7B4" w:rsidR="00307F1C" w:rsidRPr="003D4D1F" w:rsidRDefault="00307F1C" w:rsidP="00307F1C">
      <w:pPr>
        <w:widowControl w:val="0"/>
        <w:numPr>
          <w:ilvl w:val="0"/>
          <w:numId w:val="43"/>
        </w:numPr>
        <w:tabs>
          <w:tab w:val="left" w:pos="993"/>
        </w:tabs>
        <w:autoSpaceDE w:val="0"/>
        <w:autoSpaceDN w:val="0"/>
        <w:spacing w:before="120" w:after="120" w:line="276" w:lineRule="auto"/>
        <w:ind w:left="0" w:firstLine="709"/>
        <w:jc w:val="both"/>
        <w:rPr>
          <w:rFonts w:ascii="Arial" w:eastAsia="Arial" w:hAnsi="Arial" w:cs="Arial"/>
          <w:i/>
          <w:iCs/>
          <w:sz w:val="22"/>
          <w:szCs w:val="22"/>
        </w:rPr>
      </w:pPr>
      <w:r w:rsidRPr="003D4D1F">
        <w:rPr>
          <w:rFonts w:ascii="Arial" w:eastAsia="Arial" w:hAnsi="Arial" w:cs="Arial"/>
          <w:i/>
          <w:iCs/>
          <w:sz w:val="22"/>
          <w:szCs w:val="22"/>
        </w:rPr>
        <w:t>Capacidad financiera (CF).</w:t>
      </w:r>
      <w:r w:rsidRPr="003D4D1F">
        <w:rPr>
          <w:rFonts w:ascii="Arial" w:eastAsia="Arial" w:hAnsi="Arial" w:cs="Arial"/>
          <w:sz w:val="22"/>
          <w:szCs w:val="22"/>
        </w:rPr>
        <w:t xml:space="preserve"> Se mide por el «índice de liquidez» y este, a su vez, corresponde al resultado de dividir el «activo corriente» sobre el «pasivo corriente». El resultado puede ser calificado entre </w:t>
      </w:r>
      <w:r w:rsidR="00225F82">
        <w:rPr>
          <w:rFonts w:ascii="Arial" w:eastAsia="Arial" w:hAnsi="Arial" w:cs="Arial"/>
          <w:sz w:val="22"/>
          <w:szCs w:val="22"/>
        </w:rPr>
        <w:t>veinte (</w:t>
      </w:r>
      <w:r w:rsidRPr="003D4D1F">
        <w:rPr>
          <w:rFonts w:ascii="Arial" w:eastAsia="Arial" w:hAnsi="Arial" w:cs="Arial"/>
          <w:sz w:val="22"/>
          <w:szCs w:val="22"/>
        </w:rPr>
        <w:t>20</w:t>
      </w:r>
      <w:r w:rsidR="00225F82">
        <w:rPr>
          <w:rFonts w:ascii="Arial" w:eastAsia="Arial" w:hAnsi="Arial" w:cs="Arial"/>
          <w:sz w:val="22"/>
          <w:szCs w:val="22"/>
        </w:rPr>
        <w:t>)</w:t>
      </w:r>
      <w:r w:rsidRPr="003D4D1F">
        <w:rPr>
          <w:rFonts w:ascii="Arial" w:eastAsia="Arial" w:hAnsi="Arial" w:cs="Arial"/>
          <w:sz w:val="22"/>
          <w:szCs w:val="22"/>
        </w:rPr>
        <w:t xml:space="preserve"> y cuarenta</w:t>
      </w:r>
      <w:r w:rsidR="00225F82">
        <w:rPr>
          <w:rFonts w:ascii="Arial" w:eastAsia="Arial" w:hAnsi="Arial" w:cs="Arial"/>
          <w:sz w:val="22"/>
          <w:szCs w:val="22"/>
        </w:rPr>
        <w:t xml:space="preserve"> (40)</w:t>
      </w:r>
      <w:r w:rsidRPr="003D4D1F">
        <w:rPr>
          <w:rFonts w:ascii="Arial" w:eastAsia="Arial" w:hAnsi="Arial" w:cs="Arial"/>
          <w:sz w:val="22"/>
          <w:szCs w:val="22"/>
        </w:rPr>
        <w:t xml:space="preserve"> puntos, según se explica en la Guía.</w:t>
      </w:r>
    </w:p>
    <w:p w14:paraId="20B4B6F8" w14:textId="09E0D995" w:rsidR="00307F1C" w:rsidRPr="003D4D1F" w:rsidRDefault="00307F1C" w:rsidP="00307F1C">
      <w:pPr>
        <w:widowControl w:val="0"/>
        <w:numPr>
          <w:ilvl w:val="0"/>
          <w:numId w:val="43"/>
        </w:numPr>
        <w:tabs>
          <w:tab w:val="left" w:pos="993"/>
        </w:tabs>
        <w:autoSpaceDE w:val="0"/>
        <w:autoSpaceDN w:val="0"/>
        <w:spacing w:before="120" w:after="120" w:line="276" w:lineRule="auto"/>
        <w:ind w:left="0" w:firstLine="709"/>
        <w:jc w:val="both"/>
        <w:rPr>
          <w:rFonts w:ascii="Arial" w:eastAsia="Arial" w:hAnsi="Arial" w:cs="Arial"/>
          <w:i/>
          <w:iCs/>
          <w:sz w:val="22"/>
          <w:szCs w:val="22"/>
        </w:rPr>
      </w:pPr>
      <w:r w:rsidRPr="003D4D1F">
        <w:rPr>
          <w:rFonts w:ascii="Arial" w:eastAsia="Arial" w:hAnsi="Arial" w:cs="Arial"/>
          <w:i/>
          <w:iCs/>
          <w:sz w:val="22"/>
          <w:szCs w:val="22"/>
        </w:rPr>
        <w:t>Capacidad técnica (CT)</w:t>
      </w:r>
      <w:r w:rsidRPr="003D4D1F">
        <w:rPr>
          <w:rFonts w:ascii="Arial" w:eastAsia="Arial" w:hAnsi="Arial" w:cs="Arial"/>
          <w:sz w:val="22"/>
          <w:szCs w:val="22"/>
        </w:rPr>
        <w:t xml:space="preserve">. Se determina teniendo en cuenta el número de socios y profesionales de la arquitectura, ingeniería y geología vinculados mediante una relación laboral o contractual. El puntaje a asignar, según la Guía, oscila entre </w:t>
      </w:r>
      <w:r w:rsidR="00225F82">
        <w:rPr>
          <w:rFonts w:ascii="Arial" w:eastAsia="Arial" w:hAnsi="Arial" w:cs="Arial"/>
          <w:sz w:val="22"/>
          <w:szCs w:val="22"/>
        </w:rPr>
        <w:t>veinte (</w:t>
      </w:r>
      <w:r w:rsidRPr="003D4D1F">
        <w:rPr>
          <w:rFonts w:ascii="Arial" w:eastAsia="Arial" w:hAnsi="Arial" w:cs="Arial"/>
          <w:sz w:val="22"/>
          <w:szCs w:val="22"/>
        </w:rPr>
        <w:t>20</w:t>
      </w:r>
      <w:r w:rsidR="00225F82">
        <w:rPr>
          <w:rFonts w:ascii="Arial" w:eastAsia="Arial" w:hAnsi="Arial" w:cs="Arial"/>
          <w:sz w:val="22"/>
          <w:szCs w:val="22"/>
        </w:rPr>
        <w:t>)</w:t>
      </w:r>
      <w:r w:rsidRPr="003D4D1F">
        <w:rPr>
          <w:rFonts w:ascii="Arial" w:eastAsia="Arial" w:hAnsi="Arial" w:cs="Arial"/>
          <w:sz w:val="22"/>
          <w:szCs w:val="22"/>
        </w:rPr>
        <w:t xml:space="preserve"> y </w:t>
      </w:r>
      <w:r w:rsidR="00225F82">
        <w:rPr>
          <w:rFonts w:ascii="Arial" w:eastAsia="Arial" w:hAnsi="Arial" w:cs="Arial"/>
          <w:sz w:val="22"/>
          <w:szCs w:val="22"/>
        </w:rPr>
        <w:t>cuarenta (</w:t>
      </w:r>
      <w:r w:rsidRPr="003D4D1F">
        <w:rPr>
          <w:rFonts w:ascii="Arial" w:eastAsia="Arial" w:hAnsi="Arial" w:cs="Arial"/>
          <w:sz w:val="22"/>
          <w:szCs w:val="22"/>
        </w:rPr>
        <w:t>40</w:t>
      </w:r>
      <w:r w:rsidR="00225F82">
        <w:rPr>
          <w:rFonts w:ascii="Arial" w:eastAsia="Arial" w:hAnsi="Arial" w:cs="Arial"/>
          <w:sz w:val="22"/>
          <w:szCs w:val="22"/>
        </w:rPr>
        <w:t>)</w:t>
      </w:r>
      <w:r w:rsidRPr="003D4D1F">
        <w:rPr>
          <w:rFonts w:ascii="Arial" w:eastAsia="Arial" w:hAnsi="Arial" w:cs="Arial"/>
          <w:sz w:val="22"/>
          <w:szCs w:val="22"/>
        </w:rPr>
        <w:t xml:space="preserve"> puntos. Para tales fines, se aclara, el proponente debe diligenciar el Anexo 2 de la «Guía para Determinar y Verificar la Capacidad Residual del Proponente en los Procesos de Contratación de Obra Pública» .</w:t>
      </w:r>
    </w:p>
    <w:p w14:paraId="4FDBFCD8" w14:textId="77777777" w:rsidR="00307F1C" w:rsidRPr="003D4D1F" w:rsidRDefault="00307F1C" w:rsidP="00307F1C">
      <w:pPr>
        <w:widowControl w:val="0"/>
        <w:numPr>
          <w:ilvl w:val="0"/>
          <w:numId w:val="43"/>
        </w:numPr>
        <w:tabs>
          <w:tab w:val="left" w:pos="993"/>
        </w:tabs>
        <w:autoSpaceDE w:val="0"/>
        <w:autoSpaceDN w:val="0"/>
        <w:spacing w:before="120" w:after="120" w:line="276" w:lineRule="auto"/>
        <w:ind w:left="0" w:firstLine="709"/>
        <w:jc w:val="both"/>
        <w:rPr>
          <w:rFonts w:ascii="Arial" w:eastAsia="Arial" w:hAnsi="Arial" w:cs="Arial"/>
          <w:i/>
          <w:iCs/>
          <w:sz w:val="22"/>
          <w:szCs w:val="22"/>
        </w:rPr>
      </w:pPr>
      <w:r w:rsidRPr="003D4D1F">
        <w:rPr>
          <w:rFonts w:ascii="Arial" w:eastAsia="Arial" w:hAnsi="Arial" w:cs="Arial"/>
          <w:i/>
          <w:iCs/>
          <w:sz w:val="22"/>
          <w:szCs w:val="22"/>
        </w:rPr>
        <w:t>Capacidad de organización (CO)</w:t>
      </w:r>
      <w:r w:rsidRPr="003D4D1F">
        <w:rPr>
          <w:rFonts w:ascii="Arial" w:eastAsia="Arial" w:hAnsi="Arial" w:cs="Arial"/>
          <w:sz w:val="22"/>
          <w:szCs w:val="22"/>
        </w:rPr>
        <w:t xml:space="preserve">. Corresponde a los ingresos operacionales, </w:t>
      </w:r>
      <w:r w:rsidRPr="003D4D1F">
        <w:rPr>
          <w:rFonts w:ascii="Arial" w:eastAsia="Arial" w:hAnsi="Arial" w:cs="Arial"/>
          <w:sz w:val="22"/>
          <w:szCs w:val="22"/>
        </w:rPr>
        <w:lastRenderedPageBreak/>
        <w:t>según el siguiente cuadro:</w:t>
      </w:r>
    </w:p>
    <w:tbl>
      <w:tblPr>
        <w:tblStyle w:val="Tablaconcuadrcula3"/>
        <w:tblW w:w="7933" w:type="dxa"/>
        <w:tblInd w:w="709" w:type="dxa"/>
        <w:tblLook w:val="04A0" w:firstRow="1" w:lastRow="0" w:firstColumn="1" w:lastColumn="0" w:noHBand="0" w:noVBand="1"/>
      </w:tblPr>
      <w:tblGrid>
        <w:gridCol w:w="4053"/>
        <w:gridCol w:w="3880"/>
      </w:tblGrid>
      <w:tr w:rsidR="00307F1C" w:rsidRPr="003D4D1F" w14:paraId="2B6A88E6" w14:textId="77777777" w:rsidTr="00A705CA">
        <w:trPr>
          <w:trHeight w:val="113"/>
        </w:trPr>
        <w:tc>
          <w:tcPr>
            <w:tcW w:w="4053" w:type="dxa"/>
            <w:shd w:val="clear" w:color="auto" w:fill="D9D9D9"/>
            <w:vAlign w:val="center"/>
          </w:tcPr>
          <w:p w14:paraId="457FBF83" w14:textId="77777777" w:rsidR="00307F1C" w:rsidRPr="003D4D1F" w:rsidRDefault="00307F1C" w:rsidP="00225F82">
            <w:pPr>
              <w:widowControl w:val="0"/>
              <w:tabs>
                <w:tab w:val="left" w:pos="993"/>
              </w:tabs>
              <w:autoSpaceDE w:val="0"/>
              <w:autoSpaceDN w:val="0"/>
              <w:spacing w:before="120" w:line="276" w:lineRule="auto"/>
              <w:ind w:right="51"/>
              <w:jc w:val="center"/>
              <w:rPr>
                <w:rFonts w:ascii="Arial" w:eastAsia="Arial" w:hAnsi="Arial" w:cs="Arial"/>
                <w:b/>
                <w:bCs/>
              </w:rPr>
            </w:pPr>
            <w:r w:rsidRPr="003D4D1F">
              <w:rPr>
                <w:rFonts w:ascii="Arial" w:eastAsia="Arial" w:hAnsi="Arial" w:cs="Arial"/>
                <w:b/>
                <w:bCs/>
              </w:rPr>
              <w:t>Años de información financiera</w:t>
            </w:r>
          </w:p>
        </w:tc>
        <w:tc>
          <w:tcPr>
            <w:tcW w:w="3880" w:type="dxa"/>
            <w:shd w:val="clear" w:color="auto" w:fill="D9D9D9"/>
            <w:vAlign w:val="center"/>
          </w:tcPr>
          <w:p w14:paraId="50E2E4A6" w14:textId="77777777" w:rsidR="00307F1C" w:rsidRPr="003D4D1F" w:rsidRDefault="00307F1C" w:rsidP="00225F82">
            <w:pPr>
              <w:widowControl w:val="0"/>
              <w:tabs>
                <w:tab w:val="left" w:pos="993"/>
              </w:tabs>
              <w:autoSpaceDE w:val="0"/>
              <w:autoSpaceDN w:val="0"/>
              <w:spacing w:before="120" w:line="276" w:lineRule="auto"/>
              <w:ind w:right="51"/>
              <w:jc w:val="center"/>
              <w:rPr>
                <w:rFonts w:ascii="Arial" w:eastAsia="Arial" w:hAnsi="Arial" w:cs="Arial"/>
                <w:b/>
                <w:bCs/>
              </w:rPr>
            </w:pPr>
            <w:r w:rsidRPr="003D4D1F">
              <w:rPr>
                <w:rFonts w:ascii="Arial" w:eastAsia="Arial" w:hAnsi="Arial" w:cs="Arial"/>
                <w:b/>
                <w:bCs/>
              </w:rPr>
              <w:t>Capacidad de organización</w:t>
            </w:r>
          </w:p>
        </w:tc>
      </w:tr>
      <w:tr w:rsidR="00307F1C" w:rsidRPr="003D4D1F" w14:paraId="6BEFFC20" w14:textId="77777777" w:rsidTr="00A705CA">
        <w:trPr>
          <w:trHeight w:val="544"/>
        </w:trPr>
        <w:tc>
          <w:tcPr>
            <w:tcW w:w="4053" w:type="dxa"/>
            <w:vAlign w:val="center"/>
          </w:tcPr>
          <w:p w14:paraId="3112BC2B" w14:textId="77777777" w:rsidR="00307F1C" w:rsidRPr="003D4D1F" w:rsidRDefault="00307F1C" w:rsidP="00170252">
            <w:pPr>
              <w:widowControl w:val="0"/>
              <w:tabs>
                <w:tab w:val="left" w:pos="993"/>
              </w:tabs>
              <w:autoSpaceDE w:val="0"/>
              <w:autoSpaceDN w:val="0"/>
              <w:spacing w:before="120" w:line="276" w:lineRule="auto"/>
              <w:ind w:right="51"/>
              <w:jc w:val="both"/>
              <w:rPr>
                <w:rFonts w:ascii="Arial" w:eastAsia="Arial" w:hAnsi="Arial" w:cs="Arial"/>
              </w:rPr>
            </w:pPr>
            <w:r w:rsidRPr="003D4D1F">
              <w:rPr>
                <w:rFonts w:ascii="Arial" w:eastAsia="Arial" w:hAnsi="Arial" w:cs="Arial"/>
              </w:rPr>
              <w:t>Cinco (5) años o más</w:t>
            </w:r>
          </w:p>
        </w:tc>
        <w:tc>
          <w:tcPr>
            <w:tcW w:w="3880" w:type="dxa"/>
            <w:vAlign w:val="center"/>
          </w:tcPr>
          <w:p w14:paraId="36C98494" w14:textId="77777777" w:rsidR="00307F1C" w:rsidRPr="003D4D1F" w:rsidRDefault="00307F1C" w:rsidP="00170252">
            <w:pPr>
              <w:widowControl w:val="0"/>
              <w:tabs>
                <w:tab w:val="left" w:pos="993"/>
              </w:tabs>
              <w:autoSpaceDE w:val="0"/>
              <w:autoSpaceDN w:val="0"/>
              <w:spacing w:before="120" w:line="276" w:lineRule="auto"/>
              <w:ind w:right="51"/>
              <w:jc w:val="both"/>
              <w:rPr>
                <w:rFonts w:ascii="Arial" w:eastAsia="Arial" w:hAnsi="Arial" w:cs="Arial"/>
              </w:rPr>
            </w:pPr>
            <w:r w:rsidRPr="003D4D1F">
              <w:rPr>
                <w:rFonts w:ascii="Arial" w:eastAsia="Arial" w:hAnsi="Arial" w:cs="Arial"/>
              </w:rPr>
              <w:t>Mayor ingreso operacional de los últimos cinco años</w:t>
            </w:r>
          </w:p>
        </w:tc>
      </w:tr>
      <w:tr w:rsidR="00307F1C" w:rsidRPr="003D4D1F" w14:paraId="2A484EFE" w14:textId="77777777" w:rsidTr="00A705CA">
        <w:tc>
          <w:tcPr>
            <w:tcW w:w="4053" w:type="dxa"/>
            <w:vAlign w:val="center"/>
          </w:tcPr>
          <w:p w14:paraId="70A85A13" w14:textId="77777777" w:rsidR="00307F1C" w:rsidRPr="003D4D1F" w:rsidRDefault="00307F1C" w:rsidP="00170252">
            <w:pPr>
              <w:widowControl w:val="0"/>
              <w:tabs>
                <w:tab w:val="left" w:pos="993"/>
              </w:tabs>
              <w:autoSpaceDE w:val="0"/>
              <w:autoSpaceDN w:val="0"/>
              <w:spacing w:before="120" w:line="276" w:lineRule="auto"/>
              <w:ind w:right="51"/>
              <w:jc w:val="both"/>
              <w:rPr>
                <w:rFonts w:ascii="Arial" w:eastAsia="Arial" w:hAnsi="Arial" w:cs="Arial"/>
              </w:rPr>
            </w:pPr>
            <w:r w:rsidRPr="003D4D1F">
              <w:rPr>
                <w:rFonts w:ascii="Arial" w:eastAsia="Arial" w:hAnsi="Arial" w:cs="Arial"/>
              </w:rPr>
              <w:t>Entre uno (1) y cinco (5) años</w:t>
            </w:r>
          </w:p>
        </w:tc>
        <w:tc>
          <w:tcPr>
            <w:tcW w:w="3880" w:type="dxa"/>
            <w:vAlign w:val="center"/>
          </w:tcPr>
          <w:p w14:paraId="05946DE3" w14:textId="77777777" w:rsidR="00307F1C" w:rsidRPr="003D4D1F" w:rsidRDefault="00307F1C" w:rsidP="00170252">
            <w:pPr>
              <w:widowControl w:val="0"/>
              <w:tabs>
                <w:tab w:val="left" w:pos="993"/>
              </w:tabs>
              <w:autoSpaceDE w:val="0"/>
              <w:autoSpaceDN w:val="0"/>
              <w:spacing w:before="120" w:line="276" w:lineRule="auto"/>
              <w:ind w:right="51"/>
              <w:jc w:val="both"/>
              <w:rPr>
                <w:rFonts w:ascii="Arial" w:eastAsia="Arial" w:hAnsi="Arial" w:cs="Arial"/>
              </w:rPr>
            </w:pPr>
            <w:r w:rsidRPr="003D4D1F">
              <w:rPr>
                <w:rFonts w:ascii="Arial" w:eastAsia="Arial" w:hAnsi="Arial" w:cs="Arial"/>
              </w:rPr>
              <w:t>Mayor ingreso operacional de los años de vida del oferente</w:t>
            </w:r>
          </w:p>
        </w:tc>
      </w:tr>
      <w:tr w:rsidR="00307F1C" w:rsidRPr="003D4D1F" w14:paraId="55B5F309" w14:textId="77777777" w:rsidTr="00A705CA">
        <w:tc>
          <w:tcPr>
            <w:tcW w:w="4053" w:type="dxa"/>
            <w:vAlign w:val="center"/>
          </w:tcPr>
          <w:p w14:paraId="330B4296" w14:textId="77777777" w:rsidR="00307F1C" w:rsidRPr="003D4D1F" w:rsidRDefault="00307F1C" w:rsidP="00170252">
            <w:pPr>
              <w:widowControl w:val="0"/>
              <w:tabs>
                <w:tab w:val="left" w:pos="993"/>
              </w:tabs>
              <w:autoSpaceDE w:val="0"/>
              <w:autoSpaceDN w:val="0"/>
              <w:spacing w:before="120" w:line="276" w:lineRule="auto"/>
              <w:ind w:right="51"/>
              <w:jc w:val="both"/>
              <w:rPr>
                <w:rFonts w:ascii="Arial" w:eastAsia="Arial" w:hAnsi="Arial" w:cs="Arial"/>
              </w:rPr>
            </w:pPr>
            <w:r w:rsidRPr="003D4D1F">
              <w:rPr>
                <w:rFonts w:ascii="Arial" w:eastAsia="Arial" w:hAnsi="Arial" w:cs="Arial"/>
              </w:rPr>
              <w:t>Menos de un (1) año</w:t>
            </w:r>
          </w:p>
        </w:tc>
        <w:tc>
          <w:tcPr>
            <w:tcW w:w="3880" w:type="dxa"/>
            <w:vAlign w:val="center"/>
          </w:tcPr>
          <w:p w14:paraId="520645F0" w14:textId="77777777" w:rsidR="00307F1C" w:rsidRPr="003D4D1F" w:rsidRDefault="00307F1C" w:rsidP="00170252">
            <w:pPr>
              <w:widowControl w:val="0"/>
              <w:tabs>
                <w:tab w:val="left" w:pos="993"/>
              </w:tabs>
              <w:autoSpaceDE w:val="0"/>
              <w:autoSpaceDN w:val="0"/>
              <w:spacing w:before="120" w:line="276" w:lineRule="auto"/>
              <w:ind w:right="51"/>
              <w:jc w:val="both"/>
              <w:rPr>
                <w:rFonts w:ascii="Arial" w:eastAsia="Arial" w:hAnsi="Arial" w:cs="Arial"/>
              </w:rPr>
            </w:pPr>
            <w:r w:rsidRPr="003D4D1F">
              <w:rPr>
                <w:rFonts w:ascii="Arial" w:eastAsia="Arial" w:hAnsi="Arial" w:cs="Arial"/>
              </w:rPr>
              <w:t>USD 125.000</w:t>
            </w:r>
          </w:p>
        </w:tc>
      </w:tr>
    </w:tbl>
    <w:p w14:paraId="40397ADC" w14:textId="747695E0" w:rsidR="00307F1C" w:rsidRPr="003D4D1F" w:rsidRDefault="00307F1C" w:rsidP="00170252">
      <w:pPr>
        <w:widowControl w:val="0"/>
        <w:numPr>
          <w:ilvl w:val="0"/>
          <w:numId w:val="43"/>
        </w:numPr>
        <w:tabs>
          <w:tab w:val="left" w:pos="993"/>
        </w:tabs>
        <w:autoSpaceDE w:val="0"/>
        <w:autoSpaceDN w:val="0"/>
        <w:spacing w:before="120" w:after="120" w:line="276" w:lineRule="auto"/>
        <w:ind w:left="0" w:firstLine="709"/>
        <w:jc w:val="both"/>
        <w:rPr>
          <w:rFonts w:ascii="Arial" w:eastAsia="Arial" w:hAnsi="Arial" w:cs="Arial"/>
          <w:sz w:val="22"/>
          <w:szCs w:val="22"/>
        </w:rPr>
      </w:pPr>
      <w:r w:rsidRPr="003D4D1F">
        <w:rPr>
          <w:rFonts w:ascii="Arial" w:eastAsia="Arial" w:hAnsi="Arial" w:cs="Arial"/>
          <w:i/>
          <w:iCs/>
          <w:sz w:val="22"/>
          <w:szCs w:val="22"/>
        </w:rPr>
        <w:t>Saldos de los Contratos en ejecución (SCE)</w:t>
      </w:r>
      <w:r w:rsidRPr="003D4D1F">
        <w:rPr>
          <w:rFonts w:ascii="Arial" w:eastAsia="Arial" w:hAnsi="Arial" w:cs="Arial"/>
          <w:sz w:val="22"/>
          <w:szCs w:val="22"/>
        </w:rPr>
        <w:t xml:space="preserve">. Debe hacerse linealmente y calculando una «ejecución diaria equivalente al valor del contrato dividido por el plazo del contrato expresado en días». El resultado obtenido se debe multiplicar por el número de días pendientes para cumplir el plazo del contrato. Si el número de días por ejecutar un contrato es superior a </w:t>
      </w:r>
      <w:r w:rsidR="00D96614">
        <w:rPr>
          <w:rFonts w:ascii="Arial" w:eastAsia="Arial" w:hAnsi="Arial" w:cs="Arial"/>
          <w:sz w:val="22"/>
          <w:szCs w:val="22"/>
        </w:rPr>
        <w:t>trecientos sesenta (</w:t>
      </w:r>
      <w:r w:rsidRPr="003D4D1F">
        <w:rPr>
          <w:rFonts w:ascii="Arial" w:eastAsia="Arial" w:hAnsi="Arial" w:cs="Arial"/>
          <w:sz w:val="22"/>
          <w:szCs w:val="22"/>
        </w:rPr>
        <w:t>360</w:t>
      </w:r>
      <w:r w:rsidR="00D96614">
        <w:rPr>
          <w:rFonts w:ascii="Arial" w:eastAsia="Arial" w:hAnsi="Arial" w:cs="Arial"/>
          <w:sz w:val="22"/>
          <w:szCs w:val="22"/>
        </w:rPr>
        <w:t>)</w:t>
      </w:r>
      <w:r w:rsidRPr="003D4D1F">
        <w:rPr>
          <w:rFonts w:ascii="Arial" w:eastAsia="Arial" w:hAnsi="Arial" w:cs="Arial"/>
          <w:sz w:val="22"/>
          <w:szCs w:val="22"/>
        </w:rPr>
        <w:t xml:space="preserve"> días, solo se tendrá en cuenta la proporción lineal de </w:t>
      </w:r>
      <w:r w:rsidR="00D96614">
        <w:rPr>
          <w:rFonts w:ascii="Arial" w:eastAsia="Arial" w:hAnsi="Arial" w:cs="Arial"/>
          <w:sz w:val="22"/>
          <w:szCs w:val="22"/>
        </w:rPr>
        <w:t>doce (</w:t>
      </w:r>
      <w:r w:rsidRPr="003D4D1F">
        <w:rPr>
          <w:rFonts w:ascii="Arial" w:eastAsia="Arial" w:hAnsi="Arial" w:cs="Arial"/>
          <w:sz w:val="22"/>
          <w:szCs w:val="22"/>
        </w:rPr>
        <w:t>12</w:t>
      </w:r>
      <w:r w:rsidR="00D96614">
        <w:rPr>
          <w:rFonts w:ascii="Arial" w:eastAsia="Arial" w:hAnsi="Arial" w:cs="Arial"/>
          <w:sz w:val="22"/>
          <w:szCs w:val="22"/>
        </w:rPr>
        <w:t>)</w:t>
      </w:r>
      <w:r w:rsidRPr="003D4D1F">
        <w:rPr>
          <w:rFonts w:ascii="Arial" w:eastAsia="Arial" w:hAnsi="Arial" w:cs="Arial"/>
          <w:sz w:val="22"/>
          <w:szCs w:val="22"/>
        </w:rPr>
        <w:t xml:space="preserve"> meses.</w:t>
      </w:r>
    </w:p>
    <w:p w14:paraId="3E1BBDAE" w14:textId="6F1EC09F" w:rsidR="00170252" w:rsidRDefault="00307F1C" w:rsidP="00170252">
      <w:pPr>
        <w:widowControl w:val="0"/>
        <w:numPr>
          <w:ilvl w:val="0"/>
          <w:numId w:val="43"/>
        </w:numPr>
        <w:tabs>
          <w:tab w:val="left" w:pos="993"/>
        </w:tabs>
        <w:autoSpaceDE w:val="0"/>
        <w:autoSpaceDN w:val="0"/>
        <w:spacing w:before="120" w:after="120" w:line="276" w:lineRule="auto"/>
        <w:ind w:left="0" w:firstLine="709"/>
        <w:jc w:val="both"/>
        <w:rPr>
          <w:rFonts w:ascii="Arial" w:eastAsia="Arial" w:hAnsi="Arial" w:cs="Arial"/>
          <w:sz w:val="22"/>
          <w:szCs w:val="22"/>
        </w:rPr>
      </w:pPr>
      <w:r w:rsidRPr="003D4D1F">
        <w:rPr>
          <w:rFonts w:ascii="Arial" w:eastAsia="Arial" w:hAnsi="Arial" w:cs="Arial"/>
          <w:i/>
          <w:iCs/>
          <w:sz w:val="22"/>
          <w:szCs w:val="22"/>
        </w:rPr>
        <w:t>Experiencia</w:t>
      </w:r>
      <w:r w:rsidRPr="003D4D1F">
        <w:rPr>
          <w:rFonts w:ascii="Arial" w:eastAsia="Arial" w:hAnsi="Arial" w:cs="Arial"/>
          <w:sz w:val="22"/>
          <w:szCs w:val="22"/>
        </w:rPr>
        <w:t xml:space="preserve"> </w:t>
      </w:r>
      <w:r w:rsidRPr="003D4D1F">
        <w:rPr>
          <w:rFonts w:ascii="Arial" w:eastAsia="Arial" w:hAnsi="Arial" w:cs="Arial"/>
          <w:i/>
          <w:iCs/>
          <w:sz w:val="22"/>
          <w:szCs w:val="22"/>
        </w:rPr>
        <w:t>(E).</w:t>
      </w:r>
      <w:r w:rsidRPr="003D4D1F">
        <w:rPr>
          <w:rFonts w:ascii="Arial" w:eastAsia="Arial" w:hAnsi="Arial" w:cs="Arial"/>
          <w:sz w:val="22"/>
          <w:szCs w:val="22"/>
        </w:rPr>
        <w:t xml:space="preserve"> Para los efectos de la capacidad residual, corresponde de un lado, a la relación entre «el valor total en pesos de los contratos relacionados con la actividad de la construcción inscritos por el proponente en el Registro Único de Proponentes “RUP” en el segmento 72 […] del Clasificador de Bienes y Servicios», y del otro, al </w:t>
      </w:r>
      <w:r w:rsidR="00170252">
        <w:rPr>
          <w:sz w:val="22"/>
          <w:szCs w:val="22"/>
        </w:rPr>
        <w:t>«</w:t>
      </w:r>
      <w:r w:rsidRPr="003D4D1F">
        <w:rPr>
          <w:rFonts w:ascii="Arial" w:eastAsia="Arial" w:hAnsi="Arial" w:cs="Arial"/>
          <w:sz w:val="22"/>
          <w:szCs w:val="22"/>
        </w:rPr>
        <w:t>presupuesto oficial estimado del Proceso de Contratación</w:t>
      </w:r>
      <w:r w:rsidR="00170252">
        <w:rPr>
          <w:sz w:val="22"/>
          <w:szCs w:val="22"/>
        </w:rPr>
        <w:t>»</w:t>
      </w:r>
      <w:r w:rsidRPr="003D4D1F">
        <w:rPr>
          <w:rFonts w:ascii="Arial" w:eastAsia="Arial" w:hAnsi="Arial" w:cs="Arial"/>
          <w:sz w:val="22"/>
          <w:szCs w:val="22"/>
        </w:rPr>
        <w:t>. La relación indica el número de veces que el proponente ha ejecutado contratos equivalentes a la cuantía del proceso de contratación</w:t>
      </w:r>
      <w:r w:rsidR="00170252">
        <w:rPr>
          <w:rFonts w:ascii="Arial" w:eastAsia="Arial" w:hAnsi="Arial" w:cs="Arial"/>
          <w:sz w:val="22"/>
          <w:szCs w:val="22"/>
        </w:rPr>
        <w:t>, según se explica en esta fórmula:</w:t>
      </w:r>
      <w:r w:rsidRPr="003D4D1F">
        <w:rPr>
          <w:rFonts w:ascii="Arial" w:eastAsia="Arial" w:hAnsi="Arial" w:cs="Arial"/>
          <w:sz w:val="22"/>
          <w:szCs w:val="22"/>
        </w:rPr>
        <w:t xml:space="preserve"> </w:t>
      </w:r>
    </w:p>
    <w:p w14:paraId="7599635C" w14:textId="2CFE980C" w:rsidR="00170252" w:rsidRPr="00170252" w:rsidRDefault="00170252" w:rsidP="00A705CA">
      <w:pPr>
        <w:widowControl w:val="0"/>
        <w:tabs>
          <w:tab w:val="left" w:pos="993"/>
        </w:tabs>
        <w:autoSpaceDE w:val="0"/>
        <w:autoSpaceDN w:val="0"/>
        <w:spacing w:before="120" w:after="120" w:line="276" w:lineRule="auto"/>
        <w:ind w:left="709"/>
        <w:jc w:val="center"/>
        <w:rPr>
          <w:rFonts w:ascii="Arial" w:eastAsia="Arial" w:hAnsi="Arial" w:cs="Arial"/>
          <w:sz w:val="22"/>
          <w:szCs w:val="22"/>
        </w:rPr>
      </w:pPr>
      <w:r>
        <w:rPr>
          <w:noProof/>
        </w:rPr>
        <w:drawing>
          <wp:inline distT="0" distB="0" distL="0" distR="0" wp14:anchorId="5F9D37DA" wp14:editId="26CC7172">
            <wp:extent cx="4579951" cy="600051"/>
            <wp:effectExtent l="0" t="0" r="0" b="0"/>
            <wp:docPr id="1996789253" name="Imagen 6"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789253" name="Imagen 6" descr="Imagen que contiene Texto&#10;&#10;Descripción generada automáticamente"/>
                    <pic:cNvPicPr/>
                  </pic:nvPicPr>
                  <pic:blipFill>
                    <a:blip r:embed="rId13">
                      <a:extLst>
                        <a:ext uri="{28A0092B-C50C-407E-A947-70E740481C1C}">
                          <a14:useLocalDpi xmlns:a14="http://schemas.microsoft.com/office/drawing/2010/main" val="0"/>
                        </a:ext>
                      </a:extLst>
                    </a:blip>
                    <a:stretch>
                      <a:fillRect/>
                    </a:stretch>
                  </pic:blipFill>
                  <pic:spPr>
                    <a:xfrm>
                      <a:off x="0" y="0"/>
                      <a:ext cx="4597440" cy="602342"/>
                    </a:xfrm>
                    <a:prstGeom prst="rect">
                      <a:avLst/>
                    </a:prstGeom>
                  </pic:spPr>
                </pic:pic>
              </a:graphicData>
            </a:graphic>
          </wp:inline>
        </w:drawing>
      </w:r>
    </w:p>
    <w:p w14:paraId="03A36394" w14:textId="2FEB15FC" w:rsidR="00251CB0" w:rsidRPr="00F110C9" w:rsidRDefault="00307F1C" w:rsidP="00872990">
      <w:pPr>
        <w:widowControl w:val="0"/>
        <w:autoSpaceDE w:val="0"/>
        <w:autoSpaceDN w:val="0"/>
        <w:spacing w:before="120" w:line="276" w:lineRule="auto"/>
        <w:ind w:firstLine="709"/>
        <w:jc w:val="both"/>
        <w:rPr>
          <w:rFonts w:ascii="Arial" w:eastAsia="Arial" w:hAnsi="Arial" w:cs="Arial"/>
          <w:sz w:val="22"/>
          <w:szCs w:val="22"/>
        </w:rPr>
      </w:pPr>
      <w:r w:rsidRPr="003D4D1F">
        <w:rPr>
          <w:rFonts w:ascii="Arial" w:eastAsia="Arial" w:hAnsi="Arial" w:cs="Arial"/>
          <w:sz w:val="22"/>
          <w:szCs w:val="22"/>
        </w:rPr>
        <w:t>En este contexto, resulta oportuno precisar que, si bien es cierto la entidad estatal es la que debe calcular la capacidad residual de los proponentes, también lo es que estos últimos, como se referenció, tienen la carga de aportar los documentos para acreditar su capacidad residual</w:t>
      </w:r>
      <w:r w:rsidRPr="003D4D1F">
        <w:rPr>
          <w:rFonts w:ascii="Arial" w:eastAsia="Arial" w:hAnsi="Arial" w:cs="Arial"/>
          <w:sz w:val="22"/>
          <w:szCs w:val="22"/>
          <w:vertAlign w:val="superscript"/>
        </w:rPr>
        <w:footnoteReference w:id="5"/>
      </w:r>
      <w:r w:rsidR="00170252">
        <w:rPr>
          <w:rFonts w:ascii="Arial" w:eastAsia="Arial" w:hAnsi="Arial" w:cs="Arial"/>
          <w:sz w:val="22"/>
          <w:szCs w:val="22"/>
        </w:rPr>
        <w:t>.</w:t>
      </w:r>
      <w:r w:rsidR="00D96614">
        <w:rPr>
          <w:rFonts w:ascii="Arial" w:eastAsia="Arial" w:hAnsi="Arial" w:cs="Arial"/>
          <w:sz w:val="22"/>
          <w:szCs w:val="22"/>
        </w:rPr>
        <w:t xml:space="preserve"> De cara a la consulta planteada, </w:t>
      </w:r>
      <w:r w:rsidR="00D96614">
        <w:rPr>
          <w:rFonts w:ascii="Arial" w:hAnsi="Arial" w:cs="Arial"/>
          <w:sz w:val="22"/>
          <w:szCs w:val="22"/>
        </w:rPr>
        <w:t>e</w:t>
      </w:r>
      <w:r w:rsidR="00D96614" w:rsidRPr="003D4D1F">
        <w:rPr>
          <w:rFonts w:ascii="Arial" w:hAnsi="Arial" w:cs="Arial"/>
          <w:sz w:val="22"/>
          <w:szCs w:val="22"/>
        </w:rPr>
        <w:t xml:space="preserve">s </w:t>
      </w:r>
      <w:r w:rsidRPr="003D4D1F">
        <w:rPr>
          <w:rFonts w:ascii="Arial" w:hAnsi="Arial" w:cs="Arial"/>
          <w:sz w:val="22"/>
          <w:szCs w:val="22"/>
        </w:rPr>
        <w:t>necesario tener en cuenta</w:t>
      </w:r>
      <w:r>
        <w:rPr>
          <w:rFonts w:ascii="Arial" w:hAnsi="Arial" w:cs="Arial"/>
          <w:sz w:val="22"/>
          <w:szCs w:val="22"/>
        </w:rPr>
        <w:t xml:space="preserve"> que</w:t>
      </w:r>
      <w:r w:rsidR="008656BF">
        <w:rPr>
          <w:rFonts w:ascii="Arial" w:hAnsi="Arial" w:cs="Arial"/>
          <w:sz w:val="22"/>
          <w:szCs w:val="22"/>
        </w:rPr>
        <w:t>,</w:t>
      </w:r>
      <w:r w:rsidRPr="003D4D1F">
        <w:rPr>
          <w:rFonts w:ascii="Arial" w:hAnsi="Arial" w:cs="Arial"/>
          <w:sz w:val="22"/>
          <w:szCs w:val="22"/>
        </w:rPr>
        <w:t xml:space="preserve"> la</w:t>
      </w:r>
      <w:r>
        <w:rPr>
          <w:rFonts w:ascii="Arial" w:hAnsi="Arial" w:cs="Arial"/>
          <w:sz w:val="22"/>
          <w:szCs w:val="22"/>
        </w:rPr>
        <w:t xml:space="preserve"> </w:t>
      </w:r>
      <w:r>
        <w:rPr>
          <w:rFonts w:ascii="Arial" w:hAnsi="Arial" w:cs="Arial"/>
          <w:sz w:val="22"/>
          <w:szCs w:val="22"/>
        </w:rPr>
        <w:lastRenderedPageBreak/>
        <w:t>información que debe presentarse</w:t>
      </w:r>
      <w:r w:rsidR="008656BF">
        <w:rPr>
          <w:rFonts w:ascii="Arial" w:hAnsi="Arial" w:cs="Arial"/>
          <w:sz w:val="22"/>
          <w:szCs w:val="22"/>
        </w:rPr>
        <w:t xml:space="preserve"> a efectos del cálculo de la capacidad residual  </w:t>
      </w:r>
      <w:r>
        <w:rPr>
          <w:rFonts w:ascii="Arial" w:hAnsi="Arial" w:cs="Arial"/>
          <w:sz w:val="22"/>
          <w:szCs w:val="22"/>
        </w:rPr>
        <w:t>corresponder</w:t>
      </w:r>
      <w:r w:rsidR="008656BF">
        <w:rPr>
          <w:rFonts w:ascii="Arial" w:hAnsi="Arial" w:cs="Arial"/>
          <w:sz w:val="22"/>
          <w:szCs w:val="22"/>
        </w:rPr>
        <w:t>á</w:t>
      </w:r>
      <w:r>
        <w:rPr>
          <w:rFonts w:ascii="Arial" w:hAnsi="Arial" w:cs="Arial"/>
          <w:sz w:val="22"/>
          <w:szCs w:val="22"/>
        </w:rPr>
        <w:t xml:space="preserve"> a los datos recolectados a la</w:t>
      </w:r>
      <w:r w:rsidRPr="003D4D1F">
        <w:rPr>
          <w:rFonts w:ascii="Arial" w:hAnsi="Arial" w:cs="Arial"/>
          <w:sz w:val="22"/>
          <w:szCs w:val="22"/>
        </w:rPr>
        <w:t xml:space="preserve"> fecha de presentación de la oferta, </w:t>
      </w:r>
      <w:r>
        <w:rPr>
          <w:rFonts w:ascii="Arial" w:hAnsi="Arial" w:cs="Arial"/>
          <w:sz w:val="22"/>
          <w:szCs w:val="22"/>
        </w:rPr>
        <w:t xml:space="preserve">toda vez que con base en esta es que se </w:t>
      </w:r>
      <w:r w:rsidRPr="003D4D1F">
        <w:rPr>
          <w:rFonts w:ascii="Arial" w:hAnsi="Arial" w:cs="Arial"/>
          <w:sz w:val="22"/>
          <w:szCs w:val="22"/>
        </w:rPr>
        <w:t>obliga</w:t>
      </w:r>
      <w:r>
        <w:rPr>
          <w:rFonts w:ascii="Arial" w:hAnsi="Arial" w:cs="Arial"/>
          <w:sz w:val="22"/>
          <w:szCs w:val="22"/>
        </w:rPr>
        <w:t xml:space="preserve"> e</w:t>
      </w:r>
      <w:r w:rsidRPr="003D4D1F">
        <w:rPr>
          <w:rFonts w:ascii="Arial" w:hAnsi="Arial" w:cs="Arial"/>
          <w:sz w:val="22"/>
          <w:szCs w:val="22"/>
        </w:rPr>
        <w:t>l proponente</w:t>
      </w:r>
      <w:r>
        <w:rPr>
          <w:rFonts w:ascii="Arial" w:hAnsi="Arial" w:cs="Arial"/>
          <w:sz w:val="22"/>
          <w:szCs w:val="22"/>
        </w:rPr>
        <w:t xml:space="preserve">. </w:t>
      </w:r>
      <w:r w:rsidR="008656BF" w:rsidRPr="008656BF">
        <w:rPr>
          <w:rFonts w:ascii="Arial" w:hAnsi="Arial" w:cs="Arial"/>
          <w:sz w:val="22"/>
          <w:szCs w:val="22"/>
        </w:rPr>
        <w:t xml:space="preserve">Esta tesis se refuerza si se tiene en cuenta la definición que se le ha otorgado a los </w:t>
      </w:r>
      <w:r w:rsidR="008656BF" w:rsidRPr="008656BF">
        <w:rPr>
          <w:rFonts w:ascii="Arial" w:eastAsia="Arial" w:hAnsi="Arial" w:cs="Arial"/>
          <w:sz w:val="22"/>
          <w:szCs w:val="22"/>
        </w:rPr>
        <w:t>«</w:t>
      </w:r>
      <w:r w:rsidR="008656BF" w:rsidRPr="008656BF">
        <w:rPr>
          <w:rFonts w:ascii="Arial" w:hAnsi="Arial" w:cs="Arial"/>
          <w:i/>
          <w:iCs/>
          <w:sz w:val="22"/>
          <w:szCs w:val="22"/>
        </w:rPr>
        <w:t>Contratos en Ejecución</w:t>
      </w:r>
      <w:r w:rsidR="008656BF" w:rsidRPr="00A705CA">
        <w:rPr>
          <w:rFonts w:ascii="Arial" w:hAnsi="Arial" w:cs="Arial"/>
          <w:sz w:val="22"/>
          <w:szCs w:val="22"/>
        </w:rPr>
        <w:t>», la cual se expondrá en el siguiente numeral</w:t>
      </w:r>
      <w:r w:rsidR="008656BF">
        <w:rPr>
          <w:rFonts w:ascii="Arial" w:hAnsi="Arial" w:cs="Arial"/>
          <w:sz w:val="22"/>
          <w:szCs w:val="22"/>
        </w:rPr>
        <w:t xml:space="preserve"> del presente concepto</w:t>
      </w:r>
      <w:r w:rsidR="008656BF" w:rsidRPr="00A705CA">
        <w:rPr>
          <w:rFonts w:ascii="Arial" w:hAnsi="Arial" w:cs="Arial"/>
          <w:sz w:val="22"/>
          <w:szCs w:val="22"/>
        </w:rPr>
        <w:t>.</w:t>
      </w:r>
      <w:r w:rsidR="008656BF">
        <w:rPr>
          <w:sz w:val="22"/>
          <w:szCs w:val="22"/>
        </w:rPr>
        <w:t xml:space="preserve"> </w:t>
      </w:r>
    </w:p>
    <w:p w14:paraId="1FD60333" w14:textId="77777777" w:rsidR="00872990" w:rsidRDefault="00872990" w:rsidP="00A705CA">
      <w:pPr>
        <w:spacing w:line="276" w:lineRule="auto"/>
        <w:contextualSpacing/>
        <w:jc w:val="both"/>
        <w:rPr>
          <w:rFonts w:ascii="Arial" w:hAnsi="Arial" w:cs="Arial"/>
          <w:b/>
          <w:bCs/>
          <w:sz w:val="22"/>
          <w:szCs w:val="22"/>
        </w:rPr>
      </w:pPr>
    </w:p>
    <w:p w14:paraId="32E61E11" w14:textId="1B156BD1" w:rsidR="00872990" w:rsidRPr="003B2A1E" w:rsidRDefault="00872990" w:rsidP="00A705CA">
      <w:pPr>
        <w:spacing w:line="276" w:lineRule="auto"/>
        <w:contextualSpacing/>
        <w:jc w:val="both"/>
        <w:rPr>
          <w:rFonts w:ascii="Arial" w:hAnsi="Arial" w:cs="Arial"/>
          <w:b/>
          <w:bCs/>
          <w:sz w:val="22"/>
          <w:szCs w:val="22"/>
        </w:rPr>
      </w:pPr>
      <w:r w:rsidRPr="003B2A1E">
        <w:rPr>
          <w:rFonts w:ascii="Arial" w:hAnsi="Arial" w:cs="Arial"/>
          <w:b/>
          <w:bCs/>
          <w:sz w:val="22"/>
          <w:szCs w:val="22"/>
        </w:rPr>
        <w:t>2.2. Contratos a tener en cuenta para el cálculo del factor Saldos de Contratos en Ejecución (SCE) de la fórmula para determinar la Capacidad Residual del Proponente (CRP)</w:t>
      </w:r>
    </w:p>
    <w:p w14:paraId="411C3C81" w14:textId="77777777" w:rsidR="00872990" w:rsidRPr="003B2A1E" w:rsidRDefault="00872990" w:rsidP="00A705CA">
      <w:pPr>
        <w:spacing w:line="276" w:lineRule="auto"/>
        <w:contextualSpacing/>
        <w:jc w:val="both"/>
        <w:rPr>
          <w:rFonts w:ascii="Arial" w:hAnsi="Arial" w:cs="Arial"/>
          <w:b/>
          <w:bCs/>
          <w:sz w:val="22"/>
          <w:szCs w:val="22"/>
        </w:rPr>
      </w:pPr>
    </w:p>
    <w:p w14:paraId="734A01E5" w14:textId="01B546F8" w:rsidR="00872990" w:rsidRPr="003B2A1E" w:rsidRDefault="00872990" w:rsidP="00FB44AA">
      <w:pPr>
        <w:spacing w:after="120" w:line="276" w:lineRule="auto"/>
        <w:jc w:val="both"/>
        <w:rPr>
          <w:rFonts w:ascii="Arial" w:hAnsi="Arial" w:cs="Arial"/>
          <w:sz w:val="22"/>
          <w:szCs w:val="22"/>
        </w:rPr>
      </w:pPr>
      <w:r w:rsidRPr="003B2A1E">
        <w:rPr>
          <w:rFonts w:ascii="Arial" w:hAnsi="Arial" w:cs="Arial"/>
          <w:sz w:val="22"/>
          <w:szCs w:val="22"/>
        </w:rPr>
        <w:t xml:space="preserve">A efectos del cálculo de la Capacidad Residual del Proponente (CRP), conforme a la metodología descrita </w:t>
      </w:r>
      <w:r w:rsidRPr="003B2A1E">
        <w:rPr>
          <w:rFonts w:ascii="Arial" w:hAnsi="Arial" w:cs="Arial"/>
          <w:i/>
          <w:iCs/>
          <w:sz w:val="22"/>
          <w:szCs w:val="22"/>
        </w:rPr>
        <w:t>supra</w:t>
      </w:r>
      <w:r w:rsidRPr="003B2A1E">
        <w:rPr>
          <w:rFonts w:ascii="Arial" w:hAnsi="Arial" w:cs="Arial"/>
          <w:sz w:val="22"/>
          <w:szCs w:val="22"/>
        </w:rPr>
        <w:t xml:space="preserve">, es necesario tener en cuenta </w:t>
      </w:r>
      <w:r w:rsidR="00FB44AA">
        <w:rPr>
          <w:rFonts w:ascii="Arial" w:hAnsi="Arial" w:cs="Arial"/>
          <w:sz w:val="22"/>
          <w:szCs w:val="22"/>
        </w:rPr>
        <w:t xml:space="preserve">que se entienden por </w:t>
      </w:r>
      <w:r w:rsidR="00FB44AA" w:rsidRPr="008656BF">
        <w:rPr>
          <w:rFonts w:ascii="Arial" w:eastAsia="Arial" w:hAnsi="Arial" w:cs="Arial"/>
          <w:sz w:val="22"/>
          <w:szCs w:val="22"/>
        </w:rPr>
        <w:t>«</w:t>
      </w:r>
      <w:r w:rsidR="00FB44AA" w:rsidRPr="008656BF">
        <w:rPr>
          <w:rFonts w:ascii="Arial" w:hAnsi="Arial" w:cs="Arial"/>
          <w:i/>
          <w:iCs/>
          <w:sz w:val="22"/>
          <w:szCs w:val="22"/>
        </w:rPr>
        <w:t>Contratos en Ejecución</w:t>
      </w:r>
      <w:r w:rsidR="00FB44AA" w:rsidRPr="001C33AE">
        <w:rPr>
          <w:rFonts w:ascii="Arial" w:hAnsi="Arial" w:cs="Arial"/>
          <w:sz w:val="22"/>
          <w:szCs w:val="22"/>
        </w:rPr>
        <w:t>»</w:t>
      </w:r>
      <w:r w:rsidR="00FB44AA" w:rsidRPr="00FB4D30">
        <w:rPr>
          <w:rFonts w:ascii="Arial" w:hAnsi="Arial" w:cs="Arial"/>
          <w:sz w:val="22"/>
          <w:szCs w:val="22"/>
        </w:rPr>
        <w:t xml:space="preserve"> </w:t>
      </w:r>
      <w:r w:rsidR="00FB44AA">
        <w:rPr>
          <w:rFonts w:ascii="Arial" w:hAnsi="Arial" w:cs="Arial"/>
          <w:sz w:val="22"/>
          <w:szCs w:val="22"/>
        </w:rPr>
        <w:t>aquellos</w:t>
      </w:r>
      <w:r w:rsidR="00FB44AA" w:rsidRPr="00FB4D30">
        <w:rPr>
          <w:rFonts w:ascii="Arial" w:hAnsi="Arial" w:cs="Arial"/>
          <w:sz w:val="22"/>
          <w:szCs w:val="22"/>
        </w:rPr>
        <w:t xml:space="preserve"> qu</w:t>
      </w:r>
      <w:r w:rsidR="00FB44AA">
        <w:rPr>
          <w:rFonts w:ascii="Arial" w:hAnsi="Arial" w:cs="Arial"/>
          <w:sz w:val="22"/>
          <w:szCs w:val="22"/>
        </w:rPr>
        <w:t xml:space="preserve">e, </w:t>
      </w:r>
      <w:r w:rsidR="00FB44AA" w:rsidRPr="00FB4D30">
        <w:rPr>
          <w:rFonts w:ascii="Arial" w:hAnsi="Arial" w:cs="Arial"/>
          <w:sz w:val="22"/>
          <w:szCs w:val="22"/>
        </w:rPr>
        <w:t>a la fecha de presentación de la oferta</w:t>
      </w:r>
      <w:r w:rsidR="00FB44AA">
        <w:rPr>
          <w:rFonts w:ascii="Arial" w:hAnsi="Arial" w:cs="Arial"/>
          <w:sz w:val="22"/>
          <w:szCs w:val="22"/>
        </w:rPr>
        <w:t>,</w:t>
      </w:r>
      <w:r w:rsidR="00FB44AA" w:rsidRPr="00FB4D30">
        <w:rPr>
          <w:rFonts w:ascii="Arial" w:hAnsi="Arial" w:cs="Arial"/>
          <w:sz w:val="22"/>
          <w:szCs w:val="22"/>
        </w:rPr>
        <w:t xml:space="preserve"> obligan al proponente con </w:t>
      </w:r>
      <w:r w:rsidR="00FB44AA">
        <w:rPr>
          <w:rFonts w:ascii="Arial" w:hAnsi="Arial" w:cs="Arial"/>
          <w:sz w:val="22"/>
          <w:szCs w:val="22"/>
        </w:rPr>
        <w:t>e</w:t>
      </w:r>
      <w:r w:rsidR="00FB44AA" w:rsidRPr="00FB4D30">
        <w:rPr>
          <w:rFonts w:ascii="Arial" w:hAnsi="Arial" w:cs="Arial"/>
          <w:sz w:val="22"/>
          <w:szCs w:val="22"/>
        </w:rPr>
        <w:t xml:space="preserve">ntidades </w:t>
      </w:r>
      <w:r w:rsidR="00FB44AA">
        <w:rPr>
          <w:rFonts w:ascii="Arial" w:hAnsi="Arial" w:cs="Arial"/>
          <w:sz w:val="22"/>
          <w:szCs w:val="22"/>
        </w:rPr>
        <w:t>e</w:t>
      </w:r>
      <w:r w:rsidR="00FB44AA" w:rsidRPr="00FB4D30">
        <w:rPr>
          <w:rFonts w:ascii="Arial" w:hAnsi="Arial" w:cs="Arial"/>
          <w:sz w:val="22"/>
          <w:szCs w:val="22"/>
        </w:rPr>
        <w:t xml:space="preserve">statales y con entidades privadas para ejecutar obras </w:t>
      </w:r>
      <w:r w:rsidR="00FB44AA">
        <w:rPr>
          <w:rFonts w:ascii="Arial" w:hAnsi="Arial" w:cs="Arial"/>
          <w:sz w:val="22"/>
          <w:szCs w:val="22"/>
        </w:rPr>
        <w:t>públicas</w:t>
      </w:r>
      <w:r w:rsidR="00FB44AA" w:rsidRPr="00FB4D30">
        <w:rPr>
          <w:rFonts w:ascii="Arial" w:hAnsi="Arial" w:cs="Arial"/>
          <w:sz w:val="22"/>
          <w:szCs w:val="22"/>
        </w:rPr>
        <w:t xml:space="preserve">, incluyendo la ejecución de obras civiles en los contratos de concesión y los contratos de obra suscritos con concesionarios, </w:t>
      </w:r>
      <w:r w:rsidR="00FB44AA">
        <w:rPr>
          <w:rFonts w:ascii="Arial" w:hAnsi="Arial" w:cs="Arial"/>
          <w:sz w:val="22"/>
          <w:szCs w:val="22"/>
        </w:rPr>
        <w:t>así como también</w:t>
      </w:r>
      <w:r w:rsidR="00FB44AA" w:rsidRPr="00FB4D30">
        <w:rPr>
          <w:rFonts w:ascii="Arial" w:hAnsi="Arial" w:cs="Arial"/>
          <w:sz w:val="22"/>
          <w:szCs w:val="22"/>
        </w:rPr>
        <w:t xml:space="preserve"> los contratos suspendidos </w:t>
      </w:r>
      <w:r w:rsidR="00FB44AA" w:rsidRPr="00787648">
        <w:rPr>
          <w:rFonts w:ascii="Arial" w:hAnsi="Arial" w:cs="Arial"/>
          <w:sz w:val="22"/>
          <w:szCs w:val="22"/>
        </w:rPr>
        <w:t>y aquellos que no tengan acta de inicio</w:t>
      </w:r>
      <w:r w:rsidR="00FB44AA" w:rsidRPr="00FB4D30">
        <w:rPr>
          <w:rFonts w:ascii="Arial" w:hAnsi="Arial" w:cs="Arial"/>
          <w:sz w:val="22"/>
          <w:szCs w:val="22"/>
        </w:rPr>
        <w:t>.</w:t>
      </w:r>
      <w:r w:rsidRPr="003B2A1E">
        <w:rPr>
          <w:rFonts w:ascii="Arial" w:hAnsi="Arial" w:cs="Arial"/>
          <w:sz w:val="22"/>
          <w:szCs w:val="22"/>
        </w:rPr>
        <w:t xml:space="preserve"> Es decir, los saldos pendientes se derivan de las obligaciones que se encuentran vigentes al momento de la presentación de la oferta. </w:t>
      </w:r>
    </w:p>
    <w:p w14:paraId="22855EF6" w14:textId="169271F0" w:rsidR="00872990" w:rsidRPr="003B2A1E" w:rsidRDefault="00872990" w:rsidP="00A705CA">
      <w:pPr>
        <w:spacing w:line="276" w:lineRule="auto"/>
        <w:jc w:val="both"/>
        <w:rPr>
          <w:rFonts w:ascii="Arial" w:hAnsi="Arial" w:cs="Arial"/>
          <w:i/>
          <w:iCs/>
          <w:sz w:val="22"/>
          <w:szCs w:val="22"/>
        </w:rPr>
      </w:pPr>
      <w:r w:rsidRPr="003B2A1E">
        <w:rPr>
          <w:rFonts w:ascii="Arial" w:hAnsi="Arial" w:cs="Arial"/>
          <w:sz w:val="22"/>
          <w:szCs w:val="22"/>
        </w:rPr>
        <w:tab/>
        <w:t>En este sentido, la «</w:t>
      </w:r>
      <w:r w:rsidRPr="003B2A1E">
        <w:rPr>
          <w:rFonts w:ascii="Arial" w:hAnsi="Arial" w:cs="Arial"/>
          <w:i/>
          <w:iCs/>
          <w:sz w:val="22"/>
          <w:szCs w:val="22"/>
        </w:rPr>
        <w:t xml:space="preserve">Guía para Determinar y Verificar la Capacidad Residual del Proponente en los Procesos de Contratación de Obra Pública» </w:t>
      </w:r>
      <w:r w:rsidRPr="003B2A1E">
        <w:rPr>
          <w:rFonts w:ascii="Arial" w:hAnsi="Arial" w:cs="Arial"/>
          <w:sz w:val="22"/>
          <w:szCs w:val="22"/>
        </w:rPr>
        <w:t xml:space="preserve">define los </w:t>
      </w:r>
      <w:r w:rsidRPr="003B2A1E">
        <w:rPr>
          <w:rFonts w:ascii="Arial" w:hAnsi="Arial" w:cs="Arial"/>
          <w:i/>
          <w:iCs/>
          <w:sz w:val="22"/>
          <w:szCs w:val="22"/>
        </w:rPr>
        <w:t>Contratos en ejecución</w:t>
      </w:r>
      <w:r w:rsidR="00FB44AA" w:rsidRPr="003B2A1E">
        <w:rPr>
          <w:rFonts w:ascii="Arial" w:hAnsi="Arial" w:cs="Arial"/>
          <w:i/>
          <w:iCs/>
          <w:sz w:val="22"/>
          <w:szCs w:val="22"/>
        </w:rPr>
        <w:t>»</w:t>
      </w:r>
      <w:r w:rsidRPr="003B2A1E">
        <w:rPr>
          <w:rFonts w:ascii="Arial" w:hAnsi="Arial" w:cs="Arial"/>
          <w:i/>
          <w:iCs/>
          <w:sz w:val="22"/>
          <w:szCs w:val="22"/>
        </w:rPr>
        <w:t xml:space="preserve">, </w:t>
      </w:r>
      <w:r w:rsidRPr="003B2A1E">
        <w:rPr>
          <w:rFonts w:ascii="Arial" w:hAnsi="Arial" w:cs="Arial"/>
          <w:sz w:val="22"/>
          <w:szCs w:val="22"/>
        </w:rPr>
        <w:t xml:space="preserve">para efectos de calcular la capacidad residual, de la siguiente manera: </w:t>
      </w:r>
      <w:r w:rsidRPr="003B2A1E">
        <w:rPr>
          <w:rFonts w:ascii="Arial" w:hAnsi="Arial" w:cs="Arial"/>
          <w:i/>
          <w:iCs/>
          <w:sz w:val="22"/>
          <w:szCs w:val="22"/>
        </w:rPr>
        <w:t xml:space="preserve"> </w:t>
      </w:r>
    </w:p>
    <w:p w14:paraId="7198D1AA" w14:textId="77777777" w:rsidR="00872990" w:rsidRPr="003B2A1E" w:rsidRDefault="00872990" w:rsidP="00A705CA">
      <w:pPr>
        <w:ind w:left="709" w:right="709"/>
        <w:contextualSpacing/>
        <w:jc w:val="both"/>
        <w:rPr>
          <w:rFonts w:ascii="Arial" w:hAnsi="Arial" w:cs="Arial"/>
          <w:sz w:val="22"/>
          <w:szCs w:val="22"/>
        </w:rPr>
      </w:pPr>
    </w:p>
    <w:p w14:paraId="0EB05FD8" w14:textId="0D1CE097" w:rsidR="00872990" w:rsidRDefault="00872990" w:rsidP="00FB44AA">
      <w:pPr>
        <w:ind w:left="709" w:right="709"/>
        <w:contextualSpacing/>
        <w:jc w:val="both"/>
        <w:rPr>
          <w:rFonts w:ascii="Arial" w:hAnsi="Arial" w:cs="Arial"/>
          <w:sz w:val="21"/>
          <w:szCs w:val="21"/>
        </w:rPr>
      </w:pPr>
      <w:r w:rsidRPr="00A705CA">
        <w:rPr>
          <w:rFonts w:ascii="Arial" w:hAnsi="Arial" w:cs="Arial"/>
          <w:sz w:val="21"/>
          <w:szCs w:val="21"/>
        </w:rPr>
        <w:t>«</w:t>
      </w:r>
      <w:r w:rsidRPr="00FB44AA">
        <w:rPr>
          <w:rFonts w:ascii="Arial" w:hAnsi="Arial" w:cs="Arial"/>
          <w:sz w:val="21"/>
          <w:szCs w:val="21"/>
        </w:rPr>
        <w:t xml:space="preserve">Son los contratos que </w:t>
      </w:r>
      <w:r w:rsidRPr="00A705CA">
        <w:rPr>
          <w:rFonts w:ascii="Arial" w:hAnsi="Arial" w:cs="Arial"/>
          <w:sz w:val="21"/>
          <w:szCs w:val="21"/>
          <w:u w:val="single"/>
        </w:rPr>
        <w:t>a la fecha de presentación de la oferta</w:t>
      </w:r>
      <w:r w:rsidRPr="00FB44AA">
        <w:rPr>
          <w:rFonts w:ascii="Arial" w:hAnsi="Arial" w:cs="Arial"/>
          <w:sz w:val="21"/>
          <w:szCs w:val="21"/>
        </w:rPr>
        <w:t xml:space="preserve"> obligan al proponente con Entidades Estatales y con entidades privadas para ejecutar obras civiles, incluyendo la ejecución de obras civiles en los contratos de concesión y </w:t>
      </w:r>
      <w:r w:rsidRPr="00FB44AA">
        <w:rPr>
          <w:rFonts w:ascii="Arial" w:hAnsi="Arial" w:cs="Arial"/>
          <w:sz w:val="21"/>
          <w:szCs w:val="21"/>
        </w:rPr>
        <w:lastRenderedPageBreak/>
        <w:t xml:space="preserve">los contratos de obra suscritos con concesionarios, </w:t>
      </w:r>
      <w:r w:rsidRPr="00A705CA">
        <w:rPr>
          <w:rFonts w:ascii="Arial" w:hAnsi="Arial" w:cs="Arial"/>
          <w:sz w:val="21"/>
          <w:szCs w:val="21"/>
        </w:rPr>
        <w:t xml:space="preserve">incluyendo los contratos suspendidos y aquellos que no tengan acta de inicio. </w:t>
      </w:r>
      <w:r w:rsidRPr="00FB44AA">
        <w:rPr>
          <w:rFonts w:ascii="Arial" w:hAnsi="Arial" w:cs="Arial"/>
          <w:sz w:val="21"/>
          <w:szCs w:val="21"/>
        </w:rPr>
        <w:t>No se entenderán como contratos en ejecución los que se encuentren en liquidación.</w:t>
      </w:r>
      <w:r w:rsidRPr="00A705CA">
        <w:rPr>
          <w:rFonts w:ascii="Arial" w:hAnsi="Arial" w:cs="Arial"/>
          <w:sz w:val="21"/>
          <w:szCs w:val="21"/>
        </w:rPr>
        <w:t>»</w:t>
      </w:r>
      <w:r w:rsidRPr="00FB44AA">
        <w:rPr>
          <w:rFonts w:ascii="Arial" w:hAnsi="Arial" w:cs="Arial"/>
          <w:sz w:val="21"/>
          <w:szCs w:val="21"/>
        </w:rPr>
        <w:t xml:space="preserve"> (Subrayas fuera del texto)</w:t>
      </w:r>
      <w:r w:rsidRPr="00A705CA">
        <w:rPr>
          <w:rStyle w:val="Refdenotaalpie"/>
          <w:rFonts w:ascii="Arial" w:hAnsi="Arial" w:cs="Arial"/>
          <w:sz w:val="21"/>
          <w:szCs w:val="21"/>
        </w:rPr>
        <w:footnoteReference w:id="6"/>
      </w:r>
      <w:r w:rsidRPr="00A705CA">
        <w:rPr>
          <w:rFonts w:ascii="Arial" w:hAnsi="Arial" w:cs="Arial"/>
          <w:sz w:val="21"/>
          <w:szCs w:val="21"/>
        </w:rPr>
        <w:t>.</w:t>
      </w:r>
    </w:p>
    <w:p w14:paraId="27E0A69F" w14:textId="77777777" w:rsidR="00FB44AA" w:rsidRPr="00A705CA" w:rsidRDefault="00FB44AA" w:rsidP="00A705CA">
      <w:pPr>
        <w:ind w:left="709" w:right="709"/>
        <w:contextualSpacing/>
        <w:jc w:val="both"/>
        <w:rPr>
          <w:rFonts w:ascii="Arial" w:hAnsi="Arial" w:cs="Arial"/>
          <w:sz w:val="21"/>
          <w:szCs w:val="21"/>
        </w:rPr>
      </w:pPr>
    </w:p>
    <w:p w14:paraId="3FDBD9BE" w14:textId="2AF3CD0E" w:rsidR="00251CB0" w:rsidRPr="003F6D92" w:rsidRDefault="00872990" w:rsidP="00A705CA">
      <w:pPr>
        <w:pStyle w:val="NormalWeb"/>
        <w:spacing w:before="0" w:beforeAutospacing="0" w:after="0" w:afterAutospacing="0" w:line="276" w:lineRule="auto"/>
        <w:jc w:val="both"/>
        <w:rPr>
          <w:rFonts w:ascii="Arial" w:hAnsi="Arial" w:cs="Arial"/>
          <w:color w:val="000000" w:themeColor="text1"/>
          <w:sz w:val="22"/>
          <w:szCs w:val="22"/>
        </w:rPr>
      </w:pPr>
      <w:r w:rsidRPr="003B2A1E">
        <w:rPr>
          <w:rFonts w:ascii="Arial" w:hAnsi="Arial" w:cs="Arial"/>
          <w:color w:val="000000" w:themeColor="text1"/>
          <w:sz w:val="22"/>
          <w:szCs w:val="22"/>
        </w:rPr>
        <w:tab/>
      </w:r>
      <w:bookmarkStart w:id="9" w:name="_Hlk100139912"/>
      <w:r w:rsidR="00251CB0" w:rsidRPr="00740E5C">
        <w:rPr>
          <w:rFonts w:ascii="Arial" w:hAnsi="Arial" w:cs="Arial"/>
          <w:sz w:val="22"/>
          <w:szCs w:val="22"/>
        </w:rPr>
        <w:t>En este sentido, los saldos pendientes se derivan de las obligaciones que se encuentran en ejecución al momento de la presentación de la oferta y se refieren a contratos cuyo objeto sea la ejecución de obras civiles</w:t>
      </w:r>
      <w:bookmarkEnd w:id="9"/>
      <w:r w:rsidR="00251CB0" w:rsidRPr="00740E5C">
        <w:rPr>
          <w:rFonts w:ascii="Arial" w:hAnsi="Arial" w:cs="Arial"/>
          <w:sz w:val="22"/>
          <w:szCs w:val="22"/>
        </w:rPr>
        <w:t>. Se aclara que deben tenerse en cuenta los contratos sin acta de inicio, pues el criterio determinante para establecer si un contrato se encuentra en ejecución</w:t>
      </w:r>
      <w:r w:rsidR="00251CB0">
        <w:rPr>
          <w:rFonts w:ascii="Arial" w:hAnsi="Arial" w:cs="Arial"/>
          <w:sz w:val="22"/>
          <w:szCs w:val="22"/>
        </w:rPr>
        <w:t>, para efectos de calcular la capacidad residual,</w:t>
      </w:r>
      <w:r w:rsidR="00251CB0" w:rsidRPr="00740E5C">
        <w:rPr>
          <w:rFonts w:ascii="Arial" w:hAnsi="Arial" w:cs="Arial"/>
          <w:sz w:val="22"/>
          <w:szCs w:val="22"/>
        </w:rPr>
        <w:t xml:space="preserve"> no lo determina el acta, sino que el mismo contrato obligue al proponente, tal como se establece en la Guía indicada. </w:t>
      </w:r>
      <w:r w:rsidRPr="003B2A1E">
        <w:rPr>
          <w:rFonts w:ascii="Arial" w:hAnsi="Arial" w:cs="Arial"/>
          <w:color w:val="000000" w:themeColor="text1"/>
          <w:sz w:val="22"/>
          <w:szCs w:val="22"/>
        </w:rPr>
        <w:t xml:space="preserve">Lo anterior toda vez que los contratos que se encuentren en ejecución son aquellos que se encuentran celebrados y perfeccionados, </w:t>
      </w:r>
      <w:r w:rsidR="003F6D92">
        <w:rPr>
          <w:rFonts w:ascii="Arial" w:hAnsi="Arial" w:cs="Arial"/>
          <w:color w:val="000000" w:themeColor="text1"/>
          <w:sz w:val="22"/>
          <w:szCs w:val="22"/>
        </w:rPr>
        <w:t>entendiéndose</w:t>
      </w:r>
      <w:r w:rsidRPr="003B2A1E">
        <w:rPr>
          <w:rFonts w:ascii="Arial" w:hAnsi="Arial" w:cs="Arial"/>
          <w:color w:val="000000" w:themeColor="text1"/>
          <w:sz w:val="22"/>
          <w:szCs w:val="22"/>
        </w:rPr>
        <w:t xml:space="preserve"> por perfeccionado el contrato estatal que, cuenta con el acuerdo de voluntades al que llegan las partes, y que adicionalmente se eleva por escrito. </w:t>
      </w:r>
    </w:p>
    <w:p w14:paraId="42A0BB26" w14:textId="77777777" w:rsidR="00872990" w:rsidRPr="00384466" w:rsidRDefault="00872990" w:rsidP="00A705CA">
      <w:pPr>
        <w:widowControl w:val="0"/>
        <w:autoSpaceDE w:val="0"/>
        <w:autoSpaceDN w:val="0"/>
        <w:spacing w:line="276" w:lineRule="auto"/>
        <w:ind w:firstLine="709"/>
        <w:contextualSpacing/>
        <w:jc w:val="both"/>
        <w:rPr>
          <w:rFonts w:ascii="Arial" w:eastAsia="Calibri" w:hAnsi="Arial" w:cs="Arial"/>
          <w:sz w:val="22"/>
        </w:rPr>
      </w:pPr>
    </w:p>
    <w:p w14:paraId="37CA9805" w14:textId="2A4AB00F" w:rsidR="00DD5B04" w:rsidRDefault="00DD5B04" w:rsidP="00A705CA">
      <w:pPr>
        <w:pStyle w:val="Prrafodelista"/>
        <w:numPr>
          <w:ilvl w:val="0"/>
          <w:numId w:val="8"/>
        </w:numPr>
        <w:tabs>
          <w:tab w:val="left" w:pos="284"/>
        </w:tabs>
        <w:spacing w:line="276" w:lineRule="auto"/>
        <w:ind w:left="0" w:firstLine="0"/>
        <w:jc w:val="both"/>
        <w:rPr>
          <w:rFonts w:ascii="Arial" w:eastAsia="Calibri" w:hAnsi="Arial" w:cs="Arial"/>
          <w:b/>
          <w:color w:val="000000" w:themeColor="text1"/>
          <w:sz w:val="22"/>
          <w:lang w:val="es-ES_tradnl"/>
        </w:rPr>
      </w:pPr>
      <w:r w:rsidRPr="00FE1418">
        <w:rPr>
          <w:rFonts w:ascii="Arial" w:eastAsia="Calibri" w:hAnsi="Arial" w:cs="Arial"/>
          <w:b/>
          <w:color w:val="000000" w:themeColor="text1"/>
          <w:sz w:val="22"/>
          <w:lang w:val="es-ES_tradnl"/>
        </w:rPr>
        <w:t>Respuesta</w:t>
      </w:r>
    </w:p>
    <w:p w14:paraId="0E510BC4" w14:textId="371F5E12" w:rsidR="00464278" w:rsidRDefault="00464278" w:rsidP="00A705CA">
      <w:pPr>
        <w:pStyle w:val="Prrafodelista"/>
        <w:tabs>
          <w:tab w:val="left" w:pos="284"/>
        </w:tabs>
        <w:spacing w:line="276" w:lineRule="auto"/>
        <w:ind w:left="0"/>
        <w:jc w:val="both"/>
        <w:rPr>
          <w:rFonts w:ascii="Arial" w:eastAsia="Calibri" w:hAnsi="Arial" w:cs="Arial"/>
          <w:b/>
          <w:color w:val="000000" w:themeColor="text1"/>
          <w:sz w:val="22"/>
          <w:lang w:val="es-ES_tradnl"/>
        </w:rPr>
      </w:pPr>
    </w:p>
    <w:p w14:paraId="4968A078" w14:textId="4DE103D2" w:rsidR="00307F1C" w:rsidRPr="00FE1418" w:rsidRDefault="00307F1C" w:rsidP="00307F1C">
      <w:pPr>
        <w:pStyle w:val="Prrafodelista"/>
        <w:tabs>
          <w:tab w:val="left" w:pos="284"/>
        </w:tabs>
        <w:ind w:left="709" w:right="709"/>
        <w:jc w:val="both"/>
        <w:rPr>
          <w:rFonts w:ascii="Arial" w:eastAsia="Calibri" w:hAnsi="Arial" w:cs="Arial"/>
          <w:b/>
          <w:color w:val="000000" w:themeColor="text1"/>
          <w:sz w:val="22"/>
          <w:lang w:val="es-ES_tradnl"/>
        </w:rPr>
      </w:pPr>
      <w:r w:rsidRPr="004E5136">
        <w:rPr>
          <w:rFonts w:ascii="Arial" w:hAnsi="Arial" w:cs="Arial"/>
          <w:sz w:val="21"/>
          <w:szCs w:val="21"/>
        </w:rPr>
        <w:t>«[…] una aclaración en la evaluación de la capacidad residual, me podrían aclarar con que fecha se debe determinar la capacidad residual, si con la fecha de presentación de la oferta o con la fecha de publicación de pliegos definitivos?»</w:t>
      </w:r>
    </w:p>
    <w:p w14:paraId="7F859C2A" w14:textId="77777777" w:rsidR="00307F1C" w:rsidRDefault="00307F1C" w:rsidP="00307F1C">
      <w:pPr>
        <w:rPr>
          <w:rFonts w:ascii="Arial" w:hAnsi="Arial" w:cs="Arial"/>
          <w:b/>
          <w:bCs/>
          <w:sz w:val="22"/>
          <w:szCs w:val="22"/>
        </w:rPr>
      </w:pPr>
    </w:p>
    <w:p w14:paraId="43C4F630" w14:textId="2F35354A" w:rsidR="00307F1C" w:rsidRDefault="00307F1C" w:rsidP="00307F1C">
      <w:pPr>
        <w:spacing w:after="120" w:line="276" w:lineRule="auto"/>
        <w:jc w:val="both"/>
        <w:rPr>
          <w:rFonts w:ascii="Arial" w:hAnsi="Arial" w:cs="Arial"/>
          <w:sz w:val="22"/>
          <w:szCs w:val="22"/>
        </w:rPr>
      </w:pPr>
      <w:r>
        <w:rPr>
          <w:rFonts w:ascii="Arial" w:hAnsi="Arial" w:cs="Arial"/>
          <w:sz w:val="22"/>
          <w:szCs w:val="22"/>
        </w:rPr>
        <w:t xml:space="preserve">De conformidad con las </w:t>
      </w:r>
      <w:r w:rsidRPr="000B71F5">
        <w:rPr>
          <w:rFonts w:ascii="Arial" w:hAnsi="Arial" w:cs="Arial"/>
          <w:sz w:val="22"/>
          <w:szCs w:val="22"/>
        </w:rPr>
        <w:t xml:space="preserve">anteriores consideraciones, </w:t>
      </w:r>
      <w:r w:rsidRPr="009C4CFD">
        <w:rPr>
          <w:rFonts w:ascii="Arial" w:hAnsi="Arial" w:cs="Arial"/>
          <w:sz w:val="22"/>
          <w:szCs w:val="22"/>
        </w:rPr>
        <w:t xml:space="preserve">el artículo 2.2.1.1.1.6.4 del Decreto 1082 de 2015 facultó a </w:t>
      </w:r>
      <w:r>
        <w:rPr>
          <w:rFonts w:ascii="Arial" w:hAnsi="Arial" w:cs="Arial"/>
          <w:sz w:val="22"/>
          <w:szCs w:val="22"/>
        </w:rPr>
        <w:t>esta</w:t>
      </w:r>
      <w:r w:rsidRPr="009C4CFD">
        <w:rPr>
          <w:rFonts w:ascii="Arial" w:hAnsi="Arial" w:cs="Arial"/>
          <w:sz w:val="22"/>
          <w:szCs w:val="22"/>
        </w:rPr>
        <w:t xml:space="preserve"> Agencia para establecer la metodología para el cálculo de la capacidad residual. Dicha competencia fue ejercida mediante la expedición de la </w:t>
      </w:r>
      <w:r w:rsidR="001761F7" w:rsidRPr="00A705CA">
        <w:rPr>
          <w:rFonts w:ascii="Arial" w:hAnsi="Arial" w:cs="Arial"/>
          <w:i/>
          <w:iCs/>
          <w:sz w:val="22"/>
          <w:szCs w:val="22"/>
        </w:rPr>
        <w:t>«</w:t>
      </w:r>
      <w:r w:rsidRPr="00A705CA">
        <w:rPr>
          <w:rFonts w:ascii="Arial" w:hAnsi="Arial" w:cs="Arial"/>
          <w:i/>
          <w:iCs/>
          <w:sz w:val="22"/>
          <w:szCs w:val="22"/>
        </w:rPr>
        <w:t>Guía para Determinar y Verificar la Capacidad Residual del Proponente en los Procesos de Contratación de Obra Pública</w:t>
      </w:r>
      <w:r w:rsidR="001761F7" w:rsidRPr="001761F7">
        <w:rPr>
          <w:rFonts w:ascii="Arial" w:hAnsi="Arial" w:cs="Arial"/>
          <w:i/>
          <w:iCs/>
          <w:sz w:val="22"/>
          <w:szCs w:val="22"/>
        </w:rPr>
        <w:t>»</w:t>
      </w:r>
      <w:r w:rsidRPr="009C4CFD">
        <w:rPr>
          <w:rFonts w:ascii="Arial" w:hAnsi="Arial" w:cs="Arial"/>
          <w:sz w:val="22"/>
          <w:szCs w:val="22"/>
        </w:rPr>
        <w:t>, en la que se desarrolla una metodología que tiene en cuenta lo dispuesto en el parágrafo 1 del artículo 6 de la Ley 1150 de 2007 y el artículo 2.2.1.1.1.6.4 del Decreto 1082 de 2015, la cual resulta de obligatoria observancia tanto para las entidades como para los oferentes en los procesos de selección de obra pública.</w:t>
      </w:r>
    </w:p>
    <w:p w14:paraId="036DDEB8" w14:textId="61E154B7" w:rsidR="001761F7" w:rsidRPr="00A705CA" w:rsidRDefault="001761F7" w:rsidP="00A705CA">
      <w:pPr>
        <w:spacing w:after="120" w:line="276" w:lineRule="auto"/>
        <w:ind w:firstLine="708"/>
        <w:jc w:val="both"/>
        <w:rPr>
          <w:rFonts w:ascii="Arial" w:hAnsi="Arial" w:cs="Arial"/>
          <w:sz w:val="22"/>
          <w:szCs w:val="22"/>
        </w:rPr>
      </w:pPr>
      <w:r w:rsidRPr="001761F7">
        <w:rPr>
          <w:rFonts w:ascii="Arial" w:hAnsi="Arial" w:cs="Arial"/>
          <w:sz w:val="22"/>
          <w:szCs w:val="22"/>
        </w:rPr>
        <w:t>L</w:t>
      </w:r>
      <w:r w:rsidR="00307F1C" w:rsidRPr="001761F7">
        <w:rPr>
          <w:rFonts w:ascii="Arial" w:hAnsi="Arial" w:cs="Arial"/>
          <w:sz w:val="22"/>
          <w:szCs w:val="22"/>
        </w:rPr>
        <w:t>a «</w:t>
      </w:r>
      <w:r w:rsidR="00307F1C" w:rsidRPr="001761F7">
        <w:rPr>
          <w:rFonts w:ascii="Arial" w:hAnsi="Arial" w:cs="Arial"/>
          <w:i/>
          <w:iCs/>
          <w:sz w:val="22"/>
          <w:szCs w:val="22"/>
        </w:rPr>
        <w:t>Guía para Determinar y Verificar la Capacidad Residual del Proponente en los Procesos de Contratación de Obra Pública»</w:t>
      </w:r>
      <w:r w:rsidR="00307F1C" w:rsidRPr="001761F7">
        <w:rPr>
          <w:rFonts w:ascii="Arial" w:hAnsi="Arial" w:cs="Arial"/>
          <w:iCs/>
          <w:sz w:val="22"/>
          <w:szCs w:val="22"/>
        </w:rPr>
        <w:t xml:space="preserve">, indica que son contratos en ejecución </w:t>
      </w:r>
      <w:r w:rsidR="00307F1C" w:rsidRPr="001761F7">
        <w:rPr>
          <w:rFonts w:ascii="Arial" w:hAnsi="Arial" w:cs="Arial"/>
          <w:sz w:val="22"/>
          <w:szCs w:val="22"/>
        </w:rPr>
        <w:t xml:space="preserve">aquellos que </w:t>
      </w:r>
      <w:r w:rsidR="00307F1C" w:rsidRPr="00A705CA">
        <w:rPr>
          <w:rFonts w:ascii="Arial" w:hAnsi="Arial" w:cs="Arial"/>
          <w:color w:val="000000"/>
          <w:sz w:val="22"/>
          <w:szCs w:val="22"/>
        </w:rPr>
        <w:t xml:space="preserve">«[…] </w:t>
      </w:r>
      <w:r w:rsidR="00307F1C" w:rsidRPr="001761F7">
        <w:rPr>
          <w:rFonts w:ascii="Arial" w:hAnsi="Arial" w:cs="Arial"/>
          <w:sz w:val="22"/>
          <w:szCs w:val="22"/>
        </w:rPr>
        <w:t xml:space="preserve">a la </w:t>
      </w:r>
      <w:r w:rsidR="00307F1C" w:rsidRPr="00A705CA">
        <w:rPr>
          <w:rFonts w:ascii="Arial" w:hAnsi="Arial" w:cs="Arial"/>
          <w:i/>
          <w:iCs/>
          <w:sz w:val="22"/>
          <w:szCs w:val="22"/>
        </w:rPr>
        <w:t>fecha de presentación de la oferta</w:t>
      </w:r>
      <w:r w:rsidR="00307F1C" w:rsidRPr="001761F7">
        <w:rPr>
          <w:rFonts w:ascii="Arial" w:hAnsi="Arial" w:cs="Arial"/>
          <w:sz w:val="22"/>
          <w:szCs w:val="22"/>
        </w:rPr>
        <w:t xml:space="preserve"> obligan al proponente con Entidades Estatales y con entidades privadas para ejecutar obras civiles, incluyendo la ejecución de </w:t>
      </w:r>
      <w:r w:rsidR="00307F1C" w:rsidRPr="001761F7">
        <w:rPr>
          <w:rFonts w:ascii="Arial" w:hAnsi="Arial" w:cs="Arial"/>
          <w:sz w:val="22"/>
          <w:szCs w:val="22"/>
        </w:rPr>
        <w:lastRenderedPageBreak/>
        <w:t>obras civiles en los contratos de concesión y los contratos de obra suscritos con concesionarios, incluyendo los contratos suspendidos y aquellos que no tengan acta de inicio. No se entenderán como contratos en ejecución los que se encuentren en liquidación».</w:t>
      </w:r>
      <w:r w:rsidRPr="001761F7">
        <w:rPr>
          <w:rFonts w:ascii="Arial" w:hAnsi="Arial" w:cs="Arial"/>
          <w:sz w:val="22"/>
          <w:szCs w:val="22"/>
        </w:rPr>
        <w:t xml:space="preserve"> </w:t>
      </w:r>
      <w:r w:rsidRPr="001761F7">
        <w:rPr>
          <w:rFonts w:ascii="Arial" w:eastAsia="Calibri" w:hAnsi="Arial" w:cs="Arial"/>
          <w:color w:val="000000"/>
          <w:sz w:val="22"/>
          <w:szCs w:val="22"/>
          <w:lang w:val="es-MX"/>
        </w:rPr>
        <w:t xml:space="preserve">Así mismo, el Consejo de Estado ha definido la capacidad residual como «[…] la diferencia que existe entre el potencial de contratación que se tiene y los compromisos que haya adquirido y que se encuentren en ejecución, para la </w:t>
      </w:r>
      <w:r w:rsidRPr="00A705CA">
        <w:rPr>
          <w:rFonts w:ascii="Arial" w:eastAsia="Calibri" w:hAnsi="Arial" w:cs="Arial"/>
          <w:i/>
          <w:iCs/>
          <w:color w:val="000000"/>
          <w:sz w:val="22"/>
          <w:szCs w:val="22"/>
          <w:lang w:val="es-MX"/>
        </w:rPr>
        <w:t>fecha de presentación de la oferta</w:t>
      </w:r>
      <w:r w:rsidRPr="001761F7">
        <w:rPr>
          <w:rFonts w:ascii="Arial" w:eastAsia="Calibri" w:hAnsi="Arial" w:cs="Arial"/>
          <w:color w:val="000000"/>
          <w:sz w:val="22"/>
          <w:szCs w:val="22"/>
          <w:lang w:val="es-MX"/>
        </w:rPr>
        <w:t>»</w:t>
      </w:r>
    </w:p>
    <w:p w14:paraId="128FAE20" w14:textId="3512B499" w:rsidR="00307F1C" w:rsidRPr="00FB2499" w:rsidRDefault="00307F1C" w:rsidP="00A705CA">
      <w:pPr>
        <w:spacing w:line="276" w:lineRule="auto"/>
        <w:ind w:firstLine="709"/>
        <w:jc w:val="both"/>
        <w:rPr>
          <w:rFonts w:ascii="Arial" w:hAnsi="Arial" w:cs="Arial"/>
          <w:sz w:val="22"/>
          <w:szCs w:val="22"/>
        </w:rPr>
      </w:pPr>
      <w:r>
        <w:rPr>
          <w:rFonts w:ascii="Arial" w:hAnsi="Arial" w:cs="Arial"/>
          <w:sz w:val="22"/>
          <w:szCs w:val="22"/>
        </w:rPr>
        <w:t xml:space="preserve">De este modo, a efectos de </w:t>
      </w:r>
      <w:r w:rsidR="008D7179">
        <w:rPr>
          <w:rFonts w:ascii="Arial" w:hAnsi="Arial" w:cs="Arial"/>
          <w:sz w:val="22"/>
          <w:szCs w:val="22"/>
        </w:rPr>
        <w:t xml:space="preserve">dar respuesta a </w:t>
      </w:r>
      <w:r>
        <w:rPr>
          <w:rFonts w:ascii="Arial" w:hAnsi="Arial" w:cs="Arial"/>
          <w:sz w:val="22"/>
          <w:szCs w:val="22"/>
        </w:rPr>
        <w:t>su consulta,</w:t>
      </w:r>
      <w:r w:rsidR="008D7179">
        <w:rPr>
          <w:rFonts w:ascii="Arial" w:hAnsi="Arial" w:cs="Arial"/>
          <w:sz w:val="22"/>
          <w:szCs w:val="22"/>
        </w:rPr>
        <w:t xml:space="preserve"> se concluye que</w:t>
      </w:r>
      <w:r>
        <w:rPr>
          <w:rFonts w:ascii="Arial" w:hAnsi="Arial" w:cs="Arial"/>
          <w:sz w:val="22"/>
          <w:szCs w:val="22"/>
        </w:rPr>
        <w:t xml:space="preserve"> la fecha determinante para el </w:t>
      </w:r>
      <w:r w:rsidR="00872990">
        <w:rPr>
          <w:rFonts w:ascii="Arial" w:hAnsi="Arial" w:cs="Arial"/>
          <w:sz w:val="22"/>
          <w:szCs w:val="22"/>
        </w:rPr>
        <w:t>cálculo</w:t>
      </w:r>
      <w:r>
        <w:rPr>
          <w:rFonts w:ascii="Arial" w:hAnsi="Arial" w:cs="Arial"/>
          <w:sz w:val="22"/>
          <w:szCs w:val="22"/>
        </w:rPr>
        <w:t xml:space="preserve"> de la capacidad residual es la de presentación de la oferta y no la de publicación de los pliegos definitivos o alguna otra. Lo anterior porque, tal como se indicó, es con</w:t>
      </w:r>
      <w:r w:rsidR="008D7179">
        <w:rPr>
          <w:rFonts w:ascii="Arial" w:hAnsi="Arial" w:cs="Arial"/>
          <w:sz w:val="22"/>
          <w:szCs w:val="22"/>
        </w:rPr>
        <w:t xml:space="preserve"> base a los </w:t>
      </w:r>
      <w:r w:rsidR="008D7179" w:rsidRPr="007F6314">
        <w:rPr>
          <w:rFonts w:ascii="Arial" w:hAnsi="Arial" w:cs="Arial"/>
          <w:sz w:val="22"/>
          <w:szCs w:val="22"/>
        </w:rPr>
        <w:t>compromisos que haya adquirido y que se encuentren en ejecución</w:t>
      </w:r>
      <w:r w:rsidR="008D7179">
        <w:rPr>
          <w:rFonts w:ascii="Arial" w:hAnsi="Arial" w:cs="Arial"/>
          <w:sz w:val="22"/>
          <w:szCs w:val="22"/>
        </w:rPr>
        <w:t xml:space="preserve"> al momento de </w:t>
      </w:r>
      <w:r>
        <w:rPr>
          <w:rFonts w:ascii="Arial" w:hAnsi="Arial" w:cs="Arial"/>
          <w:sz w:val="22"/>
          <w:szCs w:val="22"/>
        </w:rPr>
        <w:t xml:space="preserve">la presentación de la oferta que debe medirse si el proponente cuenta con la capacidad residual para ejecutar el contrato estatal </w:t>
      </w:r>
      <w:r w:rsidR="008D7179">
        <w:rPr>
          <w:rFonts w:ascii="Arial" w:hAnsi="Arial" w:cs="Arial"/>
          <w:sz w:val="22"/>
          <w:szCs w:val="22"/>
        </w:rPr>
        <w:t xml:space="preserve">a celebrar. </w:t>
      </w:r>
    </w:p>
    <w:p w14:paraId="1DD28438" w14:textId="2193F8E4" w:rsidR="00A41003" w:rsidRPr="003433BB" w:rsidRDefault="00A41003" w:rsidP="00A705CA">
      <w:pPr>
        <w:spacing w:line="276" w:lineRule="auto"/>
        <w:contextualSpacing/>
        <w:jc w:val="both"/>
        <w:rPr>
          <w:rFonts w:ascii="Arial" w:eastAsiaTheme="minorHAnsi" w:hAnsi="Arial" w:cs="Arial"/>
          <w:sz w:val="22"/>
          <w:szCs w:val="22"/>
          <w:lang w:val="es-MX" w:eastAsia="en-US"/>
        </w:rPr>
      </w:pPr>
    </w:p>
    <w:p w14:paraId="056816F7" w14:textId="1E63A245" w:rsidR="00D40F8B" w:rsidRPr="00EE341D" w:rsidRDefault="00DD5B04" w:rsidP="00A705CA">
      <w:pPr>
        <w:spacing w:line="276" w:lineRule="auto"/>
        <w:contextualSpacing/>
        <w:jc w:val="both"/>
        <w:rPr>
          <w:rFonts w:ascii="Arial" w:hAnsi="Arial" w:cs="Arial"/>
          <w:color w:val="000000" w:themeColor="text1"/>
          <w:sz w:val="22"/>
          <w:lang w:val="es-ES_tradnl"/>
        </w:rPr>
      </w:pPr>
      <w:r w:rsidRPr="00EE341D">
        <w:rPr>
          <w:rFonts w:ascii="Arial" w:hAnsi="Arial" w:cs="Arial"/>
          <w:color w:val="000000" w:themeColor="text1"/>
          <w:sz w:val="22"/>
          <w:szCs w:val="22"/>
          <w:lang w:val="es-ES_tradnl"/>
        </w:rPr>
        <w:t>Este concepto tiene el alcance previsto en el artículo 28 del</w:t>
      </w:r>
      <w:r w:rsidRPr="00EE341D">
        <w:rPr>
          <w:rFonts w:ascii="Arial" w:hAnsi="Arial" w:cs="Arial"/>
          <w:color w:val="000000" w:themeColor="text1"/>
          <w:sz w:val="22"/>
          <w:lang w:val="es-ES_tradnl"/>
        </w:rPr>
        <w:t xml:space="preserve"> Código de Procedimiento Administrativo y de</w:t>
      </w:r>
      <w:r w:rsidR="00D40F8B" w:rsidRPr="00EE341D">
        <w:rPr>
          <w:rFonts w:ascii="Arial" w:hAnsi="Arial" w:cs="Arial"/>
          <w:color w:val="000000" w:themeColor="text1"/>
          <w:sz w:val="22"/>
          <w:lang w:val="es-ES_tradnl"/>
        </w:rPr>
        <w:t xml:space="preserve"> lo Contencioso Administrativo.</w:t>
      </w:r>
    </w:p>
    <w:p w14:paraId="6F54E9C9" w14:textId="77777777" w:rsidR="00003233" w:rsidRPr="00EE341D" w:rsidRDefault="00003233" w:rsidP="00A705CA">
      <w:pPr>
        <w:spacing w:line="276" w:lineRule="auto"/>
        <w:contextualSpacing/>
        <w:jc w:val="both"/>
        <w:rPr>
          <w:rFonts w:ascii="Arial" w:hAnsi="Arial" w:cs="Arial"/>
          <w:color w:val="000000" w:themeColor="text1"/>
          <w:sz w:val="22"/>
          <w:lang w:val="es-ES_tradnl"/>
        </w:rPr>
      </w:pPr>
    </w:p>
    <w:p w14:paraId="349855C9" w14:textId="12261EAB" w:rsidR="00D40F8B" w:rsidRDefault="00861F0F" w:rsidP="00DF76A2">
      <w:pPr>
        <w:pStyle w:val="NormalWeb"/>
        <w:spacing w:before="0" w:beforeAutospacing="0" w:after="0" w:afterAutospacing="0" w:line="276" w:lineRule="auto"/>
        <w:jc w:val="both"/>
        <w:rPr>
          <w:rFonts w:ascii="Arial" w:hAnsi="Arial" w:cs="Arial"/>
          <w:color w:val="000000" w:themeColor="text1"/>
          <w:sz w:val="22"/>
          <w:szCs w:val="22"/>
          <w:lang w:val="es-ES_tradnl"/>
        </w:rPr>
      </w:pPr>
      <w:r w:rsidRPr="00EE341D">
        <w:rPr>
          <w:rFonts w:ascii="Arial" w:hAnsi="Arial" w:cs="Arial"/>
          <w:color w:val="000000" w:themeColor="text1"/>
          <w:sz w:val="22"/>
          <w:szCs w:val="22"/>
          <w:lang w:val="es-ES_tradnl"/>
        </w:rPr>
        <w:t>Atentamente,</w:t>
      </w:r>
    </w:p>
    <w:p w14:paraId="5B7339D2" w14:textId="22B5CFDE" w:rsidR="00411715" w:rsidRDefault="00B83F92" w:rsidP="00411715">
      <w:pPr>
        <w:pStyle w:val="NormalWeb"/>
        <w:spacing w:before="0" w:beforeAutospacing="0" w:after="0" w:afterAutospacing="0" w:line="276" w:lineRule="auto"/>
        <w:jc w:val="center"/>
        <w:rPr>
          <w:rFonts w:ascii="Arial" w:hAnsi="Arial" w:cs="Arial"/>
          <w:color w:val="000000" w:themeColor="text1"/>
          <w:sz w:val="22"/>
          <w:szCs w:val="22"/>
          <w:lang w:val="es-ES_tradnl"/>
        </w:rPr>
      </w:pPr>
      <w:r>
        <w:rPr>
          <w:noProof/>
        </w:rPr>
        <w:drawing>
          <wp:inline distT="0" distB="0" distL="0" distR="0" wp14:anchorId="61841C5E" wp14:editId="244123A2">
            <wp:extent cx="2534004" cy="981212"/>
            <wp:effectExtent l="0" t="0" r="0" b="9525"/>
            <wp:docPr id="1" name="Imagen 1" descr="Texto, Cart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 Carta&#10;&#10;Descripción generada automáticamente"/>
                    <pic:cNvPicPr/>
                  </pic:nvPicPr>
                  <pic:blipFill>
                    <a:blip r:embed="rId14"/>
                    <a:stretch>
                      <a:fillRect/>
                    </a:stretch>
                  </pic:blipFill>
                  <pic:spPr>
                    <a:xfrm>
                      <a:off x="0" y="0"/>
                      <a:ext cx="2534004" cy="981212"/>
                    </a:xfrm>
                    <a:prstGeom prst="rect">
                      <a:avLst/>
                    </a:prstGeom>
                  </pic:spPr>
                </pic:pic>
              </a:graphicData>
            </a:graphic>
          </wp:inline>
        </w:drawing>
      </w:r>
    </w:p>
    <w:p w14:paraId="6D40A493" w14:textId="77777777" w:rsidR="00411715" w:rsidRPr="00EE341D" w:rsidRDefault="00411715" w:rsidP="00DF76A2">
      <w:pPr>
        <w:pStyle w:val="NormalWeb"/>
        <w:spacing w:before="0" w:beforeAutospacing="0" w:after="0" w:afterAutospacing="0" w:line="276" w:lineRule="auto"/>
        <w:jc w:val="both"/>
        <w:rPr>
          <w:rFonts w:ascii="Arial" w:hAnsi="Arial" w:cs="Arial"/>
          <w:color w:val="000000" w:themeColor="text1"/>
          <w:sz w:val="22"/>
          <w:szCs w:val="22"/>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
        <w:gridCol w:w="4502"/>
      </w:tblGrid>
      <w:tr w:rsidR="00DD5B04" w:rsidRPr="00EE341D" w14:paraId="0C7DC5F7" w14:textId="77777777" w:rsidTr="003B5586">
        <w:trPr>
          <w:trHeight w:val="124"/>
        </w:trPr>
        <w:tc>
          <w:tcPr>
            <w:tcW w:w="828" w:type="dxa"/>
            <w:vAlign w:val="center"/>
            <w:hideMark/>
          </w:tcPr>
          <w:p w14:paraId="5BDB1AC9" w14:textId="77777777" w:rsidR="00DD5B04" w:rsidRPr="00EE341D" w:rsidRDefault="00DD5B04" w:rsidP="00DF76A2">
            <w:pPr>
              <w:jc w:val="both"/>
              <w:rPr>
                <w:rFonts w:ascii="Arial" w:hAnsi="Arial" w:cs="Arial"/>
                <w:color w:val="000000" w:themeColor="text1"/>
                <w:sz w:val="16"/>
                <w:szCs w:val="16"/>
                <w:lang w:val="es-ES_tradnl" w:eastAsia="es-ES"/>
              </w:rPr>
            </w:pPr>
            <w:r w:rsidRPr="00EE341D">
              <w:rPr>
                <w:rFonts w:ascii="Arial" w:hAnsi="Arial" w:cs="Arial"/>
                <w:color w:val="000000" w:themeColor="text1"/>
                <w:sz w:val="16"/>
                <w:szCs w:val="16"/>
                <w:lang w:val="es-ES_tradnl" w:eastAsia="es-ES"/>
              </w:rPr>
              <w:t>Elaboró:</w:t>
            </w:r>
          </w:p>
        </w:tc>
        <w:tc>
          <w:tcPr>
            <w:tcW w:w="4502" w:type="dxa"/>
            <w:tcBorders>
              <w:top w:val="nil"/>
              <w:left w:val="nil"/>
              <w:bottom w:val="dotted" w:sz="4" w:space="0" w:color="7F7F7F" w:themeColor="text1" w:themeTint="80"/>
              <w:right w:val="nil"/>
            </w:tcBorders>
            <w:vAlign w:val="center"/>
            <w:hideMark/>
          </w:tcPr>
          <w:p w14:paraId="42488358" w14:textId="77777777" w:rsidR="00DD5B04" w:rsidRDefault="00411715" w:rsidP="00DF76A2">
            <w:pPr>
              <w:jc w:val="both"/>
              <w:rPr>
                <w:rFonts w:ascii="Arial" w:hAnsi="Arial" w:cs="Arial"/>
                <w:color w:val="000000" w:themeColor="text1"/>
                <w:sz w:val="16"/>
                <w:szCs w:val="16"/>
                <w:lang w:val="es-ES_tradnl" w:eastAsia="es-ES"/>
              </w:rPr>
            </w:pPr>
            <w:r>
              <w:rPr>
                <w:rFonts w:ascii="Arial" w:hAnsi="Arial" w:cs="Arial"/>
                <w:color w:val="000000" w:themeColor="text1"/>
                <w:sz w:val="16"/>
                <w:szCs w:val="16"/>
                <w:lang w:val="es-ES_tradnl" w:eastAsia="es-ES"/>
              </w:rPr>
              <w:t xml:space="preserve">Camilo Perdomo Villamil </w:t>
            </w:r>
          </w:p>
          <w:p w14:paraId="240C71FD" w14:textId="7AE5F422" w:rsidR="00411715" w:rsidRPr="00EE341D" w:rsidRDefault="00411715" w:rsidP="00DF76A2">
            <w:pPr>
              <w:jc w:val="both"/>
              <w:rPr>
                <w:rFonts w:ascii="Arial" w:hAnsi="Arial" w:cs="Arial"/>
                <w:color w:val="000000" w:themeColor="text1"/>
                <w:sz w:val="16"/>
                <w:szCs w:val="16"/>
                <w:lang w:val="es-ES_tradnl" w:eastAsia="es-ES"/>
              </w:rPr>
            </w:pPr>
            <w:r>
              <w:rPr>
                <w:rFonts w:ascii="Arial" w:hAnsi="Arial" w:cs="Arial"/>
                <w:color w:val="000000" w:themeColor="text1"/>
                <w:sz w:val="16"/>
                <w:szCs w:val="16"/>
                <w:lang w:val="es-ES_tradnl" w:eastAsia="es-ES"/>
              </w:rPr>
              <w:t xml:space="preserve">Contratista de la Subdirección de Gestión Contractual </w:t>
            </w:r>
          </w:p>
        </w:tc>
      </w:tr>
      <w:tr w:rsidR="00DD5B04" w:rsidRPr="00EE341D" w14:paraId="2F8FD650" w14:textId="77777777" w:rsidTr="003B5586">
        <w:trPr>
          <w:trHeight w:val="256"/>
        </w:trPr>
        <w:tc>
          <w:tcPr>
            <w:tcW w:w="828" w:type="dxa"/>
            <w:vAlign w:val="center"/>
            <w:hideMark/>
          </w:tcPr>
          <w:p w14:paraId="50203A0B" w14:textId="77777777" w:rsidR="00DD5B04" w:rsidRPr="00EE341D" w:rsidRDefault="00DD5B04" w:rsidP="00DF76A2">
            <w:pPr>
              <w:jc w:val="both"/>
              <w:rPr>
                <w:rFonts w:ascii="Arial" w:hAnsi="Arial" w:cs="Arial"/>
                <w:color w:val="000000" w:themeColor="text1"/>
                <w:sz w:val="16"/>
                <w:szCs w:val="16"/>
                <w:lang w:val="es-ES_tradnl" w:eastAsia="es-ES"/>
              </w:rPr>
            </w:pPr>
            <w:r w:rsidRPr="00EE341D">
              <w:rPr>
                <w:rFonts w:ascii="Arial" w:hAnsi="Arial" w:cs="Arial"/>
                <w:color w:val="000000" w:themeColor="text1"/>
                <w:sz w:val="16"/>
                <w:szCs w:val="16"/>
                <w:lang w:val="es-ES_tradnl" w:eastAsia="es-ES"/>
              </w:rPr>
              <w:t>Revisó:</w:t>
            </w:r>
          </w:p>
        </w:tc>
        <w:tc>
          <w:tcPr>
            <w:tcW w:w="4502" w:type="dxa"/>
            <w:tcBorders>
              <w:top w:val="dotted" w:sz="4" w:space="0" w:color="7F7F7F" w:themeColor="text1" w:themeTint="80"/>
              <w:left w:val="nil"/>
              <w:bottom w:val="dotted" w:sz="4" w:space="0" w:color="7F7F7F" w:themeColor="text1" w:themeTint="80"/>
              <w:right w:val="nil"/>
            </w:tcBorders>
            <w:vAlign w:val="center"/>
            <w:hideMark/>
          </w:tcPr>
          <w:p w14:paraId="03A262D0" w14:textId="0F1A3FAB" w:rsidR="00384466" w:rsidRDefault="00464278" w:rsidP="00F412DF">
            <w:pPr>
              <w:jc w:val="both"/>
              <w:rPr>
                <w:rFonts w:ascii="Arial" w:hAnsi="Arial" w:cs="Arial"/>
                <w:color w:val="000000" w:themeColor="text1"/>
                <w:sz w:val="16"/>
                <w:szCs w:val="16"/>
                <w:lang w:val="es-ES_tradnl" w:eastAsia="es-ES"/>
              </w:rPr>
            </w:pPr>
            <w:r>
              <w:rPr>
                <w:rFonts w:ascii="Arial" w:hAnsi="Arial" w:cs="Arial"/>
                <w:color w:val="000000" w:themeColor="text1"/>
                <w:sz w:val="16"/>
                <w:szCs w:val="16"/>
                <w:lang w:val="es-ES_tradnl" w:eastAsia="es-ES"/>
              </w:rPr>
              <w:t>Diana Lucia Saavedra Castañeda</w:t>
            </w:r>
          </w:p>
          <w:p w14:paraId="130B3228" w14:textId="27F52BE9" w:rsidR="0070439B" w:rsidRPr="00EE341D" w:rsidRDefault="00B22D35" w:rsidP="00F412DF">
            <w:pPr>
              <w:jc w:val="both"/>
              <w:rPr>
                <w:rFonts w:ascii="Arial" w:hAnsi="Arial" w:cs="Arial"/>
                <w:color w:val="000000" w:themeColor="text1"/>
                <w:sz w:val="16"/>
                <w:szCs w:val="16"/>
                <w:lang w:val="es-ES" w:eastAsia="es-ES"/>
              </w:rPr>
            </w:pPr>
            <w:r w:rsidRPr="00EE341D">
              <w:rPr>
                <w:rFonts w:ascii="Arial" w:hAnsi="Arial" w:cs="Arial"/>
                <w:color w:val="000000" w:themeColor="text1"/>
                <w:sz w:val="16"/>
                <w:szCs w:val="16"/>
                <w:lang w:val="es-ES_tradnl" w:eastAsia="es-ES"/>
              </w:rPr>
              <w:t>Contratista de la Subdirección de Gestión Contractual</w:t>
            </w:r>
            <w:r w:rsidRPr="00EE341D" w:rsidDel="00B22D35">
              <w:rPr>
                <w:rFonts w:ascii="Arial" w:hAnsi="Arial" w:cs="Arial"/>
                <w:color w:val="000000"/>
                <w:sz w:val="16"/>
                <w:szCs w:val="16"/>
                <w:shd w:val="clear" w:color="auto" w:fill="FFFFFF"/>
              </w:rPr>
              <w:t xml:space="preserve"> </w:t>
            </w:r>
          </w:p>
        </w:tc>
      </w:tr>
      <w:tr w:rsidR="00DD5B04" w:rsidRPr="00D40F8B" w14:paraId="0FCBCA4A" w14:textId="77777777" w:rsidTr="003B5586">
        <w:trPr>
          <w:trHeight w:val="233"/>
        </w:trPr>
        <w:tc>
          <w:tcPr>
            <w:tcW w:w="828" w:type="dxa"/>
            <w:vAlign w:val="center"/>
            <w:hideMark/>
          </w:tcPr>
          <w:p w14:paraId="3C1D943A" w14:textId="77777777" w:rsidR="00DD5B04" w:rsidRPr="00EE341D" w:rsidRDefault="00DD5B04" w:rsidP="00DF76A2">
            <w:pPr>
              <w:jc w:val="both"/>
              <w:rPr>
                <w:rFonts w:ascii="Arial" w:hAnsi="Arial" w:cs="Arial"/>
                <w:color w:val="000000" w:themeColor="text1"/>
                <w:sz w:val="16"/>
                <w:szCs w:val="16"/>
                <w:lang w:val="es-ES_tradnl" w:eastAsia="es-ES"/>
              </w:rPr>
            </w:pPr>
            <w:r w:rsidRPr="00EE341D">
              <w:rPr>
                <w:rFonts w:ascii="Arial" w:hAnsi="Arial" w:cs="Arial"/>
                <w:color w:val="000000" w:themeColor="text1"/>
                <w:sz w:val="16"/>
                <w:szCs w:val="16"/>
                <w:lang w:val="es-ES_tradnl" w:eastAsia="es-ES"/>
              </w:rPr>
              <w:t>Aprobó:</w:t>
            </w:r>
          </w:p>
        </w:tc>
        <w:tc>
          <w:tcPr>
            <w:tcW w:w="4502" w:type="dxa"/>
            <w:tcBorders>
              <w:top w:val="dotted" w:sz="4" w:space="0" w:color="7F7F7F" w:themeColor="text1" w:themeTint="80"/>
              <w:left w:val="nil"/>
              <w:bottom w:val="dotted" w:sz="4" w:space="0" w:color="7F7F7F" w:themeColor="text1" w:themeTint="80"/>
              <w:right w:val="nil"/>
            </w:tcBorders>
            <w:vAlign w:val="center"/>
            <w:hideMark/>
          </w:tcPr>
          <w:p w14:paraId="04486817" w14:textId="77777777" w:rsidR="00573788" w:rsidRPr="006A06F2" w:rsidRDefault="00573788" w:rsidP="00573788">
            <w:r>
              <w:rPr>
                <w:rFonts w:ascii="Arial" w:eastAsia="Arial" w:hAnsi="Arial" w:cs="Arial"/>
                <w:color w:val="000000"/>
                <w:sz w:val="16"/>
                <w:szCs w:val="16"/>
              </w:rPr>
              <w:t>Juan David Marín López</w:t>
            </w:r>
          </w:p>
          <w:p w14:paraId="1ADC483B" w14:textId="52CB9C4A" w:rsidR="00DD5B04" w:rsidRPr="00D40F8B" w:rsidRDefault="00573788" w:rsidP="00DF76A2">
            <w:pPr>
              <w:jc w:val="both"/>
              <w:rPr>
                <w:rFonts w:ascii="Arial" w:hAnsi="Arial" w:cs="Arial"/>
                <w:color w:val="000000" w:themeColor="text1"/>
                <w:sz w:val="16"/>
                <w:szCs w:val="16"/>
                <w:lang w:val="es-ES_tradnl" w:eastAsia="es-ES"/>
              </w:rPr>
            </w:pPr>
            <w:r w:rsidRPr="006A06F2">
              <w:rPr>
                <w:rFonts w:ascii="Arial" w:eastAsia="Arial" w:hAnsi="Arial" w:cs="Arial"/>
                <w:color w:val="000000"/>
                <w:sz w:val="16"/>
                <w:szCs w:val="16"/>
              </w:rPr>
              <w:t xml:space="preserve">Subdirector de Gestión Contractual </w:t>
            </w:r>
            <w:r>
              <w:rPr>
                <w:rFonts w:ascii="Arial" w:eastAsia="Arial" w:hAnsi="Arial" w:cs="Arial"/>
                <w:color w:val="000000"/>
                <w:sz w:val="16"/>
                <w:szCs w:val="16"/>
              </w:rPr>
              <w:t>(E)</w:t>
            </w:r>
          </w:p>
        </w:tc>
      </w:tr>
      <w:bookmarkEnd w:id="3"/>
    </w:tbl>
    <w:p w14:paraId="407E8F17" w14:textId="77777777" w:rsidR="00DD118B" w:rsidRPr="00E23980" w:rsidRDefault="00DD118B" w:rsidP="00A06BD7">
      <w:pPr>
        <w:jc w:val="both"/>
        <w:rPr>
          <w:rFonts w:ascii="Arial" w:hAnsi="Arial" w:cs="Arial"/>
          <w:lang w:val="es-ES_tradnl"/>
        </w:rPr>
      </w:pPr>
    </w:p>
    <w:sectPr w:rsidR="00DD118B" w:rsidRPr="00E23980" w:rsidSect="006F436D">
      <w:headerReference w:type="default" r:id="rId15"/>
      <w:footerReference w:type="default" r:id="rId16"/>
      <w:pgSz w:w="12240" w:h="15840"/>
      <w:pgMar w:top="2410" w:right="1701" w:bottom="2694" w:left="1560" w:header="34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83FDA3" w14:textId="77777777" w:rsidR="00515F68" w:rsidRDefault="00515F68">
      <w:r>
        <w:separator/>
      </w:r>
    </w:p>
  </w:endnote>
  <w:endnote w:type="continuationSeparator" w:id="0">
    <w:p w14:paraId="021E3FCE" w14:textId="77777777" w:rsidR="00515F68" w:rsidRDefault="00515F68">
      <w:r>
        <w:continuationSeparator/>
      </w:r>
    </w:p>
  </w:endnote>
  <w:endnote w:type="continuationNotice" w:id="1">
    <w:p w14:paraId="71E0EF76" w14:textId="77777777" w:rsidR="00515F68" w:rsidRDefault="00515F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604020202020204"/>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785F3" w14:textId="2EF28465" w:rsidR="00E2520A" w:rsidRPr="00EC6D8D" w:rsidRDefault="00E2520A" w:rsidP="00FE42ED">
    <w:pPr>
      <w:pStyle w:val="Piedepgina"/>
      <w:jc w:val="right"/>
      <w:rPr>
        <w:rFonts w:ascii="Arial" w:hAnsi="Arial" w:cs="Arial"/>
        <w:color w:val="7F7F7F"/>
        <w:sz w:val="16"/>
        <w:szCs w:val="16"/>
      </w:rPr>
    </w:pPr>
    <w:r w:rsidRPr="00EC6D8D">
      <w:rPr>
        <w:rFonts w:ascii="Arial" w:hAnsi="Arial" w:cs="Arial"/>
        <w:bCs/>
        <w:color w:val="7F7F7F"/>
        <w:sz w:val="16"/>
        <w:szCs w:val="16"/>
      </w:rPr>
      <w:t xml:space="preserve">Página </w:t>
    </w:r>
    <w:r w:rsidRPr="00EC6D8D">
      <w:rPr>
        <w:rFonts w:ascii="Arial" w:hAnsi="Arial" w:cs="Arial"/>
        <w:b/>
        <w:bCs/>
        <w:color w:val="7F7F7F"/>
        <w:sz w:val="16"/>
        <w:szCs w:val="16"/>
      </w:rPr>
      <w:fldChar w:fldCharType="begin"/>
    </w:r>
    <w:r w:rsidRPr="00EC6D8D">
      <w:rPr>
        <w:rFonts w:ascii="Arial" w:hAnsi="Arial" w:cs="Arial"/>
        <w:b/>
        <w:bCs/>
        <w:color w:val="7F7F7F"/>
        <w:sz w:val="16"/>
        <w:szCs w:val="16"/>
      </w:rPr>
      <w:instrText>PAGE  \* Arabic  \* MERGEFORMAT</w:instrText>
    </w:r>
    <w:r w:rsidRPr="00EC6D8D">
      <w:rPr>
        <w:rFonts w:ascii="Arial" w:hAnsi="Arial" w:cs="Arial"/>
        <w:b/>
        <w:bCs/>
        <w:color w:val="7F7F7F"/>
        <w:sz w:val="16"/>
        <w:szCs w:val="16"/>
      </w:rPr>
      <w:fldChar w:fldCharType="separate"/>
    </w:r>
    <w:r w:rsidR="00536E62">
      <w:rPr>
        <w:rFonts w:ascii="Arial" w:hAnsi="Arial" w:cs="Arial"/>
        <w:b/>
        <w:bCs/>
        <w:noProof/>
        <w:color w:val="7F7F7F"/>
        <w:sz w:val="16"/>
        <w:szCs w:val="16"/>
      </w:rPr>
      <w:t>12</w:t>
    </w:r>
    <w:r w:rsidRPr="00EC6D8D">
      <w:rPr>
        <w:rFonts w:ascii="Arial" w:hAnsi="Arial" w:cs="Arial"/>
        <w:b/>
        <w:bCs/>
        <w:color w:val="7F7F7F"/>
        <w:sz w:val="16"/>
        <w:szCs w:val="16"/>
      </w:rPr>
      <w:fldChar w:fldCharType="end"/>
    </w:r>
    <w:r w:rsidRPr="00EC6D8D">
      <w:rPr>
        <w:rFonts w:ascii="Arial" w:hAnsi="Arial" w:cs="Arial"/>
        <w:color w:val="7F7F7F"/>
        <w:sz w:val="16"/>
        <w:szCs w:val="16"/>
      </w:rPr>
      <w:t xml:space="preserve"> de </w:t>
    </w:r>
    <w:r w:rsidRPr="00EC6D8D">
      <w:rPr>
        <w:rFonts w:ascii="Arial" w:hAnsi="Arial" w:cs="Arial"/>
        <w:b/>
        <w:bCs/>
        <w:color w:val="7F7F7F"/>
        <w:sz w:val="16"/>
        <w:szCs w:val="16"/>
      </w:rPr>
      <w:fldChar w:fldCharType="begin"/>
    </w:r>
    <w:r w:rsidRPr="00EC6D8D">
      <w:rPr>
        <w:rFonts w:ascii="Arial" w:hAnsi="Arial" w:cs="Arial"/>
        <w:b/>
        <w:bCs/>
        <w:color w:val="7F7F7F"/>
        <w:sz w:val="16"/>
        <w:szCs w:val="16"/>
      </w:rPr>
      <w:instrText>NUMPAGES  \* Arabic  \* MERGEFORMAT</w:instrText>
    </w:r>
    <w:r w:rsidRPr="00EC6D8D">
      <w:rPr>
        <w:rFonts w:ascii="Arial" w:hAnsi="Arial" w:cs="Arial"/>
        <w:b/>
        <w:bCs/>
        <w:color w:val="7F7F7F"/>
        <w:sz w:val="16"/>
        <w:szCs w:val="16"/>
      </w:rPr>
      <w:fldChar w:fldCharType="separate"/>
    </w:r>
    <w:r w:rsidR="00536E62">
      <w:rPr>
        <w:rFonts w:ascii="Arial" w:hAnsi="Arial" w:cs="Arial"/>
        <w:b/>
        <w:bCs/>
        <w:noProof/>
        <w:color w:val="7F7F7F"/>
        <w:sz w:val="16"/>
        <w:szCs w:val="16"/>
      </w:rPr>
      <w:t>12</w:t>
    </w:r>
    <w:r w:rsidRPr="00EC6D8D">
      <w:rPr>
        <w:rFonts w:ascii="Arial" w:hAnsi="Arial" w:cs="Arial"/>
        <w:b/>
        <w:bCs/>
        <w:color w:val="7F7F7F"/>
        <w:sz w:val="16"/>
        <w:szCs w:val="16"/>
      </w:rPr>
      <w:fldChar w:fldCharType="end"/>
    </w:r>
  </w:p>
  <w:p w14:paraId="48FC6A04" w14:textId="187BB681" w:rsidR="00E2520A" w:rsidRDefault="00207C1E" w:rsidP="00322937">
    <w:pPr>
      <w:pStyle w:val="Piedepgina"/>
      <w:jc w:val="center"/>
      <w:rPr>
        <w:lang w:val="es-ES"/>
      </w:rPr>
    </w:pPr>
    <w:r w:rsidRPr="00207C1E">
      <w:rPr>
        <w:noProof/>
        <w:lang w:val="es-ES"/>
      </w:rPr>
      <w:drawing>
        <wp:inline distT="0" distB="0" distL="0" distR="0" wp14:anchorId="5D151EC5" wp14:editId="37D9D648">
          <wp:extent cx="5778385" cy="856615"/>
          <wp:effectExtent l="0" t="0" r="635"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81669" cy="857102"/>
                  </a:xfrm>
                  <a:prstGeom prst="rect">
                    <a:avLst/>
                  </a:prstGeom>
                </pic:spPr>
              </pic:pic>
            </a:graphicData>
          </a:graphic>
        </wp:inline>
      </w:drawing>
    </w:r>
  </w:p>
  <w:p w14:paraId="6C0EFC49" w14:textId="77777777" w:rsidR="00E2520A" w:rsidRPr="007B0854" w:rsidRDefault="00E2520A" w:rsidP="007B0854">
    <w:pPr>
      <w:pStyle w:val="Piedepgina"/>
      <w:jc w:val="center"/>
      <w:rPr>
        <w:lang w:val="es-ES"/>
      </w:rPr>
    </w:pPr>
  </w:p>
  <w:p w14:paraId="2CCD54A3" w14:textId="77777777" w:rsidR="00E2520A" w:rsidRDefault="00E252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02223" w14:textId="77777777" w:rsidR="00515F68" w:rsidRDefault="00515F68">
      <w:r>
        <w:separator/>
      </w:r>
    </w:p>
  </w:footnote>
  <w:footnote w:type="continuationSeparator" w:id="0">
    <w:p w14:paraId="6D407C38" w14:textId="77777777" w:rsidR="00515F68" w:rsidRDefault="00515F68">
      <w:r>
        <w:continuationSeparator/>
      </w:r>
    </w:p>
  </w:footnote>
  <w:footnote w:type="continuationNotice" w:id="1">
    <w:p w14:paraId="04CA29BF" w14:textId="77777777" w:rsidR="00515F68" w:rsidRDefault="00515F68"/>
  </w:footnote>
  <w:footnote w:id="2">
    <w:p w14:paraId="374E86BA" w14:textId="77777777" w:rsidR="00307F1C" w:rsidRPr="00A705CA" w:rsidRDefault="00307F1C" w:rsidP="005839D8">
      <w:pPr>
        <w:pStyle w:val="Textonotapie"/>
        <w:ind w:firstLine="708"/>
        <w:contextualSpacing/>
        <w:jc w:val="both"/>
        <w:rPr>
          <w:rFonts w:ascii="Arial" w:eastAsia="Calibri" w:hAnsi="Arial" w:cs="Arial"/>
          <w:color w:val="000000"/>
          <w:sz w:val="19"/>
          <w:szCs w:val="19"/>
        </w:rPr>
      </w:pPr>
      <w:r w:rsidRPr="00A705CA">
        <w:rPr>
          <w:rStyle w:val="Refdenotaalpie"/>
          <w:rFonts w:ascii="Arial" w:hAnsi="Arial" w:cs="Arial"/>
          <w:color w:val="000000"/>
          <w:sz w:val="19"/>
          <w:szCs w:val="19"/>
        </w:rPr>
        <w:footnoteRef/>
      </w:r>
      <w:r w:rsidRPr="00A705CA">
        <w:rPr>
          <w:rFonts w:ascii="Arial" w:hAnsi="Arial" w:cs="Arial"/>
          <w:color w:val="000000"/>
          <w:sz w:val="19"/>
          <w:szCs w:val="19"/>
        </w:rPr>
        <w:t xml:space="preserve"> </w:t>
      </w:r>
      <w:r w:rsidRPr="00A705CA">
        <w:rPr>
          <w:rFonts w:ascii="Arial" w:eastAsia="Calibri" w:hAnsi="Arial" w:cs="Arial"/>
          <w:color w:val="000000"/>
          <w:sz w:val="19"/>
          <w:szCs w:val="19"/>
        </w:rPr>
        <w:t xml:space="preserve">Decreto 1082 de 2015: «Articulo 2.2.1.1.1.3.1. Definiciones. Los términos no definidos en el Título I de la Parte 2 del presente decreto y utilizados frecuentemente deben entenderse de acuerdo con su significado natural y obvio. Para la interpretación del presente Título I, las expresiones aquí utilizadas con mayúscula inicial deben ser entendidas con el significado que a continuación se indica. Los términos definidos son utilizados en singular y en plural de acuerdo como lo requiera el contexto en el cual son utilizados. </w:t>
      </w:r>
    </w:p>
    <w:p w14:paraId="5A936E4D" w14:textId="77777777" w:rsidR="00307F1C" w:rsidRPr="00A705CA" w:rsidRDefault="00307F1C" w:rsidP="005839D8">
      <w:pPr>
        <w:pStyle w:val="Textonotapie"/>
        <w:ind w:firstLine="708"/>
        <w:contextualSpacing/>
        <w:jc w:val="both"/>
        <w:rPr>
          <w:rFonts w:ascii="Arial" w:eastAsia="Calibri" w:hAnsi="Arial" w:cs="Arial"/>
          <w:color w:val="000000"/>
          <w:sz w:val="19"/>
          <w:szCs w:val="19"/>
        </w:rPr>
      </w:pPr>
      <w:r w:rsidRPr="00A705CA">
        <w:rPr>
          <w:rFonts w:ascii="Arial" w:eastAsia="Calibri" w:hAnsi="Arial" w:cs="Arial"/>
          <w:color w:val="000000"/>
          <w:sz w:val="19"/>
          <w:szCs w:val="19"/>
        </w:rPr>
        <w:t>[…]</w:t>
      </w:r>
    </w:p>
    <w:p w14:paraId="64FB6CEB" w14:textId="29A729C6" w:rsidR="00307F1C" w:rsidRPr="00A705CA" w:rsidRDefault="006A4BD0" w:rsidP="005839D8">
      <w:pPr>
        <w:pStyle w:val="Textonotapie"/>
        <w:ind w:firstLine="708"/>
        <w:contextualSpacing/>
        <w:jc w:val="both"/>
        <w:rPr>
          <w:rFonts w:ascii="Arial" w:hAnsi="Arial" w:cs="Arial"/>
          <w:color w:val="000000"/>
          <w:sz w:val="19"/>
          <w:szCs w:val="19"/>
          <w:lang w:val="es-CO"/>
        </w:rPr>
      </w:pPr>
      <w:r w:rsidRPr="006A4BD0">
        <w:rPr>
          <w:rFonts w:ascii="Arial" w:eastAsia="Calibri" w:hAnsi="Arial" w:cs="Arial"/>
          <w:color w:val="000000"/>
          <w:sz w:val="19"/>
          <w:szCs w:val="19"/>
        </w:rPr>
        <w:t>» Capacidad</w:t>
      </w:r>
      <w:r w:rsidR="00307F1C" w:rsidRPr="00A705CA">
        <w:rPr>
          <w:rFonts w:ascii="Arial" w:eastAsia="Calibri" w:hAnsi="Arial" w:cs="Arial"/>
          <w:color w:val="000000"/>
          <w:sz w:val="19"/>
          <w:szCs w:val="19"/>
        </w:rPr>
        <w:t xml:space="preserve"> Residual o K de Contratación: Aptitud de un oferente para cumplir oportuna y cabalmente con el objeto de un contrato de obra, sin que sus otros compromisos contractuales afecten su habilidad de cumplir con el contrato que está en proceso de selección».</w:t>
      </w:r>
      <w:r w:rsidR="00307F1C" w:rsidRPr="00A705CA">
        <w:rPr>
          <w:rFonts w:ascii="Arial" w:hAnsi="Arial" w:cs="Arial"/>
          <w:color w:val="000000"/>
          <w:sz w:val="19"/>
          <w:szCs w:val="19"/>
          <w:lang w:val="es-CO"/>
        </w:rPr>
        <w:t xml:space="preserve"> </w:t>
      </w:r>
    </w:p>
    <w:p w14:paraId="1C8E5142" w14:textId="77777777" w:rsidR="00307F1C" w:rsidRPr="00A705CA" w:rsidRDefault="00307F1C" w:rsidP="005839D8">
      <w:pPr>
        <w:pStyle w:val="Textonotapie"/>
        <w:contextualSpacing/>
        <w:jc w:val="both"/>
        <w:rPr>
          <w:rFonts w:ascii="Arial" w:hAnsi="Arial" w:cs="Arial"/>
          <w:color w:val="000000"/>
          <w:sz w:val="19"/>
          <w:szCs w:val="19"/>
          <w:lang w:val="es-CO"/>
        </w:rPr>
      </w:pPr>
    </w:p>
  </w:footnote>
  <w:footnote w:id="3">
    <w:p w14:paraId="1AD01B4F" w14:textId="4670EBB8" w:rsidR="00307F1C" w:rsidRPr="00A705CA" w:rsidRDefault="00307F1C" w:rsidP="005839D8">
      <w:pPr>
        <w:pStyle w:val="Textonotapie"/>
        <w:ind w:firstLine="708"/>
        <w:contextualSpacing/>
        <w:jc w:val="both"/>
        <w:rPr>
          <w:rFonts w:ascii="Arial" w:hAnsi="Arial" w:cs="Arial"/>
          <w:color w:val="000000"/>
          <w:sz w:val="19"/>
          <w:szCs w:val="19"/>
          <w:lang w:val="es-CO"/>
        </w:rPr>
      </w:pPr>
      <w:r w:rsidRPr="00A705CA">
        <w:rPr>
          <w:rFonts w:ascii="Arial" w:eastAsia="Calibri" w:hAnsi="Arial" w:cs="Arial"/>
          <w:color w:val="000000"/>
          <w:sz w:val="19"/>
          <w:szCs w:val="19"/>
          <w:vertAlign w:val="superscript"/>
        </w:rPr>
        <w:footnoteRef/>
      </w:r>
      <w:r w:rsidRPr="00A705CA">
        <w:rPr>
          <w:rFonts w:ascii="Arial" w:eastAsia="Calibri" w:hAnsi="Arial" w:cs="Arial"/>
          <w:color w:val="000000"/>
          <w:sz w:val="19"/>
          <w:szCs w:val="19"/>
          <w:vertAlign w:val="superscript"/>
        </w:rPr>
        <w:t xml:space="preserve"> </w:t>
      </w:r>
      <w:r w:rsidR="0088516E" w:rsidRPr="0088516E">
        <w:rPr>
          <w:rFonts w:ascii="Arial" w:eastAsia="Calibri" w:hAnsi="Arial" w:cs="Arial"/>
          <w:color w:val="000000"/>
          <w:sz w:val="19"/>
          <w:szCs w:val="19"/>
        </w:rPr>
        <w:t>Consejo De Estado</w:t>
      </w:r>
      <w:r w:rsidRPr="00A705CA">
        <w:rPr>
          <w:rFonts w:ascii="Arial" w:eastAsia="Calibri" w:hAnsi="Arial" w:cs="Arial"/>
          <w:color w:val="000000"/>
          <w:sz w:val="19"/>
          <w:szCs w:val="19"/>
        </w:rPr>
        <w:t xml:space="preserve">. Sección Tercera. Sentencia del 26 de junio de 2003. Rad. 13.354. C.P: María Elena Giraldo Gómez. </w:t>
      </w:r>
    </w:p>
  </w:footnote>
  <w:footnote w:id="4">
    <w:p w14:paraId="4C4C52C8" w14:textId="561F6D8E" w:rsidR="005839D8" w:rsidRPr="00A705CA" w:rsidRDefault="005839D8" w:rsidP="00A705CA">
      <w:pPr>
        <w:pStyle w:val="Textonotapie"/>
        <w:ind w:firstLine="708"/>
        <w:contextualSpacing/>
        <w:jc w:val="both"/>
        <w:rPr>
          <w:rFonts w:ascii="Arial" w:hAnsi="Arial" w:cs="Arial"/>
          <w:sz w:val="19"/>
          <w:szCs w:val="19"/>
        </w:rPr>
      </w:pPr>
      <w:r w:rsidRPr="00A705CA">
        <w:rPr>
          <w:rStyle w:val="Refdenotaalpie"/>
          <w:rFonts w:ascii="Arial" w:hAnsi="Arial" w:cs="Arial"/>
          <w:sz w:val="19"/>
          <w:szCs w:val="19"/>
        </w:rPr>
        <w:footnoteRef/>
      </w:r>
      <w:r w:rsidRPr="00A705CA">
        <w:rPr>
          <w:rFonts w:ascii="Arial" w:hAnsi="Arial" w:cs="Arial"/>
          <w:sz w:val="19"/>
          <w:szCs w:val="19"/>
        </w:rPr>
        <w:t xml:space="preserve"> La </w:t>
      </w:r>
      <w:r w:rsidRPr="00A705CA">
        <w:rPr>
          <w:rFonts w:ascii="Arial" w:hAnsi="Arial" w:cs="Arial"/>
          <w:sz w:val="19"/>
          <w:szCs w:val="19"/>
          <w:lang w:val="es-CO"/>
        </w:rPr>
        <w:t>«</w:t>
      </w:r>
      <w:r w:rsidRPr="00A705CA">
        <w:rPr>
          <w:rFonts w:ascii="Arial" w:eastAsia="Arial" w:hAnsi="Arial" w:cs="Arial"/>
          <w:i/>
          <w:iCs/>
          <w:sz w:val="19"/>
          <w:szCs w:val="19"/>
        </w:rPr>
        <w:t>Guía para Determinar y Verificar la Capacidad Residual del Proponente en los Procesos de Contratación de Obra Pública</w:t>
      </w:r>
      <w:r w:rsidRPr="00A705CA">
        <w:rPr>
          <w:rFonts w:ascii="Arial" w:hAnsi="Arial" w:cs="Arial"/>
          <w:sz w:val="19"/>
          <w:szCs w:val="19"/>
          <w:lang w:val="es-CO"/>
        </w:rPr>
        <w:t>» expedida por la Agencia Nacional de Contratación Pública – Colombia Compra Eficiente puede ser consultada en el siguiente enlace: https://www.colombiacompra.gov.co/sites/cce_public/files/cce_documents/cce_guia_capacidad_residual.pdf</w:t>
      </w:r>
      <w:r w:rsidR="00D96614">
        <w:rPr>
          <w:rFonts w:ascii="Arial" w:hAnsi="Arial" w:cs="Arial"/>
          <w:sz w:val="19"/>
          <w:szCs w:val="19"/>
          <w:lang w:val="es-CO"/>
        </w:rPr>
        <w:t xml:space="preserve">  </w:t>
      </w:r>
    </w:p>
  </w:footnote>
  <w:footnote w:id="5">
    <w:p w14:paraId="3CB4605E" w14:textId="77777777" w:rsidR="00307F1C" w:rsidRPr="00A705CA" w:rsidRDefault="00307F1C" w:rsidP="005839D8">
      <w:pPr>
        <w:ind w:right="49" w:firstLine="708"/>
        <w:contextualSpacing/>
        <w:jc w:val="both"/>
        <w:rPr>
          <w:rFonts w:ascii="Arial" w:hAnsi="Arial" w:cs="Arial"/>
          <w:color w:val="000000"/>
          <w:sz w:val="19"/>
          <w:szCs w:val="19"/>
        </w:rPr>
      </w:pPr>
      <w:r w:rsidRPr="00A705CA">
        <w:rPr>
          <w:rStyle w:val="Refdenotaalpie"/>
          <w:rFonts w:ascii="Arial" w:hAnsi="Arial" w:cs="Arial"/>
          <w:color w:val="000000"/>
          <w:sz w:val="19"/>
          <w:szCs w:val="19"/>
        </w:rPr>
        <w:footnoteRef/>
      </w:r>
      <w:r w:rsidRPr="00A705CA">
        <w:rPr>
          <w:rFonts w:ascii="Arial" w:hAnsi="Arial" w:cs="Arial"/>
          <w:color w:val="000000"/>
          <w:sz w:val="19"/>
          <w:szCs w:val="19"/>
        </w:rPr>
        <w:t xml:space="preserve"> Decreto 1082 de 2015. «Artículo 2.2.1.1.1.6.4. Capacidad Residual. El interesado en celebrar contratos de obra pública con Entidades Estatales debe acreditar su Capacidad Residual o K de Contratación con los siguientes</w:t>
      </w:r>
      <w:r w:rsidRPr="00A705CA">
        <w:rPr>
          <w:rFonts w:ascii="Arial" w:hAnsi="Arial" w:cs="Arial"/>
          <w:color w:val="000000"/>
          <w:spacing w:val="-3"/>
          <w:sz w:val="19"/>
          <w:szCs w:val="19"/>
        </w:rPr>
        <w:t xml:space="preserve"> </w:t>
      </w:r>
      <w:r w:rsidRPr="00A705CA">
        <w:rPr>
          <w:rFonts w:ascii="Arial" w:hAnsi="Arial" w:cs="Arial"/>
          <w:color w:val="000000"/>
          <w:sz w:val="19"/>
          <w:szCs w:val="19"/>
        </w:rPr>
        <w:t>documentos:</w:t>
      </w:r>
    </w:p>
    <w:p w14:paraId="6EE1D89A" w14:textId="77777777" w:rsidR="00307F1C" w:rsidRPr="00A705CA" w:rsidRDefault="00307F1C" w:rsidP="005839D8">
      <w:pPr>
        <w:ind w:right="49" w:firstLine="708"/>
        <w:contextualSpacing/>
        <w:jc w:val="both"/>
        <w:rPr>
          <w:rFonts w:ascii="Arial" w:hAnsi="Arial" w:cs="Arial"/>
          <w:color w:val="000000"/>
          <w:sz w:val="19"/>
          <w:szCs w:val="19"/>
        </w:rPr>
      </w:pPr>
      <w:r w:rsidRPr="00A705CA">
        <w:rPr>
          <w:rFonts w:ascii="Arial" w:hAnsi="Arial" w:cs="Arial"/>
          <w:color w:val="000000"/>
          <w:sz w:val="19"/>
          <w:szCs w:val="19"/>
        </w:rPr>
        <w:t>»1. La lista de los contratos de obras civiles en ejecución suscritos con Entidades Estatales y con entidades privadas, así como el valor y plazo de tales contratos, incluyendo contratos de concesión y los contratos de obra suscritos con</w:t>
      </w:r>
      <w:r w:rsidRPr="00A705CA">
        <w:rPr>
          <w:rFonts w:ascii="Arial" w:hAnsi="Arial" w:cs="Arial"/>
          <w:color w:val="000000"/>
          <w:spacing w:val="-4"/>
          <w:sz w:val="19"/>
          <w:szCs w:val="19"/>
        </w:rPr>
        <w:t xml:space="preserve"> </w:t>
      </w:r>
      <w:r w:rsidRPr="00A705CA">
        <w:rPr>
          <w:rFonts w:ascii="Arial" w:hAnsi="Arial" w:cs="Arial"/>
          <w:color w:val="000000"/>
          <w:sz w:val="19"/>
          <w:szCs w:val="19"/>
        </w:rPr>
        <w:t>concesionarios.</w:t>
      </w:r>
    </w:p>
    <w:p w14:paraId="693F7FB5" w14:textId="77777777" w:rsidR="00307F1C" w:rsidRPr="00A705CA" w:rsidRDefault="00307F1C" w:rsidP="005839D8">
      <w:pPr>
        <w:ind w:right="49" w:firstLine="708"/>
        <w:contextualSpacing/>
        <w:jc w:val="both"/>
        <w:rPr>
          <w:rFonts w:ascii="Arial" w:hAnsi="Arial" w:cs="Arial"/>
          <w:color w:val="000000"/>
          <w:sz w:val="19"/>
          <w:szCs w:val="19"/>
        </w:rPr>
      </w:pPr>
      <w:r w:rsidRPr="00A705CA">
        <w:rPr>
          <w:rFonts w:ascii="Arial" w:hAnsi="Arial" w:cs="Arial"/>
          <w:color w:val="000000"/>
          <w:sz w:val="19"/>
          <w:szCs w:val="19"/>
        </w:rPr>
        <w:t>»2. La lista de los contratos de obras civiles en ejecución, suscritos por sociedades, consorcios o uniones temporales, en los cuales el proponente tenga participación, con Entidades Estatales y con entidades privadas, así como el valor y plazo de tales contratos, incluyendo los contratos de concesión y los contratos de obra suscritos con concesionarios.</w:t>
      </w:r>
    </w:p>
    <w:p w14:paraId="44133505" w14:textId="77777777" w:rsidR="00307F1C" w:rsidRPr="00A705CA" w:rsidRDefault="00307F1C" w:rsidP="005839D8">
      <w:pPr>
        <w:ind w:right="49" w:firstLine="708"/>
        <w:contextualSpacing/>
        <w:jc w:val="both"/>
        <w:rPr>
          <w:rFonts w:ascii="Arial" w:hAnsi="Arial" w:cs="Arial"/>
          <w:color w:val="000000"/>
          <w:sz w:val="19"/>
          <w:szCs w:val="19"/>
        </w:rPr>
      </w:pPr>
      <w:r w:rsidRPr="00A705CA">
        <w:rPr>
          <w:rFonts w:ascii="Arial" w:hAnsi="Arial" w:cs="Arial"/>
          <w:color w:val="000000"/>
          <w:sz w:val="19"/>
          <w:szCs w:val="19"/>
        </w:rPr>
        <w:t>»3. Balance general auditado del año inmediatamente anterior y estado de resultados auditado del año en que haya obtenido el mayor ingreso operacional en los últimos cinco (5) años. Los estados financieros deben estar suscritos por el interesado o su representante legal y el revisor fiscal si está obligado a tenerlo, o el auditor o contador si no está obligado a tener revisor fiscal. Si se trata de proponentes obligados a tener RUP, las Entidades Estatales solo deben solicitar como documento adicional el estado de resultados del año en que el proponente obtuvo el mayor ingreso operacional en los últimos cinco (5) años.</w:t>
      </w:r>
    </w:p>
  </w:footnote>
  <w:footnote w:id="6">
    <w:p w14:paraId="4DC1B669" w14:textId="429F2FBC" w:rsidR="00872990" w:rsidRPr="00EB4F7E" w:rsidRDefault="00872990" w:rsidP="00872990">
      <w:pPr>
        <w:pStyle w:val="Textonotapie"/>
        <w:ind w:firstLine="708"/>
        <w:jc w:val="both"/>
        <w:rPr>
          <w:lang w:val="es-CO"/>
        </w:rPr>
      </w:pPr>
      <w:r w:rsidRPr="00A16516">
        <w:rPr>
          <w:rStyle w:val="Refdenotaalpie"/>
          <w:rFonts w:ascii="Arial" w:hAnsi="Arial" w:cs="Arial"/>
          <w:sz w:val="19"/>
          <w:szCs w:val="19"/>
        </w:rPr>
        <w:footnoteRef/>
      </w:r>
      <w:r w:rsidRPr="00A16516">
        <w:rPr>
          <w:rFonts w:ascii="Arial" w:hAnsi="Arial" w:cs="Arial"/>
          <w:sz w:val="19"/>
          <w:szCs w:val="19"/>
        </w:rPr>
        <w:t xml:space="preserve"> Agencia Nacional de Contratación Pública – Colombia Compra Eficiente. </w:t>
      </w:r>
      <w:r w:rsidR="003F6D92" w:rsidRPr="00A705CA">
        <w:rPr>
          <w:rFonts w:ascii="Arial" w:hAnsi="Arial" w:cs="Arial"/>
          <w:sz w:val="19"/>
          <w:szCs w:val="19"/>
        </w:rPr>
        <w:t>«</w:t>
      </w:r>
      <w:r w:rsidRPr="00A16516">
        <w:rPr>
          <w:rFonts w:ascii="Arial" w:hAnsi="Arial" w:cs="Arial"/>
          <w:sz w:val="19"/>
          <w:szCs w:val="19"/>
        </w:rPr>
        <w:t>Guía para Determinar y Verificar la Capacidad Residual del Proponente en los Procesos de Contratación de Obra Pública</w:t>
      </w:r>
      <w:r w:rsidR="003F6D92" w:rsidRPr="00A705CA">
        <w:rPr>
          <w:rFonts w:ascii="Arial" w:hAnsi="Arial" w:cs="Arial"/>
          <w:sz w:val="19"/>
          <w:szCs w:val="19"/>
        </w:rPr>
        <w:t>»</w:t>
      </w:r>
      <w:r w:rsidRPr="00A16516">
        <w:rPr>
          <w:rFonts w:ascii="Arial" w:hAnsi="Arial" w:cs="Arial"/>
          <w:sz w:val="19"/>
          <w:szCs w:val="19"/>
        </w:rPr>
        <w:t>. 2017. Pág</w:t>
      </w:r>
      <w:r>
        <w:rPr>
          <w:rFonts w:ascii="Arial" w:hAnsi="Arial" w:cs="Arial"/>
          <w:sz w:val="19"/>
          <w:szCs w:val="19"/>
        </w:rPr>
        <w:t>ina</w:t>
      </w:r>
      <w:r w:rsidRPr="00A16516">
        <w:rPr>
          <w:rFonts w:ascii="Arial" w:hAnsi="Arial" w:cs="Arial"/>
          <w:sz w:val="19"/>
          <w:szCs w:val="19"/>
        </w:rPr>
        <w:t xml:space="preserve"> 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20770B" w14:textId="3AFE6A3D" w:rsidR="00E2520A" w:rsidRDefault="00E2520A">
    <w:pPr>
      <w:pStyle w:val="Encabezado"/>
    </w:pPr>
  </w:p>
  <w:p w14:paraId="2A80E31D" w14:textId="77777777" w:rsidR="00E2520A" w:rsidRDefault="00E2520A"/>
  <w:p w14:paraId="5DBE9C96" w14:textId="4EE0D645" w:rsidR="00E2520A" w:rsidRDefault="00207C1E" w:rsidP="00207C1E">
    <w:pPr>
      <w:jc w:val="right"/>
    </w:pPr>
    <w:r w:rsidRPr="00207C1E">
      <w:rPr>
        <w:noProof/>
      </w:rPr>
      <w:drawing>
        <wp:inline distT="0" distB="0" distL="0" distR="0" wp14:anchorId="2288FA4C" wp14:editId="7BF6F84B">
          <wp:extent cx="1752600" cy="711200"/>
          <wp:effectExtent l="0" t="0" r="0" b="0"/>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1752600" cy="7112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E51AD"/>
    <w:multiLevelType w:val="hybridMultilevel"/>
    <w:tmpl w:val="BA722234"/>
    <w:lvl w:ilvl="0" w:tplc="1D4060DE">
      <w:start w:val="1"/>
      <w:numFmt w:val="decimal"/>
      <w:pStyle w:val="Capitulo8"/>
      <w:lvlText w:val="8.%1."/>
      <w:lvlJc w:val="left"/>
      <w:pPr>
        <w:ind w:left="1004" w:hanging="360"/>
      </w:pPr>
    </w:lvl>
    <w:lvl w:ilvl="1" w:tplc="240A0019">
      <w:start w:val="1"/>
      <w:numFmt w:val="lowerLetter"/>
      <w:lvlText w:val="%2."/>
      <w:lvlJc w:val="left"/>
      <w:pPr>
        <w:ind w:left="1724" w:hanging="360"/>
      </w:pPr>
    </w:lvl>
    <w:lvl w:ilvl="2" w:tplc="240A001B">
      <w:start w:val="1"/>
      <w:numFmt w:val="lowerRoman"/>
      <w:lvlText w:val="%3."/>
      <w:lvlJc w:val="right"/>
      <w:pPr>
        <w:ind w:left="2444" w:hanging="180"/>
      </w:pPr>
    </w:lvl>
    <w:lvl w:ilvl="3" w:tplc="240A000F">
      <w:start w:val="1"/>
      <w:numFmt w:val="decimal"/>
      <w:lvlText w:val="%4."/>
      <w:lvlJc w:val="left"/>
      <w:pPr>
        <w:ind w:left="3164" w:hanging="360"/>
      </w:pPr>
    </w:lvl>
    <w:lvl w:ilvl="4" w:tplc="240A0019">
      <w:start w:val="1"/>
      <w:numFmt w:val="lowerLetter"/>
      <w:lvlText w:val="%5."/>
      <w:lvlJc w:val="left"/>
      <w:pPr>
        <w:ind w:left="3884" w:hanging="360"/>
      </w:pPr>
    </w:lvl>
    <w:lvl w:ilvl="5" w:tplc="240A001B">
      <w:start w:val="1"/>
      <w:numFmt w:val="lowerRoman"/>
      <w:lvlText w:val="%6."/>
      <w:lvlJc w:val="right"/>
      <w:pPr>
        <w:ind w:left="4604" w:hanging="180"/>
      </w:pPr>
    </w:lvl>
    <w:lvl w:ilvl="6" w:tplc="240A000F">
      <w:start w:val="1"/>
      <w:numFmt w:val="decimal"/>
      <w:lvlText w:val="%7."/>
      <w:lvlJc w:val="left"/>
      <w:pPr>
        <w:ind w:left="5324" w:hanging="360"/>
      </w:pPr>
    </w:lvl>
    <w:lvl w:ilvl="7" w:tplc="240A0019">
      <w:start w:val="1"/>
      <w:numFmt w:val="lowerLetter"/>
      <w:lvlText w:val="%8."/>
      <w:lvlJc w:val="left"/>
      <w:pPr>
        <w:ind w:left="6044" w:hanging="360"/>
      </w:pPr>
    </w:lvl>
    <w:lvl w:ilvl="8" w:tplc="240A001B">
      <w:start w:val="1"/>
      <w:numFmt w:val="lowerRoman"/>
      <w:lvlText w:val="%9."/>
      <w:lvlJc w:val="right"/>
      <w:pPr>
        <w:ind w:left="6764" w:hanging="180"/>
      </w:pPr>
    </w:lvl>
  </w:abstractNum>
  <w:abstractNum w:abstractNumId="1" w15:restartNumberingAfterBreak="0">
    <w:nsid w:val="00BB42F9"/>
    <w:multiLevelType w:val="hybridMultilevel"/>
    <w:tmpl w:val="F52E8786"/>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171731F"/>
    <w:multiLevelType w:val="multilevel"/>
    <w:tmpl w:val="583EADE0"/>
    <w:lvl w:ilvl="0">
      <w:start w:val="2"/>
      <w:numFmt w:val="decimal"/>
      <w:lvlText w:val="%1."/>
      <w:lvlJc w:val="left"/>
      <w:pPr>
        <w:ind w:left="367" w:hanging="367"/>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C06310"/>
    <w:multiLevelType w:val="multilevel"/>
    <w:tmpl w:val="25FEEF8E"/>
    <w:lvl w:ilvl="0">
      <w:start w:val="1"/>
      <w:numFmt w:val="decimal"/>
      <w:lvlText w:val="%1."/>
      <w:lvlJc w:val="left"/>
      <w:pPr>
        <w:ind w:left="360"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4" w15:restartNumberingAfterBreak="0">
    <w:nsid w:val="09540ACA"/>
    <w:multiLevelType w:val="hybridMultilevel"/>
    <w:tmpl w:val="57327B6C"/>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5" w15:restartNumberingAfterBreak="0">
    <w:nsid w:val="0D827428"/>
    <w:multiLevelType w:val="hybridMultilevel"/>
    <w:tmpl w:val="C58281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 w15:restartNumberingAfterBreak="0">
    <w:nsid w:val="10442D24"/>
    <w:multiLevelType w:val="multilevel"/>
    <w:tmpl w:val="B41AF78C"/>
    <w:lvl w:ilvl="0">
      <w:start w:val="1"/>
      <w:numFmt w:val="decimal"/>
      <w:lvlText w:val="%1."/>
      <w:lvlJc w:val="left"/>
      <w:pPr>
        <w:ind w:left="360" w:hanging="360"/>
      </w:pPr>
      <w:rPr>
        <w:color w:val="auto"/>
        <w:sz w:val="20"/>
        <w:szCs w:val="20"/>
      </w:rPr>
    </w:lvl>
    <w:lvl w:ilvl="1">
      <w:start w:val="1"/>
      <w:numFmt w:val="decimal"/>
      <w:lvlText w:val="3.%2."/>
      <w:lvlJc w:val="left"/>
      <w:pPr>
        <w:ind w:left="1004" w:hanging="720"/>
      </w:pPr>
      <w:rPr>
        <w:b/>
        <w:i w:val="0"/>
        <w:color w:val="000000"/>
      </w:rPr>
    </w:lvl>
    <w:lvl w:ilvl="2">
      <w:start w:val="1"/>
      <w:numFmt w:val="decimal"/>
      <w:lvlText w:val="4.1.%3."/>
      <w:lvlJc w:val="left"/>
      <w:pPr>
        <w:ind w:left="964" w:hanging="624"/>
      </w:pPr>
      <w:rPr>
        <w:b/>
        <w:i w:val="0"/>
      </w:rPr>
    </w:lvl>
    <w:lvl w:ilvl="3">
      <w:start w:val="1"/>
      <w:numFmt w:val="decimal"/>
      <w:lvlText w:val="%1.%2.%3.%4."/>
      <w:lvlJc w:val="left"/>
      <w:pPr>
        <w:ind w:left="1080" w:hanging="1080"/>
      </w:pPr>
      <w:rPr>
        <w:b/>
      </w:r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7" w15:restartNumberingAfterBreak="0">
    <w:nsid w:val="17E60FA7"/>
    <w:multiLevelType w:val="hybridMultilevel"/>
    <w:tmpl w:val="DD2C679A"/>
    <w:lvl w:ilvl="0" w:tplc="6010BCE2">
      <w:start w:val="1"/>
      <w:numFmt w:val="lowerRoman"/>
      <w:lvlText w:val="%1)"/>
      <w:lvlJc w:val="left"/>
      <w:pPr>
        <w:ind w:left="1425" w:hanging="720"/>
      </w:pPr>
      <w:rPr>
        <w:rFonts w:hint="default"/>
      </w:rPr>
    </w:lvl>
    <w:lvl w:ilvl="1" w:tplc="240A0019" w:tentative="1">
      <w:start w:val="1"/>
      <w:numFmt w:val="lowerLetter"/>
      <w:lvlText w:val="%2."/>
      <w:lvlJc w:val="left"/>
      <w:pPr>
        <w:ind w:left="1785" w:hanging="360"/>
      </w:pPr>
    </w:lvl>
    <w:lvl w:ilvl="2" w:tplc="240A001B" w:tentative="1">
      <w:start w:val="1"/>
      <w:numFmt w:val="lowerRoman"/>
      <w:lvlText w:val="%3."/>
      <w:lvlJc w:val="right"/>
      <w:pPr>
        <w:ind w:left="2505" w:hanging="180"/>
      </w:pPr>
    </w:lvl>
    <w:lvl w:ilvl="3" w:tplc="240A000F" w:tentative="1">
      <w:start w:val="1"/>
      <w:numFmt w:val="decimal"/>
      <w:lvlText w:val="%4."/>
      <w:lvlJc w:val="left"/>
      <w:pPr>
        <w:ind w:left="3225" w:hanging="360"/>
      </w:pPr>
    </w:lvl>
    <w:lvl w:ilvl="4" w:tplc="240A0019" w:tentative="1">
      <w:start w:val="1"/>
      <w:numFmt w:val="lowerLetter"/>
      <w:lvlText w:val="%5."/>
      <w:lvlJc w:val="left"/>
      <w:pPr>
        <w:ind w:left="3945" w:hanging="360"/>
      </w:pPr>
    </w:lvl>
    <w:lvl w:ilvl="5" w:tplc="240A001B" w:tentative="1">
      <w:start w:val="1"/>
      <w:numFmt w:val="lowerRoman"/>
      <w:lvlText w:val="%6."/>
      <w:lvlJc w:val="right"/>
      <w:pPr>
        <w:ind w:left="4665" w:hanging="180"/>
      </w:pPr>
    </w:lvl>
    <w:lvl w:ilvl="6" w:tplc="240A000F" w:tentative="1">
      <w:start w:val="1"/>
      <w:numFmt w:val="decimal"/>
      <w:lvlText w:val="%7."/>
      <w:lvlJc w:val="left"/>
      <w:pPr>
        <w:ind w:left="5385" w:hanging="360"/>
      </w:pPr>
    </w:lvl>
    <w:lvl w:ilvl="7" w:tplc="240A0019" w:tentative="1">
      <w:start w:val="1"/>
      <w:numFmt w:val="lowerLetter"/>
      <w:lvlText w:val="%8."/>
      <w:lvlJc w:val="left"/>
      <w:pPr>
        <w:ind w:left="6105" w:hanging="360"/>
      </w:pPr>
    </w:lvl>
    <w:lvl w:ilvl="8" w:tplc="240A001B" w:tentative="1">
      <w:start w:val="1"/>
      <w:numFmt w:val="lowerRoman"/>
      <w:lvlText w:val="%9."/>
      <w:lvlJc w:val="right"/>
      <w:pPr>
        <w:ind w:left="6825" w:hanging="180"/>
      </w:pPr>
    </w:lvl>
  </w:abstractNum>
  <w:abstractNum w:abstractNumId="8" w15:restartNumberingAfterBreak="0">
    <w:nsid w:val="1D712575"/>
    <w:multiLevelType w:val="multilevel"/>
    <w:tmpl w:val="7D6622D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D9E6E3F"/>
    <w:multiLevelType w:val="hybridMultilevel"/>
    <w:tmpl w:val="854EA874"/>
    <w:lvl w:ilvl="0" w:tplc="1AD6EBD2">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2A53DDF"/>
    <w:multiLevelType w:val="multilevel"/>
    <w:tmpl w:val="A99C5180"/>
    <w:lvl w:ilvl="0">
      <w:start w:val="1"/>
      <w:numFmt w:val="decimal"/>
      <w:lvlText w:val="%1."/>
      <w:lvlJc w:val="left"/>
      <w:pPr>
        <w:ind w:left="660" w:hanging="360"/>
      </w:pPr>
      <w:rPr>
        <w:rFonts w:ascii="Arial" w:eastAsia="Arial" w:hAnsi="Arial" w:cs="Arial" w:hint="default"/>
        <w:b/>
        <w:bCs/>
        <w:color w:val="auto"/>
        <w:spacing w:val="-8"/>
        <w:w w:val="100"/>
        <w:sz w:val="22"/>
        <w:szCs w:val="22"/>
        <w:lang w:val="es-ES" w:eastAsia="en-US" w:bidi="ar-SA"/>
      </w:rPr>
    </w:lvl>
    <w:lvl w:ilvl="1">
      <w:start w:val="1"/>
      <w:numFmt w:val="decimal"/>
      <w:lvlText w:val="%1.%2"/>
      <w:lvlJc w:val="left"/>
      <w:pPr>
        <w:ind w:left="665" w:hanging="365"/>
      </w:pPr>
      <w:rPr>
        <w:rFonts w:ascii="Arial" w:eastAsia="Arial" w:hAnsi="Arial" w:cs="Arial" w:hint="default"/>
        <w:b/>
        <w:bCs/>
        <w:color w:val="auto"/>
        <w:spacing w:val="-1"/>
        <w:w w:val="100"/>
        <w:sz w:val="22"/>
        <w:szCs w:val="22"/>
        <w:lang w:val="es-ES" w:eastAsia="en-US" w:bidi="ar-SA"/>
      </w:rPr>
    </w:lvl>
    <w:lvl w:ilvl="2">
      <w:start w:val="1"/>
      <w:numFmt w:val="decimal"/>
      <w:lvlText w:val="%3)"/>
      <w:lvlJc w:val="left"/>
      <w:pPr>
        <w:ind w:left="1008" w:hanging="265"/>
      </w:pPr>
      <w:rPr>
        <w:rFonts w:ascii="Arial" w:eastAsia="Arial" w:hAnsi="Arial" w:cs="Arial" w:hint="default"/>
        <w:color w:val="auto"/>
        <w:w w:val="100"/>
        <w:sz w:val="21"/>
        <w:szCs w:val="21"/>
        <w:lang w:val="es-ES" w:eastAsia="en-US" w:bidi="ar-SA"/>
      </w:rPr>
    </w:lvl>
    <w:lvl w:ilvl="3">
      <w:numFmt w:val="bullet"/>
      <w:lvlText w:val="•"/>
      <w:lvlJc w:val="left"/>
      <w:pPr>
        <w:ind w:left="2853" w:hanging="265"/>
      </w:pPr>
      <w:rPr>
        <w:rFonts w:hint="default"/>
        <w:lang w:val="es-ES" w:eastAsia="en-US" w:bidi="ar-SA"/>
      </w:rPr>
    </w:lvl>
    <w:lvl w:ilvl="4">
      <w:numFmt w:val="bullet"/>
      <w:lvlText w:val="•"/>
      <w:lvlJc w:val="left"/>
      <w:pPr>
        <w:ind w:left="3780" w:hanging="265"/>
      </w:pPr>
      <w:rPr>
        <w:rFonts w:hint="default"/>
        <w:lang w:val="es-ES" w:eastAsia="en-US" w:bidi="ar-SA"/>
      </w:rPr>
    </w:lvl>
    <w:lvl w:ilvl="5">
      <w:numFmt w:val="bullet"/>
      <w:lvlText w:val="•"/>
      <w:lvlJc w:val="left"/>
      <w:pPr>
        <w:ind w:left="4706" w:hanging="265"/>
      </w:pPr>
      <w:rPr>
        <w:rFonts w:hint="default"/>
        <w:lang w:val="es-ES" w:eastAsia="en-US" w:bidi="ar-SA"/>
      </w:rPr>
    </w:lvl>
    <w:lvl w:ilvl="6">
      <w:numFmt w:val="bullet"/>
      <w:lvlText w:val="•"/>
      <w:lvlJc w:val="left"/>
      <w:pPr>
        <w:ind w:left="5633" w:hanging="265"/>
      </w:pPr>
      <w:rPr>
        <w:rFonts w:hint="default"/>
        <w:lang w:val="es-ES" w:eastAsia="en-US" w:bidi="ar-SA"/>
      </w:rPr>
    </w:lvl>
    <w:lvl w:ilvl="7">
      <w:numFmt w:val="bullet"/>
      <w:lvlText w:val="•"/>
      <w:lvlJc w:val="left"/>
      <w:pPr>
        <w:ind w:left="6560" w:hanging="265"/>
      </w:pPr>
      <w:rPr>
        <w:rFonts w:hint="default"/>
        <w:lang w:val="es-ES" w:eastAsia="en-US" w:bidi="ar-SA"/>
      </w:rPr>
    </w:lvl>
    <w:lvl w:ilvl="8">
      <w:numFmt w:val="bullet"/>
      <w:lvlText w:val="•"/>
      <w:lvlJc w:val="left"/>
      <w:pPr>
        <w:ind w:left="7486" w:hanging="265"/>
      </w:pPr>
      <w:rPr>
        <w:rFonts w:hint="default"/>
        <w:lang w:val="es-ES" w:eastAsia="en-US" w:bidi="ar-SA"/>
      </w:rPr>
    </w:lvl>
  </w:abstractNum>
  <w:abstractNum w:abstractNumId="11" w15:restartNumberingAfterBreak="0">
    <w:nsid w:val="2D96052C"/>
    <w:multiLevelType w:val="hybridMultilevel"/>
    <w:tmpl w:val="ACA011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EDC5E4E"/>
    <w:multiLevelType w:val="hybridMultilevel"/>
    <w:tmpl w:val="B32A09AC"/>
    <w:lvl w:ilvl="0" w:tplc="240A0019">
      <w:start w:val="1"/>
      <w:numFmt w:val="lowerLetter"/>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3" w15:restartNumberingAfterBreak="0">
    <w:nsid w:val="310D7E6C"/>
    <w:multiLevelType w:val="multilevel"/>
    <w:tmpl w:val="836404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31931E03"/>
    <w:multiLevelType w:val="multilevel"/>
    <w:tmpl w:val="288C117C"/>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1B41044"/>
    <w:multiLevelType w:val="hybridMultilevel"/>
    <w:tmpl w:val="836404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5221FE2"/>
    <w:multiLevelType w:val="hybridMultilevel"/>
    <w:tmpl w:val="D9B8E200"/>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37876856"/>
    <w:multiLevelType w:val="hybridMultilevel"/>
    <w:tmpl w:val="5C1C2D84"/>
    <w:lvl w:ilvl="0" w:tplc="83561260">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8" w15:restartNumberingAfterBreak="0">
    <w:nsid w:val="38042E47"/>
    <w:multiLevelType w:val="hybridMultilevel"/>
    <w:tmpl w:val="E162306E"/>
    <w:lvl w:ilvl="0" w:tplc="D248C2F6">
      <w:start w:val="1"/>
      <w:numFmt w:val="lowerRoman"/>
      <w:lvlText w:val="%1)"/>
      <w:lvlJc w:val="left"/>
      <w:pPr>
        <w:ind w:left="1429" w:hanging="72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19" w15:restartNumberingAfterBreak="0">
    <w:nsid w:val="3BD52C5D"/>
    <w:multiLevelType w:val="multilevel"/>
    <w:tmpl w:val="8318A86A"/>
    <w:lvl w:ilvl="0">
      <w:start w:val="1"/>
      <w:numFmt w:val="decimal"/>
      <w:lvlText w:val="%1."/>
      <w:lvlJc w:val="left"/>
      <w:pPr>
        <w:ind w:left="360" w:hanging="360"/>
      </w:pPr>
      <w:rPr>
        <w:b/>
        <w:color w:val="4E4D4D"/>
      </w:rPr>
    </w:lvl>
    <w:lvl w:ilvl="1">
      <w:start w:val="1"/>
      <w:numFmt w:val="decimal"/>
      <w:isLgl/>
      <w:lvlText w:val="%1.%2"/>
      <w:lvlJc w:val="left"/>
      <w:pPr>
        <w:ind w:left="360" w:hanging="360"/>
      </w:pPr>
      <w:rPr>
        <w:b/>
      </w:r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20" w15:restartNumberingAfterBreak="0">
    <w:nsid w:val="405413EB"/>
    <w:multiLevelType w:val="hybridMultilevel"/>
    <w:tmpl w:val="58A4F990"/>
    <w:lvl w:ilvl="0" w:tplc="C3CAD0BC">
      <w:start w:val="1"/>
      <w:numFmt w:val="lowerRoman"/>
      <w:lvlText w:val="%1)"/>
      <w:lvlJc w:val="left"/>
      <w:pPr>
        <w:ind w:left="1430" w:hanging="720"/>
      </w:pPr>
      <w:rPr>
        <w:rFonts w:hint="default"/>
      </w:rPr>
    </w:lvl>
    <w:lvl w:ilvl="1" w:tplc="240A0019" w:tentative="1">
      <w:start w:val="1"/>
      <w:numFmt w:val="lowerLetter"/>
      <w:lvlText w:val="%2."/>
      <w:lvlJc w:val="left"/>
      <w:pPr>
        <w:ind w:left="1790" w:hanging="360"/>
      </w:pPr>
    </w:lvl>
    <w:lvl w:ilvl="2" w:tplc="240A001B" w:tentative="1">
      <w:start w:val="1"/>
      <w:numFmt w:val="lowerRoman"/>
      <w:lvlText w:val="%3."/>
      <w:lvlJc w:val="right"/>
      <w:pPr>
        <w:ind w:left="2510" w:hanging="180"/>
      </w:pPr>
    </w:lvl>
    <w:lvl w:ilvl="3" w:tplc="240A000F" w:tentative="1">
      <w:start w:val="1"/>
      <w:numFmt w:val="decimal"/>
      <w:lvlText w:val="%4."/>
      <w:lvlJc w:val="left"/>
      <w:pPr>
        <w:ind w:left="3230" w:hanging="360"/>
      </w:pPr>
    </w:lvl>
    <w:lvl w:ilvl="4" w:tplc="240A0019" w:tentative="1">
      <w:start w:val="1"/>
      <w:numFmt w:val="lowerLetter"/>
      <w:lvlText w:val="%5."/>
      <w:lvlJc w:val="left"/>
      <w:pPr>
        <w:ind w:left="3950" w:hanging="360"/>
      </w:pPr>
    </w:lvl>
    <w:lvl w:ilvl="5" w:tplc="240A001B" w:tentative="1">
      <w:start w:val="1"/>
      <w:numFmt w:val="lowerRoman"/>
      <w:lvlText w:val="%6."/>
      <w:lvlJc w:val="right"/>
      <w:pPr>
        <w:ind w:left="4670" w:hanging="180"/>
      </w:pPr>
    </w:lvl>
    <w:lvl w:ilvl="6" w:tplc="240A000F" w:tentative="1">
      <w:start w:val="1"/>
      <w:numFmt w:val="decimal"/>
      <w:lvlText w:val="%7."/>
      <w:lvlJc w:val="left"/>
      <w:pPr>
        <w:ind w:left="5390" w:hanging="360"/>
      </w:pPr>
    </w:lvl>
    <w:lvl w:ilvl="7" w:tplc="240A0019" w:tentative="1">
      <w:start w:val="1"/>
      <w:numFmt w:val="lowerLetter"/>
      <w:lvlText w:val="%8."/>
      <w:lvlJc w:val="left"/>
      <w:pPr>
        <w:ind w:left="6110" w:hanging="360"/>
      </w:pPr>
    </w:lvl>
    <w:lvl w:ilvl="8" w:tplc="240A001B" w:tentative="1">
      <w:start w:val="1"/>
      <w:numFmt w:val="lowerRoman"/>
      <w:lvlText w:val="%9."/>
      <w:lvlJc w:val="right"/>
      <w:pPr>
        <w:ind w:left="6830" w:hanging="180"/>
      </w:pPr>
    </w:lvl>
  </w:abstractNum>
  <w:abstractNum w:abstractNumId="21" w15:restartNumberingAfterBreak="0">
    <w:nsid w:val="424D462B"/>
    <w:multiLevelType w:val="multilevel"/>
    <w:tmpl w:val="24320A3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2D93A5B"/>
    <w:multiLevelType w:val="hybridMultilevel"/>
    <w:tmpl w:val="24AADE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482459AB"/>
    <w:multiLevelType w:val="hybridMultilevel"/>
    <w:tmpl w:val="F7E4801A"/>
    <w:lvl w:ilvl="0" w:tplc="07686820">
      <w:start w:val="1"/>
      <w:numFmt w:val="bullet"/>
      <w:lvlText w:val=""/>
      <w:lvlJc w:val="left"/>
      <w:pPr>
        <w:ind w:left="720" w:hanging="360"/>
      </w:pPr>
      <w:rPr>
        <w:rFonts w:ascii="Wingdings" w:hAnsi="Wingdings" w:hint="default"/>
        <w:color w:val="0E63A8"/>
        <w:sz w:val="28"/>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923772D"/>
    <w:multiLevelType w:val="hybridMultilevel"/>
    <w:tmpl w:val="98544144"/>
    <w:lvl w:ilvl="0" w:tplc="E0583348">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4CB8710A"/>
    <w:multiLevelType w:val="hybridMultilevel"/>
    <w:tmpl w:val="8F52BE52"/>
    <w:lvl w:ilvl="0" w:tplc="A1721734">
      <w:start w:val="1"/>
      <w:numFmt w:val="lowerRoman"/>
      <w:lvlText w:val="%1)"/>
      <w:lvlJc w:val="left"/>
      <w:pPr>
        <w:ind w:left="1428" w:hanging="72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6" w15:restartNumberingAfterBreak="0">
    <w:nsid w:val="51F2084E"/>
    <w:multiLevelType w:val="multilevel"/>
    <w:tmpl w:val="6C4AF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89102F8"/>
    <w:multiLevelType w:val="hybridMultilevel"/>
    <w:tmpl w:val="13E22D70"/>
    <w:lvl w:ilvl="0" w:tplc="B84854D0">
      <w:start w:val="1"/>
      <w:numFmt w:val="bullet"/>
      <w:lvlText w:val="-"/>
      <w:lvlJc w:val="left"/>
      <w:pPr>
        <w:ind w:left="1069" w:hanging="360"/>
      </w:pPr>
      <w:rPr>
        <w:rFonts w:ascii="Arial" w:eastAsia="Calibri" w:hAnsi="Arial" w:cs="Aria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28" w15:restartNumberingAfterBreak="0">
    <w:nsid w:val="59112A3E"/>
    <w:multiLevelType w:val="hybridMultilevel"/>
    <w:tmpl w:val="C2A4B150"/>
    <w:lvl w:ilvl="0" w:tplc="8C620734">
      <w:start w:val="1"/>
      <w:numFmt w:val="decimal"/>
      <w:lvlText w:val="%1."/>
      <w:lvlJc w:val="left"/>
      <w:pPr>
        <w:ind w:left="677" w:hanging="360"/>
      </w:pPr>
      <w:rPr>
        <w:rFonts w:hint="default"/>
      </w:rPr>
    </w:lvl>
    <w:lvl w:ilvl="1" w:tplc="240A0019" w:tentative="1">
      <w:start w:val="1"/>
      <w:numFmt w:val="lowerLetter"/>
      <w:lvlText w:val="%2."/>
      <w:lvlJc w:val="left"/>
      <w:pPr>
        <w:ind w:left="1397" w:hanging="360"/>
      </w:pPr>
    </w:lvl>
    <w:lvl w:ilvl="2" w:tplc="240A001B" w:tentative="1">
      <w:start w:val="1"/>
      <w:numFmt w:val="lowerRoman"/>
      <w:lvlText w:val="%3."/>
      <w:lvlJc w:val="right"/>
      <w:pPr>
        <w:ind w:left="2117" w:hanging="180"/>
      </w:pPr>
    </w:lvl>
    <w:lvl w:ilvl="3" w:tplc="240A000F" w:tentative="1">
      <w:start w:val="1"/>
      <w:numFmt w:val="decimal"/>
      <w:lvlText w:val="%4."/>
      <w:lvlJc w:val="left"/>
      <w:pPr>
        <w:ind w:left="2837" w:hanging="360"/>
      </w:pPr>
    </w:lvl>
    <w:lvl w:ilvl="4" w:tplc="240A0019" w:tentative="1">
      <w:start w:val="1"/>
      <w:numFmt w:val="lowerLetter"/>
      <w:lvlText w:val="%5."/>
      <w:lvlJc w:val="left"/>
      <w:pPr>
        <w:ind w:left="3557" w:hanging="360"/>
      </w:pPr>
    </w:lvl>
    <w:lvl w:ilvl="5" w:tplc="240A001B" w:tentative="1">
      <w:start w:val="1"/>
      <w:numFmt w:val="lowerRoman"/>
      <w:lvlText w:val="%6."/>
      <w:lvlJc w:val="right"/>
      <w:pPr>
        <w:ind w:left="4277" w:hanging="180"/>
      </w:pPr>
    </w:lvl>
    <w:lvl w:ilvl="6" w:tplc="240A000F" w:tentative="1">
      <w:start w:val="1"/>
      <w:numFmt w:val="decimal"/>
      <w:lvlText w:val="%7."/>
      <w:lvlJc w:val="left"/>
      <w:pPr>
        <w:ind w:left="4997" w:hanging="360"/>
      </w:pPr>
    </w:lvl>
    <w:lvl w:ilvl="7" w:tplc="240A0019" w:tentative="1">
      <w:start w:val="1"/>
      <w:numFmt w:val="lowerLetter"/>
      <w:lvlText w:val="%8."/>
      <w:lvlJc w:val="left"/>
      <w:pPr>
        <w:ind w:left="5717" w:hanging="360"/>
      </w:pPr>
    </w:lvl>
    <w:lvl w:ilvl="8" w:tplc="240A001B" w:tentative="1">
      <w:start w:val="1"/>
      <w:numFmt w:val="lowerRoman"/>
      <w:lvlText w:val="%9."/>
      <w:lvlJc w:val="right"/>
      <w:pPr>
        <w:ind w:left="6437" w:hanging="180"/>
      </w:pPr>
    </w:lvl>
  </w:abstractNum>
  <w:abstractNum w:abstractNumId="29" w15:restartNumberingAfterBreak="0">
    <w:nsid w:val="5A9A2200"/>
    <w:multiLevelType w:val="multilevel"/>
    <w:tmpl w:val="614E70D0"/>
    <w:lvl w:ilvl="0">
      <w:start w:val="1"/>
      <w:numFmt w:val="decimal"/>
      <w:lvlText w:val="%1."/>
      <w:lvlJc w:val="left"/>
      <w:pPr>
        <w:ind w:left="360" w:hanging="360"/>
      </w:pPr>
      <w:rPr>
        <w:rFonts w:hint="default"/>
        <w:b/>
        <w:sz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B6D321F"/>
    <w:multiLevelType w:val="hybridMultilevel"/>
    <w:tmpl w:val="CA3C115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0090DB1"/>
    <w:multiLevelType w:val="hybridMultilevel"/>
    <w:tmpl w:val="078E2E72"/>
    <w:lvl w:ilvl="0" w:tplc="30687C90">
      <w:start w:val="1"/>
      <w:numFmt w:val="lowerRoman"/>
      <w:lvlText w:val="%1)"/>
      <w:lvlJc w:val="left"/>
      <w:pPr>
        <w:ind w:left="1427" w:hanging="720"/>
      </w:pPr>
      <w:rPr>
        <w:rFonts w:hint="default"/>
      </w:rPr>
    </w:lvl>
    <w:lvl w:ilvl="1" w:tplc="080A0019" w:tentative="1">
      <w:start w:val="1"/>
      <w:numFmt w:val="lowerLetter"/>
      <w:lvlText w:val="%2."/>
      <w:lvlJc w:val="left"/>
      <w:pPr>
        <w:ind w:left="1787" w:hanging="360"/>
      </w:pPr>
    </w:lvl>
    <w:lvl w:ilvl="2" w:tplc="080A001B" w:tentative="1">
      <w:start w:val="1"/>
      <w:numFmt w:val="lowerRoman"/>
      <w:lvlText w:val="%3."/>
      <w:lvlJc w:val="right"/>
      <w:pPr>
        <w:ind w:left="2507" w:hanging="180"/>
      </w:pPr>
    </w:lvl>
    <w:lvl w:ilvl="3" w:tplc="080A000F" w:tentative="1">
      <w:start w:val="1"/>
      <w:numFmt w:val="decimal"/>
      <w:lvlText w:val="%4."/>
      <w:lvlJc w:val="left"/>
      <w:pPr>
        <w:ind w:left="3227" w:hanging="360"/>
      </w:pPr>
    </w:lvl>
    <w:lvl w:ilvl="4" w:tplc="080A0019" w:tentative="1">
      <w:start w:val="1"/>
      <w:numFmt w:val="lowerLetter"/>
      <w:lvlText w:val="%5."/>
      <w:lvlJc w:val="left"/>
      <w:pPr>
        <w:ind w:left="3947" w:hanging="360"/>
      </w:pPr>
    </w:lvl>
    <w:lvl w:ilvl="5" w:tplc="080A001B" w:tentative="1">
      <w:start w:val="1"/>
      <w:numFmt w:val="lowerRoman"/>
      <w:lvlText w:val="%6."/>
      <w:lvlJc w:val="right"/>
      <w:pPr>
        <w:ind w:left="4667" w:hanging="180"/>
      </w:pPr>
    </w:lvl>
    <w:lvl w:ilvl="6" w:tplc="080A000F" w:tentative="1">
      <w:start w:val="1"/>
      <w:numFmt w:val="decimal"/>
      <w:lvlText w:val="%7."/>
      <w:lvlJc w:val="left"/>
      <w:pPr>
        <w:ind w:left="5387" w:hanging="360"/>
      </w:pPr>
    </w:lvl>
    <w:lvl w:ilvl="7" w:tplc="080A0019" w:tentative="1">
      <w:start w:val="1"/>
      <w:numFmt w:val="lowerLetter"/>
      <w:lvlText w:val="%8."/>
      <w:lvlJc w:val="left"/>
      <w:pPr>
        <w:ind w:left="6107" w:hanging="360"/>
      </w:pPr>
    </w:lvl>
    <w:lvl w:ilvl="8" w:tplc="080A001B" w:tentative="1">
      <w:start w:val="1"/>
      <w:numFmt w:val="lowerRoman"/>
      <w:lvlText w:val="%9."/>
      <w:lvlJc w:val="right"/>
      <w:pPr>
        <w:ind w:left="6827" w:hanging="180"/>
      </w:pPr>
    </w:lvl>
  </w:abstractNum>
  <w:abstractNum w:abstractNumId="32" w15:restartNumberingAfterBreak="0">
    <w:nsid w:val="67032B02"/>
    <w:multiLevelType w:val="hybridMultilevel"/>
    <w:tmpl w:val="593E1724"/>
    <w:lvl w:ilvl="0" w:tplc="080A0001">
      <w:start w:val="1"/>
      <w:numFmt w:val="bullet"/>
      <w:lvlText w:val=""/>
      <w:lvlJc w:val="left"/>
      <w:pPr>
        <w:ind w:left="1429" w:hanging="360"/>
      </w:pPr>
      <w:rPr>
        <w:rFonts w:ascii="Symbol" w:hAnsi="Symbol" w:hint="default"/>
      </w:rPr>
    </w:lvl>
    <w:lvl w:ilvl="1" w:tplc="080A0003" w:tentative="1">
      <w:start w:val="1"/>
      <w:numFmt w:val="bullet"/>
      <w:lvlText w:val="o"/>
      <w:lvlJc w:val="left"/>
      <w:pPr>
        <w:ind w:left="2149" w:hanging="360"/>
      </w:pPr>
      <w:rPr>
        <w:rFonts w:ascii="Courier New" w:hAnsi="Courier New" w:cs="Courier New" w:hint="default"/>
      </w:rPr>
    </w:lvl>
    <w:lvl w:ilvl="2" w:tplc="080A0005" w:tentative="1">
      <w:start w:val="1"/>
      <w:numFmt w:val="bullet"/>
      <w:lvlText w:val=""/>
      <w:lvlJc w:val="left"/>
      <w:pPr>
        <w:ind w:left="2869" w:hanging="360"/>
      </w:pPr>
      <w:rPr>
        <w:rFonts w:ascii="Wingdings" w:hAnsi="Wingdings" w:hint="default"/>
      </w:rPr>
    </w:lvl>
    <w:lvl w:ilvl="3" w:tplc="080A0001" w:tentative="1">
      <w:start w:val="1"/>
      <w:numFmt w:val="bullet"/>
      <w:lvlText w:val=""/>
      <w:lvlJc w:val="left"/>
      <w:pPr>
        <w:ind w:left="3589" w:hanging="360"/>
      </w:pPr>
      <w:rPr>
        <w:rFonts w:ascii="Symbol" w:hAnsi="Symbol" w:hint="default"/>
      </w:rPr>
    </w:lvl>
    <w:lvl w:ilvl="4" w:tplc="080A0003" w:tentative="1">
      <w:start w:val="1"/>
      <w:numFmt w:val="bullet"/>
      <w:lvlText w:val="o"/>
      <w:lvlJc w:val="left"/>
      <w:pPr>
        <w:ind w:left="4309" w:hanging="360"/>
      </w:pPr>
      <w:rPr>
        <w:rFonts w:ascii="Courier New" w:hAnsi="Courier New" w:cs="Courier New" w:hint="default"/>
      </w:rPr>
    </w:lvl>
    <w:lvl w:ilvl="5" w:tplc="080A0005" w:tentative="1">
      <w:start w:val="1"/>
      <w:numFmt w:val="bullet"/>
      <w:lvlText w:val=""/>
      <w:lvlJc w:val="left"/>
      <w:pPr>
        <w:ind w:left="5029" w:hanging="360"/>
      </w:pPr>
      <w:rPr>
        <w:rFonts w:ascii="Wingdings" w:hAnsi="Wingdings" w:hint="default"/>
      </w:rPr>
    </w:lvl>
    <w:lvl w:ilvl="6" w:tplc="080A0001" w:tentative="1">
      <w:start w:val="1"/>
      <w:numFmt w:val="bullet"/>
      <w:lvlText w:val=""/>
      <w:lvlJc w:val="left"/>
      <w:pPr>
        <w:ind w:left="5749" w:hanging="360"/>
      </w:pPr>
      <w:rPr>
        <w:rFonts w:ascii="Symbol" w:hAnsi="Symbol" w:hint="default"/>
      </w:rPr>
    </w:lvl>
    <w:lvl w:ilvl="7" w:tplc="080A0003" w:tentative="1">
      <w:start w:val="1"/>
      <w:numFmt w:val="bullet"/>
      <w:lvlText w:val="o"/>
      <w:lvlJc w:val="left"/>
      <w:pPr>
        <w:ind w:left="6469" w:hanging="360"/>
      </w:pPr>
      <w:rPr>
        <w:rFonts w:ascii="Courier New" w:hAnsi="Courier New" w:cs="Courier New" w:hint="default"/>
      </w:rPr>
    </w:lvl>
    <w:lvl w:ilvl="8" w:tplc="080A0005" w:tentative="1">
      <w:start w:val="1"/>
      <w:numFmt w:val="bullet"/>
      <w:lvlText w:val=""/>
      <w:lvlJc w:val="left"/>
      <w:pPr>
        <w:ind w:left="7189" w:hanging="360"/>
      </w:pPr>
      <w:rPr>
        <w:rFonts w:ascii="Wingdings" w:hAnsi="Wingdings" w:hint="default"/>
      </w:rPr>
    </w:lvl>
  </w:abstractNum>
  <w:abstractNum w:abstractNumId="33" w15:restartNumberingAfterBreak="0">
    <w:nsid w:val="68FA17E7"/>
    <w:multiLevelType w:val="multilevel"/>
    <w:tmpl w:val="5768BC5E"/>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34" w15:restartNumberingAfterBreak="0">
    <w:nsid w:val="6BFF7097"/>
    <w:multiLevelType w:val="hybridMultilevel"/>
    <w:tmpl w:val="C2A4B150"/>
    <w:lvl w:ilvl="0" w:tplc="8C620734">
      <w:start w:val="1"/>
      <w:numFmt w:val="decimal"/>
      <w:lvlText w:val="%1."/>
      <w:lvlJc w:val="left"/>
      <w:pPr>
        <w:ind w:left="677" w:hanging="360"/>
      </w:pPr>
      <w:rPr>
        <w:rFonts w:hint="default"/>
      </w:rPr>
    </w:lvl>
    <w:lvl w:ilvl="1" w:tplc="240A0019" w:tentative="1">
      <w:start w:val="1"/>
      <w:numFmt w:val="lowerLetter"/>
      <w:lvlText w:val="%2."/>
      <w:lvlJc w:val="left"/>
      <w:pPr>
        <w:ind w:left="1397" w:hanging="360"/>
      </w:pPr>
    </w:lvl>
    <w:lvl w:ilvl="2" w:tplc="240A001B" w:tentative="1">
      <w:start w:val="1"/>
      <w:numFmt w:val="lowerRoman"/>
      <w:lvlText w:val="%3."/>
      <w:lvlJc w:val="right"/>
      <w:pPr>
        <w:ind w:left="2117" w:hanging="180"/>
      </w:pPr>
    </w:lvl>
    <w:lvl w:ilvl="3" w:tplc="240A000F" w:tentative="1">
      <w:start w:val="1"/>
      <w:numFmt w:val="decimal"/>
      <w:lvlText w:val="%4."/>
      <w:lvlJc w:val="left"/>
      <w:pPr>
        <w:ind w:left="2837" w:hanging="360"/>
      </w:pPr>
    </w:lvl>
    <w:lvl w:ilvl="4" w:tplc="240A0019" w:tentative="1">
      <w:start w:val="1"/>
      <w:numFmt w:val="lowerLetter"/>
      <w:lvlText w:val="%5."/>
      <w:lvlJc w:val="left"/>
      <w:pPr>
        <w:ind w:left="3557" w:hanging="360"/>
      </w:pPr>
    </w:lvl>
    <w:lvl w:ilvl="5" w:tplc="240A001B" w:tentative="1">
      <w:start w:val="1"/>
      <w:numFmt w:val="lowerRoman"/>
      <w:lvlText w:val="%6."/>
      <w:lvlJc w:val="right"/>
      <w:pPr>
        <w:ind w:left="4277" w:hanging="180"/>
      </w:pPr>
    </w:lvl>
    <w:lvl w:ilvl="6" w:tplc="240A000F" w:tentative="1">
      <w:start w:val="1"/>
      <w:numFmt w:val="decimal"/>
      <w:lvlText w:val="%7."/>
      <w:lvlJc w:val="left"/>
      <w:pPr>
        <w:ind w:left="4997" w:hanging="360"/>
      </w:pPr>
    </w:lvl>
    <w:lvl w:ilvl="7" w:tplc="240A0019" w:tentative="1">
      <w:start w:val="1"/>
      <w:numFmt w:val="lowerLetter"/>
      <w:lvlText w:val="%8."/>
      <w:lvlJc w:val="left"/>
      <w:pPr>
        <w:ind w:left="5717" w:hanging="360"/>
      </w:pPr>
    </w:lvl>
    <w:lvl w:ilvl="8" w:tplc="240A001B" w:tentative="1">
      <w:start w:val="1"/>
      <w:numFmt w:val="lowerRoman"/>
      <w:lvlText w:val="%9."/>
      <w:lvlJc w:val="right"/>
      <w:pPr>
        <w:ind w:left="6437" w:hanging="180"/>
      </w:pPr>
    </w:lvl>
  </w:abstractNum>
  <w:abstractNum w:abstractNumId="35" w15:restartNumberingAfterBreak="0">
    <w:nsid w:val="6E521755"/>
    <w:multiLevelType w:val="hybridMultilevel"/>
    <w:tmpl w:val="4DCE2F3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6" w15:restartNumberingAfterBreak="0">
    <w:nsid w:val="72FA202B"/>
    <w:multiLevelType w:val="hybridMultilevel"/>
    <w:tmpl w:val="510EE350"/>
    <w:lvl w:ilvl="0" w:tplc="EBCEC2A2">
      <w:start w:val="232"/>
      <w:numFmt w:val="bullet"/>
      <w:lvlText w:val="-"/>
      <w:lvlJc w:val="left"/>
      <w:pPr>
        <w:ind w:left="720" w:hanging="360"/>
      </w:pPr>
      <w:rPr>
        <w:rFonts w:ascii="Arial" w:eastAsiaTheme="minorHAnsi" w:hAnsi="Arial" w:cs="Aria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37" w15:restartNumberingAfterBreak="0">
    <w:nsid w:val="736A0777"/>
    <w:multiLevelType w:val="multilevel"/>
    <w:tmpl w:val="510EE350"/>
    <w:lvl w:ilvl="0">
      <w:start w:val="232"/>
      <w:numFmt w:val="bullet"/>
      <w:lvlText w:val="-"/>
      <w:lvlJc w:val="left"/>
      <w:pPr>
        <w:ind w:left="720" w:hanging="360"/>
      </w:pPr>
      <w:rPr>
        <w:rFonts w:ascii="Arial" w:eastAsiaTheme="minorHAnsi"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5434B71"/>
    <w:multiLevelType w:val="hybridMultilevel"/>
    <w:tmpl w:val="5E8A4876"/>
    <w:lvl w:ilvl="0" w:tplc="7C6481CE">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39" w15:restartNumberingAfterBreak="0">
    <w:nsid w:val="79B72D8C"/>
    <w:multiLevelType w:val="hybridMultilevel"/>
    <w:tmpl w:val="5EA43C4A"/>
    <w:lvl w:ilvl="0" w:tplc="C054F186">
      <w:start w:val="1"/>
      <w:numFmt w:val="decimal"/>
      <w:lvlText w:val="%1."/>
      <w:lvlJc w:val="left"/>
      <w:pPr>
        <w:ind w:left="1069" w:hanging="360"/>
      </w:pPr>
      <w:rPr>
        <w:rFonts w:hint="default"/>
      </w:rPr>
    </w:lvl>
    <w:lvl w:ilvl="1" w:tplc="240A0019" w:tentative="1">
      <w:start w:val="1"/>
      <w:numFmt w:val="lowerLetter"/>
      <w:lvlText w:val="%2."/>
      <w:lvlJc w:val="left"/>
      <w:pPr>
        <w:ind w:left="1789" w:hanging="360"/>
      </w:pPr>
    </w:lvl>
    <w:lvl w:ilvl="2" w:tplc="240A001B" w:tentative="1">
      <w:start w:val="1"/>
      <w:numFmt w:val="lowerRoman"/>
      <w:lvlText w:val="%3."/>
      <w:lvlJc w:val="right"/>
      <w:pPr>
        <w:ind w:left="2509" w:hanging="180"/>
      </w:pPr>
    </w:lvl>
    <w:lvl w:ilvl="3" w:tplc="240A000F" w:tentative="1">
      <w:start w:val="1"/>
      <w:numFmt w:val="decimal"/>
      <w:lvlText w:val="%4."/>
      <w:lvlJc w:val="left"/>
      <w:pPr>
        <w:ind w:left="3229" w:hanging="360"/>
      </w:pPr>
    </w:lvl>
    <w:lvl w:ilvl="4" w:tplc="240A0019" w:tentative="1">
      <w:start w:val="1"/>
      <w:numFmt w:val="lowerLetter"/>
      <w:lvlText w:val="%5."/>
      <w:lvlJc w:val="left"/>
      <w:pPr>
        <w:ind w:left="3949" w:hanging="360"/>
      </w:pPr>
    </w:lvl>
    <w:lvl w:ilvl="5" w:tplc="240A001B" w:tentative="1">
      <w:start w:val="1"/>
      <w:numFmt w:val="lowerRoman"/>
      <w:lvlText w:val="%6."/>
      <w:lvlJc w:val="right"/>
      <w:pPr>
        <w:ind w:left="4669" w:hanging="180"/>
      </w:pPr>
    </w:lvl>
    <w:lvl w:ilvl="6" w:tplc="240A000F" w:tentative="1">
      <w:start w:val="1"/>
      <w:numFmt w:val="decimal"/>
      <w:lvlText w:val="%7."/>
      <w:lvlJc w:val="left"/>
      <w:pPr>
        <w:ind w:left="5389" w:hanging="360"/>
      </w:pPr>
    </w:lvl>
    <w:lvl w:ilvl="7" w:tplc="240A0019" w:tentative="1">
      <w:start w:val="1"/>
      <w:numFmt w:val="lowerLetter"/>
      <w:lvlText w:val="%8."/>
      <w:lvlJc w:val="left"/>
      <w:pPr>
        <w:ind w:left="6109" w:hanging="360"/>
      </w:pPr>
    </w:lvl>
    <w:lvl w:ilvl="8" w:tplc="240A001B" w:tentative="1">
      <w:start w:val="1"/>
      <w:numFmt w:val="lowerRoman"/>
      <w:lvlText w:val="%9."/>
      <w:lvlJc w:val="right"/>
      <w:pPr>
        <w:ind w:left="6829" w:hanging="180"/>
      </w:pPr>
    </w:lvl>
  </w:abstractNum>
  <w:abstractNum w:abstractNumId="40" w15:restartNumberingAfterBreak="0">
    <w:nsid w:val="7CCD0A55"/>
    <w:multiLevelType w:val="multilevel"/>
    <w:tmpl w:val="25463362"/>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16cid:durableId="55012078">
    <w:abstractNumId w:val="15"/>
  </w:num>
  <w:num w:numId="2" w16cid:durableId="1890459524">
    <w:abstractNumId w:val="13"/>
  </w:num>
  <w:num w:numId="3" w16cid:durableId="698090170">
    <w:abstractNumId w:val="23"/>
  </w:num>
  <w:num w:numId="4" w16cid:durableId="859272652">
    <w:abstractNumId w:val="28"/>
  </w:num>
  <w:num w:numId="5" w16cid:durableId="1114324942">
    <w:abstractNumId w:val="34"/>
  </w:num>
  <w:num w:numId="6" w16cid:durableId="3557744">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7746739">
    <w:abstractNumId w:val="29"/>
  </w:num>
  <w:num w:numId="8" w16cid:durableId="245387259">
    <w:abstractNumId w:val="3"/>
  </w:num>
  <w:num w:numId="9" w16cid:durableId="1948582806">
    <w:abstractNumId w:val="8"/>
  </w:num>
  <w:num w:numId="10" w16cid:durableId="136872260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191669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63130135">
    <w:abstractNumId w:val="14"/>
  </w:num>
  <w:num w:numId="13" w16cid:durableId="754592867">
    <w:abstractNumId w:val="21"/>
  </w:num>
  <w:num w:numId="14" w16cid:durableId="1820078824">
    <w:abstractNumId w:val="11"/>
  </w:num>
  <w:num w:numId="15" w16cid:durableId="1886520921">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96577406">
    <w:abstractNumId w:val="4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77629752">
    <w:abstractNumId w:val="36"/>
  </w:num>
  <w:num w:numId="18" w16cid:durableId="204219524">
    <w:abstractNumId w:val="24"/>
  </w:num>
  <w:num w:numId="19" w16cid:durableId="596257886">
    <w:abstractNumId w:val="7"/>
  </w:num>
  <w:num w:numId="20" w16cid:durableId="70197175">
    <w:abstractNumId w:val="37"/>
  </w:num>
  <w:num w:numId="21" w16cid:durableId="244195561">
    <w:abstractNumId w:val="26"/>
  </w:num>
  <w:num w:numId="22" w16cid:durableId="586769536">
    <w:abstractNumId w:val="10"/>
  </w:num>
  <w:num w:numId="23" w16cid:durableId="1515875105">
    <w:abstractNumId w:val="9"/>
  </w:num>
  <w:num w:numId="24" w16cid:durableId="136917524">
    <w:abstractNumId w:val="30"/>
  </w:num>
  <w:num w:numId="25" w16cid:durableId="616182161">
    <w:abstractNumId w:val="17"/>
  </w:num>
  <w:num w:numId="26" w16cid:durableId="1524324690">
    <w:abstractNumId w:val="35"/>
  </w:num>
  <w:num w:numId="27" w16cid:durableId="156388554">
    <w:abstractNumId w:val="39"/>
  </w:num>
  <w:num w:numId="28" w16cid:durableId="529731531">
    <w:abstractNumId w:val="22"/>
  </w:num>
  <w:num w:numId="29" w16cid:durableId="847211260">
    <w:abstractNumId w:val="2"/>
  </w:num>
  <w:num w:numId="30" w16cid:durableId="693266067">
    <w:abstractNumId w:val="25"/>
  </w:num>
  <w:num w:numId="31" w16cid:durableId="452752504">
    <w:abstractNumId w:val="18"/>
  </w:num>
  <w:num w:numId="32" w16cid:durableId="1755122573">
    <w:abstractNumId w:val="27"/>
  </w:num>
  <w:num w:numId="33" w16cid:durableId="1471559863">
    <w:abstractNumId w:val="38"/>
  </w:num>
  <w:num w:numId="34" w16cid:durableId="1895778186">
    <w:abstractNumId w:val="16"/>
  </w:num>
  <w:num w:numId="35" w16cid:durableId="422654298">
    <w:abstractNumId w:val="1"/>
  </w:num>
  <w:num w:numId="36" w16cid:durableId="134351445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52386192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60445506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309293355">
    <w:abstractNumId w:val="5"/>
  </w:num>
  <w:num w:numId="40" w16cid:durableId="1048459206">
    <w:abstractNumId w:val="20"/>
  </w:num>
  <w:num w:numId="41" w16cid:durableId="684015409">
    <w:abstractNumId w:val="0"/>
  </w:num>
  <w:num w:numId="42" w16cid:durableId="3477605">
    <w:abstractNumId w:val="32"/>
  </w:num>
  <w:num w:numId="43" w16cid:durableId="8770822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activeWritingStyle w:appName="MSWord" w:lang="pt-BR" w:vendorID="64" w:dllVersion="6" w:nlCheck="1" w:checkStyle="0"/>
  <w:activeWritingStyle w:appName="MSWord" w:lang="es-ES_tradnl" w:vendorID="64" w:dllVersion="6" w:nlCheck="1" w:checkStyle="1"/>
  <w:activeWritingStyle w:appName="MSWord" w:lang="es-CO" w:vendorID="64" w:dllVersion="6" w:nlCheck="1" w:checkStyle="1"/>
  <w:activeWritingStyle w:appName="MSWord" w:lang="es-MX" w:vendorID="64" w:dllVersion="6" w:nlCheck="1" w:checkStyle="1"/>
  <w:activeWritingStyle w:appName="MSWord" w:lang="es-ES" w:vendorID="64" w:dllVersion="6" w:nlCheck="1" w:checkStyle="1"/>
  <w:activeWritingStyle w:appName="MSWord" w:lang="es-E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O" w:vendorID="64" w:dllVersion="0" w:nlCheck="1" w:checkStyle="0"/>
  <w:activeWritingStyle w:appName="MSWord" w:lang="pt-BR" w:vendorID="64" w:dllVersion="0" w:nlCheck="1" w:checkStyle="0"/>
  <w:activeWritingStyle w:appName="MSWord" w:lang="es-ES_tradnl" w:vendorID="64" w:dllVersion="4096" w:nlCheck="1" w:checkStyle="0"/>
  <w:activeWritingStyle w:appName="MSWord" w:lang="es-CO" w:vendorID="64" w:dllVersion="4096" w:nlCheck="1" w:checkStyle="0"/>
  <w:activeWritingStyle w:appName="MSWord" w:lang="es-MX" w:vendorID="64" w:dllVersion="4096"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385A"/>
    <w:rsid w:val="00000559"/>
    <w:rsid w:val="0000162E"/>
    <w:rsid w:val="00001A1C"/>
    <w:rsid w:val="00001FFD"/>
    <w:rsid w:val="00002027"/>
    <w:rsid w:val="000020FE"/>
    <w:rsid w:val="000031A8"/>
    <w:rsid w:val="00003233"/>
    <w:rsid w:val="00003C5C"/>
    <w:rsid w:val="000040D7"/>
    <w:rsid w:val="00004556"/>
    <w:rsid w:val="000051AF"/>
    <w:rsid w:val="00005958"/>
    <w:rsid w:val="000059D3"/>
    <w:rsid w:val="00005C48"/>
    <w:rsid w:val="0000600A"/>
    <w:rsid w:val="00006081"/>
    <w:rsid w:val="000060D0"/>
    <w:rsid w:val="00006FBE"/>
    <w:rsid w:val="00007011"/>
    <w:rsid w:val="000075C0"/>
    <w:rsid w:val="000075EA"/>
    <w:rsid w:val="00007750"/>
    <w:rsid w:val="000077FD"/>
    <w:rsid w:val="00007E37"/>
    <w:rsid w:val="00010408"/>
    <w:rsid w:val="00010C40"/>
    <w:rsid w:val="000112B4"/>
    <w:rsid w:val="00011DCC"/>
    <w:rsid w:val="00012532"/>
    <w:rsid w:val="00012B9E"/>
    <w:rsid w:val="00012FBA"/>
    <w:rsid w:val="00013C6B"/>
    <w:rsid w:val="00013F1F"/>
    <w:rsid w:val="0001406B"/>
    <w:rsid w:val="000143F8"/>
    <w:rsid w:val="00014624"/>
    <w:rsid w:val="000147ED"/>
    <w:rsid w:val="00015B44"/>
    <w:rsid w:val="00016081"/>
    <w:rsid w:val="000165AC"/>
    <w:rsid w:val="00016651"/>
    <w:rsid w:val="00016881"/>
    <w:rsid w:val="000171A2"/>
    <w:rsid w:val="00017913"/>
    <w:rsid w:val="00017B65"/>
    <w:rsid w:val="00020158"/>
    <w:rsid w:val="000207E0"/>
    <w:rsid w:val="00020F8F"/>
    <w:rsid w:val="00021A95"/>
    <w:rsid w:val="00021C0A"/>
    <w:rsid w:val="0002256F"/>
    <w:rsid w:val="00023DAE"/>
    <w:rsid w:val="00023FA5"/>
    <w:rsid w:val="00024592"/>
    <w:rsid w:val="00024896"/>
    <w:rsid w:val="000258A6"/>
    <w:rsid w:val="00026092"/>
    <w:rsid w:val="000263F0"/>
    <w:rsid w:val="00026407"/>
    <w:rsid w:val="000264F6"/>
    <w:rsid w:val="00026608"/>
    <w:rsid w:val="0002738B"/>
    <w:rsid w:val="00027545"/>
    <w:rsid w:val="00027787"/>
    <w:rsid w:val="000278D2"/>
    <w:rsid w:val="000278DF"/>
    <w:rsid w:val="00031136"/>
    <w:rsid w:val="00031384"/>
    <w:rsid w:val="000315E1"/>
    <w:rsid w:val="0003236E"/>
    <w:rsid w:val="00032D18"/>
    <w:rsid w:val="000331FB"/>
    <w:rsid w:val="00033295"/>
    <w:rsid w:val="0003339A"/>
    <w:rsid w:val="00034134"/>
    <w:rsid w:val="000341F2"/>
    <w:rsid w:val="00034651"/>
    <w:rsid w:val="000351F2"/>
    <w:rsid w:val="00035224"/>
    <w:rsid w:val="00036E03"/>
    <w:rsid w:val="000404DB"/>
    <w:rsid w:val="000406DB"/>
    <w:rsid w:val="0004094D"/>
    <w:rsid w:val="00041029"/>
    <w:rsid w:val="0004149B"/>
    <w:rsid w:val="00041717"/>
    <w:rsid w:val="00041CA0"/>
    <w:rsid w:val="000427F7"/>
    <w:rsid w:val="00042961"/>
    <w:rsid w:val="00042C25"/>
    <w:rsid w:val="00042D03"/>
    <w:rsid w:val="00043086"/>
    <w:rsid w:val="000430A0"/>
    <w:rsid w:val="0004386D"/>
    <w:rsid w:val="00043A33"/>
    <w:rsid w:val="00043D3B"/>
    <w:rsid w:val="00043D4D"/>
    <w:rsid w:val="00043F5D"/>
    <w:rsid w:val="0004418C"/>
    <w:rsid w:val="00044204"/>
    <w:rsid w:val="000449D4"/>
    <w:rsid w:val="00046717"/>
    <w:rsid w:val="00046A63"/>
    <w:rsid w:val="00046C09"/>
    <w:rsid w:val="0004716A"/>
    <w:rsid w:val="00047385"/>
    <w:rsid w:val="000473E8"/>
    <w:rsid w:val="000504DE"/>
    <w:rsid w:val="00051074"/>
    <w:rsid w:val="00052B79"/>
    <w:rsid w:val="00052EA0"/>
    <w:rsid w:val="00052FE6"/>
    <w:rsid w:val="000536E3"/>
    <w:rsid w:val="00054252"/>
    <w:rsid w:val="0005474D"/>
    <w:rsid w:val="00055CB9"/>
    <w:rsid w:val="00056F66"/>
    <w:rsid w:val="0005702F"/>
    <w:rsid w:val="00057661"/>
    <w:rsid w:val="0005779C"/>
    <w:rsid w:val="00060C3F"/>
    <w:rsid w:val="00061D06"/>
    <w:rsid w:val="000621CB"/>
    <w:rsid w:val="0006294B"/>
    <w:rsid w:val="00062CDD"/>
    <w:rsid w:val="00063FA5"/>
    <w:rsid w:val="000640AF"/>
    <w:rsid w:val="00064940"/>
    <w:rsid w:val="00064CAE"/>
    <w:rsid w:val="00064DB7"/>
    <w:rsid w:val="00064FA7"/>
    <w:rsid w:val="00065195"/>
    <w:rsid w:val="00065A8B"/>
    <w:rsid w:val="00070AF1"/>
    <w:rsid w:val="0007147D"/>
    <w:rsid w:val="000714DE"/>
    <w:rsid w:val="00071982"/>
    <w:rsid w:val="00071C5C"/>
    <w:rsid w:val="0007254F"/>
    <w:rsid w:val="00072A7E"/>
    <w:rsid w:val="00073C30"/>
    <w:rsid w:val="00074305"/>
    <w:rsid w:val="00074B2A"/>
    <w:rsid w:val="00075870"/>
    <w:rsid w:val="00075B3E"/>
    <w:rsid w:val="00076456"/>
    <w:rsid w:val="00076604"/>
    <w:rsid w:val="00077554"/>
    <w:rsid w:val="0007779B"/>
    <w:rsid w:val="000777E7"/>
    <w:rsid w:val="0007790A"/>
    <w:rsid w:val="0008017B"/>
    <w:rsid w:val="00080287"/>
    <w:rsid w:val="00080ACD"/>
    <w:rsid w:val="000811ED"/>
    <w:rsid w:val="00081284"/>
    <w:rsid w:val="00081D62"/>
    <w:rsid w:val="000820A1"/>
    <w:rsid w:val="000820CE"/>
    <w:rsid w:val="00082B74"/>
    <w:rsid w:val="00083099"/>
    <w:rsid w:val="00083EDC"/>
    <w:rsid w:val="00083EE6"/>
    <w:rsid w:val="000841A2"/>
    <w:rsid w:val="000847C0"/>
    <w:rsid w:val="00084B97"/>
    <w:rsid w:val="00084C21"/>
    <w:rsid w:val="0008510E"/>
    <w:rsid w:val="000856DE"/>
    <w:rsid w:val="00085F17"/>
    <w:rsid w:val="00085FB3"/>
    <w:rsid w:val="0008686B"/>
    <w:rsid w:val="000868FC"/>
    <w:rsid w:val="00086B2A"/>
    <w:rsid w:val="00086ED2"/>
    <w:rsid w:val="000875FD"/>
    <w:rsid w:val="00087604"/>
    <w:rsid w:val="00087A95"/>
    <w:rsid w:val="000903F6"/>
    <w:rsid w:val="00091114"/>
    <w:rsid w:val="000914D6"/>
    <w:rsid w:val="00091569"/>
    <w:rsid w:val="00091897"/>
    <w:rsid w:val="000918E2"/>
    <w:rsid w:val="00092DCA"/>
    <w:rsid w:val="00093C51"/>
    <w:rsid w:val="000942EB"/>
    <w:rsid w:val="00095B70"/>
    <w:rsid w:val="00095C0D"/>
    <w:rsid w:val="0009617E"/>
    <w:rsid w:val="00096489"/>
    <w:rsid w:val="000979CF"/>
    <w:rsid w:val="00097A00"/>
    <w:rsid w:val="000A03C8"/>
    <w:rsid w:val="000A05F2"/>
    <w:rsid w:val="000A06C4"/>
    <w:rsid w:val="000A0861"/>
    <w:rsid w:val="000A0ED1"/>
    <w:rsid w:val="000A12DB"/>
    <w:rsid w:val="000A17C8"/>
    <w:rsid w:val="000A1AEE"/>
    <w:rsid w:val="000A20D7"/>
    <w:rsid w:val="000A2128"/>
    <w:rsid w:val="000A362F"/>
    <w:rsid w:val="000A3B49"/>
    <w:rsid w:val="000A41BA"/>
    <w:rsid w:val="000A446A"/>
    <w:rsid w:val="000A5AAF"/>
    <w:rsid w:val="000A5F97"/>
    <w:rsid w:val="000A648E"/>
    <w:rsid w:val="000A6CC4"/>
    <w:rsid w:val="000A6E35"/>
    <w:rsid w:val="000A73BB"/>
    <w:rsid w:val="000A7EF4"/>
    <w:rsid w:val="000B0A15"/>
    <w:rsid w:val="000B0DF3"/>
    <w:rsid w:val="000B103F"/>
    <w:rsid w:val="000B1437"/>
    <w:rsid w:val="000B1470"/>
    <w:rsid w:val="000B2B86"/>
    <w:rsid w:val="000B3051"/>
    <w:rsid w:val="000B419B"/>
    <w:rsid w:val="000B4716"/>
    <w:rsid w:val="000B56E7"/>
    <w:rsid w:val="000B5781"/>
    <w:rsid w:val="000B5891"/>
    <w:rsid w:val="000C0185"/>
    <w:rsid w:val="000C0444"/>
    <w:rsid w:val="000C0960"/>
    <w:rsid w:val="000C0F81"/>
    <w:rsid w:val="000C128D"/>
    <w:rsid w:val="000C17A3"/>
    <w:rsid w:val="000C1D4B"/>
    <w:rsid w:val="000C3260"/>
    <w:rsid w:val="000C3616"/>
    <w:rsid w:val="000C3803"/>
    <w:rsid w:val="000C3B77"/>
    <w:rsid w:val="000C45E8"/>
    <w:rsid w:val="000C4F49"/>
    <w:rsid w:val="000C5861"/>
    <w:rsid w:val="000C639D"/>
    <w:rsid w:val="000C6C31"/>
    <w:rsid w:val="000C6DBC"/>
    <w:rsid w:val="000C6F79"/>
    <w:rsid w:val="000C7211"/>
    <w:rsid w:val="000C7476"/>
    <w:rsid w:val="000C7711"/>
    <w:rsid w:val="000C7AA2"/>
    <w:rsid w:val="000D0462"/>
    <w:rsid w:val="000D053D"/>
    <w:rsid w:val="000D0CD9"/>
    <w:rsid w:val="000D0ED2"/>
    <w:rsid w:val="000D1CEB"/>
    <w:rsid w:val="000D215D"/>
    <w:rsid w:val="000D2563"/>
    <w:rsid w:val="000D25BF"/>
    <w:rsid w:val="000D3FDC"/>
    <w:rsid w:val="000D4E38"/>
    <w:rsid w:val="000D50DB"/>
    <w:rsid w:val="000D5ABA"/>
    <w:rsid w:val="000D6288"/>
    <w:rsid w:val="000D65A4"/>
    <w:rsid w:val="000D6CAF"/>
    <w:rsid w:val="000D7541"/>
    <w:rsid w:val="000D75E1"/>
    <w:rsid w:val="000D776B"/>
    <w:rsid w:val="000D7E45"/>
    <w:rsid w:val="000E22CF"/>
    <w:rsid w:val="000E2977"/>
    <w:rsid w:val="000E2B36"/>
    <w:rsid w:val="000E30AC"/>
    <w:rsid w:val="000E3B46"/>
    <w:rsid w:val="000E3E11"/>
    <w:rsid w:val="000E44C8"/>
    <w:rsid w:val="000E4596"/>
    <w:rsid w:val="000E5768"/>
    <w:rsid w:val="000E5843"/>
    <w:rsid w:val="000E6139"/>
    <w:rsid w:val="000E6BE1"/>
    <w:rsid w:val="000E7E0B"/>
    <w:rsid w:val="000F078A"/>
    <w:rsid w:val="000F122D"/>
    <w:rsid w:val="000F1450"/>
    <w:rsid w:val="000F14E8"/>
    <w:rsid w:val="000F1BBD"/>
    <w:rsid w:val="000F2632"/>
    <w:rsid w:val="000F2739"/>
    <w:rsid w:val="000F3138"/>
    <w:rsid w:val="000F3D39"/>
    <w:rsid w:val="000F4403"/>
    <w:rsid w:val="000F4C3F"/>
    <w:rsid w:val="000F4E17"/>
    <w:rsid w:val="000F6578"/>
    <w:rsid w:val="000F70CD"/>
    <w:rsid w:val="000F726B"/>
    <w:rsid w:val="000F79F9"/>
    <w:rsid w:val="000F7A5A"/>
    <w:rsid w:val="000F7ABD"/>
    <w:rsid w:val="000F7E8F"/>
    <w:rsid w:val="000F7FBB"/>
    <w:rsid w:val="001000FB"/>
    <w:rsid w:val="00102109"/>
    <w:rsid w:val="00102605"/>
    <w:rsid w:val="00102686"/>
    <w:rsid w:val="00102745"/>
    <w:rsid w:val="001032E3"/>
    <w:rsid w:val="00103361"/>
    <w:rsid w:val="00103855"/>
    <w:rsid w:val="00103915"/>
    <w:rsid w:val="00103EA0"/>
    <w:rsid w:val="00104F1C"/>
    <w:rsid w:val="001051E5"/>
    <w:rsid w:val="00105A74"/>
    <w:rsid w:val="00105ACB"/>
    <w:rsid w:val="00105AEF"/>
    <w:rsid w:val="00106259"/>
    <w:rsid w:val="001068EB"/>
    <w:rsid w:val="001078CE"/>
    <w:rsid w:val="0011020F"/>
    <w:rsid w:val="00110548"/>
    <w:rsid w:val="00110CEB"/>
    <w:rsid w:val="00110F61"/>
    <w:rsid w:val="001111BD"/>
    <w:rsid w:val="0011165A"/>
    <w:rsid w:val="00111B2B"/>
    <w:rsid w:val="00111ED9"/>
    <w:rsid w:val="00112609"/>
    <w:rsid w:val="00112774"/>
    <w:rsid w:val="00112B2E"/>
    <w:rsid w:val="00113003"/>
    <w:rsid w:val="00113062"/>
    <w:rsid w:val="00113705"/>
    <w:rsid w:val="00113975"/>
    <w:rsid w:val="00113CFC"/>
    <w:rsid w:val="00113FEA"/>
    <w:rsid w:val="00114324"/>
    <w:rsid w:val="00114A22"/>
    <w:rsid w:val="00114E9D"/>
    <w:rsid w:val="0011507B"/>
    <w:rsid w:val="00115D13"/>
    <w:rsid w:val="00116328"/>
    <w:rsid w:val="001169FD"/>
    <w:rsid w:val="001174C9"/>
    <w:rsid w:val="00117C82"/>
    <w:rsid w:val="00117E69"/>
    <w:rsid w:val="00121103"/>
    <w:rsid w:val="0012156A"/>
    <w:rsid w:val="00121BAB"/>
    <w:rsid w:val="00121E3C"/>
    <w:rsid w:val="0012232E"/>
    <w:rsid w:val="00122B23"/>
    <w:rsid w:val="00122B7E"/>
    <w:rsid w:val="00123D64"/>
    <w:rsid w:val="00123FB5"/>
    <w:rsid w:val="0012400F"/>
    <w:rsid w:val="001246C9"/>
    <w:rsid w:val="001249DC"/>
    <w:rsid w:val="0012572D"/>
    <w:rsid w:val="00125BED"/>
    <w:rsid w:val="00125C59"/>
    <w:rsid w:val="00125D4F"/>
    <w:rsid w:val="00126F9A"/>
    <w:rsid w:val="00126F9B"/>
    <w:rsid w:val="00127004"/>
    <w:rsid w:val="00127AF2"/>
    <w:rsid w:val="00127EDC"/>
    <w:rsid w:val="00127F6D"/>
    <w:rsid w:val="00130355"/>
    <w:rsid w:val="00131A8C"/>
    <w:rsid w:val="00131B5A"/>
    <w:rsid w:val="00132C30"/>
    <w:rsid w:val="00132EFD"/>
    <w:rsid w:val="00133AED"/>
    <w:rsid w:val="001341DD"/>
    <w:rsid w:val="00134FF9"/>
    <w:rsid w:val="001352AA"/>
    <w:rsid w:val="00135451"/>
    <w:rsid w:val="00135E88"/>
    <w:rsid w:val="0013695C"/>
    <w:rsid w:val="00136BF7"/>
    <w:rsid w:val="001378B9"/>
    <w:rsid w:val="00137FD1"/>
    <w:rsid w:val="00137FFA"/>
    <w:rsid w:val="00140109"/>
    <w:rsid w:val="0014029B"/>
    <w:rsid w:val="00140A4F"/>
    <w:rsid w:val="001413AB"/>
    <w:rsid w:val="00141DBC"/>
    <w:rsid w:val="001425E4"/>
    <w:rsid w:val="001432AF"/>
    <w:rsid w:val="00144335"/>
    <w:rsid w:val="0014502F"/>
    <w:rsid w:val="00145282"/>
    <w:rsid w:val="001453B0"/>
    <w:rsid w:val="001454D9"/>
    <w:rsid w:val="00145D8E"/>
    <w:rsid w:val="00146083"/>
    <w:rsid w:val="001462F7"/>
    <w:rsid w:val="001466F0"/>
    <w:rsid w:val="001476D3"/>
    <w:rsid w:val="00147798"/>
    <w:rsid w:val="00150005"/>
    <w:rsid w:val="00150F55"/>
    <w:rsid w:val="00151B99"/>
    <w:rsid w:val="001521B2"/>
    <w:rsid w:val="00152288"/>
    <w:rsid w:val="00152EDD"/>
    <w:rsid w:val="00153491"/>
    <w:rsid w:val="0015361C"/>
    <w:rsid w:val="0015372F"/>
    <w:rsid w:val="00153A18"/>
    <w:rsid w:val="00153BFB"/>
    <w:rsid w:val="0015407E"/>
    <w:rsid w:val="0015448E"/>
    <w:rsid w:val="00154A6F"/>
    <w:rsid w:val="0015591B"/>
    <w:rsid w:val="00155D08"/>
    <w:rsid w:val="00156BE5"/>
    <w:rsid w:val="00157232"/>
    <w:rsid w:val="00160401"/>
    <w:rsid w:val="00160D4E"/>
    <w:rsid w:val="00161E62"/>
    <w:rsid w:val="00161F1C"/>
    <w:rsid w:val="0016200B"/>
    <w:rsid w:val="00163CD0"/>
    <w:rsid w:val="00163D7A"/>
    <w:rsid w:val="00164281"/>
    <w:rsid w:val="00164AF1"/>
    <w:rsid w:val="001654DF"/>
    <w:rsid w:val="00165ED5"/>
    <w:rsid w:val="001668A7"/>
    <w:rsid w:val="00167503"/>
    <w:rsid w:val="001676A9"/>
    <w:rsid w:val="00167A15"/>
    <w:rsid w:val="00167A50"/>
    <w:rsid w:val="00167D12"/>
    <w:rsid w:val="00167DF5"/>
    <w:rsid w:val="00170001"/>
    <w:rsid w:val="00170252"/>
    <w:rsid w:val="0017043A"/>
    <w:rsid w:val="0017145A"/>
    <w:rsid w:val="00172198"/>
    <w:rsid w:val="001723DA"/>
    <w:rsid w:val="00172612"/>
    <w:rsid w:val="00172817"/>
    <w:rsid w:val="001734E3"/>
    <w:rsid w:val="0017350E"/>
    <w:rsid w:val="0017391B"/>
    <w:rsid w:val="001742BF"/>
    <w:rsid w:val="001749DF"/>
    <w:rsid w:val="0017593F"/>
    <w:rsid w:val="00175E49"/>
    <w:rsid w:val="001761F7"/>
    <w:rsid w:val="00176470"/>
    <w:rsid w:val="0017659F"/>
    <w:rsid w:val="00177076"/>
    <w:rsid w:val="001805C1"/>
    <w:rsid w:val="00180A2E"/>
    <w:rsid w:val="001813AF"/>
    <w:rsid w:val="001829CD"/>
    <w:rsid w:val="00182F01"/>
    <w:rsid w:val="00182FBD"/>
    <w:rsid w:val="0018499F"/>
    <w:rsid w:val="00184F27"/>
    <w:rsid w:val="0018519B"/>
    <w:rsid w:val="00185AFE"/>
    <w:rsid w:val="00185E78"/>
    <w:rsid w:val="00187177"/>
    <w:rsid w:val="00187443"/>
    <w:rsid w:val="00187A32"/>
    <w:rsid w:val="00187ABD"/>
    <w:rsid w:val="00187AC0"/>
    <w:rsid w:val="001904E3"/>
    <w:rsid w:val="0019087A"/>
    <w:rsid w:val="00191395"/>
    <w:rsid w:val="00191C5A"/>
    <w:rsid w:val="00191CEB"/>
    <w:rsid w:val="00191E63"/>
    <w:rsid w:val="00192D68"/>
    <w:rsid w:val="0019388B"/>
    <w:rsid w:val="00193B52"/>
    <w:rsid w:val="00193B9A"/>
    <w:rsid w:val="001946AE"/>
    <w:rsid w:val="001946D5"/>
    <w:rsid w:val="00194E8C"/>
    <w:rsid w:val="001962EC"/>
    <w:rsid w:val="001963DD"/>
    <w:rsid w:val="001965DB"/>
    <w:rsid w:val="00196DC9"/>
    <w:rsid w:val="001A0236"/>
    <w:rsid w:val="001A08E1"/>
    <w:rsid w:val="001A0AF8"/>
    <w:rsid w:val="001A16A5"/>
    <w:rsid w:val="001A18D5"/>
    <w:rsid w:val="001A1D4A"/>
    <w:rsid w:val="001A2426"/>
    <w:rsid w:val="001A2D40"/>
    <w:rsid w:val="001A3011"/>
    <w:rsid w:val="001A325B"/>
    <w:rsid w:val="001A4A08"/>
    <w:rsid w:val="001A4DAF"/>
    <w:rsid w:val="001A54FD"/>
    <w:rsid w:val="001A59FB"/>
    <w:rsid w:val="001A66DF"/>
    <w:rsid w:val="001A67D0"/>
    <w:rsid w:val="001A6BF1"/>
    <w:rsid w:val="001A6C2B"/>
    <w:rsid w:val="001A7591"/>
    <w:rsid w:val="001A75B1"/>
    <w:rsid w:val="001A7ADF"/>
    <w:rsid w:val="001B0366"/>
    <w:rsid w:val="001B0444"/>
    <w:rsid w:val="001B096B"/>
    <w:rsid w:val="001B0F9F"/>
    <w:rsid w:val="001B123C"/>
    <w:rsid w:val="001B1A0D"/>
    <w:rsid w:val="001B1BF1"/>
    <w:rsid w:val="001B2456"/>
    <w:rsid w:val="001B449C"/>
    <w:rsid w:val="001B4AA2"/>
    <w:rsid w:val="001B4ADE"/>
    <w:rsid w:val="001B5C86"/>
    <w:rsid w:val="001B5EF8"/>
    <w:rsid w:val="001B622B"/>
    <w:rsid w:val="001B6973"/>
    <w:rsid w:val="001B7BF3"/>
    <w:rsid w:val="001C07C6"/>
    <w:rsid w:val="001C08B2"/>
    <w:rsid w:val="001C19CD"/>
    <w:rsid w:val="001C22D5"/>
    <w:rsid w:val="001C2515"/>
    <w:rsid w:val="001C2550"/>
    <w:rsid w:val="001C26FB"/>
    <w:rsid w:val="001C33C1"/>
    <w:rsid w:val="001C3E30"/>
    <w:rsid w:val="001C3E5C"/>
    <w:rsid w:val="001C5072"/>
    <w:rsid w:val="001C5B2A"/>
    <w:rsid w:val="001C600B"/>
    <w:rsid w:val="001C6407"/>
    <w:rsid w:val="001C6898"/>
    <w:rsid w:val="001C6DD8"/>
    <w:rsid w:val="001C7C7B"/>
    <w:rsid w:val="001D068D"/>
    <w:rsid w:val="001D0A71"/>
    <w:rsid w:val="001D12D1"/>
    <w:rsid w:val="001D15DF"/>
    <w:rsid w:val="001D2970"/>
    <w:rsid w:val="001D30F3"/>
    <w:rsid w:val="001D31A0"/>
    <w:rsid w:val="001D338E"/>
    <w:rsid w:val="001D3D3F"/>
    <w:rsid w:val="001D4141"/>
    <w:rsid w:val="001D4E70"/>
    <w:rsid w:val="001D56E9"/>
    <w:rsid w:val="001D57F0"/>
    <w:rsid w:val="001D7923"/>
    <w:rsid w:val="001D796A"/>
    <w:rsid w:val="001D7A84"/>
    <w:rsid w:val="001D7C79"/>
    <w:rsid w:val="001E0E15"/>
    <w:rsid w:val="001E0EFD"/>
    <w:rsid w:val="001E15F0"/>
    <w:rsid w:val="001E1CC4"/>
    <w:rsid w:val="001E1D38"/>
    <w:rsid w:val="001E1DEE"/>
    <w:rsid w:val="001E250D"/>
    <w:rsid w:val="001E4258"/>
    <w:rsid w:val="001E44F0"/>
    <w:rsid w:val="001E4587"/>
    <w:rsid w:val="001E56FF"/>
    <w:rsid w:val="001E5A69"/>
    <w:rsid w:val="001E5B84"/>
    <w:rsid w:val="001E5D6A"/>
    <w:rsid w:val="001E70FB"/>
    <w:rsid w:val="001E780A"/>
    <w:rsid w:val="001F07D6"/>
    <w:rsid w:val="001F0FA0"/>
    <w:rsid w:val="001F1349"/>
    <w:rsid w:val="001F1863"/>
    <w:rsid w:val="001F232D"/>
    <w:rsid w:val="001F2356"/>
    <w:rsid w:val="001F2A68"/>
    <w:rsid w:val="001F39EA"/>
    <w:rsid w:val="001F4773"/>
    <w:rsid w:val="001F5008"/>
    <w:rsid w:val="001F512D"/>
    <w:rsid w:val="001F56AA"/>
    <w:rsid w:val="001F58AA"/>
    <w:rsid w:val="001F5EF6"/>
    <w:rsid w:val="001F657F"/>
    <w:rsid w:val="001F6FB6"/>
    <w:rsid w:val="001F7978"/>
    <w:rsid w:val="001F7A0E"/>
    <w:rsid w:val="0020022E"/>
    <w:rsid w:val="0020054E"/>
    <w:rsid w:val="00200B51"/>
    <w:rsid w:val="002014EF"/>
    <w:rsid w:val="00201F1E"/>
    <w:rsid w:val="0020299B"/>
    <w:rsid w:val="00202E44"/>
    <w:rsid w:val="002037AA"/>
    <w:rsid w:val="00203FE3"/>
    <w:rsid w:val="002042D8"/>
    <w:rsid w:val="00204515"/>
    <w:rsid w:val="00204BF5"/>
    <w:rsid w:val="00204D82"/>
    <w:rsid w:val="00204D91"/>
    <w:rsid w:val="00204E6B"/>
    <w:rsid w:val="002058D4"/>
    <w:rsid w:val="002058DC"/>
    <w:rsid w:val="00205BAA"/>
    <w:rsid w:val="0020632A"/>
    <w:rsid w:val="0020697F"/>
    <w:rsid w:val="0020785A"/>
    <w:rsid w:val="00207C1E"/>
    <w:rsid w:val="002110EB"/>
    <w:rsid w:val="00211338"/>
    <w:rsid w:val="00211388"/>
    <w:rsid w:val="0021148C"/>
    <w:rsid w:val="00211694"/>
    <w:rsid w:val="0021201A"/>
    <w:rsid w:val="00212A83"/>
    <w:rsid w:val="00213A1F"/>
    <w:rsid w:val="00213C63"/>
    <w:rsid w:val="00214502"/>
    <w:rsid w:val="00214741"/>
    <w:rsid w:val="0021539A"/>
    <w:rsid w:val="00215793"/>
    <w:rsid w:val="00215852"/>
    <w:rsid w:val="00215B8E"/>
    <w:rsid w:val="00216264"/>
    <w:rsid w:val="002168B8"/>
    <w:rsid w:val="002176B6"/>
    <w:rsid w:val="0021792D"/>
    <w:rsid w:val="00217DB8"/>
    <w:rsid w:val="0022032A"/>
    <w:rsid w:val="002221CE"/>
    <w:rsid w:val="00222BE8"/>
    <w:rsid w:val="00223102"/>
    <w:rsid w:val="002232CB"/>
    <w:rsid w:val="002233EA"/>
    <w:rsid w:val="00224022"/>
    <w:rsid w:val="00224D93"/>
    <w:rsid w:val="00225F82"/>
    <w:rsid w:val="00226055"/>
    <w:rsid w:val="0022613F"/>
    <w:rsid w:val="00226236"/>
    <w:rsid w:val="00226DF9"/>
    <w:rsid w:val="002270C9"/>
    <w:rsid w:val="00227A8B"/>
    <w:rsid w:val="002305F6"/>
    <w:rsid w:val="002308BA"/>
    <w:rsid w:val="0023146B"/>
    <w:rsid w:val="00231540"/>
    <w:rsid w:val="002315A0"/>
    <w:rsid w:val="00231CE0"/>
    <w:rsid w:val="00231EC7"/>
    <w:rsid w:val="00232A6C"/>
    <w:rsid w:val="00232E15"/>
    <w:rsid w:val="00233079"/>
    <w:rsid w:val="0023382C"/>
    <w:rsid w:val="00233977"/>
    <w:rsid w:val="00233C58"/>
    <w:rsid w:val="00233C71"/>
    <w:rsid w:val="00233D9C"/>
    <w:rsid w:val="002345B6"/>
    <w:rsid w:val="00234B84"/>
    <w:rsid w:val="00236016"/>
    <w:rsid w:val="00236E24"/>
    <w:rsid w:val="00237065"/>
    <w:rsid w:val="00237589"/>
    <w:rsid w:val="0023758D"/>
    <w:rsid w:val="002375A7"/>
    <w:rsid w:val="0024019A"/>
    <w:rsid w:val="002411DE"/>
    <w:rsid w:val="0024131D"/>
    <w:rsid w:val="002413B5"/>
    <w:rsid w:val="002415B8"/>
    <w:rsid w:val="00241618"/>
    <w:rsid w:val="00241ACD"/>
    <w:rsid w:val="00242D62"/>
    <w:rsid w:val="002431D7"/>
    <w:rsid w:val="00243257"/>
    <w:rsid w:val="00243434"/>
    <w:rsid w:val="00244058"/>
    <w:rsid w:val="00244E90"/>
    <w:rsid w:val="00244F9A"/>
    <w:rsid w:val="00245718"/>
    <w:rsid w:val="00245E07"/>
    <w:rsid w:val="00246CD4"/>
    <w:rsid w:val="0024729C"/>
    <w:rsid w:val="00247712"/>
    <w:rsid w:val="00247780"/>
    <w:rsid w:val="00250D54"/>
    <w:rsid w:val="00250EC6"/>
    <w:rsid w:val="00250F11"/>
    <w:rsid w:val="00251866"/>
    <w:rsid w:val="00251A9F"/>
    <w:rsid w:val="00251CB0"/>
    <w:rsid w:val="00252492"/>
    <w:rsid w:val="00252B35"/>
    <w:rsid w:val="0025316D"/>
    <w:rsid w:val="002532F4"/>
    <w:rsid w:val="00253A02"/>
    <w:rsid w:val="00253B81"/>
    <w:rsid w:val="0025431A"/>
    <w:rsid w:val="002554DE"/>
    <w:rsid w:val="00255E11"/>
    <w:rsid w:val="00256835"/>
    <w:rsid w:val="002569F0"/>
    <w:rsid w:val="00256A62"/>
    <w:rsid w:val="00256ECF"/>
    <w:rsid w:val="00257730"/>
    <w:rsid w:val="00257999"/>
    <w:rsid w:val="002604AA"/>
    <w:rsid w:val="0026129B"/>
    <w:rsid w:val="00261560"/>
    <w:rsid w:val="00261715"/>
    <w:rsid w:val="00261CF9"/>
    <w:rsid w:val="00261EC0"/>
    <w:rsid w:val="0026231B"/>
    <w:rsid w:val="00262422"/>
    <w:rsid w:val="00263101"/>
    <w:rsid w:val="00263201"/>
    <w:rsid w:val="00263A37"/>
    <w:rsid w:val="002653A6"/>
    <w:rsid w:val="0026608D"/>
    <w:rsid w:val="002661F1"/>
    <w:rsid w:val="002663BA"/>
    <w:rsid w:val="002664B7"/>
    <w:rsid w:val="00266CB5"/>
    <w:rsid w:val="002711A4"/>
    <w:rsid w:val="00271201"/>
    <w:rsid w:val="00271F13"/>
    <w:rsid w:val="002721E2"/>
    <w:rsid w:val="00274787"/>
    <w:rsid w:val="00274DB5"/>
    <w:rsid w:val="002753FD"/>
    <w:rsid w:val="00275BB1"/>
    <w:rsid w:val="00275FBF"/>
    <w:rsid w:val="00276373"/>
    <w:rsid w:val="0027783B"/>
    <w:rsid w:val="00277933"/>
    <w:rsid w:val="00277EC3"/>
    <w:rsid w:val="00277F13"/>
    <w:rsid w:val="00277F8D"/>
    <w:rsid w:val="00277FA7"/>
    <w:rsid w:val="00280F3D"/>
    <w:rsid w:val="0028106A"/>
    <w:rsid w:val="00281662"/>
    <w:rsid w:val="00281EB4"/>
    <w:rsid w:val="0028308E"/>
    <w:rsid w:val="002834E9"/>
    <w:rsid w:val="0028396F"/>
    <w:rsid w:val="00283A52"/>
    <w:rsid w:val="00283C5E"/>
    <w:rsid w:val="00283E26"/>
    <w:rsid w:val="0028428F"/>
    <w:rsid w:val="00284CFC"/>
    <w:rsid w:val="00285832"/>
    <w:rsid w:val="00285969"/>
    <w:rsid w:val="0028663B"/>
    <w:rsid w:val="00286CEC"/>
    <w:rsid w:val="002871A9"/>
    <w:rsid w:val="002873A0"/>
    <w:rsid w:val="00287B7E"/>
    <w:rsid w:val="00290781"/>
    <w:rsid w:val="00291784"/>
    <w:rsid w:val="002929BB"/>
    <w:rsid w:val="00292E53"/>
    <w:rsid w:val="00292E64"/>
    <w:rsid w:val="002932BA"/>
    <w:rsid w:val="00293669"/>
    <w:rsid w:val="00294368"/>
    <w:rsid w:val="00294B78"/>
    <w:rsid w:val="0029580A"/>
    <w:rsid w:val="00295949"/>
    <w:rsid w:val="00296150"/>
    <w:rsid w:val="0029624A"/>
    <w:rsid w:val="00296922"/>
    <w:rsid w:val="00297098"/>
    <w:rsid w:val="002A05D4"/>
    <w:rsid w:val="002A09FF"/>
    <w:rsid w:val="002A0E60"/>
    <w:rsid w:val="002A1A58"/>
    <w:rsid w:val="002A1B02"/>
    <w:rsid w:val="002A1C53"/>
    <w:rsid w:val="002A28FC"/>
    <w:rsid w:val="002A2B44"/>
    <w:rsid w:val="002A2EA5"/>
    <w:rsid w:val="002A39C3"/>
    <w:rsid w:val="002A3D94"/>
    <w:rsid w:val="002A4359"/>
    <w:rsid w:val="002A4736"/>
    <w:rsid w:val="002A4B1C"/>
    <w:rsid w:val="002A4BDD"/>
    <w:rsid w:val="002A4CC8"/>
    <w:rsid w:val="002A6AFB"/>
    <w:rsid w:val="002A733D"/>
    <w:rsid w:val="002A774A"/>
    <w:rsid w:val="002A7E5C"/>
    <w:rsid w:val="002A7F6D"/>
    <w:rsid w:val="002A7FC5"/>
    <w:rsid w:val="002B020D"/>
    <w:rsid w:val="002B1342"/>
    <w:rsid w:val="002B27C8"/>
    <w:rsid w:val="002B2A7F"/>
    <w:rsid w:val="002B330B"/>
    <w:rsid w:val="002B39BE"/>
    <w:rsid w:val="002B438C"/>
    <w:rsid w:val="002B48DB"/>
    <w:rsid w:val="002B4B34"/>
    <w:rsid w:val="002B508E"/>
    <w:rsid w:val="002B541A"/>
    <w:rsid w:val="002B6407"/>
    <w:rsid w:val="002B6416"/>
    <w:rsid w:val="002B6459"/>
    <w:rsid w:val="002B64D2"/>
    <w:rsid w:val="002B73B0"/>
    <w:rsid w:val="002C1143"/>
    <w:rsid w:val="002C226B"/>
    <w:rsid w:val="002C24B4"/>
    <w:rsid w:val="002C2B3A"/>
    <w:rsid w:val="002C2B87"/>
    <w:rsid w:val="002C3CF4"/>
    <w:rsid w:val="002C40BA"/>
    <w:rsid w:val="002C441A"/>
    <w:rsid w:val="002C4A73"/>
    <w:rsid w:val="002C4B84"/>
    <w:rsid w:val="002C4C0C"/>
    <w:rsid w:val="002C5016"/>
    <w:rsid w:val="002C5186"/>
    <w:rsid w:val="002C5C2F"/>
    <w:rsid w:val="002C5D0F"/>
    <w:rsid w:val="002C5E87"/>
    <w:rsid w:val="002C60B9"/>
    <w:rsid w:val="002C6F77"/>
    <w:rsid w:val="002C704D"/>
    <w:rsid w:val="002C711C"/>
    <w:rsid w:val="002C7C24"/>
    <w:rsid w:val="002D0845"/>
    <w:rsid w:val="002D0933"/>
    <w:rsid w:val="002D19BB"/>
    <w:rsid w:val="002D1A9B"/>
    <w:rsid w:val="002D22C5"/>
    <w:rsid w:val="002D301F"/>
    <w:rsid w:val="002D302A"/>
    <w:rsid w:val="002D36C6"/>
    <w:rsid w:val="002D37C1"/>
    <w:rsid w:val="002D444B"/>
    <w:rsid w:val="002D4A45"/>
    <w:rsid w:val="002D4A73"/>
    <w:rsid w:val="002D4AB1"/>
    <w:rsid w:val="002D4B42"/>
    <w:rsid w:val="002D4DBA"/>
    <w:rsid w:val="002D4F5F"/>
    <w:rsid w:val="002D5A1B"/>
    <w:rsid w:val="002D65BC"/>
    <w:rsid w:val="002D6D7E"/>
    <w:rsid w:val="002D7EDD"/>
    <w:rsid w:val="002E055C"/>
    <w:rsid w:val="002E0A6C"/>
    <w:rsid w:val="002E1050"/>
    <w:rsid w:val="002E18E5"/>
    <w:rsid w:val="002E1953"/>
    <w:rsid w:val="002E268C"/>
    <w:rsid w:val="002E29A0"/>
    <w:rsid w:val="002E2D7D"/>
    <w:rsid w:val="002E3AB5"/>
    <w:rsid w:val="002E3D76"/>
    <w:rsid w:val="002E3F87"/>
    <w:rsid w:val="002E40A1"/>
    <w:rsid w:val="002E48EC"/>
    <w:rsid w:val="002E4B44"/>
    <w:rsid w:val="002E4ECB"/>
    <w:rsid w:val="002E4F23"/>
    <w:rsid w:val="002E5B53"/>
    <w:rsid w:val="002E7847"/>
    <w:rsid w:val="002E7FCF"/>
    <w:rsid w:val="002F0073"/>
    <w:rsid w:val="002F0544"/>
    <w:rsid w:val="002F0618"/>
    <w:rsid w:val="002F0643"/>
    <w:rsid w:val="002F170E"/>
    <w:rsid w:val="002F1D41"/>
    <w:rsid w:val="002F240B"/>
    <w:rsid w:val="002F2F50"/>
    <w:rsid w:val="002F3601"/>
    <w:rsid w:val="002F3C13"/>
    <w:rsid w:val="002F45F6"/>
    <w:rsid w:val="002F692F"/>
    <w:rsid w:val="002F6986"/>
    <w:rsid w:val="002F69BE"/>
    <w:rsid w:val="002F7B66"/>
    <w:rsid w:val="00300CB4"/>
    <w:rsid w:val="00300E24"/>
    <w:rsid w:val="0030101C"/>
    <w:rsid w:val="003033BA"/>
    <w:rsid w:val="003043A3"/>
    <w:rsid w:val="00304BD4"/>
    <w:rsid w:val="0030500A"/>
    <w:rsid w:val="0030517B"/>
    <w:rsid w:val="003052EB"/>
    <w:rsid w:val="00305FCB"/>
    <w:rsid w:val="0030600C"/>
    <w:rsid w:val="003063C3"/>
    <w:rsid w:val="003068A3"/>
    <w:rsid w:val="00306B44"/>
    <w:rsid w:val="00306E41"/>
    <w:rsid w:val="00307C44"/>
    <w:rsid w:val="00307F1C"/>
    <w:rsid w:val="0031088E"/>
    <w:rsid w:val="00310A35"/>
    <w:rsid w:val="00310CAF"/>
    <w:rsid w:val="00310D01"/>
    <w:rsid w:val="00311376"/>
    <w:rsid w:val="00311551"/>
    <w:rsid w:val="00311A1F"/>
    <w:rsid w:val="00311B47"/>
    <w:rsid w:val="00311D52"/>
    <w:rsid w:val="00312190"/>
    <w:rsid w:val="00312343"/>
    <w:rsid w:val="003125E0"/>
    <w:rsid w:val="00312606"/>
    <w:rsid w:val="0031271D"/>
    <w:rsid w:val="00313447"/>
    <w:rsid w:val="00313748"/>
    <w:rsid w:val="00313EA3"/>
    <w:rsid w:val="00315457"/>
    <w:rsid w:val="003161A4"/>
    <w:rsid w:val="00316955"/>
    <w:rsid w:val="00316E52"/>
    <w:rsid w:val="0031720A"/>
    <w:rsid w:val="003173CF"/>
    <w:rsid w:val="0031749B"/>
    <w:rsid w:val="003174E5"/>
    <w:rsid w:val="00317C9D"/>
    <w:rsid w:val="00317CD2"/>
    <w:rsid w:val="00317D99"/>
    <w:rsid w:val="0032078D"/>
    <w:rsid w:val="00320A6E"/>
    <w:rsid w:val="00320F34"/>
    <w:rsid w:val="0032137B"/>
    <w:rsid w:val="003214F7"/>
    <w:rsid w:val="00321BD6"/>
    <w:rsid w:val="00321F66"/>
    <w:rsid w:val="00321FA3"/>
    <w:rsid w:val="003227D3"/>
    <w:rsid w:val="00322937"/>
    <w:rsid w:val="00322A46"/>
    <w:rsid w:val="00322A84"/>
    <w:rsid w:val="003231D0"/>
    <w:rsid w:val="00323881"/>
    <w:rsid w:val="00323B73"/>
    <w:rsid w:val="00324006"/>
    <w:rsid w:val="00325D98"/>
    <w:rsid w:val="0032664F"/>
    <w:rsid w:val="0032682A"/>
    <w:rsid w:val="00327A5C"/>
    <w:rsid w:val="0033092C"/>
    <w:rsid w:val="0033122A"/>
    <w:rsid w:val="003315AC"/>
    <w:rsid w:val="00331932"/>
    <w:rsid w:val="00333A88"/>
    <w:rsid w:val="00333DAF"/>
    <w:rsid w:val="00333FFB"/>
    <w:rsid w:val="00334104"/>
    <w:rsid w:val="00335B15"/>
    <w:rsid w:val="00335B21"/>
    <w:rsid w:val="00335D3F"/>
    <w:rsid w:val="00336104"/>
    <w:rsid w:val="00336729"/>
    <w:rsid w:val="00336AB1"/>
    <w:rsid w:val="0033726D"/>
    <w:rsid w:val="00337362"/>
    <w:rsid w:val="00337CA8"/>
    <w:rsid w:val="0034125B"/>
    <w:rsid w:val="0034177C"/>
    <w:rsid w:val="00342345"/>
    <w:rsid w:val="00342C27"/>
    <w:rsid w:val="003430C8"/>
    <w:rsid w:val="003432C8"/>
    <w:rsid w:val="003433BB"/>
    <w:rsid w:val="003434B3"/>
    <w:rsid w:val="00343536"/>
    <w:rsid w:val="00343EFB"/>
    <w:rsid w:val="003443DF"/>
    <w:rsid w:val="00344760"/>
    <w:rsid w:val="00344A64"/>
    <w:rsid w:val="0034680A"/>
    <w:rsid w:val="00346C62"/>
    <w:rsid w:val="0034778E"/>
    <w:rsid w:val="003501E2"/>
    <w:rsid w:val="00350A59"/>
    <w:rsid w:val="00351E10"/>
    <w:rsid w:val="0035273A"/>
    <w:rsid w:val="00352D59"/>
    <w:rsid w:val="003533F4"/>
    <w:rsid w:val="003536F6"/>
    <w:rsid w:val="00353DD5"/>
    <w:rsid w:val="0035496B"/>
    <w:rsid w:val="00355131"/>
    <w:rsid w:val="00356438"/>
    <w:rsid w:val="00361A59"/>
    <w:rsid w:val="003631CC"/>
    <w:rsid w:val="00363348"/>
    <w:rsid w:val="00363857"/>
    <w:rsid w:val="00363D59"/>
    <w:rsid w:val="003640F7"/>
    <w:rsid w:val="00364300"/>
    <w:rsid w:val="00365D3A"/>
    <w:rsid w:val="00365ED1"/>
    <w:rsid w:val="003661DD"/>
    <w:rsid w:val="003664FF"/>
    <w:rsid w:val="00366B70"/>
    <w:rsid w:val="00366BD2"/>
    <w:rsid w:val="003670B8"/>
    <w:rsid w:val="0036776E"/>
    <w:rsid w:val="003704A3"/>
    <w:rsid w:val="003706F2"/>
    <w:rsid w:val="0037124F"/>
    <w:rsid w:val="00372C0A"/>
    <w:rsid w:val="00373827"/>
    <w:rsid w:val="00373F04"/>
    <w:rsid w:val="0037401C"/>
    <w:rsid w:val="00374A1E"/>
    <w:rsid w:val="0037507B"/>
    <w:rsid w:val="00375C7C"/>
    <w:rsid w:val="003762F6"/>
    <w:rsid w:val="00377027"/>
    <w:rsid w:val="00377135"/>
    <w:rsid w:val="0038006E"/>
    <w:rsid w:val="00380272"/>
    <w:rsid w:val="00380576"/>
    <w:rsid w:val="003805DB"/>
    <w:rsid w:val="003813F4"/>
    <w:rsid w:val="0038152A"/>
    <w:rsid w:val="00382AEF"/>
    <w:rsid w:val="00382BAD"/>
    <w:rsid w:val="003830E3"/>
    <w:rsid w:val="00383A8D"/>
    <w:rsid w:val="00384466"/>
    <w:rsid w:val="00384DF1"/>
    <w:rsid w:val="00384FF3"/>
    <w:rsid w:val="00386456"/>
    <w:rsid w:val="003865A9"/>
    <w:rsid w:val="00387642"/>
    <w:rsid w:val="00390BD6"/>
    <w:rsid w:val="00390F32"/>
    <w:rsid w:val="0039135E"/>
    <w:rsid w:val="0039200F"/>
    <w:rsid w:val="003926C1"/>
    <w:rsid w:val="0039319C"/>
    <w:rsid w:val="00393CAE"/>
    <w:rsid w:val="003945DC"/>
    <w:rsid w:val="003945F4"/>
    <w:rsid w:val="00394EB5"/>
    <w:rsid w:val="003952C5"/>
    <w:rsid w:val="003953B4"/>
    <w:rsid w:val="0039615F"/>
    <w:rsid w:val="00396A29"/>
    <w:rsid w:val="00397E1D"/>
    <w:rsid w:val="00397FF0"/>
    <w:rsid w:val="003A0878"/>
    <w:rsid w:val="003A1561"/>
    <w:rsid w:val="003A1D25"/>
    <w:rsid w:val="003A22A2"/>
    <w:rsid w:val="003A2447"/>
    <w:rsid w:val="003A2AA1"/>
    <w:rsid w:val="003A31A5"/>
    <w:rsid w:val="003A3851"/>
    <w:rsid w:val="003A39DD"/>
    <w:rsid w:val="003A4A8E"/>
    <w:rsid w:val="003A563C"/>
    <w:rsid w:val="003A581E"/>
    <w:rsid w:val="003A6160"/>
    <w:rsid w:val="003A65A5"/>
    <w:rsid w:val="003A6D3F"/>
    <w:rsid w:val="003A72F5"/>
    <w:rsid w:val="003A78E5"/>
    <w:rsid w:val="003B0341"/>
    <w:rsid w:val="003B120F"/>
    <w:rsid w:val="003B1E57"/>
    <w:rsid w:val="003B2885"/>
    <w:rsid w:val="003B2EF3"/>
    <w:rsid w:val="003B3676"/>
    <w:rsid w:val="003B4053"/>
    <w:rsid w:val="003B4B1C"/>
    <w:rsid w:val="003B4CB2"/>
    <w:rsid w:val="003B534F"/>
    <w:rsid w:val="003B5391"/>
    <w:rsid w:val="003B5586"/>
    <w:rsid w:val="003B5952"/>
    <w:rsid w:val="003B5E48"/>
    <w:rsid w:val="003B65D7"/>
    <w:rsid w:val="003B65E0"/>
    <w:rsid w:val="003B6BD4"/>
    <w:rsid w:val="003B6F4D"/>
    <w:rsid w:val="003B6FE7"/>
    <w:rsid w:val="003C0271"/>
    <w:rsid w:val="003C0791"/>
    <w:rsid w:val="003C0A42"/>
    <w:rsid w:val="003C0D1F"/>
    <w:rsid w:val="003C116A"/>
    <w:rsid w:val="003C1AF4"/>
    <w:rsid w:val="003C1B63"/>
    <w:rsid w:val="003C1CB8"/>
    <w:rsid w:val="003C2550"/>
    <w:rsid w:val="003C287F"/>
    <w:rsid w:val="003C3339"/>
    <w:rsid w:val="003C375A"/>
    <w:rsid w:val="003C43F6"/>
    <w:rsid w:val="003C4D9F"/>
    <w:rsid w:val="003C5C83"/>
    <w:rsid w:val="003C5F0C"/>
    <w:rsid w:val="003C60BB"/>
    <w:rsid w:val="003C622C"/>
    <w:rsid w:val="003C73C7"/>
    <w:rsid w:val="003D03F3"/>
    <w:rsid w:val="003D050B"/>
    <w:rsid w:val="003D0B98"/>
    <w:rsid w:val="003D0C3C"/>
    <w:rsid w:val="003D0DE5"/>
    <w:rsid w:val="003D1351"/>
    <w:rsid w:val="003D21C1"/>
    <w:rsid w:val="003D29BB"/>
    <w:rsid w:val="003D3707"/>
    <w:rsid w:val="003D3B15"/>
    <w:rsid w:val="003D3B2E"/>
    <w:rsid w:val="003D484D"/>
    <w:rsid w:val="003D49CB"/>
    <w:rsid w:val="003D4BD6"/>
    <w:rsid w:val="003D6B8F"/>
    <w:rsid w:val="003D7566"/>
    <w:rsid w:val="003D79D3"/>
    <w:rsid w:val="003E08B3"/>
    <w:rsid w:val="003E09BB"/>
    <w:rsid w:val="003E159D"/>
    <w:rsid w:val="003E1E35"/>
    <w:rsid w:val="003E20EA"/>
    <w:rsid w:val="003E210C"/>
    <w:rsid w:val="003E2913"/>
    <w:rsid w:val="003E2F55"/>
    <w:rsid w:val="003E317C"/>
    <w:rsid w:val="003E34DB"/>
    <w:rsid w:val="003E3833"/>
    <w:rsid w:val="003E3902"/>
    <w:rsid w:val="003E3AF9"/>
    <w:rsid w:val="003E4A70"/>
    <w:rsid w:val="003E4C48"/>
    <w:rsid w:val="003E4CD9"/>
    <w:rsid w:val="003E4E8A"/>
    <w:rsid w:val="003E54B3"/>
    <w:rsid w:val="003E5780"/>
    <w:rsid w:val="003E5B9F"/>
    <w:rsid w:val="003E6072"/>
    <w:rsid w:val="003E6AB6"/>
    <w:rsid w:val="003E6E0B"/>
    <w:rsid w:val="003E71CD"/>
    <w:rsid w:val="003E74E5"/>
    <w:rsid w:val="003E76DF"/>
    <w:rsid w:val="003E78DA"/>
    <w:rsid w:val="003E7A8B"/>
    <w:rsid w:val="003F04B0"/>
    <w:rsid w:val="003F0BFA"/>
    <w:rsid w:val="003F0F14"/>
    <w:rsid w:val="003F0F7F"/>
    <w:rsid w:val="003F300D"/>
    <w:rsid w:val="003F3506"/>
    <w:rsid w:val="003F391F"/>
    <w:rsid w:val="003F4599"/>
    <w:rsid w:val="003F45E1"/>
    <w:rsid w:val="003F4F6C"/>
    <w:rsid w:val="003F516A"/>
    <w:rsid w:val="003F52D4"/>
    <w:rsid w:val="003F559E"/>
    <w:rsid w:val="003F5DB7"/>
    <w:rsid w:val="003F6181"/>
    <w:rsid w:val="003F6D92"/>
    <w:rsid w:val="003F7343"/>
    <w:rsid w:val="00400002"/>
    <w:rsid w:val="00400048"/>
    <w:rsid w:val="00400054"/>
    <w:rsid w:val="0040047E"/>
    <w:rsid w:val="004006DC"/>
    <w:rsid w:val="004006E8"/>
    <w:rsid w:val="004012EE"/>
    <w:rsid w:val="004016A3"/>
    <w:rsid w:val="00401B31"/>
    <w:rsid w:val="0040202B"/>
    <w:rsid w:val="00402B70"/>
    <w:rsid w:val="00402DE1"/>
    <w:rsid w:val="00402EEB"/>
    <w:rsid w:val="00402F4B"/>
    <w:rsid w:val="004037C2"/>
    <w:rsid w:val="00403D55"/>
    <w:rsid w:val="00404041"/>
    <w:rsid w:val="00404B43"/>
    <w:rsid w:val="00404C61"/>
    <w:rsid w:val="00405328"/>
    <w:rsid w:val="00405487"/>
    <w:rsid w:val="0040602B"/>
    <w:rsid w:val="00407A7A"/>
    <w:rsid w:val="00407ABC"/>
    <w:rsid w:val="00407F1E"/>
    <w:rsid w:val="00410A88"/>
    <w:rsid w:val="00411317"/>
    <w:rsid w:val="00411715"/>
    <w:rsid w:val="00411A9E"/>
    <w:rsid w:val="0041259F"/>
    <w:rsid w:val="00412B4D"/>
    <w:rsid w:val="00412BBF"/>
    <w:rsid w:val="00412C51"/>
    <w:rsid w:val="00413262"/>
    <w:rsid w:val="0041329C"/>
    <w:rsid w:val="004139F4"/>
    <w:rsid w:val="00413FFA"/>
    <w:rsid w:val="00414246"/>
    <w:rsid w:val="0041475B"/>
    <w:rsid w:val="00414760"/>
    <w:rsid w:val="00414D9A"/>
    <w:rsid w:val="00415194"/>
    <w:rsid w:val="00415816"/>
    <w:rsid w:val="00415B88"/>
    <w:rsid w:val="00415D32"/>
    <w:rsid w:val="004160A2"/>
    <w:rsid w:val="00417089"/>
    <w:rsid w:val="004170D7"/>
    <w:rsid w:val="004177A6"/>
    <w:rsid w:val="00417EFD"/>
    <w:rsid w:val="004200EE"/>
    <w:rsid w:val="004209D2"/>
    <w:rsid w:val="00420B82"/>
    <w:rsid w:val="00420D6E"/>
    <w:rsid w:val="00421BD2"/>
    <w:rsid w:val="00421E00"/>
    <w:rsid w:val="00421FCB"/>
    <w:rsid w:val="00421FF6"/>
    <w:rsid w:val="004222E3"/>
    <w:rsid w:val="00422DCA"/>
    <w:rsid w:val="00422F42"/>
    <w:rsid w:val="00423F9F"/>
    <w:rsid w:val="00425C43"/>
    <w:rsid w:val="00426C69"/>
    <w:rsid w:val="004273FA"/>
    <w:rsid w:val="00430186"/>
    <w:rsid w:val="00430740"/>
    <w:rsid w:val="0043269A"/>
    <w:rsid w:val="00432D09"/>
    <w:rsid w:val="00432E14"/>
    <w:rsid w:val="0043318B"/>
    <w:rsid w:val="004333C2"/>
    <w:rsid w:val="00433ACB"/>
    <w:rsid w:val="00434787"/>
    <w:rsid w:val="004347DA"/>
    <w:rsid w:val="00434C13"/>
    <w:rsid w:val="00436323"/>
    <w:rsid w:val="0043683F"/>
    <w:rsid w:val="00436E45"/>
    <w:rsid w:val="00436F40"/>
    <w:rsid w:val="004370FA"/>
    <w:rsid w:val="00437266"/>
    <w:rsid w:val="00440096"/>
    <w:rsid w:val="004403DD"/>
    <w:rsid w:val="00440DB0"/>
    <w:rsid w:val="00440FAD"/>
    <w:rsid w:val="0044105D"/>
    <w:rsid w:val="00441291"/>
    <w:rsid w:val="004420AB"/>
    <w:rsid w:val="004422D6"/>
    <w:rsid w:val="004427AC"/>
    <w:rsid w:val="00442D4D"/>
    <w:rsid w:val="00443613"/>
    <w:rsid w:val="0044374D"/>
    <w:rsid w:val="00443865"/>
    <w:rsid w:val="00443B55"/>
    <w:rsid w:val="00443D27"/>
    <w:rsid w:val="0044581A"/>
    <w:rsid w:val="00445AC2"/>
    <w:rsid w:val="00446037"/>
    <w:rsid w:val="0044642F"/>
    <w:rsid w:val="00447043"/>
    <w:rsid w:val="0044772C"/>
    <w:rsid w:val="00450846"/>
    <w:rsid w:val="00451A52"/>
    <w:rsid w:val="00451FC8"/>
    <w:rsid w:val="0045271D"/>
    <w:rsid w:val="00452755"/>
    <w:rsid w:val="00452803"/>
    <w:rsid w:val="004529C6"/>
    <w:rsid w:val="00452EAD"/>
    <w:rsid w:val="004533D1"/>
    <w:rsid w:val="004534D1"/>
    <w:rsid w:val="00453A53"/>
    <w:rsid w:val="00454548"/>
    <w:rsid w:val="00454582"/>
    <w:rsid w:val="00454717"/>
    <w:rsid w:val="00455047"/>
    <w:rsid w:val="00455354"/>
    <w:rsid w:val="0045558D"/>
    <w:rsid w:val="00455DEE"/>
    <w:rsid w:val="004564C7"/>
    <w:rsid w:val="00456970"/>
    <w:rsid w:val="00456BB1"/>
    <w:rsid w:val="00456DDB"/>
    <w:rsid w:val="0045796D"/>
    <w:rsid w:val="004602D6"/>
    <w:rsid w:val="0046080F"/>
    <w:rsid w:val="00460915"/>
    <w:rsid w:val="00460946"/>
    <w:rsid w:val="004613D2"/>
    <w:rsid w:val="004614A9"/>
    <w:rsid w:val="00461B6F"/>
    <w:rsid w:val="00461E97"/>
    <w:rsid w:val="0046268F"/>
    <w:rsid w:val="0046284F"/>
    <w:rsid w:val="00462B10"/>
    <w:rsid w:val="00462C04"/>
    <w:rsid w:val="0046320A"/>
    <w:rsid w:val="0046361D"/>
    <w:rsid w:val="004638E2"/>
    <w:rsid w:val="00464030"/>
    <w:rsid w:val="00464278"/>
    <w:rsid w:val="00464526"/>
    <w:rsid w:val="004647F8"/>
    <w:rsid w:val="004647FB"/>
    <w:rsid w:val="00465456"/>
    <w:rsid w:val="00465677"/>
    <w:rsid w:val="00465AC3"/>
    <w:rsid w:val="00466616"/>
    <w:rsid w:val="00466A0C"/>
    <w:rsid w:val="00470A6A"/>
    <w:rsid w:val="00470D92"/>
    <w:rsid w:val="004712D1"/>
    <w:rsid w:val="00471DF7"/>
    <w:rsid w:val="00471F6B"/>
    <w:rsid w:val="0047295C"/>
    <w:rsid w:val="00472D8E"/>
    <w:rsid w:val="004734CF"/>
    <w:rsid w:val="00474889"/>
    <w:rsid w:val="00475C5A"/>
    <w:rsid w:val="00475C9C"/>
    <w:rsid w:val="0047676B"/>
    <w:rsid w:val="0047773C"/>
    <w:rsid w:val="00477C5F"/>
    <w:rsid w:val="00480050"/>
    <w:rsid w:val="004808DE"/>
    <w:rsid w:val="00481AC4"/>
    <w:rsid w:val="00481CAF"/>
    <w:rsid w:val="00481DC1"/>
    <w:rsid w:val="00482507"/>
    <w:rsid w:val="0048268A"/>
    <w:rsid w:val="00483020"/>
    <w:rsid w:val="00483356"/>
    <w:rsid w:val="004835CA"/>
    <w:rsid w:val="004836F8"/>
    <w:rsid w:val="004836FE"/>
    <w:rsid w:val="00484074"/>
    <w:rsid w:val="004843F9"/>
    <w:rsid w:val="00484F0F"/>
    <w:rsid w:val="00484F40"/>
    <w:rsid w:val="0048540C"/>
    <w:rsid w:val="0048592F"/>
    <w:rsid w:val="0048605E"/>
    <w:rsid w:val="004861B4"/>
    <w:rsid w:val="00486AB4"/>
    <w:rsid w:val="00486BD0"/>
    <w:rsid w:val="00486D00"/>
    <w:rsid w:val="00487263"/>
    <w:rsid w:val="0048734F"/>
    <w:rsid w:val="004875F1"/>
    <w:rsid w:val="0049029D"/>
    <w:rsid w:val="0049030C"/>
    <w:rsid w:val="004903C0"/>
    <w:rsid w:val="0049114B"/>
    <w:rsid w:val="004912A8"/>
    <w:rsid w:val="00491577"/>
    <w:rsid w:val="0049196E"/>
    <w:rsid w:val="00491ECA"/>
    <w:rsid w:val="0049241A"/>
    <w:rsid w:val="00492C1F"/>
    <w:rsid w:val="00492E4C"/>
    <w:rsid w:val="00493B2C"/>
    <w:rsid w:val="00493E04"/>
    <w:rsid w:val="004940E3"/>
    <w:rsid w:val="0049530F"/>
    <w:rsid w:val="00496664"/>
    <w:rsid w:val="00496786"/>
    <w:rsid w:val="0049695B"/>
    <w:rsid w:val="00496D8F"/>
    <w:rsid w:val="00497463"/>
    <w:rsid w:val="00497B15"/>
    <w:rsid w:val="004A054C"/>
    <w:rsid w:val="004A08D1"/>
    <w:rsid w:val="004A16C1"/>
    <w:rsid w:val="004A1CE2"/>
    <w:rsid w:val="004A2069"/>
    <w:rsid w:val="004A2800"/>
    <w:rsid w:val="004A34D2"/>
    <w:rsid w:val="004A41BA"/>
    <w:rsid w:val="004A4301"/>
    <w:rsid w:val="004A4E65"/>
    <w:rsid w:val="004A58EE"/>
    <w:rsid w:val="004A59B7"/>
    <w:rsid w:val="004A623B"/>
    <w:rsid w:val="004A6A04"/>
    <w:rsid w:val="004A6A52"/>
    <w:rsid w:val="004A6C78"/>
    <w:rsid w:val="004B01B9"/>
    <w:rsid w:val="004B0D62"/>
    <w:rsid w:val="004B0F0B"/>
    <w:rsid w:val="004B12C3"/>
    <w:rsid w:val="004B163F"/>
    <w:rsid w:val="004B2197"/>
    <w:rsid w:val="004B298A"/>
    <w:rsid w:val="004B578D"/>
    <w:rsid w:val="004B5BE7"/>
    <w:rsid w:val="004B5E2D"/>
    <w:rsid w:val="004B6793"/>
    <w:rsid w:val="004B6C07"/>
    <w:rsid w:val="004B74D3"/>
    <w:rsid w:val="004B76D3"/>
    <w:rsid w:val="004B788E"/>
    <w:rsid w:val="004B7E5D"/>
    <w:rsid w:val="004C0DD8"/>
    <w:rsid w:val="004C22F7"/>
    <w:rsid w:val="004C2B27"/>
    <w:rsid w:val="004C334F"/>
    <w:rsid w:val="004C3929"/>
    <w:rsid w:val="004C4DCB"/>
    <w:rsid w:val="004C5212"/>
    <w:rsid w:val="004C5B3B"/>
    <w:rsid w:val="004C5EF0"/>
    <w:rsid w:val="004C7226"/>
    <w:rsid w:val="004C74C9"/>
    <w:rsid w:val="004C7D70"/>
    <w:rsid w:val="004D02F9"/>
    <w:rsid w:val="004D03FE"/>
    <w:rsid w:val="004D0446"/>
    <w:rsid w:val="004D0A4F"/>
    <w:rsid w:val="004D0F95"/>
    <w:rsid w:val="004D106A"/>
    <w:rsid w:val="004D2E24"/>
    <w:rsid w:val="004D31EE"/>
    <w:rsid w:val="004D36AF"/>
    <w:rsid w:val="004D3BD1"/>
    <w:rsid w:val="004D41A2"/>
    <w:rsid w:val="004D4BA1"/>
    <w:rsid w:val="004D532C"/>
    <w:rsid w:val="004D5451"/>
    <w:rsid w:val="004D584D"/>
    <w:rsid w:val="004D6826"/>
    <w:rsid w:val="004D68E0"/>
    <w:rsid w:val="004D7ADB"/>
    <w:rsid w:val="004E023F"/>
    <w:rsid w:val="004E0742"/>
    <w:rsid w:val="004E0C64"/>
    <w:rsid w:val="004E0F36"/>
    <w:rsid w:val="004E0F6B"/>
    <w:rsid w:val="004E1545"/>
    <w:rsid w:val="004E199A"/>
    <w:rsid w:val="004E1F1C"/>
    <w:rsid w:val="004E2A35"/>
    <w:rsid w:val="004E38A2"/>
    <w:rsid w:val="004E40CE"/>
    <w:rsid w:val="004E4465"/>
    <w:rsid w:val="004E518D"/>
    <w:rsid w:val="004E5736"/>
    <w:rsid w:val="004E5B36"/>
    <w:rsid w:val="004E6045"/>
    <w:rsid w:val="004E6F43"/>
    <w:rsid w:val="004E7200"/>
    <w:rsid w:val="004E7815"/>
    <w:rsid w:val="004F034D"/>
    <w:rsid w:val="004F091D"/>
    <w:rsid w:val="004F0960"/>
    <w:rsid w:val="004F0A5C"/>
    <w:rsid w:val="004F163F"/>
    <w:rsid w:val="004F18A0"/>
    <w:rsid w:val="004F1A08"/>
    <w:rsid w:val="004F2B64"/>
    <w:rsid w:val="004F3613"/>
    <w:rsid w:val="004F3764"/>
    <w:rsid w:val="004F3EEF"/>
    <w:rsid w:val="004F4B65"/>
    <w:rsid w:val="004F548C"/>
    <w:rsid w:val="004F5930"/>
    <w:rsid w:val="004F5970"/>
    <w:rsid w:val="004F5F0C"/>
    <w:rsid w:val="004F6121"/>
    <w:rsid w:val="004F6161"/>
    <w:rsid w:val="004F66BC"/>
    <w:rsid w:val="004F67B2"/>
    <w:rsid w:val="004F6C26"/>
    <w:rsid w:val="004F7AC9"/>
    <w:rsid w:val="004F7E5A"/>
    <w:rsid w:val="0050062F"/>
    <w:rsid w:val="005012E2"/>
    <w:rsid w:val="00501481"/>
    <w:rsid w:val="0050160F"/>
    <w:rsid w:val="00501C4F"/>
    <w:rsid w:val="005024C8"/>
    <w:rsid w:val="0050284E"/>
    <w:rsid w:val="00503BB0"/>
    <w:rsid w:val="00505DCB"/>
    <w:rsid w:val="005075CA"/>
    <w:rsid w:val="0051074C"/>
    <w:rsid w:val="00510DE9"/>
    <w:rsid w:val="005111E2"/>
    <w:rsid w:val="00511231"/>
    <w:rsid w:val="00512779"/>
    <w:rsid w:val="00512C4F"/>
    <w:rsid w:val="00513042"/>
    <w:rsid w:val="0051334F"/>
    <w:rsid w:val="00513399"/>
    <w:rsid w:val="00513AA0"/>
    <w:rsid w:val="00513AF2"/>
    <w:rsid w:val="00514575"/>
    <w:rsid w:val="00514C03"/>
    <w:rsid w:val="00514D67"/>
    <w:rsid w:val="00515515"/>
    <w:rsid w:val="00515F54"/>
    <w:rsid w:val="00515F68"/>
    <w:rsid w:val="00516338"/>
    <w:rsid w:val="0051635C"/>
    <w:rsid w:val="00516C5B"/>
    <w:rsid w:val="00517612"/>
    <w:rsid w:val="00517CFB"/>
    <w:rsid w:val="00517F85"/>
    <w:rsid w:val="00520899"/>
    <w:rsid w:val="00520922"/>
    <w:rsid w:val="005209FC"/>
    <w:rsid w:val="00520E50"/>
    <w:rsid w:val="005224E5"/>
    <w:rsid w:val="005226BE"/>
    <w:rsid w:val="00523903"/>
    <w:rsid w:val="005239B6"/>
    <w:rsid w:val="00523C45"/>
    <w:rsid w:val="00524165"/>
    <w:rsid w:val="005242BA"/>
    <w:rsid w:val="005246E7"/>
    <w:rsid w:val="00524FD2"/>
    <w:rsid w:val="00525621"/>
    <w:rsid w:val="00526431"/>
    <w:rsid w:val="005265D8"/>
    <w:rsid w:val="0052701B"/>
    <w:rsid w:val="005279FC"/>
    <w:rsid w:val="00527C6B"/>
    <w:rsid w:val="00527E57"/>
    <w:rsid w:val="00530405"/>
    <w:rsid w:val="00530522"/>
    <w:rsid w:val="005305E5"/>
    <w:rsid w:val="00530F38"/>
    <w:rsid w:val="00531F26"/>
    <w:rsid w:val="0053277C"/>
    <w:rsid w:val="005327C0"/>
    <w:rsid w:val="00533101"/>
    <w:rsid w:val="00533CA9"/>
    <w:rsid w:val="00533DA7"/>
    <w:rsid w:val="005346AD"/>
    <w:rsid w:val="00534C97"/>
    <w:rsid w:val="00534EFB"/>
    <w:rsid w:val="00534F60"/>
    <w:rsid w:val="00535083"/>
    <w:rsid w:val="005357F1"/>
    <w:rsid w:val="00536053"/>
    <w:rsid w:val="005369E6"/>
    <w:rsid w:val="00536E62"/>
    <w:rsid w:val="005371AC"/>
    <w:rsid w:val="00537672"/>
    <w:rsid w:val="0053772F"/>
    <w:rsid w:val="00537B77"/>
    <w:rsid w:val="005409B6"/>
    <w:rsid w:val="00540C4C"/>
    <w:rsid w:val="00541571"/>
    <w:rsid w:val="0054245B"/>
    <w:rsid w:val="0054275A"/>
    <w:rsid w:val="005428B8"/>
    <w:rsid w:val="00542BD7"/>
    <w:rsid w:val="00542E67"/>
    <w:rsid w:val="00543084"/>
    <w:rsid w:val="00543CA5"/>
    <w:rsid w:val="0054413A"/>
    <w:rsid w:val="00544288"/>
    <w:rsid w:val="005446BB"/>
    <w:rsid w:val="00545E30"/>
    <w:rsid w:val="00545EA3"/>
    <w:rsid w:val="00546293"/>
    <w:rsid w:val="00546C9B"/>
    <w:rsid w:val="00547BF6"/>
    <w:rsid w:val="00547D73"/>
    <w:rsid w:val="005502F9"/>
    <w:rsid w:val="00551098"/>
    <w:rsid w:val="00551581"/>
    <w:rsid w:val="00551598"/>
    <w:rsid w:val="0055162B"/>
    <w:rsid w:val="00551BFF"/>
    <w:rsid w:val="00551D68"/>
    <w:rsid w:val="00552B3E"/>
    <w:rsid w:val="00552DE3"/>
    <w:rsid w:val="005551AA"/>
    <w:rsid w:val="005564CA"/>
    <w:rsid w:val="005568EA"/>
    <w:rsid w:val="00557140"/>
    <w:rsid w:val="00557368"/>
    <w:rsid w:val="005578E6"/>
    <w:rsid w:val="0056058C"/>
    <w:rsid w:val="00560C87"/>
    <w:rsid w:val="00560EF9"/>
    <w:rsid w:val="00560F51"/>
    <w:rsid w:val="00561249"/>
    <w:rsid w:val="00561472"/>
    <w:rsid w:val="0056182B"/>
    <w:rsid w:val="005619D3"/>
    <w:rsid w:val="00561AF3"/>
    <w:rsid w:val="00561E0B"/>
    <w:rsid w:val="00562141"/>
    <w:rsid w:val="00562D86"/>
    <w:rsid w:val="005642EC"/>
    <w:rsid w:val="00564704"/>
    <w:rsid w:val="00564712"/>
    <w:rsid w:val="005657A8"/>
    <w:rsid w:val="00565952"/>
    <w:rsid w:val="00566866"/>
    <w:rsid w:val="00566D8F"/>
    <w:rsid w:val="005670A5"/>
    <w:rsid w:val="00567106"/>
    <w:rsid w:val="00567723"/>
    <w:rsid w:val="00567AB8"/>
    <w:rsid w:val="005707F7"/>
    <w:rsid w:val="00570A26"/>
    <w:rsid w:val="0057221F"/>
    <w:rsid w:val="00572539"/>
    <w:rsid w:val="0057293F"/>
    <w:rsid w:val="00573137"/>
    <w:rsid w:val="0057337D"/>
    <w:rsid w:val="00573504"/>
    <w:rsid w:val="00573788"/>
    <w:rsid w:val="00574708"/>
    <w:rsid w:val="00574932"/>
    <w:rsid w:val="00574D81"/>
    <w:rsid w:val="005756AA"/>
    <w:rsid w:val="00576233"/>
    <w:rsid w:val="0057696F"/>
    <w:rsid w:val="005774FE"/>
    <w:rsid w:val="0058040C"/>
    <w:rsid w:val="00580D6D"/>
    <w:rsid w:val="00580FB3"/>
    <w:rsid w:val="005813DE"/>
    <w:rsid w:val="00581796"/>
    <w:rsid w:val="00581B45"/>
    <w:rsid w:val="005820E6"/>
    <w:rsid w:val="00582480"/>
    <w:rsid w:val="0058290E"/>
    <w:rsid w:val="00582CAB"/>
    <w:rsid w:val="005831B5"/>
    <w:rsid w:val="0058375E"/>
    <w:rsid w:val="005839D8"/>
    <w:rsid w:val="00584233"/>
    <w:rsid w:val="005842D0"/>
    <w:rsid w:val="0058439F"/>
    <w:rsid w:val="005855AE"/>
    <w:rsid w:val="00585829"/>
    <w:rsid w:val="00585BDB"/>
    <w:rsid w:val="00585CA8"/>
    <w:rsid w:val="00586412"/>
    <w:rsid w:val="005864B9"/>
    <w:rsid w:val="005866C4"/>
    <w:rsid w:val="00586BDB"/>
    <w:rsid w:val="00590A6C"/>
    <w:rsid w:val="00590F1A"/>
    <w:rsid w:val="00591C03"/>
    <w:rsid w:val="00591E2A"/>
    <w:rsid w:val="005923C4"/>
    <w:rsid w:val="00593F75"/>
    <w:rsid w:val="005940A0"/>
    <w:rsid w:val="0059429A"/>
    <w:rsid w:val="0059546C"/>
    <w:rsid w:val="00595FDD"/>
    <w:rsid w:val="00596AF7"/>
    <w:rsid w:val="00596CCE"/>
    <w:rsid w:val="00597E38"/>
    <w:rsid w:val="005A1100"/>
    <w:rsid w:val="005A1976"/>
    <w:rsid w:val="005A2120"/>
    <w:rsid w:val="005A2501"/>
    <w:rsid w:val="005A2C80"/>
    <w:rsid w:val="005A3066"/>
    <w:rsid w:val="005A3457"/>
    <w:rsid w:val="005A3B35"/>
    <w:rsid w:val="005A3C4B"/>
    <w:rsid w:val="005A3E5A"/>
    <w:rsid w:val="005A43F3"/>
    <w:rsid w:val="005A496F"/>
    <w:rsid w:val="005A4A56"/>
    <w:rsid w:val="005A5A3D"/>
    <w:rsid w:val="005A5B87"/>
    <w:rsid w:val="005A6035"/>
    <w:rsid w:val="005A6B75"/>
    <w:rsid w:val="005A6E00"/>
    <w:rsid w:val="005A718A"/>
    <w:rsid w:val="005B09BE"/>
    <w:rsid w:val="005B12B2"/>
    <w:rsid w:val="005B143B"/>
    <w:rsid w:val="005B174F"/>
    <w:rsid w:val="005B1E45"/>
    <w:rsid w:val="005B21C4"/>
    <w:rsid w:val="005B2A28"/>
    <w:rsid w:val="005B33B6"/>
    <w:rsid w:val="005B3621"/>
    <w:rsid w:val="005B4948"/>
    <w:rsid w:val="005B4B5B"/>
    <w:rsid w:val="005B4FE5"/>
    <w:rsid w:val="005B501D"/>
    <w:rsid w:val="005B54CC"/>
    <w:rsid w:val="005B74AD"/>
    <w:rsid w:val="005B7E96"/>
    <w:rsid w:val="005C01C1"/>
    <w:rsid w:val="005C0429"/>
    <w:rsid w:val="005C084F"/>
    <w:rsid w:val="005C0CE0"/>
    <w:rsid w:val="005C0EE9"/>
    <w:rsid w:val="005C1716"/>
    <w:rsid w:val="005C1954"/>
    <w:rsid w:val="005C1C0B"/>
    <w:rsid w:val="005C1D53"/>
    <w:rsid w:val="005C2011"/>
    <w:rsid w:val="005C2BCC"/>
    <w:rsid w:val="005C36CF"/>
    <w:rsid w:val="005C3EA3"/>
    <w:rsid w:val="005C5011"/>
    <w:rsid w:val="005C529E"/>
    <w:rsid w:val="005C57BA"/>
    <w:rsid w:val="005C5C52"/>
    <w:rsid w:val="005C5D3D"/>
    <w:rsid w:val="005C5E66"/>
    <w:rsid w:val="005C5F05"/>
    <w:rsid w:val="005C7F3E"/>
    <w:rsid w:val="005D0E1C"/>
    <w:rsid w:val="005D1051"/>
    <w:rsid w:val="005D119F"/>
    <w:rsid w:val="005D2044"/>
    <w:rsid w:val="005D24C7"/>
    <w:rsid w:val="005D27DC"/>
    <w:rsid w:val="005D2917"/>
    <w:rsid w:val="005D2EB2"/>
    <w:rsid w:val="005D2F48"/>
    <w:rsid w:val="005D3811"/>
    <w:rsid w:val="005D3BEE"/>
    <w:rsid w:val="005D464B"/>
    <w:rsid w:val="005D466F"/>
    <w:rsid w:val="005D49F0"/>
    <w:rsid w:val="005D51FA"/>
    <w:rsid w:val="005D53E8"/>
    <w:rsid w:val="005D5A26"/>
    <w:rsid w:val="005D5A9D"/>
    <w:rsid w:val="005D6651"/>
    <w:rsid w:val="005D691D"/>
    <w:rsid w:val="005D6A72"/>
    <w:rsid w:val="005D749F"/>
    <w:rsid w:val="005D791B"/>
    <w:rsid w:val="005D7CF2"/>
    <w:rsid w:val="005D7F92"/>
    <w:rsid w:val="005E0D7B"/>
    <w:rsid w:val="005E1595"/>
    <w:rsid w:val="005E1F1D"/>
    <w:rsid w:val="005E273D"/>
    <w:rsid w:val="005E2C4E"/>
    <w:rsid w:val="005E3278"/>
    <w:rsid w:val="005E363B"/>
    <w:rsid w:val="005E3B0D"/>
    <w:rsid w:val="005E3FB1"/>
    <w:rsid w:val="005E456A"/>
    <w:rsid w:val="005E4DEF"/>
    <w:rsid w:val="005E6EA5"/>
    <w:rsid w:val="005E7FB5"/>
    <w:rsid w:val="005F0081"/>
    <w:rsid w:val="005F041F"/>
    <w:rsid w:val="005F0AF6"/>
    <w:rsid w:val="005F0F06"/>
    <w:rsid w:val="005F1216"/>
    <w:rsid w:val="005F1819"/>
    <w:rsid w:val="005F1D7D"/>
    <w:rsid w:val="005F1D89"/>
    <w:rsid w:val="005F2558"/>
    <w:rsid w:val="005F271F"/>
    <w:rsid w:val="005F305B"/>
    <w:rsid w:val="005F3361"/>
    <w:rsid w:val="005F3B47"/>
    <w:rsid w:val="005F4481"/>
    <w:rsid w:val="005F49AF"/>
    <w:rsid w:val="005F4A58"/>
    <w:rsid w:val="005F54DF"/>
    <w:rsid w:val="005F5888"/>
    <w:rsid w:val="005F5984"/>
    <w:rsid w:val="005F6CE2"/>
    <w:rsid w:val="005F72E9"/>
    <w:rsid w:val="005F730E"/>
    <w:rsid w:val="005F780B"/>
    <w:rsid w:val="00600195"/>
    <w:rsid w:val="00600473"/>
    <w:rsid w:val="006013C9"/>
    <w:rsid w:val="006016EA"/>
    <w:rsid w:val="00602B45"/>
    <w:rsid w:val="00603499"/>
    <w:rsid w:val="006035F5"/>
    <w:rsid w:val="00603CC2"/>
    <w:rsid w:val="006047D1"/>
    <w:rsid w:val="00604A55"/>
    <w:rsid w:val="00604D3F"/>
    <w:rsid w:val="00605AC3"/>
    <w:rsid w:val="00606908"/>
    <w:rsid w:val="00606B23"/>
    <w:rsid w:val="00607996"/>
    <w:rsid w:val="00607A37"/>
    <w:rsid w:val="00607E9F"/>
    <w:rsid w:val="0061085E"/>
    <w:rsid w:val="00611398"/>
    <w:rsid w:val="00612322"/>
    <w:rsid w:val="006123C0"/>
    <w:rsid w:val="00612F4C"/>
    <w:rsid w:val="00613191"/>
    <w:rsid w:val="006133F9"/>
    <w:rsid w:val="006134B3"/>
    <w:rsid w:val="00613DE1"/>
    <w:rsid w:val="0061401F"/>
    <w:rsid w:val="00614166"/>
    <w:rsid w:val="00614817"/>
    <w:rsid w:val="006149CC"/>
    <w:rsid w:val="006157A9"/>
    <w:rsid w:val="0061591D"/>
    <w:rsid w:val="00615ED0"/>
    <w:rsid w:val="0061604C"/>
    <w:rsid w:val="0061610B"/>
    <w:rsid w:val="00616C2B"/>
    <w:rsid w:val="006174FA"/>
    <w:rsid w:val="00617572"/>
    <w:rsid w:val="006178D1"/>
    <w:rsid w:val="00620719"/>
    <w:rsid w:val="006212C9"/>
    <w:rsid w:val="00621459"/>
    <w:rsid w:val="00621D0C"/>
    <w:rsid w:val="00622470"/>
    <w:rsid w:val="00622725"/>
    <w:rsid w:val="00622AB4"/>
    <w:rsid w:val="006231AA"/>
    <w:rsid w:val="00623482"/>
    <w:rsid w:val="00623822"/>
    <w:rsid w:val="00623AC2"/>
    <w:rsid w:val="00623FF7"/>
    <w:rsid w:val="00624332"/>
    <w:rsid w:val="00625A26"/>
    <w:rsid w:val="00625F38"/>
    <w:rsid w:val="006266D7"/>
    <w:rsid w:val="00626D42"/>
    <w:rsid w:val="00626EE3"/>
    <w:rsid w:val="006274AD"/>
    <w:rsid w:val="00627532"/>
    <w:rsid w:val="006302AA"/>
    <w:rsid w:val="006310C3"/>
    <w:rsid w:val="0063161E"/>
    <w:rsid w:val="0063167C"/>
    <w:rsid w:val="00631A31"/>
    <w:rsid w:val="00631BB5"/>
    <w:rsid w:val="00631DD0"/>
    <w:rsid w:val="006322CE"/>
    <w:rsid w:val="0063295C"/>
    <w:rsid w:val="00633367"/>
    <w:rsid w:val="0063367B"/>
    <w:rsid w:val="00633B5E"/>
    <w:rsid w:val="00633DBF"/>
    <w:rsid w:val="00634122"/>
    <w:rsid w:val="006355B6"/>
    <w:rsid w:val="00635E32"/>
    <w:rsid w:val="006365DE"/>
    <w:rsid w:val="00636BE4"/>
    <w:rsid w:val="0063746C"/>
    <w:rsid w:val="00637802"/>
    <w:rsid w:val="00637836"/>
    <w:rsid w:val="00637C26"/>
    <w:rsid w:val="00637F44"/>
    <w:rsid w:val="00640659"/>
    <w:rsid w:val="00641078"/>
    <w:rsid w:val="00641242"/>
    <w:rsid w:val="00641762"/>
    <w:rsid w:val="006423A3"/>
    <w:rsid w:val="00642A32"/>
    <w:rsid w:val="006433D5"/>
    <w:rsid w:val="0064369C"/>
    <w:rsid w:val="00645D41"/>
    <w:rsid w:val="00646B20"/>
    <w:rsid w:val="00646D0F"/>
    <w:rsid w:val="0064708F"/>
    <w:rsid w:val="00647936"/>
    <w:rsid w:val="00647A36"/>
    <w:rsid w:val="00647DCC"/>
    <w:rsid w:val="00647EFA"/>
    <w:rsid w:val="00647F14"/>
    <w:rsid w:val="00650027"/>
    <w:rsid w:val="0065120E"/>
    <w:rsid w:val="00651B9C"/>
    <w:rsid w:val="00651C47"/>
    <w:rsid w:val="00651D98"/>
    <w:rsid w:val="00652854"/>
    <w:rsid w:val="00652D2C"/>
    <w:rsid w:val="00652E70"/>
    <w:rsid w:val="0065303A"/>
    <w:rsid w:val="0065339A"/>
    <w:rsid w:val="00653469"/>
    <w:rsid w:val="00653F4A"/>
    <w:rsid w:val="00654A38"/>
    <w:rsid w:val="00654B4B"/>
    <w:rsid w:val="00655301"/>
    <w:rsid w:val="00655371"/>
    <w:rsid w:val="00655876"/>
    <w:rsid w:val="00655FB1"/>
    <w:rsid w:val="00656A0F"/>
    <w:rsid w:val="00656C4B"/>
    <w:rsid w:val="006573EA"/>
    <w:rsid w:val="00661029"/>
    <w:rsid w:val="00661042"/>
    <w:rsid w:val="0066135A"/>
    <w:rsid w:val="00661639"/>
    <w:rsid w:val="0066272D"/>
    <w:rsid w:val="00662E58"/>
    <w:rsid w:val="00662F39"/>
    <w:rsid w:val="006635A0"/>
    <w:rsid w:val="00664351"/>
    <w:rsid w:val="0066553F"/>
    <w:rsid w:val="00665968"/>
    <w:rsid w:val="00665BF7"/>
    <w:rsid w:val="00666178"/>
    <w:rsid w:val="0066639E"/>
    <w:rsid w:val="00666473"/>
    <w:rsid w:val="00666C72"/>
    <w:rsid w:val="00666E5A"/>
    <w:rsid w:val="00666E6C"/>
    <w:rsid w:val="0066707F"/>
    <w:rsid w:val="0066731F"/>
    <w:rsid w:val="00667ED8"/>
    <w:rsid w:val="0067064C"/>
    <w:rsid w:val="00670B20"/>
    <w:rsid w:val="00670E12"/>
    <w:rsid w:val="00671E7D"/>
    <w:rsid w:val="00671F94"/>
    <w:rsid w:val="00672E80"/>
    <w:rsid w:val="006735A4"/>
    <w:rsid w:val="006739E4"/>
    <w:rsid w:val="00673ECF"/>
    <w:rsid w:val="0067419A"/>
    <w:rsid w:val="0067426B"/>
    <w:rsid w:val="00674A1B"/>
    <w:rsid w:val="006754F8"/>
    <w:rsid w:val="00676127"/>
    <w:rsid w:val="00676AED"/>
    <w:rsid w:val="00677981"/>
    <w:rsid w:val="00677F26"/>
    <w:rsid w:val="006802A7"/>
    <w:rsid w:val="006811C9"/>
    <w:rsid w:val="006812CE"/>
    <w:rsid w:val="006823DC"/>
    <w:rsid w:val="00682791"/>
    <w:rsid w:val="00682C89"/>
    <w:rsid w:val="006832B8"/>
    <w:rsid w:val="006837B2"/>
    <w:rsid w:val="00683800"/>
    <w:rsid w:val="00684283"/>
    <w:rsid w:val="00684411"/>
    <w:rsid w:val="00684434"/>
    <w:rsid w:val="00684BF1"/>
    <w:rsid w:val="00684C8A"/>
    <w:rsid w:val="00684CF5"/>
    <w:rsid w:val="006853EA"/>
    <w:rsid w:val="0068553E"/>
    <w:rsid w:val="00685E7B"/>
    <w:rsid w:val="0068628A"/>
    <w:rsid w:val="00686551"/>
    <w:rsid w:val="0068730C"/>
    <w:rsid w:val="00687504"/>
    <w:rsid w:val="00687A14"/>
    <w:rsid w:val="00687A8C"/>
    <w:rsid w:val="006906FA"/>
    <w:rsid w:val="00690839"/>
    <w:rsid w:val="006908DB"/>
    <w:rsid w:val="00690DE9"/>
    <w:rsid w:val="00690FF7"/>
    <w:rsid w:val="00691DE9"/>
    <w:rsid w:val="00691EAA"/>
    <w:rsid w:val="00692245"/>
    <w:rsid w:val="00692FFA"/>
    <w:rsid w:val="00693772"/>
    <w:rsid w:val="00694160"/>
    <w:rsid w:val="006959A5"/>
    <w:rsid w:val="00695C0C"/>
    <w:rsid w:val="00695C9B"/>
    <w:rsid w:val="00695EBF"/>
    <w:rsid w:val="00696A05"/>
    <w:rsid w:val="00697665"/>
    <w:rsid w:val="00697C9A"/>
    <w:rsid w:val="00697E68"/>
    <w:rsid w:val="006A0274"/>
    <w:rsid w:val="006A2A43"/>
    <w:rsid w:val="006A2BF1"/>
    <w:rsid w:val="006A2EEA"/>
    <w:rsid w:val="006A2F9A"/>
    <w:rsid w:val="006A34E4"/>
    <w:rsid w:val="006A3A5A"/>
    <w:rsid w:val="006A44CF"/>
    <w:rsid w:val="006A457D"/>
    <w:rsid w:val="006A4BD0"/>
    <w:rsid w:val="006A544E"/>
    <w:rsid w:val="006A55EE"/>
    <w:rsid w:val="006A575B"/>
    <w:rsid w:val="006A59DE"/>
    <w:rsid w:val="006A6655"/>
    <w:rsid w:val="006A6B0B"/>
    <w:rsid w:val="006A6BF9"/>
    <w:rsid w:val="006A7CB5"/>
    <w:rsid w:val="006A7FD0"/>
    <w:rsid w:val="006B025C"/>
    <w:rsid w:val="006B0ECC"/>
    <w:rsid w:val="006B2534"/>
    <w:rsid w:val="006B2CB2"/>
    <w:rsid w:val="006B347D"/>
    <w:rsid w:val="006B3B7C"/>
    <w:rsid w:val="006B3C50"/>
    <w:rsid w:val="006B3E19"/>
    <w:rsid w:val="006B4488"/>
    <w:rsid w:val="006B4CB2"/>
    <w:rsid w:val="006B671C"/>
    <w:rsid w:val="006B67AC"/>
    <w:rsid w:val="006B6A25"/>
    <w:rsid w:val="006B70FB"/>
    <w:rsid w:val="006B786A"/>
    <w:rsid w:val="006B78B9"/>
    <w:rsid w:val="006B7BA0"/>
    <w:rsid w:val="006B7E4E"/>
    <w:rsid w:val="006C003A"/>
    <w:rsid w:val="006C2454"/>
    <w:rsid w:val="006C2551"/>
    <w:rsid w:val="006C37CA"/>
    <w:rsid w:val="006C40B7"/>
    <w:rsid w:val="006C40D2"/>
    <w:rsid w:val="006C5B15"/>
    <w:rsid w:val="006C5D32"/>
    <w:rsid w:val="006C5DCB"/>
    <w:rsid w:val="006C632B"/>
    <w:rsid w:val="006C70C4"/>
    <w:rsid w:val="006C7270"/>
    <w:rsid w:val="006C775C"/>
    <w:rsid w:val="006C789C"/>
    <w:rsid w:val="006D04DA"/>
    <w:rsid w:val="006D0686"/>
    <w:rsid w:val="006D10F6"/>
    <w:rsid w:val="006D1544"/>
    <w:rsid w:val="006D1688"/>
    <w:rsid w:val="006D1FF3"/>
    <w:rsid w:val="006D2C65"/>
    <w:rsid w:val="006D32C6"/>
    <w:rsid w:val="006D360E"/>
    <w:rsid w:val="006D3697"/>
    <w:rsid w:val="006D39D2"/>
    <w:rsid w:val="006D3BB6"/>
    <w:rsid w:val="006D3F2A"/>
    <w:rsid w:val="006D4370"/>
    <w:rsid w:val="006D46A3"/>
    <w:rsid w:val="006D658F"/>
    <w:rsid w:val="006D69FA"/>
    <w:rsid w:val="006D6A12"/>
    <w:rsid w:val="006D712D"/>
    <w:rsid w:val="006D7687"/>
    <w:rsid w:val="006D7D1F"/>
    <w:rsid w:val="006D7D8A"/>
    <w:rsid w:val="006E0572"/>
    <w:rsid w:val="006E05D8"/>
    <w:rsid w:val="006E08EE"/>
    <w:rsid w:val="006E155A"/>
    <w:rsid w:val="006E22EE"/>
    <w:rsid w:val="006E3452"/>
    <w:rsid w:val="006E39D1"/>
    <w:rsid w:val="006E437F"/>
    <w:rsid w:val="006E4D5B"/>
    <w:rsid w:val="006E602F"/>
    <w:rsid w:val="006E6720"/>
    <w:rsid w:val="006E68FA"/>
    <w:rsid w:val="006E7275"/>
    <w:rsid w:val="006E77B8"/>
    <w:rsid w:val="006F15CC"/>
    <w:rsid w:val="006F25C8"/>
    <w:rsid w:val="006F3BDD"/>
    <w:rsid w:val="006F3E7B"/>
    <w:rsid w:val="006F4147"/>
    <w:rsid w:val="006F4315"/>
    <w:rsid w:val="006F436D"/>
    <w:rsid w:val="006F4478"/>
    <w:rsid w:val="006F458D"/>
    <w:rsid w:val="006F4A6D"/>
    <w:rsid w:val="006F4CB0"/>
    <w:rsid w:val="006F4F78"/>
    <w:rsid w:val="006F547E"/>
    <w:rsid w:val="006F5656"/>
    <w:rsid w:val="006F5CA8"/>
    <w:rsid w:val="006F5CCF"/>
    <w:rsid w:val="006F688D"/>
    <w:rsid w:val="006F772B"/>
    <w:rsid w:val="006F78DC"/>
    <w:rsid w:val="00700D5F"/>
    <w:rsid w:val="007012DC"/>
    <w:rsid w:val="0070138A"/>
    <w:rsid w:val="0070157E"/>
    <w:rsid w:val="007030D4"/>
    <w:rsid w:val="0070317C"/>
    <w:rsid w:val="00703279"/>
    <w:rsid w:val="00703B61"/>
    <w:rsid w:val="00703E11"/>
    <w:rsid w:val="00703FB4"/>
    <w:rsid w:val="00704102"/>
    <w:rsid w:val="0070439B"/>
    <w:rsid w:val="0070461C"/>
    <w:rsid w:val="00705631"/>
    <w:rsid w:val="00705818"/>
    <w:rsid w:val="00705F62"/>
    <w:rsid w:val="0070773F"/>
    <w:rsid w:val="00707ED3"/>
    <w:rsid w:val="007101B7"/>
    <w:rsid w:val="00710549"/>
    <w:rsid w:val="00710668"/>
    <w:rsid w:val="00710AB5"/>
    <w:rsid w:val="007110F4"/>
    <w:rsid w:val="007112B1"/>
    <w:rsid w:val="0071130F"/>
    <w:rsid w:val="00712714"/>
    <w:rsid w:val="007128E3"/>
    <w:rsid w:val="007129AB"/>
    <w:rsid w:val="00712B63"/>
    <w:rsid w:val="00713526"/>
    <w:rsid w:val="00713FC5"/>
    <w:rsid w:val="00715944"/>
    <w:rsid w:val="00715BBF"/>
    <w:rsid w:val="00715C29"/>
    <w:rsid w:val="00715CBD"/>
    <w:rsid w:val="00715E86"/>
    <w:rsid w:val="00715EAA"/>
    <w:rsid w:val="00716CAD"/>
    <w:rsid w:val="00716F18"/>
    <w:rsid w:val="00717363"/>
    <w:rsid w:val="00717786"/>
    <w:rsid w:val="00717ACB"/>
    <w:rsid w:val="00721BFF"/>
    <w:rsid w:val="007223E8"/>
    <w:rsid w:val="00722FD8"/>
    <w:rsid w:val="007236C4"/>
    <w:rsid w:val="00723B59"/>
    <w:rsid w:val="00724635"/>
    <w:rsid w:val="0072554B"/>
    <w:rsid w:val="00725AFD"/>
    <w:rsid w:val="00726603"/>
    <w:rsid w:val="00727DDC"/>
    <w:rsid w:val="00730CD6"/>
    <w:rsid w:val="00730F74"/>
    <w:rsid w:val="0073114B"/>
    <w:rsid w:val="007318A7"/>
    <w:rsid w:val="00732109"/>
    <w:rsid w:val="00734414"/>
    <w:rsid w:val="00734952"/>
    <w:rsid w:val="00734990"/>
    <w:rsid w:val="00734FF5"/>
    <w:rsid w:val="00735B78"/>
    <w:rsid w:val="00735DA7"/>
    <w:rsid w:val="007368B4"/>
    <w:rsid w:val="007378E0"/>
    <w:rsid w:val="00737C5C"/>
    <w:rsid w:val="00740529"/>
    <w:rsid w:val="00740A6C"/>
    <w:rsid w:val="00741358"/>
    <w:rsid w:val="00741626"/>
    <w:rsid w:val="00742332"/>
    <w:rsid w:val="00742886"/>
    <w:rsid w:val="00742DD2"/>
    <w:rsid w:val="007437C6"/>
    <w:rsid w:val="007439EE"/>
    <w:rsid w:val="007441A2"/>
    <w:rsid w:val="00744E80"/>
    <w:rsid w:val="00745035"/>
    <w:rsid w:val="0074531C"/>
    <w:rsid w:val="00745452"/>
    <w:rsid w:val="00745547"/>
    <w:rsid w:val="007459D0"/>
    <w:rsid w:val="00745BA1"/>
    <w:rsid w:val="0074623A"/>
    <w:rsid w:val="00746420"/>
    <w:rsid w:val="00746E04"/>
    <w:rsid w:val="00746E08"/>
    <w:rsid w:val="00746E3D"/>
    <w:rsid w:val="007473B9"/>
    <w:rsid w:val="007473EF"/>
    <w:rsid w:val="007474ED"/>
    <w:rsid w:val="00747529"/>
    <w:rsid w:val="007476EE"/>
    <w:rsid w:val="00747C96"/>
    <w:rsid w:val="00750075"/>
    <w:rsid w:val="007502EC"/>
    <w:rsid w:val="00750382"/>
    <w:rsid w:val="0075094E"/>
    <w:rsid w:val="00750FA8"/>
    <w:rsid w:val="00750FB5"/>
    <w:rsid w:val="00751B4C"/>
    <w:rsid w:val="007522E8"/>
    <w:rsid w:val="007524D4"/>
    <w:rsid w:val="0075264C"/>
    <w:rsid w:val="007533E7"/>
    <w:rsid w:val="00753BAC"/>
    <w:rsid w:val="007541FD"/>
    <w:rsid w:val="00754A0B"/>
    <w:rsid w:val="007552DB"/>
    <w:rsid w:val="00755B08"/>
    <w:rsid w:val="00755C31"/>
    <w:rsid w:val="00755DD0"/>
    <w:rsid w:val="0075647A"/>
    <w:rsid w:val="007566BE"/>
    <w:rsid w:val="00756A2F"/>
    <w:rsid w:val="007573E1"/>
    <w:rsid w:val="0075749E"/>
    <w:rsid w:val="007577DA"/>
    <w:rsid w:val="00757B2D"/>
    <w:rsid w:val="00757BAD"/>
    <w:rsid w:val="00757D62"/>
    <w:rsid w:val="00760672"/>
    <w:rsid w:val="00760844"/>
    <w:rsid w:val="00760867"/>
    <w:rsid w:val="00760EB6"/>
    <w:rsid w:val="007616DB"/>
    <w:rsid w:val="0076228A"/>
    <w:rsid w:val="00762440"/>
    <w:rsid w:val="007629B7"/>
    <w:rsid w:val="00762E60"/>
    <w:rsid w:val="007634AD"/>
    <w:rsid w:val="00766ECC"/>
    <w:rsid w:val="007672F3"/>
    <w:rsid w:val="007677B5"/>
    <w:rsid w:val="007678B1"/>
    <w:rsid w:val="00770317"/>
    <w:rsid w:val="007708A8"/>
    <w:rsid w:val="00772275"/>
    <w:rsid w:val="007734E4"/>
    <w:rsid w:val="0077380D"/>
    <w:rsid w:val="00773BC8"/>
    <w:rsid w:val="0077466F"/>
    <w:rsid w:val="007752B7"/>
    <w:rsid w:val="007759A8"/>
    <w:rsid w:val="00775D98"/>
    <w:rsid w:val="00776FE5"/>
    <w:rsid w:val="00777101"/>
    <w:rsid w:val="007774E7"/>
    <w:rsid w:val="0077768C"/>
    <w:rsid w:val="00777696"/>
    <w:rsid w:val="00777FF4"/>
    <w:rsid w:val="00780251"/>
    <w:rsid w:val="007804FE"/>
    <w:rsid w:val="00780F32"/>
    <w:rsid w:val="0078122E"/>
    <w:rsid w:val="00781939"/>
    <w:rsid w:val="00781D29"/>
    <w:rsid w:val="007825EF"/>
    <w:rsid w:val="007827B0"/>
    <w:rsid w:val="0078286B"/>
    <w:rsid w:val="00782D2C"/>
    <w:rsid w:val="00782FC2"/>
    <w:rsid w:val="00784FC4"/>
    <w:rsid w:val="00785783"/>
    <w:rsid w:val="00785BBB"/>
    <w:rsid w:val="00786500"/>
    <w:rsid w:val="00786FAD"/>
    <w:rsid w:val="007873C9"/>
    <w:rsid w:val="00787A7F"/>
    <w:rsid w:val="00787D90"/>
    <w:rsid w:val="00787F5E"/>
    <w:rsid w:val="00790164"/>
    <w:rsid w:val="007906E2"/>
    <w:rsid w:val="00790A24"/>
    <w:rsid w:val="00790A37"/>
    <w:rsid w:val="00790A60"/>
    <w:rsid w:val="0079146D"/>
    <w:rsid w:val="00791C32"/>
    <w:rsid w:val="00791E08"/>
    <w:rsid w:val="00791FF0"/>
    <w:rsid w:val="007923D0"/>
    <w:rsid w:val="0079302C"/>
    <w:rsid w:val="007930D3"/>
    <w:rsid w:val="0079381F"/>
    <w:rsid w:val="00793B2E"/>
    <w:rsid w:val="007948F5"/>
    <w:rsid w:val="00795647"/>
    <w:rsid w:val="00795B0E"/>
    <w:rsid w:val="007963F6"/>
    <w:rsid w:val="00796418"/>
    <w:rsid w:val="00796576"/>
    <w:rsid w:val="00796E80"/>
    <w:rsid w:val="007979AD"/>
    <w:rsid w:val="00797A9C"/>
    <w:rsid w:val="007A0EAB"/>
    <w:rsid w:val="007A1948"/>
    <w:rsid w:val="007A1C21"/>
    <w:rsid w:val="007A2341"/>
    <w:rsid w:val="007A31A9"/>
    <w:rsid w:val="007A38A1"/>
    <w:rsid w:val="007A3967"/>
    <w:rsid w:val="007A3BBE"/>
    <w:rsid w:val="007A4766"/>
    <w:rsid w:val="007A5816"/>
    <w:rsid w:val="007A5947"/>
    <w:rsid w:val="007B0313"/>
    <w:rsid w:val="007B05FB"/>
    <w:rsid w:val="007B0854"/>
    <w:rsid w:val="007B0E48"/>
    <w:rsid w:val="007B18FD"/>
    <w:rsid w:val="007B1D1B"/>
    <w:rsid w:val="007B29F1"/>
    <w:rsid w:val="007B303E"/>
    <w:rsid w:val="007B32C0"/>
    <w:rsid w:val="007B32F7"/>
    <w:rsid w:val="007B3659"/>
    <w:rsid w:val="007B4263"/>
    <w:rsid w:val="007B4558"/>
    <w:rsid w:val="007B4632"/>
    <w:rsid w:val="007B46A2"/>
    <w:rsid w:val="007B4828"/>
    <w:rsid w:val="007B4B2D"/>
    <w:rsid w:val="007B4D4A"/>
    <w:rsid w:val="007B5428"/>
    <w:rsid w:val="007B54FE"/>
    <w:rsid w:val="007B57A5"/>
    <w:rsid w:val="007B699E"/>
    <w:rsid w:val="007B6C64"/>
    <w:rsid w:val="007B6EC8"/>
    <w:rsid w:val="007B6F81"/>
    <w:rsid w:val="007B787F"/>
    <w:rsid w:val="007B7992"/>
    <w:rsid w:val="007B7EA2"/>
    <w:rsid w:val="007C025A"/>
    <w:rsid w:val="007C081B"/>
    <w:rsid w:val="007C097D"/>
    <w:rsid w:val="007C13FA"/>
    <w:rsid w:val="007C1672"/>
    <w:rsid w:val="007C1F3C"/>
    <w:rsid w:val="007C312A"/>
    <w:rsid w:val="007C3570"/>
    <w:rsid w:val="007C3F2C"/>
    <w:rsid w:val="007C3F3B"/>
    <w:rsid w:val="007C4241"/>
    <w:rsid w:val="007C55FF"/>
    <w:rsid w:val="007C581D"/>
    <w:rsid w:val="007C5B11"/>
    <w:rsid w:val="007C6339"/>
    <w:rsid w:val="007C7C43"/>
    <w:rsid w:val="007C7F0D"/>
    <w:rsid w:val="007D1134"/>
    <w:rsid w:val="007D20CF"/>
    <w:rsid w:val="007D23F7"/>
    <w:rsid w:val="007D2566"/>
    <w:rsid w:val="007D2C18"/>
    <w:rsid w:val="007D2D74"/>
    <w:rsid w:val="007D3395"/>
    <w:rsid w:val="007D3693"/>
    <w:rsid w:val="007D379C"/>
    <w:rsid w:val="007D3C6D"/>
    <w:rsid w:val="007D409B"/>
    <w:rsid w:val="007D481A"/>
    <w:rsid w:val="007D55AC"/>
    <w:rsid w:val="007D5648"/>
    <w:rsid w:val="007D58C5"/>
    <w:rsid w:val="007D5DE8"/>
    <w:rsid w:val="007D62DE"/>
    <w:rsid w:val="007D7503"/>
    <w:rsid w:val="007D7CFC"/>
    <w:rsid w:val="007D7FFC"/>
    <w:rsid w:val="007E0812"/>
    <w:rsid w:val="007E16A4"/>
    <w:rsid w:val="007E18DF"/>
    <w:rsid w:val="007E1C35"/>
    <w:rsid w:val="007E20FC"/>
    <w:rsid w:val="007E2A04"/>
    <w:rsid w:val="007E2C36"/>
    <w:rsid w:val="007E350D"/>
    <w:rsid w:val="007E3D3F"/>
    <w:rsid w:val="007E5659"/>
    <w:rsid w:val="007E5C4A"/>
    <w:rsid w:val="007E635C"/>
    <w:rsid w:val="007E64D4"/>
    <w:rsid w:val="007E66E9"/>
    <w:rsid w:val="007E66FF"/>
    <w:rsid w:val="007E69F2"/>
    <w:rsid w:val="007E7432"/>
    <w:rsid w:val="007E74BF"/>
    <w:rsid w:val="007F14D3"/>
    <w:rsid w:val="007F1C42"/>
    <w:rsid w:val="007F1D9D"/>
    <w:rsid w:val="007F1E28"/>
    <w:rsid w:val="007F1F63"/>
    <w:rsid w:val="007F21D8"/>
    <w:rsid w:val="007F22A0"/>
    <w:rsid w:val="007F280B"/>
    <w:rsid w:val="007F2F90"/>
    <w:rsid w:val="007F3320"/>
    <w:rsid w:val="007F392A"/>
    <w:rsid w:val="007F3A85"/>
    <w:rsid w:val="007F3AC1"/>
    <w:rsid w:val="007F48FA"/>
    <w:rsid w:val="007F4976"/>
    <w:rsid w:val="007F5830"/>
    <w:rsid w:val="007F5A56"/>
    <w:rsid w:val="007F616E"/>
    <w:rsid w:val="007F665F"/>
    <w:rsid w:val="007F6B46"/>
    <w:rsid w:val="007F72CB"/>
    <w:rsid w:val="007F736A"/>
    <w:rsid w:val="007F7635"/>
    <w:rsid w:val="007F785F"/>
    <w:rsid w:val="007F7AF6"/>
    <w:rsid w:val="007F7E36"/>
    <w:rsid w:val="008004FC"/>
    <w:rsid w:val="00800681"/>
    <w:rsid w:val="00800E6D"/>
    <w:rsid w:val="008014D9"/>
    <w:rsid w:val="0080150F"/>
    <w:rsid w:val="0080153A"/>
    <w:rsid w:val="00801A2A"/>
    <w:rsid w:val="00802041"/>
    <w:rsid w:val="008022C9"/>
    <w:rsid w:val="00802C0C"/>
    <w:rsid w:val="00802F9E"/>
    <w:rsid w:val="00803700"/>
    <w:rsid w:val="00803AB5"/>
    <w:rsid w:val="00803D9D"/>
    <w:rsid w:val="008059C6"/>
    <w:rsid w:val="00805AD7"/>
    <w:rsid w:val="00805BD6"/>
    <w:rsid w:val="00805DE3"/>
    <w:rsid w:val="00807666"/>
    <w:rsid w:val="00807C35"/>
    <w:rsid w:val="00807F69"/>
    <w:rsid w:val="008100EC"/>
    <w:rsid w:val="008100F7"/>
    <w:rsid w:val="00810206"/>
    <w:rsid w:val="00810711"/>
    <w:rsid w:val="00811898"/>
    <w:rsid w:val="00811C0F"/>
    <w:rsid w:val="008124D8"/>
    <w:rsid w:val="00813A7B"/>
    <w:rsid w:val="00813F04"/>
    <w:rsid w:val="00814B72"/>
    <w:rsid w:val="00815DA5"/>
    <w:rsid w:val="00816221"/>
    <w:rsid w:val="0081766B"/>
    <w:rsid w:val="00820705"/>
    <w:rsid w:val="00820CBF"/>
    <w:rsid w:val="00820FA8"/>
    <w:rsid w:val="008212FD"/>
    <w:rsid w:val="00821489"/>
    <w:rsid w:val="008217B7"/>
    <w:rsid w:val="00821F5E"/>
    <w:rsid w:val="0082239B"/>
    <w:rsid w:val="0082282A"/>
    <w:rsid w:val="0082292E"/>
    <w:rsid w:val="00822D06"/>
    <w:rsid w:val="00822D87"/>
    <w:rsid w:val="0082348D"/>
    <w:rsid w:val="008234E0"/>
    <w:rsid w:val="008236BE"/>
    <w:rsid w:val="008241CE"/>
    <w:rsid w:val="00825240"/>
    <w:rsid w:val="00825B43"/>
    <w:rsid w:val="00826E06"/>
    <w:rsid w:val="00827203"/>
    <w:rsid w:val="0082767A"/>
    <w:rsid w:val="00827CC0"/>
    <w:rsid w:val="00831026"/>
    <w:rsid w:val="008310CC"/>
    <w:rsid w:val="0083119B"/>
    <w:rsid w:val="00831BAE"/>
    <w:rsid w:val="00832216"/>
    <w:rsid w:val="00832CD0"/>
    <w:rsid w:val="00833430"/>
    <w:rsid w:val="00834128"/>
    <w:rsid w:val="0083417F"/>
    <w:rsid w:val="00835143"/>
    <w:rsid w:val="00835741"/>
    <w:rsid w:val="00836BCD"/>
    <w:rsid w:val="00836E74"/>
    <w:rsid w:val="00836EAB"/>
    <w:rsid w:val="00837673"/>
    <w:rsid w:val="00837937"/>
    <w:rsid w:val="00837D82"/>
    <w:rsid w:val="00840893"/>
    <w:rsid w:val="00840E88"/>
    <w:rsid w:val="0084195A"/>
    <w:rsid w:val="008423EC"/>
    <w:rsid w:val="0084332E"/>
    <w:rsid w:val="00843615"/>
    <w:rsid w:val="00843698"/>
    <w:rsid w:val="00843A4B"/>
    <w:rsid w:val="00843B57"/>
    <w:rsid w:val="00843B60"/>
    <w:rsid w:val="00843D33"/>
    <w:rsid w:val="00844D4F"/>
    <w:rsid w:val="0084532A"/>
    <w:rsid w:val="00845AE3"/>
    <w:rsid w:val="00845DD0"/>
    <w:rsid w:val="008466A0"/>
    <w:rsid w:val="00846D1D"/>
    <w:rsid w:val="00846DBE"/>
    <w:rsid w:val="00847535"/>
    <w:rsid w:val="00847B6D"/>
    <w:rsid w:val="00847FFA"/>
    <w:rsid w:val="0085059A"/>
    <w:rsid w:val="0085092D"/>
    <w:rsid w:val="00850D82"/>
    <w:rsid w:val="00850F79"/>
    <w:rsid w:val="0085100B"/>
    <w:rsid w:val="0085304C"/>
    <w:rsid w:val="008548CA"/>
    <w:rsid w:val="0085587C"/>
    <w:rsid w:val="008562E4"/>
    <w:rsid w:val="00856C06"/>
    <w:rsid w:val="0085790B"/>
    <w:rsid w:val="00857C95"/>
    <w:rsid w:val="00857E78"/>
    <w:rsid w:val="00860AEF"/>
    <w:rsid w:val="0086122C"/>
    <w:rsid w:val="00861310"/>
    <w:rsid w:val="0086184B"/>
    <w:rsid w:val="00861B7B"/>
    <w:rsid w:val="00861F0F"/>
    <w:rsid w:val="00861F53"/>
    <w:rsid w:val="0086289E"/>
    <w:rsid w:val="00863413"/>
    <w:rsid w:val="0086394E"/>
    <w:rsid w:val="008639B6"/>
    <w:rsid w:val="00863F8A"/>
    <w:rsid w:val="00863FE3"/>
    <w:rsid w:val="00864241"/>
    <w:rsid w:val="0086468A"/>
    <w:rsid w:val="00864CD5"/>
    <w:rsid w:val="008650BE"/>
    <w:rsid w:val="008656BF"/>
    <w:rsid w:val="0086633B"/>
    <w:rsid w:val="00866495"/>
    <w:rsid w:val="00866511"/>
    <w:rsid w:val="00866931"/>
    <w:rsid w:val="00866FEF"/>
    <w:rsid w:val="00867512"/>
    <w:rsid w:val="0087033C"/>
    <w:rsid w:val="00870B44"/>
    <w:rsid w:val="008715ED"/>
    <w:rsid w:val="008717D8"/>
    <w:rsid w:val="00871BA8"/>
    <w:rsid w:val="00871E3C"/>
    <w:rsid w:val="0087213A"/>
    <w:rsid w:val="00872990"/>
    <w:rsid w:val="00872F97"/>
    <w:rsid w:val="00873323"/>
    <w:rsid w:val="00873863"/>
    <w:rsid w:val="00874607"/>
    <w:rsid w:val="00874915"/>
    <w:rsid w:val="00874B89"/>
    <w:rsid w:val="00875403"/>
    <w:rsid w:val="00875434"/>
    <w:rsid w:val="008760BD"/>
    <w:rsid w:val="00876158"/>
    <w:rsid w:val="00876215"/>
    <w:rsid w:val="0087646C"/>
    <w:rsid w:val="008765B1"/>
    <w:rsid w:val="00876815"/>
    <w:rsid w:val="00877932"/>
    <w:rsid w:val="008808C7"/>
    <w:rsid w:val="00880DB3"/>
    <w:rsid w:val="0088106B"/>
    <w:rsid w:val="0088107D"/>
    <w:rsid w:val="008812E2"/>
    <w:rsid w:val="0088168A"/>
    <w:rsid w:val="00881E64"/>
    <w:rsid w:val="0088230E"/>
    <w:rsid w:val="00882D20"/>
    <w:rsid w:val="00882E39"/>
    <w:rsid w:val="008850E3"/>
    <w:rsid w:val="008850EB"/>
    <w:rsid w:val="0088516E"/>
    <w:rsid w:val="00885D01"/>
    <w:rsid w:val="00886DF2"/>
    <w:rsid w:val="00886FB9"/>
    <w:rsid w:val="00887080"/>
    <w:rsid w:val="00887BC5"/>
    <w:rsid w:val="00887C79"/>
    <w:rsid w:val="008907CC"/>
    <w:rsid w:val="00890998"/>
    <w:rsid w:val="0089107B"/>
    <w:rsid w:val="008913CC"/>
    <w:rsid w:val="00891411"/>
    <w:rsid w:val="008914AE"/>
    <w:rsid w:val="00891838"/>
    <w:rsid w:val="008919CF"/>
    <w:rsid w:val="00891F84"/>
    <w:rsid w:val="0089211C"/>
    <w:rsid w:val="008928EC"/>
    <w:rsid w:val="00892E5D"/>
    <w:rsid w:val="008935CF"/>
    <w:rsid w:val="00894436"/>
    <w:rsid w:val="00894BB1"/>
    <w:rsid w:val="008950CB"/>
    <w:rsid w:val="008951D0"/>
    <w:rsid w:val="0089582D"/>
    <w:rsid w:val="008959C6"/>
    <w:rsid w:val="0089606D"/>
    <w:rsid w:val="00896129"/>
    <w:rsid w:val="008965DF"/>
    <w:rsid w:val="0089774F"/>
    <w:rsid w:val="00897875"/>
    <w:rsid w:val="00897B8F"/>
    <w:rsid w:val="008A00D8"/>
    <w:rsid w:val="008A00D9"/>
    <w:rsid w:val="008A07D5"/>
    <w:rsid w:val="008A1F7E"/>
    <w:rsid w:val="008A2527"/>
    <w:rsid w:val="008A25E2"/>
    <w:rsid w:val="008A295B"/>
    <w:rsid w:val="008A2A23"/>
    <w:rsid w:val="008A2AF5"/>
    <w:rsid w:val="008A2B5A"/>
    <w:rsid w:val="008A2DD1"/>
    <w:rsid w:val="008A3F9D"/>
    <w:rsid w:val="008A5474"/>
    <w:rsid w:val="008A590B"/>
    <w:rsid w:val="008A5C9A"/>
    <w:rsid w:val="008A6A55"/>
    <w:rsid w:val="008A6DF0"/>
    <w:rsid w:val="008A6F6E"/>
    <w:rsid w:val="008A7888"/>
    <w:rsid w:val="008A796E"/>
    <w:rsid w:val="008B0862"/>
    <w:rsid w:val="008B088C"/>
    <w:rsid w:val="008B1BF5"/>
    <w:rsid w:val="008B2268"/>
    <w:rsid w:val="008B263F"/>
    <w:rsid w:val="008B3A83"/>
    <w:rsid w:val="008B3EBB"/>
    <w:rsid w:val="008B47A6"/>
    <w:rsid w:val="008B672C"/>
    <w:rsid w:val="008B7C3F"/>
    <w:rsid w:val="008C036D"/>
    <w:rsid w:val="008C0743"/>
    <w:rsid w:val="008C0B4C"/>
    <w:rsid w:val="008C11F0"/>
    <w:rsid w:val="008C1DBA"/>
    <w:rsid w:val="008C24E7"/>
    <w:rsid w:val="008C2500"/>
    <w:rsid w:val="008C2CAC"/>
    <w:rsid w:val="008C3392"/>
    <w:rsid w:val="008C3E2A"/>
    <w:rsid w:val="008C42F5"/>
    <w:rsid w:val="008C45BD"/>
    <w:rsid w:val="008C4B19"/>
    <w:rsid w:val="008C568F"/>
    <w:rsid w:val="008C62D4"/>
    <w:rsid w:val="008C6B89"/>
    <w:rsid w:val="008D077E"/>
    <w:rsid w:val="008D18AA"/>
    <w:rsid w:val="008D1A16"/>
    <w:rsid w:val="008D1A2A"/>
    <w:rsid w:val="008D29B1"/>
    <w:rsid w:val="008D35D9"/>
    <w:rsid w:val="008D3B85"/>
    <w:rsid w:val="008D4527"/>
    <w:rsid w:val="008D462D"/>
    <w:rsid w:val="008D4869"/>
    <w:rsid w:val="008D51F2"/>
    <w:rsid w:val="008D66CA"/>
    <w:rsid w:val="008D69B1"/>
    <w:rsid w:val="008D6E07"/>
    <w:rsid w:val="008D70AD"/>
    <w:rsid w:val="008D7150"/>
    <w:rsid w:val="008D7179"/>
    <w:rsid w:val="008D7338"/>
    <w:rsid w:val="008D7A33"/>
    <w:rsid w:val="008E0012"/>
    <w:rsid w:val="008E0DF7"/>
    <w:rsid w:val="008E0FAD"/>
    <w:rsid w:val="008E1347"/>
    <w:rsid w:val="008E16E0"/>
    <w:rsid w:val="008E1C15"/>
    <w:rsid w:val="008E1C9A"/>
    <w:rsid w:val="008E28BD"/>
    <w:rsid w:val="008E38B4"/>
    <w:rsid w:val="008E3BA4"/>
    <w:rsid w:val="008E3E84"/>
    <w:rsid w:val="008E41C4"/>
    <w:rsid w:val="008E44AB"/>
    <w:rsid w:val="008E5179"/>
    <w:rsid w:val="008E6598"/>
    <w:rsid w:val="008E6A17"/>
    <w:rsid w:val="008E7214"/>
    <w:rsid w:val="008E7348"/>
    <w:rsid w:val="008E7884"/>
    <w:rsid w:val="008E7D6E"/>
    <w:rsid w:val="008F1056"/>
    <w:rsid w:val="008F2E8D"/>
    <w:rsid w:val="008F387B"/>
    <w:rsid w:val="008F3C67"/>
    <w:rsid w:val="008F3DD9"/>
    <w:rsid w:val="008F4814"/>
    <w:rsid w:val="008F4DA6"/>
    <w:rsid w:val="008F538E"/>
    <w:rsid w:val="008F5A20"/>
    <w:rsid w:val="008F5ABA"/>
    <w:rsid w:val="008F6CF9"/>
    <w:rsid w:val="008F7905"/>
    <w:rsid w:val="008F7989"/>
    <w:rsid w:val="009026AF"/>
    <w:rsid w:val="009028E8"/>
    <w:rsid w:val="00902E5C"/>
    <w:rsid w:val="0090350D"/>
    <w:rsid w:val="009039EB"/>
    <w:rsid w:val="00903CD2"/>
    <w:rsid w:val="009046E5"/>
    <w:rsid w:val="009047C5"/>
    <w:rsid w:val="00906C7F"/>
    <w:rsid w:val="00910683"/>
    <w:rsid w:val="00910E00"/>
    <w:rsid w:val="009116CE"/>
    <w:rsid w:val="00911714"/>
    <w:rsid w:val="0091194A"/>
    <w:rsid w:val="00911A5B"/>
    <w:rsid w:val="00911B95"/>
    <w:rsid w:val="009136D4"/>
    <w:rsid w:val="00913706"/>
    <w:rsid w:val="00914B9A"/>
    <w:rsid w:val="00914C3F"/>
    <w:rsid w:val="00914F33"/>
    <w:rsid w:val="009153F6"/>
    <w:rsid w:val="00915FCE"/>
    <w:rsid w:val="00916AFE"/>
    <w:rsid w:val="00916FC8"/>
    <w:rsid w:val="009170D3"/>
    <w:rsid w:val="0091759C"/>
    <w:rsid w:val="00917910"/>
    <w:rsid w:val="00920026"/>
    <w:rsid w:val="009203E2"/>
    <w:rsid w:val="0092085F"/>
    <w:rsid w:val="00921304"/>
    <w:rsid w:val="00921805"/>
    <w:rsid w:val="00921BA7"/>
    <w:rsid w:val="00923396"/>
    <w:rsid w:val="00923F56"/>
    <w:rsid w:val="009246C4"/>
    <w:rsid w:val="00924710"/>
    <w:rsid w:val="00925743"/>
    <w:rsid w:val="0092579F"/>
    <w:rsid w:val="0092770D"/>
    <w:rsid w:val="00927E8D"/>
    <w:rsid w:val="00927F23"/>
    <w:rsid w:val="00930698"/>
    <w:rsid w:val="009307CD"/>
    <w:rsid w:val="00930E7C"/>
    <w:rsid w:val="00931451"/>
    <w:rsid w:val="009314FA"/>
    <w:rsid w:val="0093194F"/>
    <w:rsid w:val="00931BF3"/>
    <w:rsid w:val="00931C55"/>
    <w:rsid w:val="00932C11"/>
    <w:rsid w:val="00933333"/>
    <w:rsid w:val="0093349A"/>
    <w:rsid w:val="009337B2"/>
    <w:rsid w:val="00933AF1"/>
    <w:rsid w:val="00933FCB"/>
    <w:rsid w:val="00934E69"/>
    <w:rsid w:val="009367D5"/>
    <w:rsid w:val="00937401"/>
    <w:rsid w:val="00937561"/>
    <w:rsid w:val="009376FB"/>
    <w:rsid w:val="00937D6B"/>
    <w:rsid w:val="0094029D"/>
    <w:rsid w:val="00940477"/>
    <w:rsid w:val="00940876"/>
    <w:rsid w:val="00940A53"/>
    <w:rsid w:val="00940F3C"/>
    <w:rsid w:val="00940FC1"/>
    <w:rsid w:val="009410E0"/>
    <w:rsid w:val="00942BB9"/>
    <w:rsid w:val="009444B4"/>
    <w:rsid w:val="00944644"/>
    <w:rsid w:val="00945242"/>
    <w:rsid w:val="009460F9"/>
    <w:rsid w:val="00946A24"/>
    <w:rsid w:val="009470D4"/>
    <w:rsid w:val="00947337"/>
    <w:rsid w:val="009512FA"/>
    <w:rsid w:val="00951E57"/>
    <w:rsid w:val="00953018"/>
    <w:rsid w:val="009533E2"/>
    <w:rsid w:val="00953554"/>
    <w:rsid w:val="0095385A"/>
    <w:rsid w:val="00953928"/>
    <w:rsid w:val="00955906"/>
    <w:rsid w:val="00955978"/>
    <w:rsid w:val="00957010"/>
    <w:rsid w:val="0095780A"/>
    <w:rsid w:val="009579E4"/>
    <w:rsid w:val="00957AA4"/>
    <w:rsid w:val="00957ACB"/>
    <w:rsid w:val="00957E21"/>
    <w:rsid w:val="00957F27"/>
    <w:rsid w:val="009609F0"/>
    <w:rsid w:val="00960BDB"/>
    <w:rsid w:val="0096147D"/>
    <w:rsid w:val="00961E25"/>
    <w:rsid w:val="00961E5F"/>
    <w:rsid w:val="009625C6"/>
    <w:rsid w:val="009629B5"/>
    <w:rsid w:val="00962A50"/>
    <w:rsid w:val="00962F47"/>
    <w:rsid w:val="009631BD"/>
    <w:rsid w:val="00963955"/>
    <w:rsid w:val="00964138"/>
    <w:rsid w:val="00964B3F"/>
    <w:rsid w:val="00964C98"/>
    <w:rsid w:val="00964E0A"/>
    <w:rsid w:val="00965717"/>
    <w:rsid w:val="00966214"/>
    <w:rsid w:val="00966FB8"/>
    <w:rsid w:val="00971441"/>
    <w:rsid w:val="009715D4"/>
    <w:rsid w:val="00971D7B"/>
    <w:rsid w:val="00972470"/>
    <w:rsid w:val="009739A9"/>
    <w:rsid w:val="00973AA2"/>
    <w:rsid w:val="0097494E"/>
    <w:rsid w:val="00974B58"/>
    <w:rsid w:val="00975229"/>
    <w:rsid w:val="009761ED"/>
    <w:rsid w:val="009801E7"/>
    <w:rsid w:val="0098022F"/>
    <w:rsid w:val="009808B5"/>
    <w:rsid w:val="009810DE"/>
    <w:rsid w:val="009816A2"/>
    <w:rsid w:val="009822D7"/>
    <w:rsid w:val="009827E6"/>
    <w:rsid w:val="00982E70"/>
    <w:rsid w:val="00982F84"/>
    <w:rsid w:val="0098427D"/>
    <w:rsid w:val="00984567"/>
    <w:rsid w:val="00985102"/>
    <w:rsid w:val="009865D5"/>
    <w:rsid w:val="009876F2"/>
    <w:rsid w:val="00987A68"/>
    <w:rsid w:val="00987C77"/>
    <w:rsid w:val="00990345"/>
    <w:rsid w:val="00990701"/>
    <w:rsid w:val="0099090B"/>
    <w:rsid w:val="0099119C"/>
    <w:rsid w:val="0099137A"/>
    <w:rsid w:val="00991805"/>
    <w:rsid w:val="00992064"/>
    <w:rsid w:val="0099211C"/>
    <w:rsid w:val="00993B78"/>
    <w:rsid w:val="0099483A"/>
    <w:rsid w:val="00995119"/>
    <w:rsid w:val="009953AD"/>
    <w:rsid w:val="009955BC"/>
    <w:rsid w:val="0099583D"/>
    <w:rsid w:val="009960C8"/>
    <w:rsid w:val="0099656E"/>
    <w:rsid w:val="00996992"/>
    <w:rsid w:val="00996E1E"/>
    <w:rsid w:val="00997392"/>
    <w:rsid w:val="0099747C"/>
    <w:rsid w:val="0099771C"/>
    <w:rsid w:val="009A01E4"/>
    <w:rsid w:val="009A0917"/>
    <w:rsid w:val="009A0A33"/>
    <w:rsid w:val="009A10A6"/>
    <w:rsid w:val="009A1351"/>
    <w:rsid w:val="009A2435"/>
    <w:rsid w:val="009A35DC"/>
    <w:rsid w:val="009A38AB"/>
    <w:rsid w:val="009A3CFB"/>
    <w:rsid w:val="009A3D41"/>
    <w:rsid w:val="009A3D47"/>
    <w:rsid w:val="009A4D63"/>
    <w:rsid w:val="009A52E4"/>
    <w:rsid w:val="009A5356"/>
    <w:rsid w:val="009A5468"/>
    <w:rsid w:val="009A59FD"/>
    <w:rsid w:val="009A5D99"/>
    <w:rsid w:val="009A608C"/>
    <w:rsid w:val="009A63B7"/>
    <w:rsid w:val="009A6CA7"/>
    <w:rsid w:val="009A6CE6"/>
    <w:rsid w:val="009A6FDF"/>
    <w:rsid w:val="009A7006"/>
    <w:rsid w:val="009A76D6"/>
    <w:rsid w:val="009B199E"/>
    <w:rsid w:val="009B2E29"/>
    <w:rsid w:val="009B3163"/>
    <w:rsid w:val="009B39C2"/>
    <w:rsid w:val="009B422F"/>
    <w:rsid w:val="009B46BC"/>
    <w:rsid w:val="009B4D1A"/>
    <w:rsid w:val="009B558B"/>
    <w:rsid w:val="009B6801"/>
    <w:rsid w:val="009B68DD"/>
    <w:rsid w:val="009B6D21"/>
    <w:rsid w:val="009B7779"/>
    <w:rsid w:val="009B78ED"/>
    <w:rsid w:val="009C181C"/>
    <w:rsid w:val="009C1C7F"/>
    <w:rsid w:val="009C28A2"/>
    <w:rsid w:val="009C2B9B"/>
    <w:rsid w:val="009C3239"/>
    <w:rsid w:val="009C3828"/>
    <w:rsid w:val="009C3D2C"/>
    <w:rsid w:val="009C4987"/>
    <w:rsid w:val="009C523F"/>
    <w:rsid w:val="009C59BF"/>
    <w:rsid w:val="009C5E4F"/>
    <w:rsid w:val="009C5F64"/>
    <w:rsid w:val="009C5F82"/>
    <w:rsid w:val="009C692B"/>
    <w:rsid w:val="009C70F8"/>
    <w:rsid w:val="009C756F"/>
    <w:rsid w:val="009C78A3"/>
    <w:rsid w:val="009D0156"/>
    <w:rsid w:val="009D05DA"/>
    <w:rsid w:val="009D11F6"/>
    <w:rsid w:val="009D13B9"/>
    <w:rsid w:val="009D1A14"/>
    <w:rsid w:val="009D1E2A"/>
    <w:rsid w:val="009D1FA0"/>
    <w:rsid w:val="009D2BDF"/>
    <w:rsid w:val="009D3736"/>
    <w:rsid w:val="009D40B8"/>
    <w:rsid w:val="009D4529"/>
    <w:rsid w:val="009D4B03"/>
    <w:rsid w:val="009D5EB1"/>
    <w:rsid w:val="009D604F"/>
    <w:rsid w:val="009D61BB"/>
    <w:rsid w:val="009D6410"/>
    <w:rsid w:val="009D65FF"/>
    <w:rsid w:val="009D66B2"/>
    <w:rsid w:val="009D68BB"/>
    <w:rsid w:val="009D6E3A"/>
    <w:rsid w:val="009D70C2"/>
    <w:rsid w:val="009D7278"/>
    <w:rsid w:val="009D75EA"/>
    <w:rsid w:val="009D773A"/>
    <w:rsid w:val="009D7ADB"/>
    <w:rsid w:val="009D7B33"/>
    <w:rsid w:val="009D7C08"/>
    <w:rsid w:val="009E0703"/>
    <w:rsid w:val="009E16DA"/>
    <w:rsid w:val="009E1CD4"/>
    <w:rsid w:val="009E20DC"/>
    <w:rsid w:val="009E2391"/>
    <w:rsid w:val="009E241B"/>
    <w:rsid w:val="009E299D"/>
    <w:rsid w:val="009E2E11"/>
    <w:rsid w:val="009E474E"/>
    <w:rsid w:val="009E476A"/>
    <w:rsid w:val="009E4E05"/>
    <w:rsid w:val="009E56FF"/>
    <w:rsid w:val="009E5CB1"/>
    <w:rsid w:val="009E5E56"/>
    <w:rsid w:val="009E61EA"/>
    <w:rsid w:val="009E6990"/>
    <w:rsid w:val="009E6FCA"/>
    <w:rsid w:val="009E6FEE"/>
    <w:rsid w:val="009F060F"/>
    <w:rsid w:val="009F0781"/>
    <w:rsid w:val="009F0850"/>
    <w:rsid w:val="009F11B2"/>
    <w:rsid w:val="009F1BDF"/>
    <w:rsid w:val="009F1C47"/>
    <w:rsid w:val="009F1EAE"/>
    <w:rsid w:val="009F369D"/>
    <w:rsid w:val="009F36FE"/>
    <w:rsid w:val="009F3ADB"/>
    <w:rsid w:val="009F4386"/>
    <w:rsid w:val="009F46A9"/>
    <w:rsid w:val="009F4F25"/>
    <w:rsid w:val="009F4FA7"/>
    <w:rsid w:val="009F59C2"/>
    <w:rsid w:val="009F7263"/>
    <w:rsid w:val="009F76EA"/>
    <w:rsid w:val="009F78EB"/>
    <w:rsid w:val="009F7F32"/>
    <w:rsid w:val="009F7FEB"/>
    <w:rsid w:val="00A004CE"/>
    <w:rsid w:val="00A01852"/>
    <w:rsid w:val="00A0188B"/>
    <w:rsid w:val="00A01E73"/>
    <w:rsid w:val="00A023E7"/>
    <w:rsid w:val="00A02B88"/>
    <w:rsid w:val="00A02F3C"/>
    <w:rsid w:val="00A03160"/>
    <w:rsid w:val="00A036AC"/>
    <w:rsid w:val="00A03C54"/>
    <w:rsid w:val="00A041BC"/>
    <w:rsid w:val="00A0447F"/>
    <w:rsid w:val="00A046D2"/>
    <w:rsid w:val="00A04A54"/>
    <w:rsid w:val="00A05B4B"/>
    <w:rsid w:val="00A066C3"/>
    <w:rsid w:val="00A06754"/>
    <w:rsid w:val="00A06942"/>
    <w:rsid w:val="00A069E0"/>
    <w:rsid w:val="00A06BD7"/>
    <w:rsid w:val="00A06E4A"/>
    <w:rsid w:val="00A071B0"/>
    <w:rsid w:val="00A078FB"/>
    <w:rsid w:val="00A1036D"/>
    <w:rsid w:val="00A1069F"/>
    <w:rsid w:val="00A10919"/>
    <w:rsid w:val="00A10ACA"/>
    <w:rsid w:val="00A10D04"/>
    <w:rsid w:val="00A10D08"/>
    <w:rsid w:val="00A10EB0"/>
    <w:rsid w:val="00A12355"/>
    <w:rsid w:val="00A12384"/>
    <w:rsid w:val="00A127B7"/>
    <w:rsid w:val="00A127D2"/>
    <w:rsid w:val="00A12ADA"/>
    <w:rsid w:val="00A143EC"/>
    <w:rsid w:val="00A14A60"/>
    <w:rsid w:val="00A14F69"/>
    <w:rsid w:val="00A1500F"/>
    <w:rsid w:val="00A15621"/>
    <w:rsid w:val="00A15670"/>
    <w:rsid w:val="00A157A0"/>
    <w:rsid w:val="00A1585B"/>
    <w:rsid w:val="00A15C19"/>
    <w:rsid w:val="00A16809"/>
    <w:rsid w:val="00A176FA"/>
    <w:rsid w:val="00A17721"/>
    <w:rsid w:val="00A17769"/>
    <w:rsid w:val="00A17EA2"/>
    <w:rsid w:val="00A20264"/>
    <w:rsid w:val="00A20997"/>
    <w:rsid w:val="00A21454"/>
    <w:rsid w:val="00A22025"/>
    <w:rsid w:val="00A22498"/>
    <w:rsid w:val="00A22571"/>
    <w:rsid w:val="00A23023"/>
    <w:rsid w:val="00A23A08"/>
    <w:rsid w:val="00A24560"/>
    <w:rsid w:val="00A251AE"/>
    <w:rsid w:val="00A25B0F"/>
    <w:rsid w:val="00A25BBB"/>
    <w:rsid w:val="00A25D87"/>
    <w:rsid w:val="00A25F8E"/>
    <w:rsid w:val="00A27F18"/>
    <w:rsid w:val="00A27FB6"/>
    <w:rsid w:val="00A30121"/>
    <w:rsid w:val="00A30368"/>
    <w:rsid w:val="00A3043A"/>
    <w:rsid w:val="00A30E02"/>
    <w:rsid w:val="00A30F6A"/>
    <w:rsid w:val="00A31BA2"/>
    <w:rsid w:val="00A31C3E"/>
    <w:rsid w:val="00A34538"/>
    <w:rsid w:val="00A34677"/>
    <w:rsid w:val="00A34BA0"/>
    <w:rsid w:val="00A3540F"/>
    <w:rsid w:val="00A35630"/>
    <w:rsid w:val="00A35914"/>
    <w:rsid w:val="00A36189"/>
    <w:rsid w:val="00A3622F"/>
    <w:rsid w:val="00A37E73"/>
    <w:rsid w:val="00A37FB6"/>
    <w:rsid w:val="00A41003"/>
    <w:rsid w:val="00A4104A"/>
    <w:rsid w:val="00A41081"/>
    <w:rsid w:val="00A411CA"/>
    <w:rsid w:val="00A413AD"/>
    <w:rsid w:val="00A4169F"/>
    <w:rsid w:val="00A42096"/>
    <w:rsid w:val="00A421E7"/>
    <w:rsid w:val="00A426F3"/>
    <w:rsid w:val="00A42BBA"/>
    <w:rsid w:val="00A42FDF"/>
    <w:rsid w:val="00A430A9"/>
    <w:rsid w:val="00A431FE"/>
    <w:rsid w:val="00A434E9"/>
    <w:rsid w:val="00A439E5"/>
    <w:rsid w:val="00A43D1B"/>
    <w:rsid w:val="00A4497A"/>
    <w:rsid w:val="00A44BE8"/>
    <w:rsid w:val="00A44C96"/>
    <w:rsid w:val="00A44F54"/>
    <w:rsid w:val="00A45F9B"/>
    <w:rsid w:val="00A461BF"/>
    <w:rsid w:val="00A46574"/>
    <w:rsid w:val="00A4657A"/>
    <w:rsid w:val="00A467C4"/>
    <w:rsid w:val="00A46EE4"/>
    <w:rsid w:val="00A47D53"/>
    <w:rsid w:val="00A500B1"/>
    <w:rsid w:val="00A51593"/>
    <w:rsid w:val="00A52D3F"/>
    <w:rsid w:val="00A52EE5"/>
    <w:rsid w:val="00A53037"/>
    <w:rsid w:val="00A532B9"/>
    <w:rsid w:val="00A5351D"/>
    <w:rsid w:val="00A53D84"/>
    <w:rsid w:val="00A53E79"/>
    <w:rsid w:val="00A53F14"/>
    <w:rsid w:val="00A54031"/>
    <w:rsid w:val="00A5426D"/>
    <w:rsid w:val="00A54FC2"/>
    <w:rsid w:val="00A55122"/>
    <w:rsid w:val="00A5696C"/>
    <w:rsid w:val="00A56C67"/>
    <w:rsid w:val="00A56DE7"/>
    <w:rsid w:val="00A57AF7"/>
    <w:rsid w:val="00A57EB2"/>
    <w:rsid w:val="00A6009E"/>
    <w:rsid w:val="00A605F9"/>
    <w:rsid w:val="00A60762"/>
    <w:rsid w:val="00A60B1F"/>
    <w:rsid w:val="00A61C60"/>
    <w:rsid w:val="00A62589"/>
    <w:rsid w:val="00A625A4"/>
    <w:rsid w:val="00A62C3A"/>
    <w:rsid w:val="00A63505"/>
    <w:rsid w:val="00A636D7"/>
    <w:rsid w:val="00A63812"/>
    <w:rsid w:val="00A63DF7"/>
    <w:rsid w:val="00A64198"/>
    <w:rsid w:val="00A64505"/>
    <w:rsid w:val="00A668BA"/>
    <w:rsid w:val="00A66FA7"/>
    <w:rsid w:val="00A674AA"/>
    <w:rsid w:val="00A677F6"/>
    <w:rsid w:val="00A67E16"/>
    <w:rsid w:val="00A703CC"/>
    <w:rsid w:val="00A705CA"/>
    <w:rsid w:val="00A70C5C"/>
    <w:rsid w:val="00A71EA7"/>
    <w:rsid w:val="00A730AD"/>
    <w:rsid w:val="00A73855"/>
    <w:rsid w:val="00A73D64"/>
    <w:rsid w:val="00A73FEA"/>
    <w:rsid w:val="00A74216"/>
    <w:rsid w:val="00A744B4"/>
    <w:rsid w:val="00A74D61"/>
    <w:rsid w:val="00A751E3"/>
    <w:rsid w:val="00A75504"/>
    <w:rsid w:val="00A75CD9"/>
    <w:rsid w:val="00A76438"/>
    <w:rsid w:val="00A77168"/>
    <w:rsid w:val="00A7723B"/>
    <w:rsid w:val="00A7793C"/>
    <w:rsid w:val="00A77D21"/>
    <w:rsid w:val="00A80085"/>
    <w:rsid w:val="00A8043B"/>
    <w:rsid w:val="00A81323"/>
    <w:rsid w:val="00A81AC0"/>
    <w:rsid w:val="00A81D1E"/>
    <w:rsid w:val="00A820CB"/>
    <w:rsid w:val="00A82342"/>
    <w:rsid w:val="00A829EE"/>
    <w:rsid w:val="00A83BEF"/>
    <w:rsid w:val="00A84443"/>
    <w:rsid w:val="00A8487F"/>
    <w:rsid w:val="00A848FC"/>
    <w:rsid w:val="00A849A3"/>
    <w:rsid w:val="00A84A0E"/>
    <w:rsid w:val="00A851FD"/>
    <w:rsid w:val="00A86461"/>
    <w:rsid w:val="00A86B00"/>
    <w:rsid w:val="00A86E0B"/>
    <w:rsid w:val="00A90F12"/>
    <w:rsid w:val="00A9110D"/>
    <w:rsid w:val="00A9121D"/>
    <w:rsid w:val="00A93101"/>
    <w:rsid w:val="00A94293"/>
    <w:rsid w:val="00A94760"/>
    <w:rsid w:val="00A9496E"/>
    <w:rsid w:val="00A949F0"/>
    <w:rsid w:val="00A94BDE"/>
    <w:rsid w:val="00A94FCA"/>
    <w:rsid w:val="00A95E4C"/>
    <w:rsid w:val="00A964A2"/>
    <w:rsid w:val="00A96C60"/>
    <w:rsid w:val="00A9740B"/>
    <w:rsid w:val="00A9766C"/>
    <w:rsid w:val="00A977F8"/>
    <w:rsid w:val="00A97C93"/>
    <w:rsid w:val="00AA08E7"/>
    <w:rsid w:val="00AA0A06"/>
    <w:rsid w:val="00AA1351"/>
    <w:rsid w:val="00AA1859"/>
    <w:rsid w:val="00AA1C84"/>
    <w:rsid w:val="00AA2E16"/>
    <w:rsid w:val="00AA30E4"/>
    <w:rsid w:val="00AA3D7B"/>
    <w:rsid w:val="00AA42A0"/>
    <w:rsid w:val="00AA442B"/>
    <w:rsid w:val="00AA46A4"/>
    <w:rsid w:val="00AA5779"/>
    <w:rsid w:val="00AA58A1"/>
    <w:rsid w:val="00AA61C7"/>
    <w:rsid w:val="00AA669D"/>
    <w:rsid w:val="00AA66ED"/>
    <w:rsid w:val="00AA6BE1"/>
    <w:rsid w:val="00AA7416"/>
    <w:rsid w:val="00AA7A60"/>
    <w:rsid w:val="00AA7B42"/>
    <w:rsid w:val="00AB041C"/>
    <w:rsid w:val="00AB0483"/>
    <w:rsid w:val="00AB14E8"/>
    <w:rsid w:val="00AB17EC"/>
    <w:rsid w:val="00AB1B1D"/>
    <w:rsid w:val="00AB2216"/>
    <w:rsid w:val="00AB2901"/>
    <w:rsid w:val="00AB2C0A"/>
    <w:rsid w:val="00AB358D"/>
    <w:rsid w:val="00AB37A1"/>
    <w:rsid w:val="00AB3BAD"/>
    <w:rsid w:val="00AB3CFD"/>
    <w:rsid w:val="00AB40C6"/>
    <w:rsid w:val="00AB49BC"/>
    <w:rsid w:val="00AB4DEE"/>
    <w:rsid w:val="00AB4E32"/>
    <w:rsid w:val="00AB4F86"/>
    <w:rsid w:val="00AB579A"/>
    <w:rsid w:val="00AB724B"/>
    <w:rsid w:val="00AB726C"/>
    <w:rsid w:val="00AB72B4"/>
    <w:rsid w:val="00AC02AA"/>
    <w:rsid w:val="00AC0537"/>
    <w:rsid w:val="00AC0A84"/>
    <w:rsid w:val="00AC2A0B"/>
    <w:rsid w:val="00AC2BEC"/>
    <w:rsid w:val="00AC2BEE"/>
    <w:rsid w:val="00AC2E53"/>
    <w:rsid w:val="00AC30DB"/>
    <w:rsid w:val="00AC484F"/>
    <w:rsid w:val="00AC4B20"/>
    <w:rsid w:val="00AC4D8F"/>
    <w:rsid w:val="00AC56F2"/>
    <w:rsid w:val="00AC5B83"/>
    <w:rsid w:val="00AC5D30"/>
    <w:rsid w:val="00AC6886"/>
    <w:rsid w:val="00AC6C90"/>
    <w:rsid w:val="00AC71C3"/>
    <w:rsid w:val="00AD0DA5"/>
    <w:rsid w:val="00AD1499"/>
    <w:rsid w:val="00AD1EFA"/>
    <w:rsid w:val="00AD2072"/>
    <w:rsid w:val="00AD2808"/>
    <w:rsid w:val="00AD2DBD"/>
    <w:rsid w:val="00AD2FBF"/>
    <w:rsid w:val="00AD455D"/>
    <w:rsid w:val="00AD463C"/>
    <w:rsid w:val="00AD46A2"/>
    <w:rsid w:val="00AD47E8"/>
    <w:rsid w:val="00AD4F60"/>
    <w:rsid w:val="00AD5044"/>
    <w:rsid w:val="00AD5114"/>
    <w:rsid w:val="00AD523A"/>
    <w:rsid w:val="00AD6236"/>
    <w:rsid w:val="00AD7619"/>
    <w:rsid w:val="00AD7770"/>
    <w:rsid w:val="00AE0588"/>
    <w:rsid w:val="00AE05F9"/>
    <w:rsid w:val="00AE1772"/>
    <w:rsid w:val="00AE1990"/>
    <w:rsid w:val="00AE1BB9"/>
    <w:rsid w:val="00AE2523"/>
    <w:rsid w:val="00AE25E8"/>
    <w:rsid w:val="00AE2AD4"/>
    <w:rsid w:val="00AE2CA7"/>
    <w:rsid w:val="00AE2F1D"/>
    <w:rsid w:val="00AE4B2B"/>
    <w:rsid w:val="00AE586F"/>
    <w:rsid w:val="00AE5996"/>
    <w:rsid w:val="00AE6582"/>
    <w:rsid w:val="00AE6BC7"/>
    <w:rsid w:val="00AE6DC5"/>
    <w:rsid w:val="00AE7686"/>
    <w:rsid w:val="00AE799A"/>
    <w:rsid w:val="00AF00B6"/>
    <w:rsid w:val="00AF0492"/>
    <w:rsid w:val="00AF0E81"/>
    <w:rsid w:val="00AF0F32"/>
    <w:rsid w:val="00AF117A"/>
    <w:rsid w:val="00AF186E"/>
    <w:rsid w:val="00AF19DF"/>
    <w:rsid w:val="00AF1F4F"/>
    <w:rsid w:val="00AF26CF"/>
    <w:rsid w:val="00AF2AD1"/>
    <w:rsid w:val="00AF362F"/>
    <w:rsid w:val="00AF4E92"/>
    <w:rsid w:val="00AF554B"/>
    <w:rsid w:val="00AF5C9B"/>
    <w:rsid w:val="00AF5D53"/>
    <w:rsid w:val="00AF5E2D"/>
    <w:rsid w:val="00AF644B"/>
    <w:rsid w:val="00AF6CA6"/>
    <w:rsid w:val="00AF6EB6"/>
    <w:rsid w:val="00AF72E3"/>
    <w:rsid w:val="00AF7367"/>
    <w:rsid w:val="00AF7796"/>
    <w:rsid w:val="00B011A9"/>
    <w:rsid w:val="00B015F3"/>
    <w:rsid w:val="00B01D84"/>
    <w:rsid w:val="00B024ED"/>
    <w:rsid w:val="00B02E66"/>
    <w:rsid w:val="00B02EB3"/>
    <w:rsid w:val="00B02FCB"/>
    <w:rsid w:val="00B033F8"/>
    <w:rsid w:val="00B03C1E"/>
    <w:rsid w:val="00B04400"/>
    <w:rsid w:val="00B04835"/>
    <w:rsid w:val="00B05A55"/>
    <w:rsid w:val="00B05DE1"/>
    <w:rsid w:val="00B06595"/>
    <w:rsid w:val="00B07D11"/>
    <w:rsid w:val="00B10109"/>
    <w:rsid w:val="00B1085E"/>
    <w:rsid w:val="00B10FD0"/>
    <w:rsid w:val="00B10FD1"/>
    <w:rsid w:val="00B11896"/>
    <w:rsid w:val="00B11B55"/>
    <w:rsid w:val="00B12735"/>
    <w:rsid w:val="00B129C6"/>
    <w:rsid w:val="00B131C4"/>
    <w:rsid w:val="00B13386"/>
    <w:rsid w:val="00B13533"/>
    <w:rsid w:val="00B13C48"/>
    <w:rsid w:val="00B13E35"/>
    <w:rsid w:val="00B13EC0"/>
    <w:rsid w:val="00B13FA5"/>
    <w:rsid w:val="00B14102"/>
    <w:rsid w:val="00B14D32"/>
    <w:rsid w:val="00B1557C"/>
    <w:rsid w:val="00B155DC"/>
    <w:rsid w:val="00B15766"/>
    <w:rsid w:val="00B159AA"/>
    <w:rsid w:val="00B1666A"/>
    <w:rsid w:val="00B1686D"/>
    <w:rsid w:val="00B17037"/>
    <w:rsid w:val="00B1741D"/>
    <w:rsid w:val="00B17447"/>
    <w:rsid w:val="00B17563"/>
    <w:rsid w:val="00B1771D"/>
    <w:rsid w:val="00B1792E"/>
    <w:rsid w:val="00B17B91"/>
    <w:rsid w:val="00B20209"/>
    <w:rsid w:val="00B203AF"/>
    <w:rsid w:val="00B203C9"/>
    <w:rsid w:val="00B2088D"/>
    <w:rsid w:val="00B208FF"/>
    <w:rsid w:val="00B228D1"/>
    <w:rsid w:val="00B22C58"/>
    <w:rsid w:val="00B22D35"/>
    <w:rsid w:val="00B22E22"/>
    <w:rsid w:val="00B22F5F"/>
    <w:rsid w:val="00B23813"/>
    <w:rsid w:val="00B23FD9"/>
    <w:rsid w:val="00B24591"/>
    <w:rsid w:val="00B245D5"/>
    <w:rsid w:val="00B24C36"/>
    <w:rsid w:val="00B24F94"/>
    <w:rsid w:val="00B25126"/>
    <w:rsid w:val="00B25A52"/>
    <w:rsid w:val="00B25B0A"/>
    <w:rsid w:val="00B25FC3"/>
    <w:rsid w:val="00B26852"/>
    <w:rsid w:val="00B26C61"/>
    <w:rsid w:val="00B26CC4"/>
    <w:rsid w:val="00B27026"/>
    <w:rsid w:val="00B27875"/>
    <w:rsid w:val="00B27BEC"/>
    <w:rsid w:val="00B27C18"/>
    <w:rsid w:val="00B27E51"/>
    <w:rsid w:val="00B3008D"/>
    <w:rsid w:val="00B30E11"/>
    <w:rsid w:val="00B30EEB"/>
    <w:rsid w:val="00B30FD0"/>
    <w:rsid w:val="00B31423"/>
    <w:rsid w:val="00B31710"/>
    <w:rsid w:val="00B323E0"/>
    <w:rsid w:val="00B32DC0"/>
    <w:rsid w:val="00B33137"/>
    <w:rsid w:val="00B3346C"/>
    <w:rsid w:val="00B335E4"/>
    <w:rsid w:val="00B33C23"/>
    <w:rsid w:val="00B345B4"/>
    <w:rsid w:val="00B348B1"/>
    <w:rsid w:val="00B34A28"/>
    <w:rsid w:val="00B34EB2"/>
    <w:rsid w:val="00B35046"/>
    <w:rsid w:val="00B35B6A"/>
    <w:rsid w:val="00B37657"/>
    <w:rsid w:val="00B3788D"/>
    <w:rsid w:val="00B37AFD"/>
    <w:rsid w:val="00B37B07"/>
    <w:rsid w:val="00B4046F"/>
    <w:rsid w:val="00B40B47"/>
    <w:rsid w:val="00B41D39"/>
    <w:rsid w:val="00B42031"/>
    <w:rsid w:val="00B422C0"/>
    <w:rsid w:val="00B426CA"/>
    <w:rsid w:val="00B426E1"/>
    <w:rsid w:val="00B437F8"/>
    <w:rsid w:val="00B4387A"/>
    <w:rsid w:val="00B43F4E"/>
    <w:rsid w:val="00B44260"/>
    <w:rsid w:val="00B44746"/>
    <w:rsid w:val="00B44854"/>
    <w:rsid w:val="00B44A23"/>
    <w:rsid w:val="00B45419"/>
    <w:rsid w:val="00B455A8"/>
    <w:rsid w:val="00B458C1"/>
    <w:rsid w:val="00B458D0"/>
    <w:rsid w:val="00B4792C"/>
    <w:rsid w:val="00B47A25"/>
    <w:rsid w:val="00B50CAE"/>
    <w:rsid w:val="00B512AD"/>
    <w:rsid w:val="00B5196C"/>
    <w:rsid w:val="00B523B9"/>
    <w:rsid w:val="00B525CB"/>
    <w:rsid w:val="00B52697"/>
    <w:rsid w:val="00B53E7C"/>
    <w:rsid w:val="00B54D8F"/>
    <w:rsid w:val="00B55857"/>
    <w:rsid w:val="00B55C2B"/>
    <w:rsid w:val="00B55C69"/>
    <w:rsid w:val="00B56851"/>
    <w:rsid w:val="00B56D6E"/>
    <w:rsid w:val="00B572F7"/>
    <w:rsid w:val="00B57B9D"/>
    <w:rsid w:val="00B57DAF"/>
    <w:rsid w:val="00B60094"/>
    <w:rsid w:val="00B6022C"/>
    <w:rsid w:val="00B614F8"/>
    <w:rsid w:val="00B61994"/>
    <w:rsid w:val="00B61FD4"/>
    <w:rsid w:val="00B62880"/>
    <w:rsid w:val="00B63872"/>
    <w:rsid w:val="00B63CB2"/>
    <w:rsid w:val="00B63F51"/>
    <w:rsid w:val="00B6416D"/>
    <w:rsid w:val="00B64246"/>
    <w:rsid w:val="00B64709"/>
    <w:rsid w:val="00B64EDB"/>
    <w:rsid w:val="00B6501B"/>
    <w:rsid w:val="00B65379"/>
    <w:rsid w:val="00B654D3"/>
    <w:rsid w:val="00B65938"/>
    <w:rsid w:val="00B6596B"/>
    <w:rsid w:val="00B65C8A"/>
    <w:rsid w:val="00B65CE2"/>
    <w:rsid w:val="00B65CED"/>
    <w:rsid w:val="00B660AD"/>
    <w:rsid w:val="00B660CB"/>
    <w:rsid w:val="00B66109"/>
    <w:rsid w:val="00B66349"/>
    <w:rsid w:val="00B67630"/>
    <w:rsid w:val="00B67FBF"/>
    <w:rsid w:val="00B7024E"/>
    <w:rsid w:val="00B71F5F"/>
    <w:rsid w:val="00B71FA7"/>
    <w:rsid w:val="00B72110"/>
    <w:rsid w:val="00B72B91"/>
    <w:rsid w:val="00B73019"/>
    <w:rsid w:val="00B7315F"/>
    <w:rsid w:val="00B7323A"/>
    <w:rsid w:val="00B73356"/>
    <w:rsid w:val="00B7353B"/>
    <w:rsid w:val="00B7358A"/>
    <w:rsid w:val="00B737FB"/>
    <w:rsid w:val="00B73EDA"/>
    <w:rsid w:val="00B7423D"/>
    <w:rsid w:val="00B74605"/>
    <w:rsid w:val="00B74D05"/>
    <w:rsid w:val="00B75937"/>
    <w:rsid w:val="00B777FA"/>
    <w:rsid w:val="00B77850"/>
    <w:rsid w:val="00B7796B"/>
    <w:rsid w:val="00B80C72"/>
    <w:rsid w:val="00B81964"/>
    <w:rsid w:val="00B81E6F"/>
    <w:rsid w:val="00B82123"/>
    <w:rsid w:val="00B8225B"/>
    <w:rsid w:val="00B82BB5"/>
    <w:rsid w:val="00B83182"/>
    <w:rsid w:val="00B83F92"/>
    <w:rsid w:val="00B84684"/>
    <w:rsid w:val="00B848DF"/>
    <w:rsid w:val="00B851E4"/>
    <w:rsid w:val="00B854CE"/>
    <w:rsid w:val="00B85681"/>
    <w:rsid w:val="00B857EB"/>
    <w:rsid w:val="00B86162"/>
    <w:rsid w:val="00B86877"/>
    <w:rsid w:val="00B8695D"/>
    <w:rsid w:val="00B86E66"/>
    <w:rsid w:val="00B873BA"/>
    <w:rsid w:val="00B8746F"/>
    <w:rsid w:val="00B8760D"/>
    <w:rsid w:val="00B87706"/>
    <w:rsid w:val="00B87F98"/>
    <w:rsid w:val="00B90A49"/>
    <w:rsid w:val="00B90C2B"/>
    <w:rsid w:val="00B910A5"/>
    <w:rsid w:val="00B91B8E"/>
    <w:rsid w:val="00B91E13"/>
    <w:rsid w:val="00B92531"/>
    <w:rsid w:val="00B92618"/>
    <w:rsid w:val="00B92751"/>
    <w:rsid w:val="00B92B69"/>
    <w:rsid w:val="00B92CC6"/>
    <w:rsid w:val="00B935C9"/>
    <w:rsid w:val="00B93E3D"/>
    <w:rsid w:val="00B94033"/>
    <w:rsid w:val="00B95018"/>
    <w:rsid w:val="00B95464"/>
    <w:rsid w:val="00B95C30"/>
    <w:rsid w:val="00B95CB7"/>
    <w:rsid w:val="00B95E3D"/>
    <w:rsid w:val="00B9691F"/>
    <w:rsid w:val="00B969E0"/>
    <w:rsid w:val="00B96EEC"/>
    <w:rsid w:val="00B97392"/>
    <w:rsid w:val="00B974B5"/>
    <w:rsid w:val="00B97691"/>
    <w:rsid w:val="00B976C7"/>
    <w:rsid w:val="00BA0C54"/>
    <w:rsid w:val="00BA1382"/>
    <w:rsid w:val="00BA20D8"/>
    <w:rsid w:val="00BA22FC"/>
    <w:rsid w:val="00BA2F30"/>
    <w:rsid w:val="00BA4771"/>
    <w:rsid w:val="00BA4DBB"/>
    <w:rsid w:val="00BA5027"/>
    <w:rsid w:val="00BA665B"/>
    <w:rsid w:val="00BA7370"/>
    <w:rsid w:val="00BA778B"/>
    <w:rsid w:val="00BB0888"/>
    <w:rsid w:val="00BB0DF1"/>
    <w:rsid w:val="00BB0E9B"/>
    <w:rsid w:val="00BB10EB"/>
    <w:rsid w:val="00BB139D"/>
    <w:rsid w:val="00BB2729"/>
    <w:rsid w:val="00BB2841"/>
    <w:rsid w:val="00BB300F"/>
    <w:rsid w:val="00BB32C9"/>
    <w:rsid w:val="00BB35C5"/>
    <w:rsid w:val="00BB43A7"/>
    <w:rsid w:val="00BB4C8E"/>
    <w:rsid w:val="00BB57ED"/>
    <w:rsid w:val="00BB65C3"/>
    <w:rsid w:val="00BB662E"/>
    <w:rsid w:val="00BB67A9"/>
    <w:rsid w:val="00BB6C01"/>
    <w:rsid w:val="00BB75CB"/>
    <w:rsid w:val="00BB7942"/>
    <w:rsid w:val="00BB7CD1"/>
    <w:rsid w:val="00BC07E4"/>
    <w:rsid w:val="00BC0F33"/>
    <w:rsid w:val="00BC14A7"/>
    <w:rsid w:val="00BC1611"/>
    <w:rsid w:val="00BC17CC"/>
    <w:rsid w:val="00BC229E"/>
    <w:rsid w:val="00BC2898"/>
    <w:rsid w:val="00BC2928"/>
    <w:rsid w:val="00BC2AA9"/>
    <w:rsid w:val="00BC2BB1"/>
    <w:rsid w:val="00BC34A3"/>
    <w:rsid w:val="00BC377C"/>
    <w:rsid w:val="00BC3FF9"/>
    <w:rsid w:val="00BC4834"/>
    <w:rsid w:val="00BC4A97"/>
    <w:rsid w:val="00BC5A25"/>
    <w:rsid w:val="00BC5E28"/>
    <w:rsid w:val="00BC5FDD"/>
    <w:rsid w:val="00BC68B4"/>
    <w:rsid w:val="00BC6C2D"/>
    <w:rsid w:val="00BC7B9A"/>
    <w:rsid w:val="00BD0140"/>
    <w:rsid w:val="00BD02CC"/>
    <w:rsid w:val="00BD1675"/>
    <w:rsid w:val="00BD2063"/>
    <w:rsid w:val="00BD23F8"/>
    <w:rsid w:val="00BD33D9"/>
    <w:rsid w:val="00BD38C5"/>
    <w:rsid w:val="00BD3CF1"/>
    <w:rsid w:val="00BD3DEA"/>
    <w:rsid w:val="00BD3E97"/>
    <w:rsid w:val="00BD40E4"/>
    <w:rsid w:val="00BD503A"/>
    <w:rsid w:val="00BD52FE"/>
    <w:rsid w:val="00BD62CF"/>
    <w:rsid w:val="00BD67B2"/>
    <w:rsid w:val="00BD6A07"/>
    <w:rsid w:val="00BD78AB"/>
    <w:rsid w:val="00BD78FE"/>
    <w:rsid w:val="00BE0149"/>
    <w:rsid w:val="00BE0767"/>
    <w:rsid w:val="00BE12B8"/>
    <w:rsid w:val="00BE12D7"/>
    <w:rsid w:val="00BE1372"/>
    <w:rsid w:val="00BE1775"/>
    <w:rsid w:val="00BE17A2"/>
    <w:rsid w:val="00BE18DA"/>
    <w:rsid w:val="00BE1A31"/>
    <w:rsid w:val="00BE223B"/>
    <w:rsid w:val="00BE26C0"/>
    <w:rsid w:val="00BE3442"/>
    <w:rsid w:val="00BE45DF"/>
    <w:rsid w:val="00BE47B2"/>
    <w:rsid w:val="00BE48C7"/>
    <w:rsid w:val="00BE4F66"/>
    <w:rsid w:val="00BE5238"/>
    <w:rsid w:val="00BE5D35"/>
    <w:rsid w:val="00BE6074"/>
    <w:rsid w:val="00BE67A2"/>
    <w:rsid w:val="00BE7257"/>
    <w:rsid w:val="00BF020D"/>
    <w:rsid w:val="00BF1DD2"/>
    <w:rsid w:val="00BF23A3"/>
    <w:rsid w:val="00BF28DB"/>
    <w:rsid w:val="00BF2A7E"/>
    <w:rsid w:val="00BF3331"/>
    <w:rsid w:val="00BF3A45"/>
    <w:rsid w:val="00BF436F"/>
    <w:rsid w:val="00BF5723"/>
    <w:rsid w:val="00BF5C05"/>
    <w:rsid w:val="00BF60C8"/>
    <w:rsid w:val="00BF6FC6"/>
    <w:rsid w:val="00BF7C52"/>
    <w:rsid w:val="00BF7F99"/>
    <w:rsid w:val="00C00713"/>
    <w:rsid w:val="00C009A0"/>
    <w:rsid w:val="00C01F74"/>
    <w:rsid w:val="00C02558"/>
    <w:rsid w:val="00C0285F"/>
    <w:rsid w:val="00C02F35"/>
    <w:rsid w:val="00C03305"/>
    <w:rsid w:val="00C03515"/>
    <w:rsid w:val="00C03738"/>
    <w:rsid w:val="00C037A6"/>
    <w:rsid w:val="00C043F5"/>
    <w:rsid w:val="00C044E3"/>
    <w:rsid w:val="00C047A8"/>
    <w:rsid w:val="00C04BDB"/>
    <w:rsid w:val="00C052C6"/>
    <w:rsid w:val="00C059D4"/>
    <w:rsid w:val="00C05A61"/>
    <w:rsid w:val="00C06CCF"/>
    <w:rsid w:val="00C07D95"/>
    <w:rsid w:val="00C108B8"/>
    <w:rsid w:val="00C11503"/>
    <w:rsid w:val="00C1159D"/>
    <w:rsid w:val="00C11683"/>
    <w:rsid w:val="00C11798"/>
    <w:rsid w:val="00C118DB"/>
    <w:rsid w:val="00C1233E"/>
    <w:rsid w:val="00C125C1"/>
    <w:rsid w:val="00C12F05"/>
    <w:rsid w:val="00C12FB3"/>
    <w:rsid w:val="00C138BC"/>
    <w:rsid w:val="00C13D85"/>
    <w:rsid w:val="00C14639"/>
    <w:rsid w:val="00C14E82"/>
    <w:rsid w:val="00C14FF6"/>
    <w:rsid w:val="00C15A85"/>
    <w:rsid w:val="00C1641B"/>
    <w:rsid w:val="00C165FC"/>
    <w:rsid w:val="00C176D5"/>
    <w:rsid w:val="00C2082C"/>
    <w:rsid w:val="00C20832"/>
    <w:rsid w:val="00C20EB0"/>
    <w:rsid w:val="00C21005"/>
    <w:rsid w:val="00C220B6"/>
    <w:rsid w:val="00C22206"/>
    <w:rsid w:val="00C227AF"/>
    <w:rsid w:val="00C22D7C"/>
    <w:rsid w:val="00C22DDE"/>
    <w:rsid w:val="00C2338B"/>
    <w:rsid w:val="00C233CE"/>
    <w:rsid w:val="00C23661"/>
    <w:rsid w:val="00C236AE"/>
    <w:rsid w:val="00C237DD"/>
    <w:rsid w:val="00C238F4"/>
    <w:rsid w:val="00C23A99"/>
    <w:rsid w:val="00C245EE"/>
    <w:rsid w:val="00C24AE1"/>
    <w:rsid w:val="00C24B8D"/>
    <w:rsid w:val="00C24BD7"/>
    <w:rsid w:val="00C2542B"/>
    <w:rsid w:val="00C25813"/>
    <w:rsid w:val="00C25A04"/>
    <w:rsid w:val="00C25DCC"/>
    <w:rsid w:val="00C27143"/>
    <w:rsid w:val="00C27490"/>
    <w:rsid w:val="00C27774"/>
    <w:rsid w:val="00C27A55"/>
    <w:rsid w:val="00C27D37"/>
    <w:rsid w:val="00C27FB2"/>
    <w:rsid w:val="00C302E5"/>
    <w:rsid w:val="00C309E8"/>
    <w:rsid w:val="00C32017"/>
    <w:rsid w:val="00C325CD"/>
    <w:rsid w:val="00C3322E"/>
    <w:rsid w:val="00C337F5"/>
    <w:rsid w:val="00C33907"/>
    <w:rsid w:val="00C33B90"/>
    <w:rsid w:val="00C34B5F"/>
    <w:rsid w:val="00C356AF"/>
    <w:rsid w:val="00C358D4"/>
    <w:rsid w:val="00C35A19"/>
    <w:rsid w:val="00C36785"/>
    <w:rsid w:val="00C36845"/>
    <w:rsid w:val="00C3711C"/>
    <w:rsid w:val="00C37256"/>
    <w:rsid w:val="00C37A7B"/>
    <w:rsid w:val="00C37CFF"/>
    <w:rsid w:val="00C37FFE"/>
    <w:rsid w:val="00C40B50"/>
    <w:rsid w:val="00C41858"/>
    <w:rsid w:val="00C419E3"/>
    <w:rsid w:val="00C419F4"/>
    <w:rsid w:val="00C41E6A"/>
    <w:rsid w:val="00C42247"/>
    <w:rsid w:val="00C439BE"/>
    <w:rsid w:val="00C44E61"/>
    <w:rsid w:val="00C4539B"/>
    <w:rsid w:val="00C45466"/>
    <w:rsid w:val="00C455C1"/>
    <w:rsid w:val="00C4581D"/>
    <w:rsid w:val="00C46D21"/>
    <w:rsid w:val="00C47472"/>
    <w:rsid w:val="00C47EA5"/>
    <w:rsid w:val="00C500F0"/>
    <w:rsid w:val="00C502BB"/>
    <w:rsid w:val="00C504A7"/>
    <w:rsid w:val="00C506C9"/>
    <w:rsid w:val="00C50A16"/>
    <w:rsid w:val="00C5122B"/>
    <w:rsid w:val="00C51C9A"/>
    <w:rsid w:val="00C52428"/>
    <w:rsid w:val="00C52C68"/>
    <w:rsid w:val="00C52D98"/>
    <w:rsid w:val="00C52FB1"/>
    <w:rsid w:val="00C5325C"/>
    <w:rsid w:val="00C53D24"/>
    <w:rsid w:val="00C54640"/>
    <w:rsid w:val="00C547A6"/>
    <w:rsid w:val="00C54A3A"/>
    <w:rsid w:val="00C5503F"/>
    <w:rsid w:val="00C55C32"/>
    <w:rsid w:val="00C55DB4"/>
    <w:rsid w:val="00C56A67"/>
    <w:rsid w:val="00C56CC2"/>
    <w:rsid w:val="00C56FC3"/>
    <w:rsid w:val="00C57498"/>
    <w:rsid w:val="00C5763C"/>
    <w:rsid w:val="00C57761"/>
    <w:rsid w:val="00C577CA"/>
    <w:rsid w:val="00C5780C"/>
    <w:rsid w:val="00C5796B"/>
    <w:rsid w:val="00C619A1"/>
    <w:rsid w:val="00C62370"/>
    <w:rsid w:val="00C62545"/>
    <w:rsid w:val="00C62A11"/>
    <w:rsid w:val="00C62BBB"/>
    <w:rsid w:val="00C6305F"/>
    <w:rsid w:val="00C6325B"/>
    <w:rsid w:val="00C63E99"/>
    <w:rsid w:val="00C64161"/>
    <w:rsid w:val="00C641BD"/>
    <w:rsid w:val="00C649B8"/>
    <w:rsid w:val="00C64A64"/>
    <w:rsid w:val="00C64C72"/>
    <w:rsid w:val="00C65151"/>
    <w:rsid w:val="00C657F4"/>
    <w:rsid w:val="00C6599D"/>
    <w:rsid w:val="00C66119"/>
    <w:rsid w:val="00C66292"/>
    <w:rsid w:val="00C672A3"/>
    <w:rsid w:val="00C672F1"/>
    <w:rsid w:val="00C673D0"/>
    <w:rsid w:val="00C6742E"/>
    <w:rsid w:val="00C677BE"/>
    <w:rsid w:val="00C70012"/>
    <w:rsid w:val="00C706CA"/>
    <w:rsid w:val="00C7185F"/>
    <w:rsid w:val="00C71CBB"/>
    <w:rsid w:val="00C71E2A"/>
    <w:rsid w:val="00C722A3"/>
    <w:rsid w:val="00C733BA"/>
    <w:rsid w:val="00C755EF"/>
    <w:rsid w:val="00C760DC"/>
    <w:rsid w:val="00C8082B"/>
    <w:rsid w:val="00C80F3E"/>
    <w:rsid w:val="00C81A88"/>
    <w:rsid w:val="00C81AEC"/>
    <w:rsid w:val="00C81D46"/>
    <w:rsid w:val="00C820AD"/>
    <w:rsid w:val="00C82298"/>
    <w:rsid w:val="00C831D4"/>
    <w:rsid w:val="00C833B4"/>
    <w:rsid w:val="00C83449"/>
    <w:rsid w:val="00C84284"/>
    <w:rsid w:val="00C84E33"/>
    <w:rsid w:val="00C85FFC"/>
    <w:rsid w:val="00C86123"/>
    <w:rsid w:val="00C861FC"/>
    <w:rsid w:val="00C86C87"/>
    <w:rsid w:val="00C8705B"/>
    <w:rsid w:val="00C87090"/>
    <w:rsid w:val="00C9005E"/>
    <w:rsid w:val="00C90111"/>
    <w:rsid w:val="00C90CA9"/>
    <w:rsid w:val="00C915F2"/>
    <w:rsid w:val="00C917B1"/>
    <w:rsid w:val="00C9193C"/>
    <w:rsid w:val="00C91B77"/>
    <w:rsid w:val="00C920E2"/>
    <w:rsid w:val="00C923AA"/>
    <w:rsid w:val="00C93154"/>
    <w:rsid w:val="00C93765"/>
    <w:rsid w:val="00C93877"/>
    <w:rsid w:val="00C93D8C"/>
    <w:rsid w:val="00C946CC"/>
    <w:rsid w:val="00C959BD"/>
    <w:rsid w:val="00C95EC4"/>
    <w:rsid w:val="00C95F44"/>
    <w:rsid w:val="00C96908"/>
    <w:rsid w:val="00C96D1B"/>
    <w:rsid w:val="00C97106"/>
    <w:rsid w:val="00C97684"/>
    <w:rsid w:val="00CA0031"/>
    <w:rsid w:val="00CA0413"/>
    <w:rsid w:val="00CA043A"/>
    <w:rsid w:val="00CA0459"/>
    <w:rsid w:val="00CA04F8"/>
    <w:rsid w:val="00CA1691"/>
    <w:rsid w:val="00CA2E65"/>
    <w:rsid w:val="00CA2EA1"/>
    <w:rsid w:val="00CA3665"/>
    <w:rsid w:val="00CA3FC7"/>
    <w:rsid w:val="00CA41E7"/>
    <w:rsid w:val="00CA4B2B"/>
    <w:rsid w:val="00CA5520"/>
    <w:rsid w:val="00CA5812"/>
    <w:rsid w:val="00CA5BD4"/>
    <w:rsid w:val="00CA5C14"/>
    <w:rsid w:val="00CA76FC"/>
    <w:rsid w:val="00CA77EF"/>
    <w:rsid w:val="00CA7DB5"/>
    <w:rsid w:val="00CA7E7B"/>
    <w:rsid w:val="00CB0236"/>
    <w:rsid w:val="00CB19E3"/>
    <w:rsid w:val="00CB2C3A"/>
    <w:rsid w:val="00CB2D38"/>
    <w:rsid w:val="00CB31D6"/>
    <w:rsid w:val="00CB4137"/>
    <w:rsid w:val="00CB52D0"/>
    <w:rsid w:val="00CB5578"/>
    <w:rsid w:val="00CB5671"/>
    <w:rsid w:val="00CB591C"/>
    <w:rsid w:val="00CB5943"/>
    <w:rsid w:val="00CB61B3"/>
    <w:rsid w:val="00CB6F83"/>
    <w:rsid w:val="00CB72AE"/>
    <w:rsid w:val="00CB78AD"/>
    <w:rsid w:val="00CC00CD"/>
    <w:rsid w:val="00CC0579"/>
    <w:rsid w:val="00CC0AF3"/>
    <w:rsid w:val="00CC0BC6"/>
    <w:rsid w:val="00CC0E68"/>
    <w:rsid w:val="00CC21AC"/>
    <w:rsid w:val="00CC2514"/>
    <w:rsid w:val="00CC2756"/>
    <w:rsid w:val="00CC2F69"/>
    <w:rsid w:val="00CC315F"/>
    <w:rsid w:val="00CC3D38"/>
    <w:rsid w:val="00CC404B"/>
    <w:rsid w:val="00CC40C3"/>
    <w:rsid w:val="00CC4E5D"/>
    <w:rsid w:val="00CC50AE"/>
    <w:rsid w:val="00CC518A"/>
    <w:rsid w:val="00CC5D9A"/>
    <w:rsid w:val="00CC61B7"/>
    <w:rsid w:val="00CC61CA"/>
    <w:rsid w:val="00CC6668"/>
    <w:rsid w:val="00CC69EC"/>
    <w:rsid w:val="00CC71D3"/>
    <w:rsid w:val="00CC743D"/>
    <w:rsid w:val="00CC7E86"/>
    <w:rsid w:val="00CD050A"/>
    <w:rsid w:val="00CD1675"/>
    <w:rsid w:val="00CD205D"/>
    <w:rsid w:val="00CD2A22"/>
    <w:rsid w:val="00CD2B50"/>
    <w:rsid w:val="00CD2BAF"/>
    <w:rsid w:val="00CD4506"/>
    <w:rsid w:val="00CD4C90"/>
    <w:rsid w:val="00CD520B"/>
    <w:rsid w:val="00CD592E"/>
    <w:rsid w:val="00CD5982"/>
    <w:rsid w:val="00CD5A1A"/>
    <w:rsid w:val="00CD77E1"/>
    <w:rsid w:val="00CD7EFA"/>
    <w:rsid w:val="00CE020E"/>
    <w:rsid w:val="00CE0566"/>
    <w:rsid w:val="00CE12A4"/>
    <w:rsid w:val="00CE1CD4"/>
    <w:rsid w:val="00CE23FE"/>
    <w:rsid w:val="00CE2761"/>
    <w:rsid w:val="00CE314E"/>
    <w:rsid w:val="00CE3D5C"/>
    <w:rsid w:val="00CE3E14"/>
    <w:rsid w:val="00CE44C7"/>
    <w:rsid w:val="00CE53CC"/>
    <w:rsid w:val="00CE65A7"/>
    <w:rsid w:val="00CE68FE"/>
    <w:rsid w:val="00CE69CC"/>
    <w:rsid w:val="00CE6E98"/>
    <w:rsid w:val="00CE6EC4"/>
    <w:rsid w:val="00CE7A77"/>
    <w:rsid w:val="00CE7F26"/>
    <w:rsid w:val="00CE7FBF"/>
    <w:rsid w:val="00CF0CEA"/>
    <w:rsid w:val="00CF108D"/>
    <w:rsid w:val="00CF1226"/>
    <w:rsid w:val="00CF16C0"/>
    <w:rsid w:val="00CF1ABB"/>
    <w:rsid w:val="00CF1E1D"/>
    <w:rsid w:val="00CF24FE"/>
    <w:rsid w:val="00CF27E9"/>
    <w:rsid w:val="00CF35D0"/>
    <w:rsid w:val="00CF3DD5"/>
    <w:rsid w:val="00CF41D5"/>
    <w:rsid w:val="00CF4AF7"/>
    <w:rsid w:val="00CF4D20"/>
    <w:rsid w:val="00CF73F8"/>
    <w:rsid w:val="00CF7928"/>
    <w:rsid w:val="00CF7CA2"/>
    <w:rsid w:val="00D00A8E"/>
    <w:rsid w:val="00D00DE0"/>
    <w:rsid w:val="00D00F79"/>
    <w:rsid w:val="00D012BF"/>
    <w:rsid w:val="00D01760"/>
    <w:rsid w:val="00D018B9"/>
    <w:rsid w:val="00D0368E"/>
    <w:rsid w:val="00D039F1"/>
    <w:rsid w:val="00D03D2D"/>
    <w:rsid w:val="00D03E7B"/>
    <w:rsid w:val="00D0401A"/>
    <w:rsid w:val="00D047E0"/>
    <w:rsid w:val="00D04B9F"/>
    <w:rsid w:val="00D04C7E"/>
    <w:rsid w:val="00D04FFB"/>
    <w:rsid w:val="00D05153"/>
    <w:rsid w:val="00D058E9"/>
    <w:rsid w:val="00D0612A"/>
    <w:rsid w:val="00D06A0E"/>
    <w:rsid w:val="00D06A99"/>
    <w:rsid w:val="00D1060D"/>
    <w:rsid w:val="00D10E7C"/>
    <w:rsid w:val="00D11182"/>
    <w:rsid w:val="00D1137B"/>
    <w:rsid w:val="00D11807"/>
    <w:rsid w:val="00D11DB3"/>
    <w:rsid w:val="00D12D82"/>
    <w:rsid w:val="00D1306E"/>
    <w:rsid w:val="00D134CD"/>
    <w:rsid w:val="00D14B5F"/>
    <w:rsid w:val="00D14E13"/>
    <w:rsid w:val="00D14F23"/>
    <w:rsid w:val="00D15356"/>
    <w:rsid w:val="00D160AA"/>
    <w:rsid w:val="00D16740"/>
    <w:rsid w:val="00D16A8B"/>
    <w:rsid w:val="00D16E39"/>
    <w:rsid w:val="00D17951"/>
    <w:rsid w:val="00D17AD8"/>
    <w:rsid w:val="00D17B53"/>
    <w:rsid w:val="00D205AF"/>
    <w:rsid w:val="00D2104A"/>
    <w:rsid w:val="00D213F1"/>
    <w:rsid w:val="00D21BB5"/>
    <w:rsid w:val="00D21FFC"/>
    <w:rsid w:val="00D223A3"/>
    <w:rsid w:val="00D223B6"/>
    <w:rsid w:val="00D223E8"/>
    <w:rsid w:val="00D22DC8"/>
    <w:rsid w:val="00D243D3"/>
    <w:rsid w:val="00D24788"/>
    <w:rsid w:val="00D247D4"/>
    <w:rsid w:val="00D24ECD"/>
    <w:rsid w:val="00D24FAD"/>
    <w:rsid w:val="00D2522A"/>
    <w:rsid w:val="00D2531C"/>
    <w:rsid w:val="00D255F3"/>
    <w:rsid w:val="00D26C21"/>
    <w:rsid w:val="00D2742F"/>
    <w:rsid w:val="00D2754F"/>
    <w:rsid w:val="00D279D9"/>
    <w:rsid w:val="00D3030A"/>
    <w:rsid w:val="00D312CE"/>
    <w:rsid w:val="00D312DC"/>
    <w:rsid w:val="00D31B84"/>
    <w:rsid w:val="00D31C6A"/>
    <w:rsid w:val="00D31EDF"/>
    <w:rsid w:val="00D31FF9"/>
    <w:rsid w:val="00D32149"/>
    <w:rsid w:val="00D32256"/>
    <w:rsid w:val="00D32A27"/>
    <w:rsid w:val="00D32ABC"/>
    <w:rsid w:val="00D34B25"/>
    <w:rsid w:val="00D34F4E"/>
    <w:rsid w:val="00D357F3"/>
    <w:rsid w:val="00D35C0E"/>
    <w:rsid w:val="00D373A8"/>
    <w:rsid w:val="00D375FF"/>
    <w:rsid w:val="00D379A5"/>
    <w:rsid w:val="00D401BE"/>
    <w:rsid w:val="00D4043A"/>
    <w:rsid w:val="00D40A8E"/>
    <w:rsid w:val="00D40DB0"/>
    <w:rsid w:val="00D40E05"/>
    <w:rsid w:val="00D40F8B"/>
    <w:rsid w:val="00D4106A"/>
    <w:rsid w:val="00D41858"/>
    <w:rsid w:val="00D422DB"/>
    <w:rsid w:val="00D42A83"/>
    <w:rsid w:val="00D42AC2"/>
    <w:rsid w:val="00D4498E"/>
    <w:rsid w:val="00D4515F"/>
    <w:rsid w:val="00D451E8"/>
    <w:rsid w:val="00D4636B"/>
    <w:rsid w:val="00D466C9"/>
    <w:rsid w:val="00D467D8"/>
    <w:rsid w:val="00D47275"/>
    <w:rsid w:val="00D4767B"/>
    <w:rsid w:val="00D50AEF"/>
    <w:rsid w:val="00D50C39"/>
    <w:rsid w:val="00D50F9C"/>
    <w:rsid w:val="00D51E15"/>
    <w:rsid w:val="00D52B7E"/>
    <w:rsid w:val="00D52E2F"/>
    <w:rsid w:val="00D52F59"/>
    <w:rsid w:val="00D53E3E"/>
    <w:rsid w:val="00D53F9B"/>
    <w:rsid w:val="00D555FE"/>
    <w:rsid w:val="00D55904"/>
    <w:rsid w:val="00D5616F"/>
    <w:rsid w:val="00D57940"/>
    <w:rsid w:val="00D579DE"/>
    <w:rsid w:val="00D60327"/>
    <w:rsid w:val="00D61526"/>
    <w:rsid w:val="00D61F81"/>
    <w:rsid w:val="00D623A9"/>
    <w:rsid w:val="00D62BE6"/>
    <w:rsid w:val="00D633AC"/>
    <w:rsid w:val="00D63766"/>
    <w:rsid w:val="00D63912"/>
    <w:rsid w:val="00D63923"/>
    <w:rsid w:val="00D6417A"/>
    <w:rsid w:val="00D6451B"/>
    <w:rsid w:val="00D64B57"/>
    <w:rsid w:val="00D659EA"/>
    <w:rsid w:val="00D65DEA"/>
    <w:rsid w:val="00D65DFE"/>
    <w:rsid w:val="00D67BC7"/>
    <w:rsid w:val="00D701F1"/>
    <w:rsid w:val="00D705D3"/>
    <w:rsid w:val="00D70E00"/>
    <w:rsid w:val="00D715AC"/>
    <w:rsid w:val="00D71851"/>
    <w:rsid w:val="00D718CF"/>
    <w:rsid w:val="00D728F5"/>
    <w:rsid w:val="00D72E9D"/>
    <w:rsid w:val="00D73249"/>
    <w:rsid w:val="00D73419"/>
    <w:rsid w:val="00D736CA"/>
    <w:rsid w:val="00D73CA9"/>
    <w:rsid w:val="00D7481A"/>
    <w:rsid w:val="00D751B7"/>
    <w:rsid w:val="00D7524B"/>
    <w:rsid w:val="00D75396"/>
    <w:rsid w:val="00D759C0"/>
    <w:rsid w:val="00D75BA7"/>
    <w:rsid w:val="00D75C05"/>
    <w:rsid w:val="00D75E99"/>
    <w:rsid w:val="00D766C7"/>
    <w:rsid w:val="00D7692B"/>
    <w:rsid w:val="00D7734F"/>
    <w:rsid w:val="00D8044C"/>
    <w:rsid w:val="00D805D6"/>
    <w:rsid w:val="00D8075E"/>
    <w:rsid w:val="00D80860"/>
    <w:rsid w:val="00D80D4C"/>
    <w:rsid w:val="00D810DB"/>
    <w:rsid w:val="00D8184D"/>
    <w:rsid w:val="00D81A7B"/>
    <w:rsid w:val="00D81FE9"/>
    <w:rsid w:val="00D8223C"/>
    <w:rsid w:val="00D82B57"/>
    <w:rsid w:val="00D82CE5"/>
    <w:rsid w:val="00D8342C"/>
    <w:rsid w:val="00D85494"/>
    <w:rsid w:val="00D8582C"/>
    <w:rsid w:val="00D85D61"/>
    <w:rsid w:val="00D8616D"/>
    <w:rsid w:val="00D8711B"/>
    <w:rsid w:val="00D87384"/>
    <w:rsid w:val="00D90683"/>
    <w:rsid w:val="00D915C8"/>
    <w:rsid w:val="00D91C0A"/>
    <w:rsid w:val="00D9261C"/>
    <w:rsid w:val="00D9310B"/>
    <w:rsid w:val="00D93726"/>
    <w:rsid w:val="00D93DD3"/>
    <w:rsid w:val="00D93F3E"/>
    <w:rsid w:val="00D9405B"/>
    <w:rsid w:val="00D94942"/>
    <w:rsid w:val="00D95145"/>
    <w:rsid w:val="00D95381"/>
    <w:rsid w:val="00D95AB3"/>
    <w:rsid w:val="00D96614"/>
    <w:rsid w:val="00D967CB"/>
    <w:rsid w:val="00D96EE0"/>
    <w:rsid w:val="00D96EE5"/>
    <w:rsid w:val="00D97BD1"/>
    <w:rsid w:val="00DA06B8"/>
    <w:rsid w:val="00DA1CA8"/>
    <w:rsid w:val="00DA286D"/>
    <w:rsid w:val="00DA2969"/>
    <w:rsid w:val="00DA29B7"/>
    <w:rsid w:val="00DA4842"/>
    <w:rsid w:val="00DA5989"/>
    <w:rsid w:val="00DA5AB1"/>
    <w:rsid w:val="00DA5F9D"/>
    <w:rsid w:val="00DA69B2"/>
    <w:rsid w:val="00DA6A7B"/>
    <w:rsid w:val="00DA7462"/>
    <w:rsid w:val="00DA777E"/>
    <w:rsid w:val="00DA7AD0"/>
    <w:rsid w:val="00DB02D7"/>
    <w:rsid w:val="00DB03CC"/>
    <w:rsid w:val="00DB12D4"/>
    <w:rsid w:val="00DB14F0"/>
    <w:rsid w:val="00DB1745"/>
    <w:rsid w:val="00DB1AFF"/>
    <w:rsid w:val="00DB219A"/>
    <w:rsid w:val="00DB3165"/>
    <w:rsid w:val="00DB4292"/>
    <w:rsid w:val="00DB48C4"/>
    <w:rsid w:val="00DB5196"/>
    <w:rsid w:val="00DB5C03"/>
    <w:rsid w:val="00DB68BB"/>
    <w:rsid w:val="00DB6DBE"/>
    <w:rsid w:val="00DB6E46"/>
    <w:rsid w:val="00DB7117"/>
    <w:rsid w:val="00DB75D9"/>
    <w:rsid w:val="00DB7760"/>
    <w:rsid w:val="00DB7DD4"/>
    <w:rsid w:val="00DB7E44"/>
    <w:rsid w:val="00DC00B4"/>
    <w:rsid w:val="00DC037A"/>
    <w:rsid w:val="00DC0954"/>
    <w:rsid w:val="00DC15BA"/>
    <w:rsid w:val="00DC18CD"/>
    <w:rsid w:val="00DC1A68"/>
    <w:rsid w:val="00DC229A"/>
    <w:rsid w:val="00DC30B8"/>
    <w:rsid w:val="00DC32C6"/>
    <w:rsid w:val="00DC3720"/>
    <w:rsid w:val="00DC3804"/>
    <w:rsid w:val="00DC478F"/>
    <w:rsid w:val="00DC52AB"/>
    <w:rsid w:val="00DC62E5"/>
    <w:rsid w:val="00DC67EB"/>
    <w:rsid w:val="00DC6AB9"/>
    <w:rsid w:val="00DC6F33"/>
    <w:rsid w:val="00DC7349"/>
    <w:rsid w:val="00DD0B21"/>
    <w:rsid w:val="00DD118B"/>
    <w:rsid w:val="00DD14D8"/>
    <w:rsid w:val="00DD1599"/>
    <w:rsid w:val="00DD177F"/>
    <w:rsid w:val="00DD1B03"/>
    <w:rsid w:val="00DD2A62"/>
    <w:rsid w:val="00DD2F2F"/>
    <w:rsid w:val="00DD2F7A"/>
    <w:rsid w:val="00DD3885"/>
    <w:rsid w:val="00DD5056"/>
    <w:rsid w:val="00DD5808"/>
    <w:rsid w:val="00DD5946"/>
    <w:rsid w:val="00DD5B04"/>
    <w:rsid w:val="00DD5DAE"/>
    <w:rsid w:val="00DD5EC6"/>
    <w:rsid w:val="00DD605F"/>
    <w:rsid w:val="00DD6657"/>
    <w:rsid w:val="00DD6D71"/>
    <w:rsid w:val="00DD72A0"/>
    <w:rsid w:val="00DD735D"/>
    <w:rsid w:val="00DE0159"/>
    <w:rsid w:val="00DE064A"/>
    <w:rsid w:val="00DE082D"/>
    <w:rsid w:val="00DE1410"/>
    <w:rsid w:val="00DE3119"/>
    <w:rsid w:val="00DE3FF0"/>
    <w:rsid w:val="00DE4105"/>
    <w:rsid w:val="00DE5189"/>
    <w:rsid w:val="00DE5680"/>
    <w:rsid w:val="00DE6230"/>
    <w:rsid w:val="00DE6EA5"/>
    <w:rsid w:val="00DE7108"/>
    <w:rsid w:val="00DE78D1"/>
    <w:rsid w:val="00DF0263"/>
    <w:rsid w:val="00DF0EB4"/>
    <w:rsid w:val="00DF1E36"/>
    <w:rsid w:val="00DF1FDB"/>
    <w:rsid w:val="00DF236B"/>
    <w:rsid w:val="00DF2A91"/>
    <w:rsid w:val="00DF2F82"/>
    <w:rsid w:val="00DF3889"/>
    <w:rsid w:val="00DF3B50"/>
    <w:rsid w:val="00DF3CC9"/>
    <w:rsid w:val="00DF4451"/>
    <w:rsid w:val="00DF49FF"/>
    <w:rsid w:val="00DF4FFB"/>
    <w:rsid w:val="00DF5236"/>
    <w:rsid w:val="00DF651F"/>
    <w:rsid w:val="00DF67DF"/>
    <w:rsid w:val="00DF6E10"/>
    <w:rsid w:val="00DF6F43"/>
    <w:rsid w:val="00DF752F"/>
    <w:rsid w:val="00DF76A2"/>
    <w:rsid w:val="00DF7B33"/>
    <w:rsid w:val="00E00B7A"/>
    <w:rsid w:val="00E02186"/>
    <w:rsid w:val="00E0264A"/>
    <w:rsid w:val="00E026BB"/>
    <w:rsid w:val="00E027C5"/>
    <w:rsid w:val="00E03124"/>
    <w:rsid w:val="00E031EB"/>
    <w:rsid w:val="00E03951"/>
    <w:rsid w:val="00E03DB8"/>
    <w:rsid w:val="00E051B3"/>
    <w:rsid w:val="00E05E70"/>
    <w:rsid w:val="00E064BC"/>
    <w:rsid w:val="00E06734"/>
    <w:rsid w:val="00E07225"/>
    <w:rsid w:val="00E07AAA"/>
    <w:rsid w:val="00E100CA"/>
    <w:rsid w:val="00E109DD"/>
    <w:rsid w:val="00E11229"/>
    <w:rsid w:val="00E114CA"/>
    <w:rsid w:val="00E1185C"/>
    <w:rsid w:val="00E11CF0"/>
    <w:rsid w:val="00E120F9"/>
    <w:rsid w:val="00E132D5"/>
    <w:rsid w:val="00E1397F"/>
    <w:rsid w:val="00E13AB8"/>
    <w:rsid w:val="00E1482E"/>
    <w:rsid w:val="00E16382"/>
    <w:rsid w:val="00E16572"/>
    <w:rsid w:val="00E1699C"/>
    <w:rsid w:val="00E16E75"/>
    <w:rsid w:val="00E17282"/>
    <w:rsid w:val="00E1746D"/>
    <w:rsid w:val="00E2012A"/>
    <w:rsid w:val="00E205A2"/>
    <w:rsid w:val="00E20BA4"/>
    <w:rsid w:val="00E226F9"/>
    <w:rsid w:val="00E23137"/>
    <w:rsid w:val="00E2324A"/>
    <w:rsid w:val="00E23980"/>
    <w:rsid w:val="00E241E9"/>
    <w:rsid w:val="00E24D6A"/>
    <w:rsid w:val="00E2520A"/>
    <w:rsid w:val="00E257C3"/>
    <w:rsid w:val="00E25CB3"/>
    <w:rsid w:val="00E25DA4"/>
    <w:rsid w:val="00E26CB8"/>
    <w:rsid w:val="00E26FCF"/>
    <w:rsid w:val="00E27165"/>
    <w:rsid w:val="00E27226"/>
    <w:rsid w:val="00E27C3F"/>
    <w:rsid w:val="00E3039F"/>
    <w:rsid w:val="00E3044A"/>
    <w:rsid w:val="00E31A4A"/>
    <w:rsid w:val="00E31C43"/>
    <w:rsid w:val="00E32DD5"/>
    <w:rsid w:val="00E32FA8"/>
    <w:rsid w:val="00E3344A"/>
    <w:rsid w:val="00E33B29"/>
    <w:rsid w:val="00E33B62"/>
    <w:rsid w:val="00E3403D"/>
    <w:rsid w:val="00E34E6C"/>
    <w:rsid w:val="00E350D8"/>
    <w:rsid w:val="00E353E2"/>
    <w:rsid w:val="00E35B65"/>
    <w:rsid w:val="00E36345"/>
    <w:rsid w:val="00E36C86"/>
    <w:rsid w:val="00E36CEB"/>
    <w:rsid w:val="00E37660"/>
    <w:rsid w:val="00E37A28"/>
    <w:rsid w:val="00E40430"/>
    <w:rsid w:val="00E40690"/>
    <w:rsid w:val="00E40AEB"/>
    <w:rsid w:val="00E4143A"/>
    <w:rsid w:val="00E424C8"/>
    <w:rsid w:val="00E4251D"/>
    <w:rsid w:val="00E431B0"/>
    <w:rsid w:val="00E43D00"/>
    <w:rsid w:val="00E445E4"/>
    <w:rsid w:val="00E457CB"/>
    <w:rsid w:val="00E45D47"/>
    <w:rsid w:val="00E45DE4"/>
    <w:rsid w:val="00E45E63"/>
    <w:rsid w:val="00E46D10"/>
    <w:rsid w:val="00E472AD"/>
    <w:rsid w:val="00E50A7B"/>
    <w:rsid w:val="00E50B0B"/>
    <w:rsid w:val="00E510FE"/>
    <w:rsid w:val="00E511D6"/>
    <w:rsid w:val="00E51C89"/>
    <w:rsid w:val="00E51E25"/>
    <w:rsid w:val="00E5205B"/>
    <w:rsid w:val="00E521AE"/>
    <w:rsid w:val="00E52C99"/>
    <w:rsid w:val="00E53BCA"/>
    <w:rsid w:val="00E53F02"/>
    <w:rsid w:val="00E54534"/>
    <w:rsid w:val="00E548C3"/>
    <w:rsid w:val="00E54F27"/>
    <w:rsid w:val="00E55552"/>
    <w:rsid w:val="00E556F5"/>
    <w:rsid w:val="00E55FF1"/>
    <w:rsid w:val="00E56090"/>
    <w:rsid w:val="00E565B9"/>
    <w:rsid w:val="00E5733B"/>
    <w:rsid w:val="00E57403"/>
    <w:rsid w:val="00E5756C"/>
    <w:rsid w:val="00E601BE"/>
    <w:rsid w:val="00E60B5F"/>
    <w:rsid w:val="00E613AE"/>
    <w:rsid w:val="00E61429"/>
    <w:rsid w:val="00E61ABB"/>
    <w:rsid w:val="00E61FD7"/>
    <w:rsid w:val="00E623E6"/>
    <w:rsid w:val="00E630C0"/>
    <w:rsid w:val="00E63107"/>
    <w:rsid w:val="00E634E6"/>
    <w:rsid w:val="00E63DCE"/>
    <w:rsid w:val="00E64700"/>
    <w:rsid w:val="00E64E0B"/>
    <w:rsid w:val="00E65074"/>
    <w:rsid w:val="00E65E70"/>
    <w:rsid w:val="00E65EE9"/>
    <w:rsid w:val="00E66087"/>
    <w:rsid w:val="00E66091"/>
    <w:rsid w:val="00E66D79"/>
    <w:rsid w:val="00E66FF9"/>
    <w:rsid w:val="00E67856"/>
    <w:rsid w:val="00E679C8"/>
    <w:rsid w:val="00E67E59"/>
    <w:rsid w:val="00E70314"/>
    <w:rsid w:val="00E709C1"/>
    <w:rsid w:val="00E724E7"/>
    <w:rsid w:val="00E72B41"/>
    <w:rsid w:val="00E7301D"/>
    <w:rsid w:val="00E7347B"/>
    <w:rsid w:val="00E73D03"/>
    <w:rsid w:val="00E7471C"/>
    <w:rsid w:val="00E748F4"/>
    <w:rsid w:val="00E7498A"/>
    <w:rsid w:val="00E7514E"/>
    <w:rsid w:val="00E75B34"/>
    <w:rsid w:val="00E76D8A"/>
    <w:rsid w:val="00E77AF5"/>
    <w:rsid w:val="00E8029A"/>
    <w:rsid w:val="00E8050F"/>
    <w:rsid w:val="00E81653"/>
    <w:rsid w:val="00E823F9"/>
    <w:rsid w:val="00E82C1F"/>
    <w:rsid w:val="00E83671"/>
    <w:rsid w:val="00E8414B"/>
    <w:rsid w:val="00E84A71"/>
    <w:rsid w:val="00E85409"/>
    <w:rsid w:val="00E8544B"/>
    <w:rsid w:val="00E86556"/>
    <w:rsid w:val="00E86798"/>
    <w:rsid w:val="00E86D35"/>
    <w:rsid w:val="00E86DC2"/>
    <w:rsid w:val="00E86E32"/>
    <w:rsid w:val="00E8732E"/>
    <w:rsid w:val="00E9011F"/>
    <w:rsid w:val="00E90370"/>
    <w:rsid w:val="00E906EB"/>
    <w:rsid w:val="00E913F9"/>
    <w:rsid w:val="00E9241E"/>
    <w:rsid w:val="00E92460"/>
    <w:rsid w:val="00E92E62"/>
    <w:rsid w:val="00E937BB"/>
    <w:rsid w:val="00E93804"/>
    <w:rsid w:val="00E93A86"/>
    <w:rsid w:val="00E95434"/>
    <w:rsid w:val="00E96467"/>
    <w:rsid w:val="00E966DA"/>
    <w:rsid w:val="00E96948"/>
    <w:rsid w:val="00E9737B"/>
    <w:rsid w:val="00E97A3F"/>
    <w:rsid w:val="00E97F0A"/>
    <w:rsid w:val="00EA0100"/>
    <w:rsid w:val="00EA010D"/>
    <w:rsid w:val="00EA04DC"/>
    <w:rsid w:val="00EA0886"/>
    <w:rsid w:val="00EA0BCE"/>
    <w:rsid w:val="00EA14AC"/>
    <w:rsid w:val="00EA2726"/>
    <w:rsid w:val="00EA2744"/>
    <w:rsid w:val="00EA2937"/>
    <w:rsid w:val="00EA3626"/>
    <w:rsid w:val="00EA37B9"/>
    <w:rsid w:val="00EA39F7"/>
    <w:rsid w:val="00EA3B27"/>
    <w:rsid w:val="00EA3DC2"/>
    <w:rsid w:val="00EA434E"/>
    <w:rsid w:val="00EA4757"/>
    <w:rsid w:val="00EA519E"/>
    <w:rsid w:val="00EA53D3"/>
    <w:rsid w:val="00EA560B"/>
    <w:rsid w:val="00EA5669"/>
    <w:rsid w:val="00EA5C05"/>
    <w:rsid w:val="00EA63EF"/>
    <w:rsid w:val="00EA6750"/>
    <w:rsid w:val="00EB0A89"/>
    <w:rsid w:val="00EB1573"/>
    <w:rsid w:val="00EB1650"/>
    <w:rsid w:val="00EB1910"/>
    <w:rsid w:val="00EB1D24"/>
    <w:rsid w:val="00EB1E66"/>
    <w:rsid w:val="00EB2E97"/>
    <w:rsid w:val="00EB3416"/>
    <w:rsid w:val="00EB4424"/>
    <w:rsid w:val="00EB4A3B"/>
    <w:rsid w:val="00EB4AE1"/>
    <w:rsid w:val="00EB52F4"/>
    <w:rsid w:val="00EB5694"/>
    <w:rsid w:val="00EB5779"/>
    <w:rsid w:val="00EB6098"/>
    <w:rsid w:val="00EB65ED"/>
    <w:rsid w:val="00EB67F1"/>
    <w:rsid w:val="00EB72CD"/>
    <w:rsid w:val="00EB749A"/>
    <w:rsid w:val="00EB76B6"/>
    <w:rsid w:val="00EB7D8A"/>
    <w:rsid w:val="00EC05E2"/>
    <w:rsid w:val="00EC08AF"/>
    <w:rsid w:val="00EC0B29"/>
    <w:rsid w:val="00EC0E84"/>
    <w:rsid w:val="00EC16E2"/>
    <w:rsid w:val="00EC1CE7"/>
    <w:rsid w:val="00EC1F3F"/>
    <w:rsid w:val="00EC2676"/>
    <w:rsid w:val="00EC26F1"/>
    <w:rsid w:val="00EC36B1"/>
    <w:rsid w:val="00EC3C94"/>
    <w:rsid w:val="00EC44DF"/>
    <w:rsid w:val="00EC4AB1"/>
    <w:rsid w:val="00EC4FB9"/>
    <w:rsid w:val="00EC51FA"/>
    <w:rsid w:val="00EC5393"/>
    <w:rsid w:val="00EC5741"/>
    <w:rsid w:val="00EC5ACE"/>
    <w:rsid w:val="00EC5AE3"/>
    <w:rsid w:val="00EC5DA3"/>
    <w:rsid w:val="00EC6014"/>
    <w:rsid w:val="00EC6B3E"/>
    <w:rsid w:val="00EC6D8D"/>
    <w:rsid w:val="00EC73DE"/>
    <w:rsid w:val="00EC7637"/>
    <w:rsid w:val="00EC7CF2"/>
    <w:rsid w:val="00ED046B"/>
    <w:rsid w:val="00ED046C"/>
    <w:rsid w:val="00ED053A"/>
    <w:rsid w:val="00ED1F03"/>
    <w:rsid w:val="00ED2D27"/>
    <w:rsid w:val="00ED3347"/>
    <w:rsid w:val="00ED3954"/>
    <w:rsid w:val="00ED43A2"/>
    <w:rsid w:val="00ED4967"/>
    <w:rsid w:val="00ED4EC8"/>
    <w:rsid w:val="00ED510D"/>
    <w:rsid w:val="00ED5140"/>
    <w:rsid w:val="00ED538C"/>
    <w:rsid w:val="00ED5771"/>
    <w:rsid w:val="00ED587F"/>
    <w:rsid w:val="00ED5964"/>
    <w:rsid w:val="00ED623F"/>
    <w:rsid w:val="00ED69BA"/>
    <w:rsid w:val="00ED72E9"/>
    <w:rsid w:val="00ED732E"/>
    <w:rsid w:val="00ED77F0"/>
    <w:rsid w:val="00ED7FBC"/>
    <w:rsid w:val="00EE0253"/>
    <w:rsid w:val="00EE0297"/>
    <w:rsid w:val="00EE0789"/>
    <w:rsid w:val="00EE0B63"/>
    <w:rsid w:val="00EE1258"/>
    <w:rsid w:val="00EE13DA"/>
    <w:rsid w:val="00EE15E2"/>
    <w:rsid w:val="00EE162F"/>
    <w:rsid w:val="00EE1668"/>
    <w:rsid w:val="00EE1B27"/>
    <w:rsid w:val="00EE341D"/>
    <w:rsid w:val="00EE34D4"/>
    <w:rsid w:val="00EE366D"/>
    <w:rsid w:val="00EE5350"/>
    <w:rsid w:val="00EE5454"/>
    <w:rsid w:val="00EE58B8"/>
    <w:rsid w:val="00EE59B5"/>
    <w:rsid w:val="00EE5CF6"/>
    <w:rsid w:val="00EE5D1D"/>
    <w:rsid w:val="00EE5FB7"/>
    <w:rsid w:val="00EE6A1A"/>
    <w:rsid w:val="00EE7B54"/>
    <w:rsid w:val="00EE7C88"/>
    <w:rsid w:val="00EE7C8B"/>
    <w:rsid w:val="00EF000B"/>
    <w:rsid w:val="00EF0209"/>
    <w:rsid w:val="00EF0EA4"/>
    <w:rsid w:val="00EF1E97"/>
    <w:rsid w:val="00EF2436"/>
    <w:rsid w:val="00EF2547"/>
    <w:rsid w:val="00EF2B2B"/>
    <w:rsid w:val="00EF2E1C"/>
    <w:rsid w:val="00EF2FD6"/>
    <w:rsid w:val="00EF326A"/>
    <w:rsid w:val="00EF427A"/>
    <w:rsid w:val="00EF45DF"/>
    <w:rsid w:val="00EF4952"/>
    <w:rsid w:val="00EF498F"/>
    <w:rsid w:val="00EF4A42"/>
    <w:rsid w:val="00EF510C"/>
    <w:rsid w:val="00EF55C4"/>
    <w:rsid w:val="00EF57BC"/>
    <w:rsid w:val="00EF5FD2"/>
    <w:rsid w:val="00EF6784"/>
    <w:rsid w:val="00EF688A"/>
    <w:rsid w:val="00EF6A03"/>
    <w:rsid w:val="00EF6DC2"/>
    <w:rsid w:val="00EF7BF4"/>
    <w:rsid w:val="00F0030F"/>
    <w:rsid w:val="00F00674"/>
    <w:rsid w:val="00F00694"/>
    <w:rsid w:val="00F01657"/>
    <w:rsid w:val="00F01E67"/>
    <w:rsid w:val="00F02704"/>
    <w:rsid w:val="00F02744"/>
    <w:rsid w:val="00F02BFD"/>
    <w:rsid w:val="00F02D25"/>
    <w:rsid w:val="00F0435D"/>
    <w:rsid w:val="00F04580"/>
    <w:rsid w:val="00F04ECA"/>
    <w:rsid w:val="00F05089"/>
    <w:rsid w:val="00F05DC2"/>
    <w:rsid w:val="00F0640E"/>
    <w:rsid w:val="00F06E19"/>
    <w:rsid w:val="00F06F84"/>
    <w:rsid w:val="00F076E7"/>
    <w:rsid w:val="00F07AA1"/>
    <w:rsid w:val="00F105AE"/>
    <w:rsid w:val="00F10618"/>
    <w:rsid w:val="00F1108B"/>
    <w:rsid w:val="00F11768"/>
    <w:rsid w:val="00F11951"/>
    <w:rsid w:val="00F11BA8"/>
    <w:rsid w:val="00F12262"/>
    <w:rsid w:val="00F12AF8"/>
    <w:rsid w:val="00F12C52"/>
    <w:rsid w:val="00F148B7"/>
    <w:rsid w:val="00F14EA9"/>
    <w:rsid w:val="00F151DA"/>
    <w:rsid w:val="00F15505"/>
    <w:rsid w:val="00F15BFF"/>
    <w:rsid w:val="00F17105"/>
    <w:rsid w:val="00F20A0B"/>
    <w:rsid w:val="00F213A0"/>
    <w:rsid w:val="00F217AB"/>
    <w:rsid w:val="00F21A51"/>
    <w:rsid w:val="00F21D54"/>
    <w:rsid w:val="00F21D6D"/>
    <w:rsid w:val="00F21EF4"/>
    <w:rsid w:val="00F23113"/>
    <w:rsid w:val="00F23255"/>
    <w:rsid w:val="00F23393"/>
    <w:rsid w:val="00F23759"/>
    <w:rsid w:val="00F23CB5"/>
    <w:rsid w:val="00F23D19"/>
    <w:rsid w:val="00F24644"/>
    <w:rsid w:val="00F250F6"/>
    <w:rsid w:val="00F256FD"/>
    <w:rsid w:val="00F259F1"/>
    <w:rsid w:val="00F26F33"/>
    <w:rsid w:val="00F277F0"/>
    <w:rsid w:val="00F27E74"/>
    <w:rsid w:val="00F300A8"/>
    <w:rsid w:val="00F30265"/>
    <w:rsid w:val="00F30400"/>
    <w:rsid w:val="00F3079E"/>
    <w:rsid w:val="00F326BD"/>
    <w:rsid w:val="00F32C50"/>
    <w:rsid w:val="00F32EBA"/>
    <w:rsid w:val="00F32EE9"/>
    <w:rsid w:val="00F33980"/>
    <w:rsid w:val="00F3399B"/>
    <w:rsid w:val="00F33C1A"/>
    <w:rsid w:val="00F3461B"/>
    <w:rsid w:val="00F346ED"/>
    <w:rsid w:val="00F34945"/>
    <w:rsid w:val="00F34E1E"/>
    <w:rsid w:val="00F3570C"/>
    <w:rsid w:val="00F368FF"/>
    <w:rsid w:val="00F37068"/>
    <w:rsid w:val="00F37CE4"/>
    <w:rsid w:val="00F37F3F"/>
    <w:rsid w:val="00F407DF"/>
    <w:rsid w:val="00F40992"/>
    <w:rsid w:val="00F40AEC"/>
    <w:rsid w:val="00F40EA1"/>
    <w:rsid w:val="00F40EDD"/>
    <w:rsid w:val="00F412DF"/>
    <w:rsid w:val="00F41596"/>
    <w:rsid w:val="00F41883"/>
    <w:rsid w:val="00F41D8B"/>
    <w:rsid w:val="00F42121"/>
    <w:rsid w:val="00F424B3"/>
    <w:rsid w:val="00F428B1"/>
    <w:rsid w:val="00F428B4"/>
    <w:rsid w:val="00F4345D"/>
    <w:rsid w:val="00F4387B"/>
    <w:rsid w:val="00F449DA"/>
    <w:rsid w:val="00F4518D"/>
    <w:rsid w:val="00F45B91"/>
    <w:rsid w:val="00F46639"/>
    <w:rsid w:val="00F46692"/>
    <w:rsid w:val="00F46BD5"/>
    <w:rsid w:val="00F474BD"/>
    <w:rsid w:val="00F47AAA"/>
    <w:rsid w:val="00F50183"/>
    <w:rsid w:val="00F50D92"/>
    <w:rsid w:val="00F51765"/>
    <w:rsid w:val="00F51A51"/>
    <w:rsid w:val="00F51CB4"/>
    <w:rsid w:val="00F52324"/>
    <w:rsid w:val="00F52950"/>
    <w:rsid w:val="00F52C9D"/>
    <w:rsid w:val="00F52E39"/>
    <w:rsid w:val="00F533F1"/>
    <w:rsid w:val="00F53B74"/>
    <w:rsid w:val="00F55679"/>
    <w:rsid w:val="00F561E3"/>
    <w:rsid w:val="00F56318"/>
    <w:rsid w:val="00F565E6"/>
    <w:rsid w:val="00F56AFA"/>
    <w:rsid w:val="00F56F47"/>
    <w:rsid w:val="00F575E2"/>
    <w:rsid w:val="00F579FF"/>
    <w:rsid w:val="00F600E0"/>
    <w:rsid w:val="00F600FD"/>
    <w:rsid w:val="00F605EC"/>
    <w:rsid w:val="00F60F60"/>
    <w:rsid w:val="00F612CE"/>
    <w:rsid w:val="00F624A7"/>
    <w:rsid w:val="00F62AB6"/>
    <w:rsid w:val="00F62E1B"/>
    <w:rsid w:val="00F6392E"/>
    <w:rsid w:val="00F63984"/>
    <w:rsid w:val="00F643C7"/>
    <w:rsid w:val="00F65A3C"/>
    <w:rsid w:val="00F66135"/>
    <w:rsid w:val="00F66282"/>
    <w:rsid w:val="00F67D8B"/>
    <w:rsid w:val="00F70961"/>
    <w:rsid w:val="00F70A8F"/>
    <w:rsid w:val="00F71397"/>
    <w:rsid w:val="00F72389"/>
    <w:rsid w:val="00F72516"/>
    <w:rsid w:val="00F72FB4"/>
    <w:rsid w:val="00F735E5"/>
    <w:rsid w:val="00F73DD9"/>
    <w:rsid w:val="00F73E80"/>
    <w:rsid w:val="00F7469C"/>
    <w:rsid w:val="00F747E9"/>
    <w:rsid w:val="00F7492E"/>
    <w:rsid w:val="00F74945"/>
    <w:rsid w:val="00F749A3"/>
    <w:rsid w:val="00F74A04"/>
    <w:rsid w:val="00F74AE8"/>
    <w:rsid w:val="00F74F57"/>
    <w:rsid w:val="00F76C11"/>
    <w:rsid w:val="00F77021"/>
    <w:rsid w:val="00F7748C"/>
    <w:rsid w:val="00F77E61"/>
    <w:rsid w:val="00F814B2"/>
    <w:rsid w:val="00F815AC"/>
    <w:rsid w:val="00F83200"/>
    <w:rsid w:val="00F83621"/>
    <w:rsid w:val="00F8389F"/>
    <w:rsid w:val="00F83B33"/>
    <w:rsid w:val="00F83CAE"/>
    <w:rsid w:val="00F840BF"/>
    <w:rsid w:val="00F8415D"/>
    <w:rsid w:val="00F8427A"/>
    <w:rsid w:val="00F843DF"/>
    <w:rsid w:val="00F84899"/>
    <w:rsid w:val="00F84A0A"/>
    <w:rsid w:val="00F853A5"/>
    <w:rsid w:val="00F85585"/>
    <w:rsid w:val="00F859F0"/>
    <w:rsid w:val="00F85CC1"/>
    <w:rsid w:val="00F86A41"/>
    <w:rsid w:val="00F86B5D"/>
    <w:rsid w:val="00F86F93"/>
    <w:rsid w:val="00F87464"/>
    <w:rsid w:val="00F87634"/>
    <w:rsid w:val="00F87765"/>
    <w:rsid w:val="00F87C13"/>
    <w:rsid w:val="00F87C5A"/>
    <w:rsid w:val="00F87E29"/>
    <w:rsid w:val="00F87F18"/>
    <w:rsid w:val="00F87F68"/>
    <w:rsid w:val="00F90C4D"/>
    <w:rsid w:val="00F9167D"/>
    <w:rsid w:val="00F91CB2"/>
    <w:rsid w:val="00F9289C"/>
    <w:rsid w:val="00F93AAD"/>
    <w:rsid w:val="00F93DBC"/>
    <w:rsid w:val="00F93E41"/>
    <w:rsid w:val="00F94644"/>
    <w:rsid w:val="00F94B13"/>
    <w:rsid w:val="00F95075"/>
    <w:rsid w:val="00F95252"/>
    <w:rsid w:val="00F9537B"/>
    <w:rsid w:val="00F95567"/>
    <w:rsid w:val="00F963FC"/>
    <w:rsid w:val="00F96D27"/>
    <w:rsid w:val="00FA015F"/>
    <w:rsid w:val="00FA0687"/>
    <w:rsid w:val="00FA0FAC"/>
    <w:rsid w:val="00FA1DA2"/>
    <w:rsid w:val="00FA2EC7"/>
    <w:rsid w:val="00FA310E"/>
    <w:rsid w:val="00FA3414"/>
    <w:rsid w:val="00FA347A"/>
    <w:rsid w:val="00FA39D7"/>
    <w:rsid w:val="00FA3CDE"/>
    <w:rsid w:val="00FA4691"/>
    <w:rsid w:val="00FA49B7"/>
    <w:rsid w:val="00FA5043"/>
    <w:rsid w:val="00FA6F8B"/>
    <w:rsid w:val="00FA7A30"/>
    <w:rsid w:val="00FB033F"/>
    <w:rsid w:val="00FB12E3"/>
    <w:rsid w:val="00FB1570"/>
    <w:rsid w:val="00FB193B"/>
    <w:rsid w:val="00FB1FBC"/>
    <w:rsid w:val="00FB27B7"/>
    <w:rsid w:val="00FB2C36"/>
    <w:rsid w:val="00FB3483"/>
    <w:rsid w:val="00FB35E3"/>
    <w:rsid w:val="00FB44AA"/>
    <w:rsid w:val="00FB4D3F"/>
    <w:rsid w:val="00FB583C"/>
    <w:rsid w:val="00FB630E"/>
    <w:rsid w:val="00FB6738"/>
    <w:rsid w:val="00FB691B"/>
    <w:rsid w:val="00FB731C"/>
    <w:rsid w:val="00FB7DF8"/>
    <w:rsid w:val="00FC05A0"/>
    <w:rsid w:val="00FC0811"/>
    <w:rsid w:val="00FC1196"/>
    <w:rsid w:val="00FC15EB"/>
    <w:rsid w:val="00FC18DC"/>
    <w:rsid w:val="00FC2AC4"/>
    <w:rsid w:val="00FC2B08"/>
    <w:rsid w:val="00FC2F73"/>
    <w:rsid w:val="00FC3A9B"/>
    <w:rsid w:val="00FC3AE1"/>
    <w:rsid w:val="00FC3DFC"/>
    <w:rsid w:val="00FC3EF4"/>
    <w:rsid w:val="00FC431B"/>
    <w:rsid w:val="00FC434C"/>
    <w:rsid w:val="00FC4FDF"/>
    <w:rsid w:val="00FC5CF4"/>
    <w:rsid w:val="00FC6A39"/>
    <w:rsid w:val="00FC6E50"/>
    <w:rsid w:val="00FC79AB"/>
    <w:rsid w:val="00FC7BE7"/>
    <w:rsid w:val="00FC7D93"/>
    <w:rsid w:val="00FC7DAC"/>
    <w:rsid w:val="00FD04AE"/>
    <w:rsid w:val="00FD1890"/>
    <w:rsid w:val="00FD1994"/>
    <w:rsid w:val="00FD2AC8"/>
    <w:rsid w:val="00FD2CA6"/>
    <w:rsid w:val="00FD3508"/>
    <w:rsid w:val="00FD36B5"/>
    <w:rsid w:val="00FD393C"/>
    <w:rsid w:val="00FD43BB"/>
    <w:rsid w:val="00FD4A85"/>
    <w:rsid w:val="00FD4AF3"/>
    <w:rsid w:val="00FD556A"/>
    <w:rsid w:val="00FD798D"/>
    <w:rsid w:val="00FD7FB9"/>
    <w:rsid w:val="00FE10F6"/>
    <w:rsid w:val="00FE1418"/>
    <w:rsid w:val="00FE141E"/>
    <w:rsid w:val="00FE144E"/>
    <w:rsid w:val="00FE1768"/>
    <w:rsid w:val="00FE24F4"/>
    <w:rsid w:val="00FE2560"/>
    <w:rsid w:val="00FE35D0"/>
    <w:rsid w:val="00FE39DD"/>
    <w:rsid w:val="00FE41AC"/>
    <w:rsid w:val="00FE42ED"/>
    <w:rsid w:val="00FE4C6D"/>
    <w:rsid w:val="00FE502D"/>
    <w:rsid w:val="00FE51FD"/>
    <w:rsid w:val="00FE55A7"/>
    <w:rsid w:val="00FE55E6"/>
    <w:rsid w:val="00FE56D5"/>
    <w:rsid w:val="00FE5C5A"/>
    <w:rsid w:val="00FE6432"/>
    <w:rsid w:val="00FE72A0"/>
    <w:rsid w:val="00FF0050"/>
    <w:rsid w:val="00FF045F"/>
    <w:rsid w:val="00FF0712"/>
    <w:rsid w:val="00FF13D4"/>
    <w:rsid w:val="00FF2053"/>
    <w:rsid w:val="00FF2C63"/>
    <w:rsid w:val="00FF3B37"/>
    <w:rsid w:val="00FF3D6F"/>
    <w:rsid w:val="00FF3FE5"/>
    <w:rsid w:val="00FF40FA"/>
    <w:rsid w:val="00FF4BD8"/>
    <w:rsid w:val="00FF4D11"/>
    <w:rsid w:val="00FF50BD"/>
    <w:rsid w:val="00FF5214"/>
    <w:rsid w:val="00FF596E"/>
    <w:rsid w:val="00FF5B59"/>
    <w:rsid w:val="00FF5BFD"/>
    <w:rsid w:val="00FF5C01"/>
    <w:rsid w:val="00FF5F9D"/>
    <w:rsid w:val="00FF6095"/>
    <w:rsid w:val="00FF628B"/>
    <w:rsid w:val="00FF62FE"/>
    <w:rsid w:val="00FF6553"/>
    <w:rsid w:val="00FF7134"/>
    <w:rsid w:val="00FF7A39"/>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8FC69B5"/>
  <w15:docId w15:val="{E7B7A6D8-5071-43F7-8E26-9CBF3DE87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8F4"/>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link w:val="Ttulo1Car"/>
    <w:uiPriority w:val="1"/>
    <w:qFormat/>
    <w:rsid w:val="006D712D"/>
    <w:pPr>
      <w:widowControl w:val="0"/>
      <w:autoSpaceDE w:val="0"/>
      <w:autoSpaceDN w:val="0"/>
      <w:ind w:left="660" w:hanging="366"/>
      <w:outlineLvl w:val="0"/>
    </w:pPr>
    <w:rPr>
      <w:rFonts w:ascii="Arial" w:eastAsia="Arial" w:hAnsi="Arial" w:cs="Arial"/>
      <w:b/>
      <w:bCs/>
      <w:sz w:val="22"/>
      <w:szCs w:val="22"/>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A34538"/>
    <w:pPr>
      <w:tabs>
        <w:tab w:val="center" w:pos="4419"/>
        <w:tab w:val="right" w:pos="8838"/>
      </w:tabs>
    </w:pPr>
    <w:rPr>
      <w:rFonts w:asciiTheme="minorHAnsi" w:eastAsiaTheme="minorHAnsi" w:hAnsiTheme="minorHAnsi" w:cstheme="minorBidi"/>
      <w:szCs w:val="22"/>
      <w:lang w:val="es-MX" w:eastAsia="en-US"/>
    </w:rPr>
  </w:style>
  <w:style w:type="character" w:customStyle="1" w:styleId="PiedepginaCar">
    <w:name w:val="Pie de página Car"/>
    <w:basedOn w:val="Fuentedeprrafopredeter"/>
    <w:link w:val="Piedepgina"/>
    <w:uiPriority w:val="99"/>
    <w:rsid w:val="00A34538"/>
    <w:rPr>
      <w:sz w:val="24"/>
      <w:lang w:val="es-MX"/>
    </w:rPr>
  </w:style>
  <w:style w:type="paragraph" w:styleId="Textodeglobo">
    <w:name w:val="Balloon Text"/>
    <w:basedOn w:val="Normal"/>
    <w:link w:val="TextodegloboCar"/>
    <w:uiPriority w:val="99"/>
    <w:semiHidden/>
    <w:unhideWhenUsed/>
    <w:rsid w:val="00A34538"/>
    <w:rPr>
      <w:rFonts w:ascii="Tahoma" w:eastAsiaTheme="minorHAnsi" w:hAnsi="Tahoma" w:cs="Tahoma"/>
      <w:sz w:val="16"/>
      <w:szCs w:val="16"/>
      <w:lang w:val="es-MX" w:eastAsia="en-US"/>
    </w:rPr>
  </w:style>
  <w:style w:type="character" w:customStyle="1" w:styleId="TextodegloboCar">
    <w:name w:val="Texto de globo Car"/>
    <w:basedOn w:val="Fuentedeprrafopredeter"/>
    <w:link w:val="Textodeglobo"/>
    <w:uiPriority w:val="99"/>
    <w:semiHidden/>
    <w:rsid w:val="00A34538"/>
    <w:rPr>
      <w:rFonts w:ascii="Tahoma" w:hAnsi="Tahoma" w:cs="Tahoma"/>
      <w:sz w:val="16"/>
      <w:szCs w:val="16"/>
      <w:lang w:val="es-MX"/>
    </w:rPr>
  </w:style>
  <w:style w:type="paragraph" w:styleId="Encabezado">
    <w:name w:val="header"/>
    <w:basedOn w:val="Normal"/>
    <w:link w:val="EncabezadoCar"/>
    <w:uiPriority w:val="99"/>
    <w:unhideWhenUsed/>
    <w:rsid w:val="009047C5"/>
    <w:pPr>
      <w:tabs>
        <w:tab w:val="center" w:pos="4252"/>
        <w:tab w:val="right" w:pos="8504"/>
      </w:tabs>
    </w:pPr>
    <w:rPr>
      <w:rFonts w:asciiTheme="minorHAnsi" w:eastAsiaTheme="minorHAnsi" w:hAnsiTheme="minorHAnsi" w:cstheme="minorBidi"/>
      <w:szCs w:val="22"/>
      <w:lang w:val="es-MX" w:eastAsia="en-US"/>
    </w:rPr>
  </w:style>
  <w:style w:type="character" w:customStyle="1" w:styleId="EncabezadoCar">
    <w:name w:val="Encabezado Car"/>
    <w:basedOn w:val="Fuentedeprrafopredeter"/>
    <w:link w:val="Encabezado"/>
    <w:uiPriority w:val="99"/>
    <w:rsid w:val="009047C5"/>
    <w:rPr>
      <w:sz w:val="24"/>
      <w:lang w:val="es-MX"/>
    </w:rPr>
  </w:style>
  <w:style w:type="table" w:styleId="Tablaconcuadrcula">
    <w:name w:val="Table Grid"/>
    <w:basedOn w:val="Tablanormal"/>
    <w:uiPriority w:val="59"/>
    <w:rsid w:val="009047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9047C5"/>
    <w:pPr>
      <w:ind w:left="720"/>
      <w:contextualSpacing/>
    </w:pPr>
    <w:rPr>
      <w:rFonts w:asciiTheme="minorHAnsi" w:eastAsiaTheme="minorHAnsi" w:hAnsiTheme="minorHAnsi" w:cstheme="minorBidi"/>
      <w:szCs w:val="22"/>
      <w:lang w:val="es-MX" w:eastAsia="en-US"/>
    </w:rPr>
  </w:style>
  <w:style w:type="character" w:styleId="Refdecomentario">
    <w:name w:val="annotation reference"/>
    <w:basedOn w:val="Fuentedeprrafopredeter"/>
    <w:uiPriority w:val="99"/>
    <w:semiHidden/>
    <w:unhideWhenUsed/>
    <w:rsid w:val="00DA5AB1"/>
    <w:rPr>
      <w:sz w:val="16"/>
      <w:szCs w:val="16"/>
    </w:rPr>
  </w:style>
  <w:style w:type="paragraph" w:styleId="Textocomentario">
    <w:name w:val="annotation text"/>
    <w:basedOn w:val="Normal"/>
    <w:link w:val="TextocomentarioCar"/>
    <w:uiPriority w:val="99"/>
    <w:unhideWhenUsed/>
    <w:rsid w:val="00DA5AB1"/>
    <w:rPr>
      <w:rFonts w:asciiTheme="minorHAnsi" w:eastAsiaTheme="minorHAnsi" w:hAnsiTheme="minorHAnsi" w:cstheme="minorBidi"/>
      <w:sz w:val="20"/>
      <w:szCs w:val="20"/>
      <w:lang w:val="es-MX" w:eastAsia="en-US"/>
    </w:rPr>
  </w:style>
  <w:style w:type="character" w:customStyle="1" w:styleId="TextocomentarioCar">
    <w:name w:val="Texto comentario Car"/>
    <w:basedOn w:val="Fuentedeprrafopredeter"/>
    <w:link w:val="Textocomentario"/>
    <w:uiPriority w:val="99"/>
    <w:rsid w:val="00DA5AB1"/>
    <w:rPr>
      <w:sz w:val="20"/>
      <w:szCs w:val="20"/>
      <w:lang w:val="es-MX"/>
    </w:rPr>
  </w:style>
  <w:style w:type="paragraph" w:styleId="Asuntodelcomentario">
    <w:name w:val="annotation subject"/>
    <w:basedOn w:val="Textocomentario"/>
    <w:next w:val="Textocomentario"/>
    <w:link w:val="AsuntodelcomentarioCar"/>
    <w:uiPriority w:val="99"/>
    <w:semiHidden/>
    <w:unhideWhenUsed/>
    <w:rsid w:val="00DA5AB1"/>
    <w:rPr>
      <w:b/>
      <w:bCs/>
    </w:rPr>
  </w:style>
  <w:style w:type="character" w:customStyle="1" w:styleId="AsuntodelcomentarioCar">
    <w:name w:val="Asunto del comentario Car"/>
    <w:basedOn w:val="TextocomentarioCar"/>
    <w:link w:val="Asuntodelcomentario"/>
    <w:uiPriority w:val="99"/>
    <w:semiHidden/>
    <w:rsid w:val="00DA5AB1"/>
    <w:rPr>
      <w:b/>
      <w:bCs/>
      <w:sz w:val="20"/>
      <w:szCs w:val="20"/>
      <w:lang w:val="es-MX"/>
    </w:rPr>
  </w:style>
  <w:style w:type="character" w:styleId="Hipervnculo">
    <w:name w:val="Hyperlink"/>
    <w:basedOn w:val="Fuentedeprrafopredeter"/>
    <w:uiPriority w:val="99"/>
    <w:unhideWhenUsed/>
    <w:rsid w:val="0085092D"/>
    <w:rPr>
      <w:color w:val="F2F2F2" w:themeColor="hyperlink"/>
      <w:u w:val="single"/>
    </w:rPr>
  </w:style>
  <w:style w:type="paragraph" w:styleId="NormalWeb">
    <w:name w:val="Normal (Web)"/>
    <w:basedOn w:val="Normal"/>
    <w:link w:val="NormalWebCar"/>
    <w:uiPriority w:val="99"/>
    <w:unhideWhenUsed/>
    <w:rsid w:val="00122B23"/>
    <w:pPr>
      <w:spacing w:before="100" w:beforeAutospacing="1" w:after="100" w:afterAutospacing="1"/>
    </w:pPr>
    <w:rPr>
      <w:lang w:eastAsia="es-CO"/>
    </w:rPr>
  </w:style>
  <w:style w:type="paragraph" w:styleId="Sinespaciado">
    <w:name w:val="No Spacing"/>
    <w:aliases w:val="No Indent"/>
    <w:uiPriority w:val="3"/>
    <w:qFormat/>
    <w:rsid w:val="007B0854"/>
    <w:pPr>
      <w:spacing w:after="0" w:line="240" w:lineRule="auto"/>
    </w:pPr>
    <w:rPr>
      <w:sz w:val="24"/>
      <w:lang w:val="es-MX"/>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7B0854"/>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Car"/>
    <w:basedOn w:val="Normal"/>
    <w:link w:val="TextonotapieCar"/>
    <w:uiPriority w:val="99"/>
    <w:unhideWhenUsed/>
    <w:qFormat/>
    <w:rsid w:val="007B0854"/>
    <w:rPr>
      <w:rFonts w:asciiTheme="minorHAnsi" w:eastAsiaTheme="minorHAnsi" w:hAnsiTheme="minorHAnsi" w:cstheme="minorBidi"/>
      <w:sz w:val="20"/>
      <w:szCs w:val="20"/>
      <w:lang w:val="es-MX" w:eastAsia="en-US"/>
    </w:rPr>
  </w:style>
  <w:style w:type="character" w:customStyle="1" w:styleId="TextonotapieCar1">
    <w:name w:val="Texto nota pie Car1"/>
    <w:basedOn w:val="Fuentedeprrafopredeter"/>
    <w:uiPriority w:val="99"/>
    <w:semiHidden/>
    <w:rsid w:val="007B0854"/>
    <w:rPr>
      <w:sz w:val="20"/>
      <w:szCs w:val="20"/>
      <w:lang w:val="es-MX"/>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7B0854"/>
    <w:rPr>
      <w:sz w:val="24"/>
      <w:lang w:val="es-MX"/>
    </w:rPr>
  </w:style>
  <w:style w:type="paragraph" w:customStyle="1" w:styleId="Capitulo1">
    <w:name w:val="Capitulo 1"/>
    <w:basedOn w:val="Normal"/>
    <w:qFormat/>
    <w:rsid w:val="007B0854"/>
    <w:pPr>
      <w:keepNext/>
      <w:spacing w:before="120" w:after="200" w:line="276" w:lineRule="auto"/>
      <w:ind w:left="720" w:hanging="360"/>
      <w:outlineLvl w:val="1"/>
    </w:pPr>
    <w:rPr>
      <w:rFonts w:ascii="Arial" w:hAnsi="Arial" w:cs="Arial"/>
      <w:b/>
      <w:color w:val="000000"/>
      <w:sz w:val="20"/>
      <w:szCs w:val="20"/>
      <w:lang w:eastAsia="es-CO"/>
    </w:rPr>
  </w:style>
  <w:style w:type="character" w:styleId="Refdenotaalpie">
    <w:name w:val="footnote reference"/>
    <w:aliases w:val="Ref. de nota al pie 2,Ref,de nota al pie,FC,Appel note de bas de p,f,4_G,16 Point,Superscript 6 Point,Texto nota al pie,Pie de Página,Texto de nota al pi,Nota de pie,Footnote Reference Char3,Texto nota pie Car2,Texto de nota al p,F,R"/>
    <w:basedOn w:val="Fuentedeprrafopredeter"/>
    <w:link w:val="Appelnotedebasde"/>
    <w:uiPriority w:val="99"/>
    <w:unhideWhenUsed/>
    <w:qFormat/>
    <w:rsid w:val="007B0854"/>
    <w:rPr>
      <w:vertAlign w:val="superscript"/>
    </w:rPr>
  </w:style>
  <w:style w:type="table" w:customStyle="1" w:styleId="Tablaconcuadrcula1">
    <w:name w:val="Tabla con cuadrícula1"/>
    <w:basedOn w:val="Tablanormal"/>
    <w:next w:val="Tablaconcuadrcula"/>
    <w:uiPriority w:val="59"/>
    <w:rsid w:val="00795647"/>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99"/>
    <w:unhideWhenUsed/>
    <w:rsid w:val="00F1108B"/>
    <w:pPr>
      <w:spacing w:after="120" w:line="276" w:lineRule="auto"/>
    </w:pPr>
    <w:rPr>
      <w:rFonts w:asciiTheme="minorHAnsi" w:eastAsiaTheme="minorEastAsia" w:hAnsiTheme="minorHAnsi" w:cstheme="minorBidi"/>
      <w:sz w:val="22"/>
      <w:szCs w:val="22"/>
      <w:lang w:eastAsia="es-CO"/>
    </w:rPr>
  </w:style>
  <w:style w:type="character" w:customStyle="1" w:styleId="TextoindependienteCar">
    <w:name w:val="Texto independiente Car"/>
    <w:basedOn w:val="Fuentedeprrafopredeter"/>
    <w:link w:val="Textoindependiente"/>
    <w:uiPriority w:val="99"/>
    <w:rsid w:val="00F1108B"/>
    <w:rPr>
      <w:rFonts w:eastAsiaTheme="minorEastAsia"/>
      <w:lang w:eastAsia="es-CO"/>
    </w:rPr>
  </w:style>
  <w:style w:type="character" w:customStyle="1" w:styleId="Mencinsinresolver1">
    <w:name w:val="Mención sin resolver1"/>
    <w:basedOn w:val="Fuentedeprrafopredeter"/>
    <w:uiPriority w:val="99"/>
    <w:semiHidden/>
    <w:unhideWhenUsed/>
    <w:rsid w:val="00247712"/>
    <w:rPr>
      <w:color w:val="605E5C"/>
      <w:shd w:val="clear" w:color="auto" w:fill="E1DFDD"/>
    </w:rPr>
  </w:style>
  <w:style w:type="character" w:customStyle="1" w:styleId="Mencinsinresolver2">
    <w:name w:val="Mención sin resolver2"/>
    <w:basedOn w:val="Fuentedeprrafopredeter"/>
    <w:uiPriority w:val="99"/>
    <w:semiHidden/>
    <w:unhideWhenUsed/>
    <w:rsid w:val="00717ACB"/>
    <w:rPr>
      <w:color w:val="605E5C"/>
      <w:shd w:val="clear" w:color="auto" w:fill="E1DFDD"/>
    </w:rPr>
  </w:style>
  <w:style w:type="character" w:customStyle="1" w:styleId="Mencinsinresolver3">
    <w:name w:val="Mención sin resolver3"/>
    <w:basedOn w:val="Fuentedeprrafopredeter"/>
    <w:uiPriority w:val="99"/>
    <w:rsid w:val="00517CFB"/>
    <w:rPr>
      <w:color w:val="605E5C"/>
      <w:shd w:val="clear" w:color="auto" w:fill="E1DFDD"/>
    </w:rPr>
  </w:style>
  <w:style w:type="paragraph" w:customStyle="1" w:styleId="Default">
    <w:name w:val="Default"/>
    <w:rsid w:val="008919CF"/>
    <w:pPr>
      <w:autoSpaceDE w:val="0"/>
      <w:autoSpaceDN w:val="0"/>
      <w:adjustRightInd w:val="0"/>
      <w:spacing w:after="0" w:line="240" w:lineRule="auto"/>
    </w:pPr>
    <w:rPr>
      <w:rFonts w:ascii="Arial" w:hAnsi="Arial" w:cs="Arial"/>
      <w:color w:val="000000"/>
      <w:sz w:val="24"/>
      <w:szCs w:val="24"/>
    </w:rPr>
  </w:style>
  <w:style w:type="paragraph" w:customStyle="1" w:styleId="paragraph">
    <w:name w:val="paragraph"/>
    <w:basedOn w:val="Normal"/>
    <w:rsid w:val="00DD5B04"/>
    <w:pPr>
      <w:spacing w:before="100" w:beforeAutospacing="1" w:after="100" w:afterAutospacing="1"/>
    </w:pPr>
    <w:rPr>
      <w:lang w:eastAsia="es-CO"/>
    </w:rPr>
  </w:style>
  <w:style w:type="character" w:customStyle="1" w:styleId="textrun">
    <w:name w:val="textrun"/>
    <w:basedOn w:val="Fuentedeprrafopredeter"/>
    <w:rsid w:val="00DD5B04"/>
  </w:style>
  <w:style w:type="character" w:customStyle="1" w:styleId="normaltextrun">
    <w:name w:val="normaltextrun"/>
    <w:basedOn w:val="Fuentedeprrafopredeter"/>
    <w:rsid w:val="00DD5B04"/>
  </w:style>
  <w:style w:type="character" w:customStyle="1" w:styleId="eop">
    <w:name w:val="eop"/>
    <w:basedOn w:val="Fuentedeprrafopredeter"/>
    <w:rsid w:val="00DD5B04"/>
  </w:style>
  <w:style w:type="character" w:customStyle="1" w:styleId="spellingerror">
    <w:name w:val="spellingerror"/>
    <w:basedOn w:val="Fuentedeprrafopredeter"/>
    <w:rsid w:val="00DD5B04"/>
  </w:style>
  <w:style w:type="character" w:styleId="Nmerodepgina">
    <w:name w:val="page number"/>
    <w:basedOn w:val="Fuentedeprrafopredeter"/>
    <w:uiPriority w:val="99"/>
    <w:semiHidden/>
    <w:unhideWhenUsed/>
    <w:rsid w:val="00DD5B04"/>
  </w:style>
  <w:style w:type="character" w:customStyle="1" w:styleId="Ttulo1Car">
    <w:name w:val="Título 1 Car"/>
    <w:basedOn w:val="Fuentedeprrafopredeter"/>
    <w:link w:val="Ttulo1"/>
    <w:uiPriority w:val="1"/>
    <w:rsid w:val="006D712D"/>
    <w:rPr>
      <w:rFonts w:ascii="Arial" w:eastAsia="Arial" w:hAnsi="Arial" w:cs="Arial"/>
      <w:b/>
      <w:bCs/>
      <w:lang w:val="es-ES"/>
    </w:rPr>
  </w:style>
  <w:style w:type="paragraph" w:customStyle="1" w:styleId="Appelnotedebasde">
    <w:name w:val="Appel note de bas de..."/>
    <w:basedOn w:val="Normal"/>
    <w:link w:val="Refdenotaalpie"/>
    <w:uiPriority w:val="99"/>
    <w:rsid w:val="00477C5F"/>
    <w:pPr>
      <w:spacing w:after="160" w:line="240" w:lineRule="exact"/>
    </w:pPr>
    <w:rPr>
      <w:rFonts w:asciiTheme="minorHAnsi" w:eastAsiaTheme="minorHAnsi" w:hAnsiTheme="minorHAnsi" w:cstheme="minorBidi"/>
      <w:sz w:val="22"/>
      <w:szCs w:val="22"/>
      <w:vertAlign w:val="superscript"/>
      <w:lang w:eastAsia="en-US"/>
    </w:rPr>
  </w:style>
  <w:style w:type="paragraph" w:styleId="Sangradetextonormal">
    <w:name w:val="Body Text Indent"/>
    <w:basedOn w:val="Normal"/>
    <w:link w:val="SangradetextonormalCar"/>
    <w:uiPriority w:val="99"/>
    <w:semiHidden/>
    <w:unhideWhenUsed/>
    <w:rsid w:val="006B7E4E"/>
    <w:pPr>
      <w:spacing w:after="120"/>
      <w:ind w:left="283"/>
    </w:pPr>
    <w:rPr>
      <w:rFonts w:asciiTheme="minorHAnsi" w:eastAsiaTheme="minorHAnsi" w:hAnsiTheme="minorHAnsi" w:cstheme="minorBidi"/>
      <w:szCs w:val="22"/>
      <w:lang w:val="es-MX" w:eastAsia="en-US"/>
    </w:rPr>
  </w:style>
  <w:style w:type="character" w:customStyle="1" w:styleId="SangradetextonormalCar">
    <w:name w:val="Sangría de texto normal Car"/>
    <w:basedOn w:val="Fuentedeprrafopredeter"/>
    <w:link w:val="Sangradetextonormal"/>
    <w:uiPriority w:val="99"/>
    <w:semiHidden/>
    <w:rsid w:val="006B7E4E"/>
    <w:rPr>
      <w:sz w:val="24"/>
      <w:lang w:val="es-MX"/>
    </w:rPr>
  </w:style>
  <w:style w:type="character" w:styleId="Textoennegrita">
    <w:name w:val="Strong"/>
    <w:basedOn w:val="Fuentedeprrafopredeter"/>
    <w:uiPriority w:val="22"/>
    <w:qFormat/>
    <w:rsid w:val="00F3570C"/>
    <w:rPr>
      <w:b/>
      <w:bCs/>
    </w:rPr>
  </w:style>
  <w:style w:type="character" w:styleId="nfasis">
    <w:name w:val="Emphasis"/>
    <w:basedOn w:val="Fuentedeprrafopredeter"/>
    <w:uiPriority w:val="20"/>
    <w:qFormat/>
    <w:rsid w:val="00F3570C"/>
    <w:rPr>
      <w:i/>
      <w:iCs/>
    </w:rPr>
  </w:style>
  <w:style w:type="character" w:customStyle="1" w:styleId="NormalWebCar">
    <w:name w:val="Normal (Web) Car"/>
    <w:link w:val="NormalWeb"/>
    <w:uiPriority w:val="99"/>
    <w:rsid w:val="00F3570C"/>
    <w:rPr>
      <w:rFonts w:ascii="Times New Roman" w:eastAsia="Times New Roman" w:hAnsi="Times New Roman" w:cs="Times New Roman"/>
      <w:sz w:val="24"/>
      <w:szCs w:val="24"/>
      <w:lang w:eastAsia="es-CO"/>
    </w:rPr>
  </w:style>
  <w:style w:type="paragraph" w:customStyle="1" w:styleId="InviasNormal">
    <w:name w:val="Invias Normal"/>
    <w:basedOn w:val="Normal"/>
    <w:link w:val="InviasNormalCar"/>
    <w:qFormat/>
    <w:rsid w:val="00433ACB"/>
    <w:pPr>
      <w:tabs>
        <w:tab w:val="left" w:pos="-142"/>
      </w:tabs>
      <w:autoSpaceDE w:val="0"/>
      <w:autoSpaceDN w:val="0"/>
      <w:adjustRightInd w:val="0"/>
      <w:spacing w:before="120" w:after="240"/>
      <w:jc w:val="both"/>
    </w:pPr>
    <w:rPr>
      <w:rFonts w:ascii="Arial Narrow" w:hAnsi="Arial Narrow"/>
      <w:color w:val="3C3C3C" w:themeColor="background2" w:themeShade="40"/>
      <w:lang w:val="x-none" w:eastAsia="es-ES"/>
    </w:rPr>
  </w:style>
  <w:style w:type="character" w:customStyle="1" w:styleId="InviasNormalCar">
    <w:name w:val="Invias Normal Car"/>
    <w:link w:val="InviasNormal"/>
    <w:locked/>
    <w:rsid w:val="00433ACB"/>
    <w:rPr>
      <w:rFonts w:ascii="Arial Narrow" w:eastAsia="Times New Roman" w:hAnsi="Arial Narrow" w:cs="Times New Roman"/>
      <w:color w:val="3C3C3C" w:themeColor="background2" w:themeShade="40"/>
      <w:sz w:val="24"/>
      <w:szCs w:val="24"/>
      <w:lang w:val="x-none" w:eastAsia="es-ES"/>
    </w:rPr>
  </w:style>
  <w:style w:type="table" w:customStyle="1" w:styleId="Tablaconcuadrcula2">
    <w:name w:val="Tabla con cuadrícula2"/>
    <w:basedOn w:val="Tablanormal"/>
    <w:next w:val="Tablaconcuadrcula"/>
    <w:uiPriority w:val="39"/>
    <w:rsid w:val="001E25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spacing">
    <w:name w:val="x_msonospacing"/>
    <w:basedOn w:val="Normal"/>
    <w:rsid w:val="00292E64"/>
    <w:pPr>
      <w:spacing w:before="100" w:beforeAutospacing="1" w:after="100" w:afterAutospacing="1"/>
    </w:pPr>
  </w:style>
  <w:style w:type="paragraph" w:customStyle="1" w:styleId="Capitulo8">
    <w:name w:val="Capitulo 8"/>
    <w:basedOn w:val="Normal"/>
    <w:qFormat/>
    <w:rsid w:val="00DB5196"/>
    <w:pPr>
      <w:numPr>
        <w:numId w:val="36"/>
      </w:numPr>
      <w:spacing w:after="200" w:line="276" w:lineRule="auto"/>
      <w:ind w:left="1020" w:hanging="680"/>
      <w:contextualSpacing/>
      <w:jc w:val="both"/>
    </w:pPr>
    <w:rPr>
      <w:rFonts w:ascii="Arial" w:eastAsia="Calibri" w:hAnsi="Arial" w:cs="Arial"/>
      <w:b/>
      <w:bCs/>
      <w:color w:val="1C1C1C"/>
      <w:sz w:val="20"/>
      <w:szCs w:val="20"/>
      <w:lang w:eastAsia="en-US"/>
    </w:rPr>
  </w:style>
  <w:style w:type="paragraph" w:customStyle="1" w:styleId="Normal11pt">
    <w:name w:val="Normal + 11 pt"/>
    <w:aliases w:val="Negro,Justificado,Izquierda:  -0,95 cm,Derecha:  0,04 cm"/>
    <w:basedOn w:val="Normal"/>
    <w:uiPriority w:val="99"/>
    <w:rsid w:val="008A2527"/>
    <w:pPr>
      <w:ind w:left="-540"/>
      <w:jc w:val="both"/>
    </w:pPr>
    <w:rPr>
      <w:rFonts w:ascii="Arial" w:hAnsi="Arial" w:cs="Arial"/>
      <w:color w:val="000000"/>
      <w:sz w:val="22"/>
      <w:szCs w:val="22"/>
      <w:lang w:val="es-ES_tradnl" w:eastAsia="es-ES"/>
    </w:rPr>
  </w:style>
  <w:style w:type="paragraph" w:styleId="Revisin">
    <w:name w:val="Revision"/>
    <w:hidden/>
    <w:uiPriority w:val="99"/>
    <w:semiHidden/>
    <w:rsid w:val="004222E3"/>
    <w:pPr>
      <w:spacing w:after="0" w:line="240" w:lineRule="auto"/>
    </w:pPr>
    <w:rPr>
      <w:rFonts w:ascii="Times New Roman" w:eastAsia="Times New Roman" w:hAnsi="Times New Roman" w:cs="Times New Roman"/>
      <w:sz w:val="24"/>
      <w:szCs w:val="24"/>
      <w:lang w:eastAsia="es-ES_tradnl"/>
    </w:rPr>
  </w:style>
  <w:style w:type="character" w:styleId="Mencinsinresolver">
    <w:name w:val="Unresolved Mention"/>
    <w:basedOn w:val="Fuentedeprrafopredeter"/>
    <w:uiPriority w:val="99"/>
    <w:semiHidden/>
    <w:unhideWhenUsed/>
    <w:rsid w:val="00755C31"/>
    <w:rPr>
      <w:color w:val="605E5C"/>
      <w:shd w:val="clear" w:color="auto" w:fill="E1DFDD"/>
    </w:rPr>
  </w:style>
  <w:style w:type="table" w:customStyle="1" w:styleId="Tablaconcuadrcula3">
    <w:name w:val="Tabla con cuadrícula3"/>
    <w:basedOn w:val="Tablanormal"/>
    <w:next w:val="Tablaconcuadrcula"/>
    <w:uiPriority w:val="39"/>
    <w:qFormat/>
    <w:rsid w:val="003844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2666">
      <w:bodyDiv w:val="1"/>
      <w:marLeft w:val="0"/>
      <w:marRight w:val="0"/>
      <w:marTop w:val="0"/>
      <w:marBottom w:val="0"/>
      <w:divBdr>
        <w:top w:val="none" w:sz="0" w:space="0" w:color="auto"/>
        <w:left w:val="none" w:sz="0" w:space="0" w:color="auto"/>
        <w:bottom w:val="none" w:sz="0" w:space="0" w:color="auto"/>
        <w:right w:val="none" w:sz="0" w:space="0" w:color="auto"/>
      </w:divBdr>
    </w:div>
    <w:div w:id="16934018">
      <w:bodyDiv w:val="1"/>
      <w:marLeft w:val="0"/>
      <w:marRight w:val="0"/>
      <w:marTop w:val="0"/>
      <w:marBottom w:val="0"/>
      <w:divBdr>
        <w:top w:val="none" w:sz="0" w:space="0" w:color="auto"/>
        <w:left w:val="none" w:sz="0" w:space="0" w:color="auto"/>
        <w:bottom w:val="none" w:sz="0" w:space="0" w:color="auto"/>
        <w:right w:val="none" w:sz="0" w:space="0" w:color="auto"/>
      </w:divBdr>
    </w:div>
    <w:div w:id="27223948">
      <w:bodyDiv w:val="1"/>
      <w:marLeft w:val="0"/>
      <w:marRight w:val="0"/>
      <w:marTop w:val="0"/>
      <w:marBottom w:val="0"/>
      <w:divBdr>
        <w:top w:val="none" w:sz="0" w:space="0" w:color="auto"/>
        <w:left w:val="none" w:sz="0" w:space="0" w:color="auto"/>
        <w:bottom w:val="none" w:sz="0" w:space="0" w:color="auto"/>
        <w:right w:val="none" w:sz="0" w:space="0" w:color="auto"/>
      </w:divBdr>
    </w:div>
    <w:div w:id="35281481">
      <w:bodyDiv w:val="1"/>
      <w:marLeft w:val="0"/>
      <w:marRight w:val="0"/>
      <w:marTop w:val="0"/>
      <w:marBottom w:val="0"/>
      <w:divBdr>
        <w:top w:val="none" w:sz="0" w:space="0" w:color="auto"/>
        <w:left w:val="none" w:sz="0" w:space="0" w:color="auto"/>
        <w:bottom w:val="none" w:sz="0" w:space="0" w:color="auto"/>
        <w:right w:val="none" w:sz="0" w:space="0" w:color="auto"/>
      </w:divBdr>
    </w:div>
    <w:div w:id="40833272">
      <w:bodyDiv w:val="1"/>
      <w:marLeft w:val="0"/>
      <w:marRight w:val="0"/>
      <w:marTop w:val="0"/>
      <w:marBottom w:val="0"/>
      <w:divBdr>
        <w:top w:val="none" w:sz="0" w:space="0" w:color="auto"/>
        <w:left w:val="none" w:sz="0" w:space="0" w:color="auto"/>
        <w:bottom w:val="none" w:sz="0" w:space="0" w:color="auto"/>
        <w:right w:val="none" w:sz="0" w:space="0" w:color="auto"/>
      </w:divBdr>
    </w:div>
    <w:div w:id="41099634">
      <w:bodyDiv w:val="1"/>
      <w:marLeft w:val="0"/>
      <w:marRight w:val="0"/>
      <w:marTop w:val="0"/>
      <w:marBottom w:val="0"/>
      <w:divBdr>
        <w:top w:val="none" w:sz="0" w:space="0" w:color="auto"/>
        <w:left w:val="none" w:sz="0" w:space="0" w:color="auto"/>
        <w:bottom w:val="none" w:sz="0" w:space="0" w:color="auto"/>
        <w:right w:val="none" w:sz="0" w:space="0" w:color="auto"/>
      </w:divBdr>
    </w:div>
    <w:div w:id="42021781">
      <w:bodyDiv w:val="1"/>
      <w:marLeft w:val="0"/>
      <w:marRight w:val="0"/>
      <w:marTop w:val="0"/>
      <w:marBottom w:val="0"/>
      <w:divBdr>
        <w:top w:val="none" w:sz="0" w:space="0" w:color="auto"/>
        <w:left w:val="none" w:sz="0" w:space="0" w:color="auto"/>
        <w:bottom w:val="none" w:sz="0" w:space="0" w:color="auto"/>
        <w:right w:val="none" w:sz="0" w:space="0" w:color="auto"/>
      </w:divBdr>
    </w:div>
    <w:div w:id="47606611">
      <w:bodyDiv w:val="1"/>
      <w:marLeft w:val="0"/>
      <w:marRight w:val="0"/>
      <w:marTop w:val="0"/>
      <w:marBottom w:val="0"/>
      <w:divBdr>
        <w:top w:val="none" w:sz="0" w:space="0" w:color="auto"/>
        <w:left w:val="none" w:sz="0" w:space="0" w:color="auto"/>
        <w:bottom w:val="none" w:sz="0" w:space="0" w:color="auto"/>
        <w:right w:val="none" w:sz="0" w:space="0" w:color="auto"/>
      </w:divBdr>
    </w:div>
    <w:div w:id="51780109">
      <w:bodyDiv w:val="1"/>
      <w:marLeft w:val="0"/>
      <w:marRight w:val="0"/>
      <w:marTop w:val="0"/>
      <w:marBottom w:val="0"/>
      <w:divBdr>
        <w:top w:val="none" w:sz="0" w:space="0" w:color="auto"/>
        <w:left w:val="none" w:sz="0" w:space="0" w:color="auto"/>
        <w:bottom w:val="none" w:sz="0" w:space="0" w:color="auto"/>
        <w:right w:val="none" w:sz="0" w:space="0" w:color="auto"/>
      </w:divBdr>
      <w:divsChild>
        <w:div w:id="952639156">
          <w:marLeft w:val="0"/>
          <w:marRight w:val="0"/>
          <w:marTop w:val="0"/>
          <w:marBottom w:val="0"/>
          <w:divBdr>
            <w:top w:val="none" w:sz="0" w:space="0" w:color="auto"/>
            <w:left w:val="none" w:sz="0" w:space="0" w:color="auto"/>
            <w:bottom w:val="none" w:sz="0" w:space="0" w:color="auto"/>
            <w:right w:val="none" w:sz="0" w:space="0" w:color="auto"/>
          </w:divBdr>
          <w:divsChild>
            <w:div w:id="1324165564">
              <w:marLeft w:val="0"/>
              <w:marRight w:val="0"/>
              <w:marTop w:val="0"/>
              <w:marBottom w:val="0"/>
              <w:divBdr>
                <w:top w:val="none" w:sz="0" w:space="0" w:color="auto"/>
                <w:left w:val="none" w:sz="0" w:space="0" w:color="auto"/>
                <w:bottom w:val="none" w:sz="0" w:space="0" w:color="auto"/>
                <w:right w:val="none" w:sz="0" w:space="0" w:color="auto"/>
              </w:divBdr>
              <w:divsChild>
                <w:div w:id="159463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938803">
      <w:bodyDiv w:val="1"/>
      <w:marLeft w:val="0"/>
      <w:marRight w:val="0"/>
      <w:marTop w:val="0"/>
      <w:marBottom w:val="0"/>
      <w:divBdr>
        <w:top w:val="none" w:sz="0" w:space="0" w:color="auto"/>
        <w:left w:val="none" w:sz="0" w:space="0" w:color="auto"/>
        <w:bottom w:val="none" w:sz="0" w:space="0" w:color="auto"/>
        <w:right w:val="none" w:sz="0" w:space="0" w:color="auto"/>
      </w:divBdr>
    </w:div>
    <w:div w:id="79330360">
      <w:bodyDiv w:val="1"/>
      <w:marLeft w:val="0"/>
      <w:marRight w:val="0"/>
      <w:marTop w:val="0"/>
      <w:marBottom w:val="0"/>
      <w:divBdr>
        <w:top w:val="none" w:sz="0" w:space="0" w:color="auto"/>
        <w:left w:val="none" w:sz="0" w:space="0" w:color="auto"/>
        <w:bottom w:val="none" w:sz="0" w:space="0" w:color="auto"/>
        <w:right w:val="none" w:sz="0" w:space="0" w:color="auto"/>
      </w:divBdr>
    </w:div>
    <w:div w:id="85270241">
      <w:bodyDiv w:val="1"/>
      <w:marLeft w:val="0"/>
      <w:marRight w:val="0"/>
      <w:marTop w:val="0"/>
      <w:marBottom w:val="0"/>
      <w:divBdr>
        <w:top w:val="none" w:sz="0" w:space="0" w:color="auto"/>
        <w:left w:val="none" w:sz="0" w:space="0" w:color="auto"/>
        <w:bottom w:val="none" w:sz="0" w:space="0" w:color="auto"/>
        <w:right w:val="none" w:sz="0" w:space="0" w:color="auto"/>
      </w:divBdr>
    </w:div>
    <w:div w:id="138035677">
      <w:bodyDiv w:val="1"/>
      <w:marLeft w:val="0"/>
      <w:marRight w:val="0"/>
      <w:marTop w:val="0"/>
      <w:marBottom w:val="0"/>
      <w:divBdr>
        <w:top w:val="none" w:sz="0" w:space="0" w:color="auto"/>
        <w:left w:val="none" w:sz="0" w:space="0" w:color="auto"/>
        <w:bottom w:val="none" w:sz="0" w:space="0" w:color="auto"/>
        <w:right w:val="none" w:sz="0" w:space="0" w:color="auto"/>
      </w:divBdr>
    </w:div>
    <w:div w:id="166599726">
      <w:bodyDiv w:val="1"/>
      <w:marLeft w:val="0"/>
      <w:marRight w:val="0"/>
      <w:marTop w:val="0"/>
      <w:marBottom w:val="0"/>
      <w:divBdr>
        <w:top w:val="none" w:sz="0" w:space="0" w:color="auto"/>
        <w:left w:val="none" w:sz="0" w:space="0" w:color="auto"/>
        <w:bottom w:val="none" w:sz="0" w:space="0" w:color="auto"/>
        <w:right w:val="none" w:sz="0" w:space="0" w:color="auto"/>
      </w:divBdr>
    </w:div>
    <w:div w:id="192500427">
      <w:bodyDiv w:val="1"/>
      <w:marLeft w:val="0"/>
      <w:marRight w:val="0"/>
      <w:marTop w:val="0"/>
      <w:marBottom w:val="0"/>
      <w:divBdr>
        <w:top w:val="none" w:sz="0" w:space="0" w:color="auto"/>
        <w:left w:val="none" w:sz="0" w:space="0" w:color="auto"/>
        <w:bottom w:val="none" w:sz="0" w:space="0" w:color="auto"/>
        <w:right w:val="none" w:sz="0" w:space="0" w:color="auto"/>
      </w:divBdr>
    </w:div>
    <w:div w:id="199707491">
      <w:bodyDiv w:val="1"/>
      <w:marLeft w:val="0"/>
      <w:marRight w:val="0"/>
      <w:marTop w:val="0"/>
      <w:marBottom w:val="0"/>
      <w:divBdr>
        <w:top w:val="none" w:sz="0" w:space="0" w:color="auto"/>
        <w:left w:val="none" w:sz="0" w:space="0" w:color="auto"/>
        <w:bottom w:val="none" w:sz="0" w:space="0" w:color="auto"/>
        <w:right w:val="none" w:sz="0" w:space="0" w:color="auto"/>
      </w:divBdr>
    </w:div>
    <w:div w:id="208033545">
      <w:bodyDiv w:val="1"/>
      <w:marLeft w:val="0"/>
      <w:marRight w:val="0"/>
      <w:marTop w:val="0"/>
      <w:marBottom w:val="0"/>
      <w:divBdr>
        <w:top w:val="none" w:sz="0" w:space="0" w:color="auto"/>
        <w:left w:val="none" w:sz="0" w:space="0" w:color="auto"/>
        <w:bottom w:val="none" w:sz="0" w:space="0" w:color="auto"/>
        <w:right w:val="none" w:sz="0" w:space="0" w:color="auto"/>
      </w:divBdr>
    </w:div>
    <w:div w:id="208080400">
      <w:bodyDiv w:val="1"/>
      <w:marLeft w:val="0"/>
      <w:marRight w:val="0"/>
      <w:marTop w:val="0"/>
      <w:marBottom w:val="0"/>
      <w:divBdr>
        <w:top w:val="none" w:sz="0" w:space="0" w:color="auto"/>
        <w:left w:val="none" w:sz="0" w:space="0" w:color="auto"/>
        <w:bottom w:val="none" w:sz="0" w:space="0" w:color="auto"/>
        <w:right w:val="none" w:sz="0" w:space="0" w:color="auto"/>
      </w:divBdr>
    </w:div>
    <w:div w:id="235555305">
      <w:bodyDiv w:val="1"/>
      <w:marLeft w:val="0"/>
      <w:marRight w:val="0"/>
      <w:marTop w:val="0"/>
      <w:marBottom w:val="0"/>
      <w:divBdr>
        <w:top w:val="none" w:sz="0" w:space="0" w:color="auto"/>
        <w:left w:val="none" w:sz="0" w:space="0" w:color="auto"/>
        <w:bottom w:val="none" w:sz="0" w:space="0" w:color="auto"/>
        <w:right w:val="none" w:sz="0" w:space="0" w:color="auto"/>
      </w:divBdr>
      <w:divsChild>
        <w:div w:id="1294293439">
          <w:marLeft w:val="0"/>
          <w:marRight w:val="0"/>
          <w:marTop w:val="0"/>
          <w:marBottom w:val="0"/>
          <w:divBdr>
            <w:top w:val="none" w:sz="0" w:space="0" w:color="auto"/>
            <w:left w:val="none" w:sz="0" w:space="0" w:color="auto"/>
            <w:bottom w:val="none" w:sz="0" w:space="0" w:color="auto"/>
            <w:right w:val="none" w:sz="0" w:space="0" w:color="auto"/>
          </w:divBdr>
          <w:divsChild>
            <w:div w:id="150484144">
              <w:marLeft w:val="0"/>
              <w:marRight w:val="0"/>
              <w:marTop w:val="0"/>
              <w:marBottom w:val="0"/>
              <w:divBdr>
                <w:top w:val="none" w:sz="0" w:space="0" w:color="auto"/>
                <w:left w:val="none" w:sz="0" w:space="0" w:color="auto"/>
                <w:bottom w:val="none" w:sz="0" w:space="0" w:color="auto"/>
                <w:right w:val="none" w:sz="0" w:space="0" w:color="auto"/>
              </w:divBdr>
              <w:divsChild>
                <w:div w:id="741754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496267">
      <w:bodyDiv w:val="1"/>
      <w:marLeft w:val="0"/>
      <w:marRight w:val="0"/>
      <w:marTop w:val="0"/>
      <w:marBottom w:val="0"/>
      <w:divBdr>
        <w:top w:val="none" w:sz="0" w:space="0" w:color="auto"/>
        <w:left w:val="none" w:sz="0" w:space="0" w:color="auto"/>
        <w:bottom w:val="none" w:sz="0" w:space="0" w:color="auto"/>
        <w:right w:val="none" w:sz="0" w:space="0" w:color="auto"/>
      </w:divBdr>
    </w:div>
    <w:div w:id="245386739">
      <w:bodyDiv w:val="1"/>
      <w:marLeft w:val="0"/>
      <w:marRight w:val="0"/>
      <w:marTop w:val="0"/>
      <w:marBottom w:val="0"/>
      <w:divBdr>
        <w:top w:val="none" w:sz="0" w:space="0" w:color="auto"/>
        <w:left w:val="none" w:sz="0" w:space="0" w:color="auto"/>
        <w:bottom w:val="none" w:sz="0" w:space="0" w:color="auto"/>
        <w:right w:val="none" w:sz="0" w:space="0" w:color="auto"/>
      </w:divBdr>
    </w:div>
    <w:div w:id="264926424">
      <w:bodyDiv w:val="1"/>
      <w:marLeft w:val="0"/>
      <w:marRight w:val="0"/>
      <w:marTop w:val="0"/>
      <w:marBottom w:val="0"/>
      <w:divBdr>
        <w:top w:val="none" w:sz="0" w:space="0" w:color="auto"/>
        <w:left w:val="none" w:sz="0" w:space="0" w:color="auto"/>
        <w:bottom w:val="none" w:sz="0" w:space="0" w:color="auto"/>
        <w:right w:val="none" w:sz="0" w:space="0" w:color="auto"/>
      </w:divBdr>
    </w:div>
    <w:div w:id="284427149">
      <w:bodyDiv w:val="1"/>
      <w:marLeft w:val="0"/>
      <w:marRight w:val="0"/>
      <w:marTop w:val="0"/>
      <w:marBottom w:val="0"/>
      <w:divBdr>
        <w:top w:val="none" w:sz="0" w:space="0" w:color="auto"/>
        <w:left w:val="none" w:sz="0" w:space="0" w:color="auto"/>
        <w:bottom w:val="none" w:sz="0" w:space="0" w:color="auto"/>
        <w:right w:val="none" w:sz="0" w:space="0" w:color="auto"/>
      </w:divBdr>
    </w:div>
    <w:div w:id="287053986">
      <w:bodyDiv w:val="1"/>
      <w:marLeft w:val="0"/>
      <w:marRight w:val="0"/>
      <w:marTop w:val="0"/>
      <w:marBottom w:val="0"/>
      <w:divBdr>
        <w:top w:val="none" w:sz="0" w:space="0" w:color="auto"/>
        <w:left w:val="none" w:sz="0" w:space="0" w:color="auto"/>
        <w:bottom w:val="none" w:sz="0" w:space="0" w:color="auto"/>
        <w:right w:val="none" w:sz="0" w:space="0" w:color="auto"/>
      </w:divBdr>
    </w:div>
    <w:div w:id="290482433">
      <w:bodyDiv w:val="1"/>
      <w:marLeft w:val="0"/>
      <w:marRight w:val="0"/>
      <w:marTop w:val="0"/>
      <w:marBottom w:val="0"/>
      <w:divBdr>
        <w:top w:val="none" w:sz="0" w:space="0" w:color="auto"/>
        <w:left w:val="none" w:sz="0" w:space="0" w:color="auto"/>
        <w:bottom w:val="none" w:sz="0" w:space="0" w:color="auto"/>
        <w:right w:val="none" w:sz="0" w:space="0" w:color="auto"/>
      </w:divBdr>
    </w:div>
    <w:div w:id="292368787">
      <w:bodyDiv w:val="1"/>
      <w:marLeft w:val="0"/>
      <w:marRight w:val="0"/>
      <w:marTop w:val="0"/>
      <w:marBottom w:val="0"/>
      <w:divBdr>
        <w:top w:val="none" w:sz="0" w:space="0" w:color="auto"/>
        <w:left w:val="none" w:sz="0" w:space="0" w:color="auto"/>
        <w:bottom w:val="none" w:sz="0" w:space="0" w:color="auto"/>
        <w:right w:val="none" w:sz="0" w:space="0" w:color="auto"/>
      </w:divBdr>
    </w:div>
    <w:div w:id="292759390">
      <w:bodyDiv w:val="1"/>
      <w:marLeft w:val="0"/>
      <w:marRight w:val="0"/>
      <w:marTop w:val="0"/>
      <w:marBottom w:val="0"/>
      <w:divBdr>
        <w:top w:val="none" w:sz="0" w:space="0" w:color="auto"/>
        <w:left w:val="none" w:sz="0" w:space="0" w:color="auto"/>
        <w:bottom w:val="none" w:sz="0" w:space="0" w:color="auto"/>
        <w:right w:val="none" w:sz="0" w:space="0" w:color="auto"/>
      </w:divBdr>
    </w:div>
    <w:div w:id="312223570">
      <w:bodyDiv w:val="1"/>
      <w:marLeft w:val="0"/>
      <w:marRight w:val="0"/>
      <w:marTop w:val="0"/>
      <w:marBottom w:val="0"/>
      <w:divBdr>
        <w:top w:val="none" w:sz="0" w:space="0" w:color="auto"/>
        <w:left w:val="none" w:sz="0" w:space="0" w:color="auto"/>
        <w:bottom w:val="none" w:sz="0" w:space="0" w:color="auto"/>
        <w:right w:val="none" w:sz="0" w:space="0" w:color="auto"/>
      </w:divBdr>
    </w:div>
    <w:div w:id="322202786">
      <w:bodyDiv w:val="1"/>
      <w:marLeft w:val="0"/>
      <w:marRight w:val="0"/>
      <w:marTop w:val="0"/>
      <w:marBottom w:val="0"/>
      <w:divBdr>
        <w:top w:val="none" w:sz="0" w:space="0" w:color="auto"/>
        <w:left w:val="none" w:sz="0" w:space="0" w:color="auto"/>
        <w:bottom w:val="none" w:sz="0" w:space="0" w:color="auto"/>
        <w:right w:val="none" w:sz="0" w:space="0" w:color="auto"/>
      </w:divBdr>
    </w:div>
    <w:div w:id="334965764">
      <w:bodyDiv w:val="1"/>
      <w:marLeft w:val="0"/>
      <w:marRight w:val="0"/>
      <w:marTop w:val="0"/>
      <w:marBottom w:val="0"/>
      <w:divBdr>
        <w:top w:val="none" w:sz="0" w:space="0" w:color="auto"/>
        <w:left w:val="none" w:sz="0" w:space="0" w:color="auto"/>
        <w:bottom w:val="none" w:sz="0" w:space="0" w:color="auto"/>
        <w:right w:val="none" w:sz="0" w:space="0" w:color="auto"/>
      </w:divBdr>
    </w:div>
    <w:div w:id="337391810">
      <w:bodyDiv w:val="1"/>
      <w:marLeft w:val="0"/>
      <w:marRight w:val="0"/>
      <w:marTop w:val="0"/>
      <w:marBottom w:val="0"/>
      <w:divBdr>
        <w:top w:val="none" w:sz="0" w:space="0" w:color="auto"/>
        <w:left w:val="none" w:sz="0" w:space="0" w:color="auto"/>
        <w:bottom w:val="none" w:sz="0" w:space="0" w:color="auto"/>
        <w:right w:val="none" w:sz="0" w:space="0" w:color="auto"/>
      </w:divBdr>
    </w:div>
    <w:div w:id="344946704">
      <w:bodyDiv w:val="1"/>
      <w:marLeft w:val="0"/>
      <w:marRight w:val="0"/>
      <w:marTop w:val="0"/>
      <w:marBottom w:val="0"/>
      <w:divBdr>
        <w:top w:val="none" w:sz="0" w:space="0" w:color="auto"/>
        <w:left w:val="none" w:sz="0" w:space="0" w:color="auto"/>
        <w:bottom w:val="none" w:sz="0" w:space="0" w:color="auto"/>
        <w:right w:val="none" w:sz="0" w:space="0" w:color="auto"/>
      </w:divBdr>
      <w:divsChild>
        <w:div w:id="1496412692">
          <w:marLeft w:val="0"/>
          <w:marRight w:val="0"/>
          <w:marTop w:val="0"/>
          <w:marBottom w:val="0"/>
          <w:divBdr>
            <w:top w:val="none" w:sz="0" w:space="0" w:color="auto"/>
            <w:left w:val="none" w:sz="0" w:space="0" w:color="auto"/>
            <w:bottom w:val="none" w:sz="0" w:space="0" w:color="auto"/>
            <w:right w:val="none" w:sz="0" w:space="0" w:color="auto"/>
          </w:divBdr>
          <w:divsChild>
            <w:div w:id="1121000746">
              <w:marLeft w:val="0"/>
              <w:marRight w:val="0"/>
              <w:marTop w:val="0"/>
              <w:marBottom w:val="0"/>
              <w:divBdr>
                <w:top w:val="none" w:sz="0" w:space="0" w:color="auto"/>
                <w:left w:val="none" w:sz="0" w:space="0" w:color="auto"/>
                <w:bottom w:val="none" w:sz="0" w:space="0" w:color="auto"/>
                <w:right w:val="none" w:sz="0" w:space="0" w:color="auto"/>
              </w:divBdr>
              <w:divsChild>
                <w:div w:id="1364474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5522120">
      <w:bodyDiv w:val="1"/>
      <w:marLeft w:val="0"/>
      <w:marRight w:val="0"/>
      <w:marTop w:val="0"/>
      <w:marBottom w:val="0"/>
      <w:divBdr>
        <w:top w:val="none" w:sz="0" w:space="0" w:color="auto"/>
        <w:left w:val="none" w:sz="0" w:space="0" w:color="auto"/>
        <w:bottom w:val="none" w:sz="0" w:space="0" w:color="auto"/>
        <w:right w:val="none" w:sz="0" w:space="0" w:color="auto"/>
      </w:divBdr>
    </w:div>
    <w:div w:id="351734920">
      <w:bodyDiv w:val="1"/>
      <w:marLeft w:val="0"/>
      <w:marRight w:val="0"/>
      <w:marTop w:val="0"/>
      <w:marBottom w:val="0"/>
      <w:divBdr>
        <w:top w:val="none" w:sz="0" w:space="0" w:color="auto"/>
        <w:left w:val="none" w:sz="0" w:space="0" w:color="auto"/>
        <w:bottom w:val="none" w:sz="0" w:space="0" w:color="auto"/>
        <w:right w:val="none" w:sz="0" w:space="0" w:color="auto"/>
      </w:divBdr>
    </w:div>
    <w:div w:id="364672525">
      <w:bodyDiv w:val="1"/>
      <w:marLeft w:val="0"/>
      <w:marRight w:val="0"/>
      <w:marTop w:val="0"/>
      <w:marBottom w:val="0"/>
      <w:divBdr>
        <w:top w:val="none" w:sz="0" w:space="0" w:color="auto"/>
        <w:left w:val="none" w:sz="0" w:space="0" w:color="auto"/>
        <w:bottom w:val="none" w:sz="0" w:space="0" w:color="auto"/>
        <w:right w:val="none" w:sz="0" w:space="0" w:color="auto"/>
      </w:divBdr>
    </w:div>
    <w:div w:id="387266119">
      <w:bodyDiv w:val="1"/>
      <w:marLeft w:val="0"/>
      <w:marRight w:val="0"/>
      <w:marTop w:val="0"/>
      <w:marBottom w:val="0"/>
      <w:divBdr>
        <w:top w:val="none" w:sz="0" w:space="0" w:color="auto"/>
        <w:left w:val="none" w:sz="0" w:space="0" w:color="auto"/>
        <w:bottom w:val="none" w:sz="0" w:space="0" w:color="auto"/>
        <w:right w:val="none" w:sz="0" w:space="0" w:color="auto"/>
      </w:divBdr>
      <w:divsChild>
        <w:div w:id="2039088259">
          <w:marLeft w:val="0"/>
          <w:marRight w:val="0"/>
          <w:marTop w:val="0"/>
          <w:marBottom w:val="0"/>
          <w:divBdr>
            <w:top w:val="none" w:sz="0" w:space="0" w:color="auto"/>
            <w:left w:val="none" w:sz="0" w:space="0" w:color="auto"/>
            <w:bottom w:val="none" w:sz="0" w:space="0" w:color="auto"/>
            <w:right w:val="none" w:sz="0" w:space="0" w:color="auto"/>
          </w:divBdr>
          <w:divsChild>
            <w:div w:id="551431865">
              <w:marLeft w:val="0"/>
              <w:marRight w:val="0"/>
              <w:marTop w:val="0"/>
              <w:marBottom w:val="0"/>
              <w:divBdr>
                <w:top w:val="none" w:sz="0" w:space="0" w:color="auto"/>
                <w:left w:val="none" w:sz="0" w:space="0" w:color="auto"/>
                <w:bottom w:val="none" w:sz="0" w:space="0" w:color="auto"/>
                <w:right w:val="none" w:sz="0" w:space="0" w:color="auto"/>
              </w:divBdr>
              <w:divsChild>
                <w:div w:id="1777408383">
                  <w:marLeft w:val="0"/>
                  <w:marRight w:val="0"/>
                  <w:marTop w:val="0"/>
                  <w:marBottom w:val="0"/>
                  <w:divBdr>
                    <w:top w:val="none" w:sz="0" w:space="0" w:color="auto"/>
                    <w:left w:val="none" w:sz="0" w:space="0" w:color="auto"/>
                    <w:bottom w:val="none" w:sz="0" w:space="0" w:color="auto"/>
                    <w:right w:val="none" w:sz="0" w:space="0" w:color="auto"/>
                  </w:divBdr>
                  <w:divsChild>
                    <w:div w:id="70996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5511658">
      <w:bodyDiv w:val="1"/>
      <w:marLeft w:val="0"/>
      <w:marRight w:val="0"/>
      <w:marTop w:val="0"/>
      <w:marBottom w:val="0"/>
      <w:divBdr>
        <w:top w:val="none" w:sz="0" w:space="0" w:color="auto"/>
        <w:left w:val="none" w:sz="0" w:space="0" w:color="auto"/>
        <w:bottom w:val="none" w:sz="0" w:space="0" w:color="auto"/>
        <w:right w:val="none" w:sz="0" w:space="0" w:color="auto"/>
      </w:divBdr>
    </w:div>
    <w:div w:id="398670483">
      <w:bodyDiv w:val="1"/>
      <w:marLeft w:val="0"/>
      <w:marRight w:val="0"/>
      <w:marTop w:val="0"/>
      <w:marBottom w:val="0"/>
      <w:divBdr>
        <w:top w:val="none" w:sz="0" w:space="0" w:color="auto"/>
        <w:left w:val="none" w:sz="0" w:space="0" w:color="auto"/>
        <w:bottom w:val="none" w:sz="0" w:space="0" w:color="auto"/>
        <w:right w:val="none" w:sz="0" w:space="0" w:color="auto"/>
      </w:divBdr>
    </w:div>
    <w:div w:id="402992273">
      <w:bodyDiv w:val="1"/>
      <w:marLeft w:val="0"/>
      <w:marRight w:val="0"/>
      <w:marTop w:val="0"/>
      <w:marBottom w:val="0"/>
      <w:divBdr>
        <w:top w:val="none" w:sz="0" w:space="0" w:color="auto"/>
        <w:left w:val="none" w:sz="0" w:space="0" w:color="auto"/>
        <w:bottom w:val="none" w:sz="0" w:space="0" w:color="auto"/>
        <w:right w:val="none" w:sz="0" w:space="0" w:color="auto"/>
      </w:divBdr>
    </w:div>
    <w:div w:id="410320993">
      <w:bodyDiv w:val="1"/>
      <w:marLeft w:val="0"/>
      <w:marRight w:val="0"/>
      <w:marTop w:val="0"/>
      <w:marBottom w:val="0"/>
      <w:divBdr>
        <w:top w:val="none" w:sz="0" w:space="0" w:color="auto"/>
        <w:left w:val="none" w:sz="0" w:space="0" w:color="auto"/>
        <w:bottom w:val="none" w:sz="0" w:space="0" w:color="auto"/>
        <w:right w:val="none" w:sz="0" w:space="0" w:color="auto"/>
      </w:divBdr>
    </w:div>
    <w:div w:id="436829350">
      <w:bodyDiv w:val="1"/>
      <w:marLeft w:val="0"/>
      <w:marRight w:val="0"/>
      <w:marTop w:val="0"/>
      <w:marBottom w:val="0"/>
      <w:divBdr>
        <w:top w:val="none" w:sz="0" w:space="0" w:color="auto"/>
        <w:left w:val="none" w:sz="0" w:space="0" w:color="auto"/>
        <w:bottom w:val="none" w:sz="0" w:space="0" w:color="auto"/>
        <w:right w:val="none" w:sz="0" w:space="0" w:color="auto"/>
      </w:divBdr>
    </w:div>
    <w:div w:id="445349329">
      <w:bodyDiv w:val="1"/>
      <w:marLeft w:val="0"/>
      <w:marRight w:val="0"/>
      <w:marTop w:val="0"/>
      <w:marBottom w:val="0"/>
      <w:divBdr>
        <w:top w:val="none" w:sz="0" w:space="0" w:color="auto"/>
        <w:left w:val="none" w:sz="0" w:space="0" w:color="auto"/>
        <w:bottom w:val="none" w:sz="0" w:space="0" w:color="auto"/>
        <w:right w:val="none" w:sz="0" w:space="0" w:color="auto"/>
      </w:divBdr>
    </w:div>
    <w:div w:id="470680369">
      <w:bodyDiv w:val="1"/>
      <w:marLeft w:val="0"/>
      <w:marRight w:val="0"/>
      <w:marTop w:val="0"/>
      <w:marBottom w:val="0"/>
      <w:divBdr>
        <w:top w:val="none" w:sz="0" w:space="0" w:color="auto"/>
        <w:left w:val="none" w:sz="0" w:space="0" w:color="auto"/>
        <w:bottom w:val="none" w:sz="0" w:space="0" w:color="auto"/>
        <w:right w:val="none" w:sz="0" w:space="0" w:color="auto"/>
      </w:divBdr>
    </w:div>
    <w:div w:id="480733979">
      <w:bodyDiv w:val="1"/>
      <w:marLeft w:val="0"/>
      <w:marRight w:val="0"/>
      <w:marTop w:val="0"/>
      <w:marBottom w:val="0"/>
      <w:divBdr>
        <w:top w:val="none" w:sz="0" w:space="0" w:color="auto"/>
        <w:left w:val="none" w:sz="0" w:space="0" w:color="auto"/>
        <w:bottom w:val="none" w:sz="0" w:space="0" w:color="auto"/>
        <w:right w:val="none" w:sz="0" w:space="0" w:color="auto"/>
      </w:divBdr>
    </w:div>
    <w:div w:id="503477703">
      <w:bodyDiv w:val="1"/>
      <w:marLeft w:val="0"/>
      <w:marRight w:val="0"/>
      <w:marTop w:val="0"/>
      <w:marBottom w:val="0"/>
      <w:divBdr>
        <w:top w:val="none" w:sz="0" w:space="0" w:color="auto"/>
        <w:left w:val="none" w:sz="0" w:space="0" w:color="auto"/>
        <w:bottom w:val="none" w:sz="0" w:space="0" w:color="auto"/>
        <w:right w:val="none" w:sz="0" w:space="0" w:color="auto"/>
      </w:divBdr>
      <w:divsChild>
        <w:div w:id="13383649">
          <w:marLeft w:val="0"/>
          <w:marRight w:val="0"/>
          <w:marTop w:val="0"/>
          <w:marBottom w:val="0"/>
          <w:divBdr>
            <w:top w:val="none" w:sz="0" w:space="0" w:color="auto"/>
            <w:left w:val="none" w:sz="0" w:space="0" w:color="auto"/>
            <w:bottom w:val="none" w:sz="0" w:space="0" w:color="auto"/>
            <w:right w:val="none" w:sz="0" w:space="0" w:color="auto"/>
          </w:divBdr>
        </w:div>
        <w:div w:id="134836591">
          <w:marLeft w:val="0"/>
          <w:marRight w:val="0"/>
          <w:marTop w:val="0"/>
          <w:marBottom w:val="0"/>
          <w:divBdr>
            <w:top w:val="none" w:sz="0" w:space="0" w:color="auto"/>
            <w:left w:val="none" w:sz="0" w:space="0" w:color="auto"/>
            <w:bottom w:val="none" w:sz="0" w:space="0" w:color="auto"/>
            <w:right w:val="none" w:sz="0" w:space="0" w:color="auto"/>
          </w:divBdr>
        </w:div>
        <w:div w:id="266305046">
          <w:marLeft w:val="0"/>
          <w:marRight w:val="0"/>
          <w:marTop w:val="0"/>
          <w:marBottom w:val="0"/>
          <w:divBdr>
            <w:top w:val="none" w:sz="0" w:space="0" w:color="auto"/>
            <w:left w:val="none" w:sz="0" w:space="0" w:color="auto"/>
            <w:bottom w:val="none" w:sz="0" w:space="0" w:color="auto"/>
            <w:right w:val="none" w:sz="0" w:space="0" w:color="auto"/>
          </w:divBdr>
        </w:div>
        <w:div w:id="431245799">
          <w:marLeft w:val="0"/>
          <w:marRight w:val="0"/>
          <w:marTop w:val="0"/>
          <w:marBottom w:val="0"/>
          <w:divBdr>
            <w:top w:val="none" w:sz="0" w:space="0" w:color="auto"/>
            <w:left w:val="none" w:sz="0" w:space="0" w:color="auto"/>
            <w:bottom w:val="none" w:sz="0" w:space="0" w:color="auto"/>
            <w:right w:val="none" w:sz="0" w:space="0" w:color="auto"/>
          </w:divBdr>
        </w:div>
        <w:div w:id="782308504">
          <w:marLeft w:val="0"/>
          <w:marRight w:val="0"/>
          <w:marTop w:val="0"/>
          <w:marBottom w:val="0"/>
          <w:divBdr>
            <w:top w:val="none" w:sz="0" w:space="0" w:color="auto"/>
            <w:left w:val="none" w:sz="0" w:space="0" w:color="auto"/>
            <w:bottom w:val="none" w:sz="0" w:space="0" w:color="auto"/>
            <w:right w:val="none" w:sz="0" w:space="0" w:color="auto"/>
          </w:divBdr>
        </w:div>
        <w:div w:id="1074623503">
          <w:marLeft w:val="0"/>
          <w:marRight w:val="0"/>
          <w:marTop w:val="0"/>
          <w:marBottom w:val="0"/>
          <w:divBdr>
            <w:top w:val="none" w:sz="0" w:space="0" w:color="auto"/>
            <w:left w:val="none" w:sz="0" w:space="0" w:color="auto"/>
            <w:bottom w:val="none" w:sz="0" w:space="0" w:color="auto"/>
            <w:right w:val="none" w:sz="0" w:space="0" w:color="auto"/>
          </w:divBdr>
        </w:div>
        <w:div w:id="1260329733">
          <w:marLeft w:val="0"/>
          <w:marRight w:val="0"/>
          <w:marTop w:val="0"/>
          <w:marBottom w:val="0"/>
          <w:divBdr>
            <w:top w:val="none" w:sz="0" w:space="0" w:color="auto"/>
            <w:left w:val="none" w:sz="0" w:space="0" w:color="auto"/>
            <w:bottom w:val="none" w:sz="0" w:space="0" w:color="auto"/>
            <w:right w:val="none" w:sz="0" w:space="0" w:color="auto"/>
          </w:divBdr>
        </w:div>
        <w:div w:id="1382483288">
          <w:marLeft w:val="0"/>
          <w:marRight w:val="0"/>
          <w:marTop w:val="0"/>
          <w:marBottom w:val="0"/>
          <w:divBdr>
            <w:top w:val="none" w:sz="0" w:space="0" w:color="auto"/>
            <w:left w:val="none" w:sz="0" w:space="0" w:color="auto"/>
            <w:bottom w:val="none" w:sz="0" w:space="0" w:color="auto"/>
            <w:right w:val="none" w:sz="0" w:space="0" w:color="auto"/>
          </w:divBdr>
        </w:div>
        <w:div w:id="1387794770">
          <w:marLeft w:val="0"/>
          <w:marRight w:val="0"/>
          <w:marTop w:val="0"/>
          <w:marBottom w:val="0"/>
          <w:divBdr>
            <w:top w:val="none" w:sz="0" w:space="0" w:color="auto"/>
            <w:left w:val="none" w:sz="0" w:space="0" w:color="auto"/>
            <w:bottom w:val="none" w:sz="0" w:space="0" w:color="auto"/>
            <w:right w:val="none" w:sz="0" w:space="0" w:color="auto"/>
          </w:divBdr>
        </w:div>
        <w:div w:id="1592815413">
          <w:marLeft w:val="0"/>
          <w:marRight w:val="0"/>
          <w:marTop w:val="0"/>
          <w:marBottom w:val="0"/>
          <w:divBdr>
            <w:top w:val="none" w:sz="0" w:space="0" w:color="auto"/>
            <w:left w:val="none" w:sz="0" w:space="0" w:color="auto"/>
            <w:bottom w:val="none" w:sz="0" w:space="0" w:color="auto"/>
            <w:right w:val="none" w:sz="0" w:space="0" w:color="auto"/>
          </w:divBdr>
        </w:div>
        <w:div w:id="1621301682">
          <w:marLeft w:val="0"/>
          <w:marRight w:val="0"/>
          <w:marTop w:val="0"/>
          <w:marBottom w:val="0"/>
          <w:divBdr>
            <w:top w:val="none" w:sz="0" w:space="0" w:color="auto"/>
            <w:left w:val="none" w:sz="0" w:space="0" w:color="auto"/>
            <w:bottom w:val="none" w:sz="0" w:space="0" w:color="auto"/>
            <w:right w:val="none" w:sz="0" w:space="0" w:color="auto"/>
          </w:divBdr>
        </w:div>
        <w:div w:id="1658653047">
          <w:marLeft w:val="0"/>
          <w:marRight w:val="0"/>
          <w:marTop w:val="0"/>
          <w:marBottom w:val="0"/>
          <w:divBdr>
            <w:top w:val="none" w:sz="0" w:space="0" w:color="auto"/>
            <w:left w:val="none" w:sz="0" w:space="0" w:color="auto"/>
            <w:bottom w:val="none" w:sz="0" w:space="0" w:color="auto"/>
            <w:right w:val="none" w:sz="0" w:space="0" w:color="auto"/>
          </w:divBdr>
          <w:divsChild>
            <w:div w:id="1074164726">
              <w:marLeft w:val="0"/>
              <w:marRight w:val="0"/>
              <w:marTop w:val="0"/>
              <w:marBottom w:val="0"/>
              <w:divBdr>
                <w:top w:val="none" w:sz="0" w:space="0" w:color="auto"/>
                <w:left w:val="none" w:sz="0" w:space="0" w:color="auto"/>
                <w:bottom w:val="none" w:sz="0" w:space="0" w:color="auto"/>
                <w:right w:val="none" w:sz="0" w:space="0" w:color="auto"/>
              </w:divBdr>
            </w:div>
            <w:div w:id="1163861010">
              <w:marLeft w:val="0"/>
              <w:marRight w:val="0"/>
              <w:marTop w:val="0"/>
              <w:marBottom w:val="0"/>
              <w:divBdr>
                <w:top w:val="none" w:sz="0" w:space="0" w:color="auto"/>
                <w:left w:val="none" w:sz="0" w:space="0" w:color="auto"/>
                <w:bottom w:val="none" w:sz="0" w:space="0" w:color="auto"/>
                <w:right w:val="none" w:sz="0" w:space="0" w:color="auto"/>
              </w:divBdr>
            </w:div>
            <w:div w:id="1401363937">
              <w:marLeft w:val="0"/>
              <w:marRight w:val="0"/>
              <w:marTop w:val="0"/>
              <w:marBottom w:val="0"/>
              <w:divBdr>
                <w:top w:val="none" w:sz="0" w:space="0" w:color="auto"/>
                <w:left w:val="none" w:sz="0" w:space="0" w:color="auto"/>
                <w:bottom w:val="none" w:sz="0" w:space="0" w:color="auto"/>
                <w:right w:val="none" w:sz="0" w:space="0" w:color="auto"/>
              </w:divBdr>
            </w:div>
            <w:div w:id="1446727815">
              <w:marLeft w:val="0"/>
              <w:marRight w:val="0"/>
              <w:marTop w:val="0"/>
              <w:marBottom w:val="0"/>
              <w:divBdr>
                <w:top w:val="none" w:sz="0" w:space="0" w:color="auto"/>
                <w:left w:val="none" w:sz="0" w:space="0" w:color="auto"/>
                <w:bottom w:val="none" w:sz="0" w:space="0" w:color="auto"/>
                <w:right w:val="none" w:sz="0" w:space="0" w:color="auto"/>
              </w:divBdr>
            </w:div>
            <w:div w:id="1518734532">
              <w:marLeft w:val="0"/>
              <w:marRight w:val="0"/>
              <w:marTop w:val="0"/>
              <w:marBottom w:val="0"/>
              <w:divBdr>
                <w:top w:val="none" w:sz="0" w:space="0" w:color="auto"/>
                <w:left w:val="none" w:sz="0" w:space="0" w:color="auto"/>
                <w:bottom w:val="none" w:sz="0" w:space="0" w:color="auto"/>
                <w:right w:val="none" w:sz="0" w:space="0" w:color="auto"/>
              </w:divBdr>
            </w:div>
            <w:div w:id="1541358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948642">
      <w:bodyDiv w:val="1"/>
      <w:marLeft w:val="0"/>
      <w:marRight w:val="0"/>
      <w:marTop w:val="0"/>
      <w:marBottom w:val="0"/>
      <w:divBdr>
        <w:top w:val="none" w:sz="0" w:space="0" w:color="auto"/>
        <w:left w:val="none" w:sz="0" w:space="0" w:color="auto"/>
        <w:bottom w:val="none" w:sz="0" w:space="0" w:color="auto"/>
        <w:right w:val="none" w:sz="0" w:space="0" w:color="auto"/>
      </w:divBdr>
      <w:divsChild>
        <w:div w:id="819537707">
          <w:marLeft w:val="0"/>
          <w:marRight w:val="0"/>
          <w:marTop w:val="0"/>
          <w:marBottom w:val="0"/>
          <w:divBdr>
            <w:top w:val="none" w:sz="0" w:space="0" w:color="auto"/>
            <w:left w:val="none" w:sz="0" w:space="0" w:color="auto"/>
            <w:bottom w:val="none" w:sz="0" w:space="0" w:color="auto"/>
            <w:right w:val="none" w:sz="0" w:space="0" w:color="auto"/>
          </w:divBdr>
          <w:divsChild>
            <w:div w:id="1409890136">
              <w:marLeft w:val="0"/>
              <w:marRight w:val="0"/>
              <w:marTop w:val="0"/>
              <w:marBottom w:val="0"/>
              <w:divBdr>
                <w:top w:val="none" w:sz="0" w:space="0" w:color="auto"/>
                <w:left w:val="none" w:sz="0" w:space="0" w:color="auto"/>
                <w:bottom w:val="none" w:sz="0" w:space="0" w:color="auto"/>
                <w:right w:val="none" w:sz="0" w:space="0" w:color="auto"/>
              </w:divBdr>
              <w:divsChild>
                <w:div w:id="69195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3369">
      <w:bodyDiv w:val="1"/>
      <w:marLeft w:val="0"/>
      <w:marRight w:val="0"/>
      <w:marTop w:val="0"/>
      <w:marBottom w:val="0"/>
      <w:divBdr>
        <w:top w:val="none" w:sz="0" w:space="0" w:color="auto"/>
        <w:left w:val="none" w:sz="0" w:space="0" w:color="auto"/>
        <w:bottom w:val="none" w:sz="0" w:space="0" w:color="auto"/>
        <w:right w:val="none" w:sz="0" w:space="0" w:color="auto"/>
      </w:divBdr>
    </w:div>
    <w:div w:id="512232293">
      <w:bodyDiv w:val="1"/>
      <w:marLeft w:val="0"/>
      <w:marRight w:val="0"/>
      <w:marTop w:val="0"/>
      <w:marBottom w:val="0"/>
      <w:divBdr>
        <w:top w:val="none" w:sz="0" w:space="0" w:color="auto"/>
        <w:left w:val="none" w:sz="0" w:space="0" w:color="auto"/>
        <w:bottom w:val="none" w:sz="0" w:space="0" w:color="auto"/>
        <w:right w:val="none" w:sz="0" w:space="0" w:color="auto"/>
      </w:divBdr>
    </w:div>
    <w:div w:id="523522132">
      <w:bodyDiv w:val="1"/>
      <w:marLeft w:val="0"/>
      <w:marRight w:val="0"/>
      <w:marTop w:val="0"/>
      <w:marBottom w:val="0"/>
      <w:divBdr>
        <w:top w:val="none" w:sz="0" w:space="0" w:color="auto"/>
        <w:left w:val="none" w:sz="0" w:space="0" w:color="auto"/>
        <w:bottom w:val="none" w:sz="0" w:space="0" w:color="auto"/>
        <w:right w:val="none" w:sz="0" w:space="0" w:color="auto"/>
      </w:divBdr>
      <w:divsChild>
        <w:div w:id="2082553411">
          <w:marLeft w:val="0"/>
          <w:marRight w:val="0"/>
          <w:marTop w:val="0"/>
          <w:marBottom w:val="0"/>
          <w:divBdr>
            <w:top w:val="none" w:sz="0" w:space="0" w:color="auto"/>
            <w:left w:val="none" w:sz="0" w:space="0" w:color="auto"/>
            <w:bottom w:val="none" w:sz="0" w:space="0" w:color="auto"/>
            <w:right w:val="none" w:sz="0" w:space="0" w:color="auto"/>
          </w:divBdr>
          <w:divsChild>
            <w:div w:id="1893226138">
              <w:marLeft w:val="0"/>
              <w:marRight w:val="0"/>
              <w:marTop w:val="0"/>
              <w:marBottom w:val="0"/>
              <w:divBdr>
                <w:top w:val="none" w:sz="0" w:space="0" w:color="auto"/>
                <w:left w:val="none" w:sz="0" w:space="0" w:color="auto"/>
                <w:bottom w:val="none" w:sz="0" w:space="0" w:color="auto"/>
                <w:right w:val="none" w:sz="0" w:space="0" w:color="auto"/>
              </w:divBdr>
              <w:divsChild>
                <w:div w:id="1088620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5212153">
      <w:bodyDiv w:val="1"/>
      <w:marLeft w:val="0"/>
      <w:marRight w:val="0"/>
      <w:marTop w:val="0"/>
      <w:marBottom w:val="0"/>
      <w:divBdr>
        <w:top w:val="none" w:sz="0" w:space="0" w:color="auto"/>
        <w:left w:val="none" w:sz="0" w:space="0" w:color="auto"/>
        <w:bottom w:val="none" w:sz="0" w:space="0" w:color="auto"/>
        <w:right w:val="none" w:sz="0" w:space="0" w:color="auto"/>
      </w:divBdr>
      <w:divsChild>
        <w:div w:id="45107511">
          <w:marLeft w:val="0"/>
          <w:marRight w:val="0"/>
          <w:marTop w:val="0"/>
          <w:marBottom w:val="0"/>
          <w:divBdr>
            <w:top w:val="none" w:sz="0" w:space="0" w:color="auto"/>
            <w:left w:val="none" w:sz="0" w:space="0" w:color="auto"/>
            <w:bottom w:val="none" w:sz="0" w:space="0" w:color="auto"/>
            <w:right w:val="none" w:sz="0" w:space="0" w:color="auto"/>
          </w:divBdr>
          <w:divsChild>
            <w:div w:id="1398819625">
              <w:marLeft w:val="0"/>
              <w:marRight w:val="0"/>
              <w:marTop w:val="0"/>
              <w:marBottom w:val="0"/>
              <w:divBdr>
                <w:top w:val="none" w:sz="0" w:space="0" w:color="auto"/>
                <w:left w:val="none" w:sz="0" w:space="0" w:color="auto"/>
                <w:bottom w:val="none" w:sz="0" w:space="0" w:color="auto"/>
                <w:right w:val="none" w:sz="0" w:space="0" w:color="auto"/>
              </w:divBdr>
            </w:div>
          </w:divsChild>
        </w:div>
        <w:div w:id="300186750">
          <w:marLeft w:val="0"/>
          <w:marRight w:val="0"/>
          <w:marTop w:val="0"/>
          <w:marBottom w:val="0"/>
          <w:divBdr>
            <w:top w:val="none" w:sz="0" w:space="0" w:color="auto"/>
            <w:left w:val="none" w:sz="0" w:space="0" w:color="auto"/>
            <w:bottom w:val="none" w:sz="0" w:space="0" w:color="auto"/>
            <w:right w:val="none" w:sz="0" w:space="0" w:color="auto"/>
          </w:divBdr>
          <w:divsChild>
            <w:div w:id="1866674757">
              <w:marLeft w:val="0"/>
              <w:marRight w:val="0"/>
              <w:marTop w:val="0"/>
              <w:marBottom w:val="0"/>
              <w:divBdr>
                <w:top w:val="none" w:sz="0" w:space="0" w:color="auto"/>
                <w:left w:val="none" w:sz="0" w:space="0" w:color="auto"/>
                <w:bottom w:val="none" w:sz="0" w:space="0" w:color="auto"/>
                <w:right w:val="none" w:sz="0" w:space="0" w:color="auto"/>
              </w:divBdr>
            </w:div>
          </w:divsChild>
        </w:div>
        <w:div w:id="939409035">
          <w:marLeft w:val="0"/>
          <w:marRight w:val="0"/>
          <w:marTop w:val="0"/>
          <w:marBottom w:val="0"/>
          <w:divBdr>
            <w:top w:val="none" w:sz="0" w:space="0" w:color="auto"/>
            <w:left w:val="none" w:sz="0" w:space="0" w:color="auto"/>
            <w:bottom w:val="none" w:sz="0" w:space="0" w:color="auto"/>
            <w:right w:val="none" w:sz="0" w:space="0" w:color="auto"/>
          </w:divBdr>
          <w:divsChild>
            <w:div w:id="705133314">
              <w:marLeft w:val="0"/>
              <w:marRight w:val="0"/>
              <w:marTop w:val="0"/>
              <w:marBottom w:val="0"/>
              <w:divBdr>
                <w:top w:val="none" w:sz="0" w:space="0" w:color="auto"/>
                <w:left w:val="none" w:sz="0" w:space="0" w:color="auto"/>
                <w:bottom w:val="none" w:sz="0" w:space="0" w:color="auto"/>
                <w:right w:val="none" w:sz="0" w:space="0" w:color="auto"/>
              </w:divBdr>
            </w:div>
          </w:divsChild>
        </w:div>
        <w:div w:id="1115977753">
          <w:marLeft w:val="0"/>
          <w:marRight w:val="0"/>
          <w:marTop w:val="0"/>
          <w:marBottom w:val="0"/>
          <w:divBdr>
            <w:top w:val="none" w:sz="0" w:space="0" w:color="auto"/>
            <w:left w:val="none" w:sz="0" w:space="0" w:color="auto"/>
            <w:bottom w:val="none" w:sz="0" w:space="0" w:color="auto"/>
            <w:right w:val="none" w:sz="0" w:space="0" w:color="auto"/>
          </w:divBdr>
          <w:divsChild>
            <w:div w:id="1978945567">
              <w:marLeft w:val="0"/>
              <w:marRight w:val="0"/>
              <w:marTop w:val="0"/>
              <w:marBottom w:val="0"/>
              <w:divBdr>
                <w:top w:val="none" w:sz="0" w:space="0" w:color="auto"/>
                <w:left w:val="none" w:sz="0" w:space="0" w:color="auto"/>
                <w:bottom w:val="none" w:sz="0" w:space="0" w:color="auto"/>
                <w:right w:val="none" w:sz="0" w:space="0" w:color="auto"/>
              </w:divBdr>
            </w:div>
          </w:divsChild>
        </w:div>
        <w:div w:id="1701324343">
          <w:marLeft w:val="0"/>
          <w:marRight w:val="0"/>
          <w:marTop w:val="0"/>
          <w:marBottom w:val="0"/>
          <w:divBdr>
            <w:top w:val="none" w:sz="0" w:space="0" w:color="auto"/>
            <w:left w:val="none" w:sz="0" w:space="0" w:color="auto"/>
            <w:bottom w:val="none" w:sz="0" w:space="0" w:color="auto"/>
            <w:right w:val="none" w:sz="0" w:space="0" w:color="auto"/>
          </w:divBdr>
        </w:div>
        <w:div w:id="1854880431">
          <w:marLeft w:val="0"/>
          <w:marRight w:val="0"/>
          <w:marTop w:val="0"/>
          <w:marBottom w:val="0"/>
          <w:divBdr>
            <w:top w:val="none" w:sz="0" w:space="0" w:color="auto"/>
            <w:left w:val="none" w:sz="0" w:space="0" w:color="auto"/>
            <w:bottom w:val="none" w:sz="0" w:space="0" w:color="auto"/>
            <w:right w:val="none" w:sz="0" w:space="0" w:color="auto"/>
          </w:divBdr>
          <w:divsChild>
            <w:div w:id="214600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6508678">
      <w:bodyDiv w:val="1"/>
      <w:marLeft w:val="0"/>
      <w:marRight w:val="0"/>
      <w:marTop w:val="0"/>
      <w:marBottom w:val="0"/>
      <w:divBdr>
        <w:top w:val="none" w:sz="0" w:space="0" w:color="auto"/>
        <w:left w:val="none" w:sz="0" w:space="0" w:color="auto"/>
        <w:bottom w:val="none" w:sz="0" w:space="0" w:color="auto"/>
        <w:right w:val="none" w:sz="0" w:space="0" w:color="auto"/>
      </w:divBdr>
    </w:div>
    <w:div w:id="548765488">
      <w:bodyDiv w:val="1"/>
      <w:marLeft w:val="0"/>
      <w:marRight w:val="0"/>
      <w:marTop w:val="0"/>
      <w:marBottom w:val="0"/>
      <w:divBdr>
        <w:top w:val="none" w:sz="0" w:space="0" w:color="auto"/>
        <w:left w:val="none" w:sz="0" w:space="0" w:color="auto"/>
        <w:bottom w:val="none" w:sz="0" w:space="0" w:color="auto"/>
        <w:right w:val="none" w:sz="0" w:space="0" w:color="auto"/>
      </w:divBdr>
    </w:div>
    <w:div w:id="550195590">
      <w:bodyDiv w:val="1"/>
      <w:marLeft w:val="0"/>
      <w:marRight w:val="0"/>
      <w:marTop w:val="0"/>
      <w:marBottom w:val="0"/>
      <w:divBdr>
        <w:top w:val="none" w:sz="0" w:space="0" w:color="auto"/>
        <w:left w:val="none" w:sz="0" w:space="0" w:color="auto"/>
        <w:bottom w:val="none" w:sz="0" w:space="0" w:color="auto"/>
        <w:right w:val="none" w:sz="0" w:space="0" w:color="auto"/>
      </w:divBdr>
    </w:div>
    <w:div w:id="555747437">
      <w:bodyDiv w:val="1"/>
      <w:marLeft w:val="0"/>
      <w:marRight w:val="0"/>
      <w:marTop w:val="0"/>
      <w:marBottom w:val="0"/>
      <w:divBdr>
        <w:top w:val="none" w:sz="0" w:space="0" w:color="auto"/>
        <w:left w:val="none" w:sz="0" w:space="0" w:color="auto"/>
        <w:bottom w:val="none" w:sz="0" w:space="0" w:color="auto"/>
        <w:right w:val="none" w:sz="0" w:space="0" w:color="auto"/>
      </w:divBdr>
    </w:div>
    <w:div w:id="564877999">
      <w:bodyDiv w:val="1"/>
      <w:marLeft w:val="0"/>
      <w:marRight w:val="0"/>
      <w:marTop w:val="0"/>
      <w:marBottom w:val="0"/>
      <w:divBdr>
        <w:top w:val="none" w:sz="0" w:space="0" w:color="auto"/>
        <w:left w:val="none" w:sz="0" w:space="0" w:color="auto"/>
        <w:bottom w:val="none" w:sz="0" w:space="0" w:color="auto"/>
        <w:right w:val="none" w:sz="0" w:space="0" w:color="auto"/>
      </w:divBdr>
    </w:div>
    <w:div w:id="565189982">
      <w:bodyDiv w:val="1"/>
      <w:marLeft w:val="0"/>
      <w:marRight w:val="0"/>
      <w:marTop w:val="0"/>
      <w:marBottom w:val="0"/>
      <w:divBdr>
        <w:top w:val="none" w:sz="0" w:space="0" w:color="auto"/>
        <w:left w:val="none" w:sz="0" w:space="0" w:color="auto"/>
        <w:bottom w:val="none" w:sz="0" w:space="0" w:color="auto"/>
        <w:right w:val="none" w:sz="0" w:space="0" w:color="auto"/>
      </w:divBdr>
    </w:div>
    <w:div w:id="581647154">
      <w:bodyDiv w:val="1"/>
      <w:marLeft w:val="0"/>
      <w:marRight w:val="0"/>
      <w:marTop w:val="0"/>
      <w:marBottom w:val="0"/>
      <w:divBdr>
        <w:top w:val="none" w:sz="0" w:space="0" w:color="auto"/>
        <w:left w:val="none" w:sz="0" w:space="0" w:color="auto"/>
        <w:bottom w:val="none" w:sz="0" w:space="0" w:color="auto"/>
        <w:right w:val="none" w:sz="0" w:space="0" w:color="auto"/>
      </w:divBdr>
      <w:divsChild>
        <w:div w:id="931744464">
          <w:marLeft w:val="0"/>
          <w:marRight w:val="0"/>
          <w:marTop w:val="0"/>
          <w:marBottom w:val="0"/>
          <w:divBdr>
            <w:top w:val="none" w:sz="0" w:space="0" w:color="auto"/>
            <w:left w:val="none" w:sz="0" w:space="0" w:color="auto"/>
            <w:bottom w:val="none" w:sz="0" w:space="0" w:color="auto"/>
            <w:right w:val="none" w:sz="0" w:space="0" w:color="auto"/>
          </w:divBdr>
          <w:divsChild>
            <w:div w:id="1924414980">
              <w:marLeft w:val="0"/>
              <w:marRight w:val="0"/>
              <w:marTop w:val="0"/>
              <w:marBottom w:val="0"/>
              <w:divBdr>
                <w:top w:val="none" w:sz="0" w:space="0" w:color="auto"/>
                <w:left w:val="none" w:sz="0" w:space="0" w:color="auto"/>
                <w:bottom w:val="none" w:sz="0" w:space="0" w:color="auto"/>
                <w:right w:val="none" w:sz="0" w:space="0" w:color="auto"/>
              </w:divBdr>
              <w:divsChild>
                <w:div w:id="101615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407505">
      <w:bodyDiv w:val="1"/>
      <w:marLeft w:val="0"/>
      <w:marRight w:val="0"/>
      <w:marTop w:val="0"/>
      <w:marBottom w:val="0"/>
      <w:divBdr>
        <w:top w:val="none" w:sz="0" w:space="0" w:color="auto"/>
        <w:left w:val="none" w:sz="0" w:space="0" w:color="auto"/>
        <w:bottom w:val="none" w:sz="0" w:space="0" w:color="auto"/>
        <w:right w:val="none" w:sz="0" w:space="0" w:color="auto"/>
      </w:divBdr>
    </w:div>
    <w:div w:id="601642539">
      <w:bodyDiv w:val="1"/>
      <w:marLeft w:val="0"/>
      <w:marRight w:val="0"/>
      <w:marTop w:val="0"/>
      <w:marBottom w:val="0"/>
      <w:divBdr>
        <w:top w:val="none" w:sz="0" w:space="0" w:color="auto"/>
        <w:left w:val="none" w:sz="0" w:space="0" w:color="auto"/>
        <w:bottom w:val="none" w:sz="0" w:space="0" w:color="auto"/>
        <w:right w:val="none" w:sz="0" w:space="0" w:color="auto"/>
      </w:divBdr>
      <w:divsChild>
        <w:div w:id="951015221">
          <w:marLeft w:val="0"/>
          <w:marRight w:val="0"/>
          <w:marTop w:val="0"/>
          <w:marBottom w:val="0"/>
          <w:divBdr>
            <w:top w:val="none" w:sz="0" w:space="0" w:color="auto"/>
            <w:left w:val="none" w:sz="0" w:space="0" w:color="auto"/>
            <w:bottom w:val="none" w:sz="0" w:space="0" w:color="auto"/>
            <w:right w:val="none" w:sz="0" w:space="0" w:color="auto"/>
          </w:divBdr>
          <w:divsChild>
            <w:div w:id="629288895">
              <w:marLeft w:val="0"/>
              <w:marRight w:val="0"/>
              <w:marTop w:val="0"/>
              <w:marBottom w:val="0"/>
              <w:divBdr>
                <w:top w:val="none" w:sz="0" w:space="0" w:color="auto"/>
                <w:left w:val="none" w:sz="0" w:space="0" w:color="auto"/>
                <w:bottom w:val="none" w:sz="0" w:space="0" w:color="auto"/>
                <w:right w:val="none" w:sz="0" w:space="0" w:color="auto"/>
              </w:divBdr>
              <w:divsChild>
                <w:div w:id="121785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89616">
      <w:bodyDiv w:val="1"/>
      <w:marLeft w:val="0"/>
      <w:marRight w:val="0"/>
      <w:marTop w:val="0"/>
      <w:marBottom w:val="0"/>
      <w:divBdr>
        <w:top w:val="none" w:sz="0" w:space="0" w:color="auto"/>
        <w:left w:val="none" w:sz="0" w:space="0" w:color="auto"/>
        <w:bottom w:val="none" w:sz="0" w:space="0" w:color="auto"/>
        <w:right w:val="none" w:sz="0" w:space="0" w:color="auto"/>
      </w:divBdr>
      <w:divsChild>
        <w:div w:id="460417649">
          <w:marLeft w:val="0"/>
          <w:marRight w:val="0"/>
          <w:marTop w:val="0"/>
          <w:marBottom w:val="0"/>
          <w:divBdr>
            <w:top w:val="none" w:sz="0" w:space="0" w:color="auto"/>
            <w:left w:val="none" w:sz="0" w:space="0" w:color="auto"/>
            <w:bottom w:val="none" w:sz="0" w:space="0" w:color="auto"/>
            <w:right w:val="none" w:sz="0" w:space="0" w:color="auto"/>
          </w:divBdr>
          <w:divsChild>
            <w:div w:id="386799191">
              <w:marLeft w:val="0"/>
              <w:marRight w:val="0"/>
              <w:marTop w:val="0"/>
              <w:marBottom w:val="0"/>
              <w:divBdr>
                <w:top w:val="none" w:sz="0" w:space="0" w:color="auto"/>
                <w:left w:val="none" w:sz="0" w:space="0" w:color="auto"/>
                <w:bottom w:val="none" w:sz="0" w:space="0" w:color="auto"/>
                <w:right w:val="none" w:sz="0" w:space="0" w:color="auto"/>
              </w:divBdr>
              <w:divsChild>
                <w:div w:id="353116446">
                  <w:marLeft w:val="0"/>
                  <w:marRight w:val="0"/>
                  <w:marTop w:val="0"/>
                  <w:marBottom w:val="0"/>
                  <w:divBdr>
                    <w:top w:val="none" w:sz="0" w:space="0" w:color="auto"/>
                    <w:left w:val="none" w:sz="0" w:space="0" w:color="auto"/>
                    <w:bottom w:val="none" w:sz="0" w:space="0" w:color="auto"/>
                    <w:right w:val="none" w:sz="0" w:space="0" w:color="auto"/>
                  </w:divBdr>
                  <w:divsChild>
                    <w:div w:id="86718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945414">
      <w:bodyDiv w:val="1"/>
      <w:marLeft w:val="0"/>
      <w:marRight w:val="0"/>
      <w:marTop w:val="0"/>
      <w:marBottom w:val="0"/>
      <w:divBdr>
        <w:top w:val="none" w:sz="0" w:space="0" w:color="auto"/>
        <w:left w:val="none" w:sz="0" w:space="0" w:color="auto"/>
        <w:bottom w:val="none" w:sz="0" w:space="0" w:color="auto"/>
        <w:right w:val="none" w:sz="0" w:space="0" w:color="auto"/>
      </w:divBdr>
    </w:div>
    <w:div w:id="621151310">
      <w:bodyDiv w:val="1"/>
      <w:marLeft w:val="0"/>
      <w:marRight w:val="0"/>
      <w:marTop w:val="0"/>
      <w:marBottom w:val="0"/>
      <w:divBdr>
        <w:top w:val="none" w:sz="0" w:space="0" w:color="auto"/>
        <w:left w:val="none" w:sz="0" w:space="0" w:color="auto"/>
        <w:bottom w:val="none" w:sz="0" w:space="0" w:color="auto"/>
        <w:right w:val="none" w:sz="0" w:space="0" w:color="auto"/>
      </w:divBdr>
      <w:divsChild>
        <w:div w:id="546725902">
          <w:marLeft w:val="0"/>
          <w:marRight w:val="0"/>
          <w:marTop w:val="0"/>
          <w:marBottom w:val="0"/>
          <w:divBdr>
            <w:top w:val="none" w:sz="0" w:space="0" w:color="auto"/>
            <w:left w:val="none" w:sz="0" w:space="0" w:color="auto"/>
            <w:bottom w:val="none" w:sz="0" w:space="0" w:color="auto"/>
            <w:right w:val="none" w:sz="0" w:space="0" w:color="auto"/>
          </w:divBdr>
        </w:div>
      </w:divsChild>
    </w:div>
    <w:div w:id="635645677">
      <w:bodyDiv w:val="1"/>
      <w:marLeft w:val="0"/>
      <w:marRight w:val="0"/>
      <w:marTop w:val="0"/>
      <w:marBottom w:val="0"/>
      <w:divBdr>
        <w:top w:val="none" w:sz="0" w:space="0" w:color="auto"/>
        <w:left w:val="none" w:sz="0" w:space="0" w:color="auto"/>
        <w:bottom w:val="none" w:sz="0" w:space="0" w:color="auto"/>
        <w:right w:val="none" w:sz="0" w:space="0" w:color="auto"/>
      </w:divBdr>
    </w:div>
    <w:div w:id="651719913">
      <w:bodyDiv w:val="1"/>
      <w:marLeft w:val="0"/>
      <w:marRight w:val="0"/>
      <w:marTop w:val="0"/>
      <w:marBottom w:val="0"/>
      <w:divBdr>
        <w:top w:val="none" w:sz="0" w:space="0" w:color="auto"/>
        <w:left w:val="none" w:sz="0" w:space="0" w:color="auto"/>
        <w:bottom w:val="none" w:sz="0" w:space="0" w:color="auto"/>
        <w:right w:val="none" w:sz="0" w:space="0" w:color="auto"/>
      </w:divBdr>
      <w:divsChild>
        <w:div w:id="1786146688">
          <w:marLeft w:val="0"/>
          <w:marRight w:val="0"/>
          <w:marTop w:val="0"/>
          <w:marBottom w:val="0"/>
          <w:divBdr>
            <w:top w:val="none" w:sz="0" w:space="0" w:color="auto"/>
            <w:left w:val="none" w:sz="0" w:space="0" w:color="auto"/>
            <w:bottom w:val="none" w:sz="0" w:space="0" w:color="auto"/>
            <w:right w:val="none" w:sz="0" w:space="0" w:color="auto"/>
          </w:divBdr>
          <w:divsChild>
            <w:div w:id="1689477566">
              <w:marLeft w:val="0"/>
              <w:marRight w:val="0"/>
              <w:marTop w:val="0"/>
              <w:marBottom w:val="0"/>
              <w:divBdr>
                <w:top w:val="none" w:sz="0" w:space="0" w:color="auto"/>
                <w:left w:val="none" w:sz="0" w:space="0" w:color="auto"/>
                <w:bottom w:val="none" w:sz="0" w:space="0" w:color="auto"/>
                <w:right w:val="none" w:sz="0" w:space="0" w:color="auto"/>
              </w:divBdr>
              <w:divsChild>
                <w:div w:id="839739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374189">
      <w:bodyDiv w:val="1"/>
      <w:marLeft w:val="0"/>
      <w:marRight w:val="0"/>
      <w:marTop w:val="0"/>
      <w:marBottom w:val="0"/>
      <w:divBdr>
        <w:top w:val="none" w:sz="0" w:space="0" w:color="auto"/>
        <w:left w:val="none" w:sz="0" w:space="0" w:color="auto"/>
        <w:bottom w:val="none" w:sz="0" w:space="0" w:color="auto"/>
        <w:right w:val="none" w:sz="0" w:space="0" w:color="auto"/>
      </w:divBdr>
    </w:div>
    <w:div w:id="656878456">
      <w:bodyDiv w:val="1"/>
      <w:marLeft w:val="0"/>
      <w:marRight w:val="0"/>
      <w:marTop w:val="0"/>
      <w:marBottom w:val="0"/>
      <w:divBdr>
        <w:top w:val="none" w:sz="0" w:space="0" w:color="auto"/>
        <w:left w:val="none" w:sz="0" w:space="0" w:color="auto"/>
        <w:bottom w:val="none" w:sz="0" w:space="0" w:color="auto"/>
        <w:right w:val="none" w:sz="0" w:space="0" w:color="auto"/>
      </w:divBdr>
      <w:divsChild>
        <w:div w:id="776287984">
          <w:marLeft w:val="0"/>
          <w:marRight w:val="0"/>
          <w:marTop w:val="0"/>
          <w:marBottom w:val="0"/>
          <w:divBdr>
            <w:top w:val="none" w:sz="0" w:space="0" w:color="auto"/>
            <w:left w:val="none" w:sz="0" w:space="0" w:color="auto"/>
            <w:bottom w:val="none" w:sz="0" w:space="0" w:color="auto"/>
            <w:right w:val="none" w:sz="0" w:space="0" w:color="auto"/>
          </w:divBdr>
          <w:divsChild>
            <w:div w:id="500966907">
              <w:marLeft w:val="0"/>
              <w:marRight w:val="0"/>
              <w:marTop w:val="0"/>
              <w:marBottom w:val="0"/>
              <w:divBdr>
                <w:top w:val="none" w:sz="0" w:space="0" w:color="auto"/>
                <w:left w:val="none" w:sz="0" w:space="0" w:color="auto"/>
                <w:bottom w:val="none" w:sz="0" w:space="0" w:color="auto"/>
                <w:right w:val="none" w:sz="0" w:space="0" w:color="auto"/>
              </w:divBdr>
              <w:divsChild>
                <w:div w:id="1700470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477078">
      <w:bodyDiv w:val="1"/>
      <w:marLeft w:val="0"/>
      <w:marRight w:val="0"/>
      <w:marTop w:val="0"/>
      <w:marBottom w:val="0"/>
      <w:divBdr>
        <w:top w:val="none" w:sz="0" w:space="0" w:color="auto"/>
        <w:left w:val="none" w:sz="0" w:space="0" w:color="auto"/>
        <w:bottom w:val="none" w:sz="0" w:space="0" w:color="auto"/>
        <w:right w:val="none" w:sz="0" w:space="0" w:color="auto"/>
      </w:divBdr>
    </w:div>
    <w:div w:id="673848130">
      <w:bodyDiv w:val="1"/>
      <w:marLeft w:val="0"/>
      <w:marRight w:val="0"/>
      <w:marTop w:val="0"/>
      <w:marBottom w:val="0"/>
      <w:divBdr>
        <w:top w:val="none" w:sz="0" w:space="0" w:color="auto"/>
        <w:left w:val="none" w:sz="0" w:space="0" w:color="auto"/>
        <w:bottom w:val="none" w:sz="0" w:space="0" w:color="auto"/>
        <w:right w:val="none" w:sz="0" w:space="0" w:color="auto"/>
      </w:divBdr>
    </w:div>
    <w:div w:id="702438844">
      <w:bodyDiv w:val="1"/>
      <w:marLeft w:val="0"/>
      <w:marRight w:val="0"/>
      <w:marTop w:val="0"/>
      <w:marBottom w:val="0"/>
      <w:divBdr>
        <w:top w:val="none" w:sz="0" w:space="0" w:color="auto"/>
        <w:left w:val="none" w:sz="0" w:space="0" w:color="auto"/>
        <w:bottom w:val="none" w:sz="0" w:space="0" w:color="auto"/>
        <w:right w:val="none" w:sz="0" w:space="0" w:color="auto"/>
      </w:divBdr>
    </w:div>
    <w:div w:id="708723210">
      <w:bodyDiv w:val="1"/>
      <w:marLeft w:val="0"/>
      <w:marRight w:val="0"/>
      <w:marTop w:val="0"/>
      <w:marBottom w:val="0"/>
      <w:divBdr>
        <w:top w:val="none" w:sz="0" w:space="0" w:color="auto"/>
        <w:left w:val="none" w:sz="0" w:space="0" w:color="auto"/>
        <w:bottom w:val="none" w:sz="0" w:space="0" w:color="auto"/>
        <w:right w:val="none" w:sz="0" w:space="0" w:color="auto"/>
      </w:divBdr>
    </w:div>
    <w:div w:id="709689808">
      <w:bodyDiv w:val="1"/>
      <w:marLeft w:val="0"/>
      <w:marRight w:val="0"/>
      <w:marTop w:val="0"/>
      <w:marBottom w:val="0"/>
      <w:divBdr>
        <w:top w:val="none" w:sz="0" w:space="0" w:color="auto"/>
        <w:left w:val="none" w:sz="0" w:space="0" w:color="auto"/>
        <w:bottom w:val="none" w:sz="0" w:space="0" w:color="auto"/>
        <w:right w:val="none" w:sz="0" w:space="0" w:color="auto"/>
      </w:divBdr>
    </w:div>
    <w:div w:id="719519927">
      <w:bodyDiv w:val="1"/>
      <w:marLeft w:val="0"/>
      <w:marRight w:val="0"/>
      <w:marTop w:val="0"/>
      <w:marBottom w:val="0"/>
      <w:divBdr>
        <w:top w:val="none" w:sz="0" w:space="0" w:color="auto"/>
        <w:left w:val="none" w:sz="0" w:space="0" w:color="auto"/>
        <w:bottom w:val="none" w:sz="0" w:space="0" w:color="auto"/>
        <w:right w:val="none" w:sz="0" w:space="0" w:color="auto"/>
      </w:divBdr>
    </w:div>
    <w:div w:id="720329030">
      <w:bodyDiv w:val="1"/>
      <w:marLeft w:val="0"/>
      <w:marRight w:val="0"/>
      <w:marTop w:val="0"/>
      <w:marBottom w:val="0"/>
      <w:divBdr>
        <w:top w:val="none" w:sz="0" w:space="0" w:color="auto"/>
        <w:left w:val="none" w:sz="0" w:space="0" w:color="auto"/>
        <w:bottom w:val="none" w:sz="0" w:space="0" w:color="auto"/>
        <w:right w:val="none" w:sz="0" w:space="0" w:color="auto"/>
      </w:divBdr>
    </w:div>
    <w:div w:id="721296423">
      <w:bodyDiv w:val="1"/>
      <w:marLeft w:val="0"/>
      <w:marRight w:val="0"/>
      <w:marTop w:val="0"/>
      <w:marBottom w:val="0"/>
      <w:divBdr>
        <w:top w:val="none" w:sz="0" w:space="0" w:color="auto"/>
        <w:left w:val="none" w:sz="0" w:space="0" w:color="auto"/>
        <w:bottom w:val="none" w:sz="0" w:space="0" w:color="auto"/>
        <w:right w:val="none" w:sz="0" w:space="0" w:color="auto"/>
      </w:divBdr>
    </w:div>
    <w:div w:id="725954339">
      <w:bodyDiv w:val="1"/>
      <w:marLeft w:val="0"/>
      <w:marRight w:val="0"/>
      <w:marTop w:val="0"/>
      <w:marBottom w:val="0"/>
      <w:divBdr>
        <w:top w:val="none" w:sz="0" w:space="0" w:color="auto"/>
        <w:left w:val="none" w:sz="0" w:space="0" w:color="auto"/>
        <w:bottom w:val="none" w:sz="0" w:space="0" w:color="auto"/>
        <w:right w:val="none" w:sz="0" w:space="0" w:color="auto"/>
      </w:divBdr>
    </w:div>
    <w:div w:id="734670572">
      <w:bodyDiv w:val="1"/>
      <w:marLeft w:val="0"/>
      <w:marRight w:val="0"/>
      <w:marTop w:val="0"/>
      <w:marBottom w:val="0"/>
      <w:divBdr>
        <w:top w:val="none" w:sz="0" w:space="0" w:color="auto"/>
        <w:left w:val="none" w:sz="0" w:space="0" w:color="auto"/>
        <w:bottom w:val="none" w:sz="0" w:space="0" w:color="auto"/>
        <w:right w:val="none" w:sz="0" w:space="0" w:color="auto"/>
      </w:divBdr>
    </w:div>
    <w:div w:id="737901838">
      <w:bodyDiv w:val="1"/>
      <w:marLeft w:val="0"/>
      <w:marRight w:val="0"/>
      <w:marTop w:val="0"/>
      <w:marBottom w:val="0"/>
      <w:divBdr>
        <w:top w:val="none" w:sz="0" w:space="0" w:color="auto"/>
        <w:left w:val="none" w:sz="0" w:space="0" w:color="auto"/>
        <w:bottom w:val="none" w:sz="0" w:space="0" w:color="auto"/>
        <w:right w:val="none" w:sz="0" w:space="0" w:color="auto"/>
      </w:divBdr>
    </w:div>
    <w:div w:id="749233610">
      <w:bodyDiv w:val="1"/>
      <w:marLeft w:val="0"/>
      <w:marRight w:val="0"/>
      <w:marTop w:val="0"/>
      <w:marBottom w:val="0"/>
      <w:divBdr>
        <w:top w:val="none" w:sz="0" w:space="0" w:color="auto"/>
        <w:left w:val="none" w:sz="0" w:space="0" w:color="auto"/>
        <w:bottom w:val="none" w:sz="0" w:space="0" w:color="auto"/>
        <w:right w:val="none" w:sz="0" w:space="0" w:color="auto"/>
      </w:divBdr>
    </w:div>
    <w:div w:id="756950394">
      <w:bodyDiv w:val="1"/>
      <w:marLeft w:val="0"/>
      <w:marRight w:val="0"/>
      <w:marTop w:val="0"/>
      <w:marBottom w:val="0"/>
      <w:divBdr>
        <w:top w:val="none" w:sz="0" w:space="0" w:color="auto"/>
        <w:left w:val="none" w:sz="0" w:space="0" w:color="auto"/>
        <w:bottom w:val="none" w:sz="0" w:space="0" w:color="auto"/>
        <w:right w:val="none" w:sz="0" w:space="0" w:color="auto"/>
      </w:divBdr>
    </w:div>
    <w:div w:id="790364717">
      <w:bodyDiv w:val="1"/>
      <w:marLeft w:val="0"/>
      <w:marRight w:val="0"/>
      <w:marTop w:val="0"/>
      <w:marBottom w:val="0"/>
      <w:divBdr>
        <w:top w:val="none" w:sz="0" w:space="0" w:color="auto"/>
        <w:left w:val="none" w:sz="0" w:space="0" w:color="auto"/>
        <w:bottom w:val="none" w:sz="0" w:space="0" w:color="auto"/>
        <w:right w:val="none" w:sz="0" w:space="0" w:color="auto"/>
      </w:divBdr>
      <w:divsChild>
        <w:div w:id="134757641">
          <w:marLeft w:val="0"/>
          <w:marRight w:val="0"/>
          <w:marTop w:val="0"/>
          <w:marBottom w:val="0"/>
          <w:divBdr>
            <w:top w:val="none" w:sz="0" w:space="0" w:color="auto"/>
            <w:left w:val="none" w:sz="0" w:space="0" w:color="auto"/>
            <w:bottom w:val="none" w:sz="0" w:space="0" w:color="auto"/>
            <w:right w:val="none" w:sz="0" w:space="0" w:color="auto"/>
          </w:divBdr>
        </w:div>
        <w:div w:id="183327756">
          <w:marLeft w:val="0"/>
          <w:marRight w:val="0"/>
          <w:marTop w:val="0"/>
          <w:marBottom w:val="0"/>
          <w:divBdr>
            <w:top w:val="none" w:sz="0" w:space="0" w:color="auto"/>
            <w:left w:val="none" w:sz="0" w:space="0" w:color="auto"/>
            <w:bottom w:val="none" w:sz="0" w:space="0" w:color="auto"/>
            <w:right w:val="none" w:sz="0" w:space="0" w:color="auto"/>
          </w:divBdr>
        </w:div>
        <w:div w:id="204758753">
          <w:marLeft w:val="0"/>
          <w:marRight w:val="0"/>
          <w:marTop w:val="0"/>
          <w:marBottom w:val="0"/>
          <w:divBdr>
            <w:top w:val="none" w:sz="0" w:space="0" w:color="auto"/>
            <w:left w:val="none" w:sz="0" w:space="0" w:color="auto"/>
            <w:bottom w:val="none" w:sz="0" w:space="0" w:color="auto"/>
            <w:right w:val="none" w:sz="0" w:space="0" w:color="auto"/>
          </w:divBdr>
        </w:div>
        <w:div w:id="266427108">
          <w:marLeft w:val="0"/>
          <w:marRight w:val="0"/>
          <w:marTop w:val="0"/>
          <w:marBottom w:val="0"/>
          <w:divBdr>
            <w:top w:val="none" w:sz="0" w:space="0" w:color="auto"/>
            <w:left w:val="none" w:sz="0" w:space="0" w:color="auto"/>
            <w:bottom w:val="none" w:sz="0" w:space="0" w:color="auto"/>
            <w:right w:val="none" w:sz="0" w:space="0" w:color="auto"/>
          </w:divBdr>
        </w:div>
        <w:div w:id="279536753">
          <w:marLeft w:val="0"/>
          <w:marRight w:val="0"/>
          <w:marTop w:val="0"/>
          <w:marBottom w:val="0"/>
          <w:divBdr>
            <w:top w:val="none" w:sz="0" w:space="0" w:color="auto"/>
            <w:left w:val="none" w:sz="0" w:space="0" w:color="auto"/>
            <w:bottom w:val="none" w:sz="0" w:space="0" w:color="auto"/>
            <w:right w:val="none" w:sz="0" w:space="0" w:color="auto"/>
          </w:divBdr>
        </w:div>
        <w:div w:id="583104398">
          <w:marLeft w:val="0"/>
          <w:marRight w:val="0"/>
          <w:marTop w:val="0"/>
          <w:marBottom w:val="0"/>
          <w:divBdr>
            <w:top w:val="none" w:sz="0" w:space="0" w:color="auto"/>
            <w:left w:val="none" w:sz="0" w:space="0" w:color="auto"/>
            <w:bottom w:val="none" w:sz="0" w:space="0" w:color="auto"/>
            <w:right w:val="none" w:sz="0" w:space="0" w:color="auto"/>
          </w:divBdr>
        </w:div>
        <w:div w:id="1095589364">
          <w:marLeft w:val="0"/>
          <w:marRight w:val="0"/>
          <w:marTop w:val="0"/>
          <w:marBottom w:val="0"/>
          <w:divBdr>
            <w:top w:val="none" w:sz="0" w:space="0" w:color="auto"/>
            <w:left w:val="none" w:sz="0" w:space="0" w:color="auto"/>
            <w:bottom w:val="none" w:sz="0" w:space="0" w:color="auto"/>
            <w:right w:val="none" w:sz="0" w:space="0" w:color="auto"/>
          </w:divBdr>
        </w:div>
        <w:div w:id="1425998901">
          <w:marLeft w:val="0"/>
          <w:marRight w:val="0"/>
          <w:marTop w:val="0"/>
          <w:marBottom w:val="0"/>
          <w:divBdr>
            <w:top w:val="none" w:sz="0" w:space="0" w:color="auto"/>
            <w:left w:val="none" w:sz="0" w:space="0" w:color="auto"/>
            <w:bottom w:val="none" w:sz="0" w:space="0" w:color="auto"/>
            <w:right w:val="none" w:sz="0" w:space="0" w:color="auto"/>
          </w:divBdr>
        </w:div>
        <w:div w:id="1802655067">
          <w:marLeft w:val="0"/>
          <w:marRight w:val="0"/>
          <w:marTop w:val="0"/>
          <w:marBottom w:val="0"/>
          <w:divBdr>
            <w:top w:val="none" w:sz="0" w:space="0" w:color="auto"/>
            <w:left w:val="none" w:sz="0" w:space="0" w:color="auto"/>
            <w:bottom w:val="none" w:sz="0" w:space="0" w:color="auto"/>
            <w:right w:val="none" w:sz="0" w:space="0" w:color="auto"/>
          </w:divBdr>
          <w:divsChild>
            <w:div w:id="315379722">
              <w:marLeft w:val="0"/>
              <w:marRight w:val="0"/>
              <w:marTop w:val="0"/>
              <w:marBottom w:val="0"/>
              <w:divBdr>
                <w:top w:val="none" w:sz="0" w:space="0" w:color="auto"/>
                <w:left w:val="none" w:sz="0" w:space="0" w:color="auto"/>
                <w:bottom w:val="none" w:sz="0" w:space="0" w:color="auto"/>
                <w:right w:val="none" w:sz="0" w:space="0" w:color="auto"/>
              </w:divBdr>
            </w:div>
            <w:div w:id="339895951">
              <w:marLeft w:val="0"/>
              <w:marRight w:val="0"/>
              <w:marTop w:val="0"/>
              <w:marBottom w:val="0"/>
              <w:divBdr>
                <w:top w:val="none" w:sz="0" w:space="0" w:color="auto"/>
                <w:left w:val="none" w:sz="0" w:space="0" w:color="auto"/>
                <w:bottom w:val="none" w:sz="0" w:space="0" w:color="auto"/>
                <w:right w:val="none" w:sz="0" w:space="0" w:color="auto"/>
              </w:divBdr>
            </w:div>
            <w:div w:id="580674459">
              <w:marLeft w:val="0"/>
              <w:marRight w:val="0"/>
              <w:marTop w:val="0"/>
              <w:marBottom w:val="0"/>
              <w:divBdr>
                <w:top w:val="none" w:sz="0" w:space="0" w:color="auto"/>
                <w:left w:val="none" w:sz="0" w:space="0" w:color="auto"/>
                <w:bottom w:val="none" w:sz="0" w:space="0" w:color="auto"/>
                <w:right w:val="none" w:sz="0" w:space="0" w:color="auto"/>
              </w:divBdr>
            </w:div>
            <w:div w:id="1068842159">
              <w:marLeft w:val="0"/>
              <w:marRight w:val="0"/>
              <w:marTop w:val="0"/>
              <w:marBottom w:val="0"/>
              <w:divBdr>
                <w:top w:val="none" w:sz="0" w:space="0" w:color="auto"/>
                <w:left w:val="none" w:sz="0" w:space="0" w:color="auto"/>
                <w:bottom w:val="none" w:sz="0" w:space="0" w:color="auto"/>
                <w:right w:val="none" w:sz="0" w:space="0" w:color="auto"/>
              </w:divBdr>
            </w:div>
            <w:div w:id="1599949331">
              <w:marLeft w:val="0"/>
              <w:marRight w:val="0"/>
              <w:marTop w:val="0"/>
              <w:marBottom w:val="0"/>
              <w:divBdr>
                <w:top w:val="none" w:sz="0" w:space="0" w:color="auto"/>
                <w:left w:val="none" w:sz="0" w:space="0" w:color="auto"/>
                <w:bottom w:val="none" w:sz="0" w:space="0" w:color="auto"/>
                <w:right w:val="none" w:sz="0" w:space="0" w:color="auto"/>
              </w:divBdr>
            </w:div>
            <w:div w:id="1640528279">
              <w:marLeft w:val="0"/>
              <w:marRight w:val="0"/>
              <w:marTop w:val="0"/>
              <w:marBottom w:val="0"/>
              <w:divBdr>
                <w:top w:val="none" w:sz="0" w:space="0" w:color="auto"/>
                <w:left w:val="none" w:sz="0" w:space="0" w:color="auto"/>
                <w:bottom w:val="none" w:sz="0" w:space="0" w:color="auto"/>
                <w:right w:val="none" w:sz="0" w:space="0" w:color="auto"/>
              </w:divBdr>
            </w:div>
          </w:divsChild>
        </w:div>
        <w:div w:id="1856578142">
          <w:marLeft w:val="0"/>
          <w:marRight w:val="0"/>
          <w:marTop w:val="0"/>
          <w:marBottom w:val="0"/>
          <w:divBdr>
            <w:top w:val="none" w:sz="0" w:space="0" w:color="auto"/>
            <w:left w:val="none" w:sz="0" w:space="0" w:color="auto"/>
            <w:bottom w:val="none" w:sz="0" w:space="0" w:color="auto"/>
            <w:right w:val="none" w:sz="0" w:space="0" w:color="auto"/>
          </w:divBdr>
        </w:div>
        <w:div w:id="2001812772">
          <w:marLeft w:val="0"/>
          <w:marRight w:val="0"/>
          <w:marTop w:val="0"/>
          <w:marBottom w:val="0"/>
          <w:divBdr>
            <w:top w:val="none" w:sz="0" w:space="0" w:color="auto"/>
            <w:left w:val="none" w:sz="0" w:space="0" w:color="auto"/>
            <w:bottom w:val="none" w:sz="0" w:space="0" w:color="auto"/>
            <w:right w:val="none" w:sz="0" w:space="0" w:color="auto"/>
          </w:divBdr>
        </w:div>
        <w:div w:id="2131043697">
          <w:marLeft w:val="0"/>
          <w:marRight w:val="0"/>
          <w:marTop w:val="0"/>
          <w:marBottom w:val="0"/>
          <w:divBdr>
            <w:top w:val="none" w:sz="0" w:space="0" w:color="auto"/>
            <w:left w:val="none" w:sz="0" w:space="0" w:color="auto"/>
            <w:bottom w:val="none" w:sz="0" w:space="0" w:color="auto"/>
            <w:right w:val="none" w:sz="0" w:space="0" w:color="auto"/>
          </w:divBdr>
        </w:div>
      </w:divsChild>
    </w:div>
    <w:div w:id="800224000">
      <w:bodyDiv w:val="1"/>
      <w:marLeft w:val="0"/>
      <w:marRight w:val="0"/>
      <w:marTop w:val="0"/>
      <w:marBottom w:val="0"/>
      <w:divBdr>
        <w:top w:val="none" w:sz="0" w:space="0" w:color="auto"/>
        <w:left w:val="none" w:sz="0" w:space="0" w:color="auto"/>
        <w:bottom w:val="none" w:sz="0" w:space="0" w:color="auto"/>
        <w:right w:val="none" w:sz="0" w:space="0" w:color="auto"/>
      </w:divBdr>
      <w:divsChild>
        <w:div w:id="1455633750">
          <w:marLeft w:val="0"/>
          <w:marRight w:val="0"/>
          <w:marTop w:val="0"/>
          <w:marBottom w:val="0"/>
          <w:divBdr>
            <w:top w:val="none" w:sz="0" w:space="0" w:color="auto"/>
            <w:left w:val="none" w:sz="0" w:space="0" w:color="auto"/>
            <w:bottom w:val="none" w:sz="0" w:space="0" w:color="auto"/>
            <w:right w:val="none" w:sz="0" w:space="0" w:color="auto"/>
          </w:divBdr>
          <w:divsChild>
            <w:div w:id="1362852875">
              <w:marLeft w:val="0"/>
              <w:marRight w:val="0"/>
              <w:marTop w:val="0"/>
              <w:marBottom w:val="0"/>
              <w:divBdr>
                <w:top w:val="none" w:sz="0" w:space="0" w:color="auto"/>
                <w:left w:val="none" w:sz="0" w:space="0" w:color="auto"/>
                <w:bottom w:val="none" w:sz="0" w:space="0" w:color="auto"/>
                <w:right w:val="none" w:sz="0" w:space="0" w:color="auto"/>
              </w:divBdr>
              <w:divsChild>
                <w:div w:id="113668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4010957">
      <w:bodyDiv w:val="1"/>
      <w:marLeft w:val="0"/>
      <w:marRight w:val="0"/>
      <w:marTop w:val="0"/>
      <w:marBottom w:val="0"/>
      <w:divBdr>
        <w:top w:val="none" w:sz="0" w:space="0" w:color="auto"/>
        <w:left w:val="none" w:sz="0" w:space="0" w:color="auto"/>
        <w:bottom w:val="none" w:sz="0" w:space="0" w:color="auto"/>
        <w:right w:val="none" w:sz="0" w:space="0" w:color="auto"/>
      </w:divBdr>
    </w:div>
    <w:div w:id="810562591">
      <w:bodyDiv w:val="1"/>
      <w:marLeft w:val="0"/>
      <w:marRight w:val="0"/>
      <w:marTop w:val="0"/>
      <w:marBottom w:val="0"/>
      <w:divBdr>
        <w:top w:val="none" w:sz="0" w:space="0" w:color="auto"/>
        <w:left w:val="none" w:sz="0" w:space="0" w:color="auto"/>
        <w:bottom w:val="none" w:sz="0" w:space="0" w:color="auto"/>
        <w:right w:val="none" w:sz="0" w:space="0" w:color="auto"/>
      </w:divBdr>
    </w:div>
    <w:div w:id="815535933">
      <w:bodyDiv w:val="1"/>
      <w:marLeft w:val="0"/>
      <w:marRight w:val="0"/>
      <w:marTop w:val="0"/>
      <w:marBottom w:val="0"/>
      <w:divBdr>
        <w:top w:val="none" w:sz="0" w:space="0" w:color="auto"/>
        <w:left w:val="none" w:sz="0" w:space="0" w:color="auto"/>
        <w:bottom w:val="none" w:sz="0" w:space="0" w:color="auto"/>
        <w:right w:val="none" w:sz="0" w:space="0" w:color="auto"/>
      </w:divBdr>
    </w:div>
    <w:div w:id="820536661">
      <w:bodyDiv w:val="1"/>
      <w:marLeft w:val="0"/>
      <w:marRight w:val="0"/>
      <w:marTop w:val="0"/>
      <w:marBottom w:val="0"/>
      <w:divBdr>
        <w:top w:val="none" w:sz="0" w:space="0" w:color="auto"/>
        <w:left w:val="none" w:sz="0" w:space="0" w:color="auto"/>
        <w:bottom w:val="none" w:sz="0" w:space="0" w:color="auto"/>
        <w:right w:val="none" w:sz="0" w:space="0" w:color="auto"/>
      </w:divBdr>
    </w:div>
    <w:div w:id="834998343">
      <w:bodyDiv w:val="1"/>
      <w:marLeft w:val="0"/>
      <w:marRight w:val="0"/>
      <w:marTop w:val="0"/>
      <w:marBottom w:val="0"/>
      <w:divBdr>
        <w:top w:val="none" w:sz="0" w:space="0" w:color="auto"/>
        <w:left w:val="none" w:sz="0" w:space="0" w:color="auto"/>
        <w:bottom w:val="none" w:sz="0" w:space="0" w:color="auto"/>
        <w:right w:val="none" w:sz="0" w:space="0" w:color="auto"/>
      </w:divBdr>
    </w:div>
    <w:div w:id="864560965">
      <w:bodyDiv w:val="1"/>
      <w:marLeft w:val="0"/>
      <w:marRight w:val="0"/>
      <w:marTop w:val="0"/>
      <w:marBottom w:val="0"/>
      <w:divBdr>
        <w:top w:val="none" w:sz="0" w:space="0" w:color="auto"/>
        <w:left w:val="none" w:sz="0" w:space="0" w:color="auto"/>
        <w:bottom w:val="none" w:sz="0" w:space="0" w:color="auto"/>
        <w:right w:val="none" w:sz="0" w:space="0" w:color="auto"/>
      </w:divBdr>
    </w:div>
    <w:div w:id="874853581">
      <w:bodyDiv w:val="1"/>
      <w:marLeft w:val="0"/>
      <w:marRight w:val="0"/>
      <w:marTop w:val="0"/>
      <w:marBottom w:val="0"/>
      <w:divBdr>
        <w:top w:val="none" w:sz="0" w:space="0" w:color="auto"/>
        <w:left w:val="none" w:sz="0" w:space="0" w:color="auto"/>
        <w:bottom w:val="none" w:sz="0" w:space="0" w:color="auto"/>
        <w:right w:val="none" w:sz="0" w:space="0" w:color="auto"/>
      </w:divBdr>
      <w:divsChild>
        <w:div w:id="362367890">
          <w:marLeft w:val="0"/>
          <w:marRight w:val="0"/>
          <w:marTop w:val="0"/>
          <w:marBottom w:val="0"/>
          <w:divBdr>
            <w:top w:val="none" w:sz="0" w:space="0" w:color="auto"/>
            <w:left w:val="none" w:sz="0" w:space="0" w:color="auto"/>
            <w:bottom w:val="none" w:sz="0" w:space="0" w:color="auto"/>
            <w:right w:val="none" w:sz="0" w:space="0" w:color="auto"/>
          </w:divBdr>
          <w:divsChild>
            <w:div w:id="1518420670">
              <w:marLeft w:val="0"/>
              <w:marRight w:val="0"/>
              <w:marTop w:val="0"/>
              <w:marBottom w:val="0"/>
              <w:divBdr>
                <w:top w:val="none" w:sz="0" w:space="0" w:color="auto"/>
                <w:left w:val="none" w:sz="0" w:space="0" w:color="auto"/>
                <w:bottom w:val="none" w:sz="0" w:space="0" w:color="auto"/>
                <w:right w:val="none" w:sz="0" w:space="0" w:color="auto"/>
              </w:divBdr>
              <w:divsChild>
                <w:div w:id="46912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828216">
      <w:bodyDiv w:val="1"/>
      <w:marLeft w:val="0"/>
      <w:marRight w:val="0"/>
      <w:marTop w:val="0"/>
      <w:marBottom w:val="0"/>
      <w:divBdr>
        <w:top w:val="none" w:sz="0" w:space="0" w:color="auto"/>
        <w:left w:val="none" w:sz="0" w:space="0" w:color="auto"/>
        <w:bottom w:val="none" w:sz="0" w:space="0" w:color="auto"/>
        <w:right w:val="none" w:sz="0" w:space="0" w:color="auto"/>
      </w:divBdr>
    </w:div>
    <w:div w:id="908077233">
      <w:bodyDiv w:val="1"/>
      <w:marLeft w:val="0"/>
      <w:marRight w:val="0"/>
      <w:marTop w:val="0"/>
      <w:marBottom w:val="0"/>
      <w:divBdr>
        <w:top w:val="none" w:sz="0" w:space="0" w:color="auto"/>
        <w:left w:val="none" w:sz="0" w:space="0" w:color="auto"/>
        <w:bottom w:val="none" w:sz="0" w:space="0" w:color="auto"/>
        <w:right w:val="none" w:sz="0" w:space="0" w:color="auto"/>
      </w:divBdr>
      <w:divsChild>
        <w:div w:id="107049868">
          <w:marLeft w:val="0"/>
          <w:marRight w:val="0"/>
          <w:marTop w:val="0"/>
          <w:marBottom w:val="0"/>
          <w:divBdr>
            <w:top w:val="none" w:sz="0" w:space="0" w:color="auto"/>
            <w:left w:val="none" w:sz="0" w:space="0" w:color="auto"/>
            <w:bottom w:val="none" w:sz="0" w:space="0" w:color="auto"/>
            <w:right w:val="none" w:sz="0" w:space="0" w:color="auto"/>
          </w:divBdr>
        </w:div>
        <w:div w:id="156195889">
          <w:marLeft w:val="0"/>
          <w:marRight w:val="0"/>
          <w:marTop w:val="0"/>
          <w:marBottom w:val="0"/>
          <w:divBdr>
            <w:top w:val="none" w:sz="0" w:space="0" w:color="auto"/>
            <w:left w:val="none" w:sz="0" w:space="0" w:color="auto"/>
            <w:bottom w:val="none" w:sz="0" w:space="0" w:color="auto"/>
            <w:right w:val="none" w:sz="0" w:space="0" w:color="auto"/>
          </w:divBdr>
        </w:div>
        <w:div w:id="326515371">
          <w:marLeft w:val="0"/>
          <w:marRight w:val="0"/>
          <w:marTop w:val="0"/>
          <w:marBottom w:val="0"/>
          <w:divBdr>
            <w:top w:val="none" w:sz="0" w:space="0" w:color="auto"/>
            <w:left w:val="none" w:sz="0" w:space="0" w:color="auto"/>
            <w:bottom w:val="none" w:sz="0" w:space="0" w:color="auto"/>
            <w:right w:val="none" w:sz="0" w:space="0" w:color="auto"/>
          </w:divBdr>
        </w:div>
        <w:div w:id="430862631">
          <w:marLeft w:val="0"/>
          <w:marRight w:val="0"/>
          <w:marTop w:val="0"/>
          <w:marBottom w:val="0"/>
          <w:divBdr>
            <w:top w:val="none" w:sz="0" w:space="0" w:color="auto"/>
            <w:left w:val="none" w:sz="0" w:space="0" w:color="auto"/>
            <w:bottom w:val="none" w:sz="0" w:space="0" w:color="auto"/>
            <w:right w:val="none" w:sz="0" w:space="0" w:color="auto"/>
          </w:divBdr>
        </w:div>
        <w:div w:id="661616329">
          <w:marLeft w:val="0"/>
          <w:marRight w:val="0"/>
          <w:marTop w:val="0"/>
          <w:marBottom w:val="0"/>
          <w:divBdr>
            <w:top w:val="none" w:sz="0" w:space="0" w:color="auto"/>
            <w:left w:val="none" w:sz="0" w:space="0" w:color="auto"/>
            <w:bottom w:val="none" w:sz="0" w:space="0" w:color="auto"/>
            <w:right w:val="none" w:sz="0" w:space="0" w:color="auto"/>
          </w:divBdr>
        </w:div>
        <w:div w:id="1286736096">
          <w:blockQuote w:val="1"/>
          <w:marLeft w:val="600"/>
          <w:marRight w:val="0"/>
          <w:marTop w:val="0"/>
          <w:marBottom w:val="0"/>
          <w:divBdr>
            <w:top w:val="none" w:sz="0" w:space="0" w:color="auto"/>
            <w:left w:val="none" w:sz="0" w:space="0" w:color="auto"/>
            <w:bottom w:val="none" w:sz="0" w:space="0" w:color="auto"/>
            <w:right w:val="none" w:sz="0" w:space="0" w:color="auto"/>
          </w:divBdr>
          <w:divsChild>
            <w:div w:id="160315264">
              <w:marLeft w:val="0"/>
              <w:marRight w:val="0"/>
              <w:marTop w:val="0"/>
              <w:marBottom w:val="0"/>
              <w:divBdr>
                <w:top w:val="none" w:sz="0" w:space="0" w:color="auto"/>
                <w:left w:val="none" w:sz="0" w:space="0" w:color="auto"/>
                <w:bottom w:val="none" w:sz="0" w:space="0" w:color="auto"/>
                <w:right w:val="none" w:sz="0" w:space="0" w:color="auto"/>
              </w:divBdr>
              <w:divsChild>
                <w:div w:id="537858833">
                  <w:marLeft w:val="0"/>
                  <w:marRight w:val="0"/>
                  <w:marTop w:val="0"/>
                  <w:marBottom w:val="0"/>
                  <w:divBdr>
                    <w:top w:val="none" w:sz="0" w:space="0" w:color="auto"/>
                    <w:left w:val="none" w:sz="0" w:space="0" w:color="auto"/>
                    <w:bottom w:val="none" w:sz="0" w:space="0" w:color="auto"/>
                    <w:right w:val="none" w:sz="0" w:space="0" w:color="auto"/>
                  </w:divBdr>
                </w:div>
              </w:divsChild>
            </w:div>
            <w:div w:id="374240490">
              <w:marLeft w:val="0"/>
              <w:marRight w:val="0"/>
              <w:marTop w:val="0"/>
              <w:marBottom w:val="0"/>
              <w:divBdr>
                <w:top w:val="none" w:sz="0" w:space="0" w:color="auto"/>
                <w:left w:val="none" w:sz="0" w:space="0" w:color="auto"/>
                <w:bottom w:val="none" w:sz="0" w:space="0" w:color="auto"/>
                <w:right w:val="none" w:sz="0" w:space="0" w:color="auto"/>
              </w:divBdr>
              <w:divsChild>
                <w:div w:id="197670843">
                  <w:marLeft w:val="0"/>
                  <w:marRight w:val="0"/>
                  <w:marTop w:val="0"/>
                  <w:marBottom w:val="0"/>
                  <w:divBdr>
                    <w:top w:val="none" w:sz="0" w:space="0" w:color="auto"/>
                    <w:left w:val="none" w:sz="0" w:space="0" w:color="auto"/>
                    <w:bottom w:val="none" w:sz="0" w:space="0" w:color="auto"/>
                    <w:right w:val="none" w:sz="0" w:space="0" w:color="auto"/>
                  </w:divBdr>
                </w:div>
              </w:divsChild>
            </w:div>
            <w:div w:id="1149979592">
              <w:marLeft w:val="0"/>
              <w:marRight w:val="0"/>
              <w:marTop w:val="0"/>
              <w:marBottom w:val="0"/>
              <w:divBdr>
                <w:top w:val="none" w:sz="0" w:space="0" w:color="auto"/>
                <w:left w:val="none" w:sz="0" w:space="0" w:color="auto"/>
                <w:bottom w:val="none" w:sz="0" w:space="0" w:color="auto"/>
                <w:right w:val="none" w:sz="0" w:space="0" w:color="auto"/>
              </w:divBdr>
            </w:div>
            <w:div w:id="1152714880">
              <w:marLeft w:val="0"/>
              <w:marRight w:val="0"/>
              <w:marTop w:val="0"/>
              <w:marBottom w:val="0"/>
              <w:divBdr>
                <w:top w:val="none" w:sz="0" w:space="0" w:color="auto"/>
                <w:left w:val="none" w:sz="0" w:space="0" w:color="auto"/>
                <w:bottom w:val="none" w:sz="0" w:space="0" w:color="auto"/>
                <w:right w:val="none" w:sz="0" w:space="0" w:color="auto"/>
              </w:divBdr>
              <w:divsChild>
                <w:div w:id="1967663148">
                  <w:marLeft w:val="0"/>
                  <w:marRight w:val="0"/>
                  <w:marTop w:val="0"/>
                  <w:marBottom w:val="0"/>
                  <w:divBdr>
                    <w:top w:val="none" w:sz="0" w:space="0" w:color="auto"/>
                    <w:left w:val="none" w:sz="0" w:space="0" w:color="auto"/>
                    <w:bottom w:val="none" w:sz="0" w:space="0" w:color="auto"/>
                    <w:right w:val="none" w:sz="0" w:space="0" w:color="auto"/>
                  </w:divBdr>
                </w:div>
              </w:divsChild>
            </w:div>
            <w:div w:id="1186940294">
              <w:marLeft w:val="0"/>
              <w:marRight w:val="0"/>
              <w:marTop w:val="0"/>
              <w:marBottom w:val="0"/>
              <w:divBdr>
                <w:top w:val="none" w:sz="0" w:space="0" w:color="auto"/>
                <w:left w:val="none" w:sz="0" w:space="0" w:color="auto"/>
                <w:bottom w:val="none" w:sz="0" w:space="0" w:color="auto"/>
                <w:right w:val="none" w:sz="0" w:space="0" w:color="auto"/>
              </w:divBdr>
              <w:divsChild>
                <w:div w:id="1047024097">
                  <w:marLeft w:val="0"/>
                  <w:marRight w:val="0"/>
                  <w:marTop w:val="0"/>
                  <w:marBottom w:val="0"/>
                  <w:divBdr>
                    <w:top w:val="none" w:sz="0" w:space="0" w:color="auto"/>
                    <w:left w:val="none" w:sz="0" w:space="0" w:color="auto"/>
                    <w:bottom w:val="none" w:sz="0" w:space="0" w:color="auto"/>
                    <w:right w:val="none" w:sz="0" w:space="0" w:color="auto"/>
                  </w:divBdr>
                </w:div>
              </w:divsChild>
            </w:div>
            <w:div w:id="1202983241">
              <w:marLeft w:val="0"/>
              <w:marRight w:val="0"/>
              <w:marTop w:val="0"/>
              <w:marBottom w:val="0"/>
              <w:divBdr>
                <w:top w:val="none" w:sz="0" w:space="0" w:color="auto"/>
                <w:left w:val="none" w:sz="0" w:space="0" w:color="auto"/>
                <w:bottom w:val="none" w:sz="0" w:space="0" w:color="auto"/>
                <w:right w:val="none" w:sz="0" w:space="0" w:color="auto"/>
              </w:divBdr>
              <w:divsChild>
                <w:div w:id="870260073">
                  <w:marLeft w:val="0"/>
                  <w:marRight w:val="0"/>
                  <w:marTop w:val="0"/>
                  <w:marBottom w:val="0"/>
                  <w:divBdr>
                    <w:top w:val="none" w:sz="0" w:space="0" w:color="auto"/>
                    <w:left w:val="none" w:sz="0" w:space="0" w:color="auto"/>
                    <w:bottom w:val="none" w:sz="0" w:space="0" w:color="auto"/>
                    <w:right w:val="none" w:sz="0" w:space="0" w:color="auto"/>
                  </w:divBdr>
                </w:div>
              </w:divsChild>
            </w:div>
            <w:div w:id="1424649863">
              <w:marLeft w:val="0"/>
              <w:marRight w:val="0"/>
              <w:marTop w:val="0"/>
              <w:marBottom w:val="0"/>
              <w:divBdr>
                <w:top w:val="none" w:sz="0" w:space="0" w:color="auto"/>
                <w:left w:val="none" w:sz="0" w:space="0" w:color="auto"/>
                <w:bottom w:val="none" w:sz="0" w:space="0" w:color="auto"/>
                <w:right w:val="none" w:sz="0" w:space="0" w:color="auto"/>
              </w:divBdr>
            </w:div>
            <w:div w:id="1456099100">
              <w:marLeft w:val="0"/>
              <w:marRight w:val="0"/>
              <w:marTop w:val="0"/>
              <w:marBottom w:val="0"/>
              <w:divBdr>
                <w:top w:val="none" w:sz="0" w:space="0" w:color="auto"/>
                <w:left w:val="none" w:sz="0" w:space="0" w:color="auto"/>
                <w:bottom w:val="none" w:sz="0" w:space="0" w:color="auto"/>
                <w:right w:val="none" w:sz="0" w:space="0" w:color="auto"/>
              </w:divBdr>
              <w:divsChild>
                <w:div w:id="1202792286">
                  <w:marLeft w:val="0"/>
                  <w:marRight w:val="0"/>
                  <w:marTop w:val="0"/>
                  <w:marBottom w:val="0"/>
                  <w:divBdr>
                    <w:top w:val="none" w:sz="0" w:space="0" w:color="auto"/>
                    <w:left w:val="none" w:sz="0" w:space="0" w:color="auto"/>
                    <w:bottom w:val="none" w:sz="0" w:space="0" w:color="auto"/>
                    <w:right w:val="none" w:sz="0" w:space="0" w:color="auto"/>
                  </w:divBdr>
                </w:div>
              </w:divsChild>
            </w:div>
            <w:div w:id="1490824001">
              <w:marLeft w:val="0"/>
              <w:marRight w:val="0"/>
              <w:marTop w:val="0"/>
              <w:marBottom w:val="0"/>
              <w:divBdr>
                <w:top w:val="none" w:sz="0" w:space="0" w:color="auto"/>
                <w:left w:val="none" w:sz="0" w:space="0" w:color="auto"/>
                <w:bottom w:val="none" w:sz="0" w:space="0" w:color="auto"/>
                <w:right w:val="none" w:sz="0" w:space="0" w:color="auto"/>
              </w:divBdr>
              <w:divsChild>
                <w:div w:id="950283583">
                  <w:marLeft w:val="0"/>
                  <w:marRight w:val="0"/>
                  <w:marTop w:val="0"/>
                  <w:marBottom w:val="0"/>
                  <w:divBdr>
                    <w:top w:val="none" w:sz="0" w:space="0" w:color="auto"/>
                    <w:left w:val="none" w:sz="0" w:space="0" w:color="auto"/>
                    <w:bottom w:val="none" w:sz="0" w:space="0" w:color="auto"/>
                    <w:right w:val="none" w:sz="0" w:space="0" w:color="auto"/>
                  </w:divBdr>
                </w:div>
              </w:divsChild>
            </w:div>
            <w:div w:id="1668971667">
              <w:marLeft w:val="0"/>
              <w:marRight w:val="0"/>
              <w:marTop w:val="0"/>
              <w:marBottom w:val="0"/>
              <w:divBdr>
                <w:top w:val="none" w:sz="0" w:space="0" w:color="auto"/>
                <w:left w:val="none" w:sz="0" w:space="0" w:color="auto"/>
                <w:bottom w:val="none" w:sz="0" w:space="0" w:color="auto"/>
                <w:right w:val="none" w:sz="0" w:space="0" w:color="auto"/>
              </w:divBdr>
              <w:divsChild>
                <w:div w:id="440272178">
                  <w:marLeft w:val="0"/>
                  <w:marRight w:val="0"/>
                  <w:marTop w:val="0"/>
                  <w:marBottom w:val="0"/>
                  <w:divBdr>
                    <w:top w:val="none" w:sz="0" w:space="0" w:color="auto"/>
                    <w:left w:val="none" w:sz="0" w:space="0" w:color="auto"/>
                    <w:bottom w:val="none" w:sz="0" w:space="0" w:color="auto"/>
                    <w:right w:val="none" w:sz="0" w:space="0" w:color="auto"/>
                  </w:divBdr>
                </w:div>
              </w:divsChild>
            </w:div>
            <w:div w:id="1956398870">
              <w:marLeft w:val="0"/>
              <w:marRight w:val="0"/>
              <w:marTop w:val="0"/>
              <w:marBottom w:val="0"/>
              <w:divBdr>
                <w:top w:val="none" w:sz="0" w:space="0" w:color="auto"/>
                <w:left w:val="none" w:sz="0" w:space="0" w:color="auto"/>
                <w:bottom w:val="none" w:sz="0" w:space="0" w:color="auto"/>
                <w:right w:val="none" w:sz="0" w:space="0" w:color="auto"/>
              </w:divBdr>
              <w:divsChild>
                <w:div w:id="116169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587085">
          <w:marLeft w:val="0"/>
          <w:marRight w:val="0"/>
          <w:marTop w:val="0"/>
          <w:marBottom w:val="0"/>
          <w:divBdr>
            <w:top w:val="none" w:sz="0" w:space="0" w:color="auto"/>
            <w:left w:val="none" w:sz="0" w:space="0" w:color="auto"/>
            <w:bottom w:val="none" w:sz="0" w:space="0" w:color="auto"/>
            <w:right w:val="none" w:sz="0" w:space="0" w:color="auto"/>
          </w:divBdr>
        </w:div>
        <w:div w:id="1324821586">
          <w:marLeft w:val="0"/>
          <w:marRight w:val="0"/>
          <w:marTop w:val="0"/>
          <w:marBottom w:val="0"/>
          <w:divBdr>
            <w:top w:val="none" w:sz="0" w:space="0" w:color="auto"/>
            <w:left w:val="none" w:sz="0" w:space="0" w:color="auto"/>
            <w:bottom w:val="none" w:sz="0" w:space="0" w:color="auto"/>
            <w:right w:val="none" w:sz="0" w:space="0" w:color="auto"/>
          </w:divBdr>
        </w:div>
        <w:div w:id="1344017402">
          <w:marLeft w:val="0"/>
          <w:marRight w:val="0"/>
          <w:marTop w:val="0"/>
          <w:marBottom w:val="0"/>
          <w:divBdr>
            <w:top w:val="none" w:sz="0" w:space="0" w:color="auto"/>
            <w:left w:val="none" w:sz="0" w:space="0" w:color="auto"/>
            <w:bottom w:val="none" w:sz="0" w:space="0" w:color="auto"/>
            <w:right w:val="none" w:sz="0" w:space="0" w:color="auto"/>
          </w:divBdr>
        </w:div>
        <w:div w:id="1616597316">
          <w:marLeft w:val="0"/>
          <w:marRight w:val="0"/>
          <w:marTop w:val="0"/>
          <w:marBottom w:val="0"/>
          <w:divBdr>
            <w:top w:val="none" w:sz="0" w:space="0" w:color="auto"/>
            <w:left w:val="none" w:sz="0" w:space="0" w:color="auto"/>
            <w:bottom w:val="none" w:sz="0" w:space="0" w:color="auto"/>
            <w:right w:val="none" w:sz="0" w:space="0" w:color="auto"/>
          </w:divBdr>
        </w:div>
        <w:div w:id="1737241934">
          <w:marLeft w:val="0"/>
          <w:marRight w:val="0"/>
          <w:marTop w:val="0"/>
          <w:marBottom w:val="0"/>
          <w:divBdr>
            <w:top w:val="none" w:sz="0" w:space="0" w:color="auto"/>
            <w:left w:val="none" w:sz="0" w:space="0" w:color="auto"/>
            <w:bottom w:val="none" w:sz="0" w:space="0" w:color="auto"/>
            <w:right w:val="none" w:sz="0" w:space="0" w:color="auto"/>
          </w:divBdr>
        </w:div>
        <w:div w:id="1751198083">
          <w:marLeft w:val="0"/>
          <w:marRight w:val="0"/>
          <w:marTop w:val="0"/>
          <w:marBottom w:val="0"/>
          <w:divBdr>
            <w:top w:val="none" w:sz="0" w:space="0" w:color="auto"/>
            <w:left w:val="none" w:sz="0" w:space="0" w:color="auto"/>
            <w:bottom w:val="none" w:sz="0" w:space="0" w:color="auto"/>
            <w:right w:val="none" w:sz="0" w:space="0" w:color="auto"/>
          </w:divBdr>
          <w:divsChild>
            <w:div w:id="976565194">
              <w:marLeft w:val="0"/>
              <w:marRight w:val="0"/>
              <w:marTop w:val="0"/>
              <w:marBottom w:val="0"/>
              <w:divBdr>
                <w:top w:val="none" w:sz="0" w:space="0" w:color="auto"/>
                <w:left w:val="none" w:sz="0" w:space="0" w:color="auto"/>
                <w:bottom w:val="none" w:sz="0" w:space="0" w:color="auto"/>
                <w:right w:val="none" w:sz="0" w:space="0" w:color="auto"/>
              </w:divBdr>
            </w:div>
          </w:divsChild>
        </w:div>
        <w:div w:id="1879929432">
          <w:blockQuote w:val="1"/>
          <w:marLeft w:val="600"/>
          <w:marRight w:val="0"/>
          <w:marTop w:val="0"/>
          <w:marBottom w:val="0"/>
          <w:divBdr>
            <w:top w:val="none" w:sz="0" w:space="0" w:color="auto"/>
            <w:left w:val="none" w:sz="0" w:space="0" w:color="auto"/>
            <w:bottom w:val="none" w:sz="0" w:space="0" w:color="auto"/>
            <w:right w:val="none" w:sz="0" w:space="0" w:color="auto"/>
          </w:divBdr>
          <w:divsChild>
            <w:div w:id="1840196297">
              <w:blockQuote w:val="1"/>
              <w:marLeft w:val="600"/>
              <w:marRight w:val="0"/>
              <w:marTop w:val="0"/>
              <w:marBottom w:val="0"/>
              <w:divBdr>
                <w:top w:val="none" w:sz="0" w:space="0" w:color="auto"/>
                <w:left w:val="none" w:sz="0" w:space="0" w:color="auto"/>
                <w:bottom w:val="none" w:sz="0" w:space="0" w:color="auto"/>
                <w:right w:val="none" w:sz="0" w:space="0" w:color="auto"/>
              </w:divBdr>
              <w:divsChild>
                <w:div w:id="213058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617834">
          <w:marLeft w:val="0"/>
          <w:marRight w:val="0"/>
          <w:marTop w:val="0"/>
          <w:marBottom w:val="0"/>
          <w:divBdr>
            <w:top w:val="none" w:sz="0" w:space="0" w:color="auto"/>
            <w:left w:val="none" w:sz="0" w:space="0" w:color="auto"/>
            <w:bottom w:val="none" w:sz="0" w:space="0" w:color="auto"/>
            <w:right w:val="none" w:sz="0" w:space="0" w:color="auto"/>
          </w:divBdr>
        </w:div>
        <w:div w:id="2016032639">
          <w:marLeft w:val="0"/>
          <w:marRight w:val="0"/>
          <w:marTop w:val="0"/>
          <w:marBottom w:val="0"/>
          <w:divBdr>
            <w:top w:val="none" w:sz="0" w:space="0" w:color="auto"/>
            <w:left w:val="none" w:sz="0" w:space="0" w:color="auto"/>
            <w:bottom w:val="none" w:sz="0" w:space="0" w:color="auto"/>
            <w:right w:val="none" w:sz="0" w:space="0" w:color="auto"/>
          </w:divBdr>
        </w:div>
      </w:divsChild>
    </w:div>
    <w:div w:id="914507731">
      <w:bodyDiv w:val="1"/>
      <w:marLeft w:val="0"/>
      <w:marRight w:val="0"/>
      <w:marTop w:val="0"/>
      <w:marBottom w:val="0"/>
      <w:divBdr>
        <w:top w:val="none" w:sz="0" w:space="0" w:color="auto"/>
        <w:left w:val="none" w:sz="0" w:space="0" w:color="auto"/>
        <w:bottom w:val="none" w:sz="0" w:space="0" w:color="auto"/>
        <w:right w:val="none" w:sz="0" w:space="0" w:color="auto"/>
      </w:divBdr>
    </w:div>
    <w:div w:id="926963219">
      <w:bodyDiv w:val="1"/>
      <w:marLeft w:val="0"/>
      <w:marRight w:val="0"/>
      <w:marTop w:val="0"/>
      <w:marBottom w:val="0"/>
      <w:divBdr>
        <w:top w:val="none" w:sz="0" w:space="0" w:color="auto"/>
        <w:left w:val="none" w:sz="0" w:space="0" w:color="auto"/>
        <w:bottom w:val="none" w:sz="0" w:space="0" w:color="auto"/>
        <w:right w:val="none" w:sz="0" w:space="0" w:color="auto"/>
      </w:divBdr>
    </w:div>
    <w:div w:id="929391487">
      <w:bodyDiv w:val="1"/>
      <w:marLeft w:val="0"/>
      <w:marRight w:val="0"/>
      <w:marTop w:val="0"/>
      <w:marBottom w:val="0"/>
      <w:divBdr>
        <w:top w:val="none" w:sz="0" w:space="0" w:color="auto"/>
        <w:left w:val="none" w:sz="0" w:space="0" w:color="auto"/>
        <w:bottom w:val="none" w:sz="0" w:space="0" w:color="auto"/>
        <w:right w:val="none" w:sz="0" w:space="0" w:color="auto"/>
      </w:divBdr>
    </w:div>
    <w:div w:id="936907508">
      <w:bodyDiv w:val="1"/>
      <w:marLeft w:val="0"/>
      <w:marRight w:val="0"/>
      <w:marTop w:val="0"/>
      <w:marBottom w:val="0"/>
      <w:divBdr>
        <w:top w:val="none" w:sz="0" w:space="0" w:color="auto"/>
        <w:left w:val="none" w:sz="0" w:space="0" w:color="auto"/>
        <w:bottom w:val="none" w:sz="0" w:space="0" w:color="auto"/>
        <w:right w:val="none" w:sz="0" w:space="0" w:color="auto"/>
      </w:divBdr>
    </w:div>
    <w:div w:id="937761289">
      <w:bodyDiv w:val="1"/>
      <w:marLeft w:val="0"/>
      <w:marRight w:val="0"/>
      <w:marTop w:val="0"/>
      <w:marBottom w:val="0"/>
      <w:divBdr>
        <w:top w:val="none" w:sz="0" w:space="0" w:color="auto"/>
        <w:left w:val="none" w:sz="0" w:space="0" w:color="auto"/>
        <w:bottom w:val="none" w:sz="0" w:space="0" w:color="auto"/>
        <w:right w:val="none" w:sz="0" w:space="0" w:color="auto"/>
      </w:divBdr>
    </w:div>
    <w:div w:id="950555619">
      <w:bodyDiv w:val="1"/>
      <w:marLeft w:val="0"/>
      <w:marRight w:val="0"/>
      <w:marTop w:val="0"/>
      <w:marBottom w:val="0"/>
      <w:divBdr>
        <w:top w:val="none" w:sz="0" w:space="0" w:color="auto"/>
        <w:left w:val="none" w:sz="0" w:space="0" w:color="auto"/>
        <w:bottom w:val="none" w:sz="0" w:space="0" w:color="auto"/>
        <w:right w:val="none" w:sz="0" w:space="0" w:color="auto"/>
      </w:divBdr>
      <w:divsChild>
        <w:div w:id="1951550144">
          <w:marLeft w:val="0"/>
          <w:marRight w:val="0"/>
          <w:marTop w:val="0"/>
          <w:marBottom w:val="0"/>
          <w:divBdr>
            <w:top w:val="none" w:sz="0" w:space="0" w:color="auto"/>
            <w:left w:val="none" w:sz="0" w:space="0" w:color="auto"/>
            <w:bottom w:val="none" w:sz="0" w:space="0" w:color="auto"/>
            <w:right w:val="none" w:sz="0" w:space="0" w:color="auto"/>
          </w:divBdr>
        </w:div>
      </w:divsChild>
    </w:div>
    <w:div w:id="950629527">
      <w:bodyDiv w:val="1"/>
      <w:marLeft w:val="0"/>
      <w:marRight w:val="0"/>
      <w:marTop w:val="0"/>
      <w:marBottom w:val="0"/>
      <w:divBdr>
        <w:top w:val="none" w:sz="0" w:space="0" w:color="auto"/>
        <w:left w:val="none" w:sz="0" w:space="0" w:color="auto"/>
        <w:bottom w:val="none" w:sz="0" w:space="0" w:color="auto"/>
        <w:right w:val="none" w:sz="0" w:space="0" w:color="auto"/>
      </w:divBdr>
    </w:div>
    <w:div w:id="971322482">
      <w:bodyDiv w:val="1"/>
      <w:marLeft w:val="0"/>
      <w:marRight w:val="0"/>
      <w:marTop w:val="0"/>
      <w:marBottom w:val="0"/>
      <w:divBdr>
        <w:top w:val="none" w:sz="0" w:space="0" w:color="auto"/>
        <w:left w:val="none" w:sz="0" w:space="0" w:color="auto"/>
        <w:bottom w:val="none" w:sz="0" w:space="0" w:color="auto"/>
        <w:right w:val="none" w:sz="0" w:space="0" w:color="auto"/>
      </w:divBdr>
    </w:div>
    <w:div w:id="973829159">
      <w:bodyDiv w:val="1"/>
      <w:marLeft w:val="0"/>
      <w:marRight w:val="0"/>
      <w:marTop w:val="0"/>
      <w:marBottom w:val="0"/>
      <w:divBdr>
        <w:top w:val="none" w:sz="0" w:space="0" w:color="auto"/>
        <w:left w:val="none" w:sz="0" w:space="0" w:color="auto"/>
        <w:bottom w:val="none" w:sz="0" w:space="0" w:color="auto"/>
        <w:right w:val="none" w:sz="0" w:space="0" w:color="auto"/>
      </w:divBdr>
    </w:div>
    <w:div w:id="976226310">
      <w:bodyDiv w:val="1"/>
      <w:marLeft w:val="0"/>
      <w:marRight w:val="0"/>
      <w:marTop w:val="0"/>
      <w:marBottom w:val="0"/>
      <w:divBdr>
        <w:top w:val="none" w:sz="0" w:space="0" w:color="auto"/>
        <w:left w:val="none" w:sz="0" w:space="0" w:color="auto"/>
        <w:bottom w:val="none" w:sz="0" w:space="0" w:color="auto"/>
        <w:right w:val="none" w:sz="0" w:space="0" w:color="auto"/>
      </w:divBdr>
    </w:div>
    <w:div w:id="978649649">
      <w:bodyDiv w:val="1"/>
      <w:marLeft w:val="0"/>
      <w:marRight w:val="0"/>
      <w:marTop w:val="0"/>
      <w:marBottom w:val="0"/>
      <w:divBdr>
        <w:top w:val="none" w:sz="0" w:space="0" w:color="auto"/>
        <w:left w:val="none" w:sz="0" w:space="0" w:color="auto"/>
        <w:bottom w:val="none" w:sz="0" w:space="0" w:color="auto"/>
        <w:right w:val="none" w:sz="0" w:space="0" w:color="auto"/>
      </w:divBdr>
      <w:divsChild>
        <w:div w:id="533228353">
          <w:marLeft w:val="0"/>
          <w:marRight w:val="0"/>
          <w:marTop w:val="0"/>
          <w:marBottom w:val="0"/>
          <w:divBdr>
            <w:top w:val="none" w:sz="0" w:space="0" w:color="auto"/>
            <w:left w:val="none" w:sz="0" w:space="0" w:color="auto"/>
            <w:bottom w:val="none" w:sz="0" w:space="0" w:color="auto"/>
            <w:right w:val="none" w:sz="0" w:space="0" w:color="auto"/>
          </w:divBdr>
          <w:divsChild>
            <w:div w:id="1335378469">
              <w:marLeft w:val="0"/>
              <w:marRight w:val="0"/>
              <w:marTop w:val="0"/>
              <w:marBottom w:val="0"/>
              <w:divBdr>
                <w:top w:val="none" w:sz="0" w:space="0" w:color="auto"/>
                <w:left w:val="none" w:sz="0" w:space="0" w:color="auto"/>
                <w:bottom w:val="none" w:sz="0" w:space="0" w:color="auto"/>
                <w:right w:val="none" w:sz="0" w:space="0" w:color="auto"/>
              </w:divBdr>
              <w:divsChild>
                <w:div w:id="1258830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0388">
      <w:bodyDiv w:val="1"/>
      <w:marLeft w:val="0"/>
      <w:marRight w:val="0"/>
      <w:marTop w:val="0"/>
      <w:marBottom w:val="0"/>
      <w:divBdr>
        <w:top w:val="none" w:sz="0" w:space="0" w:color="auto"/>
        <w:left w:val="none" w:sz="0" w:space="0" w:color="auto"/>
        <w:bottom w:val="none" w:sz="0" w:space="0" w:color="auto"/>
        <w:right w:val="none" w:sz="0" w:space="0" w:color="auto"/>
      </w:divBdr>
    </w:div>
    <w:div w:id="1006009464">
      <w:bodyDiv w:val="1"/>
      <w:marLeft w:val="0"/>
      <w:marRight w:val="0"/>
      <w:marTop w:val="0"/>
      <w:marBottom w:val="0"/>
      <w:divBdr>
        <w:top w:val="none" w:sz="0" w:space="0" w:color="auto"/>
        <w:left w:val="none" w:sz="0" w:space="0" w:color="auto"/>
        <w:bottom w:val="none" w:sz="0" w:space="0" w:color="auto"/>
        <w:right w:val="none" w:sz="0" w:space="0" w:color="auto"/>
      </w:divBdr>
      <w:divsChild>
        <w:div w:id="1228147876">
          <w:marLeft w:val="0"/>
          <w:marRight w:val="0"/>
          <w:marTop w:val="0"/>
          <w:marBottom w:val="0"/>
          <w:divBdr>
            <w:top w:val="none" w:sz="0" w:space="0" w:color="auto"/>
            <w:left w:val="none" w:sz="0" w:space="0" w:color="auto"/>
            <w:bottom w:val="none" w:sz="0" w:space="0" w:color="auto"/>
            <w:right w:val="none" w:sz="0" w:space="0" w:color="auto"/>
          </w:divBdr>
          <w:divsChild>
            <w:div w:id="97680798">
              <w:marLeft w:val="0"/>
              <w:marRight w:val="0"/>
              <w:marTop w:val="0"/>
              <w:marBottom w:val="0"/>
              <w:divBdr>
                <w:top w:val="none" w:sz="0" w:space="0" w:color="auto"/>
                <w:left w:val="none" w:sz="0" w:space="0" w:color="auto"/>
                <w:bottom w:val="none" w:sz="0" w:space="0" w:color="auto"/>
                <w:right w:val="none" w:sz="0" w:space="0" w:color="auto"/>
              </w:divBdr>
            </w:div>
            <w:div w:id="1104544632">
              <w:marLeft w:val="0"/>
              <w:marRight w:val="0"/>
              <w:marTop w:val="0"/>
              <w:marBottom w:val="0"/>
              <w:divBdr>
                <w:top w:val="none" w:sz="0" w:space="0" w:color="auto"/>
                <w:left w:val="none" w:sz="0" w:space="0" w:color="auto"/>
                <w:bottom w:val="none" w:sz="0" w:space="0" w:color="auto"/>
                <w:right w:val="none" w:sz="0" w:space="0" w:color="auto"/>
              </w:divBdr>
              <w:divsChild>
                <w:div w:id="244340040">
                  <w:marLeft w:val="0"/>
                  <w:marRight w:val="0"/>
                  <w:marTop w:val="0"/>
                  <w:marBottom w:val="0"/>
                  <w:divBdr>
                    <w:top w:val="none" w:sz="0" w:space="0" w:color="auto"/>
                    <w:left w:val="none" w:sz="0" w:space="0" w:color="auto"/>
                    <w:bottom w:val="none" w:sz="0" w:space="0" w:color="auto"/>
                    <w:right w:val="none" w:sz="0" w:space="0" w:color="auto"/>
                  </w:divBdr>
                </w:div>
                <w:div w:id="1115947508">
                  <w:marLeft w:val="0"/>
                  <w:marRight w:val="0"/>
                  <w:marTop w:val="0"/>
                  <w:marBottom w:val="0"/>
                  <w:divBdr>
                    <w:top w:val="none" w:sz="0" w:space="0" w:color="auto"/>
                    <w:left w:val="none" w:sz="0" w:space="0" w:color="auto"/>
                    <w:bottom w:val="none" w:sz="0" w:space="0" w:color="auto"/>
                    <w:right w:val="none" w:sz="0" w:space="0" w:color="auto"/>
                  </w:divBdr>
                </w:div>
                <w:div w:id="1944338690">
                  <w:marLeft w:val="0"/>
                  <w:marRight w:val="0"/>
                  <w:marTop w:val="0"/>
                  <w:marBottom w:val="0"/>
                  <w:divBdr>
                    <w:top w:val="none" w:sz="0" w:space="0" w:color="auto"/>
                    <w:left w:val="none" w:sz="0" w:space="0" w:color="auto"/>
                    <w:bottom w:val="none" w:sz="0" w:space="0" w:color="auto"/>
                    <w:right w:val="none" w:sz="0" w:space="0" w:color="auto"/>
                  </w:divBdr>
                </w:div>
                <w:div w:id="2110196357">
                  <w:marLeft w:val="0"/>
                  <w:marRight w:val="0"/>
                  <w:marTop w:val="0"/>
                  <w:marBottom w:val="0"/>
                  <w:divBdr>
                    <w:top w:val="none" w:sz="0" w:space="0" w:color="auto"/>
                    <w:left w:val="none" w:sz="0" w:space="0" w:color="auto"/>
                    <w:bottom w:val="none" w:sz="0" w:space="0" w:color="auto"/>
                    <w:right w:val="none" w:sz="0" w:space="0" w:color="auto"/>
                  </w:divBdr>
                </w:div>
              </w:divsChild>
            </w:div>
            <w:div w:id="1845853470">
              <w:marLeft w:val="0"/>
              <w:marRight w:val="0"/>
              <w:marTop w:val="0"/>
              <w:marBottom w:val="0"/>
              <w:divBdr>
                <w:top w:val="none" w:sz="0" w:space="0" w:color="auto"/>
                <w:left w:val="none" w:sz="0" w:space="0" w:color="auto"/>
                <w:bottom w:val="none" w:sz="0" w:space="0" w:color="auto"/>
                <w:right w:val="none" w:sz="0" w:space="0" w:color="auto"/>
              </w:divBdr>
              <w:divsChild>
                <w:div w:id="30421742">
                  <w:marLeft w:val="0"/>
                  <w:marRight w:val="0"/>
                  <w:marTop w:val="0"/>
                  <w:marBottom w:val="0"/>
                  <w:divBdr>
                    <w:top w:val="none" w:sz="0" w:space="0" w:color="auto"/>
                    <w:left w:val="none" w:sz="0" w:space="0" w:color="auto"/>
                    <w:bottom w:val="none" w:sz="0" w:space="0" w:color="auto"/>
                    <w:right w:val="none" w:sz="0" w:space="0" w:color="auto"/>
                  </w:divBdr>
                </w:div>
                <w:div w:id="544874625">
                  <w:marLeft w:val="0"/>
                  <w:marRight w:val="0"/>
                  <w:marTop w:val="0"/>
                  <w:marBottom w:val="0"/>
                  <w:divBdr>
                    <w:top w:val="none" w:sz="0" w:space="0" w:color="auto"/>
                    <w:left w:val="none" w:sz="0" w:space="0" w:color="auto"/>
                    <w:bottom w:val="none" w:sz="0" w:space="0" w:color="auto"/>
                    <w:right w:val="none" w:sz="0" w:space="0" w:color="auto"/>
                  </w:divBdr>
                </w:div>
                <w:div w:id="646007733">
                  <w:marLeft w:val="0"/>
                  <w:marRight w:val="0"/>
                  <w:marTop w:val="0"/>
                  <w:marBottom w:val="0"/>
                  <w:divBdr>
                    <w:top w:val="none" w:sz="0" w:space="0" w:color="auto"/>
                    <w:left w:val="none" w:sz="0" w:space="0" w:color="auto"/>
                    <w:bottom w:val="none" w:sz="0" w:space="0" w:color="auto"/>
                    <w:right w:val="none" w:sz="0" w:space="0" w:color="auto"/>
                  </w:divBdr>
                </w:div>
                <w:div w:id="1559899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232305">
          <w:marLeft w:val="0"/>
          <w:marRight w:val="0"/>
          <w:marTop w:val="0"/>
          <w:marBottom w:val="0"/>
          <w:divBdr>
            <w:top w:val="none" w:sz="0" w:space="0" w:color="auto"/>
            <w:left w:val="none" w:sz="0" w:space="0" w:color="auto"/>
            <w:bottom w:val="none" w:sz="0" w:space="0" w:color="auto"/>
            <w:right w:val="none" w:sz="0" w:space="0" w:color="auto"/>
          </w:divBdr>
        </w:div>
      </w:divsChild>
    </w:div>
    <w:div w:id="1017316827">
      <w:bodyDiv w:val="1"/>
      <w:marLeft w:val="0"/>
      <w:marRight w:val="0"/>
      <w:marTop w:val="0"/>
      <w:marBottom w:val="0"/>
      <w:divBdr>
        <w:top w:val="none" w:sz="0" w:space="0" w:color="auto"/>
        <w:left w:val="none" w:sz="0" w:space="0" w:color="auto"/>
        <w:bottom w:val="none" w:sz="0" w:space="0" w:color="auto"/>
        <w:right w:val="none" w:sz="0" w:space="0" w:color="auto"/>
      </w:divBdr>
      <w:divsChild>
        <w:div w:id="2098666566">
          <w:marLeft w:val="0"/>
          <w:marRight w:val="0"/>
          <w:marTop w:val="0"/>
          <w:marBottom w:val="0"/>
          <w:divBdr>
            <w:top w:val="none" w:sz="0" w:space="0" w:color="auto"/>
            <w:left w:val="none" w:sz="0" w:space="0" w:color="auto"/>
            <w:bottom w:val="none" w:sz="0" w:space="0" w:color="auto"/>
            <w:right w:val="none" w:sz="0" w:space="0" w:color="auto"/>
          </w:divBdr>
          <w:divsChild>
            <w:div w:id="269631556">
              <w:marLeft w:val="0"/>
              <w:marRight w:val="0"/>
              <w:marTop w:val="0"/>
              <w:marBottom w:val="0"/>
              <w:divBdr>
                <w:top w:val="none" w:sz="0" w:space="0" w:color="auto"/>
                <w:left w:val="none" w:sz="0" w:space="0" w:color="auto"/>
                <w:bottom w:val="none" w:sz="0" w:space="0" w:color="auto"/>
                <w:right w:val="none" w:sz="0" w:space="0" w:color="auto"/>
              </w:divBdr>
              <w:divsChild>
                <w:div w:id="19432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0156536">
      <w:bodyDiv w:val="1"/>
      <w:marLeft w:val="0"/>
      <w:marRight w:val="0"/>
      <w:marTop w:val="0"/>
      <w:marBottom w:val="0"/>
      <w:divBdr>
        <w:top w:val="none" w:sz="0" w:space="0" w:color="auto"/>
        <w:left w:val="none" w:sz="0" w:space="0" w:color="auto"/>
        <w:bottom w:val="none" w:sz="0" w:space="0" w:color="auto"/>
        <w:right w:val="none" w:sz="0" w:space="0" w:color="auto"/>
      </w:divBdr>
    </w:div>
    <w:div w:id="1021518321">
      <w:bodyDiv w:val="1"/>
      <w:marLeft w:val="0"/>
      <w:marRight w:val="0"/>
      <w:marTop w:val="0"/>
      <w:marBottom w:val="0"/>
      <w:divBdr>
        <w:top w:val="none" w:sz="0" w:space="0" w:color="auto"/>
        <w:left w:val="none" w:sz="0" w:space="0" w:color="auto"/>
        <w:bottom w:val="none" w:sz="0" w:space="0" w:color="auto"/>
        <w:right w:val="none" w:sz="0" w:space="0" w:color="auto"/>
      </w:divBdr>
      <w:divsChild>
        <w:div w:id="586426412">
          <w:marLeft w:val="0"/>
          <w:marRight w:val="0"/>
          <w:marTop w:val="0"/>
          <w:marBottom w:val="0"/>
          <w:divBdr>
            <w:top w:val="none" w:sz="0" w:space="0" w:color="auto"/>
            <w:left w:val="none" w:sz="0" w:space="0" w:color="auto"/>
            <w:bottom w:val="none" w:sz="0" w:space="0" w:color="auto"/>
            <w:right w:val="none" w:sz="0" w:space="0" w:color="auto"/>
          </w:divBdr>
          <w:divsChild>
            <w:div w:id="804350087">
              <w:marLeft w:val="0"/>
              <w:marRight w:val="0"/>
              <w:marTop w:val="0"/>
              <w:marBottom w:val="0"/>
              <w:divBdr>
                <w:top w:val="none" w:sz="0" w:space="0" w:color="auto"/>
                <w:left w:val="none" w:sz="0" w:space="0" w:color="auto"/>
                <w:bottom w:val="none" w:sz="0" w:space="0" w:color="auto"/>
                <w:right w:val="none" w:sz="0" w:space="0" w:color="auto"/>
              </w:divBdr>
              <w:divsChild>
                <w:div w:id="210190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2323131">
      <w:bodyDiv w:val="1"/>
      <w:marLeft w:val="0"/>
      <w:marRight w:val="0"/>
      <w:marTop w:val="0"/>
      <w:marBottom w:val="0"/>
      <w:divBdr>
        <w:top w:val="none" w:sz="0" w:space="0" w:color="auto"/>
        <w:left w:val="none" w:sz="0" w:space="0" w:color="auto"/>
        <w:bottom w:val="none" w:sz="0" w:space="0" w:color="auto"/>
        <w:right w:val="none" w:sz="0" w:space="0" w:color="auto"/>
      </w:divBdr>
      <w:divsChild>
        <w:div w:id="91754144">
          <w:marLeft w:val="0"/>
          <w:marRight w:val="0"/>
          <w:marTop w:val="0"/>
          <w:marBottom w:val="0"/>
          <w:divBdr>
            <w:top w:val="none" w:sz="0" w:space="0" w:color="auto"/>
            <w:left w:val="none" w:sz="0" w:space="0" w:color="auto"/>
            <w:bottom w:val="none" w:sz="0" w:space="0" w:color="auto"/>
            <w:right w:val="none" w:sz="0" w:space="0" w:color="auto"/>
          </w:divBdr>
        </w:div>
        <w:div w:id="166478522">
          <w:marLeft w:val="0"/>
          <w:marRight w:val="0"/>
          <w:marTop w:val="0"/>
          <w:marBottom w:val="0"/>
          <w:divBdr>
            <w:top w:val="none" w:sz="0" w:space="0" w:color="auto"/>
            <w:left w:val="none" w:sz="0" w:space="0" w:color="auto"/>
            <w:bottom w:val="none" w:sz="0" w:space="0" w:color="auto"/>
            <w:right w:val="none" w:sz="0" w:space="0" w:color="auto"/>
          </w:divBdr>
        </w:div>
        <w:div w:id="187260892">
          <w:marLeft w:val="0"/>
          <w:marRight w:val="0"/>
          <w:marTop w:val="0"/>
          <w:marBottom w:val="0"/>
          <w:divBdr>
            <w:top w:val="none" w:sz="0" w:space="0" w:color="auto"/>
            <w:left w:val="none" w:sz="0" w:space="0" w:color="auto"/>
            <w:bottom w:val="none" w:sz="0" w:space="0" w:color="auto"/>
            <w:right w:val="none" w:sz="0" w:space="0" w:color="auto"/>
          </w:divBdr>
        </w:div>
        <w:div w:id="429815403">
          <w:marLeft w:val="0"/>
          <w:marRight w:val="0"/>
          <w:marTop w:val="0"/>
          <w:marBottom w:val="0"/>
          <w:divBdr>
            <w:top w:val="none" w:sz="0" w:space="0" w:color="auto"/>
            <w:left w:val="none" w:sz="0" w:space="0" w:color="auto"/>
            <w:bottom w:val="none" w:sz="0" w:space="0" w:color="auto"/>
            <w:right w:val="none" w:sz="0" w:space="0" w:color="auto"/>
          </w:divBdr>
        </w:div>
        <w:div w:id="663629065">
          <w:marLeft w:val="0"/>
          <w:marRight w:val="0"/>
          <w:marTop w:val="0"/>
          <w:marBottom w:val="0"/>
          <w:divBdr>
            <w:top w:val="none" w:sz="0" w:space="0" w:color="auto"/>
            <w:left w:val="none" w:sz="0" w:space="0" w:color="auto"/>
            <w:bottom w:val="none" w:sz="0" w:space="0" w:color="auto"/>
            <w:right w:val="none" w:sz="0" w:space="0" w:color="auto"/>
          </w:divBdr>
        </w:div>
        <w:div w:id="760293576">
          <w:marLeft w:val="0"/>
          <w:marRight w:val="0"/>
          <w:marTop w:val="0"/>
          <w:marBottom w:val="0"/>
          <w:divBdr>
            <w:top w:val="none" w:sz="0" w:space="0" w:color="auto"/>
            <w:left w:val="none" w:sz="0" w:space="0" w:color="auto"/>
            <w:bottom w:val="none" w:sz="0" w:space="0" w:color="auto"/>
            <w:right w:val="none" w:sz="0" w:space="0" w:color="auto"/>
          </w:divBdr>
        </w:div>
        <w:div w:id="1858227813">
          <w:marLeft w:val="0"/>
          <w:marRight w:val="0"/>
          <w:marTop w:val="0"/>
          <w:marBottom w:val="0"/>
          <w:divBdr>
            <w:top w:val="none" w:sz="0" w:space="0" w:color="auto"/>
            <w:left w:val="none" w:sz="0" w:space="0" w:color="auto"/>
            <w:bottom w:val="none" w:sz="0" w:space="0" w:color="auto"/>
            <w:right w:val="none" w:sz="0" w:space="0" w:color="auto"/>
          </w:divBdr>
        </w:div>
      </w:divsChild>
    </w:div>
    <w:div w:id="1041858281">
      <w:bodyDiv w:val="1"/>
      <w:marLeft w:val="0"/>
      <w:marRight w:val="0"/>
      <w:marTop w:val="0"/>
      <w:marBottom w:val="0"/>
      <w:divBdr>
        <w:top w:val="none" w:sz="0" w:space="0" w:color="auto"/>
        <w:left w:val="none" w:sz="0" w:space="0" w:color="auto"/>
        <w:bottom w:val="none" w:sz="0" w:space="0" w:color="auto"/>
        <w:right w:val="none" w:sz="0" w:space="0" w:color="auto"/>
      </w:divBdr>
    </w:div>
    <w:div w:id="1046682328">
      <w:bodyDiv w:val="1"/>
      <w:marLeft w:val="0"/>
      <w:marRight w:val="0"/>
      <w:marTop w:val="0"/>
      <w:marBottom w:val="0"/>
      <w:divBdr>
        <w:top w:val="none" w:sz="0" w:space="0" w:color="auto"/>
        <w:left w:val="none" w:sz="0" w:space="0" w:color="auto"/>
        <w:bottom w:val="none" w:sz="0" w:space="0" w:color="auto"/>
        <w:right w:val="none" w:sz="0" w:space="0" w:color="auto"/>
      </w:divBdr>
    </w:div>
    <w:div w:id="1048455914">
      <w:bodyDiv w:val="1"/>
      <w:marLeft w:val="0"/>
      <w:marRight w:val="0"/>
      <w:marTop w:val="0"/>
      <w:marBottom w:val="0"/>
      <w:divBdr>
        <w:top w:val="none" w:sz="0" w:space="0" w:color="auto"/>
        <w:left w:val="none" w:sz="0" w:space="0" w:color="auto"/>
        <w:bottom w:val="none" w:sz="0" w:space="0" w:color="auto"/>
        <w:right w:val="none" w:sz="0" w:space="0" w:color="auto"/>
      </w:divBdr>
      <w:divsChild>
        <w:div w:id="1593466034">
          <w:marLeft w:val="0"/>
          <w:marRight w:val="0"/>
          <w:marTop w:val="0"/>
          <w:marBottom w:val="0"/>
          <w:divBdr>
            <w:top w:val="none" w:sz="0" w:space="0" w:color="auto"/>
            <w:left w:val="none" w:sz="0" w:space="0" w:color="auto"/>
            <w:bottom w:val="none" w:sz="0" w:space="0" w:color="auto"/>
            <w:right w:val="none" w:sz="0" w:space="0" w:color="auto"/>
          </w:divBdr>
        </w:div>
      </w:divsChild>
    </w:div>
    <w:div w:id="1065756435">
      <w:bodyDiv w:val="1"/>
      <w:marLeft w:val="0"/>
      <w:marRight w:val="0"/>
      <w:marTop w:val="0"/>
      <w:marBottom w:val="0"/>
      <w:divBdr>
        <w:top w:val="none" w:sz="0" w:space="0" w:color="auto"/>
        <w:left w:val="none" w:sz="0" w:space="0" w:color="auto"/>
        <w:bottom w:val="none" w:sz="0" w:space="0" w:color="auto"/>
        <w:right w:val="none" w:sz="0" w:space="0" w:color="auto"/>
      </w:divBdr>
    </w:div>
    <w:div w:id="1074934493">
      <w:bodyDiv w:val="1"/>
      <w:marLeft w:val="0"/>
      <w:marRight w:val="0"/>
      <w:marTop w:val="0"/>
      <w:marBottom w:val="0"/>
      <w:divBdr>
        <w:top w:val="none" w:sz="0" w:space="0" w:color="auto"/>
        <w:left w:val="none" w:sz="0" w:space="0" w:color="auto"/>
        <w:bottom w:val="none" w:sz="0" w:space="0" w:color="auto"/>
        <w:right w:val="none" w:sz="0" w:space="0" w:color="auto"/>
      </w:divBdr>
      <w:divsChild>
        <w:div w:id="1916239075">
          <w:marLeft w:val="0"/>
          <w:marRight w:val="0"/>
          <w:marTop w:val="0"/>
          <w:marBottom w:val="0"/>
          <w:divBdr>
            <w:top w:val="none" w:sz="0" w:space="0" w:color="auto"/>
            <w:left w:val="none" w:sz="0" w:space="0" w:color="auto"/>
            <w:bottom w:val="none" w:sz="0" w:space="0" w:color="auto"/>
            <w:right w:val="none" w:sz="0" w:space="0" w:color="auto"/>
          </w:divBdr>
          <w:divsChild>
            <w:div w:id="485584476">
              <w:marLeft w:val="0"/>
              <w:marRight w:val="0"/>
              <w:marTop w:val="0"/>
              <w:marBottom w:val="0"/>
              <w:divBdr>
                <w:top w:val="none" w:sz="0" w:space="0" w:color="auto"/>
                <w:left w:val="none" w:sz="0" w:space="0" w:color="auto"/>
                <w:bottom w:val="none" w:sz="0" w:space="0" w:color="auto"/>
                <w:right w:val="none" w:sz="0" w:space="0" w:color="auto"/>
              </w:divBdr>
              <w:divsChild>
                <w:div w:id="166173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8282045">
      <w:bodyDiv w:val="1"/>
      <w:marLeft w:val="0"/>
      <w:marRight w:val="0"/>
      <w:marTop w:val="0"/>
      <w:marBottom w:val="0"/>
      <w:divBdr>
        <w:top w:val="none" w:sz="0" w:space="0" w:color="auto"/>
        <w:left w:val="none" w:sz="0" w:space="0" w:color="auto"/>
        <w:bottom w:val="none" w:sz="0" w:space="0" w:color="auto"/>
        <w:right w:val="none" w:sz="0" w:space="0" w:color="auto"/>
      </w:divBdr>
    </w:div>
    <w:div w:id="1104495200">
      <w:bodyDiv w:val="1"/>
      <w:marLeft w:val="0"/>
      <w:marRight w:val="0"/>
      <w:marTop w:val="0"/>
      <w:marBottom w:val="0"/>
      <w:divBdr>
        <w:top w:val="none" w:sz="0" w:space="0" w:color="auto"/>
        <w:left w:val="none" w:sz="0" w:space="0" w:color="auto"/>
        <w:bottom w:val="none" w:sz="0" w:space="0" w:color="auto"/>
        <w:right w:val="none" w:sz="0" w:space="0" w:color="auto"/>
      </w:divBdr>
    </w:div>
    <w:div w:id="1135179992">
      <w:bodyDiv w:val="1"/>
      <w:marLeft w:val="0"/>
      <w:marRight w:val="0"/>
      <w:marTop w:val="0"/>
      <w:marBottom w:val="0"/>
      <w:divBdr>
        <w:top w:val="none" w:sz="0" w:space="0" w:color="auto"/>
        <w:left w:val="none" w:sz="0" w:space="0" w:color="auto"/>
        <w:bottom w:val="none" w:sz="0" w:space="0" w:color="auto"/>
        <w:right w:val="none" w:sz="0" w:space="0" w:color="auto"/>
      </w:divBdr>
    </w:div>
    <w:div w:id="1150174265">
      <w:bodyDiv w:val="1"/>
      <w:marLeft w:val="0"/>
      <w:marRight w:val="0"/>
      <w:marTop w:val="0"/>
      <w:marBottom w:val="0"/>
      <w:divBdr>
        <w:top w:val="none" w:sz="0" w:space="0" w:color="auto"/>
        <w:left w:val="none" w:sz="0" w:space="0" w:color="auto"/>
        <w:bottom w:val="none" w:sz="0" w:space="0" w:color="auto"/>
        <w:right w:val="none" w:sz="0" w:space="0" w:color="auto"/>
      </w:divBdr>
    </w:div>
    <w:div w:id="1169297104">
      <w:bodyDiv w:val="1"/>
      <w:marLeft w:val="0"/>
      <w:marRight w:val="0"/>
      <w:marTop w:val="0"/>
      <w:marBottom w:val="0"/>
      <w:divBdr>
        <w:top w:val="none" w:sz="0" w:space="0" w:color="auto"/>
        <w:left w:val="none" w:sz="0" w:space="0" w:color="auto"/>
        <w:bottom w:val="none" w:sz="0" w:space="0" w:color="auto"/>
        <w:right w:val="none" w:sz="0" w:space="0" w:color="auto"/>
      </w:divBdr>
      <w:divsChild>
        <w:div w:id="929966418">
          <w:marLeft w:val="0"/>
          <w:marRight w:val="0"/>
          <w:marTop w:val="0"/>
          <w:marBottom w:val="0"/>
          <w:divBdr>
            <w:top w:val="none" w:sz="0" w:space="0" w:color="auto"/>
            <w:left w:val="none" w:sz="0" w:space="0" w:color="auto"/>
            <w:bottom w:val="none" w:sz="0" w:space="0" w:color="auto"/>
            <w:right w:val="none" w:sz="0" w:space="0" w:color="auto"/>
          </w:divBdr>
          <w:divsChild>
            <w:div w:id="477848648">
              <w:marLeft w:val="0"/>
              <w:marRight w:val="0"/>
              <w:marTop w:val="0"/>
              <w:marBottom w:val="0"/>
              <w:divBdr>
                <w:top w:val="none" w:sz="0" w:space="0" w:color="auto"/>
                <w:left w:val="none" w:sz="0" w:space="0" w:color="auto"/>
                <w:bottom w:val="none" w:sz="0" w:space="0" w:color="auto"/>
                <w:right w:val="none" w:sz="0" w:space="0" w:color="auto"/>
              </w:divBdr>
              <w:divsChild>
                <w:div w:id="11170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02100">
      <w:bodyDiv w:val="1"/>
      <w:marLeft w:val="0"/>
      <w:marRight w:val="0"/>
      <w:marTop w:val="0"/>
      <w:marBottom w:val="0"/>
      <w:divBdr>
        <w:top w:val="none" w:sz="0" w:space="0" w:color="auto"/>
        <w:left w:val="none" w:sz="0" w:space="0" w:color="auto"/>
        <w:bottom w:val="none" w:sz="0" w:space="0" w:color="auto"/>
        <w:right w:val="none" w:sz="0" w:space="0" w:color="auto"/>
      </w:divBdr>
    </w:div>
    <w:div w:id="1172912102">
      <w:bodyDiv w:val="1"/>
      <w:marLeft w:val="0"/>
      <w:marRight w:val="0"/>
      <w:marTop w:val="0"/>
      <w:marBottom w:val="0"/>
      <w:divBdr>
        <w:top w:val="none" w:sz="0" w:space="0" w:color="auto"/>
        <w:left w:val="none" w:sz="0" w:space="0" w:color="auto"/>
        <w:bottom w:val="none" w:sz="0" w:space="0" w:color="auto"/>
        <w:right w:val="none" w:sz="0" w:space="0" w:color="auto"/>
      </w:divBdr>
    </w:div>
    <w:div w:id="1197700471">
      <w:bodyDiv w:val="1"/>
      <w:marLeft w:val="0"/>
      <w:marRight w:val="0"/>
      <w:marTop w:val="0"/>
      <w:marBottom w:val="0"/>
      <w:divBdr>
        <w:top w:val="none" w:sz="0" w:space="0" w:color="auto"/>
        <w:left w:val="none" w:sz="0" w:space="0" w:color="auto"/>
        <w:bottom w:val="none" w:sz="0" w:space="0" w:color="auto"/>
        <w:right w:val="none" w:sz="0" w:space="0" w:color="auto"/>
      </w:divBdr>
    </w:div>
    <w:div w:id="1217623671">
      <w:bodyDiv w:val="1"/>
      <w:marLeft w:val="0"/>
      <w:marRight w:val="0"/>
      <w:marTop w:val="0"/>
      <w:marBottom w:val="0"/>
      <w:divBdr>
        <w:top w:val="none" w:sz="0" w:space="0" w:color="auto"/>
        <w:left w:val="none" w:sz="0" w:space="0" w:color="auto"/>
        <w:bottom w:val="none" w:sz="0" w:space="0" w:color="auto"/>
        <w:right w:val="none" w:sz="0" w:space="0" w:color="auto"/>
      </w:divBdr>
    </w:div>
    <w:div w:id="1252080136">
      <w:bodyDiv w:val="1"/>
      <w:marLeft w:val="0"/>
      <w:marRight w:val="0"/>
      <w:marTop w:val="0"/>
      <w:marBottom w:val="0"/>
      <w:divBdr>
        <w:top w:val="none" w:sz="0" w:space="0" w:color="auto"/>
        <w:left w:val="none" w:sz="0" w:space="0" w:color="auto"/>
        <w:bottom w:val="none" w:sz="0" w:space="0" w:color="auto"/>
        <w:right w:val="none" w:sz="0" w:space="0" w:color="auto"/>
      </w:divBdr>
    </w:div>
    <w:div w:id="1255087140">
      <w:bodyDiv w:val="1"/>
      <w:marLeft w:val="0"/>
      <w:marRight w:val="0"/>
      <w:marTop w:val="0"/>
      <w:marBottom w:val="0"/>
      <w:divBdr>
        <w:top w:val="none" w:sz="0" w:space="0" w:color="auto"/>
        <w:left w:val="none" w:sz="0" w:space="0" w:color="auto"/>
        <w:bottom w:val="none" w:sz="0" w:space="0" w:color="auto"/>
        <w:right w:val="none" w:sz="0" w:space="0" w:color="auto"/>
      </w:divBdr>
    </w:div>
    <w:div w:id="1278172304">
      <w:bodyDiv w:val="1"/>
      <w:marLeft w:val="0"/>
      <w:marRight w:val="0"/>
      <w:marTop w:val="0"/>
      <w:marBottom w:val="0"/>
      <w:divBdr>
        <w:top w:val="none" w:sz="0" w:space="0" w:color="auto"/>
        <w:left w:val="none" w:sz="0" w:space="0" w:color="auto"/>
        <w:bottom w:val="none" w:sz="0" w:space="0" w:color="auto"/>
        <w:right w:val="none" w:sz="0" w:space="0" w:color="auto"/>
      </w:divBdr>
    </w:div>
    <w:div w:id="1282954539">
      <w:bodyDiv w:val="1"/>
      <w:marLeft w:val="0"/>
      <w:marRight w:val="0"/>
      <w:marTop w:val="0"/>
      <w:marBottom w:val="0"/>
      <w:divBdr>
        <w:top w:val="none" w:sz="0" w:space="0" w:color="auto"/>
        <w:left w:val="none" w:sz="0" w:space="0" w:color="auto"/>
        <w:bottom w:val="none" w:sz="0" w:space="0" w:color="auto"/>
        <w:right w:val="none" w:sz="0" w:space="0" w:color="auto"/>
      </w:divBdr>
    </w:div>
    <w:div w:id="1284074161">
      <w:bodyDiv w:val="1"/>
      <w:marLeft w:val="0"/>
      <w:marRight w:val="0"/>
      <w:marTop w:val="0"/>
      <w:marBottom w:val="0"/>
      <w:divBdr>
        <w:top w:val="none" w:sz="0" w:space="0" w:color="auto"/>
        <w:left w:val="none" w:sz="0" w:space="0" w:color="auto"/>
        <w:bottom w:val="none" w:sz="0" w:space="0" w:color="auto"/>
        <w:right w:val="none" w:sz="0" w:space="0" w:color="auto"/>
      </w:divBdr>
    </w:div>
    <w:div w:id="1287808495">
      <w:bodyDiv w:val="1"/>
      <w:marLeft w:val="0"/>
      <w:marRight w:val="0"/>
      <w:marTop w:val="0"/>
      <w:marBottom w:val="0"/>
      <w:divBdr>
        <w:top w:val="none" w:sz="0" w:space="0" w:color="auto"/>
        <w:left w:val="none" w:sz="0" w:space="0" w:color="auto"/>
        <w:bottom w:val="none" w:sz="0" w:space="0" w:color="auto"/>
        <w:right w:val="none" w:sz="0" w:space="0" w:color="auto"/>
      </w:divBdr>
    </w:div>
    <w:div w:id="1290744797">
      <w:bodyDiv w:val="1"/>
      <w:marLeft w:val="0"/>
      <w:marRight w:val="0"/>
      <w:marTop w:val="0"/>
      <w:marBottom w:val="0"/>
      <w:divBdr>
        <w:top w:val="none" w:sz="0" w:space="0" w:color="auto"/>
        <w:left w:val="none" w:sz="0" w:space="0" w:color="auto"/>
        <w:bottom w:val="none" w:sz="0" w:space="0" w:color="auto"/>
        <w:right w:val="none" w:sz="0" w:space="0" w:color="auto"/>
      </w:divBdr>
    </w:div>
    <w:div w:id="1298490824">
      <w:bodyDiv w:val="1"/>
      <w:marLeft w:val="0"/>
      <w:marRight w:val="0"/>
      <w:marTop w:val="0"/>
      <w:marBottom w:val="0"/>
      <w:divBdr>
        <w:top w:val="none" w:sz="0" w:space="0" w:color="auto"/>
        <w:left w:val="none" w:sz="0" w:space="0" w:color="auto"/>
        <w:bottom w:val="none" w:sz="0" w:space="0" w:color="auto"/>
        <w:right w:val="none" w:sz="0" w:space="0" w:color="auto"/>
      </w:divBdr>
    </w:div>
    <w:div w:id="1303191416">
      <w:bodyDiv w:val="1"/>
      <w:marLeft w:val="0"/>
      <w:marRight w:val="0"/>
      <w:marTop w:val="0"/>
      <w:marBottom w:val="0"/>
      <w:divBdr>
        <w:top w:val="none" w:sz="0" w:space="0" w:color="auto"/>
        <w:left w:val="none" w:sz="0" w:space="0" w:color="auto"/>
        <w:bottom w:val="none" w:sz="0" w:space="0" w:color="auto"/>
        <w:right w:val="none" w:sz="0" w:space="0" w:color="auto"/>
      </w:divBdr>
      <w:divsChild>
        <w:div w:id="1287545821">
          <w:marLeft w:val="0"/>
          <w:marRight w:val="0"/>
          <w:marTop w:val="0"/>
          <w:marBottom w:val="0"/>
          <w:divBdr>
            <w:top w:val="none" w:sz="0" w:space="0" w:color="auto"/>
            <w:left w:val="none" w:sz="0" w:space="0" w:color="auto"/>
            <w:bottom w:val="none" w:sz="0" w:space="0" w:color="auto"/>
            <w:right w:val="none" w:sz="0" w:space="0" w:color="auto"/>
          </w:divBdr>
          <w:divsChild>
            <w:div w:id="669679267">
              <w:marLeft w:val="0"/>
              <w:marRight w:val="0"/>
              <w:marTop w:val="0"/>
              <w:marBottom w:val="0"/>
              <w:divBdr>
                <w:top w:val="none" w:sz="0" w:space="0" w:color="auto"/>
                <w:left w:val="none" w:sz="0" w:space="0" w:color="auto"/>
                <w:bottom w:val="none" w:sz="0" w:space="0" w:color="auto"/>
                <w:right w:val="none" w:sz="0" w:space="0" w:color="auto"/>
              </w:divBdr>
            </w:div>
            <w:div w:id="155223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197030">
      <w:bodyDiv w:val="1"/>
      <w:marLeft w:val="0"/>
      <w:marRight w:val="0"/>
      <w:marTop w:val="0"/>
      <w:marBottom w:val="0"/>
      <w:divBdr>
        <w:top w:val="none" w:sz="0" w:space="0" w:color="auto"/>
        <w:left w:val="none" w:sz="0" w:space="0" w:color="auto"/>
        <w:bottom w:val="none" w:sz="0" w:space="0" w:color="auto"/>
        <w:right w:val="none" w:sz="0" w:space="0" w:color="auto"/>
      </w:divBdr>
    </w:div>
    <w:div w:id="1318338374">
      <w:bodyDiv w:val="1"/>
      <w:marLeft w:val="0"/>
      <w:marRight w:val="0"/>
      <w:marTop w:val="0"/>
      <w:marBottom w:val="0"/>
      <w:divBdr>
        <w:top w:val="none" w:sz="0" w:space="0" w:color="auto"/>
        <w:left w:val="none" w:sz="0" w:space="0" w:color="auto"/>
        <w:bottom w:val="none" w:sz="0" w:space="0" w:color="auto"/>
        <w:right w:val="none" w:sz="0" w:space="0" w:color="auto"/>
      </w:divBdr>
    </w:div>
    <w:div w:id="1336880476">
      <w:bodyDiv w:val="1"/>
      <w:marLeft w:val="0"/>
      <w:marRight w:val="0"/>
      <w:marTop w:val="0"/>
      <w:marBottom w:val="0"/>
      <w:divBdr>
        <w:top w:val="none" w:sz="0" w:space="0" w:color="auto"/>
        <w:left w:val="none" w:sz="0" w:space="0" w:color="auto"/>
        <w:bottom w:val="none" w:sz="0" w:space="0" w:color="auto"/>
        <w:right w:val="none" w:sz="0" w:space="0" w:color="auto"/>
      </w:divBdr>
    </w:div>
    <w:div w:id="1341352103">
      <w:bodyDiv w:val="1"/>
      <w:marLeft w:val="0"/>
      <w:marRight w:val="0"/>
      <w:marTop w:val="0"/>
      <w:marBottom w:val="0"/>
      <w:divBdr>
        <w:top w:val="none" w:sz="0" w:space="0" w:color="auto"/>
        <w:left w:val="none" w:sz="0" w:space="0" w:color="auto"/>
        <w:bottom w:val="none" w:sz="0" w:space="0" w:color="auto"/>
        <w:right w:val="none" w:sz="0" w:space="0" w:color="auto"/>
      </w:divBdr>
    </w:div>
    <w:div w:id="1348172573">
      <w:bodyDiv w:val="1"/>
      <w:marLeft w:val="0"/>
      <w:marRight w:val="0"/>
      <w:marTop w:val="0"/>
      <w:marBottom w:val="0"/>
      <w:divBdr>
        <w:top w:val="none" w:sz="0" w:space="0" w:color="auto"/>
        <w:left w:val="none" w:sz="0" w:space="0" w:color="auto"/>
        <w:bottom w:val="none" w:sz="0" w:space="0" w:color="auto"/>
        <w:right w:val="none" w:sz="0" w:space="0" w:color="auto"/>
      </w:divBdr>
    </w:div>
    <w:div w:id="1352102807">
      <w:bodyDiv w:val="1"/>
      <w:marLeft w:val="0"/>
      <w:marRight w:val="0"/>
      <w:marTop w:val="0"/>
      <w:marBottom w:val="0"/>
      <w:divBdr>
        <w:top w:val="none" w:sz="0" w:space="0" w:color="auto"/>
        <w:left w:val="none" w:sz="0" w:space="0" w:color="auto"/>
        <w:bottom w:val="none" w:sz="0" w:space="0" w:color="auto"/>
        <w:right w:val="none" w:sz="0" w:space="0" w:color="auto"/>
      </w:divBdr>
    </w:div>
    <w:div w:id="1357346258">
      <w:bodyDiv w:val="1"/>
      <w:marLeft w:val="0"/>
      <w:marRight w:val="0"/>
      <w:marTop w:val="0"/>
      <w:marBottom w:val="0"/>
      <w:divBdr>
        <w:top w:val="none" w:sz="0" w:space="0" w:color="auto"/>
        <w:left w:val="none" w:sz="0" w:space="0" w:color="auto"/>
        <w:bottom w:val="none" w:sz="0" w:space="0" w:color="auto"/>
        <w:right w:val="none" w:sz="0" w:space="0" w:color="auto"/>
      </w:divBdr>
    </w:div>
    <w:div w:id="1359504855">
      <w:bodyDiv w:val="1"/>
      <w:marLeft w:val="0"/>
      <w:marRight w:val="0"/>
      <w:marTop w:val="0"/>
      <w:marBottom w:val="0"/>
      <w:divBdr>
        <w:top w:val="none" w:sz="0" w:space="0" w:color="auto"/>
        <w:left w:val="none" w:sz="0" w:space="0" w:color="auto"/>
        <w:bottom w:val="none" w:sz="0" w:space="0" w:color="auto"/>
        <w:right w:val="none" w:sz="0" w:space="0" w:color="auto"/>
      </w:divBdr>
    </w:div>
    <w:div w:id="1377435975">
      <w:bodyDiv w:val="1"/>
      <w:marLeft w:val="0"/>
      <w:marRight w:val="0"/>
      <w:marTop w:val="0"/>
      <w:marBottom w:val="0"/>
      <w:divBdr>
        <w:top w:val="none" w:sz="0" w:space="0" w:color="auto"/>
        <w:left w:val="none" w:sz="0" w:space="0" w:color="auto"/>
        <w:bottom w:val="none" w:sz="0" w:space="0" w:color="auto"/>
        <w:right w:val="none" w:sz="0" w:space="0" w:color="auto"/>
      </w:divBdr>
    </w:div>
    <w:div w:id="1381711996">
      <w:bodyDiv w:val="1"/>
      <w:marLeft w:val="0"/>
      <w:marRight w:val="0"/>
      <w:marTop w:val="0"/>
      <w:marBottom w:val="0"/>
      <w:divBdr>
        <w:top w:val="none" w:sz="0" w:space="0" w:color="auto"/>
        <w:left w:val="none" w:sz="0" w:space="0" w:color="auto"/>
        <w:bottom w:val="none" w:sz="0" w:space="0" w:color="auto"/>
        <w:right w:val="none" w:sz="0" w:space="0" w:color="auto"/>
      </w:divBdr>
    </w:div>
    <w:div w:id="1392583059">
      <w:bodyDiv w:val="1"/>
      <w:marLeft w:val="0"/>
      <w:marRight w:val="0"/>
      <w:marTop w:val="0"/>
      <w:marBottom w:val="0"/>
      <w:divBdr>
        <w:top w:val="none" w:sz="0" w:space="0" w:color="auto"/>
        <w:left w:val="none" w:sz="0" w:space="0" w:color="auto"/>
        <w:bottom w:val="none" w:sz="0" w:space="0" w:color="auto"/>
        <w:right w:val="none" w:sz="0" w:space="0" w:color="auto"/>
      </w:divBdr>
      <w:divsChild>
        <w:div w:id="135342158">
          <w:marLeft w:val="0"/>
          <w:marRight w:val="0"/>
          <w:marTop w:val="0"/>
          <w:marBottom w:val="0"/>
          <w:divBdr>
            <w:top w:val="none" w:sz="0" w:space="0" w:color="auto"/>
            <w:left w:val="none" w:sz="0" w:space="0" w:color="auto"/>
            <w:bottom w:val="none" w:sz="0" w:space="0" w:color="auto"/>
            <w:right w:val="none" w:sz="0" w:space="0" w:color="auto"/>
          </w:divBdr>
        </w:div>
        <w:div w:id="299575668">
          <w:marLeft w:val="0"/>
          <w:marRight w:val="0"/>
          <w:marTop w:val="0"/>
          <w:marBottom w:val="0"/>
          <w:divBdr>
            <w:top w:val="none" w:sz="0" w:space="0" w:color="auto"/>
            <w:left w:val="none" w:sz="0" w:space="0" w:color="auto"/>
            <w:bottom w:val="none" w:sz="0" w:space="0" w:color="auto"/>
            <w:right w:val="none" w:sz="0" w:space="0" w:color="auto"/>
          </w:divBdr>
        </w:div>
        <w:div w:id="388765461">
          <w:blockQuote w:val="1"/>
          <w:marLeft w:val="600"/>
          <w:marRight w:val="0"/>
          <w:marTop w:val="0"/>
          <w:marBottom w:val="0"/>
          <w:divBdr>
            <w:top w:val="none" w:sz="0" w:space="0" w:color="auto"/>
            <w:left w:val="none" w:sz="0" w:space="0" w:color="auto"/>
            <w:bottom w:val="none" w:sz="0" w:space="0" w:color="auto"/>
            <w:right w:val="none" w:sz="0" w:space="0" w:color="auto"/>
          </w:divBdr>
          <w:divsChild>
            <w:div w:id="1466659308">
              <w:blockQuote w:val="1"/>
              <w:marLeft w:val="600"/>
              <w:marRight w:val="0"/>
              <w:marTop w:val="0"/>
              <w:marBottom w:val="0"/>
              <w:divBdr>
                <w:top w:val="none" w:sz="0" w:space="0" w:color="auto"/>
                <w:left w:val="none" w:sz="0" w:space="0" w:color="auto"/>
                <w:bottom w:val="none" w:sz="0" w:space="0" w:color="auto"/>
                <w:right w:val="none" w:sz="0" w:space="0" w:color="auto"/>
              </w:divBdr>
              <w:divsChild>
                <w:div w:id="894462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340606">
          <w:marLeft w:val="0"/>
          <w:marRight w:val="0"/>
          <w:marTop w:val="0"/>
          <w:marBottom w:val="0"/>
          <w:divBdr>
            <w:top w:val="none" w:sz="0" w:space="0" w:color="auto"/>
            <w:left w:val="none" w:sz="0" w:space="0" w:color="auto"/>
            <w:bottom w:val="none" w:sz="0" w:space="0" w:color="auto"/>
            <w:right w:val="none" w:sz="0" w:space="0" w:color="auto"/>
          </w:divBdr>
        </w:div>
        <w:div w:id="631448889">
          <w:marLeft w:val="0"/>
          <w:marRight w:val="0"/>
          <w:marTop w:val="0"/>
          <w:marBottom w:val="0"/>
          <w:divBdr>
            <w:top w:val="none" w:sz="0" w:space="0" w:color="auto"/>
            <w:left w:val="none" w:sz="0" w:space="0" w:color="auto"/>
            <w:bottom w:val="none" w:sz="0" w:space="0" w:color="auto"/>
            <w:right w:val="none" w:sz="0" w:space="0" w:color="auto"/>
          </w:divBdr>
        </w:div>
        <w:div w:id="867913962">
          <w:marLeft w:val="0"/>
          <w:marRight w:val="0"/>
          <w:marTop w:val="0"/>
          <w:marBottom w:val="0"/>
          <w:divBdr>
            <w:top w:val="none" w:sz="0" w:space="0" w:color="auto"/>
            <w:left w:val="none" w:sz="0" w:space="0" w:color="auto"/>
            <w:bottom w:val="none" w:sz="0" w:space="0" w:color="auto"/>
            <w:right w:val="none" w:sz="0" w:space="0" w:color="auto"/>
          </w:divBdr>
        </w:div>
        <w:div w:id="1012877583">
          <w:marLeft w:val="0"/>
          <w:marRight w:val="0"/>
          <w:marTop w:val="0"/>
          <w:marBottom w:val="0"/>
          <w:divBdr>
            <w:top w:val="none" w:sz="0" w:space="0" w:color="auto"/>
            <w:left w:val="none" w:sz="0" w:space="0" w:color="auto"/>
            <w:bottom w:val="none" w:sz="0" w:space="0" w:color="auto"/>
            <w:right w:val="none" w:sz="0" w:space="0" w:color="auto"/>
          </w:divBdr>
          <w:divsChild>
            <w:div w:id="95178062">
              <w:marLeft w:val="0"/>
              <w:marRight w:val="0"/>
              <w:marTop w:val="0"/>
              <w:marBottom w:val="0"/>
              <w:divBdr>
                <w:top w:val="none" w:sz="0" w:space="0" w:color="auto"/>
                <w:left w:val="none" w:sz="0" w:space="0" w:color="auto"/>
                <w:bottom w:val="none" w:sz="0" w:space="0" w:color="auto"/>
                <w:right w:val="none" w:sz="0" w:space="0" w:color="auto"/>
              </w:divBdr>
            </w:div>
          </w:divsChild>
        </w:div>
        <w:div w:id="1015375896">
          <w:marLeft w:val="0"/>
          <w:marRight w:val="0"/>
          <w:marTop w:val="0"/>
          <w:marBottom w:val="0"/>
          <w:divBdr>
            <w:top w:val="none" w:sz="0" w:space="0" w:color="auto"/>
            <w:left w:val="none" w:sz="0" w:space="0" w:color="auto"/>
            <w:bottom w:val="none" w:sz="0" w:space="0" w:color="auto"/>
            <w:right w:val="none" w:sz="0" w:space="0" w:color="auto"/>
          </w:divBdr>
        </w:div>
        <w:div w:id="1595702896">
          <w:marLeft w:val="0"/>
          <w:marRight w:val="0"/>
          <w:marTop w:val="0"/>
          <w:marBottom w:val="0"/>
          <w:divBdr>
            <w:top w:val="none" w:sz="0" w:space="0" w:color="auto"/>
            <w:left w:val="none" w:sz="0" w:space="0" w:color="auto"/>
            <w:bottom w:val="none" w:sz="0" w:space="0" w:color="auto"/>
            <w:right w:val="none" w:sz="0" w:space="0" w:color="auto"/>
          </w:divBdr>
        </w:div>
        <w:div w:id="1637224702">
          <w:marLeft w:val="0"/>
          <w:marRight w:val="0"/>
          <w:marTop w:val="0"/>
          <w:marBottom w:val="0"/>
          <w:divBdr>
            <w:top w:val="none" w:sz="0" w:space="0" w:color="auto"/>
            <w:left w:val="none" w:sz="0" w:space="0" w:color="auto"/>
            <w:bottom w:val="none" w:sz="0" w:space="0" w:color="auto"/>
            <w:right w:val="none" w:sz="0" w:space="0" w:color="auto"/>
          </w:divBdr>
        </w:div>
        <w:div w:id="1800806113">
          <w:blockQuote w:val="1"/>
          <w:marLeft w:val="600"/>
          <w:marRight w:val="0"/>
          <w:marTop w:val="0"/>
          <w:marBottom w:val="0"/>
          <w:divBdr>
            <w:top w:val="none" w:sz="0" w:space="0" w:color="auto"/>
            <w:left w:val="none" w:sz="0" w:space="0" w:color="auto"/>
            <w:bottom w:val="none" w:sz="0" w:space="0" w:color="auto"/>
            <w:right w:val="none" w:sz="0" w:space="0" w:color="auto"/>
          </w:divBdr>
          <w:divsChild>
            <w:div w:id="283997368">
              <w:marLeft w:val="0"/>
              <w:marRight w:val="0"/>
              <w:marTop w:val="0"/>
              <w:marBottom w:val="0"/>
              <w:divBdr>
                <w:top w:val="none" w:sz="0" w:space="0" w:color="auto"/>
                <w:left w:val="none" w:sz="0" w:space="0" w:color="auto"/>
                <w:bottom w:val="none" w:sz="0" w:space="0" w:color="auto"/>
                <w:right w:val="none" w:sz="0" w:space="0" w:color="auto"/>
              </w:divBdr>
              <w:divsChild>
                <w:div w:id="489909169">
                  <w:marLeft w:val="0"/>
                  <w:marRight w:val="0"/>
                  <w:marTop w:val="0"/>
                  <w:marBottom w:val="0"/>
                  <w:divBdr>
                    <w:top w:val="none" w:sz="0" w:space="0" w:color="auto"/>
                    <w:left w:val="none" w:sz="0" w:space="0" w:color="auto"/>
                    <w:bottom w:val="none" w:sz="0" w:space="0" w:color="auto"/>
                    <w:right w:val="none" w:sz="0" w:space="0" w:color="auto"/>
                  </w:divBdr>
                </w:div>
              </w:divsChild>
            </w:div>
            <w:div w:id="293870811">
              <w:marLeft w:val="0"/>
              <w:marRight w:val="0"/>
              <w:marTop w:val="0"/>
              <w:marBottom w:val="0"/>
              <w:divBdr>
                <w:top w:val="none" w:sz="0" w:space="0" w:color="auto"/>
                <w:left w:val="none" w:sz="0" w:space="0" w:color="auto"/>
                <w:bottom w:val="none" w:sz="0" w:space="0" w:color="auto"/>
                <w:right w:val="none" w:sz="0" w:space="0" w:color="auto"/>
              </w:divBdr>
              <w:divsChild>
                <w:div w:id="1913923243">
                  <w:marLeft w:val="0"/>
                  <w:marRight w:val="0"/>
                  <w:marTop w:val="0"/>
                  <w:marBottom w:val="0"/>
                  <w:divBdr>
                    <w:top w:val="none" w:sz="0" w:space="0" w:color="auto"/>
                    <w:left w:val="none" w:sz="0" w:space="0" w:color="auto"/>
                    <w:bottom w:val="none" w:sz="0" w:space="0" w:color="auto"/>
                    <w:right w:val="none" w:sz="0" w:space="0" w:color="auto"/>
                  </w:divBdr>
                </w:div>
              </w:divsChild>
            </w:div>
            <w:div w:id="659620232">
              <w:marLeft w:val="0"/>
              <w:marRight w:val="0"/>
              <w:marTop w:val="0"/>
              <w:marBottom w:val="0"/>
              <w:divBdr>
                <w:top w:val="none" w:sz="0" w:space="0" w:color="auto"/>
                <w:left w:val="none" w:sz="0" w:space="0" w:color="auto"/>
                <w:bottom w:val="none" w:sz="0" w:space="0" w:color="auto"/>
                <w:right w:val="none" w:sz="0" w:space="0" w:color="auto"/>
              </w:divBdr>
              <w:divsChild>
                <w:div w:id="2115401260">
                  <w:marLeft w:val="0"/>
                  <w:marRight w:val="0"/>
                  <w:marTop w:val="0"/>
                  <w:marBottom w:val="0"/>
                  <w:divBdr>
                    <w:top w:val="none" w:sz="0" w:space="0" w:color="auto"/>
                    <w:left w:val="none" w:sz="0" w:space="0" w:color="auto"/>
                    <w:bottom w:val="none" w:sz="0" w:space="0" w:color="auto"/>
                    <w:right w:val="none" w:sz="0" w:space="0" w:color="auto"/>
                  </w:divBdr>
                </w:div>
              </w:divsChild>
            </w:div>
            <w:div w:id="1059937072">
              <w:marLeft w:val="0"/>
              <w:marRight w:val="0"/>
              <w:marTop w:val="0"/>
              <w:marBottom w:val="0"/>
              <w:divBdr>
                <w:top w:val="none" w:sz="0" w:space="0" w:color="auto"/>
                <w:left w:val="none" w:sz="0" w:space="0" w:color="auto"/>
                <w:bottom w:val="none" w:sz="0" w:space="0" w:color="auto"/>
                <w:right w:val="none" w:sz="0" w:space="0" w:color="auto"/>
              </w:divBdr>
              <w:divsChild>
                <w:div w:id="47996853">
                  <w:marLeft w:val="0"/>
                  <w:marRight w:val="0"/>
                  <w:marTop w:val="0"/>
                  <w:marBottom w:val="0"/>
                  <w:divBdr>
                    <w:top w:val="none" w:sz="0" w:space="0" w:color="auto"/>
                    <w:left w:val="none" w:sz="0" w:space="0" w:color="auto"/>
                    <w:bottom w:val="none" w:sz="0" w:space="0" w:color="auto"/>
                    <w:right w:val="none" w:sz="0" w:space="0" w:color="auto"/>
                  </w:divBdr>
                </w:div>
              </w:divsChild>
            </w:div>
            <w:div w:id="1168595334">
              <w:marLeft w:val="0"/>
              <w:marRight w:val="0"/>
              <w:marTop w:val="0"/>
              <w:marBottom w:val="0"/>
              <w:divBdr>
                <w:top w:val="none" w:sz="0" w:space="0" w:color="auto"/>
                <w:left w:val="none" w:sz="0" w:space="0" w:color="auto"/>
                <w:bottom w:val="none" w:sz="0" w:space="0" w:color="auto"/>
                <w:right w:val="none" w:sz="0" w:space="0" w:color="auto"/>
              </w:divBdr>
              <w:divsChild>
                <w:div w:id="399526645">
                  <w:marLeft w:val="0"/>
                  <w:marRight w:val="0"/>
                  <w:marTop w:val="0"/>
                  <w:marBottom w:val="0"/>
                  <w:divBdr>
                    <w:top w:val="none" w:sz="0" w:space="0" w:color="auto"/>
                    <w:left w:val="none" w:sz="0" w:space="0" w:color="auto"/>
                    <w:bottom w:val="none" w:sz="0" w:space="0" w:color="auto"/>
                    <w:right w:val="none" w:sz="0" w:space="0" w:color="auto"/>
                  </w:divBdr>
                </w:div>
              </w:divsChild>
            </w:div>
            <w:div w:id="1185291643">
              <w:marLeft w:val="0"/>
              <w:marRight w:val="0"/>
              <w:marTop w:val="0"/>
              <w:marBottom w:val="0"/>
              <w:divBdr>
                <w:top w:val="none" w:sz="0" w:space="0" w:color="auto"/>
                <w:left w:val="none" w:sz="0" w:space="0" w:color="auto"/>
                <w:bottom w:val="none" w:sz="0" w:space="0" w:color="auto"/>
                <w:right w:val="none" w:sz="0" w:space="0" w:color="auto"/>
              </w:divBdr>
              <w:divsChild>
                <w:div w:id="836313365">
                  <w:marLeft w:val="0"/>
                  <w:marRight w:val="0"/>
                  <w:marTop w:val="0"/>
                  <w:marBottom w:val="0"/>
                  <w:divBdr>
                    <w:top w:val="none" w:sz="0" w:space="0" w:color="auto"/>
                    <w:left w:val="none" w:sz="0" w:space="0" w:color="auto"/>
                    <w:bottom w:val="none" w:sz="0" w:space="0" w:color="auto"/>
                    <w:right w:val="none" w:sz="0" w:space="0" w:color="auto"/>
                  </w:divBdr>
                </w:div>
              </w:divsChild>
            </w:div>
            <w:div w:id="1266958615">
              <w:marLeft w:val="0"/>
              <w:marRight w:val="0"/>
              <w:marTop w:val="0"/>
              <w:marBottom w:val="0"/>
              <w:divBdr>
                <w:top w:val="none" w:sz="0" w:space="0" w:color="auto"/>
                <w:left w:val="none" w:sz="0" w:space="0" w:color="auto"/>
                <w:bottom w:val="none" w:sz="0" w:space="0" w:color="auto"/>
                <w:right w:val="none" w:sz="0" w:space="0" w:color="auto"/>
              </w:divBdr>
            </w:div>
            <w:div w:id="1325357856">
              <w:marLeft w:val="0"/>
              <w:marRight w:val="0"/>
              <w:marTop w:val="0"/>
              <w:marBottom w:val="0"/>
              <w:divBdr>
                <w:top w:val="none" w:sz="0" w:space="0" w:color="auto"/>
                <w:left w:val="none" w:sz="0" w:space="0" w:color="auto"/>
                <w:bottom w:val="none" w:sz="0" w:space="0" w:color="auto"/>
                <w:right w:val="none" w:sz="0" w:space="0" w:color="auto"/>
              </w:divBdr>
              <w:divsChild>
                <w:div w:id="406343014">
                  <w:marLeft w:val="0"/>
                  <w:marRight w:val="0"/>
                  <w:marTop w:val="0"/>
                  <w:marBottom w:val="0"/>
                  <w:divBdr>
                    <w:top w:val="none" w:sz="0" w:space="0" w:color="auto"/>
                    <w:left w:val="none" w:sz="0" w:space="0" w:color="auto"/>
                    <w:bottom w:val="none" w:sz="0" w:space="0" w:color="auto"/>
                    <w:right w:val="none" w:sz="0" w:space="0" w:color="auto"/>
                  </w:divBdr>
                </w:div>
              </w:divsChild>
            </w:div>
            <w:div w:id="1356228646">
              <w:marLeft w:val="0"/>
              <w:marRight w:val="0"/>
              <w:marTop w:val="0"/>
              <w:marBottom w:val="0"/>
              <w:divBdr>
                <w:top w:val="none" w:sz="0" w:space="0" w:color="auto"/>
                <w:left w:val="none" w:sz="0" w:space="0" w:color="auto"/>
                <w:bottom w:val="none" w:sz="0" w:space="0" w:color="auto"/>
                <w:right w:val="none" w:sz="0" w:space="0" w:color="auto"/>
              </w:divBdr>
              <w:divsChild>
                <w:div w:id="978219662">
                  <w:marLeft w:val="0"/>
                  <w:marRight w:val="0"/>
                  <w:marTop w:val="0"/>
                  <w:marBottom w:val="0"/>
                  <w:divBdr>
                    <w:top w:val="none" w:sz="0" w:space="0" w:color="auto"/>
                    <w:left w:val="none" w:sz="0" w:space="0" w:color="auto"/>
                    <w:bottom w:val="none" w:sz="0" w:space="0" w:color="auto"/>
                    <w:right w:val="none" w:sz="0" w:space="0" w:color="auto"/>
                  </w:divBdr>
                </w:div>
              </w:divsChild>
            </w:div>
            <w:div w:id="1369603911">
              <w:marLeft w:val="0"/>
              <w:marRight w:val="0"/>
              <w:marTop w:val="0"/>
              <w:marBottom w:val="0"/>
              <w:divBdr>
                <w:top w:val="none" w:sz="0" w:space="0" w:color="auto"/>
                <w:left w:val="none" w:sz="0" w:space="0" w:color="auto"/>
                <w:bottom w:val="none" w:sz="0" w:space="0" w:color="auto"/>
                <w:right w:val="none" w:sz="0" w:space="0" w:color="auto"/>
              </w:divBdr>
            </w:div>
            <w:div w:id="1406995952">
              <w:marLeft w:val="0"/>
              <w:marRight w:val="0"/>
              <w:marTop w:val="0"/>
              <w:marBottom w:val="0"/>
              <w:divBdr>
                <w:top w:val="none" w:sz="0" w:space="0" w:color="auto"/>
                <w:left w:val="none" w:sz="0" w:space="0" w:color="auto"/>
                <w:bottom w:val="none" w:sz="0" w:space="0" w:color="auto"/>
                <w:right w:val="none" w:sz="0" w:space="0" w:color="auto"/>
              </w:divBdr>
              <w:divsChild>
                <w:div w:id="1470974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744706">
          <w:marLeft w:val="0"/>
          <w:marRight w:val="0"/>
          <w:marTop w:val="0"/>
          <w:marBottom w:val="0"/>
          <w:divBdr>
            <w:top w:val="none" w:sz="0" w:space="0" w:color="auto"/>
            <w:left w:val="none" w:sz="0" w:space="0" w:color="auto"/>
            <w:bottom w:val="none" w:sz="0" w:space="0" w:color="auto"/>
            <w:right w:val="none" w:sz="0" w:space="0" w:color="auto"/>
          </w:divBdr>
        </w:div>
        <w:div w:id="2094813180">
          <w:marLeft w:val="0"/>
          <w:marRight w:val="0"/>
          <w:marTop w:val="0"/>
          <w:marBottom w:val="0"/>
          <w:divBdr>
            <w:top w:val="none" w:sz="0" w:space="0" w:color="auto"/>
            <w:left w:val="none" w:sz="0" w:space="0" w:color="auto"/>
            <w:bottom w:val="none" w:sz="0" w:space="0" w:color="auto"/>
            <w:right w:val="none" w:sz="0" w:space="0" w:color="auto"/>
          </w:divBdr>
        </w:div>
        <w:div w:id="2122066486">
          <w:marLeft w:val="0"/>
          <w:marRight w:val="0"/>
          <w:marTop w:val="0"/>
          <w:marBottom w:val="0"/>
          <w:divBdr>
            <w:top w:val="none" w:sz="0" w:space="0" w:color="auto"/>
            <w:left w:val="none" w:sz="0" w:space="0" w:color="auto"/>
            <w:bottom w:val="none" w:sz="0" w:space="0" w:color="auto"/>
            <w:right w:val="none" w:sz="0" w:space="0" w:color="auto"/>
          </w:divBdr>
        </w:div>
        <w:div w:id="2142651145">
          <w:marLeft w:val="0"/>
          <w:marRight w:val="0"/>
          <w:marTop w:val="0"/>
          <w:marBottom w:val="0"/>
          <w:divBdr>
            <w:top w:val="none" w:sz="0" w:space="0" w:color="auto"/>
            <w:left w:val="none" w:sz="0" w:space="0" w:color="auto"/>
            <w:bottom w:val="none" w:sz="0" w:space="0" w:color="auto"/>
            <w:right w:val="none" w:sz="0" w:space="0" w:color="auto"/>
          </w:divBdr>
        </w:div>
      </w:divsChild>
    </w:div>
    <w:div w:id="1393574512">
      <w:bodyDiv w:val="1"/>
      <w:marLeft w:val="0"/>
      <w:marRight w:val="0"/>
      <w:marTop w:val="0"/>
      <w:marBottom w:val="0"/>
      <w:divBdr>
        <w:top w:val="none" w:sz="0" w:space="0" w:color="auto"/>
        <w:left w:val="none" w:sz="0" w:space="0" w:color="auto"/>
        <w:bottom w:val="none" w:sz="0" w:space="0" w:color="auto"/>
        <w:right w:val="none" w:sz="0" w:space="0" w:color="auto"/>
      </w:divBdr>
    </w:div>
    <w:div w:id="1396245835">
      <w:bodyDiv w:val="1"/>
      <w:marLeft w:val="0"/>
      <w:marRight w:val="0"/>
      <w:marTop w:val="0"/>
      <w:marBottom w:val="0"/>
      <w:divBdr>
        <w:top w:val="none" w:sz="0" w:space="0" w:color="auto"/>
        <w:left w:val="none" w:sz="0" w:space="0" w:color="auto"/>
        <w:bottom w:val="none" w:sz="0" w:space="0" w:color="auto"/>
        <w:right w:val="none" w:sz="0" w:space="0" w:color="auto"/>
      </w:divBdr>
    </w:div>
    <w:div w:id="1401757857">
      <w:bodyDiv w:val="1"/>
      <w:marLeft w:val="0"/>
      <w:marRight w:val="0"/>
      <w:marTop w:val="0"/>
      <w:marBottom w:val="0"/>
      <w:divBdr>
        <w:top w:val="none" w:sz="0" w:space="0" w:color="auto"/>
        <w:left w:val="none" w:sz="0" w:space="0" w:color="auto"/>
        <w:bottom w:val="none" w:sz="0" w:space="0" w:color="auto"/>
        <w:right w:val="none" w:sz="0" w:space="0" w:color="auto"/>
      </w:divBdr>
    </w:div>
    <w:div w:id="1409226291">
      <w:bodyDiv w:val="1"/>
      <w:marLeft w:val="0"/>
      <w:marRight w:val="0"/>
      <w:marTop w:val="0"/>
      <w:marBottom w:val="0"/>
      <w:divBdr>
        <w:top w:val="none" w:sz="0" w:space="0" w:color="auto"/>
        <w:left w:val="none" w:sz="0" w:space="0" w:color="auto"/>
        <w:bottom w:val="none" w:sz="0" w:space="0" w:color="auto"/>
        <w:right w:val="none" w:sz="0" w:space="0" w:color="auto"/>
      </w:divBdr>
      <w:divsChild>
        <w:div w:id="1531456924">
          <w:marLeft w:val="0"/>
          <w:marRight w:val="0"/>
          <w:marTop w:val="0"/>
          <w:marBottom w:val="0"/>
          <w:divBdr>
            <w:top w:val="none" w:sz="0" w:space="0" w:color="auto"/>
            <w:left w:val="none" w:sz="0" w:space="0" w:color="auto"/>
            <w:bottom w:val="none" w:sz="0" w:space="0" w:color="auto"/>
            <w:right w:val="none" w:sz="0" w:space="0" w:color="auto"/>
          </w:divBdr>
          <w:divsChild>
            <w:div w:id="2141605472">
              <w:marLeft w:val="0"/>
              <w:marRight w:val="0"/>
              <w:marTop w:val="0"/>
              <w:marBottom w:val="0"/>
              <w:divBdr>
                <w:top w:val="none" w:sz="0" w:space="0" w:color="auto"/>
                <w:left w:val="none" w:sz="0" w:space="0" w:color="auto"/>
                <w:bottom w:val="none" w:sz="0" w:space="0" w:color="auto"/>
                <w:right w:val="none" w:sz="0" w:space="0" w:color="auto"/>
              </w:divBdr>
              <w:divsChild>
                <w:div w:id="1660184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5684569">
      <w:bodyDiv w:val="1"/>
      <w:marLeft w:val="0"/>
      <w:marRight w:val="0"/>
      <w:marTop w:val="0"/>
      <w:marBottom w:val="0"/>
      <w:divBdr>
        <w:top w:val="none" w:sz="0" w:space="0" w:color="auto"/>
        <w:left w:val="none" w:sz="0" w:space="0" w:color="auto"/>
        <w:bottom w:val="none" w:sz="0" w:space="0" w:color="auto"/>
        <w:right w:val="none" w:sz="0" w:space="0" w:color="auto"/>
      </w:divBdr>
    </w:div>
    <w:div w:id="1468235361">
      <w:bodyDiv w:val="1"/>
      <w:marLeft w:val="0"/>
      <w:marRight w:val="0"/>
      <w:marTop w:val="0"/>
      <w:marBottom w:val="0"/>
      <w:divBdr>
        <w:top w:val="none" w:sz="0" w:space="0" w:color="auto"/>
        <w:left w:val="none" w:sz="0" w:space="0" w:color="auto"/>
        <w:bottom w:val="none" w:sz="0" w:space="0" w:color="auto"/>
        <w:right w:val="none" w:sz="0" w:space="0" w:color="auto"/>
      </w:divBdr>
      <w:divsChild>
        <w:div w:id="1906338342">
          <w:marLeft w:val="0"/>
          <w:marRight w:val="0"/>
          <w:marTop w:val="0"/>
          <w:marBottom w:val="0"/>
          <w:divBdr>
            <w:top w:val="none" w:sz="0" w:space="0" w:color="auto"/>
            <w:left w:val="none" w:sz="0" w:space="0" w:color="auto"/>
            <w:bottom w:val="none" w:sz="0" w:space="0" w:color="auto"/>
            <w:right w:val="none" w:sz="0" w:space="0" w:color="auto"/>
          </w:divBdr>
          <w:divsChild>
            <w:div w:id="1761372157">
              <w:marLeft w:val="0"/>
              <w:marRight w:val="0"/>
              <w:marTop w:val="0"/>
              <w:marBottom w:val="0"/>
              <w:divBdr>
                <w:top w:val="none" w:sz="0" w:space="0" w:color="auto"/>
                <w:left w:val="none" w:sz="0" w:space="0" w:color="auto"/>
                <w:bottom w:val="none" w:sz="0" w:space="0" w:color="auto"/>
                <w:right w:val="none" w:sz="0" w:space="0" w:color="auto"/>
              </w:divBdr>
              <w:divsChild>
                <w:div w:id="50235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096601">
      <w:bodyDiv w:val="1"/>
      <w:marLeft w:val="0"/>
      <w:marRight w:val="0"/>
      <w:marTop w:val="0"/>
      <w:marBottom w:val="0"/>
      <w:divBdr>
        <w:top w:val="none" w:sz="0" w:space="0" w:color="auto"/>
        <w:left w:val="none" w:sz="0" w:space="0" w:color="auto"/>
        <w:bottom w:val="none" w:sz="0" w:space="0" w:color="auto"/>
        <w:right w:val="none" w:sz="0" w:space="0" w:color="auto"/>
      </w:divBdr>
    </w:div>
    <w:div w:id="1471750840">
      <w:bodyDiv w:val="1"/>
      <w:marLeft w:val="0"/>
      <w:marRight w:val="0"/>
      <w:marTop w:val="0"/>
      <w:marBottom w:val="0"/>
      <w:divBdr>
        <w:top w:val="none" w:sz="0" w:space="0" w:color="auto"/>
        <w:left w:val="none" w:sz="0" w:space="0" w:color="auto"/>
        <w:bottom w:val="none" w:sz="0" w:space="0" w:color="auto"/>
        <w:right w:val="none" w:sz="0" w:space="0" w:color="auto"/>
      </w:divBdr>
    </w:div>
    <w:div w:id="1473327929">
      <w:bodyDiv w:val="1"/>
      <w:marLeft w:val="0"/>
      <w:marRight w:val="0"/>
      <w:marTop w:val="0"/>
      <w:marBottom w:val="0"/>
      <w:divBdr>
        <w:top w:val="none" w:sz="0" w:space="0" w:color="auto"/>
        <w:left w:val="none" w:sz="0" w:space="0" w:color="auto"/>
        <w:bottom w:val="none" w:sz="0" w:space="0" w:color="auto"/>
        <w:right w:val="none" w:sz="0" w:space="0" w:color="auto"/>
      </w:divBdr>
    </w:div>
    <w:div w:id="1476143989">
      <w:bodyDiv w:val="1"/>
      <w:marLeft w:val="0"/>
      <w:marRight w:val="0"/>
      <w:marTop w:val="0"/>
      <w:marBottom w:val="0"/>
      <w:divBdr>
        <w:top w:val="none" w:sz="0" w:space="0" w:color="auto"/>
        <w:left w:val="none" w:sz="0" w:space="0" w:color="auto"/>
        <w:bottom w:val="none" w:sz="0" w:space="0" w:color="auto"/>
        <w:right w:val="none" w:sz="0" w:space="0" w:color="auto"/>
      </w:divBdr>
    </w:div>
    <w:div w:id="1495340837">
      <w:bodyDiv w:val="1"/>
      <w:marLeft w:val="0"/>
      <w:marRight w:val="0"/>
      <w:marTop w:val="0"/>
      <w:marBottom w:val="0"/>
      <w:divBdr>
        <w:top w:val="none" w:sz="0" w:space="0" w:color="auto"/>
        <w:left w:val="none" w:sz="0" w:space="0" w:color="auto"/>
        <w:bottom w:val="none" w:sz="0" w:space="0" w:color="auto"/>
        <w:right w:val="none" w:sz="0" w:space="0" w:color="auto"/>
      </w:divBdr>
    </w:div>
    <w:div w:id="1509515959">
      <w:bodyDiv w:val="1"/>
      <w:marLeft w:val="0"/>
      <w:marRight w:val="0"/>
      <w:marTop w:val="0"/>
      <w:marBottom w:val="0"/>
      <w:divBdr>
        <w:top w:val="none" w:sz="0" w:space="0" w:color="auto"/>
        <w:left w:val="none" w:sz="0" w:space="0" w:color="auto"/>
        <w:bottom w:val="none" w:sz="0" w:space="0" w:color="auto"/>
        <w:right w:val="none" w:sz="0" w:space="0" w:color="auto"/>
      </w:divBdr>
    </w:div>
    <w:div w:id="1521090978">
      <w:bodyDiv w:val="1"/>
      <w:marLeft w:val="0"/>
      <w:marRight w:val="0"/>
      <w:marTop w:val="0"/>
      <w:marBottom w:val="0"/>
      <w:divBdr>
        <w:top w:val="none" w:sz="0" w:space="0" w:color="auto"/>
        <w:left w:val="none" w:sz="0" w:space="0" w:color="auto"/>
        <w:bottom w:val="none" w:sz="0" w:space="0" w:color="auto"/>
        <w:right w:val="none" w:sz="0" w:space="0" w:color="auto"/>
      </w:divBdr>
    </w:div>
    <w:div w:id="1533960343">
      <w:bodyDiv w:val="1"/>
      <w:marLeft w:val="0"/>
      <w:marRight w:val="0"/>
      <w:marTop w:val="0"/>
      <w:marBottom w:val="0"/>
      <w:divBdr>
        <w:top w:val="none" w:sz="0" w:space="0" w:color="auto"/>
        <w:left w:val="none" w:sz="0" w:space="0" w:color="auto"/>
        <w:bottom w:val="none" w:sz="0" w:space="0" w:color="auto"/>
        <w:right w:val="none" w:sz="0" w:space="0" w:color="auto"/>
      </w:divBdr>
    </w:div>
    <w:div w:id="1544555537">
      <w:bodyDiv w:val="1"/>
      <w:marLeft w:val="0"/>
      <w:marRight w:val="0"/>
      <w:marTop w:val="0"/>
      <w:marBottom w:val="0"/>
      <w:divBdr>
        <w:top w:val="none" w:sz="0" w:space="0" w:color="auto"/>
        <w:left w:val="none" w:sz="0" w:space="0" w:color="auto"/>
        <w:bottom w:val="none" w:sz="0" w:space="0" w:color="auto"/>
        <w:right w:val="none" w:sz="0" w:space="0" w:color="auto"/>
      </w:divBdr>
    </w:div>
    <w:div w:id="1558973653">
      <w:bodyDiv w:val="1"/>
      <w:marLeft w:val="0"/>
      <w:marRight w:val="0"/>
      <w:marTop w:val="0"/>
      <w:marBottom w:val="0"/>
      <w:divBdr>
        <w:top w:val="none" w:sz="0" w:space="0" w:color="auto"/>
        <w:left w:val="none" w:sz="0" w:space="0" w:color="auto"/>
        <w:bottom w:val="none" w:sz="0" w:space="0" w:color="auto"/>
        <w:right w:val="none" w:sz="0" w:space="0" w:color="auto"/>
      </w:divBdr>
    </w:div>
    <w:div w:id="1574581939">
      <w:bodyDiv w:val="1"/>
      <w:marLeft w:val="0"/>
      <w:marRight w:val="0"/>
      <w:marTop w:val="0"/>
      <w:marBottom w:val="0"/>
      <w:divBdr>
        <w:top w:val="none" w:sz="0" w:space="0" w:color="auto"/>
        <w:left w:val="none" w:sz="0" w:space="0" w:color="auto"/>
        <w:bottom w:val="none" w:sz="0" w:space="0" w:color="auto"/>
        <w:right w:val="none" w:sz="0" w:space="0" w:color="auto"/>
      </w:divBdr>
    </w:div>
    <w:div w:id="1582181728">
      <w:bodyDiv w:val="1"/>
      <w:marLeft w:val="0"/>
      <w:marRight w:val="0"/>
      <w:marTop w:val="0"/>
      <w:marBottom w:val="0"/>
      <w:divBdr>
        <w:top w:val="none" w:sz="0" w:space="0" w:color="auto"/>
        <w:left w:val="none" w:sz="0" w:space="0" w:color="auto"/>
        <w:bottom w:val="none" w:sz="0" w:space="0" w:color="auto"/>
        <w:right w:val="none" w:sz="0" w:space="0" w:color="auto"/>
      </w:divBdr>
    </w:div>
    <w:div w:id="1583367298">
      <w:bodyDiv w:val="1"/>
      <w:marLeft w:val="0"/>
      <w:marRight w:val="0"/>
      <w:marTop w:val="0"/>
      <w:marBottom w:val="0"/>
      <w:divBdr>
        <w:top w:val="none" w:sz="0" w:space="0" w:color="auto"/>
        <w:left w:val="none" w:sz="0" w:space="0" w:color="auto"/>
        <w:bottom w:val="none" w:sz="0" w:space="0" w:color="auto"/>
        <w:right w:val="none" w:sz="0" w:space="0" w:color="auto"/>
      </w:divBdr>
    </w:div>
    <w:div w:id="1584801515">
      <w:bodyDiv w:val="1"/>
      <w:marLeft w:val="0"/>
      <w:marRight w:val="0"/>
      <w:marTop w:val="0"/>
      <w:marBottom w:val="0"/>
      <w:divBdr>
        <w:top w:val="none" w:sz="0" w:space="0" w:color="auto"/>
        <w:left w:val="none" w:sz="0" w:space="0" w:color="auto"/>
        <w:bottom w:val="none" w:sz="0" w:space="0" w:color="auto"/>
        <w:right w:val="none" w:sz="0" w:space="0" w:color="auto"/>
      </w:divBdr>
      <w:divsChild>
        <w:div w:id="620653390">
          <w:marLeft w:val="0"/>
          <w:marRight w:val="0"/>
          <w:marTop w:val="0"/>
          <w:marBottom w:val="0"/>
          <w:divBdr>
            <w:top w:val="none" w:sz="0" w:space="0" w:color="auto"/>
            <w:left w:val="none" w:sz="0" w:space="0" w:color="auto"/>
            <w:bottom w:val="none" w:sz="0" w:space="0" w:color="auto"/>
            <w:right w:val="none" w:sz="0" w:space="0" w:color="auto"/>
          </w:divBdr>
          <w:divsChild>
            <w:div w:id="1351490709">
              <w:marLeft w:val="0"/>
              <w:marRight w:val="0"/>
              <w:marTop w:val="0"/>
              <w:marBottom w:val="0"/>
              <w:divBdr>
                <w:top w:val="none" w:sz="0" w:space="0" w:color="auto"/>
                <w:left w:val="none" w:sz="0" w:space="0" w:color="auto"/>
                <w:bottom w:val="none" w:sz="0" w:space="0" w:color="auto"/>
                <w:right w:val="none" w:sz="0" w:space="0" w:color="auto"/>
              </w:divBdr>
            </w:div>
            <w:div w:id="1651326834">
              <w:marLeft w:val="0"/>
              <w:marRight w:val="0"/>
              <w:marTop w:val="0"/>
              <w:marBottom w:val="0"/>
              <w:divBdr>
                <w:top w:val="none" w:sz="0" w:space="0" w:color="auto"/>
                <w:left w:val="none" w:sz="0" w:space="0" w:color="auto"/>
                <w:bottom w:val="none" w:sz="0" w:space="0" w:color="auto"/>
                <w:right w:val="none" w:sz="0" w:space="0" w:color="auto"/>
              </w:divBdr>
              <w:divsChild>
                <w:div w:id="1138450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375238">
          <w:blockQuote w:val="1"/>
          <w:marLeft w:val="600"/>
          <w:marRight w:val="0"/>
          <w:marTop w:val="0"/>
          <w:marBottom w:val="0"/>
          <w:divBdr>
            <w:top w:val="none" w:sz="0" w:space="0" w:color="auto"/>
            <w:left w:val="none" w:sz="0" w:space="0" w:color="auto"/>
            <w:bottom w:val="none" w:sz="0" w:space="0" w:color="auto"/>
            <w:right w:val="none" w:sz="0" w:space="0" w:color="auto"/>
          </w:divBdr>
          <w:divsChild>
            <w:div w:id="111873826">
              <w:blockQuote w:val="1"/>
              <w:marLeft w:val="600"/>
              <w:marRight w:val="0"/>
              <w:marTop w:val="0"/>
              <w:marBottom w:val="0"/>
              <w:divBdr>
                <w:top w:val="none" w:sz="0" w:space="0" w:color="auto"/>
                <w:left w:val="none" w:sz="0" w:space="0" w:color="auto"/>
                <w:bottom w:val="none" w:sz="0" w:space="0" w:color="auto"/>
                <w:right w:val="none" w:sz="0" w:space="0" w:color="auto"/>
              </w:divBdr>
              <w:divsChild>
                <w:div w:id="1589343954">
                  <w:marLeft w:val="0"/>
                  <w:marRight w:val="0"/>
                  <w:marTop w:val="0"/>
                  <w:marBottom w:val="0"/>
                  <w:divBdr>
                    <w:top w:val="none" w:sz="0" w:space="0" w:color="auto"/>
                    <w:left w:val="none" w:sz="0" w:space="0" w:color="auto"/>
                    <w:bottom w:val="none" w:sz="0" w:space="0" w:color="auto"/>
                    <w:right w:val="none" w:sz="0" w:space="0" w:color="auto"/>
                  </w:divBdr>
                  <w:divsChild>
                    <w:div w:id="1706711345">
                      <w:marLeft w:val="0"/>
                      <w:marRight w:val="0"/>
                      <w:marTop w:val="0"/>
                      <w:marBottom w:val="0"/>
                      <w:divBdr>
                        <w:top w:val="none" w:sz="0" w:space="0" w:color="auto"/>
                        <w:left w:val="none" w:sz="0" w:space="0" w:color="auto"/>
                        <w:bottom w:val="none" w:sz="0" w:space="0" w:color="auto"/>
                        <w:right w:val="none" w:sz="0" w:space="0" w:color="auto"/>
                      </w:divBdr>
                      <w:divsChild>
                        <w:div w:id="46643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195029">
              <w:blockQuote w:val="1"/>
              <w:marLeft w:val="600"/>
              <w:marRight w:val="0"/>
              <w:marTop w:val="0"/>
              <w:marBottom w:val="0"/>
              <w:divBdr>
                <w:top w:val="none" w:sz="0" w:space="0" w:color="auto"/>
                <w:left w:val="none" w:sz="0" w:space="0" w:color="auto"/>
                <w:bottom w:val="none" w:sz="0" w:space="0" w:color="auto"/>
                <w:right w:val="none" w:sz="0" w:space="0" w:color="auto"/>
              </w:divBdr>
              <w:divsChild>
                <w:div w:id="1015233140">
                  <w:marLeft w:val="0"/>
                  <w:marRight w:val="0"/>
                  <w:marTop w:val="0"/>
                  <w:marBottom w:val="0"/>
                  <w:divBdr>
                    <w:top w:val="none" w:sz="0" w:space="0" w:color="auto"/>
                    <w:left w:val="none" w:sz="0" w:space="0" w:color="auto"/>
                    <w:bottom w:val="none" w:sz="0" w:space="0" w:color="auto"/>
                    <w:right w:val="none" w:sz="0" w:space="0" w:color="auto"/>
                  </w:divBdr>
                  <w:divsChild>
                    <w:div w:id="62550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75740">
              <w:blockQuote w:val="1"/>
              <w:marLeft w:val="600"/>
              <w:marRight w:val="0"/>
              <w:marTop w:val="0"/>
              <w:marBottom w:val="0"/>
              <w:divBdr>
                <w:top w:val="none" w:sz="0" w:space="0" w:color="auto"/>
                <w:left w:val="none" w:sz="0" w:space="0" w:color="auto"/>
                <w:bottom w:val="none" w:sz="0" w:space="0" w:color="auto"/>
                <w:right w:val="none" w:sz="0" w:space="0" w:color="auto"/>
              </w:divBdr>
              <w:divsChild>
                <w:div w:id="466514030">
                  <w:marLeft w:val="0"/>
                  <w:marRight w:val="0"/>
                  <w:marTop w:val="0"/>
                  <w:marBottom w:val="0"/>
                  <w:divBdr>
                    <w:top w:val="none" w:sz="0" w:space="0" w:color="auto"/>
                    <w:left w:val="none" w:sz="0" w:space="0" w:color="auto"/>
                    <w:bottom w:val="none" w:sz="0" w:space="0" w:color="auto"/>
                    <w:right w:val="none" w:sz="0" w:space="0" w:color="auto"/>
                  </w:divBdr>
                  <w:divsChild>
                    <w:div w:id="515313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67127">
              <w:blockQuote w:val="1"/>
              <w:marLeft w:val="600"/>
              <w:marRight w:val="0"/>
              <w:marTop w:val="0"/>
              <w:marBottom w:val="0"/>
              <w:divBdr>
                <w:top w:val="none" w:sz="0" w:space="0" w:color="auto"/>
                <w:left w:val="none" w:sz="0" w:space="0" w:color="auto"/>
                <w:bottom w:val="none" w:sz="0" w:space="0" w:color="auto"/>
                <w:right w:val="none" w:sz="0" w:space="0" w:color="auto"/>
              </w:divBdr>
              <w:divsChild>
                <w:div w:id="162167416">
                  <w:marLeft w:val="0"/>
                  <w:marRight w:val="0"/>
                  <w:marTop w:val="0"/>
                  <w:marBottom w:val="0"/>
                  <w:divBdr>
                    <w:top w:val="none" w:sz="0" w:space="0" w:color="auto"/>
                    <w:left w:val="none" w:sz="0" w:space="0" w:color="auto"/>
                    <w:bottom w:val="none" w:sz="0" w:space="0" w:color="auto"/>
                    <w:right w:val="none" w:sz="0" w:space="0" w:color="auto"/>
                  </w:divBdr>
                  <w:divsChild>
                    <w:div w:id="142927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350270">
          <w:marLeft w:val="0"/>
          <w:marRight w:val="0"/>
          <w:marTop w:val="0"/>
          <w:marBottom w:val="0"/>
          <w:divBdr>
            <w:top w:val="none" w:sz="0" w:space="0" w:color="auto"/>
            <w:left w:val="none" w:sz="0" w:space="0" w:color="auto"/>
            <w:bottom w:val="none" w:sz="0" w:space="0" w:color="auto"/>
            <w:right w:val="none" w:sz="0" w:space="0" w:color="auto"/>
          </w:divBdr>
          <w:divsChild>
            <w:div w:id="1696081931">
              <w:marLeft w:val="0"/>
              <w:marRight w:val="0"/>
              <w:marTop w:val="0"/>
              <w:marBottom w:val="0"/>
              <w:divBdr>
                <w:top w:val="none" w:sz="0" w:space="0" w:color="auto"/>
                <w:left w:val="none" w:sz="0" w:space="0" w:color="auto"/>
                <w:bottom w:val="none" w:sz="0" w:space="0" w:color="auto"/>
                <w:right w:val="none" w:sz="0" w:space="0" w:color="auto"/>
              </w:divBdr>
              <w:divsChild>
                <w:div w:id="1627735588">
                  <w:marLeft w:val="0"/>
                  <w:marRight w:val="0"/>
                  <w:marTop w:val="0"/>
                  <w:marBottom w:val="0"/>
                  <w:divBdr>
                    <w:top w:val="none" w:sz="0" w:space="0" w:color="auto"/>
                    <w:left w:val="none" w:sz="0" w:space="0" w:color="auto"/>
                    <w:bottom w:val="none" w:sz="0" w:space="0" w:color="auto"/>
                    <w:right w:val="none" w:sz="0" w:space="0" w:color="auto"/>
                  </w:divBdr>
                </w:div>
                <w:div w:id="1980762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356945">
          <w:blockQuote w:val="1"/>
          <w:marLeft w:val="600"/>
          <w:marRight w:val="0"/>
          <w:marTop w:val="0"/>
          <w:marBottom w:val="0"/>
          <w:divBdr>
            <w:top w:val="none" w:sz="0" w:space="0" w:color="auto"/>
            <w:left w:val="none" w:sz="0" w:space="0" w:color="auto"/>
            <w:bottom w:val="none" w:sz="0" w:space="0" w:color="auto"/>
            <w:right w:val="none" w:sz="0" w:space="0" w:color="auto"/>
          </w:divBdr>
          <w:divsChild>
            <w:div w:id="340201762">
              <w:blockQuote w:val="1"/>
              <w:marLeft w:val="600"/>
              <w:marRight w:val="0"/>
              <w:marTop w:val="0"/>
              <w:marBottom w:val="0"/>
              <w:divBdr>
                <w:top w:val="none" w:sz="0" w:space="0" w:color="auto"/>
                <w:left w:val="none" w:sz="0" w:space="0" w:color="auto"/>
                <w:bottom w:val="none" w:sz="0" w:space="0" w:color="auto"/>
                <w:right w:val="none" w:sz="0" w:space="0" w:color="auto"/>
              </w:divBdr>
              <w:divsChild>
                <w:div w:id="2140800441">
                  <w:marLeft w:val="0"/>
                  <w:marRight w:val="0"/>
                  <w:marTop w:val="0"/>
                  <w:marBottom w:val="0"/>
                  <w:divBdr>
                    <w:top w:val="none" w:sz="0" w:space="0" w:color="auto"/>
                    <w:left w:val="none" w:sz="0" w:space="0" w:color="auto"/>
                    <w:bottom w:val="none" w:sz="0" w:space="0" w:color="auto"/>
                    <w:right w:val="none" w:sz="0" w:space="0" w:color="auto"/>
                  </w:divBdr>
                  <w:divsChild>
                    <w:div w:id="2041663527">
                      <w:marLeft w:val="0"/>
                      <w:marRight w:val="0"/>
                      <w:marTop w:val="0"/>
                      <w:marBottom w:val="0"/>
                      <w:divBdr>
                        <w:top w:val="none" w:sz="0" w:space="0" w:color="auto"/>
                        <w:left w:val="none" w:sz="0" w:space="0" w:color="auto"/>
                        <w:bottom w:val="none" w:sz="0" w:space="0" w:color="auto"/>
                        <w:right w:val="none" w:sz="0" w:space="0" w:color="auto"/>
                      </w:divBdr>
                      <w:divsChild>
                        <w:div w:id="1213812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110700">
              <w:blockQuote w:val="1"/>
              <w:marLeft w:val="600"/>
              <w:marRight w:val="0"/>
              <w:marTop w:val="0"/>
              <w:marBottom w:val="0"/>
              <w:divBdr>
                <w:top w:val="none" w:sz="0" w:space="0" w:color="auto"/>
                <w:left w:val="none" w:sz="0" w:space="0" w:color="auto"/>
                <w:bottom w:val="none" w:sz="0" w:space="0" w:color="auto"/>
                <w:right w:val="none" w:sz="0" w:space="0" w:color="auto"/>
              </w:divBdr>
              <w:divsChild>
                <w:div w:id="1698654640">
                  <w:marLeft w:val="0"/>
                  <w:marRight w:val="0"/>
                  <w:marTop w:val="0"/>
                  <w:marBottom w:val="0"/>
                  <w:divBdr>
                    <w:top w:val="none" w:sz="0" w:space="0" w:color="auto"/>
                    <w:left w:val="none" w:sz="0" w:space="0" w:color="auto"/>
                    <w:bottom w:val="none" w:sz="0" w:space="0" w:color="auto"/>
                    <w:right w:val="none" w:sz="0" w:space="0" w:color="auto"/>
                  </w:divBdr>
                  <w:divsChild>
                    <w:div w:id="1273512223">
                      <w:marLeft w:val="0"/>
                      <w:marRight w:val="0"/>
                      <w:marTop w:val="0"/>
                      <w:marBottom w:val="0"/>
                      <w:divBdr>
                        <w:top w:val="none" w:sz="0" w:space="0" w:color="auto"/>
                        <w:left w:val="none" w:sz="0" w:space="0" w:color="auto"/>
                        <w:bottom w:val="none" w:sz="0" w:space="0" w:color="auto"/>
                        <w:right w:val="none" w:sz="0" w:space="0" w:color="auto"/>
                      </w:divBdr>
                      <w:divsChild>
                        <w:div w:id="1212961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497293">
              <w:blockQuote w:val="1"/>
              <w:marLeft w:val="600"/>
              <w:marRight w:val="0"/>
              <w:marTop w:val="0"/>
              <w:marBottom w:val="0"/>
              <w:divBdr>
                <w:top w:val="none" w:sz="0" w:space="0" w:color="auto"/>
                <w:left w:val="none" w:sz="0" w:space="0" w:color="auto"/>
                <w:bottom w:val="none" w:sz="0" w:space="0" w:color="auto"/>
                <w:right w:val="none" w:sz="0" w:space="0" w:color="auto"/>
              </w:divBdr>
              <w:divsChild>
                <w:div w:id="2027629095">
                  <w:marLeft w:val="0"/>
                  <w:marRight w:val="0"/>
                  <w:marTop w:val="0"/>
                  <w:marBottom w:val="0"/>
                  <w:divBdr>
                    <w:top w:val="none" w:sz="0" w:space="0" w:color="auto"/>
                    <w:left w:val="none" w:sz="0" w:space="0" w:color="auto"/>
                    <w:bottom w:val="none" w:sz="0" w:space="0" w:color="auto"/>
                    <w:right w:val="none" w:sz="0" w:space="0" w:color="auto"/>
                  </w:divBdr>
                  <w:divsChild>
                    <w:div w:id="395055555">
                      <w:marLeft w:val="0"/>
                      <w:marRight w:val="0"/>
                      <w:marTop w:val="0"/>
                      <w:marBottom w:val="0"/>
                      <w:divBdr>
                        <w:top w:val="none" w:sz="0" w:space="0" w:color="auto"/>
                        <w:left w:val="none" w:sz="0" w:space="0" w:color="auto"/>
                        <w:bottom w:val="none" w:sz="0" w:space="0" w:color="auto"/>
                        <w:right w:val="none" w:sz="0" w:space="0" w:color="auto"/>
                      </w:divBdr>
                      <w:divsChild>
                        <w:div w:id="321467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1448796">
              <w:blockQuote w:val="1"/>
              <w:marLeft w:val="600"/>
              <w:marRight w:val="0"/>
              <w:marTop w:val="0"/>
              <w:marBottom w:val="0"/>
              <w:divBdr>
                <w:top w:val="none" w:sz="0" w:space="0" w:color="auto"/>
                <w:left w:val="none" w:sz="0" w:space="0" w:color="auto"/>
                <w:bottom w:val="none" w:sz="0" w:space="0" w:color="auto"/>
                <w:right w:val="none" w:sz="0" w:space="0" w:color="auto"/>
              </w:divBdr>
              <w:divsChild>
                <w:div w:id="1538352236">
                  <w:marLeft w:val="0"/>
                  <w:marRight w:val="0"/>
                  <w:marTop w:val="0"/>
                  <w:marBottom w:val="0"/>
                  <w:divBdr>
                    <w:top w:val="none" w:sz="0" w:space="0" w:color="auto"/>
                    <w:left w:val="none" w:sz="0" w:space="0" w:color="auto"/>
                    <w:bottom w:val="none" w:sz="0" w:space="0" w:color="auto"/>
                    <w:right w:val="none" w:sz="0" w:space="0" w:color="auto"/>
                  </w:divBdr>
                  <w:divsChild>
                    <w:div w:id="331304187">
                      <w:marLeft w:val="0"/>
                      <w:marRight w:val="0"/>
                      <w:marTop w:val="0"/>
                      <w:marBottom w:val="0"/>
                      <w:divBdr>
                        <w:top w:val="none" w:sz="0" w:space="0" w:color="auto"/>
                        <w:left w:val="none" w:sz="0" w:space="0" w:color="auto"/>
                        <w:bottom w:val="none" w:sz="0" w:space="0" w:color="auto"/>
                        <w:right w:val="none" w:sz="0" w:space="0" w:color="auto"/>
                      </w:divBdr>
                      <w:divsChild>
                        <w:div w:id="24846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296555">
              <w:blockQuote w:val="1"/>
              <w:marLeft w:val="600"/>
              <w:marRight w:val="0"/>
              <w:marTop w:val="0"/>
              <w:marBottom w:val="0"/>
              <w:divBdr>
                <w:top w:val="none" w:sz="0" w:space="0" w:color="auto"/>
                <w:left w:val="none" w:sz="0" w:space="0" w:color="auto"/>
                <w:bottom w:val="none" w:sz="0" w:space="0" w:color="auto"/>
                <w:right w:val="none" w:sz="0" w:space="0" w:color="auto"/>
              </w:divBdr>
              <w:divsChild>
                <w:div w:id="330068688">
                  <w:marLeft w:val="0"/>
                  <w:marRight w:val="0"/>
                  <w:marTop w:val="0"/>
                  <w:marBottom w:val="0"/>
                  <w:divBdr>
                    <w:top w:val="none" w:sz="0" w:space="0" w:color="auto"/>
                    <w:left w:val="none" w:sz="0" w:space="0" w:color="auto"/>
                    <w:bottom w:val="none" w:sz="0" w:space="0" w:color="auto"/>
                    <w:right w:val="none" w:sz="0" w:space="0" w:color="auto"/>
                  </w:divBdr>
                  <w:divsChild>
                    <w:div w:id="1293709020">
                      <w:marLeft w:val="0"/>
                      <w:marRight w:val="0"/>
                      <w:marTop w:val="0"/>
                      <w:marBottom w:val="0"/>
                      <w:divBdr>
                        <w:top w:val="none" w:sz="0" w:space="0" w:color="auto"/>
                        <w:left w:val="none" w:sz="0" w:space="0" w:color="auto"/>
                        <w:bottom w:val="none" w:sz="0" w:space="0" w:color="auto"/>
                        <w:right w:val="none" w:sz="0" w:space="0" w:color="auto"/>
                      </w:divBdr>
                      <w:divsChild>
                        <w:div w:id="2113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266369">
              <w:blockQuote w:val="1"/>
              <w:marLeft w:val="600"/>
              <w:marRight w:val="0"/>
              <w:marTop w:val="0"/>
              <w:marBottom w:val="0"/>
              <w:divBdr>
                <w:top w:val="none" w:sz="0" w:space="0" w:color="auto"/>
                <w:left w:val="none" w:sz="0" w:space="0" w:color="auto"/>
                <w:bottom w:val="none" w:sz="0" w:space="0" w:color="auto"/>
                <w:right w:val="none" w:sz="0" w:space="0" w:color="auto"/>
              </w:divBdr>
              <w:divsChild>
                <w:div w:id="9649936">
                  <w:marLeft w:val="0"/>
                  <w:marRight w:val="0"/>
                  <w:marTop w:val="0"/>
                  <w:marBottom w:val="0"/>
                  <w:divBdr>
                    <w:top w:val="none" w:sz="0" w:space="0" w:color="auto"/>
                    <w:left w:val="none" w:sz="0" w:space="0" w:color="auto"/>
                    <w:bottom w:val="none" w:sz="0" w:space="0" w:color="auto"/>
                    <w:right w:val="none" w:sz="0" w:space="0" w:color="auto"/>
                  </w:divBdr>
                  <w:divsChild>
                    <w:div w:id="829978519">
                      <w:marLeft w:val="0"/>
                      <w:marRight w:val="0"/>
                      <w:marTop w:val="0"/>
                      <w:marBottom w:val="0"/>
                      <w:divBdr>
                        <w:top w:val="none" w:sz="0" w:space="0" w:color="auto"/>
                        <w:left w:val="none" w:sz="0" w:space="0" w:color="auto"/>
                        <w:bottom w:val="none" w:sz="0" w:space="0" w:color="auto"/>
                        <w:right w:val="none" w:sz="0" w:space="0" w:color="auto"/>
                      </w:divBdr>
                      <w:divsChild>
                        <w:div w:id="126749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3726234">
          <w:blockQuote w:val="1"/>
          <w:marLeft w:val="600"/>
          <w:marRight w:val="0"/>
          <w:marTop w:val="0"/>
          <w:marBottom w:val="0"/>
          <w:divBdr>
            <w:top w:val="none" w:sz="0" w:space="0" w:color="auto"/>
            <w:left w:val="none" w:sz="0" w:space="0" w:color="auto"/>
            <w:bottom w:val="none" w:sz="0" w:space="0" w:color="auto"/>
            <w:right w:val="none" w:sz="0" w:space="0" w:color="auto"/>
          </w:divBdr>
          <w:divsChild>
            <w:div w:id="520631407">
              <w:blockQuote w:val="1"/>
              <w:marLeft w:val="600"/>
              <w:marRight w:val="0"/>
              <w:marTop w:val="0"/>
              <w:marBottom w:val="0"/>
              <w:divBdr>
                <w:top w:val="none" w:sz="0" w:space="0" w:color="auto"/>
                <w:left w:val="none" w:sz="0" w:space="0" w:color="auto"/>
                <w:bottom w:val="none" w:sz="0" w:space="0" w:color="auto"/>
                <w:right w:val="none" w:sz="0" w:space="0" w:color="auto"/>
              </w:divBdr>
              <w:divsChild>
                <w:div w:id="573317683">
                  <w:marLeft w:val="0"/>
                  <w:marRight w:val="0"/>
                  <w:marTop w:val="0"/>
                  <w:marBottom w:val="0"/>
                  <w:divBdr>
                    <w:top w:val="none" w:sz="0" w:space="0" w:color="auto"/>
                    <w:left w:val="none" w:sz="0" w:space="0" w:color="auto"/>
                    <w:bottom w:val="none" w:sz="0" w:space="0" w:color="auto"/>
                    <w:right w:val="none" w:sz="0" w:space="0" w:color="auto"/>
                  </w:divBdr>
                  <w:divsChild>
                    <w:div w:id="775247382">
                      <w:marLeft w:val="0"/>
                      <w:marRight w:val="0"/>
                      <w:marTop w:val="0"/>
                      <w:marBottom w:val="0"/>
                      <w:divBdr>
                        <w:top w:val="none" w:sz="0" w:space="0" w:color="auto"/>
                        <w:left w:val="none" w:sz="0" w:space="0" w:color="auto"/>
                        <w:bottom w:val="none" w:sz="0" w:space="0" w:color="auto"/>
                        <w:right w:val="none" w:sz="0" w:space="0" w:color="auto"/>
                      </w:divBdr>
                      <w:divsChild>
                        <w:div w:id="1070038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099228">
              <w:blockQuote w:val="1"/>
              <w:marLeft w:val="600"/>
              <w:marRight w:val="0"/>
              <w:marTop w:val="0"/>
              <w:marBottom w:val="0"/>
              <w:divBdr>
                <w:top w:val="none" w:sz="0" w:space="0" w:color="auto"/>
                <w:left w:val="none" w:sz="0" w:space="0" w:color="auto"/>
                <w:bottom w:val="none" w:sz="0" w:space="0" w:color="auto"/>
                <w:right w:val="none" w:sz="0" w:space="0" w:color="auto"/>
              </w:divBdr>
              <w:divsChild>
                <w:div w:id="1055665066">
                  <w:marLeft w:val="0"/>
                  <w:marRight w:val="0"/>
                  <w:marTop w:val="0"/>
                  <w:marBottom w:val="0"/>
                  <w:divBdr>
                    <w:top w:val="none" w:sz="0" w:space="0" w:color="auto"/>
                    <w:left w:val="none" w:sz="0" w:space="0" w:color="auto"/>
                    <w:bottom w:val="none" w:sz="0" w:space="0" w:color="auto"/>
                    <w:right w:val="none" w:sz="0" w:space="0" w:color="auto"/>
                  </w:divBdr>
                  <w:divsChild>
                    <w:div w:id="1645770345">
                      <w:marLeft w:val="0"/>
                      <w:marRight w:val="0"/>
                      <w:marTop w:val="0"/>
                      <w:marBottom w:val="0"/>
                      <w:divBdr>
                        <w:top w:val="none" w:sz="0" w:space="0" w:color="auto"/>
                        <w:left w:val="none" w:sz="0" w:space="0" w:color="auto"/>
                        <w:bottom w:val="none" w:sz="0" w:space="0" w:color="auto"/>
                        <w:right w:val="none" w:sz="0" w:space="0" w:color="auto"/>
                      </w:divBdr>
                      <w:divsChild>
                        <w:div w:id="65792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144194">
              <w:blockQuote w:val="1"/>
              <w:marLeft w:val="600"/>
              <w:marRight w:val="0"/>
              <w:marTop w:val="0"/>
              <w:marBottom w:val="0"/>
              <w:divBdr>
                <w:top w:val="none" w:sz="0" w:space="0" w:color="auto"/>
                <w:left w:val="none" w:sz="0" w:space="0" w:color="auto"/>
                <w:bottom w:val="none" w:sz="0" w:space="0" w:color="auto"/>
                <w:right w:val="none" w:sz="0" w:space="0" w:color="auto"/>
              </w:divBdr>
              <w:divsChild>
                <w:div w:id="2044284275">
                  <w:marLeft w:val="0"/>
                  <w:marRight w:val="0"/>
                  <w:marTop w:val="0"/>
                  <w:marBottom w:val="0"/>
                  <w:divBdr>
                    <w:top w:val="none" w:sz="0" w:space="0" w:color="auto"/>
                    <w:left w:val="none" w:sz="0" w:space="0" w:color="auto"/>
                    <w:bottom w:val="none" w:sz="0" w:space="0" w:color="auto"/>
                    <w:right w:val="none" w:sz="0" w:space="0" w:color="auto"/>
                  </w:divBdr>
                  <w:divsChild>
                    <w:div w:id="291834744">
                      <w:marLeft w:val="0"/>
                      <w:marRight w:val="0"/>
                      <w:marTop w:val="0"/>
                      <w:marBottom w:val="0"/>
                      <w:divBdr>
                        <w:top w:val="none" w:sz="0" w:space="0" w:color="auto"/>
                        <w:left w:val="none" w:sz="0" w:space="0" w:color="auto"/>
                        <w:bottom w:val="none" w:sz="0" w:space="0" w:color="auto"/>
                        <w:right w:val="none" w:sz="0" w:space="0" w:color="auto"/>
                      </w:divBdr>
                      <w:divsChild>
                        <w:div w:id="77105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2751451">
          <w:marLeft w:val="0"/>
          <w:marRight w:val="0"/>
          <w:marTop w:val="0"/>
          <w:marBottom w:val="0"/>
          <w:divBdr>
            <w:top w:val="none" w:sz="0" w:space="0" w:color="auto"/>
            <w:left w:val="none" w:sz="0" w:space="0" w:color="auto"/>
            <w:bottom w:val="none" w:sz="0" w:space="0" w:color="auto"/>
            <w:right w:val="none" w:sz="0" w:space="0" w:color="auto"/>
          </w:divBdr>
          <w:divsChild>
            <w:div w:id="340665066">
              <w:marLeft w:val="0"/>
              <w:marRight w:val="0"/>
              <w:marTop w:val="0"/>
              <w:marBottom w:val="0"/>
              <w:divBdr>
                <w:top w:val="none" w:sz="0" w:space="0" w:color="auto"/>
                <w:left w:val="none" w:sz="0" w:space="0" w:color="auto"/>
                <w:bottom w:val="none" w:sz="0" w:space="0" w:color="auto"/>
                <w:right w:val="none" w:sz="0" w:space="0" w:color="auto"/>
              </w:divBdr>
              <w:divsChild>
                <w:div w:id="121466798">
                  <w:marLeft w:val="0"/>
                  <w:marRight w:val="0"/>
                  <w:marTop w:val="0"/>
                  <w:marBottom w:val="0"/>
                  <w:divBdr>
                    <w:top w:val="none" w:sz="0" w:space="0" w:color="auto"/>
                    <w:left w:val="none" w:sz="0" w:space="0" w:color="auto"/>
                    <w:bottom w:val="none" w:sz="0" w:space="0" w:color="auto"/>
                    <w:right w:val="none" w:sz="0" w:space="0" w:color="auto"/>
                  </w:divBdr>
                </w:div>
                <w:div w:id="31977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515590">
          <w:marLeft w:val="0"/>
          <w:marRight w:val="0"/>
          <w:marTop w:val="0"/>
          <w:marBottom w:val="0"/>
          <w:divBdr>
            <w:top w:val="none" w:sz="0" w:space="0" w:color="auto"/>
            <w:left w:val="none" w:sz="0" w:space="0" w:color="auto"/>
            <w:bottom w:val="none" w:sz="0" w:space="0" w:color="auto"/>
            <w:right w:val="none" w:sz="0" w:space="0" w:color="auto"/>
          </w:divBdr>
          <w:divsChild>
            <w:div w:id="57824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4094287">
      <w:bodyDiv w:val="1"/>
      <w:marLeft w:val="0"/>
      <w:marRight w:val="0"/>
      <w:marTop w:val="0"/>
      <w:marBottom w:val="0"/>
      <w:divBdr>
        <w:top w:val="none" w:sz="0" w:space="0" w:color="auto"/>
        <w:left w:val="none" w:sz="0" w:space="0" w:color="auto"/>
        <w:bottom w:val="none" w:sz="0" w:space="0" w:color="auto"/>
        <w:right w:val="none" w:sz="0" w:space="0" w:color="auto"/>
      </w:divBdr>
    </w:div>
    <w:div w:id="1614901134">
      <w:bodyDiv w:val="1"/>
      <w:marLeft w:val="0"/>
      <w:marRight w:val="0"/>
      <w:marTop w:val="0"/>
      <w:marBottom w:val="0"/>
      <w:divBdr>
        <w:top w:val="none" w:sz="0" w:space="0" w:color="auto"/>
        <w:left w:val="none" w:sz="0" w:space="0" w:color="auto"/>
        <w:bottom w:val="none" w:sz="0" w:space="0" w:color="auto"/>
        <w:right w:val="none" w:sz="0" w:space="0" w:color="auto"/>
      </w:divBdr>
    </w:div>
    <w:div w:id="1627735456">
      <w:bodyDiv w:val="1"/>
      <w:marLeft w:val="0"/>
      <w:marRight w:val="0"/>
      <w:marTop w:val="0"/>
      <w:marBottom w:val="0"/>
      <w:divBdr>
        <w:top w:val="none" w:sz="0" w:space="0" w:color="auto"/>
        <w:left w:val="none" w:sz="0" w:space="0" w:color="auto"/>
        <w:bottom w:val="none" w:sz="0" w:space="0" w:color="auto"/>
        <w:right w:val="none" w:sz="0" w:space="0" w:color="auto"/>
      </w:divBdr>
    </w:div>
    <w:div w:id="1636527277">
      <w:bodyDiv w:val="1"/>
      <w:marLeft w:val="0"/>
      <w:marRight w:val="0"/>
      <w:marTop w:val="0"/>
      <w:marBottom w:val="0"/>
      <w:divBdr>
        <w:top w:val="none" w:sz="0" w:space="0" w:color="auto"/>
        <w:left w:val="none" w:sz="0" w:space="0" w:color="auto"/>
        <w:bottom w:val="none" w:sz="0" w:space="0" w:color="auto"/>
        <w:right w:val="none" w:sz="0" w:space="0" w:color="auto"/>
      </w:divBdr>
    </w:div>
    <w:div w:id="1640381770">
      <w:bodyDiv w:val="1"/>
      <w:marLeft w:val="0"/>
      <w:marRight w:val="0"/>
      <w:marTop w:val="0"/>
      <w:marBottom w:val="0"/>
      <w:divBdr>
        <w:top w:val="none" w:sz="0" w:space="0" w:color="auto"/>
        <w:left w:val="none" w:sz="0" w:space="0" w:color="auto"/>
        <w:bottom w:val="none" w:sz="0" w:space="0" w:color="auto"/>
        <w:right w:val="none" w:sz="0" w:space="0" w:color="auto"/>
      </w:divBdr>
      <w:divsChild>
        <w:div w:id="1062412720">
          <w:marLeft w:val="0"/>
          <w:marRight w:val="0"/>
          <w:marTop w:val="0"/>
          <w:marBottom w:val="0"/>
          <w:divBdr>
            <w:top w:val="none" w:sz="0" w:space="0" w:color="auto"/>
            <w:left w:val="none" w:sz="0" w:space="0" w:color="auto"/>
            <w:bottom w:val="none" w:sz="0" w:space="0" w:color="auto"/>
            <w:right w:val="none" w:sz="0" w:space="0" w:color="auto"/>
          </w:divBdr>
          <w:divsChild>
            <w:div w:id="1170370396">
              <w:marLeft w:val="0"/>
              <w:marRight w:val="0"/>
              <w:marTop w:val="0"/>
              <w:marBottom w:val="0"/>
              <w:divBdr>
                <w:top w:val="none" w:sz="0" w:space="0" w:color="auto"/>
                <w:left w:val="none" w:sz="0" w:space="0" w:color="auto"/>
                <w:bottom w:val="none" w:sz="0" w:space="0" w:color="auto"/>
                <w:right w:val="none" w:sz="0" w:space="0" w:color="auto"/>
              </w:divBdr>
              <w:divsChild>
                <w:div w:id="1142693034">
                  <w:marLeft w:val="0"/>
                  <w:marRight w:val="0"/>
                  <w:marTop w:val="0"/>
                  <w:marBottom w:val="0"/>
                  <w:divBdr>
                    <w:top w:val="none" w:sz="0" w:space="0" w:color="auto"/>
                    <w:left w:val="none" w:sz="0" w:space="0" w:color="auto"/>
                    <w:bottom w:val="none" w:sz="0" w:space="0" w:color="auto"/>
                    <w:right w:val="none" w:sz="0" w:space="0" w:color="auto"/>
                  </w:divBdr>
                  <w:divsChild>
                    <w:div w:id="95533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6395981">
      <w:bodyDiv w:val="1"/>
      <w:marLeft w:val="0"/>
      <w:marRight w:val="0"/>
      <w:marTop w:val="0"/>
      <w:marBottom w:val="0"/>
      <w:divBdr>
        <w:top w:val="none" w:sz="0" w:space="0" w:color="auto"/>
        <w:left w:val="none" w:sz="0" w:space="0" w:color="auto"/>
        <w:bottom w:val="none" w:sz="0" w:space="0" w:color="auto"/>
        <w:right w:val="none" w:sz="0" w:space="0" w:color="auto"/>
      </w:divBdr>
    </w:div>
    <w:div w:id="1658027276">
      <w:bodyDiv w:val="1"/>
      <w:marLeft w:val="0"/>
      <w:marRight w:val="0"/>
      <w:marTop w:val="0"/>
      <w:marBottom w:val="0"/>
      <w:divBdr>
        <w:top w:val="none" w:sz="0" w:space="0" w:color="auto"/>
        <w:left w:val="none" w:sz="0" w:space="0" w:color="auto"/>
        <w:bottom w:val="none" w:sz="0" w:space="0" w:color="auto"/>
        <w:right w:val="none" w:sz="0" w:space="0" w:color="auto"/>
      </w:divBdr>
    </w:div>
    <w:div w:id="1659378249">
      <w:bodyDiv w:val="1"/>
      <w:marLeft w:val="0"/>
      <w:marRight w:val="0"/>
      <w:marTop w:val="0"/>
      <w:marBottom w:val="0"/>
      <w:divBdr>
        <w:top w:val="none" w:sz="0" w:space="0" w:color="auto"/>
        <w:left w:val="none" w:sz="0" w:space="0" w:color="auto"/>
        <w:bottom w:val="none" w:sz="0" w:space="0" w:color="auto"/>
        <w:right w:val="none" w:sz="0" w:space="0" w:color="auto"/>
      </w:divBdr>
    </w:div>
    <w:div w:id="1661037553">
      <w:bodyDiv w:val="1"/>
      <w:marLeft w:val="0"/>
      <w:marRight w:val="0"/>
      <w:marTop w:val="0"/>
      <w:marBottom w:val="0"/>
      <w:divBdr>
        <w:top w:val="none" w:sz="0" w:space="0" w:color="auto"/>
        <w:left w:val="none" w:sz="0" w:space="0" w:color="auto"/>
        <w:bottom w:val="none" w:sz="0" w:space="0" w:color="auto"/>
        <w:right w:val="none" w:sz="0" w:space="0" w:color="auto"/>
      </w:divBdr>
    </w:div>
    <w:div w:id="1674529961">
      <w:bodyDiv w:val="1"/>
      <w:marLeft w:val="0"/>
      <w:marRight w:val="0"/>
      <w:marTop w:val="0"/>
      <w:marBottom w:val="0"/>
      <w:divBdr>
        <w:top w:val="none" w:sz="0" w:space="0" w:color="auto"/>
        <w:left w:val="none" w:sz="0" w:space="0" w:color="auto"/>
        <w:bottom w:val="none" w:sz="0" w:space="0" w:color="auto"/>
        <w:right w:val="none" w:sz="0" w:space="0" w:color="auto"/>
      </w:divBdr>
    </w:div>
    <w:div w:id="1676104541">
      <w:bodyDiv w:val="1"/>
      <w:marLeft w:val="0"/>
      <w:marRight w:val="0"/>
      <w:marTop w:val="0"/>
      <w:marBottom w:val="0"/>
      <w:divBdr>
        <w:top w:val="none" w:sz="0" w:space="0" w:color="auto"/>
        <w:left w:val="none" w:sz="0" w:space="0" w:color="auto"/>
        <w:bottom w:val="none" w:sz="0" w:space="0" w:color="auto"/>
        <w:right w:val="none" w:sz="0" w:space="0" w:color="auto"/>
      </w:divBdr>
    </w:div>
    <w:div w:id="1677803638">
      <w:bodyDiv w:val="1"/>
      <w:marLeft w:val="0"/>
      <w:marRight w:val="0"/>
      <w:marTop w:val="0"/>
      <w:marBottom w:val="0"/>
      <w:divBdr>
        <w:top w:val="none" w:sz="0" w:space="0" w:color="auto"/>
        <w:left w:val="none" w:sz="0" w:space="0" w:color="auto"/>
        <w:bottom w:val="none" w:sz="0" w:space="0" w:color="auto"/>
        <w:right w:val="none" w:sz="0" w:space="0" w:color="auto"/>
      </w:divBdr>
    </w:div>
    <w:div w:id="1686708605">
      <w:bodyDiv w:val="1"/>
      <w:marLeft w:val="0"/>
      <w:marRight w:val="0"/>
      <w:marTop w:val="0"/>
      <w:marBottom w:val="0"/>
      <w:divBdr>
        <w:top w:val="none" w:sz="0" w:space="0" w:color="auto"/>
        <w:left w:val="none" w:sz="0" w:space="0" w:color="auto"/>
        <w:bottom w:val="none" w:sz="0" w:space="0" w:color="auto"/>
        <w:right w:val="none" w:sz="0" w:space="0" w:color="auto"/>
      </w:divBdr>
    </w:div>
    <w:div w:id="1695114957">
      <w:bodyDiv w:val="1"/>
      <w:marLeft w:val="0"/>
      <w:marRight w:val="0"/>
      <w:marTop w:val="0"/>
      <w:marBottom w:val="0"/>
      <w:divBdr>
        <w:top w:val="none" w:sz="0" w:space="0" w:color="auto"/>
        <w:left w:val="none" w:sz="0" w:space="0" w:color="auto"/>
        <w:bottom w:val="none" w:sz="0" w:space="0" w:color="auto"/>
        <w:right w:val="none" w:sz="0" w:space="0" w:color="auto"/>
      </w:divBdr>
    </w:div>
    <w:div w:id="1696418799">
      <w:bodyDiv w:val="1"/>
      <w:marLeft w:val="0"/>
      <w:marRight w:val="0"/>
      <w:marTop w:val="0"/>
      <w:marBottom w:val="0"/>
      <w:divBdr>
        <w:top w:val="none" w:sz="0" w:space="0" w:color="auto"/>
        <w:left w:val="none" w:sz="0" w:space="0" w:color="auto"/>
        <w:bottom w:val="none" w:sz="0" w:space="0" w:color="auto"/>
        <w:right w:val="none" w:sz="0" w:space="0" w:color="auto"/>
      </w:divBdr>
    </w:div>
    <w:div w:id="1699309261">
      <w:bodyDiv w:val="1"/>
      <w:marLeft w:val="0"/>
      <w:marRight w:val="0"/>
      <w:marTop w:val="0"/>
      <w:marBottom w:val="0"/>
      <w:divBdr>
        <w:top w:val="none" w:sz="0" w:space="0" w:color="auto"/>
        <w:left w:val="none" w:sz="0" w:space="0" w:color="auto"/>
        <w:bottom w:val="none" w:sz="0" w:space="0" w:color="auto"/>
        <w:right w:val="none" w:sz="0" w:space="0" w:color="auto"/>
      </w:divBdr>
      <w:divsChild>
        <w:div w:id="49155790">
          <w:marLeft w:val="0"/>
          <w:marRight w:val="0"/>
          <w:marTop w:val="0"/>
          <w:marBottom w:val="0"/>
          <w:divBdr>
            <w:top w:val="none" w:sz="0" w:space="0" w:color="auto"/>
            <w:left w:val="none" w:sz="0" w:space="0" w:color="auto"/>
            <w:bottom w:val="none" w:sz="0" w:space="0" w:color="auto"/>
            <w:right w:val="none" w:sz="0" w:space="0" w:color="auto"/>
          </w:divBdr>
        </w:div>
        <w:div w:id="61605767">
          <w:marLeft w:val="0"/>
          <w:marRight w:val="0"/>
          <w:marTop w:val="0"/>
          <w:marBottom w:val="0"/>
          <w:divBdr>
            <w:top w:val="none" w:sz="0" w:space="0" w:color="auto"/>
            <w:left w:val="none" w:sz="0" w:space="0" w:color="auto"/>
            <w:bottom w:val="none" w:sz="0" w:space="0" w:color="auto"/>
            <w:right w:val="none" w:sz="0" w:space="0" w:color="auto"/>
          </w:divBdr>
        </w:div>
        <w:div w:id="99838859">
          <w:marLeft w:val="0"/>
          <w:marRight w:val="0"/>
          <w:marTop w:val="0"/>
          <w:marBottom w:val="0"/>
          <w:divBdr>
            <w:top w:val="none" w:sz="0" w:space="0" w:color="auto"/>
            <w:left w:val="none" w:sz="0" w:space="0" w:color="auto"/>
            <w:bottom w:val="none" w:sz="0" w:space="0" w:color="auto"/>
            <w:right w:val="none" w:sz="0" w:space="0" w:color="auto"/>
          </w:divBdr>
        </w:div>
        <w:div w:id="468282290">
          <w:marLeft w:val="0"/>
          <w:marRight w:val="0"/>
          <w:marTop w:val="0"/>
          <w:marBottom w:val="0"/>
          <w:divBdr>
            <w:top w:val="none" w:sz="0" w:space="0" w:color="auto"/>
            <w:left w:val="none" w:sz="0" w:space="0" w:color="auto"/>
            <w:bottom w:val="none" w:sz="0" w:space="0" w:color="auto"/>
            <w:right w:val="none" w:sz="0" w:space="0" w:color="auto"/>
          </w:divBdr>
        </w:div>
        <w:div w:id="554896857">
          <w:marLeft w:val="0"/>
          <w:marRight w:val="0"/>
          <w:marTop w:val="0"/>
          <w:marBottom w:val="0"/>
          <w:divBdr>
            <w:top w:val="none" w:sz="0" w:space="0" w:color="auto"/>
            <w:left w:val="none" w:sz="0" w:space="0" w:color="auto"/>
            <w:bottom w:val="none" w:sz="0" w:space="0" w:color="auto"/>
            <w:right w:val="none" w:sz="0" w:space="0" w:color="auto"/>
          </w:divBdr>
        </w:div>
        <w:div w:id="697050822">
          <w:marLeft w:val="0"/>
          <w:marRight w:val="0"/>
          <w:marTop w:val="0"/>
          <w:marBottom w:val="0"/>
          <w:divBdr>
            <w:top w:val="none" w:sz="0" w:space="0" w:color="auto"/>
            <w:left w:val="none" w:sz="0" w:space="0" w:color="auto"/>
            <w:bottom w:val="none" w:sz="0" w:space="0" w:color="auto"/>
            <w:right w:val="none" w:sz="0" w:space="0" w:color="auto"/>
          </w:divBdr>
        </w:div>
        <w:div w:id="1156186221">
          <w:marLeft w:val="0"/>
          <w:marRight w:val="0"/>
          <w:marTop w:val="0"/>
          <w:marBottom w:val="0"/>
          <w:divBdr>
            <w:top w:val="none" w:sz="0" w:space="0" w:color="auto"/>
            <w:left w:val="none" w:sz="0" w:space="0" w:color="auto"/>
            <w:bottom w:val="none" w:sz="0" w:space="0" w:color="auto"/>
            <w:right w:val="none" w:sz="0" w:space="0" w:color="auto"/>
          </w:divBdr>
        </w:div>
        <w:div w:id="1204562006">
          <w:marLeft w:val="0"/>
          <w:marRight w:val="0"/>
          <w:marTop w:val="0"/>
          <w:marBottom w:val="0"/>
          <w:divBdr>
            <w:top w:val="none" w:sz="0" w:space="0" w:color="auto"/>
            <w:left w:val="none" w:sz="0" w:space="0" w:color="auto"/>
            <w:bottom w:val="none" w:sz="0" w:space="0" w:color="auto"/>
            <w:right w:val="none" w:sz="0" w:space="0" w:color="auto"/>
          </w:divBdr>
        </w:div>
        <w:div w:id="1322924310">
          <w:marLeft w:val="0"/>
          <w:marRight w:val="0"/>
          <w:marTop w:val="0"/>
          <w:marBottom w:val="0"/>
          <w:divBdr>
            <w:top w:val="none" w:sz="0" w:space="0" w:color="auto"/>
            <w:left w:val="none" w:sz="0" w:space="0" w:color="auto"/>
            <w:bottom w:val="none" w:sz="0" w:space="0" w:color="auto"/>
            <w:right w:val="none" w:sz="0" w:space="0" w:color="auto"/>
          </w:divBdr>
        </w:div>
        <w:div w:id="1379668816">
          <w:marLeft w:val="0"/>
          <w:marRight w:val="0"/>
          <w:marTop w:val="0"/>
          <w:marBottom w:val="0"/>
          <w:divBdr>
            <w:top w:val="none" w:sz="0" w:space="0" w:color="auto"/>
            <w:left w:val="none" w:sz="0" w:space="0" w:color="auto"/>
            <w:bottom w:val="none" w:sz="0" w:space="0" w:color="auto"/>
            <w:right w:val="none" w:sz="0" w:space="0" w:color="auto"/>
          </w:divBdr>
          <w:divsChild>
            <w:div w:id="139924342">
              <w:marLeft w:val="0"/>
              <w:marRight w:val="0"/>
              <w:marTop w:val="0"/>
              <w:marBottom w:val="0"/>
              <w:divBdr>
                <w:top w:val="none" w:sz="0" w:space="0" w:color="auto"/>
                <w:left w:val="none" w:sz="0" w:space="0" w:color="auto"/>
                <w:bottom w:val="none" w:sz="0" w:space="0" w:color="auto"/>
                <w:right w:val="none" w:sz="0" w:space="0" w:color="auto"/>
              </w:divBdr>
            </w:div>
            <w:div w:id="258952796">
              <w:marLeft w:val="0"/>
              <w:marRight w:val="0"/>
              <w:marTop w:val="0"/>
              <w:marBottom w:val="0"/>
              <w:divBdr>
                <w:top w:val="none" w:sz="0" w:space="0" w:color="auto"/>
                <w:left w:val="none" w:sz="0" w:space="0" w:color="auto"/>
                <w:bottom w:val="none" w:sz="0" w:space="0" w:color="auto"/>
                <w:right w:val="none" w:sz="0" w:space="0" w:color="auto"/>
              </w:divBdr>
            </w:div>
            <w:div w:id="294458136">
              <w:marLeft w:val="0"/>
              <w:marRight w:val="0"/>
              <w:marTop w:val="0"/>
              <w:marBottom w:val="0"/>
              <w:divBdr>
                <w:top w:val="none" w:sz="0" w:space="0" w:color="auto"/>
                <w:left w:val="none" w:sz="0" w:space="0" w:color="auto"/>
                <w:bottom w:val="none" w:sz="0" w:space="0" w:color="auto"/>
                <w:right w:val="none" w:sz="0" w:space="0" w:color="auto"/>
              </w:divBdr>
            </w:div>
            <w:div w:id="351732758">
              <w:marLeft w:val="0"/>
              <w:marRight w:val="0"/>
              <w:marTop w:val="0"/>
              <w:marBottom w:val="0"/>
              <w:divBdr>
                <w:top w:val="none" w:sz="0" w:space="0" w:color="auto"/>
                <w:left w:val="none" w:sz="0" w:space="0" w:color="auto"/>
                <w:bottom w:val="none" w:sz="0" w:space="0" w:color="auto"/>
                <w:right w:val="none" w:sz="0" w:space="0" w:color="auto"/>
              </w:divBdr>
            </w:div>
            <w:div w:id="928000882">
              <w:marLeft w:val="0"/>
              <w:marRight w:val="0"/>
              <w:marTop w:val="0"/>
              <w:marBottom w:val="0"/>
              <w:divBdr>
                <w:top w:val="none" w:sz="0" w:space="0" w:color="auto"/>
                <w:left w:val="none" w:sz="0" w:space="0" w:color="auto"/>
                <w:bottom w:val="none" w:sz="0" w:space="0" w:color="auto"/>
                <w:right w:val="none" w:sz="0" w:space="0" w:color="auto"/>
              </w:divBdr>
            </w:div>
            <w:div w:id="1319922405">
              <w:marLeft w:val="0"/>
              <w:marRight w:val="0"/>
              <w:marTop w:val="0"/>
              <w:marBottom w:val="0"/>
              <w:divBdr>
                <w:top w:val="none" w:sz="0" w:space="0" w:color="auto"/>
                <w:left w:val="none" w:sz="0" w:space="0" w:color="auto"/>
                <w:bottom w:val="none" w:sz="0" w:space="0" w:color="auto"/>
                <w:right w:val="none" w:sz="0" w:space="0" w:color="auto"/>
              </w:divBdr>
            </w:div>
          </w:divsChild>
        </w:div>
        <w:div w:id="1479225221">
          <w:marLeft w:val="0"/>
          <w:marRight w:val="0"/>
          <w:marTop w:val="0"/>
          <w:marBottom w:val="0"/>
          <w:divBdr>
            <w:top w:val="none" w:sz="0" w:space="0" w:color="auto"/>
            <w:left w:val="none" w:sz="0" w:space="0" w:color="auto"/>
            <w:bottom w:val="none" w:sz="0" w:space="0" w:color="auto"/>
            <w:right w:val="none" w:sz="0" w:space="0" w:color="auto"/>
          </w:divBdr>
        </w:div>
        <w:div w:id="1508212349">
          <w:marLeft w:val="0"/>
          <w:marRight w:val="0"/>
          <w:marTop w:val="0"/>
          <w:marBottom w:val="0"/>
          <w:divBdr>
            <w:top w:val="none" w:sz="0" w:space="0" w:color="auto"/>
            <w:left w:val="none" w:sz="0" w:space="0" w:color="auto"/>
            <w:bottom w:val="none" w:sz="0" w:space="0" w:color="auto"/>
            <w:right w:val="none" w:sz="0" w:space="0" w:color="auto"/>
          </w:divBdr>
        </w:div>
      </w:divsChild>
    </w:div>
    <w:div w:id="1712072321">
      <w:bodyDiv w:val="1"/>
      <w:marLeft w:val="0"/>
      <w:marRight w:val="0"/>
      <w:marTop w:val="0"/>
      <w:marBottom w:val="0"/>
      <w:divBdr>
        <w:top w:val="none" w:sz="0" w:space="0" w:color="auto"/>
        <w:left w:val="none" w:sz="0" w:space="0" w:color="auto"/>
        <w:bottom w:val="none" w:sz="0" w:space="0" w:color="auto"/>
        <w:right w:val="none" w:sz="0" w:space="0" w:color="auto"/>
      </w:divBdr>
    </w:div>
    <w:div w:id="1723167071">
      <w:bodyDiv w:val="1"/>
      <w:marLeft w:val="0"/>
      <w:marRight w:val="0"/>
      <w:marTop w:val="0"/>
      <w:marBottom w:val="0"/>
      <w:divBdr>
        <w:top w:val="none" w:sz="0" w:space="0" w:color="auto"/>
        <w:left w:val="none" w:sz="0" w:space="0" w:color="auto"/>
        <w:bottom w:val="none" w:sz="0" w:space="0" w:color="auto"/>
        <w:right w:val="none" w:sz="0" w:space="0" w:color="auto"/>
      </w:divBdr>
    </w:div>
    <w:div w:id="1725911871">
      <w:bodyDiv w:val="1"/>
      <w:marLeft w:val="0"/>
      <w:marRight w:val="0"/>
      <w:marTop w:val="0"/>
      <w:marBottom w:val="0"/>
      <w:divBdr>
        <w:top w:val="none" w:sz="0" w:space="0" w:color="auto"/>
        <w:left w:val="none" w:sz="0" w:space="0" w:color="auto"/>
        <w:bottom w:val="none" w:sz="0" w:space="0" w:color="auto"/>
        <w:right w:val="none" w:sz="0" w:space="0" w:color="auto"/>
      </w:divBdr>
    </w:div>
    <w:div w:id="1730305638">
      <w:bodyDiv w:val="1"/>
      <w:marLeft w:val="0"/>
      <w:marRight w:val="0"/>
      <w:marTop w:val="0"/>
      <w:marBottom w:val="0"/>
      <w:divBdr>
        <w:top w:val="none" w:sz="0" w:space="0" w:color="auto"/>
        <w:left w:val="none" w:sz="0" w:space="0" w:color="auto"/>
        <w:bottom w:val="none" w:sz="0" w:space="0" w:color="auto"/>
        <w:right w:val="none" w:sz="0" w:space="0" w:color="auto"/>
      </w:divBdr>
    </w:div>
    <w:div w:id="1740060056">
      <w:bodyDiv w:val="1"/>
      <w:marLeft w:val="0"/>
      <w:marRight w:val="0"/>
      <w:marTop w:val="0"/>
      <w:marBottom w:val="0"/>
      <w:divBdr>
        <w:top w:val="none" w:sz="0" w:space="0" w:color="auto"/>
        <w:left w:val="none" w:sz="0" w:space="0" w:color="auto"/>
        <w:bottom w:val="none" w:sz="0" w:space="0" w:color="auto"/>
        <w:right w:val="none" w:sz="0" w:space="0" w:color="auto"/>
      </w:divBdr>
    </w:div>
    <w:div w:id="1751349580">
      <w:bodyDiv w:val="1"/>
      <w:marLeft w:val="0"/>
      <w:marRight w:val="0"/>
      <w:marTop w:val="0"/>
      <w:marBottom w:val="0"/>
      <w:divBdr>
        <w:top w:val="none" w:sz="0" w:space="0" w:color="auto"/>
        <w:left w:val="none" w:sz="0" w:space="0" w:color="auto"/>
        <w:bottom w:val="none" w:sz="0" w:space="0" w:color="auto"/>
        <w:right w:val="none" w:sz="0" w:space="0" w:color="auto"/>
      </w:divBdr>
    </w:div>
    <w:div w:id="1763064628">
      <w:bodyDiv w:val="1"/>
      <w:marLeft w:val="0"/>
      <w:marRight w:val="0"/>
      <w:marTop w:val="0"/>
      <w:marBottom w:val="0"/>
      <w:divBdr>
        <w:top w:val="none" w:sz="0" w:space="0" w:color="auto"/>
        <w:left w:val="none" w:sz="0" w:space="0" w:color="auto"/>
        <w:bottom w:val="none" w:sz="0" w:space="0" w:color="auto"/>
        <w:right w:val="none" w:sz="0" w:space="0" w:color="auto"/>
      </w:divBdr>
    </w:div>
    <w:div w:id="1768117168">
      <w:bodyDiv w:val="1"/>
      <w:marLeft w:val="0"/>
      <w:marRight w:val="0"/>
      <w:marTop w:val="0"/>
      <w:marBottom w:val="0"/>
      <w:divBdr>
        <w:top w:val="none" w:sz="0" w:space="0" w:color="auto"/>
        <w:left w:val="none" w:sz="0" w:space="0" w:color="auto"/>
        <w:bottom w:val="none" w:sz="0" w:space="0" w:color="auto"/>
        <w:right w:val="none" w:sz="0" w:space="0" w:color="auto"/>
      </w:divBdr>
      <w:divsChild>
        <w:div w:id="390735324">
          <w:marLeft w:val="0"/>
          <w:marRight w:val="0"/>
          <w:marTop w:val="0"/>
          <w:marBottom w:val="0"/>
          <w:divBdr>
            <w:top w:val="none" w:sz="0" w:space="0" w:color="auto"/>
            <w:left w:val="none" w:sz="0" w:space="0" w:color="auto"/>
            <w:bottom w:val="none" w:sz="0" w:space="0" w:color="auto"/>
            <w:right w:val="none" w:sz="0" w:space="0" w:color="auto"/>
          </w:divBdr>
          <w:divsChild>
            <w:div w:id="1250307359">
              <w:marLeft w:val="0"/>
              <w:marRight w:val="0"/>
              <w:marTop w:val="0"/>
              <w:marBottom w:val="0"/>
              <w:divBdr>
                <w:top w:val="none" w:sz="0" w:space="0" w:color="auto"/>
                <w:left w:val="none" w:sz="0" w:space="0" w:color="auto"/>
                <w:bottom w:val="none" w:sz="0" w:space="0" w:color="auto"/>
                <w:right w:val="none" w:sz="0" w:space="0" w:color="auto"/>
              </w:divBdr>
              <w:divsChild>
                <w:div w:id="1462576246">
                  <w:marLeft w:val="0"/>
                  <w:marRight w:val="0"/>
                  <w:marTop w:val="0"/>
                  <w:marBottom w:val="0"/>
                  <w:divBdr>
                    <w:top w:val="none" w:sz="0" w:space="0" w:color="auto"/>
                    <w:left w:val="none" w:sz="0" w:space="0" w:color="auto"/>
                    <w:bottom w:val="none" w:sz="0" w:space="0" w:color="auto"/>
                    <w:right w:val="none" w:sz="0" w:space="0" w:color="auto"/>
                  </w:divBdr>
                  <w:divsChild>
                    <w:div w:id="77583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7670519">
      <w:bodyDiv w:val="1"/>
      <w:marLeft w:val="0"/>
      <w:marRight w:val="0"/>
      <w:marTop w:val="0"/>
      <w:marBottom w:val="0"/>
      <w:divBdr>
        <w:top w:val="none" w:sz="0" w:space="0" w:color="auto"/>
        <w:left w:val="none" w:sz="0" w:space="0" w:color="auto"/>
        <w:bottom w:val="none" w:sz="0" w:space="0" w:color="auto"/>
        <w:right w:val="none" w:sz="0" w:space="0" w:color="auto"/>
      </w:divBdr>
      <w:divsChild>
        <w:div w:id="1409115302">
          <w:marLeft w:val="0"/>
          <w:marRight w:val="0"/>
          <w:marTop w:val="0"/>
          <w:marBottom w:val="0"/>
          <w:divBdr>
            <w:top w:val="none" w:sz="0" w:space="0" w:color="auto"/>
            <w:left w:val="none" w:sz="0" w:space="0" w:color="auto"/>
            <w:bottom w:val="none" w:sz="0" w:space="0" w:color="auto"/>
            <w:right w:val="none" w:sz="0" w:space="0" w:color="auto"/>
          </w:divBdr>
          <w:divsChild>
            <w:div w:id="409740510">
              <w:marLeft w:val="0"/>
              <w:marRight w:val="0"/>
              <w:marTop w:val="0"/>
              <w:marBottom w:val="0"/>
              <w:divBdr>
                <w:top w:val="none" w:sz="0" w:space="0" w:color="auto"/>
                <w:left w:val="none" w:sz="0" w:space="0" w:color="auto"/>
                <w:bottom w:val="none" w:sz="0" w:space="0" w:color="auto"/>
                <w:right w:val="none" w:sz="0" w:space="0" w:color="auto"/>
              </w:divBdr>
            </w:div>
            <w:div w:id="1994261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086599">
      <w:bodyDiv w:val="1"/>
      <w:marLeft w:val="0"/>
      <w:marRight w:val="0"/>
      <w:marTop w:val="0"/>
      <w:marBottom w:val="0"/>
      <w:divBdr>
        <w:top w:val="none" w:sz="0" w:space="0" w:color="auto"/>
        <w:left w:val="none" w:sz="0" w:space="0" w:color="auto"/>
        <w:bottom w:val="none" w:sz="0" w:space="0" w:color="auto"/>
        <w:right w:val="none" w:sz="0" w:space="0" w:color="auto"/>
      </w:divBdr>
    </w:div>
    <w:div w:id="1798525125">
      <w:bodyDiv w:val="1"/>
      <w:marLeft w:val="0"/>
      <w:marRight w:val="0"/>
      <w:marTop w:val="0"/>
      <w:marBottom w:val="0"/>
      <w:divBdr>
        <w:top w:val="none" w:sz="0" w:space="0" w:color="auto"/>
        <w:left w:val="none" w:sz="0" w:space="0" w:color="auto"/>
        <w:bottom w:val="none" w:sz="0" w:space="0" w:color="auto"/>
        <w:right w:val="none" w:sz="0" w:space="0" w:color="auto"/>
      </w:divBdr>
    </w:div>
    <w:div w:id="1806503978">
      <w:bodyDiv w:val="1"/>
      <w:marLeft w:val="0"/>
      <w:marRight w:val="0"/>
      <w:marTop w:val="0"/>
      <w:marBottom w:val="0"/>
      <w:divBdr>
        <w:top w:val="none" w:sz="0" w:space="0" w:color="auto"/>
        <w:left w:val="none" w:sz="0" w:space="0" w:color="auto"/>
        <w:bottom w:val="none" w:sz="0" w:space="0" w:color="auto"/>
        <w:right w:val="none" w:sz="0" w:space="0" w:color="auto"/>
      </w:divBdr>
    </w:div>
    <w:div w:id="1808235734">
      <w:bodyDiv w:val="1"/>
      <w:marLeft w:val="0"/>
      <w:marRight w:val="0"/>
      <w:marTop w:val="0"/>
      <w:marBottom w:val="0"/>
      <w:divBdr>
        <w:top w:val="none" w:sz="0" w:space="0" w:color="auto"/>
        <w:left w:val="none" w:sz="0" w:space="0" w:color="auto"/>
        <w:bottom w:val="none" w:sz="0" w:space="0" w:color="auto"/>
        <w:right w:val="none" w:sz="0" w:space="0" w:color="auto"/>
      </w:divBdr>
    </w:div>
    <w:div w:id="1808664058">
      <w:bodyDiv w:val="1"/>
      <w:marLeft w:val="0"/>
      <w:marRight w:val="0"/>
      <w:marTop w:val="0"/>
      <w:marBottom w:val="0"/>
      <w:divBdr>
        <w:top w:val="none" w:sz="0" w:space="0" w:color="auto"/>
        <w:left w:val="none" w:sz="0" w:space="0" w:color="auto"/>
        <w:bottom w:val="none" w:sz="0" w:space="0" w:color="auto"/>
        <w:right w:val="none" w:sz="0" w:space="0" w:color="auto"/>
      </w:divBdr>
    </w:div>
    <w:div w:id="1813790686">
      <w:bodyDiv w:val="1"/>
      <w:marLeft w:val="0"/>
      <w:marRight w:val="0"/>
      <w:marTop w:val="0"/>
      <w:marBottom w:val="0"/>
      <w:divBdr>
        <w:top w:val="none" w:sz="0" w:space="0" w:color="auto"/>
        <w:left w:val="none" w:sz="0" w:space="0" w:color="auto"/>
        <w:bottom w:val="none" w:sz="0" w:space="0" w:color="auto"/>
        <w:right w:val="none" w:sz="0" w:space="0" w:color="auto"/>
      </w:divBdr>
    </w:div>
    <w:div w:id="1823693036">
      <w:bodyDiv w:val="1"/>
      <w:marLeft w:val="0"/>
      <w:marRight w:val="0"/>
      <w:marTop w:val="0"/>
      <w:marBottom w:val="0"/>
      <w:divBdr>
        <w:top w:val="none" w:sz="0" w:space="0" w:color="auto"/>
        <w:left w:val="none" w:sz="0" w:space="0" w:color="auto"/>
        <w:bottom w:val="none" w:sz="0" w:space="0" w:color="auto"/>
        <w:right w:val="none" w:sz="0" w:space="0" w:color="auto"/>
      </w:divBdr>
    </w:div>
    <w:div w:id="1834027268">
      <w:bodyDiv w:val="1"/>
      <w:marLeft w:val="0"/>
      <w:marRight w:val="0"/>
      <w:marTop w:val="0"/>
      <w:marBottom w:val="0"/>
      <w:divBdr>
        <w:top w:val="none" w:sz="0" w:space="0" w:color="auto"/>
        <w:left w:val="none" w:sz="0" w:space="0" w:color="auto"/>
        <w:bottom w:val="none" w:sz="0" w:space="0" w:color="auto"/>
        <w:right w:val="none" w:sz="0" w:space="0" w:color="auto"/>
      </w:divBdr>
      <w:divsChild>
        <w:div w:id="1686783447">
          <w:marLeft w:val="0"/>
          <w:marRight w:val="0"/>
          <w:marTop w:val="0"/>
          <w:marBottom w:val="0"/>
          <w:divBdr>
            <w:top w:val="none" w:sz="0" w:space="0" w:color="auto"/>
            <w:left w:val="none" w:sz="0" w:space="0" w:color="auto"/>
            <w:bottom w:val="none" w:sz="0" w:space="0" w:color="auto"/>
            <w:right w:val="none" w:sz="0" w:space="0" w:color="auto"/>
          </w:divBdr>
          <w:divsChild>
            <w:div w:id="369959757">
              <w:marLeft w:val="0"/>
              <w:marRight w:val="0"/>
              <w:marTop w:val="0"/>
              <w:marBottom w:val="0"/>
              <w:divBdr>
                <w:top w:val="none" w:sz="0" w:space="0" w:color="auto"/>
                <w:left w:val="none" w:sz="0" w:space="0" w:color="auto"/>
                <w:bottom w:val="none" w:sz="0" w:space="0" w:color="auto"/>
                <w:right w:val="none" w:sz="0" w:space="0" w:color="auto"/>
              </w:divBdr>
              <w:divsChild>
                <w:div w:id="466246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810420">
      <w:bodyDiv w:val="1"/>
      <w:marLeft w:val="0"/>
      <w:marRight w:val="0"/>
      <w:marTop w:val="0"/>
      <w:marBottom w:val="0"/>
      <w:divBdr>
        <w:top w:val="none" w:sz="0" w:space="0" w:color="auto"/>
        <w:left w:val="none" w:sz="0" w:space="0" w:color="auto"/>
        <w:bottom w:val="none" w:sz="0" w:space="0" w:color="auto"/>
        <w:right w:val="none" w:sz="0" w:space="0" w:color="auto"/>
      </w:divBdr>
    </w:div>
    <w:div w:id="1845901462">
      <w:bodyDiv w:val="1"/>
      <w:marLeft w:val="0"/>
      <w:marRight w:val="0"/>
      <w:marTop w:val="0"/>
      <w:marBottom w:val="0"/>
      <w:divBdr>
        <w:top w:val="none" w:sz="0" w:space="0" w:color="auto"/>
        <w:left w:val="none" w:sz="0" w:space="0" w:color="auto"/>
        <w:bottom w:val="none" w:sz="0" w:space="0" w:color="auto"/>
        <w:right w:val="none" w:sz="0" w:space="0" w:color="auto"/>
      </w:divBdr>
    </w:div>
    <w:div w:id="1857767044">
      <w:bodyDiv w:val="1"/>
      <w:marLeft w:val="0"/>
      <w:marRight w:val="0"/>
      <w:marTop w:val="0"/>
      <w:marBottom w:val="0"/>
      <w:divBdr>
        <w:top w:val="none" w:sz="0" w:space="0" w:color="auto"/>
        <w:left w:val="none" w:sz="0" w:space="0" w:color="auto"/>
        <w:bottom w:val="none" w:sz="0" w:space="0" w:color="auto"/>
        <w:right w:val="none" w:sz="0" w:space="0" w:color="auto"/>
      </w:divBdr>
    </w:div>
    <w:div w:id="1858498278">
      <w:bodyDiv w:val="1"/>
      <w:marLeft w:val="0"/>
      <w:marRight w:val="0"/>
      <w:marTop w:val="0"/>
      <w:marBottom w:val="0"/>
      <w:divBdr>
        <w:top w:val="none" w:sz="0" w:space="0" w:color="auto"/>
        <w:left w:val="none" w:sz="0" w:space="0" w:color="auto"/>
        <w:bottom w:val="none" w:sz="0" w:space="0" w:color="auto"/>
        <w:right w:val="none" w:sz="0" w:space="0" w:color="auto"/>
      </w:divBdr>
      <w:divsChild>
        <w:div w:id="907571381">
          <w:marLeft w:val="0"/>
          <w:marRight w:val="0"/>
          <w:marTop w:val="0"/>
          <w:marBottom w:val="0"/>
          <w:divBdr>
            <w:top w:val="none" w:sz="0" w:space="0" w:color="auto"/>
            <w:left w:val="none" w:sz="0" w:space="0" w:color="auto"/>
            <w:bottom w:val="none" w:sz="0" w:space="0" w:color="auto"/>
            <w:right w:val="none" w:sz="0" w:space="0" w:color="auto"/>
          </w:divBdr>
        </w:div>
      </w:divsChild>
    </w:div>
    <w:div w:id="1866940184">
      <w:bodyDiv w:val="1"/>
      <w:marLeft w:val="0"/>
      <w:marRight w:val="0"/>
      <w:marTop w:val="0"/>
      <w:marBottom w:val="0"/>
      <w:divBdr>
        <w:top w:val="none" w:sz="0" w:space="0" w:color="auto"/>
        <w:left w:val="none" w:sz="0" w:space="0" w:color="auto"/>
        <w:bottom w:val="none" w:sz="0" w:space="0" w:color="auto"/>
        <w:right w:val="none" w:sz="0" w:space="0" w:color="auto"/>
      </w:divBdr>
    </w:div>
    <w:div w:id="1867523954">
      <w:bodyDiv w:val="1"/>
      <w:marLeft w:val="0"/>
      <w:marRight w:val="0"/>
      <w:marTop w:val="0"/>
      <w:marBottom w:val="0"/>
      <w:divBdr>
        <w:top w:val="none" w:sz="0" w:space="0" w:color="auto"/>
        <w:left w:val="none" w:sz="0" w:space="0" w:color="auto"/>
        <w:bottom w:val="none" w:sz="0" w:space="0" w:color="auto"/>
        <w:right w:val="none" w:sz="0" w:space="0" w:color="auto"/>
      </w:divBdr>
      <w:divsChild>
        <w:div w:id="327903512">
          <w:marLeft w:val="0"/>
          <w:marRight w:val="0"/>
          <w:marTop w:val="0"/>
          <w:marBottom w:val="0"/>
          <w:divBdr>
            <w:top w:val="none" w:sz="0" w:space="0" w:color="auto"/>
            <w:left w:val="none" w:sz="0" w:space="0" w:color="auto"/>
            <w:bottom w:val="none" w:sz="0" w:space="0" w:color="auto"/>
            <w:right w:val="none" w:sz="0" w:space="0" w:color="auto"/>
          </w:divBdr>
        </w:div>
        <w:div w:id="494733641">
          <w:marLeft w:val="0"/>
          <w:marRight w:val="0"/>
          <w:marTop w:val="0"/>
          <w:marBottom w:val="0"/>
          <w:divBdr>
            <w:top w:val="none" w:sz="0" w:space="0" w:color="auto"/>
            <w:left w:val="none" w:sz="0" w:space="0" w:color="auto"/>
            <w:bottom w:val="none" w:sz="0" w:space="0" w:color="auto"/>
            <w:right w:val="none" w:sz="0" w:space="0" w:color="auto"/>
          </w:divBdr>
          <w:divsChild>
            <w:div w:id="1764109376">
              <w:marLeft w:val="0"/>
              <w:marRight w:val="0"/>
              <w:marTop w:val="0"/>
              <w:marBottom w:val="0"/>
              <w:divBdr>
                <w:top w:val="none" w:sz="0" w:space="0" w:color="auto"/>
                <w:left w:val="none" w:sz="0" w:space="0" w:color="auto"/>
                <w:bottom w:val="none" w:sz="0" w:space="0" w:color="auto"/>
                <w:right w:val="none" w:sz="0" w:space="0" w:color="auto"/>
              </w:divBdr>
            </w:div>
          </w:divsChild>
        </w:div>
        <w:div w:id="1252204489">
          <w:marLeft w:val="0"/>
          <w:marRight w:val="0"/>
          <w:marTop w:val="0"/>
          <w:marBottom w:val="0"/>
          <w:divBdr>
            <w:top w:val="none" w:sz="0" w:space="0" w:color="auto"/>
            <w:left w:val="none" w:sz="0" w:space="0" w:color="auto"/>
            <w:bottom w:val="none" w:sz="0" w:space="0" w:color="auto"/>
            <w:right w:val="none" w:sz="0" w:space="0" w:color="auto"/>
          </w:divBdr>
        </w:div>
        <w:div w:id="1550649739">
          <w:marLeft w:val="0"/>
          <w:marRight w:val="0"/>
          <w:marTop w:val="0"/>
          <w:marBottom w:val="0"/>
          <w:divBdr>
            <w:top w:val="none" w:sz="0" w:space="0" w:color="auto"/>
            <w:left w:val="none" w:sz="0" w:space="0" w:color="auto"/>
            <w:bottom w:val="none" w:sz="0" w:space="0" w:color="auto"/>
            <w:right w:val="none" w:sz="0" w:space="0" w:color="auto"/>
          </w:divBdr>
          <w:divsChild>
            <w:div w:id="880629919">
              <w:marLeft w:val="0"/>
              <w:marRight w:val="0"/>
              <w:marTop w:val="0"/>
              <w:marBottom w:val="0"/>
              <w:divBdr>
                <w:top w:val="none" w:sz="0" w:space="0" w:color="auto"/>
                <w:left w:val="none" w:sz="0" w:space="0" w:color="auto"/>
                <w:bottom w:val="none" w:sz="0" w:space="0" w:color="auto"/>
                <w:right w:val="none" w:sz="0" w:space="0" w:color="auto"/>
              </w:divBdr>
            </w:div>
          </w:divsChild>
        </w:div>
        <w:div w:id="1937667535">
          <w:marLeft w:val="0"/>
          <w:marRight w:val="0"/>
          <w:marTop w:val="0"/>
          <w:marBottom w:val="0"/>
          <w:divBdr>
            <w:top w:val="none" w:sz="0" w:space="0" w:color="auto"/>
            <w:left w:val="none" w:sz="0" w:space="0" w:color="auto"/>
            <w:bottom w:val="none" w:sz="0" w:space="0" w:color="auto"/>
            <w:right w:val="none" w:sz="0" w:space="0" w:color="auto"/>
          </w:divBdr>
          <w:divsChild>
            <w:div w:id="81437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600373">
      <w:bodyDiv w:val="1"/>
      <w:marLeft w:val="0"/>
      <w:marRight w:val="0"/>
      <w:marTop w:val="0"/>
      <w:marBottom w:val="0"/>
      <w:divBdr>
        <w:top w:val="none" w:sz="0" w:space="0" w:color="auto"/>
        <w:left w:val="none" w:sz="0" w:space="0" w:color="auto"/>
        <w:bottom w:val="none" w:sz="0" w:space="0" w:color="auto"/>
        <w:right w:val="none" w:sz="0" w:space="0" w:color="auto"/>
      </w:divBdr>
    </w:div>
    <w:div w:id="1867719164">
      <w:bodyDiv w:val="1"/>
      <w:marLeft w:val="0"/>
      <w:marRight w:val="0"/>
      <w:marTop w:val="0"/>
      <w:marBottom w:val="0"/>
      <w:divBdr>
        <w:top w:val="none" w:sz="0" w:space="0" w:color="auto"/>
        <w:left w:val="none" w:sz="0" w:space="0" w:color="auto"/>
        <w:bottom w:val="none" w:sz="0" w:space="0" w:color="auto"/>
        <w:right w:val="none" w:sz="0" w:space="0" w:color="auto"/>
      </w:divBdr>
    </w:div>
    <w:div w:id="1873223146">
      <w:bodyDiv w:val="1"/>
      <w:marLeft w:val="0"/>
      <w:marRight w:val="0"/>
      <w:marTop w:val="0"/>
      <w:marBottom w:val="0"/>
      <w:divBdr>
        <w:top w:val="none" w:sz="0" w:space="0" w:color="auto"/>
        <w:left w:val="none" w:sz="0" w:space="0" w:color="auto"/>
        <w:bottom w:val="none" w:sz="0" w:space="0" w:color="auto"/>
        <w:right w:val="none" w:sz="0" w:space="0" w:color="auto"/>
      </w:divBdr>
    </w:div>
    <w:div w:id="1906792117">
      <w:bodyDiv w:val="1"/>
      <w:marLeft w:val="0"/>
      <w:marRight w:val="0"/>
      <w:marTop w:val="0"/>
      <w:marBottom w:val="0"/>
      <w:divBdr>
        <w:top w:val="none" w:sz="0" w:space="0" w:color="auto"/>
        <w:left w:val="none" w:sz="0" w:space="0" w:color="auto"/>
        <w:bottom w:val="none" w:sz="0" w:space="0" w:color="auto"/>
        <w:right w:val="none" w:sz="0" w:space="0" w:color="auto"/>
      </w:divBdr>
      <w:divsChild>
        <w:div w:id="159733033">
          <w:marLeft w:val="0"/>
          <w:marRight w:val="0"/>
          <w:marTop w:val="0"/>
          <w:marBottom w:val="0"/>
          <w:divBdr>
            <w:top w:val="none" w:sz="0" w:space="0" w:color="auto"/>
            <w:left w:val="none" w:sz="0" w:space="0" w:color="auto"/>
            <w:bottom w:val="none" w:sz="0" w:space="0" w:color="auto"/>
            <w:right w:val="none" w:sz="0" w:space="0" w:color="auto"/>
          </w:divBdr>
        </w:div>
        <w:div w:id="643392868">
          <w:marLeft w:val="0"/>
          <w:marRight w:val="0"/>
          <w:marTop w:val="0"/>
          <w:marBottom w:val="0"/>
          <w:divBdr>
            <w:top w:val="none" w:sz="0" w:space="0" w:color="auto"/>
            <w:left w:val="none" w:sz="0" w:space="0" w:color="auto"/>
            <w:bottom w:val="none" w:sz="0" w:space="0" w:color="auto"/>
            <w:right w:val="none" w:sz="0" w:space="0" w:color="auto"/>
          </w:divBdr>
        </w:div>
        <w:div w:id="705568579">
          <w:marLeft w:val="0"/>
          <w:marRight w:val="0"/>
          <w:marTop w:val="0"/>
          <w:marBottom w:val="0"/>
          <w:divBdr>
            <w:top w:val="none" w:sz="0" w:space="0" w:color="auto"/>
            <w:left w:val="none" w:sz="0" w:space="0" w:color="auto"/>
            <w:bottom w:val="none" w:sz="0" w:space="0" w:color="auto"/>
            <w:right w:val="none" w:sz="0" w:space="0" w:color="auto"/>
          </w:divBdr>
        </w:div>
        <w:div w:id="1303848299">
          <w:marLeft w:val="0"/>
          <w:marRight w:val="0"/>
          <w:marTop w:val="0"/>
          <w:marBottom w:val="0"/>
          <w:divBdr>
            <w:top w:val="none" w:sz="0" w:space="0" w:color="auto"/>
            <w:left w:val="none" w:sz="0" w:space="0" w:color="auto"/>
            <w:bottom w:val="none" w:sz="0" w:space="0" w:color="auto"/>
            <w:right w:val="none" w:sz="0" w:space="0" w:color="auto"/>
          </w:divBdr>
        </w:div>
        <w:div w:id="1612132357">
          <w:marLeft w:val="0"/>
          <w:marRight w:val="0"/>
          <w:marTop w:val="0"/>
          <w:marBottom w:val="0"/>
          <w:divBdr>
            <w:top w:val="none" w:sz="0" w:space="0" w:color="auto"/>
            <w:left w:val="none" w:sz="0" w:space="0" w:color="auto"/>
            <w:bottom w:val="none" w:sz="0" w:space="0" w:color="auto"/>
            <w:right w:val="none" w:sz="0" w:space="0" w:color="auto"/>
          </w:divBdr>
        </w:div>
      </w:divsChild>
    </w:div>
    <w:div w:id="1911116059">
      <w:bodyDiv w:val="1"/>
      <w:marLeft w:val="0"/>
      <w:marRight w:val="0"/>
      <w:marTop w:val="0"/>
      <w:marBottom w:val="0"/>
      <w:divBdr>
        <w:top w:val="none" w:sz="0" w:space="0" w:color="auto"/>
        <w:left w:val="none" w:sz="0" w:space="0" w:color="auto"/>
        <w:bottom w:val="none" w:sz="0" w:space="0" w:color="auto"/>
        <w:right w:val="none" w:sz="0" w:space="0" w:color="auto"/>
      </w:divBdr>
    </w:div>
    <w:div w:id="1913540016">
      <w:bodyDiv w:val="1"/>
      <w:marLeft w:val="0"/>
      <w:marRight w:val="0"/>
      <w:marTop w:val="0"/>
      <w:marBottom w:val="0"/>
      <w:divBdr>
        <w:top w:val="none" w:sz="0" w:space="0" w:color="auto"/>
        <w:left w:val="none" w:sz="0" w:space="0" w:color="auto"/>
        <w:bottom w:val="none" w:sz="0" w:space="0" w:color="auto"/>
        <w:right w:val="none" w:sz="0" w:space="0" w:color="auto"/>
      </w:divBdr>
    </w:div>
    <w:div w:id="1921058229">
      <w:bodyDiv w:val="1"/>
      <w:marLeft w:val="0"/>
      <w:marRight w:val="0"/>
      <w:marTop w:val="0"/>
      <w:marBottom w:val="0"/>
      <w:divBdr>
        <w:top w:val="none" w:sz="0" w:space="0" w:color="auto"/>
        <w:left w:val="none" w:sz="0" w:space="0" w:color="auto"/>
        <w:bottom w:val="none" w:sz="0" w:space="0" w:color="auto"/>
        <w:right w:val="none" w:sz="0" w:space="0" w:color="auto"/>
      </w:divBdr>
    </w:div>
    <w:div w:id="1929579584">
      <w:bodyDiv w:val="1"/>
      <w:marLeft w:val="0"/>
      <w:marRight w:val="0"/>
      <w:marTop w:val="0"/>
      <w:marBottom w:val="0"/>
      <w:divBdr>
        <w:top w:val="none" w:sz="0" w:space="0" w:color="auto"/>
        <w:left w:val="none" w:sz="0" w:space="0" w:color="auto"/>
        <w:bottom w:val="none" w:sz="0" w:space="0" w:color="auto"/>
        <w:right w:val="none" w:sz="0" w:space="0" w:color="auto"/>
      </w:divBdr>
    </w:div>
    <w:div w:id="1932736748">
      <w:bodyDiv w:val="1"/>
      <w:marLeft w:val="0"/>
      <w:marRight w:val="0"/>
      <w:marTop w:val="0"/>
      <w:marBottom w:val="0"/>
      <w:divBdr>
        <w:top w:val="none" w:sz="0" w:space="0" w:color="auto"/>
        <w:left w:val="none" w:sz="0" w:space="0" w:color="auto"/>
        <w:bottom w:val="none" w:sz="0" w:space="0" w:color="auto"/>
        <w:right w:val="none" w:sz="0" w:space="0" w:color="auto"/>
      </w:divBdr>
    </w:div>
    <w:div w:id="1934704738">
      <w:bodyDiv w:val="1"/>
      <w:marLeft w:val="0"/>
      <w:marRight w:val="0"/>
      <w:marTop w:val="0"/>
      <w:marBottom w:val="0"/>
      <w:divBdr>
        <w:top w:val="none" w:sz="0" w:space="0" w:color="auto"/>
        <w:left w:val="none" w:sz="0" w:space="0" w:color="auto"/>
        <w:bottom w:val="none" w:sz="0" w:space="0" w:color="auto"/>
        <w:right w:val="none" w:sz="0" w:space="0" w:color="auto"/>
      </w:divBdr>
    </w:div>
    <w:div w:id="1935505187">
      <w:bodyDiv w:val="1"/>
      <w:marLeft w:val="0"/>
      <w:marRight w:val="0"/>
      <w:marTop w:val="0"/>
      <w:marBottom w:val="0"/>
      <w:divBdr>
        <w:top w:val="none" w:sz="0" w:space="0" w:color="auto"/>
        <w:left w:val="none" w:sz="0" w:space="0" w:color="auto"/>
        <w:bottom w:val="none" w:sz="0" w:space="0" w:color="auto"/>
        <w:right w:val="none" w:sz="0" w:space="0" w:color="auto"/>
      </w:divBdr>
    </w:div>
    <w:div w:id="1941404354">
      <w:bodyDiv w:val="1"/>
      <w:marLeft w:val="0"/>
      <w:marRight w:val="0"/>
      <w:marTop w:val="0"/>
      <w:marBottom w:val="0"/>
      <w:divBdr>
        <w:top w:val="none" w:sz="0" w:space="0" w:color="auto"/>
        <w:left w:val="none" w:sz="0" w:space="0" w:color="auto"/>
        <w:bottom w:val="none" w:sz="0" w:space="0" w:color="auto"/>
        <w:right w:val="none" w:sz="0" w:space="0" w:color="auto"/>
      </w:divBdr>
      <w:divsChild>
        <w:div w:id="872156104">
          <w:marLeft w:val="0"/>
          <w:marRight w:val="0"/>
          <w:marTop w:val="0"/>
          <w:marBottom w:val="0"/>
          <w:divBdr>
            <w:top w:val="none" w:sz="0" w:space="0" w:color="auto"/>
            <w:left w:val="none" w:sz="0" w:space="0" w:color="auto"/>
            <w:bottom w:val="none" w:sz="0" w:space="0" w:color="auto"/>
            <w:right w:val="none" w:sz="0" w:space="0" w:color="auto"/>
          </w:divBdr>
          <w:divsChild>
            <w:div w:id="1749620085">
              <w:marLeft w:val="0"/>
              <w:marRight w:val="0"/>
              <w:marTop w:val="0"/>
              <w:marBottom w:val="0"/>
              <w:divBdr>
                <w:top w:val="none" w:sz="0" w:space="0" w:color="auto"/>
                <w:left w:val="none" w:sz="0" w:space="0" w:color="auto"/>
                <w:bottom w:val="none" w:sz="0" w:space="0" w:color="auto"/>
                <w:right w:val="none" w:sz="0" w:space="0" w:color="auto"/>
              </w:divBdr>
            </w:div>
            <w:div w:id="1985967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2276439">
      <w:bodyDiv w:val="1"/>
      <w:marLeft w:val="0"/>
      <w:marRight w:val="0"/>
      <w:marTop w:val="0"/>
      <w:marBottom w:val="0"/>
      <w:divBdr>
        <w:top w:val="none" w:sz="0" w:space="0" w:color="auto"/>
        <w:left w:val="none" w:sz="0" w:space="0" w:color="auto"/>
        <w:bottom w:val="none" w:sz="0" w:space="0" w:color="auto"/>
        <w:right w:val="none" w:sz="0" w:space="0" w:color="auto"/>
      </w:divBdr>
    </w:div>
    <w:div w:id="1954163343">
      <w:bodyDiv w:val="1"/>
      <w:marLeft w:val="0"/>
      <w:marRight w:val="0"/>
      <w:marTop w:val="0"/>
      <w:marBottom w:val="0"/>
      <w:divBdr>
        <w:top w:val="none" w:sz="0" w:space="0" w:color="auto"/>
        <w:left w:val="none" w:sz="0" w:space="0" w:color="auto"/>
        <w:bottom w:val="none" w:sz="0" w:space="0" w:color="auto"/>
        <w:right w:val="none" w:sz="0" w:space="0" w:color="auto"/>
      </w:divBdr>
    </w:div>
    <w:div w:id="1986928666">
      <w:bodyDiv w:val="1"/>
      <w:marLeft w:val="0"/>
      <w:marRight w:val="0"/>
      <w:marTop w:val="0"/>
      <w:marBottom w:val="0"/>
      <w:divBdr>
        <w:top w:val="none" w:sz="0" w:space="0" w:color="auto"/>
        <w:left w:val="none" w:sz="0" w:space="0" w:color="auto"/>
        <w:bottom w:val="none" w:sz="0" w:space="0" w:color="auto"/>
        <w:right w:val="none" w:sz="0" w:space="0" w:color="auto"/>
      </w:divBdr>
    </w:div>
    <w:div w:id="2008048514">
      <w:bodyDiv w:val="1"/>
      <w:marLeft w:val="0"/>
      <w:marRight w:val="0"/>
      <w:marTop w:val="0"/>
      <w:marBottom w:val="0"/>
      <w:divBdr>
        <w:top w:val="none" w:sz="0" w:space="0" w:color="auto"/>
        <w:left w:val="none" w:sz="0" w:space="0" w:color="auto"/>
        <w:bottom w:val="none" w:sz="0" w:space="0" w:color="auto"/>
        <w:right w:val="none" w:sz="0" w:space="0" w:color="auto"/>
      </w:divBdr>
    </w:div>
    <w:div w:id="2012874366">
      <w:bodyDiv w:val="1"/>
      <w:marLeft w:val="0"/>
      <w:marRight w:val="0"/>
      <w:marTop w:val="0"/>
      <w:marBottom w:val="0"/>
      <w:divBdr>
        <w:top w:val="none" w:sz="0" w:space="0" w:color="auto"/>
        <w:left w:val="none" w:sz="0" w:space="0" w:color="auto"/>
        <w:bottom w:val="none" w:sz="0" w:space="0" w:color="auto"/>
        <w:right w:val="none" w:sz="0" w:space="0" w:color="auto"/>
      </w:divBdr>
    </w:div>
    <w:div w:id="2031298367">
      <w:bodyDiv w:val="1"/>
      <w:marLeft w:val="0"/>
      <w:marRight w:val="0"/>
      <w:marTop w:val="0"/>
      <w:marBottom w:val="0"/>
      <w:divBdr>
        <w:top w:val="none" w:sz="0" w:space="0" w:color="auto"/>
        <w:left w:val="none" w:sz="0" w:space="0" w:color="auto"/>
        <w:bottom w:val="none" w:sz="0" w:space="0" w:color="auto"/>
        <w:right w:val="none" w:sz="0" w:space="0" w:color="auto"/>
      </w:divBdr>
      <w:divsChild>
        <w:div w:id="285818572">
          <w:marLeft w:val="0"/>
          <w:marRight w:val="0"/>
          <w:marTop w:val="0"/>
          <w:marBottom w:val="0"/>
          <w:divBdr>
            <w:top w:val="none" w:sz="0" w:space="0" w:color="auto"/>
            <w:left w:val="none" w:sz="0" w:space="0" w:color="auto"/>
            <w:bottom w:val="none" w:sz="0" w:space="0" w:color="auto"/>
            <w:right w:val="none" w:sz="0" w:space="0" w:color="auto"/>
          </w:divBdr>
        </w:div>
        <w:div w:id="299725883">
          <w:marLeft w:val="0"/>
          <w:marRight w:val="0"/>
          <w:marTop w:val="0"/>
          <w:marBottom w:val="0"/>
          <w:divBdr>
            <w:top w:val="none" w:sz="0" w:space="0" w:color="auto"/>
            <w:left w:val="none" w:sz="0" w:space="0" w:color="auto"/>
            <w:bottom w:val="none" w:sz="0" w:space="0" w:color="auto"/>
            <w:right w:val="none" w:sz="0" w:space="0" w:color="auto"/>
          </w:divBdr>
        </w:div>
        <w:div w:id="478884183">
          <w:marLeft w:val="0"/>
          <w:marRight w:val="0"/>
          <w:marTop w:val="0"/>
          <w:marBottom w:val="0"/>
          <w:divBdr>
            <w:top w:val="none" w:sz="0" w:space="0" w:color="auto"/>
            <w:left w:val="none" w:sz="0" w:space="0" w:color="auto"/>
            <w:bottom w:val="none" w:sz="0" w:space="0" w:color="auto"/>
            <w:right w:val="none" w:sz="0" w:space="0" w:color="auto"/>
          </w:divBdr>
        </w:div>
        <w:div w:id="541938974">
          <w:marLeft w:val="0"/>
          <w:marRight w:val="0"/>
          <w:marTop w:val="0"/>
          <w:marBottom w:val="0"/>
          <w:divBdr>
            <w:top w:val="none" w:sz="0" w:space="0" w:color="auto"/>
            <w:left w:val="none" w:sz="0" w:space="0" w:color="auto"/>
            <w:bottom w:val="none" w:sz="0" w:space="0" w:color="auto"/>
            <w:right w:val="none" w:sz="0" w:space="0" w:color="auto"/>
          </w:divBdr>
        </w:div>
        <w:div w:id="543521751">
          <w:marLeft w:val="0"/>
          <w:marRight w:val="0"/>
          <w:marTop w:val="0"/>
          <w:marBottom w:val="0"/>
          <w:divBdr>
            <w:top w:val="none" w:sz="0" w:space="0" w:color="auto"/>
            <w:left w:val="none" w:sz="0" w:space="0" w:color="auto"/>
            <w:bottom w:val="none" w:sz="0" w:space="0" w:color="auto"/>
            <w:right w:val="none" w:sz="0" w:space="0" w:color="auto"/>
          </w:divBdr>
        </w:div>
        <w:div w:id="786199838">
          <w:marLeft w:val="0"/>
          <w:marRight w:val="0"/>
          <w:marTop w:val="0"/>
          <w:marBottom w:val="0"/>
          <w:divBdr>
            <w:top w:val="none" w:sz="0" w:space="0" w:color="auto"/>
            <w:left w:val="none" w:sz="0" w:space="0" w:color="auto"/>
            <w:bottom w:val="none" w:sz="0" w:space="0" w:color="auto"/>
            <w:right w:val="none" w:sz="0" w:space="0" w:color="auto"/>
          </w:divBdr>
        </w:div>
        <w:div w:id="1105534937">
          <w:marLeft w:val="0"/>
          <w:marRight w:val="0"/>
          <w:marTop w:val="0"/>
          <w:marBottom w:val="0"/>
          <w:divBdr>
            <w:top w:val="none" w:sz="0" w:space="0" w:color="auto"/>
            <w:left w:val="none" w:sz="0" w:space="0" w:color="auto"/>
            <w:bottom w:val="none" w:sz="0" w:space="0" w:color="auto"/>
            <w:right w:val="none" w:sz="0" w:space="0" w:color="auto"/>
          </w:divBdr>
        </w:div>
        <w:div w:id="1508639918">
          <w:marLeft w:val="0"/>
          <w:marRight w:val="0"/>
          <w:marTop w:val="0"/>
          <w:marBottom w:val="0"/>
          <w:divBdr>
            <w:top w:val="none" w:sz="0" w:space="0" w:color="auto"/>
            <w:left w:val="none" w:sz="0" w:space="0" w:color="auto"/>
            <w:bottom w:val="none" w:sz="0" w:space="0" w:color="auto"/>
            <w:right w:val="none" w:sz="0" w:space="0" w:color="auto"/>
          </w:divBdr>
        </w:div>
        <w:div w:id="1618442465">
          <w:marLeft w:val="0"/>
          <w:marRight w:val="0"/>
          <w:marTop w:val="0"/>
          <w:marBottom w:val="0"/>
          <w:divBdr>
            <w:top w:val="none" w:sz="0" w:space="0" w:color="auto"/>
            <w:left w:val="none" w:sz="0" w:space="0" w:color="auto"/>
            <w:bottom w:val="none" w:sz="0" w:space="0" w:color="auto"/>
            <w:right w:val="none" w:sz="0" w:space="0" w:color="auto"/>
          </w:divBdr>
        </w:div>
        <w:div w:id="1928536324">
          <w:marLeft w:val="0"/>
          <w:marRight w:val="0"/>
          <w:marTop w:val="0"/>
          <w:marBottom w:val="0"/>
          <w:divBdr>
            <w:top w:val="none" w:sz="0" w:space="0" w:color="auto"/>
            <w:left w:val="none" w:sz="0" w:space="0" w:color="auto"/>
            <w:bottom w:val="none" w:sz="0" w:space="0" w:color="auto"/>
            <w:right w:val="none" w:sz="0" w:space="0" w:color="auto"/>
          </w:divBdr>
        </w:div>
        <w:div w:id="1986160463">
          <w:marLeft w:val="0"/>
          <w:marRight w:val="0"/>
          <w:marTop w:val="0"/>
          <w:marBottom w:val="0"/>
          <w:divBdr>
            <w:top w:val="none" w:sz="0" w:space="0" w:color="auto"/>
            <w:left w:val="none" w:sz="0" w:space="0" w:color="auto"/>
            <w:bottom w:val="none" w:sz="0" w:space="0" w:color="auto"/>
            <w:right w:val="none" w:sz="0" w:space="0" w:color="auto"/>
          </w:divBdr>
          <w:divsChild>
            <w:div w:id="31392902">
              <w:marLeft w:val="0"/>
              <w:marRight w:val="0"/>
              <w:marTop w:val="0"/>
              <w:marBottom w:val="0"/>
              <w:divBdr>
                <w:top w:val="none" w:sz="0" w:space="0" w:color="auto"/>
                <w:left w:val="none" w:sz="0" w:space="0" w:color="auto"/>
                <w:bottom w:val="none" w:sz="0" w:space="0" w:color="auto"/>
                <w:right w:val="none" w:sz="0" w:space="0" w:color="auto"/>
              </w:divBdr>
            </w:div>
            <w:div w:id="119109522">
              <w:marLeft w:val="0"/>
              <w:marRight w:val="0"/>
              <w:marTop w:val="0"/>
              <w:marBottom w:val="0"/>
              <w:divBdr>
                <w:top w:val="none" w:sz="0" w:space="0" w:color="auto"/>
                <w:left w:val="none" w:sz="0" w:space="0" w:color="auto"/>
                <w:bottom w:val="none" w:sz="0" w:space="0" w:color="auto"/>
                <w:right w:val="none" w:sz="0" w:space="0" w:color="auto"/>
              </w:divBdr>
            </w:div>
            <w:div w:id="230431282">
              <w:marLeft w:val="0"/>
              <w:marRight w:val="0"/>
              <w:marTop w:val="0"/>
              <w:marBottom w:val="0"/>
              <w:divBdr>
                <w:top w:val="none" w:sz="0" w:space="0" w:color="auto"/>
                <w:left w:val="none" w:sz="0" w:space="0" w:color="auto"/>
                <w:bottom w:val="none" w:sz="0" w:space="0" w:color="auto"/>
                <w:right w:val="none" w:sz="0" w:space="0" w:color="auto"/>
              </w:divBdr>
            </w:div>
            <w:div w:id="699627192">
              <w:marLeft w:val="0"/>
              <w:marRight w:val="0"/>
              <w:marTop w:val="0"/>
              <w:marBottom w:val="0"/>
              <w:divBdr>
                <w:top w:val="none" w:sz="0" w:space="0" w:color="auto"/>
                <w:left w:val="none" w:sz="0" w:space="0" w:color="auto"/>
                <w:bottom w:val="none" w:sz="0" w:space="0" w:color="auto"/>
                <w:right w:val="none" w:sz="0" w:space="0" w:color="auto"/>
              </w:divBdr>
            </w:div>
            <w:div w:id="1202088357">
              <w:marLeft w:val="0"/>
              <w:marRight w:val="0"/>
              <w:marTop w:val="0"/>
              <w:marBottom w:val="0"/>
              <w:divBdr>
                <w:top w:val="none" w:sz="0" w:space="0" w:color="auto"/>
                <w:left w:val="none" w:sz="0" w:space="0" w:color="auto"/>
                <w:bottom w:val="none" w:sz="0" w:space="0" w:color="auto"/>
                <w:right w:val="none" w:sz="0" w:space="0" w:color="auto"/>
              </w:divBdr>
            </w:div>
            <w:div w:id="2144039143">
              <w:marLeft w:val="0"/>
              <w:marRight w:val="0"/>
              <w:marTop w:val="0"/>
              <w:marBottom w:val="0"/>
              <w:divBdr>
                <w:top w:val="none" w:sz="0" w:space="0" w:color="auto"/>
                <w:left w:val="none" w:sz="0" w:space="0" w:color="auto"/>
                <w:bottom w:val="none" w:sz="0" w:space="0" w:color="auto"/>
                <w:right w:val="none" w:sz="0" w:space="0" w:color="auto"/>
              </w:divBdr>
            </w:div>
          </w:divsChild>
        </w:div>
        <w:div w:id="2124106103">
          <w:marLeft w:val="0"/>
          <w:marRight w:val="0"/>
          <w:marTop w:val="0"/>
          <w:marBottom w:val="0"/>
          <w:divBdr>
            <w:top w:val="none" w:sz="0" w:space="0" w:color="auto"/>
            <w:left w:val="none" w:sz="0" w:space="0" w:color="auto"/>
            <w:bottom w:val="none" w:sz="0" w:space="0" w:color="auto"/>
            <w:right w:val="none" w:sz="0" w:space="0" w:color="auto"/>
          </w:divBdr>
        </w:div>
      </w:divsChild>
    </w:div>
    <w:div w:id="2032605535">
      <w:bodyDiv w:val="1"/>
      <w:marLeft w:val="0"/>
      <w:marRight w:val="0"/>
      <w:marTop w:val="0"/>
      <w:marBottom w:val="0"/>
      <w:divBdr>
        <w:top w:val="none" w:sz="0" w:space="0" w:color="auto"/>
        <w:left w:val="none" w:sz="0" w:space="0" w:color="auto"/>
        <w:bottom w:val="none" w:sz="0" w:space="0" w:color="auto"/>
        <w:right w:val="none" w:sz="0" w:space="0" w:color="auto"/>
      </w:divBdr>
    </w:div>
    <w:div w:id="2037349399">
      <w:bodyDiv w:val="1"/>
      <w:marLeft w:val="0"/>
      <w:marRight w:val="0"/>
      <w:marTop w:val="0"/>
      <w:marBottom w:val="0"/>
      <w:divBdr>
        <w:top w:val="none" w:sz="0" w:space="0" w:color="auto"/>
        <w:left w:val="none" w:sz="0" w:space="0" w:color="auto"/>
        <w:bottom w:val="none" w:sz="0" w:space="0" w:color="auto"/>
        <w:right w:val="none" w:sz="0" w:space="0" w:color="auto"/>
      </w:divBdr>
      <w:divsChild>
        <w:div w:id="1359241146">
          <w:marLeft w:val="0"/>
          <w:marRight w:val="0"/>
          <w:marTop w:val="0"/>
          <w:marBottom w:val="0"/>
          <w:divBdr>
            <w:top w:val="none" w:sz="0" w:space="0" w:color="auto"/>
            <w:left w:val="none" w:sz="0" w:space="0" w:color="auto"/>
            <w:bottom w:val="none" w:sz="0" w:space="0" w:color="auto"/>
            <w:right w:val="none" w:sz="0" w:space="0" w:color="auto"/>
          </w:divBdr>
          <w:divsChild>
            <w:div w:id="158204934">
              <w:marLeft w:val="0"/>
              <w:marRight w:val="0"/>
              <w:marTop w:val="0"/>
              <w:marBottom w:val="0"/>
              <w:divBdr>
                <w:top w:val="none" w:sz="0" w:space="0" w:color="auto"/>
                <w:left w:val="none" w:sz="0" w:space="0" w:color="auto"/>
                <w:bottom w:val="none" w:sz="0" w:space="0" w:color="auto"/>
                <w:right w:val="none" w:sz="0" w:space="0" w:color="auto"/>
              </w:divBdr>
              <w:divsChild>
                <w:div w:id="149430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4135181">
      <w:bodyDiv w:val="1"/>
      <w:marLeft w:val="0"/>
      <w:marRight w:val="0"/>
      <w:marTop w:val="0"/>
      <w:marBottom w:val="0"/>
      <w:divBdr>
        <w:top w:val="none" w:sz="0" w:space="0" w:color="auto"/>
        <w:left w:val="none" w:sz="0" w:space="0" w:color="auto"/>
        <w:bottom w:val="none" w:sz="0" w:space="0" w:color="auto"/>
        <w:right w:val="none" w:sz="0" w:space="0" w:color="auto"/>
      </w:divBdr>
    </w:div>
    <w:div w:id="2074280334">
      <w:bodyDiv w:val="1"/>
      <w:marLeft w:val="0"/>
      <w:marRight w:val="0"/>
      <w:marTop w:val="0"/>
      <w:marBottom w:val="0"/>
      <w:divBdr>
        <w:top w:val="none" w:sz="0" w:space="0" w:color="auto"/>
        <w:left w:val="none" w:sz="0" w:space="0" w:color="auto"/>
        <w:bottom w:val="none" w:sz="0" w:space="0" w:color="auto"/>
        <w:right w:val="none" w:sz="0" w:space="0" w:color="auto"/>
      </w:divBdr>
      <w:divsChild>
        <w:div w:id="1647590097">
          <w:marLeft w:val="0"/>
          <w:marRight w:val="0"/>
          <w:marTop w:val="0"/>
          <w:marBottom w:val="0"/>
          <w:divBdr>
            <w:top w:val="none" w:sz="0" w:space="0" w:color="auto"/>
            <w:left w:val="none" w:sz="0" w:space="0" w:color="auto"/>
            <w:bottom w:val="none" w:sz="0" w:space="0" w:color="auto"/>
            <w:right w:val="none" w:sz="0" w:space="0" w:color="auto"/>
          </w:divBdr>
          <w:divsChild>
            <w:div w:id="1266306079">
              <w:marLeft w:val="0"/>
              <w:marRight w:val="0"/>
              <w:marTop w:val="0"/>
              <w:marBottom w:val="0"/>
              <w:divBdr>
                <w:top w:val="none" w:sz="0" w:space="0" w:color="auto"/>
                <w:left w:val="none" w:sz="0" w:space="0" w:color="auto"/>
                <w:bottom w:val="none" w:sz="0" w:space="0" w:color="auto"/>
                <w:right w:val="none" w:sz="0" w:space="0" w:color="auto"/>
              </w:divBdr>
              <w:divsChild>
                <w:div w:id="92283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555456">
      <w:bodyDiv w:val="1"/>
      <w:marLeft w:val="0"/>
      <w:marRight w:val="0"/>
      <w:marTop w:val="0"/>
      <w:marBottom w:val="0"/>
      <w:divBdr>
        <w:top w:val="none" w:sz="0" w:space="0" w:color="auto"/>
        <w:left w:val="none" w:sz="0" w:space="0" w:color="auto"/>
        <w:bottom w:val="none" w:sz="0" w:space="0" w:color="auto"/>
        <w:right w:val="none" w:sz="0" w:space="0" w:color="auto"/>
      </w:divBdr>
    </w:div>
    <w:div w:id="2092702304">
      <w:bodyDiv w:val="1"/>
      <w:marLeft w:val="0"/>
      <w:marRight w:val="0"/>
      <w:marTop w:val="0"/>
      <w:marBottom w:val="0"/>
      <w:divBdr>
        <w:top w:val="none" w:sz="0" w:space="0" w:color="auto"/>
        <w:left w:val="none" w:sz="0" w:space="0" w:color="auto"/>
        <w:bottom w:val="none" w:sz="0" w:space="0" w:color="auto"/>
        <w:right w:val="none" w:sz="0" w:space="0" w:color="auto"/>
      </w:divBdr>
    </w:div>
    <w:div w:id="2095203182">
      <w:bodyDiv w:val="1"/>
      <w:marLeft w:val="0"/>
      <w:marRight w:val="0"/>
      <w:marTop w:val="0"/>
      <w:marBottom w:val="0"/>
      <w:divBdr>
        <w:top w:val="none" w:sz="0" w:space="0" w:color="auto"/>
        <w:left w:val="none" w:sz="0" w:space="0" w:color="auto"/>
        <w:bottom w:val="none" w:sz="0" w:space="0" w:color="auto"/>
        <w:right w:val="none" w:sz="0" w:space="0" w:color="auto"/>
      </w:divBdr>
    </w:div>
    <w:div w:id="2102950099">
      <w:bodyDiv w:val="1"/>
      <w:marLeft w:val="0"/>
      <w:marRight w:val="0"/>
      <w:marTop w:val="0"/>
      <w:marBottom w:val="0"/>
      <w:divBdr>
        <w:top w:val="none" w:sz="0" w:space="0" w:color="auto"/>
        <w:left w:val="none" w:sz="0" w:space="0" w:color="auto"/>
        <w:bottom w:val="none" w:sz="0" w:space="0" w:color="auto"/>
        <w:right w:val="none" w:sz="0" w:space="0" w:color="auto"/>
      </w:divBdr>
      <w:divsChild>
        <w:div w:id="570193454">
          <w:marLeft w:val="0"/>
          <w:marRight w:val="0"/>
          <w:marTop w:val="0"/>
          <w:marBottom w:val="0"/>
          <w:divBdr>
            <w:top w:val="none" w:sz="0" w:space="0" w:color="auto"/>
            <w:left w:val="none" w:sz="0" w:space="0" w:color="auto"/>
            <w:bottom w:val="none" w:sz="0" w:space="0" w:color="auto"/>
            <w:right w:val="none" w:sz="0" w:space="0" w:color="auto"/>
          </w:divBdr>
        </w:div>
        <w:div w:id="610279058">
          <w:marLeft w:val="0"/>
          <w:marRight w:val="0"/>
          <w:marTop w:val="0"/>
          <w:marBottom w:val="0"/>
          <w:divBdr>
            <w:top w:val="none" w:sz="0" w:space="0" w:color="auto"/>
            <w:left w:val="none" w:sz="0" w:space="0" w:color="auto"/>
            <w:bottom w:val="none" w:sz="0" w:space="0" w:color="auto"/>
            <w:right w:val="none" w:sz="0" w:space="0" w:color="auto"/>
          </w:divBdr>
        </w:div>
        <w:div w:id="919755521">
          <w:marLeft w:val="0"/>
          <w:marRight w:val="0"/>
          <w:marTop w:val="0"/>
          <w:marBottom w:val="0"/>
          <w:divBdr>
            <w:top w:val="none" w:sz="0" w:space="0" w:color="auto"/>
            <w:left w:val="none" w:sz="0" w:space="0" w:color="auto"/>
            <w:bottom w:val="none" w:sz="0" w:space="0" w:color="auto"/>
            <w:right w:val="none" w:sz="0" w:space="0" w:color="auto"/>
          </w:divBdr>
        </w:div>
        <w:div w:id="1393038040">
          <w:marLeft w:val="0"/>
          <w:marRight w:val="0"/>
          <w:marTop w:val="0"/>
          <w:marBottom w:val="0"/>
          <w:divBdr>
            <w:top w:val="none" w:sz="0" w:space="0" w:color="auto"/>
            <w:left w:val="none" w:sz="0" w:space="0" w:color="auto"/>
            <w:bottom w:val="none" w:sz="0" w:space="0" w:color="auto"/>
            <w:right w:val="none" w:sz="0" w:space="0" w:color="auto"/>
          </w:divBdr>
        </w:div>
        <w:div w:id="1544902233">
          <w:marLeft w:val="0"/>
          <w:marRight w:val="0"/>
          <w:marTop w:val="0"/>
          <w:marBottom w:val="0"/>
          <w:divBdr>
            <w:top w:val="none" w:sz="0" w:space="0" w:color="auto"/>
            <w:left w:val="none" w:sz="0" w:space="0" w:color="auto"/>
            <w:bottom w:val="none" w:sz="0" w:space="0" w:color="auto"/>
            <w:right w:val="none" w:sz="0" w:space="0" w:color="auto"/>
          </w:divBdr>
        </w:div>
        <w:div w:id="1708673901">
          <w:marLeft w:val="0"/>
          <w:marRight w:val="0"/>
          <w:marTop w:val="0"/>
          <w:marBottom w:val="0"/>
          <w:divBdr>
            <w:top w:val="none" w:sz="0" w:space="0" w:color="auto"/>
            <w:left w:val="none" w:sz="0" w:space="0" w:color="auto"/>
            <w:bottom w:val="none" w:sz="0" w:space="0" w:color="auto"/>
            <w:right w:val="none" w:sz="0" w:space="0" w:color="auto"/>
          </w:divBdr>
        </w:div>
      </w:divsChild>
    </w:div>
    <w:div w:id="2123109624">
      <w:bodyDiv w:val="1"/>
      <w:marLeft w:val="0"/>
      <w:marRight w:val="0"/>
      <w:marTop w:val="0"/>
      <w:marBottom w:val="0"/>
      <w:divBdr>
        <w:top w:val="none" w:sz="0" w:space="0" w:color="auto"/>
        <w:left w:val="none" w:sz="0" w:space="0" w:color="auto"/>
        <w:bottom w:val="none" w:sz="0" w:space="0" w:color="auto"/>
        <w:right w:val="none" w:sz="0" w:space="0" w:color="auto"/>
      </w:divBdr>
      <w:divsChild>
        <w:div w:id="2065980699">
          <w:marLeft w:val="0"/>
          <w:marRight w:val="0"/>
          <w:marTop w:val="0"/>
          <w:marBottom w:val="0"/>
          <w:divBdr>
            <w:top w:val="none" w:sz="0" w:space="0" w:color="auto"/>
            <w:left w:val="none" w:sz="0" w:space="0" w:color="auto"/>
            <w:bottom w:val="none" w:sz="0" w:space="0" w:color="auto"/>
            <w:right w:val="none" w:sz="0" w:space="0" w:color="auto"/>
          </w:divBdr>
          <w:divsChild>
            <w:div w:id="349992134">
              <w:marLeft w:val="0"/>
              <w:marRight w:val="0"/>
              <w:marTop w:val="0"/>
              <w:marBottom w:val="0"/>
              <w:divBdr>
                <w:top w:val="none" w:sz="0" w:space="0" w:color="auto"/>
                <w:left w:val="none" w:sz="0" w:space="0" w:color="auto"/>
                <w:bottom w:val="none" w:sz="0" w:space="0" w:color="auto"/>
                <w:right w:val="none" w:sz="0" w:space="0" w:color="auto"/>
              </w:divBdr>
              <w:divsChild>
                <w:div w:id="109825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4514882">
      <w:bodyDiv w:val="1"/>
      <w:marLeft w:val="0"/>
      <w:marRight w:val="0"/>
      <w:marTop w:val="0"/>
      <w:marBottom w:val="0"/>
      <w:divBdr>
        <w:top w:val="none" w:sz="0" w:space="0" w:color="auto"/>
        <w:left w:val="none" w:sz="0" w:space="0" w:color="auto"/>
        <w:bottom w:val="none" w:sz="0" w:space="0" w:color="auto"/>
        <w:right w:val="none" w:sz="0" w:space="0" w:color="auto"/>
      </w:divBdr>
    </w:div>
    <w:div w:id="2134707431">
      <w:bodyDiv w:val="1"/>
      <w:marLeft w:val="0"/>
      <w:marRight w:val="0"/>
      <w:marTop w:val="0"/>
      <w:marBottom w:val="0"/>
      <w:divBdr>
        <w:top w:val="none" w:sz="0" w:space="0" w:color="auto"/>
        <w:left w:val="none" w:sz="0" w:space="0" w:color="auto"/>
        <w:bottom w:val="none" w:sz="0" w:space="0" w:color="auto"/>
        <w:right w:val="none" w:sz="0" w:space="0" w:color="auto"/>
      </w:divBdr>
    </w:div>
    <w:div w:id="21381840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mena.cabezas\AppData\Local\Microsoft\Windows\INetCache\Content.Outlook\N37DCYCK\Respuesta%20a%20consultas.dotm" TargetMode="External"/></Relationships>
</file>

<file path=word/theme/theme1.xml><?xml version="1.0" encoding="utf-8"?>
<a:theme xmlns:a="http://schemas.openxmlformats.org/drawingml/2006/main" name="Tema de Office">
  <a:themeElements>
    <a:clrScheme name="Personalizado 2">
      <a:dk1>
        <a:sysClr val="windowText" lastClr="000000"/>
      </a:dk1>
      <a:lt1>
        <a:srgbClr val="DBDBDB"/>
      </a:lt1>
      <a:dk2>
        <a:srgbClr val="0E63A8"/>
      </a:dk2>
      <a:lt2>
        <a:srgbClr val="F2F2F2"/>
      </a:lt2>
      <a:accent1>
        <a:srgbClr val="4F81BD"/>
      </a:accent1>
      <a:accent2>
        <a:srgbClr val="FFFFFF"/>
      </a:accent2>
      <a:accent3>
        <a:srgbClr val="DBDBDB"/>
      </a:accent3>
      <a:accent4>
        <a:srgbClr val="F2F2F2"/>
      </a:accent4>
      <a:accent5>
        <a:srgbClr val="F2F2F2"/>
      </a:accent5>
      <a:accent6>
        <a:srgbClr val="F2F2F2"/>
      </a:accent6>
      <a:hlink>
        <a:srgbClr val="F2F2F2"/>
      </a:hlink>
      <a:folHlink>
        <a:srgbClr val="F2F2F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lcf76f155ced4ddcb4097134ff3c332f xmlns="9d85dbaf-23eb-4e57-a637-93dcacc8b1a1">
      <Terms xmlns="http://schemas.microsoft.com/office/infopath/2007/PartnerControls"/>
    </lcf76f155ced4ddcb4097134ff3c332f>
    <_Flow_SignoffStatus xmlns="9d85dbaf-23eb-4e57-a637-93dcacc8b1a1" xsi:nil="true"/>
  </documentManagement>
</p:properties>
</file>

<file path=customXml/itemProps1.xml><?xml version="1.0" encoding="utf-8"?>
<ds:datastoreItem xmlns:ds="http://schemas.openxmlformats.org/officeDocument/2006/customXml" ds:itemID="{108AACCB-338D-4E1C-91B3-8763C3BB18FA}">
  <ds:schemaRefs>
    <ds:schemaRef ds:uri="http://schemas.microsoft.com/sharepoint/v3/contenttype/forms"/>
  </ds:schemaRefs>
</ds:datastoreItem>
</file>

<file path=customXml/itemProps2.xml><?xml version="1.0" encoding="utf-8"?>
<ds:datastoreItem xmlns:ds="http://schemas.openxmlformats.org/officeDocument/2006/customXml" ds:itemID="{96E42282-D077-45CA-8B22-FA407503A13B}">
  <ds:schemaRefs>
    <ds:schemaRef ds:uri="http://schemas.openxmlformats.org/officeDocument/2006/bibliography"/>
  </ds:schemaRefs>
</ds:datastoreItem>
</file>

<file path=customXml/itemProps3.xml><?xml version="1.0" encoding="utf-8"?>
<ds:datastoreItem xmlns:ds="http://schemas.openxmlformats.org/officeDocument/2006/customXml" ds:itemID="{4168C4CB-8CEC-44C9-987D-C817D2B16923}"/>
</file>

<file path=customXml/itemProps4.xml><?xml version="1.0" encoding="utf-8"?>
<ds:datastoreItem xmlns:ds="http://schemas.openxmlformats.org/officeDocument/2006/customXml" ds:itemID="{2D4414C5-DEED-4B13-A7CA-6B19E7E10D7B}">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docProps/app.xml><?xml version="1.0" encoding="utf-8"?>
<Properties xmlns="http://schemas.openxmlformats.org/officeDocument/2006/extended-properties" xmlns:vt="http://schemas.openxmlformats.org/officeDocument/2006/docPropsVTypes">
  <Template>C:\Users\ximena.cabezas\AppData\Local\Microsoft\Windows\INetCache\Content.Outlook\N37DCYCK\Respuesta a consultas.dotm</Template>
  <TotalTime>4</TotalTime>
  <Pages>10</Pages>
  <Words>2920</Words>
  <Characters>16062</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RESPUESTA DIRECCIÓN CONTRACTUAL</vt:lpstr>
    </vt:vector>
  </TitlesOfParts>
  <Company/>
  <LinksUpToDate>false</LinksUpToDate>
  <CharactersWithSpaces>18945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RESPUESTA DIRECCIÓN CONTRACTUAL</dc:title>
  <dc:subject/>
  <dc:creator>Ximena Alejandra Cabezas Valencia</dc:creator>
  <cp:keywords/>
  <dc:description/>
  <cp:lastModifiedBy>nicolle saenz camargo</cp:lastModifiedBy>
  <cp:revision>6</cp:revision>
  <cp:lastPrinted>2020-01-30T15:05:00Z</cp:lastPrinted>
  <dcterms:created xsi:type="dcterms:W3CDTF">2022-09-26T22:16:00Z</dcterms:created>
  <dcterms:modified xsi:type="dcterms:W3CDTF">2022-09-29T21:44:00Z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ies>
</file>