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A575F" w14:textId="77777777" w:rsidR="00DD5B04" w:rsidRPr="0085790B" w:rsidRDefault="00DD5B04" w:rsidP="00E548C3">
      <w:pPr>
        <w:jc w:val="both"/>
        <w:rPr>
          <w:rFonts w:ascii="Arial" w:eastAsia="Calibri" w:hAnsi="Arial" w:cs="Arial"/>
          <w:b/>
          <w:color w:val="000000" w:themeColor="text1"/>
          <w:sz w:val="20"/>
          <w:szCs w:val="20"/>
          <w:lang w:val="es-ES_tradnl"/>
        </w:rPr>
      </w:pPr>
      <w:bookmarkStart w:id="0" w:name="_Hlk28946138"/>
      <w:bookmarkStart w:id="1" w:name="_Hlk29548183"/>
    </w:p>
    <w:bookmarkEnd w:id="0"/>
    <w:bookmarkEnd w:id="1"/>
    <w:p w14:paraId="1BED658F" w14:textId="77777777" w:rsidR="00F02D25" w:rsidRPr="0085790B" w:rsidRDefault="00F02D25" w:rsidP="00E548C3">
      <w:pPr>
        <w:jc w:val="both"/>
        <w:rPr>
          <w:rFonts w:ascii="Arial" w:eastAsia="Calibri" w:hAnsi="Arial" w:cs="Arial"/>
          <w:b/>
          <w:bCs/>
          <w:color w:val="000000" w:themeColor="text1"/>
          <w:sz w:val="22"/>
          <w:lang w:val="es-ES_tradnl"/>
        </w:rPr>
      </w:pPr>
    </w:p>
    <w:p w14:paraId="07FA0E09" w14:textId="77777777" w:rsidR="00E95FFA" w:rsidRPr="00F666D0" w:rsidRDefault="00E95FFA" w:rsidP="00E95FFA">
      <w:pPr>
        <w:jc w:val="both"/>
        <w:rPr>
          <w:rFonts w:ascii="Arial" w:eastAsia="Calibri" w:hAnsi="Arial" w:cs="Arial"/>
          <w:b/>
          <w:bCs/>
          <w:color w:val="000000" w:themeColor="text1"/>
          <w:sz w:val="22"/>
        </w:rPr>
      </w:pPr>
      <w:bookmarkStart w:id="2" w:name="_Hlk43657288"/>
      <w:r w:rsidRPr="00F666D0">
        <w:rPr>
          <w:rFonts w:ascii="Arial" w:eastAsia="Calibri" w:hAnsi="Arial" w:cs="Arial"/>
          <w:b/>
          <w:bCs/>
          <w:color w:val="000000" w:themeColor="text1"/>
          <w:sz w:val="22"/>
        </w:rPr>
        <w:t xml:space="preserve">CONCURSO DE MÉRITOS </w:t>
      </w:r>
      <w:r w:rsidRPr="006C15D5">
        <w:rPr>
          <w:rFonts w:ascii="Arial" w:eastAsia="Calibri" w:hAnsi="Arial" w:cs="Arial"/>
          <w:b/>
          <w:color w:val="000000" w:themeColor="text1"/>
          <w:sz w:val="22"/>
        </w:rPr>
        <w:t>–</w:t>
      </w:r>
      <w:r w:rsidRPr="00F666D0">
        <w:rPr>
          <w:rFonts w:ascii="Arial" w:eastAsia="Calibri" w:hAnsi="Arial" w:cs="Arial"/>
          <w:b/>
          <w:bCs/>
          <w:color w:val="000000" w:themeColor="text1"/>
          <w:sz w:val="22"/>
        </w:rPr>
        <w:t xml:space="preserve"> Noción</w:t>
      </w:r>
    </w:p>
    <w:p w14:paraId="1EF930FC" w14:textId="77777777" w:rsidR="00E95FFA" w:rsidRPr="00F666D0" w:rsidRDefault="00E95FFA" w:rsidP="00E95FFA">
      <w:pPr>
        <w:jc w:val="both"/>
        <w:rPr>
          <w:rFonts w:ascii="Arial" w:eastAsia="Calibri" w:hAnsi="Arial" w:cs="Arial"/>
          <w:b/>
          <w:bCs/>
          <w:color w:val="000000" w:themeColor="text1"/>
          <w:sz w:val="20"/>
          <w:szCs w:val="20"/>
        </w:rPr>
      </w:pPr>
    </w:p>
    <w:p w14:paraId="58D8F27C" w14:textId="77777777" w:rsidR="00E95FFA" w:rsidRPr="00F666D0" w:rsidRDefault="00E95FFA" w:rsidP="00E95FFA">
      <w:pPr>
        <w:jc w:val="both"/>
        <w:rPr>
          <w:rFonts w:ascii="Arial" w:eastAsia="Calibri" w:hAnsi="Arial" w:cs="Arial"/>
          <w:color w:val="000000" w:themeColor="text1"/>
          <w:sz w:val="20"/>
          <w:szCs w:val="20"/>
          <w:lang w:val="es-ES"/>
        </w:rPr>
      </w:pPr>
      <w:r w:rsidRPr="00F666D0">
        <w:rPr>
          <w:rFonts w:ascii="Arial" w:eastAsia="Calibri" w:hAnsi="Arial" w:cs="Arial"/>
          <w:color w:val="000000" w:themeColor="text1"/>
          <w:sz w:val="20"/>
          <w:szCs w:val="20"/>
          <w:lang w:val="es-ES"/>
        </w:rPr>
        <w:t>El concurso de méritos es una modalidad que deben realizar las entidades estatales para escoger «consultores y proyectos», es decir, para la celebración de contratos de consultoría, entendidos estos últimos como aquellos «[…]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 según lo establecido en el artículo 32, numeral 2, de la Ley 80 de 1993 .</w:t>
      </w:r>
    </w:p>
    <w:p w14:paraId="15DB6F11" w14:textId="77777777" w:rsidR="00E95FFA" w:rsidRPr="00F666D0" w:rsidRDefault="00E95FFA" w:rsidP="00E95FFA">
      <w:pPr>
        <w:jc w:val="both"/>
        <w:rPr>
          <w:rFonts w:ascii="Arial" w:eastAsia="Calibri" w:hAnsi="Arial" w:cs="Arial"/>
          <w:color w:val="000000" w:themeColor="text1"/>
          <w:sz w:val="20"/>
          <w:szCs w:val="20"/>
          <w:lang w:val="es-ES"/>
        </w:rPr>
      </w:pPr>
    </w:p>
    <w:p w14:paraId="1E40A7DC" w14:textId="77777777" w:rsidR="00E95FFA" w:rsidRPr="00F666D0" w:rsidRDefault="00E95FFA" w:rsidP="00E95FFA">
      <w:pPr>
        <w:jc w:val="both"/>
        <w:rPr>
          <w:rFonts w:ascii="Arial" w:eastAsia="Calibri" w:hAnsi="Arial" w:cs="Arial"/>
          <w:b/>
          <w:bCs/>
          <w:color w:val="000000" w:themeColor="text1"/>
          <w:sz w:val="22"/>
        </w:rPr>
      </w:pPr>
      <w:r w:rsidRPr="00F666D0">
        <w:rPr>
          <w:rFonts w:ascii="Arial" w:eastAsia="Calibri" w:hAnsi="Arial" w:cs="Arial"/>
          <w:b/>
          <w:bCs/>
          <w:color w:val="000000" w:themeColor="text1"/>
          <w:sz w:val="22"/>
        </w:rPr>
        <w:t xml:space="preserve">CONCURSO DE MÉRITOS </w:t>
      </w:r>
      <w:r w:rsidRPr="006C15D5">
        <w:rPr>
          <w:rFonts w:ascii="Arial" w:eastAsia="Calibri" w:hAnsi="Arial" w:cs="Arial"/>
          <w:b/>
          <w:color w:val="000000" w:themeColor="text1"/>
          <w:sz w:val="22"/>
        </w:rPr>
        <w:t>–</w:t>
      </w:r>
      <w:r w:rsidRPr="00F666D0">
        <w:rPr>
          <w:rFonts w:ascii="Arial" w:eastAsia="Calibri" w:hAnsi="Arial" w:cs="Arial"/>
          <w:b/>
          <w:bCs/>
          <w:color w:val="000000" w:themeColor="text1"/>
          <w:sz w:val="22"/>
        </w:rPr>
        <w:t xml:space="preserve"> Modalidades </w:t>
      </w:r>
    </w:p>
    <w:p w14:paraId="31745DBE" w14:textId="77777777" w:rsidR="00E95FFA" w:rsidRPr="00F666D0" w:rsidRDefault="00E95FFA" w:rsidP="00E95FFA">
      <w:pPr>
        <w:jc w:val="both"/>
        <w:rPr>
          <w:rFonts w:ascii="Arial" w:eastAsia="Calibri" w:hAnsi="Arial" w:cs="Arial"/>
          <w:b/>
          <w:bCs/>
          <w:color w:val="000000" w:themeColor="text1"/>
          <w:sz w:val="20"/>
          <w:szCs w:val="20"/>
        </w:rPr>
      </w:pPr>
    </w:p>
    <w:p w14:paraId="583D0C0D" w14:textId="77777777" w:rsidR="00E95FFA" w:rsidRPr="00F666D0" w:rsidRDefault="00E95FFA" w:rsidP="00E95FFA">
      <w:pPr>
        <w:jc w:val="both"/>
        <w:rPr>
          <w:rFonts w:ascii="Arial" w:eastAsia="Calibri" w:hAnsi="Arial" w:cs="Arial"/>
          <w:color w:val="000000" w:themeColor="text1"/>
          <w:sz w:val="20"/>
          <w:szCs w:val="20"/>
          <w:lang w:val="es-ES"/>
        </w:rPr>
      </w:pPr>
      <w:r w:rsidRPr="00F666D0">
        <w:rPr>
          <w:rFonts w:ascii="Arial" w:eastAsia="Calibri" w:hAnsi="Arial" w:cs="Arial"/>
          <w:color w:val="000000" w:themeColor="text1"/>
          <w:sz w:val="20"/>
          <w:szCs w:val="20"/>
          <w:lang w:val="es-ES"/>
        </w:rPr>
        <w:t xml:space="preserve">El Libro 2, Parte 2, Título 1, Capítulo 2, Sección 1, Subsección 3 del Decreto 1082 de 2015 regula el concurso de méritos. Allí se establecen sus distintas modalidades: i) concurso de méritos abierto o sin precalificación, ii) concurso de méritos cerrado o con precalificación y iii) concurso de méritos «para la selección de consultores de diseño, planos, anteproyectos y proyectos arquitectónicos». El primero está regulado en los artículos 2.2.1.2.1.3.1. y 2.2.1.2.1.3.2. </w:t>
      </w:r>
      <w:r w:rsidRPr="005C38A3">
        <w:rPr>
          <w:rFonts w:ascii="Arial" w:eastAsia="Calibri" w:hAnsi="Arial" w:cs="Arial"/>
          <w:i/>
          <w:iCs/>
          <w:color w:val="000000" w:themeColor="text1"/>
          <w:sz w:val="20"/>
          <w:szCs w:val="20"/>
          <w:lang w:val="es-ES"/>
        </w:rPr>
        <w:t>ibídem</w:t>
      </w:r>
      <w:r w:rsidRPr="00F666D0">
        <w:rPr>
          <w:rFonts w:ascii="Arial" w:eastAsia="Calibri" w:hAnsi="Arial" w:cs="Arial"/>
          <w:color w:val="000000" w:themeColor="text1"/>
          <w:sz w:val="20"/>
          <w:szCs w:val="20"/>
          <w:lang w:val="es-ES"/>
        </w:rPr>
        <w:t xml:space="preserve">. El segundo, además de los dos artículos anteriores, lo regulan los artículos 2.2.1.2.1.3.3. a 2.2.1.2.1.3.7. </w:t>
      </w:r>
      <w:r w:rsidRPr="005C38A3">
        <w:rPr>
          <w:rFonts w:ascii="Arial" w:eastAsia="Calibri" w:hAnsi="Arial" w:cs="Arial"/>
          <w:i/>
          <w:iCs/>
          <w:color w:val="000000" w:themeColor="text1"/>
          <w:sz w:val="20"/>
          <w:szCs w:val="20"/>
          <w:lang w:val="es-ES"/>
        </w:rPr>
        <w:t>ejusdem</w:t>
      </w:r>
      <w:r w:rsidRPr="00F666D0">
        <w:rPr>
          <w:rFonts w:ascii="Arial" w:eastAsia="Calibri" w:hAnsi="Arial" w:cs="Arial"/>
          <w:color w:val="000000" w:themeColor="text1"/>
          <w:sz w:val="20"/>
          <w:szCs w:val="20"/>
          <w:lang w:val="es-ES"/>
        </w:rPr>
        <w:t>. El tercero lo regulan los artículos 2.2.1.2.1.3.8. a 2.2.1.2.1.3.25. del mencionado decreto.</w:t>
      </w:r>
    </w:p>
    <w:p w14:paraId="39043A3F" w14:textId="77777777" w:rsidR="00E95FFA" w:rsidRDefault="00E95FFA" w:rsidP="00E95FFA">
      <w:pPr>
        <w:jc w:val="both"/>
        <w:rPr>
          <w:rFonts w:ascii="Arial" w:eastAsia="Calibri" w:hAnsi="Arial" w:cs="Arial"/>
          <w:b/>
          <w:color w:val="000000" w:themeColor="text1"/>
          <w:sz w:val="22"/>
        </w:rPr>
      </w:pPr>
    </w:p>
    <w:p w14:paraId="723B4F76" w14:textId="77777777" w:rsidR="00E95FFA" w:rsidRPr="00F666D0" w:rsidRDefault="00E95FFA" w:rsidP="00E95FFA">
      <w:pPr>
        <w:jc w:val="both"/>
        <w:rPr>
          <w:rFonts w:ascii="Arial" w:eastAsia="Calibri" w:hAnsi="Arial" w:cs="Arial"/>
          <w:b/>
          <w:bCs/>
          <w:color w:val="000000" w:themeColor="text1"/>
          <w:sz w:val="20"/>
          <w:szCs w:val="20"/>
        </w:rPr>
      </w:pPr>
      <w:r w:rsidRPr="00F666D0">
        <w:rPr>
          <w:rFonts w:ascii="Arial" w:eastAsia="Calibri" w:hAnsi="Arial" w:cs="Arial"/>
          <w:b/>
          <w:bCs/>
          <w:color w:val="000000" w:themeColor="text1"/>
          <w:sz w:val="22"/>
        </w:rPr>
        <w:t xml:space="preserve">DECRETO 1082 DE 2015 </w:t>
      </w:r>
      <w:r w:rsidRPr="006C15D5">
        <w:rPr>
          <w:rFonts w:ascii="Arial" w:eastAsia="Calibri" w:hAnsi="Arial" w:cs="Arial"/>
          <w:b/>
          <w:color w:val="000000" w:themeColor="text1"/>
          <w:sz w:val="22"/>
        </w:rPr>
        <w:t>–</w:t>
      </w:r>
      <w:r w:rsidRPr="00F666D0">
        <w:rPr>
          <w:rFonts w:ascii="Arial" w:eastAsia="Calibri" w:hAnsi="Arial" w:cs="Arial"/>
          <w:b/>
          <w:bCs/>
          <w:color w:val="000000" w:themeColor="text1"/>
          <w:sz w:val="22"/>
        </w:rPr>
        <w:t xml:space="preserve"> Artículo </w:t>
      </w:r>
      <w:r>
        <w:rPr>
          <w:rFonts w:ascii="Arial" w:eastAsia="Calibri" w:hAnsi="Arial" w:cs="Arial"/>
          <w:b/>
          <w:bCs/>
          <w:color w:val="000000" w:themeColor="text1"/>
          <w:sz w:val="22"/>
        </w:rPr>
        <w:t xml:space="preserve">2.2.1.2.1.3.2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w:t>
      </w:r>
      <w:r w:rsidRPr="00F666D0">
        <w:rPr>
          <w:rFonts w:ascii="Arial" w:eastAsia="Calibri" w:hAnsi="Arial" w:cs="Arial"/>
          <w:b/>
          <w:bCs/>
          <w:color w:val="000000" w:themeColor="text1"/>
          <w:sz w:val="22"/>
        </w:rPr>
        <w:t>Suspensión provisional</w:t>
      </w:r>
      <w:r w:rsidRPr="00F666D0">
        <w:rPr>
          <w:rFonts w:ascii="Arial" w:eastAsia="Calibri" w:hAnsi="Arial" w:cs="Arial"/>
          <w:b/>
          <w:bCs/>
          <w:color w:val="000000" w:themeColor="text1"/>
          <w:sz w:val="20"/>
          <w:szCs w:val="20"/>
        </w:rPr>
        <w:t xml:space="preserve">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Selección de consultores</w:t>
      </w:r>
    </w:p>
    <w:p w14:paraId="68645421" w14:textId="77777777" w:rsidR="00E95FFA" w:rsidRPr="00F666D0" w:rsidRDefault="00E95FFA" w:rsidP="00E95FFA">
      <w:pPr>
        <w:jc w:val="both"/>
        <w:rPr>
          <w:rFonts w:ascii="Arial" w:eastAsia="Calibri" w:hAnsi="Arial" w:cs="Arial"/>
          <w:b/>
          <w:bCs/>
          <w:color w:val="000000" w:themeColor="text1"/>
          <w:sz w:val="20"/>
          <w:szCs w:val="20"/>
        </w:rPr>
      </w:pPr>
    </w:p>
    <w:p w14:paraId="6BFC7657" w14:textId="77777777" w:rsidR="00E95FFA" w:rsidRDefault="00E95FFA" w:rsidP="00E95FFA">
      <w:pPr>
        <w:spacing w:after="120"/>
        <w:jc w:val="both"/>
        <w:rPr>
          <w:rFonts w:ascii="Arial" w:eastAsia="Calibri" w:hAnsi="Arial" w:cs="Arial"/>
          <w:color w:val="000000" w:themeColor="text1"/>
          <w:sz w:val="20"/>
          <w:szCs w:val="20"/>
          <w:lang w:val="es-ES"/>
        </w:rPr>
      </w:pPr>
      <w:r>
        <w:rPr>
          <w:rFonts w:ascii="Arial" w:eastAsia="Calibri" w:hAnsi="Arial" w:cs="Arial"/>
          <w:color w:val="000000" w:themeColor="text1"/>
          <w:sz w:val="20"/>
          <w:szCs w:val="20"/>
          <w:lang w:val="es-ES"/>
        </w:rPr>
        <w:t xml:space="preserve">[…] </w:t>
      </w:r>
      <w:r w:rsidRPr="005C38A3">
        <w:rPr>
          <w:rFonts w:ascii="Arial" w:eastAsia="Calibri" w:hAnsi="Arial" w:cs="Arial"/>
          <w:color w:val="000000" w:themeColor="text1"/>
          <w:sz w:val="20"/>
          <w:szCs w:val="20"/>
        </w:rPr>
        <w:t xml:space="preserve">la Sección Tercera del Consejo de Estado, en autos del 25 de julio de 2018 y el 20 de febrero de 2019, suspendió provisionalmente, por un lado, el numeral 6 del artículo </w:t>
      </w:r>
      <w:r>
        <w:rPr>
          <w:rFonts w:ascii="Arial" w:eastAsia="Calibri" w:hAnsi="Arial" w:cs="Arial"/>
          <w:color w:val="000000" w:themeColor="text1"/>
          <w:sz w:val="20"/>
          <w:szCs w:val="20"/>
        </w:rPr>
        <w:t>2.2.1.2.1.3.2</w:t>
      </w:r>
      <w:r w:rsidRPr="005C38A3">
        <w:rPr>
          <w:rFonts w:ascii="Arial" w:eastAsia="Calibri" w:hAnsi="Arial" w:cs="Arial"/>
          <w:color w:val="000000" w:themeColor="text1"/>
          <w:sz w:val="20"/>
          <w:szCs w:val="20"/>
        </w:rPr>
        <w:t>. del Decreto 1082 de 2015 y, por el otro, los numerales 3, 4 y 5 de la misma disposición. Las normas suspendidas regulan el concurso de méritos abierto o sin precalificación</w:t>
      </w:r>
      <w:r w:rsidRPr="00F666D0">
        <w:rPr>
          <w:rFonts w:ascii="Arial" w:eastAsia="Calibri" w:hAnsi="Arial" w:cs="Arial"/>
          <w:color w:val="000000" w:themeColor="text1"/>
          <w:sz w:val="20"/>
          <w:szCs w:val="20"/>
          <w:lang w:val="es-ES"/>
        </w:rPr>
        <w:t>.</w:t>
      </w:r>
    </w:p>
    <w:p w14:paraId="4F54C737" w14:textId="77777777" w:rsidR="00E95FFA" w:rsidRDefault="00E95FFA" w:rsidP="00E95FFA">
      <w:pPr>
        <w:spacing w:after="120"/>
        <w:jc w:val="both"/>
        <w:rPr>
          <w:rFonts w:ascii="Arial" w:eastAsia="Calibri" w:hAnsi="Arial" w:cs="Arial"/>
          <w:color w:val="000000" w:themeColor="text1"/>
          <w:sz w:val="20"/>
          <w:szCs w:val="20"/>
          <w:lang w:val="es-ES"/>
        </w:rPr>
      </w:pPr>
      <w:r>
        <w:rPr>
          <w:rFonts w:ascii="Arial" w:eastAsia="Calibri" w:hAnsi="Arial" w:cs="Arial"/>
          <w:color w:val="000000" w:themeColor="text1"/>
          <w:sz w:val="20"/>
          <w:szCs w:val="20"/>
          <w:lang w:val="es-ES"/>
        </w:rPr>
        <w:t>[…]</w:t>
      </w:r>
    </w:p>
    <w:p w14:paraId="026B5A22" w14:textId="77777777" w:rsidR="00E95FFA" w:rsidRDefault="00E95FFA" w:rsidP="00E95FFA">
      <w:pPr>
        <w:jc w:val="both"/>
        <w:rPr>
          <w:rFonts w:ascii="Arial" w:eastAsia="Calibri" w:hAnsi="Arial" w:cs="Arial"/>
          <w:b/>
          <w:color w:val="000000" w:themeColor="text1"/>
          <w:sz w:val="22"/>
        </w:rPr>
      </w:pPr>
      <w:r w:rsidRPr="005C38A3">
        <w:rPr>
          <w:rFonts w:ascii="Arial" w:eastAsia="Calibri" w:hAnsi="Arial" w:cs="Arial"/>
          <w:color w:val="000000" w:themeColor="text1"/>
          <w:sz w:val="20"/>
          <w:szCs w:val="20"/>
          <w:lang w:val="es-ES"/>
        </w:rPr>
        <w:t>El Consejo de Estado considera que los numerales 3, 4 y 5 violarían el artículo 5, numeral 4, último inciso, de la Ley 1150 de 2007, pues señala que: «en ningún caso se podrá incluir el precio, como factor de escogencia para la selección de consultores», así como el artículo 25, numeral 2, de la Ley 80 de 1993 que dispone lo siguiente: «[…] las normas de los procedimientos contractuales se interpretarán de tal manera que no den ocasión a seguir trámites distintos y adicionales a los expresamente previstos […]». En este sentido, explica que la verificación de la coherencia del precio con la disponibilidad presupuestal y la necesidad de que se logre un acuerdo en relación con el mismo desconoce el principio de selección objetiva, convirtiendo el precio en un factor de selección. En lo que respecta al artículo 6, este violaría especialmente el artículo 25.18 del Estatuto General y e</w:t>
      </w:r>
      <w:r>
        <w:rPr>
          <w:rFonts w:ascii="Arial" w:eastAsia="Calibri" w:hAnsi="Arial" w:cs="Arial"/>
          <w:color w:val="000000" w:themeColor="text1"/>
          <w:sz w:val="20"/>
          <w:szCs w:val="20"/>
          <w:lang w:val="es-ES"/>
        </w:rPr>
        <w:t>l</w:t>
      </w:r>
      <w:r w:rsidRPr="005C38A3">
        <w:rPr>
          <w:rFonts w:ascii="Arial" w:eastAsia="Calibri" w:hAnsi="Arial" w:cs="Arial"/>
          <w:color w:val="000000" w:themeColor="text1"/>
          <w:sz w:val="20"/>
          <w:szCs w:val="20"/>
          <w:lang w:val="es-ES"/>
        </w:rPr>
        <w:t xml:space="preserve"> artículo 5 de la Ley 1150 de 2007, pues la declaratoria de desierta solo procede cuando no es posible la selección objetiva del contratista</w:t>
      </w:r>
      <w:r w:rsidRPr="00F666D0">
        <w:rPr>
          <w:rFonts w:ascii="Arial" w:eastAsia="Calibri" w:hAnsi="Arial" w:cs="Arial"/>
          <w:color w:val="000000" w:themeColor="text1"/>
          <w:sz w:val="20"/>
          <w:szCs w:val="20"/>
          <w:lang w:val="es-ES"/>
        </w:rPr>
        <w:t>.</w:t>
      </w:r>
    </w:p>
    <w:p w14:paraId="6B6D72F6" w14:textId="77777777" w:rsidR="00E95FFA" w:rsidRDefault="00E95FFA" w:rsidP="00E95FFA">
      <w:pPr>
        <w:jc w:val="both"/>
        <w:rPr>
          <w:rFonts w:ascii="Arial" w:eastAsia="Calibri" w:hAnsi="Arial" w:cs="Arial"/>
          <w:b/>
          <w:color w:val="000000" w:themeColor="text1"/>
          <w:sz w:val="22"/>
        </w:rPr>
      </w:pPr>
    </w:p>
    <w:p w14:paraId="60E03271" w14:textId="77777777" w:rsidR="00E95FFA" w:rsidRPr="006C15D5" w:rsidRDefault="00E95FFA" w:rsidP="00E95FFA">
      <w:pPr>
        <w:jc w:val="both"/>
        <w:rPr>
          <w:rFonts w:ascii="Arial" w:eastAsia="Calibri" w:hAnsi="Arial" w:cs="Arial"/>
          <w:b/>
          <w:color w:val="000000" w:themeColor="text1"/>
          <w:sz w:val="22"/>
        </w:rPr>
      </w:pPr>
      <w:r>
        <w:rPr>
          <w:rFonts w:ascii="Arial" w:eastAsia="Calibri" w:hAnsi="Arial" w:cs="Arial"/>
          <w:b/>
          <w:color w:val="000000" w:themeColor="text1"/>
          <w:sz w:val="22"/>
        </w:rPr>
        <w:t>CONCURSO DE MÉRITOS</w:t>
      </w:r>
      <w:r w:rsidRPr="006C15D5">
        <w:rPr>
          <w:rFonts w:ascii="Arial" w:eastAsia="Calibri" w:hAnsi="Arial" w:cs="Arial"/>
          <w:b/>
          <w:color w:val="000000" w:themeColor="text1"/>
          <w:sz w:val="22"/>
        </w:rPr>
        <w:softHyphen/>
        <w:t xml:space="preserve"> </w:t>
      </w:r>
      <w:r>
        <w:rPr>
          <w:rFonts w:ascii="Arial" w:eastAsia="Calibri" w:hAnsi="Arial" w:cs="Arial"/>
          <w:b/>
          <w:color w:val="000000" w:themeColor="text1"/>
          <w:sz w:val="22"/>
        </w:rPr>
        <w:t xml:space="preserve">– Procedimiento – </w:t>
      </w:r>
      <w:r w:rsidRPr="005C38A3">
        <w:rPr>
          <w:rFonts w:ascii="Arial" w:eastAsia="Calibri" w:hAnsi="Arial" w:cs="Arial"/>
          <w:b/>
          <w:color w:val="000000" w:themeColor="text1"/>
          <w:sz w:val="22"/>
        </w:rPr>
        <w:t>Audiencia</w:t>
      </w:r>
      <w:r>
        <w:rPr>
          <w:rFonts w:ascii="Arial" w:eastAsia="Calibri" w:hAnsi="Arial" w:cs="Arial"/>
          <w:b/>
          <w:color w:val="000000" w:themeColor="text1"/>
          <w:sz w:val="22"/>
        </w:rPr>
        <w:t xml:space="preserve"> – O</w:t>
      </w:r>
      <w:r w:rsidRPr="005C38A3">
        <w:rPr>
          <w:rFonts w:ascii="Arial" w:eastAsia="Calibri" w:hAnsi="Arial" w:cs="Arial"/>
          <w:b/>
          <w:color w:val="000000" w:themeColor="text1"/>
          <w:sz w:val="22"/>
        </w:rPr>
        <w:t>rden de elegibilidad</w:t>
      </w:r>
      <w:r>
        <w:rPr>
          <w:rFonts w:ascii="Arial" w:eastAsia="Calibri" w:hAnsi="Arial" w:cs="Arial"/>
          <w:b/>
          <w:color w:val="000000" w:themeColor="text1"/>
          <w:sz w:val="22"/>
        </w:rPr>
        <w:t xml:space="preserve"> –</w:t>
      </w:r>
      <w:r w:rsidRPr="005C38A3">
        <w:rPr>
          <w:rFonts w:ascii="Arial" w:eastAsia="Calibri" w:hAnsi="Arial" w:cs="Arial"/>
          <w:b/>
          <w:color w:val="000000" w:themeColor="text1"/>
          <w:sz w:val="22"/>
        </w:rPr>
        <w:t xml:space="preserve"> </w:t>
      </w:r>
      <w:r>
        <w:rPr>
          <w:rFonts w:ascii="Arial" w:eastAsia="Calibri" w:hAnsi="Arial" w:cs="Arial"/>
          <w:b/>
          <w:color w:val="000000" w:themeColor="text1"/>
          <w:sz w:val="22"/>
        </w:rPr>
        <w:t xml:space="preserve">Suspensión provisional – SECOP II </w:t>
      </w:r>
    </w:p>
    <w:p w14:paraId="13FBF930" w14:textId="77777777" w:rsidR="00E95FFA" w:rsidRPr="006C15D5" w:rsidRDefault="00E95FFA" w:rsidP="00E95FFA">
      <w:pPr>
        <w:jc w:val="both"/>
        <w:rPr>
          <w:rFonts w:ascii="Arial" w:eastAsia="Calibri" w:hAnsi="Arial" w:cs="Arial"/>
          <w:color w:val="000000" w:themeColor="text1"/>
          <w:sz w:val="20"/>
          <w:szCs w:val="20"/>
        </w:rPr>
      </w:pPr>
    </w:p>
    <w:p w14:paraId="44935BA3" w14:textId="77777777" w:rsidR="00E95FFA" w:rsidRPr="00AC6C43" w:rsidRDefault="00E95FFA" w:rsidP="00E95FFA">
      <w:pPr>
        <w:jc w:val="both"/>
        <w:rPr>
          <w:rFonts w:ascii="Arial" w:eastAsia="Calibri" w:hAnsi="Arial" w:cs="Arial"/>
          <w:bCs/>
          <w:color w:val="000000" w:themeColor="text1"/>
          <w:sz w:val="20"/>
          <w:szCs w:val="20"/>
        </w:rPr>
      </w:pPr>
      <w:r w:rsidRPr="00AC6C43">
        <w:rPr>
          <w:rFonts w:ascii="Arial" w:eastAsia="Calibri" w:hAnsi="Arial" w:cs="Arial"/>
          <w:bCs/>
          <w:color w:val="000000" w:themeColor="text1"/>
          <w:sz w:val="20"/>
          <w:szCs w:val="20"/>
        </w:rPr>
        <w:t xml:space="preserve">Si bien esta Agencia –conforme al Concepto C-124 del 25 de marzo de 2020– considera que las entidades deben verificar que la propuesta económica se ajuste al presupuesto oficial conforme al artículo 25.6 de la Ley 80 de 1993 y el artículo 71 del Decreto 111 de 1996, con los autos de suspensión provisional el concurso de méritos abierto se desarrolla aplicando únicamente los </w:t>
      </w:r>
      <w:r w:rsidRPr="00AC6C43">
        <w:rPr>
          <w:rFonts w:ascii="Arial" w:eastAsia="Calibri" w:hAnsi="Arial" w:cs="Arial"/>
          <w:bCs/>
          <w:color w:val="000000" w:themeColor="text1"/>
          <w:sz w:val="20"/>
          <w:szCs w:val="20"/>
        </w:rPr>
        <w:lastRenderedPageBreak/>
        <w:t xml:space="preserve">numerales 1 y 2 del artículo 2.2.1.2.1.3.2 del Decreto 1082 de 2015. Esto significa que la entidad dispone los criterios de evaluación en el pliego y que, tanto con la verificación como con la ponderación de las propuestas económicas, se publica el informe por tres (3) días hábiles. </w:t>
      </w:r>
    </w:p>
    <w:p w14:paraId="642F54B4" w14:textId="77777777" w:rsidR="00E95FFA" w:rsidRDefault="00E95FFA" w:rsidP="00E95FFA">
      <w:pPr>
        <w:jc w:val="both"/>
        <w:rPr>
          <w:rFonts w:ascii="Arial" w:eastAsia="Calibri" w:hAnsi="Arial" w:cs="Arial"/>
          <w:bCs/>
          <w:color w:val="000000" w:themeColor="text1"/>
          <w:sz w:val="20"/>
          <w:szCs w:val="20"/>
        </w:rPr>
      </w:pPr>
      <w:r w:rsidRPr="00870101">
        <w:rPr>
          <w:rFonts w:ascii="Arial" w:eastAsia="Calibri" w:hAnsi="Arial" w:cs="Arial"/>
          <w:bCs/>
          <w:color w:val="000000" w:themeColor="text1"/>
          <w:sz w:val="20"/>
          <w:szCs w:val="20"/>
        </w:rPr>
        <w:t>Aunque el numeral 2 del artículo 2.2.1.2.1.3.2 del Decreto 1082 de 2015 no dispone que la calificación técnica y el orden de elegibilidad se determinen obligatoriamente en audiencia pública, la Subdirección de Información y Desarrollo Tecnológico informa que el SECOP II exige programar la fecha de la «Audiencia de comunicación del orden de elegibilidad» y de «</w:t>
      </w:r>
      <w:r>
        <w:rPr>
          <w:rFonts w:ascii="Arial" w:eastAsia="Calibri" w:hAnsi="Arial" w:cs="Arial"/>
          <w:bCs/>
          <w:color w:val="000000" w:themeColor="text1"/>
          <w:sz w:val="20"/>
          <w:szCs w:val="20"/>
        </w:rPr>
        <w:t>A</w:t>
      </w:r>
      <w:r w:rsidRPr="00870101">
        <w:rPr>
          <w:rFonts w:ascii="Arial" w:eastAsia="Calibri" w:hAnsi="Arial" w:cs="Arial"/>
          <w:bCs/>
          <w:color w:val="000000" w:themeColor="text1"/>
          <w:sz w:val="20"/>
          <w:szCs w:val="20"/>
        </w:rPr>
        <w:t xml:space="preserve">pertura del sobre económico» en el cronograma del proceso de selección. Sin embargo, estas no deben conducir a la aplicación de alguno de los numerales suspendidos por el Consejo de Estado, ya que conforme a los autos citados </w:t>
      </w:r>
      <w:r w:rsidRPr="00870101">
        <w:rPr>
          <w:rFonts w:ascii="Arial" w:eastAsia="Calibri" w:hAnsi="Arial" w:cs="Arial"/>
          <w:bCs/>
          <w:i/>
          <w:iCs/>
          <w:color w:val="000000" w:themeColor="text1"/>
          <w:sz w:val="20"/>
          <w:szCs w:val="20"/>
        </w:rPr>
        <w:t>ut supra</w:t>
      </w:r>
      <w:r w:rsidRPr="00870101">
        <w:rPr>
          <w:rFonts w:ascii="Arial" w:eastAsia="Calibri" w:hAnsi="Arial" w:cs="Arial"/>
          <w:bCs/>
          <w:color w:val="000000" w:themeColor="text1"/>
          <w:sz w:val="20"/>
          <w:szCs w:val="20"/>
        </w:rPr>
        <w:t>, resueltas las observaciones al informe de evaluación no es posible acordar el precio con los oferentes. Por lo tanto, siempre que esté dentro del presupuesto oficial, la entidad deberá adjudicar el contrato al proponente que ocupe el primer puesto en el orden de elegibilidad, independientemente del valor ofrecido</w:t>
      </w:r>
      <w:r w:rsidRPr="001B5E36">
        <w:rPr>
          <w:rFonts w:ascii="Arial" w:eastAsia="Calibri" w:hAnsi="Arial" w:cs="Arial"/>
          <w:bCs/>
          <w:color w:val="000000" w:themeColor="text1"/>
          <w:sz w:val="20"/>
          <w:szCs w:val="20"/>
        </w:rPr>
        <w:t>.</w:t>
      </w:r>
      <w:r w:rsidRPr="00DE3F87">
        <w:rPr>
          <w:rFonts w:ascii="Arial" w:eastAsia="Calibri" w:hAnsi="Arial" w:cs="Arial"/>
          <w:bCs/>
          <w:color w:val="000000" w:themeColor="text1"/>
          <w:sz w:val="20"/>
          <w:szCs w:val="20"/>
        </w:rPr>
        <w:t xml:space="preserve">  </w:t>
      </w:r>
    </w:p>
    <w:p w14:paraId="06D16B17" w14:textId="77777777" w:rsidR="00E95FFA" w:rsidRDefault="00E95FFA" w:rsidP="00E95FFA">
      <w:pPr>
        <w:jc w:val="both"/>
        <w:rPr>
          <w:rFonts w:ascii="Arial" w:eastAsia="Calibri" w:hAnsi="Arial" w:cs="Arial"/>
          <w:b/>
          <w:color w:val="000000" w:themeColor="text1"/>
          <w:sz w:val="22"/>
        </w:rPr>
      </w:pPr>
    </w:p>
    <w:bookmarkEnd w:id="2"/>
    <w:p w14:paraId="2B0601D6" w14:textId="77777777" w:rsidR="00E95FFA" w:rsidRPr="006C15D5" w:rsidRDefault="00E95FFA" w:rsidP="00E95FFA">
      <w:pPr>
        <w:jc w:val="both"/>
        <w:rPr>
          <w:rFonts w:ascii="Arial" w:eastAsia="Calibri" w:hAnsi="Arial" w:cs="Arial"/>
          <w:b/>
          <w:color w:val="000000" w:themeColor="text1"/>
          <w:sz w:val="22"/>
        </w:rPr>
      </w:pPr>
      <w:r>
        <w:rPr>
          <w:rFonts w:ascii="Arial" w:eastAsia="Calibri" w:hAnsi="Arial" w:cs="Arial"/>
          <w:b/>
          <w:color w:val="000000" w:themeColor="text1"/>
          <w:sz w:val="22"/>
        </w:rPr>
        <w:t>CONCURSO DE MÉRITOS</w:t>
      </w:r>
      <w:r w:rsidRPr="006C15D5">
        <w:rPr>
          <w:rFonts w:ascii="Arial" w:eastAsia="Calibri" w:hAnsi="Arial" w:cs="Arial"/>
          <w:b/>
          <w:color w:val="000000" w:themeColor="text1"/>
          <w:sz w:val="22"/>
        </w:rPr>
        <w:softHyphen/>
        <w:t xml:space="preserve"> </w:t>
      </w:r>
      <w:r>
        <w:rPr>
          <w:rFonts w:ascii="Arial" w:eastAsia="Calibri" w:hAnsi="Arial" w:cs="Arial"/>
          <w:b/>
          <w:color w:val="000000" w:themeColor="text1"/>
          <w:sz w:val="22"/>
        </w:rPr>
        <w:t xml:space="preserve">– Adjudicación – Audiencia pública – Analogía – Inaplicable </w:t>
      </w:r>
    </w:p>
    <w:p w14:paraId="2081363A" w14:textId="77777777" w:rsidR="00E95FFA" w:rsidRPr="006C15D5" w:rsidRDefault="00E95FFA" w:rsidP="00E95FFA">
      <w:pPr>
        <w:jc w:val="both"/>
        <w:rPr>
          <w:rFonts w:ascii="Arial" w:eastAsia="Calibri" w:hAnsi="Arial" w:cs="Arial"/>
          <w:color w:val="000000" w:themeColor="text1"/>
          <w:sz w:val="20"/>
          <w:szCs w:val="20"/>
        </w:rPr>
      </w:pPr>
    </w:p>
    <w:p w14:paraId="180A0D7D" w14:textId="77777777" w:rsidR="00E95FFA" w:rsidRPr="001B5E36" w:rsidRDefault="00E95FFA" w:rsidP="00E95FFA">
      <w:pPr>
        <w:spacing w:after="120"/>
        <w:jc w:val="both"/>
        <w:rPr>
          <w:rFonts w:ascii="Arial" w:eastAsia="Calibri" w:hAnsi="Arial" w:cs="Arial"/>
          <w:bCs/>
          <w:color w:val="000000" w:themeColor="text1"/>
          <w:sz w:val="20"/>
          <w:szCs w:val="20"/>
          <w:lang w:val="es-ES"/>
        </w:rPr>
      </w:pPr>
      <w:r w:rsidRPr="001B5E36">
        <w:rPr>
          <w:rFonts w:ascii="Arial" w:eastAsia="Calibri" w:hAnsi="Arial" w:cs="Arial"/>
          <w:bCs/>
          <w:color w:val="000000" w:themeColor="text1"/>
          <w:sz w:val="20"/>
          <w:szCs w:val="20"/>
          <w:lang w:val="es-ES"/>
        </w:rPr>
        <w:t xml:space="preserve">En lo que respecta al concurso de méritos, si bien la etapa de adjudicación es obligatoria, no existe una norma que obligue a realizarla por </w:t>
      </w:r>
      <w:r w:rsidRPr="001B5E36">
        <w:rPr>
          <w:rFonts w:ascii="Arial" w:eastAsia="Calibri" w:hAnsi="Arial" w:cs="Arial"/>
          <w:bCs/>
          <w:i/>
          <w:iCs/>
          <w:color w:val="000000" w:themeColor="text1"/>
          <w:sz w:val="20"/>
          <w:szCs w:val="20"/>
          <w:lang w:val="es-ES"/>
        </w:rPr>
        <w:t>audiencia pública</w:t>
      </w:r>
      <w:r w:rsidRPr="001B5E36">
        <w:rPr>
          <w:rFonts w:ascii="Arial" w:eastAsia="Calibri" w:hAnsi="Arial" w:cs="Arial"/>
          <w:bCs/>
          <w:color w:val="000000" w:themeColor="text1"/>
          <w:sz w:val="20"/>
          <w:szCs w:val="20"/>
          <w:lang w:val="es-ES"/>
        </w:rPr>
        <w:t xml:space="preserve">. </w:t>
      </w:r>
      <w:r w:rsidRPr="001B5E36">
        <w:rPr>
          <w:rFonts w:ascii="Arial" w:eastAsia="Calibri" w:hAnsi="Arial" w:cs="Arial"/>
          <w:bCs/>
          <w:i/>
          <w:iCs/>
          <w:color w:val="000000" w:themeColor="text1"/>
          <w:sz w:val="20"/>
          <w:szCs w:val="20"/>
          <w:lang w:val="es-ES"/>
        </w:rPr>
        <w:t>Por un lado</w:t>
      </w:r>
      <w:r w:rsidRPr="001B5E36">
        <w:rPr>
          <w:rFonts w:ascii="Arial" w:eastAsia="Calibri" w:hAnsi="Arial" w:cs="Arial"/>
          <w:bCs/>
          <w:color w:val="000000" w:themeColor="text1"/>
          <w:sz w:val="20"/>
          <w:szCs w:val="20"/>
          <w:lang w:val="es-ES"/>
        </w:rPr>
        <w:t>, aunque el artículo 2.3 de la Ley 1150 de 2007 no se refiere expresamente a este aspecto del procedimiento, el numeral 5 del artículo 2.2.1.1.2.1.3 del Decreto 1082 de 2015 dispone que el pliego de condiciones contiene información sobre «Las reglas aplicables a la presentación de las ofertas, su evaluación y a la adjudicación del contrato». En consecuencia, pese a que el reglamento dispone reglas especiales para el concurso de méritos, no es posible prescindir de la expedición de este acto administrativo.</w:t>
      </w:r>
    </w:p>
    <w:p w14:paraId="54B433A6" w14:textId="77777777" w:rsidR="00E95FFA" w:rsidRPr="006C15D5" w:rsidRDefault="00E95FFA" w:rsidP="00E95FFA">
      <w:pPr>
        <w:jc w:val="both"/>
        <w:rPr>
          <w:rFonts w:ascii="Arial" w:eastAsia="Calibri" w:hAnsi="Arial" w:cs="Arial"/>
          <w:bCs/>
          <w:color w:val="000000" w:themeColor="text1"/>
          <w:sz w:val="20"/>
          <w:szCs w:val="20"/>
        </w:rPr>
      </w:pPr>
      <w:r w:rsidRPr="001B5E36">
        <w:rPr>
          <w:rFonts w:ascii="Arial" w:eastAsia="Calibri" w:hAnsi="Arial" w:cs="Arial"/>
          <w:bCs/>
          <w:i/>
          <w:iCs/>
          <w:color w:val="000000" w:themeColor="text1"/>
          <w:sz w:val="20"/>
          <w:szCs w:val="20"/>
          <w:lang w:val="es-ES"/>
        </w:rPr>
        <w:t>Por otra parte</w:t>
      </w:r>
      <w:r w:rsidRPr="001B5E36">
        <w:rPr>
          <w:rFonts w:ascii="Arial" w:eastAsia="Calibri" w:hAnsi="Arial" w:cs="Arial"/>
          <w:bCs/>
          <w:color w:val="000000" w:themeColor="text1"/>
          <w:sz w:val="20"/>
          <w:szCs w:val="20"/>
          <w:lang w:val="es-ES"/>
        </w:rPr>
        <w:t>, en la medida que –conforme al inciso segundo del citado artículo 273 superior– las audiencias públicas solo son exigibles en los supuestos expresamente regulados por la ley, no es posible la aplicación analógica el artículo 30.10 de la Ley 80 de 1993 ni el artículo 9, inciso primero, de la Ley 1150 de 2007. Aunque tanto la licitación como el concurso son «[…]</w:t>
      </w:r>
      <w:r w:rsidRPr="001B5E36">
        <w:rPr>
          <w:rFonts w:ascii="Arial" w:eastAsia="Calibri" w:hAnsi="Arial" w:cs="Arial"/>
          <w:bCs/>
          <w:color w:val="000000" w:themeColor="text1"/>
          <w:sz w:val="20"/>
          <w:szCs w:val="20"/>
        </w:rPr>
        <w:t xml:space="preserve"> </w:t>
      </w:r>
      <w:r w:rsidRPr="001B5E36">
        <w:rPr>
          <w:rFonts w:ascii="Arial" w:eastAsia="Calibri" w:hAnsi="Arial" w:cs="Arial"/>
          <w:bCs/>
          <w:color w:val="000000" w:themeColor="text1"/>
          <w:sz w:val="20"/>
          <w:szCs w:val="20"/>
          <w:lang w:val="es-ES"/>
        </w:rPr>
        <w:t xml:space="preserve">una convocatoria para que, en igualdad de oportunidades, los interesados presenten sus ofertas y seleccione entre ellas la más favorable» –par. del art. 30 del Estatuto General–, la analogía es inaceptable, </w:t>
      </w:r>
      <w:r w:rsidRPr="001B5E36">
        <w:rPr>
          <w:rFonts w:ascii="Arial" w:eastAsia="Calibri" w:hAnsi="Arial" w:cs="Arial"/>
          <w:bCs/>
          <w:color w:val="000000" w:themeColor="text1"/>
          <w:sz w:val="20"/>
          <w:szCs w:val="20"/>
        </w:rPr>
        <w:t>ya que se trata de procedimientos de selección completamente diferentes, razón por la cual en la medida que no se adelantan de la misma manera, es incorrecto aplicar las normas de la primera al segundo.</w:t>
      </w:r>
      <w:r w:rsidRPr="00DE3F87">
        <w:rPr>
          <w:rFonts w:ascii="Arial" w:eastAsia="Calibri" w:hAnsi="Arial" w:cs="Arial"/>
          <w:bCs/>
          <w:color w:val="000000" w:themeColor="text1"/>
          <w:sz w:val="20"/>
          <w:szCs w:val="20"/>
        </w:rPr>
        <w:t xml:space="preserve">  </w:t>
      </w:r>
    </w:p>
    <w:p w14:paraId="202E4CD6" w14:textId="77777777" w:rsidR="00E95FFA" w:rsidRPr="006C15D5" w:rsidRDefault="00E95FFA" w:rsidP="00E95FFA">
      <w:pPr>
        <w:jc w:val="both"/>
        <w:rPr>
          <w:rFonts w:ascii="Arial" w:eastAsia="Calibri" w:hAnsi="Arial" w:cs="Arial"/>
          <w:b/>
          <w:color w:val="000000" w:themeColor="text1"/>
          <w:sz w:val="20"/>
          <w:szCs w:val="20"/>
        </w:rPr>
      </w:pPr>
    </w:p>
    <w:p w14:paraId="2B4665F1" w14:textId="77777777" w:rsidR="00E95FFA" w:rsidRPr="006C15D5" w:rsidRDefault="00E95FFA" w:rsidP="00E95FFA">
      <w:pPr>
        <w:jc w:val="both"/>
        <w:rPr>
          <w:rFonts w:ascii="Arial" w:eastAsia="Calibri" w:hAnsi="Arial" w:cs="Arial"/>
          <w:b/>
          <w:color w:val="000000" w:themeColor="text1"/>
          <w:sz w:val="22"/>
        </w:rPr>
      </w:pPr>
      <w:bookmarkStart w:id="3" w:name="_Hlk43658371"/>
      <w:r w:rsidRPr="001B5E36">
        <w:rPr>
          <w:rFonts w:ascii="Arial" w:eastAsia="Calibri" w:hAnsi="Arial" w:cs="Arial"/>
          <w:b/>
          <w:color w:val="000000" w:themeColor="text1"/>
          <w:sz w:val="22"/>
        </w:rPr>
        <w:t>CONCURSO DE MÉRITOS – Adjudicación –</w:t>
      </w:r>
      <w:r>
        <w:rPr>
          <w:rFonts w:ascii="Arial" w:eastAsia="Calibri" w:hAnsi="Arial" w:cs="Arial"/>
          <w:b/>
          <w:color w:val="000000" w:themeColor="text1"/>
          <w:sz w:val="22"/>
        </w:rPr>
        <w:t xml:space="preserve"> Principio de publicidad –</w:t>
      </w:r>
      <w:r w:rsidRPr="001B5E36">
        <w:rPr>
          <w:rFonts w:ascii="Arial" w:eastAsia="Calibri" w:hAnsi="Arial" w:cs="Arial"/>
          <w:b/>
          <w:color w:val="000000" w:themeColor="text1"/>
          <w:sz w:val="22"/>
        </w:rPr>
        <w:t xml:space="preserve"> </w:t>
      </w:r>
      <w:r>
        <w:rPr>
          <w:rFonts w:ascii="Arial" w:eastAsia="Calibri" w:hAnsi="Arial" w:cs="Arial"/>
          <w:b/>
          <w:color w:val="000000" w:themeColor="text1"/>
          <w:sz w:val="22"/>
        </w:rPr>
        <w:t xml:space="preserve">Procedimiento administrativo general – </w:t>
      </w:r>
      <w:r w:rsidRPr="001B5E36">
        <w:rPr>
          <w:rFonts w:ascii="Arial" w:eastAsia="Calibri" w:hAnsi="Arial" w:cs="Arial"/>
          <w:b/>
          <w:color w:val="000000" w:themeColor="text1"/>
          <w:sz w:val="22"/>
        </w:rPr>
        <w:t>Audiencia</w:t>
      </w:r>
      <w:r>
        <w:rPr>
          <w:rFonts w:ascii="Arial" w:eastAsia="Calibri" w:hAnsi="Arial" w:cs="Arial"/>
          <w:b/>
          <w:color w:val="000000" w:themeColor="text1"/>
          <w:sz w:val="22"/>
        </w:rPr>
        <w:t>s</w:t>
      </w:r>
      <w:r w:rsidRPr="001B5E36">
        <w:rPr>
          <w:rFonts w:ascii="Arial" w:eastAsia="Calibri" w:hAnsi="Arial" w:cs="Arial"/>
          <w:b/>
          <w:color w:val="000000" w:themeColor="text1"/>
          <w:sz w:val="22"/>
        </w:rPr>
        <w:t xml:space="preserve"> </w:t>
      </w:r>
      <w:r>
        <w:rPr>
          <w:rFonts w:ascii="Arial" w:eastAsia="Calibri" w:hAnsi="Arial" w:cs="Arial"/>
          <w:b/>
          <w:color w:val="000000" w:themeColor="text1"/>
          <w:sz w:val="22"/>
        </w:rPr>
        <w:t>potestativas</w:t>
      </w:r>
      <w:r w:rsidRPr="001B5E36">
        <w:rPr>
          <w:rFonts w:ascii="Arial" w:eastAsia="Calibri" w:hAnsi="Arial" w:cs="Arial"/>
          <w:b/>
          <w:color w:val="000000" w:themeColor="text1"/>
          <w:sz w:val="22"/>
        </w:rPr>
        <w:t xml:space="preserve"> – </w:t>
      </w:r>
      <w:r>
        <w:rPr>
          <w:rFonts w:ascii="Arial" w:eastAsia="Calibri" w:hAnsi="Arial" w:cs="Arial"/>
          <w:b/>
          <w:color w:val="000000" w:themeColor="text1"/>
          <w:sz w:val="22"/>
        </w:rPr>
        <w:t>Estatuto general de contratación – Ausencia de regulación</w:t>
      </w:r>
    </w:p>
    <w:bookmarkEnd w:id="3"/>
    <w:p w14:paraId="46C18ADE" w14:textId="77777777" w:rsidR="00E95FFA" w:rsidRPr="006C15D5" w:rsidRDefault="00E95FFA" w:rsidP="00E95FFA">
      <w:pPr>
        <w:jc w:val="both"/>
        <w:rPr>
          <w:rFonts w:ascii="Arial" w:eastAsia="Calibri" w:hAnsi="Arial" w:cs="Arial"/>
          <w:b/>
          <w:color w:val="000000" w:themeColor="text1"/>
          <w:sz w:val="20"/>
          <w:szCs w:val="20"/>
        </w:rPr>
      </w:pPr>
    </w:p>
    <w:p w14:paraId="09F948F5" w14:textId="77777777" w:rsidR="00E95FFA" w:rsidRDefault="00E95FFA" w:rsidP="00E95FFA">
      <w:pPr>
        <w:spacing w:after="120"/>
        <w:jc w:val="both"/>
        <w:rPr>
          <w:rFonts w:ascii="Arial" w:eastAsia="Calibri" w:hAnsi="Arial" w:cs="Arial"/>
          <w:color w:val="000000" w:themeColor="text1"/>
          <w:sz w:val="20"/>
          <w:szCs w:val="20"/>
        </w:rPr>
      </w:pPr>
      <w:r w:rsidRPr="0041784E">
        <w:rPr>
          <w:rFonts w:ascii="Arial" w:eastAsia="Calibri" w:hAnsi="Arial" w:cs="Arial"/>
          <w:color w:val="000000" w:themeColor="text1"/>
          <w:sz w:val="20"/>
          <w:szCs w:val="20"/>
        </w:rPr>
        <w:t xml:space="preserve">Aunque las </w:t>
      </w:r>
      <w:r w:rsidRPr="0041784E">
        <w:rPr>
          <w:rFonts w:ascii="Arial" w:eastAsia="Calibri" w:hAnsi="Arial" w:cs="Arial"/>
          <w:i/>
          <w:iCs/>
          <w:color w:val="000000" w:themeColor="text1"/>
          <w:sz w:val="20"/>
          <w:szCs w:val="20"/>
        </w:rPr>
        <w:t>audiencias públicas</w:t>
      </w:r>
      <w:r w:rsidRPr="0041784E">
        <w:rPr>
          <w:rFonts w:ascii="Arial" w:eastAsia="Calibri" w:hAnsi="Arial" w:cs="Arial"/>
          <w:color w:val="000000" w:themeColor="text1"/>
          <w:sz w:val="20"/>
          <w:szCs w:val="20"/>
        </w:rPr>
        <w:t xml:space="preserve"> no son obligatorias en el concurso de méritos, cabe preguntarse si son </w:t>
      </w:r>
      <w:r w:rsidRPr="0041784E">
        <w:rPr>
          <w:rFonts w:ascii="Arial" w:eastAsia="Calibri" w:hAnsi="Arial" w:cs="Arial"/>
          <w:i/>
          <w:iCs/>
          <w:color w:val="000000" w:themeColor="text1"/>
          <w:sz w:val="20"/>
          <w:szCs w:val="20"/>
        </w:rPr>
        <w:t>potestativas</w:t>
      </w:r>
      <w:r w:rsidRPr="0041784E">
        <w:rPr>
          <w:rFonts w:ascii="Arial" w:eastAsia="Calibri" w:hAnsi="Arial" w:cs="Arial"/>
          <w:color w:val="000000" w:themeColor="text1"/>
          <w:sz w:val="20"/>
          <w:szCs w:val="20"/>
        </w:rPr>
        <w:t xml:space="preserve">. </w:t>
      </w:r>
      <w:r w:rsidRPr="007F684F">
        <w:rPr>
          <w:rFonts w:ascii="Arial" w:eastAsia="Calibri" w:hAnsi="Arial" w:cs="Arial"/>
          <w:color w:val="000000" w:themeColor="text1"/>
          <w:sz w:val="20"/>
          <w:szCs w:val="20"/>
        </w:rPr>
        <w:t>La respuesta positiva a esta inquietud se fundamenta en dos (2) argumentos.</w:t>
      </w:r>
      <w:r w:rsidRPr="007F684F">
        <w:rPr>
          <w:rFonts w:ascii="Arial" w:eastAsia="Calibri" w:hAnsi="Arial" w:cs="Arial"/>
          <w:i/>
          <w:iCs/>
          <w:color w:val="000000" w:themeColor="text1"/>
          <w:sz w:val="20"/>
          <w:szCs w:val="20"/>
        </w:rPr>
        <w:t xml:space="preserve"> En primer lugar</w:t>
      </w:r>
      <w:r w:rsidRPr="007F684F">
        <w:rPr>
          <w:rFonts w:ascii="Arial" w:eastAsia="Calibri" w:hAnsi="Arial" w:cs="Arial"/>
          <w:color w:val="000000" w:themeColor="text1"/>
          <w:sz w:val="20"/>
          <w:szCs w:val="20"/>
        </w:rPr>
        <w:t>, el principio de publicidad permitiría su realización eventual, ya que este tiene un carácter transversal y multifacético en las actuaciones estatales. Conforme al artículo 209 superior es un eje rector de la función administrativa, por lo que despliega sus efectos en las mas diversas esferas de la actividad estatal, incluidas las actuaciones contractuales. Además, entre otras manifestaciones, no se agota en el deber de publicar la información de la entidad, permitir su acceso al público, comunicar el inicio de las actuaciones administrativas a terceros ni en la obligación de notificar o publicar los actos administrativos, ya que las audiencias también desarrollan este principio.</w:t>
      </w:r>
      <w:r>
        <w:rPr>
          <w:rFonts w:ascii="Arial" w:eastAsia="Calibri" w:hAnsi="Arial" w:cs="Arial"/>
          <w:color w:val="000000" w:themeColor="text1"/>
          <w:sz w:val="20"/>
          <w:szCs w:val="20"/>
        </w:rPr>
        <w:t xml:space="preserve"> </w:t>
      </w:r>
      <w:r w:rsidRPr="001B469E">
        <w:rPr>
          <w:rFonts w:ascii="Arial" w:eastAsia="Calibri" w:hAnsi="Arial" w:cs="Arial"/>
          <w:i/>
          <w:iCs/>
          <w:color w:val="000000" w:themeColor="text1"/>
          <w:sz w:val="20"/>
          <w:szCs w:val="20"/>
        </w:rPr>
        <w:t>En segundo lugar</w:t>
      </w:r>
      <w:r w:rsidRPr="001B469E">
        <w:rPr>
          <w:rFonts w:ascii="Arial" w:eastAsia="Calibri" w:hAnsi="Arial" w:cs="Arial"/>
          <w:color w:val="000000" w:themeColor="text1"/>
          <w:sz w:val="20"/>
          <w:szCs w:val="20"/>
        </w:rPr>
        <w:t xml:space="preserve">, teniendo en cuenta que el artículo 77 de la Ley 80 de 1993 remite al Código de Procedimiento Administrativo y Contencioso Administrativo, aplicaría el inciso final del artículo 35 de la Ley 1437 de 2011, el cual dispone que «Las autoridades podrán decretar la práctica de audiencias en el curso de las actuaciones con el objeto de promover la participación ciudadana, asegurar el </w:t>
      </w:r>
      <w:r w:rsidRPr="001B469E">
        <w:rPr>
          <w:rFonts w:ascii="Arial" w:eastAsia="Calibri" w:hAnsi="Arial" w:cs="Arial"/>
          <w:color w:val="000000" w:themeColor="text1"/>
          <w:sz w:val="20"/>
          <w:szCs w:val="20"/>
        </w:rPr>
        <w:lastRenderedPageBreak/>
        <w:t>derecho de contradicción, o contribuir a la pronta adopción de decisiones. De toda audiencia se dejará constancia de lo acontecido en ella».</w:t>
      </w:r>
    </w:p>
    <w:p w14:paraId="3B709E78" w14:textId="77777777" w:rsidR="00E95FFA" w:rsidRDefault="00E95FFA" w:rsidP="00E95FFA">
      <w:pPr>
        <w:spacing w:after="120"/>
        <w:jc w:val="both"/>
        <w:rPr>
          <w:rFonts w:ascii="Arial" w:eastAsia="Calibri" w:hAnsi="Arial" w:cs="Arial"/>
          <w:color w:val="000000" w:themeColor="text1"/>
          <w:sz w:val="20"/>
          <w:szCs w:val="20"/>
        </w:rPr>
      </w:pPr>
      <w:r>
        <w:rPr>
          <w:rFonts w:ascii="Arial" w:eastAsia="Calibri" w:hAnsi="Arial" w:cs="Arial"/>
          <w:color w:val="000000" w:themeColor="text1"/>
          <w:sz w:val="20"/>
          <w:szCs w:val="20"/>
        </w:rPr>
        <w:t>[…]</w:t>
      </w:r>
    </w:p>
    <w:p w14:paraId="6A7C35A9" w14:textId="77777777" w:rsidR="00E95FFA" w:rsidRDefault="00E95FFA" w:rsidP="00E95FFA">
      <w:pPr>
        <w:jc w:val="both"/>
        <w:rPr>
          <w:rFonts w:ascii="Arial" w:eastAsia="Calibri" w:hAnsi="Arial" w:cs="Arial"/>
          <w:bCs/>
          <w:color w:val="000000" w:themeColor="text1"/>
          <w:sz w:val="20"/>
          <w:szCs w:val="20"/>
          <w:lang w:val="es-ES"/>
        </w:rPr>
      </w:pPr>
      <w:r w:rsidRPr="0041784E">
        <w:rPr>
          <w:rFonts w:ascii="Arial" w:eastAsia="Calibri" w:hAnsi="Arial" w:cs="Arial"/>
          <w:bCs/>
          <w:color w:val="000000" w:themeColor="text1"/>
          <w:sz w:val="20"/>
          <w:szCs w:val="20"/>
          <w:lang w:val="es-ES"/>
        </w:rPr>
        <w:t xml:space="preserve">Para esta Subdirección no existe la prohibición tácita de realizar </w:t>
      </w:r>
      <w:r w:rsidRPr="0041784E">
        <w:rPr>
          <w:rFonts w:ascii="Arial" w:eastAsia="Calibri" w:hAnsi="Arial" w:cs="Arial"/>
          <w:bCs/>
          <w:i/>
          <w:iCs/>
          <w:color w:val="000000" w:themeColor="text1"/>
          <w:sz w:val="20"/>
          <w:szCs w:val="20"/>
          <w:lang w:val="es-ES"/>
        </w:rPr>
        <w:t>audiencias potestativas</w:t>
      </w:r>
      <w:r w:rsidRPr="0041784E">
        <w:rPr>
          <w:rFonts w:ascii="Arial" w:eastAsia="Calibri" w:hAnsi="Arial" w:cs="Arial"/>
          <w:bCs/>
          <w:color w:val="000000" w:themeColor="text1"/>
          <w:sz w:val="20"/>
          <w:szCs w:val="20"/>
          <w:lang w:val="es-ES"/>
        </w:rPr>
        <w:t xml:space="preserve"> en otros procedimientos de selección, ya que los supuestos mencionados en </w:t>
      </w:r>
      <w:r>
        <w:rPr>
          <w:rFonts w:ascii="Arial" w:eastAsia="Calibri" w:hAnsi="Arial" w:cs="Arial"/>
          <w:bCs/>
          <w:color w:val="000000" w:themeColor="text1"/>
          <w:sz w:val="20"/>
          <w:szCs w:val="20"/>
          <w:lang w:val="es-ES"/>
        </w:rPr>
        <w:t>[los artículos 30.10 de la Ley 80 de 1993, los artículos 4 y 9 de la Ley 1150 de 2007, así como el artículo 86 de la Ley 1474 de 2011]</w:t>
      </w:r>
      <w:r w:rsidRPr="0041784E">
        <w:rPr>
          <w:rFonts w:ascii="Arial" w:eastAsia="Calibri" w:hAnsi="Arial" w:cs="Arial"/>
          <w:bCs/>
          <w:color w:val="000000" w:themeColor="text1"/>
          <w:sz w:val="20"/>
          <w:szCs w:val="20"/>
          <w:lang w:val="es-ES"/>
        </w:rPr>
        <w:t xml:space="preserve"> se refieren a las </w:t>
      </w:r>
      <w:r w:rsidRPr="0041784E">
        <w:rPr>
          <w:rFonts w:ascii="Arial" w:eastAsia="Calibri" w:hAnsi="Arial" w:cs="Arial"/>
          <w:bCs/>
          <w:i/>
          <w:iCs/>
          <w:color w:val="000000" w:themeColor="text1"/>
          <w:sz w:val="20"/>
          <w:szCs w:val="20"/>
          <w:lang w:val="es-ES"/>
        </w:rPr>
        <w:t>audiencias obligatorias</w:t>
      </w:r>
      <w:r w:rsidRPr="0041784E">
        <w:rPr>
          <w:rFonts w:ascii="Arial" w:eastAsia="Calibri" w:hAnsi="Arial" w:cs="Arial"/>
          <w:bCs/>
          <w:color w:val="000000" w:themeColor="text1"/>
          <w:sz w:val="20"/>
          <w:szCs w:val="20"/>
          <w:lang w:val="es-ES"/>
        </w:rPr>
        <w:t xml:space="preserve">. En este último punto, es decir, sobre las </w:t>
      </w:r>
      <w:r w:rsidRPr="0041784E">
        <w:rPr>
          <w:rFonts w:ascii="Arial" w:eastAsia="Calibri" w:hAnsi="Arial" w:cs="Arial"/>
          <w:bCs/>
          <w:i/>
          <w:iCs/>
          <w:color w:val="000000" w:themeColor="text1"/>
          <w:sz w:val="20"/>
          <w:szCs w:val="20"/>
          <w:lang w:val="es-ES"/>
        </w:rPr>
        <w:t>audiencias obligatorias</w:t>
      </w:r>
      <w:r w:rsidRPr="0041784E">
        <w:rPr>
          <w:rFonts w:ascii="Arial" w:eastAsia="Calibri" w:hAnsi="Arial" w:cs="Arial"/>
          <w:bCs/>
          <w:color w:val="000000" w:themeColor="text1"/>
          <w:sz w:val="20"/>
          <w:szCs w:val="20"/>
          <w:lang w:val="es-ES"/>
        </w:rPr>
        <w:t xml:space="preserve">, el Estatuto General de Contratación tiene pretensiones de exhaustividad, pues si son un elemento reglado del procedimiento, la falta de realización implica un vicio de nulidad. En consecuencia, existe una prohibición tácita de adelantar </w:t>
      </w:r>
      <w:r w:rsidRPr="0041784E">
        <w:rPr>
          <w:rFonts w:ascii="Arial" w:eastAsia="Calibri" w:hAnsi="Arial" w:cs="Arial"/>
          <w:bCs/>
          <w:i/>
          <w:iCs/>
          <w:color w:val="000000" w:themeColor="text1"/>
          <w:sz w:val="20"/>
          <w:szCs w:val="20"/>
          <w:lang w:val="es-ES"/>
        </w:rPr>
        <w:t>audiencias obligatorias</w:t>
      </w:r>
      <w:r w:rsidRPr="0041784E">
        <w:rPr>
          <w:rFonts w:ascii="Arial" w:eastAsia="Calibri" w:hAnsi="Arial" w:cs="Arial"/>
          <w:bCs/>
          <w:color w:val="000000" w:themeColor="text1"/>
          <w:sz w:val="20"/>
          <w:szCs w:val="20"/>
          <w:lang w:val="es-ES"/>
        </w:rPr>
        <w:t xml:space="preserve"> fuera de los casos previstos en la ley, por lo que es posible integrar el vacío legal sobre la procedencia de las </w:t>
      </w:r>
      <w:r w:rsidRPr="0041784E">
        <w:rPr>
          <w:rFonts w:ascii="Arial" w:eastAsia="Calibri" w:hAnsi="Arial" w:cs="Arial"/>
          <w:bCs/>
          <w:i/>
          <w:iCs/>
          <w:color w:val="000000" w:themeColor="text1"/>
          <w:sz w:val="20"/>
          <w:szCs w:val="20"/>
          <w:lang w:val="es-ES"/>
        </w:rPr>
        <w:t>audiencias potestativas</w:t>
      </w:r>
      <w:r w:rsidRPr="0041784E">
        <w:rPr>
          <w:rFonts w:ascii="Arial" w:eastAsia="Calibri" w:hAnsi="Arial" w:cs="Arial"/>
          <w:bCs/>
          <w:color w:val="000000" w:themeColor="text1"/>
          <w:sz w:val="20"/>
          <w:szCs w:val="20"/>
          <w:lang w:val="es-ES"/>
        </w:rPr>
        <w:t xml:space="preserve"> con el citado </w:t>
      </w:r>
      <w:r w:rsidRPr="0041784E">
        <w:rPr>
          <w:rFonts w:ascii="Arial" w:eastAsia="Calibri" w:hAnsi="Arial" w:cs="Arial"/>
          <w:color w:val="000000" w:themeColor="text1"/>
          <w:sz w:val="20"/>
          <w:szCs w:val="20"/>
        </w:rPr>
        <w:t>inciso final del artículo 35 de la Ley 1437 de 2011, en la medida que estas últimas no se regularon en las normas que conforman el Estatuto General.</w:t>
      </w:r>
      <w:r w:rsidRPr="0041784E">
        <w:rPr>
          <w:rFonts w:ascii="Arial" w:eastAsia="Calibri" w:hAnsi="Arial" w:cs="Arial"/>
          <w:bCs/>
          <w:color w:val="000000" w:themeColor="text1"/>
          <w:sz w:val="20"/>
          <w:szCs w:val="20"/>
          <w:lang w:val="es-ES"/>
        </w:rPr>
        <w:t xml:space="preserve"> </w:t>
      </w:r>
    </w:p>
    <w:p w14:paraId="3A238CF4" w14:textId="77777777" w:rsidR="00E95FFA" w:rsidRDefault="00E95FFA" w:rsidP="00E95FFA">
      <w:pPr>
        <w:jc w:val="both"/>
        <w:rPr>
          <w:rFonts w:ascii="Arial" w:eastAsia="Calibri" w:hAnsi="Arial" w:cs="Arial"/>
          <w:bCs/>
          <w:color w:val="000000" w:themeColor="text1"/>
          <w:sz w:val="20"/>
          <w:szCs w:val="20"/>
          <w:lang w:val="es-ES"/>
        </w:rPr>
      </w:pPr>
    </w:p>
    <w:p w14:paraId="00E35073" w14:textId="77777777" w:rsidR="00E95FFA" w:rsidRDefault="00E95FFA" w:rsidP="00E95FFA">
      <w:pPr>
        <w:jc w:val="both"/>
        <w:rPr>
          <w:rFonts w:ascii="Arial" w:eastAsia="Calibri" w:hAnsi="Arial" w:cs="Arial"/>
          <w:b/>
          <w:color w:val="000000" w:themeColor="text1"/>
          <w:sz w:val="22"/>
        </w:rPr>
      </w:pPr>
      <w:r w:rsidRPr="001B5E36">
        <w:rPr>
          <w:rFonts w:ascii="Arial" w:eastAsia="Calibri" w:hAnsi="Arial" w:cs="Arial"/>
          <w:b/>
          <w:color w:val="000000" w:themeColor="text1"/>
          <w:sz w:val="22"/>
        </w:rPr>
        <w:t>CONCURSO DE MÉRITOS – Adjudicación –</w:t>
      </w:r>
      <w:r>
        <w:rPr>
          <w:rFonts w:ascii="Arial" w:eastAsia="Calibri" w:hAnsi="Arial" w:cs="Arial"/>
          <w:b/>
          <w:color w:val="000000" w:themeColor="text1"/>
          <w:sz w:val="22"/>
        </w:rPr>
        <w:t xml:space="preserve"> </w:t>
      </w:r>
      <w:r w:rsidRPr="001B5E36">
        <w:rPr>
          <w:rFonts w:ascii="Arial" w:eastAsia="Calibri" w:hAnsi="Arial" w:cs="Arial"/>
          <w:b/>
          <w:color w:val="000000" w:themeColor="text1"/>
          <w:sz w:val="22"/>
        </w:rPr>
        <w:t>Audiencia</w:t>
      </w:r>
      <w:r>
        <w:rPr>
          <w:rFonts w:ascii="Arial" w:eastAsia="Calibri" w:hAnsi="Arial" w:cs="Arial"/>
          <w:b/>
          <w:color w:val="000000" w:themeColor="text1"/>
          <w:sz w:val="22"/>
        </w:rPr>
        <w:t>s</w:t>
      </w:r>
      <w:r w:rsidRPr="001B5E36">
        <w:rPr>
          <w:rFonts w:ascii="Arial" w:eastAsia="Calibri" w:hAnsi="Arial" w:cs="Arial"/>
          <w:b/>
          <w:color w:val="000000" w:themeColor="text1"/>
          <w:sz w:val="22"/>
        </w:rPr>
        <w:t xml:space="preserve"> </w:t>
      </w:r>
      <w:r>
        <w:rPr>
          <w:rFonts w:ascii="Arial" w:eastAsia="Calibri" w:hAnsi="Arial" w:cs="Arial"/>
          <w:b/>
          <w:color w:val="000000" w:themeColor="text1"/>
          <w:sz w:val="22"/>
        </w:rPr>
        <w:t>potestativas</w:t>
      </w:r>
      <w:r w:rsidRPr="001B5E36">
        <w:rPr>
          <w:rFonts w:ascii="Arial" w:eastAsia="Calibri" w:hAnsi="Arial" w:cs="Arial"/>
          <w:b/>
          <w:color w:val="000000" w:themeColor="text1"/>
          <w:sz w:val="22"/>
        </w:rPr>
        <w:t xml:space="preserve"> – </w:t>
      </w:r>
      <w:r>
        <w:rPr>
          <w:rFonts w:ascii="Arial" w:eastAsia="Calibri" w:hAnsi="Arial" w:cs="Arial"/>
          <w:b/>
          <w:color w:val="000000" w:themeColor="text1"/>
          <w:sz w:val="22"/>
        </w:rPr>
        <w:t>Estatuto general de contratación – Compatibles</w:t>
      </w:r>
    </w:p>
    <w:p w14:paraId="2B91FD28" w14:textId="77777777" w:rsidR="00E95FFA" w:rsidRPr="006C15D5" w:rsidRDefault="00E95FFA" w:rsidP="00E95FFA">
      <w:pPr>
        <w:jc w:val="both"/>
        <w:rPr>
          <w:rFonts w:ascii="Arial" w:eastAsia="Calibri" w:hAnsi="Arial" w:cs="Arial"/>
          <w:b/>
          <w:color w:val="000000" w:themeColor="text1"/>
          <w:sz w:val="20"/>
          <w:szCs w:val="20"/>
        </w:rPr>
      </w:pPr>
    </w:p>
    <w:p w14:paraId="1AA9B5E9" w14:textId="77777777" w:rsidR="00E95FFA" w:rsidRPr="00697A99" w:rsidRDefault="00E95FFA" w:rsidP="00E95FFA">
      <w:pPr>
        <w:spacing w:after="120"/>
        <w:jc w:val="both"/>
        <w:rPr>
          <w:rFonts w:ascii="Arial" w:eastAsia="Calibri" w:hAnsi="Arial" w:cs="Arial"/>
          <w:color w:val="000000" w:themeColor="text1"/>
          <w:sz w:val="20"/>
          <w:szCs w:val="20"/>
        </w:rPr>
      </w:pPr>
      <w:r>
        <w:rPr>
          <w:rFonts w:ascii="Arial" w:eastAsia="Calibri" w:hAnsi="Arial" w:cs="Arial"/>
          <w:bCs/>
          <w:color w:val="000000" w:themeColor="text1"/>
          <w:sz w:val="20"/>
          <w:szCs w:val="20"/>
          <w:lang w:val="es-ES"/>
        </w:rPr>
        <w:t xml:space="preserve">[…] </w:t>
      </w:r>
      <w:r w:rsidRPr="00697A99">
        <w:rPr>
          <w:rFonts w:ascii="Arial" w:eastAsia="Calibri" w:hAnsi="Arial" w:cs="Arial"/>
          <w:bCs/>
          <w:color w:val="000000" w:themeColor="text1"/>
          <w:sz w:val="20"/>
          <w:szCs w:val="20"/>
          <w:lang w:val="es-ES"/>
        </w:rPr>
        <w:t xml:space="preserve">las </w:t>
      </w:r>
      <w:r w:rsidRPr="00697A99">
        <w:rPr>
          <w:rFonts w:ascii="Arial" w:eastAsia="Calibri" w:hAnsi="Arial" w:cs="Arial"/>
          <w:bCs/>
          <w:i/>
          <w:iCs/>
          <w:color w:val="000000" w:themeColor="text1"/>
          <w:sz w:val="20"/>
          <w:szCs w:val="20"/>
          <w:lang w:val="es-ES"/>
        </w:rPr>
        <w:t xml:space="preserve">audiencias potestativas </w:t>
      </w:r>
      <w:r w:rsidRPr="00697A99">
        <w:rPr>
          <w:rFonts w:ascii="Arial" w:eastAsia="Calibri" w:hAnsi="Arial" w:cs="Arial"/>
          <w:bCs/>
          <w:color w:val="000000" w:themeColor="text1"/>
          <w:sz w:val="20"/>
          <w:szCs w:val="20"/>
          <w:lang w:val="es-ES"/>
        </w:rPr>
        <w:t xml:space="preserve">del </w:t>
      </w:r>
      <w:r w:rsidRPr="00697A99">
        <w:rPr>
          <w:rFonts w:ascii="Arial" w:eastAsia="Calibri" w:hAnsi="Arial" w:cs="Arial"/>
          <w:color w:val="000000" w:themeColor="text1"/>
          <w:sz w:val="20"/>
          <w:szCs w:val="20"/>
        </w:rPr>
        <w:t>inciso final del artículo 35 de la Ley 1437 de 2011</w:t>
      </w:r>
      <w:r w:rsidRPr="00697A99">
        <w:rPr>
          <w:rFonts w:ascii="Arial" w:eastAsia="Calibri" w:hAnsi="Arial" w:cs="Arial"/>
          <w:bCs/>
          <w:color w:val="000000" w:themeColor="text1"/>
          <w:sz w:val="20"/>
          <w:szCs w:val="20"/>
          <w:lang w:val="es-ES"/>
        </w:rPr>
        <w:t xml:space="preserve"> deben ser compatibles con los principios de la actividad contractual –</w:t>
      </w:r>
      <w:r w:rsidRPr="00697A99">
        <w:rPr>
          <w:rFonts w:ascii="Arial" w:eastAsia="Calibri" w:hAnsi="Arial" w:cs="Arial"/>
          <w:color w:val="000000" w:themeColor="text1"/>
          <w:sz w:val="20"/>
          <w:szCs w:val="20"/>
        </w:rPr>
        <w:t xml:space="preserve">art 77 de la Ley 80 de 1993–. El asunto </w:t>
      </w:r>
      <w:r>
        <w:rPr>
          <w:rFonts w:ascii="Arial" w:eastAsia="Calibri" w:hAnsi="Arial" w:cs="Arial"/>
          <w:color w:val="000000" w:themeColor="text1"/>
          <w:sz w:val="20"/>
          <w:szCs w:val="20"/>
        </w:rPr>
        <w:t>[…]</w:t>
      </w:r>
      <w:r w:rsidRPr="00697A99">
        <w:rPr>
          <w:rFonts w:ascii="Arial" w:eastAsia="Calibri" w:hAnsi="Arial" w:cs="Arial"/>
          <w:color w:val="000000" w:themeColor="text1"/>
          <w:sz w:val="20"/>
          <w:szCs w:val="20"/>
        </w:rPr>
        <w:t xml:space="preserve"> es problemático,</w:t>
      </w:r>
      <w:r w:rsidRPr="00697A99">
        <w:rPr>
          <w:rFonts w:ascii="Arial" w:eastAsia="Calibri" w:hAnsi="Arial" w:cs="Arial"/>
          <w:bCs/>
          <w:color w:val="000000" w:themeColor="text1"/>
          <w:sz w:val="20"/>
          <w:szCs w:val="20"/>
          <w:lang w:val="es-ES"/>
        </w:rPr>
        <w:t xml:space="preserve"> </w:t>
      </w:r>
      <w:r w:rsidRPr="00697A99">
        <w:rPr>
          <w:rFonts w:ascii="Arial" w:eastAsia="Calibri" w:hAnsi="Arial" w:cs="Arial"/>
          <w:color w:val="000000" w:themeColor="text1"/>
          <w:sz w:val="20"/>
          <w:szCs w:val="20"/>
        </w:rPr>
        <w:t xml:space="preserve">porque el artículo 25.2 de la Ley 80 de 1993 dispone que conforme al principio de economía «Las normas de los procedimientos contractuales se interpretarán de tal manera que no den ocasión a seguir trámites distintos y adicionales a los expresamente previstos o que permitan valerse de los defectos de forma o de la inobservancia de requisitos para no decidir o proferir providencias inhibitorias». De esta manera, podría sostenerse que en la medida que la ley no reguló audiencias para procedimientos de selección distintos a la licitación pública, las entidades no podrían adelantarlas oficiosamente a falta de norma especial. </w:t>
      </w:r>
    </w:p>
    <w:p w14:paraId="7BB46A78" w14:textId="77777777" w:rsidR="00E95FFA" w:rsidRDefault="00E95FFA" w:rsidP="00E95FFA">
      <w:pPr>
        <w:jc w:val="both"/>
        <w:rPr>
          <w:rFonts w:ascii="Arial" w:eastAsia="Calibri" w:hAnsi="Arial" w:cs="Arial"/>
          <w:color w:val="000000" w:themeColor="text1"/>
          <w:sz w:val="20"/>
          <w:szCs w:val="20"/>
        </w:rPr>
      </w:pPr>
      <w:r w:rsidRPr="00697A99">
        <w:rPr>
          <w:rFonts w:ascii="Arial" w:eastAsia="Calibri" w:hAnsi="Arial" w:cs="Arial"/>
          <w:color w:val="000000" w:themeColor="text1"/>
          <w:sz w:val="20"/>
          <w:szCs w:val="20"/>
        </w:rPr>
        <w:t xml:space="preserve">La Subdirección no comparte la idea del párrafo precedente, ya que la audiencia no implica una fase adicional del procedimiento, pues tiene como objeto la adjudicación de contrato, es decir, una etapa existente dentro del concurso de méritos conforme al citado </w:t>
      </w:r>
      <w:r w:rsidRPr="00697A99">
        <w:rPr>
          <w:rFonts w:ascii="Arial" w:eastAsia="Calibri" w:hAnsi="Arial" w:cs="Arial"/>
          <w:bCs/>
          <w:color w:val="000000" w:themeColor="text1"/>
          <w:sz w:val="20"/>
          <w:szCs w:val="20"/>
          <w:lang w:val="es-ES"/>
        </w:rPr>
        <w:t xml:space="preserve">numeral 5 del artículo 2.2.1.1.2.1.3 del Decreto 1082 de 2015. Por lo anterior, la realización de </w:t>
      </w:r>
      <w:r w:rsidRPr="00697A99">
        <w:rPr>
          <w:rFonts w:ascii="Arial" w:eastAsia="Calibri" w:hAnsi="Arial" w:cs="Arial"/>
          <w:bCs/>
          <w:i/>
          <w:iCs/>
          <w:color w:val="000000" w:themeColor="text1"/>
          <w:sz w:val="20"/>
          <w:szCs w:val="20"/>
          <w:lang w:val="es-ES"/>
        </w:rPr>
        <w:t>audiencias públicas</w:t>
      </w:r>
      <w:r w:rsidRPr="00697A99">
        <w:rPr>
          <w:rFonts w:ascii="Arial" w:eastAsia="Calibri" w:hAnsi="Arial" w:cs="Arial"/>
          <w:bCs/>
          <w:color w:val="000000" w:themeColor="text1"/>
          <w:sz w:val="20"/>
          <w:szCs w:val="20"/>
          <w:lang w:val="es-ES"/>
        </w:rPr>
        <w:t xml:space="preserve"> en los términos del </w:t>
      </w:r>
      <w:r w:rsidRPr="00697A99">
        <w:rPr>
          <w:rFonts w:ascii="Arial" w:eastAsia="Calibri" w:hAnsi="Arial" w:cs="Arial"/>
          <w:color w:val="000000" w:themeColor="text1"/>
          <w:sz w:val="20"/>
          <w:szCs w:val="20"/>
        </w:rPr>
        <w:t>inciso final del artículo 35 de la Ley 1437 de 2011 no implica una violación del principio de economía, pues no agrega una etapa adicional al procedimiento de selección: lo único que cambia es la forma de adjudicar los contratos en el concurso de méritos, garantizando la participación de los proponentes y demás interesados, lo cual no sólo es compatible con los fines de la contratación pública –art. 3 de la Ley 80 de 1993– sino también con los principios de la función administrativa –art. 209 de la Constitución Política de 1991–</w:t>
      </w:r>
      <w:r w:rsidRPr="00A40178">
        <w:rPr>
          <w:rFonts w:ascii="Arial" w:eastAsia="Calibri" w:hAnsi="Arial" w:cs="Arial"/>
          <w:color w:val="000000" w:themeColor="text1"/>
          <w:sz w:val="20"/>
          <w:szCs w:val="20"/>
        </w:rPr>
        <w:t xml:space="preserve">. </w:t>
      </w:r>
    </w:p>
    <w:p w14:paraId="11D42DD3" w14:textId="77777777" w:rsidR="00AB726C" w:rsidRPr="00E95FFA" w:rsidRDefault="00AB726C" w:rsidP="00AB726C">
      <w:pPr>
        <w:tabs>
          <w:tab w:val="left" w:pos="709"/>
        </w:tabs>
        <w:jc w:val="both"/>
        <w:rPr>
          <w:rFonts w:ascii="Arial" w:eastAsia="Arial" w:hAnsi="Arial" w:cs="Arial"/>
          <w:sz w:val="20"/>
          <w:szCs w:val="20"/>
        </w:rPr>
      </w:pPr>
    </w:p>
    <w:p w14:paraId="4E5C1D62" w14:textId="5DE0CC69" w:rsidR="00DD5B04" w:rsidRPr="0085790B" w:rsidRDefault="00DD5B04" w:rsidP="00DF76A2">
      <w:pPr>
        <w:spacing w:line="276" w:lineRule="auto"/>
        <w:jc w:val="both"/>
        <w:rPr>
          <w:rFonts w:ascii="Arial" w:eastAsia="Calibri" w:hAnsi="Arial" w:cs="Arial"/>
          <w:noProof/>
          <w:color w:val="000000" w:themeColor="text1"/>
          <w:sz w:val="20"/>
          <w:lang w:val="es-ES_tradnl"/>
        </w:rPr>
      </w:pPr>
      <w:r w:rsidRPr="0085790B">
        <w:rPr>
          <w:rFonts w:ascii="Arial" w:hAnsi="Arial" w:cs="Arial"/>
          <w:noProof/>
          <w:color w:val="000000" w:themeColor="text1"/>
          <w:sz w:val="22"/>
          <w:lang w:val="es-ES_tradnl"/>
        </w:rPr>
        <w:t xml:space="preserve">Bogotá D.C., </w:t>
      </w:r>
      <w:r w:rsidR="00BD0DB8">
        <w:rPr>
          <w:rFonts w:ascii="Arial" w:hAnsi="Arial" w:cs="Arial"/>
          <w:b/>
          <w:noProof/>
          <w:color w:val="000000" w:themeColor="text1"/>
          <w:sz w:val="22"/>
          <w:lang w:val="es-ES_tradnl"/>
        </w:rPr>
        <w:t>02/10/2020</w:t>
      </w:r>
    </w:p>
    <w:p w14:paraId="3EE008C6" w14:textId="1C2425C5" w:rsidR="00DD5B04" w:rsidRPr="0085790B" w:rsidRDefault="00DD5B04" w:rsidP="002A1A58">
      <w:pPr>
        <w:spacing w:line="276" w:lineRule="auto"/>
        <w:jc w:val="right"/>
        <w:rPr>
          <w:rFonts w:ascii="Arial" w:hAnsi="Arial" w:cs="Arial"/>
          <w:b/>
          <w:noProof/>
          <w:color w:val="000000" w:themeColor="text1"/>
          <w:sz w:val="22"/>
          <w:lang w:val="es-ES_tradnl"/>
        </w:rPr>
      </w:pPr>
      <w:r w:rsidRPr="0085790B">
        <w:rPr>
          <w:rFonts w:ascii="Arial" w:hAnsi="Arial" w:cs="Arial"/>
          <w:b/>
          <w:noProof/>
          <w:color w:val="000000" w:themeColor="text1"/>
          <w:sz w:val="22"/>
          <w:lang w:val="es-ES_tradnl"/>
        </w:rPr>
        <w:t xml:space="preserve">N° Radicado: </w:t>
      </w:r>
      <w:r w:rsidR="000324B4">
        <w:rPr>
          <w:rFonts w:ascii="Arial" w:hAnsi="Arial" w:cs="Arial"/>
          <w:b/>
          <w:noProof/>
          <w:color w:val="000000" w:themeColor="text1"/>
          <w:sz w:val="22"/>
          <w:lang w:val="es-ES_tradnl"/>
        </w:rPr>
        <w:t>22020</w:t>
      </w:r>
      <w:r w:rsidR="00C70675">
        <w:rPr>
          <w:rFonts w:ascii="Arial" w:hAnsi="Arial" w:cs="Arial"/>
          <w:b/>
          <w:noProof/>
          <w:color w:val="000000" w:themeColor="text1"/>
          <w:sz w:val="22"/>
          <w:lang w:val="es-ES_tradnl"/>
        </w:rPr>
        <w:t>13000009491</w:t>
      </w:r>
    </w:p>
    <w:p w14:paraId="33BD7B68" w14:textId="77777777" w:rsidR="00DD5B04" w:rsidRPr="0085790B" w:rsidRDefault="00DD5B04" w:rsidP="00DF76A2">
      <w:pPr>
        <w:jc w:val="both"/>
        <w:rPr>
          <w:rFonts w:ascii="Arial" w:hAnsi="Arial" w:cs="Arial"/>
          <w:b/>
          <w:color w:val="000000" w:themeColor="text1"/>
          <w:sz w:val="22"/>
          <w:lang w:val="es-ES_tradnl"/>
        </w:rPr>
      </w:pPr>
    </w:p>
    <w:p w14:paraId="073418B4" w14:textId="19909555" w:rsidR="00DD5B04" w:rsidRPr="0085790B" w:rsidRDefault="00DD5B04" w:rsidP="00DF76A2">
      <w:pPr>
        <w:jc w:val="both"/>
        <w:rPr>
          <w:rFonts w:ascii="Arial" w:eastAsia="Calibri" w:hAnsi="Arial" w:cs="Arial"/>
          <w:color w:val="000000" w:themeColor="text1"/>
          <w:sz w:val="22"/>
          <w:lang w:val="es-ES_tradnl"/>
        </w:rPr>
      </w:pPr>
    </w:p>
    <w:p w14:paraId="5ABDB039" w14:textId="77777777" w:rsidR="00F02D25" w:rsidRPr="0085790B" w:rsidRDefault="00F02D25" w:rsidP="00DF76A2">
      <w:pPr>
        <w:jc w:val="both"/>
        <w:rPr>
          <w:rFonts w:ascii="Arial" w:eastAsia="Calibri" w:hAnsi="Arial" w:cs="Arial"/>
          <w:color w:val="000000" w:themeColor="text1"/>
          <w:sz w:val="22"/>
          <w:lang w:val="es-ES_tradnl"/>
        </w:rPr>
      </w:pPr>
    </w:p>
    <w:p w14:paraId="74A475A6" w14:textId="6586A3A9" w:rsidR="00DD5B04" w:rsidRPr="0085790B" w:rsidRDefault="00DD5B04" w:rsidP="00DF76A2">
      <w:pPr>
        <w:jc w:val="both"/>
        <w:rPr>
          <w:rFonts w:ascii="Arial" w:eastAsia="Calibri" w:hAnsi="Arial" w:cs="Arial"/>
          <w:color w:val="000000" w:themeColor="text1"/>
          <w:sz w:val="22"/>
          <w:lang w:val="es-ES_tradnl"/>
        </w:rPr>
      </w:pPr>
      <w:r w:rsidRPr="0085790B">
        <w:rPr>
          <w:rFonts w:ascii="Arial" w:eastAsia="Calibri" w:hAnsi="Arial" w:cs="Arial"/>
          <w:color w:val="000000" w:themeColor="text1"/>
          <w:sz w:val="22"/>
          <w:lang w:val="es-ES_tradnl"/>
        </w:rPr>
        <w:t>Señor</w:t>
      </w:r>
      <w:r w:rsidR="00FA5043" w:rsidRPr="0085790B">
        <w:rPr>
          <w:rFonts w:ascii="Arial" w:eastAsia="Calibri" w:hAnsi="Arial" w:cs="Arial"/>
          <w:color w:val="000000" w:themeColor="text1"/>
          <w:sz w:val="22"/>
          <w:lang w:val="es-ES_tradnl"/>
        </w:rPr>
        <w:t>a</w:t>
      </w:r>
    </w:p>
    <w:p w14:paraId="6011130B" w14:textId="7D3F7450" w:rsidR="00AE1990" w:rsidRPr="0085790B" w:rsidRDefault="00B70546" w:rsidP="00DF76A2">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Viviana Rozo</w:t>
      </w:r>
    </w:p>
    <w:p w14:paraId="5E9E4CD6" w14:textId="4F1126FA" w:rsidR="00DD5B04" w:rsidRPr="0085790B" w:rsidRDefault="00DD5B04" w:rsidP="00DF76A2">
      <w:pPr>
        <w:jc w:val="both"/>
        <w:rPr>
          <w:rFonts w:ascii="Arial" w:eastAsia="Calibri" w:hAnsi="Arial" w:cs="Arial"/>
          <w:color w:val="000000" w:themeColor="text1"/>
          <w:sz w:val="22"/>
          <w:lang w:val="es-ES_tradnl"/>
        </w:rPr>
      </w:pPr>
      <w:r w:rsidRPr="0085790B">
        <w:rPr>
          <w:rFonts w:ascii="Arial" w:eastAsia="Calibri" w:hAnsi="Arial" w:cs="Arial"/>
          <w:color w:val="000000" w:themeColor="text1"/>
          <w:sz w:val="22"/>
          <w:lang w:val="es-ES_tradnl"/>
        </w:rPr>
        <w:t>Ciudad</w:t>
      </w:r>
    </w:p>
    <w:p w14:paraId="79F69118" w14:textId="77777777" w:rsidR="00DD5B04" w:rsidRPr="0085790B" w:rsidRDefault="00DD5B04" w:rsidP="00DF76A2">
      <w:pPr>
        <w:jc w:val="both"/>
        <w:rPr>
          <w:rFonts w:ascii="Arial" w:eastAsia="Calibri" w:hAnsi="Arial" w:cs="Arial"/>
          <w:color w:val="000000" w:themeColor="text1"/>
          <w:sz w:val="22"/>
          <w:lang w:val="es-ES_tradnl"/>
        </w:rPr>
      </w:pPr>
    </w:p>
    <w:p w14:paraId="03294061" w14:textId="77777777" w:rsidR="00DD5B04" w:rsidRPr="0085790B" w:rsidRDefault="00DD5B04" w:rsidP="00DF76A2">
      <w:pPr>
        <w:jc w:val="both"/>
        <w:rPr>
          <w:rFonts w:ascii="Arial" w:eastAsia="Calibri" w:hAnsi="Arial" w:cs="Arial"/>
          <w:color w:val="000000" w:themeColor="text1"/>
          <w:sz w:val="22"/>
          <w:lang w:val="es-ES_tradnl"/>
        </w:rPr>
      </w:pPr>
    </w:p>
    <w:p w14:paraId="60978A0D" w14:textId="319D1FC0" w:rsidR="00DD5B04" w:rsidRPr="0085790B" w:rsidRDefault="00DD5B04" w:rsidP="002A1A58">
      <w:pPr>
        <w:jc w:val="center"/>
        <w:rPr>
          <w:rFonts w:ascii="Arial" w:eastAsia="Calibri" w:hAnsi="Arial" w:cs="Arial"/>
          <w:b/>
          <w:bCs/>
          <w:color w:val="000000" w:themeColor="text1"/>
          <w:sz w:val="22"/>
          <w:lang w:val="es-ES_tradnl"/>
        </w:rPr>
      </w:pPr>
      <w:r w:rsidRPr="0085790B">
        <w:rPr>
          <w:rFonts w:ascii="Arial" w:eastAsia="Calibri" w:hAnsi="Arial" w:cs="Arial"/>
          <w:b/>
          <w:bCs/>
          <w:color w:val="000000" w:themeColor="text1"/>
          <w:sz w:val="22"/>
          <w:lang w:val="es-ES_tradnl"/>
        </w:rPr>
        <w:t>Concepto C</w:t>
      </w:r>
      <w:r w:rsidR="00FE144E" w:rsidRPr="0085790B">
        <w:rPr>
          <w:rFonts w:ascii="Arial" w:eastAsia="Calibri" w:hAnsi="Arial" w:cs="Arial"/>
          <w:b/>
          <w:bCs/>
          <w:color w:val="000000" w:themeColor="text1"/>
          <w:sz w:val="22"/>
          <w:lang w:val="es-ES_tradnl"/>
        </w:rPr>
        <w:t xml:space="preserve"> </w:t>
      </w:r>
      <w:r w:rsidRPr="0085790B">
        <w:rPr>
          <w:rFonts w:ascii="Arial" w:eastAsia="Calibri" w:hAnsi="Arial" w:cs="Arial"/>
          <w:b/>
          <w:bCs/>
          <w:color w:val="000000" w:themeColor="text1"/>
          <w:sz w:val="22"/>
          <w:lang w:val="es-ES_tradnl"/>
        </w:rPr>
        <w:t xml:space="preserve">‒ </w:t>
      </w:r>
      <w:r w:rsidR="003761D2">
        <w:rPr>
          <w:rFonts w:ascii="Arial" w:eastAsia="Calibri" w:hAnsi="Arial" w:cs="Arial"/>
          <w:b/>
          <w:bCs/>
          <w:color w:val="000000" w:themeColor="text1"/>
          <w:sz w:val="22"/>
          <w:lang w:val="es-ES_tradnl"/>
        </w:rPr>
        <w:t>612</w:t>
      </w:r>
      <w:r w:rsidR="00B52697" w:rsidRPr="0085790B">
        <w:rPr>
          <w:rFonts w:ascii="Arial" w:eastAsia="Calibri" w:hAnsi="Arial" w:cs="Arial"/>
          <w:b/>
          <w:bCs/>
          <w:color w:val="000000" w:themeColor="text1"/>
          <w:sz w:val="22"/>
          <w:lang w:val="es-ES_tradnl"/>
        </w:rPr>
        <w:t xml:space="preserve"> </w:t>
      </w:r>
      <w:r w:rsidRPr="0085790B">
        <w:rPr>
          <w:rFonts w:ascii="Arial" w:eastAsia="Calibri" w:hAnsi="Arial" w:cs="Arial"/>
          <w:b/>
          <w:bCs/>
          <w:color w:val="000000" w:themeColor="text1"/>
          <w:sz w:val="22"/>
          <w:lang w:val="es-ES_tradnl"/>
        </w:rPr>
        <w:t>de 2020</w:t>
      </w:r>
    </w:p>
    <w:p w14:paraId="3097F323" w14:textId="3A1E6C73" w:rsidR="00DD5B04" w:rsidRPr="0085790B" w:rsidRDefault="00DD5B04" w:rsidP="00DF76A2">
      <w:pPr>
        <w:jc w:val="both"/>
        <w:rPr>
          <w:rFonts w:ascii="Arial" w:eastAsia="Calibri" w:hAnsi="Arial" w:cs="Arial"/>
          <w:color w:val="000000" w:themeColor="text1"/>
          <w:sz w:val="22"/>
          <w:lang w:val="es-ES_tradnl"/>
        </w:rPr>
      </w:pPr>
    </w:p>
    <w:p w14:paraId="3C334747" w14:textId="77777777" w:rsidR="00F02D25" w:rsidRPr="0085790B" w:rsidRDefault="00F02D25" w:rsidP="00DF76A2">
      <w:pPr>
        <w:jc w:val="both"/>
        <w:rPr>
          <w:rFonts w:ascii="Arial" w:eastAsia="Calibri" w:hAnsi="Arial" w:cs="Arial"/>
          <w:color w:val="000000" w:themeColor="text1"/>
          <w:sz w:val="22"/>
          <w:lang w:val="es-ES_tradnl"/>
        </w:rPr>
      </w:pPr>
    </w:p>
    <w:p w14:paraId="50574B19" w14:textId="77777777" w:rsidR="00DD5B04" w:rsidRPr="0085790B" w:rsidRDefault="00DD5B04" w:rsidP="00DF76A2">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D5B04" w:rsidRPr="0085790B" w14:paraId="10318206" w14:textId="77777777" w:rsidTr="00083F1B">
        <w:tc>
          <w:tcPr>
            <w:tcW w:w="2689" w:type="dxa"/>
          </w:tcPr>
          <w:p w14:paraId="3FE8DF90" w14:textId="77777777" w:rsidR="00DD5B04" w:rsidRPr="0085790B" w:rsidRDefault="00DD5B04" w:rsidP="00DF76A2">
            <w:pPr>
              <w:jc w:val="both"/>
              <w:rPr>
                <w:rFonts w:ascii="Arial" w:eastAsia="Calibri" w:hAnsi="Arial" w:cs="Arial"/>
                <w:color w:val="000000" w:themeColor="text1"/>
                <w:sz w:val="22"/>
                <w:lang w:val="es-ES_tradnl"/>
              </w:rPr>
            </w:pPr>
            <w:r w:rsidRPr="0085790B">
              <w:rPr>
                <w:rFonts w:ascii="Arial" w:eastAsia="Calibri" w:hAnsi="Arial" w:cs="Arial"/>
                <w:b/>
                <w:color w:val="000000" w:themeColor="text1"/>
                <w:sz w:val="22"/>
                <w:lang w:val="es-ES_tradnl"/>
              </w:rPr>
              <w:t>Temas:</w:t>
            </w:r>
            <w:r w:rsidRPr="0085790B">
              <w:rPr>
                <w:rFonts w:ascii="Arial" w:eastAsia="Calibri" w:hAnsi="Arial" w:cs="Arial"/>
                <w:color w:val="000000" w:themeColor="text1"/>
                <w:sz w:val="22"/>
                <w:lang w:val="es-ES_tradnl"/>
              </w:rPr>
              <w:t xml:space="preserve">                                      </w:t>
            </w:r>
          </w:p>
        </w:tc>
        <w:tc>
          <w:tcPr>
            <w:tcW w:w="6237" w:type="dxa"/>
          </w:tcPr>
          <w:p w14:paraId="63D57D37" w14:textId="4EA1F130" w:rsidR="00DD5B04" w:rsidRPr="0085790B" w:rsidRDefault="006E46EC" w:rsidP="00DF76A2">
            <w:pPr>
              <w:jc w:val="both"/>
              <w:rPr>
                <w:rFonts w:ascii="Arial" w:eastAsia="Calibri" w:hAnsi="Arial" w:cs="Arial"/>
                <w:color w:val="000000" w:themeColor="text1"/>
                <w:sz w:val="22"/>
                <w:lang w:val="es-ES_tradnl"/>
              </w:rPr>
            </w:pPr>
            <w:r w:rsidRPr="001E4EC1">
              <w:rPr>
                <w:rFonts w:ascii="Arial" w:eastAsia="Calibri" w:hAnsi="Arial" w:cs="Arial"/>
                <w:color w:val="000000" w:themeColor="text1"/>
                <w:sz w:val="22"/>
              </w:rPr>
              <w:t xml:space="preserve">CONCURSO DE MÉRITOS – Noción </w:t>
            </w:r>
            <w:r>
              <w:rPr>
                <w:rFonts w:ascii="Arial" w:eastAsia="Calibri" w:hAnsi="Arial" w:cs="Arial"/>
                <w:color w:val="000000" w:themeColor="text1"/>
                <w:sz w:val="22"/>
              </w:rPr>
              <w:t xml:space="preserve">/ </w:t>
            </w:r>
            <w:r w:rsidRPr="001E4EC1">
              <w:rPr>
                <w:rFonts w:ascii="Arial" w:eastAsia="Calibri" w:hAnsi="Arial" w:cs="Arial"/>
                <w:color w:val="000000" w:themeColor="text1"/>
                <w:sz w:val="22"/>
              </w:rPr>
              <w:t>CONCURSO DE MÉRITOS – Modalidades</w:t>
            </w:r>
            <w:r>
              <w:rPr>
                <w:rFonts w:ascii="Arial" w:eastAsia="Calibri" w:hAnsi="Arial" w:cs="Arial"/>
                <w:color w:val="000000" w:themeColor="text1"/>
                <w:sz w:val="22"/>
              </w:rPr>
              <w:t xml:space="preserve"> / </w:t>
            </w:r>
            <w:r w:rsidRPr="001E4EC1">
              <w:rPr>
                <w:rFonts w:ascii="Arial" w:eastAsia="Calibri" w:hAnsi="Arial" w:cs="Arial"/>
                <w:color w:val="000000" w:themeColor="text1"/>
                <w:sz w:val="22"/>
              </w:rPr>
              <w:t xml:space="preserve">DECRETO 1082 DE 2015 – Artículo </w:t>
            </w:r>
            <w:r>
              <w:rPr>
                <w:rFonts w:ascii="Arial" w:eastAsia="Calibri" w:hAnsi="Arial" w:cs="Arial"/>
                <w:color w:val="000000" w:themeColor="text1"/>
                <w:sz w:val="22"/>
              </w:rPr>
              <w:t>2.2.1.2.1.3.2</w:t>
            </w:r>
            <w:r w:rsidRPr="001E4EC1">
              <w:rPr>
                <w:rFonts w:ascii="Arial" w:eastAsia="Calibri" w:hAnsi="Arial" w:cs="Arial"/>
                <w:color w:val="000000" w:themeColor="text1"/>
                <w:sz w:val="22"/>
              </w:rPr>
              <w:t xml:space="preserve"> – Suspensión provisional – Selección de consultores </w:t>
            </w:r>
            <w:r>
              <w:rPr>
                <w:rFonts w:ascii="Arial" w:eastAsia="Calibri" w:hAnsi="Arial" w:cs="Arial"/>
                <w:color w:val="000000" w:themeColor="text1"/>
                <w:sz w:val="22"/>
              </w:rPr>
              <w:t xml:space="preserve"> / </w:t>
            </w:r>
            <w:r w:rsidRPr="001E4EC1">
              <w:rPr>
                <w:rFonts w:ascii="Arial" w:eastAsia="Calibri" w:hAnsi="Arial" w:cs="Arial"/>
                <w:color w:val="000000" w:themeColor="text1"/>
                <w:sz w:val="22"/>
              </w:rPr>
              <w:t xml:space="preserve">CONCURSO DE MÉRITOS – Procedimiento – Audiencia – Orden de elegibilidad – Suspensión provisional – SECOP II </w:t>
            </w:r>
            <w:r>
              <w:rPr>
                <w:rFonts w:ascii="Arial" w:eastAsia="Calibri" w:hAnsi="Arial" w:cs="Arial"/>
                <w:color w:val="000000" w:themeColor="text1"/>
                <w:sz w:val="22"/>
              </w:rPr>
              <w:t xml:space="preserve">/ </w:t>
            </w:r>
            <w:r w:rsidRPr="00B9572C">
              <w:rPr>
                <w:rFonts w:ascii="Arial" w:eastAsia="Calibri" w:hAnsi="Arial" w:cs="Arial"/>
                <w:color w:val="000000" w:themeColor="text1"/>
                <w:sz w:val="22"/>
              </w:rPr>
              <w:t>CONCURSO DE MÉRITOS – Adjudicación – Audiencia pública – Analogía – Inaplicable</w:t>
            </w:r>
            <w:r w:rsidRPr="00F52BC9">
              <w:rPr>
                <w:rFonts w:ascii="Arial" w:eastAsia="Calibri" w:hAnsi="Arial" w:cs="Arial"/>
                <w:color w:val="000000" w:themeColor="text1"/>
                <w:sz w:val="22"/>
              </w:rPr>
              <w:t xml:space="preserve"> </w:t>
            </w:r>
            <w:r w:rsidRPr="006C15D5">
              <w:rPr>
                <w:rFonts w:ascii="Arial" w:eastAsia="Calibri" w:hAnsi="Arial" w:cs="Arial"/>
                <w:color w:val="000000" w:themeColor="text1"/>
                <w:sz w:val="22"/>
              </w:rPr>
              <w:t xml:space="preserve">/ </w:t>
            </w:r>
            <w:r w:rsidRPr="00B9572C">
              <w:rPr>
                <w:rFonts w:ascii="Arial" w:eastAsia="Calibri" w:hAnsi="Arial" w:cs="Arial"/>
                <w:color w:val="000000" w:themeColor="text1"/>
                <w:sz w:val="22"/>
              </w:rPr>
              <w:t>CONCURSO DE MÉRITOS – Adjudicación – Procedimiento administrativo general –Audiencias potestativas – Estatuto general de contratación – Ausencia de regulación</w:t>
            </w:r>
            <w:r w:rsidRPr="006C15D5">
              <w:rPr>
                <w:rFonts w:ascii="Arial" w:eastAsia="Calibri" w:hAnsi="Arial" w:cs="Arial"/>
                <w:color w:val="000000" w:themeColor="text1"/>
                <w:sz w:val="22"/>
              </w:rPr>
              <w:t xml:space="preserve"> / </w:t>
            </w:r>
            <w:r w:rsidRPr="00B9572C">
              <w:rPr>
                <w:rFonts w:ascii="Arial" w:eastAsia="Calibri" w:hAnsi="Arial" w:cs="Arial"/>
                <w:color w:val="000000" w:themeColor="text1"/>
                <w:sz w:val="22"/>
              </w:rPr>
              <w:t>CONCURSO DE MÉRITOS – Adjudicación – Audiencias potestativas – Estatuto general de contratación – Compatibles</w:t>
            </w:r>
            <w:r w:rsidR="00FB1570" w:rsidRPr="0085790B">
              <w:rPr>
                <w:rFonts w:ascii="Arial" w:eastAsia="Arial" w:hAnsi="Arial" w:cs="Arial"/>
                <w:color w:val="000000"/>
                <w:sz w:val="22"/>
                <w:lang w:val="es-ES_tradnl"/>
              </w:rPr>
              <w:t>.</w:t>
            </w:r>
          </w:p>
        </w:tc>
      </w:tr>
      <w:tr w:rsidR="00DD5B04" w:rsidRPr="0085790B" w14:paraId="60E06E0C" w14:textId="77777777" w:rsidTr="00083F1B">
        <w:tc>
          <w:tcPr>
            <w:tcW w:w="2689" w:type="dxa"/>
          </w:tcPr>
          <w:p w14:paraId="5655C7E4" w14:textId="77777777" w:rsidR="00DD5B04" w:rsidRPr="0085790B" w:rsidRDefault="00DD5B04" w:rsidP="00DF76A2">
            <w:pPr>
              <w:spacing w:before="120"/>
              <w:jc w:val="both"/>
              <w:rPr>
                <w:rFonts w:ascii="Arial" w:eastAsia="Calibri" w:hAnsi="Arial" w:cs="Arial"/>
                <w:b/>
                <w:color w:val="000000" w:themeColor="text1"/>
                <w:sz w:val="22"/>
                <w:lang w:val="es-ES_tradnl"/>
              </w:rPr>
            </w:pPr>
            <w:r w:rsidRPr="0085790B">
              <w:rPr>
                <w:rFonts w:ascii="Arial" w:eastAsia="Calibri" w:hAnsi="Arial" w:cs="Arial"/>
                <w:b/>
                <w:color w:val="000000" w:themeColor="text1"/>
                <w:sz w:val="22"/>
                <w:lang w:val="es-ES_tradnl"/>
              </w:rPr>
              <w:t>Radicación:</w:t>
            </w:r>
            <w:r w:rsidRPr="0085790B">
              <w:rPr>
                <w:rFonts w:ascii="Arial" w:eastAsia="Calibri" w:hAnsi="Arial" w:cs="Arial"/>
                <w:color w:val="000000" w:themeColor="text1"/>
                <w:sz w:val="22"/>
                <w:lang w:val="es-ES_tradnl"/>
              </w:rPr>
              <w:t xml:space="preserve">                              </w:t>
            </w:r>
          </w:p>
        </w:tc>
        <w:tc>
          <w:tcPr>
            <w:tcW w:w="6237" w:type="dxa"/>
          </w:tcPr>
          <w:p w14:paraId="33E25A02" w14:textId="0AF829D5" w:rsidR="00DD5B04" w:rsidRPr="0085790B" w:rsidRDefault="00DD5B04" w:rsidP="00DF76A2">
            <w:pPr>
              <w:spacing w:before="120"/>
              <w:jc w:val="both"/>
              <w:rPr>
                <w:rFonts w:ascii="Arial" w:eastAsia="Calibri" w:hAnsi="Arial" w:cs="Arial"/>
                <w:color w:val="000000" w:themeColor="text1"/>
                <w:sz w:val="22"/>
                <w:lang w:val="es-ES_tradnl"/>
              </w:rPr>
            </w:pPr>
            <w:r w:rsidRPr="0085790B">
              <w:rPr>
                <w:rFonts w:ascii="Arial" w:eastAsia="Calibri" w:hAnsi="Arial" w:cs="Arial"/>
                <w:color w:val="000000" w:themeColor="text1"/>
                <w:sz w:val="22"/>
                <w:lang w:val="es-ES_tradnl"/>
              </w:rPr>
              <w:t>Respuesta</w:t>
            </w:r>
            <w:r w:rsidR="008100F7" w:rsidRPr="0085790B">
              <w:rPr>
                <w:rFonts w:ascii="Arial" w:eastAsia="Calibri" w:hAnsi="Arial" w:cs="Arial"/>
                <w:color w:val="000000" w:themeColor="text1"/>
                <w:sz w:val="22"/>
                <w:lang w:val="es-ES_tradnl"/>
              </w:rPr>
              <w:t xml:space="preserve"> </w:t>
            </w:r>
            <w:r w:rsidR="00CA5812" w:rsidRPr="0085790B">
              <w:rPr>
                <w:rFonts w:ascii="Arial" w:eastAsia="Calibri" w:hAnsi="Arial" w:cs="Arial"/>
                <w:color w:val="000000" w:themeColor="text1"/>
                <w:sz w:val="22"/>
                <w:lang w:val="es-ES_tradnl"/>
              </w:rPr>
              <w:t xml:space="preserve">a </w:t>
            </w:r>
            <w:r w:rsidRPr="0085790B">
              <w:rPr>
                <w:rFonts w:ascii="Arial" w:eastAsia="Calibri" w:hAnsi="Arial" w:cs="Arial"/>
                <w:color w:val="000000" w:themeColor="text1"/>
                <w:sz w:val="22"/>
                <w:lang w:val="es-ES_tradnl"/>
              </w:rPr>
              <w:t>consulta</w:t>
            </w:r>
            <w:r w:rsidR="008022C9" w:rsidRPr="0085790B">
              <w:rPr>
                <w:rFonts w:ascii="Arial" w:eastAsia="Calibri" w:hAnsi="Arial" w:cs="Arial"/>
                <w:color w:val="000000" w:themeColor="text1"/>
                <w:sz w:val="22"/>
                <w:lang w:val="es-ES_tradnl"/>
              </w:rPr>
              <w:t xml:space="preserve"> </w:t>
            </w:r>
            <w:r w:rsidRPr="0085790B">
              <w:rPr>
                <w:rFonts w:ascii="Arial" w:eastAsia="Calibri" w:hAnsi="Arial" w:cs="Arial"/>
                <w:color w:val="000000" w:themeColor="text1"/>
                <w:sz w:val="22"/>
                <w:lang w:val="es-ES_tradnl"/>
              </w:rPr>
              <w:t xml:space="preserve"># </w:t>
            </w:r>
            <w:r w:rsidR="000C0D01" w:rsidRPr="000C0D01">
              <w:rPr>
                <w:rFonts w:ascii="Arial" w:eastAsia="Calibri" w:hAnsi="Arial" w:cs="Arial"/>
                <w:color w:val="000000" w:themeColor="text1"/>
                <w:sz w:val="22"/>
                <w:lang w:val="es-ES_tradnl"/>
              </w:rPr>
              <w:t>4202012000007721</w:t>
            </w:r>
          </w:p>
          <w:p w14:paraId="0DA3D2F3" w14:textId="77777777" w:rsidR="00DD5B04" w:rsidRPr="0085790B" w:rsidRDefault="00DD5B04" w:rsidP="00DF76A2">
            <w:pPr>
              <w:spacing w:before="120"/>
              <w:jc w:val="both"/>
              <w:rPr>
                <w:rFonts w:ascii="Arial" w:eastAsia="Calibri" w:hAnsi="Arial" w:cs="Arial"/>
                <w:color w:val="000000" w:themeColor="text1"/>
                <w:sz w:val="22"/>
                <w:lang w:val="es-ES_tradnl"/>
              </w:rPr>
            </w:pPr>
            <w:r w:rsidRPr="0085790B">
              <w:rPr>
                <w:rFonts w:ascii="Arial" w:eastAsia="Calibri" w:hAnsi="Arial" w:cs="Arial"/>
                <w:color w:val="000000" w:themeColor="text1"/>
                <w:sz w:val="22"/>
                <w:lang w:val="es-ES_tradnl"/>
              </w:rPr>
              <w:t xml:space="preserve"> </w:t>
            </w:r>
          </w:p>
        </w:tc>
      </w:tr>
    </w:tbl>
    <w:p w14:paraId="3D1F1089" w14:textId="77777777" w:rsidR="005305E5" w:rsidRPr="0085790B" w:rsidRDefault="005305E5" w:rsidP="00DF76A2">
      <w:pPr>
        <w:jc w:val="both"/>
        <w:rPr>
          <w:rFonts w:ascii="Arial" w:eastAsia="Calibri" w:hAnsi="Arial" w:cs="Arial"/>
          <w:color w:val="000000" w:themeColor="text1"/>
          <w:sz w:val="22"/>
          <w:lang w:val="es-ES_tradnl"/>
        </w:rPr>
      </w:pPr>
    </w:p>
    <w:p w14:paraId="30BB5B67" w14:textId="38B28879" w:rsidR="00DD5B04" w:rsidRPr="0085790B" w:rsidRDefault="00DD5B04" w:rsidP="00DF76A2">
      <w:pPr>
        <w:jc w:val="both"/>
        <w:rPr>
          <w:rFonts w:ascii="Arial" w:eastAsia="Calibri" w:hAnsi="Arial" w:cs="Arial"/>
          <w:color w:val="000000" w:themeColor="text1"/>
          <w:sz w:val="22"/>
          <w:lang w:val="es-ES_tradnl"/>
        </w:rPr>
      </w:pPr>
      <w:r w:rsidRPr="0085790B">
        <w:rPr>
          <w:rFonts w:ascii="Arial" w:eastAsia="Calibri" w:hAnsi="Arial" w:cs="Arial"/>
          <w:color w:val="000000" w:themeColor="text1"/>
          <w:sz w:val="22"/>
          <w:lang w:val="es-ES_tradnl"/>
        </w:rPr>
        <w:t>Estimad</w:t>
      </w:r>
      <w:r w:rsidR="00FA5043" w:rsidRPr="0085790B">
        <w:rPr>
          <w:rFonts w:ascii="Arial" w:eastAsia="Calibri" w:hAnsi="Arial" w:cs="Arial"/>
          <w:color w:val="000000" w:themeColor="text1"/>
          <w:sz w:val="22"/>
          <w:lang w:val="es-ES_tradnl"/>
        </w:rPr>
        <w:t>a</w:t>
      </w:r>
      <w:r w:rsidRPr="0085790B">
        <w:rPr>
          <w:rFonts w:ascii="Arial" w:eastAsia="Calibri" w:hAnsi="Arial" w:cs="Arial"/>
          <w:color w:val="000000" w:themeColor="text1"/>
          <w:sz w:val="22"/>
          <w:lang w:val="es-ES_tradnl"/>
        </w:rPr>
        <w:t xml:space="preserve"> señor</w:t>
      </w:r>
      <w:r w:rsidR="00FA5043" w:rsidRPr="0085790B">
        <w:rPr>
          <w:rFonts w:ascii="Arial" w:eastAsia="Calibri" w:hAnsi="Arial" w:cs="Arial"/>
          <w:color w:val="000000" w:themeColor="text1"/>
          <w:sz w:val="22"/>
          <w:lang w:val="es-ES_tradnl"/>
        </w:rPr>
        <w:t>a</w:t>
      </w:r>
      <w:r w:rsidRPr="0085790B">
        <w:rPr>
          <w:rFonts w:ascii="Arial" w:eastAsia="Calibri" w:hAnsi="Arial" w:cs="Arial"/>
          <w:color w:val="000000" w:themeColor="text1"/>
          <w:sz w:val="22"/>
          <w:lang w:val="es-ES_tradnl"/>
        </w:rPr>
        <w:t xml:space="preserve"> </w:t>
      </w:r>
      <w:r w:rsidR="00647D61">
        <w:rPr>
          <w:rFonts w:ascii="Arial" w:eastAsia="Calibri" w:hAnsi="Arial" w:cs="Arial"/>
          <w:color w:val="000000" w:themeColor="text1"/>
          <w:sz w:val="22"/>
          <w:lang w:val="es-ES_tradnl"/>
        </w:rPr>
        <w:t>Rozo</w:t>
      </w:r>
      <w:r w:rsidRPr="0085790B">
        <w:rPr>
          <w:rFonts w:ascii="Arial" w:eastAsia="Calibri" w:hAnsi="Arial" w:cs="Arial"/>
          <w:color w:val="000000" w:themeColor="text1"/>
          <w:sz w:val="22"/>
          <w:lang w:val="es-ES_tradnl"/>
        </w:rPr>
        <w:t>:</w:t>
      </w:r>
    </w:p>
    <w:p w14:paraId="1EAE5543" w14:textId="77777777" w:rsidR="00DD5B04" w:rsidRPr="0085790B" w:rsidRDefault="00DD5B04" w:rsidP="00DF76A2">
      <w:pPr>
        <w:jc w:val="both"/>
        <w:rPr>
          <w:rFonts w:ascii="Arial" w:eastAsia="Calibri" w:hAnsi="Arial" w:cs="Arial"/>
          <w:color w:val="000000" w:themeColor="text1"/>
          <w:sz w:val="22"/>
          <w:lang w:val="es-ES_tradnl"/>
        </w:rPr>
      </w:pPr>
    </w:p>
    <w:p w14:paraId="2109B2D3" w14:textId="5AD3CA21" w:rsidR="00DD5B04" w:rsidRPr="0085790B" w:rsidRDefault="00DD5B04" w:rsidP="00DF76A2">
      <w:pPr>
        <w:spacing w:line="276" w:lineRule="auto"/>
        <w:jc w:val="both"/>
        <w:rPr>
          <w:rFonts w:ascii="Arial" w:eastAsia="Calibri" w:hAnsi="Arial" w:cs="Arial"/>
          <w:color w:val="000000" w:themeColor="text1"/>
          <w:sz w:val="22"/>
          <w:lang w:val="es-ES_tradnl"/>
        </w:rPr>
      </w:pPr>
      <w:r w:rsidRPr="0085790B">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A40FDF">
        <w:rPr>
          <w:rFonts w:ascii="Arial" w:eastAsia="Calibri" w:hAnsi="Arial" w:cs="Arial"/>
          <w:color w:val="000000" w:themeColor="text1"/>
          <w:sz w:val="22"/>
          <w:lang w:val="es-ES_tradnl"/>
        </w:rPr>
        <w:t>3</w:t>
      </w:r>
      <w:r w:rsidR="00FD4AF3" w:rsidRPr="0085790B">
        <w:rPr>
          <w:rFonts w:ascii="Arial" w:eastAsia="Calibri" w:hAnsi="Arial" w:cs="Arial"/>
          <w:color w:val="000000" w:themeColor="text1"/>
          <w:sz w:val="22"/>
          <w:lang w:val="es-ES_tradnl"/>
        </w:rPr>
        <w:t xml:space="preserve"> de </w:t>
      </w:r>
      <w:r w:rsidR="008E0FAD" w:rsidRPr="0085790B">
        <w:rPr>
          <w:rFonts w:ascii="Arial" w:eastAsia="Calibri" w:hAnsi="Arial" w:cs="Arial"/>
          <w:color w:val="000000" w:themeColor="text1"/>
          <w:sz w:val="22"/>
          <w:lang w:val="es-ES_tradnl"/>
        </w:rPr>
        <w:t>septiembre</w:t>
      </w:r>
      <w:r w:rsidRPr="0085790B">
        <w:rPr>
          <w:rFonts w:ascii="Arial" w:eastAsia="Calibri" w:hAnsi="Arial" w:cs="Arial"/>
          <w:color w:val="000000" w:themeColor="text1"/>
          <w:sz w:val="22"/>
          <w:lang w:val="es-ES_tradnl"/>
        </w:rPr>
        <w:t xml:space="preserve"> del</w:t>
      </w:r>
      <w:r w:rsidR="007E74BF" w:rsidRPr="0085790B">
        <w:rPr>
          <w:rFonts w:ascii="Arial" w:eastAsia="Calibri" w:hAnsi="Arial" w:cs="Arial"/>
          <w:color w:val="000000" w:themeColor="text1"/>
          <w:sz w:val="22"/>
          <w:lang w:val="es-ES_tradnl"/>
        </w:rPr>
        <w:t xml:space="preserve"> </w:t>
      </w:r>
      <w:r w:rsidRPr="0085790B">
        <w:rPr>
          <w:rFonts w:ascii="Arial" w:eastAsia="Calibri" w:hAnsi="Arial" w:cs="Arial"/>
          <w:color w:val="000000" w:themeColor="text1"/>
          <w:sz w:val="22"/>
          <w:lang w:val="es-ES_tradnl"/>
        </w:rPr>
        <w:t>2020</w:t>
      </w:r>
      <w:r w:rsidR="00FD4AF3" w:rsidRPr="0085790B">
        <w:rPr>
          <w:rFonts w:ascii="Arial" w:eastAsia="Calibri" w:hAnsi="Arial" w:cs="Arial"/>
          <w:color w:val="000000" w:themeColor="text1"/>
          <w:sz w:val="22"/>
          <w:lang w:val="es-ES_tradnl"/>
        </w:rPr>
        <w:t>.</w:t>
      </w:r>
    </w:p>
    <w:p w14:paraId="0C1E0712" w14:textId="77777777" w:rsidR="00DD5B04" w:rsidRPr="0085790B"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85790B"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85790B">
        <w:rPr>
          <w:rFonts w:ascii="Arial" w:eastAsia="Calibri" w:hAnsi="Arial" w:cs="Arial"/>
          <w:b/>
          <w:color w:val="000000" w:themeColor="text1"/>
          <w:sz w:val="22"/>
          <w:lang w:val="es-ES_tradnl"/>
        </w:rPr>
        <w:t xml:space="preserve">Problema planteado </w:t>
      </w:r>
    </w:p>
    <w:p w14:paraId="224B43D3" w14:textId="77777777" w:rsidR="00DD5B04" w:rsidRPr="0085790B"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7E8B8948" w14:textId="260C87A9" w:rsidR="008D1A2A" w:rsidRPr="009B698E" w:rsidRDefault="00DD5B04" w:rsidP="009B698E">
      <w:pPr>
        <w:spacing w:line="276" w:lineRule="auto"/>
        <w:jc w:val="both"/>
        <w:rPr>
          <w:rFonts w:ascii="Arial" w:hAnsi="Arial" w:cs="Arial"/>
          <w:color w:val="000000" w:themeColor="text1"/>
          <w:sz w:val="22"/>
          <w:lang w:val="es-ES_tradnl"/>
        </w:rPr>
      </w:pPr>
      <w:r w:rsidRPr="0085790B">
        <w:rPr>
          <w:rFonts w:ascii="Arial" w:hAnsi="Arial" w:cs="Arial"/>
          <w:color w:val="000000" w:themeColor="text1"/>
          <w:sz w:val="22"/>
          <w:lang w:val="es-ES_tradnl"/>
        </w:rPr>
        <w:t xml:space="preserve">Usted </w:t>
      </w:r>
      <w:r w:rsidR="00B422C0" w:rsidRPr="0085790B">
        <w:rPr>
          <w:rFonts w:ascii="Arial" w:hAnsi="Arial" w:cs="Arial"/>
          <w:color w:val="000000" w:themeColor="text1"/>
          <w:sz w:val="22"/>
          <w:lang w:val="es-ES_tradnl"/>
        </w:rPr>
        <w:t xml:space="preserve">formula </w:t>
      </w:r>
      <w:r w:rsidR="00B608F3">
        <w:rPr>
          <w:rFonts w:ascii="Arial" w:hAnsi="Arial" w:cs="Arial"/>
          <w:color w:val="000000" w:themeColor="text1"/>
          <w:sz w:val="22"/>
          <w:lang w:val="es-ES_tradnl"/>
        </w:rPr>
        <w:t>la siguiente pregunta</w:t>
      </w:r>
      <w:r w:rsidR="00AE0F07">
        <w:rPr>
          <w:rFonts w:ascii="Arial" w:hAnsi="Arial" w:cs="Arial"/>
          <w:color w:val="000000" w:themeColor="text1"/>
          <w:sz w:val="22"/>
          <w:lang w:val="es-ES_tradnl"/>
        </w:rPr>
        <w:t>,</w:t>
      </w:r>
      <w:r w:rsidR="009B698E">
        <w:rPr>
          <w:rFonts w:ascii="Arial" w:hAnsi="Arial" w:cs="Arial"/>
          <w:color w:val="000000" w:themeColor="text1"/>
          <w:sz w:val="22"/>
          <w:lang w:val="es-ES_tradnl"/>
        </w:rPr>
        <w:t xml:space="preserve"> en relación con el concurso de méritos abierto</w:t>
      </w:r>
      <w:r w:rsidR="00B608F3">
        <w:rPr>
          <w:rFonts w:ascii="Arial" w:hAnsi="Arial" w:cs="Arial"/>
          <w:color w:val="000000" w:themeColor="text1"/>
          <w:sz w:val="22"/>
          <w:lang w:val="es-ES_tradnl"/>
        </w:rPr>
        <w:t>:</w:t>
      </w:r>
      <w:r w:rsidR="009B698E">
        <w:rPr>
          <w:rFonts w:ascii="Arial" w:hAnsi="Arial" w:cs="Arial"/>
          <w:color w:val="000000" w:themeColor="text1"/>
          <w:sz w:val="22"/>
          <w:lang w:val="es-ES_tradnl"/>
        </w:rPr>
        <w:t xml:space="preserve"> </w:t>
      </w:r>
      <w:r w:rsidR="009B698E" w:rsidRPr="0085790B">
        <w:rPr>
          <w:rFonts w:ascii="Arial" w:hAnsi="Arial" w:cs="Arial"/>
          <w:color w:val="000000" w:themeColor="text1"/>
          <w:sz w:val="22"/>
          <w:lang w:val="es-ES_tradnl"/>
        </w:rPr>
        <w:t>«</w:t>
      </w:r>
      <w:r w:rsidR="009B698E">
        <w:rPr>
          <w:rFonts w:ascii="Arial" w:hAnsi="Arial" w:cs="Arial"/>
          <w:color w:val="000000" w:themeColor="text1"/>
          <w:sz w:val="22"/>
          <w:lang w:val="es-ES_tradnl"/>
        </w:rPr>
        <w:t>¿</w:t>
      </w:r>
      <w:r w:rsidR="002E63A0">
        <w:rPr>
          <w:rFonts w:ascii="Arial" w:hAnsi="Arial" w:cs="Arial"/>
          <w:color w:val="000000" w:themeColor="text1"/>
          <w:sz w:val="22"/>
          <w:lang w:val="es-ES_tradnl"/>
        </w:rPr>
        <w:t xml:space="preserve">[…] </w:t>
      </w:r>
      <w:r w:rsidR="009B698E" w:rsidRPr="009B698E">
        <w:rPr>
          <w:rFonts w:ascii="Arial" w:hAnsi="Arial" w:cs="Arial"/>
          <w:color w:val="000000" w:themeColor="text1"/>
          <w:sz w:val="22"/>
          <w:lang w:val="es-ES_tradnl"/>
        </w:rPr>
        <w:t xml:space="preserve">cómo se está llevando a cabo la audiencia para el orden de elegibilidad y la adjudicación, </w:t>
      </w:r>
      <w:r w:rsidR="00504EFA">
        <w:rPr>
          <w:rFonts w:ascii="Arial" w:hAnsi="Arial" w:cs="Arial"/>
          <w:color w:val="000000" w:themeColor="text1"/>
          <w:sz w:val="22"/>
          <w:lang w:val="es-ES_tradnl"/>
        </w:rPr>
        <w:t xml:space="preserve">[…] </w:t>
      </w:r>
      <w:r w:rsidR="009B698E" w:rsidRPr="009B698E">
        <w:rPr>
          <w:rFonts w:ascii="Arial" w:hAnsi="Arial" w:cs="Arial"/>
          <w:color w:val="000000" w:themeColor="text1"/>
          <w:sz w:val="22"/>
          <w:lang w:val="es-ES_tradnl"/>
        </w:rPr>
        <w:t>cómo se están llevando en la plataforma; teniendo en cuenta que los numerales 4, 5 y 6 del decreto 1082 no están habilitados</w:t>
      </w:r>
      <w:r w:rsidR="00504EFA">
        <w:rPr>
          <w:rFonts w:ascii="Arial" w:hAnsi="Arial" w:cs="Arial"/>
          <w:color w:val="000000" w:themeColor="text1"/>
          <w:sz w:val="22"/>
          <w:lang w:val="es-ES_tradnl"/>
        </w:rPr>
        <w:t>?</w:t>
      </w:r>
      <w:r w:rsidR="00A94FCA" w:rsidRPr="0085790B">
        <w:rPr>
          <w:rFonts w:ascii="Arial" w:hAnsi="Arial" w:cs="Arial"/>
          <w:color w:val="000000" w:themeColor="text1"/>
          <w:sz w:val="22"/>
          <w:lang w:val="es-ES_tradnl"/>
        </w:rPr>
        <w:t>»</w:t>
      </w:r>
      <w:r w:rsidR="00E3224C">
        <w:rPr>
          <w:rFonts w:ascii="Arial" w:hAnsi="Arial" w:cs="Arial"/>
          <w:color w:val="000000" w:themeColor="text1"/>
          <w:sz w:val="22"/>
          <w:lang w:val="es-ES_tradnl"/>
        </w:rPr>
        <w:t>.</w:t>
      </w:r>
      <w:r w:rsidR="00A94FCA" w:rsidRPr="0085790B">
        <w:rPr>
          <w:rFonts w:ascii="Arial" w:hAnsi="Arial" w:cs="Arial"/>
          <w:color w:val="000000" w:themeColor="text1"/>
          <w:sz w:val="22"/>
          <w:lang w:val="es-ES_tradnl"/>
        </w:rPr>
        <w:t xml:space="preserve"> </w:t>
      </w:r>
    </w:p>
    <w:p w14:paraId="3C2ECFFE" w14:textId="77777777" w:rsidR="00F02BFD" w:rsidRPr="0085790B" w:rsidRDefault="00F02BFD" w:rsidP="006A457D">
      <w:pPr>
        <w:spacing w:line="276" w:lineRule="auto"/>
        <w:jc w:val="both"/>
        <w:rPr>
          <w:rFonts w:ascii="Arial" w:hAnsi="Arial" w:cs="Arial"/>
          <w:color w:val="000000" w:themeColor="text1"/>
          <w:sz w:val="22"/>
          <w:lang w:val="es-ES_tradnl"/>
        </w:rPr>
      </w:pPr>
    </w:p>
    <w:p w14:paraId="124D2DCA" w14:textId="77777777" w:rsidR="00DD5B04" w:rsidRPr="0085790B"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85790B">
        <w:rPr>
          <w:rFonts w:ascii="Arial" w:eastAsia="Calibri" w:hAnsi="Arial" w:cs="Arial"/>
          <w:b/>
          <w:color w:val="000000" w:themeColor="text1"/>
          <w:sz w:val="22"/>
          <w:lang w:val="es-ES_tradnl"/>
        </w:rPr>
        <w:t>Consideraciones</w:t>
      </w:r>
    </w:p>
    <w:p w14:paraId="35E25E39" w14:textId="77777777" w:rsidR="00DD5B04" w:rsidRPr="0085790B" w:rsidRDefault="00DD5B04" w:rsidP="00DF76A2">
      <w:pPr>
        <w:spacing w:line="276" w:lineRule="auto"/>
        <w:jc w:val="both"/>
        <w:rPr>
          <w:rFonts w:ascii="Arial" w:eastAsia="Calibri" w:hAnsi="Arial" w:cs="Arial"/>
          <w:color w:val="000000" w:themeColor="text1"/>
          <w:sz w:val="20"/>
          <w:szCs w:val="20"/>
          <w:lang w:val="es-ES_tradnl"/>
        </w:rPr>
      </w:pPr>
    </w:p>
    <w:p w14:paraId="2529EAA0" w14:textId="77777777" w:rsidR="00364B58" w:rsidRDefault="00364B58" w:rsidP="00364B58">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Para responder la pregunta planteada, se analizarán los siguientes temas: i) cambios del concurso de méritos después de los autos de suspensión provisional del Consejo de Estado y ii) posibilidad de realizar audiencias de adjudicación en este procedimiento de selección.</w:t>
      </w:r>
    </w:p>
    <w:p w14:paraId="541AC362" w14:textId="4F25A91E" w:rsidR="00364B58" w:rsidRDefault="00364B58" w:rsidP="00364B58">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ab/>
      </w:r>
      <w:r w:rsidRPr="005A2781">
        <w:rPr>
          <w:rFonts w:ascii="Arial" w:eastAsia="Calibri" w:hAnsi="Arial" w:cs="Arial"/>
          <w:color w:val="000000" w:themeColor="text1"/>
          <w:sz w:val="22"/>
        </w:rPr>
        <w:t xml:space="preserve">Recientemente esta Subdirección expidió el </w:t>
      </w:r>
      <w:r w:rsidR="00A26DE8">
        <w:rPr>
          <w:rFonts w:ascii="Arial" w:eastAsia="Calibri" w:hAnsi="Arial" w:cs="Arial"/>
          <w:color w:val="000000" w:themeColor="text1"/>
          <w:sz w:val="22"/>
        </w:rPr>
        <w:t>c</w:t>
      </w:r>
      <w:r w:rsidRPr="005A2781">
        <w:rPr>
          <w:rFonts w:ascii="Arial" w:eastAsia="Calibri" w:hAnsi="Arial" w:cs="Arial"/>
          <w:color w:val="000000" w:themeColor="text1"/>
          <w:sz w:val="22"/>
        </w:rPr>
        <w:t>oncepto</w:t>
      </w:r>
      <w:r w:rsidR="008915B2">
        <w:rPr>
          <w:rFonts w:ascii="Arial" w:eastAsia="Calibri" w:hAnsi="Arial" w:cs="Arial"/>
          <w:color w:val="000000" w:themeColor="text1"/>
          <w:sz w:val="22"/>
        </w:rPr>
        <w:t xml:space="preserve"> C-477</w:t>
      </w:r>
      <w:r w:rsidR="00A26DE8">
        <w:rPr>
          <w:rFonts w:ascii="Arial" w:eastAsia="Calibri" w:hAnsi="Arial" w:cs="Arial"/>
          <w:color w:val="000000" w:themeColor="text1"/>
          <w:sz w:val="22"/>
        </w:rPr>
        <w:t xml:space="preserve"> del 13 de julio de 2020,</w:t>
      </w:r>
      <w:r w:rsidR="00A85523">
        <w:rPr>
          <w:rFonts w:ascii="Arial" w:eastAsia="Calibri" w:hAnsi="Arial" w:cs="Arial"/>
          <w:color w:val="000000" w:themeColor="text1"/>
          <w:sz w:val="22"/>
        </w:rPr>
        <w:t xml:space="preserve"> que analizó un interrogante similar.</w:t>
      </w:r>
      <w:r w:rsidRPr="005A2781">
        <w:rPr>
          <w:rFonts w:ascii="Arial" w:eastAsia="Calibri" w:hAnsi="Arial" w:cs="Arial"/>
          <w:color w:val="000000" w:themeColor="text1"/>
          <w:sz w:val="22"/>
        </w:rPr>
        <w:t xml:space="preserve"> </w:t>
      </w:r>
      <w:r w:rsidR="00A26DE8">
        <w:rPr>
          <w:rFonts w:ascii="Arial" w:eastAsia="Calibri" w:hAnsi="Arial" w:cs="Arial"/>
          <w:color w:val="000000" w:themeColor="text1"/>
          <w:sz w:val="22"/>
        </w:rPr>
        <w:t xml:space="preserve">Igualmente, profirió el concepto </w:t>
      </w:r>
      <w:r w:rsidRPr="005A2781">
        <w:rPr>
          <w:rFonts w:ascii="Arial" w:eastAsia="Calibri" w:hAnsi="Arial" w:cs="Arial"/>
          <w:color w:val="000000" w:themeColor="text1"/>
          <w:sz w:val="22"/>
        </w:rPr>
        <w:t xml:space="preserve">C-124 del 25 de marzo de 2020, donde se explicó </w:t>
      </w:r>
      <w:r>
        <w:rPr>
          <w:rFonts w:ascii="Arial" w:eastAsia="Calibri" w:hAnsi="Arial" w:cs="Arial"/>
          <w:color w:val="000000" w:themeColor="text1"/>
          <w:sz w:val="22"/>
        </w:rPr>
        <w:t>no solo la forma de analizar el precio en el concurso de méritos</w:t>
      </w:r>
      <w:r w:rsidR="00D45194">
        <w:rPr>
          <w:rFonts w:ascii="Arial" w:eastAsia="Calibri" w:hAnsi="Arial" w:cs="Arial"/>
          <w:color w:val="000000" w:themeColor="text1"/>
          <w:sz w:val="22"/>
        </w:rPr>
        <w:t>,</w:t>
      </w:r>
      <w:r>
        <w:rPr>
          <w:rFonts w:ascii="Arial" w:eastAsia="Calibri" w:hAnsi="Arial" w:cs="Arial"/>
          <w:color w:val="000000" w:themeColor="text1"/>
          <w:sz w:val="22"/>
        </w:rPr>
        <w:t xml:space="preserve"> sino también que</w:t>
      </w:r>
      <w:r w:rsidRPr="005A2781">
        <w:rPr>
          <w:rFonts w:ascii="Arial" w:eastAsia="Calibri" w:hAnsi="Arial" w:cs="Arial"/>
          <w:color w:val="000000" w:themeColor="text1"/>
          <w:sz w:val="22"/>
        </w:rPr>
        <w:t xml:space="preserve"> la audiencia de adjudicación únicamente es obligatoria en la licitación pública o, lo que es lo mismo, dicha diligencia es potestativa en otros procedimientos de selección. </w:t>
      </w:r>
      <w:r w:rsidR="00D5505B">
        <w:rPr>
          <w:rFonts w:ascii="Arial" w:eastAsia="Calibri" w:hAnsi="Arial" w:cs="Arial"/>
          <w:color w:val="000000" w:themeColor="text1"/>
          <w:sz w:val="22"/>
        </w:rPr>
        <w:t xml:space="preserve">Las </w:t>
      </w:r>
      <w:r w:rsidRPr="005A2781">
        <w:rPr>
          <w:rFonts w:ascii="Arial" w:eastAsia="Calibri" w:hAnsi="Arial" w:cs="Arial"/>
          <w:color w:val="000000" w:themeColor="text1"/>
          <w:sz w:val="22"/>
        </w:rPr>
        <w:t xml:space="preserve">tesis </w:t>
      </w:r>
      <w:r w:rsidR="00D5505B">
        <w:rPr>
          <w:rFonts w:ascii="Arial" w:eastAsia="Calibri" w:hAnsi="Arial" w:cs="Arial"/>
          <w:color w:val="000000" w:themeColor="text1"/>
          <w:sz w:val="22"/>
        </w:rPr>
        <w:t>expuestas</w:t>
      </w:r>
      <w:r w:rsidRPr="005A2781">
        <w:rPr>
          <w:rFonts w:ascii="Arial" w:eastAsia="Calibri" w:hAnsi="Arial" w:cs="Arial"/>
          <w:color w:val="000000" w:themeColor="text1"/>
          <w:sz w:val="22"/>
        </w:rPr>
        <w:t xml:space="preserve"> en </w:t>
      </w:r>
      <w:r w:rsidR="00D5505B">
        <w:rPr>
          <w:rFonts w:ascii="Arial" w:eastAsia="Calibri" w:hAnsi="Arial" w:cs="Arial"/>
          <w:color w:val="000000" w:themeColor="text1"/>
          <w:sz w:val="22"/>
        </w:rPr>
        <w:t>dichos</w:t>
      </w:r>
      <w:r w:rsidRPr="005A2781">
        <w:rPr>
          <w:rFonts w:ascii="Arial" w:eastAsia="Calibri" w:hAnsi="Arial" w:cs="Arial"/>
          <w:color w:val="000000" w:themeColor="text1"/>
          <w:sz w:val="22"/>
        </w:rPr>
        <w:t xml:space="preserve"> concepto</w:t>
      </w:r>
      <w:r w:rsidR="00D5505B">
        <w:rPr>
          <w:rFonts w:ascii="Arial" w:eastAsia="Calibri" w:hAnsi="Arial" w:cs="Arial"/>
          <w:color w:val="000000" w:themeColor="text1"/>
          <w:sz w:val="22"/>
        </w:rPr>
        <w:t>s</w:t>
      </w:r>
      <w:r w:rsidRPr="005A2781">
        <w:rPr>
          <w:rFonts w:ascii="Arial" w:eastAsia="Calibri" w:hAnsi="Arial" w:cs="Arial"/>
          <w:color w:val="000000" w:themeColor="text1"/>
          <w:sz w:val="22"/>
        </w:rPr>
        <w:t xml:space="preserve"> se expone</w:t>
      </w:r>
      <w:r w:rsidR="00D5505B">
        <w:rPr>
          <w:rFonts w:ascii="Arial" w:eastAsia="Calibri" w:hAnsi="Arial" w:cs="Arial"/>
          <w:color w:val="000000" w:themeColor="text1"/>
          <w:sz w:val="22"/>
        </w:rPr>
        <w:t>n</w:t>
      </w:r>
      <w:r w:rsidRPr="005A2781">
        <w:rPr>
          <w:rFonts w:ascii="Arial" w:eastAsia="Calibri" w:hAnsi="Arial" w:cs="Arial"/>
          <w:color w:val="000000" w:themeColor="text1"/>
          <w:sz w:val="22"/>
        </w:rPr>
        <w:t xml:space="preserve"> a continuación</w:t>
      </w:r>
      <w:r w:rsidRPr="0096646C">
        <w:rPr>
          <w:rFonts w:ascii="Arial" w:eastAsia="Calibri" w:hAnsi="Arial" w:cs="Arial"/>
          <w:color w:val="000000" w:themeColor="text1"/>
          <w:sz w:val="22"/>
        </w:rPr>
        <w:t xml:space="preserve">: </w:t>
      </w:r>
    </w:p>
    <w:p w14:paraId="21C6567A" w14:textId="77777777" w:rsidR="00364B58" w:rsidRDefault="00364B58" w:rsidP="00364B58">
      <w:pPr>
        <w:spacing w:line="276" w:lineRule="auto"/>
        <w:jc w:val="both"/>
        <w:rPr>
          <w:rFonts w:ascii="Arial" w:eastAsia="Calibri" w:hAnsi="Arial" w:cs="Arial"/>
          <w:color w:val="000000" w:themeColor="text1"/>
          <w:sz w:val="22"/>
        </w:rPr>
      </w:pPr>
    </w:p>
    <w:p w14:paraId="50F051EC" w14:textId="77777777" w:rsidR="00364B58" w:rsidRDefault="00364B58" w:rsidP="00364B58">
      <w:pPr>
        <w:spacing w:line="276" w:lineRule="auto"/>
        <w:jc w:val="both"/>
        <w:rPr>
          <w:rFonts w:ascii="Arial" w:eastAsia="Calibri" w:hAnsi="Arial" w:cs="Arial"/>
          <w:b/>
          <w:bCs/>
          <w:color w:val="000000" w:themeColor="text1"/>
          <w:sz w:val="22"/>
        </w:rPr>
      </w:pPr>
      <w:r w:rsidRPr="00D44227">
        <w:rPr>
          <w:rFonts w:ascii="Arial" w:eastAsia="Calibri" w:hAnsi="Arial" w:cs="Arial"/>
          <w:b/>
          <w:bCs/>
          <w:color w:val="000000" w:themeColor="text1"/>
          <w:sz w:val="22"/>
        </w:rPr>
        <w:t xml:space="preserve">2.1. </w:t>
      </w:r>
      <w:r>
        <w:rPr>
          <w:rFonts w:ascii="Arial" w:eastAsia="Calibri" w:hAnsi="Arial" w:cs="Arial"/>
          <w:b/>
          <w:bCs/>
          <w:color w:val="000000" w:themeColor="text1"/>
          <w:sz w:val="22"/>
        </w:rPr>
        <w:t>Procedimiento del concurso de méritos después de los autos de suspensión provisional del Consejo de Estado</w:t>
      </w:r>
    </w:p>
    <w:p w14:paraId="2E83AF24" w14:textId="77777777" w:rsidR="00364B58" w:rsidRDefault="00364B58" w:rsidP="00364B58">
      <w:pPr>
        <w:spacing w:line="276" w:lineRule="auto"/>
        <w:jc w:val="both"/>
        <w:rPr>
          <w:rFonts w:ascii="Arial" w:eastAsia="Calibri" w:hAnsi="Arial" w:cs="Arial"/>
          <w:b/>
          <w:bCs/>
          <w:color w:val="000000" w:themeColor="text1"/>
          <w:sz w:val="22"/>
        </w:rPr>
      </w:pPr>
    </w:p>
    <w:p w14:paraId="0CE2BAD8" w14:textId="181BC56D" w:rsidR="00364B58" w:rsidRPr="00F666D0" w:rsidRDefault="00364B58" w:rsidP="00364B58">
      <w:pPr>
        <w:spacing w:line="276" w:lineRule="auto"/>
        <w:jc w:val="both"/>
        <w:rPr>
          <w:rFonts w:ascii="Arial" w:hAnsi="Arial" w:cs="Arial"/>
          <w:color w:val="000000" w:themeColor="text1"/>
          <w:sz w:val="22"/>
        </w:rPr>
      </w:pPr>
      <w:r w:rsidRPr="00F666D0">
        <w:rPr>
          <w:rFonts w:ascii="Arial" w:hAnsi="Arial" w:cs="Arial"/>
          <w:color w:val="000000" w:themeColor="text1"/>
          <w:sz w:val="22"/>
        </w:rPr>
        <w:t xml:space="preserve">El </w:t>
      </w:r>
      <w:r w:rsidRPr="00F666D0">
        <w:rPr>
          <w:rFonts w:ascii="Arial" w:hAnsi="Arial" w:cs="Arial"/>
          <w:i/>
          <w:iCs/>
          <w:color w:val="000000" w:themeColor="text1"/>
          <w:sz w:val="22"/>
        </w:rPr>
        <w:t xml:space="preserve">concurso de méritos </w:t>
      </w:r>
      <w:r w:rsidRPr="00F666D0">
        <w:rPr>
          <w:rFonts w:ascii="Arial" w:hAnsi="Arial" w:cs="Arial"/>
          <w:color w:val="000000" w:themeColor="text1"/>
          <w:sz w:val="22"/>
        </w:rPr>
        <w:t xml:space="preserve">es </w:t>
      </w:r>
      <w:r>
        <w:rPr>
          <w:rFonts w:ascii="Arial" w:hAnsi="Arial" w:cs="Arial"/>
          <w:color w:val="000000" w:themeColor="text1"/>
          <w:sz w:val="22"/>
        </w:rPr>
        <w:t>un procedimiento de selección</w:t>
      </w:r>
      <w:r w:rsidRPr="00F666D0">
        <w:rPr>
          <w:rFonts w:ascii="Arial" w:hAnsi="Arial" w:cs="Arial"/>
          <w:color w:val="000000" w:themeColor="text1"/>
          <w:sz w:val="22"/>
        </w:rPr>
        <w:t xml:space="preserve"> que deben realizar las entidades estatales para escoger «consultores y proyectos», es decir, para </w:t>
      </w:r>
      <w:r w:rsidR="00FC0874">
        <w:rPr>
          <w:rFonts w:ascii="Arial" w:hAnsi="Arial" w:cs="Arial"/>
          <w:color w:val="000000" w:themeColor="text1"/>
          <w:sz w:val="22"/>
        </w:rPr>
        <w:t>celebrar</w:t>
      </w:r>
      <w:r w:rsidRPr="00F666D0">
        <w:rPr>
          <w:rFonts w:ascii="Arial" w:hAnsi="Arial" w:cs="Arial"/>
          <w:color w:val="000000" w:themeColor="text1"/>
          <w:sz w:val="22"/>
        </w:rPr>
        <w:t xml:space="preserve"> contratos de consultoría, entendidos estos últimos como aquellos «[…]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 según lo </w:t>
      </w:r>
      <w:r>
        <w:rPr>
          <w:rFonts w:ascii="Arial" w:hAnsi="Arial" w:cs="Arial"/>
          <w:color w:val="000000" w:themeColor="text1"/>
          <w:sz w:val="22"/>
        </w:rPr>
        <w:t>dispuesto</w:t>
      </w:r>
      <w:r w:rsidRPr="00F666D0">
        <w:rPr>
          <w:rFonts w:ascii="Arial" w:hAnsi="Arial" w:cs="Arial"/>
          <w:color w:val="000000" w:themeColor="text1"/>
          <w:sz w:val="22"/>
        </w:rPr>
        <w:t xml:space="preserve"> en el artículo 32, numeral 2, de la Ley 80 de 1993.</w:t>
      </w:r>
    </w:p>
    <w:p w14:paraId="71269DDF" w14:textId="77777777" w:rsidR="00364B58" w:rsidRPr="00F666D0" w:rsidRDefault="00364B58" w:rsidP="00364B58">
      <w:pPr>
        <w:spacing w:before="120" w:line="276" w:lineRule="auto"/>
        <w:ind w:firstLine="708"/>
        <w:jc w:val="both"/>
        <w:rPr>
          <w:rFonts w:ascii="Arial" w:hAnsi="Arial" w:cs="Arial"/>
          <w:color w:val="000000" w:themeColor="text1"/>
          <w:sz w:val="22"/>
        </w:rPr>
      </w:pPr>
      <w:r w:rsidRPr="00F666D0">
        <w:rPr>
          <w:rFonts w:ascii="Arial" w:hAnsi="Arial" w:cs="Arial"/>
          <w:color w:val="000000" w:themeColor="text1"/>
          <w:sz w:val="22"/>
        </w:rPr>
        <w:t xml:space="preserve">El Libro 2, Parte 2, Título 1, Capítulo 2, Sección 1, Subsección 3 del Decreto 1082 de 2015 regula el concurso de méritos. Allí </w:t>
      </w:r>
      <w:r>
        <w:rPr>
          <w:rFonts w:ascii="Arial" w:hAnsi="Arial" w:cs="Arial"/>
          <w:color w:val="000000" w:themeColor="text1"/>
          <w:sz w:val="22"/>
        </w:rPr>
        <w:t>dispone</w:t>
      </w:r>
      <w:r w:rsidRPr="00F666D0">
        <w:rPr>
          <w:rFonts w:ascii="Arial" w:hAnsi="Arial" w:cs="Arial"/>
          <w:color w:val="000000" w:themeColor="text1"/>
          <w:sz w:val="22"/>
        </w:rPr>
        <w:t xml:space="preserve"> </w:t>
      </w:r>
      <w:r>
        <w:rPr>
          <w:rFonts w:ascii="Arial" w:hAnsi="Arial" w:cs="Arial"/>
          <w:color w:val="000000" w:themeColor="text1"/>
          <w:sz w:val="22"/>
        </w:rPr>
        <w:t>las</w:t>
      </w:r>
      <w:r w:rsidRPr="00F666D0">
        <w:rPr>
          <w:rFonts w:ascii="Arial" w:hAnsi="Arial" w:cs="Arial"/>
          <w:color w:val="000000" w:themeColor="text1"/>
          <w:sz w:val="22"/>
        </w:rPr>
        <w:t xml:space="preserve"> distintas modalidades: i) concurso de méritos abierto o sin precalificación, ii) concurso de méritos cerrado o con precalificación y iii) concurso de méritos «para la selección de consultores de diseño, planos, anteproyectos y proyectos arquitectónicos». El primero está regulado en los artículos 2.2.1.2.1.3.1. y 2.2.1.2.1.3.2. </w:t>
      </w:r>
      <w:r w:rsidRPr="00F666D0">
        <w:rPr>
          <w:rFonts w:ascii="Arial" w:hAnsi="Arial" w:cs="Arial"/>
          <w:i/>
          <w:iCs/>
          <w:color w:val="000000" w:themeColor="text1"/>
          <w:sz w:val="22"/>
        </w:rPr>
        <w:t>ibídem</w:t>
      </w:r>
      <w:r w:rsidRPr="00F666D0">
        <w:rPr>
          <w:rFonts w:ascii="Arial" w:hAnsi="Arial" w:cs="Arial"/>
          <w:color w:val="000000" w:themeColor="text1"/>
          <w:sz w:val="22"/>
        </w:rPr>
        <w:t xml:space="preserve">. El segundo, además de los dos artículos anteriores, lo regulan los artículos 2.2.1.2.1.3.3. a 2.2.1.2.1.3.7. </w:t>
      </w:r>
      <w:r w:rsidRPr="00F666D0">
        <w:rPr>
          <w:rFonts w:ascii="Arial" w:hAnsi="Arial" w:cs="Arial"/>
          <w:i/>
          <w:iCs/>
          <w:color w:val="000000" w:themeColor="text1"/>
          <w:sz w:val="22"/>
        </w:rPr>
        <w:t>ejusdem</w:t>
      </w:r>
      <w:r w:rsidRPr="00F666D0">
        <w:rPr>
          <w:rFonts w:ascii="Arial" w:hAnsi="Arial" w:cs="Arial"/>
          <w:color w:val="000000" w:themeColor="text1"/>
          <w:sz w:val="22"/>
        </w:rPr>
        <w:t xml:space="preserve">. El tercero lo regulan los artículos 2.2.1.2.1.3.8. a 2.2.1.2.1.3.25. del mencionado </w:t>
      </w:r>
      <w:r>
        <w:rPr>
          <w:rFonts w:ascii="Arial" w:hAnsi="Arial" w:cs="Arial"/>
          <w:color w:val="000000" w:themeColor="text1"/>
          <w:sz w:val="22"/>
        </w:rPr>
        <w:t>D</w:t>
      </w:r>
      <w:r w:rsidRPr="00F666D0">
        <w:rPr>
          <w:rFonts w:ascii="Arial" w:hAnsi="Arial" w:cs="Arial"/>
          <w:color w:val="000000" w:themeColor="text1"/>
          <w:sz w:val="22"/>
        </w:rPr>
        <w:t>ecreto.</w:t>
      </w:r>
    </w:p>
    <w:p w14:paraId="7183770F" w14:textId="749174D7" w:rsidR="00364B58" w:rsidRPr="00F666D0" w:rsidRDefault="00364B58" w:rsidP="00364B58">
      <w:pPr>
        <w:spacing w:before="120" w:line="276" w:lineRule="auto"/>
        <w:ind w:firstLine="708"/>
        <w:jc w:val="both"/>
        <w:rPr>
          <w:rFonts w:ascii="Arial" w:hAnsi="Arial" w:cs="Arial"/>
          <w:color w:val="000000" w:themeColor="text1"/>
          <w:sz w:val="22"/>
        </w:rPr>
      </w:pPr>
      <w:r w:rsidRPr="00F666D0">
        <w:rPr>
          <w:rFonts w:ascii="Arial" w:hAnsi="Arial" w:cs="Arial"/>
          <w:color w:val="000000" w:themeColor="text1"/>
          <w:sz w:val="22"/>
        </w:rPr>
        <w:t xml:space="preserve">Ahora bien, </w:t>
      </w:r>
      <w:bookmarkStart w:id="4" w:name="_Hlk43918348"/>
      <w:r w:rsidRPr="00F666D0">
        <w:rPr>
          <w:rFonts w:ascii="Arial" w:hAnsi="Arial" w:cs="Arial"/>
          <w:color w:val="000000" w:themeColor="text1"/>
          <w:sz w:val="22"/>
        </w:rPr>
        <w:t xml:space="preserve">la Sección Tercera del Consejo de Estado, en </w:t>
      </w:r>
      <w:r>
        <w:rPr>
          <w:rFonts w:ascii="Arial" w:hAnsi="Arial" w:cs="Arial"/>
          <w:color w:val="000000" w:themeColor="text1"/>
          <w:sz w:val="22"/>
        </w:rPr>
        <w:t>autos</w:t>
      </w:r>
      <w:r w:rsidRPr="00F666D0">
        <w:rPr>
          <w:rFonts w:ascii="Arial" w:hAnsi="Arial" w:cs="Arial"/>
          <w:color w:val="000000" w:themeColor="text1"/>
          <w:sz w:val="22"/>
        </w:rPr>
        <w:t xml:space="preserve"> del 25 de julio de 2018</w:t>
      </w:r>
      <w:r w:rsidRPr="00F666D0">
        <w:rPr>
          <w:rStyle w:val="Refdenotaalpie"/>
          <w:rFonts w:ascii="Arial" w:hAnsi="Arial" w:cs="Arial"/>
          <w:color w:val="000000" w:themeColor="text1"/>
          <w:sz w:val="22"/>
        </w:rPr>
        <w:footnoteReference w:id="2"/>
      </w:r>
      <w:r w:rsidRPr="00F666D0">
        <w:rPr>
          <w:rFonts w:ascii="Arial" w:hAnsi="Arial" w:cs="Arial"/>
          <w:color w:val="000000" w:themeColor="text1"/>
          <w:sz w:val="22"/>
        </w:rPr>
        <w:t xml:space="preserve"> y </w:t>
      </w:r>
      <w:r w:rsidR="006F15DD">
        <w:rPr>
          <w:rFonts w:ascii="Arial" w:hAnsi="Arial" w:cs="Arial"/>
          <w:color w:val="000000" w:themeColor="text1"/>
          <w:sz w:val="22"/>
        </w:rPr>
        <w:t>d</w:t>
      </w:r>
      <w:r w:rsidRPr="00F666D0">
        <w:rPr>
          <w:rFonts w:ascii="Arial" w:hAnsi="Arial" w:cs="Arial"/>
          <w:color w:val="000000" w:themeColor="text1"/>
          <w:sz w:val="22"/>
        </w:rPr>
        <w:t>el 20 de febrero de 2019</w:t>
      </w:r>
      <w:r w:rsidRPr="00F666D0">
        <w:rPr>
          <w:rStyle w:val="Refdenotaalpie"/>
          <w:rFonts w:ascii="Arial" w:hAnsi="Arial" w:cs="Arial"/>
          <w:color w:val="000000" w:themeColor="text1"/>
          <w:sz w:val="22"/>
        </w:rPr>
        <w:footnoteReference w:id="3"/>
      </w:r>
      <w:r w:rsidRPr="00F666D0">
        <w:rPr>
          <w:rFonts w:ascii="Arial" w:hAnsi="Arial" w:cs="Arial"/>
          <w:color w:val="000000" w:themeColor="text1"/>
          <w:sz w:val="22"/>
        </w:rPr>
        <w:t xml:space="preserve">, suspendió provisionalmente, por un lado, el numeral 6 del artículo </w:t>
      </w:r>
      <w:r>
        <w:rPr>
          <w:rFonts w:ascii="Arial" w:hAnsi="Arial" w:cs="Arial"/>
          <w:color w:val="000000" w:themeColor="text1"/>
          <w:sz w:val="22"/>
        </w:rPr>
        <w:t>2.2.1.2.1.3.2</w:t>
      </w:r>
      <w:r w:rsidRPr="00F666D0">
        <w:rPr>
          <w:rFonts w:ascii="Arial" w:hAnsi="Arial" w:cs="Arial"/>
          <w:color w:val="000000" w:themeColor="text1"/>
          <w:sz w:val="22"/>
        </w:rPr>
        <w:t>. del Decreto 1082 de 2015 y, por el otro, los numerales 3, 4 y 5</w:t>
      </w:r>
      <w:r>
        <w:rPr>
          <w:rFonts w:ascii="Arial" w:hAnsi="Arial" w:cs="Arial"/>
          <w:color w:val="000000" w:themeColor="text1"/>
          <w:sz w:val="22"/>
        </w:rPr>
        <w:t xml:space="preserve"> de</w:t>
      </w:r>
      <w:r w:rsidRPr="00F666D0">
        <w:rPr>
          <w:rFonts w:ascii="Arial" w:hAnsi="Arial" w:cs="Arial"/>
          <w:color w:val="000000" w:themeColor="text1"/>
          <w:sz w:val="22"/>
        </w:rPr>
        <w:t xml:space="preserve"> la misma disposición. Las normas suspendidas regulan </w:t>
      </w:r>
      <w:r>
        <w:rPr>
          <w:rFonts w:ascii="Arial" w:hAnsi="Arial" w:cs="Arial"/>
          <w:color w:val="000000" w:themeColor="text1"/>
          <w:sz w:val="22"/>
        </w:rPr>
        <w:t>el</w:t>
      </w:r>
      <w:r w:rsidRPr="00F666D0">
        <w:rPr>
          <w:rFonts w:ascii="Arial" w:hAnsi="Arial" w:cs="Arial"/>
          <w:color w:val="000000" w:themeColor="text1"/>
          <w:sz w:val="22"/>
        </w:rPr>
        <w:t xml:space="preserve"> concurso de méritos abierto o sin precalificación</w:t>
      </w:r>
      <w:bookmarkEnd w:id="4"/>
      <w:r w:rsidRPr="00F666D0">
        <w:rPr>
          <w:rFonts w:ascii="Arial" w:hAnsi="Arial" w:cs="Arial"/>
          <w:color w:val="000000" w:themeColor="text1"/>
          <w:sz w:val="22"/>
        </w:rPr>
        <w:t xml:space="preserve">. El texto de </w:t>
      </w:r>
      <w:r>
        <w:rPr>
          <w:rFonts w:ascii="Arial" w:hAnsi="Arial" w:cs="Arial"/>
          <w:color w:val="000000" w:themeColor="text1"/>
          <w:sz w:val="22"/>
        </w:rPr>
        <w:t>estos</w:t>
      </w:r>
      <w:r w:rsidRPr="00F666D0">
        <w:rPr>
          <w:rFonts w:ascii="Arial" w:hAnsi="Arial" w:cs="Arial"/>
          <w:color w:val="000000" w:themeColor="text1"/>
          <w:sz w:val="22"/>
        </w:rPr>
        <w:t xml:space="preserve"> numerales </w:t>
      </w:r>
      <w:r>
        <w:rPr>
          <w:rFonts w:ascii="Arial" w:hAnsi="Arial" w:cs="Arial"/>
          <w:color w:val="000000" w:themeColor="text1"/>
          <w:sz w:val="22"/>
        </w:rPr>
        <w:t>dispone lo siguiente</w:t>
      </w:r>
      <w:r w:rsidRPr="00F666D0">
        <w:rPr>
          <w:rFonts w:ascii="Arial" w:hAnsi="Arial" w:cs="Arial"/>
          <w:color w:val="000000" w:themeColor="text1"/>
          <w:sz w:val="22"/>
        </w:rPr>
        <w:t xml:space="preserve">: </w:t>
      </w:r>
    </w:p>
    <w:p w14:paraId="5B7B6ED0" w14:textId="77777777" w:rsidR="00364B58" w:rsidRPr="00F666D0" w:rsidRDefault="00364B58" w:rsidP="00364B58">
      <w:pPr>
        <w:pStyle w:val="Sinespaciado"/>
        <w:spacing w:line="276" w:lineRule="auto"/>
        <w:jc w:val="both"/>
        <w:rPr>
          <w:rFonts w:ascii="Arial" w:hAnsi="Arial" w:cs="Arial"/>
          <w:color w:val="000000" w:themeColor="text1"/>
        </w:rPr>
      </w:pPr>
    </w:p>
    <w:p w14:paraId="2956FEDA" w14:textId="77777777" w:rsidR="00364B58" w:rsidRPr="00F666D0" w:rsidRDefault="00364B58" w:rsidP="00364B58">
      <w:pPr>
        <w:pStyle w:val="Sinespaciado"/>
        <w:spacing w:after="120"/>
        <w:ind w:left="709" w:right="709"/>
        <w:jc w:val="both"/>
        <w:rPr>
          <w:rFonts w:ascii="Arial" w:hAnsi="Arial" w:cs="Arial"/>
          <w:color w:val="000000" w:themeColor="text1"/>
          <w:sz w:val="21"/>
          <w:szCs w:val="21"/>
        </w:rPr>
      </w:pPr>
      <w:r w:rsidRPr="00F666D0">
        <w:rPr>
          <w:rFonts w:ascii="Arial" w:hAnsi="Arial" w:cs="Arial"/>
          <w:color w:val="000000" w:themeColor="text1"/>
          <w:sz w:val="21"/>
          <w:szCs w:val="21"/>
        </w:rPr>
        <w:t>Artículo 2.2.1.2.1.3.2. Procedimiento del concurso de méritos. Además de las reglas generales previstas en la ley y en el presente título, las siguientes reglas son aplicables al concurso de méritos abierto o con precalificación:</w:t>
      </w:r>
    </w:p>
    <w:p w14:paraId="097BAA25" w14:textId="77777777" w:rsidR="00364B58" w:rsidRPr="00F666D0" w:rsidRDefault="00364B58" w:rsidP="00364B58">
      <w:pPr>
        <w:pStyle w:val="Sinespaciado"/>
        <w:spacing w:after="120"/>
        <w:ind w:left="709" w:right="709"/>
        <w:jc w:val="both"/>
        <w:rPr>
          <w:rFonts w:ascii="Arial" w:hAnsi="Arial" w:cs="Arial"/>
          <w:color w:val="000000" w:themeColor="text1"/>
          <w:sz w:val="21"/>
          <w:szCs w:val="21"/>
        </w:rPr>
      </w:pPr>
      <w:r w:rsidRPr="00F666D0">
        <w:rPr>
          <w:rFonts w:ascii="Arial" w:hAnsi="Arial" w:cs="Arial"/>
          <w:color w:val="000000" w:themeColor="text1"/>
          <w:sz w:val="21"/>
          <w:szCs w:val="21"/>
        </w:rPr>
        <w:t>1. La Entidad Estatal en los pliegos de condiciones debe indicar la forma como calificará, entre otros, los siguientes criterios: a) la experiencia del interesado y del equipo de trabajo, y b) la formación académica y las publicaciones técnicas y científicas del equipo de trabajo.</w:t>
      </w:r>
    </w:p>
    <w:p w14:paraId="683B02B7" w14:textId="77777777" w:rsidR="00364B58" w:rsidRPr="00F666D0" w:rsidRDefault="00364B58" w:rsidP="00364B58">
      <w:pPr>
        <w:pStyle w:val="Sinespaciado"/>
        <w:spacing w:after="120"/>
        <w:ind w:left="709" w:right="709"/>
        <w:jc w:val="both"/>
        <w:rPr>
          <w:rFonts w:ascii="Arial" w:hAnsi="Arial" w:cs="Arial"/>
          <w:color w:val="000000" w:themeColor="text1"/>
          <w:sz w:val="21"/>
          <w:szCs w:val="21"/>
        </w:rPr>
      </w:pPr>
      <w:r w:rsidRPr="00F666D0">
        <w:rPr>
          <w:rFonts w:ascii="Arial" w:hAnsi="Arial" w:cs="Arial"/>
          <w:color w:val="000000" w:themeColor="text1"/>
          <w:sz w:val="21"/>
          <w:szCs w:val="21"/>
        </w:rPr>
        <w:t>2. La Entidad Estatal debe publicar durante tres (3) días hábiles el informe de evaluación, el cual debe contener la calificación técnica y el orden de elegibilidad.</w:t>
      </w:r>
    </w:p>
    <w:p w14:paraId="3AE405F1" w14:textId="77777777" w:rsidR="00364B58" w:rsidRPr="00F666D0" w:rsidRDefault="00364B58" w:rsidP="00364B58">
      <w:pPr>
        <w:pStyle w:val="Sinespaciado"/>
        <w:spacing w:after="120"/>
        <w:ind w:left="709" w:right="709"/>
        <w:jc w:val="both"/>
        <w:rPr>
          <w:rFonts w:ascii="Arial" w:hAnsi="Arial" w:cs="Arial"/>
          <w:i/>
          <w:color w:val="000000" w:themeColor="text1"/>
          <w:sz w:val="21"/>
          <w:szCs w:val="21"/>
        </w:rPr>
      </w:pPr>
      <w:r w:rsidRPr="00F666D0">
        <w:rPr>
          <w:rFonts w:ascii="Arial" w:hAnsi="Arial" w:cs="Arial"/>
          <w:i/>
          <w:color w:val="000000" w:themeColor="text1"/>
          <w:sz w:val="21"/>
          <w:szCs w:val="21"/>
        </w:rPr>
        <w:lastRenderedPageBreak/>
        <w:t>3. La Entidad Estatal debe revisar la oferta económica y verificar que está en el rango del valor estimado consignado en los documentos y estudios previos y del presupuesto asignado para el contrato.</w:t>
      </w:r>
    </w:p>
    <w:p w14:paraId="58C4B1C3" w14:textId="77777777" w:rsidR="00364B58" w:rsidRPr="00F666D0" w:rsidRDefault="00364B58" w:rsidP="00364B58">
      <w:pPr>
        <w:pStyle w:val="Sinespaciado"/>
        <w:spacing w:after="120"/>
        <w:ind w:left="709" w:right="709"/>
        <w:jc w:val="both"/>
        <w:rPr>
          <w:rFonts w:ascii="Arial" w:hAnsi="Arial" w:cs="Arial"/>
          <w:i/>
          <w:color w:val="000000" w:themeColor="text1"/>
          <w:sz w:val="21"/>
          <w:szCs w:val="21"/>
        </w:rPr>
      </w:pPr>
      <w:r w:rsidRPr="00F666D0">
        <w:rPr>
          <w:rFonts w:ascii="Arial" w:hAnsi="Arial" w:cs="Arial"/>
          <w:i/>
          <w:color w:val="000000" w:themeColor="text1"/>
          <w:sz w:val="21"/>
          <w:szCs w:val="21"/>
        </w:rPr>
        <w:t>4. La Entidad Estatal debe revisar con el oferente calificado en el primer lugar de elegibilidad la coherencia y consistencia entre: i) la necesidad identificada por la Entidad Estatal y el alcance de la oferta; ii) la consultoría ofrecida y el precio ofrecido, y iii) el precio ofrecido y la disponibilidad presupuestal del respectivo Proceso de Contratación. Si la Entidad Estatal y el oferente llegan a un acuerdo sobre el alcance y el valor del contrato, dejarán constancia del mismo y firmarán el contrato.</w:t>
      </w:r>
    </w:p>
    <w:p w14:paraId="0CE45D0F" w14:textId="77777777" w:rsidR="00364B58" w:rsidRPr="00F666D0" w:rsidRDefault="00364B58" w:rsidP="00364B58">
      <w:pPr>
        <w:pStyle w:val="Sinespaciado"/>
        <w:spacing w:after="120"/>
        <w:ind w:left="709" w:right="709"/>
        <w:jc w:val="both"/>
        <w:rPr>
          <w:rFonts w:ascii="Arial" w:hAnsi="Arial" w:cs="Arial"/>
          <w:i/>
          <w:color w:val="000000" w:themeColor="text1"/>
          <w:sz w:val="21"/>
          <w:szCs w:val="21"/>
        </w:rPr>
      </w:pPr>
      <w:r w:rsidRPr="00F666D0">
        <w:rPr>
          <w:rFonts w:ascii="Arial" w:hAnsi="Arial" w:cs="Arial"/>
          <w:i/>
          <w:color w:val="000000" w:themeColor="text1"/>
          <w:sz w:val="21"/>
          <w:szCs w:val="21"/>
        </w:rPr>
        <w:t>5. Si la Entidad Estatal y el oferente calificado en el primer lugar de elegibilidad no llegan a un acuerdo dejarán constancia de ello y la Entidad Estatal revisará con el oferente calificado en el segundo lugar de elegibilidad los aspectos a los que se refiere el numeral anterior. Si la Entidad Estatal y el oferente llegan a un acuerdo dejarán constancia del mismo y firmarán el contrato.</w:t>
      </w:r>
    </w:p>
    <w:p w14:paraId="2FD2CC69" w14:textId="77777777" w:rsidR="00364B58" w:rsidRPr="00F666D0" w:rsidRDefault="00364B58" w:rsidP="00364B58">
      <w:pPr>
        <w:pStyle w:val="Sinespaciado"/>
        <w:ind w:left="709" w:right="709"/>
        <w:jc w:val="both"/>
        <w:rPr>
          <w:rFonts w:ascii="Arial" w:hAnsi="Arial" w:cs="Arial"/>
          <w:color w:val="000000" w:themeColor="text1"/>
          <w:sz w:val="21"/>
          <w:szCs w:val="21"/>
        </w:rPr>
      </w:pPr>
      <w:r w:rsidRPr="00F666D0">
        <w:rPr>
          <w:rFonts w:ascii="Arial" w:hAnsi="Arial" w:cs="Arial"/>
          <w:i/>
          <w:color w:val="000000" w:themeColor="text1"/>
          <w:sz w:val="21"/>
          <w:szCs w:val="21"/>
        </w:rPr>
        <w:t>6. Si la Entidad Estatal y el oferente calificado en el segundo lugar de elegibilidad no llegan a un acuerdo, la Entidad Estatal debe declarar desierto el Proceso de Contratación</w:t>
      </w:r>
      <w:r w:rsidRPr="00F666D0">
        <w:rPr>
          <w:rFonts w:ascii="Arial" w:hAnsi="Arial" w:cs="Arial"/>
          <w:color w:val="000000" w:themeColor="text1"/>
          <w:sz w:val="21"/>
          <w:szCs w:val="21"/>
        </w:rPr>
        <w:t xml:space="preserve">. </w:t>
      </w:r>
      <w:r>
        <w:rPr>
          <w:rFonts w:ascii="Arial" w:hAnsi="Arial" w:cs="Arial"/>
          <w:color w:val="000000" w:themeColor="text1"/>
          <w:sz w:val="21"/>
          <w:szCs w:val="21"/>
        </w:rPr>
        <w:t>(Énfasis fuera de texto</w:t>
      </w:r>
      <w:r w:rsidRPr="00F666D0">
        <w:rPr>
          <w:rFonts w:ascii="Arial" w:hAnsi="Arial" w:cs="Arial"/>
          <w:color w:val="000000" w:themeColor="text1"/>
          <w:sz w:val="21"/>
          <w:szCs w:val="21"/>
        </w:rPr>
        <w:t>)</w:t>
      </w:r>
    </w:p>
    <w:p w14:paraId="44F8A851" w14:textId="77777777" w:rsidR="00364B58" w:rsidRPr="00F666D0" w:rsidRDefault="00364B58" w:rsidP="00364B58">
      <w:pPr>
        <w:jc w:val="both"/>
        <w:rPr>
          <w:rFonts w:ascii="Arial" w:hAnsi="Arial" w:cs="Arial"/>
          <w:color w:val="000000" w:themeColor="text1"/>
          <w:sz w:val="22"/>
        </w:rPr>
      </w:pPr>
    </w:p>
    <w:p w14:paraId="125E12E8" w14:textId="2EE2A90C" w:rsidR="00364B58" w:rsidRDefault="00364B58" w:rsidP="00364B58">
      <w:pPr>
        <w:spacing w:after="120" w:line="276" w:lineRule="auto"/>
        <w:ind w:firstLine="709"/>
        <w:jc w:val="both"/>
        <w:rPr>
          <w:rFonts w:ascii="Arial" w:hAnsi="Arial" w:cs="Arial"/>
          <w:color w:val="000000" w:themeColor="text1"/>
          <w:sz w:val="22"/>
        </w:rPr>
      </w:pPr>
      <w:r>
        <w:rPr>
          <w:rFonts w:ascii="Arial" w:hAnsi="Arial" w:cs="Arial"/>
          <w:color w:val="000000" w:themeColor="text1"/>
          <w:sz w:val="22"/>
        </w:rPr>
        <w:t>L</w:t>
      </w:r>
      <w:r w:rsidRPr="00F666D0">
        <w:rPr>
          <w:rFonts w:ascii="Arial" w:hAnsi="Arial" w:cs="Arial"/>
          <w:color w:val="000000" w:themeColor="text1"/>
          <w:sz w:val="22"/>
        </w:rPr>
        <w:t xml:space="preserve">os </w:t>
      </w:r>
      <w:r>
        <w:rPr>
          <w:rFonts w:ascii="Arial" w:hAnsi="Arial" w:cs="Arial"/>
          <w:color w:val="000000" w:themeColor="text1"/>
          <w:sz w:val="22"/>
        </w:rPr>
        <w:t xml:space="preserve">citados </w:t>
      </w:r>
      <w:r w:rsidRPr="00F666D0">
        <w:rPr>
          <w:rFonts w:ascii="Arial" w:hAnsi="Arial" w:cs="Arial"/>
          <w:color w:val="000000" w:themeColor="text1"/>
          <w:sz w:val="22"/>
        </w:rPr>
        <w:t xml:space="preserve">numerales 3, 4 y 5 </w:t>
      </w:r>
      <w:r>
        <w:rPr>
          <w:rFonts w:ascii="Arial" w:hAnsi="Arial" w:cs="Arial"/>
          <w:color w:val="000000" w:themeColor="text1"/>
          <w:sz w:val="22"/>
        </w:rPr>
        <w:t>disponen</w:t>
      </w:r>
      <w:r w:rsidRPr="00F666D0">
        <w:rPr>
          <w:rFonts w:ascii="Arial" w:hAnsi="Arial" w:cs="Arial"/>
          <w:color w:val="000000" w:themeColor="text1"/>
          <w:sz w:val="22"/>
        </w:rPr>
        <w:t xml:space="preserve"> la verificación del precio. Por un lado, los numerales 3 y 4 exigen que esté dentro del presupuesto disponible y </w:t>
      </w:r>
      <w:r>
        <w:rPr>
          <w:rFonts w:ascii="Arial" w:hAnsi="Arial" w:cs="Arial"/>
          <w:color w:val="000000" w:themeColor="text1"/>
          <w:sz w:val="22"/>
        </w:rPr>
        <w:t>que este aspecto sea producto del acuerdo</w:t>
      </w:r>
      <w:r w:rsidRPr="00F666D0">
        <w:rPr>
          <w:rFonts w:ascii="Arial" w:hAnsi="Arial" w:cs="Arial"/>
          <w:color w:val="000000" w:themeColor="text1"/>
          <w:sz w:val="22"/>
        </w:rPr>
        <w:t xml:space="preserve"> entre la entidad y el </w:t>
      </w:r>
      <w:r>
        <w:rPr>
          <w:rFonts w:ascii="Arial" w:hAnsi="Arial" w:cs="Arial"/>
          <w:color w:val="000000" w:themeColor="text1"/>
          <w:sz w:val="22"/>
        </w:rPr>
        <w:t>oferente calificado en primer lugar</w:t>
      </w:r>
      <w:r w:rsidRPr="00F666D0">
        <w:rPr>
          <w:rFonts w:ascii="Arial" w:hAnsi="Arial" w:cs="Arial"/>
          <w:color w:val="000000" w:themeColor="text1"/>
          <w:sz w:val="22"/>
        </w:rPr>
        <w:t>. Por otro lado, el numeral 5 dispone el procedimiento a seguir en el evento en que la entidad estatal y el calificado en primer orden de elegibilidad no lleguen a un acuerdo sobre el precio</w:t>
      </w:r>
      <w:r>
        <w:rPr>
          <w:rFonts w:ascii="Arial" w:hAnsi="Arial" w:cs="Arial"/>
          <w:color w:val="000000" w:themeColor="text1"/>
          <w:sz w:val="22"/>
        </w:rPr>
        <w:t xml:space="preserve"> del contrato</w:t>
      </w:r>
      <w:r w:rsidRPr="00F666D0">
        <w:rPr>
          <w:rFonts w:ascii="Arial" w:hAnsi="Arial" w:cs="Arial"/>
          <w:color w:val="000000" w:themeColor="text1"/>
          <w:sz w:val="22"/>
        </w:rPr>
        <w:t>.</w:t>
      </w:r>
      <w:r>
        <w:rPr>
          <w:rFonts w:ascii="Arial" w:hAnsi="Arial" w:cs="Arial"/>
          <w:color w:val="000000" w:themeColor="text1"/>
          <w:sz w:val="22"/>
        </w:rPr>
        <w:t xml:space="preserve"> Además, el numeral 6 solo permite </w:t>
      </w:r>
      <w:r w:rsidR="00DC7138">
        <w:rPr>
          <w:rFonts w:ascii="Arial" w:hAnsi="Arial" w:cs="Arial"/>
          <w:color w:val="000000" w:themeColor="text1"/>
          <w:sz w:val="22"/>
        </w:rPr>
        <w:t xml:space="preserve">negociar </w:t>
      </w:r>
      <w:r>
        <w:rPr>
          <w:rFonts w:ascii="Arial" w:hAnsi="Arial" w:cs="Arial"/>
          <w:color w:val="000000" w:themeColor="text1"/>
          <w:sz w:val="22"/>
        </w:rPr>
        <w:t xml:space="preserve">el precio con el proponente que ocupe en segundo orden de elegibilidad, por lo que si no es posible llegar a un acuerdo con este, procedería la declaración de desierta. </w:t>
      </w:r>
    </w:p>
    <w:p w14:paraId="3E07FBD7" w14:textId="2489B8BD" w:rsidR="00364B58" w:rsidRDefault="00364B58" w:rsidP="00364B58">
      <w:pPr>
        <w:spacing w:after="120" w:line="276" w:lineRule="auto"/>
        <w:ind w:firstLine="709"/>
        <w:jc w:val="both"/>
        <w:rPr>
          <w:rFonts w:ascii="Arial" w:hAnsi="Arial" w:cs="Arial"/>
          <w:color w:val="000000" w:themeColor="text1"/>
          <w:sz w:val="22"/>
        </w:rPr>
      </w:pPr>
      <w:bookmarkStart w:id="6" w:name="_Hlk43918393"/>
      <w:r w:rsidRPr="00F666D0">
        <w:rPr>
          <w:rFonts w:ascii="Arial" w:hAnsi="Arial" w:cs="Arial"/>
          <w:color w:val="000000" w:themeColor="text1"/>
          <w:sz w:val="22"/>
        </w:rPr>
        <w:t xml:space="preserve">El Consejo de Estado </w:t>
      </w:r>
      <w:r>
        <w:rPr>
          <w:rFonts w:ascii="Arial" w:hAnsi="Arial" w:cs="Arial"/>
          <w:color w:val="000000" w:themeColor="text1"/>
          <w:sz w:val="22"/>
        </w:rPr>
        <w:t xml:space="preserve">considera </w:t>
      </w:r>
      <w:r w:rsidRPr="00F666D0">
        <w:rPr>
          <w:rFonts w:ascii="Arial" w:hAnsi="Arial" w:cs="Arial"/>
          <w:color w:val="000000" w:themeColor="text1"/>
          <w:sz w:val="22"/>
        </w:rPr>
        <w:t>que</w:t>
      </w:r>
      <w:r>
        <w:rPr>
          <w:rFonts w:ascii="Arial" w:hAnsi="Arial" w:cs="Arial"/>
          <w:color w:val="000000" w:themeColor="text1"/>
          <w:sz w:val="22"/>
        </w:rPr>
        <w:t xml:space="preserve"> los </w:t>
      </w:r>
      <w:r w:rsidRPr="00F666D0">
        <w:rPr>
          <w:rFonts w:ascii="Arial" w:hAnsi="Arial" w:cs="Arial"/>
          <w:color w:val="000000" w:themeColor="text1"/>
          <w:sz w:val="22"/>
        </w:rPr>
        <w:t xml:space="preserve">numerales 3, 4 y 5 </w:t>
      </w:r>
      <w:r>
        <w:rPr>
          <w:rFonts w:ascii="Arial" w:hAnsi="Arial" w:cs="Arial"/>
          <w:color w:val="000000" w:themeColor="text1"/>
          <w:sz w:val="22"/>
        </w:rPr>
        <w:t>violarían</w:t>
      </w:r>
      <w:r w:rsidRPr="00F666D0">
        <w:rPr>
          <w:rFonts w:ascii="Arial" w:hAnsi="Arial" w:cs="Arial"/>
          <w:color w:val="000000" w:themeColor="text1"/>
          <w:sz w:val="22"/>
        </w:rPr>
        <w:t xml:space="preserve"> el artículo 5, numeral 4, último inciso, de la Ley 1150 de 2007, </w:t>
      </w:r>
      <w:r>
        <w:rPr>
          <w:rFonts w:ascii="Arial" w:hAnsi="Arial" w:cs="Arial"/>
          <w:color w:val="000000" w:themeColor="text1"/>
          <w:sz w:val="22"/>
        </w:rPr>
        <w:t>pues</w:t>
      </w:r>
      <w:r w:rsidRPr="00F666D0">
        <w:rPr>
          <w:rFonts w:ascii="Arial" w:hAnsi="Arial" w:cs="Arial"/>
          <w:color w:val="000000" w:themeColor="text1"/>
          <w:sz w:val="22"/>
        </w:rPr>
        <w:t xml:space="preserve"> señala que: «en ningún caso se podrá incluir el precio, como factor de escogencia para la selección de consultores», así como el artículo 25, numeral 2, de la Ley 80 de 1993 que dispone </w:t>
      </w:r>
      <w:r>
        <w:rPr>
          <w:rFonts w:ascii="Arial" w:hAnsi="Arial" w:cs="Arial"/>
          <w:color w:val="000000" w:themeColor="text1"/>
          <w:sz w:val="22"/>
        </w:rPr>
        <w:t>lo siguiente</w:t>
      </w:r>
      <w:r w:rsidRPr="00F666D0">
        <w:rPr>
          <w:rFonts w:ascii="Arial" w:hAnsi="Arial" w:cs="Arial"/>
          <w:color w:val="000000" w:themeColor="text1"/>
          <w:sz w:val="22"/>
        </w:rPr>
        <w:t xml:space="preserve">: «[…] las normas de los procedimientos contractuales se interpretarán de tal manera que no den ocasión a seguir trámites distintos y adicionales a los expresamente previstos </w:t>
      </w:r>
      <w:r>
        <w:rPr>
          <w:rFonts w:ascii="Arial" w:hAnsi="Arial" w:cs="Arial"/>
          <w:color w:val="000000" w:themeColor="text1"/>
          <w:sz w:val="22"/>
        </w:rPr>
        <w:t>[…]</w:t>
      </w:r>
      <w:r w:rsidRPr="00F666D0">
        <w:rPr>
          <w:rFonts w:ascii="Arial" w:hAnsi="Arial" w:cs="Arial"/>
          <w:color w:val="000000" w:themeColor="text1"/>
          <w:sz w:val="22"/>
        </w:rPr>
        <w:t>».</w:t>
      </w:r>
      <w:r>
        <w:rPr>
          <w:rFonts w:ascii="Arial" w:hAnsi="Arial" w:cs="Arial"/>
          <w:color w:val="000000" w:themeColor="text1"/>
          <w:sz w:val="22"/>
        </w:rPr>
        <w:t xml:space="preserve"> En este sentido, explica que </w:t>
      </w:r>
      <w:r w:rsidRPr="005F0964">
        <w:rPr>
          <w:rFonts w:ascii="Arial" w:hAnsi="Arial" w:cs="Arial"/>
          <w:color w:val="000000" w:themeColor="text1"/>
          <w:sz w:val="22"/>
        </w:rPr>
        <w:t>la verificación de la coherencia del precio con la disponibilidad presupuestal y la necesidad de que se logre un acuerdo en relación con el mismo desconoce el principio de selección objetiva</w:t>
      </w:r>
      <w:r>
        <w:rPr>
          <w:rFonts w:ascii="Arial" w:hAnsi="Arial" w:cs="Arial"/>
          <w:color w:val="000000" w:themeColor="text1"/>
          <w:sz w:val="22"/>
        </w:rPr>
        <w:t xml:space="preserve">, </w:t>
      </w:r>
      <w:r w:rsidRPr="005F0964">
        <w:rPr>
          <w:rFonts w:ascii="Arial" w:hAnsi="Arial" w:cs="Arial"/>
          <w:color w:val="000000" w:themeColor="text1"/>
          <w:sz w:val="22"/>
        </w:rPr>
        <w:t>convi</w:t>
      </w:r>
      <w:r>
        <w:rPr>
          <w:rFonts w:ascii="Arial" w:hAnsi="Arial" w:cs="Arial"/>
          <w:color w:val="000000" w:themeColor="text1"/>
          <w:sz w:val="22"/>
        </w:rPr>
        <w:t>rtiendo</w:t>
      </w:r>
      <w:r w:rsidRPr="005F0964">
        <w:rPr>
          <w:rFonts w:ascii="Arial" w:hAnsi="Arial" w:cs="Arial"/>
          <w:color w:val="000000" w:themeColor="text1"/>
          <w:sz w:val="22"/>
        </w:rPr>
        <w:t xml:space="preserve"> </w:t>
      </w:r>
      <w:r>
        <w:rPr>
          <w:rFonts w:ascii="Arial" w:hAnsi="Arial" w:cs="Arial"/>
          <w:color w:val="000000" w:themeColor="text1"/>
          <w:sz w:val="22"/>
        </w:rPr>
        <w:t>e</w:t>
      </w:r>
      <w:r w:rsidRPr="005F0964">
        <w:rPr>
          <w:rFonts w:ascii="Arial" w:hAnsi="Arial" w:cs="Arial"/>
          <w:color w:val="000000" w:themeColor="text1"/>
          <w:sz w:val="22"/>
        </w:rPr>
        <w:t xml:space="preserve">l precio en un factor de </w:t>
      </w:r>
      <w:r>
        <w:rPr>
          <w:rFonts w:ascii="Arial" w:hAnsi="Arial" w:cs="Arial"/>
          <w:color w:val="000000" w:themeColor="text1"/>
          <w:sz w:val="22"/>
        </w:rPr>
        <w:t>selección</w:t>
      </w:r>
      <w:r>
        <w:rPr>
          <w:rStyle w:val="Refdenotaalpie"/>
          <w:rFonts w:ascii="Arial" w:hAnsi="Arial" w:cs="Arial"/>
          <w:color w:val="000000" w:themeColor="text1"/>
          <w:sz w:val="22"/>
        </w:rPr>
        <w:footnoteReference w:id="4"/>
      </w:r>
      <w:r>
        <w:rPr>
          <w:rFonts w:ascii="Arial" w:hAnsi="Arial" w:cs="Arial"/>
          <w:color w:val="000000" w:themeColor="text1"/>
          <w:sz w:val="22"/>
        </w:rPr>
        <w:t xml:space="preserve">. En lo que respecta al artículo 6, este violaría especialmente el artículo 25.18 del </w:t>
      </w:r>
      <w:r>
        <w:rPr>
          <w:rFonts w:ascii="Arial" w:hAnsi="Arial" w:cs="Arial"/>
          <w:color w:val="000000" w:themeColor="text1"/>
          <w:sz w:val="22"/>
        </w:rPr>
        <w:lastRenderedPageBreak/>
        <w:t>Estatuto General y e</w:t>
      </w:r>
      <w:r w:rsidR="00DC7138">
        <w:rPr>
          <w:rFonts w:ascii="Arial" w:hAnsi="Arial" w:cs="Arial"/>
          <w:color w:val="000000" w:themeColor="text1"/>
          <w:sz w:val="22"/>
        </w:rPr>
        <w:t>l</w:t>
      </w:r>
      <w:r>
        <w:rPr>
          <w:rFonts w:ascii="Arial" w:hAnsi="Arial" w:cs="Arial"/>
          <w:color w:val="000000" w:themeColor="text1"/>
          <w:sz w:val="22"/>
        </w:rPr>
        <w:t xml:space="preserve"> artículo 5 de la Ley 1150 de 2007, pues la declaratoria de desierta solo procede cuando no es posible la selección objetiva del contratista</w:t>
      </w:r>
      <w:bookmarkEnd w:id="6"/>
      <w:r>
        <w:rPr>
          <w:rStyle w:val="Refdenotaalpie"/>
          <w:rFonts w:ascii="Arial" w:hAnsi="Arial" w:cs="Arial"/>
          <w:color w:val="000000" w:themeColor="text1"/>
          <w:sz w:val="22"/>
        </w:rPr>
        <w:footnoteReference w:id="5"/>
      </w:r>
      <w:r>
        <w:rPr>
          <w:rFonts w:ascii="Arial" w:hAnsi="Arial" w:cs="Arial"/>
          <w:color w:val="000000" w:themeColor="text1"/>
          <w:sz w:val="22"/>
        </w:rPr>
        <w:t>.</w:t>
      </w:r>
    </w:p>
    <w:p w14:paraId="53552B5D" w14:textId="0E76C129" w:rsidR="00364B58" w:rsidRDefault="00364B58" w:rsidP="00364B58">
      <w:pPr>
        <w:spacing w:after="120" w:line="276" w:lineRule="auto"/>
        <w:ind w:firstLine="709"/>
        <w:jc w:val="both"/>
        <w:rPr>
          <w:rFonts w:ascii="Arial" w:hAnsi="Arial" w:cs="Arial"/>
          <w:color w:val="000000" w:themeColor="text1"/>
          <w:sz w:val="22"/>
        </w:rPr>
      </w:pPr>
      <w:bookmarkStart w:id="7" w:name="_Hlk43916091"/>
      <w:r>
        <w:rPr>
          <w:rFonts w:ascii="Arial" w:hAnsi="Arial" w:cs="Arial"/>
          <w:color w:val="000000" w:themeColor="text1"/>
          <w:sz w:val="22"/>
        </w:rPr>
        <w:t>Si bien</w:t>
      </w:r>
      <w:r>
        <w:rPr>
          <w:rFonts w:ascii="Arial" w:eastAsia="Calibri" w:hAnsi="Arial" w:cs="Arial"/>
          <w:color w:val="000000" w:themeColor="text1"/>
          <w:sz w:val="22"/>
        </w:rPr>
        <w:t xml:space="preserve"> esta Agencia –conforme al </w:t>
      </w:r>
      <w:r w:rsidRPr="005A2781">
        <w:rPr>
          <w:rFonts w:ascii="Arial" w:eastAsia="Calibri" w:hAnsi="Arial" w:cs="Arial"/>
          <w:color w:val="000000" w:themeColor="text1"/>
          <w:sz w:val="22"/>
        </w:rPr>
        <w:t>Concepto C-124 del 25 de marzo de 2020</w:t>
      </w:r>
      <w:r>
        <w:rPr>
          <w:rFonts w:ascii="Arial" w:eastAsia="Calibri" w:hAnsi="Arial" w:cs="Arial"/>
          <w:color w:val="000000" w:themeColor="text1"/>
          <w:sz w:val="22"/>
        </w:rPr>
        <w:t>– considera que las entidades deben verificar que la propuesta económica se ajuste al presupuesto oficial</w:t>
      </w:r>
      <w:r w:rsidR="00DC7138">
        <w:rPr>
          <w:rFonts w:ascii="Arial" w:eastAsia="Calibri" w:hAnsi="Arial" w:cs="Arial"/>
          <w:color w:val="000000" w:themeColor="text1"/>
          <w:sz w:val="22"/>
        </w:rPr>
        <w:t>,</w:t>
      </w:r>
      <w:r>
        <w:rPr>
          <w:rFonts w:ascii="Arial" w:eastAsia="Calibri" w:hAnsi="Arial" w:cs="Arial"/>
          <w:color w:val="000000" w:themeColor="text1"/>
          <w:sz w:val="22"/>
        </w:rPr>
        <w:t xml:space="preserve"> conforme al artículo 25.6 de la Ley 80 de 1993 y el artículo 71 del Decreto 111 de 1996, con los autos de suspensión provisional el concurso de méritos abierto se desarrolla aplicando únicamente los numerales 1 y 2 del</w:t>
      </w:r>
      <w:r w:rsidRPr="00F666D0">
        <w:rPr>
          <w:rFonts w:ascii="Arial" w:hAnsi="Arial" w:cs="Arial"/>
          <w:color w:val="000000" w:themeColor="text1"/>
          <w:sz w:val="22"/>
        </w:rPr>
        <w:t xml:space="preserve"> artículo </w:t>
      </w:r>
      <w:r>
        <w:rPr>
          <w:rFonts w:ascii="Arial" w:hAnsi="Arial" w:cs="Arial"/>
          <w:color w:val="000000" w:themeColor="text1"/>
          <w:sz w:val="22"/>
        </w:rPr>
        <w:t>2.2.1.2.1.3.2</w:t>
      </w:r>
      <w:r w:rsidRPr="00F666D0">
        <w:rPr>
          <w:rFonts w:ascii="Arial" w:hAnsi="Arial" w:cs="Arial"/>
          <w:color w:val="000000" w:themeColor="text1"/>
          <w:sz w:val="22"/>
        </w:rPr>
        <w:t xml:space="preserve"> del Decreto 1082 de 2015</w:t>
      </w:r>
      <w:r>
        <w:rPr>
          <w:rFonts w:ascii="Arial" w:hAnsi="Arial" w:cs="Arial"/>
          <w:color w:val="000000" w:themeColor="text1"/>
          <w:sz w:val="22"/>
        </w:rPr>
        <w:t xml:space="preserve">. Esto significa que la entidad dispone los criterios de evaluación en el pliego y que, </w:t>
      </w:r>
      <w:r w:rsidR="00550134">
        <w:rPr>
          <w:rFonts w:ascii="Arial" w:hAnsi="Arial" w:cs="Arial"/>
          <w:color w:val="000000" w:themeColor="text1"/>
          <w:sz w:val="22"/>
        </w:rPr>
        <w:t>con la evaluación de las</w:t>
      </w:r>
      <w:r>
        <w:rPr>
          <w:rFonts w:ascii="Arial" w:hAnsi="Arial" w:cs="Arial"/>
          <w:color w:val="000000" w:themeColor="text1"/>
          <w:sz w:val="22"/>
        </w:rPr>
        <w:t xml:space="preserve"> propuestas económicas se publica el informe por tres (3) días hábiles. </w:t>
      </w:r>
    </w:p>
    <w:p w14:paraId="056D7AD6" w14:textId="7CDCF8D0" w:rsidR="00364B58" w:rsidRDefault="00364B58" w:rsidP="00364B58">
      <w:pPr>
        <w:spacing w:after="120" w:line="276" w:lineRule="auto"/>
        <w:ind w:firstLine="709"/>
        <w:jc w:val="both"/>
        <w:rPr>
          <w:rFonts w:ascii="Arial" w:hAnsi="Arial" w:cs="Arial"/>
          <w:color w:val="000000" w:themeColor="text1"/>
          <w:sz w:val="22"/>
        </w:rPr>
      </w:pPr>
      <w:bookmarkStart w:id="8" w:name="_Hlk43916290"/>
      <w:bookmarkEnd w:id="7"/>
      <w:r w:rsidRPr="00174C18">
        <w:rPr>
          <w:rFonts w:ascii="Arial" w:hAnsi="Arial" w:cs="Arial"/>
          <w:color w:val="000000" w:themeColor="text1"/>
          <w:sz w:val="22"/>
        </w:rPr>
        <w:t>Aunque el numeral 2 del artículo 2.2.1.2.1.3.2 del Decreto 1082 de 2015 no dispone que la calificación técnica y el orden de elegibilidad se determinen obligatoriamente en audiencia pública, la Subdirección de Información y Desarrollo Tecnológico informa que el SECOP II exige programar la fecha de la «Audiencia de comunicación del orden de elegibilidad»</w:t>
      </w:r>
      <w:r>
        <w:rPr>
          <w:rFonts w:ascii="Arial" w:hAnsi="Arial" w:cs="Arial"/>
          <w:color w:val="000000" w:themeColor="text1"/>
          <w:sz w:val="22"/>
        </w:rPr>
        <w:t xml:space="preserve"> y de «Apertura del sobre económico»</w:t>
      </w:r>
      <w:r w:rsidRPr="00174C18">
        <w:rPr>
          <w:rFonts w:ascii="Arial" w:hAnsi="Arial" w:cs="Arial"/>
          <w:color w:val="000000" w:themeColor="text1"/>
          <w:sz w:val="22"/>
        </w:rPr>
        <w:t xml:space="preserve"> en el cronograma del proceso de selección. Sin embargo, </w:t>
      </w:r>
      <w:r>
        <w:rPr>
          <w:rFonts w:ascii="Arial" w:hAnsi="Arial" w:cs="Arial"/>
          <w:color w:val="000000" w:themeColor="text1"/>
          <w:sz w:val="22"/>
        </w:rPr>
        <w:t xml:space="preserve">estas </w:t>
      </w:r>
      <w:r w:rsidRPr="00174C18">
        <w:rPr>
          <w:rFonts w:ascii="Arial" w:hAnsi="Arial" w:cs="Arial"/>
          <w:color w:val="000000" w:themeColor="text1"/>
          <w:sz w:val="22"/>
        </w:rPr>
        <w:t>no debe</w:t>
      </w:r>
      <w:r>
        <w:rPr>
          <w:rFonts w:ascii="Arial" w:hAnsi="Arial" w:cs="Arial"/>
          <w:color w:val="000000" w:themeColor="text1"/>
          <w:sz w:val="22"/>
        </w:rPr>
        <w:t>n</w:t>
      </w:r>
      <w:r w:rsidRPr="00174C18">
        <w:rPr>
          <w:rFonts w:ascii="Arial" w:hAnsi="Arial" w:cs="Arial"/>
          <w:color w:val="000000" w:themeColor="text1"/>
          <w:sz w:val="22"/>
        </w:rPr>
        <w:t xml:space="preserve"> conducir a </w:t>
      </w:r>
      <w:r w:rsidR="00A44E8D">
        <w:rPr>
          <w:rFonts w:ascii="Arial" w:hAnsi="Arial" w:cs="Arial"/>
          <w:color w:val="000000" w:themeColor="text1"/>
          <w:sz w:val="22"/>
        </w:rPr>
        <w:t>aplicar</w:t>
      </w:r>
      <w:r w:rsidRPr="00174C18">
        <w:rPr>
          <w:rFonts w:ascii="Arial" w:hAnsi="Arial" w:cs="Arial"/>
          <w:color w:val="000000" w:themeColor="text1"/>
          <w:sz w:val="22"/>
        </w:rPr>
        <w:t xml:space="preserve"> alguno de los numerales suspendidos por el Consejo de Estado, ya que conforme a los autos citados </w:t>
      </w:r>
      <w:r w:rsidRPr="00E9794A">
        <w:rPr>
          <w:rFonts w:ascii="Arial" w:hAnsi="Arial" w:cs="Arial"/>
          <w:i/>
          <w:iCs/>
          <w:color w:val="000000" w:themeColor="text1"/>
          <w:sz w:val="22"/>
        </w:rPr>
        <w:t>ut supra</w:t>
      </w:r>
      <w:r w:rsidRPr="00174C18">
        <w:rPr>
          <w:rFonts w:ascii="Arial" w:hAnsi="Arial" w:cs="Arial"/>
          <w:color w:val="000000" w:themeColor="text1"/>
          <w:sz w:val="22"/>
        </w:rPr>
        <w:t>, resueltas las observaciones al informe de evaluación no es posible acordar el precio con los oferentes</w:t>
      </w:r>
      <w:r>
        <w:rPr>
          <w:rFonts w:ascii="Arial" w:hAnsi="Arial" w:cs="Arial"/>
          <w:color w:val="000000" w:themeColor="text1"/>
          <w:sz w:val="22"/>
        </w:rPr>
        <w:t>. Por lo tanto, siempre que esté dentro del presupuesto oficial, la entidad deberá adjudicar el contrato al proponente que ocupe el primer puesto en el orden de elegibilidad, independientemente del valor ofrecido</w:t>
      </w:r>
      <w:r w:rsidRPr="003B2FC1">
        <w:rPr>
          <w:rFonts w:ascii="Arial" w:eastAsia="Calibri" w:hAnsi="Arial" w:cs="Arial"/>
          <w:sz w:val="22"/>
        </w:rPr>
        <w:t xml:space="preserve">. </w:t>
      </w:r>
      <w:r>
        <w:rPr>
          <w:rFonts w:ascii="Arial" w:hAnsi="Arial" w:cs="Arial"/>
          <w:color w:val="000000" w:themeColor="text1"/>
          <w:sz w:val="22"/>
        </w:rPr>
        <w:t xml:space="preserve">  </w:t>
      </w:r>
      <w:bookmarkEnd w:id="8"/>
    </w:p>
    <w:p w14:paraId="540E145F" w14:textId="77777777" w:rsidR="00364B58" w:rsidRDefault="00364B58" w:rsidP="00364B58">
      <w:pPr>
        <w:spacing w:line="276" w:lineRule="auto"/>
        <w:ind w:firstLine="709"/>
        <w:jc w:val="both"/>
        <w:rPr>
          <w:rFonts w:ascii="Arial" w:hAnsi="Arial" w:cs="Arial"/>
          <w:color w:val="000000" w:themeColor="text1"/>
          <w:sz w:val="22"/>
        </w:rPr>
      </w:pPr>
      <w:r>
        <w:rPr>
          <w:rFonts w:ascii="Arial" w:hAnsi="Arial" w:cs="Arial"/>
          <w:color w:val="000000" w:themeColor="text1"/>
          <w:sz w:val="22"/>
        </w:rPr>
        <w:lastRenderedPageBreak/>
        <w:t xml:space="preserve">Pese a que con los autos del Consejo de Estado la </w:t>
      </w:r>
      <w:r w:rsidRPr="00224900">
        <w:rPr>
          <w:rFonts w:ascii="Arial" w:hAnsi="Arial" w:cs="Arial"/>
          <w:color w:val="000000" w:themeColor="text1"/>
          <w:sz w:val="22"/>
        </w:rPr>
        <w:t>«Audiencia de comunicación del orden de elegibilidad»</w:t>
      </w:r>
      <w:r>
        <w:rPr>
          <w:rFonts w:ascii="Arial" w:hAnsi="Arial" w:cs="Arial"/>
          <w:color w:val="000000" w:themeColor="text1"/>
          <w:sz w:val="22"/>
        </w:rPr>
        <w:t xml:space="preserve"> y de «Apertura del sobre económico» no pueden desarrollar alguna de las etapas suspendidas provisionalmente, vale la pena reflexionar sobre la adjudicación del concurso de méritos a través de audiencia pública. El tema se analizará en el siguiente apartado.</w:t>
      </w:r>
    </w:p>
    <w:p w14:paraId="3B3055EE" w14:textId="77777777" w:rsidR="00364B58" w:rsidRDefault="00364B58" w:rsidP="00364B58">
      <w:pPr>
        <w:spacing w:line="276" w:lineRule="auto"/>
        <w:ind w:firstLine="709"/>
        <w:jc w:val="both"/>
        <w:rPr>
          <w:rFonts w:ascii="Arial" w:eastAsia="Calibri" w:hAnsi="Arial" w:cs="Arial"/>
          <w:b/>
          <w:bCs/>
          <w:color w:val="000000" w:themeColor="text1"/>
          <w:sz w:val="22"/>
        </w:rPr>
      </w:pPr>
    </w:p>
    <w:p w14:paraId="485D67FF" w14:textId="77777777" w:rsidR="00364B58" w:rsidRDefault="00364B58" w:rsidP="00364B58">
      <w:pPr>
        <w:spacing w:line="276" w:lineRule="auto"/>
        <w:jc w:val="both"/>
        <w:rPr>
          <w:rFonts w:ascii="Arial" w:eastAsia="Calibri" w:hAnsi="Arial" w:cs="Arial"/>
          <w:b/>
          <w:bCs/>
          <w:color w:val="000000" w:themeColor="text1"/>
          <w:sz w:val="22"/>
        </w:rPr>
      </w:pPr>
      <w:r w:rsidRPr="00D44227">
        <w:rPr>
          <w:rFonts w:ascii="Arial" w:eastAsia="Calibri" w:hAnsi="Arial" w:cs="Arial"/>
          <w:b/>
          <w:bCs/>
          <w:color w:val="000000" w:themeColor="text1"/>
          <w:sz w:val="22"/>
        </w:rPr>
        <w:t>2.</w:t>
      </w:r>
      <w:r>
        <w:rPr>
          <w:rFonts w:ascii="Arial" w:eastAsia="Calibri" w:hAnsi="Arial" w:cs="Arial"/>
          <w:b/>
          <w:bCs/>
          <w:color w:val="000000" w:themeColor="text1"/>
          <w:sz w:val="22"/>
        </w:rPr>
        <w:t>2</w:t>
      </w:r>
      <w:r w:rsidRPr="00D44227">
        <w:rPr>
          <w:rFonts w:ascii="Arial" w:eastAsia="Calibri" w:hAnsi="Arial" w:cs="Arial"/>
          <w:b/>
          <w:bCs/>
          <w:color w:val="000000" w:themeColor="text1"/>
          <w:sz w:val="22"/>
        </w:rPr>
        <w:t xml:space="preserve">. </w:t>
      </w:r>
      <w:r>
        <w:rPr>
          <w:rFonts w:ascii="Arial" w:eastAsia="Calibri" w:hAnsi="Arial" w:cs="Arial"/>
          <w:b/>
          <w:bCs/>
          <w:color w:val="000000" w:themeColor="text1"/>
          <w:sz w:val="22"/>
        </w:rPr>
        <w:t>Carácter potestativo de la audiencia pública de adjudicación en el concurso de méritos</w:t>
      </w:r>
    </w:p>
    <w:p w14:paraId="426B87FD" w14:textId="77777777" w:rsidR="00364B58" w:rsidRDefault="00364B58" w:rsidP="00364B58">
      <w:pPr>
        <w:spacing w:line="276" w:lineRule="auto"/>
        <w:jc w:val="both"/>
        <w:rPr>
          <w:rFonts w:ascii="Arial" w:hAnsi="Arial" w:cs="Arial"/>
          <w:bCs/>
          <w:color w:val="000000" w:themeColor="text1"/>
          <w:sz w:val="22"/>
          <w:lang w:val="es-ES"/>
        </w:rPr>
      </w:pPr>
    </w:p>
    <w:p w14:paraId="324CD365" w14:textId="77777777" w:rsidR="00364B58" w:rsidRDefault="00364B58" w:rsidP="00364B58">
      <w:pPr>
        <w:spacing w:after="120" w:line="276" w:lineRule="auto"/>
        <w:jc w:val="both"/>
        <w:rPr>
          <w:rFonts w:ascii="Arial" w:hAnsi="Arial" w:cs="Arial"/>
          <w:bCs/>
          <w:color w:val="000000" w:themeColor="text1"/>
          <w:sz w:val="22"/>
          <w:lang w:val="es-ES"/>
        </w:rPr>
      </w:pPr>
      <w:r w:rsidRPr="00F666D0">
        <w:rPr>
          <w:rFonts w:ascii="Arial" w:hAnsi="Arial" w:cs="Arial"/>
          <w:bCs/>
          <w:color w:val="000000" w:themeColor="text1"/>
          <w:sz w:val="22"/>
          <w:lang w:val="es-ES"/>
        </w:rPr>
        <w:t xml:space="preserve">Uno de los principios que rige la contratación </w:t>
      </w:r>
      <w:r>
        <w:rPr>
          <w:rFonts w:ascii="Arial" w:hAnsi="Arial" w:cs="Arial"/>
          <w:bCs/>
          <w:color w:val="000000" w:themeColor="text1"/>
          <w:sz w:val="22"/>
          <w:lang w:val="es-ES"/>
        </w:rPr>
        <w:t>estatal</w:t>
      </w:r>
      <w:r w:rsidRPr="00F666D0">
        <w:rPr>
          <w:rFonts w:ascii="Arial" w:hAnsi="Arial" w:cs="Arial"/>
          <w:bCs/>
          <w:color w:val="000000" w:themeColor="text1"/>
          <w:sz w:val="22"/>
          <w:lang w:val="es-ES"/>
        </w:rPr>
        <w:t xml:space="preserve"> es el de transparencia, cuya máxima expresión se traduce en la litación pública, procedimiento que, a su vez, </w:t>
      </w:r>
      <w:r>
        <w:rPr>
          <w:rFonts w:ascii="Arial" w:hAnsi="Arial" w:cs="Arial"/>
          <w:bCs/>
          <w:color w:val="000000" w:themeColor="text1"/>
          <w:sz w:val="22"/>
          <w:lang w:val="es-ES"/>
        </w:rPr>
        <w:t>constituye la</w:t>
      </w:r>
      <w:r w:rsidRPr="00F666D0">
        <w:rPr>
          <w:rFonts w:ascii="Arial" w:hAnsi="Arial" w:cs="Arial"/>
          <w:bCs/>
          <w:color w:val="000000" w:themeColor="text1"/>
          <w:sz w:val="22"/>
          <w:lang w:val="es-ES"/>
        </w:rPr>
        <w:t xml:space="preserve"> regla general para la</w:t>
      </w:r>
      <w:r>
        <w:rPr>
          <w:rFonts w:ascii="Arial" w:hAnsi="Arial" w:cs="Arial"/>
          <w:bCs/>
          <w:color w:val="000000" w:themeColor="text1"/>
          <w:sz w:val="22"/>
          <w:lang w:val="es-ES"/>
        </w:rPr>
        <w:t xml:space="preserve"> selección de contratistas</w:t>
      </w:r>
      <w:r w:rsidRPr="00F666D0">
        <w:rPr>
          <w:rFonts w:ascii="Arial" w:hAnsi="Arial" w:cs="Arial"/>
          <w:bCs/>
          <w:color w:val="000000" w:themeColor="text1"/>
          <w:sz w:val="22"/>
          <w:lang w:val="es-ES"/>
        </w:rPr>
        <w:t xml:space="preserve"> y en el que sus etapas se desarrollan mediante convocatoria pública en igualdad de condiciones, con libre concurrencia y orientadas a seleccionar objetivamente la oferta de bienes, obras o servicios más favorable para la </w:t>
      </w:r>
      <w:r>
        <w:rPr>
          <w:rFonts w:ascii="Arial" w:hAnsi="Arial" w:cs="Arial"/>
          <w:bCs/>
          <w:color w:val="000000" w:themeColor="text1"/>
          <w:sz w:val="22"/>
          <w:lang w:val="es-ES"/>
        </w:rPr>
        <w:t>Administración</w:t>
      </w:r>
      <w:r w:rsidRPr="00F666D0">
        <w:rPr>
          <w:rFonts w:ascii="Arial" w:hAnsi="Arial" w:cs="Arial"/>
          <w:bCs/>
          <w:color w:val="000000" w:themeColor="text1"/>
          <w:sz w:val="22"/>
          <w:lang w:val="es-ES"/>
        </w:rPr>
        <w:t>. Esta modalidad de selección de la Ley 80 de 1993, así como las demás previstas con la expedición de la Ley 1150 de 2007,</w:t>
      </w:r>
      <w:r>
        <w:rPr>
          <w:rFonts w:ascii="Arial" w:hAnsi="Arial" w:cs="Arial"/>
          <w:bCs/>
          <w:color w:val="000000" w:themeColor="text1"/>
          <w:sz w:val="22"/>
          <w:lang w:val="es-ES"/>
        </w:rPr>
        <w:t xml:space="preserve"> especialmente, la selección abreviada y el concurso de méritos,</w:t>
      </w:r>
      <w:r w:rsidRPr="00F666D0">
        <w:rPr>
          <w:rFonts w:ascii="Arial" w:hAnsi="Arial" w:cs="Arial"/>
          <w:bCs/>
          <w:color w:val="000000" w:themeColor="text1"/>
          <w:sz w:val="22"/>
          <w:lang w:val="es-ES"/>
        </w:rPr>
        <w:t xml:space="preserve"> culminan con el acto de adjudicación, decisión motivada de la entidad contratante por la que se concede el derecho a celebrar el contrato al mejor oferente</w:t>
      </w:r>
      <w:r>
        <w:rPr>
          <w:rStyle w:val="Refdenotaalpie"/>
          <w:rFonts w:ascii="Arial" w:hAnsi="Arial" w:cs="Arial"/>
          <w:bCs/>
          <w:color w:val="000000" w:themeColor="text1"/>
          <w:sz w:val="22"/>
          <w:lang w:val="es-ES"/>
        </w:rPr>
        <w:footnoteReference w:id="6"/>
      </w:r>
      <w:r w:rsidRPr="00F666D0">
        <w:rPr>
          <w:rFonts w:ascii="Arial" w:hAnsi="Arial" w:cs="Arial"/>
          <w:bCs/>
          <w:color w:val="000000" w:themeColor="text1"/>
          <w:sz w:val="22"/>
          <w:lang w:val="es-ES"/>
        </w:rPr>
        <w:t>.</w:t>
      </w:r>
    </w:p>
    <w:p w14:paraId="4856A567" w14:textId="49BC919C" w:rsidR="00364B58" w:rsidRDefault="00364B58" w:rsidP="00364B58">
      <w:pPr>
        <w:spacing w:before="120" w:line="276" w:lineRule="auto"/>
        <w:ind w:firstLine="709"/>
        <w:jc w:val="both"/>
        <w:rPr>
          <w:rFonts w:ascii="Arial" w:hAnsi="Arial" w:cs="Arial"/>
          <w:bCs/>
          <w:color w:val="000000" w:themeColor="text1"/>
          <w:sz w:val="22"/>
          <w:lang w:val="es-ES"/>
        </w:rPr>
      </w:pPr>
      <w:r>
        <w:rPr>
          <w:rFonts w:ascii="Arial" w:hAnsi="Arial" w:cs="Arial"/>
          <w:bCs/>
          <w:color w:val="000000" w:themeColor="text1"/>
          <w:sz w:val="22"/>
          <w:lang w:val="es-ES"/>
        </w:rPr>
        <w:t xml:space="preserve">En concordancia con el </w:t>
      </w:r>
      <w:r w:rsidRPr="00E56B59">
        <w:rPr>
          <w:rFonts w:ascii="Arial" w:hAnsi="Arial" w:cs="Arial"/>
          <w:bCs/>
          <w:color w:val="000000" w:themeColor="text1"/>
          <w:sz w:val="22"/>
          <w:lang w:val="es-ES"/>
        </w:rPr>
        <w:t>artículo 273 de la Constitución Política</w:t>
      </w:r>
      <w:r>
        <w:rPr>
          <w:rFonts w:ascii="Arial" w:hAnsi="Arial" w:cs="Arial"/>
          <w:bCs/>
          <w:color w:val="000000" w:themeColor="text1"/>
          <w:sz w:val="22"/>
          <w:lang w:val="es-ES"/>
        </w:rPr>
        <w:t>, e</w:t>
      </w:r>
      <w:r w:rsidRPr="00F666D0">
        <w:rPr>
          <w:rFonts w:ascii="Arial" w:hAnsi="Arial" w:cs="Arial"/>
          <w:bCs/>
          <w:color w:val="000000" w:themeColor="text1"/>
          <w:sz w:val="22"/>
          <w:lang w:val="es-ES"/>
        </w:rPr>
        <w:t>l artículo 30</w:t>
      </w:r>
      <w:r>
        <w:rPr>
          <w:rFonts w:ascii="Arial" w:hAnsi="Arial" w:cs="Arial"/>
          <w:bCs/>
          <w:color w:val="000000" w:themeColor="text1"/>
          <w:sz w:val="22"/>
          <w:lang w:val="es-ES"/>
        </w:rPr>
        <w:t xml:space="preserve">.10 </w:t>
      </w:r>
      <w:r w:rsidRPr="00F666D0">
        <w:rPr>
          <w:rFonts w:ascii="Arial" w:hAnsi="Arial" w:cs="Arial"/>
          <w:bCs/>
          <w:color w:val="000000" w:themeColor="text1"/>
          <w:sz w:val="22"/>
          <w:lang w:val="es-ES"/>
        </w:rPr>
        <w:t>de la Ley 80 de 1993</w:t>
      </w:r>
      <w:r>
        <w:rPr>
          <w:rFonts w:ascii="Arial" w:hAnsi="Arial" w:cs="Arial"/>
          <w:bCs/>
          <w:color w:val="000000" w:themeColor="text1"/>
          <w:sz w:val="22"/>
          <w:lang w:val="es-ES"/>
        </w:rPr>
        <w:t xml:space="preserve">, dispone que los procedimientos de licitación se adjudicaran en </w:t>
      </w:r>
      <w:r w:rsidRPr="00BD31AB">
        <w:rPr>
          <w:rFonts w:ascii="Arial" w:hAnsi="Arial" w:cs="Arial"/>
          <w:bCs/>
          <w:i/>
          <w:iCs/>
          <w:color w:val="000000" w:themeColor="text1"/>
          <w:sz w:val="22"/>
          <w:lang w:val="es-ES"/>
        </w:rPr>
        <w:t>audiencia pública</w:t>
      </w:r>
      <w:r>
        <w:rPr>
          <w:rFonts w:ascii="Arial" w:hAnsi="Arial" w:cs="Arial"/>
          <w:bCs/>
          <w:color w:val="000000" w:themeColor="text1"/>
          <w:sz w:val="22"/>
          <w:lang w:val="es-ES"/>
        </w:rPr>
        <w:t xml:space="preserve"> en los casos previstos en la norma superior</w:t>
      </w:r>
      <w:r>
        <w:rPr>
          <w:rStyle w:val="Refdenotaalpie"/>
          <w:rFonts w:ascii="Arial" w:hAnsi="Arial" w:cs="Arial"/>
          <w:bCs/>
          <w:color w:val="000000" w:themeColor="text1"/>
          <w:sz w:val="22"/>
          <w:lang w:val="es-ES"/>
        </w:rPr>
        <w:footnoteReference w:id="7"/>
      </w:r>
      <w:r>
        <w:rPr>
          <w:rFonts w:ascii="Arial" w:hAnsi="Arial" w:cs="Arial"/>
          <w:bCs/>
          <w:color w:val="000000" w:themeColor="text1"/>
          <w:sz w:val="22"/>
          <w:lang w:val="es-ES"/>
        </w:rPr>
        <w:t>. Lo anterior se reitera en el artículo 9, inciso primero, de la Ley 1150 de 2007, pues «</w:t>
      </w:r>
      <w:r w:rsidRPr="006A172E">
        <w:rPr>
          <w:rFonts w:ascii="Arial" w:hAnsi="Arial" w:cs="Arial"/>
          <w:bCs/>
          <w:color w:val="000000" w:themeColor="text1"/>
          <w:sz w:val="22"/>
          <w:lang w:val="es-ES"/>
        </w:rPr>
        <w:t xml:space="preserve">En el evento previsto en el artículo 273 de la </w:t>
      </w:r>
      <w:r w:rsidRPr="006A172E">
        <w:rPr>
          <w:rFonts w:ascii="Arial" w:hAnsi="Arial" w:cs="Arial"/>
          <w:bCs/>
          <w:color w:val="000000" w:themeColor="text1"/>
          <w:sz w:val="22"/>
          <w:lang w:val="es-ES"/>
        </w:rPr>
        <w:lastRenderedPageBreak/>
        <w:t>Constitución Política y en general en los procesos de licitación pública, la adjudicación se hará de forma obligatoria en audiencia pública, mediante resolución motivada, que se entenderá notificada al proponente favorecido en dicha audiencia</w:t>
      </w:r>
      <w:r>
        <w:rPr>
          <w:rFonts w:ascii="Arial" w:hAnsi="Arial" w:cs="Arial"/>
          <w:bCs/>
          <w:color w:val="000000" w:themeColor="text1"/>
          <w:sz w:val="22"/>
          <w:lang w:val="es-ES"/>
        </w:rPr>
        <w:t>». Para la Corte Constitucional la disposición citada</w:t>
      </w:r>
      <w:r w:rsidRPr="001F1A2D">
        <w:rPr>
          <w:rFonts w:ascii="Arial" w:hAnsi="Arial" w:cs="Arial"/>
          <w:bCs/>
          <w:color w:val="000000" w:themeColor="text1"/>
          <w:sz w:val="22"/>
          <w:lang w:val="es-ES"/>
        </w:rPr>
        <w:t xml:space="preserve"> </w:t>
      </w:r>
      <w:r>
        <w:rPr>
          <w:rFonts w:ascii="Arial" w:hAnsi="Arial" w:cs="Arial"/>
          <w:bCs/>
          <w:color w:val="000000" w:themeColor="text1"/>
          <w:sz w:val="22"/>
          <w:lang w:val="es-ES"/>
        </w:rPr>
        <w:t xml:space="preserve">es exequible, en la medida </w:t>
      </w:r>
      <w:r w:rsidR="00B06A9A">
        <w:rPr>
          <w:rFonts w:ascii="Arial" w:hAnsi="Arial" w:cs="Arial"/>
          <w:bCs/>
          <w:color w:val="000000" w:themeColor="text1"/>
          <w:sz w:val="22"/>
          <w:lang w:val="es-ES"/>
        </w:rPr>
        <w:t xml:space="preserve">en </w:t>
      </w:r>
      <w:r>
        <w:rPr>
          <w:rFonts w:ascii="Arial" w:hAnsi="Arial" w:cs="Arial"/>
          <w:bCs/>
          <w:color w:val="000000" w:themeColor="text1"/>
          <w:sz w:val="22"/>
          <w:lang w:val="es-ES"/>
        </w:rPr>
        <w:t xml:space="preserve">que –además de desarrollar una norma superior– las audiencias </w:t>
      </w:r>
      <w:r w:rsidRPr="001F1A2D">
        <w:rPr>
          <w:rFonts w:ascii="Arial" w:hAnsi="Arial" w:cs="Arial"/>
          <w:bCs/>
          <w:color w:val="000000" w:themeColor="text1"/>
          <w:sz w:val="22"/>
          <w:lang w:val="es-ES"/>
        </w:rPr>
        <w:t>garantiza</w:t>
      </w:r>
      <w:r>
        <w:rPr>
          <w:rFonts w:ascii="Arial" w:hAnsi="Arial" w:cs="Arial"/>
          <w:bCs/>
          <w:color w:val="000000" w:themeColor="text1"/>
          <w:sz w:val="22"/>
          <w:lang w:val="es-ES"/>
        </w:rPr>
        <w:t>n</w:t>
      </w:r>
      <w:r w:rsidRPr="001F1A2D">
        <w:rPr>
          <w:rFonts w:ascii="Arial" w:hAnsi="Arial" w:cs="Arial"/>
          <w:bCs/>
          <w:color w:val="000000" w:themeColor="text1"/>
          <w:sz w:val="22"/>
          <w:lang w:val="es-ES"/>
        </w:rPr>
        <w:t xml:space="preserve"> la transparencia de las decisiones</w:t>
      </w:r>
      <w:r>
        <w:rPr>
          <w:rStyle w:val="Refdenotaalpie"/>
          <w:rFonts w:ascii="Arial" w:hAnsi="Arial" w:cs="Arial"/>
          <w:bCs/>
          <w:color w:val="000000" w:themeColor="text1"/>
          <w:sz w:val="22"/>
          <w:lang w:val="es-ES"/>
        </w:rPr>
        <w:footnoteReference w:id="8"/>
      </w:r>
      <w:r>
        <w:rPr>
          <w:rFonts w:ascii="Arial" w:hAnsi="Arial" w:cs="Arial"/>
          <w:bCs/>
          <w:color w:val="000000" w:themeColor="text1"/>
          <w:sz w:val="22"/>
          <w:lang w:val="es-ES"/>
        </w:rPr>
        <w:t xml:space="preserve">. </w:t>
      </w:r>
    </w:p>
    <w:p w14:paraId="3F1446D8" w14:textId="59546D8A" w:rsidR="00364B58" w:rsidRDefault="00364B58" w:rsidP="00364B58">
      <w:pPr>
        <w:spacing w:before="120" w:line="276" w:lineRule="auto"/>
        <w:ind w:firstLine="709"/>
        <w:jc w:val="both"/>
        <w:rPr>
          <w:rFonts w:ascii="Arial" w:hAnsi="Arial" w:cs="Arial"/>
          <w:bCs/>
          <w:color w:val="000000" w:themeColor="text1"/>
          <w:sz w:val="22"/>
          <w:lang w:val="es-ES"/>
        </w:rPr>
      </w:pPr>
      <w:r>
        <w:rPr>
          <w:rFonts w:ascii="Arial" w:hAnsi="Arial" w:cs="Arial"/>
          <w:bCs/>
          <w:color w:val="000000" w:themeColor="text1"/>
          <w:sz w:val="22"/>
          <w:lang w:val="es-ES"/>
        </w:rPr>
        <w:t>En lo que respecta al concurso de méritos, si bien la etapa de adjudicación</w:t>
      </w:r>
      <w:r w:rsidRPr="008103E9">
        <w:rPr>
          <w:rFonts w:ascii="Arial" w:hAnsi="Arial" w:cs="Arial"/>
          <w:bCs/>
          <w:color w:val="000000" w:themeColor="text1"/>
          <w:sz w:val="22"/>
          <w:lang w:val="es-ES"/>
        </w:rPr>
        <w:t xml:space="preserve"> </w:t>
      </w:r>
      <w:r>
        <w:rPr>
          <w:rFonts w:ascii="Arial" w:hAnsi="Arial" w:cs="Arial"/>
          <w:bCs/>
          <w:color w:val="000000" w:themeColor="text1"/>
          <w:sz w:val="22"/>
          <w:lang w:val="es-ES"/>
        </w:rPr>
        <w:t xml:space="preserve">es obligatoria, no existe una norma que obligue a realizarla </w:t>
      </w:r>
      <w:r w:rsidR="009A5C4C">
        <w:rPr>
          <w:rFonts w:ascii="Arial" w:hAnsi="Arial" w:cs="Arial"/>
          <w:bCs/>
          <w:color w:val="000000" w:themeColor="text1"/>
          <w:sz w:val="22"/>
          <w:lang w:val="es-ES"/>
        </w:rPr>
        <w:t xml:space="preserve">en </w:t>
      </w:r>
      <w:r w:rsidRPr="00BD31AB">
        <w:rPr>
          <w:rFonts w:ascii="Arial" w:hAnsi="Arial" w:cs="Arial"/>
          <w:bCs/>
          <w:i/>
          <w:iCs/>
          <w:color w:val="000000" w:themeColor="text1"/>
          <w:sz w:val="22"/>
          <w:lang w:val="es-ES"/>
        </w:rPr>
        <w:t>audiencia pública</w:t>
      </w:r>
      <w:r>
        <w:rPr>
          <w:rFonts w:ascii="Arial" w:hAnsi="Arial" w:cs="Arial"/>
          <w:bCs/>
          <w:color w:val="000000" w:themeColor="text1"/>
          <w:sz w:val="22"/>
          <w:lang w:val="es-ES"/>
        </w:rPr>
        <w:t xml:space="preserve">. </w:t>
      </w:r>
      <w:r w:rsidRPr="00AE7EF0">
        <w:rPr>
          <w:rFonts w:ascii="Arial" w:hAnsi="Arial" w:cs="Arial"/>
          <w:bCs/>
          <w:i/>
          <w:iCs/>
          <w:color w:val="000000" w:themeColor="text1"/>
          <w:sz w:val="22"/>
          <w:lang w:val="es-ES"/>
        </w:rPr>
        <w:t>Por un lado</w:t>
      </w:r>
      <w:r>
        <w:rPr>
          <w:rFonts w:ascii="Arial" w:hAnsi="Arial" w:cs="Arial"/>
          <w:bCs/>
          <w:color w:val="000000" w:themeColor="text1"/>
          <w:sz w:val="22"/>
          <w:lang w:val="es-ES"/>
        </w:rPr>
        <w:t xml:space="preserve">, aunque </w:t>
      </w:r>
      <w:bookmarkStart w:id="9" w:name="_Hlk43384050"/>
      <w:r>
        <w:rPr>
          <w:rFonts w:ascii="Arial" w:hAnsi="Arial" w:cs="Arial"/>
          <w:bCs/>
          <w:color w:val="000000" w:themeColor="text1"/>
          <w:sz w:val="22"/>
          <w:lang w:val="es-ES"/>
        </w:rPr>
        <w:t>el artículo 2.3 de la Ley 1150 de 2007</w:t>
      </w:r>
      <w:bookmarkEnd w:id="9"/>
      <w:r>
        <w:rPr>
          <w:rFonts w:ascii="Arial" w:hAnsi="Arial" w:cs="Arial"/>
          <w:bCs/>
          <w:color w:val="000000" w:themeColor="text1"/>
          <w:sz w:val="22"/>
          <w:lang w:val="es-ES"/>
        </w:rPr>
        <w:t xml:space="preserve"> no se refiere expresamente a este aspecto del procedimiento, el numeral 5 del artículo </w:t>
      </w:r>
      <w:r w:rsidRPr="008103E9">
        <w:rPr>
          <w:rFonts w:ascii="Arial" w:hAnsi="Arial" w:cs="Arial"/>
          <w:bCs/>
          <w:color w:val="000000" w:themeColor="text1"/>
          <w:sz w:val="22"/>
          <w:lang w:val="es-ES"/>
        </w:rPr>
        <w:t>2.2.1.1.2.1.3</w:t>
      </w:r>
      <w:r>
        <w:rPr>
          <w:rFonts w:ascii="Arial" w:hAnsi="Arial" w:cs="Arial"/>
          <w:bCs/>
          <w:color w:val="000000" w:themeColor="text1"/>
          <w:sz w:val="22"/>
          <w:lang w:val="es-ES"/>
        </w:rPr>
        <w:t xml:space="preserve"> del Decreto 1082 de 2015 dispone que el pliego de condiciones contiene información sobre «</w:t>
      </w:r>
      <w:r w:rsidRPr="0023576D">
        <w:rPr>
          <w:rFonts w:ascii="Arial" w:hAnsi="Arial" w:cs="Arial"/>
          <w:bCs/>
          <w:color w:val="000000" w:themeColor="text1"/>
          <w:sz w:val="22"/>
          <w:lang w:val="es-ES"/>
        </w:rPr>
        <w:t>Las reglas aplicables a la presentación de las ofertas, su evaluación y a la adjudicación del contrato</w:t>
      </w:r>
      <w:r>
        <w:rPr>
          <w:rFonts w:ascii="Arial" w:hAnsi="Arial" w:cs="Arial"/>
          <w:bCs/>
          <w:color w:val="000000" w:themeColor="text1"/>
          <w:sz w:val="22"/>
          <w:lang w:val="es-ES"/>
        </w:rPr>
        <w:t>»</w:t>
      </w:r>
      <w:r>
        <w:rPr>
          <w:rStyle w:val="Refdenotaalpie"/>
          <w:rFonts w:ascii="Arial" w:hAnsi="Arial" w:cs="Arial"/>
          <w:bCs/>
          <w:color w:val="000000" w:themeColor="text1"/>
          <w:sz w:val="22"/>
          <w:lang w:val="es-ES"/>
        </w:rPr>
        <w:footnoteReference w:id="9"/>
      </w:r>
      <w:r>
        <w:rPr>
          <w:rFonts w:ascii="Arial" w:hAnsi="Arial" w:cs="Arial"/>
          <w:bCs/>
          <w:color w:val="000000" w:themeColor="text1"/>
          <w:sz w:val="22"/>
          <w:lang w:val="es-ES"/>
        </w:rPr>
        <w:t>. En consecuencia, pese a que el reglamento dispone reglas especiales para el concurso de méritos, no es posible prescindir de la expedición de este acto administrativo.</w:t>
      </w:r>
    </w:p>
    <w:p w14:paraId="07EEB1ED" w14:textId="3C439596" w:rsidR="00364B58" w:rsidRDefault="00364B58" w:rsidP="00364B58">
      <w:pPr>
        <w:spacing w:before="120" w:line="276" w:lineRule="auto"/>
        <w:ind w:firstLine="709"/>
        <w:jc w:val="both"/>
        <w:rPr>
          <w:rFonts w:ascii="Arial" w:eastAsia="Calibri" w:hAnsi="Arial" w:cs="Arial"/>
          <w:sz w:val="22"/>
        </w:rPr>
      </w:pPr>
      <w:r w:rsidRPr="004161D4">
        <w:rPr>
          <w:rFonts w:ascii="Arial" w:hAnsi="Arial" w:cs="Arial"/>
          <w:bCs/>
          <w:i/>
          <w:iCs/>
          <w:color w:val="000000" w:themeColor="text1"/>
          <w:sz w:val="22"/>
          <w:lang w:val="es-ES"/>
        </w:rPr>
        <w:t>Por otra parte</w:t>
      </w:r>
      <w:r>
        <w:rPr>
          <w:rFonts w:ascii="Arial" w:hAnsi="Arial" w:cs="Arial"/>
          <w:bCs/>
          <w:color w:val="000000" w:themeColor="text1"/>
          <w:sz w:val="22"/>
          <w:lang w:val="es-ES"/>
        </w:rPr>
        <w:t xml:space="preserve">, en la medida </w:t>
      </w:r>
      <w:r w:rsidR="004A7175">
        <w:rPr>
          <w:rFonts w:ascii="Arial" w:hAnsi="Arial" w:cs="Arial"/>
          <w:bCs/>
          <w:color w:val="000000" w:themeColor="text1"/>
          <w:sz w:val="22"/>
          <w:lang w:val="es-ES"/>
        </w:rPr>
        <w:t xml:space="preserve">en </w:t>
      </w:r>
      <w:r>
        <w:rPr>
          <w:rFonts w:ascii="Arial" w:hAnsi="Arial" w:cs="Arial"/>
          <w:bCs/>
          <w:color w:val="000000" w:themeColor="text1"/>
          <w:sz w:val="22"/>
          <w:lang w:val="es-ES"/>
        </w:rPr>
        <w:t xml:space="preserve">que –conforme al inciso segundo del citado artículo 273 superior– las audiencias públicas solo son exigibles en los supuestos expresamente regulados por la ley, no es posible </w:t>
      </w:r>
      <w:r w:rsidR="009A5C4C">
        <w:rPr>
          <w:rFonts w:ascii="Arial" w:hAnsi="Arial" w:cs="Arial"/>
          <w:bCs/>
          <w:color w:val="000000" w:themeColor="text1"/>
          <w:sz w:val="22"/>
          <w:lang w:val="es-ES"/>
        </w:rPr>
        <w:t xml:space="preserve">aplicar </w:t>
      </w:r>
      <w:r>
        <w:rPr>
          <w:rFonts w:ascii="Arial" w:hAnsi="Arial" w:cs="Arial"/>
          <w:bCs/>
          <w:color w:val="000000" w:themeColor="text1"/>
          <w:sz w:val="22"/>
          <w:lang w:val="es-ES"/>
        </w:rPr>
        <w:t>analógica e</w:t>
      </w:r>
      <w:r w:rsidRPr="00F666D0">
        <w:rPr>
          <w:rFonts w:ascii="Arial" w:hAnsi="Arial" w:cs="Arial"/>
          <w:bCs/>
          <w:color w:val="000000" w:themeColor="text1"/>
          <w:sz w:val="22"/>
          <w:lang w:val="es-ES"/>
        </w:rPr>
        <w:t>l artículo 30</w:t>
      </w:r>
      <w:r>
        <w:rPr>
          <w:rFonts w:ascii="Arial" w:hAnsi="Arial" w:cs="Arial"/>
          <w:bCs/>
          <w:color w:val="000000" w:themeColor="text1"/>
          <w:sz w:val="22"/>
          <w:lang w:val="es-ES"/>
        </w:rPr>
        <w:t xml:space="preserve">.10 </w:t>
      </w:r>
      <w:r w:rsidRPr="00F666D0">
        <w:rPr>
          <w:rFonts w:ascii="Arial" w:hAnsi="Arial" w:cs="Arial"/>
          <w:bCs/>
          <w:color w:val="000000" w:themeColor="text1"/>
          <w:sz w:val="22"/>
          <w:lang w:val="es-ES"/>
        </w:rPr>
        <w:t>de la Ley 80 de 1993</w:t>
      </w:r>
      <w:r>
        <w:rPr>
          <w:rFonts w:ascii="Arial" w:hAnsi="Arial" w:cs="Arial"/>
          <w:bCs/>
          <w:color w:val="000000" w:themeColor="text1"/>
          <w:sz w:val="22"/>
          <w:lang w:val="es-ES"/>
        </w:rPr>
        <w:t xml:space="preserve"> ni el artículo 9, inciso primero, de la Ley 1150 de 2007. Aunque tanto la licitación como el concurso son «[…]</w:t>
      </w:r>
      <w:r w:rsidRPr="00A740E7">
        <w:t xml:space="preserve"> </w:t>
      </w:r>
      <w:r w:rsidRPr="00A740E7">
        <w:rPr>
          <w:rFonts w:ascii="Arial" w:hAnsi="Arial" w:cs="Arial"/>
          <w:bCs/>
          <w:color w:val="000000" w:themeColor="text1"/>
          <w:sz w:val="22"/>
          <w:lang w:val="es-ES"/>
        </w:rPr>
        <w:t>una convocatoria para que, en igualdad de oportunidades, los interesados presenten sus ofertas y seleccione entre ellas la más favorable»</w:t>
      </w:r>
      <w:r>
        <w:rPr>
          <w:rFonts w:ascii="Arial" w:hAnsi="Arial" w:cs="Arial"/>
          <w:bCs/>
          <w:color w:val="000000" w:themeColor="text1"/>
          <w:sz w:val="22"/>
          <w:lang w:val="es-ES"/>
        </w:rPr>
        <w:t xml:space="preserve"> –par. del art. 30 del Estatuto General–, la analogía es inaceptable, </w:t>
      </w:r>
      <w:r>
        <w:rPr>
          <w:rFonts w:ascii="Arial" w:eastAsia="Calibri" w:hAnsi="Arial" w:cs="Arial"/>
          <w:sz w:val="22"/>
        </w:rPr>
        <w:t xml:space="preserve">ya que se trata de procedimientos de selección completamente diferentes, razón por la cual en la medida </w:t>
      </w:r>
      <w:r w:rsidR="0049495F">
        <w:rPr>
          <w:rFonts w:ascii="Arial" w:eastAsia="Calibri" w:hAnsi="Arial" w:cs="Arial"/>
          <w:sz w:val="22"/>
        </w:rPr>
        <w:t xml:space="preserve">en </w:t>
      </w:r>
      <w:r>
        <w:rPr>
          <w:rFonts w:ascii="Arial" w:eastAsia="Calibri" w:hAnsi="Arial" w:cs="Arial"/>
          <w:sz w:val="22"/>
        </w:rPr>
        <w:t xml:space="preserve">que no se adelantan de la misma manera, es incorrecto aplicar las normas de la primera al segundo. </w:t>
      </w:r>
    </w:p>
    <w:p w14:paraId="6B2C8253" w14:textId="07CE64C7" w:rsidR="00364B58" w:rsidRDefault="00364B58" w:rsidP="00364B58">
      <w:pPr>
        <w:spacing w:before="120" w:after="120" w:line="276" w:lineRule="auto"/>
        <w:ind w:firstLine="709"/>
        <w:jc w:val="both"/>
        <w:rPr>
          <w:rFonts w:ascii="Arial" w:eastAsia="Calibri" w:hAnsi="Arial" w:cs="Arial"/>
          <w:sz w:val="22"/>
        </w:rPr>
      </w:pPr>
      <w:bookmarkStart w:id="10" w:name="_Hlk43657810"/>
      <w:r>
        <w:rPr>
          <w:rFonts w:ascii="Arial" w:eastAsia="Calibri" w:hAnsi="Arial" w:cs="Arial"/>
          <w:sz w:val="22"/>
        </w:rPr>
        <w:t xml:space="preserve">Aunque las </w:t>
      </w:r>
      <w:r w:rsidRPr="00BD31AB">
        <w:rPr>
          <w:rFonts w:ascii="Arial" w:eastAsia="Calibri" w:hAnsi="Arial" w:cs="Arial"/>
          <w:i/>
          <w:iCs/>
          <w:sz w:val="22"/>
        </w:rPr>
        <w:t>audiencias públicas</w:t>
      </w:r>
      <w:r>
        <w:rPr>
          <w:rFonts w:ascii="Arial" w:eastAsia="Calibri" w:hAnsi="Arial" w:cs="Arial"/>
          <w:sz w:val="22"/>
        </w:rPr>
        <w:t xml:space="preserve"> no son obligatorias</w:t>
      </w:r>
      <w:r w:rsidRPr="005820AB">
        <w:rPr>
          <w:rFonts w:ascii="Arial" w:eastAsia="Calibri" w:hAnsi="Arial" w:cs="Arial"/>
          <w:sz w:val="22"/>
        </w:rPr>
        <w:t xml:space="preserve"> </w:t>
      </w:r>
      <w:r>
        <w:rPr>
          <w:rFonts w:ascii="Arial" w:eastAsia="Calibri" w:hAnsi="Arial" w:cs="Arial"/>
          <w:sz w:val="22"/>
        </w:rPr>
        <w:t xml:space="preserve">en el concurso de méritos, cabe preguntarse si son </w:t>
      </w:r>
      <w:r w:rsidRPr="00BD31AB">
        <w:rPr>
          <w:rFonts w:ascii="Arial" w:eastAsia="Calibri" w:hAnsi="Arial" w:cs="Arial"/>
          <w:i/>
          <w:iCs/>
          <w:sz w:val="22"/>
        </w:rPr>
        <w:t>potestativas</w:t>
      </w:r>
      <w:r>
        <w:rPr>
          <w:rFonts w:ascii="Arial" w:eastAsia="Calibri" w:hAnsi="Arial" w:cs="Arial"/>
          <w:sz w:val="22"/>
        </w:rPr>
        <w:t xml:space="preserve">. </w:t>
      </w:r>
      <w:bookmarkStart w:id="11" w:name="_Hlk44411541"/>
      <w:r>
        <w:rPr>
          <w:rFonts w:ascii="Arial" w:eastAsia="Calibri" w:hAnsi="Arial" w:cs="Arial"/>
          <w:sz w:val="22"/>
        </w:rPr>
        <w:t xml:space="preserve">La respuesta a esta inquietud </w:t>
      </w:r>
      <w:r w:rsidR="00C06CDF">
        <w:rPr>
          <w:rFonts w:ascii="Arial" w:eastAsia="Calibri" w:hAnsi="Arial" w:cs="Arial"/>
          <w:sz w:val="22"/>
        </w:rPr>
        <w:t xml:space="preserve">es positiva, y </w:t>
      </w:r>
      <w:r>
        <w:rPr>
          <w:rFonts w:ascii="Arial" w:eastAsia="Calibri" w:hAnsi="Arial" w:cs="Arial"/>
          <w:sz w:val="22"/>
        </w:rPr>
        <w:t>se fundamenta en dos (2) argumentos.</w:t>
      </w:r>
      <w:r>
        <w:rPr>
          <w:rFonts w:ascii="Arial" w:eastAsia="Calibri" w:hAnsi="Arial" w:cs="Arial"/>
          <w:i/>
          <w:iCs/>
          <w:sz w:val="22"/>
        </w:rPr>
        <w:t xml:space="preserve"> </w:t>
      </w:r>
      <w:r w:rsidRPr="00036646">
        <w:rPr>
          <w:rFonts w:ascii="Arial" w:eastAsia="Calibri" w:hAnsi="Arial" w:cs="Arial"/>
          <w:i/>
          <w:iCs/>
          <w:sz w:val="22"/>
        </w:rPr>
        <w:t>En primer lugar</w:t>
      </w:r>
      <w:r>
        <w:rPr>
          <w:rFonts w:ascii="Arial" w:eastAsia="Calibri" w:hAnsi="Arial" w:cs="Arial"/>
          <w:sz w:val="22"/>
        </w:rPr>
        <w:t>, el principio de publicidad permitiría su realización eventual, ya que este tiene un carácter transversal y multifacético en las actuaciones estatales. Conforme al artículo 209 superior</w:t>
      </w:r>
      <w:r w:rsidR="0049495F">
        <w:rPr>
          <w:rFonts w:ascii="Arial" w:eastAsia="Calibri" w:hAnsi="Arial" w:cs="Arial"/>
          <w:sz w:val="22"/>
        </w:rPr>
        <w:t>,</w:t>
      </w:r>
      <w:r>
        <w:rPr>
          <w:rFonts w:ascii="Arial" w:eastAsia="Calibri" w:hAnsi="Arial" w:cs="Arial"/>
          <w:sz w:val="22"/>
        </w:rPr>
        <w:t xml:space="preserve"> es un eje rector de la función administrativa, </w:t>
      </w:r>
      <w:r>
        <w:rPr>
          <w:rFonts w:ascii="Arial" w:eastAsia="Calibri" w:hAnsi="Arial" w:cs="Arial"/>
          <w:sz w:val="22"/>
        </w:rPr>
        <w:lastRenderedPageBreak/>
        <w:t>por lo que despliega sus efectos en las m</w:t>
      </w:r>
      <w:r w:rsidR="00AB3A06">
        <w:rPr>
          <w:rFonts w:ascii="Arial" w:eastAsia="Calibri" w:hAnsi="Arial" w:cs="Arial"/>
          <w:sz w:val="22"/>
        </w:rPr>
        <w:t>á</w:t>
      </w:r>
      <w:r>
        <w:rPr>
          <w:rFonts w:ascii="Arial" w:eastAsia="Calibri" w:hAnsi="Arial" w:cs="Arial"/>
          <w:sz w:val="22"/>
        </w:rPr>
        <w:t>s diversas esferas de la actividad estatal, incluidas las actuaciones contractuales. Además, entre otras manifestaciones, no se agota en el deber de publicar la información de la entidad, permitir su acceso al público, comunicar el inicio de las actuaciones administrativas a terceros ni en la obligación de notificar o publicar los actos administrativos, ya que las audiencias también desarrollan este principio.</w:t>
      </w:r>
      <w:bookmarkEnd w:id="11"/>
      <w:r>
        <w:rPr>
          <w:rFonts w:ascii="Arial" w:eastAsia="Calibri" w:hAnsi="Arial" w:cs="Arial"/>
          <w:sz w:val="22"/>
        </w:rPr>
        <w:t xml:space="preserve">  </w:t>
      </w:r>
    </w:p>
    <w:p w14:paraId="259090F5" w14:textId="77777777" w:rsidR="00364B58" w:rsidRDefault="00364B58" w:rsidP="00364B58">
      <w:pPr>
        <w:spacing w:before="120" w:after="120" w:line="276" w:lineRule="auto"/>
        <w:ind w:firstLine="709"/>
        <w:jc w:val="both"/>
        <w:rPr>
          <w:rFonts w:ascii="Arial" w:eastAsia="Calibri" w:hAnsi="Arial" w:cs="Arial"/>
          <w:sz w:val="22"/>
        </w:rPr>
      </w:pPr>
      <w:bookmarkStart w:id="12" w:name="_Hlk44411615"/>
      <w:r w:rsidRPr="00036646">
        <w:rPr>
          <w:rFonts w:ascii="Arial" w:eastAsia="Calibri" w:hAnsi="Arial" w:cs="Arial"/>
          <w:i/>
          <w:iCs/>
          <w:sz w:val="22"/>
        </w:rPr>
        <w:t>En segundo lugar</w:t>
      </w:r>
      <w:r>
        <w:rPr>
          <w:rFonts w:ascii="Arial" w:eastAsia="Calibri" w:hAnsi="Arial" w:cs="Arial"/>
          <w:sz w:val="22"/>
        </w:rPr>
        <w:t>, teniendo en cuenta que el artículo 77 de la Ley 80 de 1993 remite al Código de Procedimiento Administrativo y Contencioso Administrativo, aplicaría el inciso final del artículo 35 de la Ley 1437 de 2011, el cual dispone que «</w:t>
      </w:r>
      <w:r w:rsidRPr="005678B1">
        <w:rPr>
          <w:rFonts w:ascii="Arial" w:eastAsia="Calibri" w:hAnsi="Arial" w:cs="Arial"/>
          <w:sz w:val="22"/>
        </w:rPr>
        <w:t>Las autoridades podrán decretar la práctica de audiencias en el curso de las actuaciones con el objeto de promover la participación ciudadana, asegurar el derecho de contradicción, o contribuir a la pronta adopción de decisiones. De toda audiencia se dejará constancia de lo acontecido en ella</w:t>
      </w:r>
      <w:r>
        <w:rPr>
          <w:rFonts w:ascii="Arial" w:eastAsia="Calibri" w:hAnsi="Arial" w:cs="Arial"/>
          <w:sz w:val="22"/>
        </w:rPr>
        <w:t>»</w:t>
      </w:r>
      <w:r w:rsidRPr="005678B1">
        <w:rPr>
          <w:rFonts w:ascii="Arial" w:eastAsia="Calibri" w:hAnsi="Arial" w:cs="Arial"/>
          <w:sz w:val="22"/>
        </w:rPr>
        <w:t>.</w:t>
      </w:r>
      <w:bookmarkEnd w:id="12"/>
      <w:r>
        <w:rPr>
          <w:rFonts w:ascii="Arial" w:eastAsia="Calibri" w:hAnsi="Arial" w:cs="Arial"/>
          <w:sz w:val="22"/>
        </w:rPr>
        <w:t xml:space="preserve"> </w:t>
      </w:r>
      <w:bookmarkEnd w:id="10"/>
    </w:p>
    <w:p w14:paraId="3615C293" w14:textId="77777777" w:rsidR="00364B58" w:rsidRDefault="00364B58" w:rsidP="00364B58">
      <w:pPr>
        <w:spacing w:after="120" w:line="276" w:lineRule="auto"/>
        <w:ind w:firstLine="709"/>
        <w:jc w:val="both"/>
        <w:rPr>
          <w:rFonts w:ascii="Arial" w:eastAsia="Calibri" w:hAnsi="Arial" w:cs="Arial"/>
          <w:sz w:val="22"/>
        </w:rPr>
      </w:pPr>
      <w:r>
        <w:rPr>
          <w:rFonts w:ascii="Arial" w:eastAsia="Calibri" w:hAnsi="Arial" w:cs="Arial"/>
          <w:sz w:val="22"/>
        </w:rPr>
        <w:t>En esta medida, las audiencias son una garantía para los principios de la función administrativa como el de publicidad, participación, contradicción y eficiencia, por lo que –mas allá de la sujeción estricta al principio de legalidad– contribuyen a la legitimación de las decisiones públicas</w:t>
      </w:r>
      <w:r>
        <w:rPr>
          <w:rStyle w:val="Refdenotaalpie"/>
          <w:rFonts w:ascii="Arial" w:eastAsia="Calibri" w:hAnsi="Arial" w:cs="Arial"/>
          <w:sz w:val="22"/>
        </w:rPr>
        <w:footnoteReference w:id="10"/>
      </w:r>
      <w:r>
        <w:rPr>
          <w:rFonts w:ascii="Arial" w:eastAsia="Calibri" w:hAnsi="Arial" w:cs="Arial"/>
          <w:sz w:val="22"/>
        </w:rPr>
        <w:t xml:space="preserve">. De hecho, el literal a) del artículo 32 de la Ley 489 de 1998 refuerza esta tesis, ya que permite la realización de </w:t>
      </w:r>
      <w:r w:rsidRPr="00BD31AB">
        <w:rPr>
          <w:rFonts w:ascii="Arial" w:eastAsia="Calibri" w:hAnsi="Arial" w:cs="Arial"/>
          <w:i/>
          <w:iCs/>
          <w:sz w:val="22"/>
        </w:rPr>
        <w:t>audiencias públicas</w:t>
      </w:r>
      <w:r>
        <w:rPr>
          <w:rStyle w:val="Refdenotaalpie"/>
          <w:rFonts w:ascii="Arial" w:eastAsia="Calibri" w:hAnsi="Arial" w:cs="Arial"/>
          <w:sz w:val="22"/>
        </w:rPr>
        <w:footnoteReference w:id="11"/>
      </w:r>
      <w:r>
        <w:rPr>
          <w:rFonts w:ascii="Arial" w:eastAsia="Calibri" w:hAnsi="Arial" w:cs="Arial"/>
          <w:sz w:val="22"/>
        </w:rPr>
        <w:t xml:space="preserve">. Pese a lo anterior, la aplicación del inciso final del artículo 35 de la Ley 1437 de 2011 no está exenta de problemas, pues la remisión a las normas del Código de Procedimiento Administrativo supone un vacío legal en los procedimientos contractuales y, además, la realización de audiencias no previstas en el Estatuto General podría violar el principio de economía. </w:t>
      </w:r>
    </w:p>
    <w:p w14:paraId="7BD64463" w14:textId="77777777" w:rsidR="00364B58" w:rsidRDefault="00364B58" w:rsidP="00364B58">
      <w:pPr>
        <w:spacing w:after="120" w:line="276" w:lineRule="auto"/>
        <w:ind w:firstLine="709"/>
        <w:jc w:val="both"/>
        <w:rPr>
          <w:rFonts w:ascii="Arial" w:eastAsia="Calibri" w:hAnsi="Arial" w:cs="Arial"/>
          <w:sz w:val="22"/>
        </w:rPr>
      </w:pPr>
      <w:r w:rsidRPr="002F1C33">
        <w:rPr>
          <w:rFonts w:ascii="Arial" w:eastAsia="Calibri" w:hAnsi="Arial" w:cs="Arial"/>
          <w:i/>
          <w:iCs/>
          <w:sz w:val="22"/>
        </w:rPr>
        <w:t>Por un lado</w:t>
      </w:r>
      <w:r>
        <w:rPr>
          <w:rFonts w:ascii="Arial" w:eastAsia="Calibri" w:hAnsi="Arial" w:cs="Arial"/>
          <w:sz w:val="22"/>
        </w:rPr>
        <w:t xml:space="preserve">, si bien el artículo 77 de la Ley 80 de 1993 dispone la aplicación de la Ley 1437 de 2011 en los aspectos que sean compatibles con la finalidad y los principios del </w:t>
      </w:r>
      <w:r>
        <w:rPr>
          <w:rFonts w:ascii="Arial" w:eastAsia="Calibri" w:hAnsi="Arial" w:cs="Arial"/>
          <w:sz w:val="22"/>
        </w:rPr>
        <w:lastRenderedPageBreak/>
        <w:t>Estatuto General de Contratación, el inciso final del artículo 2 del Código de Procedimiento Administrativo prescribe que «</w:t>
      </w:r>
      <w:r w:rsidRPr="00421EA9">
        <w:rPr>
          <w:rFonts w:ascii="Arial" w:eastAsia="Calibri" w:hAnsi="Arial" w:cs="Arial"/>
          <w:sz w:val="22"/>
        </w:rPr>
        <w:t xml:space="preserve">Las autoridades sujetarán sus actuaciones a los procedimientos que se establecen en este Código, sin perjuicio de los procedimientos regulados en leyes especiales. </w:t>
      </w:r>
      <w:r w:rsidRPr="00421EA9">
        <w:rPr>
          <w:rFonts w:ascii="Arial" w:eastAsia="Calibri" w:hAnsi="Arial" w:cs="Arial"/>
          <w:i/>
          <w:iCs/>
          <w:sz w:val="22"/>
        </w:rPr>
        <w:t>En lo no previsto en los mismos se aplicarán las disposiciones de este Código</w:t>
      </w:r>
      <w:r>
        <w:rPr>
          <w:rFonts w:ascii="Arial" w:eastAsia="Calibri" w:hAnsi="Arial" w:cs="Arial"/>
          <w:sz w:val="22"/>
        </w:rPr>
        <w:t>» (Cursivas fuera de texto)</w:t>
      </w:r>
      <w:r w:rsidRPr="00421EA9">
        <w:rPr>
          <w:rFonts w:ascii="Arial" w:eastAsia="Calibri" w:hAnsi="Arial" w:cs="Arial"/>
          <w:sz w:val="22"/>
        </w:rPr>
        <w:t>.</w:t>
      </w:r>
      <w:r>
        <w:rPr>
          <w:rFonts w:ascii="Arial" w:eastAsia="Calibri" w:hAnsi="Arial" w:cs="Arial"/>
          <w:sz w:val="22"/>
        </w:rPr>
        <w:t xml:space="preserve"> De esta manera, la posibilidad de realizar audiencias con fundamento en el inciso final del artículo 35 de la Ley 1437 de 2011 supone que la Ley 80 de 1993 no haya regulado este aspecto.</w:t>
      </w:r>
    </w:p>
    <w:p w14:paraId="660A72A3" w14:textId="7BDEAC23" w:rsidR="00364B58" w:rsidRDefault="00364B58" w:rsidP="00364B58">
      <w:pPr>
        <w:spacing w:after="120" w:line="276" w:lineRule="auto"/>
        <w:ind w:firstLine="709"/>
        <w:jc w:val="both"/>
        <w:rPr>
          <w:rFonts w:ascii="Arial" w:hAnsi="Arial" w:cs="Arial"/>
          <w:bCs/>
          <w:color w:val="000000" w:themeColor="text1"/>
          <w:sz w:val="22"/>
          <w:lang w:val="es-ES"/>
        </w:rPr>
      </w:pPr>
      <w:r>
        <w:rPr>
          <w:rFonts w:ascii="Arial" w:eastAsia="Calibri" w:hAnsi="Arial" w:cs="Arial"/>
          <w:sz w:val="22"/>
        </w:rPr>
        <w:t xml:space="preserve">El tema es controvertido, pues si bien el Estatuto General regula </w:t>
      </w:r>
      <w:r w:rsidRPr="00BD31AB">
        <w:rPr>
          <w:rFonts w:ascii="Arial" w:eastAsia="Calibri" w:hAnsi="Arial" w:cs="Arial"/>
          <w:i/>
          <w:iCs/>
          <w:sz w:val="22"/>
        </w:rPr>
        <w:t>audiencias obligatorias</w:t>
      </w:r>
      <w:r>
        <w:rPr>
          <w:rFonts w:ascii="Arial" w:eastAsia="Calibri" w:hAnsi="Arial" w:cs="Arial"/>
          <w:sz w:val="22"/>
        </w:rPr>
        <w:t xml:space="preserve"> como la de adjudicación en la licitación pública –</w:t>
      </w:r>
      <w:r w:rsidRPr="00F666D0">
        <w:rPr>
          <w:rFonts w:ascii="Arial" w:hAnsi="Arial" w:cs="Arial"/>
          <w:bCs/>
          <w:color w:val="000000" w:themeColor="text1"/>
          <w:sz w:val="22"/>
          <w:lang w:val="es-ES"/>
        </w:rPr>
        <w:t>art</w:t>
      </w:r>
      <w:r>
        <w:rPr>
          <w:rFonts w:ascii="Arial" w:hAnsi="Arial" w:cs="Arial"/>
          <w:bCs/>
          <w:color w:val="000000" w:themeColor="text1"/>
          <w:sz w:val="22"/>
          <w:lang w:val="es-ES"/>
        </w:rPr>
        <w:t>.</w:t>
      </w:r>
      <w:r w:rsidRPr="00F666D0">
        <w:rPr>
          <w:rFonts w:ascii="Arial" w:hAnsi="Arial" w:cs="Arial"/>
          <w:bCs/>
          <w:color w:val="000000" w:themeColor="text1"/>
          <w:sz w:val="22"/>
          <w:lang w:val="es-ES"/>
        </w:rPr>
        <w:t xml:space="preserve"> 30</w:t>
      </w:r>
      <w:r>
        <w:rPr>
          <w:rFonts w:ascii="Arial" w:hAnsi="Arial" w:cs="Arial"/>
          <w:bCs/>
          <w:color w:val="000000" w:themeColor="text1"/>
          <w:sz w:val="22"/>
          <w:lang w:val="es-ES"/>
        </w:rPr>
        <w:t xml:space="preserve">.10 </w:t>
      </w:r>
      <w:r w:rsidRPr="00F666D0">
        <w:rPr>
          <w:rFonts w:ascii="Arial" w:hAnsi="Arial" w:cs="Arial"/>
          <w:bCs/>
          <w:color w:val="000000" w:themeColor="text1"/>
          <w:sz w:val="22"/>
          <w:lang w:val="es-ES"/>
        </w:rPr>
        <w:t>de la Ley 80 de 1993</w:t>
      </w:r>
      <w:r>
        <w:rPr>
          <w:rFonts w:ascii="Arial" w:hAnsi="Arial" w:cs="Arial"/>
          <w:bCs/>
          <w:color w:val="000000" w:themeColor="text1"/>
          <w:sz w:val="22"/>
          <w:lang w:val="es-ES"/>
        </w:rPr>
        <w:t xml:space="preserve"> y art 9, inciso primero, de la Ley 1150 de 2007–, la de asignación de riesgos en el mismo procedimiento de selección –art. 4 de la Ley 1150 de 2007– o la de imposición de sanciones contractuales –art. 86 de la Ley 1474 de 2011–, la ausencia de regulación en otros aspectos del procedimiento significa una de las siguientes situaciones: i) la prohibición tácita de realizar audiencias que no estén </w:t>
      </w:r>
      <w:r w:rsidR="00C06CDF">
        <w:rPr>
          <w:rFonts w:ascii="Arial" w:hAnsi="Arial" w:cs="Arial"/>
          <w:bCs/>
          <w:color w:val="000000" w:themeColor="text1"/>
          <w:sz w:val="22"/>
          <w:lang w:val="es-ES"/>
        </w:rPr>
        <w:t>ex</w:t>
      </w:r>
      <w:r>
        <w:rPr>
          <w:rFonts w:ascii="Arial" w:hAnsi="Arial" w:cs="Arial"/>
          <w:bCs/>
          <w:color w:val="000000" w:themeColor="text1"/>
          <w:sz w:val="22"/>
          <w:lang w:val="es-ES"/>
        </w:rPr>
        <w:t xml:space="preserve">presamente reguladas o ii) la existencia de </w:t>
      </w:r>
      <w:r w:rsidR="00C06CDF">
        <w:rPr>
          <w:rFonts w:ascii="Arial" w:hAnsi="Arial" w:cs="Arial"/>
          <w:bCs/>
          <w:color w:val="000000" w:themeColor="text1"/>
          <w:sz w:val="22"/>
          <w:lang w:val="es-ES"/>
        </w:rPr>
        <w:t xml:space="preserve">un </w:t>
      </w:r>
      <w:r>
        <w:rPr>
          <w:rFonts w:ascii="Arial" w:hAnsi="Arial" w:cs="Arial"/>
          <w:bCs/>
          <w:color w:val="000000" w:themeColor="text1"/>
          <w:sz w:val="22"/>
          <w:lang w:val="es-ES"/>
        </w:rPr>
        <w:t>vacío legal que exige la integración del ordenamiento jurídico para llenarlo.</w:t>
      </w:r>
    </w:p>
    <w:p w14:paraId="39DCCDFA" w14:textId="43DC23D4" w:rsidR="00364B58" w:rsidRDefault="00364B58" w:rsidP="00364B58">
      <w:pPr>
        <w:spacing w:after="120" w:line="276" w:lineRule="auto"/>
        <w:ind w:firstLine="709"/>
        <w:jc w:val="both"/>
        <w:rPr>
          <w:rFonts w:ascii="Arial" w:hAnsi="Arial" w:cs="Arial"/>
          <w:bCs/>
          <w:color w:val="000000" w:themeColor="text1"/>
          <w:sz w:val="22"/>
          <w:lang w:val="es-ES"/>
        </w:rPr>
      </w:pPr>
      <w:bookmarkStart w:id="13" w:name="_Hlk43658077"/>
      <w:r>
        <w:rPr>
          <w:rFonts w:ascii="Arial" w:hAnsi="Arial" w:cs="Arial"/>
          <w:bCs/>
          <w:color w:val="000000" w:themeColor="text1"/>
          <w:sz w:val="22"/>
          <w:lang w:val="es-ES"/>
        </w:rPr>
        <w:t xml:space="preserve">Para esta Subdirección no existe la prohibición tácita de realizar </w:t>
      </w:r>
      <w:r w:rsidRPr="00BD31AB">
        <w:rPr>
          <w:rFonts w:ascii="Arial" w:hAnsi="Arial" w:cs="Arial"/>
          <w:bCs/>
          <w:i/>
          <w:iCs/>
          <w:color w:val="000000" w:themeColor="text1"/>
          <w:sz w:val="22"/>
          <w:lang w:val="es-ES"/>
        </w:rPr>
        <w:t>audiencias potestativas</w:t>
      </w:r>
      <w:r>
        <w:rPr>
          <w:rFonts w:ascii="Arial" w:hAnsi="Arial" w:cs="Arial"/>
          <w:bCs/>
          <w:color w:val="000000" w:themeColor="text1"/>
          <w:sz w:val="22"/>
          <w:lang w:val="es-ES"/>
        </w:rPr>
        <w:t xml:space="preserve"> en otros procedimientos de selección, ya que los supuestos mencionados en el párrafo precedente se refieren a las </w:t>
      </w:r>
      <w:r w:rsidRPr="00BD31AB">
        <w:rPr>
          <w:rFonts w:ascii="Arial" w:hAnsi="Arial" w:cs="Arial"/>
          <w:bCs/>
          <w:i/>
          <w:iCs/>
          <w:color w:val="000000" w:themeColor="text1"/>
          <w:sz w:val="22"/>
          <w:lang w:val="es-ES"/>
        </w:rPr>
        <w:t>audiencias obligatorias</w:t>
      </w:r>
      <w:r>
        <w:rPr>
          <w:rFonts w:ascii="Arial" w:hAnsi="Arial" w:cs="Arial"/>
          <w:bCs/>
          <w:color w:val="000000" w:themeColor="text1"/>
          <w:sz w:val="22"/>
          <w:lang w:val="es-ES"/>
        </w:rPr>
        <w:t xml:space="preserve">. En este último punto, es decir, sobre las </w:t>
      </w:r>
      <w:r w:rsidRPr="00BD31AB">
        <w:rPr>
          <w:rFonts w:ascii="Arial" w:hAnsi="Arial" w:cs="Arial"/>
          <w:bCs/>
          <w:i/>
          <w:iCs/>
          <w:color w:val="000000" w:themeColor="text1"/>
          <w:sz w:val="22"/>
          <w:lang w:val="es-ES"/>
        </w:rPr>
        <w:t>audiencias obligatorias</w:t>
      </w:r>
      <w:r>
        <w:rPr>
          <w:rFonts w:ascii="Arial" w:hAnsi="Arial" w:cs="Arial"/>
          <w:bCs/>
          <w:color w:val="000000" w:themeColor="text1"/>
          <w:sz w:val="22"/>
          <w:lang w:val="es-ES"/>
        </w:rPr>
        <w:t xml:space="preserve">, el Estatuto General de Contratación tiene pretensiones de exhaustividad, pues si son un elemento reglado del procedimiento, la falta de realización implica un vicio de nulidad. En consecuencia, existe una prohibición tácita de adelantar </w:t>
      </w:r>
      <w:r w:rsidRPr="00BD31AB">
        <w:rPr>
          <w:rFonts w:ascii="Arial" w:hAnsi="Arial" w:cs="Arial"/>
          <w:bCs/>
          <w:i/>
          <w:iCs/>
          <w:color w:val="000000" w:themeColor="text1"/>
          <w:sz w:val="22"/>
          <w:lang w:val="es-ES"/>
        </w:rPr>
        <w:t>audiencias obligatorias</w:t>
      </w:r>
      <w:r>
        <w:rPr>
          <w:rFonts w:ascii="Arial" w:hAnsi="Arial" w:cs="Arial"/>
          <w:bCs/>
          <w:color w:val="000000" w:themeColor="text1"/>
          <w:sz w:val="22"/>
          <w:lang w:val="es-ES"/>
        </w:rPr>
        <w:t xml:space="preserve"> fuera de los casos previstos en la ley, por lo que es posible integrar el vacío legal sobre la procedencia de las </w:t>
      </w:r>
      <w:r w:rsidRPr="000C5830">
        <w:rPr>
          <w:rFonts w:ascii="Arial" w:hAnsi="Arial" w:cs="Arial"/>
          <w:bCs/>
          <w:i/>
          <w:iCs/>
          <w:color w:val="000000" w:themeColor="text1"/>
          <w:sz w:val="22"/>
          <w:lang w:val="es-ES"/>
        </w:rPr>
        <w:t>audiencias potestativas</w:t>
      </w:r>
      <w:r>
        <w:rPr>
          <w:rFonts w:ascii="Arial" w:hAnsi="Arial" w:cs="Arial"/>
          <w:bCs/>
          <w:color w:val="000000" w:themeColor="text1"/>
          <w:sz w:val="22"/>
          <w:lang w:val="es-ES"/>
        </w:rPr>
        <w:t xml:space="preserve"> con el citado </w:t>
      </w:r>
      <w:r>
        <w:rPr>
          <w:rFonts w:ascii="Arial" w:eastAsia="Calibri" w:hAnsi="Arial" w:cs="Arial"/>
          <w:sz w:val="22"/>
        </w:rPr>
        <w:t xml:space="preserve">inciso final del artículo 35 de la Ley 1437 de 2011, en la medida </w:t>
      </w:r>
      <w:r w:rsidR="005A5886">
        <w:rPr>
          <w:rFonts w:ascii="Arial" w:eastAsia="Calibri" w:hAnsi="Arial" w:cs="Arial"/>
          <w:sz w:val="22"/>
        </w:rPr>
        <w:t xml:space="preserve">en </w:t>
      </w:r>
      <w:r>
        <w:rPr>
          <w:rFonts w:ascii="Arial" w:eastAsia="Calibri" w:hAnsi="Arial" w:cs="Arial"/>
          <w:sz w:val="22"/>
        </w:rPr>
        <w:t>que estas últimas no se regularon en las normas que conforman el Estatuto General.</w:t>
      </w:r>
      <w:r>
        <w:rPr>
          <w:rFonts w:ascii="Arial" w:hAnsi="Arial" w:cs="Arial"/>
          <w:bCs/>
          <w:color w:val="000000" w:themeColor="text1"/>
          <w:sz w:val="22"/>
          <w:lang w:val="es-ES"/>
        </w:rPr>
        <w:t xml:space="preserve">   </w:t>
      </w:r>
    </w:p>
    <w:bookmarkEnd w:id="13"/>
    <w:p w14:paraId="66D6C5D6" w14:textId="4751BC0D" w:rsidR="00364B58" w:rsidRDefault="00364B58" w:rsidP="00364B58">
      <w:pPr>
        <w:spacing w:after="120" w:line="276" w:lineRule="auto"/>
        <w:ind w:firstLine="709"/>
        <w:jc w:val="both"/>
        <w:rPr>
          <w:rFonts w:ascii="Arial" w:eastAsia="Calibri" w:hAnsi="Arial" w:cs="Arial"/>
          <w:sz w:val="22"/>
        </w:rPr>
      </w:pPr>
      <w:r>
        <w:rPr>
          <w:rFonts w:ascii="Arial" w:hAnsi="Arial" w:cs="Arial"/>
          <w:bCs/>
          <w:color w:val="000000" w:themeColor="text1"/>
          <w:sz w:val="22"/>
          <w:lang w:val="es-ES"/>
        </w:rPr>
        <w:t xml:space="preserve">Sin embargo, </w:t>
      </w:r>
      <w:r w:rsidRPr="00D36296">
        <w:rPr>
          <w:rFonts w:ascii="Arial" w:hAnsi="Arial" w:cs="Arial"/>
          <w:bCs/>
          <w:i/>
          <w:iCs/>
          <w:color w:val="000000" w:themeColor="text1"/>
          <w:sz w:val="22"/>
          <w:lang w:val="es-ES"/>
        </w:rPr>
        <w:t>por otra parte</w:t>
      </w:r>
      <w:r>
        <w:rPr>
          <w:rFonts w:ascii="Arial" w:hAnsi="Arial" w:cs="Arial"/>
          <w:bCs/>
          <w:color w:val="000000" w:themeColor="text1"/>
          <w:sz w:val="22"/>
          <w:lang w:val="es-ES"/>
        </w:rPr>
        <w:t xml:space="preserve">, </w:t>
      </w:r>
      <w:bookmarkStart w:id="14" w:name="_Hlk43658521"/>
      <w:r>
        <w:rPr>
          <w:rFonts w:ascii="Arial" w:hAnsi="Arial" w:cs="Arial"/>
          <w:bCs/>
          <w:color w:val="000000" w:themeColor="text1"/>
          <w:sz w:val="22"/>
          <w:lang w:val="es-ES"/>
        </w:rPr>
        <w:t xml:space="preserve">las </w:t>
      </w:r>
      <w:r w:rsidRPr="00D36296">
        <w:rPr>
          <w:rFonts w:ascii="Arial" w:hAnsi="Arial" w:cs="Arial"/>
          <w:bCs/>
          <w:i/>
          <w:iCs/>
          <w:color w:val="000000" w:themeColor="text1"/>
          <w:sz w:val="22"/>
          <w:lang w:val="es-ES"/>
        </w:rPr>
        <w:t>audiencias potestativas</w:t>
      </w:r>
      <w:r>
        <w:rPr>
          <w:rFonts w:ascii="Arial" w:hAnsi="Arial" w:cs="Arial"/>
          <w:bCs/>
          <w:i/>
          <w:iCs/>
          <w:color w:val="000000" w:themeColor="text1"/>
          <w:sz w:val="22"/>
          <w:lang w:val="es-ES"/>
        </w:rPr>
        <w:t xml:space="preserve"> </w:t>
      </w:r>
      <w:r>
        <w:rPr>
          <w:rFonts w:ascii="Arial" w:hAnsi="Arial" w:cs="Arial"/>
          <w:bCs/>
          <w:color w:val="000000" w:themeColor="text1"/>
          <w:sz w:val="22"/>
          <w:lang w:val="es-ES"/>
        </w:rPr>
        <w:t xml:space="preserve">del </w:t>
      </w:r>
      <w:r>
        <w:rPr>
          <w:rFonts w:ascii="Arial" w:eastAsia="Calibri" w:hAnsi="Arial" w:cs="Arial"/>
          <w:sz w:val="22"/>
        </w:rPr>
        <w:t>inciso final del artículo 35 de la Ley 1437 de 2011</w:t>
      </w:r>
      <w:r>
        <w:rPr>
          <w:rFonts w:ascii="Arial" w:hAnsi="Arial" w:cs="Arial"/>
          <w:bCs/>
          <w:color w:val="000000" w:themeColor="text1"/>
          <w:sz w:val="22"/>
          <w:lang w:val="es-ES"/>
        </w:rPr>
        <w:t xml:space="preserve"> deben ser compatibles con los principios de la actividad contractual –</w:t>
      </w:r>
      <w:r>
        <w:rPr>
          <w:rFonts w:ascii="Arial" w:eastAsia="Calibri" w:hAnsi="Arial" w:cs="Arial"/>
          <w:sz w:val="22"/>
        </w:rPr>
        <w:t>art 77 de la Ley 80 de 1993–. El asunto también es problemático,</w:t>
      </w:r>
      <w:r>
        <w:rPr>
          <w:rFonts w:ascii="Arial" w:hAnsi="Arial" w:cs="Arial"/>
          <w:bCs/>
          <w:color w:val="000000" w:themeColor="text1"/>
          <w:sz w:val="22"/>
          <w:lang w:val="es-ES"/>
        </w:rPr>
        <w:t xml:space="preserve"> </w:t>
      </w:r>
      <w:r>
        <w:rPr>
          <w:rFonts w:ascii="Arial" w:eastAsia="Calibri" w:hAnsi="Arial" w:cs="Arial"/>
          <w:sz w:val="22"/>
        </w:rPr>
        <w:t>porque el artículo 25.2 de la Ley 80 de 1993 dispone que conforme al principio de economía «</w:t>
      </w:r>
      <w:r w:rsidRPr="005820AB">
        <w:rPr>
          <w:rFonts w:ascii="Arial" w:eastAsia="Calibri" w:hAnsi="Arial" w:cs="Arial"/>
          <w:sz w:val="22"/>
        </w:rPr>
        <w:t>Las normas de los procedimientos contractuales se interpretarán de tal manera que no den ocasión a seguir trámites distintos y adicionales a los expresamente previstos o que permitan valerse de los defectos de forma o de la inobservancia de requisitos para no decidir o proferir providencias inhibitorias</w:t>
      </w:r>
      <w:r>
        <w:rPr>
          <w:rFonts w:ascii="Arial" w:eastAsia="Calibri" w:hAnsi="Arial" w:cs="Arial"/>
          <w:sz w:val="22"/>
        </w:rPr>
        <w:t>»</w:t>
      </w:r>
      <w:r w:rsidRPr="005820AB">
        <w:rPr>
          <w:rFonts w:ascii="Arial" w:eastAsia="Calibri" w:hAnsi="Arial" w:cs="Arial"/>
          <w:sz w:val="22"/>
        </w:rPr>
        <w:t>.</w:t>
      </w:r>
      <w:r>
        <w:rPr>
          <w:rFonts w:ascii="Arial" w:eastAsia="Calibri" w:hAnsi="Arial" w:cs="Arial"/>
          <w:sz w:val="22"/>
        </w:rPr>
        <w:t xml:space="preserve"> De esta manera, podría sostenerse que en la medida</w:t>
      </w:r>
      <w:r w:rsidR="00CA7BBC">
        <w:rPr>
          <w:rFonts w:ascii="Arial" w:eastAsia="Calibri" w:hAnsi="Arial" w:cs="Arial"/>
          <w:sz w:val="22"/>
        </w:rPr>
        <w:t xml:space="preserve"> en</w:t>
      </w:r>
      <w:r>
        <w:rPr>
          <w:rFonts w:ascii="Arial" w:eastAsia="Calibri" w:hAnsi="Arial" w:cs="Arial"/>
          <w:sz w:val="22"/>
        </w:rPr>
        <w:t xml:space="preserve"> que la ley no reguló audiencias para procedimientos de selección distintos a la licitación pública, las entidades no podrían adelantarlas oficiosamente a falta de norma especial. </w:t>
      </w:r>
    </w:p>
    <w:p w14:paraId="587090A9" w14:textId="13FCCC23" w:rsidR="00364B58" w:rsidRDefault="00364B58" w:rsidP="00364B58">
      <w:pPr>
        <w:spacing w:before="120" w:line="276" w:lineRule="auto"/>
        <w:ind w:firstLine="709"/>
        <w:jc w:val="both"/>
        <w:rPr>
          <w:rFonts w:ascii="Arial" w:eastAsia="Calibri" w:hAnsi="Arial" w:cs="Arial"/>
          <w:sz w:val="22"/>
        </w:rPr>
      </w:pPr>
      <w:r>
        <w:rPr>
          <w:rFonts w:ascii="Arial" w:eastAsia="Calibri" w:hAnsi="Arial" w:cs="Arial"/>
          <w:sz w:val="22"/>
        </w:rPr>
        <w:t xml:space="preserve">La Subdirección no comparte la idea del párrafo precedente, ya que la audiencia no implica una fase adicional del procedimiento, pues tiene como objeto la adjudicación del contrato, es decir, una etapa existente dentro del concurso de méritos conforme al citado </w:t>
      </w:r>
      <w:r>
        <w:rPr>
          <w:rFonts w:ascii="Arial" w:hAnsi="Arial" w:cs="Arial"/>
          <w:bCs/>
          <w:color w:val="000000" w:themeColor="text1"/>
          <w:sz w:val="22"/>
          <w:lang w:val="es-ES"/>
        </w:rPr>
        <w:lastRenderedPageBreak/>
        <w:t xml:space="preserve">numeral 5 del artículo </w:t>
      </w:r>
      <w:r w:rsidRPr="008103E9">
        <w:rPr>
          <w:rFonts w:ascii="Arial" w:hAnsi="Arial" w:cs="Arial"/>
          <w:bCs/>
          <w:color w:val="000000" w:themeColor="text1"/>
          <w:sz w:val="22"/>
          <w:lang w:val="es-ES"/>
        </w:rPr>
        <w:t>2.2.1.1.2.1.3</w:t>
      </w:r>
      <w:r>
        <w:rPr>
          <w:rFonts w:ascii="Arial" w:hAnsi="Arial" w:cs="Arial"/>
          <w:bCs/>
          <w:color w:val="000000" w:themeColor="text1"/>
          <w:sz w:val="22"/>
          <w:lang w:val="es-ES"/>
        </w:rPr>
        <w:t xml:space="preserve"> del Decreto 1082 de 2015. Por lo anterior, la realización de </w:t>
      </w:r>
      <w:r w:rsidRPr="006852EB">
        <w:rPr>
          <w:rFonts w:ascii="Arial" w:hAnsi="Arial" w:cs="Arial"/>
          <w:bCs/>
          <w:i/>
          <w:iCs/>
          <w:color w:val="000000" w:themeColor="text1"/>
          <w:sz w:val="22"/>
          <w:lang w:val="es-ES"/>
        </w:rPr>
        <w:t>audiencias públicas</w:t>
      </w:r>
      <w:r>
        <w:rPr>
          <w:rFonts w:ascii="Arial" w:hAnsi="Arial" w:cs="Arial"/>
          <w:bCs/>
          <w:color w:val="000000" w:themeColor="text1"/>
          <w:sz w:val="22"/>
          <w:lang w:val="es-ES"/>
        </w:rPr>
        <w:t xml:space="preserve"> en los términos del </w:t>
      </w:r>
      <w:r>
        <w:rPr>
          <w:rFonts w:ascii="Arial" w:eastAsia="Calibri" w:hAnsi="Arial" w:cs="Arial"/>
          <w:sz w:val="22"/>
        </w:rPr>
        <w:t>inciso final del artículo 35 de la Ley 1437 de 2011 no implica una violación del principio de economía, pues no agrega una etapa adicional al procedimiento de selección: lo único que cambia es la forma de adjudicar los contratos en el concurso de méritos, garantizando la participación de los proponentes y demás interesados, lo cual no s</w:t>
      </w:r>
      <w:r w:rsidR="00C06CDF">
        <w:rPr>
          <w:rFonts w:ascii="Arial" w:eastAsia="Calibri" w:hAnsi="Arial" w:cs="Arial"/>
          <w:sz w:val="22"/>
        </w:rPr>
        <w:t>o</w:t>
      </w:r>
      <w:r>
        <w:rPr>
          <w:rFonts w:ascii="Arial" w:eastAsia="Calibri" w:hAnsi="Arial" w:cs="Arial"/>
          <w:sz w:val="22"/>
        </w:rPr>
        <w:t xml:space="preserve">lo es compatible con los fines de la contratación pública –art. 3 de la Ley 80 de 1993– sino también con los principios de la función administrativa –art. 209 de la Constitución Política de 1991–.  </w:t>
      </w:r>
    </w:p>
    <w:bookmarkEnd w:id="14"/>
    <w:p w14:paraId="7C4A8976" w14:textId="1E90AB6A" w:rsidR="006F4594" w:rsidRPr="008E1DCC" w:rsidRDefault="00364B58" w:rsidP="008E1DCC">
      <w:pPr>
        <w:spacing w:before="120" w:line="276" w:lineRule="auto"/>
        <w:ind w:firstLine="709"/>
        <w:jc w:val="both"/>
        <w:rPr>
          <w:rFonts w:ascii="Arial" w:eastAsia="Calibri" w:hAnsi="Arial" w:cs="Arial"/>
          <w:sz w:val="22"/>
        </w:rPr>
      </w:pPr>
      <w:r w:rsidRPr="0086204F">
        <w:rPr>
          <w:rFonts w:ascii="Arial" w:eastAsia="Calibri" w:hAnsi="Arial" w:cs="Arial"/>
          <w:sz w:val="22"/>
        </w:rPr>
        <w:t>De esta manera, se concluye que la Administración –</w:t>
      </w:r>
      <w:r w:rsidRPr="004D30B6">
        <w:rPr>
          <w:rFonts w:ascii="Arial" w:eastAsia="Calibri" w:hAnsi="Arial" w:cs="Arial"/>
          <w:sz w:val="22"/>
        </w:rPr>
        <w:t>siempre que lo disponga en el pliego de condiciones</w:t>
      </w:r>
      <w:r w:rsidRPr="0086204F">
        <w:rPr>
          <w:rFonts w:ascii="Arial" w:eastAsia="Calibri" w:hAnsi="Arial" w:cs="Arial"/>
          <w:sz w:val="22"/>
        </w:rPr>
        <w:t xml:space="preserve">– puede </w:t>
      </w:r>
      <w:r>
        <w:rPr>
          <w:rFonts w:ascii="Arial" w:eastAsia="Calibri" w:hAnsi="Arial" w:cs="Arial"/>
          <w:sz w:val="22"/>
        </w:rPr>
        <w:t xml:space="preserve">realizar </w:t>
      </w:r>
      <w:r w:rsidRPr="0086204F">
        <w:rPr>
          <w:rFonts w:ascii="Arial" w:eastAsia="Calibri" w:hAnsi="Arial" w:cs="Arial"/>
          <w:i/>
          <w:iCs/>
          <w:sz w:val="22"/>
        </w:rPr>
        <w:t>audiencias públicas</w:t>
      </w:r>
      <w:r w:rsidRPr="0086204F">
        <w:rPr>
          <w:rFonts w:ascii="Arial" w:eastAsia="Calibri" w:hAnsi="Arial" w:cs="Arial"/>
          <w:sz w:val="22"/>
        </w:rPr>
        <w:t xml:space="preserve"> para </w:t>
      </w:r>
      <w:r w:rsidR="00C06CDF">
        <w:rPr>
          <w:rFonts w:ascii="Arial" w:eastAsia="Calibri" w:hAnsi="Arial" w:cs="Arial"/>
          <w:sz w:val="22"/>
        </w:rPr>
        <w:t>adjudicar</w:t>
      </w:r>
      <w:r w:rsidRPr="0086204F">
        <w:rPr>
          <w:rFonts w:ascii="Arial" w:eastAsia="Calibri" w:hAnsi="Arial" w:cs="Arial"/>
          <w:sz w:val="22"/>
        </w:rPr>
        <w:t xml:space="preserve"> los contratos derivados de los concursos de méritos. Lo anterior con fundamento en</w:t>
      </w:r>
      <w:r w:rsidR="008E1DCC">
        <w:rPr>
          <w:rFonts w:ascii="Arial" w:eastAsia="Calibri" w:hAnsi="Arial" w:cs="Arial"/>
          <w:sz w:val="22"/>
        </w:rPr>
        <w:t xml:space="preserve">: </w:t>
      </w:r>
      <w:r w:rsidRPr="0086204F">
        <w:rPr>
          <w:rFonts w:ascii="Arial" w:eastAsia="Calibri" w:hAnsi="Arial" w:cs="Arial"/>
          <w:sz w:val="22"/>
        </w:rPr>
        <w:t xml:space="preserve">i) el principio de publicidad como eje rector de las actuaciones administrativas y ii) la remisión del artículo 77 de la Ley 80 de 1993 a las normas del procedimiento administrativo general, en virtud de la cual aplica </w:t>
      </w:r>
      <w:r w:rsidRPr="0086204F">
        <w:rPr>
          <w:rFonts w:ascii="Arial" w:hAnsi="Arial" w:cs="Arial"/>
          <w:bCs/>
          <w:color w:val="000000" w:themeColor="text1"/>
          <w:sz w:val="22"/>
          <w:lang w:val="es-ES"/>
        </w:rPr>
        <w:t xml:space="preserve">el </w:t>
      </w:r>
      <w:r w:rsidRPr="0086204F">
        <w:rPr>
          <w:rFonts w:ascii="Arial" w:eastAsia="Calibri" w:hAnsi="Arial" w:cs="Arial"/>
          <w:sz w:val="22"/>
        </w:rPr>
        <w:t>inciso final del artículo 35 de la Ley 1437 de 2011</w:t>
      </w:r>
      <w:r>
        <w:rPr>
          <w:rFonts w:ascii="Arial" w:eastAsia="Calibri" w:hAnsi="Arial" w:cs="Arial"/>
          <w:sz w:val="22"/>
        </w:rPr>
        <w:t xml:space="preserve">. </w:t>
      </w:r>
    </w:p>
    <w:p w14:paraId="69CC8F5A" w14:textId="77777777" w:rsidR="009C3F11" w:rsidRPr="006F4594" w:rsidRDefault="009C3F11" w:rsidP="009C3F11">
      <w:pPr>
        <w:spacing w:line="276" w:lineRule="auto"/>
        <w:ind w:firstLine="709"/>
        <w:jc w:val="both"/>
        <w:rPr>
          <w:rFonts w:ascii="Arial" w:eastAsia="Calibri" w:hAnsi="Arial" w:cs="Arial"/>
          <w:b/>
          <w:bCs/>
          <w:color w:val="000000" w:themeColor="text1"/>
          <w:sz w:val="22"/>
        </w:rPr>
      </w:pPr>
    </w:p>
    <w:p w14:paraId="37CA9805" w14:textId="528871AC" w:rsidR="00DD5B04" w:rsidRPr="0085790B" w:rsidRDefault="004177A6" w:rsidP="002C5D0F">
      <w:pPr>
        <w:tabs>
          <w:tab w:val="left" w:pos="0"/>
        </w:tabs>
        <w:spacing w:line="276" w:lineRule="auto"/>
        <w:jc w:val="both"/>
        <w:rPr>
          <w:rFonts w:ascii="Arial" w:eastAsia="Calibri" w:hAnsi="Arial" w:cs="Arial"/>
          <w:b/>
          <w:color w:val="000000" w:themeColor="text1"/>
          <w:sz w:val="22"/>
          <w:lang w:val="es-ES_tradnl"/>
        </w:rPr>
      </w:pPr>
      <w:r w:rsidRPr="0085790B">
        <w:rPr>
          <w:rFonts w:ascii="Arial" w:eastAsia="Calibri" w:hAnsi="Arial" w:cs="Arial"/>
          <w:b/>
          <w:color w:val="000000" w:themeColor="text1"/>
          <w:sz w:val="22"/>
          <w:lang w:val="es-ES_tradnl"/>
        </w:rPr>
        <w:t>3</w:t>
      </w:r>
      <w:r w:rsidR="00B011A9" w:rsidRPr="0085790B">
        <w:rPr>
          <w:rFonts w:ascii="Arial" w:eastAsia="Calibri" w:hAnsi="Arial" w:cs="Arial"/>
          <w:b/>
          <w:color w:val="000000" w:themeColor="text1"/>
          <w:sz w:val="22"/>
          <w:lang w:val="es-ES_tradnl"/>
        </w:rPr>
        <w:t xml:space="preserve">. </w:t>
      </w:r>
      <w:r w:rsidR="00DD5B04" w:rsidRPr="0085790B">
        <w:rPr>
          <w:rFonts w:ascii="Arial" w:eastAsia="Calibri" w:hAnsi="Arial" w:cs="Arial"/>
          <w:b/>
          <w:color w:val="000000" w:themeColor="text1"/>
          <w:sz w:val="22"/>
          <w:lang w:val="es-ES_tradnl"/>
        </w:rPr>
        <w:t>Respuesta</w:t>
      </w:r>
    </w:p>
    <w:p w14:paraId="0B74D5B8" w14:textId="5B5B8028" w:rsidR="00C4581D" w:rsidRPr="0085790B" w:rsidRDefault="00C4581D" w:rsidP="00DF76A2">
      <w:pPr>
        <w:tabs>
          <w:tab w:val="left" w:pos="0"/>
        </w:tabs>
        <w:spacing w:line="276" w:lineRule="auto"/>
        <w:jc w:val="both"/>
        <w:rPr>
          <w:rFonts w:ascii="Arial" w:eastAsia="Calibri" w:hAnsi="Arial" w:cs="Arial"/>
          <w:color w:val="000000" w:themeColor="text1"/>
          <w:sz w:val="22"/>
          <w:lang w:val="es-ES_tradnl"/>
        </w:rPr>
      </w:pPr>
    </w:p>
    <w:p w14:paraId="68C81E1D" w14:textId="5BD213F5" w:rsidR="00F91CB2" w:rsidRPr="0085790B" w:rsidRDefault="002E63A0" w:rsidP="002E63A0">
      <w:pPr>
        <w:ind w:left="709" w:right="709"/>
        <w:jc w:val="both"/>
        <w:rPr>
          <w:rFonts w:ascii="Arial" w:hAnsi="Arial" w:cs="Arial"/>
          <w:color w:val="000000" w:themeColor="text1"/>
          <w:sz w:val="21"/>
          <w:szCs w:val="21"/>
          <w:lang w:val="es-ES_tradnl"/>
        </w:rPr>
      </w:pPr>
      <w:r w:rsidRPr="002E63A0">
        <w:rPr>
          <w:rFonts w:ascii="Arial" w:hAnsi="Arial" w:cs="Arial"/>
          <w:color w:val="000000" w:themeColor="text1"/>
          <w:sz w:val="21"/>
          <w:szCs w:val="21"/>
          <w:lang w:val="es-ES_tradnl"/>
        </w:rPr>
        <w:t>«¿</w:t>
      </w:r>
      <w:r>
        <w:rPr>
          <w:rFonts w:ascii="Arial" w:hAnsi="Arial" w:cs="Arial"/>
          <w:color w:val="000000" w:themeColor="text1"/>
          <w:sz w:val="21"/>
          <w:szCs w:val="21"/>
          <w:lang w:val="es-ES_tradnl"/>
        </w:rPr>
        <w:t xml:space="preserve">[…] </w:t>
      </w:r>
      <w:r w:rsidRPr="002E63A0">
        <w:rPr>
          <w:rFonts w:ascii="Arial" w:hAnsi="Arial" w:cs="Arial"/>
          <w:color w:val="000000" w:themeColor="text1"/>
          <w:sz w:val="21"/>
          <w:szCs w:val="21"/>
          <w:lang w:val="es-ES_tradnl"/>
        </w:rPr>
        <w:t>cómo se está llevando a cabo la audiencia para el orden de elegibilidad y la adjudicación, […] cómo se están llevando en la plataforma; teniendo en cuenta que los numerales 4, 5 y 6 del decreto 1082 no están habilitados?»</w:t>
      </w:r>
    </w:p>
    <w:p w14:paraId="68F55969" w14:textId="77777777" w:rsidR="002E63A0" w:rsidRDefault="002E63A0" w:rsidP="00A22571">
      <w:pPr>
        <w:spacing w:line="276" w:lineRule="auto"/>
        <w:jc w:val="both"/>
        <w:rPr>
          <w:rFonts w:ascii="Arial" w:hAnsi="Arial" w:cs="Arial"/>
          <w:color w:val="000000" w:themeColor="text1"/>
          <w:sz w:val="21"/>
          <w:szCs w:val="21"/>
          <w:lang w:val="es-ES_tradnl"/>
        </w:rPr>
      </w:pPr>
    </w:p>
    <w:p w14:paraId="577DAC6C" w14:textId="3EB3A6CF" w:rsidR="006F4594" w:rsidRDefault="006F4594" w:rsidP="006F4594">
      <w:pPr>
        <w:spacing w:after="120" w:line="276" w:lineRule="auto"/>
        <w:jc w:val="both"/>
        <w:rPr>
          <w:rFonts w:ascii="Arial" w:eastAsia="Calibri" w:hAnsi="Arial" w:cs="Arial"/>
          <w:sz w:val="22"/>
        </w:rPr>
      </w:pPr>
      <w:r w:rsidRPr="003C579C">
        <w:rPr>
          <w:rFonts w:ascii="Arial" w:eastAsia="Calibri" w:hAnsi="Arial" w:cs="Arial"/>
          <w:sz w:val="22"/>
        </w:rPr>
        <w:t xml:space="preserve">Si bien esta </w:t>
      </w:r>
      <w:r>
        <w:rPr>
          <w:rFonts w:ascii="Arial" w:eastAsia="Calibri" w:hAnsi="Arial" w:cs="Arial"/>
          <w:sz w:val="22"/>
        </w:rPr>
        <w:t>Subdirección</w:t>
      </w:r>
      <w:r w:rsidRPr="003C579C">
        <w:rPr>
          <w:rFonts w:ascii="Arial" w:eastAsia="Calibri" w:hAnsi="Arial" w:cs="Arial"/>
          <w:sz w:val="22"/>
        </w:rPr>
        <w:t xml:space="preserve"> considera que</w:t>
      </w:r>
      <w:r>
        <w:rPr>
          <w:rFonts w:ascii="Arial" w:eastAsia="Calibri" w:hAnsi="Arial" w:cs="Arial"/>
          <w:sz w:val="22"/>
        </w:rPr>
        <w:t>,</w:t>
      </w:r>
      <w:r w:rsidRPr="003C579C">
        <w:rPr>
          <w:rFonts w:ascii="Arial" w:eastAsia="Calibri" w:hAnsi="Arial" w:cs="Arial"/>
          <w:sz w:val="22"/>
        </w:rPr>
        <w:t xml:space="preserve"> conforme al artículo 25.6 de la Ley 80 de 1993 y </w:t>
      </w:r>
      <w:r>
        <w:rPr>
          <w:rFonts w:ascii="Arial" w:eastAsia="Calibri" w:hAnsi="Arial" w:cs="Arial"/>
          <w:sz w:val="22"/>
        </w:rPr>
        <w:t>a</w:t>
      </w:r>
      <w:r w:rsidRPr="003C579C">
        <w:rPr>
          <w:rFonts w:ascii="Arial" w:eastAsia="Calibri" w:hAnsi="Arial" w:cs="Arial"/>
          <w:sz w:val="22"/>
        </w:rPr>
        <w:t>l artículo 71 del Decreto 111 de 1996</w:t>
      </w:r>
      <w:r>
        <w:rPr>
          <w:rFonts w:ascii="Arial" w:eastAsia="Calibri" w:hAnsi="Arial" w:cs="Arial"/>
          <w:sz w:val="22"/>
        </w:rPr>
        <w:t xml:space="preserve">, </w:t>
      </w:r>
      <w:r w:rsidRPr="003C579C">
        <w:rPr>
          <w:rFonts w:ascii="Arial" w:eastAsia="Calibri" w:hAnsi="Arial" w:cs="Arial"/>
          <w:sz w:val="22"/>
        </w:rPr>
        <w:t xml:space="preserve">las entidades deben verificar que la propuesta económica se ajuste al presupuesto oficial, con los autos de suspensión provisional el concurso de méritos abierto se desarrolla aplicando únicamente los numerales 1 y 2 del artículo </w:t>
      </w:r>
      <w:r>
        <w:rPr>
          <w:rFonts w:ascii="Arial" w:eastAsia="Calibri" w:hAnsi="Arial" w:cs="Arial"/>
          <w:sz w:val="22"/>
        </w:rPr>
        <w:t>2.2.1.2.1.3.2</w:t>
      </w:r>
      <w:r w:rsidRPr="003C579C">
        <w:rPr>
          <w:rFonts w:ascii="Arial" w:eastAsia="Calibri" w:hAnsi="Arial" w:cs="Arial"/>
          <w:sz w:val="22"/>
        </w:rPr>
        <w:t xml:space="preserve"> del Decreto 1082 de 2015. Esto significa que la entidad dispone los criterios de evaluación en el pliego y que, </w:t>
      </w:r>
      <w:r w:rsidR="00550134">
        <w:rPr>
          <w:rFonts w:ascii="Arial" w:eastAsia="Calibri" w:hAnsi="Arial" w:cs="Arial"/>
          <w:sz w:val="22"/>
        </w:rPr>
        <w:t>con la evaluación de las</w:t>
      </w:r>
      <w:r w:rsidRPr="003C579C">
        <w:rPr>
          <w:rFonts w:ascii="Arial" w:eastAsia="Calibri" w:hAnsi="Arial" w:cs="Arial"/>
          <w:sz w:val="22"/>
        </w:rPr>
        <w:t xml:space="preserve"> propuestas económicas se p</w:t>
      </w:r>
      <w:r>
        <w:rPr>
          <w:rFonts w:ascii="Arial" w:eastAsia="Calibri" w:hAnsi="Arial" w:cs="Arial"/>
          <w:sz w:val="22"/>
        </w:rPr>
        <w:t>u</w:t>
      </w:r>
      <w:r w:rsidRPr="003C579C">
        <w:rPr>
          <w:rFonts w:ascii="Arial" w:eastAsia="Calibri" w:hAnsi="Arial" w:cs="Arial"/>
          <w:sz w:val="22"/>
        </w:rPr>
        <w:t>blica el informe por tres (3) días hábiles.</w:t>
      </w:r>
    </w:p>
    <w:p w14:paraId="0B4C9C61" w14:textId="0D1320FA" w:rsidR="006F4594" w:rsidRDefault="006F4594" w:rsidP="006F4594">
      <w:pPr>
        <w:spacing w:after="120" w:line="276" w:lineRule="auto"/>
        <w:jc w:val="both"/>
        <w:rPr>
          <w:rFonts w:ascii="Arial" w:eastAsia="Calibri" w:hAnsi="Arial" w:cs="Arial"/>
          <w:sz w:val="22"/>
        </w:rPr>
      </w:pPr>
      <w:r>
        <w:rPr>
          <w:rFonts w:ascii="Arial" w:eastAsia="Calibri" w:hAnsi="Arial" w:cs="Arial"/>
          <w:sz w:val="22"/>
        </w:rPr>
        <w:tab/>
      </w:r>
      <w:bookmarkStart w:id="15" w:name="_Hlk45546655"/>
      <w:r w:rsidRPr="00174C18">
        <w:rPr>
          <w:rFonts w:ascii="Arial" w:hAnsi="Arial" w:cs="Arial"/>
          <w:color w:val="000000" w:themeColor="text1"/>
          <w:sz w:val="22"/>
        </w:rPr>
        <w:t>Aunque el numeral 2 del artículo 2.2.1.2.1.3.2 del Decreto 1082 de 2015 no dispone que la calificación técnica y el orden de elegibilidad se determinen obligatoriamente en audiencia pública, la Subdirección de Información y Desarrollo Tecnológico informa que el SECOP II exige programar la fecha de la «Audiencia de comunicación del orden de elegibilidad»</w:t>
      </w:r>
      <w:r>
        <w:rPr>
          <w:rFonts w:ascii="Arial" w:hAnsi="Arial" w:cs="Arial"/>
          <w:color w:val="000000" w:themeColor="text1"/>
          <w:sz w:val="22"/>
        </w:rPr>
        <w:t xml:space="preserve"> y de «Apertura del sobre económico»</w:t>
      </w:r>
      <w:r w:rsidRPr="00174C18">
        <w:rPr>
          <w:rFonts w:ascii="Arial" w:hAnsi="Arial" w:cs="Arial"/>
          <w:color w:val="000000" w:themeColor="text1"/>
          <w:sz w:val="22"/>
        </w:rPr>
        <w:t xml:space="preserve"> en el cronograma del proceso de selección. Sin embargo, </w:t>
      </w:r>
      <w:r>
        <w:rPr>
          <w:rFonts w:ascii="Arial" w:hAnsi="Arial" w:cs="Arial"/>
          <w:color w:val="000000" w:themeColor="text1"/>
          <w:sz w:val="22"/>
        </w:rPr>
        <w:t xml:space="preserve">estas </w:t>
      </w:r>
      <w:r w:rsidRPr="00174C18">
        <w:rPr>
          <w:rFonts w:ascii="Arial" w:hAnsi="Arial" w:cs="Arial"/>
          <w:color w:val="000000" w:themeColor="text1"/>
          <w:sz w:val="22"/>
        </w:rPr>
        <w:t>no debe</w:t>
      </w:r>
      <w:r>
        <w:rPr>
          <w:rFonts w:ascii="Arial" w:hAnsi="Arial" w:cs="Arial"/>
          <w:color w:val="000000" w:themeColor="text1"/>
          <w:sz w:val="22"/>
        </w:rPr>
        <w:t>n</w:t>
      </w:r>
      <w:r w:rsidRPr="00174C18">
        <w:rPr>
          <w:rFonts w:ascii="Arial" w:hAnsi="Arial" w:cs="Arial"/>
          <w:color w:val="000000" w:themeColor="text1"/>
          <w:sz w:val="22"/>
        </w:rPr>
        <w:t xml:space="preserve"> conducir a </w:t>
      </w:r>
      <w:r w:rsidR="00A44E8D">
        <w:rPr>
          <w:rFonts w:ascii="Arial" w:hAnsi="Arial" w:cs="Arial"/>
          <w:color w:val="000000" w:themeColor="text1"/>
          <w:sz w:val="22"/>
        </w:rPr>
        <w:t>aplicar</w:t>
      </w:r>
      <w:r w:rsidRPr="00174C18">
        <w:rPr>
          <w:rFonts w:ascii="Arial" w:hAnsi="Arial" w:cs="Arial"/>
          <w:color w:val="000000" w:themeColor="text1"/>
          <w:sz w:val="22"/>
        </w:rPr>
        <w:t xml:space="preserve"> alguno de los numerales suspendidos por el Consejo de Estado, ya que conforme a los autos citados </w:t>
      </w:r>
      <w:r w:rsidRPr="00E9794A">
        <w:rPr>
          <w:rFonts w:ascii="Arial" w:hAnsi="Arial" w:cs="Arial"/>
          <w:i/>
          <w:iCs/>
          <w:color w:val="000000" w:themeColor="text1"/>
          <w:sz w:val="22"/>
        </w:rPr>
        <w:t>ut supra</w:t>
      </w:r>
      <w:r w:rsidRPr="00174C18">
        <w:rPr>
          <w:rFonts w:ascii="Arial" w:hAnsi="Arial" w:cs="Arial"/>
          <w:color w:val="000000" w:themeColor="text1"/>
          <w:sz w:val="22"/>
        </w:rPr>
        <w:t>, resueltas las observaciones al informe de evaluación no es posible acordar el precio con los oferentes</w:t>
      </w:r>
      <w:r>
        <w:rPr>
          <w:rFonts w:ascii="Arial" w:hAnsi="Arial" w:cs="Arial"/>
          <w:color w:val="000000" w:themeColor="text1"/>
          <w:sz w:val="22"/>
        </w:rPr>
        <w:t>. Por lo tanto, siempre que esté dentro del presupuesto oficial, la entidad deberá adjudicar el contrato al proponente que ocupe el primer puesto en el orden de elegibilidad, independientemente del valor ofrecido</w:t>
      </w:r>
      <w:r w:rsidRPr="003B2FC1">
        <w:rPr>
          <w:rFonts w:ascii="Arial" w:eastAsia="Calibri" w:hAnsi="Arial" w:cs="Arial"/>
          <w:sz w:val="22"/>
        </w:rPr>
        <w:t>.</w:t>
      </w:r>
      <w:bookmarkEnd w:id="15"/>
    </w:p>
    <w:p w14:paraId="1517F35B" w14:textId="6B5F27CF" w:rsidR="006F4594" w:rsidRPr="00153CD1" w:rsidRDefault="006F4594" w:rsidP="006F4594">
      <w:pPr>
        <w:spacing w:after="120" w:line="276" w:lineRule="auto"/>
        <w:ind w:firstLine="708"/>
        <w:jc w:val="both"/>
        <w:rPr>
          <w:rFonts w:ascii="Arial" w:eastAsia="Calibri" w:hAnsi="Arial" w:cs="Arial"/>
          <w:sz w:val="22"/>
        </w:rPr>
      </w:pPr>
      <w:r>
        <w:rPr>
          <w:rFonts w:ascii="Arial" w:eastAsia="Calibri" w:hAnsi="Arial" w:cs="Arial"/>
          <w:sz w:val="22"/>
        </w:rPr>
        <w:lastRenderedPageBreak/>
        <w:t>En todo caso, la Administración –</w:t>
      </w:r>
      <w:bookmarkStart w:id="16" w:name="_Hlk45377646"/>
      <w:r>
        <w:rPr>
          <w:rFonts w:ascii="Arial" w:eastAsia="Calibri" w:hAnsi="Arial" w:cs="Arial"/>
          <w:sz w:val="22"/>
        </w:rPr>
        <w:t>siempre que lo disponga en el pliego de condiciones</w:t>
      </w:r>
      <w:bookmarkEnd w:id="16"/>
      <w:r>
        <w:rPr>
          <w:rFonts w:ascii="Arial" w:eastAsia="Calibri" w:hAnsi="Arial" w:cs="Arial"/>
          <w:sz w:val="22"/>
        </w:rPr>
        <w:t xml:space="preserve">– puede realizar </w:t>
      </w:r>
      <w:r w:rsidRPr="006852EB">
        <w:rPr>
          <w:rFonts w:ascii="Arial" w:eastAsia="Calibri" w:hAnsi="Arial" w:cs="Arial"/>
          <w:i/>
          <w:iCs/>
          <w:sz w:val="22"/>
        </w:rPr>
        <w:t>audiencias públicas</w:t>
      </w:r>
      <w:r>
        <w:rPr>
          <w:rFonts w:ascii="Arial" w:eastAsia="Calibri" w:hAnsi="Arial" w:cs="Arial"/>
          <w:sz w:val="22"/>
        </w:rPr>
        <w:t xml:space="preserve"> para la adjudicación de los contratos derivados de los concursos de méritos, pues son compatibles con </w:t>
      </w:r>
      <w:r w:rsidRPr="003C579C">
        <w:rPr>
          <w:rFonts w:ascii="Arial" w:eastAsia="Calibri" w:hAnsi="Arial" w:cs="Arial"/>
          <w:sz w:val="22"/>
        </w:rPr>
        <w:t xml:space="preserve">numerales 1 y 2 del artículo </w:t>
      </w:r>
      <w:r>
        <w:rPr>
          <w:rFonts w:ascii="Arial" w:eastAsia="Calibri" w:hAnsi="Arial" w:cs="Arial"/>
          <w:sz w:val="22"/>
        </w:rPr>
        <w:t>2.2.1.2.1.3.2</w:t>
      </w:r>
      <w:r w:rsidRPr="003C579C">
        <w:rPr>
          <w:rFonts w:ascii="Arial" w:eastAsia="Calibri" w:hAnsi="Arial" w:cs="Arial"/>
          <w:sz w:val="22"/>
        </w:rPr>
        <w:t xml:space="preserve"> del Decreto 1082 de 2015</w:t>
      </w:r>
      <w:r>
        <w:rPr>
          <w:rFonts w:ascii="Arial" w:eastAsia="Calibri" w:hAnsi="Arial" w:cs="Arial"/>
          <w:sz w:val="22"/>
        </w:rPr>
        <w:t xml:space="preserve">. </w:t>
      </w:r>
      <w:r w:rsidRPr="00ED277E">
        <w:rPr>
          <w:rFonts w:ascii="Arial" w:eastAsia="Calibri" w:hAnsi="Arial" w:cs="Arial"/>
          <w:sz w:val="22"/>
        </w:rPr>
        <w:t>Lo anterior con fundamento en</w:t>
      </w:r>
      <w:r w:rsidR="00FE1853">
        <w:rPr>
          <w:rFonts w:ascii="Arial" w:eastAsia="Calibri" w:hAnsi="Arial" w:cs="Arial"/>
          <w:sz w:val="22"/>
        </w:rPr>
        <w:t>:</w:t>
      </w:r>
      <w:r w:rsidRPr="00ED277E">
        <w:rPr>
          <w:rFonts w:ascii="Arial" w:eastAsia="Calibri" w:hAnsi="Arial" w:cs="Arial"/>
          <w:sz w:val="22"/>
        </w:rPr>
        <w:t xml:space="preserve"> i) el principio de publicidad como eje rector de las actuaciones administrativas y ii) la remisión del artículo 77 de la Ley 80 de 1993 a las normas del procedimiento administrativo general, en virtud de la cual aplica el inciso final del artículo 35 de la Ley 1437 de 2011</w:t>
      </w:r>
      <w:r>
        <w:rPr>
          <w:rFonts w:ascii="Arial" w:eastAsia="Calibri" w:hAnsi="Arial" w:cs="Arial"/>
          <w:sz w:val="22"/>
        </w:rPr>
        <w:t xml:space="preserve">. </w:t>
      </w:r>
      <w:r>
        <w:rPr>
          <w:rFonts w:ascii="Arial" w:eastAsia="Calibri" w:hAnsi="Arial" w:cs="Arial"/>
          <w:color w:val="000000" w:themeColor="text1"/>
          <w:sz w:val="22"/>
        </w:rPr>
        <w:t xml:space="preserve"> </w:t>
      </w:r>
    </w:p>
    <w:p w14:paraId="1864F1BB" w14:textId="77777777" w:rsidR="00FC434C" w:rsidRPr="006F4594" w:rsidRDefault="00FC434C" w:rsidP="00DF76A2">
      <w:pPr>
        <w:tabs>
          <w:tab w:val="left" w:pos="0"/>
        </w:tabs>
        <w:spacing w:line="276" w:lineRule="auto"/>
        <w:jc w:val="both"/>
        <w:rPr>
          <w:rFonts w:ascii="Arial" w:eastAsia="Calibri" w:hAnsi="Arial" w:cs="Arial"/>
          <w:color w:val="000000" w:themeColor="text1"/>
          <w:sz w:val="22"/>
        </w:rPr>
      </w:pPr>
    </w:p>
    <w:p w14:paraId="7B2C921D" w14:textId="676D574B" w:rsidR="00DD5B04" w:rsidRPr="0085790B" w:rsidRDefault="00DD5B04" w:rsidP="00DF76A2">
      <w:pPr>
        <w:spacing w:line="276" w:lineRule="auto"/>
        <w:jc w:val="both"/>
        <w:rPr>
          <w:rFonts w:ascii="Arial" w:hAnsi="Arial" w:cs="Arial"/>
          <w:color w:val="000000" w:themeColor="text1"/>
          <w:sz w:val="22"/>
          <w:lang w:val="es-ES_tradnl"/>
        </w:rPr>
      </w:pPr>
      <w:r w:rsidRPr="0085790B">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85790B"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7777777" w:rsidR="00DD5B04" w:rsidRPr="0085790B"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85790B">
        <w:rPr>
          <w:rFonts w:ascii="Arial" w:hAnsi="Arial" w:cs="Arial"/>
          <w:color w:val="000000" w:themeColor="text1"/>
          <w:sz w:val="22"/>
          <w:szCs w:val="22"/>
          <w:lang w:val="es-ES_tradnl"/>
        </w:rPr>
        <w:t>Atentamente,</w:t>
      </w:r>
    </w:p>
    <w:p w14:paraId="5CBAE239" w14:textId="77777777" w:rsidR="00425C43" w:rsidRPr="0085790B" w:rsidRDefault="00425C43" w:rsidP="00B37657">
      <w:pPr>
        <w:jc w:val="center"/>
        <w:rPr>
          <w:rFonts w:ascii="Arial" w:eastAsia="Times New Roman" w:hAnsi="Arial" w:cs="Arial"/>
          <w:color w:val="000000" w:themeColor="text1"/>
          <w:sz w:val="18"/>
          <w:szCs w:val="20"/>
          <w:lang w:val="es-ES_tradnl" w:eastAsia="es-CO"/>
        </w:rPr>
      </w:pPr>
    </w:p>
    <w:p w14:paraId="49730030" w14:textId="67567E41" w:rsidR="00DD5B04" w:rsidRPr="0085790B" w:rsidRDefault="00635E23" w:rsidP="00B37657">
      <w:pPr>
        <w:jc w:val="center"/>
        <w:rPr>
          <w:rFonts w:ascii="Arial" w:eastAsia="Times New Roman" w:hAnsi="Arial" w:cs="Arial"/>
          <w:color w:val="000000" w:themeColor="text1"/>
          <w:sz w:val="18"/>
          <w:szCs w:val="20"/>
          <w:lang w:val="es-ES_tradnl" w:eastAsia="es-CO"/>
        </w:rPr>
      </w:pPr>
      <w:r>
        <w:rPr>
          <w:noProof/>
          <w:lang w:eastAsia="es-CO"/>
        </w:rPr>
        <w:drawing>
          <wp:inline distT="0" distB="0" distL="0" distR="0" wp14:anchorId="7C3682C3" wp14:editId="52437C68">
            <wp:extent cx="2171700" cy="9239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71700" cy="923925"/>
                    </a:xfrm>
                    <a:prstGeom prst="rect">
                      <a:avLst/>
                    </a:prstGeom>
                  </pic:spPr>
                </pic:pic>
              </a:graphicData>
            </a:graphic>
          </wp:inline>
        </w:drawing>
      </w:r>
    </w:p>
    <w:p w14:paraId="5F60B7A2" w14:textId="77777777" w:rsidR="00FF0050" w:rsidRPr="0085790B" w:rsidRDefault="00FF0050" w:rsidP="00B37657">
      <w:pPr>
        <w:jc w:val="center"/>
        <w:rPr>
          <w:rFonts w:ascii="Arial" w:eastAsia="Times New Roman"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85790B" w14:paraId="0C7DC5F7" w14:textId="77777777" w:rsidTr="00083F1B">
        <w:trPr>
          <w:trHeight w:val="315"/>
        </w:trPr>
        <w:tc>
          <w:tcPr>
            <w:tcW w:w="812" w:type="dxa"/>
            <w:vAlign w:val="center"/>
            <w:hideMark/>
          </w:tcPr>
          <w:p w14:paraId="5BDB1AC9" w14:textId="77777777" w:rsidR="00DD5B04" w:rsidRPr="0085790B" w:rsidRDefault="00DD5B04" w:rsidP="00DF76A2">
            <w:pPr>
              <w:jc w:val="both"/>
              <w:rPr>
                <w:rFonts w:ascii="Arial" w:eastAsia="Times New Roman" w:hAnsi="Arial" w:cs="Arial"/>
                <w:color w:val="000000" w:themeColor="text1"/>
                <w:sz w:val="16"/>
                <w:szCs w:val="16"/>
                <w:lang w:val="es-ES_tradnl" w:eastAsia="es-ES"/>
              </w:rPr>
            </w:pPr>
            <w:r w:rsidRPr="0085790B">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85790B" w:rsidRDefault="00DD5B04" w:rsidP="00DF76A2">
            <w:pPr>
              <w:jc w:val="both"/>
              <w:rPr>
                <w:rFonts w:ascii="Arial" w:eastAsia="Times New Roman" w:hAnsi="Arial" w:cs="Arial"/>
                <w:color w:val="000000" w:themeColor="text1"/>
                <w:sz w:val="16"/>
                <w:szCs w:val="16"/>
                <w:lang w:val="es-ES_tradnl" w:eastAsia="es-ES"/>
              </w:rPr>
            </w:pPr>
            <w:r w:rsidRPr="0085790B">
              <w:rPr>
                <w:rFonts w:ascii="Arial" w:eastAsia="Times New Roman" w:hAnsi="Arial" w:cs="Arial"/>
                <w:color w:val="000000" w:themeColor="text1"/>
                <w:sz w:val="16"/>
                <w:szCs w:val="16"/>
                <w:lang w:val="es-ES_tradnl" w:eastAsia="es-ES"/>
              </w:rPr>
              <w:t>Cristian Andrés Díaz Díez</w:t>
            </w:r>
          </w:p>
          <w:p w14:paraId="240C71FD" w14:textId="31312C95" w:rsidR="00DD5B04" w:rsidRPr="0085790B" w:rsidRDefault="00DD5B04" w:rsidP="00DF76A2">
            <w:pPr>
              <w:jc w:val="both"/>
              <w:rPr>
                <w:rFonts w:ascii="Arial" w:eastAsia="Times New Roman" w:hAnsi="Arial" w:cs="Arial"/>
                <w:color w:val="000000" w:themeColor="text1"/>
                <w:sz w:val="16"/>
                <w:szCs w:val="16"/>
                <w:lang w:val="es-ES_tradnl" w:eastAsia="es-ES"/>
              </w:rPr>
            </w:pPr>
            <w:r w:rsidRPr="0085790B">
              <w:rPr>
                <w:rFonts w:ascii="Arial" w:eastAsia="Times New Roman" w:hAnsi="Arial" w:cs="Arial"/>
                <w:color w:val="000000" w:themeColor="text1"/>
                <w:sz w:val="16"/>
                <w:szCs w:val="16"/>
                <w:lang w:val="es-ES_tradnl" w:eastAsia="es-ES"/>
              </w:rPr>
              <w:t>Contratista</w:t>
            </w:r>
            <w:r w:rsidR="00FF0050" w:rsidRPr="0085790B">
              <w:rPr>
                <w:rFonts w:ascii="Arial" w:eastAsia="Times New Roman" w:hAnsi="Arial" w:cs="Arial"/>
                <w:color w:val="000000" w:themeColor="text1"/>
                <w:sz w:val="16"/>
                <w:szCs w:val="16"/>
                <w:lang w:val="es-ES_tradnl" w:eastAsia="es-ES"/>
              </w:rPr>
              <w:t xml:space="preserve"> de la </w:t>
            </w:r>
            <w:r w:rsidRPr="0085790B">
              <w:rPr>
                <w:rFonts w:ascii="Arial" w:eastAsia="Times New Roman" w:hAnsi="Arial" w:cs="Arial"/>
                <w:color w:val="000000" w:themeColor="text1"/>
                <w:sz w:val="16"/>
                <w:szCs w:val="16"/>
                <w:lang w:val="es-ES_tradnl" w:eastAsia="es-ES"/>
              </w:rPr>
              <w:t>Subdirección de Gestión Contractual</w:t>
            </w:r>
          </w:p>
        </w:tc>
      </w:tr>
      <w:tr w:rsidR="00DD5B04" w:rsidRPr="0085790B" w14:paraId="2F8FD650" w14:textId="77777777" w:rsidTr="00083F1B">
        <w:trPr>
          <w:trHeight w:val="330"/>
        </w:trPr>
        <w:tc>
          <w:tcPr>
            <w:tcW w:w="812" w:type="dxa"/>
            <w:vAlign w:val="center"/>
            <w:hideMark/>
          </w:tcPr>
          <w:p w14:paraId="50203A0B" w14:textId="77777777" w:rsidR="00DD5B04" w:rsidRPr="0085790B" w:rsidRDefault="00DD5B04" w:rsidP="00DF76A2">
            <w:pPr>
              <w:jc w:val="both"/>
              <w:rPr>
                <w:rFonts w:ascii="Arial" w:eastAsia="Times New Roman" w:hAnsi="Arial" w:cs="Arial"/>
                <w:color w:val="000000" w:themeColor="text1"/>
                <w:sz w:val="16"/>
                <w:szCs w:val="16"/>
                <w:lang w:val="es-ES_tradnl" w:eastAsia="es-ES"/>
              </w:rPr>
            </w:pPr>
            <w:r w:rsidRPr="0085790B">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232DEED" w14:textId="77777777" w:rsidR="006851E4" w:rsidRPr="00781A1B" w:rsidRDefault="006851E4" w:rsidP="006851E4">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Sebastián Ramírez Grisales</w:t>
            </w:r>
          </w:p>
          <w:p w14:paraId="130B3228" w14:textId="56655E9B" w:rsidR="00DD5B04" w:rsidRPr="0085790B" w:rsidRDefault="006851E4" w:rsidP="00DF76A2">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 xml:space="preserve">Gestor T1 – Grado 15 </w:t>
            </w:r>
            <w:r w:rsidRPr="00781A1B">
              <w:rPr>
                <w:rFonts w:ascii="Arial" w:eastAsia="Times New Roman" w:hAnsi="Arial" w:cs="Arial"/>
                <w:color w:val="000000" w:themeColor="text1"/>
                <w:sz w:val="16"/>
                <w:szCs w:val="16"/>
                <w:lang w:val="es-ES_tradnl" w:eastAsia="es-ES"/>
              </w:rPr>
              <w:t>Subdirección de Gestión Contractual</w:t>
            </w:r>
          </w:p>
        </w:tc>
      </w:tr>
      <w:tr w:rsidR="00DD5B04" w:rsidRPr="0085790B" w14:paraId="0FCBCA4A" w14:textId="77777777" w:rsidTr="00083F1B">
        <w:trPr>
          <w:trHeight w:val="300"/>
        </w:trPr>
        <w:tc>
          <w:tcPr>
            <w:tcW w:w="812" w:type="dxa"/>
            <w:vAlign w:val="center"/>
            <w:hideMark/>
          </w:tcPr>
          <w:p w14:paraId="3C1D943A" w14:textId="77777777" w:rsidR="00DD5B04" w:rsidRPr="0085790B" w:rsidRDefault="00DD5B04" w:rsidP="00DF76A2">
            <w:pPr>
              <w:jc w:val="both"/>
              <w:rPr>
                <w:rFonts w:ascii="Arial" w:eastAsia="Times New Roman" w:hAnsi="Arial" w:cs="Arial"/>
                <w:color w:val="000000" w:themeColor="text1"/>
                <w:sz w:val="16"/>
                <w:szCs w:val="16"/>
                <w:lang w:val="es-ES_tradnl" w:eastAsia="es-ES"/>
              </w:rPr>
            </w:pPr>
            <w:r w:rsidRPr="0085790B">
              <w:rPr>
                <w:rFonts w:ascii="Arial" w:eastAsia="Times New Roman"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7777777" w:rsidR="006A55EE" w:rsidRPr="0085790B" w:rsidRDefault="006A55EE" w:rsidP="00DF76A2">
            <w:pPr>
              <w:jc w:val="both"/>
              <w:rPr>
                <w:rFonts w:ascii="Arial" w:eastAsia="Times New Roman" w:hAnsi="Arial" w:cs="Arial"/>
                <w:color w:val="000000" w:themeColor="text1"/>
                <w:sz w:val="16"/>
                <w:szCs w:val="16"/>
                <w:lang w:val="es-ES_tradnl" w:eastAsia="es-ES"/>
              </w:rPr>
            </w:pPr>
            <w:r w:rsidRPr="0085790B">
              <w:rPr>
                <w:rFonts w:ascii="Arial" w:eastAsia="Times New Roman" w:hAnsi="Arial" w:cs="Arial"/>
                <w:color w:val="000000" w:themeColor="text1"/>
                <w:sz w:val="16"/>
                <w:szCs w:val="16"/>
                <w:lang w:val="es-ES_tradnl" w:eastAsia="es-ES"/>
              </w:rPr>
              <w:t xml:space="preserve">Andrés Ricardo Mancipe González </w:t>
            </w:r>
          </w:p>
          <w:p w14:paraId="1ADC483B" w14:textId="0BF77DE8" w:rsidR="00DD5B04" w:rsidRPr="0085790B" w:rsidRDefault="00DD5B04" w:rsidP="00DF76A2">
            <w:pPr>
              <w:jc w:val="both"/>
              <w:rPr>
                <w:rFonts w:ascii="Arial" w:eastAsia="Times New Roman" w:hAnsi="Arial" w:cs="Arial"/>
                <w:color w:val="000000" w:themeColor="text1"/>
                <w:sz w:val="16"/>
                <w:szCs w:val="16"/>
                <w:lang w:val="es-ES_tradnl" w:eastAsia="es-ES"/>
              </w:rPr>
            </w:pPr>
            <w:r w:rsidRPr="0085790B">
              <w:rPr>
                <w:rFonts w:ascii="Arial" w:eastAsia="Times New Roman" w:hAnsi="Arial" w:cs="Arial"/>
                <w:color w:val="000000" w:themeColor="text1"/>
                <w:sz w:val="16"/>
                <w:szCs w:val="16"/>
                <w:lang w:val="es-ES_tradnl" w:eastAsia="es-ES"/>
              </w:rPr>
              <w:t>Subdirector de Gestión Contractual</w:t>
            </w:r>
            <w:r w:rsidR="006A55EE" w:rsidRPr="0085790B">
              <w:rPr>
                <w:rFonts w:ascii="Arial" w:eastAsia="Times New Roman" w:hAnsi="Arial" w:cs="Arial"/>
                <w:color w:val="000000" w:themeColor="text1"/>
                <w:sz w:val="16"/>
                <w:szCs w:val="16"/>
                <w:lang w:val="es-ES_tradnl" w:eastAsia="es-ES"/>
              </w:rPr>
              <w:t xml:space="preserve"> (E)</w:t>
            </w:r>
          </w:p>
        </w:tc>
      </w:tr>
    </w:tbl>
    <w:p w14:paraId="35B56F46" w14:textId="77777777" w:rsidR="00746E08" w:rsidRPr="0085790B" w:rsidRDefault="00746E08" w:rsidP="00DF76A2">
      <w:pPr>
        <w:jc w:val="both"/>
        <w:rPr>
          <w:rFonts w:ascii="Arial" w:hAnsi="Arial" w:cs="Arial"/>
          <w:lang w:val="es-ES_tradnl"/>
        </w:rPr>
      </w:pPr>
    </w:p>
    <w:sectPr w:rsidR="00746E08" w:rsidRPr="0085790B"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C0A98" w14:textId="77777777" w:rsidR="00016437" w:rsidRDefault="00016437">
      <w:r>
        <w:separator/>
      </w:r>
    </w:p>
  </w:endnote>
  <w:endnote w:type="continuationSeparator" w:id="0">
    <w:p w14:paraId="43C7EBEE" w14:textId="77777777" w:rsidR="00016437" w:rsidRDefault="00016437">
      <w:r>
        <w:continuationSeparator/>
      </w:r>
    </w:p>
  </w:endnote>
  <w:endnote w:type="continuationNotice" w:id="1">
    <w:p w14:paraId="556AAB46" w14:textId="77777777" w:rsidR="00016437" w:rsidRDefault="000164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6A59DE" w:rsidRDefault="006A59DE" w:rsidP="00322937">
    <w:pPr>
      <w:pStyle w:val="Sinespaciado"/>
      <w:jc w:val="right"/>
      <w:rPr>
        <w:rFonts w:ascii="Arial" w:hAnsi="Arial" w:cs="Arial"/>
        <w:sz w:val="18"/>
        <w:szCs w:val="18"/>
      </w:rPr>
    </w:pPr>
  </w:p>
  <w:p w14:paraId="7A3785F3" w14:textId="2EF28465" w:rsidR="006A59DE" w:rsidRPr="008217B7" w:rsidRDefault="006A59D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6A59DE" w:rsidRDefault="006A59DE"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6A59DE" w:rsidRDefault="006A59DE" w:rsidP="007B0854">
    <w:pPr>
      <w:pStyle w:val="Piedepgina"/>
      <w:jc w:val="center"/>
      <w:rPr>
        <w:lang w:val="es-ES"/>
      </w:rPr>
    </w:pPr>
  </w:p>
  <w:p w14:paraId="6C0EFC49" w14:textId="77777777" w:rsidR="006A59DE" w:rsidRPr="007B0854" w:rsidRDefault="006A59D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B0142" w14:textId="77777777" w:rsidR="00016437" w:rsidRDefault="00016437">
      <w:r>
        <w:separator/>
      </w:r>
    </w:p>
  </w:footnote>
  <w:footnote w:type="continuationSeparator" w:id="0">
    <w:p w14:paraId="03672392" w14:textId="77777777" w:rsidR="00016437" w:rsidRDefault="00016437">
      <w:r>
        <w:continuationSeparator/>
      </w:r>
    </w:p>
  </w:footnote>
  <w:footnote w:type="continuationNotice" w:id="1">
    <w:p w14:paraId="041E33CA" w14:textId="77777777" w:rsidR="00016437" w:rsidRDefault="00016437"/>
  </w:footnote>
  <w:footnote w:id="2">
    <w:p w14:paraId="3950AD85" w14:textId="77777777" w:rsidR="00364B58" w:rsidRPr="00F666D0" w:rsidRDefault="00364B58" w:rsidP="00364B58">
      <w:pPr>
        <w:pStyle w:val="Textonotapie"/>
        <w:ind w:firstLine="708"/>
        <w:jc w:val="both"/>
        <w:rPr>
          <w:rFonts w:ascii="Arial" w:hAnsi="Arial" w:cs="Arial"/>
          <w:color w:val="000000" w:themeColor="text1"/>
          <w:sz w:val="19"/>
          <w:szCs w:val="19"/>
        </w:rPr>
      </w:pPr>
      <w:r w:rsidRPr="00F666D0">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r w:rsidRPr="00F666D0">
        <w:rPr>
          <w:rFonts w:ascii="Arial" w:hAnsi="Arial" w:cs="Arial"/>
          <w:color w:val="000000" w:themeColor="text1"/>
          <w:sz w:val="19"/>
          <w:szCs w:val="19"/>
        </w:rPr>
        <w:t xml:space="preserve">CONSEJO DE ESTADO. Sección Tercera. Subsección A. </w:t>
      </w:r>
      <w:r>
        <w:rPr>
          <w:rFonts w:ascii="Arial" w:hAnsi="Arial" w:cs="Arial"/>
          <w:color w:val="000000" w:themeColor="text1"/>
          <w:sz w:val="19"/>
          <w:szCs w:val="19"/>
        </w:rPr>
        <w:t>Auto</w:t>
      </w:r>
      <w:r w:rsidRPr="00F666D0">
        <w:rPr>
          <w:rFonts w:ascii="Arial" w:hAnsi="Arial" w:cs="Arial"/>
          <w:color w:val="000000" w:themeColor="text1"/>
          <w:sz w:val="19"/>
          <w:szCs w:val="19"/>
        </w:rPr>
        <w:t xml:space="preserve"> del 25 de julio de 2018. </w:t>
      </w:r>
      <w:r>
        <w:rPr>
          <w:rFonts w:ascii="Arial" w:hAnsi="Arial" w:cs="Arial"/>
          <w:color w:val="000000" w:themeColor="text1"/>
          <w:sz w:val="19"/>
          <w:szCs w:val="19"/>
        </w:rPr>
        <w:t>Rad.</w:t>
      </w:r>
      <w:r w:rsidRPr="00F666D0">
        <w:rPr>
          <w:rFonts w:ascii="Arial" w:hAnsi="Arial" w:cs="Arial"/>
          <w:color w:val="000000" w:themeColor="text1"/>
          <w:sz w:val="19"/>
          <w:szCs w:val="19"/>
        </w:rPr>
        <w:t xml:space="preserve"> 56</w:t>
      </w:r>
      <w:r>
        <w:rPr>
          <w:rFonts w:ascii="Arial" w:hAnsi="Arial" w:cs="Arial"/>
          <w:color w:val="000000" w:themeColor="text1"/>
          <w:sz w:val="19"/>
          <w:szCs w:val="19"/>
        </w:rPr>
        <w:t>.</w:t>
      </w:r>
      <w:r w:rsidRPr="00F666D0">
        <w:rPr>
          <w:rFonts w:ascii="Arial" w:hAnsi="Arial" w:cs="Arial"/>
          <w:color w:val="000000" w:themeColor="text1"/>
          <w:sz w:val="19"/>
          <w:szCs w:val="19"/>
        </w:rPr>
        <w:t xml:space="preserve">165A. </w:t>
      </w:r>
      <w:r>
        <w:rPr>
          <w:rFonts w:ascii="Arial" w:hAnsi="Arial" w:cs="Arial"/>
          <w:color w:val="000000" w:themeColor="text1"/>
          <w:sz w:val="19"/>
          <w:szCs w:val="19"/>
        </w:rPr>
        <w:t>C</w:t>
      </w:r>
      <w:r w:rsidRPr="00F666D0">
        <w:rPr>
          <w:rFonts w:ascii="Arial" w:hAnsi="Arial" w:cs="Arial"/>
          <w:color w:val="000000" w:themeColor="text1"/>
          <w:sz w:val="19"/>
          <w:szCs w:val="19"/>
        </w:rPr>
        <w:t xml:space="preserve">.P. Marta Nubia Velásquez Rico. </w:t>
      </w:r>
    </w:p>
    <w:p w14:paraId="671D9AB6" w14:textId="77777777" w:rsidR="00364B58" w:rsidRPr="00F666D0" w:rsidRDefault="00364B58" w:rsidP="00364B58">
      <w:pPr>
        <w:pStyle w:val="Textonotapie"/>
        <w:ind w:firstLine="708"/>
        <w:jc w:val="both"/>
        <w:rPr>
          <w:rFonts w:ascii="Arial" w:hAnsi="Arial" w:cs="Arial"/>
          <w:color w:val="000000" w:themeColor="text1"/>
          <w:sz w:val="19"/>
          <w:szCs w:val="19"/>
          <w:lang w:val="es-ES"/>
        </w:rPr>
      </w:pPr>
    </w:p>
  </w:footnote>
  <w:footnote w:id="3">
    <w:p w14:paraId="75C51852" w14:textId="77777777" w:rsidR="00364B58" w:rsidRPr="00F666D0" w:rsidRDefault="00364B58" w:rsidP="00364B58">
      <w:pPr>
        <w:pStyle w:val="Textonotapie"/>
        <w:ind w:firstLine="708"/>
        <w:jc w:val="both"/>
        <w:rPr>
          <w:rFonts w:ascii="Arial" w:hAnsi="Arial" w:cs="Arial"/>
          <w:color w:val="000000" w:themeColor="text1"/>
          <w:sz w:val="19"/>
          <w:szCs w:val="19"/>
          <w:lang w:val="es-ES"/>
        </w:rPr>
      </w:pPr>
      <w:r w:rsidRPr="00F666D0">
        <w:rPr>
          <w:rStyle w:val="Refdenotaalpie"/>
          <w:rFonts w:ascii="Arial" w:hAnsi="Arial" w:cs="Arial"/>
          <w:color w:val="000000" w:themeColor="text1"/>
          <w:sz w:val="19"/>
          <w:szCs w:val="19"/>
        </w:rPr>
        <w:footnoteRef/>
      </w:r>
      <w:r w:rsidRPr="00F666D0">
        <w:rPr>
          <w:rFonts w:ascii="Arial" w:hAnsi="Arial" w:cs="Arial"/>
          <w:color w:val="000000" w:themeColor="text1"/>
          <w:sz w:val="19"/>
          <w:szCs w:val="19"/>
        </w:rPr>
        <w:t xml:space="preserve"> </w:t>
      </w:r>
      <w:bookmarkStart w:id="5" w:name="_Hlk43903111"/>
      <w:r w:rsidRPr="00F666D0">
        <w:rPr>
          <w:rFonts w:ascii="Arial" w:hAnsi="Arial" w:cs="Arial"/>
          <w:color w:val="000000" w:themeColor="text1"/>
          <w:sz w:val="19"/>
          <w:szCs w:val="19"/>
        </w:rPr>
        <w:t xml:space="preserve">CONSEJO DE ESTADO. Sección Tercera. Subsección A. </w:t>
      </w:r>
      <w:r>
        <w:rPr>
          <w:rFonts w:ascii="Arial" w:hAnsi="Arial" w:cs="Arial"/>
          <w:color w:val="000000" w:themeColor="text1"/>
          <w:sz w:val="19"/>
          <w:szCs w:val="19"/>
        </w:rPr>
        <w:t>Auto</w:t>
      </w:r>
      <w:r w:rsidRPr="00F666D0">
        <w:rPr>
          <w:rFonts w:ascii="Arial" w:hAnsi="Arial" w:cs="Arial"/>
          <w:color w:val="000000" w:themeColor="text1"/>
          <w:sz w:val="19"/>
          <w:szCs w:val="19"/>
        </w:rPr>
        <w:t xml:space="preserve"> del 20 de febrero de 2019. </w:t>
      </w:r>
      <w:r>
        <w:rPr>
          <w:rFonts w:ascii="Arial" w:hAnsi="Arial" w:cs="Arial"/>
          <w:color w:val="000000" w:themeColor="text1"/>
          <w:sz w:val="19"/>
          <w:szCs w:val="19"/>
        </w:rPr>
        <w:t>Rad.</w:t>
      </w:r>
      <w:r w:rsidRPr="00F666D0">
        <w:rPr>
          <w:rFonts w:ascii="Arial" w:hAnsi="Arial" w:cs="Arial"/>
          <w:color w:val="000000" w:themeColor="text1"/>
          <w:sz w:val="19"/>
          <w:szCs w:val="19"/>
        </w:rPr>
        <w:t xml:space="preserve"> 61</w:t>
      </w:r>
      <w:r>
        <w:rPr>
          <w:rFonts w:ascii="Arial" w:hAnsi="Arial" w:cs="Arial"/>
          <w:color w:val="000000" w:themeColor="text1"/>
          <w:sz w:val="19"/>
          <w:szCs w:val="19"/>
        </w:rPr>
        <w:t>.</w:t>
      </w:r>
      <w:r w:rsidRPr="00F666D0">
        <w:rPr>
          <w:rFonts w:ascii="Arial" w:hAnsi="Arial" w:cs="Arial"/>
          <w:color w:val="000000" w:themeColor="text1"/>
          <w:sz w:val="19"/>
          <w:szCs w:val="19"/>
        </w:rPr>
        <w:t xml:space="preserve">463. </w:t>
      </w:r>
      <w:r>
        <w:rPr>
          <w:rFonts w:ascii="Arial" w:hAnsi="Arial" w:cs="Arial"/>
          <w:color w:val="000000" w:themeColor="text1"/>
          <w:sz w:val="19"/>
          <w:szCs w:val="19"/>
        </w:rPr>
        <w:t>C</w:t>
      </w:r>
      <w:r w:rsidRPr="00F666D0">
        <w:rPr>
          <w:rFonts w:ascii="Arial" w:hAnsi="Arial" w:cs="Arial"/>
          <w:color w:val="000000" w:themeColor="text1"/>
          <w:sz w:val="19"/>
          <w:szCs w:val="19"/>
        </w:rPr>
        <w:t>.P. Carlos Alberto Zambrano Barrera.</w:t>
      </w:r>
      <w:bookmarkEnd w:id="5"/>
    </w:p>
  </w:footnote>
  <w:footnote w:id="4">
    <w:p w14:paraId="25430AAF" w14:textId="77777777" w:rsidR="00364B58" w:rsidRPr="008709D9" w:rsidRDefault="00364B58" w:rsidP="00364B58">
      <w:pPr>
        <w:pStyle w:val="Textonotapie"/>
        <w:ind w:firstLine="708"/>
        <w:jc w:val="both"/>
        <w:rPr>
          <w:rFonts w:ascii="Arial" w:hAnsi="Arial" w:cs="Arial"/>
          <w:sz w:val="19"/>
          <w:szCs w:val="19"/>
        </w:rPr>
      </w:pPr>
      <w:r w:rsidRPr="005F0964">
        <w:rPr>
          <w:rStyle w:val="Refdenotaalpie"/>
          <w:rFonts w:ascii="Arial" w:hAnsi="Arial" w:cs="Arial"/>
          <w:sz w:val="19"/>
          <w:szCs w:val="19"/>
        </w:rPr>
        <w:footnoteRef/>
      </w:r>
      <w:r w:rsidRPr="005F0964">
        <w:rPr>
          <w:rFonts w:ascii="Arial" w:hAnsi="Arial" w:cs="Arial"/>
          <w:sz w:val="19"/>
          <w:szCs w:val="19"/>
        </w:rPr>
        <w:t xml:space="preserve"> </w:t>
      </w:r>
      <w:r>
        <w:rPr>
          <w:rFonts w:ascii="Arial" w:hAnsi="Arial" w:cs="Arial"/>
          <w:sz w:val="19"/>
          <w:szCs w:val="19"/>
        </w:rPr>
        <w:t xml:space="preserve">Sobre este aspecto, «[…] </w:t>
      </w:r>
      <w:r w:rsidRPr="008709D9">
        <w:rPr>
          <w:rFonts w:ascii="Arial" w:hAnsi="Arial" w:cs="Arial"/>
          <w:sz w:val="19"/>
          <w:szCs w:val="19"/>
        </w:rPr>
        <w:t>los numerales 3, 4 y 5 del artículo 2.2.1.2.1.3.2 del decreto acusado resultan violatorios del citado artículo 5, numeral 4, de la Ley 1150 de 2007, pues, en efecto, revisar la coherencia del «… precio ofrecido …» con la disponibilidad presupuestal (núm. 4, art. 2.2.1.2.1.3.2), así como disponer que se debe llegar a un «acuerdo» sobre el mismo (numerales 4 y 5, art. 2.2.1.2.1.3.2), como lo hace el decreto acusado, desconoce el principio de selección objetiva, en la medida en que incluir factores económicos en los concursos de méritos implica, necesariamente, que el precio se torne determinante para la escogencia de los contratistas, circunstancia que, como se ve, viola la citada norma, pues en ningún caso el precio puede ser factor de escogencia bajo la modalidad del concurso de méritos.</w:t>
      </w:r>
    </w:p>
    <w:p w14:paraId="17FDB005" w14:textId="77777777" w:rsidR="00364B58" w:rsidRDefault="00364B58" w:rsidP="00364B58">
      <w:pPr>
        <w:pStyle w:val="Textonotapie"/>
        <w:ind w:firstLine="708"/>
        <w:jc w:val="both"/>
        <w:rPr>
          <w:rFonts w:ascii="Arial" w:hAnsi="Arial" w:cs="Arial"/>
          <w:sz w:val="19"/>
          <w:szCs w:val="19"/>
        </w:rPr>
      </w:pPr>
      <w:r>
        <w:rPr>
          <w:rFonts w:ascii="Arial" w:hAnsi="Arial" w:cs="Arial"/>
          <w:sz w:val="19"/>
          <w:szCs w:val="19"/>
        </w:rPr>
        <w:t>»</w:t>
      </w:r>
      <w:r w:rsidRPr="008709D9">
        <w:rPr>
          <w:rFonts w:ascii="Arial" w:hAnsi="Arial" w:cs="Arial"/>
          <w:sz w:val="19"/>
          <w:szCs w:val="19"/>
        </w:rPr>
        <w:t>Sumado a lo anterior, el Despacho encuentra que los numerales 4 y 5 del artículo 2.2.1.2.1.3.2 del decreto acusado violan lo dispuesto en el numeral 2 del artículo 25 de la ley 80 de 1993, pues es claro que se siguen «… trámites distintos y adicionales a los expresamente previstos …» en la ley; en efecto, celebrar un «acuerdo» sobre el precio ofrecido es una situación que, de una u otra forma, aboca a la entidad a una segunda evaluación de lo que para ella sería la oferta más favorable –según el precio–, cuando para este segundo momento se supone que ya se debió haber verificado el cumplimiento de los requisitos exigidos en los pliegos de condiciones para la escogencia del contratista; en consecuencia, no se entiende porqué, luego de agotado todo el procedimiento de selección objetiva, se tenga que realizar un acuerdo sobre el precio ofrecido</w:t>
      </w:r>
      <w:r>
        <w:rPr>
          <w:rFonts w:ascii="Arial" w:hAnsi="Arial" w:cs="Arial"/>
          <w:sz w:val="19"/>
          <w:szCs w:val="19"/>
        </w:rPr>
        <w:t>» (</w:t>
      </w:r>
      <w:r w:rsidRPr="008709D9">
        <w:rPr>
          <w:rFonts w:ascii="Arial" w:hAnsi="Arial" w:cs="Arial"/>
          <w:sz w:val="19"/>
          <w:szCs w:val="19"/>
        </w:rPr>
        <w:t>CONSEJO DE ESTADO. Sección Tercera. Subsección A. Auto del 20 de febrero de 2019. Rad. 61.463. C.P. Carlos Alberto Zambrano Barrera</w:t>
      </w:r>
      <w:r>
        <w:rPr>
          <w:rFonts w:ascii="Arial" w:hAnsi="Arial" w:cs="Arial"/>
          <w:sz w:val="19"/>
          <w:szCs w:val="19"/>
        </w:rPr>
        <w:t>)</w:t>
      </w:r>
      <w:r w:rsidRPr="008709D9">
        <w:rPr>
          <w:rFonts w:ascii="Arial" w:hAnsi="Arial" w:cs="Arial"/>
          <w:sz w:val="19"/>
          <w:szCs w:val="19"/>
        </w:rPr>
        <w:t>.</w:t>
      </w:r>
    </w:p>
    <w:p w14:paraId="7A567E7D" w14:textId="77777777" w:rsidR="00364B58" w:rsidRPr="005F0964" w:rsidRDefault="00364B58" w:rsidP="00364B58">
      <w:pPr>
        <w:pStyle w:val="Textonotapie"/>
        <w:ind w:firstLine="708"/>
        <w:jc w:val="both"/>
        <w:rPr>
          <w:rFonts w:ascii="Arial" w:hAnsi="Arial" w:cs="Arial"/>
          <w:sz w:val="19"/>
          <w:szCs w:val="19"/>
          <w:lang w:val="es-ES"/>
        </w:rPr>
      </w:pPr>
    </w:p>
  </w:footnote>
  <w:footnote w:id="5">
    <w:p w14:paraId="633F76F9" w14:textId="77777777" w:rsidR="00364B58" w:rsidRPr="00AE4FF6" w:rsidRDefault="00364B58" w:rsidP="00364B58">
      <w:pPr>
        <w:pStyle w:val="Textonotapie"/>
        <w:ind w:firstLine="708"/>
        <w:jc w:val="both"/>
        <w:rPr>
          <w:rFonts w:ascii="Arial" w:hAnsi="Arial" w:cs="Arial"/>
          <w:color w:val="000000" w:themeColor="text1"/>
          <w:sz w:val="19"/>
          <w:szCs w:val="19"/>
        </w:rPr>
      </w:pPr>
      <w:r w:rsidRPr="00AE4FF6">
        <w:rPr>
          <w:rStyle w:val="Refdenotaalpie"/>
          <w:rFonts w:ascii="Arial" w:hAnsi="Arial" w:cs="Arial"/>
          <w:sz w:val="19"/>
          <w:szCs w:val="19"/>
        </w:rPr>
        <w:footnoteRef/>
      </w:r>
      <w:r w:rsidRPr="00AE4FF6">
        <w:rPr>
          <w:rFonts w:ascii="Arial" w:hAnsi="Arial" w:cs="Arial"/>
          <w:sz w:val="19"/>
          <w:szCs w:val="19"/>
        </w:rPr>
        <w:t xml:space="preserve"> </w:t>
      </w:r>
      <w:r>
        <w:rPr>
          <w:rFonts w:ascii="Arial" w:hAnsi="Arial" w:cs="Arial"/>
          <w:sz w:val="19"/>
          <w:szCs w:val="19"/>
        </w:rPr>
        <w:t>En efecto, «</w:t>
      </w:r>
      <w:r>
        <w:t xml:space="preserve">[…] </w:t>
      </w:r>
      <w:r w:rsidRPr="00AE4FF6">
        <w:rPr>
          <w:rFonts w:ascii="Arial" w:hAnsi="Arial" w:cs="Arial"/>
          <w:sz w:val="19"/>
          <w:szCs w:val="19"/>
        </w:rPr>
        <w:t>cuando el numeral 6 del artículo 2.2.1.2.1.3.2 del Decreto 1082 de</w:t>
      </w:r>
      <w:r>
        <w:rPr>
          <w:rFonts w:ascii="Arial" w:hAnsi="Arial" w:cs="Arial"/>
          <w:sz w:val="19"/>
          <w:szCs w:val="19"/>
        </w:rPr>
        <w:t xml:space="preserve"> </w:t>
      </w:r>
      <w:r w:rsidRPr="00AE4FF6">
        <w:rPr>
          <w:rFonts w:ascii="Arial" w:hAnsi="Arial" w:cs="Arial"/>
          <w:sz w:val="19"/>
          <w:szCs w:val="19"/>
        </w:rPr>
        <w:t>2015 dispuso que la entidad estatal debe declarar desierto el concurso de méritos</w:t>
      </w:r>
      <w:r>
        <w:rPr>
          <w:rFonts w:ascii="Arial" w:hAnsi="Arial" w:cs="Arial"/>
          <w:sz w:val="19"/>
          <w:szCs w:val="19"/>
        </w:rPr>
        <w:t xml:space="preserve"> </w:t>
      </w:r>
      <w:r w:rsidRPr="00AE4FF6">
        <w:rPr>
          <w:rFonts w:ascii="Arial" w:hAnsi="Arial" w:cs="Arial"/>
          <w:sz w:val="19"/>
          <w:szCs w:val="19"/>
        </w:rPr>
        <w:t>cuando aquella no llegue a un acuerdo con el segundo lugar de elegibilidad, sí</w:t>
      </w:r>
      <w:r>
        <w:rPr>
          <w:rFonts w:ascii="Arial" w:hAnsi="Arial" w:cs="Arial"/>
          <w:sz w:val="19"/>
          <w:szCs w:val="19"/>
        </w:rPr>
        <w:t xml:space="preserve"> </w:t>
      </w:r>
      <w:r w:rsidRPr="00AE4FF6">
        <w:rPr>
          <w:rFonts w:ascii="Arial" w:hAnsi="Arial" w:cs="Arial"/>
          <w:sz w:val="19"/>
          <w:szCs w:val="19"/>
        </w:rPr>
        <w:t>excedió el contenido de los artículos 25 (numeral 18) de la Ley 80 de 1993 y 5 de</w:t>
      </w:r>
      <w:r>
        <w:rPr>
          <w:rFonts w:ascii="Arial" w:hAnsi="Arial" w:cs="Arial"/>
          <w:sz w:val="19"/>
          <w:szCs w:val="19"/>
        </w:rPr>
        <w:t xml:space="preserve"> </w:t>
      </w:r>
      <w:r w:rsidRPr="00AE4FF6">
        <w:rPr>
          <w:rFonts w:ascii="Arial" w:hAnsi="Arial" w:cs="Arial"/>
          <w:sz w:val="19"/>
          <w:szCs w:val="19"/>
        </w:rPr>
        <w:t>la Ley 1150 de 2007, puesto que, se reitera, dado que el legislador previó dicha</w:t>
      </w:r>
      <w:r>
        <w:rPr>
          <w:rFonts w:ascii="Arial" w:hAnsi="Arial" w:cs="Arial"/>
          <w:sz w:val="19"/>
          <w:szCs w:val="19"/>
        </w:rPr>
        <w:t xml:space="preserve"> </w:t>
      </w:r>
      <w:r w:rsidRPr="00AE4FF6">
        <w:rPr>
          <w:rFonts w:ascii="Arial" w:hAnsi="Arial" w:cs="Arial"/>
          <w:sz w:val="19"/>
          <w:szCs w:val="19"/>
        </w:rPr>
        <w:t>decisión para cuando se presentaran motivos que impidieran la selección objetiva,</w:t>
      </w:r>
      <w:r>
        <w:rPr>
          <w:rFonts w:ascii="Arial" w:hAnsi="Arial" w:cs="Arial"/>
          <w:sz w:val="19"/>
          <w:szCs w:val="19"/>
        </w:rPr>
        <w:t xml:space="preserve"> </w:t>
      </w:r>
      <w:r w:rsidRPr="00AE4FF6">
        <w:rPr>
          <w:rFonts w:ascii="Arial" w:hAnsi="Arial" w:cs="Arial"/>
          <w:sz w:val="19"/>
          <w:szCs w:val="19"/>
        </w:rPr>
        <w:t>sin restringirlos</w:t>
      </w:r>
      <w:r>
        <w:rPr>
          <w:rFonts w:ascii="Arial" w:hAnsi="Arial" w:cs="Arial"/>
          <w:sz w:val="19"/>
          <w:szCs w:val="19"/>
        </w:rPr>
        <w:t>» (</w:t>
      </w:r>
      <w:r w:rsidRPr="00F666D0">
        <w:rPr>
          <w:rFonts w:ascii="Arial" w:hAnsi="Arial" w:cs="Arial"/>
          <w:color w:val="000000" w:themeColor="text1"/>
          <w:sz w:val="19"/>
          <w:szCs w:val="19"/>
        </w:rPr>
        <w:t xml:space="preserve">CONSEJO DE ESTADO. Sección Tercera. Subsección A. </w:t>
      </w:r>
      <w:r>
        <w:rPr>
          <w:rFonts w:ascii="Arial" w:hAnsi="Arial" w:cs="Arial"/>
          <w:color w:val="000000" w:themeColor="text1"/>
          <w:sz w:val="19"/>
          <w:szCs w:val="19"/>
        </w:rPr>
        <w:t>Auto</w:t>
      </w:r>
      <w:r w:rsidRPr="00F666D0">
        <w:rPr>
          <w:rFonts w:ascii="Arial" w:hAnsi="Arial" w:cs="Arial"/>
          <w:color w:val="000000" w:themeColor="text1"/>
          <w:sz w:val="19"/>
          <w:szCs w:val="19"/>
        </w:rPr>
        <w:t xml:space="preserve"> del 25 de julio de 2018. </w:t>
      </w:r>
      <w:r>
        <w:rPr>
          <w:rFonts w:ascii="Arial" w:hAnsi="Arial" w:cs="Arial"/>
          <w:color w:val="000000" w:themeColor="text1"/>
          <w:sz w:val="19"/>
          <w:szCs w:val="19"/>
        </w:rPr>
        <w:t>Rad.</w:t>
      </w:r>
      <w:r w:rsidRPr="00F666D0">
        <w:rPr>
          <w:rFonts w:ascii="Arial" w:hAnsi="Arial" w:cs="Arial"/>
          <w:color w:val="000000" w:themeColor="text1"/>
          <w:sz w:val="19"/>
          <w:szCs w:val="19"/>
        </w:rPr>
        <w:t xml:space="preserve"> 56</w:t>
      </w:r>
      <w:r>
        <w:rPr>
          <w:rFonts w:ascii="Arial" w:hAnsi="Arial" w:cs="Arial"/>
          <w:color w:val="000000" w:themeColor="text1"/>
          <w:sz w:val="19"/>
          <w:szCs w:val="19"/>
        </w:rPr>
        <w:t>.</w:t>
      </w:r>
      <w:r w:rsidRPr="00F666D0">
        <w:rPr>
          <w:rFonts w:ascii="Arial" w:hAnsi="Arial" w:cs="Arial"/>
          <w:color w:val="000000" w:themeColor="text1"/>
          <w:sz w:val="19"/>
          <w:szCs w:val="19"/>
        </w:rPr>
        <w:t xml:space="preserve">165A. </w:t>
      </w:r>
      <w:r>
        <w:rPr>
          <w:rFonts w:ascii="Arial" w:hAnsi="Arial" w:cs="Arial"/>
          <w:color w:val="000000" w:themeColor="text1"/>
          <w:sz w:val="19"/>
          <w:szCs w:val="19"/>
        </w:rPr>
        <w:t>C</w:t>
      </w:r>
      <w:r w:rsidRPr="00F666D0">
        <w:rPr>
          <w:rFonts w:ascii="Arial" w:hAnsi="Arial" w:cs="Arial"/>
          <w:color w:val="000000" w:themeColor="text1"/>
          <w:sz w:val="19"/>
          <w:szCs w:val="19"/>
        </w:rPr>
        <w:t>.P. Marta Nubia Velásquez Rico</w:t>
      </w:r>
      <w:r>
        <w:rPr>
          <w:rFonts w:ascii="Arial" w:hAnsi="Arial" w:cs="Arial"/>
          <w:color w:val="000000" w:themeColor="text1"/>
          <w:sz w:val="19"/>
          <w:szCs w:val="19"/>
        </w:rPr>
        <w:t>)</w:t>
      </w:r>
      <w:r w:rsidRPr="00AE4FF6">
        <w:rPr>
          <w:rFonts w:ascii="Arial" w:hAnsi="Arial" w:cs="Arial"/>
          <w:sz w:val="19"/>
          <w:szCs w:val="19"/>
        </w:rPr>
        <w:t>.</w:t>
      </w:r>
    </w:p>
  </w:footnote>
  <w:footnote w:id="6">
    <w:p w14:paraId="14C40826" w14:textId="77777777" w:rsidR="00364B58" w:rsidRDefault="00364B58" w:rsidP="00364B58">
      <w:pPr>
        <w:pStyle w:val="Textonotapie"/>
        <w:ind w:firstLine="708"/>
        <w:jc w:val="both"/>
        <w:rPr>
          <w:rFonts w:ascii="Arial" w:hAnsi="Arial" w:cs="Arial"/>
          <w:sz w:val="19"/>
          <w:szCs w:val="19"/>
        </w:rPr>
      </w:pPr>
      <w:r w:rsidRPr="00675BFE">
        <w:rPr>
          <w:rStyle w:val="Refdenotaalpie"/>
          <w:rFonts w:ascii="Arial" w:hAnsi="Arial" w:cs="Arial"/>
          <w:sz w:val="19"/>
          <w:szCs w:val="19"/>
        </w:rPr>
        <w:footnoteRef/>
      </w:r>
      <w:r w:rsidRPr="00675BFE">
        <w:rPr>
          <w:rFonts w:ascii="Arial" w:hAnsi="Arial" w:cs="Arial"/>
          <w:sz w:val="19"/>
          <w:szCs w:val="19"/>
        </w:rPr>
        <w:t xml:space="preserve"> </w:t>
      </w:r>
      <w:r>
        <w:rPr>
          <w:rFonts w:ascii="Arial" w:hAnsi="Arial" w:cs="Arial"/>
          <w:sz w:val="19"/>
          <w:szCs w:val="19"/>
        </w:rPr>
        <w:t>En efecto, «La adjudicación es una etapa previa al contrato. No es el contrato sino un acto administrativo pre-contractual que declara la propuesta aceptable y por el cual el licitante se obliga a efectuar los actos integrativos del procedimiento y formalización contractual» (</w:t>
      </w:r>
      <w:r w:rsidRPr="00DE7335">
        <w:rPr>
          <w:rFonts w:ascii="Arial" w:hAnsi="Arial" w:cs="Arial"/>
          <w:sz w:val="19"/>
          <w:szCs w:val="19"/>
        </w:rPr>
        <w:t xml:space="preserve">DROMI, José Roberto. La licitación pública. Buenos Aires: Ciudad Argentina, 1980. p. </w:t>
      </w:r>
      <w:r>
        <w:rPr>
          <w:rFonts w:ascii="Arial" w:hAnsi="Arial" w:cs="Arial"/>
          <w:sz w:val="19"/>
          <w:szCs w:val="19"/>
        </w:rPr>
        <w:t>390)</w:t>
      </w:r>
      <w:r w:rsidRPr="00DE7335">
        <w:rPr>
          <w:rFonts w:ascii="Arial" w:hAnsi="Arial" w:cs="Arial"/>
          <w:sz w:val="19"/>
          <w:szCs w:val="19"/>
        </w:rPr>
        <w:t>.</w:t>
      </w:r>
      <w:r>
        <w:rPr>
          <w:rFonts w:ascii="Arial" w:hAnsi="Arial" w:cs="Arial"/>
          <w:sz w:val="19"/>
          <w:szCs w:val="19"/>
        </w:rPr>
        <w:t xml:space="preserve"> </w:t>
      </w:r>
    </w:p>
    <w:p w14:paraId="3F795D8A" w14:textId="77777777" w:rsidR="00364B58" w:rsidRPr="00675BFE" w:rsidRDefault="00364B58" w:rsidP="00364B58">
      <w:pPr>
        <w:pStyle w:val="Textonotapie"/>
        <w:ind w:firstLine="708"/>
        <w:jc w:val="both"/>
        <w:rPr>
          <w:rFonts w:ascii="Arial" w:hAnsi="Arial" w:cs="Arial"/>
          <w:sz w:val="19"/>
          <w:szCs w:val="19"/>
          <w:lang w:val="es-ES"/>
        </w:rPr>
      </w:pPr>
    </w:p>
  </w:footnote>
  <w:footnote w:id="7">
    <w:p w14:paraId="2E0658C4" w14:textId="77777777" w:rsidR="00364B58" w:rsidRPr="006C1C02" w:rsidRDefault="00364B58" w:rsidP="00364B58">
      <w:pPr>
        <w:pStyle w:val="Textonotapie"/>
        <w:ind w:firstLine="708"/>
        <w:jc w:val="both"/>
        <w:rPr>
          <w:rFonts w:ascii="Arial" w:hAnsi="Arial" w:cs="Arial"/>
          <w:sz w:val="19"/>
          <w:szCs w:val="19"/>
        </w:rPr>
      </w:pPr>
      <w:r w:rsidRPr="00A57F74">
        <w:rPr>
          <w:rStyle w:val="Refdenotaalpie"/>
          <w:rFonts w:ascii="Arial" w:hAnsi="Arial" w:cs="Arial"/>
          <w:sz w:val="19"/>
          <w:szCs w:val="19"/>
        </w:rPr>
        <w:footnoteRef/>
      </w:r>
      <w:r w:rsidRPr="00A57F74">
        <w:rPr>
          <w:rFonts w:ascii="Arial" w:hAnsi="Arial" w:cs="Arial"/>
          <w:sz w:val="19"/>
          <w:szCs w:val="19"/>
        </w:rPr>
        <w:t xml:space="preserve"> </w:t>
      </w:r>
      <w:r>
        <w:rPr>
          <w:rFonts w:ascii="Arial" w:hAnsi="Arial" w:cs="Arial"/>
          <w:sz w:val="19"/>
          <w:szCs w:val="19"/>
        </w:rPr>
        <w:t>Al respecto, el artículo 273 de la Constitución Política de 1991 dispone lo siguiente: «</w:t>
      </w:r>
      <w:r w:rsidRPr="006C1C02">
        <w:rPr>
          <w:rFonts w:ascii="Arial" w:hAnsi="Arial" w:cs="Arial"/>
          <w:sz w:val="19"/>
          <w:szCs w:val="19"/>
        </w:rPr>
        <w:t>A solicitud de cualquiera de los proponentes, el Contralor General de la República y demás autoridades de control fiscal competentes, ordenarán que el acto de adjudicación de una licitación tenga lugar en audiencia pública.</w:t>
      </w:r>
    </w:p>
    <w:p w14:paraId="448824AE" w14:textId="77777777" w:rsidR="00364B58" w:rsidRDefault="00364B58" w:rsidP="00364B58">
      <w:pPr>
        <w:pStyle w:val="Textonotapie"/>
        <w:ind w:firstLine="708"/>
        <w:jc w:val="both"/>
        <w:rPr>
          <w:rFonts w:ascii="Arial" w:hAnsi="Arial" w:cs="Arial"/>
          <w:sz w:val="19"/>
          <w:szCs w:val="19"/>
        </w:rPr>
      </w:pPr>
      <w:r w:rsidRPr="006C1C02">
        <w:rPr>
          <w:rFonts w:ascii="Arial" w:hAnsi="Arial" w:cs="Arial"/>
          <w:sz w:val="19"/>
          <w:szCs w:val="19"/>
        </w:rPr>
        <w:t>»Los casos en que se aplique el mecanismo de audiencia pública, la manera como se efectuará la evaluación de las propuestas y las condiciones bajo las cuales se realizará aquella, serán señalados por la ley».</w:t>
      </w:r>
    </w:p>
    <w:p w14:paraId="35F3FA02" w14:textId="77777777" w:rsidR="00364B58" w:rsidRPr="006C1C02" w:rsidRDefault="00364B58" w:rsidP="00364B58">
      <w:pPr>
        <w:pStyle w:val="Textonotapie"/>
        <w:ind w:firstLine="708"/>
        <w:jc w:val="both"/>
        <w:rPr>
          <w:rFonts w:ascii="Arial" w:hAnsi="Arial" w:cs="Arial"/>
          <w:sz w:val="19"/>
          <w:szCs w:val="19"/>
        </w:rPr>
      </w:pPr>
      <w:r>
        <w:rPr>
          <w:rFonts w:ascii="Arial" w:hAnsi="Arial" w:cs="Arial"/>
          <w:sz w:val="19"/>
          <w:szCs w:val="19"/>
        </w:rPr>
        <w:t>En este sentido, el artículo 30.10 del Estatuto General de Contratación de la Administración Pública prescribe que «</w:t>
      </w:r>
      <w:r w:rsidRPr="006C1C02">
        <w:rPr>
          <w:rFonts w:ascii="Arial" w:hAnsi="Arial" w:cs="Arial"/>
          <w:sz w:val="19"/>
          <w:szCs w:val="19"/>
        </w:rPr>
        <w:t>En el evento previsto en el artículo 273 de la Constitución Política, la adjudicación se hará en audiencia pública. En dicha audiencia participaran el jefe de la entidad o la persona en quien, conforme a la ley, se haya delegado la facultad de adjudicar y, además, podrán intervenir en ella los servidores públicos que hayan elaborado los estudios y evaluaciones, los proponentes y las demás personas que deseen asistir.</w:t>
      </w:r>
    </w:p>
    <w:p w14:paraId="6BCAED8C" w14:textId="77777777" w:rsidR="00364B58" w:rsidRDefault="00364B58" w:rsidP="00364B58">
      <w:pPr>
        <w:pStyle w:val="Textonotapie"/>
        <w:ind w:firstLine="708"/>
        <w:jc w:val="both"/>
        <w:rPr>
          <w:rFonts w:ascii="Arial" w:hAnsi="Arial" w:cs="Arial"/>
          <w:sz w:val="19"/>
          <w:szCs w:val="19"/>
        </w:rPr>
      </w:pPr>
      <w:r>
        <w:rPr>
          <w:rFonts w:ascii="Arial" w:hAnsi="Arial" w:cs="Arial"/>
          <w:sz w:val="19"/>
          <w:szCs w:val="19"/>
        </w:rPr>
        <w:t>»</w:t>
      </w:r>
      <w:r w:rsidRPr="006C1C02">
        <w:rPr>
          <w:rFonts w:ascii="Arial" w:hAnsi="Arial" w:cs="Arial"/>
          <w:sz w:val="19"/>
          <w:szCs w:val="19"/>
        </w:rPr>
        <w:t>De la audiencia se levantará un acta en la que se dejará constancia de las deliberaciones y decisiones que en el desarrollo de la misma se hubieren producido</w:t>
      </w:r>
      <w:r>
        <w:rPr>
          <w:rFonts w:ascii="Arial" w:hAnsi="Arial" w:cs="Arial"/>
          <w:sz w:val="19"/>
          <w:szCs w:val="19"/>
        </w:rPr>
        <w:t>»</w:t>
      </w:r>
      <w:r w:rsidRPr="006C1C02">
        <w:rPr>
          <w:rFonts w:ascii="Arial" w:hAnsi="Arial" w:cs="Arial"/>
          <w:sz w:val="19"/>
          <w:szCs w:val="19"/>
        </w:rPr>
        <w:t>.</w:t>
      </w:r>
    </w:p>
    <w:p w14:paraId="6308175B" w14:textId="77777777" w:rsidR="00364B58" w:rsidRPr="00A57F74" w:rsidRDefault="00364B58" w:rsidP="00364B58">
      <w:pPr>
        <w:pStyle w:val="Textonotapie"/>
        <w:ind w:firstLine="708"/>
        <w:jc w:val="both"/>
        <w:rPr>
          <w:rFonts w:ascii="Arial" w:hAnsi="Arial" w:cs="Arial"/>
          <w:sz w:val="19"/>
          <w:szCs w:val="19"/>
          <w:lang w:val="es-ES"/>
        </w:rPr>
      </w:pPr>
    </w:p>
  </w:footnote>
  <w:footnote w:id="8">
    <w:p w14:paraId="4874F5DE" w14:textId="77777777" w:rsidR="00364B58" w:rsidRDefault="00364B58" w:rsidP="00364B58">
      <w:pPr>
        <w:pStyle w:val="Textonotapie"/>
        <w:ind w:firstLine="708"/>
        <w:jc w:val="both"/>
        <w:rPr>
          <w:rFonts w:ascii="Arial" w:hAnsi="Arial" w:cs="Arial"/>
          <w:sz w:val="19"/>
          <w:szCs w:val="19"/>
        </w:rPr>
      </w:pPr>
      <w:r w:rsidRPr="001F1A2D">
        <w:rPr>
          <w:rStyle w:val="Refdenotaalpie"/>
          <w:rFonts w:ascii="Arial" w:hAnsi="Arial" w:cs="Arial"/>
          <w:sz w:val="19"/>
          <w:szCs w:val="19"/>
        </w:rPr>
        <w:footnoteRef/>
      </w:r>
      <w:r w:rsidRPr="001F1A2D">
        <w:rPr>
          <w:rFonts w:ascii="Arial" w:hAnsi="Arial" w:cs="Arial"/>
          <w:sz w:val="19"/>
          <w:szCs w:val="19"/>
        </w:rPr>
        <w:t xml:space="preserve"> CORTE CONSTITUCIONAL. Sentencia C-380 de 2008. M.P. Nilson Pinilla Pinilla.</w:t>
      </w:r>
    </w:p>
    <w:p w14:paraId="4A09307F" w14:textId="77777777" w:rsidR="00364B58" w:rsidRPr="00AE7EF0" w:rsidRDefault="00364B58" w:rsidP="00364B58">
      <w:pPr>
        <w:pStyle w:val="Textonotapie"/>
        <w:ind w:firstLine="708"/>
        <w:jc w:val="both"/>
        <w:rPr>
          <w:rFonts w:ascii="Arial" w:hAnsi="Arial" w:cs="Arial"/>
          <w:sz w:val="19"/>
          <w:szCs w:val="19"/>
        </w:rPr>
      </w:pPr>
    </w:p>
  </w:footnote>
  <w:footnote w:id="9">
    <w:p w14:paraId="5D9652B9" w14:textId="77777777" w:rsidR="00364B58" w:rsidRPr="00974A47" w:rsidRDefault="00364B58" w:rsidP="00364B58">
      <w:pPr>
        <w:pStyle w:val="Textonotapie"/>
        <w:ind w:firstLine="708"/>
        <w:jc w:val="both"/>
        <w:rPr>
          <w:rFonts w:ascii="Arial" w:hAnsi="Arial" w:cs="Arial"/>
          <w:sz w:val="19"/>
          <w:szCs w:val="19"/>
        </w:rPr>
      </w:pPr>
      <w:r w:rsidRPr="00974A47">
        <w:rPr>
          <w:rStyle w:val="Refdenotaalpie"/>
          <w:rFonts w:ascii="Arial" w:hAnsi="Arial" w:cs="Arial"/>
          <w:sz w:val="19"/>
          <w:szCs w:val="19"/>
        </w:rPr>
        <w:footnoteRef/>
      </w:r>
      <w:r w:rsidRPr="00974A47">
        <w:rPr>
          <w:rFonts w:ascii="Arial" w:hAnsi="Arial" w:cs="Arial"/>
          <w:sz w:val="19"/>
          <w:szCs w:val="19"/>
        </w:rPr>
        <w:t xml:space="preserve"> </w:t>
      </w:r>
      <w:r>
        <w:rPr>
          <w:rFonts w:ascii="Arial" w:hAnsi="Arial" w:cs="Arial"/>
          <w:sz w:val="19"/>
          <w:szCs w:val="19"/>
        </w:rPr>
        <w:t>E</w:t>
      </w:r>
      <w:r w:rsidRPr="00974A47">
        <w:rPr>
          <w:rFonts w:ascii="Arial" w:hAnsi="Arial" w:cs="Arial"/>
          <w:sz w:val="19"/>
          <w:szCs w:val="19"/>
        </w:rPr>
        <w:t>l artículo 2.3 de la Ley 1150 de 2007</w:t>
      </w:r>
      <w:r>
        <w:rPr>
          <w:rFonts w:ascii="Arial" w:hAnsi="Arial" w:cs="Arial"/>
          <w:sz w:val="19"/>
          <w:szCs w:val="19"/>
        </w:rPr>
        <w:t xml:space="preserve"> dispone que el concurso de méritos «</w:t>
      </w:r>
      <w:r w:rsidRPr="00974A47">
        <w:rPr>
          <w:rFonts w:ascii="Arial" w:hAnsi="Arial" w:cs="Arial"/>
          <w:sz w:val="19"/>
          <w:szCs w:val="19"/>
        </w:rPr>
        <w:t>Corresponde a la modalidad prevista para la selección de consultores o proyectos, en la que se podrán utilizar sistemas de concurso abierto o de precalificación. En este último caso, la conformación de la lista de precalificados se hará mediante convocatoria pública, permitiéndose establecer listas limitadas de oferentes mediante resolución motivada, que se entenderá notificada en estrados a los interesados, en la audiencia pública de conformación de la lista, utilizando para el efecto, entre otros, criterios de experiencia, capacidad intelectual y de organización de los proponentes, según sea el caso.</w:t>
      </w:r>
    </w:p>
    <w:p w14:paraId="6AF07432" w14:textId="77777777" w:rsidR="00364B58" w:rsidRDefault="00364B58" w:rsidP="00364B58">
      <w:pPr>
        <w:pStyle w:val="Textonotapie"/>
        <w:ind w:firstLine="708"/>
        <w:jc w:val="both"/>
        <w:rPr>
          <w:rFonts w:ascii="Arial" w:hAnsi="Arial" w:cs="Arial"/>
          <w:sz w:val="19"/>
          <w:szCs w:val="19"/>
        </w:rPr>
      </w:pPr>
      <w:r>
        <w:rPr>
          <w:rFonts w:ascii="Arial" w:hAnsi="Arial" w:cs="Arial"/>
          <w:sz w:val="19"/>
          <w:szCs w:val="19"/>
        </w:rPr>
        <w:t>»</w:t>
      </w:r>
      <w:r w:rsidRPr="00974A47">
        <w:rPr>
          <w:rFonts w:ascii="Arial" w:hAnsi="Arial" w:cs="Arial"/>
          <w:sz w:val="19"/>
          <w:szCs w:val="19"/>
        </w:rPr>
        <w:t>De conformidad con las condiciones que señale el reglamento, en desarrollo de estos procesos de selección, las propuestas técnicas o de proyectos podrán ser presentadas en forma anónima ante un jurado plural, impar deliberante y calificado</w:t>
      </w:r>
      <w:r>
        <w:rPr>
          <w:rFonts w:ascii="Arial" w:hAnsi="Arial" w:cs="Arial"/>
          <w:sz w:val="19"/>
          <w:szCs w:val="19"/>
        </w:rPr>
        <w:t>»</w:t>
      </w:r>
      <w:r w:rsidRPr="00974A47">
        <w:rPr>
          <w:rFonts w:ascii="Arial" w:hAnsi="Arial" w:cs="Arial"/>
          <w:sz w:val="19"/>
          <w:szCs w:val="19"/>
        </w:rPr>
        <w:t>.</w:t>
      </w:r>
    </w:p>
    <w:p w14:paraId="25A69F12" w14:textId="77777777" w:rsidR="00364B58" w:rsidRPr="00974A47" w:rsidRDefault="00364B58" w:rsidP="00364B58">
      <w:pPr>
        <w:pStyle w:val="Textonotapie"/>
        <w:ind w:firstLine="708"/>
        <w:jc w:val="both"/>
        <w:rPr>
          <w:rFonts w:ascii="Arial" w:hAnsi="Arial" w:cs="Arial"/>
          <w:sz w:val="19"/>
          <w:szCs w:val="19"/>
          <w:lang w:val="es-ES"/>
        </w:rPr>
      </w:pPr>
    </w:p>
  </w:footnote>
  <w:footnote w:id="10">
    <w:p w14:paraId="04314797" w14:textId="77777777" w:rsidR="00364B58" w:rsidRDefault="00364B58" w:rsidP="00364B58">
      <w:pPr>
        <w:pStyle w:val="Textonotapie"/>
        <w:ind w:firstLine="708"/>
        <w:jc w:val="both"/>
        <w:rPr>
          <w:rFonts w:ascii="Arial" w:hAnsi="Arial" w:cs="Arial"/>
          <w:sz w:val="19"/>
          <w:szCs w:val="19"/>
        </w:rPr>
      </w:pPr>
      <w:r w:rsidRPr="00A54828">
        <w:rPr>
          <w:rStyle w:val="Refdenotaalpie"/>
          <w:rFonts w:ascii="Arial" w:hAnsi="Arial" w:cs="Arial"/>
          <w:sz w:val="19"/>
          <w:szCs w:val="19"/>
        </w:rPr>
        <w:footnoteRef/>
      </w:r>
      <w:r w:rsidRPr="00A54828">
        <w:rPr>
          <w:rFonts w:ascii="Arial" w:hAnsi="Arial" w:cs="Arial"/>
          <w:sz w:val="19"/>
          <w:szCs w:val="19"/>
        </w:rPr>
        <w:t xml:space="preserve"> </w:t>
      </w:r>
      <w:r>
        <w:rPr>
          <w:rFonts w:ascii="Arial" w:hAnsi="Arial" w:cs="Arial"/>
          <w:sz w:val="19"/>
          <w:szCs w:val="19"/>
        </w:rPr>
        <w:t xml:space="preserve">En efecto, «[…] las audiencias públicas dan, facilitan o aseguran una mayor participación, optimizando […] el procedimiento administrativo previo a la emisión de las medidas de alcance general o medidas de potencial amplio espectro, tornándolo éticamente aceptable. No olvidemos que una medida, general, dictada con la posibilidad de participación previa, siempre quedará revestida de mayor legitimidad democrática que en el supuesto que esa posibilidad haya estado ausente. Además, dar lugar a esa participación implica reconocer la dignidad en los participantes. Y, […] con sentido práctico, aquella mayor legitimidad democrática puede tener, como efecto, “blindar” a la medida general, acotándose o restringiéndose el margen para la revisión judicial» (SACRISTÁN, Estela. Participación en el procedimiento administrativo: las audiencias públicas. En: Procedimiento administrativo a 20 años de la reforma constitucional. Astrea: Buenos Aires, 2015. p. 24).       </w:t>
      </w:r>
    </w:p>
    <w:p w14:paraId="71941B5B" w14:textId="77777777" w:rsidR="00364B58" w:rsidRPr="00A54828" w:rsidRDefault="00364B58" w:rsidP="00364B58">
      <w:pPr>
        <w:pStyle w:val="Textonotapie"/>
        <w:ind w:firstLine="708"/>
        <w:jc w:val="both"/>
        <w:rPr>
          <w:rFonts w:ascii="Arial" w:hAnsi="Arial" w:cs="Arial"/>
          <w:sz w:val="19"/>
          <w:szCs w:val="19"/>
          <w:lang w:val="es-ES"/>
        </w:rPr>
      </w:pPr>
      <w:r>
        <w:rPr>
          <w:rFonts w:ascii="Arial" w:hAnsi="Arial" w:cs="Arial"/>
          <w:sz w:val="19"/>
          <w:szCs w:val="19"/>
        </w:rPr>
        <w:t xml:space="preserve">     </w:t>
      </w:r>
    </w:p>
  </w:footnote>
  <w:footnote w:id="11">
    <w:p w14:paraId="59EA7867" w14:textId="77777777" w:rsidR="00364B58" w:rsidRPr="002F1C33" w:rsidRDefault="00364B58" w:rsidP="00364B58">
      <w:pPr>
        <w:pStyle w:val="Textonotapie"/>
        <w:ind w:firstLine="708"/>
        <w:jc w:val="both"/>
        <w:rPr>
          <w:rFonts w:ascii="Arial" w:hAnsi="Arial" w:cs="Arial"/>
          <w:sz w:val="19"/>
          <w:szCs w:val="19"/>
        </w:rPr>
      </w:pPr>
      <w:r w:rsidRPr="002F1C33">
        <w:rPr>
          <w:rStyle w:val="Refdenotaalpie"/>
          <w:rFonts w:ascii="Arial" w:hAnsi="Arial" w:cs="Arial"/>
          <w:sz w:val="19"/>
          <w:szCs w:val="19"/>
        </w:rPr>
        <w:footnoteRef/>
      </w:r>
      <w:r w:rsidRPr="002F1C33">
        <w:rPr>
          <w:rFonts w:ascii="Arial" w:hAnsi="Arial" w:cs="Arial"/>
          <w:sz w:val="19"/>
          <w:szCs w:val="19"/>
        </w:rPr>
        <w:t xml:space="preserve"> </w:t>
      </w:r>
      <w:r>
        <w:rPr>
          <w:rFonts w:ascii="Arial" w:hAnsi="Arial" w:cs="Arial"/>
          <w:sz w:val="19"/>
          <w:szCs w:val="19"/>
        </w:rPr>
        <w:t>En concordancia, el artículo 33 de la Ley 489 de 1998 dispone lo siguiente: «</w:t>
      </w:r>
      <w:r w:rsidRPr="002F1C33">
        <w:rPr>
          <w:rFonts w:ascii="Arial" w:hAnsi="Arial" w:cs="Arial"/>
          <w:sz w:val="19"/>
          <w:szCs w:val="19"/>
        </w:rPr>
        <w:t>Cuando la administración lo considere conveniente y oportuno, se podrán convocar a audiencias públicas en las cuales se discutirán aspectos relacionados con la formulación, ejecución o evaluación de políticas y programas a cargo de la entidad, y en especial cuando esté de por medio la afectación de derechos o intereses colectivos.</w:t>
      </w:r>
    </w:p>
    <w:p w14:paraId="1319FB7C" w14:textId="77777777" w:rsidR="00364B58" w:rsidRPr="002F1C33" w:rsidRDefault="00364B58" w:rsidP="00364B58">
      <w:pPr>
        <w:pStyle w:val="Textonotapie"/>
        <w:ind w:firstLine="708"/>
        <w:jc w:val="both"/>
        <w:rPr>
          <w:rFonts w:ascii="Arial" w:hAnsi="Arial" w:cs="Arial"/>
          <w:sz w:val="19"/>
          <w:szCs w:val="19"/>
        </w:rPr>
      </w:pPr>
      <w:r>
        <w:rPr>
          <w:rFonts w:ascii="Arial" w:hAnsi="Arial" w:cs="Arial"/>
          <w:sz w:val="19"/>
          <w:szCs w:val="19"/>
        </w:rPr>
        <w:t>»</w:t>
      </w:r>
      <w:r w:rsidRPr="002F1C33">
        <w:rPr>
          <w:rFonts w:ascii="Arial" w:hAnsi="Arial" w:cs="Arial"/>
          <w:sz w:val="19"/>
          <w:szCs w:val="19"/>
        </w:rPr>
        <w:t>Las comunidades y las organizaciones podrán solicitar la realización de audiencias públicas, sin que la solicitud o las conclusiones de las audiencias tengan carácter vinculante para la administración. En todo caso, se explicarán a dichas organizaciones las razones de la decisión adoptada.</w:t>
      </w:r>
    </w:p>
    <w:p w14:paraId="66D18562" w14:textId="77777777" w:rsidR="00364B58" w:rsidRPr="002F1C33" w:rsidRDefault="00364B58" w:rsidP="00364B58">
      <w:pPr>
        <w:pStyle w:val="Textonotapie"/>
        <w:ind w:firstLine="708"/>
        <w:jc w:val="both"/>
        <w:rPr>
          <w:rFonts w:ascii="Arial" w:hAnsi="Arial" w:cs="Arial"/>
          <w:sz w:val="19"/>
          <w:szCs w:val="19"/>
          <w:lang w:val="es-ES"/>
        </w:rPr>
      </w:pPr>
      <w:r>
        <w:rPr>
          <w:rFonts w:ascii="Arial" w:hAnsi="Arial" w:cs="Arial"/>
          <w:sz w:val="19"/>
          <w:szCs w:val="19"/>
        </w:rPr>
        <w:t>»</w:t>
      </w:r>
      <w:r w:rsidRPr="002F1C33">
        <w:rPr>
          <w:rFonts w:ascii="Arial" w:hAnsi="Arial" w:cs="Arial"/>
          <w:sz w:val="19"/>
          <w:szCs w:val="19"/>
        </w:rPr>
        <w:t>En el acto de convocatoria a la audiencia, la institución respectiva definirá la metodología que será utilizada</w:t>
      </w:r>
      <w:r>
        <w:rPr>
          <w:rFonts w:ascii="Arial" w:hAnsi="Arial" w:cs="Arial"/>
          <w:sz w:val="19"/>
          <w:szCs w:val="19"/>
        </w:rPr>
        <w:t>»</w:t>
      </w:r>
      <w:r w:rsidRPr="002F1C33">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6A59DE" w:rsidRDefault="006A59DE">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3"/>
  </w:num>
  <w:num w:numId="19">
    <w:abstractNumId w:val="2"/>
  </w:num>
  <w:num w:numId="20">
    <w:abstractNumId w:val="20"/>
  </w:num>
  <w:num w:numId="21">
    <w:abstractNumId w:val="14"/>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A1C"/>
    <w:rsid w:val="00002027"/>
    <w:rsid w:val="000020FE"/>
    <w:rsid w:val="00003C5C"/>
    <w:rsid w:val="000040D7"/>
    <w:rsid w:val="000059D3"/>
    <w:rsid w:val="00006081"/>
    <w:rsid w:val="00007750"/>
    <w:rsid w:val="000077FD"/>
    <w:rsid w:val="00007E37"/>
    <w:rsid w:val="00010C40"/>
    <w:rsid w:val="00011DCC"/>
    <w:rsid w:val="00012B9E"/>
    <w:rsid w:val="00013C6B"/>
    <w:rsid w:val="0001406B"/>
    <w:rsid w:val="00014624"/>
    <w:rsid w:val="00016081"/>
    <w:rsid w:val="00016437"/>
    <w:rsid w:val="000165AC"/>
    <w:rsid w:val="00016651"/>
    <w:rsid w:val="000171A2"/>
    <w:rsid w:val="00017B65"/>
    <w:rsid w:val="00020158"/>
    <w:rsid w:val="000207E0"/>
    <w:rsid w:val="00020F8F"/>
    <w:rsid w:val="00021A95"/>
    <w:rsid w:val="0002256F"/>
    <w:rsid w:val="00023DAE"/>
    <w:rsid w:val="000263F0"/>
    <w:rsid w:val="00026407"/>
    <w:rsid w:val="00026608"/>
    <w:rsid w:val="000315E1"/>
    <w:rsid w:val="0003236E"/>
    <w:rsid w:val="000324B4"/>
    <w:rsid w:val="0003339A"/>
    <w:rsid w:val="000341F2"/>
    <w:rsid w:val="00036E03"/>
    <w:rsid w:val="00041029"/>
    <w:rsid w:val="00042961"/>
    <w:rsid w:val="00042C25"/>
    <w:rsid w:val="00042D03"/>
    <w:rsid w:val="00043086"/>
    <w:rsid w:val="000430A0"/>
    <w:rsid w:val="0004418C"/>
    <w:rsid w:val="00044204"/>
    <w:rsid w:val="000449D4"/>
    <w:rsid w:val="00046A63"/>
    <w:rsid w:val="00046C09"/>
    <w:rsid w:val="0004716A"/>
    <w:rsid w:val="000504DE"/>
    <w:rsid w:val="00051074"/>
    <w:rsid w:val="00052EA0"/>
    <w:rsid w:val="0005474D"/>
    <w:rsid w:val="00055CB9"/>
    <w:rsid w:val="0005702F"/>
    <w:rsid w:val="00061D06"/>
    <w:rsid w:val="00062CDD"/>
    <w:rsid w:val="00064CAE"/>
    <w:rsid w:val="00064FA7"/>
    <w:rsid w:val="00065195"/>
    <w:rsid w:val="00070AF1"/>
    <w:rsid w:val="0007254F"/>
    <w:rsid w:val="00074B2A"/>
    <w:rsid w:val="00075B3E"/>
    <w:rsid w:val="0007645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3"/>
    <w:rsid w:val="00086B2A"/>
    <w:rsid w:val="00086ED2"/>
    <w:rsid w:val="0009050A"/>
    <w:rsid w:val="00091569"/>
    <w:rsid w:val="000942EB"/>
    <w:rsid w:val="00095B70"/>
    <w:rsid w:val="0009617E"/>
    <w:rsid w:val="000979CF"/>
    <w:rsid w:val="000A03C8"/>
    <w:rsid w:val="000A0861"/>
    <w:rsid w:val="000A12DB"/>
    <w:rsid w:val="000A2128"/>
    <w:rsid w:val="000A362F"/>
    <w:rsid w:val="000A5F97"/>
    <w:rsid w:val="000A648E"/>
    <w:rsid w:val="000A73BB"/>
    <w:rsid w:val="000A7EF4"/>
    <w:rsid w:val="000B103F"/>
    <w:rsid w:val="000B1437"/>
    <w:rsid w:val="000B1470"/>
    <w:rsid w:val="000B2B86"/>
    <w:rsid w:val="000B3051"/>
    <w:rsid w:val="000B419B"/>
    <w:rsid w:val="000B5781"/>
    <w:rsid w:val="000C0185"/>
    <w:rsid w:val="000C0D01"/>
    <w:rsid w:val="000C128D"/>
    <w:rsid w:val="000C1D4B"/>
    <w:rsid w:val="000C3B77"/>
    <w:rsid w:val="000C4F49"/>
    <w:rsid w:val="000C5861"/>
    <w:rsid w:val="000C639D"/>
    <w:rsid w:val="000C6F79"/>
    <w:rsid w:val="000C7476"/>
    <w:rsid w:val="000C7711"/>
    <w:rsid w:val="000C7AA2"/>
    <w:rsid w:val="000D0462"/>
    <w:rsid w:val="000D0ED2"/>
    <w:rsid w:val="000D2563"/>
    <w:rsid w:val="000D25BF"/>
    <w:rsid w:val="000D3FDC"/>
    <w:rsid w:val="000D4E38"/>
    <w:rsid w:val="000D6288"/>
    <w:rsid w:val="000D7541"/>
    <w:rsid w:val="000E30AC"/>
    <w:rsid w:val="000E3B46"/>
    <w:rsid w:val="000E3E11"/>
    <w:rsid w:val="000E4596"/>
    <w:rsid w:val="000E5768"/>
    <w:rsid w:val="000E6139"/>
    <w:rsid w:val="000E6BE1"/>
    <w:rsid w:val="000E7E0B"/>
    <w:rsid w:val="000F078A"/>
    <w:rsid w:val="000F122D"/>
    <w:rsid w:val="000F14E8"/>
    <w:rsid w:val="000F1BBD"/>
    <w:rsid w:val="000F4403"/>
    <w:rsid w:val="000F4E17"/>
    <w:rsid w:val="000F6578"/>
    <w:rsid w:val="000F7E8F"/>
    <w:rsid w:val="001000FB"/>
    <w:rsid w:val="00102605"/>
    <w:rsid w:val="00103915"/>
    <w:rsid w:val="001051E5"/>
    <w:rsid w:val="00105A74"/>
    <w:rsid w:val="00105AEF"/>
    <w:rsid w:val="00106259"/>
    <w:rsid w:val="001078CE"/>
    <w:rsid w:val="00110F61"/>
    <w:rsid w:val="001111BD"/>
    <w:rsid w:val="0011165A"/>
    <w:rsid w:val="00112774"/>
    <w:rsid w:val="00112B2E"/>
    <w:rsid w:val="00113003"/>
    <w:rsid w:val="00113062"/>
    <w:rsid w:val="00113705"/>
    <w:rsid w:val="00113975"/>
    <w:rsid w:val="00113CFC"/>
    <w:rsid w:val="00113FEA"/>
    <w:rsid w:val="00114E9D"/>
    <w:rsid w:val="0011507B"/>
    <w:rsid w:val="001174C9"/>
    <w:rsid w:val="00117E69"/>
    <w:rsid w:val="00121103"/>
    <w:rsid w:val="00121BAB"/>
    <w:rsid w:val="00121E3C"/>
    <w:rsid w:val="00122B23"/>
    <w:rsid w:val="00122B7E"/>
    <w:rsid w:val="00123FB5"/>
    <w:rsid w:val="0012400F"/>
    <w:rsid w:val="001249DC"/>
    <w:rsid w:val="0012572D"/>
    <w:rsid w:val="00125BED"/>
    <w:rsid w:val="00125C59"/>
    <w:rsid w:val="00125D4F"/>
    <w:rsid w:val="00127AF2"/>
    <w:rsid w:val="00127F6D"/>
    <w:rsid w:val="00130355"/>
    <w:rsid w:val="00131B5A"/>
    <w:rsid w:val="00132EFD"/>
    <w:rsid w:val="0013695C"/>
    <w:rsid w:val="00136BF7"/>
    <w:rsid w:val="00137FFA"/>
    <w:rsid w:val="00140109"/>
    <w:rsid w:val="0014029B"/>
    <w:rsid w:val="00140A4F"/>
    <w:rsid w:val="001413AB"/>
    <w:rsid w:val="00144335"/>
    <w:rsid w:val="0014502F"/>
    <w:rsid w:val="00145282"/>
    <w:rsid w:val="001453B0"/>
    <w:rsid w:val="00145D8E"/>
    <w:rsid w:val="00146083"/>
    <w:rsid w:val="00151B99"/>
    <w:rsid w:val="0015361C"/>
    <w:rsid w:val="0015407E"/>
    <w:rsid w:val="0015448E"/>
    <w:rsid w:val="00154A6F"/>
    <w:rsid w:val="00155D08"/>
    <w:rsid w:val="00156BE5"/>
    <w:rsid w:val="00157232"/>
    <w:rsid w:val="00160401"/>
    <w:rsid w:val="00161E62"/>
    <w:rsid w:val="00161F1C"/>
    <w:rsid w:val="0016200B"/>
    <w:rsid w:val="00164281"/>
    <w:rsid w:val="001676A9"/>
    <w:rsid w:val="00167A50"/>
    <w:rsid w:val="00167DF5"/>
    <w:rsid w:val="00170001"/>
    <w:rsid w:val="00172198"/>
    <w:rsid w:val="001734E3"/>
    <w:rsid w:val="001742BF"/>
    <w:rsid w:val="00175E49"/>
    <w:rsid w:val="001805C1"/>
    <w:rsid w:val="001813AF"/>
    <w:rsid w:val="001829CD"/>
    <w:rsid w:val="00182F01"/>
    <w:rsid w:val="00185E78"/>
    <w:rsid w:val="00187177"/>
    <w:rsid w:val="00187ABD"/>
    <w:rsid w:val="00191C5A"/>
    <w:rsid w:val="00191E63"/>
    <w:rsid w:val="0019388B"/>
    <w:rsid w:val="001946D5"/>
    <w:rsid w:val="00194E8C"/>
    <w:rsid w:val="001962EC"/>
    <w:rsid w:val="001963DD"/>
    <w:rsid w:val="00196DC9"/>
    <w:rsid w:val="001A0236"/>
    <w:rsid w:val="001A18D5"/>
    <w:rsid w:val="001A1D4A"/>
    <w:rsid w:val="001A66DF"/>
    <w:rsid w:val="001A7591"/>
    <w:rsid w:val="001B0444"/>
    <w:rsid w:val="001B096B"/>
    <w:rsid w:val="001B0F9F"/>
    <w:rsid w:val="001B123C"/>
    <w:rsid w:val="001B1A0D"/>
    <w:rsid w:val="001B1BF1"/>
    <w:rsid w:val="001B2456"/>
    <w:rsid w:val="001B449C"/>
    <w:rsid w:val="001B4AA2"/>
    <w:rsid w:val="001B4ADE"/>
    <w:rsid w:val="001B6C4B"/>
    <w:rsid w:val="001C19CD"/>
    <w:rsid w:val="001C22D5"/>
    <w:rsid w:val="001C2515"/>
    <w:rsid w:val="001C26FB"/>
    <w:rsid w:val="001C33C1"/>
    <w:rsid w:val="001C3E30"/>
    <w:rsid w:val="001C3E5C"/>
    <w:rsid w:val="001C5072"/>
    <w:rsid w:val="001C5B2A"/>
    <w:rsid w:val="001C600B"/>
    <w:rsid w:val="001C6898"/>
    <w:rsid w:val="001C6DD8"/>
    <w:rsid w:val="001D12D1"/>
    <w:rsid w:val="001D15DF"/>
    <w:rsid w:val="001D31A0"/>
    <w:rsid w:val="001D338E"/>
    <w:rsid w:val="001D56E9"/>
    <w:rsid w:val="001D796A"/>
    <w:rsid w:val="001D7A84"/>
    <w:rsid w:val="001E1D38"/>
    <w:rsid w:val="001E70FB"/>
    <w:rsid w:val="001E780A"/>
    <w:rsid w:val="001E7D12"/>
    <w:rsid w:val="001F0FA0"/>
    <w:rsid w:val="001F1349"/>
    <w:rsid w:val="001F2356"/>
    <w:rsid w:val="001F2A68"/>
    <w:rsid w:val="001F4773"/>
    <w:rsid w:val="001F5008"/>
    <w:rsid w:val="001F56AA"/>
    <w:rsid w:val="001F58AA"/>
    <w:rsid w:val="001F5EF6"/>
    <w:rsid w:val="001F657F"/>
    <w:rsid w:val="001F6FB6"/>
    <w:rsid w:val="001F7978"/>
    <w:rsid w:val="001F7A0E"/>
    <w:rsid w:val="0020054E"/>
    <w:rsid w:val="0020299B"/>
    <w:rsid w:val="00202E44"/>
    <w:rsid w:val="002037AA"/>
    <w:rsid w:val="00203FE3"/>
    <w:rsid w:val="002042D8"/>
    <w:rsid w:val="00204515"/>
    <w:rsid w:val="002058D4"/>
    <w:rsid w:val="0020632A"/>
    <w:rsid w:val="002110EB"/>
    <w:rsid w:val="00211338"/>
    <w:rsid w:val="00211388"/>
    <w:rsid w:val="0021148C"/>
    <w:rsid w:val="0021201A"/>
    <w:rsid w:val="00213A1F"/>
    <w:rsid w:val="00213C63"/>
    <w:rsid w:val="00214741"/>
    <w:rsid w:val="0021539A"/>
    <w:rsid w:val="00215852"/>
    <w:rsid w:val="00216264"/>
    <w:rsid w:val="00217DB8"/>
    <w:rsid w:val="002221CE"/>
    <w:rsid w:val="00222BE8"/>
    <w:rsid w:val="00226055"/>
    <w:rsid w:val="0022613F"/>
    <w:rsid w:val="00226236"/>
    <w:rsid w:val="002270C9"/>
    <w:rsid w:val="00227A8B"/>
    <w:rsid w:val="002315A0"/>
    <w:rsid w:val="00231EC7"/>
    <w:rsid w:val="00232E15"/>
    <w:rsid w:val="00233977"/>
    <w:rsid w:val="00233C58"/>
    <w:rsid w:val="00233C71"/>
    <w:rsid w:val="002345B6"/>
    <w:rsid w:val="00234B84"/>
    <w:rsid w:val="00237065"/>
    <w:rsid w:val="00237589"/>
    <w:rsid w:val="0024019A"/>
    <w:rsid w:val="002431D7"/>
    <w:rsid w:val="00244058"/>
    <w:rsid w:val="00245E07"/>
    <w:rsid w:val="00247712"/>
    <w:rsid w:val="00251866"/>
    <w:rsid w:val="00251A9F"/>
    <w:rsid w:val="00252492"/>
    <w:rsid w:val="00252B35"/>
    <w:rsid w:val="00253A02"/>
    <w:rsid w:val="00253B81"/>
    <w:rsid w:val="002554DE"/>
    <w:rsid w:val="00255E11"/>
    <w:rsid w:val="00256835"/>
    <w:rsid w:val="00256ECF"/>
    <w:rsid w:val="00257730"/>
    <w:rsid w:val="00257999"/>
    <w:rsid w:val="002604AA"/>
    <w:rsid w:val="0026129B"/>
    <w:rsid w:val="00261560"/>
    <w:rsid w:val="00261715"/>
    <w:rsid w:val="00261CF9"/>
    <w:rsid w:val="00261EC0"/>
    <w:rsid w:val="00263201"/>
    <w:rsid w:val="00263A37"/>
    <w:rsid w:val="002653A6"/>
    <w:rsid w:val="002661F1"/>
    <w:rsid w:val="002711A4"/>
    <w:rsid w:val="00271F13"/>
    <w:rsid w:val="00275BB1"/>
    <w:rsid w:val="00277933"/>
    <w:rsid w:val="00277F8D"/>
    <w:rsid w:val="00277FA7"/>
    <w:rsid w:val="00280F3D"/>
    <w:rsid w:val="0028106A"/>
    <w:rsid w:val="00281EB4"/>
    <w:rsid w:val="0028308E"/>
    <w:rsid w:val="002834E9"/>
    <w:rsid w:val="00283A52"/>
    <w:rsid w:val="00283C5E"/>
    <w:rsid w:val="0028428F"/>
    <w:rsid w:val="00284CFC"/>
    <w:rsid w:val="00285832"/>
    <w:rsid w:val="00285969"/>
    <w:rsid w:val="0028663B"/>
    <w:rsid w:val="002871A9"/>
    <w:rsid w:val="00290781"/>
    <w:rsid w:val="00291784"/>
    <w:rsid w:val="002929BB"/>
    <w:rsid w:val="00297098"/>
    <w:rsid w:val="002A05D4"/>
    <w:rsid w:val="002A0E60"/>
    <w:rsid w:val="002A1A58"/>
    <w:rsid w:val="002A1B02"/>
    <w:rsid w:val="002A1C53"/>
    <w:rsid w:val="002A28FC"/>
    <w:rsid w:val="002A2EA5"/>
    <w:rsid w:val="002A3D94"/>
    <w:rsid w:val="002A4736"/>
    <w:rsid w:val="002A733D"/>
    <w:rsid w:val="002A7F6D"/>
    <w:rsid w:val="002B1342"/>
    <w:rsid w:val="002B27C8"/>
    <w:rsid w:val="002B2A7F"/>
    <w:rsid w:val="002B330B"/>
    <w:rsid w:val="002B48DB"/>
    <w:rsid w:val="002B4B34"/>
    <w:rsid w:val="002B541A"/>
    <w:rsid w:val="002B6407"/>
    <w:rsid w:val="002B6416"/>
    <w:rsid w:val="002B6459"/>
    <w:rsid w:val="002C24B4"/>
    <w:rsid w:val="002C2B3A"/>
    <w:rsid w:val="002C2B87"/>
    <w:rsid w:val="002C3CF4"/>
    <w:rsid w:val="002C4B84"/>
    <w:rsid w:val="002C4C0C"/>
    <w:rsid w:val="002C5016"/>
    <w:rsid w:val="002C5C2F"/>
    <w:rsid w:val="002C5D0F"/>
    <w:rsid w:val="002C60B9"/>
    <w:rsid w:val="002C6F77"/>
    <w:rsid w:val="002C704D"/>
    <w:rsid w:val="002D0845"/>
    <w:rsid w:val="002D0933"/>
    <w:rsid w:val="002D1A9B"/>
    <w:rsid w:val="002D302A"/>
    <w:rsid w:val="002D37C1"/>
    <w:rsid w:val="002D444B"/>
    <w:rsid w:val="002D4A45"/>
    <w:rsid w:val="002D5A1B"/>
    <w:rsid w:val="002D65BC"/>
    <w:rsid w:val="002E055C"/>
    <w:rsid w:val="002E1050"/>
    <w:rsid w:val="002E18E5"/>
    <w:rsid w:val="002E2D7D"/>
    <w:rsid w:val="002E3D76"/>
    <w:rsid w:val="002E40A1"/>
    <w:rsid w:val="002E48EC"/>
    <w:rsid w:val="002E4B44"/>
    <w:rsid w:val="002E4ECB"/>
    <w:rsid w:val="002E63A0"/>
    <w:rsid w:val="002F3601"/>
    <w:rsid w:val="002F45F6"/>
    <w:rsid w:val="002F7B66"/>
    <w:rsid w:val="00300CB4"/>
    <w:rsid w:val="00300E24"/>
    <w:rsid w:val="003033BA"/>
    <w:rsid w:val="003043A3"/>
    <w:rsid w:val="00304BD4"/>
    <w:rsid w:val="0030500A"/>
    <w:rsid w:val="003052EB"/>
    <w:rsid w:val="00305FCB"/>
    <w:rsid w:val="00306B44"/>
    <w:rsid w:val="0031088E"/>
    <w:rsid w:val="00311376"/>
    <w:rsid w:val="00311A1F"/>
    <w:rsid w:val="00311B47"/>
    <w:rsid w:val="00311D52"/>
    <w:rsid w:val="00312190"/>
    <w:rsid w:val="003125E0"/>
    <w:rsid w:val="00313447"/>
    <w:rsid w:val="00313748"/>
    <w:rsid w:val="003161A4"/>
    <w:rsid w:val="00316955"/>
    <w:rsid w:val="0031720A"/>
    <w:rsid w:val="00317C9D"/>
    <w:rsid w:val="00317CD2"/>
    <w:rsid w:val="0032078D"/>
    <w:rsid w:val="0032137B"/>
    <w:rsid w:val="00321FA3"/>
    <w:rsid w:val="003227D3"/>
    <w:rsid w:val="00322937"/>
    <w:rsid w:val="00325D98"/>
    <w:rsid w:val="00327A5C"/>
    <w:rsid w:val="0033092C"/>
    <w:rsid w:val="0033122A"/>
    <w:rsid w:val="003315AC"/>
    <w:rsid w:val="00331932"/>
    <w:rsid w:val="00335B15"/>
    <w:rsid w:val="00335B21"/>
    <w:rsid w:val="00336104"/>
    <w:rsid w:val="00336729"/>
    <w:rsid w:val="0033726D"/>
    <w:rsid w:val="00337CA8"/>
    <w:rsid w:val="0034177C"/>
    <w:rsid w:val="00342345"/>
    <w:rsid w:val="00342C27"/>
    <w:rsid w:val="003432C8"/>
    <w:rsid w:val="003434B3"/>
    <w:rsid w:val="00343536"/>
    <w:rsid w:val="00343EFB"/>
    <w:rsid w:val="00344760"/>
    <w:rsid w:val="0034680A"/>
    <w:rsid w:val="00346C62"/>
    <w:rsid w:val="003501E2"/>
    <w:rsid w:val="00351E10"/>
    <w:rsid w:val="003536F6"/>
    <w:rsid w:val="00353DD5"/>
    <w:rsid w:val="00355131"/>
    <w:rsid w:val="00363857"/>
    <w:rsid w:val="00363D59"/>
    <w:rsid w:val="00364B58"/>
    <w:rsid w:val="00365D3A"/>
    <w:rsid w:val="003664FF"/>
    <w:rsid w:val="003670B8"/>
    <w:rsid w:val="003706F2"/>
    <w:rsid w:val="0037124F"/>
    <w:rsid w:val="0037507B"/>
    <w:rsid w:val="00375C7C"/>
    <w:rsid w:val="003761D2"/>
    <w:rsid w:val="00377135"/>
    <w:rsid w:val="00380272"/>
    <w:rsid w:val="00382BAD"/>
    <w:rsid w:val="00384DF1"/>
    <w:rsid w:val="00384FF3"/>
    <w:rsid w:val="00386456"/>
    <w:rsid w:val="003865A9"/>
    <w:rsid w:val="0039135E"/>
    <w:rsid w:val="00393CAE"/>
    <w:rsid w:val="00394EB5"/>
    <w:rsid w:val="003953B4"/>
    <w:rsid w:val="0039615F"/>
    <w:rsid w:val="00396A29"/>
    <w:rsid w:val="00397FF0"/>
    <w:rsid w:val="003A0878"/>
    <w:rsid w:val="003A1D25"/>
    <w:rsid w:val="003A2447"/>
    <w:rsid w:val="003A2AA1"/>
    <w:rsid w:val="003A3851"/>
    <w:rsid w:val="003A4A8E"/>
    <w:rsid w:val="003A563C"/>
    <w:rsid w:val="003A581E"/>
    <w:rsid w:val="003A6160"/>
    <w:rsid w:val="003A65A5"/>
    <w:rsid w:val="003A72F5"/>
    <w:rsid w:val="003A78E5"/>
    <w:rsid w:val="003B0341"/>
    <w:rsid w:val="003B1E57"/>
    <w:rsid w:val="003B5391"/>
    <w:rsid w:val="003B65D7"/>
    <w:rsid w:val="003B6BD4"/>
    <w:rsid w:val="003B6F4D"/>
    <w:rsid w:val="003B6FE7"/>
    <w:rsid w:val="003C116A"/>
    <w:rsid w:val="003C1AF4"/>
    <w:rsid w:val="003C1CB8"/>
    <w:rsid w:val="003C2550"/>
    <w:rsid w:val="003C287F"/>
    <w:rsid w:val="003C375A"/>
    <w:rsid w:val="003C4D9F"/>
    <w:rsid w:val="003C622C"/>
    <w:rsid w:val="003C73C7"/>
    <w:rsid w:val="003D050B"/>
    <w:rsid w:val="003D0DE5"/>
    <w:rsid w:val="003D1351"/>
    <w:rsid w:val="003D3B2E"/>
    <w:rsid w:val="003D49CB"/>
    <w:rsid w:val="003D6B8F"/>
    <w:rsid w:val="003D7566"/>
    <w:rsid w:val="003E159D"/>
    <w:rsid w:val="003E2F55"/>
    <w:rsid w:val="003E34DB"/>
    <w:rsid w:val="003E3833"/>
    <w:rsid w:val="003E4A70"/>
    <w:rsid w:val="003E4C48"/>
    <w:rsid w:val="003E4CD9"/>
    <w:rsid w:val="003E54B3"/>
    <w:rsid w:val="003E5780"/>
    <w:rsid w:val="003E5B9F"/>
    <w:rsid w:val="003E6072"/>
    <w:rsid w:val="003E6AB6"/>
    <w:rsid w:val="003E6E0B"/>
    <w:rsid w:val="003E71CD"/>
    <w:rsid w:val="003E7A8B"/>
    <w:rsid w:val="003F300D"/>
    <w:rsid w:val="003F4599"/>
    <w:rsid w:val="003F4F6C"/>
    <w:rsid w:val="003F7343"/>
    <w:rsid w:val="00400002"/>
    <w:rsid w:val="00400054"/>
    <w:rsid w:val="004006DA"/>
    <w:rsid w:val="00401B31"/>
    <w:rsid w:val="0040202B"/>
    <w:rsid w:val="00402DE1"/>
    <w:rsid w:val="004037C2"/>
    <w:rsid w:val="00404B43"/>
    <w:rsid w:val="00405487"/>
    <w:rsid w:val="0040602B"/>
    <w:rsid w:val="00407A7A"/>
    <w:rsid w:val="00407ABC"/>
    <w:rsid w:val="00407F1E"/>
    <w:rsid w:val="00410A88"/>
    <w:rsid w:val="00411317"/>
    <w:rsid w:val="0041259F"/>
    <w:rsid w:val="00412B4D"/>
    <w:rsid w:val="00412C51"/>
    <w:rsid w:val="00413262"/>
    <w:rsid w:val="0041329C"/>
    <w:rsid w:val="00413FFA"/>
    <w:rsid w:val="00414D9A"/>
    <w:rsid w:val="00415194"/>
    <w:rsid w:val="00415B88"/>
    <w:rsid w:val="00415D32"/>
    <w:rsid w:val="004160A2"/>
    <w:rsid w:val="004170D7"/>
    <w:rsid w:val="004177A6"/>
    <w:rsid w:val="00417EFD"/>
    <w:rsid w:val="004200EE"/>
    <w:rsid w:val="00421FCB"/>
    <w:rsid w:val="00422DCA"/>
    <w:rsid w:val="00423F9F"/>
    <w:rsid w:val="00425C43"/>
    <w:rsid w:val="004273FA"/>
    <w:rsid w:val="00430186"/>
    <w:rsid w:val="0043269A"/>
    <w:rsid w:val="004333C2"/>
    <w:rsid w:val="00434787"/>
    <w:rsid w:val="0043683F"/>
    <w:rsid w:val="00436F40"/>
    <w:rsid w:val="00440DB0"/>
    <w:rsid w:val="00440FAD"/>
    <w:rsid w:val="004420AB"/>
    <w:rsid w:val="004422D6"/>
    <w:rsid w:val="00442D4D"/>
    <w:rsid w:val="00443D27"/>
    <w:rsid w:val="00446037"/>
    <w:rsid w:val="0044642F"/>
    <w:rsid w:val="0044772C"/>
    <w:rsid w:val="0045271D"/>
    <w:rsid w:val="00452803"/>
    <w:rsid w:val="004529C6"/>
    <w:rsid w:val="004534D1"/>
    <w:rsid w:val="00454548"/>
    <w:rsid w:val="00454717"/>
    <w:rsid w:val="00455354"/>
    <w:rsid w:val="0045558D"/>
    <w:rsid w:val="00456970"/>
    <w:rsid w:val="00456BB1"/>
    <w:rsid w:val="00456DDB"/>
    <w:rsid w:val="00461E97"/>
    <w:rsid w:val="0046268F"/>
    <w:rsid w:val="00462B10"/>
    <w:rsid w:val="00462C04"/>
    <w:rsid w:val="0046320A"/>
    <w:rsid w:val="004638E2"/>
    <w:rsid w:val="00464030"/>
    <w:rsid w:val="004647F8"/>
    <w:rsid w:val="004647FB"/>
    <w:rsid w:val="00465677"/>
    <w:rsid w:val="00466616"/>
    <w:rsid w:val="00466A0C"/>
    <w:rsid w:val="00470A6A"/>
    <w:rsid w:val="00470D92"/>
    <w:rsid w:val="004734CF"/>
    <w:rsid w:val="00475C5A"/>
    <w:rsid w:val="00475C9C"/>
    <w:rsid w:val="0047676B"/>
    <w:rsid w:val="0047773C"/>
    <w:rsid w:val="00480050"/>
    <w:rsid w:val="004808DE"/>
    <w:rsid w:val="00481AC4"/>
    <w:rsid w:val="00481DC1"/>
    <w:rsid w:val="00482507"/>
    <w:rsid w:val="0048268A"/>
    <w:rsid w:val="004835CA"/>
    <w:rsid w:val="004836F8"/>
    <w:rsid w:val="004836FE"/>
    <w:rsid w:val="00484F0F"/>
    <w:rsid w:val="004861B4"/>
    <w:rsid w:val="00486BD0"/>
    <w:rsid w:val="00486D00"/>
    <w:rsid w:val="00487263"/>
    <w:rsid w:val="0048734F"/>
    <w:rsid w:val="0049029D"/>
    <w:rsid w:val="004912A8"/>
    <w:rsid w:val="0049241A"/>
    <w:rsid w:val="00492C1F"/>
    <w:rsid w:val="00492E4C"/>
    <w:rsid w:val="00493E04"/>
    <w:rsid w:val="004940E3"/>
    <w:rsid w:val="0049495F"/>
    <w:rsid w:val="00496664"/>
    <w:rsid w:val="00496786"/>
    <w:rsid w:val="0049695B"/>
    <w:rsid w:val="00496D8F"/>
    <w:rsid w:val="00497463"/>
    <w:rsid w:val="004A054C"/>
    <w:rsid w:val="004A08D1"/>
    <w:rsid w:val="004A16C1"/>
    <w:rsid w:val="004A34D2"/>
    <w:rsid w:val="004A4301"/>
    <w:rsid w:val="004A59B7"/>
    <w:rsid w:val="004A623B"/>
    <w:rsid w:val="004A6A52"/>
    <w:rsid w:val="004A7175"/>
    <w:rsid w:val="004B0F0B"/>
    <w:rsid w:val="004B2197"/>
    <w:rsid w:val="004B298A"/>
    <w:rsid w:val="004B578D"/>
    <w:rsid w:val="004B5BE7"/>
    <w:rsid w:val="004B5E2D"/>
    <w:rsid w:val="004B6C07"/>
    <w:rsid w:val="004B788E"/>
    <w:rsid w:val="004B7E5D"/>
    <w:rsid w:val="004C22F7"/>
    <w:rsid w:val="004C3929"/>
    <w:rsid w:val="004C5EF0"/>
    <w:rsid w:val="004C7226"/>
    <w:rsid w:val="004C7D70"/>
    <w:rsid w:val="004D02F9"/>
    <w:rsid w:val="004D03FE"/>
    <w:rsid w:val="004D0F95"/>
    <w:rsid w:val="004D36AF"/>
    <w:rsid w:val="004D3BD1"/>
    <w:rsid w:val="004D4BA1"/>
    <w:rsid w:val="004D584D"/>
    <w:rsid w:val="004D6826"/>
    <w:rsid w:val="004E023F"/>
    <w:rsid w:val="004E0742"/>
    <w:rsid w:val="004E0C64"/>
    <w:rsid w:val="004E0F6B"/>
    <w:rsid w:val="004E2A35"/>
    <w:rsid w:val="004E40CE"/>
    <w:rsid w:val="004E5B36"/>
    <w:rsid w:val="004E6045"/>
    <w:rsid w:val="004E6F43"/>
    <w:rsid w:val="004E7200"/>
    <w:rsid w:val="004F0960"/>
    <w:rsid w:val="004F0A5C"/>
    <w:rsid w:val="004F163F"/>
    <w:rsid w:val="004F18A0"/>
    <w:rsid w:val="004F1A08"/>
    <w:rsid w:val="004F3764"/>
    <w:rsid w:val="004F3EEF"/>
    <w:rsid w:val="004F5930"/>
    <w:rsid w:val="004F6121"/>
    <w:rsid w:val="004F66BC"/>
    <w:rsid w:val="004F6C26"/>
    <w:rsid w:val="0050062F"/>
    <w:rsid w:val="0050284E"/>
    <w:rsid w:val="00504EFA"/>
    <w:rsid w:val="005075CA"/>
    <w:rsid w:val="0051074C"/>
    <w:rsid w:val="00512C4F"/>
    <w:rsid w:val="00513042"/>
    <w:rsid w:val="00513399"/>
    <w:rsid w:val="00513AF2"/>
    <w:rsid w:val="00514575"/>
    <w:rsid w:val="00514C03"/>
    <w:rsid w:val="00514D67"/>
    <w:rsid w:val="00515515"/>
    <w:rsid w:val="00516C5B"/>
    <w:rsid w:val="00517612"/>
    <w:rsid w:val="00517CFB"/>
    <w:rsid w:val="00520899"/>
    <w:rsid w:val="00520922"/>
    <w:rsid w:val="00523903"/>
    <w:rsid w:val="005239B6"/>
    <w:rsid w:val="005246E7"/>
    <w:rsid w:val="00524FD2"/>
    <w:rsid w:val="00525621"/>
    <w:rsid w:val="00526431"/>
    <w:rsid w:val="00527E57"/>
    <w:rsid w:val="00530405"/>
    <w:rsid w:val="00530522"/>
    <w:rsid w:val="005305E5"/>
    <w:rsid w:val="00530F38"/>
    <w:rsid w:val="00531F26"/>
    <w:rsid w:val="0053277C"/>
    <w:rsid w:val="005327C0"/>
    <w:rsid w:val="00533101"/>
    <w:rsid w:val="00533CA9"/>
    <w:rsid w:val="00534EFB"/>
    <w:rsid w:val="00534F60"/>
    <w:rsid w:val="00536053"/>
    <w:rsid w:val="005369E6"/>
    <w:rsid w:val="005371AC"/>
    <w:rsid w:val="00537672"/>
    <w:rsid w:val="0053772F"/>
    <w:rsid w:val="00537B77"/>
    <w:rsid w:val="0054275A"/>
    <w:rsid w:val="0054413A"/>
    <w:rsid w:val="00544288"/>
    <w:rsid w:val="005446BB"/>
    <w:rsid w:val="00545E30"/>
    <w:rsid w:val="00546C9B"/>
    <w:rsid w:val="00550134"/>
    <w:rsid w:val="00551598"/>
    <w:rsid w:val="0055162B"/>
    <w:rsid w:val="00551D68"/>
    <w:rsid w:val="005551AA"/>
    <w:rsid w:val="005564CA"/>
    <w:rsid w:val="00557140"/>
    <w:rsid w:val="00560C87"/>
    <w:rsid w:val="0056182B"/>
    <w:rsid w:val="00561AF3"/>
    <w:rsid w:val="00561E0B"/>
    <w:rsid w:val="00562141"/>
    <w:rsid w:val="00564704"/>
    <w:rsid w:val="00564712"/>
    <w:rsid w:val="00564FEC"/>
    <w:rsid w:val="005657A8"/>
    <w:rsid w:val="00566368"/>
    <w:rsid w:val="00567AB8"/>
    <w:rsid w:val="00570A26"/>
    <w:rsid w:val="00572539"/>
    <w:rsid w:val="0057337D"/>
    <w:rsid w:val="00573504"/>
    <w:rsid w:val="00574708"/>
    <w:rsid w:val="005756AA"/>
    <w:rsid w:val="0057696F"/>
    <w:rsid w:val="0058040C"/>
    <w:rsid w:val="00580D6D"/>
    <w:rsid w:val="005813DE"/>
    <w:rsid w:val="00581796"/>
    <w:rsid w:val="00581B45"/>
    <w:rsid w:val="00582480"/>
    <w:rsid w:val="0058290E"/>
    <w:rsid w:val="00582CAB"/>
    <w:rsid w:val="0058375E"/>
    <w:rsid w:val="00584233"/>
    <w:rsid w:val="005855AE"/>
    <w:rsid w:val="00585CA8"/>
    <w:rsid w:val="00586412"/>
    <w:rsid w:val="005864B9"/>
    <w:rsid w:val="00591C03"/>
    <w:rsid w:val="00591E2A"/>
    <w:rsid w:val="005923C4"/>
    <w:rsid w:val="00593F75"/>
    <w:rsid w:val="005940A0"/>
    <w:rsid w:val="00596AF7"/>
    <w:rsid w:val="00596CCE"/>
    <w:rsid w:val="005A1976"/>
    <w:rsid w:val="005A2120"/>
    <w:rsid w:val="005A2501"/>
    <w:rsid w:val="005A2C80"/>
    <w:rsid w:val="005A3066"/>
    <w:rsid w:val="005A3B35"/>
    <w:rsid w:val="005A3C4B"/>
    <w:rsid w:val="005A3E5A"/>
    <w:rsid w:val="005A43F3"/>
    <w:rsid w:val="005A496F"/>
    <w:rsid w:val="005A4A56"/>
    <w:rsid w:val="005A5886"/>
    <w:rsid w:val="005A5A3D"/>
    <w:rsid w:val="005A6035"/>
    <w:rsid w:val="005A6B75"/>
    <w:rsid w:val="005A6E00"/>
    <w:rsid w:val="005A718A"/>
    <w:rsid w:val="005B12B2"/>
    <w:rsid w:val="005B143B"/>
    <w:rsid w:val="005B1E45"/>
    <w:rsid w:val="005B21C4"/>
    <w:rsid w:val="005B4948"/>
    <w:rsid w:val="005B501D"/>
    <w:rsid w:val="005B54CC"/>
    <w:rsid w:val="005B74AD"/>
    <w:rsid w:val="005C0429"/>
    <w:rsid w:val="005C1954"/>
    <w:rsid w:val="005C1C0B"/>
    <w:rsid w:val="005C2011"/>
    <w:rsid w:val="005C5011"/>
    <w:rsid w:val="005C57BA"/>
    <w:rsid w:val="005C5C52"/>
    <w:rsid w:val="005C5D3D"/>
    <w:rsid w:val="005C7F3E"/>
    <w:rsid w:val="005D2044"/>
    <w:rsid w:val="005D2EB2"/>
    <w:rsid w:val="005D2F48"/>
    <w:rsid w:val="005D464B"/>
    <w:rsid w:val="005D49F0"/>
    <w:rsid w:val="005D51FA"/>
    <w:rsid w:val="005D53E8"/>
    <w:rsid w:val="005D5A9D"/>
    <w:rsid w:val="005D6651"/>
    <w:rsid w:val="005D691D"/>
    <w:rsid w:val="005D6A72"/>
    <w:rsid w:val="005D791B"/>
    <w:rsid w:val="005D7F92"/>
    <w:rsid w:val="005E1595"/>
    <w:rsid w:val="005E1F1D"/>
    <w:rsid w:val="005E3278"/>
    <w:rsid w:val="005F305B"/>
    <w:rsid w:val="005F3361"/>
    <w:rsid w:val="005F4481"/>
    <w:rsid w:val="005F4A58"/>
    <w:rsid w:val="005F5888"/>
    <w:rsid w:val="005F6CE2"/>
    <w:rsid w:val="005F72E9"/>
    <w:rsid w:val="00600473"/>
    <w:rsid w:val="00600683"/>
    <w:rsid w:val="00602B45"/>
    <w:rsid w:val="006035F5"/>
    <w:rsid w:val="006047D1"/>
    <w:rsid w:val="00604A55"/>
    <w:rsid w:val="00606908"/>
    <w:rsid w:val="00607A37"/>
    <w:rsid w:val="0061085E"/>
    <w:rsid w:val="00611398"/>
    <w:rsid w:val="00612322"/>
    <w:rsid w:val="0061401F"/>
    <w:rsid w:val="00614817"/>
    <w:rsid w:val="0061591D"/>
    <w:rsid w:val="0061604C"/>
    <w:rsid w:val="00616C2B"/>
    <w:rsid w:val="006178D1"/>
    <w:rsid w:val="00620719"/>
    <w:rsid w:val="006212C9"/>
    <w:rsid w:val="00622470"/>
    <w:rsid w:val="00622725"/>
    <w:rsid w:val="006231AA"/>
    <w:rsid w:val="00623482"/>
    <w:rsid w:val="00623AC2"/>
    <w:rsid w:val="006266D7"/>
    <w:rsid w:val="006274AD"/>
    <w:rsid w:val="00627532"/>
    <w:rsid w:val="006302AA"/>
    <w:rsid w:val="006310C3"/>
    <w:rsid w:val="0063161E"/>
    <w:rsid w:val="00631BB5"/>
    <w:rsid w:val="00631DD0"/>
    <w:rsid w:val="00633DBF"/>
    <w:rsid w:val="00634122"/>
    <w:rsid w:val="00635E23"/>
    <w:rsid w:val="00635E32"/>
    <w:rsid w:val="006365DE"/>
    <w:rsid w:val="00637836"/>
    <w:rsid w:val="00637C26"/>
    <w:rsid w:val="00641078"/>
    <w:rsid w:val="00641242"/>
    <w:rsid w:val="006433D5"/>
    <w:rsid w:val="00646B20"/>
    <w:rsid w:val="00646D0F"/>
    <w:rsid w:val="00647D61"/>
    <w:rsid w:val="00647DCC"/>
    <w:rsid w:val="00647EFA"/>
    <w:rsid w:val="00651C47"/>
    <w:rsid w:val="00652E70"/>
    <w:rsid w:val="00653469"/>
    <w:rsid w:val="00654A38"/>
    <w:rsid w:val="00655301"/>
    <w:rsid w:val="00655371"/>
    <w:rsid w:val="006573EA"/>
    <w:rsid w:val="00661029"/>
    <w:rsid w:val="0066135A"/>
    <w:rsid w:val="0066272D"/>
    <w:rsid w:val="00664351"/>
    <w:rsid w:val="00665968"/>
    <w:rsid w:val="00665BF7"/>
    <w:rsid w:val="00666178"/>
    <w:rsid w:val="0066639E"/>
    <w:rsid w:val="00666C72"/>
    <w:rsid w:val="00666E6C"/>
    <w:rsid w:val="00667ED8"/>
    <w:rsid w:val="0067064C"/>
    <w:rsid w:val="00670B20"/>
    <w:rsid w:val="00670E12"/>
    <w:rsid w:val="00672E80"/>
    <w:rsid w:val="006739E4"/>
    <w:rsid w:val="00673ECF"/>
    <w:rsid w:val="0067426B"/>
    <w:rsid w:val="00674A1B"/>
    <w:rsid w:val="006754F8"/>
    <w:rsid w:val="00676127"/>
    <w:rsid w:val="00676AED"/>
    <w:rsid w:val="00677F26"/>
    <w:rsid w:val="006811C9"/>
    <w:rsid w:val="006812CE"/>
    <w:rsid w:val="00682C89"/>
    <w:rsid w:val="006851E4"/>
    <w:rsid w:val="0068553E"/>
    <w:rsid w:val="00685E7B"/>
    <w:rsid w:val="00686551"/>
    <w:rsid w:val="00690839"/>
    <w:rsid w:val="006908DB"/>
    <w:rsid w:val="00691DE9"/>
    <w:rsid w:val="00691EAA"/>
    <w:rsid w:val="00693772"/>
    <w:rsid w:val="00694160"/>
    <w:rsid w:val="00695C0C"/>
    <w:rsid w:val="00696A05"/>
    <w:rsid w:val="00697665"/>
    <w:rsid w:val="00697C9A"/>
    <w:rsid w:val="00697E68"/>
    <w:rsid w:val="006A0274"/>
    <w:rsid w:val="006A2A43"/>
    <w:rsid w:val="006A2F9A"/>
    <w:rsid w:val="006A34E4"/>
    <w:rsid w:val="006A3A5A"/>
    <w:rsid w:val="006A44CF"/>
    <w:rsid w:val="006A457D"/>
    <w:rsid w:val="006A55EE"/>
    <w:rsid w:val="006A575B"/>
    <w:rsid w:val="006A59DE"/>
    <w:rsid w:val="006A6655"/>
    <w:rsid w:val="006A7CB5"/>
    <w:rsid w:val="006A7FD0"/>
    <w:rsid w:val="006B025C"/>
    <w:rsid w:val="006B2534"/>
    <w:rsid w:val="006B2CB2"/>
    <w:rsid w:val="006B67AC"/>
    <w:rsid w:val="006C003A"/>
    <w:rsid w:val="006C37CA"/>
    <w:rsid w:val="006C40D2"/>
    <w:rsid w:val="006C5B15"/>
    <w:rsid w:val="006C5DCB"/>
    <w:rsid w:val="006D04DA"/>
    <w:rsid w:val="006D1544"/>
    <w:rsid w:val="006D1688"/>
    <w:rsid w:val="006D1FF3"/>
    <w:rsid w:val="006D2C65"/>
    <w:rsid w:val="006D32C6"/>
    <w:rsid w:val="006D360E"/>
    <w:rsid w:val="006D3697"/>
    <w:rsid w:val="006D39D2"/>
    <w:rsid w:val="006D3F2A"/>
    <w:rsid w:val="006D5A37"/>
    <w:rsid w:val="006D6A12"/>
    <w:rsid w:val="006D712D"/>
    <w:rsid w:val="006D7687"/>
    <w:rsid w:val="006D7D1F"/>
    <w:rsid w:val="006D7D8A"/>
    <w:rsid w:val="006E0572"/>
    <w:rsid w:val="006E08EE"/>
    <w:rsid w:val="006E39D1"/>
    <w:rsid w:val="006E437F"/>
    <w:rsid w:val="006E46EC"/>
    <w:rsid w:val="006E4D5B"/>
    <w:rsid w:val="006E602F"/>
    <w:rsid w:val="006E7275"/>
    <w:rsid w:val="006E77B8"/>
    <w:rsid w:val="006F15CC"/>
    <w:rsid w:val="006F15DD"/>
    <w:rsid w:val="006F4147"/>
    <w:rsid w:val="006F4594"/>
    <w:rsid w:val="006F4CB0"/>
    <w:rsid w:val="006F547E"/>
    <w:rsid w:val="006F5CCF"/>
    <w:rsid w:val="0070138A"/>
    <w:rsid w:val="0070157E"/>
    <w:rsid w:val="007030D4"/>
    <w:rsid w:val="00703B61"/>
    <w:rsid w:val="00703E11"/>
    <w:rsid w:val="00704102"/>
    <w:rsid w:val="0070461C"/>
    <w:rsid w:val="00705631"/>
    <w:rsid w:val="00705F62"/>
    <w:rsid w:val="00707ED3"/>
    <w:rsid w:val="007101B7"/>
    <w:rsid w:val="00710668"/>
    <w:rsid w:val="007110F4"/>
    <w:rsid w:val="007112B1"/>
    <w:rsid w:val="0071130F"/>
    <w:rsid w:val="00712714"/>
    <w:rsid w:val="007129AB"/>
    <w:rsid w:val="00712B63"/>
    <w:rsid w:val="00713FC5"/>
    <w:rsid w:val="00715C29"/>
    <w:rsid w:val="00715EAA"/>
    <w:rsid w:val="00716CAD"/>
    <w:rsid w:val="00717363"/>
    <w:rsid w:val="00717ACB"/>
    <w:rsid w:val="00724635"/>
    <w:rsid w:val="0072554B"/>
    <w:rsid w:val="00725AFD"/>
    <w:rsid w:val="00726603"/>
    <w:rsid w:val="00727DDC"/>
    <w:rsid w:val="00730CD6"/>
    <w:rsid w:val="00730F74"/>
    <w:rsid w:val="0073114B"/>
    <w:rsid w:val="00734952"/>
    <w:rsid w:val="00734990"/>
    <w:rsid w:val="00734FF5"/>
    <w:rsid w:val="00735B78"/>
    <w:rsid w:val="00735DA7"/>
    <w:rsid w:val="007378E0"/>
    <w:rsid w:val="00740529"/>
    <w:rsid w:val="00741358"/>
    <w:rsid w:val="00741626"/>
    <w:rsid w:val="00742DD2"/>
    <w:rsid w:val="007437C6"/>
    <w:rsid w:val="007441A2"/>
    <w:rsid w:val="00744E80"/>
    <w:rsid w:val="00745035"/>
    <w:rsid w:val="007459D0"/>
    <w:rsid w:val="0074623A"/>
    <w:rsid w:val="00746420"/>
    <w:rsid w:val="00746E08"/>
    <w:rsid w:val="00746E3D"/>
    <w:rsid w:val="007473B9"/>
    <w:rsid w:val="00747C96"/>
    <w:rsid w:val="00750075"/>
    <w:rsid w:val="00750382"/>
    <w:rsid w:val="0075094E"/>
    <w:rsid w:val="00750FB5"/>
    <w:rsid w:val="007522E8"/>
    <w:rsid w:val="00754A0B"/>
    <w:rsid w:val="007552DB"/>
    <w:rsid w:val="0075647A"/>
    <w:rsid w:val="00756A2F"/>
    <w:rsid w:val="007573E1"/>
    <w:rsid w:val="00757B2D"/>
    <w:rsid w:val="00757D62"/>
    <w:rsid w:val="00760867"/>
    <w:rsid w:val="00760EB6"/>
    <w:rsid w:val="007616DB"/>
    <w:rsid w:val="0076228A"/>
    <w:rsid w:val="00762440"/>
    <w:rsid w:val="007634AD"/>
    <w:rsid w:val="007672F3"/>
    <w:rsid w:val="007678B1"/>
    <w:rsid w:val="007708A8"/>
    <w:rsid w:val="0077380D"/>
    <w:rsid w:val="00773BC8"/>
    <w:rsid w:val="0077466F"/>
    <w:rsid w:val="007752B7"/>
    <w:rsid w:val="007759A8"/>
    <w:rsid w:val="00775D98"/>
    <w:rsid w:val="00776FE5"/>
    <w:rsid w:val="007774E7"/>
    <w:rsid w:val="0077768C"/>
    <w:rsid w:val="00777FF4"/>
    <w:rsid w:val="00780251"/>
    <w:rsid w:val="00780F32"/>
    <w:rsid w:val="0078122E"/>
    <w:rsid w:val="00781939"/>
    <w:rsid w:val="00781D29"/>
    <w:rsid w:val="007825EF"/>
    <w:rsid w:val="00782D2C"/>
    <w:rsid w:val="00786FAD"/>
    <w:rsid w:val="00787F5E"/>
    <w:rsid w:val="00790164"/>
    <w:rsid w:val="00790A24"/>
    <w:rsid w:val="00790A37"/>
    <w:rsid w:val="00790A60"/>
    <w:rsid w:val="00791FF0"/>
    <w:rsid w:val="007923D0"/>
    <w:rsid w:val="007930D3"/>
    <w:rsid w:val="0079381F"/>
    <w:rsid w:val="007948F5"/>
    <w:rsid w:val="00795647"/>
    <w:rsid w:val="007963F6"/>
    <w:rsid w:val="00796E80"/>
    <w:rsid w:val="007979AD"/>
    <w:rsid w:val="00797A9C"/>
    <w:rsid w:val="007A2341"/>
    <w:rsid w:val="007A38A1"/>
    <w:rsid w:val="007A3BBE"/>
    <w:rsid w:val="007B0313"/>
    <w:rsid w:val="007B0854"/>
    <w:rsid w:val="007B1D1B"/>
    <w:rsid w:val="007B32F7"/>
    <w:rsid w:val="007B3659"/>
    <w:rsid w:val="007B4632"/>
    <w:rsid w:val="007B46A2"/>
    <w:rsid w:val="007B4828"/>
    <w:rsid w:val="007B4D4A"/>
    <w:rsid w:val="007B5428"/>
    <w:rsid w:val="007B6C64"/>
    <w:rsid w:val="007B6EC8"/>
    <w:rsid w:val="007B6F81"/>
    <w:rsid w:val="007B7EA2"/>
    <w:rsid w:val="007C097D"/>
    <w:rsid w:val="007C1672"/>
    <w:rsid w:val="007C3F3B"/>
    <w:rsid w:val="007C55FF"/>
    <w:rsid w:val="007C6339"/>
    <w:rsid w:val="007C7C43"/>
    <w:rsid w:val="007C7F0D"/>
    <w:rsid w:val="007D1134"/>
    <w:rsid w:val="007D23F7"/>
    <w:rsid w:val="007D2566"/>
    <w:rsid w:val="007D3693"/>
    <w:rsid w:val="007D481A"/>
    <w:rsid w:val="007D58C5"/>
    <w:rsid w:val="007D5DE8"/>
    <w:rsid w:val="007D7CFC"/>
    <w:rsid w:val="007E2C36"/>
    <w:rsid w:val="007E350D"/>
    <w:rsid w:val="007E5C4A"/>
    <w:rsid w:val="007E64D4"/>
    <w:rsid w:val="007E69F2"/>
    <w:rsid w:val="007E7432"/>
    <w:rsid w:val="007E74BF"/>
    <w:rsid w:val="007F14D3"/>
    <w:rsid w:val="007F1D9D"/>
    <w:rsid w:val="007F1E28"/>
    <w:rsid w:val="007F1F63"/>
    <w:rsid w:val="007F22A0"/>
    <w:rsid w:val="007F2F90"/>
    <w:rsid w:val="007F3320"/>
    <w:rsid w:val="007F3AC1"/>
    <w:rsid w:val="007F4976"/>
    <w:rsid w:val="007F5A56"/>
    <w:rsid w:val="007F616E"/>
    <w:rsid w:val="007F6B46"/>
    <w:rsid w:val="007F72CB"/>
    <w:rsid w:val="007F7635"/>
    <w:rsid w:val="007F785F"/>
    <w:rsid w:val="007F7E36"/>
    <w:rsid w:val="0080150F"/>
    <w:rsid w:val="0080153A"/>
    <w:rsid w:val="008022C9"/>
    <w:rsid w:val="00802F9E"/>
    <w:rsid w:val="00803D9D"/>
    <w:rsid w:val="008059C6"/>
    <w:rsid w:val="00805AD7"/>
    <w:rsid w:val="00805BD6"/>
    <w:rsid w:val="00807C35"/>
    <w:rsid w:val="008100F7"/>
    <w:rsid w:val="00810206"/>
    <w:rsid w:val="008124D8"/>
    <w:rsid w:val="00813A7B"/>
    <w:rsid w:val="00813F04"/>
    <w:rsid w:val="00815DA5"/>
    <w:rsid w:val="00816221"/>
    <w:rsid w:val="0081766B"/>
    <w:rsid w:val="00820705"/>
    <w:rsid w:val="00820CBF"/>
    <w:rsid w:val="00820FA8"/>
    <w:rsid w:val="008212FD"/>
    <w:rsid w:val="00821489"/>
    <w:rsid w:val="008217B7"/>
    <w:rsid w:val="0082239B"/>
    <w:rsid w:val="0082292E"/>
    <w:rsid w:val="00822D06"/>
    <w:rsid w:val="0082348D"/>
    <w:rsid w:val="008236BE"/>
    <w:rsid w:val="008241CE"/>
    <w:rsid w:val="00825240"/>
    <w:rsid w:val="00827CC0"/>
    <w:rsid w:val="00831026"/>
    <w:rsid w:val="0083119B"/>
    <w:rsid w:val="00831BAE"/>
    <w:rsid w:val="00833430"/>
    <w:rsid w:val="0083417F"/>
    <w:rsid w:val="00835143"/>
    <w:rsid w:val="00835741"/>
    <w:rsid w:val="00836E74"/>
    <w:rsid w:val="00836EAB"/>
    <w:rsid w:val="00837937"/>
    <w:rsid w:val="00837D82"/>
    <w:rsid w:val="00840893"/>
    <w:rsid w:val="008423EC"/>
    <w:rsid w:val="00843615"/>
    <w:rsid w:val="00843B57"/>
    <w:rsid w:val="00843D33"/>
    <w:rsid w:val="00844D4F"/>
    <w:rsid w:val="00845AE3"/>
    <w:rsid w:val="008466A0"/>
    <w:rsid w:val="00847535"/>
    <w:rsid w:val="00847B6D"/>
    <w:rsid w:val="0085092D"/>
    <w:rsid w:val="00850F79"/>
    <w:rsid w:val="0085100B"/>
    <w:rsid w:val="0085304C"/>
    <w:rsid w:val="00856C06"/>
    <w:rsid w:val="0085790B"/>
    <w:rsid w:val="00857C95"/>
    <w:rsid w:val="00857E78"/>
    <w:rsid w:val="0086122C"/>
    <w:rsid w:val="00861310"/>
    <w:rsid w:val="00861F53"/>
    <w:rsid w:val="00863F8A"/>
    <w:rsid w:val="00863FE3"/>
    <w:rsid w:val="00864241"/>
    <w:rsid w:val="0086468A"/>
    <w:rsid w:val="008650BE"/>
    <w:rsid w:val="0086633B"/>
    <w:rsid w:val="00866931"/>
    <w:rsid w:val="00867512"/>
    <w:rsid w:val="0087033C"/>
    <w:rsid w:val="00871E3C"/>
    <w:rsid w:val="00872F97"/>
    <w:rsid w:val="00874607"/>
    <w:rsid w:val="00874915"/>
    <w:rsid w:val="00874B89"/>
    <w:rsid w:val="00875403"/>
    <w:rsid w:val="00876215"/>
    <w:rsid w:val="00877932"/>
    <w:rsid w:val="0088106B"/>
    <w:rsid w:val="0088107D"/>
    <w:rsid w:val="00881E64"/>
    <w:rsid w:val="00882E39"/>
    <w:rsid w:val="008850EB"/>
    <w:rsid w:val="00886DF2"/>
    <w:rsid w:val="00886FB9"/>
    <w:rsid w:val="0089107B"/>
    <w:rsid w:val="008914AE"/>
    <w:rsid w:val="008915B2"/>
    <w:rsid w:val="008919CF"/>
    <w:rsid w:val="00891F84"/>
    <w:rsid w:val="008928EC"/>
    <w:rsid w:val="008935CF"/>
    <w:rsid w:val="008959C6"/>
    <w:rsid w:val="00896129"/>
    <w:rsid w:val="0089774F"/>
    <w:rsid w:val="00897B8F"/>
    <w:rsid w:val="008A00D9"/>
    <w:rsid w:val="008A2A23"/>
    <w:rsid w:val="008A2AEC"/>
    <w:rsid w:val="008A2AF5"/>
    <w:rsid w:val="008A3F9D"/>
    <w:rsid w:val="008A5474"/>
    <w:rsid w:val="008A5C9A"/>
    <w:rsid w:val="008A6A55"/>
    <w:rsid w:val="008A6F6E"/>
    <w:rsid w:val="008A7888"/>
    <w:rsid w:val="008A796E"/>
    <w:rsid w:val="008B0862"/>
    <w:rsid w:val="008B088C"/>
    <w:rsid w:val="008B1BF5"/>
    <w:rsid w:val="008B263F"/>
    <w:rsid w:val="008B47A6"/>
    <w:rsid w:val="008B672C"/>
    <w:rsid w:val="008C0743"/>
    <w:rsid w:val="008C0B4C"/>
    <w:rsid w:val="008C11F0"/>
    <w:rsid w:val="008C1DBA"/>
    <w:rsid w:val="008C24E7"/>
    <w:rsid w:val="008C2CAC"/>
    <w:rsid w:val="008C3E2A"/>
    <w:rsid w:val="008C45BD"/>
    <w:rsid w:val="008C4B19"/>
    <w:rsid w:val="008C62D4"/>
    <w:rsid w:val="008D18AA"/>
    <w:rsid w:val="008D1A2A"/>
    <w:rsid w:val="008D35D9"/>
    <w:rsid w:val="008D3B85"/>
    <w:rsid w:val="008D462D"/>
    <w:rsid w:val="008D66CA"/>
    <w:rsid w:val="008D69B1"/>
    <w:rsid w:val="008E0012"/>
    <w:rsid w:val="008E0DF7"/>
    <w:rsid w:val="008E0FAD"/>
    <w:rsid w:val="008E16E0"/>
    <w:rsid w:val="008E1C15"/>
    <w:rsid w:val="008E1DCC"/>
    <w:rsid w:val="008E44AB"/>
    <w:rsid w:val="008E7884"/>
    <w:rsid w:val="008E7D6E"/>
    <w:rsid w:val="008F1056"/>
    <w:rsid w:val="008F2E8D"/>
    <w:rsid w:val="008F387B"/>
    <w:rsid w:val="008F3DD9"/>
    <w:rsid w:val="008F4814"/>
    <w:rsid w:val="008F4DA6"/>
    <w:rsid w:val="008F538E"/>
    <w:rsid w:val="008F5ABA"/>
    <w:rsid w:val="008F7989"/>
    <w:rsid w:val="00902E5C"/>
    <w:rsid w:val="009046E5"/>
    <w:rsid w:val="009047C5"/>
    <w:rsid w:val="009116CE"/>
    <w:rsid w:val="00911714"/>
    <w:rsid w:val="009136D4"/>
    <w:rsid w:val="00914B9A"/>
    <w:rsid w:val="00914C3F"/>
    <w:rsid w:val="00914F33"/>
    <w:rsid w:val="00915FCE"/>
    <w:rsid w:val="00916FC8"/>
    <w:rsid w:val="009170D3"/>
    <w:rsid w:val="0091759C"/>
    <w:rsid w:val="00920026"/>
    <w:rsid w:val="009203E2"/>
    <w:rsid w:val="00921805"/>
    <w:rsid w:val="00923396"/>
    <w:rsid w:val="00923F56"/>
    <w:rsid w:val="00925743"/>
    <w:rsid w:val="00927E8D"/>
    <w:rsid w:val="00927F23"/>
    <w:rsid w:val="009307CD"/>
    <w:rsid w:val="00931451"/>
    <w:rsid w:val="009314FA"/>
    <w:rsid w:val="0093194F"/>
    <w:rsid w:val="00931BF3"/>
    <w:rsid w:val="00932630"/>
    <w:rsid w:val="00933333"/>
    <w:rsid w:val="0093349A"/>
    <w:rsid w:val="00933FCB"/>
    <w:rsid w:val="00934E69"/>
    <w:rsid w:val="00937401"/>
    <w:rsid w:val="00937D6B"/>
    <w:rsid w:val="00940477"/>
    <w:rsid w:val="00940876"/>
    <w:rsid w:val="00940A53"/>
    <w:rsid w:val="00940F3C"/>
    <w:rsid w:val="009410E0"/>
    <w:rsid w:val="009444B4"/>
    <w:rsid w:val="00946A24"/>
    <w:rsid w:val="009470D4"/>
    <w:rsid w:val="00947337"/>
    <w:rsid w:val="009533E2"/>
    <w:rsid w:val="0095385A"/>
    <w:rsid w:val="0095780A"/>
    <w:rsid w:val="009579E4"/>
    <w:rsid w:val="00960BDB"/>
    <w:rsid w:val="0096147D"/>
    <w:rsid w:val="00961E5F"/>
    <w:rsid w:val="00962A50"/>
    <w:rsid w:val="00964138"/>
    <w:rsid w:val="00964B3F"/>
    <w:rsid w:val="00964C98"/>
    <w:rsid w:val="00971441"/>
    <w:rsid w:val="009715D4"/>
    <w:rsid w:val="00974B58"/>
    <w:rsid w:val="009761ED"/>
    <w:rsid w:val="0098022F"/>
    <w:rsid w:val="009810DE"/>
    <w:rsid w:val="0098427D"/>
    <w:rsid w:val="00984567"/>
    <w:rsid w:val="009865D5"/>
    <w:rsid w:val="00987C77"/>
    <w:rsid w:val="00990345"/>
    <w:rsid w:val="0099119C"/>
    <w:rsid w:val="0099137A"/>
    <w:rsid w:val="0099211C"/>
    <w:rsid w:val="00995119"/>
    <w:rsid w:val="009953AD"/>
    <w:rsid w:val="00996E1E"/>
    <w:rsid w:val="00997392"/>
    <w:rsid w:val="0099747C"/>
    <w:rsid w:val="0099771C"/>
    <w:rsid w:val="009A01E4"/>
    <w:rsid w:val="009A0A33"/>
    <w:rsid w:val="009A2435"/>
    <w:rsid w:val="009A38AB"/>
    <w:rsid w:val="009A3D47"/>
    <w:rsid w:val="009A5356"/>
    <w:rsid w:val="009A5468"/>
    <w:rsid w:val="009A5C4C"/>
    <w:rsid w:val="009A5D99"/>
    <w:rsid w:val="009A608C"/>
    <w:rsid w:val="009A6FDF"/>
    <w:rsid w:val="009A76D6"/>
    <w:rsid w:val="009B2E29"/>
    <w:rsid w:val="009B422F"/>
    <w:rsid w:val="009B46BC"/>
    <w:rsid w:val="009B4D1A"/>
    <w:rsid w:val="009B558B"/>
    <w:rsid w:val="009B698E"/>
    <w:rsid w:val="009C181C"/>
    <w:rsid w:val="009C28A2"/>
    <w:rsid w:val="009C3239"/>
    <w:rsid w:val="009C3828"/>
    <w:rsid w:val="009C3F11"/>
    <w:rsid w:val="009C4987"/>
    <w:rsid w:val="009C523F"/>
    <w:rsid w:val="009C59BF"/>
    <w:rsid w:val="009C5E4F"/>
    <w:rsid w:val="009C5F82"/>
    <w:rsid w:val="009C70F8"/>
    <w:rsid w:val="009D0156"/>
    <w:rsid w:val="009D05DA"/>
    <w:rsid w:val="009D1A14"/>
    <w:rsid w:val="009D1E2A"/>
    <w:rsid w:val="009D1FA0"/>
    <w:rsid w:val="009D2BDF"/>
    <w:rsid w:val="009D3736"/>
    <w:rsid w:val="009D604F"/>
    <w:rsid w:val="009D61BB"/>
    <w:rsid w:val="009D68BB"/>
    <w:rsid w:val="009D7ADB"/>
    <w:rsid w:val="009E0703"/>
    <w:rsid w:val="009E16DA"/>
    <w:rsid w:val="009E1CD4"/>
    <w:rsid w:val="009E2391"/>
    <w:rsid w:val="009E476A"/>
    <w:rsid w:val="009E4E05"/>
    <w:rsid w:val="009E56FF"/>
    <w:rsid w:val="009E5CB1"/>
    <w:rsid w:val="009E5E56"/>
    <w:rsid w:val="009E61EA"/>
    <w:rsid w:val="009E6FEE"/>
    <w:rsid w:val="009F060F"/>
    <w:rsid w:val="009F0850"/>
    <w:rsid w:val="009F1BDF"/>
    <w:rsid w:val="009F1EAE"/>
    <w:rsid w:val="009F369D"/>
    <w:rsid w:val="009F36FE"/>
    <w:rsid w:val="009F59C2"/>
    <w:rsid w:val="009F76EA"/>
    <w:rsid w:val="009F78EB"/>
    <w:rsid w:val="009F7FEB"/>
    <w:rsid w:val="00A01852"/>
    <w:rsid w:val="00A0188B"/>
    <w:rsid w:val="00A01E73"/>
    <w:rsid w:val="00A023E7"/>
    <w:rsid w:val="00A02B88"/>
    <w:rsid w:val="00A03160"/>
    <w:rsid w:val="00A036AC"/>
    <w:rsid w:val="00A041BC"/>
    <w:rsid w:val="00A046D2"/>
    <w:rsid w:val="00A04A54"/>
    <w:rsid w:val="00A066C3"/>
    <w:rsid w:val="00A06754"/>
    <w:rsid w:val="00A069E0"/>
    <w:rsid w:val="00A06E4A"/>
    <w:rsid w:val="00A078FB"/>
    <w:rsid w:val="00A1036D"/>
    <w:rsid w:val="00A1069F"/>
    <w:rsid w:val="00A10ACA"/>
    <w:rsid w:val="00A12355"/>
    <w:rsid w:val="00A127D2"/>
    <w:rsid w:val="00A143EC"/>
    <w:rsid w:val="00A1500F"/>
    <w:rsid w:val="00A15621"/>
    <w:rsid w:val="00A15670"/>
    <w:rsid w:val="00A157A0"/>
    <w:rsid w:val="00A16809"/>
    <w:rsid w:val="00A17EA2"/>
    <w:rsid w:val="00A20264"/>
    <w:rsid w:val="00A20997"/>
    <w:rsid w:val="00A21454"/>
    <w:rsid w:val="00A22025"/>
    <w:rsid w:val="00A22498"/>
    <w:rsid w:val="00A22571"/>
    <w:rsid w:val="00A24560"/>
    <w:rsid w:val="00A25BBB"/>
    <w:rsid w:val="00A26DE8"/>
    <w:rsid w:val="00A30368"/>
    <w:rsid w:val="00A30E02"/>
    <w:rsid w:val="00A30F6A"/>
    <w:rsid w:val="00A31C3E"/>
    <w:rsid w:val="00A34538"/>
    <w:rsid w:val="00A3540F"/>
    <w:rsid w:val="00A35630"/>
    <w:rsid w:val="00A36189"/>
    <w:rsid w:val="00A37E73"/>
    <w:rsid w:val="00A37FB6"/>
    <w:rsid w:val="00A40FDF"/>
    <w:rsid w:val="00A4104A"/>
    <w:rsid w:val="00A41081"/>
    <w:rsid w:val="00A411CA"/>
    <w:rsid w:val="00A42096"/>
    <w:rsid w:val="00A426F3"/>
    <w:rsid w:val="00A42FDF"/>
    <w:rsid w:val="00A430A9"/>
    <w:rsid w:val="00A431FE"/>
    <w:rsid w:val="00A439E5"/>
    <w:rsid w:val="00A4497A"/>
    <w:rsid w:val="00A44E8D"/>
    <w:rsid w:val="00A44F54"/>
    <w:rsid w:val="00A46574"/>
    <w:rsid w:val="00A53037"/>
    <w:rsid w:val="00A532B9"/>
    <w:rsid w:val="00A5351D"/>
    <w:rsid w:val="00A53E79"/>
    <w:rsid w:val="00A54031"/>
    <w:rsid w:val="00A55122"/>
    <w:rsid w:val="00A56DE7"/>
    <w:rsid w:val="00A6009E"/>
    <w:rsid w:val="00A60B1F"/>
    <w:rsid w:val="00A62C3A"/>
    <w:rsid w:val="00A63812"/>
    <w:rsid w:val="00A668BA"/>
    <w:rsid w:val="00A66FA7"/>
    <w:rsid w:val="00A70C5C"/>
    <w:rsid w:val="00A71EA7"/>
    <w:rsid w:val="00A73D64"/>
    <w:rsid w:val="00A74216"/>
    <w:rsid w:val="00A75504"/>
    <w:rsid w:val="00A77168"/>
    <w:rsid w:val="00A80085"/>
    <w:rsid w:val="00A8043B"/>
    <w:rsid w:val="00A81323"/>
    <w:rsid w:val="00A820CB"/>
    <w:rsid w:val="00A82342"/>
    <w:rsid w:val="00A84443"/>
    <w:rsid w:val="00A8487F"/>
    <w:rsid w:val="00A85523"/>
    <w:rsid w:val="00A90F12"/>
    <w:rsid w:val="00A93101"/>
    <w:rsid w:val="00A94293"/>
    <w:rsid w:val="00A94BDE"/>
    <w:rsid w:val="00A94FCA"/>
    <w:rsid w:val="00A96C60"/>
    <w:rsid w:val="00A9740B"/>
    <w:rsid w:val="00A9766C"/>
    <w:rsid w:val="00A977F8"/>
    <w:rsid w:val="00A97C8E"/>
    <w:rsid w:val="00AA08E7"/>
    <w:rsid w:val="00AA0A06"/>
    <w:rsid w:val="00AA1351"/>
    <w:rsid w:val="00AA1C84"/>
    <w:rsid w:val="00AA3D7B"/>
    <w:rsid w:val="00AA42A0"/>
    <w:rsid w:val="00AA442B"/>
    <w:rsid w:val="00AA46A4"/>
    <w:rsid w:val="00AA5779"/>
    <w:rsid w:val="00AA61C7"/>
    <w:rsid w:val="00AA669D"/>
    <w:rsid w:val="00AA6BE1"/>
    <w:rsid w:val="00AA7416"/>
    <w:rsid w:val="00AB14E8"/>
    <w:rsid w:val="00AB1B1D"/>
    <w:rsid w:val="00AB358D"/>
    <w:rsid w:val="00AB37A1"/>
    <w:rsid w:val="00AB3A06"/>
    <w:rsid w:val="00AB3CFD"/>
    <w:rsid w:val="00AB49BC"/>
    <w:rsid w:val="00AB4DEE"/>
    <w:rsid w:val="00AB4E32"/>
    <w:rsid w:val="00AB726C"/>
    <w:rsid w:val="00AB72B4"/>
    <w:rsid w:val="00AC02AA"/>
    <w:rsid w:val="00AC0537"/>
    <w:rsid w:val="00AC145B"/>
    <w:rsid w:val="00AC2A0B"/>
    <w:rsid w:val="00AC2E53"/>
    <w:rsid w:val="00AC4B20"/>
    <w:rsid w:val="00AD1EFA"/>
    <w:rsid w:val="00AD2072"/>
    <w:rsid w:val="00AD2DBD"/>
    <w:rsid w:val="00AD2FBF"/>
    <w:rsid w:val="00AD455D"/>
    <w:rsid w:val="00AD463C"/>
    <w:rsid w:val="00AD4F60"/>
    <w:rsid w:val="00AD5044"/>
    <w:rsid w:val="00AD5114"/>
    <w:rsid w:val="00AD6236"/>
    <w:rsid w:val="00AD7770"/>
    <w:rsid w:val="00AE0F07"/>
    <w:rsid w:val="00AE1990"/>
    <w:rsid w:val="00AE25E8"/>
    <w:rsid w:val="00AE2AD4"/>
    <w:rsid w:val="00AE2CA7"/>
    <w:rsid w:val="00AE2F1D"/>
    <w:rsid w:val="00AE6582"/>
    <w:rsid w:val="00AE7686"/>
    <w:rsid w:val="00AE799A"/>
    <w:rsid w:val="00AF0E81"/>
    <w:rsid w:val="00AF117A"/>
    <w:rsid w:val="00AF19DF"/>
    <w:rsid w:val="00AF26CF"/>
    <w:rsid w:val="00AF4E92"/>
    <w:rsid w:val="00AF5C9B"/>
    <w:rsid w:val="00AF5D53"/>
    <w:rsid w:val="00AF644B"/>
    <w:rsid w:val="00AF6CA6"/>
    <w:rsid w:val="00AF6EB6"/>
    <w:rsid w:val="00AF7796"/>
    <w:rsid w:val="00B011A9"/>
    <w:rsid w:val="00B033F8"/>
    <w:rsid w:val="00B04400"/>
    <w:rsid w:val="00B04835"/>
    <w:rsid w:val="00B05A55"/>
    <w:rsid w:val="00B05DE1"/>
    <w:rsid w:val="00B06595"/>
    <w:rsid w:val="00B06A9A"/>
    <w:rsid w:val="00B10109"/>
    <w:rsid w:val="00B10FD1"/>
    <w:rsid w:val="00B12735"/>
    <w:rsid w:val="00B13E35"/>
    <w:rsid w:val="00B13EC0"/>
    <w:rsid w:val="00B14102"/>
    <w:rsid w:val="00B14D32"/>
    <w:rsid w:val="00B1557C"/>
    <w:rsid w:val="00B155DC"/>
    <w:rsid w:val="00B15766"/>
    <w:rsid w:val="00B1666A"/>
    <w:rsid w:val="00B1686D"/>
    <w:rsid w:val="00B17447"/>
    <w:rsid w:val="00B1771D"/>
    <w:rsid w:val="00B20209"/>
    <w:rsid w:val="00B203C9"/>
    <w:rsid w:val="00B22E22"/>
    <w:rsid w:val="00B23FD9"/>
    <w:rsid w:val="00B24591"/>
    <w:rsid w:val="00B245D5"/>
    <w:rsid w:val="00B24C36"/>
    <w:rsid w:val="00B24F94"/>
    <w:rsid w:val="00B25126"/>
    <w:rsid w:val="00B25FC3"/>
    <w:rsid w:val="00B27875"/>
    <w:rsid w:val="00B3008D"/>
    <w:rsid w:val="00B30E11"/>
    <w:rsid w:val="00B30EEB"/>
    <w:rsid w:val="00B31423"/>
    <w:rsid w:val="00B323E0"/>
    <w:rsid w:val="00B3346C"/>
    <w:rsid w:val="00B33C23"/>
    <w:rsid w:val="00B345B4"/>
    <w:rsid w:val="00B348B1"/>
    <w:rsid w:val="00B34A28"/>
    <w:rsid w:val="00B35046"/>
    <w:rsid w:val="00B35B6A"/>
    <w:rsid w:val="00B37657"/>
    <w:rsid w:val="00B37B07"/>
    <w:rsid w:val="00B4046F"/>
    <w:rsid w:val="00B422C0"/>
    <w:rsid w:val="00B426CA"/>
    <w:rsid w:val="00B426E1"/>
    <w:rsid w:val="00B44746"/>
    <w:rsid w:val="00B44854"/>
    <w:rsid w:val="00B4792C"/>
    <w:rsid w:val="00B50CAE"/>
    <w:rsid w:val="00B512AD"/>
    <w:rsid w:val="00B5196C"/>
    <w:rsid w:val="00B525CB"/>
    <w:rsid w:val="00B52697"/>
    <w:rsid w:val="00B54D8F"/>
    <w:rsid w:val="00B56851"/>
    <w:rsid w:val="00B572F7"/>
    <w:rsid w:val="00B57B9D"/>
    <w:rsid w:val="00B57DAF"/>
    <w:rsid w:val="00B6022C"/>
    <w:rsid w:val="00B608F3"/>
    <w:rsid w:val="00B614F8"/>
    <w:rsid w:val="00B61994"/>
    <w:rsid w:val="00B61FD4"/>
    <w:rsid w:val="00B63872"/>
    <w:rsid w:val="00B63CB2"/>
    <w:rsid w:val="00B64246"/>
    <w:rsid w:val="00B64D92"/>
    <w:rsid w:val="00B64EDB"/>
    <w:rsid w:val="00B65938"/>
    <w:rsid w:val="00B65C8A"/>
    <w:rsid w:val="00B66109"/>
    <w:rsid w:val="00B66349"/>
    <w:rsid w:val="00B70546"/>
    <w:rsid w:val="00B72B91"/>
    <w:rsid w:val="00B73019"/>
    <w:rsid w:val="00B7315F"/>
    <w:rsid w:val="00B7423D"/>
    <w:rsid w:val="00B74D05"/>
    <w:rsid w:val="00B777FA"/>
    <w:rsid w:val="00B77850"/>
    <w:rsid w:val="00B7796B"/>
    <w:rsid w:val="00B81964"/>
    <w:rsid w:val="00B81E6F"/>
    <w:rsid w:val="00B82123"/>
    <w:rsid w:val="00B8225B"/>
    <w:rsid w:val="00B82BB5"/>
    <w:rsid w:val="00B851E4"/>
    <w:rsid w:val="00B854CE"/>
    <w:rsid w:val="00B85681"/>
    <w:rsid w:val="00B86877"/>
    <w:rsid w:val="00B8695D"/>
    <w:rsid w:val="00B86E66"/>
    <w:rsid w:val="00B873BA"/>
    <w:rsid w:val="00B8746F"/>
    <w:rsid w:val="00B87706"/>
    <w:rsid w:val="00B91B8E"/>
    <w:rsid w:val="00B92531"/>
    <w:rsid w:val="00B92618"/>
    <w:rsid w:val="00B92B69"/>
    <w:rsid w:val="00B92CC6"/>
    <w:rsid w:val="00B935C9"/>
    <w:rsid w:val="00B93E3D"/>
    <w:rsid w:val="00B95464"/>
    <w:rsid w:val="00B95E3D"/>
    <w:rsid w:val="00B9691F"/>
    <w:rsid w:val="00B976C7"/>
    <w:rsid w:val="00BA0C54"/>
    <w:rsid w:val="00BA1382"/>
    <w:rsid w:val="00BA20D8"/>
    <w:rsid w:val="00BA22FC"/>
    <w:rsid w:val="00BA2F30"/>
    <w:rsid w:val="00BA4771"/>
    <w:rsid w:val="00BA7370"/>
    <w:rsid w:val="00BA778B"/>
    <w:rsid w:val="00BB0888"/>
    <w:rsid w:val="00BB0E9B"/>
    <w:rsid w:val="00BB2841"/>
    <w:rsid w:val="00BB300F"/>
    <w:rsid w:val="00BB32C9"/>
    <w:rsid w:val="00BB35C5"/>
    <w:rsid w:val="00BB4C8E"/>
    <w:rsid w:val="00BB57ED"/>
    <w:rsid w:val="00BB65C3"/>
    <w:rsid w:val="00BB662E"/>
    <w:rsid w:val="00BB6C01"/>
    <w:rsid w:val="00BB7CD1"/>
    <w:rsid w:val="00BC17CC"/>
    <w:rsid w:val="00BC25ED"/>
    <w:rsid w:val="00BC2898"/>
    <w:rsid w:val="00BC2928"/>
    <w:rsid w:val="00BC2BB1"/>
    <w:rsid w:val="00BC34A3"/>
    <w:rsid w:val="00BC3FF9"/>
    <w:rsid w:val="00BC4A97"/>
    <w:rsid w:val="00BC68B4"/>
    <w:rsid w:val="00BD02CC"/>
    <w:rsid w:val="00BD0DB8"/>
    <w:rsid w:val="00BD2063"/>
    <w:rsid w:val="00BD33D9"/>
    <w:rsid w:val="00BD3DEA"/>
    <w:rsid w:val="00BD3E97"/>
    <w:rsid w:val="00BD52FE"/>
    <w:rsid w:val="00BD62CF"/>
    <w:rsid w:val="00BD78FE"/>
    <w:rsid w:val="00BE0767"/>
    <w:rsid w:val="00BE12D7"/>
    <w:rsid w:val="00BE18DA"/>
    <w:rsid w:val="00BE26C0"/>
    <w:rsid w:val="00BE47B2"/>
    <w:rsid w:val="00BE48C7"/>
    <w:rsid w:val="00BE4F66"/>
    <w:rsid w:val="00BE5238"/>
    <w:rsid w:val="00BE7257"/>
    <w:rsid w:val="00BF020D"/>
    <w:rsid w:val="00BF1DD2"/>
    <w:rsid w:val="00BF23A3"/>
    <w:rsid w:val="00BF2A7E"/>
    <w:rsid w:val="00BF3331"/>
    <w:rsid w:val="00BF5C05"/>
    <w:rsid w:val="00BF6FC6"/>
    <w:rsid w:val="00BF7C52"/>
    <w:rsid w:val="00BF7F99"/>
    <w:rsid w:val="00C00713"/>
    <w:rsid w:val="00C009A0"/>
    <w:rsid w:val="00C01F74"/>
    <w:rsid w:val="00C02558"/>
    <w:rsid w:val="00C0285F"/>
    <w:rsid w:val="00C03305"/>
    <w:rsid w:val="00C03738"/>
    <w:rsid w:val="00C037A6"/>
    <w:rsid w:val="00C04BDB"/>
    <w:rsid w:val="00C06CCF"/>
    <w:rsid w:val="00C06CDF"/>
    <w:rsid w:val="00C1159D"/>
    <w:rsid w:val="00C1233E"/>
    <w:rsid w:val="00C12FB3"/>
    <w:rsid w:val="00C13D85"/>
    <w:rsid w:val="00C14E82"/>
    <w:rsid w:val="00C14FF6"/>
    <w:rsid w:val="00C1641B"/>
    <w:rsid w:val="00C165FC"/>
    <w:rsid w:val="00C176D5"/>
    <w:rsid w:val="00C2082C"/>
    <w:rsid w:val="00C220B6"/>
    <w:rsid w:val="00C22DDE"/>
    <w:rsid w:val="00C2338B"/>
    <w:rsid w:val="00C238F4"/>
    <w:rsid w:val="00C23A99"/>
    <w:rsid w:val="00C245EE"/>
    <w:rsid w:val="00C24B8D"/>
    <w:rsid w:val="00C24BD7"/>
    <w:rsid w:val="00C25813"/>
    <w:rsid w:val="00C27143"/>
    <w:rsid w:val="00C27490"/>
    <w:rsid w:val="00C27D37"/>
    <w:rsid w:val="00C309E8"/>
    <w:rsid w:val="00C32017"/>
    <w:rsid w:val="00C325CD"/>
    <w:rsid w:val="00C3322E"/>
    <w:rsid w:val="00C33B90"/>
    <w:rsid w:val="00C34B5F"/>
    <w:rsid w:val="00C36785"/>
    <w:rsid w:val="00C3711C"/>
    <w:rsid w:val="00C37256"/>
    <w:rsid w:val="00C37A7B"/>
    <w:rsid w:val="00C37FFE"/>
    <w:rsid w:val="00C40B50"/>
    <w:rsid w:val="00C419E3"/>
    <w:rsid w:val="00C41E6A"/>
    <w:rsid w:val="00C42247"/>
    <w:rsid w:val="00C439BE"/>
    <w:rsid w:val="00C4539B"/>
    <w:rsid w:val="00C45466"/>
    <w:rsid w:val="00C455C1"/>
    <w:rsid w:val="00C4581D"/>
    <w:rsid w:val="00C47472"/>
    <w:rsid w:val="00C500F0"/>
    <w:rsid w:val="00C504A7"/>
    <w:rsid w:val="00C506C9"/>
    <w:rsid w:val="00C52D98"/>
    <w:rsid w:val="00C54640"/>
    <w:rsid w:val="00C547A6"/>
    <w:rsid w:val="00C54A3A"/>
    <w:rsid w:val="00C56A67"/>
    <w:rsid w:val="00C56CC2"/>
    <w:rsid w:val="00C57498"/>
    <w:rsid w:val="00C5763C"/>
    <w:rsid w:val="00C5780C"/>
    <w:rsid w:val="00C5796B"/>
    <w:rsid w:val="00C619A1"/>
    <w:rsid w:val="00C6305F"/>
    <w:rsid w:val="00C6325B"/>
    <w:rsid w:val="00C63E99"/>
    <w:rsid w:val="00C64A64"/>
    <w:rsid w:val="00C65151"/>
    <w:rsid w:val="00C66119"/>
    <w:rsid w:val="00C66292"/>
    <w:rsid w:val="00C672A3"/>
    <w:rsid w:val="00C672F1"/>
    <w:rsid w:val="00C673D0"/>
    <w:rsid w:val="00C70675"/>
    <w:rsid w:val="00C71E2A"/>
    <w:rsid w:val="00C733BA"/>
    <w:rsid w:val="00C8082B"/>
    <w:rsid w:val="00C81A88"/>
    <w:rsid w:val="00C81D46"/>
    <w:rsid w:val="00C82298"/>
    <w:rsid w:val="00C833B4"/>
    <w:rsid w:val="00C84284"/>
    <w:rsid w:val="00C861FC"/>
    <w:rsid w:val="00C9005E"/>
    <w:rsid w:val="00C90CA9"/>
    <w:rsid w:val="00C917B1"/>
    <w:rsid w:val="00C9193C"/>
    <w:rsid w:val="00C91B77"/>
    <w:rsid w:val="00C920E2"/>
    <w:rsid w:val="00C93765"/>
    <w:rsid w:val="00C93877"/>
    <w:rsid w:val="00C93D8C"/>
    <w:rsid w:val="00C959BD"/>
    <w:rsid w:val="00CA0031"/>
    <w:rsid w:val="00CA0413"/>
    <w:rsid w:val="00CA043A"/>
    <w:rsid w:val="00CA41E7"/>
    <w:rsid w:val="00CA5812"/>
    <w:rsid w:val="00CA5BD4"/>
    <w:rsid w:val="00CA5C14"/>
    <w:rsid w:val="00CA7BBC"/>
    <w:rsid w:val="00CA7E7B"/>
    <w:rsid w:val="00CB2D38"/>
    <w:rsid w:val="00CB4137"/>
    <w:rsid w:val="00CB52D0"/>
    <w:rsid w:val="00CB5578"/>
    <w:rsid w:val="00CB591C"/>
    <w:rsid w:val="00CB61B3"/>
    <w:rsid w:val="00CB6F83"/>
    <w:rsid w:val="00CB72AE"/>
    <w:rsid w:val="00CC00CD"/>
    <w:rsid w:val="00CC0AF3"/>
    <w:rsid w:val="00CC0BC6"/>
    <w:rsid w:val="00CC0E68"/>
    <w:rsid w:val="00CC2514"/>
    <w:rsid w:val="00CC2F69"/>
    <w:rsid w:val="00CC315F"/>
    <w:rsid w:val="00CC3D38"/>
    <w:rsid w:val="00CC40C3"/>
    <w:rsid w:val="00CC4E5D"/>
    <w:rsid w:val="00CC50AE"/>
    <w:rsid w:val="00CC69EC"/>
    <w:rsid w:val="00CC743D"/>
    <w:rsid w:val="00CD050A"/>
    <w:rsid w:val="00CD205D"/>
    <w:rsid w:val="00CD2A22"/>
    <w:rsid w:val="00CD2B50"/>
    <w:rsid w:val="00CD4506"/>
    <w:rsid w:val="00CD520B"/>
    <w:rsid w:val="00CD5A1A"/>
    <w:rsid w:val="00CD7EFA"/>
    <w:rsid w:val="00CE020E"/>
    <w:rsid w:val="00CE0566"/>
    <w:rsid w:val="00CE1CD4"/>
    <w:rsid w:val="00CE2761"/>
    <w:rsid w:val="00CE314E"/>
    <w:rsid w:val="00CE3D5C"/>
    <w:rsid w:val="00CE3E14"/>
    <w:rsid w:val="00CE44C7"/>
    <w:rsid w:val="00CE53CC"/>
    <w:rsid w:val="00CE65A7"/>
    <w:rsid w:val="00CE6EC4"/>
    <w:rsid w:val="00CE7F26"/>
    <w:rsid w:val="00CF1E1D"/>
    <w:rsid w:val="00CF35D0"/>
    <w:rsid w:val="00CF3DD5"/>
    <w:rsid w:val="00CF4AF7"/>
    <w:rsid w:val="00CF4D20"/>
    <w:rsid w:val="00CF73F8"/>
    <w:rsid w:val="00CF7928"/>
    <w:rsid w:val="00D00A8E"/>
    <w:rsid w:val="00D00DE0"/>
    <w:rsid w:val="00D012BF"/>
    <w:rsid w:val="00D01760"/>
    <w:rsid w:val="00D0368E"/>
    <w:rsid w:val="00D03D2D"/>
    <w:rsid w:val="00D03E7B"/>
    <w:rsid w:val="00D0401A"/>
    <w:rsid w:val="00D058E9"/>
    <w:rsid w:val="00D1060D"/>
    <w:rsid w:val="00D10A14"/>
    <w:rsid w:val="00D10E7C"/>
    <w:rsid w:val="00D11182"/>
    <w:rsid w:val="00D11807"/>
    <w:rsid w:val="00D12D82"/>
    <w:rsid w:val="00D1306E"/>
    <w:rsid w:val="00D14B5F"/>
    <w:rsid w:val="00D14F23"/>
    <w:rsid w:val="00D16740"/>
    <w:rsid w:val="00D16A8B"/>
    <w:rsid w:val="00D16E39"/>
    <w:rsid w:val="00D17AD8"/>
    <w:rsid w:val="00D2104A"/>
    <w:rsid w:val="00D21BB5"/>
    <w:rsid w:val="00D21FFC"/>
    <w:rsid w:val="00D223B6"/>
    <w:rsid w:val="00D223E8"/>
    <w:rsid w:val="00D22DC8"/>
    <w:rsid w:val="00D2531C"/>
    <w:rsid w:val="00D2754F"/>
    <w:rsid w:val="00D279D9"/>
    <w:rsid w:val="00D312DC"/>
    <w:rsid w:val="00D31B84"/>
    <w:rsid w:val="00D31C6A"/>
    <w:rsid w:val="00D31EDF"/>
    <w:rsid w:val="00D31FF9"/>
    <w:rsid w:val="00D32256"/>
    <w:rsid w:val="00D32A27"/>
    <w:rsid w:val="00D32ABC"/>
    <w:rsid w:val="00D34F4E"/>
    <w:rsid w:val="00D357F3"/>
    <w:rsid w:val="00D35C0E"/>
    <w:rsid w:val="00D373A8"/>
    <w:rsid w:val="00D401BE"/>
    <w:rsid w:val="00D41858"/>
    <w:rsid w:val="00D422DB"/>
    <w:rsid w:val="00D42AC2"/>
    <w:rsid w:val="00D4515F"/>
    <w:rsid w:val="00D45194"/>
    <w:rsid w:val="00D466C9"/>
    <w:rsid w:val="00D52E2F"/>
    <w:rsid w:val="00D52F59"/>
    <w:rsid w:val="00D53E3E"/>
    <w:rsid w:val="00D5505B"/>
    <w:rsid w:val="00D5616F"/>
    <w:rsid w:val="00D57940"/>
    <w:rsid w:val="00D60327"/>
    <w:rsid w:val="00D61526"/>
    <w:rsid w:val="00D61F81"/>
    <w:rsid w:val="00D62BE6"/>
    <w:rsid w:val="00D63766"/>
    <w:rsid w:val="00D63912"/>
    <w:rsid w:val="00D63923"/>
    <w:rsid w:val="00D6451B"/>
    <w:rsid w:val="00D64B57"/>
    <w:rsid w:val="00D65DEA"/>
    <w:rsid w:val="00D67BC7"/>
    <w:rsid w:val="00D705D3"/>
    <w:rsid w:val="00D70E00"/>
    <w:rsid w:val="00D715AC"/>
    <w:rsid w:val="00D71851"/>
    <w:rsid w:val="00D718CF"/>
    <w:rsid w:val="00D72E9D"/>
    <w:rsid w:val="00D73249"/>
    <w:rsid w:val="00D73419"/>
    <w:rsid w:val="00D73CA9"/>
    <w:rsid w:val="00D751B7"/>
    <w:rsid w:val="00D7524B"/>
    <w:rsid w:val="00D75396"/>
    <w:rsid w:val="00D759C0"/>
    <w:rsid w:val="00D75E99"/>
    <w:rsid w:val="00D766C7"/>
    <w:rsid w:val="00D7692B"/>
    <w:rsid w:val="00D7734F"/>
    <w:rsid w:val="00D8044C"/>
    <w:rsid w:val="00D805D6"/>
    <w:rsid w:val="00D80D4C"/>
    <w:rsid w:val="00D8184D"/>
    <w:rsid w:val="00D81A7B"/>
    <w:rsid w:val="00D8223C"/>
    <w:rsid w:val="00D82CE5"/>
    <w:rsid w:val="00D8342C"/>
    <w:rsid w:val="00D85494"/>
    <w:rsid w:val="00D8616D"/>
    <w:rsid w:val="00D915C8"/>
    <w:rsid w:val="00D9310B"/>
    <w:rsid w:val="00D93726"/>
    <w:rsid w:val="00D93F3E"/>
    <w:rsid w:val="00D9405B"/>
    <w:rsid w:val="00D95145"/>
    <w:rsid w:val="00D967CB"/>
    <w:rsid w:val="00D96EE0"/>
    <w:rsid w:val="00D97BD1"/>
    <w:rsid w:val="00DA06B8"/>
    <w:rsid w:val="00DA2969"/>
    <w:rsid w:val="00DA29B7"/>
    <w:rsid w:val="00DA5989"/>
    <w:rsid w:val="00DA5AB1"/>
    <w:rsid w:val="00DA5F9D"/>
    <w:rsid w:val="00DA69B2"/>
    <w:rsid w:val="00DA7AD0"/>
    <w:rsid w:val="00DB03CC"/>
    <w:rsid w:val="00DB14F0"/>
    <w:rsid w:val="00DB1745"/>
    <w:rsid w:val="00DB1AFF"/>
    <w:rsid w:val="00DB219A"/>
    <w:rsid w:val="00DB4292"/>
    <w:rsid w:val="00DB7117"/>
    <w:rsid w:val="00DB7760"/>
    <w:rsid w:val="00DB7DD4"/>
    <w:rsid w:val="00DC0954"/>
    <w:rsid w:val="00DC15BA"/>
    <w:rsid w:val="00DC18CD"/>
    <w:rsid w:val="00DC1A68"/>
    <w:rsid w:val="00DC30B8"/>
    <w:rsid w:val="00DC62E5"/>
    <w:rsid w:val="00DC6F33"/>
    <w:rsid w:val="00DC7138"/>
    <w:rsid w:val="00DC7349"/>
    <w:rsid w:val="00DD1599"/>
    <w:rsid w:val="00DD1B03"/>
    <w:rsid w:val="00DD2A62"/>
    <w:rsid w:val="00DD2F2F"/>
    <w:rsid w:val="00DD2F7A"/>
    <w:rsid w:val="00DD3885"/>
    <w:rsid w:val="00DD5946"/>
    <w:rsid w:val="00DD5B04"/>
    <w:rsid w:val="00DD5EC6"/>
    <w:rsid w:val="00DD605F"/>
    <w:rsid w:val="00DD735D"/>
    <w:rsid w:val="00DE082D"/>
    <w:rsid w:val="00DE3119"/>
    <w:rsid w:val="00DE3FF0"/>
    <w:rsid w:val="00DE4105"/>
    <w:rsid w:val="00DE5189"/>
    <w:rsid w:val="00DF0263"/>
    <w:rsid w:val="00DF1E36"/>
    <w:rsid w:val="00DF236B"/>
    <w:rsid w:val="00DF3889"/>
    <w:rsid w:val="00DF3CC9"/>
    <w:rsid w:val="00DF4451"/>
    <w:rsid w:val="00DF49FF"/>
    <w:rsid w:val="00DF4FFB"/>
    <w:rsid w:val="00DF5236"/>
    <w:rsid w:val="00DF651F"/>
    <w:rsid w:val="00DF6F43"/>
    <w:rsid w:val="00DF752F"/>
    <w:rsid w:val="00DF76A2"/>
    <w:rsid w:val="00E02186"/>
    <w:rsid w:val="00E026BB"/>
    <w:rsid w:val="00E027C5"/>
    <w:rsid w:val="00E03124"/>
    <w:rsid w:val="00E03951"/>
    <w:rsid w:val="00E03DB8"/>
    <w:rsid w:val="00E05E70"/>
    <w:rsid w:val="00E064BC"/>
    <w:rsid w:val="00E109DD"/>
    <w:rsid w:val="00E11229"/>
    <w:rsid w:val="00E1397F"/>
    <w:rsid w:val="00E13AB8"/>
    <w:rsid w:val="00E1482E"/>
    <w:rsid w:val="00E1699C"/>
    <w:rsid w:val="00E16E75"/>
    <w:rsid w:val="00E23137"/>
    <w:rsid w:val="00E241E9"/>
    <w:rsid w:val="00E257C3"/>
    <w:rsid w:val="00E25CB3"/>
    <w:rsid w:val="00E25DA4"/>
    <w:rsid w:val="00E26CB8"/>
    <w:rsid w:val="00E26FCF"/>
    <w:rsid w:val="00E27165"/>
    <w:rsid w:val="00E3044A"/>
    <w:rsid w:val="00E31A4A"/>
    <w:rsid w:val="00E3224C"/>
    <w:rsid w:val="00E3344A"/>
    <w:rsid w:val="00E33B29"/>
    <w:rsid w:val="00E33B62"/>
    <w:rsid w:val="00E3403D"/>
    <w:rsid w:val="00E34E6C"/>
    <w:rsid w:val="00E353E2"/>
    <w:rsid w:val="00E36345"/>
    <w:rsid w:val="00E36C86"/>
    <w:rsid w:val="00E36CEB"/>
    <w:rsid w:val="00E40430"/>
    <w:rsid w:val="00E40690"/>
    <w:rsid w:val="00E4143A"/>
    <w:rsid w:val="00E424C8"/>
    <w:rsid w:val="00E4251D"/>
    <w:rsid w:val="00E43D00"/>
    <w:rsid w:val="00E440EF"/>
    <w:rsid w:val="00E445E4"/>
    <w:rsid w:val="00E457CB"/>
    <w:rsid w:val="00E45DE4"/>
    <w:rsid w:val="00E45E63"/>
    <w:rsid w:val="00E50A7B"/>
    <w:rsid w:val="00E510FE"/>
    <w:rsid w:val="00E521AE"/>
    <w:rsid w:val="00E53769"/>
    <w:rsid w:val="00E53BCA"/>
    <w:rsid w:val="00E53F02"/>
    <w:rsid w:val="00E54534"/>
    <w:rsid w:val="00E548C3"/>
    <w:rsid w:val="00E54F27"/>
    <w:rsid w:val="00E55FF1"/>
    <w:rsid w:val="00E56090"/>
    <w:rsid w:val="00E565B9"/>
    <w:rsid w:val="00E5733B"/>
    <w:rsid w:val="00E601BE"/>
    <w:rsid w:val="00E60B5F"/>
    <w:rsid w:val="00E613AE"/>
    <w:rsid w:val="00E61ABB"/>
    <w:rsid w:val="00E623E6"/>
    <w:rsid w:val="00E630C0"/>
    <w:rsid w:val="00E634E6"/>
    <w:rsid w:val="00E64700"/>
    <w:rsid w:val="00E65074"/>
    <w:rsid w:val="00E65E70"/>
    <w:rsid w:val="00E66087"/>
    <w:rsid w:val="00E66FF9"/>
    <w:rsid w:val="00E67856"/>
    <w:rsid w:val="00E724E7"/>
    <w:rsid w:val="00E7347B"/>
    <w:rsid w:val="00E73D03"/>
    <w:rsid w:val="00E77AF5"/>
    <w:rsid w:val="00E82C1F"/>
    <w:rsid w:val="00E84A71"/>
    <w:rsid w:val="00E86556"/>
    <w:rsid w:val="00E86D35"/>
    <w:rsid w:val="00E86DC2"/>
    <w:rsid w:val="00E9011F"/>
    <w:rsid w:val="00E906EB"/>
    <w:rsid w:val="00E92E62"/>
    <w:rsid w:val="00E95434"/>
    <w:rsid w:val="00E95FFA"/>
    <w:rsid w:val="00E96467"/>
    <w:rsid w:val="00E96948"/>
    <w:rsid w:val="00E9737B"/>
    <w:rsid w:val="00E97A3F"/>
    <w:rsid w:val="00E97F0A"/>
    <w:rsid w:val="00EA2744"/>
    <w:rsid w:val="00EA37B9"/>
    <w:rsid w:val="00EA3DC2"/>
    <w:rsid w:val="00EA4757"/>
    <w:rsid w:val="00EA560B"/>
    <w:rsid w:val="00EA5669"/>
    <w:rsid w:val="00EA63EF"/>
    <w:rsid w:val="00EB0A89"/>
    <w:rsid w:val="00EB1910"/>
    <w:rsid w:val="00EB2E97"/>
    <w:rsid w:val="00EB4AE1"/>
    <w:rsid w:val="00EB52F4"/>
    <w:rsid w:val="00EB5779"/>
    <w:rsid w:val="00EB67F1"/>
    <w:rsid w:val="00EB72CD"/>
    <w:rsid w:val="00EB749A"/>
    <w:rsid w:val="00EB76B6"/>
    <w:rsid w:val="00EC05E2"/>
    <w:rsid w:val="00EC0E84"/>
    <w:rsid w:val="00EC16E2"/>
    <w:rsid w:val="00EC1CE7"/>
    <w:rsid w:val="00EC26F1"/>
    <w:rsid w:val="00EC3C94"/>
    <w:rsid w:val="00EC44DF"/>
    <w:rsid w:val="00EC4FB9"/>
    <w:rsid w:val="00EC5393"/>
    <w:rsid w:val="00EC5DA3"/>
    <w:rsid w:val="00EC6014"/>
    <w:rsid w:val="00EC6B3E"/>
    <w:rsid w:val="00EC7637"/>
    <w:rsid w:val="00ED046C"/>
    <w:rsid w:val="00ED053A"/>
    <w:rsid w:val="00ED1F03"/>
    <w:rsid w:val="00ED2D27"/>
    <w:rsid w:val="00ED3347"/>
    <w:rsid w:val="00ED4967"/>
    <w:rsid w:val="00ED5771"/>
    <w:rsid w:val="00ED587F"/>
    <w:rsid w:val="00ED5964"/>
    <w:rsid w:val="00ED72E9"/>
    <w:rsid w:val="00ED7FBC"/>
    <w:rsid w:val="00EE0253"/>
    <w:rsid w:val="00EE0297"/>
    <w:rsid w:val="00EE1668"/>
    <w:rsid w:val="00EE366D"/>
    <w:rsid w:val="00EE4F67"/>
    <w:rsid w:val="00EE59B5"/>
    <w:rsid w:val="00EE7B54"/>
    <w:rsid w:val="00EE7C88"/>
    <w:rsid w:val="00EF0209"/>
    <w:rsid w:val="00EF1E97"/>
    <w:rsid w:val="00EF2547"/>
    <w:rsid w:val="00EF2B2B"/>
    <w:rsid w:val="00EF2E1C"/>
    <w:rsid w:val="00EF2FD6"/>
    <w:rsid w:val="00EF326A"/>
    <w:rsid w:val="00EF427A"/>
    <w:rsid w:val="00EF45DF"/>
    <w:rsid w:val="00EF4952"/>
    <w:rsid w:val="00EF4A42"/>
    <w:rsid w:val="00EF510C"/>
    <w:rsid w:val="00EF57BC"/>
    <w:rsid w:val="00EF6784"/>
    <w:rsid w:val="00EF6A03"/>
    <w:rsid w:val="00EF6DC2"/>
    <w:rsid w:val="00EF7BF4"/>
    <w:rsid w:val="00F00674"/>
    <w:rsid w:val="00F01657"/>
    <w:rsid w:val="00F02744"/>
    <w:rsid w:val="00F02BFD"/>
    <w:rsid w:val="00F02D25"/>
    <w:rsid w:val="00F04580"/>
    <w:rsid w:val="00F04ECA"/>
    <w:rsid w:val="00F06E19"/>
    <w:rsid w:val="00F06F84"/>
    <w:rsid w:val="00F076E7"/>
    <w:rsid w:val="00F07AA1"/>
    <w:rsid w:val="00F105AE"/>
    <w:rsid w:val="00F1108B"/>
    <w:rsid w:val="00F11768"/>
    <w:rsid w:val="00F11951"/>
    <w:rsid w:val="00F12262"/>
    <w:rsid w:val="00F12AF8"/>
    <w:rsid w:val="00F148B7"/>
    <w:rsid w:val="00F15505"/>
    <w:rsid w:val="00F15BFF"/>
    <w:rsid w:val="00F213A0"/>
    <w:rsid w:val="00F21D54"/>
    <w:rsid w:val="00F23113"/>
    <w:rsid w:val="00F23255"/>
    <w:rsid w:val="00F24644"/>
    <w:rsid w:val="00F30400"/>
    <w:rsid w:val="00F346ED"/>
    <w:rsid w:val="00F34945"/>
    <w:rsid w:val="00F34E1E"/>
    <w:rsid w:val="00F368FF"/>
    <w:rsid w:val="00F37068"/>
    <w:rsid w:val="00F40992"/>
    <w:rsid w:val="00F41596"/>
    <w:rsid w:val="00F41D8B"/>
    <w:rsid w:val="00F42121"/>
    <w:rsid w:val="00F428B4"/>
    <w:rsid w:val="00F4345D"/>
    <w:rsid w:val="00F4387B"/>
    <w:rsid w:val="00F45B91"/>
    <w:rsid w:val="00F46639"/>
    <w:rsid w:val="00F50183"/>
    <w:rsid w:val="00F50D92"/>
    <w:rsid w:val="00F51765"/>
    <w:rsid w:val="00F51A51"/>
    <w:rsid w:val="00F51CB4"/>
    <w:rsid w:val="00F52324"/>
    <w:rsid w:val="00F52C9D"/>
    <w:rsid w:val="00F533F1"/>
    <w:rsid w:val="00F55679"/>
    <w:rsid w:val="00F561E3"/>
    <w:rsid w:val="00F565E6"/>
    <w:rsid w:val="00F56AFA"/>
    <w:rsid w:val="00F575E2"/>
    <w:rsid w:val="00F579FF"/>
    <w:rsid w:val="00F600E0"/>
    <w:rsid w:val="00F605EC"/>
    <w:rsid w:val="00F60F60"/>
    <w:rsid w:val="00F624A7"/>
    <w:rsid w:val="00F65A3C"/>
    <w:rsid w:val="00F67D8B"/>
    <w:rsid w:val="00F71397"/>
    <w:rsid w:val="00F72389"/>
    <w:rsid w:val="00F735E5"/>
    <w:rsid w:val="00F73E80"/>
    <w:rsid w:val="00F7469C"/>
    <w:rsid w:val="00F7492E"/>
    <w:rsid w:val="00F749A3"/>
    <w:rsid w:val="00F74AE8"/>
    <w:rsid w:val="00F840BF"/>
    <w:rsid w:val="00F843DF"/>
    <w:rsid w:val="00F84899"/>
    <w:rsid w:val="00F85585"/>
    <w:rsid w:val="00F859F0"/>
    <w:rsid w:val="00F85CC1"/>
    <w:rsid w:val="00F86B5D"/>
    <w:rsid w:val="00F87C13"/>
    <w:rsid w:val="00F87E29"/>
    <w:rsid w:val="00F87F18"/>
    <w:rsid w:val="00F87F68"/>
    <w:rsid w:val="00F9167D"/>
    <w:rsid w:val="00F91CB2"/>
    <w:rsid w:val="00F9289C"/>
    <w:rsid w:val="00F92D9D"/>
    <w:rsid w:val="00F94644"/>
    <w:rsid w:val="00F9537B"/>
    <w:rsid w:val="00F963FC"/>
    <w:rsid w:val="00FA015F"/>
    <w:rsid w:val="00FA1DA2"/>
    <w:rsid w:val="00FA347A"/>
    <w:rsid w:val="00FA49B7"/>
    <w:rsid w:val="00FA5043"/>
    <w:rsid w:val="00FA6F8B"/>
    <w:rsid w:val="00FA7A30"/>
    <w:rsid w:val="00FB033F"/>
    <w:rsid w:val="00FB1570"/>
    <w:rsid w:val="00FB193B"/>
    <w:rsid w:val="00FB27B7"/>
    <w:rsid w:val="00FB35E3"/>
    <w:rsid w:val="00FB583C"/>
    <w:rsid w:val="00FB630E"/>
    <w:rsid w:val="00FB6738"/>
    <w:rsid w:val="00FB691B"/>
    <w:rsid w:val="00FB6A0A"/>
    <w:rsid w:val="00FB731C"/>
    <w:rsid w:val="00FC05A0"/>
    <w:rsid w:val="00FC0811"/>
    <w:rsid w:val="00FC0874"/>
    <w:rsid w:val="00FC1196"/>
    <w:rsid w:val="00FC15EB"/>
    <w:rsid w:val="00FC18DC"/>
    <w:rsid w:val="00FC2F73"/>
    <w:rsid w:val="00FC3A9B"/>
    <w:rsid w:val="00FC3AE1"/>
    <w:rsid w:val="00FC3EF4"/>
    <w:rsid w:val="00FC431B"/>
    <w:rsid w:val="00FC434C"/>
    <w:rsid w:val="00FC5CF4"/>
    <w:rsid w:val="00FC6A39"/>
    <w:rsid w:val="00FC79AB"/>
    <w:rsid w:val="00FC7DAC"/>
    <w:rsid w:val="00FD04AE"/>
    <w:rsid w:val="00FD1994"/>
    <w:rsid w:val="00FD393C"/>
    <w:rsid w:val="00FD4AF3"/>
    <w:rsid w:val="00FD798D"/>
    <w:rsid w:val="00FE141E"/>
    <w:rsid w:val="00FE144E"/>
    <w:rsid w:val="00FE1853"/>
    <w:rsid w:val="00FE2560"/>
    <w:rsid w:val="00FE35D0"/>
    <w:rsid w:val="00FE42ED"/>
    <w:rsid w:val="00FE55A7"/>
    <w:rsid w:val="00FE5C5A"/>
    <w:rsid w:val="00FE6432"/>
    <w:rsid w:val="00FE72A0"/>
    <w:rsid w:val="00FF0050"/>
    <w:rsid w:val="00FF045F"/>
    <w:rsid w:val="00FF13D4"/>
    <w:rsid w:val="00FF3B37"/>
    <w:rsid w:val="00FF3D6F"/>
    <w:rsid w:val="00FF4BD8"/>
    <w:rsid w:val="00FF4D11"/>
    <w:rsid w:val="00FF5214"/>
    <w:rsid w:val="00FF5BFD"/>
    <w:rsid w:val="00FF6095"/>
    <w:rsid w:val="00FF62FE"/>
    <w:rsid w:val="00FF655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2195332">
      <w:bodyDiv w:val="1"/>
      <w:marLeft w:val="0"/>
      <w:marRight w:val="0"/>
      <w:marTop w:val="0"/>
      <w:marBottom w:val="0"/>
      <w:divBdr>
        <w:top w:val="none" w:sz="0" w:space="0" w:color="auto"/>
        <w:left w:val="none" w:sz="0" w:space="0" w:color="auto"/>
        <w:bottom w:val="none" w:sz="0" w:space="0" w:color="auto"/>
        <w:right w:val="none" w:sz="0" w:space="0" w:color="auto"/>
      </w:divBdr>
      <w:divsChild>
        <w:div w:id="1686251052">
          <w:marLeft w:val="0"/>
          <w:marRight w:val="0"/>
          <w:marTop w:val="0"/>
          <w:marBottom w:val="0"/>
          <w:divBdr>
            <w:top w:val="none" w:sz="0" w:space="0" w:color="auto"/>
            <w:left w:val="none" w:sz="0" w:space="0" w:color="auto"/>
            <w:bottom w:val="none" w:sz="0" w:space="0" w:color="auto"/>
            <w:right w:val="none" w:sz="0" w:space="0" w:color="auto"/>
          </w:divBdr>
          <w:divsChild>
            <w:div w:id="2054648369">
              <w:marLeft w:val="0"/>
              <w:marRight w:val="0"/>
              <w:marTop w:val="0"/>
              <w:marBottom w:val="0"/>
              <w:divBdr>
                <w:top w:val="none" w:sz="0" w:space="0" w:color="auto"/>
                <w:left w:val="none" w:sz="0" w:space="0" w:color="auto"/>
                <w:bottom w:val="none" w:sz="0" w:space="0" w:color="auto"/>
                <w:right w:val="none" w:sz="0" w:space="0" w:color="auto"/>
              </w:divBdr>
              <w:divsChild>
                <w:div w:id="211328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1730</TotalTime>
  <Pages>13</Pages>
  <Words>5101</Words>
  <Characters>28060</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Cindy Natalia Sierra Benítez</cp:lastModifiedBy>
  <cp:revision>1478</cp:revision>
  <cp:lastPrinted>2020-01-30T15:05:00Z</cp:lastPrinted>
  <dcterms:created xsi:type="dcterms:W3CDTF">2020-08-06T16:35:00Z</dcterms:created>
  <dcterms:modified xsi:type="dcterms:W3CDTF">2020-10-08T19:47:00Z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