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0088B" w14:textId="473FE512" w:rsidR="009C1535" w:rsidRPr="006F1AFD" w:rsidRDefault="009C1535" w:rsidP="009C1535">
      <w:pPr>
        <w:spacing w:line="276" w:lineRule="auto"/>
        <w:jc w:val="right"/>
        <w:rPr>
          <w:rFonts w:ascii="Arial" w:eastAsia="Calibri" w:hAnsi="Arial" w:cs="Arial"/>
          <w:b/>
          <w:bCs/>
          <w:color w:val="000000" w:themeColor="text1"/>
          <w:sz w:val="22"/>
        </w:rPr>
      </w:pPr>
      <w:r w:rsidRPr="006F1AFD">
        <w:rPr>
          <w:rFonts w:ascii="Arial" w:eastAsia="Times New Roman" w:hAnsi="Arial" w:cs="Arial"/>
          <w:b/>
          <w:bCs/>
          <w:color w:val="000000" w:themeColor="text1"/>
          <w:sz w:val="16"/>
          <w:szCs w:val="16"/>
          <w:lang w:eastAsia="es-ES"/>
        </w:rPr>
        <w:t>CCE-DES-FM-17</w:t>
      </w:r>
    </w:p>
    <w:p w14:paraId="7240088C" w14:textId="77777777" w:rsidR="009C1535" w:rsidRPr="006F1AFD" w:rsidRDefault="009C1535" w:rsidP="009C1535">
      <w:pPr>
        <w:spacing w:line="276" w:lineRule="auto"/>
        <w:jc w:val="both"/>
        <w:rPr>
          <w:rFonts w:ascii="Arial" w:eastAsia="Calibri" w:hAnsi="Arial" w:cs="Arial"/>
          <w:b/>
          <w:color w:val="000000" w:themeColor="text1"/>
          <w:sz w:val="16"/>
          <w:szCs w:val="16"/>
          <w:highlight w:val="yellow"/>
        </w:rPr>
      </w:pPr>
    </w:p>
    <w:p w14:paraId="7240088D"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b/>
          <w:color w:val="000000" w:themeColor="text1"/>
          <w:sz w:val="20"/>
          <w:szCs w:val="20"/>
          <w:lang w:val="es-ES_tradnl"/>
        </w:rPr>
        <w:t xml:space="preserve">PRINCIPIO DE SELECCIÓN OBJETIVA </w:t>
      </w:r>
      <w:bookmarkStart w:id="0" w:name="_Hlk39479884"/>
      <w:r w:rsidRPr="00ED159D">
        <w:rPr>
          <w:rFonts w:ascii="Arial" w:eastAsia="Calibri" w:hAnsi="Arial" w:cs="Arial"/>
          <w:b/>
          <w:bCs/>
          <w:color w:val="000000" w:themeColor="text1"/>
          <w:sz w:val="20"/>
          <w:szCs w:val="20"/>
        </w:rPr>
        <w:t>–</w:t>
      </w:r>
      <w:bookmarkEnd w:id="0"/>
      <w:r w:rsidRPr="00ED159D">
        <w:rPr>
          <w:rFonts w:ascii="Arial" w:eastAsia="Calibri" w:hAnsi="Arial" w:cs="Arial"/>
          <w:b/>
          <w:color w:val="000000" w:themeColor="text1"/>
          <w:sz w:val="20"/>
          <w:szCs w:val="20"/>
          <w:lang w:val="es-ES_tradnl"/>
        </w:rPr>
        <w:t xml:space="preserve"> Fundamento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Alcance</w:t>
      </w:r>
    </w:p>
    <w:p w14:paraId="7240088E" w14:textId="77777777" w:rsidR="00F12AD5" w:rsidRPr="00ED159D" w:rsidRDefault="00F12AD5" w:rsidP="00F12AD5">
      <w:pPr>
        <w:jc w:val="both"/>
        <w:rPr>
          <w:rFonts w:ascii="Arial" w:eastAsia="Calibri" w:hAnsi="Arial" w:cs="Arial"/>
          <w:color w:val="000000" w:themeColor="text1"/>
          <w:sz w:val="20"/>
          <w:szCs w:val="20"/>
          <w:lang w:val="es-ES_tradnl"/>
        </w:rPr>
      </w:pPr>
    </w:p>
    <w:p w14:paraId="7240088F"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w:t>
      </w:r>
      <w:proofErr w:type="gramStart"/>
      <w:r w:rsidRPr="00ED159D">
        <w:rPr>
          <w:rFonts w:ascii="Arial" w:eastAsia="Calibri" w:hAnsi="Arial" w:cs="Arial"/>
          <w:color w:val="000000" w:themeColor="text1"/>
          <w:sz w:val="20"/>
          <w:szCs w:val="20"/>
          <w:lang w:val="es-ES_tradnl"/>
        </w:rPr>
        <w:t>y</w:t>
      </w:r>
      <w:proofErr w:type="gramEnd"/>
      <w:r w:rsidRPr="00ED159D">
        <w:rPr>
          <w:rFonts w:ascii="Arial" w:eastAsia="Calibri" w:hAnsi="Arial" w:cs="Arial"/>
          <w:color w:val="000000" w:themeColor="text1"/>
          <w:sz w:val="20"/>
          <w:szCs w:val="20"/>
          <w:lang w:val="es-ES_tradnl"/>
        </w:rPr>
        <w:t xml:space="preserve">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ED159D">
        <w:rPr>
          <w:rFonts w:ascii="Arial" w:eastAsia="Calibri" w:hAnsi="Arial" w:cs="Arial"/>
          <w:color w:val="000000" w:themeColor="text1"/>
          <w:sz w:val="20"/>
          <w:szCs w:val="20"/>
          <w:lang w:val="es-ES_tradnl"/>
        </w:rPr>
        <w:tab/>
      </w:r>
    </w:p>
    <w:p w14:paraId="72400890" w14:textId="77777777" w:rsidR="00F12AD5" w:rsidRPr="00ED159D" w:rsidRDefault="00F12AD5" w:rsidP="00F12AD5">
      <w:pPr>
        <w:jc w:val="both"/>
        <w:rPr>
          <w:rFonts w:ascii="Arial" w:eastAsia="Calibri" w:hAnsi="Arial" w:cs="Arial"/>
          <w:color w:val="000000" w:themeColor="text1"/>
          <w:sz w:val="20"/>
          <w:szCs w:val="20"/>
          <w:lang w:val="es-ES_tradnl"/>
        </w:rPr>
      </w:pPr>
    </w:p>
    <w:p w14:paraId="72400891" w14:textId="77777777" w:rsidR="00F12AD5" w:rsidRPr="00ED159D" w:rsidRDefault="00F12AD5" w:rsidP="00F12AD5">
      <w:pPr>
        <w:jc w:val="both"/>
        <w:rPr>
          <w:rFonts w:ascii="Arial" w:eastAsia="Calibri" w:hAnsi="Arial" w:cs="Arial"/>
          <w:b/>
          <w:bCs/>
          <w:color w:val="000000" w:themeColor="text1"/>
          <w:sz w:val="20"/>
          <w:szCs w:val="20"/>
          <w:lang w:val="es-ES"/>
        </w:rPr>
      </w:pPr>
      <w:r w:rsidRPr="00ED159D">
        <w:rPr>
          <w:rFonts w:ascii="Arial" w:eastAsia="Calibri" w:hAnsi="Arial" w:cs="Arial"/>
          <w:b/>
          <w:bCs/>
          <w:color w:val="000000" w:themeColor="text1"/>
          <w:sz w:val="20"/>
          <w:szCs w:val="20"/>
          <w:lang w:val="es-ES"/>
        </w:rPr>
        <w:t xml:space="preserve">SUBSANABILIDAD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Concepto de unificación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Aplicación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Improcedencia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Circunstancias posteriores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Cierre del proceso</w:t>
      </w:r>
    </w:p>
    <w:p w14:paraId="72400892" w14:textId="77777777" w:rsidR="00F12AD5" w:rsidRPr="00ED159D" w:rsidRDefault="00F12AD5" w:rsidP="00F12AD5">
      <w:pPr>
        <w:jc w:val="both"/>
        <w:rPr>
          <w:rFonts w:ascii="Arial" w:eastAsia="Calibri" w:hAnsi="Arial" w:cs="Arial"/>
          <w:color w:val="000000" w:themeColor="text1"/>
          <w:sz w:val="20"/>
          <w:szCs w:val="20"/>
          <w:lang w:val="es-ES_tradnl"/>
        </w:rPr>
      </w:pPr>
    </w:p>
    <w:p w14:paraId="72400893"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La regla de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debe interpretarse como una regla general en relación con la falta de entrega o con los defectos de los requisitos habilitantes.</w:t>
      </w:r>
    </w:p>
    <w:p w14:paraId="72400894" w14:textId="77777777" w:rsidR="00F12AD5" w:rsidRPr="00ED159D" w:rsidRDefault="00F12AD5" w:rsidP="00F12AD5">
      <w:pPr>
        <w:jc w:val="both"/>
        <w:rPr>
          <w:rFonts w:ascii="Arial" w:eastAsia="Calibri" w:hAnsi="Arial" w:cs="Arial"/>
          <w:color w:val="000000" w:themeColor="text1"/>
          <w:sz w:val="20"/>
          <w:szCs w:val="20"/>
          <w:lang w:val="es-ES_tradnl"/>
        </w:rPr>
      </w:pPr>
    </w:p>
    <w:p w14:paraId="72400895"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b/>
          <w:color w:val="000000" w:themeColor="text1"/>
          <w:sz w:val="20"/>
          <w:szCs w:val="20"/>
          <w:lang w:val="es-ES_tradnl"/>
        </w:rPr>
        <w:t xml:space="preserve">SUBSANABILIDAD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Oportunidad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Traslado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Informe de evaluación </w:t>
      </w:r>
    </w:p>
    <w:p w14:paraId="72400896" w14:textId="77777777" w:rsidR="00F12AD5" w:rsidRPr="00ED159D" w:rsidRDefault="00F12AD5" w:rsidP="00F12AD5">
      <w:pPr>
        <w:jc w:val="both"/>
        <w:rPr>
          <w:rFonts w:ascii="Arial" w:eastAsia="Calibri" w:hAnsi="Arial" w:cs="Arial"/>
          <w:color w:val="000000" w:themeColor="text1"/>
          <w:sz w:val="20"/>
          <w:szCs w:val="20"/>
          <w:lang w:val="es-ES_tradnl"/>
        </w:rPr>
      </w:pPr>
    </w:p>
    <w:p w14:paraId="72400897" w14:textId="77777777" w:rsidR="00F12AD5" w:rsidRPr="00ED159D" w:rsidRDefault="00F12AD5" w:rsidP="00F12AD5">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14:paraId="72400898" w14:textId="77777777" w:rsidR="00F12AD5" w:rsidRPr="00ED159D" w:rsidRDefault="00F12AD5" w:rsidP="00F12AD5">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72400899" w14:textId="77777777" w:rsidR="00F12AD5" w:rsidRPr="00ED159D" w:rsidRDefault="00F12AD5" w:rsidP="00F12AD5">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7240089A"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7240089B" w14:textId="77777777" w:rsidR="00F12AD5" w:rsidRPr="00ED159D" w:rsidRDefault="00F12AD5" w:rsidP="00F12AD5">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ab/>
      </w:r>
    </w:p>
    <w:p w14:paraId="7240089C" w14:textId="77777777" w:rsidR="009C1535" w:rsidRPr="00ED159D" w:rsidRDefault="009C1535" w:rsidP="009C1535">
      <w:pPr>
        <w:jc w:val="both"/>
        <w:rPr>
          <w:rFonts w:ascii="Arial" w:eastAsia="Calibri" w:hAnsi="Arial" w:cs="Arial"/>
          <w:b/>
          <w:color w:val="000000" w:themeColor="text1"/>
          <w:sz w:val="20"/>
          <w:szCs w:val="20"/>
        </w:rPr>
      </w:pPr>
      <w:r w:rsidRPr="00ED159D">
        <w:rPr>
          <w:rFonts w:ascii="Arial" w:eastAsia="Calibri" w:hAnsi="Arial" w:cs="Arial"/>
          <w:b/>
          <w:color w:val="000000" w:themeColor="text1"/>
          <w:sz w:val="20"/>
          <w:szCs w:val="20"/>
        </w:rPr>
        <w:t xml:space="preserve">DOCUMENTOS TIPO – Capacidad residual – </w:t>
      </w:r>
      <w:proofErr w:type="spellStart"/>
      <w:r w:rsidRPr="00ED159D">
        <w:rPr>
          <w:rFonts w:ascii="Arial" w:eastAsia="Calibri" w:hAnsi="Arial" w:cs="Arial"/>
          <w:b/>
          <w:color w:val="000000" w:themeColor="text1"/>
          <w:sz w:val="20"/>
          <w:szCs w:val="20"/>
        </w:rPr>
        <w:t>Subsanabilidad</w:t>
      </w:r>
      <w:proofErr w:type="spellEnd"/>
    </w:p>
    <w:p w14:paraId="7240089D" w14:textId="77777777" w:rsidR="009C1535" w:rsidRPr="00ED159D" w:rsidRDefault="009C1535" w:rsidP="009C1535">
      <w:pPr>
        <w:jc w:val="both"/>
        <w:rPr>
          <w:rFonts w:ascii="Arial" w:eastAsia="Calibri" w:hAnsi="Arial" w:cs="Arial"/>
          <w:b/>
          <w:color w:val="000000" w:themeColor="text1"/>
          <w:sz w:val="20"/>
          <w:szCs w:val="20"/>
        </w:rPr>
      </w:pPr>
    </w:p>
    <w:p w14:paraId="7240089E" w14:textId="77777777" w:rsidR="009C1535" w:rsidRPr="00ED159D" w:rsidRDefault="009C1535" w:rsidP="009C1535">
      <w:pPr>
        <w:jc w:val="both"/>
        <w:rPr>
          <w:rFonts w:ascii="Arial" w:eastAsia="Calibri" w:hAnsi="Arial" w:cs="Arial"/>
          <w:color w:val="000000" w:themeColor="text1"/>
          <w:sz w:val="20"/>
          <w:szCs w:val="20"/>
        </w:rPr>
      </w:pPr>
      <w:r w:rsidRPr="00ED159D">
        <w:rPr>
          <w:rFonts w:ascii="Arial" w:eastAsia="Calibri" w:hAnsi="Arial" w:cs="Arial"/>
          <w:color w:val="000000" w:themeColor="text1"/>
          <w:sz w:val="20"/>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subsanarse por parte de los proponentes.</w:t>
      </w:r>
    </w:p>
    <w:p w14:paraId="7240089F" w14:textId="77777777" w:rsidR="009C1535" w:rsidRPr="00ED159D" w:rsidRDefault="009C1535" w:rsidP="009C1535">
      <w:pPr>
        <w:jc w:val="both"/>
        <w:rPr>
          <w:rFonts w:ascii="Arial" w:eastAsia="Calibri" w:hAnsi="Arial" w:cs="Arial"/>
          <w:b/>
          <w:color w:val="000000" w:themeColor="text1"/>
          <w:sz w:val="20"/>
          <w:szCs w:val="20"/>
        </w:rPr>
      </w:pPr>
    </w:p>
    <w:p w14:paraId="724008A0" w14:textId="77777777" w:rsidR="009C1535" w:rsidRPr="00ED159D" w:rsidRDefault="009C1535" w:rsidP="009C1535">
      <w:pPr>
        <w:jc w:val="both"/>
        <w:rPr>
          <w:rFonts w:ascii="Arial" w:eastAsia="Calibri" w:hAnsi="Arial" w:cs="Arial"/>
          <w:b/>
          <w:color w:val="000000" w:themeColor="text1"/>
          <w:sz w:val="20"/>
          <w:szCs w:val="20"/>
        </w:rPr>
      </w:pPr>
      <w:r w:rsidRPr="00ED159D">
        <w:rPr>
          <w:rFonts w:ascii="Arial" w:eastAsia="Calibri" w:hAnsi="Arial" w:cs="Arial"/>
          <w:b/>
          <w:color w:val="000000" w:themeColor="text1"/>
          <w:sz w:val="20"/>
          <w:szCs w:val="20"/>
        </w:rPr>
        <w:t>DOCUMENTOS TIPO – Capacidad residual – Documentos – Causales de rechazo</w:t>
      </w:r>
    </w:p>
    <w:p w14:paraId="724008A1" w14:textId="77777777" w:rsidR="009C1535" w:rsidRPr="00ED159D" w:rsidRDefault="009C1535" w:rsidP="009C1535">
      <w:pPr>
        <w:jc w:val="both"/>
        <w:rPr>
          <w:rFonts w:ascii="Arial" w:eastAsia="Calibri" w:hAnsi="Arial" w:cs="Arial"/>
          <w:color w:val="000000" w:themeColor="text1"/>
          <w:sz w:val="20"/>
          <w:szCs w:val="20"/>
        </w:rPr>
      </w:pPr>
    </w:p>
    <w:p w14:paraId="724008A2" w14:textId="77777777" w:rsidR="009C1535" w:rsidRPr="00ED159D" w:rsidRDefault="009C1535" w:rsidP="009C1535">
      <w:pPr>
        <w:jc w:val="both"/>
        <w:rPr>
          <w:rFonts w:ascii="Arial" w:hAnsi="Arial" w:cs="Arial"/>
          <w:color w:val="000000" w:themeColor="text1"/>
          <w:sz w:val="20"/>
          <w:szCs w:val="20"/>
        </w:rPr>
      </w:pPr>
      <w:r w:rsidRPr="00ED159D">
        <w:rPr>
          <w:rFonts w:ascii="Arial" w:eastAsia="Calibri" w:hAnsi="Arial" w:cs="Arial"/>
          <w:color w:val="000000" w:themeColor="text1"/>
          <w:sz w:val="20"/>
          <w:szCs w:val="20"/>
        </w:rPr>
        <w:t>En relación con el rechazo de las ofertas en los procedimientos adelantados por el Pliego Tipo, en el «numeral 1.15 Causales de rechazo» se enuncian de forma taxativa las causales de rechazo, sin incluir la falta de documentos para calcular la</w:t>
      </w:r>
      <w:r w:rsidR="00ED159D">
        <w:rPr>
          <w:rFonts w:ascii="Arial" w:eastAsia="Calibri" w:hAnsi="Arial" w:cs="Arial"/>
          <w:color w:val="000000" w:themeColor="text1"/>
          <w:sz w:val="20"/>
          <w:szCs w:val="20"/>
        </w:rPr>
        <w:t xml:space="preserve"> capacidad residual</w:t>
      </w:r>
      <w:r w:rsidRPr="00ED159D">
        <w:rPr>
          <w:rFonts w:ascii="Arial" w:eastAsia="Calibri" w:hAnsi="Arial" w:cs="Arial"/>
          <w:color w:val="000000" w:themeColor="text1"/>
          <w:sz w:val="20"/>
          <w:szCs w:val="20"/>
        </w:rPr>
        <w:t>. Ahora, como la entidad tiene restringida la posibilidad de incluir nuevas causales, no será posible rechazarla por este motivo, sino que la entidad debe solicitarle al proponente que subsane los documentos requeridos, y si no lo hace se rechazará su oferta. En este sentido, el «Documento base o Pliego Tipo» reiteró, en el numeral «1.15 CAUSALES DE RECHAZO», la causal del literal E), la facultad que tiene la entidad de rechazar la oferta cuando el proponente no aporta la información solicitada a más tardar dentro del traslado del informe de evaluación.</w:t>
      </w:r>
    </w:p>
    <w:p w14:paraId="724008A3" w14:textId="77777777" w:rsidR="009C1535" w:rsidRPr="00ED159D" w:rsidRDefault="009C1535" w:rsidP="009C1535">
      <w:pPr>
        <w:jc w:val="both"/>
        <w:rPr>
          <w:rFonts w:ascii="Arial" w:hAnsi="Arial" w:cs="Arial"/>
          <w:color w:val="000000" w:themeColor="text1"/>
          <w:sz w:val="20"/>
          <w:szCs w:val="20"/>
        </w:rPr>
      </w:pPr>
    </w:p>
    <w:p w14:paraId="724008A4" w14:textId="77777777" w:rsidR="00ED159D" w:rsidRPr="00ED159D" w:rsidRDefault="00ED159D" w:rsidP="00ED159D">
      <w:pPr>
        <w:ind w:left="100"/>
        <w:jc w:val="both"/>
        <w:rPr>
          <w:rFonts w:ascii="Arial" w:hAnsi="Arial" w:cs="Arial"/>
          <w:b/>
          <w:sz w:val="20"/>
          <w:szCs w:val="20"/>
        </w:rPr>
      </w:pPr>
      <w:r w:rsidRPr="00ED159D">
        <w:rPr>
          <w:rFonts w:ascii="Arial" w:hAnsi="Arial" w:cs="Arial"/>
          <w:b/>
          <w:sz w:val="20"/>
          <w:szCs w:val="20"/>
        </w:rPr>
        <w:t>DOCUMENTOS TIPO – Información inexacta</w:t>
      </w:r>
    </w:p>
    <w:p w14:paraId="724008A5" w14:textId="77777777" w:rsidR="00ED159D" w:rsidRPr="00ED159D" w:rsidRDefault="00ED159D" w:rsidP="00ED159D">
      <w:pPr>
        <w:ind w:left="100"/>
        <w:jc w:val="both"/>
        <w:rPr>
          <w:rFonts w:ascii="Arial" w:hAnsi="Arial" w:cs="Arial"/>
          <w:b/>
          <w:sz w:val="20"/>
          <w:szCs w:val="20"/>
        </w:rPr>
      </w:pPr>
    </w:p>
    <w:p w14:paraId="724008A6" w14:textId="77777777" w:rsidR="00ED159D" w:rsidRPr="00ED159D" w:rsidRDefault="00ED159D" w:rsidP="00ED159D">
      <w:pPr>
        <w:ind w:left="100"/>
        <w:jc w:val="both"/>
        <w:rPr>
          <w:rFonts w:ascii="Arial" w:hAnsi="Arial" w:cs="Arial"/>
          <w:sz w:val="20"/>
          <w:szCs w:val="20"/>
        </w:rPr>
      </w:pPr>
      <w:r w:rsidRPr="00ED159D">
        <w:rPr>
          <w:rFonts w:ascii="Arial" w:hAnsi="Arial" w:cs="Arial"/>
          <w:sz w:val="20"/>
          <w:szCs w:val="20"/>
        </w:rPr>
        <w:t xml:space="preserve">En el “Documento Base o Pliego Tipo” se incluye el numeral 1.11, referido a la información inexacta. </w:t>
      </w:r>
    </w:p>
    <w:p w14:paraId="724008A7" w14:textId="77777777" w:rsidR="00ED159D" w:rsidRPr="00ED159D" w:rsidRDefault="00ED159D" w:rsidP="00ED159D">
      <w:pPr>
        <w:ind w:left="100"/>
        <w:jc w:val="both"/>
        <w:rPr>
          <w:rFonts w:ascii="Arial" w:hAnsi="Arial" w:cs="Arial"/>
          <w:sz w:val="20"/>
          <w:szCs w:val="20"/>
        </w:rPr>
      </w:pPr>
      <w:r w:rsidRPr="00ED159D">
        <w:rPr>
          <w:rFonts w:ascii="Arial" w:hAnsi="Arial" w:cs="Arial"/>
          <w:sz w:val="20"/>
          <w:szCs w:val="20"/>
        </w:rPr>
        <w:t>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 y comportamiento adecuado frente a la entidad estatal y los demás proponentes durante las diferentes etapas del proceso de contratación.</w:t>
      </w:r>
    </w:p>
    <w:p w14:paraId="724008A8" w14:textId="77777777" w:rsidR="00ED159D" w:rsidRPr="00ED159D" w:rsidRDefault="00ED159D" w:rsidP="00ED159D">
      <w:pPr>
        <w:ind w:left="100"/>
        <w:jc w:val="both"/>
        <w:rPr>
          <w:rFonts w:ascii="Arial" w:hAnsi="Arial" w:cs="Arial"/>
          <w:sz w:val="20"/>
          <w:szCs w:val="20"/>
        </w:rPr>
      </w:pPr>
    </w:p>
    <w:p w14:paraId="724008A9" w14:textId="77777777" w:rsidR="00ED159D" w:rsidRPr="00ED159D" w:rsidRDefault="00ED159D" w:rsidP="00ED159D">
      <w:pPr>
        <w:ind w:left="100"/>
        <w:jc w:val="both"/>
        <w:rPr>
          <w:rFonts w:ascii="Arial" w:hAnsi="Arial" w:cs="Arial"/>
          <w:sz w:val="20"/>
          <w:szCs w:val="20"/>
        </w:rPr>
      </w:pPr>
      <w:r w:rsidRPr="00ED159D">
        <w:rPr>
          <w:rFonts w:ascii="Arial" w:hAnsi="Arial" w:cs="Arial"/>
          <w:sz w:val="20"/>
          <w:szCs w:val="20"/>
        </w:rPr>
        <w:t>[…] tiene carácter excepcional y solamente se debe acudir cuando de la información y documentación aportada al proceso de contratación, existen dudas frente a la veracidad o precisión y no puede superarse con la simple revisión de estos.</w:t>
      </w:r>
    </w:p>
    <w:p w14:paraId="724008AA" w14:textId="77777777" w:rsidR="00ED159D" w:rsidRPr="00ED159D" w:rsidRDefault="00ED159D" w:rsidP="00ED159D">
      <w:pPr>
        <w:ind w:left="100"/>
        <w:jc w:val="both"/>
        <w:rPr>
          <w:rFonts w:ascii="Arial" w:hAnsi="Arial" w:cs="Arial"/>
          <w:b/>
          <w:sz w:val="20"/>
          <w:szCs w:val="20"/>
        </w:rPr>
      </w:pPr>
    </w:p>
    <w:p w14:paraId="724008AB" w14:textId="77777777" w:rsidR="00ED159D" w:rsidRPr="00ED159D" w:rsidRDefault="00ED159D" w:rsidP="00ED159D">
      <w:pPr>
        <w:ind w:left="100"/>
        <w:jc w:val="both"/>
        <w:rPr>
          <w:rFonts w:ascii="Arial" w:hAnsi="Arial" w:cs="Arial"/>
          <w:b/>
          <w:bCs/>
          <w:sz w:val="20"/>
          <w:szCs w:val="20"/>
        </w:rPr>
      </w:pPr>
      <w:r w:rsidRPr="00ED159D">
        <w:rPr>
          <w:rFonts w:ascii="Arial" w:hAnsi="Arial" w:cs="Arial"/>
          <w:b/>
          <w:bCs/>
          <w:sz w:val="20"/>
          <w:szCs w:val="20"/>
        </w:rPr>
        <w:t xml:space="preserve">INFORMACIÓN INEXACTA – Capacidad residual – Tratamiento </w:t>
      </w:r>
    </w:p>
    <w:p w14:paraId="724008AC" w14:textId="77777777" w:rsidR="00ED159D" w:rsidRPr="00ED159D" w:rsidRDefault="00ED159D" w:rsidP="00ED159D">
      <w:pPr>
        <w:ind w:left="102"/>
        <w:jc w:val="both"/>
        <w:rPr>
          <w:rFonts w:ascii="Arial" w:hAnsi="Arial" w:cs="Arial"/>
          <w:sz w:val="20"/>
          <w:szCs w:val="20"/>
        </w:rPr>
      </w:pPr>
    </w:p>
    <w:p w14:paraId="724008AD" w14:textId="77777777" w:rsidR="00ED159D" w:rsidRPr="00ED159D" w:rsidRDefault="00ED159D" w:rsidP="00ED159D">
      <w:pPr>
        <w:ind w:left="102"/>
        <w:jc w:val="both"/>
        <w:rPr>
          <w:rFonts w:ascii="Arial" w:hAnsi="Arial" w:cs="Arial"/>
          <w:sz w:val="20"/>
          <w:szCs w:val="20"/>
        </w:rPr>
      </w:pPr>
      <w:r w:rsidRPr="00ED159D">
        <w:rPr>
          <w:rFonts w:ascii="Arial" w:hAnsi="Arial" w:cs="Arial"/>
          <w:sz w:val="20"/>
          <w:szCs w:val="20"/>
        </w:rPr>
        <w:t>Las reglas previstas en el numeral 1.11 del “Documento Base” aplican frente a la totalidad de la información y documentación aportada para el cumplimiento de los requisitos habilitantes y de ponderación de las propuestas. Sin embargo, el “Documento Base”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“Documento Base”</w:t>
      </w:r>
    </w:p>
    <w:p w14:paraId="724008AE" w14:textId="77777777" w:rsidR="00ED159D" w:rsidRPr="00ED159D" w:rsidRDefault="00ED159D" w:rsidP="00ED159D">
      <w:pPr>
        <w:ind w:left="102"/>
        <w:jc w:val="both"/>
        <w:rPr>
          <w:rFonts w:ascii="Arial" w:hAnsi="Arial" w:cs="Arial"/>
          <w:sz w:val="20"/>
          <w:szCs w:val="20"/>
        </w:rPr>
      </w:pPr>
      <w:r w:rsidRPr="00ED159D">
        <w:rPr>
          <w:rFonts w:ascii="Arial" w:hAnsi="Arial" w:cs="Arial"/>
          <w:sz w:val="20"/>
          <w:szCs w:val="20"/>
        </w:rPr>
        <w:t xml:space="preserve"> </w:t>
      </w:r>
    </w:p>
    <w:p w14:paraId="724008AF" w14:textId="77777777" w:rsidR="00ED159D" w:rsidRPr="00ED159D" w:rsidRDefault="00ED159D" w:rsidP="00ED159D">
      <w:pPr>
        <w:ind w:left="102"/>
        <w:jc w:val="both"/>
        <w:rPr>
          <w:rFonts w:ascii="Arial" w:hAnsi="Arial" w:cs="Arial"/>
          <w:sz w:val="20"/>
          <w:szCs w:val="20"/>
        </w:rPr>
      </w:pPr>
      <w:r w:rsidRPr="00ED159D">
        <w:rPr>
          <w:rFonts w:ascii="Arial" w:hAnsi="Arial" w:cs="Arial"/>
          <w:sz w:val="20"/>
          <w:szCs w:val="20"/>
        </w:rPr>
        <w:t xml:space="preserve">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 </w:t>
      </w:r>
    </w:p>
    <w:p w14:paraId="724008B0" w14:textId="77777777" w:rsidR="00ED159D" w:rsidRPr="00ED159D" w:rsidRDefault="00ED159D" w:rsidP="00ED159D">
      <w:pPr>
        <w:ind w:left="102"/>
        <w:jc w:val="both"/>
        <w:rPr>
          <w:rFonts w:ascii="Arial" w:hAnsi="Arial" w:cs="Arial"/>
          <w:sz w:val="20"/>
          <w:szCs w:val="20"/>
        </w:rPr>
      </w:pPr>
    </w:p>
    <w:p w14:paraId="724008B1" w14:textId="77777777" w:rsidR="00ED159D" w:rsidRPr="00ED159D" w:rsidRDefault="00ED159D" w:rsidP="00ED159D">
      <w:pPr>
        <w:ind w:left="102"/>
        <w:jc w:val="both"/>
        <w:rPr>
          <w:rFonts w:ascii="Arial" w:hAnsi="Arial" w:cs="Arial"/>
          <w:sz w:val="20"/>
          <w:szCs w:val="20"/>
        </w:rPr>
      </w:pPr>
      <w:r w:rsidRPr="00ED159D">
        <w:rPr>
          <w:rFonts w:ascii="Arial" w:hAnsi="Arial" w:cs="Arial"/>
          <w:sz w:val="20"/>
          <w:szCs w:val="20"/>
        </w:rPr>
        <w:t xml:space="preserve">[…] cuando en la etapa de evaluación de las ofertas la entidad estatal advierta estas circunstancias, debe garantizar el debido proceso y hacer uso de las figuras previstas en las normas del sistema de compra pública, por consiguiente, se debe requerir a los proponentes para que efectúen las aclaraciones correspondientes de acuerdo con las reglas de </w:t>
      </w:r>
      <w:proofErr w:type="spellStart"/>
      <w:r w:rsidRPr="00ED159D">
        <w:rPr>
          <w:rFonts w:ascii="Arial" w:hAnsi="Arial" w:cs="Arial"/>
          <w:sz w:val="20"/>
          <w:szCs w:val="20"/>
        </w:rPr>
        <w:t>subsanabilidad</w:t>
      </w:r>
      <w:proofErr w:type="spellEnd"/>
      <w:r w:rsidRPr="00ED159D">
        <w:rPr>
          <w:rFonts w:ascii="Arial" w:hAnsi="Arial" w:cs="Arial"/>
          <w:sz w:val="20"/>
          <w:szCs w:val="20"/>
        </w:rPr>
        <w:t xml:space="preserve"> establecidas en el numeral 1.6 del “Documento Base”, en armonía con la regla específica del numeral 3.10, previamente expuesta.</w:t>
      </w:r>
    </w:p>
    <w:p w14:paraId="724008B2" w14:textId="77777777" w:rsidR="00ED159D" w:rsidRDefault="00ED159D" w:rsidP="009C1535">
      <w:pPr>
        <w:jc w:val="both"/>
        <w:rPr>
          <w:rFonts w:ascii="Arial" w:hAnsi="Arial" w:cs="Arial"/>
          <w:color w:val="000000" w:themeColor="text1"/>
          <w:sz w:val="20"/>
          <w:szCs w:val="20"/>
        </w:rPr>
      </w:pPr>
    </w:p>
    <w:p w14:paraId="724008B3" w14:textId="77777777" w:rsidR="009C1535" w:rsidRPr="00267EFC" w:rsidRDefault="009C1535" w:rsidP="009C1535">
      <w:pPr>
        <w:rPr>
          <w:rFonts w:ascii="Arial" w:hAnsi="Arial" w:cs="Arial"/>
          <w:color w:val="000000" w:themeColor="text1"/>
          <w:sz w:val="20"/>
          <w:szCs w:val="20"/>
        </w:rPr>
      </w:pPr>
    </w:p>
    <w:p w14:paraId="724008B4" w14:textId="77777777" w:rsidR="009C1535" w:rsidRPr="00221485" w:rsidRDefault="009C1535" w:rsidP="009C1535">
      <w:pPr>
        <w:autoSpaceDE w:val="0"/>
        <w:autoSpaceDN w:val="0"/>
        <w:adjustRightInd w:val="0"/>
        <w:rPr>
          <w:rFonts w:ascii="Arial" w:hAnsi="Arial" w:cs="Arial"/>
          <w:color w:val="000000" w:themeColor="text1"/>
          <w:sz w:val="20"/>
          <w:szCs w:val="20"/>
          <w:lang w:val="es-CO"/>
        </w:rPr>
      </w:pPr>
    </w:p>
    <w:p w14:paraId="724008B5" w14:textId="48C26BCB" w:rsidR="009C1535" w:rsidRPr="00221485" w:rsidRDefault="005107CA" w:rsidP="009C1535">
      <w:pPr>
        <w:autoSpaceDE w:val="0"/>
        <w:autoSpaceDN w:val="0"/>
        <w:adjustRightInd w:val="0"/>
        <w:rPr>
          <w:rFonts w:ascii="Arial" w:hAnsi="Arial" w:cs="Arial"/>
          <w:color w:val="000000" w:themeColor="text1"/>
          <w:sz w:val="22"/>
          <w:lang w:val="es-CO"/>
        </w:rPr>
      </w:pPr>
      <w:r>
        <w:rPr>
          <w:rFonts w:ascii="Arial" w:hAnsi="Arial" w:cs="Arial"/>
          <w:color w:val="000000" w:themeColor="text1"/>
          <w:sz w:val="22"/>
          <w:lang w:val="es-CO"/>
        </w:rPr>
        <w:t xml:space="preserve">Bogotá D.C., </w:t>
      </w:r>
      <w:r w:rsidRPr="005107CA">
        <w:rPr>
          <w:rFonts w:ascii="Arial" w:hAnsi="Arial" w:cs="Arial"/>
          <w:b/>
          <w:color w:val="000000" w:themeColor="text1"/>
          <w:sz w:val="22"/>
          <w:lang w:val="es-CO"/>
        </w:rPr>
        <w:t>2</w:t>
      </w:r>
      <w:r w:rsidR="009C1535" w:rsidRPr="005107CA">
        <w:rPr>
          <w:rFonts w:ascii="Arial" w:hAnsi="Arial" w:cs="Arial"/>
          <w:b/>
          <w:bCs/>
          <w:color w:val="000000" w:themeColor="text1"/>
          <w:sz w:val="22"/>
          <w:lang w:val="es-CO"/>
        </w:rPr>
        <w:t>/</w:t>
      </w:r>
      <w:r w:rsidRPr="005107CA">
        <w:rPr>
          <w:rFonts w:ascii="Arial" w:hAnsi="Arial" w:cs="Arial"/>
          <w:b/>
          <w:bCs/>
          <w:color w:val="000000" w:themeColor="text1"/>
          <w:sz w:val="22"/>
          <w:lang w:val="es-CO"/>
        </w:rPr>
        <w:t>10</w:t>
      </w:r>
      <w:r w:rsidR="009C1535" w:rsidRPr="00221485">
        <w:rPr>
          <w:rFonts w:ascii="Arial" w:hAnsi="Arial" w:cs="Arial"/>
          <w:b/>
          <w:bCs/>
          <w:color w:val="000000" w:themeColor="text1"/>
          <w:sz w:val="22"/>
          <w:lang w:val="es-CO"/>
        </w:rPr>
        <w:t>/</w:t>
      </w:r>
      <w:r>
        <w:rPr>
          <w:rFonts w:ascii="Arial" w:hAnsi="Arial" w:cs="Arial"/>
          <w:b/>
          <w:bCs/>
          <w:color w:val="000000" w:themeColor="text1"/>
          <w:sz w:val="22"/>
          <w:lang w:val="es-CO"/>
        </w:rPr>
        <w:t>2020</w:t>
      </w:r>
      <w:r w:rsidR="009C1535" w:rsidRPr="00221485">
        <w:rPr>
          <w:rFonts w:ascii="Arial" w:hAnsi="Arial" w:cs="Arial"/>
          <w:b/>
          <w:bCs/>
          <w:color w:val="000000" w:themeColor="text1"/>
          <w:sz w:val="22"/>
          <w:lang w:val="es-CO"/>
        </w:rPr>
        <w:t xml:space="preserve"> Hora </w:t>
      </w:r>
      <w:r>
        <w:rPr>
          <w:rFonts w:ascii="Arial" w:hAnsi="Arial" w:cs="Arial"/>
          <w:b/>
          <w:bCs/>
          <w:color w:val="000000" w:themeColor="text1"/>
          <w:sz w:val="22"/>
          <w:lang w:val="es-CO"/>
        </w:rPr>
        <w:t>11:00</w:t>
      </w:r>
      <w:r w:rsidR="009C1535" w:rsidRPr="00221485">
        <w:rPr>
          <w:rFonts w:ascii="Arial" w:hAnsi="Arial" w:cs="Arial"/>
          <w:b/>
          <w:bCs/>
          <w:color w:val="000000" w:themeColor="text1"/>
          <w:sz w:val="22"/>
          <w:lang w:val="es-CO"/>
        </w:rPr>
        <w:t>:</w:t>
      </w:r>
      <w:r>
        <w:rPr>
          <w:rFonts w:ascii="Arial" w:hAnsi="Arial" w:cs="Arial"/>
          <w:b/>
          <w:bCs/>
          <w:color w:val="000000" w:themeColor="text1"/>
          <w:sz w:val="22"/>
          <w:lang w:val="es-CO"/>
        </w:rPr>
        <w:t>30</w:t>
      </w:r>
      <w:r w:rsidR="009C1535" w:rsidRPr="00221485">
        <w:rPr>
          <w:rFonts w:ascii="Arial" w:hAnsi="Arial" w:cs="Arial"/>
          <w:b/>
          <w:bCs/>
          <w:color w:val="000000" w:themeColor="text1"/>
          <w:sz w:val="22"/>
          <w:lang w:val="es-CO"/>
        </w:rPr>
        <w:t xml:space="preserve">s </w:t>
      </w:r>
    </w:p>
    <w:p w14:paraId="724008B6" w14:textId="6E3BAA4B" w:rsidR="009C1535" w:rsidRPr="00783992" w:rsidRDefault="009C1535" w:rsidP="009C1535">
      <w:pPr>
        <w:tabs>
          <w:tab w:val="left" w:pos="3374"/>
        </w:tabs>
        <w:jc w:val="right"/>
        <w:rPr>
          <w:rFonts w:ascii="Arial" w:eastAsia="Calibri" w:hAnsi="Arial" w:cs="Arial"/>
          <w:color w:val="000000" w:themeColor="text1"/>
          <w:sz w:val="22"/>
        </w:rPr>
      </w:pPr>
      <w:r w:rsidRPr="00783992">
        <w:rPr>
          <w:rFonts w:ascii="Arial" w:hAnsi="Arial" w:cs="Arial"/>
          <w:b/>
          <w:bCs/>
          <w:color w:val="000000" w:themeColor="text1"/>
          <w:sz w:val="22"/>
          <w:lang w:val="es-CO"/>
        </w:rPr>
        <w:t xml:space="preserve">N° Radicado: </w:t>
      </w:r>
      <w:r w:rsidR="005107CA" w:rsidRPr="005107CA">
        <w:rPr>
          <w:rFonts w:ascii="Arial" w:hAnsi="Arial" w:cs="Arial"/>
          <w:b/>
          <w:bCs/>
          <w:color w:val="000000" w:themeColor="text1"/>
          <w:sz w:val="22"/>
          <w:lang w:val="es-CO"/>
        </w:rPr>
        <w:t>2202013000009449</w:t>
      </w:r>
      <w:r w:rsidRPr="00783992">
        <w:rPr>
          <w:rFonts w:ascii="Arial" w:eastAsia="Calibri" w:hAnsi="Arial" w:cs="Arial"/>
          <w:color w:val="000000" w:themeColor="text1"/>
          <w:sz w:val="22"/>
        </w:rPr>
        <w:tab/>
      </w:r>
    </w:p>
    <w:p w14:paraId="724008B7" w14:textId="77777777" w:rsidR="009C1535" w:rsidRPr="00783992" w:rsidRDefault="009C1535" w:rsidP="009C1535">
      <w:pPr>
        <w:rPr>
          <w:rFonts w:ascii="Arial" w:eastAsia="Calibri" w:hAnsi="Arial" w:cs="Arial"/>
          <w:color w:val="000000" w:themeColor="text1"/>
          <w:sz w:val="22"/>
        </w:rPr>
      </w:pPr>
      <w:r w:rsidRPr="00783992">
        <w:rPr>
          <w:rFonts w:ascii="Arial" w:eastAsia="Calibri" w:hAnsi="Arial" w:cs="Arial"/>
          <w:color w:val="000000" w:themeColor="text1"/>
          <w:sz w:val="22"/>
        </w:rPr>
        <w:t>Señor</w:t>
      </w:r>
    </w:p>
    <w:p w14:paraId="724008B8" w14:textId="77777777" w:rsidR="009C1535" w:rsidRPr="00783992" w:rsidRDefault="00F12AD5" w:rsidP="009C1535">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Ferney Céspedes Herrera</w:t>
      </w:r>
    </w:p>
    <w:p w14:paraId="724008B9" w14:textId="77777777" w:rsidR="009C1535" w:rsidRDefault="002F0C85" w:rsidP="009C1535">
      <w:pPr>
        <w:rPr>
          <w:rFonts w:ascii="Arial" w:eastAsia="Calibri" w:hAnsi="Arial" w:cs="Arial"/>
          <w:color w:val="000000" w:themeColor="text1"/>
          <w:sz w:val="22"/>
        </w:rPr>
      </w:pPr>
      <w:r>
        <w:rPr>
          <w:rFonts w:ascii="Arial" w:eastAsia="Calibri" w:hAnsi="Arial" w:cs="Arial"/>
          <w:color w:val="000000" w:themeColor="text1"/>
          <w:sz w:val="22"/>
        </w:rPr>
        <w:t>Villavicencio, Meta</w:t>
      </w:r>
    </w:p>
    <w:p w14:paraId="5653A699" w14:textId="77777777" w:rsidR="005107CA" w:rsidRPr="00783992" w:rsidRDefault="005107CA" w:rsidP="009C1535">
      <w:pPr>
        <w:rPr>
          <w:rFonts w:ascii="Arial" w:eastAsia="Calibri" w:hAnsi="Arial" w:cs="Arial"/>
          <w:color w:val="000000" w:themeColor="text1"/>
          <w:sz w:val="22"/>
        </w:rPr>
      </w:pPr>
    </w:p>
    <w:p w14:paraId="724008BA" w14:textId="77777777" w:rsidR="009C1535" w:rsidRPr="00783992" w:rsidRDefault="009C1535" w:rsidP="009C1535">
      <w:pPr>
        <w:jc w:val="center"/>
        <w:rPr>
          <w:rFonts w:ascii="Arial" w:eastAsia="Calibri" w:hAnsi="Arial" w:cs="Arial"/>
          <w:b/>
          <w:color w:val="000000" w:themeColor="text1"/>
          <w:sz w:val="22"/>
        </w:rPr>
      </w:pPr>
      <w:r w:rsidRPr="00783992">
        <w:rPr>
          <w:rFonts w:ascii="Arial" w:eastAsia="Calibri" w:hAnsi="Arial" w:cs="Arial"/>
          <w:b/>
          <w:color w:val="000000" w:themeColor="text1"/>
          <w:sz w:val="22"/>
        </w:rPr>
        <w:t xml:space="preserve">Concepto C ─ </w:t>
      </w:r>
      <w:r w:rsidR="005A5250">
        <w:rPr>
          <w:rFonts w:ascii="Arial" w:eastAsia="Calibri" w:hAnsi="Arial" w:cs="Arial"/>
          <w:b/>
          <w:color w:val="000000" w:themeColor="text1"/>
          <w:sz w:val="22"/>
        </w:rPr>
        <w:t>622</w:t>
      </w:r>
      <w:r w:rsidRPr="00783992">
        <w:rPr>
          <w:rFonts w:ascii="Arial" w:eastAsia="Calibri" w:hAnsi="Arial" w:cs="Arial"/>
          <w:b/>
          <w:color w:val="000000" w:themeColor="text1"/>
          <w:sz w:val="22"/>
        </w:rPr>
        <w:t xml:space="preserve"> de 2020</w:t>
      </w:r>
    </w:p>
    <w:p w14:paraId="724008BB" w14:textId="77777777" w:rsidR="009C1535" w:rsidRPr="00783992" w:rsidRDefault="009C1535" w:rsidP="009C1535">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C1535" w:rsidRPr="00783992" w14:paraId="724008BF" w14:textId="77777777" w:rsidTr="003B683C">
        <w:tc>
          <w:tcPr>
            <w:tcW w:w="2689" w:type="dxa"/>
            <w:hideMark/>
          </w:tcPr>
          <w:p w14:paraId="724008BC" w14:textId="77777777" w:rsidR="009C1535" w:rsidRPr="00783992" w:rsidRDefault="009C1535" w:rsidP="003B683C">
            <w:pPr>
              <w:rPr>
                <w:rFonts w:ascii="Arial" w:eastAsia="Calibri" w:hAnsi="Arial" w:cs="Arial"/>
                <w:color w:val="000000" w:themeColor="text1"/>
                <w:sz w:val="22"/>
              </w:rPr>
            </w:pPr>
            <w:r w:rsidRPr="00783992">
              <w:rPr>
                <w:rFonts w:ascii="Arial" w:eastAsia="Calibri" w:hAnsi="Arial" w:cs="Arial"/>
                <w:b/>
                <w:color w:val="000000" w:themeColor="text1"/>
                <w:sz w:val="22"/>
              </w:rPr>
              <w:t>Temas:</w:t>
            </w:r>
            <w:r w:rsidRPr="00783992">
              <w:rPr>
                <w:rFonts w:ascii="Arial" w:eastAsia="Calibri" w:hAnsi="Arial" w:cs="Arial"/>
                <w:color w:val="000000" w:themeColor="text1"/>
                <w:sz w:val="22"/>
              </w:rPr>
              <w:t xml:space="preserve">           </w:t>
            </w:r>
          </w:p>
          <w:p w14:paraId="724008BD" w14:textId="77777777" w:rsidR="009C1535" w:rsidRPr="00783992" w:rsidRDefault="009C1535" w:rsidP="003B683C">
            <w:pPr>
              <w:rPr>
                <w:rFonts w:ascii="Arial" w:eastAsia="Calibri" w:hAnsi="Arial" w:cs="Arial"/>
                <w:color w:val="000000" w:themeColor="text1"/>
                <w:sz w:val="22"/>
              </w:rPr>
            </w:pPr>
            <w:r w:rsidRPr="00783992">
              <w:rPr>
                <w:rFonts w:ascii="Arial" w:eastAsia="Calibri" w:hAnsi="Arial" w:cs="Arial"/>
                <w:color w:val="000000" w:themeColor="text1"/>
                <w:sz w:val="22"/>
              </w:rPr>
              <w:t xml:space="preserve">                           </w:t>
            </w:r>
          </w:p>
        </w:tc>
        <w:tc>
          <w:tcPr>
            <w:tcW w:w="6237" w:type="dxa"/>
            <w:hideMark/>
          </w:tcPr>
          <w:p w14:paraId="724008BE" w14:textId="77777777" w:rsidR="009C1535" w:rsidRPr="00783992" w:rsidRDefault="005A5250" w:rsidP="00F12AD5">
            <w:pPr>
              <w:jc w:val="both"/>
              <w:rPr>
                <w:rFonts w:ascii="Arial" w:eastAsia="Calibri" w:hAnsi="Arial" w:cs="Arial"/>
                <w:color w:val="000000" w:themeColor="text1"/>
                <w:sz w:val="22"/>
              </w:rPr>
            </w:pPr>
            <w:r w:rsidRPr="005A5250">
              <w:rPr>
                <w:rFonts w:ascii="Arial" w:eastAsia="Calibri" w:hAnsi="Arial" w:cs="Arial"/>
                <w:color w:val="000000" w:themeColor="text1"/>
                <w:sz w:val="22"/>
                <w:lang w:val="es-ES_tradnl"/>
              </w:rPr>
              <w:t xml:space="preserve">PRINCIPIO DE SELECCIÓN OBJETIVA </w:t>
            </w:r>
            <w:r w:rsidRPr="005A5250">
              <w:rPr>
                <w:rFonts w:ascii="Arial" w:eastAsia="Calibri" w:hAnsi="Arial" w:cs="Arial"/>
                <w:bCs/>
                <w:color w:val="000000" w:themeColor="text1"/>
                <w:sz w:val="20"/>
                <w:szCs w:val="20"/>
              </w:rPr>
              <w:t>–</w:t>
            </w:r>
            <w:r w:rsidRPr="005A5250">
              <w:rPr>
                <w:rFonts w:ascii="Arial" w:eastAsia="Calibri" w:hAnsi="Arial" w:cs="Arial"/>
                <w:color w:val="000000" w:themeColor="text1"/>
                <w:sz w:val="22"/>
                <w:lang w:val="es-ES_tradnl"/>
              </w:rPr>
              <w:t xml:space="preserve"> Fundamento </w:t>
            </w:r>
            <w:r w:rsidRPr="005A5250">
              <w:rPr>
                <w:rFonts w:ascii="Arial" w:eastAsia="Calibri" w:hAnsi="Arial" w:cs="Arial"/>
                <w:bCs/>
                <w:color w:val="000000" w:themeColor="text1"/>
                <w:sz w:val="20"/>
                <w:szCs w:val="20"/>
              </w:rPr>
              <w:t>–</w:t>
            </w:r>
            <w:r w:rsidRPr="005A5250">
              <w:rPr>
                <w:rFonts w:ascii="Arial" w:eastAsia="Calibri" w:hAnsi="Arial" w:cs="Arial"/>
                <w:color w:val="000000" w:themeColor="text1"/>
                <w:sz w:val="22"/>
                <w:lang w:val="es-ES_tradnl"/>
              </w:rPr>
              <w:t xml:space="preserve"> Alcance / </w:t>
            </w:r>
            <w:r w:rsidRPr="005A5250">
              <w:rPr>
                <w:rFonts w:ascii="Arial" w:eastAsia="Calibri" w:hAnsi="Arial" w:cs="Arial"/>
                <w:bCs/>
                <w:color w:val="000000" w:themeColor="text1"/>
                <w:sz w:val="22"/>
                <w:lang w:val="es-ES"/>
              </w:rPr>
              <w:t xml:space="preserve">SUBSANABILIDAD </w:t>
            </w:r>
            <w:r w:rsidRPr="005A5250">
              <w:rPr>
                <w:rFonts w:ascii="Arial" w:eastAsia="Calibri" w:hAnsi="Arial" w:cs="Arial"/>
                <w:bCs/>
                <w:color w:val="000000" w:themeColor="text1"/>
                <w:sz w:val="20"/>
                <w:szCs w:val="20"/>
              </w:rPr>
              <w:t>–</w:t>
            </w:r>
            <w:r w:rsidRPr="005A5250">
              <w:rPr>
                <w:rFonts w:ascii="Arial" w:eastAsia="Calibri" w:hAnsi="Arial" w:cs="Arial"/>
                <w:bCs/>
                <w:color w:val="000000" w:themeColor="text1"/>
                <w:sz w:val="22"/>
                <w:lang w:val="es-ES"/>
              </w:rPr>
              <w:t xml:space="preserve"> Concepto de unificación </w:t>
            </w:r>
            <w:r w:rsidRPr="005A5250">
              <w:rPr>
                <w:rFonts w:ascii="Arial" w:eastAsia="Calibri" w:hAnsi="Arial" w:cs="Arial"/>
                <w:bCs/>
                <w:color w:val="000000" w:themeColor="text1"/>
                <w:sz w:val="20"/>
                <w:szCs w:val="20"/>
              </w:rPr>
              <w:t>–</w:t>
            </w:r>
            <w:r w:rsidRPr="005A5250">
              <w:rPr>
                <w:rFonts w:ascii="Arial" w:eastAsia="Calibri" w:hAnsi="Arial" w:cs="Arial"/>
                <w:bCs/>
                <w:color w:val="000000" w:themeColor="text1"/>
                <w:sz w:val="22"/>
                <w:lang w:val="es-ES"/>
              </w:rPr>
              <w:t xml:space="preserve"> Aplicación </w:t>
            </w:r>
            <w:r w:rsidRPr="005A5250">
              <w:rPr>
                <w:rFonts w:ascii="Arial" w:eastAsia="Calibri" w:hAnsi="Arial" w:cs="Arial"/>
                <w:bCs/>
                <w:color w:val="000000" w:themeColor="text1"/>
                <w:sz w:val="20"/>
                <w:szCs w:val="20"/>
              </w:rPr>
              <w:t>–</w:t>
            </w:r>
            <w:r w:rsidRPr="005A5250">
              <w:rPr>
                <w:rFonts w:ascii="Arial" w:eastAsia="Calibri" w:hAnsi="Arial" w:cs="Arial"/>
                <w:bCs/>
                <w:color w:val="000000" w:themeColor="text1"/>
                <w:sz w:val="22"/>
                <w:lang w:val="es-ES"/>
              </w:rPr>
              <w:t xml:space="preserve"> Improcedencia </w:t>
            </w:r>
            <w:r w:rsidRPr="005A5250">
              <w:rPr>
                <w:rFonts w:ascii="Arial" w:eastAsia="Calibri" w:hAnsi="Arial" w:cs="Arial"/>
                <w:bCs/>
                <w:color w:val="000000" w:themeColor="text1"/>
                <w:sz w:val="20"/>
                <w:szCs w:val="20"/>
              </w:rPr>
              <w:t>–</w:t>
            </w:r>
            <w:r w:rsidRPr="005A5250">
              <w:rPr>
                <w:rFonts w:ascii="Arial" w:eastAsia="Calibri" w:hAnsi="Arial" w:cs="Arial"/>
                <w:bCs/>
                <w:color w:val="000000" w:themeColor="text1"/>
                <w:sz w:val="22"/>
                <w:lang w:val="es-ES"/>
              </w:rPr>
              <w:t xml:space="preserve"> Circunstancias posteriores </w:t>
            </w:r>
            <w:r w:rsidRPr="005A5250">
              <w:rPr>
                <w:rFonts w:ascii="Arial" w:eastAsia="Calibri" w:hAnsi="Arial" w:cs="Arial"/>
                <w:bCs/>
                <w:color w:val="000000" w:themeColor="text1"/>
                <w:sz w:val="20"/>
                <w:szCs w:val="20"/>
              </w:rPr>
              <w:t>–</w:t>
            </w:r>
            <w:r w:rsidRPr="005A5250">
              <w:rPr>
                <w:rFonts w:ascii="Arial" w:eastAsia="Calibri" w:hAnsi="Arial" w:cs="Arial"/>
                <w:bCs/>
                <w:color w:val="000000" w:themeColor="text1"/>
                <w:sz w:val="22"/>
                <w:lang w:val="es-ES"/>
              </w:rPr>
              <w:t xml:space="preserve"> Cierre </w:t>
            </w:r>
            <w:r w:rsidRPr="005A5250">
              <w:rPr>
                <w:rFonts w:ascii="Arial" w:eastAsia="Calibri" w:hAnsi="Arial" w:cs="Arial"/>
                <w:bCs/>
                <w:color w:val="000000" w:themeColor="text1"/>
                <w:sz w:val="22"/>
                <w:lang w:val="es-ES"/>
              </w:rPr>
              <w:lastRenderedPageBreak/>
              <w:t xml:space="preserve">del proceso / </w:t>
            </w:r>
            <w:r w:rsidRPr="005A5250">
              <w:rPr>
                <w:rFonts w:ascii="Arial" w:eastAsia="Calibri" w:hAnsi="Arial" w:cs="Arial"/>
                <w:color w:val="000000" w:themeColor="text1"/>
                <w:sz w:val="22"/>
                <w:lang w:val="es-ES_tradnl"/>
              </w:rPr>
              <w:t xml:space="preserve">SUBSANABILIDAD </w:t>
            </w:r>
            <w:r w:rsidRPr="005A5250">
              <w:rPr>
                <w:rFonts w:ascii="Arial" w:eastAsia="Calibri" w:hAnsi="Arial" w:cs="Arial"/>
                <w:bCs/>
                <w:color w:val="000000" w:themeColor="text1"/>
                <w:sz w:val="20"/>
                <w:szCs w:val="20"/>
              </w:rPr>
              <w:t>–</w:t>
            </w:r>
            <w:r w:rsidRPr="005A5250">
              <w:rPr>
                <w:rFonts w:ascii="Arial" w:eastAsia="Calibri" w:hAnsi="Arial" w:cs="Arial"/>
                <w:color w:val="000000" w:themeColor="text1"/>
                <w:sz w:val="22"/>
                <w:lang w:val="es-ES_tradnl"/>
              </w:rPr>
              <w:t xml:space="preserve"> Oportunidad </w:t>
            </w:r>
            <w:r w:rsidRPr="005A5250">
              <w:rPr>
                <w:rFonts w:ascii="Arial" w:eastAsia="Calibri" w:hAnsi="Arial" w:cs="Arial"/>
                <w:bCs/>
                <w:color w:val="000000" w:themeColor="text1"/>
                <w:sz w:val="20"/>
                <w:szCs w:val="20"/>
              </w:rPr>
              <w:t>–</w:t>
            </w:r>
            <w:r w:rsidRPr="005A5250">
              <w:rPr>
                <w:rFonts w:ascii="Arial" w:eastAsia="Calibri" w:hAnsi="Arial" w:cs="Arial"/>
                <w:color w:val="000000" w:themeColor="text1"/>
                <w:sz w:val="22"/>
                <w:lang w:val="es-ES_tradnl"/>
              </w:rPr>
              <w:t xml:space="preserve"> Traslado </w:t>
            </w:r>
            <w:r w:rsidRPr="005A5250">
              <w:rPr>
                <w:rFonts w:ascii="Arial" w:eastAsia="Calibri" w:hAnsi="Arial" w:cs="Arial"/>
                <w:bCs/>
                <w:color w:val="000000" w:themeColor="text1"/>
                <w:sz w:val="20"/>
                <w:szCs w:val="20"/>
              </w:rPr>
              <w:t>–</w:t>
            </w:r>
            <w:r w:rsidRPr="005A5250">
              <w:rPr>
                <w:rFonts w:ascii="Arial" w:eastAsia="Calibri" w:hAnsi="Arial" w:cs="Arial"/>
                <w:color w:val="000000" w:themeColor="text1"/>
                <w:sz w:val="22"/>
                <w:lang w:val="es-ES_tradnl"/>
              </w:rPr>
              <w:t xml:space="preserve"> Informe de evaluación / </w:t>
            </w:r>
            <w:r w:rsidRPr="005A5250">
              <w:rPr>
                <w:rFonts w:ascii="Arial" w:eastAsia="Calibri" w:hAnsi="Arial" w:cs="Arial"/>
                <w:color w:val="000000" w:themeColor="text1"/>
                <w:sz w:val="22"/>
              </w:rPr>
              <w:t xml:space="preserve">DOCUMENTOS TIPO – Capacidad residual – </w:t>
            </w:r>
            <w:proofErr w:type="spellStart"/>
            <w:r w:rsidRPr="005A5250">
              <w:rPr>
                <w:rFonts w:ascii="Arial" w:eastAsia="Calibri" w:hAnsi="Arial" w:cs="Arial"/>
                <w:color w:val="000000" w:themeColor="text1"/>
                <w:sz w:val="22"/>
              </w:rPr>
              <w:t>Subsanabilidad</w:t>
            </w:r>
            <w:proofErr w:type="spellEnd"/>
            <w:r w:rsidRPr="005A5250">
              <w:rPr>
                <w:rFonts w:ascii="Arial" w:eastAsia="Calibri" w:hAnsi="Arial" w:cs="Arial"/>
                <w:color w:val="000000" w:themeColor="text1"/>
                <w:sz w:val="22"/>
              </w:rPr>
              <w:t xml:space="preserve"> /DOCUMENTOS TIPO – Capacidad residual – Documentos – Causales de rechazo</w:t>
            </w:r>
          </w:p>
        </w:tc>
      </w:tr>
      <w:tr w:rsidR="009C1535" w:rsidRPr="00783992" w14:paraId="724008C2" w14:textId="77777777" w:rsidTr="003B683C">
        <w:tc>
          <w:tcPr>
            <w:tcW w:w="2689" w:type="dxa"/>
          </w:tcPr>
          <w:p w14:paraId="724008C0" w14:textId="77777777" w:rsidR="009C1535" w:rsidRPr="00783992" w:rsidRDefault="009C1535" w:rsidP="003B683C">
            <w:pPr>
              <w:rPr>
                <w:rFonts w:ascii="Arial" w:eastAsia="Calibri" w:hAnsi="Arial" w:cs="Arial"/>
                <w:b/>
                <w:color w:val="000000" w:themeColor="text1"/>
                <w:sz w:val="22"/>
              </w:rPr>
            </w:pPr>
            <w:r w:rsidRPr="00783992">
              <w:rPr>
                <w:rFonts w:ascii="Arial" w:eastAsia="Calibri" w:hAnsi="Arial" w:cs="Arial"/>
                <w:b/>
                <w:color w:val="000000" w:themeColor="text1"/>
                <w:sz w:val="22"/>
              </w:rPr>
              <w:lastRenderedPageBreak/>
              <w:t>Radicación:</w:t>
            </w:r>
            <w:r w:rsidRPr="00783992">
              <w:rPr>
                <w:rFonts w:ascii="Arial" w:eastAsia="Calibri" w:hAnsi="Arial" w:cs="Arial"/>
                <w:color w:val="000000" w:themeColor="text1"/>
                <w:sz w:val="22"/>
              </w:rPr>
              <w:t xml:space="preserve">                              </w:t>
            </w:r>
          </w:p>
        </w:tc>
        <w:tc>
          <w:tcPr>
            <w:tcW w:w="6237" w:type="dxa"/>
          </w:tcPr>
          <w:p w14:paraId="724008C1" w14:textId="3BC64B74" w:rsidR="009C1535" w:rsidRPr="00783992" w:rsidRDefault="009C1535" w:rsidP="003B683C">
            <w:pPr>
              <w:jc w:val="both"/>
              <w:rPr>
                <w:rFonts w:ascii="Arial" w:eastAsia="Calibri" w:hAnsi="Arial" w:cs="Arial"/>
                <w:color w:val="000000" w:themeColor="text1"/>
                <w:sz w:val="22"/>
              </w:rPr>
            </w:pPr>
            <w:r w:rsidRPr="00783992">
              <w:rPr>
                <w:rFonts w:ascii="Arial" w:eastAsia="Calibri" w:hAnsi="Arial" w:cs="Arial"/>
                <w:color w:val="000000" w:themeColor="text1"/>
                <w:sz w:val="22"/>
              </w:rPr>
              <w:t>Respuesta a consulta</w:t>
            </w:r>
            <w:r w:rsidR="00005C9A">
              <w:rPr>
                <w:rFonts w:ascii="Arial" w:eastAsia="Calibri" w:hAnsi="Arial" w:cs="Arial"/>
                <w:color w:val="000000" w:themeColor="text1"/>
                <w:sz w:val="22"/>
              </w:rPr>
              <w:t>s</w:t>
            </w:r>
            <w:r w:rsidRPr="00783992">
              <w:rPr>
                <w:rFonts w:ascii="Arial" w:eastAsia="Calibri" w:hAnsi="Arial" w:cs="Arial"/>
                <w:color w:val="000000" w:themeColor="text1"/>
                <w:sz w:val="22"/>
              </w:rPr>
              <w:t xml:space="preserve"> # </w:t>
            </w:r>
            <w:r w:rsidR="005A5250" w:rsidRPr="005A5250">
              <w:rPr>
                <w:rFonts w:ascii="Arial" w:eastAsia="Calibri" w:hAnsi="Arial" w:cs="Arial"/>
                <w:color w:val="000000" w:themeColor="text1"/>
                <w:sz w:val="22"/>
              </w:rPr>
              <w:t>4202013000008030</w:t>
            </w:r>
            <w:r w:rsidR="00005C9A">
              <w:rPr>
                <w:rFonts w:ascii="Arial" w:eastAsia="Calibri" w:hAnsi="Arial" w:cs="Arial"/>
                <w:color w:val="000000" w:themeColor="text1"/>
                <w:sz w:val="22"/>
              </w:rPr>
              <w:t xml:space="preserve"> y </w:t>
            </w:r>
          </w:p>
        </w:tc>
      </w:tr>
    </w:tbl>
    <w:p w14:paraId="724008C3" w14:textId="77777777" w:rsidR="009C1535" w:rsidRPr="00783992" w:rsidRDefault="009C1535" w:rsidP="009C1535">
      <w:pPr>
        <w:jc w:val="both"/>
        <w:rPr>
          <w:rFonts w:ascii="Arial" w:eastAsia="Calibri" w:hAnsi="Arial" w:cs="Arial"/>
          <w:color w:val="000000" w:themeColor="text1"/>
          <w:sz w:val="22"/>
        </w:rPr>
      </w:pPr>
    </w:p>
    <w:p w14:paraId="724008C4" w14:textId="77777777" w:rsidR="009C1535" w:rsidRPr="00783992" w:rsidRDefault="009C1535" w:rsidP="009C1535">
      <w:pPr>
        <w:rPr>
          <w:rFonts w:ascii="Arial" w:eastAsia="Calibri" w:hAnsi="Arial" w:cs="Arial"/>
          <w:color w:val="000000" w:themeColor="text1"/>
          <w:sz w:val="22"/>
        </w:rPr>
      </w:pPr>
    </w:p>
    <w:p w14:paraId="724008C5" w14:textId="77777777" w:rsidR="009C1535" w:rsidRPr="00783992" w:rsidRDefault="009C1535" w:rsidP="009C1535">
      <w:pPr>
        <w:rPr>
          <w:rFonts w:ascii="Arial" w:eastAsia="Calibri" w:hAnsi="Arial" w:cs="Arial"/>
          <w:color w:val="000000" w:themeColor="text1"/>
          <w:sz w:val="22"/>
        </w:rPr>
      </w:pPr>
      <w:r w:rsidRPr="00783992">
        <w:rPr>
          <w:rFonts w:ascii="Arial" w:eastAsia="Calibri" w:hAnsi="Arial" w:cs="Arial"/>
          <w:color w:val="000000" w:themeColor="text1"/>
          <w:sz w:val="22"/>
        </w:rPr>
        <w:t xml:space="preserve">Estimado señor </w:t>
      </w:r>
      <w:r w:rsidR="002F0C85">
        <w:rPr>
          <w:rFonts w:ascii="Arial" w:eastAsia="Calibri" w:hAnsi="Arial" w:cs="Arial"/>
          <w:color w:val="000000" w:themeColor="text1"/>
          <w:sz w:val="22"/>
        </w:rPr>
        <w:t>Céspedes</w:t>
      </w:r>
      <w:r w:rsidRPr="00783992">
        <w:rPr>
          <w:rFonts w:ascii="Arial" w:eastAsia="Calibri" w:hAnsi="Arial" w:cs="Arial"/>
          <w:color w:val="000000" w:themeColor="text1"/>
          <w:sz w:val="22"/>
        </w:rPr>
        <w:t>,</w:t>
      </w:r>
    </w:p>
    <w:p w14:paraId="724008C6" w14:textId="77777777" w:rsidR="009C1535" w:rsidRPr="00783992" w:rsidRDefault="009C1535" w:rsidP="009C1535">
      <w:pPr>
        <w:rPr>
          <w:rFonts w:ascii="Arial" w:eastAsia="Calibri" w:hAnsi="Arial" w:cs="Arial"/>
          <w:color w:val="000000" w:themeColor="text1"/>
          <w:sz w:val="22"/>
        </w:rPr>
      </w:pPr>
    </w:p>
    <w:p w14:paraId="724008C7" w14:textId="3F4DEFC4" w:rsidR="009C1535" w:rsidRPr="00783992" w:rsidRDefault="009C1535" w:rsidP="009C1535">
      <w:pPr>
        <w:spacing w:line="276" w:lineRule="auto"/>
        <w:ind w:right="49"/>
        <w:jc w:val="both"/>
        <w:rPr>
          <w:rFonts w:ascii="Arial" w:eastAsia="Calibri" w:hAnsi="Arial" w:cs="Arial"/>
          <w:color w:val="000000" w:themeColor="text1"/>
          <w:sz w:val="22"/>
        </w:rPr>
      </w:pPr>
      <w:r w:rsidRPr="00783992">
        <w:rPr>
          <w:rFonts w:ascii="Arial" w:eastAsia="Calibri" w:hAnsi="Arial" w:cs="Arial"/>
          <w:color w:val="000000" w:themeColor="text1"/>
          <w:sz w:val="22"/>
        </w:rPr>
        <w:t>La Agencia Nacional de Contratación Pública - Colombia Compra Eficiente responde su</w:t>
      </w:r>
      <w:r w:rsidR="004D5D23">
        <w:rPr>
          <w:rFonts w:ascii="Arial" w:eastAsia="Calibri" w:hAnsi="Arial" w:cs="Arial"/>
          <w:color w:val="000000" w:themeColor="text1"/>
          <w:sz w:val="22"/>
        </w:rPr>
        <w:t>s</w:t>
      </w:r>
      <w:r w:rsidRPr="00783992">
        <w:rPr>
          <w:rFonts w:ascii="Arial" w:eastAsia="Calibri" w:hAnsi="Arial" w:cs="Arial"/>
          <w:color w:val="000000" w:themeColor="text1"/>
          <w:sz w:val="22"/>
        </w:rPr>
        <w:t xml:space="preserve"> consulta</w:t>
      </w:r>
      <w:r w:rsidR="004D5D23">
        <w:rPr>
          <w:rFonts w:ascii="Arial" w:eastAsia="Calibri" w:hAnsi="Arial" w:cs="Arial"/>
          <w:color w:val="000000" w:themeColor="text1"/>
          <w:sz w:val="22"/>
        </w:rPr>
        <w:t>s</w:t>
      </w:r>
      <w:r w:rsidRPr="00783992">
        <w:rPr>
          <w:rFonts w:ascii="Arial" w:eastAsia="Calibri" w:hAnsi="Arial" w:cs="Arial"/>
          <w:color w:val="000000" w:themeColor="text1"/>
          <w:sz w:val="22"/>
        </w:rPr>
        <w:t xml:space="preserve"> del 13 </w:t>
      </w:r>
      <w:r w:rsidR="002F0C85">
        <w:rPr>
          <w:rFonts w:ascii="Arial" w:eastAsia="Calibri" w:hAnsi="Arial" w:cs="Arial"/>
          <w:color w:val="000000" w:themeColor="text1"/>
          <w:sz w:val="22"/>
        </w:rPr>
        <w:t xml:space="preserve">de septiembre </w:t>
      </w:r>
      <w:r w:rsidRPr="00783992">
        <w:rPr>
          <w:rFonts w:ascii="Arial" w:eastAsia="Calibri" w:hAnsi="Arial" w:cs="Arial"/>
          <w:color w:val="000000" w:themeColor="text1"/>
          <w:sz w:val="22"/>
        </w:rPr>
        <w:t xml:space="preserve">de 2020, en ejercicio de la competencia otorgada por el numeral 8 del artículo 11 y el numeral 5 del artículo 3 del Decreto Ley 4170 de 2011. </w:t>
      </w:r>
    </w:p>
    <w:p w14:paraId="724008C8" w14:textId="77777777" w:rsidR="009C1535" w:rsidRPr="00783992" w:rsidRDefault="009C1535" w:rsidP="009C1535">
      <w:pPr>
        <w:spacing w:line="276" w:lineRule="auto"/>
        <w:jc w:val="both"/>
        <w:rPr>
          <w:rFonts w:ascii="Arial" w:eastAsia="Calibri" w:hAnsi="Arial" w:cs="Arial"/>
          <w:color w:val="000000" w:themeColor="text1"/>
          <w:sz w:val="22"/>
        </w:rPr>
      </w:pPr>
    </w:p>
    <w:p w14:paraId="724008C9" w14:textId="77777777" w:rsidR="009C1535" w:rsidRPr="00783992" w:rsidRDefault="009C1535" w:rsidP="009C1535">
      <w:pPr>
        <w:pStyle w:val="Prrafodelista"/>
        <w:tabs>
          <w:tab w:val="left" w:pos="284"/>
        </w:tabs>
        <w:spacing w:line="276" w:lineRule="auto"/>
        <w:ind w:left="0"/>
        <w:jc w:val="both"/>
        <w:rPr>
          <w:rFonts w:ascii="Arial" w:eastAsia="Calibri" w:hAnsi="Arial" w:cs="Arial"/>
          <w:b/>
          <w:color w:val="000000" w:themeColor="text1"/>
          <w:sz w:val="22"/>
        </w:rPr>
      </w:pPr>
      <w:bookmarkStart w:id="1" w:name="_Hlk29890381"/>
      <w:r w:rsidRPr="00783992">
        <w:rPr>
          <w:rFonts w:ascii="Arial" w:eastAsia="Calibri" w:hAnsi="Arial" w:cs="Arial"/>
          <w:b/>
          <w:color w:val="000000" w:themeColor="text1"/>
          <w:sz w:val="22"/>
        </w:rPr>
        <w:t xml:space="preserve">1. Problemas planteados </w:t>
      </w:r>
    </w:p>
    <w:p w14:paraId="724008CA" w14:textId="77777777" w:rsidR="009C1535" w:rsidRPr="00783992" w:rsidRDefault="009C1535" w:rsidP="009C1535">
      <w:pPr>
        <w:tabs>
          <w:tab w:val="left" w:pos="426"/>
        </w:tabs>
        <w:spacing w:line="276" w:lineRule="auto"/>
        <w:jc w:val="both"/>
        <w:rPr>
          <w:rFonts w:ascii="Arial" w:eastAsia="Calibri" w:hAnsi="Arial" w:cs="Arial"/>
          <w:b/>
          <w:color w:val="000000" w:themeColor="text1"/>
          <w:sz w:val="22"/>
        </w:rPr>
      </w:pPr>
    </w:p>
    <w:p w14:paraId="724008CB" w14:textId="77777777" w:rsidR="002F0C85" w:rsidRDefault="002F0C85" w:rsidP="002F0C85">
      <w:pPr>
        <w:tabs>
          <w:tab w:val="left" w:pos="426"/>
        </w:tabs>
        <w:spacing w:line="276" w:lineRule="auto"/>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Usted realiza las siguientes preguntas: </w:t>
      </w:r>
      <w:r>
        <w:rPr>
          <w:rFonts w:ascii="Arial" w:eastAsia="Calibri" w:hAnsi="Arial" w:cs="Arial"/>
          <w:color w:val="000000" w:themeColor="text1"/>
          <w:sz w:val="22"/>
        </w:rPr>
        <w:t xml:space="preserve">Teniendo en cuenta la versión No.2 de Documentos Tipo: </w:t>
      </w:r>
    </w:p>
    <w:p w14:paraId="724008CC" w14:textId="77777777" w:rsidR="002F0C85" w:rsidRPr="002F0C85" w:rsidRDefault="002F0C85" w:rsidP="00005C9A">
      <w:pPr>
        <w:tabs>
          <w:tab w:val="left" w:pos="426"/>
        </w:tabs>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«1. </w:t>
      </w:r>
      <w:r w:rsidRPr="002F0C85">
        <w:rPr>
          <w:rFonts w:ascii="Arial" w:eastAsia="Calibri" w:hAnsi="Arial" w:cs="Arial"/>
          <w:color w:val="000000" w:themeColor="text1"/>
          <w:sz w:val="22"/>
        </w:rPr>
        <w:t>¿La entidad pública DEBE rechazar de plano al proponente que no relacione alguno de los contratos que tenía en ejecución al momento del cierre, es decir, le asiste o no la oportunidad de subsanar al proponente hasta antes de la adjudicación?</w:t>
      </w:r>
      <w:r>
        <w:rPr>
          <w:rFonts w:ascii="Arial" w:eastAsia="Calibri" w:hAnsi="Arial" w:cs="Arial"/>
          <w:color w:val="000000" w:themeColor="text1"/>
          <w:sz w:val="22"/>
        </w:rPr>
        <w:t>»</w:t>
      </w:r>
    </w:p>
    <w:p w14:paraId="738989BB" w14:textId="77777777" w:rsidR="00722B16" w:rsidRDefault="00722B16" w:rsidP="00722B16">
      <w:pPr>
        <w:autoSpaceDE w:val="0"/>
        <w:autoSpaceDN w:val="0"/>
        <w:adjustRightInd w:val="0"/>
        <w:ind w:left="709" w:right="709"/>
        <w:jc w:val="both"/>
        <w:rPr>
          <w:rFonts w:ascii="Arial" w:eastAsia="Calibri" w:hAnsi="Arial" w:cs="Arial"/>
          <w:color w:val="000000" w:themeColor="text1"/>
          <w:sz w:val="22"/>
        </w:rPr>
      </w:pPr>
    </w:p>
    <w:p w14:paraId="724008CD" w14:textId="0E83DB87" w:rsidR="002F0C85" w:rsidRPr="002F0C85" w:rsidRDefault="002F0C85" w:rsidP="00722B16">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«2. </w:t>
      </w:r>
      <w:r w:rsidRPr="002F0C85">
        <w:rPr>
          <w:rFonts w:ascii="Arial" w:eastAsia="Calibri" w:hAnsi="Arial" w:cs="Arial"/>
          <w:color w:val="000000" w:themeColor="text1"/>
          <w:sz w:val="22"/>
        </w:rPr>
        <w:t>En caso de que la respuesta sea que el proponente puede subsanar ¿La palabra AFECTE que se indica en el párrafo enunciado, quiere decir, que se debe rechazar únicamente en caso de que no cumpla con el k residual que solicita la entidad o hace relación a que se si se aumenta o disminuye el valor de k residual (lo cual ocurriría en caso de que no se haya reportado un contrato), indistintamente que se cumpla con el k residual?</w:t>
      </w:r>
      <w:r>
        <w:rPr>
          <w:rFonts w:ascii="Arial" w:eastAsia="Calibri" w:hAnsi="Arial" w:cs="Arial"/>
          <w:color w:val="000000" w:themeColor="text1"/>
          <w:sz w:val="22"/>
        </w:rPr>
        <w:t>»</w:t>
      </w:r>
      <w:r w:rsidRPr="002F0C85">
        <w:rPr>
          <w:rFonts w:ascii="Arial" w:eastAsia="Calibri" w:hAnsi="Arial" w:cs="Arial"/>
          <w:color w:val="000000" w:themeColor="text1"/>
          <w:sz w:val="22"/>
        </w:rPr>
        <w:t xml:space="preserve"> </w:t>
      </w:r>
    </w:p>
    <w:p w14:paraId="0483B78E" w14:textId="77777777" w:rsidR="00722B16" w:rsidRDefault="00722B16" w:rsidP="00722B16">
      <w:pPr>
        <w:autoSpaceDE w:val="0"/>
        <w:autoSpaceDN w:val="0"/>
        <w:adjustRightInd w:val="0"/>
        <w:ind w:left="709" w:right="709"/>
        <w:jc w:val="both"/>
        <w:rPr>
          <w:rFonts w:ascii="Arial" w:eastAsia="Calibri" w:hAnsi="Arial" w:cs="Arial"/>
          <w:color w:val="000000" w:themeColor="text1"/>
          <w:sz w:val="22"/>
        </w:rPr>
      </w:pPr>
    </w:p>
    <w:p w14:paraId="724008CE" w14:textId="7E75B3E8" w:rsidR="002F0C85" w:rsidRPr="002F0C85" w:rsidRDefault="002F0C85" w:rsidP="00722B16">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«3. </w:t>
      </w:r>
      <w:r w:rsidRPr="002F0C85">
        <w:rPr>
          <w:rFonts w:ascii="Arial" w:eastAsia="Calibri" w:hAnsi="Arial" w:cs="Arial"/>
          <w:color w:val="000000" w:themeColor="text1"/>
          <w:sz w:val="22"/>
        </w:rPr>
        <w:t>En caso de que la respuesta sea que se debe rechazar sin solicitar subsanación ello no contraviene lo establecido en la Ley 1882 de 2018 (…)</w:t>
      </w:r>
      <w:r>
        <w:rPr>
          <w:rFonts w:ascii="Arial" w:eastAsia="Calibri" w:hAnsi="Arial" w:cs="Arial"/>
          <w:color w:val="000000" w:themeColor="text1"/>
          <w:sz w:val="22"/>
        </w:rPr>
        <w:t>»</w:t>
      </w:r>
    </w:p>
    <w:p w14:paraId="56E6B630" w14:textId="77777777" w:rsidR="00722B16" w:rsidRDefault="00722B16" w:rsidP="00722B16">
      <w:pPr>
        <w:autoSpaceDE w:val="0"/>
        <w:autoSpaceDN w:val="0"/>
        <w:adjustRightInd w:val="0"/>
        <w:ind w:left="709" w:right="709"/>
        <w:jc w:val="both"/>
        <w:rPr>
          <w:rFonts w:ascii="Arial" w:eastAsia="Calibri" w:hAnsi="Arial" w:cs="Arial"/>
          <w:color w:val="000000" w:themeColor="text1"/>
          <w:sz w:val="22"/>
        </w:rPr>
      </w:pPr>
    </w:p>
    <w:p w14:paraId="724008CF" w14:textId="4C258832" w:rsidR="002F0C85" w:rsidRPr="002F0C85" w:rsidRDefault="002F0C85" w:rsidP="00722B16">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«4. </w:t>
      </w:r>
      <w:r w:rsidRPr="002F0C85">
        <w:rPr>
          <w:rFonts w:ascii="Arial" w:eastAsia="Calibri" w:hAnsi="Arial" w:cs="Arial"/>
          <w:color w:val="000000" w:themeColor="text1"/>
          <w:sz w:val="22"/>
        </w:rPr>
        <w:t xml:space="preserve">La única causal de rechazo estipulada en la Ley de manera taxativa es la estipulada en el parágrafo N° 3 </w:t>
      </w:r>
      <w:proofErr w:type="spellStart"/>
      <w:r w:rsidRPr="002F0C85">
        <w:rPr>
          <w:rFonts w:ascii="Arial" w:eastAsia="Calibri" w:hAnsi="Arial" w:cs="Arial"/>
          <w:color w:val="000000" w:themeColor="text1"/>
          <w:sz w:val="22"/>
        </w:rPr>
        <w:t>ibidem</w:t>
      </w:r>
      <w:proofErr w:type="spellEnd"/>
      <w:r w:rsidRPr="002F0C85">
        <w:rPr>
          <w:rFonts w:ascii="Arial" w:eastAsia="Calibri" w:hAnsi="Arial" w:cs="Arial"/>
          <w:color w:val="000000" w:themeColor="text1"/>
          <w:sz w:val="22"/>
        </w:rPr>
        <w:t xml:space="preserve"> que es la no entrega de la garantía de seriedad al momento de la presentación de la propuesta y además determina sin modo a interpretación que NO ES SUBSANABLE, ¿En caso de que su respuesta indique que no se puede subsanar, solicito de manera expresa el sustento jurídico donde se estipula que dicho requisit</w:t>
      </w:r>
      <w:r>
        <w:rPr>
          <w:rFonts w:ascii="Arial" w:eastAsia="Calibri" w:hAnsi="Arial" w:cs="Arial"/>
          <w:color w:val="000000" w:themeColor="text1"/>
          <w:sz w:val="22"/>
        </w:rPr>
        <w:t>o habilitante no es subsanable?»</w:t>
      </w:r>
    </w:p>
    <w:p w14:paraId="4478DAFB" w14:textId="77777777" w:rsidR="00722B16" w:rsidRDefault="00722B16" w:rsidP="00722B16">
      <w:pPr>
        <w:autoSpaceDE w:val="0"/>
        <w:autoSpaceDN w:val="0"/>
        <w:adjustRightInd w:val="0"/>
        <w:ind w:left="709" w:right="709"/>
        <w:jc w:val="both"/>
        <w:rPr>
          <w:rFonts w:ascii="Arial" w:eastAsia="Calibri" w:hAnsi="Arial" w:cs="Arial"/>
          <w:color w:val="000000" w:themeColor="text1"/>
          <w:sz w:val="22"/>
        </w:rPr>
      </w:pPr>
    </w:p>
    <w:p w14:paraId="724008D0" w14:textId="6BE828F9" w:rsidR="002F0C85" w:rsidRPr="002F0C85" w:rsidRDefault="002F0C85" w:rsidP="00722B16">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«5. </w:t>
      </w:r>
      <w:r w:rsidRPr="002F0C85">
        <w:rPr>
          <w:rFonts w:ascii="Arial" w:eastAsia="Calibri" w:hAnsi="Arial" w:cs="Arial"/>
          <w:color w:val="000000" w:themeColor="text1"/>
          <w:sz w:val="22"/>
        </w:rPr>
        <w:t>Si la conclusión es que se puede estipular dicha causal de rechazo sin solicitar subsanación, ¿Se pueden determinar en el pliego tipo aspectos que contravienen la ley, si la respuesta es SI, solicito el sustento legal?</w:t>
      </w:r>
      <w:r>
        <w:rPr>
          <w:rFonts w:ascii="Arial" w:eastAsia="Calibri" w:hAnsi="Arial" w:cs="Arial"/>
          <w:color w:val="000000" w:themeColor="text1"/>
          <w:sz w:val="22"/>
        </w:rPr>
        <w:t>»</w:t>
      </w:r>
      <w:r w:rsidRPr="002F0C85">
        <w:rPr>
          <w:rFonts w:ascii="Arial" w:eastAsia="Calibri" w:hAnsi="Arial" w:cs="Arial"/>
          <w:color w:val="000000" w:themeColor="text1"/>
          <w:sz w:val="22"/>
        </w:rPr>
        <w:t xml:space="preserve"> </w:t>
      </w:r>
    </w:p>
    <w:p w14:paraId="1E4F00EB" w14:textId="77777777" w:rsidR="00722B16" w:rsidRDefault="00722B16" w:rsidP="00722B16">
      <w:pPr>
        <w:autoSpaceDE w:val="0"/>
        <w:autoSpaceDN w:val="0"/>
        <w:adjustRightInd w:val="0"/>
        <w:ind w:left="709" w:right="709"/>
        <w:jc w:val="both"/>
        <w:rPr>
          <w:rFonts w:ascii="Arial" w:eastAsia="Calibri" w:hAnsi="Arial" w:cs="Arial"/>
          <w:color w:val="000000" w:themeColor="text1"/>
          <w:sz w:val="22"/>
        </w:rPr>
      </w:pPr>
    </w:p>
    <w:p w14:paraId="724008D1" w14:textId="064EA0F7" w:rsidR="002F0C85" w:rsidRPr="002F0C85" w:rsidRDefault="002F0C85" w:rsidP="00722B16">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«6. </w:t>
      </w:r>
      <w:r w:rsidRPr="002F0C85">
        <w:rPr>
          <w:rFonts w:ascii="Arial" w:eastAsia="Calibri" w:hAnsi="Arial" w:cs="Arial"/>
          <w:color w:val="000000" w:themeColor="text1"/>
          <w:sz w:val="22"/>
        </w:rPr>
        <w:t>En caso de que la entidad o algún proponente evidencie la falta de relacionar algún contrato por uno de los proponentes, y en caso de que se pueda subsanar ¿La entidad tiene el deber de requerir al proponente que omitió relacionar el contrato y deberá otorgar el tiempo que estipula la CIRCULAR UNICA</w:t>
      </w:r>
      <w:r w:rsidR="007A3511">
        <w:rPr>
          <w:rFonts w:ascii="Arial" w:eastAsia="Calibri" w:hAnsi="Arial" w:cs="Arial"/>
          <w:color w:val="000000" w:themeColor="text1"/>
          <w:sz w:val="22"/>
        </w:rPr>
        <w:t xml:space="preserve"> [</w:t>
      </w:r>
      <w:r>
        <w:rPr>
          <w:rFonts w:ascii="Arial" w:eastAsia="Calibri" w:hAnsi="Arial" w:cs="Arial"/>
          <w:color w:val="000000" w:themeColor="text1"/>
          <w:sz w:val="22"/>
        </w:rPr>
        <w:t>…</w:t>
      </w:r>
      <w:r w:rsidR="007A3511">
        <w:rPr>
          <w:rFonts w:ascii="Arial" w:eastAsia="Calibri" w:hAnsi="Arial" w:cs="Arial"/>
          <w:color w:val="000000" w:themeColor="text1"/>
          <w:sz w:val="22"/>
        </w:rPr>
        <w:t>]</w:t>
      </w:r>
      <w:r w:rsidR="00D307A4">
        <w:rPr>
          <w:rFonts w:ascii="Arial" w:eastAsia="Calibri" w:hAnsi="Arial" w:cs="Arial"/>
          <w:color w:val="000000" w:themeColor="text1"/>
          <w:sz w:val="22"/>
        </w:rPr>
        <w:t>?</w:t>
      </w:r>
      <w:r>
        <w:rPr>
          <w:rFonts w:ascii="Arial" w:eastAsia="Calibri" w:hAnsi="Arial" w:cs="Arial"/>
          <w:color w:val="000000" w:themeColor="text1"/>
          <w:sz w:val="22"/>
        </w:rPr>
        <w:t>»</w:t>
      </w:r>
    </w:p>
    <w:p w14:paraId="724008D2" w14:textId="77777777" w:rsidR="002F0C85" w:rsidRPr="002F0C85" w:rsidRDefault="002F0C85" w:rsidP="005A5250">
      <w:pPr>
        <w:tabs>
          <w:tab w:val="left" w:pos="426"/>
        </w:tabs>
        <w:spacing w:line="276" w:lineRule="auto"/>
        <w:ind w:right="709"/>
        <w:jc w:val="both"/>
        <w:rPr>
          <w:rFonts w:ascii="Arial" w:eastAsia="Calibri" w:hAnsi="Arial" w:cs="Arial"/>
          <w:color w:val="000000" w:themeColor="text1"/>
          <w:sz w:val="22"/>
        </w:rPr>
      </w:pPr>
    </w:p>
    <w:p w14:paraId="724008D3" w14:textId="77777777" w:rsidR="009C1535" w:rsidRPr="00783992" w:rsidRDefault="009C1535" w:rsidP="009C1535">
      <w:pPr>
        <w:tabs>
          <w:tab w:val="left" w:pos="426"/>
        </w:tabs>
        <w:spacing w:line="276" w:lineRule="auto"/>
        <w:jc w:val="both"/>
        <w:rPr>
          <w:rFonts w:ascii="Arial" w:eastAsia="Calibri" w:hAnsi="Arial" w:cs="Arial"/>
          <w:b/>
          <w:color w:val="000000" w:themeColor="text1"/>
          <w:sz w:val="22"/>
        </w:rPr>
      </w:pPr>
      <w:r w:rsidRPr="00783992">
        <w:rPr>
          <w:rFonts w:ascii="Arial" w:eastAsia="Calibri" w:hAnsi="Arial" w:cs="Arial"/>
          <w:b/>
          <w:color w:val="000000" w:themeColor="text1"/>
          <w:sz w:val="22"/>
        </w:rPr>
        <w:t>2. Consideraciones</w:t>
      </w:r>
    </w:p>
    <w:p w14:paraId="724008D4" w14:textId="77777777" w:rsidR="009C1535" w:rsidRPr="00783992" w:rsidRDefault="009C1535" w:rsidP="009C1535">
      <w:pPr>
        <w:tabs>
          <w:tab w:val="left" w:pos="426"/>
        </w:tabs>
        <w:spacing w:line="276" w:lineRule="auto"/>
        <w:jc w:val="both"/>
        <w:rPr>
          <w:rFonts w:ascii="Arial" w:eastAsia="Calibri" w:hAnsi="Arial" w:cs="Arial"/>
          <w:b/>
          <w:color w:val="000000" w:themeColor="text1"/>
          <w:sz w:val="22"/>
        </w:rPr>
      </w:pPr>
    </w:p>
    <w:p w14:paraId="724008D5" w14:textId="6F834EB2" w:rsidR="00DE74CE" w:rsidRDefault="002F0C85" w:rsidP="00DE74CE">
      <w:pPr>
        <w:spacing w:line="276" w:lineRule="auto"/>
        <w:jc w:val="both"/>
        <w:rPr>
          <w:rFonts w:ascii="Arial" w:eastAsia="Calibri" w:hAnsi="Arial" w:cs="Arial"/>
          <w:bCs/>
          <w:color w:val="000000" w:themeColor="text1"/>
          <w:sz w:val="22"/>
          <w:lang w:val="es-ES_tradnl"/>
        </w:rPr>
      </w:pPr>
      <w:r w:rsidRPr="00AB24F3">
        <w:rPr>
          <w:rFonts w:ascii="Arial" w:eastAsia="Calibri" w:hAnsi="Arial" w:cs="Arial"/>
          <w:bCs/>
          <w:color w:val="000000" w:themeColor="text1"/>
          <w:sz w:val="22"/>
        </w:rPr>
        <w:t>Dado que su</w:t>
      </w:r>
      <w:r w:rsidR="00D307A4">
        <w:rPr>
          <w:rFonts w:ascii="Arial" w:eastAsia="Calibri" w:hAnsi="Arial" w:cs="Arial"/>
          <w:bCs/>
          <w:color w:val="000000" w:themeColor="text1"/>
          <w:sz w:val="22"/>
        </w:rPr>
        <w:t>s</w:t>
      </w:r>
      <w:r w:rsidRPr="00AB24F3">
        <w:rPr>
          <w:rFonts w:ascii="Arial" w:eastAsia="Calibri" w:hAnsi="Arial" w:cs="Arial"/>
          <w:bCs/>
          <w:color w:val="000000" w:themeColor="text1"/>
          <w:sz w:val="22"/>
        </w:rPr>
        <w:t xml:space="preserve"> pregunta</w:t>
      </w:r>
      <w:r w:rsidR="00D307A4">
        <w:rPr>
          <w:rFonts w:ascii="Arial" w:eastAsia="Calibri" w:hAnsi="Arial" w:cs="Arial"/>
          <w:bCs/>
          <w:color w:val="000000" w:themeColor="text1"/>
          <w:sz w:val="22"/>
        </w:rPr>
        <w:t>s</w:t>
      </w:r>
      <w:r w:rsidRPr="00AB24F3">
        <w:rPr>
          <w:rFonts w:ascii="Arial" w:eastAsia="Calibri" w:hAnsi="Arial" w:cs="Arial"/>
          <w:bCs/>
          <w:color w:val="000000" w:themeColor="text1"/>
          <w:sz w:val="22"/>
        </w:rPr>
        <w:t xml:space="preserve"> se relaciona</w:t>
      </w:r>
      <w:r w:rsidR="00D307A4">
        <w:rPr>
          <w:rFonts w:ascii="Arial" w:eastAsia="Calibri" w:hAnsi="Arial" w:cs="Arial"/>
          <w:bCs/>
          <w:color w:val="000000" w:themeColor="text1"/>
          <w:sz w:val="22"/>
        </w:rPr>
        <w:t>n</w:t>
      </w:r>
      <w:r w:rsidRPr="00AB24F3">
        <w:rPr>
          <w:rFonts w:ascii="Arial" w:eastAsia="Calibri" w:hAnsi="Arial" w:cs="Arial"/>
          <w:bCs/>
          <w:color w:val="000000" w:themeColor="text1"/>
          <w:sz w:val="22"/>
        </w:rPr>
        <w:t xml:space="preserve"> con el Documento Tipo de Licitación de Obra Pública de Infraestructura de Transporte Versión 2</w:t>
      </w:r>
      <w:r w:rsidR="00D307A4">
        <w:rPr>
          <w:rFonts w:ascii="Arial" w:eastAsia="Calibri" w:hAnsi="Arial" w:cs="Arial"/>
          <w:bCs/>
          <w:color w:val="000000" w:themeColor="text1"/>
          <w:sz w:val="22"/>
        </w:rPr>
        <w:t>,</w:t>
      </w:r>
      <w:r w:rsidRPr="00AB24F3">
        <w:rPr>
          <w:rFonts w:ascii="Arial" w:eastAsia="Calibri" w:hAnsi="Arial" w:cs="Arial"/>
          <w:bCs/>
          <w:color w:val="000000" w:themeColor="text1"/>
          <w:sz w:val="22"/>
        </w:rPr>
        <w:t xml:space="preserve"> la presente</w:t>
      </w:r>
      <w:r w:rsidR="004103E9">
        <w:rPr>
          <w:rFonts w:ascii="Arial" w:eastAsia="Calibri" w:hAnsi="Arial" w:cs="Arial"/>
          <w:bCs/>
          <w:color w:val="000000" w:themeColor="text1"/>
          <w:sz w:val="22"/>
        </w:rPr>
        <w:t xml:space="preserve"> respuesta</w:t>
      </w:r>
      <w:r w:rsidRPr="00AB24F3">
        <w:rPr>
          <w:rFonts w:ascii="Arial" w:eastAsia="Calibri" w:hAnsi="Arial" w:cs="Arial"/>
          <w:bCs/>
          <w:color w:val="000000" w:themeColor="text1"/>
          <w:sz w:val="22"/>
        </w:rPr>
        <w:t xml:space="preserve"> tiene por objeto dicho documento tipo.</w:t>
      </w:r>
      <w:r w:rsidR="00AB24F3" w:rsidRPr="00AB24F3">
        <w:rPr>
          <w:rFonts w:ascii="Arial" w:eastAsia="Calibri" w:hAnsi="Arial" w:cs="Arial"/>
          <w:bCs/>
          <w:color w:val="000000" w:themeColor="text1"/>
          <w:sz w:val="22"/>
        </w:rPr>
        <w:t xml:space="preserve"> En consecuencia, p</w:t>
      </w:r>
      <w:r w:rsidR="00DE74CE" w:rsidRPr="00AB24F3">
        <w:rPr>
          <w:rFonts w:ascii="Arial" w:eastAsia="Calibri" w:hAnsi="Arial" w:cs="Arial"/>
          <w:bCs/>
          <w:color w:val="000000" w:themeColor="text1"/>
          <w:sz w:val="22"/>
        </w:rPr>
        <w:t xml:space="preserve">ara responder las preguntas </w:t>
      </w:r>
      <w:r w:rsidR="00AB24F3" w:rsidRPr="00AB24F3">
        <w:rPr>
          <w:rFonts w:ascii="Arial" w:eastAsia="Calibri" w:hAnsi="Arial" w:cs="Arial"/>
          <w:bCs/>
          <w:color w:val="000000" w:themeColor="text1"/>
          <w:sz w:val="22"/>
        </w:rPr>
        <w:t xml:space="preserve">formuladas, </w:t>
      </w:r>
      <w:r w:rsidR="00DE74CE" w:rsidRPr="00AB24F3">
        <w:rPr>
          <w:rFonts w:ascii="Arial" w:eastAsia="Calibri" w:hAnsi="Arial" w:cs="Arial"/>
          <w:bCs/>
          <w:color w:val="000000" w:themeColor="text1"/>
          <w:sz w:val="22"/>
        </w:rPr>
        <w:t xml:space="preserve">en primer lugar se reitera el concepto de unificación C-060 sobre </w:t>
      </w:r>
      <w:proofErr w:type="spellStart"/>
      <w:r w:rsidR="00DE74CE" w:rsidRPr="00AB24F3">
        <w:rPr>
          <w:rFonts w:ascii="Arial" w:eastAsia="Calibri" w:hAnsi="Arial" w:cs="Arial"/>
          <w:bCs/>
          <w:color w:val="000000" w:themeColor="text1"/>
          <w:sz w:val="22"/>
        </w:rPr>
        <w:t>subsanabilidad</w:t>
      </w:r>
      <w:proofErr w:type="spellEnd"/>
      <w:r w:rsidR="00DE74CE" w:rsidRPr="00AB24F3">
        <w:rPr>
          <w:rFonts w:ascii="Arial" w:eastAsia="Calibri" w:hAnsi="Arial" w:cs="Arial"/>
          <w:bCs/>
          <w:color w:val="000000" w:themeColor="text1"/>
          <w:sz w:val="22"/>
        </w:rPr>
        <w:t>, para, posteriormente pronunciarse sobre la capacidad residual y el rechazo de las ofertas.</w:t>
      </w:r>
      <w:r w:rsidR="00DE74CE">
        <w:rPr>
          <w:rFonts w:ascii="Arial" w:eastAsia="Calibri" w:hAnsi="Arial" w:cs="Arial"/>
          <w:bCs/>
          <w:color w:val="000000" w:themeColor="text1"/>
          <w:sz w:val="22"/>
        </w:rPr>
        <w:t xml:space="preserve"> </w:t>
      </w:r>
    </w:p>
    <w:p w14:paraId="724008D6" w14:textId="77777777" w:rsidR="00DE74CE" w:rsidRDefault="00DE74CE" w:rsidP="00DE74CE">
      <w:pPr>
        <w:spacing w:line="276" w:lineRule="auto"/>
        <w:jc w:val="both"/>
        <w:rPr>
          <w:rFonts w:ascii="Arial" w:eastAsia="Calibri" w:hAnsi="Arial" w:cs="Arial"/>
          <w:bCs/>
          <w:color w:val="000000" w:themeColor="text1"/>
          <w:sz w:val="22"/>
          <w:lang w:val="es-ES_tradnl"/>
        </w:rPr>
      </w:pPr>
    </w:p>
    <w:p w14:paraId="724008D7" w14:textId="77777777" w:rsidR="00DE74CE" w:rsidRPr="00DC2C79" w:rsidRDefault="00DE74CE" w:rsidP="00DE74CE">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2.1. Principio de selección objetiva en la contratación estatal</w:t>
      </w:r>
    </w:p>
    <w:p w14:paraId="724008D8"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p>
    <w:p w14:paraId="724008D9"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Uno de los principios transversales de los procedimientos de selección es el de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724008DA" w14:textId="77777777" w:rsidR="00DE74CE" w:rsidRPr="00DC2C79" w:rsidRDefault="00DE74CE" w:rsidP="00DE74CE">
      <w:pPr>
        <w:spacing w:before="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Si bien dentro de la historia de la contratación pública en Colombia, se vislumbran antecedentes normativos que consagraban dicho principio</w:t>
      </w:r>
      <w:r w:rsidRPr="00DC2C79">
        <w:rPr>
          <w:rStyle w:val="Refdenotaalpie"/>
          <w:rFonts w:ascii="Arial" w:eastAsia="Calibri" w:hAnsi="Arial" w:cs="Arial"/>
          <w:color w:val="000000" w:themeColor="text1"/>
          <w:sz w:val="22"/>
          <w:lang w:val="es-ES_tradnl"/>
        </w:rPr>
        <w:footnoteReference w:id="1"/>
      </w:r>
      <w:r w:rsidRPr="00DC2C79">
        <w:rPr>
          <w:rFonts w:ascii="Arial" w:eastAsia="Calibri" w:hAnsi="Arial" w:cs="Arial"/>
          <w:color w:val="000000" w:themeColor="text1"/>
          <w:sz w:val="22"/>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724008DB"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p>
    <w:p w14:paraId="724008DC"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lastRenderedPageBreak/>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24008DD"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DE"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24008DF"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0"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24008E1"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2"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14:paraId="724008E3"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4"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14:paraId="724008E5"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6"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724008E7"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8"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24008E9"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A"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 xml:space="preserve">4. En los procesos para la selección de consultores se hará uso de factores de calificación destinados a valorar los aspectos técnicos de la oferta o proyecto. De conformidad con las condiciones que señale el reglamento, se podrán utilizar </w:t>
      </w:r>
      <w:r w:rsidRPr="00DC2C79">
        <w:rPr>
          <w:rFonts w:ascii="Arial" w:eastAsia="Calibri" w:hAnsi="Arial" w:cs="Arial"/>
          <w:color w:val="000000" w:themeColor="text1"/>
          <w:sz w:val="21"/>
          <w:szCs w:val="21"/>
          <w:lang w:val="es-ES_tradnl"/>
        </w:rPr>
        <w:lastRenderedPageBreak/>
        <w:t>criterios de experiencia específica del oferente y del equipo de trabajo, en el campo de que se trate.</w:t>
      </w:r>
    </w:p>
    <w:p w14:paraId="724008EB"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C"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ningún caso se podrá incluir el precio, como factor de escogencia para la selección de consultores.</w:t>
      </w:r>
    </w:p>
    <w:p w14:paraId="724008ED"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EE"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24008EF"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F0"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724008F1"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F2"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724008F3"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F4"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724008F5"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F6"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724008F7" w14:textId="77777777" w:rsidR="00DE74CE" w:rsidRPr="00DC2C79" w:rsidRDefault="00DE74CE" w:rsidP="00DE74CE">
      <w:pPr>
        <w:ind w:left="709" w:right="709"/>
        <w:jc w:val="both"/>
        <w:rPr>
          <w:rFonts w:ascii="Arial" w:eastAsia="Calibri" w:hAnsi="Arial" w:cs="Arial"/>
          <w:color w:val="000000" w:themeColor="text1"/>
          <w:sz w:val="21"/>
          <w:szCs w:val="21"/>
          <w:lang w:val="es-ES_tradnl"/>
        </w:rPr>
      </w:pPr>
    </w:p>
    <w:p w14:paraId="724008F8" w14:textId="77777777" w:rsidR="00DE74CE" w:rsidRPr="00DC2C79" w:rsidRDefault="00DE74CE" w:rsidP="00DE74CE">
      <w:pPr>
        <w:ind w:left="709" w:right="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DC2C79">
        <w:rPr>
          <w:rFonts w:ascii="Arial" w:eastAsia="Calibri" w:hAnsi="Arial" w:cs="Arial"/>
          <w:color w:val="000000" w:themeColor="text1"/>
          <w:sz w:val="22"/>
          <w:lang w:val="es-ES_tradnl"/>
        </w:rPr>
        <w:t xml:space="preserve"> </w:t>
      </w:r>
    </w:p>
    <w:p w14:paraId="724008F9"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p>
    <w:p w14:paraId="724008FA" w14:textId="77777777" w:rsidR="00DE74CE" w:rsidRPr="00DC2C79" w:rsidRDefault="00DE74CE" w:rsidP="00DE74CE">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Así mismo, la Ley 80 de 1993 se refiere a la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w:t>
      </w:r>
      <w:r w:rsidRPr="00DC2C79">
        <w:rPr>
          <w:rFonts w:ascii="Arial" w:eastAsia="Calibri" w:hAnsi="Arial" w:cs="Arial"/>
          <w:color w:val="000000" w:themeColor="text1"/>
          <w:sz w:val="22"/>
          <w:lang w:val="es-ES_tradnl"/>
        </w:rPr>
        <w:lastRenderedPageBreak/>
        <w:t xml:space="preserve">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724008FB"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724008FC"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DC2C79">
        <w:rPr>
          <w:rStyle w:val="Refdenotaalpie"/>
          <w:rFonts w:ascii="Arial" w:eastAsia="Calibri" w:hAnsi="Arial" w:cs="Arial"/>
          <w:color w:val="000000" w:themeColor="text1"/>
          <w:sz w:val="22"/>
          <w:lang w:val="es-ES_tradnl"/>
        </w:rPr>
        <w:footnoteReference w:id="2"/>
      </w:r>
      <w:r w:rsidRPr="00DC2C79">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DC2C79">
        <w:rPr>
          <w:rStyle w:val="Refdenotaalpie"/>
          <w:rFonts w:ascii="Arial" w:eastAsia="Calibri" w:hAnsi="Arial" w:cs="Arial"/>
          <w:color w:val="000000" w:themeColor="text1"/>
          <w:sz w:val="22"/>
          <w:lang w:val="es-ES_tradnl"/>
        </w:rPr>
        <w:footnoteReference w:id="3"/>
      </w:r>
      <w:r w:rsidRPr="00DC2C79">
        <w:rPr>
          <w:rFonts w:ascii="Arial" w:eastAsia="Calibri" w:hAnsi="Arial" w:cs="Arial"/>
          <w:color w:val="000000" w:themeColor="text1"/>
          <w:sz w:val="22"/>
          <w:lang w:val="es-ES_tradnl"/>
        </w:rPr>
        <w:t>.</w:t>
      </w:r>
    </w:p>
    <w:p w14:paraId="724008FD"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724008FE" w14:textId="77777777" w:rsidR="00DE74CE" w:rsidRPr="00DC2C79" w:rsidRDefault="00DE74CE" w:rsidP="00DE74CE">
      <w:pPr>
        <w:spacing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lang w:val="es-ES_tradnl"/>
        </w:rPr>
        <w:t>Esta regla se explica a continuación.</w:t>
      </w:r>
    </w:p>
    <w:p w14:paraId="724008FF"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p>
    <w:p w14:paraId="72400900" w14:textId="77777777" w:rsidR="00DE74CE" w:rsidRPr="00DC2C79" w:rsidRDefault="00DE74CE" w:rsidP="00DE74CE">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2.2. Alcance de la regla de la </w:t>
      </w:r>
      <w:proofErr w:type="spellStart"/>
      <w:r w:rsidRPr="00DC2C79">
        <w:rPr>
          <w:rFonts w:ascii="Arial" w:eastAsia="Calibri" w:hAnsi="Arial" w:cs="Arial"/>
          <w:b/>
          <w:bCs/>
          <w:color w:val="000000" w:themeColor="text1"/>
          <w:sz w:val="22"/>
          <w:lang w:val="es-ES_tradnl"/>
        </w:rPr>
        <w:t>subsanabilidad</w:t>
      </w:r>
      <w:proofErr w:type="spellEnd"/>
      <w:r w:rsidRPr="00DC2C79">
        <w:rPr>
          <w:rFonts w:ascii="Arial" w:eastAsia="Calibri" w:hAnsi="Arial" w:cs="Arial"/>
          <w:b/>
          <w:bCs/>
          <w:color w:val="000000" w:themeColor="text1"/>
          <w:sz w:val="22"/>
          <w:lang w:val="es-ES_tradnl"/>
        </w:rPr>
        <w:t xml:space="preserve"> de las ofertas en los procedimientos de selección. </w:t>
      </w:r>
    </w:p>
    <w:p w14:paraId="72400901" w14:textId="77777777" w:rsidR="00DE74CE" w:rsidRPr="00DC2C79" w:rsidRDefault="00DE74CE" w:rsidP="00DE74CE">
      <w:pPr>
        <w:spacing w:line="276" w:lineRule="auto"/>
        <w:jc w:val="both"/>
        <w:rPr>
          <w:rFonts w:ascii="Arial" w:eastAsia="Calibri" w:hAnsi="Arial" w:cs="Arial"/>
          <w:color w:val="000000" w:themeColor="text1"/>
          <w:sz w:val="22"/>
          <w:lang w:val="es-ES_tradnl"/>
        </w:rPr>
      </w:pPr>
    </w:p>
    <w:p w14:paraId="72400902" w14:textId="77777777" w:rsidR="00DE74CE" w:rsidRPr="00DC2C79" w:rsidRDefault="00DE74CE" w:rsidP="00DE74CE">
      <w:pPr>
        <w:spacing w:line="276" w:lineRule="auto"/>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Al respecto, la postura que se reitera en el presente concepto es la siguiente: por regla general, i) la falta de entrega o ii) los defectos, de los requisitos habilitantes, son subsanables. La excepción se encuentra en los casos, previstos en la ley, que limitan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72400903"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72400904"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72400905"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entrada en vigencia de la Constitución Política de 1991,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72400906"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72400907"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14:paraId="72400908" w14:textId="77777777" w:rsidR="00DE74CE" w:rsidRPr="00DC2C79" w:rsidRDefault="00DE74CE" w:rsidP="00DE74CE">
      <w:pPr>
        <w:spacing w:line="276" w:lineRule="auto"/>
        <w:jc w:val="both"/>
        <w:rPr>
          <w:rFonts w:ascii="Arial" w:hAnsi="Arial" w:cs="Arial"/>
          <w:color w:val="000000" w:themeColor="text1"/>
          <w:sz w:val="22"/>
          <w:lang w:val="es-ES_tradnl"/>
        </w:rPr>
      </w:pPr>
    </w:p>
    <w:p w14:paraId="72400909"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240090A"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w:t>
      </w:r>
    </w:p>
    <w:p w14:paraId="7240090B"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7240090C" w14:textId="77777777" w:rsidR="00DE74CE" w:rsidRPr="00DC2C79" w:rsidRDefault="00DE74CE" w:rsidP="00DE74CE">
      <w:pPr>
        <w:spacing w:line="276" w:lineRule="auto"/>
        <w:jc w:val="both"/>
        <w:rPr>
          <w:rFonts w:ascii="Arial" w:hAnsi="Arial" w:cs="Arial"/>
          <w:b/>
          <w:color w:val="000000" w:themeColor="text1"/>
          <w:sz w:val="22"/>
          <w:lang w:val="es-ES_tradnl"/>
        </w:rPr>
      </w:pPr>
    </w:p>
    <w:p w14:paraId="7240090D"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Bajo el amparo de esta norma, el régimen jurídico de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DC2C79">
        <w:rPr>
          <w:rFonts w:ascii="Arial" w:hAnsi="Arial" w:cs="Arial"/>
          <w:i/>
          <w:color w:val="000000" w:themeColor="text1"/>
          <w:sz w:val="22"/>
          <w:lang w:val="es-ES_tradnl"/>
        </w:rPr>
        <w:t>necesarios para la comparación de propuestas</w:t>
      </w:r>
      <w:r w:rsidRPr="00DC2C7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240090E"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Esta norma debía leerse en conjunto con otras de la Ley 80 de 1993, particularmente con el artículo 30.7</w:t>
      </w:r>
      <w:r w:rsidRPr="00DC2C79">
        <w:rPr>
          <w:rStyle w:val="Refdenotaalpie"/>
          <w:rFonts w:ascii="Arial" w:hAnsi="Arial" w:cs="Arial"/>
          <w:color w:val="000000" w:themeColor="text1"/>
          <w:sz w:val="22"/>
          <w:lang w:val="es-ES_tradnl"/>
        </w:rPr>
        <w:footnoteReference w:id="4"/>
      </w:r>
      <w:r w:rsidRPr="00DC2C7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7240090F"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w:t>
      </w:r>
      <w:proofErr w:type="gramStart"/>
      <w:r w:rsidRPr="00DC2C79">
        <w:rPr>
          <w:rFonts w:ascii="Arial" w:hAnsi="Arial" w:cs="Arial"/>
          <w:color w:val="000000" w:themeColor="text1"/>
          <w:sz w:val="22"/>
          <w:lang w:val="es-ES_tradnl"/>
        </w:rPr>
        <w:t>podía</w:t>
      </w:r>
      <w:proofErr w:type="gramEnd"/>
      <w:r w:rsidRPr="00DC2C79">
        <w:rPr>
          <w:rFonts w:ascii="Arial" w:hAnsi="Arial" w:cs="Arial"/>
          <w:color w:val="000000" w:themeColor="text1"/>
          <w:sz w:val="22"/>
          <w:lang w:val="es-ES_tradnl"/>
        </w:rPr>
        <w:t xml:space="preserve"> llevar a su rechazo, sin antes verificar que lo omitido fuera un aspecto necesario para la comparación. </w:t>
      </w:r>
    </w:p>
    <w:p w14:paraId="72400910"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72400911" w14:textId="77777777" w:rsidR="00DE74CE" w:rsidRPr="00DC2C79" w:rsidRDefault="00DE74CE" w:rsidP="00DE74CE">
      <w:pPr>
        <w:spacing w:line="276" w:lineRule="auto"/>
        <w:jc w:val="both"/>
        <w:rPr>
          <w:rFonts w:ascii="Arial" w:hAnsi="Arial" w:cs="Arial"/>
          <w:color w:val="000000" w:themeColor="text1"/>
          <w:sz w:val="22"/>
          <w:lang w:val="es-ES_tradnl"/>
        </w:rPr>
      </w:pPr>
    </w:p>
    <w:p w14:paraId="72400912" w14:textId="77777777" w:rsidR="00DE74CE" w:rsidRPr="00DC2C79" w:rsidRDefault="00DE74CE" w:rsidP="00DE74CE">
      <w:pPr>
        <w:ind w:left="709" w:right="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Parágrafo 1°. La ausencia de requisitos o la falta de documentos referentes a la futura </w:t>
      </w:r>
      <w:r w:rsidRPr="00DC2C79">
        <w:rPr>
          <w:rFonts w:ascii="Arial" w:hAnsi="Arial" w:cs="Arial"/>
          <w:color w:val="000000" w:themeColor="text1"/>
          <w:sz w:val="21"/>
          <w:szCs w:val="21"/>
          <w:lang w:val="es-ES_tradnl"/>
        </w:rPr>
        <w:t>contratación</w:t>
      </w:r>
      <w:r w:rsidRPr="00DC2C79">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w:t>
      </w:r>
      <w:proofErr w:type="gramStart"/>
      <w:r w:rsidRPr="00DC2C79">
        <w:rPr>
          <w:rFonts w:ascii="Arial" w:hAnsi="Arial" w:cs="Arial"/>
          <w:color w:val="000000" w:themeColor="text1"/>
          <w:sz w:val="22"/>
          <w:lang w:val="es-ES_tradnl"/>
        </w:rPr>
        <w:t>deberán</w:t>
      </w:r>
      <w:proofErr w:type="gramEnd"/>
      <w:r w:rsidRPr="00DC2C79">
        <w:rPr>
          <w:rFonts w:ascii="Arial" w:hAnsi="Arial" w:cs="Arial"/>
          <w:color w:val="000000" w:themeColor="text1"/>
          <w:sz w:val="22"/>
          <w:lang w:val="es-ES_tradnl"/>
        </w:rPr>
        <w:t xml:space="preserve"> ser solicitados hasta el momento previo a su realización. </w:t>
      </w:r>
    </w:p>
    <w:p w14:paraId="72400913" w14:textId="77777777" w:rsidR="00DE74CE" w:rsidRPr="00DC2C79" w:rsidRDefault="00DE74CE" w:rsidP="00DE74CE">
      <w:pPr>
        <w:spacing w:line="276" w:lineRule="auto"/>
        <w:jc w:val="both"/>
        <w:rPr>
          <w:rFonts w:ascii="Arial" w:hAnsi="Arial" w:cs="Arial"/>
          <w:b/>
          <w:color w:val="000000" w:themeColor="text1"/>
          <w:sz w:val="22"/>
          <w:lang w:val="es-ES_tradnl"/>
        </w:rPr>
      </w:pPr>
    </w:p>
    <w:p w14:paraId="72400914"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2400915"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72400916"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72400917"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DC2C79">
        <w:rPr>
          <w:rFonts w:ascii="Arial" w:hAnsi="Arial" w:cs="Arial"/>
          <w:i/>
          <w:color w:val="000000" w:themeColor="text1"/>
          <w:sz w:val="22"/>
          <w:lang w:val="es-ES_tradnl"/>
        </w:rPr>
        <w:t>en cualquier momento, hasta la adjudicación</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72400918" w14:textId="77777777" w:rsidR="00DE74CE" w:rsidRPr="00DC2C79" w:rsidRDefault="00DE74CE" w:rsidP="00DE74CE">
      <w:pPr>
        <w:spacing w:line="276" w:lineRule="auto"/>
        <w:jc w:val="both"/>
        <w:rPr>
          <w:rFonts w:ascii="Arial" w:hAnsi="Arial" w:cs="Arial"/>
          <w:color w:val="000000" w:themeColor="text1"/>
          <w:sz w:val="22"/>
          <w:lang w:val="es-ES_tradnl"/>
        </w:rPr>
      </w:pPr>
    </w:p>
    <w:p w14:paraId="72400919"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6"/>
      </w:r>
      <w:r w:rsidRPr="00DC2C79">
        <w:rPr>
          <w:rFonts w:ascii="Arial" w:hAnsi="Arial" w:cs="Arial"/>
          <w:color w:val="000000" w:themeColor="text1"/>
          <w:sz w:val="21"/>
          <w:szCs w:val="21"/>
          <w:lang w:val="es-ES_tradnl"/>
        </w:rPr>
        <w:t>.</w:t>
      </w:r>
    </w:p>
    <w:p w14:paraId="7240091A" w14:textId="77777777" w:rsidR="00DE74CE" w:rsidRPr="00DC2C79" w:rsidRDefault="00DE74CE" w:rsidP="00DE74CE">
      <w:pPr>
        <w:spacing w:line="276" w:lineRule="auto"/>
        <w:jc w:val="both"/>
        <w:rPr>
          <w:rFonts w:ascii="Arial" w:hAnsi="Arial" w:cs="Arial"/>
          <w:b/>
          <w:color w:val="000000" w:themeColor="text1"/>
          <w:sz w:val="22"/>
          <w:lang w:val="es-ES_tradnl"/>
        </w:rPr>
      </w:pPr>
    </w:p>
    <w:p w14:paraId="7240091B" w14:textId="77777777" w:rsidR="00DE74CE" w:rsidRPr="00DC2C79" w:rsidRDefault="00DE74CE" w:rsidP="00DE74CE">
      <w:pPr>
        <w:pStyle w:val="Textoindependiente"/>
        <w:tabs>
          <w:tab w:val="left" w:pos="284"/>
        </w:tabs>
        <w:ind w:firstLine="709"/>
        <w:jc w:val="both"/>
        <w:rPr>
          <w:rFonts w:eastAsiaTheme="minorHAnsi"/>
          <w:color w:val="000000" w:themeColor="text1"/>
          <w:lang w:val="es-ES_tradnl" w:eastAsia="en-US"/>
        </w:rPr>
      </w:pPr>
      <w:r w:rsidRPr="00DC2C79">
        <w:rPr>
          <w:rFonts w:eastAsiaTheme="minorHAnsi"/>
          <w:color w:val="000000" w:themeColor="text1"/>
          <w:lang w:val="es-ES_tradnl" w:eastAsia="en-US"/>
        </w:rPr>
        <w:t xml:space="preserve">Esa interpretación fue compartida por la </w:t>
      </w:r>
      <w:r w:rsidRPr="00DC2C79">
        <w:rPr>
          <w:color w:val="000000" w:themeColor="text1"/>
          <w:lang w:val="es-ES_tradnl"/>
        </w:rPr>
        <w:t>Agencia Nacional de Contratación Pública – Colombia Compra Eficiente</w:t>
      </w:r>
      <w:r w:rsidRPr="00DC2C79">
        <w:rPr>
          <w:rFonts w:eastAsiaTheme="minorHAnsi"/>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7240091C" w14:textId="77777777" w:rsidR="00DE74CE" w:rsidRPr="00DC2C79" w:rsidRDefault="00DE74CE" w:rsidP="00DE74CE">
      <w:pPr>
        <w:pStyle w:val="Textoindependiente"/>
        <w:tabs>
          <w:tab w:val="left" w:pos="284"/>
        </w:tabs>
        <w:spacing w:before="120"/>
        <w:ind w:firstLine="709"/>
        <w:jc w:val="both"/>
        <w:rPr>
          <w:rFonts w:eastAsiaTheme="minorHAnsi"/>
          <w:color w:val="000000" w:themeColor="text1"/>
          <w:lang w:val="es-ES_tradnl" w:eastAsia="en-US"/>
        </w:rPr>
      </w:pPr>
      <w:r w:rsidRPr="00DC2C79">
        <w:rPr>
          <w:color w:val="000000" w:themeColor="text1"/>
          <w:lang w:val="es-ES_tradnl"/>
        </w:rPr>
        <w:t xml:space="preserve">En un </w:t>
      </w:r>
      <w:r w:rsidRPr="00DC2C79">
        <w:rPr>
          <w:i/>
          <w:color w:val="000000" w:themeColor="text1"/>
          <w:lang w:val="es-ES_tradnl"/>
        </w:rPr>
        <w:t>cuarto momento</w:t>
      </w:r>
      <w:r w:rsidRPr="00DC2C79">
        <w:rPr>
          <w:color w:val="000000" w:themeColor="text1"/>
          <w:lang w:val="es-ES_tradnl"/>
        </w:rPr>
        <w:t xml:space="preserve">, el legislador expidió la Ley 1882 de 2018, con la finalidad de introducir cambios y ajustes para fortalecer la contratación pública. El artículo 5 modificó </w:t>
      </w:r>
      <w:r w:rsidRPr="00DC2C79">
        <w:rPr>
          <w:color w:val="000000" w:themeColor="text1"/>
          <w:lang w:val="es-ES_tradnl"/>
        </w:rPr>
        <w:lastRenderedPageBreak/>
        <w:t xml:space="preserve">el parágrafo 1º del artículo 5 de la Ley 1150 de 2007: </w:t>
      </w:r>
    </w:p>
    <w:p w14:paraId="7240091D" w14:textId="77777777" w:rsidR="00DE74CE" w:rsidRPr="00DC2C79" w:rsidRDefault="00DE74CE" w:rsidP="00DE74CE">
      <w:pPr>
        <w:spacing w:line="276" w:lineRule="auto"/>
        <w:jc w:val="both"/>
        <w:rPr>
          <w:rFonts w:ascii="Arial" w:hAnsi="Arial" w:cs="Arial"/>
          <w:color w:val="000000" w:themeColor="text1"/>
          <w:sz w:val="22"/>
          <w:lang w:val="es-ES_tradnl"/>
        </w:rPr>
      </w:pPr>
    </w:p>
    <w:p w14:paraId="7240091E"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14:paraId="7240091F"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 </w:t>
      </w:r>
    </w:p>
    <w:p w14:paraId="72400920" w14:textId="77777777" w:rsidR="00DE74CE" w:rsidRPr="00DC2C79" w:rsidRDefault="00DE74CE" w:rsidP="00DE74CE">
      <w:pPr>
        <w:ind w:left="709" w:right="709"/>
        <w:jc w:val="both"/>
        <w:rPr>
          <w:rFonts w:ascii="Arial" w:hAnsi="Arial" w:cs="Arial"/>
          <w:color w:val="000000" w:themeColor="text1"/>
          <w:sz w:val="21"/>
          <w:szCs w:val="21"/>
          <w:lang w:val="es-ES_tradnl"/>
        </w:rPr>
      </w:pPr>
    </w:p>
    <w:p w14:paraId="72400921"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2400922" w14:textId="77777777" w:rsidR="00DE74CE" w:rsidRPr="00DC2C79" w:rsidRDefault="00DE74CE" w:rsidP="00DE74CE">
      <w:pPr>
        <w:spacing w:line="276" w:lineRule="auto"/>
        <w:jc w:val="both"/>
        <w:rPr>
          <w:rFonts w:ascii="Arial" w:hAnsi="Arial" w:cs="Arial"/>
          <w:b/>
          <w:color w:val="000000" w:themeColor="text1"/>
          <w:sz w:val="22"/>
          <w:lang w:val="es-ES_tradnl"/>
        </w:rPr>
      </w:pPr>
    </w:p>
    <w:p w14:paraId="72400923"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72400924"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C2C79">
        <w:rPr>
          <w:rFonts w:ascii="Arial" w:eastAsia="Calibri" w:hAnsi="Arial" w:cs="Arial"/>
          <w:color w:val="000000" w:themeColor="text1"/>
          <w:sz w:val="22"/>
          <w:lang w:val="es-ES_tradnl"/>
        </w:rPr>
        <w:t>de selección a través del sistema de subasta</w:t>
      </w:r>
      <w:r w:rsidRPr="00DC2C79">
        <w:rPr>
          <w:rStyle w:val="Refdenotaalpie"/>
          <w:rFonts w:ascii="Arial" w:eastAsia="Calibri" w:hAnsi="Arial" w:cs="Arial"/>
          <w:color w:val="000000" w:themeColor="text1"/>
          <w:sz w:val="22"/>
          <w:lang w:val="es-ES_tradnl"/>
        </w:rPr>
        <w:footnoteReference w:id="7"/>
      </w:r>
      <w:r w:rsidRPr="00DC2C79">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72400925"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2400926"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En efecto, la redacción de la norma permite que la Administración solicite a los oferentes subsanar y que estos lo hagan hasta antes del término del traslado del informe de evaluación: “</w:t>
      </w:r>
      <w:r w:rsidRPr="00DC2C7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DC2C79">
        <w:rPr>
          <w:rFonts w:ascii="Arial" w:hAnsi="Arial" w:cs="Arial"/>
          <w:color w:val="000000" w:themeColor="text1"/>
          <w:sz w:val="22"/>
          <w:lang w:val="es-ES_tradnl"/>
        </w:rPr>
        <w:t xml:space="preserve">”. </w:t>
      </w:r>
    </w:p>
    <w:p w14:paraId="72400927"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DC2C79">
        <w:rPr>
          <w:rFonts w:ascii="Arial" w:hAnsi="Arial" w:cs="Arial"/>
          <w:i/>
          <w:iCs/>
          <w:color w:val="000000" w:themeColor="text1"/>
          <w:sz w:val="22"/>
          <w:lang w:val="es-ES_tradnl"/>
        </w:rPr>
        <w:t>segunda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72400928"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72400929"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7240092A"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7240092B"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w:t>
      </w:r>
      <w:r w:rsidRPr="00DC2C79">
        <w:rPr>
          <w:rFonts w:ascii="Arial" w:hAnsi="Arial" w:cs="Arial"/>
          <w:color w:val="000000" w:themeColor="text1"/>
          <w:sz w:val="22"/>
          <w:lang w:val="es-ES_tradnl"/>
        </w:rPr>
        <w:lastRenderedPageBreak/>
        <w:t xml:space="preserve">que subsane. Esta interpretación es más consistente con los principios de economía, transparencia y selección objetiva. </w:t>
      </w:r>
    </w:p>
    <w:p w14:paraId="7240092C" w14:textId="77777777" w:rsidR="00DE74CE" w:rsidRPr="00DC2C79" w:rsidRDefault="00DE74CE" w:rsidP="00DE74CE">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DC2C79">
        <w:rPr>
          <w:rFonts w:ascii="Arial" w:eastAsia="Calibri" w:hAnsi="Arial" w:cs="Arial"/>
          <w:i/>
          <w:iCs/>
          <w:color w:val="000000" w:themeColor="text1"/>
          <w:sz w:val="22"/>
          <w:lang w:val="es-ES_tradnl"/>
        </w:rPr>
        <w:t>«</w:t>
      </w:r>
      <w:r w:rsidRPr="00DC2C79">
        <w:rPr>
          <w:rFonts w:ascii="Arial" w:hAnsi="Arial" w:cs="Arial"/>
          <w:i/>
          <w:iCs/>
          <w:color w:val="000000" w:themeColor="text1"/>
          <w:sz w:val="22"/>
          <w:lang w:val="es-ES_tradnl"/>
        </w:rPr>
        <w:t>los proponentes no podrán acreditar circunstancias ocurridas con posterioridad al cierre del proceso»</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Lo anterior ofrece dos aspectos que merecen clarificación: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14:paraId="7240092D" w14:textId="77777777" w:rsidR="00DE74CE" w:rsidRPr="00DC2C79" w:rsidRDefault="00DE74CE" w:rsidP="00DE74CE">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8"/>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7240092E" w14:textId="77777777" w:rsidR="00DE74CE" w:rsidRPr="00DC2C79" w:rsidRDefault="00DE74CE" w:rsidP="00DE74CE">
      <w:pPr>
        <w:ind w:left="709" w:right="709"/>
        <w:jc w:val="both"/>
        <w:rPr>
          <w:rFonts w:ascii="Arial" w:hAnsi="Arial" w:cs="Arial"/>
          <w:color w:val="000000" w:themeColor="text1"/>
          <w:sz w:val="21"/>
          <w:szCs w:val="21"/>
          <w:lang w:val="es-ES_tradnl"/>
        </w:rPr>
      </w:pPr>
    </w:p>
    <w:p w14:paraId="7240092F"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DC2C79">
        <w:rPr>
          <w:rFonts w:ascii="Arial" w:hAnsi="Arial" w:cs="Arial"/>
          <w:color w:val="000000" w:themeColor="text1"/>
          <w:sz w:val="21"/>
          <w:szCs w:val="21"/>
          <w:lang w:val="es-ES_tradnl"/>
        </w:rPr>
        <w:t>subsanabilidad</w:t>
      </w:r>
      <w:proofErr w:type="spellEnd"/>
      <w:r w:rsidRPr="00DC2C7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72400930"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w:t>
      </w:r>
    </w:p>
    <w:p w14:paraId="72400931" w14:textId="77777777" w:rsidR="00DE74CE" w:rsidRPr="00DC2C79" w:rsidRDefault="00DE74CE" w:rsidP="00DE74CE">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w:t>
      </w:r>
      <w:r w:rsidRPr="00DC2C79">
        <w:rPr>
          <w:rFonts w:ascii="Arial" w:hAnsi="Arial" w:cs="Arial"/>
          <w:color w:val="000000" w:themeColor="text1"/>
          <w:sz w:val="21"/>
          <w:szCs w:val="21"/>
          <w:lang w:val="es-ES_tradnl"/>
        </w:rPr>
        <w:lastRenderedPageBreak/>
        <w:t>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9"/>
      </w:r>
      <w:r w:rsidRPr="00DC2C79">
        <w:rPr>
          <w:rFonts w:ascii="Arial" w:hAnsi="Arial" w:cs="Arial"/>
          <w:color w:val="000000" w:themeColor="text1"/>
          <w:sz w:val="21"/>
          <w:szCs w:val="21"/>
          <w:lang w:val="es-ES_tradnl"/>
        </w:rPr>
        <w:t>.</w:t>
      </w:r>
    </w:p>
    <w:p w14:paraId="72400932" w14:textId="77777777" w:rsidR="00DE74CE" w:rsidRPr="00DC2C79" w:rsidRDefault="00DE74CE" w:rsidP="00DE74CE">
      <w:pPr>
        <w:spacing w:line="276" w:lineRule="auto"/>
        <w:jc w:val="both"/>
        <w:rPr>
          <w:rFonts w:ascii="Arial" w:hAnsi="Arial" w:cs="Arial"/>
          <w:color w:val="000000" w:themeColor="text1"/>
          <w:sz w:val="22"/>
          <w:lang w:val="es-ES_tradnl"/>
        </w:rPr>
      </w:pPr>
    </w:p>
    <w:p w14:paraId="72400933" w14:textId="77777777" w:rsidR="00DE74CE" w:rsidRPr="00DC2C79" w:rsidRDefault="00DE74CE" w:rsidP="00DE74CE">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2400934"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72400935"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ejemplo: </w:t>
      </w:r>
    </w:p>
    <w:p w14:paraId="72400936"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14:paraId="72400937"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C2C79">
        <w:rPr>
          <w:rStyle w:val="Refdenotaalpie"/>
          <w:rFonts w:ascii="Arial" w:eastAsia="Calibri" w:hAnsi="Arial" w:cs="Arial"/>
          <w:color w:val="000000" w:themeColor="text1"/>
          <w:sz w:val="22"/>
          <w:lang w:val="es-ES_tradnl"/>
        </w:rPr>
        <w:footnoteReference w:id="10"/>
      </w:r>
      <w:r w:rsidRPr="00DC2C79">
        <w:rPr>
          <w:rFonts w:ascii="Arial" w:eastAsia="Calibri" w:hAnsi="Arial" w:cs="Arial"/>
          <w:color w:val="000000" w:themeColor="text1"/>
          <w:sz w:val="22"/>
          <w:lang w:val="es-ES_tradnl"/>
        </w:rPr>
        <w:t xml:space="preserve">; </w:t>
      </w:r>
    </w:p>
    <w:p w14:paraId="72400938"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iii) si un oferente no anexó el certificado de existencia y representación legal, el documento aportado con posterioridad debe dar cuenta de que la sociedad existe desde antes del cierre del proceso</w:t>
      </w:r>
      <w:r w:rsidRPr="00DC2C79">
        <w:rPr>
          <w:rStyle w:val="Refdenotaalpie"/>
          <w:rFonts w:ascii="Arial" w:eastAsia="Calibri" w:hAnsi="Arial" w:cs="Arial"/>
          <w:color w:val="000000" w:themeColor="text1"/>
          <w:sz w:val="22"/>
          <w:lang w:val="es-ES_tradnl"/>
        </w:rPr>
        <w:footnoteReference w:id="11"/>
      </w:r>
      <w:r w:rsidRPr="00DC2C79">
        <w:rPr>
          <w:rFonts w:ascii="Arial" w:eastAsia="Calibri" w:hAnsi="Arial" w:cs="Arial"/>
          <w:color w:val="000000" w:themeColor="text1"/>
          <w:sz w:val="22"/>
          <w:lang w:val="es-ES_tradnl"/>
        </w:rPr>
        <w:t xml:space="preserve">; </w:t>
      </w:r>
    </w:p>
    <w:p w14:paraId="72400939"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7240093A"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7240093B"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proofErr w:type="gramStart"/>
      <w:r w:rsidRPr="00DC2C79">
        <w:rPr>
          <w:rFonts w:ascii="Arial" w:eastAsia="Calibri" w:hAnsi="Arial" w:cs="Arial"/>
          <w:color w:val="000000" w:themeColor="text1"/>
          <w:sz w:val="22"/>
          <w:lang w:val="es-ES_tradnl"/>
        </w:rPr>
        <w:t>vi</w:t>
      </w:r>
      <w:proofErr w:type="gramEnd"/>
      <w:r w:rsidRPr="00DC2C79">
        <w:rPr>
          <w:rFonts w:ascii="Arial" w:eastAsia="Calibri" w:hAnsi="Arial" w:cs="Arial"/>
          <w:color w:val="000000" w:themeColor="text1"/>
          <w:sz w:val="22"/>
          <w:lang w:val="es-ES_tradnl"/>
        </w:rPr>
        <w:t xml:space="preserve">) si el oferente olvidó firmar la propuesta o presentar una copia de ella, puede subsanar sin que se entienda que acreditó una circunstancia ocurrida con posterioridad al cierre del proceso. </w:t>
      </w:r>
    </w:p>
    <w:p w14:paraId="7240093C"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7240093D"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C2C79">
        <w:rPr>
          <w:rFonts w:ascii="Arial" w:eastAsia="Calibri" w:hAnsi="Arial" w:cs="Arial"/>
          <w:color w:val="000000" w:themeColor="text1"/>
          <w:sz w:val="22"/>
          <w:vertAlign w:val="superscript"/>
          <w:lang w:val="es-ES_tradnl"/>
        </w:rPr>
        <w:footnoteReference w:id="12"/>
      </w:r>
      <w:r w:rsidRPr="00DC2C79">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7240093E"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rPr>
      </w:pPr>
      <w:r w:rsidRPr="00DC2C7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DC2C79">
        <w:rPr>
          <w:rFonts w:ascii="Arial" w:eastAsia="Calibri" w:hAnsi="Arial" w:cs="Arial"/>
          <w:color w:val="000000" w:themeColor="text1"/>
          <w:sz w:val="22"/>
        </w:rPr>
        <w:t xml:space="preserve">4201912000008198, en el que indicó que las certificaciones de experiencia que no otorgaran puntaje podían aportarse corregidos o </w:t>
      </w:r>
      <w:r w:rsidRPr="00DC2C79">
        <w:rPr>
          <w:rFonts w:ascii="Arial" w:eastAsia="Calibri" w:hAnsi="Arial" w:cs="Arial"/>
          <w:color w:val="000000" w:themeColor="text1"/>
          <w:sz w:val="22"/>
        </w:rPr>
        <w:lastRenderedPageBreak/>
        <w:t xml:space="preserve">incluso, en reemplazo de las que no cumplieran el requisito habilitante, siempre que en los documentos aportados en la etapa de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no se acreditara experiencia adquirida con posterioridad al cierre del procedimiento de selección. Por tanto, señaló que </w:t>
      </w:r>
      <w:proofErr w:type="gramStart"/>
      <w:r w:rsidRPr="00DC2C79">
        <w:rPr>
          <w:rFonts w:ascii="Arial" w:eastAsia="Calibri" w:hAnsi="Arial" w:cs="Arial"/>
          <w:color w:val="000000" w:themeColor="text1"/>
          <w:sz w:val="22"/>
        </w:rPr>
        <w:t>«[</w:t>
      </w:r>
      <w:proofErr w:type="gramEnd"/>
      <w:r w:rsidRPr="00DC2C79">
        <w:rPr>
          <w:rFonts w:ascii="Arial" w:eastAsia="Calibri" w:hAnsi="Arial" w:cs="Arial"/>
          <w:color w:val="000000" w:themeColor="text1"/>
          <w:sz w:val="22"/>
        </w:rPr>
        <w:t xml:space="preserve">…]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7240093F"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rPr>
        <w:t xml:space="preserve">Una reiteración de la postura de esta Subdirección, según la cual la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72400940" w14:textId="77777777" w:rsidR="00DE74CE" w:rsidRPr="00DC2C79" w:rsidRDefault="00DE74CE" w:rsidP="00DE74CE">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72400941" w14:textId="77777777" w:rsidR="00DE74CE" w:rsidRPr="00DC2C79" w:rsidRDefault="00DE74CE" w:rsidP="00DE74CE">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Finalmente, el parágrafo 3 del artículo 5 de la Ley 1882 de 2018 determinó, de manera expresa, que «la no entrega de la garantía de seriedad junto con la propuesta no será subsanable y será causal de rechazo de la misma», dejando claro que se trata de un </w:t>
      </w:r>
      <w:r w:rsidRPr="00DC2C79">
        <w:rPr>
          <w:rFonts w:ascii="Arial" w:eastAsia="Calibri" w:hAnsi="Arial" w:cs="Arial"/>
          <w:color w:val="000000" w:themeColor="text1"/>
          <w:sz w:val="22"/>
          <w:lang w:val="es-ES_tradnl"/>
        </w:rPr>
        <w:lastRenderedPageBreak/>
        <w:t>documento de obligatoria presentación junto con la propuesta y que materializa los principios de seriedad e irrevocabilidad de la oferta.</w:t>
      </w:r>
    </w:p>
    <w:p w14:paraId="72400942" w14:textId="77777777" w:rsidR="009C1535" w:rsidRPr="00783992" w:rsidRDefault="009C1535" w:rsidP="009C1535">
      <w:pPr>
        <w:spacing w:line="276" w:lineRule="auto"/>
        <w:jc w:val="both"/>
        <w:rPr>
          <w:rFonts w:ascii="Arial" w:eastAsia="Calibri" w:hAnsi="Arial" w:cs="Arial"/>
          <w:b/>
          <w:bCs/>
          <w:color w:val="000000" w:themeColor="text1"/>
          <w:sz w:val="22"/>
        </w:rPr>
      </w:pPr>
    </w:p>
    <w:p w14:paraId="72400943" w14:textId="77777777" w:rsidR="009C1535" w:rsidRPr="00783992" w:rsidRDefault="009C1535" w:rsidP="009C1535">
      <w:pPr>
        <w:tabs>
          <w:tab w:val="left" w:pos="426"/>
        </w:tabs>
        <w:spacing w:line="276" w:lineRule="auto"/>
        <w:jc w:val="both"/>
        <w:rPr>
          <w:rFonts w:ascii="Arial" w:eastAsia="Calibri" w:hAnsi="Arial" w:cs="Arial"/>
          <w:b/>
          <w:color w:val="000000" w:themeColor="text1"/>
          <w:sz w:val="22"/>
        </w:rPr>
      </w:pPr>
      <w:r w:rsidRPr="00783992">
        <w:rPr>
          <w:rFonts w:ascii="Arial" w:eastAsia="Calibri" w:hAnsi="Arial" w:cs="Arial"/>
          <w:b/>
          <w:bCs/>
          <w:color w:val="000000" w:themeColor="text1"/>
          <w:sz w:val="22"/>
        </w:rPr>
        <w:t xml:space="preserve">2.3. </w:t>
      </w:r>
      <w:proofErr w:type="spellStart"/>
      <w:r w:rsidRPr="00783992">
        <w:rPr>
          <w:rFonts w:ascii="Arial" w:eastAsia="Calibri" w:hAnsi="Arial" w:cs="Arial"/>
          <w:b/>
          <w:color w:val="000000" w:themeColor="text1"/>
          <w:sz w:val="22"/>
        </w:rPr>
        <w:t>Subsanabilidad</w:t>
      </w:r>
      <w:proofErr w:type="spellEnd"/>
      <w:r w:rsidRPr="00783992">
        <w:rPr>
          <w:rFonts w:ascii="Arial" w:eastAsia="Calibri" w:hAnsi="Arial" w:cs="Arial"/>
          <w:b/>
          <w:color w:val="000000" w:themeColor="text1"/>
          <w:sz w:val="22"/>
        </w:rPr>
        <w:t xml:space="preserve"> de la capacidad residual y procedencia del rechazo de la oferta</w:t>
      </w:r>
    </w:p>
    <w:p w14:paraId="72400944" w14:textId="77777777" w:rsidR="009C1535" w:rsidRPr="00783992" w:rsidRDefault="009C1535" w:rsidP="009C1535">
      <w:pPr>
        <w:spacing w:line="276" w:lineRule="auto"/>
        <w:jc w:val="both"/>
        <w:rPr>
          <w:rFonts w:ascii="Arial" w:hAnsi="Arial" w:cs="Arial"/>
          <w:color w:val="000000" w:themeColor="text1"/>
          <w:sz w:val="22"/>
        </w:rPr>
      </w:pPr>
    </w:p>
    <w:p w14:paraId="72400945" w14:textId="77777777" w:rsidR="009C1535" w:rsidRPr="00783992" w:rsidRDefault="009C1535" w:rsidP="009C1535">
      <w:pPr>
        <w:spacing w:after="120" w:line="276" w:lineRule="auto"/>
        <w:jc w:val="both"/>
        <w:rPr>
          <w:rFonts w:ascii="Arial" w:hAnsi="Arial" w:cs="Arial"/>
          <w:color w:val="000000" w:themeColor="text1"/>
          <w:sz w:val="22"/>
        </w:rPr>
      </w:pPr>
      <w:r w:rsidRPr="00783992">
        <w:rPr>
          <w:rFonts w:ascii="Arial" w:eastAsia="Calibri" w:hAnsi="Arial" w:cs="Arial"/>
          <w:color w:val="000000" w:themeColor="text1"/>
          <w:sz w:val="22"/>
        </w:rPr>
        <w:t xml:space="preserve">La Agencia </w:t>
      </w:r>
      <w:r w:rsidRPr="00783992">
        <w:rPr>
          <w:rFonts w:ascii="Arial" w:eastAsia="Calibri" w:hAnsi="Arial" w:cs="Arial"/>
          <w:bCs/>
          <w:color w:val="000000" w:themeColor="text1"/>
          <w:sz w:val="22"/>
        </w:rPr>
        <w:t xml:space="preserve">Nacional de Contratación Pública – Colombia Compra Eficiente estudió el tema en el concepto No. 4201913000004724 del 21 de agosto de 2019, reiterado y desarrollado en el concepto No. </w:t>
      </w:r>
      <w:r>
        <w:rPr>
          <w:rFonts w:ascii="Arial" w:eastAsia="Calibri" w:hAnsi="Arial" w:cs="Arial"/>
          <w:bCs/>
          <w:color w:val="000000" w:themeColor="text1"/>
          <w:sz w:val="22"/>
        </w:rPr>
        <w:t>C-033</w:t>
      </w:r>
      <w:r w:rsidRPr="00783992">
        <w:rPr>
          <w:rFonts w:ascii="Arial" w:eastAsia="Calibri" w:hAnsi="Arial" w:cs="Arial"/>
          <w:bCs/>
          <w:color w:val="000000" w:themeColor="text1"/>
          <w:sz w:val="22"/>
        </w:rPr>
        <w:t xml:space="preserve"> del 13 de marzo de 2020</w:t>
      </w:r>
      <w:r>
        <w:rPr>
          <w:rFonts w:ascii="Arial" w:eastAsia="Calibri" w:hAnsi="Arial" w:cs="Arial"/>
          <w:bCs/>
          <w:color w:val="000000" w:themeColor="text1"/>
          <w:sz w:val="22"/>
        </w:rPr>
        <w:t xml:space="preserve"> y C-133 del 30 de marzo de 2020</w:t>
      </w:r>
      <w:r w:rsidRPr="00783992">
        <w:rPr>
          <w:rFonts w:ascii="Arial" w:eastAsia="Calibri" w:hAnsi="Arial" w:cs="Arial"/>
          <w:bCs/>
          <w:color w:val="000000" w:themeColor="text1"/>
          <w:sz w:val="22"/>
        </w:rPr>
        <w:t xml:space="preserve">. </w:t>
      </w:r>
      <w:r w:rsidRPr="00783992">
        <w:rPr>
          <w:rFonts w:ascii="Arial" w:hAnsi="Arial" w:cs="Arial"/>
          <w:color w:val="000000" w:themeColor="text1"/>
          <w:sz w:val="22"/>
        </w:rPr>
        <w:t>La tesis desarrollada se expone a continuación</w:t>
      </w:r>
      <w:r w:rsidRPr="00783992">
        <w:rPr>
          <w:rFonts w:ascii="Arial" w:eastAsia="Calibri" w:hAnsi="Arial" w:cs="Arial"/>
          <w:bCs/>
          <w:color w:val="000000" w:themeColor="text1"/>
          <w:sz w:val="22"/>
        </w:rPr>
        <w:t>.</w:t>
      </w:r>
    </w:p>
    <w:p w14:paraId="72400946" w14:textId="618F31BA" w:rsidR="009C1535" w:rsidRPr="00783992" w:rsidRDefault="009C1535" w:rsidP="009C1535">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 xml:space="preserve">El Documento Base o Pliego </w:t>
      </w:r>
      <w:r w:rsidRPr="00005C9A">
        <w:rPr>
          <w:rFonts w:ascii="Arial" w:hAnsi="Arial" w:cs="Arial"/>
          <w:color w:val="000000" w:themeColor="text1"/>
          <w:sz w:val="22"/>
          <w:szCs w:val="20"/>
        </w:rPr>
        <w:t>Tipo, en el numeral 3.1</w:t>
      </w:r>
      <w:r w:rsidR="00005C9A" w:rsidRPr="00005C9A">
        <w:rPr>
          <w:rFonts w:ascii="Arial" w:hAnsi="Arial" w:cs="Arial"/>
          <w:color w:val="000000" w:themeColor="text1"/>
          <w:sz w:val="22"/>
          <w:szCs w:val="20"/>
        </w:rPr>
        <w:t>1</w:t>
      </w:r>
      <w:r w:rsidRPr="00005C9A">
        <w:rPr>
          <w:rFonts w:ascii="Arial" w:hAnsi="Arial" w:cs="Arial"/>
          <w:color w:val="000000" w:themeColor="text1"/>
          <w:sz w:val="22"/>
          <w:szCs w:val="20"/>
        </w:rPr>
        <w:t xml:space="preserve"> establece como requisito habilitante la capacidad residual, definida por el Decreto 1082 de</w:t>
      </w:r>
      <w:r w:rsidRPr="00783992">
        <w:rPr>
          <w:rFonts w:ascii="Arial" w:hAnsi="Arial" w:cs="Arial"/>
          <w:color w:val="000000" w:themeColor="text1"/>
          <w:sz w:val="22"/>
          <w:szCs w:val="20"/>
        </w:rPr>
        <w:t xml:space="preserve"> 2015, en el artículo 2.2.1.1.1.3.1., como la: «Aptitud de un oferente para cumplir oportuna y cabalmente con el objeto de un contrato de obra, sin que sus otros compromisos contractuales afecten su habilidad de cumplir con el contrato que está en proceso de selección</w:t>
      </w:r>
      <w:r w:rsidRPr="00783992">
        <w:rPr>
          <w:rFonts w:ascii="Arial" w:hAnsi="Arial" w:cs="Arial"/>
          <w:iCs/>
          <w:color w:val="000000" w:themeColor="text1"/>
          <w:sz w:val="22"/>
          <w:szCs w:val="20"/>
        </w:rPr>
        <w:t>»</w:t>
      </w:r>
      <w:r w:rsidRPr="00783992">
        <w:rPr>
          <w:rFonts w:ascii="Arial" w:hAnsi="Arial" w:cs="Arial"/>
          <w:color w:val="000000" w:themeColor="text1"/>
          <w:sz w:val="22"/>
          <w:szCs w:val="20"/>
        </w:rPr>
        <w:t>. Ahora, el artículo 72 de la Ley 1682 de 2013 indica que para calcular la capacidad residual de contratación pública se deberán tener en cuenta los factores de experiencia, capacidad financiera, capacidad técnica y capacidad de organización, y, en consecuencia, faculta al Gobierno para reglamentar la materia</w:t>
      </w:r>
      <w:r w:rsidRPr="00783992">
        <w:rPr>
          <w:rStyle w:val="Refdenotaalpie"/>
          <w:rFonts w:ascii="Arial" w:hAnsi="Arial" w:cs="Arial"/>
          <w:color w:val="000000" w:themeColor="text1"/>
          <w:sz w:val="22"/>
          <w:szCs w:val="20"/>
        </w:rPr>
        <w:footnoteReference w:id="13"/>
      </w:r>
      <w:r w:rsidRPr="00783992">
        <w:rPr>
          <w:rFonts w:ascii="Arial" w:hAnsi="Arial" w:cs="Arial"/>
          <w:color w:val="000000" w:themeColor="text1"/>
          <w:sz w:val="22"/>
          <w:szCs w:val="20"/>
        </w:rPr>
        <w:t xml:space="preserve">. </w:t>
      </w:r>
    </w:p>
    <w:p w14:paraId="72400947" w14:textId="77777777" w:rsidR="009C1535" w:rsidRPr="00783992" w:rsidRDefault="009C1535" w:rsidP="009C1535">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Por su parte, el artículo 2.2.1.1.1.1.6.4. del Decreto 1082 de 2015</w:t>
      </w:r>
      <w:r w:rsidRPr="00783992">
        <w:rPr>
          <w:rStyle w:val="Refdenotaalpie"/>
          <w:rFonts w:ascii="Arial" w:hAnsi="Arial" w:cs="Arial"/>
          <w:color w:val="000000" w:themeColor="text1"/>
          <w:sz w:val="22"/>
          <w:szCs w:val="20"/>
        </w:rPr>
        <w:footnoteReference w:id="14"/>
      </w:r>
      <w:r w:rsidRPr="00783992">
        <w:rPr>
          <w:rFonts w:ascii="Arial" w:hAnsi="Arial" w:cs="Arial"/>
          <w:color w:val="000000" w:themeColor="text1"/>
          <w:sz w:val="22"/>
          <w:szCs w:val="20"/>
        </w:rPr>
        <w:t xml:space="preserve">, con fundamento en la facultad otorgada al Gobierno, establece que el interesado en celebrar contratos de </w:t>
      </w:r>
      <w:r w:rsidRPr="00783992">
        <w:rPr>
          <w:rFonts w:ascii="Arial" w:hAnsi="Arial" w:cs="Arial"/>
          <w:color w:val="000000" w:themeColor="text1"/>
          <w:sz w:val="22"/>
          <w:szCs w:val="20"/>
        </w:rPr>
        <w:lastRenderedPageBreak/>
        <w:t xml:space="preserve">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 </w:t>
      </w:r>
    </w:p>
    <w:p w14:paraId="72400948" w14:textId="77777777" w:rsidR="009C1535" w:rsidRPr="00783992" w:rsidRDefault="009C1535" w:rsidP="009C1535">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sidRPr="00783992">
        <w:rPr>
          <w:rStyle w:val="Refdenotaalpie"/>
          <w:rFonts w:ascii="Arial" w:hAnsi="Arial" w:cs="Arial"/>
          <w:color w:val="000000" w:themeColor="text1"/>
          <w:sz w:val="22"/>
          <w:szCs w:val="20"/>
        </w:rPr>
        <w:footnoteReference w:id="15"/>
      </w:r>
      <w:r w:rsidRPr="00783992">
        <w:rPr>
          <w:rFonts w:ascii="Arial" w:hAnsi="Arial" w:cs="Arial"/>
          <w:color w:val="000000" w:themeColor="text1"/>
          <w:sz w:val="22"/>
          <w:szCs w:val="20"/>
        </w:rPr>
        <w:t xml:space="preserve">.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14:paraId="72400949" w14:textId="77777777" w:rsidR="009C1535" w:rsidRPr="00783992" w:rsidRDefault="009C1535" w:rsidP="009C1535">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 xml:space="preserve">Conforme a lo anterior, la Ley 1150 de 2007 establece que los requisitos habilitantes de experiencia, capacidad jurídica, financiera y de organización se acreditarán conforme a </w:t>
      </w:r>
      <w:r w:rsidRPr="00783992">
        <w:rPr>
          <w:rFonts w:ascii="Arial" w:hAnsi="Arial" w:cs="Arial"/>
          <w:color w:val="000000" w:themeColor="text1"/>
          <w:sz w:val="22"/>
          <w:szCs w:val="20"/>
        </w:rPr>
        <w:lastRenderedPageBreak/>
        <w:t xml:space="preserve">lo contenido en el Registro Único de </w:t>
      </w:r>
      <w:proofErr w:type="gramStart"/>
      <w:r w:rsidRPr="00783992">
        <w:rPr>
          <w:rFonts w:ascii="Arial" w:hAnsi="Arial" w:cs="Arial"/>
          <w:color w:val="000000" w:themeColor="text1"/>
          <w:sz w:val="22"/>
          <w:szCs w:val="20"/>
        </w:rPr>
        <w:t>Proponentes</w:t>
      </w:r>
      <w:r>
        <w:rPr>
          <w:rFonts w:ascii="Arial" w:hAnsi="Arial" w:cs="Arial"/>
          <w:color w:val="000000" w:themeColor="text1"/>
          <w:sz w:val="22"/>
          <w:szCs w:val="20"/>
        </w:rPr>
        <w:t xml:space="preserve"> </w:t>
      </w:r>
      <w:r w:rsidRPr="00783992">
        <w:rPr>
          <w:rFonts w:ascii="Arial" w:hAnsi="Arial" w:cs="Arial"/>
          <w:color w:val="000000" w:themeColor="text1"/>
          <w:sz w:val="22"/>
          <w:szCs w:val="20"/>
        </w:rPr>
        <w:t xml:space="preserve"> ̶</w:t>
      </w:r>
      <w:proofErr w:type="gramEnd"/>
      <w:r w:rsidRPr="00783992">
        <w:rPr>
          <w:rFonts w:ascii="Arial" w:hAnsi="Arial" w:cs="Arial"/>
          <w:color w:val="000000" w:themeColor="text1"/>
          <w:sz w:val="22"/>
          <w:szCs w:val="20"/>
        </w:rPr>
        <w:t xml:space="preserve"> RUP ̶ . Con respecto a la acreditación de la capacidad residual, como su acreditación no se realiza conforme al contenido del RUP, las entidades deberán exigir los documentos previstos en el artículo 2.2.1.1.1.6.4. </w:t>
      </w:r>
      <w:proofErr w:type="gramStart"/>
      <w:r w:rsidRPr="00783992">
        <w:rPr>
          <w:rFonts w:ascii="Arial" w:hAnsi="Arial" w:cs="Arial"/>
          <w:color w:val="000000" w:themeColor="text1"/>
          <w:sz w:val="22"/>
          <w:szCs w:val="20"/>
        </w:rPr>
        <w:t>del</w:t>
      </w:r>
      <w:proofErr w:type="gramEnd"/>
      <w:r w:rsidRPr="00783992">
        <w:rPr>
          <w:rFonts w:ascii="Arial" w:hAnsi="Arial" w:cs="Arial"/>
          <w:color w:val="000000" w:themeColor="text1"/>
          <w:sz w:val="22"/>
          <w:szCs w:val="20"/>
        </w:rPr>
        <w:t xml:space="preserve"> Decreto 1082 de 2015, siempre y cuando no sea información que el proponente haya aportado, con anterioridad, para la inscripción en el RUP. </w:t>
      </w:r>
    </w:p>
    <w:p w14:paraId="7240094A" w14:textId="4D738416" w:rsidR="009C1535" w:rsidRPr="00783992" w:rsidRDefault="009C1535" w:rsidP="009C1535">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Explicada la normativa que regula la acredi</w:t>
      </w:r>
      <w:r w:rsidR="00F12AD5">
        <w:rPr>
          <w:rFonts w:ascii="Arial" w:hAnsi="Arial" w:cs="Arial"/>
          <w:color w:val="000000" w:themeColor="text1"/>
          <w:sz w:val="22"/>
          <w:szCs w:val="20"/>
        </w:rPr>
        <w:t xml:space="preserve">tación de la capacidad residual y </w:t>
      </w:r>
      <w:r w:rsidRPr="00783992">
        <w:rPr>
          <w:rFonts w:ascii="Arial" w:hAnsi="Arial" w:cs="Arial"/>
          <w:color w:val="000000" w:themeColor="text1"/>
          <w:sz w:val="22"/>
          <w:szCs w:val="20"/>
        </w:rPr>
        <w:t xml:space="preserve">el régimen de </w:t>
      </w:r>
      <w:proofErr w:type="spellStart"/>
      <w:r w:rsidRPr="00783992">
        <w:rPr>
          <w:rFonts w:ascii="Arial" w:hAnsi="Arial" w:cs="Arial"/>
          <w:color w:val="000000" w:themeColor="text1"/>
          <w:sz w:val="22"/>
          <w:szCs w:val="20"/>
        </w:rPr>
        <w:t>subsanabilidad</w:t>
      </w:r>
      <w:proofErr w:type="spellEnd"/>
      <w:r w:rsidRPr="00783992">
        <w:rPr>
          <w:rFonts w:ascii="Arial" w:hAnsi="Arial" w:cs="Arial"/>
          <w:color w:val="000000" w:themeColor="text1"/>
          <w:sz w:val="22"/>
          <w:szCs w:val="20"/>
        </w:rPr>
        <w:t xml:space="preserve">, de acuerdo con lo previsto por la Ley 1882 de 2018, </w:t>
      </w:r>
      <w:r w:rsidR="00F12AD5">
        <w:rPr>
          <w:rFonts w:ascii="Arial" w:hAnsi="Arial" w:cs="Arial"/>
          <w:color w:val="000000" w:themeColor="text1"/>
          <w:sz w:val="22"/>
          <w:szCs w:val="20"/>
        </w:rPr>
        <w:t>a continuación se determinará s</w:t>
      </w:r>
      <w:r w:rsidR="00D817FF">
        <w:rPr>
          <w:rFonts w:ascii="Arial" w:hAnsi="Arial" w:cs="Arial"/>
          <w:color w:val="000000" w:themeColor="text1"/>
          <w:sz w:val="22"/>
          <w:szCs w:val="20"/>
        </w:rPr>
        <w:t>i</w:t>
      </w:r>
      <w:r w:rsidR="00F12AD5">
        <w:rPr>
          <w:rFonts w:ascii="Arial" w:hAnsi="Arial" w:cs="Arial"/>
          <w:color w:val="000000" w:themeColor="text1"/>
          <w:sz w:val="22"/>
          <w:szCs w:val="20"/>
        </w:rPr>
        <w:t xml:space="preserve"> </w:t>
      </w:r>
      <w:r w:rsidRPr="00783992">
        <w:rPr>
          <w:rFonts w:ascii="Arial" w:hAnsi="Arial" w:cs="Arial"/>
          <w:color w:val="000000" w:themeColor="text1"/>
          <w:sz w:val="22"/>
          <w:szCs w:val="20"/>
        </w:rPr>
        <w:t>es posible que la entidad convocante requiera subsanar información para el cálculo de la capacidad residual.</w:t>
      </w:r>
    </w:p>
    <w:p w14:paraId="7240094B" w14:textId="639F1FD3" w:rsidR="009C1535" w:rsidRPr="00783992" w:rsidRDefault="009C1535" w:rsidP="009C1535">
      <w:pPr>
        <w:tabs>
          <w:tab w:val="left" w:pos="426"/>
        </w:tabs>
        <w:spacing w:before="120" w:after="120" w:line="276" w:lineRule="auto"/>
        <w:ind w:firstLine="709"/>
        <w:jc w:val="both"/>
        <w:rPr>
          <w:rFonts w:ascii="Arial" w:eastAsia="Calibri" w:hAnsi="Arial" w:cs="Arial"/>
          <w:color w:val="000000" w:themeColor="text1"/>
          <w:sz w:val="22"/>
        </w:rPr>
      </w:pPr>
      <w:r w:rsidRPr="00783992">
        <w:rPr>
          <w:rFonts w:ascii="Arial" w:hAnsi="Arial" w:cs="Arial"/>
          <w:color w:val="000000" w:themeColor="text1"/>
          <w:sz w:val="22"/>
          <w:szCs w:val="20"/>
        </w:rPr>
        <w:t>E</w:t>
      </w:r>
      <w:r w:rsidRPr="00783992">
        <w:rPr>
          <w:rFonts w:ascii="Arial" w:eastAsia="Calibri" w:hAnsi="Arial" w:cs="Arial"/>
          <w:color w:val="000000" w:themeColor="text1"/>
          <w:sz w:val="22"/>
        </w:rPr>
        <w:t>l artículo 5 de la Ley 1882 de 2018 modificó el parágrafo 1 del artículo 5 de la Ley 1150 de 2007</w:t>
      </w:r>
      <w:r w:rsidR="00232060">
        <w:rPr>
          <w:rFonts w:ascii="Arial" w:eastAsia="Calibri" w:hAnsi="Arial" w:cs="Arial"/>
          <w:color w:val="000000" w:themeColor="text1"/>
          <w:sz w:val="22"/>
        </w:rPr>
        <w:t>;</w:t>
      </w:r>
      <w:r w:rsidRPr="00783992">
        <w:rPr>
          <w:rFonts w:ascii="Arial" w:eastAsia="Calibri" w:hAnsi="Arial" w:cs="Arial"/>
          <w:color w:val="000000" w:themeColor="text1"/>
          <w:sz w:val="22"/>
        </w:rPr>
        <w:t xml:space="preserve">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requisitos que inciden en la asignación de puntaje. </w:t>
      </w:r>
    </w:p>
    <w:p w14:paraId="7240094C" w14:textId="6A94C7B4" w:rsidR="009C1535" w:rsidRPr="00783992" w:rsidRDefault="009C1535" w:rsidP="009C1535">
      <w:pPr>
        <w:tabs>
          <w:tab w:val="left" w:pos="426"/>
        </w:tabs>
        <w:spacing w:before="120" w:after="120"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El «Documento Base o Pliego Tipo», en el numeral 1.6, «Reglas de </w:t>
      </w:r>
      <w:proofErr w:type="spellStart"/>
      <w:r w:rsidRPr="00783992">
        <w:rPr>
          <w:rFonts w:ascii="Arial" w:eastAsia="Calibri" w:hAnsi="Arial" w:cs="Arial"/>
          <w:color w:val="000000" w:themeColor="text1"/>
          <w:sz w:val="22"/>
        </w:rPr>
        <w:t>subsanabilidad</w:t>
      </w:r>
      <w:proofErr w:type="spellEnd"/>
      <w:r w:rsidRPr="00783992">
        <w:rPr>
          <w:rFonts w:ascii="Arial" w:eastAsia="Calibri" w:hAnsi="Arial" w:cs="Arial"/>
          <w:color w:val="000000" w:themeColor="text1"/>
          <w:sz w:val="22"/>
        </w:rPr>
        <w:t>»</w:t>
      </w:r>
      <w:r w:rsidRPr="00783992">
        <w:rPr>
          <w:rStyle w:val="Refdenotaalpie"/>
          <w:rFonts w:ascii="Arial" w:eastAsia="Calibri" w:hAnsi="Arial" w:cs="Arial"/>
          <w:color w:val="000000" w:themeColor="text1"/>
          <w:sz w:val="22"/>
        </w:rPr>
        <w:footnoteReference w:id="16"/>
      </w:r>
      <w:r w:rsidRPr="00783992">
        <w:rPr>
          <w:rFonts w:ascii="Arial" w:eastAsia="Calibri" w:hAnsi="Arial" w:cs="Arial"/>
          <w:color w:val="000000" w:themeColor="text1"/>
          <w:sz w:val="22"/>
        </w:rPr>
        <w:t xml:space="preserve">, reitera lo previsto en el artículo 5 de Ley 1882 de 2018, en el sentido que las entidades deberán solicitar a los proponentes las aclaraciones, precisiones o solicitud de documentos que acreditan requisitos que son subsanables. Además, incluyó que en el evento en que la entidad advierta la ausencia de requisitos o la falta de documentos referentes a la futura contratación o al proponente, no necesarios para la comparación de las propuestas y no los haya requerido en el informe de evaluación, podrá </w:t>
      </w:r>
      <w:r w:rsidRPr="00783992">
        <w:rPr>
          <w:rFonts w:ascii="Arial" w:eastAsia="Calibri" w:hAnsi="Arial" w:cs="Arial"/>
          <w:color w:val="000000" w:themeColor="text1"/>
          <w:sz w:val="22"/>
        </w:rPr>
        <w:lastRenderedPageBreak/>
        <w:t>requerir al proponente, otorgándole un término igual al establecido para el traslado del informe de evaluación, con el fin de que los allegue.</w:t>
      </w:r>
    </w:p>
    <w:p w14:paraId="7240094D" w14:textId="77777777" w:rsidR="009C1535" w:rsidRPr="00783992" w:rsidRDefault="009C1535" w:rsidP="009C1535">
      <w:pPr>
        <w:spacing w:before="120" w:after="120" w:line="276" w:lineRule="auto"/>
        <w:ind w:firstLine="708"/>
        <w:jc w:val="both"/>
        <w:rPr>
          <w:rFonts w:ascii="Arial" w:hAnsi="Arial" w:cs="Arial"/>
          <w:color w:val="000000" w:themeColor="text1"/>
          <w:sz w:val="22"/>
          <w:szCs w:val="20"/>
          <w:lang w:val="es-CO"/>
        </w:rPr>
      </w:pPr>
      <w:bookmarkStart w:id="27" w:name="_Hlk35001355"/>
      <w:r w:rsidRPr="00783992">
        <w:rPr>
          <w:rFonts w:ascii="Arial" w:hAnsi="Arial" w:cs="Arial"/>
          <w:color w:val="000000" w:themeColor="text1"/>
          <w:sz w:val="22"/>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w:t>
      </w:r>
      <w:r w:rsidRPr="00783992">
        <w:rPr>
          <w:rFonts w:ascii="Arial" w:eastAsia="Calibri" w:hAnsi="Arial" w:cs="Arial"/>
          <w:color w:val="000000" w:themeColor="text1"/>
          <w:sz w:val="22"/>
        </w:rPr>
        <w:t>Documento Base o Pliego Tipo»</w:t>
      </w:r>
      <w:r w:rsidRPr="00783992">
        <w:rPr>
          <w:rFonts w:ascii="Arial" w:hAnsi="Arial" w:cs="Arial"/>
          <w:color w:val="000000" w:themeColor="text1"/>
          <w:sz w:val="22"/>
          <w:szCs w:val="20"/>
        </w:rPr>
        <w:t>, de igual forma lo reconoce como un requisito habilitante, al indicar que «e</w:t>
      </w:r>
      <w:r w:rsidRPr="00783992">
        <w:rPr>
          <w:rFonts w:ascii="Arial" w:hAnsi="Arial" w:cs="Arial"/>
          <w:color w:val="000000" w:themeColor="text1"/>
          <w:sz w:val="22"/>
          <w:szCs w:val="20"/>
          <w:lang w:val="es-CO"/>
        </w:rPr>
        <w:t xml:space="preserve">l Proponente será hábil si la capacidad residual del Proponente (CRP) es mayor o igual a la capacidad residual de Proceso de Contratación». En este sentido, como la capacidad residual es un requisito habilitante que </w:t>
      </w:r>
      <w:r w:rsidRPr="00783992">
        <w:rPr>
          <w:rFonts w:ascii="Arial" w:hAnsi="Arial" w:cs="Arial"/>
          <w:i/>
          <w:iCs/>
          <w:color w:val="000000" w:themeColor="text1"/>
          <w:sz w:val="22"/>
          <w:szCs w:val="20"/>
          <w:lang w:val="es-CO"/>
        </w:rPr>
        <w:t>no otorga puntaje</w:t>
      </w:r>
      <w:r w:rsidRPr="00783992">
        <w:rPr>
          <w:rFonts w:ascii="Arial" w:hAnsi="Arial" w:cs="Arial"/>
          <w:color w:val="000000" w:themeColor="text1"/>
          <w:sz w:val="22"/>
          <w:szCs w:val="20"/>
          <w:lang w:val="es-CO"/>
        </w:rPr>
        <w:t xml:space="preserve"> es susceptible de subsanarse por parte de los proponentes</w:t>
      </w:r>
      <w:bookmarkEnd w:id="27"/>
      <w:r w:rsidRPr="00783992">
        <w:rPr>
          <w:rFonts w:ascii="Arial" w:hAnsi="Arial" w:cs="Arial"/>
          <w:color w:val="000000" w:themeColor="text1"/>
          <w:sz w:val="22"/>
          <w:szCs w:val="20"/>
          <w:lang w:val="es-CO"/>
        </w:rPr>
        <w:t xml:space="preserve">. </w:t>
      </w:r>
    </w:p>
    <w:p w14:paraId="7240094E" w14:textId="77777777" w:rsidR="009C1535" w:rsidRPr="00783992" w:rsidRDefault="009C1535" w:rsidP="009C1535">
      <w:pPr>
        <w:spacing w:before="120" w:after="120" w:line="276" w:lineRule="auto"/>
        <w:ind w:firstLine="708"/>
        <w:jc w:val="both"/>
        <w:rPr>
          <w:rFonts w:ascii="Arial" w:hAnsi="Arial" w:cs="Arial"/>
          <w:color w:val="000000" w:themeColor="text1"/>
          <w:sz w:val="22"/>
          <w:szCs w:val="20"/>
          <w:lang w:val="es-CO"/>
        </w:rPr>
      </w:pPr>
      <w:r w:rsidRPr="00783992">
        <w:rPr>
          <w:rFonts w:ascii="Arial" w:hAnsi="Arial" w:cs="Arial"/>
          <w:color w:val="000000" w:themeColor="text1"/>
          <w:sz w:val="22"/>
          <w:szCs w:val="20"/>
          <w:lang w:val="es-CO"/>
        </w:rPr>
        <w:t xml:space="preserve">Ahora, en virtud del artículo 6 de la Ley 1150 de 2007 las entidades no podrán solicitar documentos que hayan sido incluidos para la inscripción de la información contenida en el RUP. Si bien la capacidad residual, en principio, no se calcula totalmente con la información contenida en el RUP, la entidad deberá verificar si con la información que el proponente presentó para acreditar los requisitos habilitantes de experiencia, capacidad organizacional, financiera y jurídica se puede calcular la capacidad residual. En el evento en que la información aportada para inscribirse en el RUP sea la misma para calcular la capacidad residual del proponente, la entidad no deberá requerir dicha información, toda vez que lo contenido en el RUP es plena prueba. </w:t>
      </w:r>
    </w:p>
    <w:p w14:paraId="7240094F" w14:textId="77777777" w:rsidR="009C1535" w:rsidRPr="00783992" w:rsidRDefault="009C1535" w:rsidP="009C1535">
      <w:pPr>
        <w:spacing w:before="120" w:after="120" w:line="276" w:lineRule="auto"/>
        <w:ind w:firstLine="708"/>
        <w:jc w:val="both"/>
        <w:rPr>
          <w:rFonts w:ascii="Arial" w:hAnsi="Arial" w:cs="Arial"/>
          <w:color w:val="000000" w:themeColor="text1"/>
          <w:sz w:val="22"/>
          <w:szCs w:val="20"/>
        </w:rPr>
      </w:pPr>
      <w:r w:rsidRPr="00783992">
        <w:rPr>
          <w:rFonts w:ascii="Arial" w:hAnsi="Arial" w:cs="Arial"/>
          <w:color w:val="000000" w:themeColor="text1"/>
          <w:sz w:val="22"/>
          <w:szCs w:val="20"/>
          <w:lang w:val="es-CO"/>
        </w:rPr>
        <w:t>Por su parte, si la información aportada para inscribirse en el RUP no incluye información que se necesita para calcular la capacidad residual, la entidad podrá solicitarla al proponente para</w:t>
      </w:r>
      <w:r w:rsidRPr="00783992">
        <w:rPr>
          <w:rFonts w:ascii="Arial" w:hAnsi="Arial" w:cs="Arial"/>
          <w:color w:val="000000" w:themeColor="text1"/>
          <w:sz w:val="22"/>
          <w:szCs w:val="20"/>
        </w:rPr>
        <w:t xml:space="preserve"> que la aporte a más tardar hasta el término de traslado del informe de evaluación. En todo caso, todos los documentos requeridos para acreditar la capacidad residual son subsanables, por tratarse de un requisito que no otorga puntaje.</w:t>
      </w:r>
    </w:p>
    <w:p w14:paraId="72400950" w14:textId="77777777" w:rsidR="009C1535" w:rsidRPr="00783992" w:rsidRDefault="009C1535" w:rsidP="009C1535">
      <w:pPr>
        <w:spacing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Ahora, usted pregunta si una entidad puede rechazar una oferta con fundamento en que no se presentaron los documentos necesarios para calcular la capacidad residual. El Consejo de Estado destacó la imposibilidad que tienen las entidades de rechazar ofertas por falta de requisitos y documentos que no se hayan solicitado de forma expresa, clara y precisa o por meros formalismos: </w:t>
      </w:r>
    </w:p>
    <w:p w14:paraId="72400951" w14:textId="77777777" w:rsidR="009C1535" w:rsidRPr="00783992" w:rsidRDefault="009C1535" w:rsidP="009C1535">
      <w:pPr>
        <w:ind w:right="709"/>
        <w:jc w:val="both"/>
        <w:rPr>
          <w:rFonts w:ascii="Arial" w:eastAsia="Calibri" w:hAnsi="Arial" w:cs="Arial"/>
          <w:color w:val="000000" w:themeColor="text1"/>
          <w:sz w:val="21"/>
          <w:szCs w:val="21"/>
        </w:rPr>
      </w:pPr>
    </w:p>
    <w:p w14:paraId="72400952" w14:textId="77777777" w:rsidR="009C1535" w:rsidRPr="00783992" w:rsidRDefault="009C1535" w:rsidP="009C1535">
      <w:pPr>
        <w:ind w:left="709" w:right="709"/>
        <w:jc w:val="both"/>
        <w:rPr>
          <w:rFonts w:ascii="Arial" w:eastAsia="Calibri" w:hAnsi="Arial" w:cs="Arial"/>
          <w:color w:val="000000" w:themeColor="text1"/>
          <w:sz w:val="21"/>
          <w:szCs w:val="21"/>
        </w:rPr>
      </w:pPr>
      <w:r w:rsidRPr="00783992">
        <w:rPr>
          <w:rFonts w:ascii="Arial" w:eastAsia="Calibri" w:hAnsi="Arial" w:cs="Arial"/>
          <w:color w:val="000000" w:themeColor="text1"/>
          <w:sz w:val="21"/>
          <w:szCs w:val="21"/>
        </w:rPr>
        <w:t xml:space="preserve">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―en cumplimiento de los principios de publicidad y transparencia― también sean conocidos por sus competidores con </w:t>
      </w:r>
      <w:r w:rsidRPr="00783992">
        <w:rPr>
          <w:rFonts w:ascii="Arial" w:eastAsia="Calibri" w:hAnsi="Arial" w:cs="Arial"/>
          <w:color w:val="000000" w:themeColor="text1"/>
          <w:sz w:val="21"/>
          <w:szCs w:val="21"/>
        </w:rPr>
        <w:lastRenderedPageBreak/>
        <w:t>el propósito de controvertirlos, independientemente del mecanismo de calificación que haya sido planteado en los pliegos o términos de referencia</w:t>
      </w:r>
      <w:r w:rsidRPr="00783992">
        <w:rPr>
          <w:rStyle w:val="Refdenotaalpie"/>
          <w:rFonts w:ascii="Arial" w:eastAsia="Calibri" w:hAnsi="Arial" w:cs="Arial"/>
          <w:color w:val="000000" w:themeColor="text1"/>
          <w:sz w:val="21"/>
          <w:szCs w:val="21"/>
        </w:rPr>
        <w:footnoteReference w:id="17"/>
      </w:r>
      <w:r w:rsidRPr="00783992">
        <w:rPr>
          <w:rFonts w:ascii="Arial" w:eastAsia="Calibri" w:hAnsi="Arial" w:cs="Arial"/>
          <w:color w:val="000000" w:themeColor="text1"/>
          <w:sz w:val="21"/>
          <w:szCs w:val="21"/>
        </w:rPr>
        <w:t>.</w:t>
      </w:r>
    </w:p>
    <w:p w14:paraId="72400953" w14:textId="77777777" w:rsidR="009C1535" w:rsidRPr="00783992" w:rsidRDefault="009C1535" w:rsidP="009C1535">
      <w:pPr>
        <w:spacing w:line="276" w:lineRule="auto"/>
        <w:ind w:firstLine="709"/>
        <w:jc w:val="both"/>
        <w:rPr>
          <w:rFonts w:ascii="Arial" w:eastAsia="Calibri" w:hAnsi="Arial" w:cs="Arial"/>
          <w:color w:val="000000" w:themeColor="text1"/>
          <w:sz w:val="22"/>
          <w:szCs w:val="21"/>
        </w:rPr>
      </w:pPr>
    </w:p>
    <w:p w14:paraId="72400954" w14:textId="77777777" w:rsidR="009C1535" w:rsidRPr="00783992" w:rsidRDefault="009C1535" w:rsidP="009C1535">
      <w:pPr>
        <w:tabs>
          <w:tab w:val="left" w:pos="709"/>
        </w:tabs>
        <w:spacing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En este sentido, la Administración no tiene la facultad de descalificar una oferta de forma discrecional, toda vez que solo es posible por las causas previamente definidas en la ley o en el pliego de condiciones. Sin embargo, las causales definidas por la entidad deben cumplir los requisitos de razonabilidad y proporcionalidad, so pena de que no sean válidas dentro del procedimiento de contratación. </w:t>
      </w:r>
    </w:p>
    <w:p w14:paraId="3CC025AA" w14:textId="68BE2D5D" w:rsidR="002F247F" w:rsidRPr="00C44678" w:rsidRDefault="009C1535" w:rsidP="00C44678">
      <w:pPr>
        <w:tabs>
          <w:tab w:val="left" w:pos="709"/>
        </w:tabs>
        <w:spacing w:before="120" w:line="276" w:lineRule="auto"/>
        <w:ind w:firstLine="709"/>
        <w:jc w:val="both"/>
        <w:rPr>
          <w:rFonts w:ascii="Arial" w:hAnsi="Arial" w:cs="Arial"/>
          <w:color w:val="000000" w:themeColor="text1"/>
          <w:sz w:val="22"/>
        </w:rPr>
      </w:pPr>
      <w:bookmarkStart w:id="28" w:name="_Hlk35001393"/>
      <w:r w:rsidRPr="00783992">
        <w:rPr>
          <w:rFonts w:ascii="Arial" w:eastAsia="Calibri" w:hAnsi="Arial" w:cs="Arial"/>
          <w:color w:val="000000" w:themeColor="text1"/>
          <w:sz w:val="22"/>
        </w:rPr>
        <w:t>En relación con el rechazo de las ofertas en los procedimientos adelantados por el Pliego Tipo, en el «numeral 1.15 Causales de rechazo» se enuncian de forma taxativa las causales de rechazo, sin incluir la falta de documentos para calcular la capacidad residual</w:t>
      </w:r>
      <w:r w:rsidRPr="00783992">
        <w:rPr>
          <w:rStyle w:val="Refdenotaalpie"/>
          <w:rFonts w:ascii="Arial" w:eastAsia="Calibri" w:hAnsi="Arial" w:cs="Arial"/>
          <w:color w:val="000000" w:themeColor="text1"/>
          <w:sz w:val="22"/>
        </w:rPr>
        <w:footnoteReference w:id="18"/>
      </w:r>
      <w:r w:rsidRPr="00783992">
        <w:rPr>
          <w:rFonts w:ascii="Arial" w:eastAsia="Calibri" w:hAnsi="Arial" w:cs="Arial"/>
          <w:color w:val="000000" w:themeColor="text1"/>
          <w:sz w:val="22"/>
        </w:rPr>
        <w:t xml:space="preserve">. Ahora, como la entidad tiene restringida la posibilidad de incluir nuevas </w:t>
      </w:r>
      <w:r w:rsidRPr="00783992">
        <w:rPr>
          <w:rFonts w:ascii="Arial" w:eastAsia="Calibri" w:hAnsi="Arial" w:cs="Arial"/>
          <w:color w:val="000000" w:themeColor="text1"/>
          <w:sz w:val="22"/>
        </w:rPr>
        <w:lastRenderedPageBreak/>
        <w:t xml:space="preserve">causales, no será posible rechazarla por este motivo, sino que la entidad debe solicitarle al proponente que subsane los documentos requeridos, y si no lo hace </w:t>
      </w:r>
      <w:r w:rsidRPr="00783992">
        <w:rPr>
          <w:rFonts w:ascii="Arial" w:hAnsi="Arial" w:cs="Arial"/>
          <w:color w:val="000000" w:themeColor="text1"/>
          <w:sz w:val="22"/>
        </w:rPr>
        <w:t>se rechazará su oferta. En este sentido, el «Documento base o Pliego Tipo» reiteró, en el numeral «1.15 CAUSALES DE RECHAZO», la causal del literal E), la facultad que tiene la entidad de rechazar la oferta cuando el proponente no aporta la información solicitada a más tardar dentro del traslado del informe de evaluación.</w:t>
      </w:r>
      <w:r w:rsidRPr="00783992">
        <w:rPr>
          <w:rFonts w:ascii="Arial" w:eastAsia="Calibri" w:hAnsi="Arial" w:cs="Arial"/>
          <w:color w:val="000000" w:themeColor="text1"/>
          <w:sz w:val="22"/>
        </w:rPr>
        <w:t xml:space="preserve"> </w:t>
      </w:r>
      <w:bookmarkEnd w:id="28"/>
    </w:p>
    <w:p w14:paraId="72400957" w14:textId="2800661D" w:rsidR="00C44678" w:rsidRPr="00005C9A" w:rsidRDefault="00C44678" w:rsidP="00005C9A">
      <w:pPr>
        <w:tabs>
          <w:tab w:val="left" w:pos="709"/>
        </w:tabs>
        <w:spacing w:before="120" w:line="276" w:lineRule="auto"/>
        <w:ind w:firstLine="709"/>
        <w:jc w:val="both"/>
      </w:pPr>
      <w:r w:rsidRPr="00005C9A">
        <w:rPr>
          <w:rFonts w:ascii="Arial" w:hAnsi="Arial" w:cs="Arial"/>
          <w:sz w:val="22"/>
        </w:rPr>
        <w:t xml:space="preserve">Ahora bien, en el </w:t>
      </w:r>
      <w:r w:rsidR="00073B32">
        <w:rPr>
          <w:rFonts w:ascii="Arial" w:hAnsi="Arial" w:cs="Arial"/>
          <w:sz w:val="22"/>
        </w:rPr>
        <w:t>«</w:t>
      </w:r>
      <w:r w:rsidRPr="00005C9A">
        <w:rPr>
          <w:rFonts w:ascii="Arial" w:hAnsi="Arial" w:cs="Arial"/>
          <w:sz w:val="22"/>
        </w:rPr>
        <w:t>Documento Base o Pliego Tipo</w:t>
      </w:r>
      <w:r w:rsidR="00073B32">
        <w:rPr>
          <w:rFonts w:ascii="Arial" w:hAnsi="Arial" w:cs="Arial"/>
          <w:sz w:val="22"/>
        </w:rPr>
        <w:t>»</w:t>
      </w:r>
      <w:r w:rsidRPr="00005C9A">
        <w:rPr>
          <w:rFonts w:ascii="Arial" w:hAnsi="Arial" w:cs="Arial"/>
          <w:sz w:val="22"/>
        </w:rPr>
        <w:t xml:space="preserve"> se incluye el numeral 1.11, referido a la información inexacta:</w:t>
      </w:r>
    </w:p>
    <w:p w14:paraId="72400958" w14:textId="77777777" w:rsidR="00C44678" w:rsidRPr="003F3784" w:rsidRDefault="00C44678" w:rsidP="00C44678">
      <w:pPr>
        <w:pStyle w:val="Textoindependiente"/>
        <w:spacing w:before="2"/>
        <w:rPr>
          <w:sz w:val="25"/>
        </w:rPr>
      </w:pPr>
    </w:p>
    <w:p w14:paraId="72400959" w14:textId="77777777" w:rsidR="00C44678" w:rsidRPr="00C44678" w:rsidRDefault="00C44678" w:rsidP="00005C9A">
      <w:pPr>
        <w:ind w:left="709" w:right="709"/>
        <w:rPr>
          <w:rFonts w:ascii="Arial" w:hAnsi="Arial" w:cs="Arial"/>
          <w:b/>
          <w:sz w:val="20"/>
        </w:rPr>
      </w:pPr>
      <w:r w:rsidRPr="00C44678">
        <w:rPr>
          <w:rFonts w:ascii="Arial" w:hAnsi="Arial" w:cs="Arial"/>
          <w:b/>
          <w:sz w:val="20"/>
        </w:rPr>
        <w:t>1.11 INFORMACIÓN INEXACTA</w:t>
      </w:r>
    </w:p>
    <w:p w14:paraId="7240095A" w14:textId="77777777" w:rsidR="00C44678" w:rsidRPr="00C44678" w:rsidRDefault="00C44678" w:rsidP="00005C9A">
      <w:pPr>
        <w:pStyle w:val="Textoindependiente"/>
        <w:spacing w:before="4"/>
        <w:ind w:left="709" w:right="709"/>
        <w:rPr>
          <w:b/>
          <w:sz w:val="26"/>
        </w:rPr>
      </w:pPr>
    </w:p>
    <w:p w14:paraId="7240095B" w14:textId="77777777" w:rsidR="00C44678" w:rsidRPr="00C44678" w:rsidRDefault="00C44678" w:rsidP="00005C9A">
      <w:pPr>
        <w:ind w:left="709" w:right="709"/>
        <w:jc w:val="both"/>
        <w:rPr>
          <w:rFonts w:ascii="Arial" w:hAnsi="Arial" w:cs="Arial"/>
          <w:sz w:val="20"/>
        </w:rPr>
      </w:pPr>
      <w:r w:rsidRPr="00C44678">
        <w:rPr>
          <w:rFonts w:ascii="Arial" w:hAnsi="Arial" w:cs="Arial"/>
          <w:sz w:val="20"/>
        </w:rPr>
        <w:t>La Entidad se reserva el derecho de verificar integralmente la información aportada por el Proponente. Para esto, puede acudir a las autoridades, personas, empresas o entidades respectivas.</w:t>
      </w:r>
    </w:p>
    <w:p w14:paraId="7240095C" w14:textId="77777777" w:rsidR="00C44678" w:rsidRPr="00C44678" w:rsidRDefault="00C44678" w:rsidP="00005C9A">
      <w:pPr>
        <w:pStyle w:val="Textoindependiente"/>
        <w:spacing w:before="11"/>
        <w:ind w:left="709" w:right="709"/>
      </w:pPr>
    </w:p>
    <w:p w14:paraId="7240095D" w14:textId="77777777" w:rsidR="00C44678" w:rsidRPr="00C44678" w:rsidRDefault="00C44678" w:rsidP="00005C9A">
      <w:pPr>
        <w:ind w:left="709" w:right="709"/>
        <w:jc w:val="both"/>
        <w:rPr>
          <w:rFonts w:ascii="Arial" w:hAnsi="Arial" w:cs="Arial"/>
          <w:sz w:val="20"/>
        </w:rPr>
      </w:pPr>
      <w:r w:rsidRPr="00C44678">
        <w:rPr>
          <w:rFonts w:ascii="Arial" w:hAnsi="Arial" w:cs="Arial"/>
          <w:sz w:val="20"/>
        </w:rPr>
        <w:t>Cuando exista inconsistencia entre la información suministrada por el Proponente y la efectivamente verificada por la Entidad, la información que pretende demostrar el Proponente se tendrá por no acreditada.</w:t>
      </w:r>
    </w:p>
    <w:p w14:paraId="7240095E" w14:textId="77777777" w:rsidR="00C44678" w:rsidRPr="00C44678" w:rsidRDefault="00C44678" w:rsidP="00005C9A">
      <w:pPr>
        <w:pStyle w:val="Textoindependiente"/>
        <w:spacing w:before="11"/>
        <w:ind w:left="709" w:right="709"/>
      </w:pPr>
    </w:p>
    <w:p w14:paraId="7240095F" w14:textId="77777777" w:rsidR="00C44678" w:rsidRPr="00C44678" w:rsidRDefault="00C44678" w:rsidP="00005C9A">
      <w:pPr>
        <w:ind w:left="709" w:right="709"/>
        <w:jc w:val="both"/>
        <w:rPr>
          <w:rFonts w:ascii="Arial" w:hAnsi="Arial" w:cs="Arial"/>
          <w:sz w:val="20"/>
        </w:rPr>
      </w:pPr>
      <w:r w:rsidRPr="00C44678">
        <w:rPr>
          <w:rFonts w:ascii="Arial" w:hAnsi="Arial" w:cs="Arial"/>
          <w:sz w:val="20"/>
        </w:rPr>
        <w:t>La Entidad compulsará copias a las autoridades competentes en aquellos eventos en los cuales la información aportada tenga inconsistencias sobre las cuales pueda existir una presunta falsedad, sin que el Proponente haya demostrado lo contrario, y procederá a rechazar la</w:t>
      </w:r>
      <w:r w:rsidRPr="00C44678">
        <w:rPr>
          <w:rFonts w:ascii="Arial" w:hAnsi="Arial" w:cs="Arial"/>
          <w:spacing w:val="-3"/>
          <w:sz w:val="20"/>
        </w:rPr>
        <w:t xml:space="preserve"> </w:t>
      </w:r>
      <w:r w:rsidRPr="00C44678">
        <w:rPr>
          <w:rFonts w:ascii="Arial" w:hAnsi="Arial" w:cs="Arial"/>
          <w:sz w:val="20"/>
        </w:rPr>
        <w:t>oferta.</w:t>
      </w:r>
    </w:p>
    <w:p w14:paraId="72400960" w14:textId="77777777" w:rsidR="00C44678" w:rsidRPr="003F3784" w:rsidRDefault="00C44678" w:rsidP="00C44678">
      <w:pPr>
        <w:pStyle w:val="Textoindependiente"/>
        <w:spacing w:before="4"/>
        <w:rPr>
          <w:sz w:val="25"/>
        </w:rPr>
      </w:pPr>
    </w:p>
    <w:p w14:paraId="5AEFEE06" w14:textId="1B5C10BB" w:rsidR="000E7E0B" w:rsidRDefault="00C44678" w:rsidP="00005C9A">
      <w:pPr>
        <w:pStyle w:val="Textoindependiente"/>
        <w:spacing w:before="3" w:line="276" w:lineRule="auto"/>
        <w:ind w:firstLine="709"/>
        <w:jc w:val="both"/>
        <w:rPr>
          <w:sz w:val="25"/>
        </w:rPr>
      </w:pPr>
      <w:r w:rsidRPr="003F3784">
        <w:t xml:space="preserve">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 su oferta, así como </w:t>
      </w:r>
      <w:r w:rsidR="00D0199A">
        <w:t xml:space="preserve">en </w:t>
      </w:r>
      <w:r w:rsidRPr="003F3784">
        <w:t>la lealtad y comportamiento adecuado frente a la entidad estatal y los demás proponentes durante las diferentes etapas del proceso de contratación.</w:t>
      </w:r>
    </w:p>
    <w:p w14:paraId="497582CE" w14:textId="1C1E7785" w:rsidR="000E7E0B" w:rsidRDefault="00C44678" w:rsidP="00005C9A">
      <w:pPr>
        <w:pStyle w:val="Textoindependiente"/>
        <w:spacing w:before="120" w:line="276" w:lineRule="auto"/>
        <w:ind w:firstLine="709"/>
        <w:jc w:val="both"/>
        <w:rPr>
          <w:sz w:val="25"/>
        </w:rPr>
      </w:pPr>
      <w:r w:rsidRPr="003F3784">
        <w:t xml:space="preserve">En este contexto, el ejercicio de este derecho, por parte de la entidad estatal, tiene </w:t>
      </w:r>
      <w:r w:rsidRPr="003F3784">
        <w:lastRenderedPageBreak/>
        <w:t xml:space="preserve">carácter excepcional y solamente se debe acudir cuando de la información y documentación aportada al proceso de contratación, existen dudas frente a la veracidad o precisión y no puede superarse con la simple revisión de estos. Así, este derecho es una herramienta para que la entidad estatal, en ejercicio del </w:t>
      </w:r>
      <w:r w:rsidR="00073B32">
        <w:t>«</w:t>
      </w:r>
      <w:r w:rsidRPr="003F3784">
        <w:t>deber de conocimiento</w:t>
      </w:r>
      <w:r w:rsidR="00073B32">
        <w:t>»</w:t>
      </w:r>
      <w:r w:rsidRPr="003F3784">
        <w:t xml:space="preserve"> de los proponentes, pueda alcanzar un nivel de certeza del cumplimiento de los requisitos establecidos en los documentos del proceso y del comportamiento leal y de buena fe que se exige del proponente.</w:t>
      </w:r>
    </w:p>
    <w:p w14:paraId="4805580F" w14:textId="2B2A8CF8" w:rsidR="000E7E0B" w:rsidRPr="003F3784" w:rsidRDefault="00C44678" w:rsidP="00005C9A">
      <w:pPr>
        <w:pStyle w:val="Textoindependiente"/>
        <w:spacing w:before="120" w:line="276" w:lineRule="auto"/>
        <w:ind w:firstLine="709"/>
        <w:jc w:val="both"/>
        <w:rPr>
          <w:sz w:val="25"/>
        </w:rPr>
      </w:pPr>
      <w:r w:rsidRPr="003F3784">
        <w:t>La regla de verificación de la información contempla dos supuestos, con consecuencias diferentes: el primero, señala que una vez verificada la información con las 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la entidad que adelanta el proceso de contratación, ante la duda, no tendrá en cuenta dicha certificación para la evaluación de la experiencia, sin perjuicio de que el proponente cumpla con este requisito con las demás certificaciones aportadas. En este evento se trata de inconsistencias que no pueden ser superadas por la ausencia de medio probatorio, pero que en principio no tienen la connotación de</w:t>
      </w:r>
      <w:r w:rsidRPr="003F3784">
        <w:rPr>
          <w:spacing w:val="-23"/>
        </w:rPr>
        <w:t xml:space="preserve"> </w:t>
      </w:r>
      <w:r w:rsidRPr="003F3784">
        <w:t>falsedad.</w:t>
      </w:r>
    </w:p>
    <w:p w14:paraId="41E8BFFB" w14:textId="09C2529C" w:rsidR="000E7E0B" w:rsidRPr="003F3784" w:rsidRDefault="00C44678" w:rsidP="00005C9A">
      <w:pPr>
        <w:pStyle w:val="Textoindependiente"/>
        <w:spacing w:before="120" w:line="276" w:lineRule="auto"/>
        <w:ind w:firstLine="709"/>
        <w:jc w:val="both"/>
        <w:rPr>
          <w:sz w:val="25"/>
        </w:rPr>
      </w:pPr>
      <w:r w:rsidRPr="003F3784">
        <w:t>El segundo evento aplica cuando de la verificación realizada por la entidad estatal se corrobora que las inconsistencias pueden devenir de una presunta falsedad no desvirtuada por el proponente, caso en el cual se procede con el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estatal tiene el suficiente convencimiento de la existencia de la presunta falsedad y luego de dar la oportunidad para que el proponente se manifieste, debe rechazar la oferta y compulsar copias a las autoridades competentes, quienes adelantar</w:t>
      </w:r>
      <w:r w:rsidR="00CC1609">
        <w:t>á</w:t>
      </w:r>
      <w:r w:rsidRPr="003F3784">
        <w:t>n las respectivas</w:t>
      </w:r>
      <w:r w:rsidRPr="003F3784">
        <w:rPr>
          <w:spacing w:val="-17"/>
        </w:rPr>
        <w:t xml:space="preserve"> </w:t>
      </w:r>
      <w:r w:rsidRPr="003F3784">
        <w:t>investigaciones.</w:t>
      </w:r>
    </w:p>
    <w:p w14:paraId="72400969" w14:textId="26B4CE48" w:rsidR="00C44678" w:rsidRPr="003F3784" w:rsidRDefault="00C44678" w:rsidP="00005C9A">
      <w:pPr>
        <w:pStyle w:val="Textoindependiente"/>
        <w:spacing w:before="120" w:line="276" w:lineRule="auto"/>
        <w:ind w:firstLine="709"/>
        <w:jc w:val="both"/>
      </w:pPr>
      <w:r w:rsidRPr="003F3784">
        <w:t xml:space="preserve">Las reglas previstas en el numeral 1.11 del </w:t>
      </w:r>
      <w:r w:rsidR="00073B32">
        <w:t>«</w:t>
      </w:r>
      <w:r w:rsidRPr="003F3784">
        <w:t>Documento Base</w:t>
      </w:r>
      <w:r w:rsidR="00073B32">
        <w:t>»</w:t>
      </w:r>
      <w:r w:rsidRPr="003F3784">
        <w:t xml:space="preserve"> aplican frente a la totalidad de la información y documentación aportada para el cumplimiento de los requisitos habilitantes y de ponderación de las propuestas. Sin embargo, el “Documento Base”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w:t>
      </w:r>
      <w:r w:rsidR="00005C9A">
        <w:t>1</w:t>
      </w:r>
      <w:r w:rsidRPr="003F3784">
        <w:t xml:space="preserve"> del </w:t>
      </w:r>
      <w:r w:rsidR="00073B32">
        <w:t>«</w:t>
      </w:r>
      <w:r w:rsidRPr="003F3784">
        <w:t>Documento Base</w:t>
      </w:r>
      <w:r w:rsidR="00073B32">
        <w:t>»</w:t>
      </w:r>
      <w:r w:rsidRPr="003F3784">
        <w:t xml:space="preserve"> al</w:t>
      </w:r>
      <w:r w:rsidRPr="003F3784">
        <w:rPr>
          <w:spacing w:val="-3"/>
        </w:rPr>
        <w:t xml:space="preserve"> </w:t>
      </w:r>
      <w:r w:rsidRPr="003F3784">
        <w:t>señalar:</w:t>
      </w:r>
    </w:p>
    <w:p w14:paraId="7240096A" w14:textId="77777777" w:rsidR="00C44678" w:rsidRPr="003F3784" w:rsidRDefault="00C44678" w:rsidP="00C44678">
      <w:pPr>
        <w:pStyle w:val="Textoindependiente"/>
        <w:spacing w:before="4"/>
        <w:rPr>
          <w:sz w:val="25"/>
        </w:rPr>
      </w:pPr>
    </w:p>
    <w:p w14:paraId="7240096B" w14:textId="77777777" w:rsidR="00C44678" w:rsidRPr="00C44678" w:rsidRDefault="00C44678" w:rsidP="00C44678">
      <w:pPr>
        <w:spacing w:before="1"/>
        <w:ind w:left="808"/>
        <w:rPr>
          <w:rFonts w:ascii="Arial" w:hAnsi="Arial" w:cs="Arial"/>
          <w:b/>
          <w:sz w:val="20"/>
        </w:rPr>
      </w:pPr>
      <w:r w:rsidRPr="00C44678">
        <w:rPr>
          <w:rFonts w:ascii="Arial" w:hAnsi="Arial" w:cs="Arial"/>
          <w:b/>
          <w:sz w:val="20"/>
        </w:rPr>
        <w:t>3.10 CAPACIDAD RESIDUAL</w:t>
      </w:r>
    </w:p>
    <w:p w14:paraId="7240096C" w14:textId="77777777" w:rsidR="00C44678" w:rsidRPr="00C44678" w:rsidRDefault="00C44678" w:rsidP="00C44678">
      <w:pPr>
        <w:pStyle w:val="Textoindependiente"/>
        <w:rPr>
          <w:b/>
          <w:sz w:val="26"/>
        </w:rPr>
      </w:pPr>
    </w:p>
    <w:p w14:paraId="7240096D" w14:textId="77777777" w:rsidR="00C44678" w:rsidRPr="00C44678" w:rsidRDefault="00C44678" w:rsidP="00C44678">
      <w:pPr>
        <w:spacing w:before="1"/>
        <w:ind w:left="808" w:right="1099"/>
        <w:jc w:val="both"/>
        <w:rPr>
          <w:rFonts w:ascii="Arial" w:hAnsi="Arial" w:cs="Arial"/>
          <w:sz w:val="20"/>
        </w:rPr>
      </w:pPr>
      <w:r w:rsidRPr="00C44678">
        <w:rPr>
          <w:rFonts w:ascii="Arial" w:hAnsi="Arial" w:cs="Arial"/>
          <w:sz w:val="20"/>
        </w:rPr>
        <w:t>El Proponente será hábil si la capacidad residual del Proponente (CRP) es mayor o igual a la capacidad residual de Proceso de Contratación (CRPC). Así:</w:t>
      </w:r>
    </w:p>
    <w:p w14:paraId="7240096E" w14:textId="77777777" w:rsidR="00C44678" w:rsidRPr="00C44678" w:rsidRDefault="00C44678" w:rsidP="00C44678">
      <w:pPr>
        <w:spacing w:before="160"/>
        <w:ind w:right="4146"/>
        <w:jc w:val="center"/>
        <w:rPr>
          <w:rFonts w:ascii="Arial" w:hAnsi="Arial" w:cs="Arial"/>
          <w:sz w:val="20"/>
        </w:rPr>
      </w:pPr>
      <w:r>
        <w:rPr>
          <w:rFonts w:ascii="Arial" w:hAnsi="Arial" w:cs="Arial"/>
          <w:sz w:val="20"/>
        </w:rPr>
        <w:t xml:space="preserve">                                                   </w:t>
      </w:r>
      <w:proofErr w:type="gramStart"/>
      <w:r w:rsidRPr="00C44678">
        <w:rPr>
          <w:rFonts w:ascii="Arial" w:hAnsi="Arial" w:cs="Arial"/>
          <w:sz w:val="20"/>
        </w:rPr>
        <w:t>CRP  ≥</w:t>
      </w:r>
      <w:proofErr w:type="gramEnd"/>
      <w:r w:rsidRPr="00C44678">
        <w:rPr>
          <w:rFonts w:ascii="Arial" w:hAnsi="Arial" w:cs="Arial"/>
          <w:sz w:val="20"/>
        </w:rPr>
        <w:t xml:space="preserve"> CRPC</w:t>
      </w:r>
    </w:p>
    <w:p w14:paraId="7240096F" w14:textId="77777777" w:rsidR="00C44678" w:rsidRPr="00C44678" w:rsidRDefault="00C44678" w:rsidP="00C44678">
      <w:pPr>
        <w:spacing w:before="161"/>
        <w:ind w:left="808" w:right="1098"/>
        <w:jc w:val="both"/>
        <w:rPr>
          <w:rFonts w:ascii="Arial" w:hAnsi="Arial" w:cs="Arial"/>
          <w:sz w:val="20"/>
        </w:rPr>
      </w:pPr>
      <w:r w:rsidRPr="00C44678">
        <w:rPr>
          <w:rFonts w:ascii="Arial" w:hAnsi="Arial" w:cs="Arial"/>
          <w:sz w:val="20"/>
        </w:rPr>
        <w:t xml:space="preserve">Los Proponentes acreditarán la capacidad residual o K de contratación conforme se describe a continuación. </w:t>
      </w:r>
      <w:r w:rsidRPr="00005C9A">
        <w:rPr>
          <w:rFonts w:ascii="Arial" w:hAnsi="Arial" w:cs="Arial"/>
          <w:bCs/>
          <w:i/>
          <w:iCs/>
          <w:sz w:val="20"/>
        </w:rPr>
        <w:t>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C44678">
        <w:rPr>
          <w:rFonts w:ascii="Arial" w:hAnsi="Arial" w:cs="Arial"/>
          <w:b/>
          <w:sz w:val="20"/>
        </w:rPr>
        <w:t xml:space="preserve">. </w:t>
      </w:r>
      <w:r w:rsidRPr="00C44678">
        <w:rPr>
          <w:rFonts w:ascii="Arial" w:hAnsi="Arial" w:cs="Arial"/>
          <w:sz w:val="20"/>
        </w:rPr>
        <w:t>En dado caso la Entidad procederá a incluir el valor y plazo total del contrato, con independencia del saldo y plazo por ejecutar.</w:t>
      </w:r>
    </w:p>
    <w:p w14:paraId="72400970" w14:textId="02B9FDBD" w:rsidR="00C44678" w:rsidRPr="00C44678" w:rsidRDefault="00C44678" w:rsidP="00C44678">
      <w:pPr>
        <w:spacing w:before="160"/>
        <w:ind w:left="808" w:right="1100"/>
        <w:jc w:val="both"/>
        <w:rPr>
          <w:rFonts w:ascii="Arial" w:hAnsi="Arial" w:cs="Arial"/>
          <w:sz w:val="20"/>
        </w:rPr>
      </w:pPr>
      <w:r w:rsidRPr="00C44678">
        <w:rPr>
          <w:rFonts w:ascii="Arial" w:hAnsi="Arial" w:cs="Arial"/>
          <w:sz w:val="20"/>
        </w:rPr>
        <w:t>Lo anterior, sin perjuicio de las acciones administrativas y/o judiciales a que haya lugar, en contra de la (s) persona (s) que haya (n) suscrito las certificaciones exigidas para el cálculo de la capacidad residual.</w:t>
      </w:r>
      <w:r w:rsidR="00C373BD">
        <w:rPr>
          <w:rFonts w:ascii="Arial" w:hAnsi="Arial" w:cs="Arial"/>
          <w:sz w:val="20"/>
        </w:rPr>
        <w:t xml:space="preserve"> (Cursiva fuera de texto)</w:t>
      </w:r>
    </w:p>
    <w:p w14:paraId="72400971" w14:textId="77777777" w:rsidR="00C44678" w:rsidRPr="003F3784" w:rsidRDefault="00C44678" w:rsidP="00C44678">
      <w:pPr>
        <w:pStyle w:val="Textoindependiente"/>
      </w:pPr>
    </w:p>
    <w:p w14:paraId="72400973" w14:textId="7010F1A2" w:rsidR="00C44678" w:rsidRPr="003F3784" w:rsidRDefault="00C44678" w:rsidP="00005C9A">
      <w:pPr>
        <w:pStyle w:val="Textoindependiente"/>
        <w:spacing w:line="276" w:lineRule="auto"/>
        <w:ind w:left="100" w:right="104" w:firstLine="709"/>
        <w:jc w:val="both"/>
        <w:rPr>
          <w:sz w:val="25"/>
        </w:rPr>
      </w:pPr>
      <w:r w:rsidRPr="003F3784">
        <w:t xml:space="preserve">De acuerdo con el anterior numeral, cuando la entidad estatal confirme la existencia de </w:t>
      </w:r>
      <w:r w:rsidR="007E090E">
        <w:t>«</w:t>
      </w:r>
      <w:r w:rsidRPr="003F3784">
        <w:t>información contractual</w:t>
      </w:r>
      <w:r w:rsidR="007E090E">
        <w:t>»</w:t>
      </w:r>
      <w:r w:rsidRPr="003F3784">
        <w:t xml:space="preserve"> que no se incluyó, y que puede afectar la capacidad residual del proponente, debe incluirla y calcular nuevamente la capacidad residual, sin perjuicio de las acciones administrativas o judiciales que procedan.</w:t>
      </w:r>
    </w:p>
    <w:p w14:paraId="72400975" w14:textId="533163A9" w:rsidR="00C44678" w:rsidRPr="003F3784" w:rsidRDefault="00C44678" w:rsidP="00005C9A">
      <w:pPr>
        <w:pStyle w:val="Textoindependiente"/>
        <w:spacing w:before="120" w:after="120" w:line="276" w:lineRule="auto"/>
        <w:ind w:left="102" w:right="102" w:firstLine="709"/>
        <w:jc w:val="both"/>
        <w:rPr>
          <w:sz w:val="16"/>
        </w:rPr>
      </w:pPr>
      <w:r w:rsidRPr="003F3784">
        <w:t xml:space="preserve">Por lo tanto, comoquiera que para el cálculo de la capacidad residual del proponente se deben tener en cuenta: i) la capacidad de organización, ii) la experiencia, iii) la capacidad técnica, iv) la capacidad financiera y v) el saldo de contratos en ejecución, y para cada una de dichas variables se requiere la acreditación de los requisitos y documentos establecidos en el numeral 3.10 del </w:t>
      </w:r>
      <w:r w:rsidR="006211D9">
        <w:t>«</w:t>
      </w:r>
      <w:r w:rsidRPr="003F3784">
        <w:t>Documento Base</w:t>
      </w:r>
      <w:r w:rsidR="006211D9">
        <w:t>»</w:t>
      </w:r>
      <w:r w:rsidRPr="003F3784">
        <w:t xml:space="preserve">, en concordancia con lo definido en la </w:t>
      </w:r>
      <w:r w:rsidR="006211D9">
        <w:t>«</w:t>
      </w:r>
      <w:r w:rsidRPr="003F3784">
        <w:t>Guía para Determinar y Verificar la Capacidad Residual del Proponente en los Procesos de Contratación de Obra Pública</w:t>
      </w:r>
      <w:r w:rsidR="006211D9">
        <w:t>»</w:t>
      </w:r>
      <w:r w:rsidRPr="003F3784">
        <w:t xml:space="preserve">, expedida por la Agencia Nacional de Contratación – Colombia Compra Eficiente, la entidad estatal, para los procesos de licitación que utilizan los Documentos Tipo, debe aplicar la regla enunciada previamente </w:t>
      </w:r>
      <w:r w:rsidRPr="003F3784">
        <w:rPr>
          <w:spacing w:val="3"/>
        </w:rPr>
        <w:t xml:space="preserve">y, </w:t>
      </w:r>
      <w:r w:rsidRPr="003F3784">
        <w:t>en consecuencia, incluir la información contractual que haya sido advertida por los proponentes, interesados o por la entidad y que no fue reportada por el</w:t>
      </w:r>
      <w:r w:rsidRPr="003F3784">
        <w:rPr>
          <w:spacing w:val="-15"/>
        </w:rPr>
        <w:t xml:space="preserve"> </w:t>
      </w:r>
      <w:r w:rsidRPr="003F3784">
        <w:t>proponente.</w:t>
      </w:r>
    </w:p>
    <w:p w14:paraId="72400976" w14:textId="6888E335" w:rsidR="00C44678" w:rsidRPr="003F3784" w:rsidRDefault="00C44678" w:rsidP="00005C9A">
      <w:pPr>
        <w:pStyle w:val="Textoindependiente"/>
        <w:spacing w:line="276" w:lineRule="auto"/>
        <w:ind w:left="100" w:right="106" w:firstLine="709"/>
        <w:jc w:val="both"/>
      </w:pPr>
      <w:r w:rsidRPr="003F3784">
        <w:t>Adicionalmente, cuando en la etapa de evaluación de las ofertas la entidad estatal advierta estas circunstancias, debe garantizar el debido proceso y hacer uso de las figuras previstas en las normas del sistema de compra pública</w:t>
      </w:r>
      <w:r w:rsidR="007E587C">
        <w:t>;</w:t>
      </w:r>
      <w:r w:rsidRPr="003F3784">
        <w:t xml:space="preserve"> por consiguiente, se debe requerir a los proponentes para que efectúen las aclaraciones correspondientes de acuerdo con las reglas de </w:t>
      </w:r>
      <w:proofErr w:type="spellStart"/>
      <w:r w:rsidRPr="003F3784">
        <w:t>subsanabilidad</w:t>
      </w:r>
      <w:proofErr w:type="spellEnd"/>
      <w:r w:rsidRPr="003F3784">
        <w:t xml:space="preserve"> establecidas en el numeral 1.6</w:t>
      </w:r>
      <w:r w:rsidRPr="003F3784">
        <w:rPr>
          <w:rStyle w:val="Refdenotaalpie"/>
        </w:rPr>
        <w:footnoteReference w:id="19"/>
      </w:r>
      <w:r w:rsidRPr="003F3784">
        <w:rPr>
          <w:position w:val="8"/>
          <w:sz w:val="14"/>
        </w:rPr>
        <w:t xml:space="preserve"> </w:t>
      </w:r>
      <w:r w:rsidRPr="003F3784">
        <w:t xml:space="preserve">del </w:t>
      </w:r>
      <w:r w:rsidR="007E587C">
        <w:lastRenderedPageBreak/>
        <w:t>«</w:t>
      </w:r>
      <w:r w:rsidRPr="003F3784">
        <w:t>Documento Base</w:t>
      </w:r>
      <w:r w:rsidR="007E587C">
        <w:t>»</w:t>
      </w:r>
      <w:r w:rsidRPr="003F3784">
        <w:t>, en armonía con la regla específica del numeral 3.10, previamente</w:t>
      </w:r>
      <w:r w:rsidRPr="003F3784">
        <w:rPr>
          <w:spacing w:val="-14"/>
        </w:rPr>
        <w:t xml:space="preserve"> </w:t>
      </w:r>
      <w:r w:rsidRPr="003F3784">
        <w:t>expuesta.</w:t>
      </w:r>
    </w:p>
    <w:p w14:paraId="72400978" w14:textId="77777777" w:rsidR="009C1535" w:rsidRPr="00783992" w:rsidRDefault="009C1535" w:rsidP="00005C9A">
      <w:pPr>
        <w:jc w:val="both"/>
        <w:rPr>
          <w:rFonts w:ascii="Arial" w:eastAsia="Calibri" w:hAnsi="Arial" w:cs="Arial"/>
          <w:b/>
          <w:bCs/>
          <w:color w:val="000000" w:themeColor="text1"/>
          <w:sz w:val="22"/>
        </w:rPr>
      </w:pPr>
    </w:p>
    <w:p w14:paraId="72400979" w14:textId="77777777" w:rsidR="009C1535" w:rsidRPr="00783992" w:rsidRDefault="009C1535" w:rsidP="009C1535">
      <w:pPr>
        <w:pStyle w:val="Prrafodelista"/>
        <w:tabs>
          <w:tab w:val="left" w:pos="284"/>
        </w:tabs>
        <w:spacing w:line="276" w:lineRule="auto"/>
        <w:ind w:left="0"/>
        <w:jc w:val="both"/>
        <w:rPr>
          <w:rFonts w:ascii="Arial" w:eastAsia="Calibri" w:hAnsi="Arial" w:cs="Arial"/>
          <w:color w:val="000000" w:themeColor="text1"/>
          <w:sz w:val="22"/>
        </w:rPr>
      </w:pPr>
      <w:r w:rsidRPr="00783992">
        <w:rPr>
          <w:rFonts w:ascii="Arial" w:eastAsia="Calibri" w:hAnsi="Arial" w:cs="Arial"/>
          <w:b/>
          <w:color w:val="000000" w:themeColor="text1"/>
          <w:sz w:val="22"/>
        </w:rPr>
        <w:t>3. Respuestas</w:t>
      </w:r>
    </w:p>
    <w:p w14:paraId="7240097A" w14:textId="77777777" w:rsidR="009C1535" w:rsidRPr="00783992" w:rsidRDefault="009C1535" w:rsidP="009C1535">
      <w:pPr>
        <w:spacing w:line="276" w:lineRule="auto"/>
        <w:ind w:left="709" w:right="709"/>
        <w:jc w:val="both"/>
        <w:rPr>
          <w:rFonts w:ascii="Arial" w:eastAsia="Calibri" w:hAnsi="Arial" w:cs="Arial"/>
          <w:i/>
          <w:color w:val="000000" w:themeColor="text1"/>
          <w:sz w:val="22"/>
        </w:rPr>
      </w:pPr>
    </w:p>
    <w:p w14:paraId="7240097B" w14:textId="77777777" w:rsidR="00C44678" w:rsidRPr="00005C9A" w:rsidRDefault="00C44678" w:rsidP="00005C9A">
      <w:pPr>
        <w:tabs>
          <w:tab w:val="left" w:pos="426"/>
        </w:tabs>
        <w:ind w:left="709" w:right="709"/>
        <w:jc w:val="both"/>
        <w:rPr>
          <w:rFonts w:ascii="Arial" w:eastAsia="Calibri" w:hAnsi="Arial" w:cs="Arial"/>
          <w:color w:val="000000" w:themeColor="text1"/>
          <w:sz w:val="20"/>
          <w:szCs w:val="20"/>
        </w:rPr>
      </w:pPr>
      <w:r w:rsidRPr="00005C9A">
        <w:rPr>
          <w:rFonts w:ascii="Arial" w:eastAsia="Calibri" w:hAnsi="Arial" w:cs="Arial"/>
          <w:color w:val="000000" w:themeColor="text1"/>
          <w:sz w:val="20"/>
          <w:szCs w:val="20"/>
        </w:rPr>
        <w:t>«1. ¿La entidad pública DEBE rechazar de plano al proponente que no relacione alguno de los contratos que tenía en ejecución al momento del cierre, es decir, le asiste o no la oportunidad de subsanar al proponente hasta antes de la adjudicación?»</w:t>
      </w:r>
    </w:p>
    <w:p w14:paraId="35049F4F" w14:textId="77777777" w:rsidR="00403BC3" w:rsidRPr="00005C9A" w:rsidRDefault="00403BC3" w:rsidP="00307797">
      <w:pPr>
        <w:autoSpaceDE w:val="0"/>
        <w:autoSpaceDN w:val="0"/>
        <w:adjustRightInd w:val="0"/>
        <w:ind w:left="709" w:right="709"/>
        <w:jc w:val="both"/>
        <w:rPr>
          <w:rFonts w:ascii="Arial" w:eastAsia="Calibri" w:hAnsi="Arial" w:cs="Arial"/>
          <w:color w:val="000000" w:themeColor="text1"/>
          <w:sz w:val="20"/>
          <w:szCs w:val="20"/>
        </w:rPr>
      </w:pPr>
    </w:p>
    <w:p w14:paraId="48F25EA8" w14:textId="0AFEDFCC" w:rsidR="00403BC3" w:rsidRPr="00005C9A" w:rsidRDefault="002C7A39" w:rsidP="002C7A39">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2. En caso de que la respuesta sea que el proponente puede subsanar ¿La palabra AFECTE que se indica en el párrafo enunciado, quiere decir, que se debe rechazar únicamente en caso de que no cumpla con el k residual que solicita la entidad o hace relación a que se si se aumenta o disminuye el valor de k residual (lo cual ocurriría en caso de que no se haya reportado un contrato), indistintamente que se cumpla con el k residual?</w:t>
      </w:r>
    </w:p>
    <w:p w14:paraId="7240097C" w14:textId="0D607843" w:rsidR="00C44678" w:rsidRPr="00005C9A" w:rsidRDefault="00C44678" w:rsidP="007E090E">
      <w:pPr>
        <w:autoSpaceDE w:val="0"/>
        <w:autoSpaceDN w:val="0"/>
        <w:adjustRightInd w:val="0"/>
        <w:ind w:left="709" w:right="709"/>
        <w:jc w:val="both"/>
        <w:rPr>
          <w:rFonts w:ascii="Arial" w:eastAsia="Calibri" w:hAnsi="Arial" w:cs="Arial"/>
          <w:color w:val="000000" w:themeColor="text1"/>
          <w:sz w:val="20"/>
          <w:szCs w:val="20"/>
        </w:rPr>
      </w:pPr>
      <w:r w:rsidRPr="00005C9A">
        <w:rPr>
          <w:rFonts w:ascii="Arial" w:eastAsia="Calibri" w:hAnsi="Arial" w:cs="Arial"/>
          <w:color w:val="000000" w:themeColor="text1"/>
          <w:sz w:val="20"/>
          <w:szCs w:val="20"/>
        </w:rPr>
        <w:t xml:space="preserve"> </w:t>
      </w:r>
    </w:p>
    <w:p w14:paraId="7240097D" w14:textId="344101CB" w:rsidR="00C44678" w:rsidRPr="00005C9A" w:rsidRDefault="002C7A39" w:rsidP="006211D9">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 xml:space="preserve">3. En caso de que la respuesta sea que se debe rechazar sin solicitar subsanación ello no contraviene lo establecido en la Ley 1882 de 2018 </w:t>
      </w:r>
      <w:r w:rsidR="004F0600">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w:t>
      </w:r>
      <w:r w:rsidR="004F0600">
        <w:rPr>
          <w:rFonts w:ascii="Arial" w:eastAsia="Calibri" w:hAnsi="Arial" w:cs="Arial"/>
          <w:color w:val="000000" w:themeColor="text1"/>
          <w:sz w:val="20"/>
          <w:szCs w:val="20"/>
        </w:rPr>
        <w:t>]</w:t>
      </w:r>
    </w:p>
    <w:p w14:paraId="75D90A11" w14:textId="77777777" w:rsidR="00403BC3" w:rsidRPr="00005C9A" w:rsidRDefault="00403BC3">
      <w:pPr>
        <w:autoSpaceDE w:val="0"/>
        <w:autoSpaceDN w:val="0"/>
        <w:adjustRightInd w:val="0"/>
        <w:ind w:left="709" w:right="709"/>
        <w:jc w:val="both"/>
        <w:rPr>
          <w:rFonts w:ascii="Arial" w:eastAsia="Calibri" w:hAnsi="Arial" w:cs="Arial"/>
          <w:color w:val="000000" w:themeColor="text1"/>
          <w:sz w:val="20"/>
          <w:szCs w:val="20"/>
        </w:rPr>
      </w:pPr>
    </w:p>
    <w:p w14:paraId="7240097E" w14:textId="3CEE9B9E" w:rsidR="00C44678" w:rsidRPr="00005C9A" w:rsidRDefault="002C7A39">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 xml:space="preserve">4. La única causal de rechazo estipulada en la Ley de manera taxativa es la estipulada en el parágrafo N° 3 </w:t>
      </w:r>
      <w:proofErr w:type="spellStart"/>
      <w:r w:rsidR="00C44678" w:rsidRPr="00005C9A">
        <w:rPr>
          <w:rFonts w:ascii="Arial" w:eastAsia="Calibri" w:hAnsi="Arial" w:cs="Arial"/>
          <w:color w:val="000000" w:themeColor="text1"/>
          <w:sz w:val="20"/>
          <w:szCs w:val="20"/>
        </w:rPr>
        <w:t>ibidem</w:t>
      </w:r>
      <w:proofErr w:type="spellEnd"/>
      <w:r w:rsidR="00C44678" w:rsidRPr="00005C9A">
        <w:rPr>
          <w:rFonts w:ascii="Arial" w:eastAsia="Calibri" w:hAnsi="Arial" w:cs="Arial"/>
          <w:color w:val="000000" w:themeColor="text1"/>
          <w:sz w:val="20"/>
          <w:szCs w:val="20"/>
        </w:rPr>
        <w:t xml:space="preserve"> que es la no entrega de la garantía de seriedad al momento de la presentación de la propuesta y además determina sin modo a interpretación que NO ES SUBSANABLE, ¿En caso de que su respuesta </w:t>
      </w:r>
      <w:r w:rsidR="00C44678" w:rsidRPr="00005C9A">
        <w:rPr>
          <w:rFonts w:ascii="Arial" w:eastAsia="Calibri" w:hAnsi="Arial" w:cs="Arial"/>
          <w:color w:val="000000" w:themeColor="text1"/>
          <w:sz w:val="20"/>
          <w:szCs w:val="20"/>
        </w:rPr>
        <w:lastRenderedPageBreak/>
        <w:t>indique que no se puede subsanar, solicito de manera expresa el sustento jurídico donde se estipula que dicho requisito habilitante no es subsanable?»</w:t>
      </w:r>
    </w:p>
    <w:p w14:paraId="7776BB04" w14:textId="77777777" w:rsidR="00403BC3" w:rsidRPr="00005C9A" w:rsidRDefault="00403BC3">
      <w:pPr>
        <w:autoSpaceDE w:val="0"/>
        <w:autoSpaceDN w:val="0"/>
        <w:adjustRightInd w:val="0"/>
        <w:ind w:left="709" w:right="709"/>
        <w:jc w:val="both"/>
        <w:rPr>
          <w:rFonts w:ascii="Arial" w:eastAsia="Calibri" w:hAnsi="Arial" w:cs="Arial"/>
          <w:color w:val="000000" w:themeColor="text1"/>
          <w:sz w:val="20"/>
          <w:szCs w:val="20"/>
        </w:rPr>
      </w:pPr>
    </w:p>
    <w:p w14:paraId="7240097F" w14:textId="28D4D231" w:rsidR="00C44678" w:rsidRPr="00005C9A" w:rsidRDefault="002C7A39">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 xml:space="preserve">5. Si la conclusión es que se puede estipular dicha causal de rechazo sin solicitar subsanación, ¿Se pueden determinar en el pliego tipo aspectos que contravienen la ley, si la respuesta es SI, solicito el sustento legal?» </w:t>
      </w:r>
    </w:p>
    <w:p w14:paraId="6AE99FCF" w14:textId="77777777" w:rsidR="00403BC3" w:rsidRPr="00005C9A" w:rsidRDefault="00403BC3">
      <w:pPr>
        <w:autoSpaceDE w:val="0"/>
        <w:autoSpaceDN w:val="0"/>
        <w:adjustRightInd w:val="0"/>
        <w:ind w:left="709" w:right="709"/>
        <w:jc w:val="both"/>
        <w:rPr>
          <w:rFonts w:ascii="Arial" w:eastAsia="Calibri" w:hAnsi="Arial" w:cs="Arial"/>
          <w:color w:val="000000" w:themeColor="text1"/>
          <w:sz w:val="20"/>
          <w:szCs w:val="20"/>
        </w:rPr>
      </w:pPr>
    </w:p>
    <w:p w14:paraId="72400980" w14:textId="27E327D8" w:rsidR="00C44678" w:rsidRPr="00005C9A" w:rsidRDefault="002C7A39">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6. En caso de que la entidad o algún proponente evidencie la falta de relacionar algún contrato por uno de los proponentes, y en caso de que se pueda subsanar ¿La entidad tiene el deber de requerir al proponente que omitió relacionar el contrato y deberá otorgar el tiempo que estipula la CIRCULAR UNICA</w:t>
      </w:r>
      <w:r w:rsidR="00403BC3" w:rsidRPr="00005C9A">
        <w:rPr>
          <w:rFonts w:ascii="Arial" w:eastAsia="Calibri" w:hAnsi="Arial" w:cs="Arial"/>
          <w:color w:val="000000" w:themeColor="text1"/>
          <w:sz w:val="20"/>
          <w:szCs w:val="20"/>
        </w:rPr>
        <w:t xml:space="preserve"> [</w:t>
      </w:r>
      <w:r w:rsidR="00C44678" w:rsidRPr="00005C9A">
        <w:rPr>
          <w:rFonts w:ascii="Arial" w:eastAsia="Calibri" w:hAnsi="Arial" w:cs="Arial"/>
          <w:color w:val="000000" w:themeColor="text1"/>
          <w:sz w:val="20"/>
          <w:szCs w:val="20"/>
        </w:rPr>
        <w:t>…</w:t>
      </w:r>
      <w:r w:rsidR="00403BC3" w:rsidRPr="00005C9A">
        <w:rPr>
          <w:rFonts w:ascii="Arial" w:eastAsia="Calibri" w:hAnsi="Arial" w:cs="Arial"/>
          <w:color w:val="000000" w:themeColor="text1"/>
          <w:sz w:val="20"/>
          <w:szCs w:val="20"/>
        </w:rPr>
        <w:t>]</w:t>
      </w:r>
      <w:r w:rsidR="00C44678" w:rsidRPr="00005C9A">
        <w:rPr>
          <w:rFonts w:ascii="Arial" w:eastAsia="Calibri" w:hAnsi="Arial" w:cs="Arial"/>
          <w:color w:val="000000" w:themeColor="text1"/>
          <w:sz w:val="20"/>
          <w:szCs w:val="20"/>
        </w:rPr>
        <w:t>»</w:t>
      </w:r>
      <w:r w:rsidR="00403BC3" w:rsidRPr="00005C9A">
        <w:rPr>
          <w:rFonts w:ascii="Arial" w:eastAsia="Calibri" w:hAnsi="Arial" w:cs="Arial"/>
          <w:color w:val="000000" w:themeColor="text1"/>
          <w:sz w:val="20"/>
          <w:szCs w:val="20"/>
        </w:rPr>
        <w:t>.</w:t>
      </w:r>
    </w:p>
    <w:p w14:paraId="72400981" w14:textId="77777777" w:rsidR="009C1535" w:rsidRPr="00783992" w:rsidRDefault="009C1535" w:rsidP="009C1535">
      <w:pPr>
        <w:spacing w:line="276" w:lineRule="auto"/>
        <w:ind w:left="709" w:right="709"/>
        <w:jc w:val="both"/>
        <w:rPr>
          <w:rFonts w:ascii="Arial" w:eastAsia="Calibri" w:hAnsi="Arial" w:cs="Arial"/>
          <w:color w:val="000000" w:themeColor="text1"/>
          <w:sz w:val="22"/>
          <w:highlight w:val="yellow"/>
        </w:rPr>
      </w:pPr>
    </w:p>
    <w:p w14:paraId="72400982" w14:textId="4C9EFA87" w:rsidR="009C1535" w:rsidRPr="00783992" w:rsidRDefault="009C1535" w:rsidP="009C1535">
      <w:pPr>
        <w:spacing w:after="120" w:line="276" w:lineRule="auto"/>
        <w:jc w:val="both"/>
        <w:rPr>
          <w:rFonts w:ascii="Arial" w:hAnsi="Arial" w:cs="Arial"/>
          <w:color w:val="000000" w:themeColor="text1"/>
          <w:sz w:val="22"/>
        </w:rPr>
      </w:pPr>
      <w:r w:rsidRPr="00783992">
        <w:rPr>
          <w:rFonts w:ascii="Arial" w:hAnsi="Arial" w:cs="Arial"/>
          <w:color w:val="000000" w:themeColor="text1"/>
          <w:sz w:val="22"/>
        </w:rPr>
        <w:t>De acuerdo con el artículo 6 de la Ley 1150 de 2007 y lo previsto en el numeral 3.1</w:t>
      </w:r>
      <w:r w:rsidR="00005C9A">
        <w:rPr>
          <w:rFonts w:ascii="Arial" w:hAnsi="Arial" w:cs="Arial"/>
          <w:color w:val="000000" w:themeColor="text1"/>
          <w:sz w:val="22"/>
        </w:rPr>
        <w:t>1</w:t>
      </w:r>
      <w:r w:rsidRPr="00783992">
        <w:rPr>
          <w:rFonts w:ascii="Arial" w:hAnsi="Arial" w:cs="Arial"/>
          <w:color w:val="000000" w:themeColor="text1"/>
          <w:sz w:val="22"/>
        </w:rPr>
        <w:t xml:space="preserve"> «CAPACIDAD RESIDUAL» del «Documento Base o Pliego Tipo», la capacidad residual es un requisito habilitante susceptible de </w:t>
      </w:r>
      <w:r w:rsidR="000F7372" w:rsidRPr="00783992">
        <w:rPr>
          <w:rFonts w:ascii="Arial" w:hAnsi="Arial" w:cs="Arial"/>
          <w:color w:val="000000" w:themeColor="text1"/>
          <w:sz w:val="22"/>
        </w:rPr>
        <w:t>subsana</w:t>
      </w:r>
      <w:r w:rsidR="000F7372">
        <w:rPr>
          <w:rFonts w:ascii="Arial" w:hAnsi="Arial" w:cs="Arial"/>
          <w:color w:val="000000" w:themeColor="text1"/>
          <w:sz w:val="22"/>
        </w:rPr>
        <w:t>ción</w:t>
      </w:r>
      <w:r w:rsidRPr="00783992">
        <w:rPr>
          <w:rFonts w:ascii="Arial" w:hAnsi="Arial" w:cs="Arial"/>
          <w:color w:val="000000" w:themeColor="text1"/>
          <w:sz w:val="22"/>
        </w:rPr>
        <w:t xml:space="preserve">, por no afectar la asignación de puntaje del procedimiento de selección. Ahora, la entidad solo podrá requerir información al proponente que no haya sido aportada al momento de la inscripción del Registro Único de Proponentes, y el proponente deberá aportarla a más tardar durante el traslado del informe de evaluación. </w:t>
      </w:r>
    </w:p>
    <w:p w14:paraId="72400984" w14:textId="09FDFBDE" w:rsidR="009C1535" w:rsidRDefault="009C1535" w:rsidP="00005C9A">
      <w:pPr>
        <w:spacing w:line="276" w:lineRule="auto"/>
        <w:ind w:firstLine="708"/>
        <w:jc w:val="both"/>
        <w:rPr>
          <w:rFonts w:ascii="Arial" w:eastAsia="Calibri" w:hAnsi="Arial" w:cs="Arial"/>
          <w:color w:val="000000" w:themeColor="text1"/>
          <w:sz w:val="22"/>
          <w:highlight w:val="yellow"/>
        </w:rPr>
      </w:pPr>
      <w:r w:rsidRPr="00783992">
        <w:rPr>
          <w:rFonts w:ascii="Arial" w:hAnsi="Arial" w:cs="Arial"/>
          <w:color w:val="000000" w:themeColor="text1"/>
          <w:sz w:val="22"/>
        </w:rPr>
        <w:t>En el caso de la licitación pública de obra, el término de traslado del informe de evaluación será dentro de los cinco (5) días hábiles siguientes a su expedición</w:t>
      </w:r>
      <w:r w:rsidRPr="00783992">
        <w:rPr>
          <w:rStyle w:val="Refdenotaalpie"/>
          <w:rFonts w:ascii="Arial" w:hAnsi="Arial" w:cs="Arial"/>
          <w:color w:val="000000" w:themeColor="text1"/>
          <w:sz w:val="22"/>
        </w:rPr>
        <w:footnoteReference w:id="20"/>
      </w:r>
      <w:r w:rsidRPr="00783992">
        <w:rPr>
          <w:rFonts w:ascii="Arial" w:hAnsi="Arial" w:cs="Arial"/>
          <w:color w:val="000000" w:themeColor="text1"/>
          <w:sz w:val="22"/>
        </w:rPr>
        <w:t>. En el evento en que el proponente no aporte la información o la documentación seña</w:t>
      </w:r>
      <w:r w:rsidR="00C44678">
        <w:rPr>
          <w:rFonts w:ascii="Arial" w:hAnsi="Arial" w:cs="Arial"/>
          <w:color w:val="000000" w:themeColor="text1"/>
          <w:sz w:val="22"/>
        </w:rPr>
        <w:t>la</w:t>
      </w:r>
      <w:r w:rsidRPr="00783992">
        <w:rPr>
          <w:rFonts w:ascii="Arial" w:hAnsi="Arial" w:cs="Arial"/>
          <w:color w:val="000000" w:themeColor="text1"/>
          <w:sz w:val="22"/>
        </w:rPr>
        <w:t>da dentro de este término, será procedente el rechazo de su oferta. En este sentido, el «Documento base o Pliego Tipo» reiteró, en el numeral «1.15 CAUSALES DE RECHAZO», literal E)</w:t>
      </w:r>
      <w:r w:rsidRPr="00783992">
        <w:rPr>
          <w:rStyle w:val="Refdenotaalpie"/>
          <w:rFonts w:ascii="Arial" w:hAnsi="Arial" w:cs="Arial"/>
          <w:color w:val="000000" w:themeColor="text1"/>
          <w:sz w:val="22"/>
        </w:rPr>
        <w:footnoteReference w:id="21"/>
      </w:r>
      <w:r w:rsidRPr="00783992">
        <w:rPr>
          <w:rFonts w:ascii="Arial" w:hAnsi="Arial" w:cs="Arial"/>
          <w:color w:val="000000" w:themeColor="text1"/>
          <w:sz w:val="22"/>
        </w:rPr>
        <w:t>, la facultad que tiene la entidad de rechazar la oferta cuando el proponente no aporta la información solicitada dentro del traslado del informe de evaluación.</w:t>
      </w:r>
    </w:p>
    <w:p w14:paraId="72400985" w14:textId="0CE519A9" w:rsidR="00C44678" w:rsidRPr="003F3784" w:rsidRDefault="00C44678" w:rsidP="00005C9A">
      <w:pPr>
        <w:pStyle w:val="Textoindependiente"/>
        <w:spacing w:before="120" w:line="276" w:lineRule="auto"/>
        <w:ind w:firstLine="607"/>
        <w:jc w:val="both"/>
      </w:pPr>
      <w:r w:rsidRPr="00ED159D">
        <w:rPr>
          <w:rFonts w:eastAsia="Calibri"/>
          <w:color w:val="000000" w:themeColor="text1"/>
        </w:rPr>
        <w:t xml:space="preserve">En todo caso, </w:t>
      </w:r>
      <w:r w:rsidRPr="00ED159D">
        <w:t>en el evento en que el oferente no relacione la totalidad de contratos en ejecución necesarios</w:t>
      </w:r>
      <w:r w:rsidRPr="003F3784">
        <w:t xml:space="preserve"> para calcular la capacidad residual, y la entidad, en ejercicio de la potestad verificadora, los haya identificado, debe aplicar la regla establecida en el numeral </w:t>
      </w:r>
      <w:r w:rsidRPr="003F3784">
        <w:lastRenderedPageBreak/>
        <w:t>3.</w:t>
      </w:r>
      <w:r w:rsidR="00005C9A" w:rsidRPr="003F3784">
        <w:t>1</w:t>
      </w:r>
      <w:r w:rsidR="00005C9A">
        <w:t>1</w:t>
      </w:r>
      <w:r w:rsidRPr="003F3784">
        <w:t xml:space="preserve">del </w:t>
      </w:r>
      <w:r w:rsidR="00C3359A">
        <w:t>«</w:t>
      </w:r>
      <w:r w:rsidRPr="003F3784">
        <w:t>Documento Base</w:t>
      </w:r>
      <w:r w:rsidR="00C3359A">
        <w:t>»</w:t>
      </w:r>
      <w:r w:rsidRPr="003F3784">
        <w:t xml:space="preserve">, es decir, los debe incluir para el cálculo, </w:t>
      </w:r>
      <w:r w:rsidR="00F4203E">
        <w:t>«</w:t>
      </w:r>
      <w:r w:rsidRPr="003F3784">
        <w:t>sin perjuicio de las acciones administrativas y/o judiciales a que haya lugar, en contra de la (s) persona (s) que haya (n) suscrito las certificaciones exigidas para el cálculo de la capacidad residual</w:t>
      </w:r>
      <w:r w:rsidR="00F4203E">
        <w:t>»</w:t>
      </w:r>
      <w:r w:rsidRPr="003F3784">
        <w:t>.</w:t>
      </w:r>
    </w:p>
    <w:p w14:paraId="72400986" w14:textId="77777777" w:rsidR="00C44678" w:rsidRPr="003F3784" w:rsidRDefault="00C44678" w:rsidP="00C44678">
      <w:pPr>
        <w:pStyle w:val="Textoindependiente"/>
        <w:spacing w:before="2"/>
        <w:rPr>
          <w:sz w:val="25"/>
        </w:rPr>
      </w:pPr>
    </w:p>
    <w:p w14:paraId="72400987" w14:textId="35002564" w:rsidR="00C44678" w:rsidRPr="003F3784" w:rsidRDefault="00C44678" w:rsidP="00C44678">
      <w:pPr>
        <w:pStyle w:val="Textoindependiente"/>
        <w:tabs>
          <w:tab w:val="left" w:pos="8364"/>
        </w:tabs>
        <w:spacing w:line="278" w:lineRule="auto"/>
        <w:ind w:firstLine="608"/>
        <w:jc w:val="both"/>
        <w:rPr>
          <w:sz w:val="20"/>
        </w:rPr>
      </w:pPr>
      <w:r w:rsidRPr="003F3784">
        <w:t>Por lo anterior, la entidad estatal debe aplicar el numeral 3.1</w:t>
      </w:r>
      <w:r w:rsidR="00005C9A">
        <w:t>1</w:t>
      </w:r>
      <w:r w:rsidRPr="003F3784">
        <w:t xml:space="preserve"> enunciado, en armonía con las reglas de </w:t>
      </w:r>
      <w:proofErr w:type="spellStart"/>
      <w:r w:rsidRPr="003F3784">
        <w:t>subsanabilidad</w:t>
      </w:r>
      <w:proofErr w:type="spellEnd"/>
      <w:r w:rsidRPr="003F3784">
        <w:t xml:space="preserve"> del numeral 1.6 del </w:t>
      </w:r>
      <w:r w:rsidR="00F4203E">
        <w:t>«</w:t>
      </w:r>
      <w:r w:rsidRPr="003F3784">
        <w:t>Documento Base</w:t>
      </w:r>
      <w:r w:rsidR="00F4203E">
        <w:t>»</w:t>
      </w:r>
      <w:r w:rsidRPr="003F3784">
        <w:t>.</w:t>
      </w:r>
    </w:p>
    <w:p w14:paraId="72400988" w14:textId="77777777" w:rsidR="009C1535" w:rsidRPr="00783992" w:rsidRDefault="009C1535" w:rsidP="009C1535">
      <w:pPr>
        <w:spacing w:line="276" w:lineRule="auto"/>
        <w:ind w:left="709" w:right="709"/>
        <w:jc w:val="both"/>
        <w:rPr>
          <w:rFonts w:ascii="Arial" w:eastAsia="Calibri" w:hAnsi="Arial" w:cs="Arial"/>
          <w:color w:val="000000" w:themeColor="text1"/>
          <w:sz w:val="22"/>
        </w:rPr>
      </w:pPr>
    </w:p>
    <w:p w14:paraId="72400989" w14:textId="77777777" w:rsidR="009C1535" w:rsidRPr="00783992" w:rsidRDefault="009C1535" w:rsidP="009C1535">
      <w:pPr>
        <w:spacing w:line="276" w:lineRule="auto"/>
        <w:jc w:val="both"/>
        <w:rPr>
          <w:rFonts w:ascii="Arial" w:eastAsia="Calibri" w:hAnsi="Arial" w:cs="Arial"/>
          <w:color w:val="000000" w:themeColor="text1"/>
          <w:sz w:val="22"/>
        </w:rPr>
      </w:pPr>
      <w:r w:rsidRPr="00783992">
        <w:rPr>
          <w:rFonts w:ascii="Arial" w:eastAsia="Calibri" w:hAnsi="Arial" w:cs="Arial"/>
          <w:color w:val="000000" w:themeColor="text1"/>
          <w:sz w:val="22"/>
        </w:rPr>
        <w:t>Este concepto tiene el alcance previsto en el artículo 28 del Código de Procedimiento Administrativo y de lo Contencioso Administrativo.</w:t>
      </w:r>
    </w:p>
    <w:p w14:paraId="7240098A" w14:textId="77777777" w:rsidR="009C1535" w:rsidRPr="00783992" w:rsidRDefault="009C1535" w:rsidP="009C1535">
      <w:pPr>
        <w:spacing w:line="276" w:lineRule="auto"/>
        <w:jc w:val="both"/>
        <w:rPr>
          <w:rFonts w:ascii="Arial" w:eastAsia="Calibri" w:hAnsi="Arial" w:cs="Arial"/>
          <w:color w:val="000000" w:themeColor="text1"/>
          <w:sz w:val="22"/>
        </w:rPr>
      </w:pPr>
    </w:p>
    <w:p w14:paraId="7240098B" w14:textId="77777777" w:rsidR="009C1535" w:rsidRPr="00783992" w:rsidRDefault="009C1535" w:rsidP="009C1535">
      <w:pPr>
        <w:jc w:val="both"/>
        <w:rPr>
          <w:rFonts w:ascii="Arial" w:eastAsia="Calibri" w:hAnsi="Arial" w:cs="Arial"/>
          <w:color w:val="000000" w:themeColor="text1"/>
          <w:sz w:val="22"/>
        </w:rPr>
      </w:pPr>
      <w:r w:rsidRPr="00783992">
        <w:rPr>
          <w:noProof/>
          <w:color w:val="000000" w:themeColor="text1"/>
          <w:lang w:val="es-CO" w:eastAsia="es-CO"/>
        </w:rPr>
        <mc:AlternateContent>
          <mc:Choice Requires="wps">
            <w:drawing>
              <wp:anchor distT="0" distB="0" distL="114300" distR="114300" simplePos="0" relativeHeight="251659264" behindDoc="0" locked="0" layoutInCell="1" allowOverlap="1" wp14:anchorId="724009A3" wp14:editId="724009A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01C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240098C" w14:textId="77777777" w:rsidR="009C1535" w:rsidRDefault="009C1535" w:rsidP="009C1535">
      <w:pPr>
        <w:rPr>
          <w:rFonts w:ascii="Arial" w:eastAsia="Times New Roman" w:hAnsi="Arial" w:cs="Arial"/>
          <w:color w:val="000000" w:themeColor="text1"/>
          <w:sz w:val="22"/>
          <w:lang w:eastAsia="es-CO"/>
        </w:rPr>
      </w:pPr>
      <w:r w:rsidRPr="00783992">
        <w:rPr>
          <w:rFonts w:ascii="Arial" w:eastAsia="Times New Roman" w:hAnsi="Arial" w:cs="Arial"/>
          <w:color w:val="000000" w:themeColor="text1"/>
          <w:sz w:val="22"/>
          <w:lang w:eastAsia="es-CO"/>
        </w:rPr>
        <w:t>Atentamente,</w:t>
      </w:r>
    </w:p>
    <w:p w14:paraId="7240098D" w14:textId="77777777" w:rsidR="00ED159D" w:rsidRDefault="00ED159D" w:rsidP="009C1535">
      <w:pPr>
        <w:rPr>
          <w:rFonts w:ascii="Arial" w:eastAsia="Times New Roman" w:hAnsi="Arial" w:cs="Arial"/>
          <w:color w:val="000000" w:themeColor="text1"/>
          <w:sz w:val="22"/>
          <w:lang w:eastAsia="es-CO"/>
        </w:rPr>
      </w:pPr>
    </w:p>
    <w:p w14:paraId="7240098E" w14:textId="578ACD8C" w:rsidR="00ED159D" w:rsidRPr="00783992" w:rsidRDefault="00AC5B0D" w:rsidP="00ED159D">
      <w:pPr>
        <w:jc w:val="center"/>
        <w:rPr>
          <w:rFonts w:ascii="Arial" w:eastAsia="Times New Roman" w:hAnsi="Arial" w:cs="Arial"/>
          <w:color w:val="000000" w:themeColor="text1"/>
          <w:sz w:val="22"/>
          <w:lang w:eastAsia="es-CO"/>
        </w:rPr>
      </w:pPr>
      <w:r w:rsidRPr="00AC5B0D">
        <w:rPr>
          <w:rFonts w:ascii="Arial" w:eastAsia="Times New Roman" w:hAnsi="Arial" w:cs="Arial"/>
          <w:noProof/>
          <w:color w:val="000000" w:themeColor="text1"/>
          <w:sz w:val="22"/>
          <w:lang w:val="es-CO" w:eastAsia="es-CO"/>
        </w:rPr>
        <w:drawing>
          <wp:inline distT="0" distB="0" distL="0" distR="0" wp14:anchorId="542624F2" wp14:editId="2C6517C2">
            <wp:extent cx="2171700" cy="923925"/>
            <wp:effectExtent l="0" t="0" r="0" b="9525"/>
            <wp:docPr id="3" name="Imagen 3" descr="C:\Users\Andres\Desktop\CCE\Original firmado Manc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s\Desktop\CCE\Original firmado Mancip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r w:rsidRPr="00AC5B0D">
        <w:rPr>
          <w:rFonts w:ascii="Arial" w:eastAsia="Times New Roman" w:hAnsi="Arial" w:cs="Arial"/>
          <w:noProof/>
          <w:color w:val="000000" w:themeColor="text1"/>
          <w:sz w:val="22"/>
          <w:lang w:val="es-CO" w:eastAsia="es-CO"/>
        </w:rPr>
        <w:t xml:space="preserve"> </w:t>
      </w:r>
      <w:bookmarkStart w:id="46" w:name="_GoBack"/>
      <w:bookmarkEnd w:id="46"/>
    </w:p>
    <w:p w14:paraId="7240098F" w14:textId="77777777" w:rsidR="009C1535" w:rsidRPr="00783992" w:rsidRDefault="009C1535" w:rsidP="009C1535">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C1535" w:rsidRPr="00783992" w14:paraId="72400993" w14:textId="77777777" w:rsidTr="003B683C">
        <w:trPr>
          <w:trHeight w:val="315"/>
        </w:trPr>
        <w:tc>
          <w:tcPr>
            <w:tcW w:w="488" w:type="dxa"/>
            <w:vAlign w:val="center"/>
            <w:hideMark/>
          </w:tcPr>
          <w:p w14:paraId="72400990" w14:textId="77777777" w:rsidR="009C1535" w:rsidRPr="00783992" w:rsidRDefault="009C1535" w:rsidP="003B683C">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2400991" w14:textId="77777777" w:rsidR="009C1535" w:rsidRPr="00783992" w:rsidRDefault="00AB24F3" w:rsidP="003B683C">
            <w:pPr>
              <w:rPr>
                <w:rFonts w:ascii="Arial" w:eastAsia="Times New Roman" w:hAnsi="Arial" w:cs="Arial"/>
                <w:color w:val="000000" w:themeColor="text1"/>
                <w:sz w:val="16"/>
                <w:szCs w:val="16"/>
                <w:lang w:eastAsia="es-ES"/>
              </w:rPr>
            </w:pPr>
            <w:proofErr w:type="spellStart"/>
            <w:r>
              <w:rPr>
                <w:rFonts w:ascii="Arial" w:eastAsia="Times New Roman" w:hAnsi="Arial" w:cs="Arial"/>
                <w:color w:val="000000" w:themeColor="text1"/>
                <w:sz w:val="16"/>
                <w:szCs w:val="16"/>
                <w:lang w:eastAsia="es-ES"/>
              </w:rPr>
              <w:t>Nathali</w:t>
            </w:r>
            <w:r w:rsidR="00C44678">
              <w:rPr>
                <w:rFonts w:ascii="Arial" w:eastAsia="Times New Roman" w:hAnsi="Arial" w:cs="Arial"/>
                <w:color w:val="000000" w:themeColor="text1"/>
                <w:sz w:val="16"/>
                <w:szCs w:val="16"/>
                <w:lang w:eastAsia="es-ES"/>
              </w:rPr>
              <w:t>a</w:t>
            </w:r>
            <w:proofErr w:type="spellEnd"/>
            <w:r w:rsidR="00C44678">
              <w:rPr>
                <w:rFonts w:ascii="Arial" w:eastAsia="Times New Roman" w:hAnsi="Arial" w:cs="Arial"/>
                <w:color w:val="000000" w:themeColor="text1"/>
                <w:sz w:val="16"/>
                <w:szCs w:val="16"/>
                <w:lang w:eastAsia="es-ES"/>
              </w:rPr>
              <w:t xml:space="preserve"> Urrego Jiménez</w:t>
            </w:r>
          </w:p>
          <w:p w14:paraId="72400992" w14:textId="77777777" w:rsidR="009C1535" w:rsidRPr="00783992" w:rsidRDefault="00C44678" w:rsidP="003B683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Subdirección de Gestión Contractual</w:t>
            </w:r>
          </w:p>
        </w:tc>
      </w:tr>
      <w:tr w:rsidR="009C1535" w:rsidRPr="00783992" w14:paraId="72400997" w14:textId="77777777" w:rsidTr="003B683C">
        <w:trPr>
          <w:trHeight w:val="330"/>
        </w:trPr>
        <w:tc>
          <w:tcPr>
            <w:tcW w:w="488" w:type="dxa"/>
            <w:vAlign w:val="center"/>
            <w:hideMark/>
          </w:tcPr>
          <w:p w14:paraId="72400994" w14:textId="77777777" w:rsidR="009C1535" w:rsidRPr="00783992" w:rsidRDefault="009C1535" w:rsidP="003B683C">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400995" w14:textId="61A7387B" w:rsidR="009C1535" w:rsidRPr="00783992" w:rsidRDefault="00D2565C" w:rsidP="003B683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400996" w14:textId="03E21A12" w:rsidR="009C1535" w:rsidRPr="00783992" w:rsidRDefault="00D2565C" w:rsidP="003B683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9C1535" w:rsidRPr="00783992">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9C1535" w:rsidRPr="00783992">
              <w:rPr>
                <w:rFonts w:ascii="Arial" w:eastAsia="Times New Roman" w:hAnsi="Arial" w:cs="Arial"/>
                <w:color w:val="000000" w:themeColor="text1"/>
                <w:sz w:val="16"/>
                <w:szCs w:val="16"/>
                <w:lang w:eastAsia="es-ES"/>
              </w:rPr>
              <w:t xml:space="preserve"> de Gestión Contractual</w:t>
            </w:r>
          </w:p>
        </w:tc>
      </w:tr>
      <w:tr w:rsidR="009C1535" w:rsidRPr="00783992" w14:paraId="7240099B" w14:textId="77777777" w:rsidTr="003B683C">
        <w:trPr>
          <w:trHeight w:val="300"/>
        </w:trPr>
        <w:tc>
          <w:tcPr>
            <w:tcW w:w="488" w:type="dxa"/>
            <w:vAlign w:val="center"/>
            <w:hideMark/>
          </w:tcPr>
          <w:p w14:paraId="72400998" w14:textId="77777777" w:rsidR="009C1535" w:rsidRPr="00783992" w:rsidRDefault="009C1535" w:rsidP="003B683C">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400999" w14:textId="77777777" w:rsidR="00C44678" w:rsidRPr="00783992" w:rsidRDefault="00C44678" w:rsidP="00C4467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Andrés Ricardo Mancipe</w:t>
            </w:r>
          </w:p>
          <w:p w14:paraId="7240099A" w14:textId="77777777" w:rsidR="009C1535" w:rsidRPr="00783992" w:rsidRDefault="00C44678" w:rsidP="00C44678">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(e)</w:t>
            </w:r>
          </w:p>
        </w:tc>
      </w:tr>
      <w:tr w:rsidR="009C1535" w:rsidRPr="00783992" w14:paraId="7240099E" w14:textId="77777777" w:rsidTr="003B683C">
        <w:trPr>
          <w:trHeight w:val="300"/>
        </w:trPr>
        <w:tc>
          <w:tcPr>
            <w:tcW w:w="488" w:type="dxa"/>
            <w:vAlign w:val="center"/>
            <w:hideMark/>
          </w:tcPr>
          <w:p w14:paraId="7240099C" w14:textId="77777777" w:rsidR="009C1535" w:rsidRPr="00783992" w:rsidRDefault="009C1535" w:rsidP="003B683C">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40099D" w14:textId="77777777" w:rsidR="009C1535" w:rsidRPr="00783992" w:rsidRDefault="009C1535" w:rsidP="003B683C">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0</w:t>
            </w:r>
          </w:p>
        </w:tc>
      </w:tr>
    </w:tbl>
    <w:p w14:paraId="7240099F" w14:textId="77777777" w:rsidR="009C1535" w:rsidRPr="00783992" w:rsidRDefault="009C1535" w:rsidP="009C1535">
      <w:pPr>
        <w:jc w:val="both"/>
        <w:rPr>
          <w:rFonts w:ascii="Arial" w:eastAsia="Calibri" w:hAnsi="Arial" w:cs="Arial"/>
          <w:color w:val="000000" w:themeColor="text1"/>
          <w:sz w:val="22"/>
        </w:rPr>
      </w:pPr>
    </w:p>
    <w:p w14:paraId="724009A0" w14:textId="77777777" w:rsidR="009C1535" w:rsidRPr="00783992" w:rsidRDefault="009C1535" w:rsidP="009C1535">
      <w:pPr>
        <w:rPr>
          <w:color w:val="000000" w:themeColor="text1"/>
        </w:rPr>
      </w:pPr>
    </w:p>
    <w:bookmarkEnd w:id="1"/>
    <w:p w14:paraId="724009A1" w14:textId="77777777" w:rsidR="009C1535" w:rsidRPr="00783992" w:rsidRDefault="009C1535" w:rsidP="009C1535">
      <w:pPr>
        <w:pStyle w:val="Prrafodelista"/>
        <w:tabs>
          <w:tab w:val="left" w:pos="284"/>
        </w:tabs>
        <w:spacing w:line="276" w:lineRule="auto"/>
        <w:ind w:left="0"/>
        <w:jc w:val="both"/>
        <w:rPr>
          <w:rFonts w:ascii="Arial" w:eastAsia="Calibri" w:hAnsi="Arial" w:cs="Arial"/>
          <w:color w:val="000000" w:themeColor="text1"/>
          <w:sz w:val="22"/>
        </w:rPr>
      </w:pPr>
    </w:p>
    <w:p w14:paraId="724009A2" w14:textId="77777777" w:rsidR="00FF4395" w:rsidRDefault="006A1BDB"/>
    <w:sectPr w:rsidR="00FF4395" w:rsidSect="005A79FE">
      <w:headerReference w:type="default" r:id="rId8"/>
      <w:footerReference w:type="default" r:id="rId9"/>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C589" w16cex:dateUtc="2020-09-30T13:51:00Z"/>
  <w16cex:commentExtensible w16cex:durableId="231ECBC1" w16cex:dateUtc="2020-09-30T14:17:00Z"/>
  <w16cex:commentExtensible w16cex:durableId="231ED41D" w16cex:dateUtc="2020-09-30T14:53:00Z"/>
  <w16cex:commentExtensible w16cex:durableId="231ED475" w16cex:dateUtc="2020-09-30T14:55:00Z"/>
  <w16cex:commentExtensible w16cex:durableId="231ED495" w16cex:dateUtc="2020-09-30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BA6A9" w16cid:durableId="231EC589"/>
  <w16cid:commentId w16cid:paraId="5086E6ED" w16cid:durableId="231ECBC1"/>
  <w16cid:commentId w16cid:paraId="2FBB0113" w16cid:durableId="231ED41D"/>
  <w16cid:commentId w16cid:paraId="59E787EA" w16cid:durableId="231ED475"/>
  <w16cid:commentId w16cid:paraId="5DAD97C2" w16cid:durableId="231ED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6F427" w14:textId="77777777" w:rsidR="006A1BDB" w:rsidRDefault="006A1BDB" w:rsidP="009C1535">
      <w:r>
        <w:separator/>
      </w:r>
    </w:p>
  </w:endnote>
  <w:endnote w:type="continuationSeparator" w:id="0">
    <w:p w14:paraId="7ABEE216" w14:textId="77777777" w:rsidR="006A1BDB" w:rsidRDefault="006A1BDB" w:rsidP="009C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09B1" w14:textId="77777777" w:rsidR="00897943" w:rsidRDefault="006A1BDB" w:rsidP="007B0854">
    <w:pPr>
      <w:pStyle w:val="Sinespaciado"/>
      <w:jc w:val="center"/>
      <w:rPr>
        <w:rFonts w:ascii="Arial" w:hAnsi="Arial" w:cs="Arial"/>
        <w:sz w:val="18"/>
        <w:szCs w:val="18"/>
      </w:rPr>
    </w:pPr>
  </w:p>
  <w:p w14:paraId="724009B2" w14:textId="77777777" w:rsidR="00897943" w:rsidRPr="005A79FE" w:rsidRDefault="008748CF"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C5B0D">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C5B0D">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724009B3" w14:textId="77777777" w:rsidR="00897943" w:rsidRDefault="008748CF" w:rsidP="007B0854">
    <w:pPr>
      <w:pStyle w:val="Piedepgina"/>
      <w:jc w:val="center"/>
      <w:rPr>
        <w:lang w:val="es-ES"/>
      </w:rPr>
    </w:pPr>
    <w:r>
      <w:rPr>
        <w:noProof/>
        <w:lang w:val="es-CO" w:eastAsia="es-CO"/>
      </w:rPr>
      <w:drawing>
        <wp:inline distT="0" distB="0" distL="0" distR="0" wp14:anchorId="724009B7" wp14:editId="724009B8">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24009B4" w14:textId="77777777" w:rsidR="00897943" w:rsidRPr="007B0854" w:rsidRDefault="006A1BDB"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0C9A4" w14:textId="77777777" w:rsidR="006A1BDB" w:rsidRDefault="006A1BDB" w:rsidP="009C1535">
      <w:r>
        <w:separator/>
      </w:r>
    </w:p>
  </w:footnote>
  <w:footnote w:type="continuationSeparator" w:id="0">
    <w:p w14:paraId="00E581B4" w14:textId="77777777" w:rsidR="006A1BDB" w:rsidRDefault="006A1BDB" w:rsidP="009C1535">
      <w:r>
        <w:continuationSeparator/>
      </w:r>
    </w:p>
  </w:footnote>
  <w:footnote w:id="1">
    <w:p w14:paraId="724009B9"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724009BA"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724009BB"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724009BC"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724009BD"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14:paraId="724009BE"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A. Sentencia del 25 de octubre de 2019.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39.945. Consejera Ponente: María Adriana Marín.</w:t>
      </w:r>
    </w:p>
  </w:footnote>
  <w:footnote w:id="3">
    <w:p w14:paraId="724009BF" w14:textId="77777777" w:rsidR="00DE74CE" w:rsidRPr="007E587C" w:rsidRDefault="00DE74CE" w:rsidP="00DE74CE">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Style w:val="Refdenotaalpie"/>
          <w:rFonts w:ascii="Arial" w:hAnsi="Arial" w:cs="Arial"/>
          <w:color w:val="000000" w:themeColor="text1"/>
          <w:sz w:val="19"/>
          <w:szCs w:val="19"/>
        </w:rPr>
        <w:t xml:space="preserve"> </w:t>
      </w:r>
      <w:r w:rsidRPr="007E587C">
        <w:rPr>
          <w:rFonts w:ascii="Arial" w:hAnsi="Arial" w:cs="Arial"/>
          <w:color w:val="000000" w:themeColor="text1"/>
          <w:sz w:val="19"/>
          <w:szCs w:val="19"/>
        </w:rPr>
        <w:t xml:space="preserve">Consejo de Estado. Sección Tercera. Subsección A. Sentencia del 5 de julio de 2018.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37.834. Consejero Ponente: Carlos Alberto Zambrano Barrera.</w:t>
      </w:r>
    </w:p>
  </w:footnote>
  <w:footnote w:id="4">
    <w:p w14:paraId="724009C0"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24009C1" w14:textId="77777777" w:rsidR="00DE74CE" w:rsidRPr="00005C9A" w:rsidRDefault="00DE74CE" w:rsidP="00DE74CE">
      <w:pPr>
        <w:pStyle w:val="Textonotapie"/>
        <w:ind w:firstLine="709"/>
        <w:jc w:val="both"/>
        <w:rPr>
          <w:rFonts w:ascii="Arial" w:hAnsi="Arial" w:cs="Arial"/>
          <w:color w:val="000000" w:themeColor="text1"/>
          <w:sz w:val="19"/>
          <w:szCs w:val="19"/>
        </w:rPr>
      </w:pPr>
    </w:p>
  </w:footnote>
  <w:footnote w:id="5">
    <w:p w14:paraId="724009C2"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724009C3"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14:paraId="724009C4" w14:textId="77777777" w:rsidR="00DE74CE" w:rsidRPr="007E587C" w:rsidRDefault="00DE74CE" w:rsidP="00DE74CE">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Style w:val="Refdenotaalpie"/>
          <w:rFonts w:ascii="Arial" w:hAnsi="Arial" w:cs="Arial"/>
          <w:color w:val="000000" w:themeColor="text1"/>
          <w:sz w:val="19"/>
          <w:szCs w:val="19"/>
        </w:rPr>
        <w:t xml:space="preserve"> </w:t>
      </w:r>
      <w:r w:rsidRPr="007E587C">
        <w:rPr>
          <w:rFonts w:ascii="Arial" w:hAnsi="Arial" w:cs="Arial"/>
          <w:color w:val="000000" w:themeColor="text1"/>
          <w:sz w:val="19"/>
          <w:szCs w:val="19"/>
          <w:lang w:val="es-CO"/>
        </w:rPr>
        <w:t>Ley 1150 de 2007, artículo 5, parágrafo 4°: «</w:t>
      </w:r>
      <w:r w:rsidRPr="007E587C">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14:paraId="724009C5" w14:textId="77777777" w:rsidR="00DE74CE" w:rsidRPr="007E587C" w:rsidRDefault="00DE74CE" w:rsidP="00DE74CE">
      <w:pPr>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Decreto 2474 de 2008 (DEROGADO): «art. 10. Reglas de </w:t>
      </w:r>
      <w:proofErr w:type="spellStart"/>
      <w:r w:rsidRPr="007E587C">
        <w:rPr>
          <w:rFonts w:ascii="Arial" w:hAnsi="Arial" w:cs="Arial"/>
          <w:color w:val="000000" w:themeColor="text1"/>
          <w:sz w:val="19"/>
          <w:szCs w:val="19"/>
        </w:rPr>
        <w:t>subsanabilidad</w:t>
      </w:r>
      <w:proofErr w:type="spellEnd"/>
      <w:r w:rsidRPr="007E587C">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7E587C">
          <w:rPr>
            <w:rFonts w:ascii="Arial" w:hAnsi="Arial" w:cs="Arial"/>
            <w:color w:val="000000" w:themeColor="text1"/>
            <w:sz w:val="19"/>
            <w:szCs w:val="19"/>
          </w:rPr>
          <w:t>Ley 1150 de 2007</w:t>
        </w:r>
      </w:hyperlink>
      <w:r w:rsidRPr="007E587C">
        <w:rPr>
          <w:rFonts w:ascii="Arial" w:hAnsi="Arial" w:cs="Arial"/>
          <w:color w:val="000000" w:themeColor="text1"/>
          <w:sz w:val="19"/>
          <w:szCs w:val="19"/>
        </w:rPr>
        <w:t> y en el presente decreto.</w:t>
      </w:r>
    </w:p>
    <w:p w14:paraId="724009C6" w14:textId="77777777" w:rsidR="00DE74CE" w:rsidRPr="007E587C" w:rsidRDefault="00DE74CE" w:rsidP="00DE74CE">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724009C7" w14:textId="77777777" w:rsidR="00DE74CE" w:rsidRPr="007E587C" w:rsidRDefault="00DE74CE" w:rsidP="00DE74CE">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724009C8" w14:textId="77777777" w:rsidR="00DE74CE" w:rsidRPr="007E587C" w:rsidRDefault="00DE74CE" w:rsidP="00DE74CE">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724009C9" w14:textId="77777777" w:rsidR="00DE74CE" w:rsidRPr="007E587C" w:rsidRDefault="00DE74CE" w:rsidP="00DE74CE">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005C9A">
        <w:rPr>
          <w:rFonts w:ascii="Arial" w:hAnsi="Arial" w:cs="Arial"/>
          <w:i/>
          <w:iCs/>
          <w:color w:val="000000" w:themeColor="text1"/>
          <w:sz w:val="19"/>
          <w:szCs w:val="19"/>
        </w:rPr>
        <w:t>ni permitir que se subsane la falta de capacidad para presentar la oferta, ni que se acrediten circunstancias ocurridas con posterioridad al cierre del proceso</w:t>
      </w:r>
      <w:r w:rsidRPr="007E587C">
        <w:rPr>
          <w:rFonts w:ascii="Arial" w:hAnsi="Arial" w:cs="Arial"/>
          <w:color w:val="000000" w:themeColor="text1"/>
          <w:sz w:val="19"/>
          <w:szCs w:val="19"/>
        </w:rPr>
        <w:t xml:space="preserve">». (Cursivas fuera de texto). </w:t>
      </w:r>
    </w:p>
    <w:p w14:paraId="724009CA" w14:textId="77777777" w:rsidR="00DE74CE" w:rsidRPr="007E587C" w:rsidRDefault="00DE74CE" w:rsidP="00DE74CE">
      <w:pPr>
        <w:pStyle w:val="Textonotapie"/>
        <w:ind w:firstLine="709"/>
        <w:jc w:val="both"/>
        <w:rPr>
          <w:rFonts w:ascii="Arial" w:hAnsi="Arial" w:cs="Arial"/>
          <w:color w:val="000000" w:themeColor="text1"/>
          <w:sz w:val="19"/>
          <w:szCs w:val="19"/>
        </w:rPr>
      </w:pPr>
    </w:p>
  </w:footnote>
  <w:footnote w:id="9">
    <w:p w14:paraId="724009CB" w14:textId="77777777" w:rsidR="00DE74CE" w:rsidRPr="007E587C" w:rsidRDefault="00DE74CE" w:rsidP="00DE74CE">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724009CC"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 xml:space="preserve">  </w:t>
      </w:r>
    </w:p>
  </w:footnote>
  <w:footnote w:id="10">
    <w:p w14:paraId="724009CD"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 xml:space="preserve">Ver Consejo de Estado, Sección Tercera, Subsección C. Sentencia del 26 de febrero de 2011. C.P. Jaime Orlando </w:t>
      </w:r>
      <w:proofErr w:type="spellStart"/>
      <w:r w:rsidRPr="007E587C">
        <w:rPr>
          <w:rFonts w:ascii="Arial" w:hAnsi="Arial" w:cs="Arial"/>
          <w:color w:val="000000" w:themeColor="text1"/>
          <w:sz w:val="19"/>
          <w:szCs w:val="19"/>
          <w:lang w:val="es-CO"/>
        </w:rPr>
        <w:t>Santofimio</w:t>
      </w:r>
      <w:proofErr w:type="spellEnd"/>
      <w:r w:rsidRPr="007E587C">
        <w:rPr>
          <w:rFonts w:ascii="Arial" w:hAnsi="Arial" w:cs="Arial"/>
          <w:color w:val="000000" w:themeColor="text1"/>
          <w:sz w:val="19"/>
          <w:szCs w:val="19"/>
          <w:lang w:val="es-CO"/>
        </w:rPr>
        <w:t>. Rad. 36.408.</w:t>
      </w:r>
      <w:r w:rsidRPr="007E587C">
        <w:rPr>
          <w:rFonts w:ascii="Arial" w:hAnsi="Arial" w:cs="Arial"/>
          <w:color w:val="000000" w:themeColor="text1"/>
          <w:sz w:val="19"/>
          <w:szCs w:val="19"/>
        </w:rPr>
        <w:t xml:space="preserve">  </w:t>
      </w:r>
    </w:p>
    <w:p w14:paraId="724009CE" w14:textId="77777777" w:rsidR="00DE74CE" w:rsidRPr="007E587C" w:rsidRDefault="00DE74CE" w:rsidP="00DE74CE">
      <w:pPr>
        <w:pStyle w:val="Textonotapie"/>
        <w:ind w:firstLine="709"/>
        <w:jc w:val="both"/>
        <w:rPr>
          <w:rFonts w:ascii="Arial" w:hAnsi="Arial" w:cs="Arial"/>
          <w:color w:val="000000" w:themeColor="text1"/>
          <w:sz w:val="19"/>
          <w:szCs w:val="19"/>
        </w:rPr>
      </w:pPr>
    </w:p>
  </w:footnote>
  <w:footnote w:id="11">
    <w:p w14:paraId="724009CF" w14:textId="77777777" w:rsidR="00DE74CE" w:rsidRPr="007E587C" w:rsidRDefault="00DE74CE" w:rsidP="00DE74CE">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Ver Consejo de Estado, Sección Tercera, Subsección C. Sentencia del 26 de febrero de 2014. C.P. Enrique Gil Botero. Rad. 25.804.</w:t>
      </w:r>
      <w:r w:rsidRPr="007E587C">
        <w:rPr>
          <w:rFonts w:ascii="Arial" w:hAnsi="Arial" w:cs="Arial"/>
          <w:color w:val="000000" w:themeColor="text1"/>
          <w:sz w:val="19"/>
          <w:szCs w:val="19"/>
        </w:rPr>
        <w:t xml:space="preserve">  </w:t>
      </w:r>
    </w:p>
    <w:p w14:paraId="724009D0" w14:textId="77777777" w:rsidR="00DE74CE" w:rsidRPr="007E587C" w:rsidRDefault="00DE74CE" w:rsidP="00DE74CE">
      <w:pPr>
        <w:pStyle w:val="Textonotapie"/>
        <w:ind w:firstLine="709"/>
        <w:jc w:val="both"/>
        <w:rPr>
          <w:rFonts w:ascii="Arial" w:hAnsi="Arial" w:cs="Arial"/>
          <w:color w:val="000000" w:themeColor="text1"/>
          <w:sz w:val="19"/>
          <w:szCs w:val="19"/>
        </w:rPr>
      </w:pPr>
    </w:p>
  </w:footnote>
  <w:footnote w:id="12">
    <w:p w14:paraId="724009D1" w14:textId="77777777" w:rsidR="00DE74CE" w:rsidRPr="007E587C" w:rsidRDefault="00DE74CE" w:rsidP="00DE74CE">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724009D2" w14:textId="77777777" w:rsidR="00DE74CE" w:rsidRPr="007E587C" w:rsidRDefault="00DE74CE" w:rsidP="00DE74CE">
      <w:pPr>
        <w:pStyle w:val="Textonotapie"/>
        <w:ind w:firstLine="709"/>
        <w:jc w:val="both"/>
        <w:rPr>
          <w:rFonts w:ascii="Arial" w:hAnsi="Arial" w:cs="Arial"/>
          <w:color w:val="000000" w:themeColor="text1"/>
          <w:sz w:val="19"/>
          <w:szCs w:val="19"/>
        </w:rPr>
      </w:pPr>
    </w:p>
  </w:footnote>
  <w:footnote w:id="13">
    <w:p w14:paraId="724009D3" w14:textId="77777777" w:rsidR="009C1535" w:rsidRPr="00005C9A" w:rsidRDefault="009C1535" w:rsidP="009C1535">
      <w:pPr>
        <w:pStyle w:val="Textonotapie"/>
        <w:ind w:firstLine="708"/>
        <w:jc w:val="both"/>
        <w:rPr>
          <w:rFonts w:ascii="Arial" w:hAnsi="Arial" w:cs="Arial"/>
          <w:iCs/>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005C9A">
        <w:rPr>
          <w:rFonts w:ascii="Arial" w:hAnsi="Arial" w:cs="Arial"/>
          <w:color w:val="000000" w:themeColor="text1"/>
          <w:sz w:val="19"/>
          <w:szCs w:val="19"/>
          <w:lang w:val="es-CO"/>
        </w:rPr>
        <w:t>Artículo</w:t>
      </w:r>
      <w:bookmarkStart w:id="2" w:name="72"/>
      <w:r w:rsidRPr="00005C9A">
        <w:rPr>
          <w:rFonts w:ascii="Arial" w:hAnsi="Arial" w:cs="Arial"/>
          <w:color w:val="000000" w:themeColor="text1"/>
          <w:sz w:val="19"/>
          <w:szCs w:val="19"/>
          <w:lang w:val="es-CO"/>
        </w:rPr>
        <w:t> </w:t>
      </w:r>
      <w:bookmarkEnd w:id="2"/>
      <w:r w:rsidRPr="00005C9A">
        <w:rPr>
          <w:rFonts w:ascii="Arial" w:hAnsi="Arial" w:cs="Arial"/>
          <w:color w:val="000000" w:themeColor="text1"/>
          <w:sz w:val="19"/>
          <w:szCs w:val="19"/>
          <w:lang w:val="es-CO"/>
        </w:rPr>
        <w:t>72.</w:t>
      </w:r>
      <w:r w:rsidRPr="007E587C">
        <w:rPr>
          <w:rFonts w:ascii="Arial" w:hAnsi="Arial" w:cs="Arial"/>
          <w:color w:val="000000" w:themeColor="text1"/>
          <w:sz w:val="19"/>
          <w:szCs w:val="19"/>
          <w:lang w:val="es-CO"/>
        </w:rPr>
        <w:t> </w:t>
      </w:r>
      <w:r w:rsidRPr="00005C9A">
        <w:rPr>
          <w:rFonts w:ascii="Arial" w:hAnsi="Arial" w:cs="Arial"/>
          <w:iCs/>
          <w:color w:val="000000" w:themeColor="text1"/>
          <w:sz w:val="19"/>
          <w:szCs w:val="19"/>
          <w:lang w:val="es-CO"/>
        </w:rPr>
        <w:t>Capacidad residual de contratación pública</w:t>
      </w:r>
      <w:r w:rsidRPr="007E587C">
        <w:rPr>
          <w:rFonts w:ascii="Arial" w:hAnsi="Arial" w:cs="Arial"/>
          <w:color w:val="000000" w:themeColor="text1"/>
          <w:sz w:val="19"/>
          <w:szCs w:val="19"/>
          <w:lang w:val="es-CO"/>
        </w:rPr>
        <w:t>:</w:t>
      </w:r>
      <w:r w:rsidRPr="00005C9A">
        <w:rPr>
          <w:rFonts w:ascii="Arial" w:hAnsi="Arial" w:cs="Arial"/>
          <w:i/>
          <w:iCs/>
          <w:color w:val="000000" w:themeColor="text1"/>
          <w:sz w:val="19"/>
          <w:szCs w:val="19"/>
          <w:lang w:val="es-CO"/>
        </w:rPr>
        <w:t xml:space="preserve"> </w:t>
      </w:r>
      <w:r w:rsidRPr="007E587C">
        <w:rPr>
          <w:rFonts w:ascii="Arial" w:hAnsi="Arial" w:cs="Arial"/>
          <w:color w:val="000000" w:themeColor="text1"/>
          <w:sz w:val="19"/>
          <w:szCs w:val="19"/>
          <w:lang w:val="es-CO"/>
        </w:rPr>
        <w:t>La capacidad residual de contratación cuando obra pública se obtendrá de sustraer de la capacidad del valor de los contratos en ejecución.</w:t>
      </w:r>
    </w:p>
    <w:p w14:paraId="724009D4"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»La capacidad de contratación se deberá calcular mediante la evaluación de los siguientes factores: Experiencia (E), Capacidad Financiera (CF), Capacidad Técnica (CT), y Capacidad de Organización (CO).</w:t>
      </w:r>
    </w:p>
    <w:p w14:paraId="724009D5"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»Para los efectos de la evaluación de los factores mencionados en el inciso anterior, por ningún motivo, ni bajo ninguna circunstancia se podrán tener en cuenta la rentabilidad y las utilidades.</w:t>
      </w:r>
    </w:p>
    <w:p w14:paraId="724009D6"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724009D7"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p>
  </w:footnote>
  <w:footnote w:id="14">
    <w:p w14:paraId="724009D8" w14:textId="77777777" w:rsidR="009C1535" w:rsidRPr="007E587C" w:rsidRDefault="009C1535" w:rsidP="009C1535">
      <w:pPr>
        <w:pStyle w:val="NormalWeb"/>
        <w:shd w:val="clear" w:color="auto" w:fill="FFFFFF"/>
        <w:spacing w:before="0" w:beforeAutospacing="0" w:after="0" w:afterAutospacing="0"/>
        <w:ind w:firstLine="708"/>
        <w:jc w:val="both"/>
        <w:rPr>
          <w:rFonts w:ascii="Arial" w:eastAsiaTheme="minorHAnsi" w:hAnsi="Arial" w:cs="Arial"/>
          <w:color w:val="000000" w:themeColor="text1"/>
          <w:sz w:val="19"/>
          <w:szCs w:val="19"/>
          <w:lang w:eastAsia="en-US"/>
        </w:rPr>
      </w:pPr>
      <w:r w:rsidRPr="007E587C">
        <w:rPr>
          <w:rStyle w:val="Refdenotaalpie"/>
          <w:rFonts w:ascii="Arial" w:eastAsiaTheme="minorHAnsi" w:hAnsi="Arial" w:cs="Arial"/>
          <w:color w:val="000000" w:themeColor="text1"/>
          <w:sz w:val="19"/>
          <w:szCs w:val="19"/>
          <w:lang w:val="es-MX" w:eastAsia="en-US"/>
        </w:rPr>
        <w:footnoteRef/>
      </w:r>
      <w:r w:rsidRPr="007E587C">
        <w:rPr>
          <w:rStyle w:val="Refdenotaalpie"/>
          <w:rFonts w:ascii="Arial" w:eastAsiaTheme="minorHAnsi" w:hAnsi="Arial" w:cs="Arial"/>
          <w:color w:val="000000" w:themeColor="text1"/>
          <w:sz w:val="19"/>
          <w:szCs w:val="19"/>
          <w:lang w:val="es-MX" w:eastAsia="en-US"/>
        </w:rPr>
        <w:t xml:space="preserve"> </w:t>
      </w:r>
      <w:r w:rsidRPr="007E587C">
        <w:rPr>
          <w:rFonts w:ascii="Arial" w:hAnsi="Arial" w:cs="Arial"/>
          <w:color w:val="000000" w:themeColor="text1"/>
          <w:sz w:val="19"/>
          <w:szCs w:val="19"/>
        </w:rPr>
        <w:t>«</w:t>
      </w:r>
      <w:r w:rsidRPr="007E587C">
        <w:rPr>
          <w:rFonts w:ascii="Arial" w:eastAsiaTheme="minorHAnsi" w:hAnsi="Arial" w:cs="Arial"/>
          <w:color w:val="000000" w:themeColor="text1"/>
          <w:sz w:val="19"/>
          <w:szCs w:val="19"/>
          <w:lang w:eastAsia="en-US"/>
        </w:rPr>
        <w:t>Artículo 2.2.1.1.1.6.4. Capacidad Residual: El interesado en celebrar contratos de obra pública con Entidades Estatales debe acreditar su Capacidad Residual o K de Contratación con los siguientes documentos:</w:t>
      </w:r>
    </w:p>
    <w:p w14:paraId="724009D9" w14:textId="77777777" w:rsidR="009C1535" w:rsidRPr="007E587C" w:rsidRDefault="009C1535" w:rsidP="009C1535">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24009DA" w14:textId="77777777" w:rsidR="009C1535" w:rsidRPr="007E587C" w:rsidRDefault="009C1535" w:rsidP="009C1535">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24009DB" w14:textId="77777777" w:rsidR="009C1535" w:rsidRPr="007E587C" w:rsidRDefault="009C1535" w:rsidP="009C1535">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724009DC" w14:textId="77777777" w:rsidR="009C1535" w:rsidRPr="007E587C" w:rsidRDefault="009C1535" w:rsidP="009C1535">
      <w:pPr>
        <w:shd w:val="clear" w:color="auto" w:fill="FFFFFF"/>
        <w:ind w:firstLine="708"/>
        <w:jc w:val="both"/>
        <w:rPr>
          <w:rFonts w:ascii="Arial" w:hAnsi="Arial" w:cs="Arial"/>
          <w:color w:val="000000" w:themeColor="text1"/>
          <w:sz w:val="19"/>
          <w:szCs w:val="19"/>
          <w:lang w:val="es-CO"/>
        </w:rPr>
      </w:pPr>
    </w:p>
  </w:footnote>
  <w:footnote w:id="15">
    <w:p w14:paraId="724009DD"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24009DE" w14:textId="77777777" w:rsidR="009C1535" w:rsidRPr="007E587C" w:rsidRDefault="009C1535" w:rsidP="009C1535">
      <w:pPr>
        <w:pStyle w:val="Textonotapie"/>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ab/>
        <w:t xml:space="preserve">»[…] </w:t>
      </w:r>
    </w:p>
    <w:p w14:paraId="724009DF"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724009E0" w14:textId="77777777" w:rsidR="009C1535" w:rsidRPr="007E587C" w:rsidRDefault="009C1535" w:rsidP="009C1535">
      <w:pPr>
        <w:shd w:val="clear" w:color="auto" w:fill="FFFFFF"/>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724009E1" w14:textId="77777777" w:rsidR="009C1535" w:rsidRPr="007E587C" w:rsidRDefault="009C1535" w:rsidP="009C1535">
      <w:pPr>
        <w:shd w:val="clear" w:color="auto" w:fill="FFFFFF"/>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w:t>
      </w:r>
    </w:p>
    <w:p w14:paraId="724009E2" w14:textId="77777777" w:rsidR="009C1535" w:rsidRPr="007E587C" w:rsidRDefault="009C1535" w:rsidP="009C1535">
      <w:pPr>
        <w:pStyle w:val="Textonotapie"/>
        <w:jc w:val="both"/>
        <w:rPr>
          <w:rFonts w:ascii="Arial" w:hAnsi="Arial" w:cs="Arial"/>
          <w:color w:val="000000" w:themeColor="text1"/>
          <w:sz w:val="19"/>
          <w:szCs w:val="19"/>
          <w:lang w:val="es-CO"/>
        </w:rPr>
      </w:pPr>
    </w:p>
  </w:footnote>
  <w:footnote w:id="16">
    <w:p w14:paraId="724009E3"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Documento base o Pliego Tipo: «1.6 </w:t>
      </w:r>
      <w:bookmarkStart w:id="3" w:name="_Toc424219434"/>
      <w:bookmarkStart w:id="4" w:name="_Toc504124487"/>
      <w:bookmarkStart w:id="5" w:name="_Toc508648246"/>
      <w:bookmarkStart w:id="6" w:name="_Toc508984030"/>
      <w:bookmarkStart w:id="7" w:name="_Toc509843860"/>
      <w:bookmarkStart w:id="8" w:name="_Toc511924768"/>
      <w:bookmarkStart w:id="9" w:name="_Toc520226857"/>
      <w:bookmarkStart w:id="10" w:name="_Toc520297827"/>
      <w:bookmarkStart w:id="11" w:name="_Toc520317092"/>
      <w:bookmarkStart w:id="12" w:name="_Ref531072997"/>
      <w:bookmarkStart w:id="13" w:name="_Toc533083693"/>
      <w:bookmarkStart w:id="14" w:name="_Ref4939799"/>
      <w:bookmarkStart w:id="15" w:name="_Ref5005523"/>
      <w:bookmarkStart w:id="16" w:name="_Toc5006124"/>
      <w:r w:rsidRPr="007E587C">
        <w:rPr>
          <w:rFonts w:ascii="Arial" w:hAnsi="Arial" w:cs="Arial"/>
          <w:color w:val="000000" w:themeColor="text1"/>
          <w:sz w:val="19"/>
          <w:szCs w:val="19"/>
        </w:rPr>
        <w:t xml:space="preserve">Reglas de </w:t>
      </w:r>
      <w:proofErr w:type="spellStart"/>
      <w:r w:rsidRPr="007E587C">
        <w:rPr>
          <w:rFonts w:ascii="Arial" w:hAnsi="Arial" w:cs="Arial"/>
          <w:color w:val="000000" w:themeColor="text1"/>
          <w:sz w:val="19"/>
          <w:szCs w:val="19"/>
        </w:rPr>
        <w:t>subsanabilidad</w:t>
      </w:r>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r w:rsidRPr="007E587C">
        <w:rPr>
          <w:rFonts w:ascii="Arial" w:hAnsi="Arial" w:cs="Arial"/>
          <w:color w:val="000000" w:themeColor="text1"/>
          <w:sz w:val="19"/>
          <w:szCs w:val="19"/>
        </w:rPr>
        <w:t>: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724009E4"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»En caso de ser necesario, la Entidad deberá solicitar a los Proponentes, las aclaraciones, precisiones o solicitud de documentos que puedan ser subsanables. No obstante, los Proponentes no podrán completar, adicionar, modificar o mejorar sus propuestas.</w:t>
      </w:r>
    </w:p>
    <w:p w14:paraId="724009E5"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 xml:space="preserve">»Los Proponentes deberán </w:t>
      </w:r>
      <w:bookmarkStart w:id="17" w:name="_Hlk508011077"/>
      <w:r w:rsidRPr="007E587C">
        <w:rPr>
          <w:rFonts w:ascii="Arial" w:hAnsi="Arial" w:cs="Arial"/>
          <w:color w:val="000000" w:themeColor="text1"/>
          <w:sz w:val="19"/>
          <w:szCs w:val="19"/>
        </w:rPr>
        <w:t>allegar las aclaraciones o documentos requeridos</w:t>
      </w:r>
      <w:bookmarkEnd w:id="17"/>
      <w:r w:rsidRPr="007E587C">
        <w:rPr>
          <w:rFonts w:ascii="Arial" w:hAnsi="Arial" w:cs="Arial"/>
          <w:color w:val="000000" w:themeColor="text1"/>
          <w:sz w:val="19"/>
          <w:szCs w:val="19"/>
        </w:rPr>
        <w:t xml:space="preserve"> hasta el término de traslado del informe de evaluación. </w:t>
      </w:r>
    </w:p>
    <w:p w14:paraId="724009E6"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14:paraId="724009E7"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724009E8" w14:textId="77777777" w:rsidR="009C1535" w:rsidRPr="007E587C" w:rsidRDefault="009C1535" w:rsidP="009C1535">
      <w:pPr>
        <w:pStyle w:val="Textonotapie"/>
        <w:ind w:firstLine="708"/>
        <w:jc w:val="both"/>
        <w:rPr>
          <w:rFonts w:ascii="Arial" w:hAnsi="Arial" w:cs="Arial"/>
          <w:color w:val="000000" w:themeColor="text1"/>
          <w:sz w:val="19"/>
          <w:szCs w:val="19"/>
        </w:rPr>
      </w:pPr>
      <w:bookmarkStart w:id="18" w:name="_Toc511375632"/>
      <w:bookmarkStart w:id="19" w:name="_Toc511375810"/>
      <w:bookmarkStart w:id="20" w:name="_Toc511375634"/>
      <w:bookmarkStart w:id="21" w:name="_Toc511375812"/>
      <w:bookmarkStart w:id="22" w:name="_Toc511375635"/>
      <w:bookmarkStart w:id="23" w:name="_Toc511375813"/>
      <w:bookmarkStart w:id="24" w:name="_Toc511375637"/>
      <w:bookmarkStart w:id="25" w:name="_Toc511375815"/>
      <w:bookmarkStart w:id="26" w:name="_Toc511379955"/>
      <w:bookmarkEnd w:id="18"/>
      <w:bookmarkEnd w:id="19"/>
      <w:bookmarkEnd w:id="20"/>
      <w:bookmarkEnd w:id="21"/>
      <w:bookmarkEnd w:id="22"/>
      <w:bookmarkEnd w:id="23"/>
      <w:bookmarkEnd w:id="24"/>
      <w:bookmarkEnd w:id="25"/>
      <w:bookmarkEnd w:id="26"/>
      <w:r w:rsidRPr="007E587C">
        <w:rPr>
          <w:rFonts w:ascii="Arial" w:hAnsi="Arial" w:cs="Arial"/>
          <w:color w:val="000000" w:themeColor="text1"/>
          <w:sz w:val="19"/>
          <w:szCs w:val="19"/>
        </w:rPr>
        <w:t>»En virtud del principio de Buena Fe, los Proponentes que presenten observaciones al proceso o a las ofertas y conductas de los demás oferentes deberán justificar y demostrar la procedencia y oportunidad de estas».</w:t>
      </w:r>
    </w:p>
    <w:p w14:paraId="724009E9" w14:textId="77777777" w:rsidR="009C1535" w:rsidRPr="007E587C" w:rsidRDefault="009C1535" w:rsidP="009C1535">
      <w:pPr>
        <w:pStyle w:val="Textonotapie"/>
        <w:ind w:firstLine="708"/>
        <w:jc w:val="both"/>
        <w:rPr>
          <w:rFonts w:ascii="Arial" w:hAnsi="Arial" w:cs="Arial"/>
          <w:color w:val="000000" w:themeColor="text1"/>
          <w:sz w:val="19"/>
          <w:szCs w:val="19"/>
        </w:rPr>
      </w:pPr>
    </w:p>
  </w:footnote>
  <w:footnote w:id="17">
    <w:p w14:paraId="724009EA" w14:textId="77777777" w:rsidR="009C1535" w:rsidRPr="007E587C" w:rsidRDefault="009C1535" w:rsidP="009C1535">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B. Sentencia del 27 de abril de 2011.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18.293. C.P. Ruth Stella Correa Palacio.</w:t>
      </w:r>
    </w:p>
    <w:p w14:paraId="724009EB" w14:textId="77777777" w:rsidR="009C1535" w:rsidRPr="007E587C" w:rsidRDefault="009C1535" w:rsidP="009C1535">
      <w:pPr>
        <w:pStyle w:val="Textonotapie"/>
        <w:jc w:val="both"/>
        <w:rPr>
          <w:rFonts w:ascii="Arial" w:hAnsi="Arial" w:cs="Arial"/>
          <w:color w:val="000000" w:themeColor="text1"/>
          <w:sz w:val="19"/>
          <w:szCs w:val="19"/>
        </w:rPr>
      </w:pPr>
    </w:p>
  </w:footnote>
  <w:footnote w:id="18">
    <w:p w14:paraId="724009EC" w14:textId="77777777" w:rsidR="009C1535" w:rsidRPr="007E587C" w:rsidRDefault="009C1535" w:rsidP="009C1535">
      <w:pPr>
        <w:pStyle w:val="Capitulo1"/>
        <w:spacing w:before="0" w:after="0" w:line="240" w:lineRule="auto"/>
        <w:ind w:left="0" w:firstLine="709"/>
        <w:jc w:val="both"/>
        <w:rPr>
          <w:b w:val="0"/>
          <w:color w:val="000000" w:themeColor="text1"/>
          <w:sz w:val="19"/>
          <w:szCs w:val="19"/>
        </w:rPr>
      </w:pPr>
      <w:r w:rsidRPr="007E587C">
        <w:rPr>
          <w:rStyle w:val="Refdenotaalpie"/>
          <w:b w:val="0"/>
          <w:color w:val="000000" w:themeColor="text1"/>
          <w:sz w:val="19"/>
          <w:szCs w:val="19"/>
        </w:rPr>
        <w:footnoteRef/>
      </w:r>
      <w:r w:rsidRPr="007E587C">
        <w:rPr>
          <w:b w:val="0"/>
          <w:color w:val="000000" w:themeColor="text1"/>
          <w:sz w:val="19"/>
          <w:szCs w:val="19"/>
        </w:rPr>
        <w:t xml:space="preserve"> Pliegos Tipo: «Numeral 1.15: </w:t>
      </w:r>
      <w:bookmarkStart w:id="29" w:name="_Hlk517183910"/>
      <w:bookmarkStart w:id="30" w:name="_Toc508648255"/>
      <w:bookmarkStart w:id="31" w:name="_Ref508649364"/>
      <w:bookmarkStart w:id="32" w:name="_Toc508984039"/>
      <w:bookmarkStart w:id="33" w:name="_Toc509843869"/>
      <w:bookmarkStart w:id="34" w:name="_Toc511924777"/>
      <w:bookmarkStart w:id="35" w:name="_Toc520226866"/>
      <w:bookmarkStart w:id="36" w:name="_Toc520297836"/>
      <w:bookmarkStart w:id="37" w:name="_Toc520317101"/>
      <w:bookmarkStart w:id="38" w:name="_Toc533083702"/>
      <w:bookmarkStart w:id="39" w:name="_Toc5006133"/>
      <w:r w:rsidRPr="007E587C">
        <w:rPr>
          <w:b w:val="0"/>
          <w:color w:val="000000" w:themeColor="text1"/>
          <w:sz w:val="19"/>
          <w:szCs w:val="19"/>
        </w:rPr>
        <w:t>Causales de rechazo</w:t>
      </w:r>
      <w:bookmarkEnd w:id="29"/>
      <w:bookmarkEnd w:id="30"/>
      <w:bookmarkEnd w:id="31"/>
      <w:bookmarkEnd w:id="32"/>
      <w:bookmarkEnd w:id="33"/>
      <w:bookmarkEnd w:id="34"/>
      <w:bookmarkEnd w:id="35"/>
      <w:bookmarkEnd w:id="36"/>
      <w:bookmarkEnd w:id="37"/>
      <w:bookmarkEnd w:id="38"/>
      <w:bookmarkEnd w:id="39"/>
      <w:r w:rsidRPr="007E587C">
        <w:rPr>
          <w:b w:val="0"/>
          <w:color w:val="000000" w:themeColor="text1"/>
          <w:sz w:val="19"/>
          <w:szCs w:val="19"/>
        </w:rPr>
        <w:t>: Son</w:t>
      </w:r>
      <w:r w:rsidRPr="007E587C">
        <w:rPr>
          <w:rFonts w:eastAsia="Arial"/>
          <w:b w:val="0"/>
          <w:color w:val="000000" w:themeColor="text1"/>
          <w:sz w:val="19"/>
          <w:szCs w:val="19"/>
        </w:rPr>
        <w:t xml:space="preserve"> </w:t>
      </w:r>
      <w:r w:rsidRPr="007E587C">
        <w:rPr>
          <w:b w:val="0"/>
          <w:color w:val="000000" w:themeColor="text1"/>
          <w:sz w:val="19"/>
          <w:szCs w:val="19"/>
        </w:rPr>
        <w:t>causales</w:t>
      </w:r>
      <w:r w:rsidRPr="007E587C">
        <w:rPr>
          <w:rFonts w:eastAsia="Arial"/>
          <w:b w:val="0"/>
          <w:color w:val="000000" w:themeColor="text1"/>
          <w:sz w:val="19"/>
          <w:szCs w:val="19"/>
        </w:rPr>
        <w:t xml:space="preserve"> </w:t>
      </w:r>
      <w:r w:rsidRPr="007E587C">
        <w:rPr>
          <w:b w:val="0"/>
          <w:color w:val="000000" w:themeColor="text1"/>
          <w:sz w:val="19"/>
          <w:szCs w:val="19"/>
        </w:rPr>
        <w:t>de</w:t>
      </w:r>
      <w:r w:rsidRPr="007E587C">
        <w:rPr>
          <w:rFonts w:eastAsia="Arial"/>
          <w:b w:val="0"/>
          <w:color w:val="000000" w:themeColor="text1"/>
          <w:sz w:val="19"/>
          <w:szCs w:val="19"/>
        </w:rPr>
        <w:t xml:space="preserve"> </w:t>
      </w:r>
      <w:r w:rsidRPr="007E587C">
        <w:rPr>
          <w:b w:val="0"/>
          <w:color w:val="000000" w:themeColor="text1"/>
          <w:sz w:val="19"/>
          <w:szCs w:val="19"/>
        </w:rPr>
        <w:t>rechazo</w:t>
      </w:r>
      <w:r w:rsidRPr="007E587C">
        <w:rPr>
          <w:rFonts w:eastAsia="Arial"/>
          <w:b w:val="0"/>
          <w:color w:val="000000" w:themeColor="text1"/>
          <w:sz w:val="19"/>
          <w:szCs w:val="19"/>
        </w:rPr>
        <w:t xml:space="preserve"> </w:t>
      </w:r>
      <w:r w:rsidRPr="007E587C">
        <w:rPr>
          <w:b w:val="0"/>
          <w:color w:val="000000" w:themeColor="text1"/>
          <w:sz w:val="19"/>
          <w:szCs w:val="19"/>
        </w:rPr>
        <w:t>las</w:t>
      </w:r>
      <w:r w:rsidRPr="007E587C">
        <w:rPr>
          <w:rFonts w:eastAsia="Arial"/>
          <w:b w:val="0"/>
          <w:color w:val="000000" w:themeColor="text1"/>
          <w:sz w:val="19"/>
          <w:szCs w:val="19"/>
        </w:rPr>
        <w:t xml:space="preserve"> </w:t>
      </w:r>
      <w:r w:rsidRPr="007E587C">
        <w:rPr>
          <w:b w:val="0"/>
          <w:color w:val="000000" w:themeColor="text1"/>
          <w:sz w:val="19"/>
          <w:szCs w:val="19"/>
        </w:rPr>
        <w:t>siguientes. [</w:t>
      </w:r>
      <w:r w:rsidRPr="007E587C">
        <w:rPr>
          <w:b w:val="0"/>
          <w:color w:val="000000" w:themeColor="text1"/>
          <w:sz w:val="19"/>
          <w:szCs w:val="19"/>
          <w:highlight w:val="lightGray"/>
        </w:rPr>
        <w:t>Las Entidades no podrán incluir causales de rechazo distintas a las incluidas en la presente sección</w:t>
      </w:r>
      <w:r w:rsidRPr="007E587C">
        <w:rPr>
          <w:b w:val="0"/>
          <w:color w:val="000000" w:themeColor="text1"/>
          <w:sz w:val="19"/>
          <w:szCs w:val="19"/>
        </w:rPr>
        <w:t>]:</w:t>
      </w:r>
    </w:p>
    <w:p w14:paraId="724009ED" w14:textId="77777777" w:rsidR="009C1535" w:rsidRPr="007E587C" w:rsidRDefault="009C1535" w:rsidP="009C1535">
      <w:pPr>
        <w:pStyle w:val="Prrafodelista"/>
        <w:tabs>
          <w:tab w:val="left" w:pos="142"/>
          <w:tab w:val="left" w:pos="284"/>
        </w:tabs>
        <w:ind w:left="0" w:firstLine="709"/>
        <w:jc w:val="both"/>
        <w:rPr>
          <w:rFonts w:ascii="Arial" w:eastAsia="Times New Roman" w:hAnsi="Arial" w:cs="Arial"/>
          <w:color w:val="000000" w:themeColor="text1"/>
          <w:sz w:val="19"/>
          <w:szCs w:val="19"/>
          <w:lang w:val="es-CO" w:eastAsia="es-CO"/>
        </w:rPr>
      </w:pPr>
      <w:r w:rsidRPr="007E587C">
        <w:rPr>
          <w:rFonts w:ascii="Arial" w:eastAsia="Arial" w:hAnsi="Arial" w:cs="Arial"/>
          <w:color w:val="000000" w:themeColor="text1"/>
          <w:sz w:val="19"/>
          <w:szCs w:val="19"/>
          <w:lang w:val="es-CO" w:eastAsia="es-CO"/>
        </w:rPr>
        <w:t xml:space="preserve">»A. </w:t>
      </w:r>
      <w:r w:rsidRPr="007E587C">
        <w:rPr>
          <w:rFonts w:ascii="Arial" w:eastAsia="Times New Roman" w:hAnsi="Arial" w:cs="Arial"/>
          <w:color w:val="000000" w:themeColor="text1"/>
          <w:sz w:val="19"/>
          <w:szCs w:val="19"/>
          <w:lang w:val="es-CO" w:eastAsia="es-CO"/>
        </w:rPr>
        <w:t>Que el Proponente o alguno de los integrantes del Proponente Plural esté incurso en causal de inhabilidad, incompatibilidad o prohibición previstas en la legislación colombiana para contratar.</w:t>
      </w:r>
    </w:p>
    <w:p w14:paraId="724009EE" w14:textId="77777777" w:rsidR="009C1535" w:rsidRPr="007E587C" w:rsidRDefault="009C1535" w:rsidP="009C1535">
      <w:pPr>
        <w:ind w:left="142" w:firstLine="567"/>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»B. </w:t>
      </w:r>
      <w:bookmarkStart w:id="40" w:name="_Hlk517183916"/>
      <w:r w:rsidRPr="007E587C">
        <w:rPr>
          <w:rFonts w:ascii="Arial" w:eastAsia="Times New Roman" w:hAnsi="Arial" w:cs="Arial"/>
          <w:color w:val="000000" w:themeColor="text1"/>
          <w:sz w:val="19"/>
          <w:szCs w:val="19"/>
          <w:lang w:val="es-CO" w:eastAsia="es-CO"/>
        </w:rPr>
        <w:t>Cuando una misma persona o integrante de un Proponente Plural presente o haga parte en</w:t>
      </w:r>
    </w:p>
    <w:p w14:paraId="724009EF" w14:textId="77777777" w:rsidR="009C1535" w:rsidRPr="007E587C" w:rsidRDefault="009C1535" w:rsidP="009C1535">
      <w:pPr>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40"/>
    </w:p>
    <w:p w14:paraId="724009F0"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»C. Que el Proponente o alguno de los integrantes del Proponente Plural esté reportado en el Boletín de Responsables Fiscales emitido por la Contraloría General de la República.</w:t>
      </w:r>
    </w:p>
    <w:p w14:paraId="724009F1"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»D. Que la persona jurídica Proponente individual o integrante del Proponente Plural esté incursa en la situación descrita en el artículo 38 de la ley 1116 de 2006. </w:t>
      </w:r>
    </w:p>
    <w:p w14:paraId="724009F2"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»E. Que el Proponente no aclare, subsane o aporte documentos solicitados por la Entidad en los términos establecidos en la sección 1.6</w:t>
      </w:r>
    </w:p>
    <w:p w14:paraId="724009F3"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bookmarkStart w:id="41" w:name="_Hlk516133201"/>
      <w:r w:rsidRPr="007E587C">
        <w:rPr>
          <w:rFonts w:ascii="Arial" w:eastAsia="Times New Roman" w:hAnsi="Arial" w:cs="Arial"/>
          <w:color w:val="000000" w:themeColor="text1"/>
          <w:sz w:val="19"/>
          <w:szCs w:val="19"/>
          <w:lang w:val="es-CO" w:eastAsia="es-CO"/>
        </w:rPr>
        <w:t xml:space="preserve">»F. Que la inscripción, renovación o actualización del Registro Único de Proponentes [RUP] no esté en firme al finalizar el término para la subsanación de documentos. </w:t>
      </w:r>
      <w:bookmarkEnd w:id="41"/>
    </w:p>
    <w:p w14:paraId="724009F4"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»G. Que el Proponente aporte información inexacta en los términos de la sección 1.11</w:t>
      </w:r>
    </w:p>
    <w:p w14:paraId="724009F5"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»H. Que el Proponente se encuentre inmerso en conflicto de interés insuperable.</w:t>
      </w:r>
    </w:p>
    <w:p w14:paraId="724009F6"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»I. Que el Formulario 1 – Formulario de Presupuesto Oficial no se allegue firmado. </w:t>
      </w:r>
    </w:p>
    <w:p w14:paraId="724009F7"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»J. La no entrega de la Garantía de seriedad de la oferta junto con la propuesta.</w:t>
      </w:r>
    </w:p>
    <w:p w14:paraId="724009F8"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724009F9"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724009FA"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»M. Que el valor total de la oferta o aquel revisado en la audiencia efectiva de adjudicación exceda el Presupuesto Oficial Estimado para el Proceso de Contratación. </w:t>
      </w:r>
    </w:p>
    <w:p w14:paraId="724009FB"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bookmarkStart w:id="42" w:name="_Hlk516133614"/>
      <w:r w:rsidRPr="007E587C">
        <w:rPr>
          <w:rFonts w:ascii="Arial" w:eastAsia="Times New Roman" w:hAnsi="Arial" w:cs="Arial"/>
          <w:color w:val="000000" w:themeColor="text1"/>
          <w:sz w:val="19"/>
          <w:szCs w:val="19"/>
          <w:lang w:val="es-CO" w:eastAsia="es-CO"/>
        </w:rPr>
        <w:t xml:space="preserve">»N. Presentar la oferta con tachaduras o enmendaduras que no estén convalidadas en la forma indicada en </w:t>
      </w:r>
      <w:bookmarkEnd w:id="42"/>
      <w:r w:rsidRPr="007E587C">
        <w:rPr>
          <w:rFonts w:ascii="Arial" w:eastAsia="Times New Roman" w:hAnsi="Arial" w:cs="Arial"/>
          <w:color w:val="000000" w:themeColor="text1"/>
          <w:sz w:val="19"/>
          <w:szCs w:val="19"/>
          <w:lang w:val="es-CO" w:eastAsia="es-CO"/>
        </w:rPr>
        <w:t>la sección 2.3 del Pliego de Condiciones.</w:t>
      </w:r>
    </w:p>
    <w:p w14:paraId="724009FC"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bookmarkStart w:id="43" w:name="_Hlk516133682"/>
      <w:r w:rsidRPr="007E587C">
        <w:rPr>
          <w:rFonts w:ascii="Arial" w:eastAsia="Times New Roman" w:hAnsi="Arial" w:cs="Arial"/>
          <w:color w:val="000000" w:themeColor="text1"/>
          <w:sz w:val="19"/>
          <w:szCs w:val="19"/>
          <w:lang w:val="es-CO" w:eastAsia="es-CO"/>
        </w:rPr>
        <w:t xml:space="preserve">»O. Que el proponente adicione, suprima, cambie, o modifique los ítems, la descripción, las unidades o cantidades señaladas en el  </w:t>
      </w:r>
      <w:bookmarkStart w:id="44" w:name="_Hlk511139274"/>
      <w:bookmarkEnd w:id="43"/>
      <w:r w:rsidRPr="007E587C">
        <w:rPr>
          <w:rFonts w:ascii="Arial" w:eastAsia="Times New Roman" w:hAnsi="Arial" w:cs="Arial"/>
          <w:color w:val="000000" w:themeColor="text1"/>
          <w:sz w:val="19"/>
          <w:szCs w:val="19"/>
          <w:lang w:val="es-CO" w:eastAsia="es-CO"/>
        </w:rPr>
        <w:t xml:space="preserve">Formulario 1– Formulario de Presupuesto Oficial </w:t>
      </w:r>
    </w:p>
    <w:p w14:paraId="724009FD"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»P. No ofrecer el valor de un precio unitario u ofrecer como valor de un precio unitario cero (0). [incluir sólo cuando la forma de pago sea por precios unitarios] </w:t>
      </w:r>
      <w:bookmarkEnd w:id="44"/>
    </w:p>
    <w:p w14:paraId="724009FE"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»Q. Superar el valor unitario de alguno o algunos de los ítems ofrecidos con respecto al valor establecido para cada ítem del Presupuesto Oficial. [incluir sólo cuando la forma de pago sea por precios unitarios] </w:t>
      </w:r>
    </w:p>
    <w:p w14:paraId="724009FF"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w:t>
      </w:r>
    </w:p>
    <w:p w14:paraId="72400A00" w14:textId="77777777" w:rsidR="009C1535" w:rsidRPr="007E587C" w:rsidRDefault="009C1535" w:rsidP="009C1535">
      <w:pPr>
        <w:ind w:firstLine="709"/>
        <w:jc w:val="both"/>
        <w:rPr>
          <w:rFonts w:ascii="Arial" w:eastAsia="Times New Roman" w:hAnsi="Arial" w:cs="Arial"/>
          <w:color w:val="000000" w:themeColor="text1"/>
          <w:sz w:val="19"/>
          <w:szCs w:val="19"/>
          <w:lang w:val="es-CO" w:eastAsia="es-CO"/>
        </w:rPr>
      </w:pPr>
    </w:p>
  </w:footnote>
  <w:footnote w:id="19">
    <w:p w14:paraId="72400A01" w14:textId="140ECFB3" w:rsidR="00C44678" w:rsidRPr="00005C9A" w:rsidRDefault="00C44678" w:rsidP="00C44678">
      <w:pPr>
        <w:spacing w:before="82"/>
        <w:ind w:left="808"/>
        <w:rPr>
          <w:rFonts w:ascii="Arial" w:hAnsi="Arial" w:cs="Arial"/>
          <w:sz w:val="19"/>
          <w:szCs w:val="19"/>
        </w:rPr>
      </w:pPr>
      <w:r w:rsidRPr="007E587C">
        <w:rPr>
          <w:rStyle w:val="Refdenotaalpie"/>
          <w:rFonts w:ascii="Arial" w:hAnsi="Arial" w:cs="Arial"/>
          <w:sz w:val="19"/>
          <w:szCs w:val="19"/>
        </w:rPr>
        <w:footnoteRef/>
      </w:r>
      <w:r w:rsidRPr="007E587C">
        <w:rPr>
          <w:rFonts w:ascii="Arial" w:hAnsi="Arial" w:cs="Arial"/>
          <w:sz w:val="19"/>
          <w:szCs w:val="19"/>
        </w:rPr>
        <w:t xml:space="preserve"> </w:t>
      </w:r>
      <w:r w:rsidR="007E587C">
        <w:rPr>
          <w:rFonts w:ascii="Arial" w:hAnsi="Arial" w:cs="Arial"/>
          <w:sz w:val="19"/>
          <w:szCs w:val="19"/>
        </w:rPr>
        <w:t>«</w:t>
      </w:r>
      <w:r w:rsidRPr="00005C9A">
        <w:rPr>
          <w:rFonts w:ascii="Arial" w:hAnsi="Arial" w:cs="Arial"/>
          <w:sz w:val="19"/>
          <w:szCs w:val="19"/>
        </w:rPr>
        <w:t>1.6. REGLAS DE SUBSANABILIDAD</w:t>
      </w:r>
    </w:p>
    <w:p w14:paraId="72400A02" w14:textId="77777777" w:rsidR="00C44678" w:rsidRPr="00005C9A" w:rsidRDefault="00C44678" w:rsidP="00C44678">
      <w:pPr>
        <w:pStyle w:val="Textoindependiente"/>
        <w:spacing w:before="11"/>
        <w:rPr>
          <w:sz w:val="19"/>
          <w:szCs w:val="19"/>
        </w:rPr>
      </w:pPr>
    </w:p>
    <w:p w14:paraId="72400A03" w14:textId="1742D17C" w:rsidR="00C44678" w:rsidRPr="007E587C" w:rsidRDefault="007E587C" w:rsidP="00C44678">
      <w:pPr>
        <w:ind w:left="100" w:right="110"/>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72400A04" w14:textId="77777777" w:rsidR="00C44678" w:rsidRPr="007E587C" w:rsidRDefault="00C44678" w:rsidP="00C44678">
      <w:pPr>
        <w:pStyle w:val="Textoindependiente"/>
        <w:rPr>
          <w:sz w:val="19"/>
          <w:szCs w:val="19"/>
        </w:rPr>
      </w:pPr>
    </w:p>
    <w:p w14:paraId="72400A05" w14:textId="796B3226" w:rsidR="00C44678" w:rsidRPr="007E587C" w:rsidRDefault="007E587C" w:rsidP="00C44678">
      <w:pPr>
        <w:ind w:left="100" w:right="111"/>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En caso de ser necesario, la Entidad deberá solicitar a los Proponentes, las aclaraciones, precisiones o solicitud de documentos que puedan ser subsanables. No obstante, los Proponentes no podrán completar, adicionar, modificar o mejorar sus propuestas.</w:t>
      </w:r>
    </w:p>
    <w:p w14:paraId="72400A06" w14:textId="77777777" w:rsidR="00C44678" w:rsidRPr="007E587C" w:rsidRDefault="00C44678" w:rsidP="00C44678">
      <w:pPr>
        <w:pStyle w:val="Textoindependiente"/>
        <w:rPr>
          <w:sz w:val="19"/>
          <w:szCs w:val="19"/>
        </w:rPr>
      </w:pPr>
    </w:p>
    <w:p w14:paraId="72400A07" w14:textId="206FCD2C" w:rsidR="00C44678" w:rsidRPr="007E587C" w:rsidRDefault="007E587C" w:rsidP="00C44678">
      <w:pPr>
        <w:ind w:left="100" w:right="111"/>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Los Proponentes deberán allegar las aclaraciones o documentos requeridos hasta el término de traslado del informe de evaluación.</w:t>
      </w:r>
    </w:p>
    <w:p w14:paraId="72400A08" w14:textId="77777777" w:rsidR="00C44678" w:rsidRPr="007E587C" w:rsidRDefault="00C44678" w:rsidP="00C44678">
      <w:pPr>
        <w:pStyle w:val="Textoindependiente"/>
        <w:rPr>
          <w:sz w:val="19"/>
          <w:szCs w:val="19"/>
        </w:rPr>
      </w:pPr>
    </w:p>
    <w:p w14:paraId="72400A09" w14:textId="7C1EE414" w:rsidR="00C44678" w:rsidRPr="007E587C" w:rsidRDefault="007E587C" w:rsidP="00C44678">
      <w:pPr>
        <w:ind w:left="100" w:right="109"/>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72400A0A" w14:textId="77777777" w:rsidR="00C44678" w:rsidRPr="007E587C" w:rsidRDefault="00C44678" w:rsidP="00C44678">
      <w:pPr>
        <w:pStyle w:val="Textoindependiente"/>
        <w:spacing w:before="1"/>
        <w:rPr>
          <w:sz w:val="19"/>
          <w:szCs w:val="19"/>
        </w:rPr>
      </w:pPr>
    </w:p>
    <w:p w14:paraId="72400A0B" w14:textId="4820BDF7" w:rsidR="00C44678" w:rsidRPr="007E587C" w:rsidRDefault="007E587C" w:rsidP="00C44678">
      <w:pPr>
        <w:ind w:left="100" w:right="114"/>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72400A0C" w14:textId="77777777" w:rsidR="00C44678" w:rsidRPr="007E587C" w:rsidRDefault="00C44678" w:rsidP="00C44678">
      <w:pPr>
        <w:pStyle w:val="Textoindependiente"/>
        <w:rPr>
          <w:sz w:val="19"/>
          <w:szCs w:val="19"/>
        </w:rPr>
      </w:pPr>
    </w:p>
    <w:p w14:paraId="72400A0D" w14:textId="31517779" w:rsidR="00C44678" w:rsidRPr="000F7372" w:rsidRDefault="007E587C" w:rsidP="00C44678">
      <w:pPr>
        <w:ind w:left="100" w:right="111"/>
        <w:jc w:val="both"/>
        <w:rPr>
          <w:rFonts w:ascii="Arial" w:hAnsi="Arial" w:cs="Arial"/>
          <w:sz w:val="19"/>
          <w:szCs w:val="19"/>
        </w:rPr>
      </w:pPr>
      <w:r>
        <w:rPr>
          <w:rFonts w:ascii="Arial" w:hAnsi="Arial" w:cs="Arial"/>
          <w:sz w:val="19"/>
          <w:szCs w:val="19"/>
        </w:rPr>
        <w:t>»</w:t>
      </w:r>
      <w:r w:rsidR="00C44678" w:rsidRPr="007E587C">
        <w:rPr>
          <w:rFonts w:ascii="Arial" w:hAnsi="Arial" w:cs="Arial"/>
          <w:sz w:val="19"/>
          <w:szCs w:val="19"/>
        </w:rPr>
        <w:t>En virtud del principio de Buena Fe, los Proponentes que presenten observaciones al proceso o a las ofertas y conductas de los demás oferentes deberán justificar y demostrar la procedencia y oportunidad de estas</w:t>
      </w:r>
      <w:r>
        <w:rPr>
          <w:rFonts w:ascii="Arial" w:hAnsi="Arial" w:cs="Arial"/>
          <w:sz w:val="19"/>
          <w:szCs w:val="19"/>
        </w:rPr>
        <w:t>»</w:t>
      </w:r>
      <w:r w:rsidRPr="007E587C">
        <w:rPr>
          <w:rFonts w:ascii="Arial" w:hAnsi="Arial" w:cs="Arial"/>
          <w:sz w:val="19"/>
          <w:szCs w:val="19"/>
        </w:rPr>
        <w:t>.</w:t>
      </w:r>
    </w:p>
    <w:p w14:paraId="72400A0E" w14:textId="77777777" w:rsidR="00C44678" w:rsidRPr="007E587C" w:rsidRDefault="00C44678" w:rsidP="00C44678">
      <w:pPr>
        <w:pStyle w:val="Textonotapie"/>
        <w:rPr>
          <w:rFonts w:ascii="Arial" w:hAnsi="Arial" w:cs="Arial"/>
          <w:sz w:val="19"/>
          <w:szCs w:val="19"/>
        </w:rPr>
      </w:pPr>
    </w:p>
  </w:footnote>
  <w:footnote w:id="20">
    <w:p w14:paraId="72400A0F" w14:textId="77777777" w:rsidR="009C1535" w:rsidRPr="000F7372" w:rsidRDefault="009C1535" w:rsidP="009C1535">
      <w:pPr>
        <w:pStyle w:val="Textonotapie"/>
        <w:ind w:firstLine="708"/>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w:t>
      </w:r>
      <w:r w:rsidRPr="000F7372">
        <w:rPr>
          <w:rFonts w:ascii="Arial" w:hAnsi="Arial" w:cs="Arial"/>
          <w:color w:val="000000" w:themeColor="text1"/>
          <w:sz w:val="19"/>
          <w:szCs w:val="19"/>
        </w:rPr>
        <w:t xml:space="preserve">1993: «Artículo 30. </w:t>
      </w:r>
      <w:bookmarkStart w:id="45" w:name="30"/>
      <w:r w:rsidRPr="000F7372">
        <w:rPr>
          <w:rFonts w:ascii="Arial" w:hAnsi="Arial" w:cs="Arial"/>
          <w:color w:val="000000" w:themeColor="text1"/>
          <w:sz w:val="19"/>
          <w:szCs w:val="19"/>
        </w:rPr>
        <w:t>De la estructura de los procedimientos de selección.</w:t>
      </w:r>
      <w:bookmarkEnd w:id="45"/>
      <w:r w:rsidRPr="000F7372">
        <w:rPr>
          <w:rFonts w:ascii="Arial" w:hAnsi="Arial" w:cs="Arial"/>
          <w:color w:val="000000" w:themeColor="text1"/>
          <w:sz w:val="19"/>
          <w:szCs w:val="19"/>
        </w:rPr>
        <w:t xml:space="preserve"> </w:t>
      </w:r>
    </w:p>
    <w:p w14:paraId="72400A10"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w:t>
      </w:r>
    </w:p>
    <w:p w14:paraId="72400A11"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72400A12" w14:textId="77777777" w:rsidR="009C1535" w:rsidRPr="007E587C" w:rsidRDefault="009C1535" w:rsidP="009C1535">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w:t>
      </w:r>
    </w:p>
    <w:p w14:paraId="72400A13" w14:textId="77777777" w:rsidR="009C1535" w:rsidRPr="007E587C" w:rsidRDefault="009C1535" w:rsidP="009C1535">
      <w:pPr>
        <w:pStyle w:val="Textonotapie"/>
        <w:ind w:firstLine="708"/>
        <w:jc w:val="both"/>
        <w:rPr>
          <w:rFonts w:ascii="Arial" w:hAnsi="Arial" w:cs="Arial"/>
          <w:color w:val="000000" w:themeColor="text1"/>
          <w:sz w:val="19"/>
          <w:szCs w:val="19"/>
          <w:lang w:val="es-CO"/>
        </w:rPr>
      </w:pPr>
    </w:p>
  </w:footnote>
  <w:footnote w:id="21">
    <w:p w14:paraId="72400A14" w14:textId="77777777" w:rsidR="009C1535" w:rsidRPr="000F7372" w:rsidRDefault="009C1535" w:rsidP="009C1535">
      <w:pPr>
        <w:pStyle w:val="Capitulo1"/>
        <w:spacing w:before="0" w:after="0" w:line="240" w:lineRule="auto"/>
        <w:ind w:left="0" w:firstLine="708"/>
        <w:jc w:val="both"/>
        <w:rPr>
          <w:b w:val="0"/>
          <w:color w:val="000000" w:themeColor="text1"/>
          <w:sz w:val="19"/>
          <w:szCs w:val="19"/>
          <w:lang w:eastAsia="en-US"/>
        </w:rPr>
      </w:pPr>
      <w:r w:rsidRPr="007E587C">
        <w:rPr>
          <w:rStyle w:val="Refdenotaalpie"/>
          <w:b w:val="0"/>
          <w:color w:val="000000" w:themeColor="text1"/>
          <w:sz w:val="19"/>
          <w:szCs w:val="19"/>
        </w:rPr>
        <w:footnoteRef/>
      </w:r>
      <w:r w:rsidRPr="007E587C">
        <w:rPr>
          <w:b w:val="0"/>
          <w:color w:val="000000" w:themeColor="text1"/>
          <w:sz w:val="19"/>
          <w:szCs w:val="19"/>
        </w:rPr>
        <w:t xml:space="preserve"> </w:t>
      </w:r>
      <w:r w:rsidRPr="000F7372">
        <w:rPr>
          <w:b w:val="0"/>
          <w:color w:val="000000" w:themeColor="text1"/>
          <w:sz w:val="19"/>
          <w:szCs w:val="19"/>
          <w:lang w:eastAsia="en-US"/>
        </w:rPr>
        <w:t>Documento base o pliego tipo: «1.15 Causales de rechazo</w:t>
      </w:r>
    </w:p>
    <w:p w14:paraId="72400A15" w14:textId="77777777" w:rsidR="009C1535" w:rsidRPr="007E587C" w:rsidRDefault="009C1535" w:rsidP="009C1535">
      <w:pPr>
        <w:pStyle w:val="Capitulo1"/>
        <w:spacing w:before="0" w:after="0" w:line="240" w:lineRule="auto"/>
        <w:ind w:left="0" w:firstLine="360"/>
        <w:jc w:val="both"/>
        <w:rPr>
          <w:b w:val="0"/>
          <w:color w:val="000000" w:themeColor="text1"/>
          <w:sz w:val="19"/>
          <w:szCs w:val="19"/>
          <w:lang w:eastAsia="en-US"/>
        </w:rPr>
      </w:pPr>
      <w:r w:rsidRPr="007E587C">
        <w:rPr>
          <w:b w:val="0"/>
          <w:color w:val="000000" w:themeColor="text1"/>
          <w:sz w:val="19"/>
          <w:szCs w:val="19"/>
          <w:lang w:eastAsia="en-US"/>
        </w:rPr>
        <w:t>»Son causales de rechazo las siguientes. [Las Entidades no podrán incluir causales de rechazo distintas a las incluidas en la presente sección]:</w:t>
      </w:r>
    </w:p>
    <w:p w14:paraId="72400A16" w14:textId="77777777" w:rsidR="009C1535" w:rsidRPr="007E587C" w:rsidRDefault="009C1535" w:rsidP="009C1535">
      <w:pPr>
        <w:pStyle w:val="Capitulo1"/>
        <w:spacing w:before="0" w:after="0" w:line="240" w:lineRule="auto"/>
        <w:ind w:left="0" w:firstLine="360"/>
        <w:jc w:val="both"/>
        <w:rPr>
          <w:b w:val="0"/>
          <w:color w:val="000000" w:themeColor="text1"/>
          <w:sz w:val="19"/>
          <w:szCs w:val="19"/>
          <w:lang w:eastAsia="en-US"/>
        </w:rPr>
      </w:pPr>
      <w:r w:rsidRPr="007E587C">
        <w:rPr>
          <w:b w:val="0"/>
          <w:color w:val="000000" w:themeColor="text1"/>
          <w:sz w:val="19"/>
          <w:szCs w:val="19"/>
        </w:rPr>
        <w:t>»[…]</w:t>
      </w:r>
    </w:p>
    <w:p w14:paraId="72400A17" w14:textId="77777777" w:rsidR="009C1535" w:rsidRPr="007E587C" w:rsidRDefault="009C1535" w:rsidP="009C1535">
      <w:pPr>
        <w:pStyle w:val="Textonotapie"/>
        <w:ind w:firstLine="360"/>
        <w:jc w:val="both"/>
        <w:rPr>
          <w:rFonts w:ascii="Arial" w:eastAsia="Times New Roman" w:hAnsi="Arial" w:cs="Arial"/>
          <w:color w:val="000000" w:themeColor="text1"/>
          <w:sz w:val="19"/>
          <w:szCs w:val="19"/>
          <w:lang w:val="es-CO"/>
        </w:rPr>
      </w:pPr>
      <w:r w:rsidRPr="007E587C">
        <w:rPr>
          <w:rFonts w:ascii="Arial" w:hAnsi="Arial" w:cs="Arial"/>
          <w:color w:val="000000" w:themeColor="text1"/>
          <w:sz w:val="19"/>
          <w:szCs w:val="19"/>
        </w:rPr>
        <w:t>»</w:t>
      </w:r>
      <w:r w:rsidRPr="007E587C">
        <w:rPr>
          <w:rFonts w:ascii="Arial" w:eastAsia="Times New Roman" w:hAnsi="Arial" w:cs="Arial"/>
          <w:color w:val="000000" w:themeColor="text1"/>
          <w:sz w:val="19"/>
          <w:szCs w:val="19"/>
          <w:lang w:val="es-CO"/>
        </w:rPr>
        <w:t>E. Que el Proponente no aclare, subsane o aporte documentos solicitados por la Entidad en los términos establecidos en la sección 1.6</w:t>
      </w:r>
    </w:p>
    <w:p w14:paraId="72400A18" w14:textId="77777777" w:rsidR="009C1535" w:rsidRPr="007E587C" w:rsidRDefault="009C1535" w:rsidP="009C1535">
      <w:pPr>
        <w:pStyle w:val="Textonotapie"/>
        <w:ind w:firstLine="360"/>
        <w:jc w:val="both"/>
        <w:rPr>
          <w:rFonts w:ascii="Arial" w:hAnsi="Arial" w:cs="Arial"/>
          <w:color w:val="000000" w:themeColor="text1"/>
          <w:sz w:val="19"/>
          <w:szCs w:val="19"/>
        </w:rPr>
      </w:pPr>
      <w:r w:rsidRPr="007E587C">
        <w:rPr>
          <w:rFonts w:ascii="Arial" w:hAnsi="Arial" w:cs="Arial"/>
          <w:color w:val="000000" w:themeColor="text1"/>
          <w:sz w:val="19"/>
          <w:szCs w:val="19"/>
        </w:rPr>
        <w:t>»[…]».</w:t>
      </w:r>
    </w:p>
    <w:p w14:paraId="72400A19" w14:textId="77777777" w:rsidR="009C1535" w:rsidRPr="007E587C" w:rsidRDefault="009C1535" w:rsidP="009C1535">
      <w:pPr>
        <w:pStyle w:val="Textonotapie"/>
        <w:ind w:firstLine="360"/>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09AB" w14:textId="77777777" w:rsidR="00897943" w:rsidRDefault="006A1BDB">
    <w:pPr>
      <w:pStyle w:val="Encabezado"/>
    </w:pPr>
  </w:p>
  <w:p w14:paraId="724009AC" w14:textId="77777777" w:rsidR="00897943" w:rsidRDefault="006A1BDB">
    <w:pPr>
      <w:pStyle w:val="Encabezado"/>
    </w:pPr>
  </w:p>
  <w:p w14:paraId="724009AD" w14:textId="77777777" w:rsidR="00897943" w:rsidRDefault="008748CF">
    <w:pPr>
      <w:pStyle w:val="Encabezado"/>
    </w:pPr>
    <w:r>
      <w:rPr>
        <w:noProof/>
        <w:lang w:val="es-CO" w:eastAsia="es-CO"/>
      </w:rPr>
      <w:drawing>
        <wp:anchor distT="0" distB="0" distL="114300" distR="114300" simplePos="0" relativeHeight="251659264" behindDoc="1" locked="0" layoutInCell="1" allowOverlap="1" wp14:anchorId="724009B5" wp14:editId="724009B6">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009AE" w14:textId="77777777" w:rsidR="00897943" w:rsidRDefault="006A1BDB">
    <w:pPr>
      <w:pStyle w:val="Encabezado"/>
    </w:pPr>
  </w:p>
  <w:p w14:paraId="724009AF" w14:textId="77777777" w:rsidR="00897943" w:rsidRDefault="006A1BDB">
    <w:pPr>
      <w:pStyle w:val="Encabezado"/>
    </w:pPr>
  </w:p>
  <w:p w14:paraId="724009B0" w14:textId="77777777" w:rsidR="00897943" w:rsidRDefault="006A1B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2483B"/>
    <w:multiLevelType w:val="hybridMultilevel"/>
    <w:tmpl w:val="9190D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74FA7E65"/>
    <w:multiLevelType w:val="hybridMultilevel"/>
    <w:tmpl w:val="E77E5EE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35"/>
    <w:rsid w:val="00005C9A"/>
    <w:rsid w:val="00073B32"/>
    <w:rsid w:val="000E7E0B"/>
    <w:rsid w:val="000F7372"/>
    <w:rsid w:val="00232060"/>
    <w:rsid w:val="002C7A39"/>
    <w:rsid w:val="002E0E48"/>
    <w:rsid w:val="002F0C85"/>
    <w:rsid w:val="002F247F"/>
    <w:rsid w:val="00307797"/>
    <w:rsid w:val="003D2841"/>
    <w:rsid w:val="003D3FC7"/>
    <w:rsid w:val="003E7F69"/>
    <w:rsid w:val="00403BC3"/>
    <w:rsid w:val="004103E9"/>
    <w:rsid w:val="004A3CC9"/>
    <w:rsid w:val="004D5B3E"/>
    <w:rsid w:val="004D5D23"/>
    <w:rsid w:val="004F0600"/>
    <w:rsid w:val="005107CA"/>
    <w:rsid w:val="005518CF"/>
    <w:rsid w:val="005A5250"/>
    <w:rsid w:val="005F58F3"/>
    <w:rsid w:val="006211D9"/>
    <w:rsid w:val="006A1BDB"/>
    <w:rsid w:val="006F3C53"/>
    <w:rsid w:val="00722B16"/>
    <w:rsid w:val="007627F8"/>
    <w:rsid w:val="007A3511"/>
    <w:rsid w:val="007E090E"/>
    <w:rsid w:val="007E587C"/>
    <w:rsid w:val="0083581D"/>
    <w:rsid w:val="008673A6"/>
    <w:rsid w:val="008748CF"/>
    <w:rsid w:val="00893EF4"/>
    <w:rsid w:val="00956C4D"/>
    <w:rsid w:val="009C1535"/>
    <w:rsid w:val="00A836DE"/>
    <w:rsid w:val="00AB24F3"/>
    <w:rsid w:val="00AC5B0D"/>
    <w:rsid w:val="00AF73AC"/>
    <w:rsid w:val="00C3359A"/>
    <w:rsid w:val="00C373BD"/>
    <w:rsid w:val="00C44678"/>
    <w:rsid w:val="00C46556"/>
    <w:rsid w:val="00CC1609"/>
    <w:rsid w:val="00CC42CC"/>
    <w:rsid w:val="00D0199A"/>
    <w:rsid w:val="00D156AD"/>
    <w:rsid w:val="00D2565C"/>
    <w:rsid w:val="00D306EE"/>
    <w:rsid w:val="00D307A4"/>
    <w:rsid w:val="00D817FF"/>
    <w:rsid w:val="00DE74CE"/>
    <w:rsid w:val="00E13CEC"/>
    <w:rsid w:val="00ED159D"/>
    <w:rsid w:val="00F12AD5"/>
    <w:rsid w:val="00F4203E"/>
    <w:rsid w:val="00FC455B"/>
    <w:rsid w:val="00FF4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088B"/>
  <w15:chartTrackingRefBased/>
  <w15:docId w15:val="{719FE750-C4F5-4CC9-8433-E094D6B0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3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C1535"/>
    <w:pPr>
      <w:tabs>
        <w:tab w:val="center" w:pos="4419"/>
        <w:tab w:val="right" w:pos="8838"/>
      </w:tabs>
    </w:pPr>
  </w:style>
  <w:style w:type="character" w:customStyle="1" w:styleId="PiedepginaCar">
    <w:name w:val="Pie de página Car"/>
    <w:basedOn w:val="Fuentedeprrafopredeter"/>
    <w:link w:val="Piedepgina"/>
    <w:uiPriority w:val="99"/>
    <w:rsid w:val="009C1535"/>
    <w:rPr>
      <w:sz w:val="24"/>
      <w:lang w:val="es-MX"/>
    </w:rPr>
  </w:style>
  <w:style w:type="paragraph" w:styleId="Encabezado">
    <w:name w:val="header"/>
    <w:basedOn w:val="Normal"/>
    <w:link w:val="EncabezadoCar"/>
    <w:uiPriority w:val="99"/>
    <w:unhideWhenUsed/>
    <w:rsid w:val="009C1535"/>
    <w:pPr>
      <w:tabs>
        <w:tab w:val="center" w:pos="4252"/>
        <w:tab w:val="right" w:pos="8504"/>
      </w:tabs>
    </w:pPr>
  </w:style>
  <w:style w:type="character" w:customStyle="1" w:styleId="EncabezadoCar">
    <w:name w:val="Encabezado Car"/>
    <w:basedOn w:val="Fuentedeprrafopredeter"/>
    <w:link w:val="Encabezado"/>
    <w:uiPriority w:val="99"/>
    <w:rsid w:val="009C1535"/>
    <w:rPr>
      <w:sz w:val="24"/>
      <w:lang w:val="es-MX"/>
    </w:rPr>
  </w:style>
  <w:style w:type="table" w:styleId="Tablaconcuadrcula">
    <w:name w:val="Table Grid"/>
    <w:basedOn w:val="Tablanormal"/>
    <w:uiPriority w:val="39"/>
    <w:rsid w:val="009C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C1535"/>
    <w:pPr>
      <w:ind w:left="720"/>
      <w:contextualSpacing/>
    </w:pPr>
  </w:style>
  <w:style w:type="paragraph" w:styleId="NormalWeb">
    <w:name w:val="Normal (Web)"/>
    <w:basedOn w:val="Normal"/>
    <w:uiPriority w:val="99"/>
    <w:unhideWhenUsed/>
    <w:rsid w:val="009C1535"/>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C1535"/>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C153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C1535"/>
    <w:rPr>
      <w:sz w:val="20"/>
      <w:szCs w:val="20"/>
    </w:rPr>
  </w:style>
  <w:style w:type="character" w:customStyle="1" w:styleId="TextonotapieCar1">
    <w:name w:val="Texto nota pie Car1"/>
    <w:basedOn w:val="Fuentedeprrafopredeter"/>
    <w:uiPriority w:val="99"/>
    <w:semiHidden/>
    <w:rsid w:val="009C1535"/>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C1535"/>
    <w:rPr>
      <w:sz w:val="24"/>
      <w:lang w:val="es-MX"/>
    </w:rPr>
  </w:style>
  <w:style w:type="paragraph" w:customStyle="1" w:styleId="Capitulo1">
    <w:name w:val="Capitulo 1"/>
    <w:basedOn w:val="Normal"/>
    <w:qFormat/>
    <w:rsid w:val="009C1535"/>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9C1535"/>
    <w:rPr>
      <w:vertAlign w:val="superscript"/>
    </w:rPr>
  </w:style>
  <w:style w:type="paragraph" w:styleId="Textoindependiente">
    <w:name w:val="Body Text"/>
    <w:basedOn w:val="Normal"/>
    <w:link w:val="TextoindependienteCar"/>
    <w:uiPriority w:val="1"/>
    <w:qFormat/>
    <w:rsid w:val="009C1535"/>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9C1535"/>
    <w:rPr>
      <w:rFonts w:ascii="Arial" w:eastAsia="Arial" w:hAnsi="Arial" w:cs="Arial"/>
      <w:lang w:val="es-ES" w:eastAsia="es-ES" w:bidi="es-ES"/>
    </w:rPr>
  </w:style>
  <w:style w:type="character" w:styleId="Textoennegrita">
    <w:name w:val="Strong"/>
    <w:basedOn w:val="Fuentedeprrafopredeter"/>
    <w:uiPriority w:val="22"/>
    <w:qFormat/>
    <w:rsid w:val="009C1535"/>
    <w:rPr>
      <w:b/>
      <w:bCs/>
    </w:rPr>
  </w:style>
  <w:style w:type="paragraph" w:customStyle="1" w:styleId="Default">
    <w:name w:val="Default"/>
    <w:rsid w:val="009C153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2565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565C"/>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CC42CC"/>
    <w:rPr>
      <w:sz w:val="16"/>
      <w:szCs w:val="16"/>
    </w:rPr>
  </w:style>
  <w:style w:type="paragraph" w:styleId="Textocomentario">
    <w:name w:val="annotation text"/>
    <w:basedOn w:val="Normal"/>
    <w:link w:val="TextocomentarioCar"/>
    <w:uiPriority w:val="99"/>
    <w:semiHidden/>
    <w:unhideWhenUsed/>
    <w:rsid w:val="00CC42CC"/>
    <w:rPr>
      <w:sz w:val="20"/>
      <w:szCs w:val="20"/>
    </w:rPr>
  </w:style>
  <w:style w:type="character" w:customStyle="1" w:styleId="TextocomentarioCar">
    <w:name w:val="Texto comentario Car"/>
    <w:basedOn w:val="Fuentedeprrafopredeter"/>
    <w:link w:val="Textocomentario"/>
    <w:uiPriority w:val="99"/>
    <w:semiHidden/>
    <w:rsid w:val="00CC42C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C42CC"/>
    <w:rPr>
      <w:b/>
      <w:bCs/>
    </w:rPr>
  </w:style>
  <w:style w:type="character" w:customStyle="1" w:styleId="AsuntodelcomentarioCar">
    <w:name w:val="Asunto del comentario Car"/>
    <w:basedOn w:val="TextocomentarioCar"/>
    <w:link w:val="Asuntodelcomentario"/>
    <w:uiPriority w:val="99"/>
    <w:semiHidden/>
    <w:rsid w:val="00CC42CC"/>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2455">
      <w:bodyDiv w:val="1"/>
      <w:marLeft w:val="0"/>
      <w:marRight w:val="0"/>
      <w:marTop w:val="0"/>
      <w:marBottom w:val="0"/>
      <w:divBdr>
        <w:top w:val="none" w:sz="0" w:space="0" w:color="auto"/>
        <w:left w:val="none" w:sz="0" w:space="0" w:color="auto"/>
        <w:bottom w:val="none" w:sz="0" w:space="0" w:color="auto"/>
        <w:right w:val="none" w:sz="0" w:space="0" w:color="auto"/>
      </w:divBdr>
      <w:divsChild>
        <w:div w:id="174058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6E731FB-1263-470B-BA49-EEA82F0131DA}"/>
</file>

<file path=customXml/itemProps2.xml><?xml version="1.0" encoding="utf-8"?>
<ds:datastoreItem xmlns:ds="http://schemas.openxmlformats.org/officeDocument/2006/customXml" ds:itemID="{460ACB45-99E8-4AD6-80CF-5CA48AF32FDF}"/>
</file>

<file path=customXml/itemProps3.xml><?xml version="1.0" encoding="utf-8"?>
<ds:datastoreItem xmlns:ds="http://schemas.openxmlformats.org/officeDocument/2006/customXml" ds:itemID="{C4A1A483-FD80-477E-9EF9-9EBC2CC02C1E}"/>
</file>

<file path=docProps/app.xml><?xml version="1.0" encoding="utf-8"?>
<Properties xmlns="http://schemas.openxmlformats.org/officeDocument/2006/extended-properties" xmlns:vt="http://schemas.openxmlformats.org/officeDocument/2006/docPropsVTypes">
  <Template>Normal</Template>
  <TotalTime>10</TotalTime>
  <Pages>29</Pages>
  <Words>11005</Words>
  <Characters>60528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Andres Urrego</cp:lastModifiedBy>
  <cp:revision>4</cp:revision>
  <dcterms:created xsi:type="dcterms:W3CDTF">2020-10-02T01:36:00Z</dcterms:created>
  <dcterms:modified xsi:type="dcterms:W3CDTF">2020-10-02T16:08:00Z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