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69BF9" w14:textId="77777777" w:rsidR="002A56B2" w:rsidRPr="008D7D85" w:rsidRDefault="002A56B2" w:rsidP="002A56B2">
      <w:pPr>
        <w:jc w:val="right"/>
        <w:rPr>
          <w:rFonts w:ascii="Arial" w:hAnsi="Arial" w:cs="Arial"/>
          <w:b/>
          <w:sz w:val="16"/>
          <w:szCs w:val="16"/>
          <w:lang w:val="es-ES_tradnl" w:eastAsia="es-ES"/>
        </w:rPr>
      </w:pPr>
      <w:bookmarkStart w:id="0" w:name="_Hlk28946138"/>
      <w:bookmarkStart w:id="1" w:name="_Hlk29548183"/>
      <w:r w:rsidRPr="009C6B45">
        <w:rPr>
          <w:rFonts w:ascii="Arial" w:hAnsi="Arial" w:cs="Arial"/>
          <w:bCs/>
          <w:sz w:val="16"/>
          <w:szCs w:val="16"/>
          <w:lang w:val="es-ES_tradnl" w:eastAsia="es-ES"/>
        </w:rPr>
        <w:tab/>
      </w:r>
      <w:r w:rsidRPr="008D7D85">
        <w:rPr>
          <w:rFonts w:ascii="Arial" w:hAnsi="Arial" w:cs="Arial"/>
          <w:b/>
          <w:sz w:val="16"/>
          <w:szCs w:val="16"/>
          <w:lang w:val="es-ES_tradnl" w:eastAsia="es-ES"/>
        </w:rPr>
        <w:t>CCE-DES-FM-17</w:t>
      </w:r>
    </w:p>
    <w:p w14:paraId="75672693" w14:textId="62FE718F" w:rsidR="00E106AF" w:rsidRPr="00990995" w:rsidRDefault="00E106AF" w:rsidP="00E106AF">
      <w:pPr>
        <w:jc w:val="both"/>
        <w:rPr>
          <w:rFonts w:ascii="Arial" w:hAnsi="Arial" w:cs="Arial"/>
          <w:b/>
          <w:sz w:val="20"/>
          <w:szCs w:val="20"/>
          <w:lang w:val="es-ES_tradnl" w:eastAsia="es-ES"/>
        </w:rPr>
      </w:pPr>
    </w:p>
    <w:p w14:paraId="56576259" w14:textId="5158E254" w:rsidR="00E106AF" w:rsidRPr="009C6B45" w:rsidRDefault="00E106AF" w:rsidP="00E106AF">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LIQUIDACIÓN DEL CONTRATO </w:t>
      </w:r>
      <w:r w:rsidR="003205E9">
        <w:rPr>
          <w:rFonts w:ascii="Arial" w:hAnsi="Arial" w:cs="Arial"/>
          <w:b/>
          <w:sz w:val="22"/>
          <w:szCs w:val="22"/>
          <w:lang w:val="es-ES_tradnl" w:eastAsia="es-ES"/>
        </w:rPr>
        <w:t>−</w:t>
      </w:r>
      <w:r w:rsidR="009554FD" w:rsidRPr="009C6B45">
        <w:rPr>
          <w:rFonts w:ascii="Arial" w:hAnsi="Arial" w:cs="Arial"/>
          <w:b/>
          <w:sz w:val="22"/>
          <w:szCs w:val="22"/>
          <w:lang w:val="es-ES_tradnl" w:eastAsia="es-ES"/>
        </w:rPr>
        <w:t xml:space="preserve"> </w:t>
      </w:r>
      <w:r w:rsidRPr="009C6B45">
        <w:rPr>
          <w:rFonts w:ascii="Arial" w:hAnsi="Arial" w:cs="Arial"/>
          <w:b/>
          <w:sz w:val="22"/>
          <w:szCs w:val="22"/>
          <w:lang w:val="es-ES_tradnl" w:eastAsia="es-ES"/>
        </w:rPr>
        <w:t xml:space="preserve">Definición – Objetivo </w:t>
      </w:r>
    </w:p>
    <w:p w14:paraId="6667039C" w14:textId="310A5E10" w:rsidR="00E106AF" w:rsidRPr="00990995" w:rsidRDefault="00E106AF" w:rsidP="00E106AF">
      <w:pPr>
        <w:jc w:val="both"/>
        <w:rPr>
          <w:rFonts w:ascii="Arial" w:hAnsi="Arial" w:cs="Arial"/>
          <w:b/>
          <w:sz w:val="20"/>
          <w:szCs w:val="20"/>
          <w:lang w:val="es-ES_tradnl" w:eastAsia="es-ES"/>
        </w:rPr>
      </w:pPr>
    </w:p>
    <w:p w14:paraId="7E37DB6F" w14:textId="655C89FF" w:rsidR="00056F52" w:rsidRPr="009C6B45" w:rsidRDefault="00056F52" w:rsidP="00056F52">
      <w:pPr>
        <w:jc w:val="both"/>
        <w:rPr>
          <w:rFonts w:ascii="Arial" w:hAnsi="Arial" w:cs="Arial"/>
          <w:sz w:val="20"/>
          <w:szCs w:val="20"/>
          <w:lang w:val="es-ES_tradnl" w:eastAsia="es-ES"/>
        </w:rPr>
      </w:pPr>
      <w:r w:rsidRPr="00056F52">
        <w:rPr>
          <w:rFonts w:ascii="Arial" w:hAnsi="Arial" w:cs="Arial"/>
          <w:sz w:val="20"/>
          <w:szCs w:val="20"/>
          <w:lang w:val="es-ES_tradnl" w:eastAsia="es-ES"/>
        </w:rPr>
        <w:t xml:space="preserve">La liquidación es el momento en el cual, una vez concluido el contrato estatal, las partes cruzan cuentas respecto de sus obligaciones. El objetivo de la liquidación es determinar si las partes pueden declararse a paz y salvo mutuo, o si existen obligaciones por cumplir, y con ocasión de aquella se puede acordar la forma en que deben ser cumplidas. </w:t>
      </w:r>
    </w:p>
    <w:p w14:paraId="32F7A952" w14:textId="5A05E05F" w:rsidR="00E106AF" w:rsidRPr="009C6B45" w:rsidRDefault="00E106AF" w:rsidP="00E106AF">
      <w:pPr>
        <w:jc w:val="both"/>
        <w:rPr>
          <w:rFonts w:ascii="Arial" w:hAnsi="Arial" w:cs="Arial"/>
          <w:sz w:val="20"/>
          <w:szCs w:val="20"/>
          <w:lang w:val="es-ES_tradnl" w:eastAsia="es-ES"/>
        </w:rPr>
      </w:pPr>
    </w:p>
    <w:p w14:paraId="2E7D9539" w14:textId="47F170C7" w:rsidR="00E106AF" w:rsidRPr="009C6B45" w:rsidRDefault="00E106AF" w:rsidP="00E106AF">
      <w:pPr>
        <w:jc w:val="both"/>
        <w:rPr>
          <w:rFonts w:ascii="Arial" w:hAnsi="Arial" w:cs="Arial"/>
          <w:b/>
          <w:sz w:val="22"/>
          <w:szCs w:val="22"/>
          <w:lang w:val="es-ES_tradnl" w:eastAsia="es-ES"/>
        </w:rPr>
      </w:pPr>
      <w:r w:rsidRPr="009C6B45">
        <w:rPr>
          <w:rFonts w:ascii="Arial" w:hAnsi="Arial" w:cs="Arial"/>
          <w:b/>
          <w:sz w:val="22"/>
          <w:szCs w:val="22"/>
          <w:lang w:val="es-ES_tradnl" w:eastAsia="es-ES"/>
        </w:rPr>
        <w:t>LIQUIDACI</w:t>
      </w:r>
      <w:r w:rsidR="009554FD" w:rsidRPr="009C6B45">
        <w:rPr>
          <w:rFonts w:ascii="Arial" w:hAnsi="Arial" w:cs="Arial"/>
          <w:b/>
          <w:sz w:val="22"/>
          <w:szCs w:val="22"/>
          <w:lang w:val="es-ES_tradnl" w:eastAsia="es-ES"/>
        </w:rPr>
        <w:t>ÓN DEL CONTRATO</w:t>
      </w:r>
      <w:r w:rsidRPr="009C6B45">
        <w:rPr>
          <w:rFonts w:ascii="Arial" w:hAnsi="Arial" w:cs="Arial"/>
          <w:b/>
          <w:sz w:val="22"/>
          <w:szCs w:val="22"/>
          <w:lang w:val="es-ES_tradnl" w:eastAsia="es-ES"/>
        </w:rPr>
        <w:t xml:space="preserve"> – Normativ</w:t>
      </w:r>
      <w:r w:rsidR="00071380" w:rsidRPr="009C6B45">
        <w:rPr>
          <w:rFonts w:ascii="Arial" w:hAnsi="Arial" w:cs="Arial"/>
          <w:b/>
          <w:sz w:val="22"/>
          <w:szCs w:val="22"/>
          <w:lang w:val="es-ES_tradnl" w:eastAsia="es-ES"/>
        </w:rPr>
        <w:t>a</w:t>
      </w:r>
      <w:r w:rsidRPr="009C6B45">
        <w:rPr>
          <w:rFonts w:ascii="Arial" w:hAnsi="Arial" w:cs="Arial"/>
          <w:b/>
          <w:sz w:val="22"/>
          <w:szCs w:val="22"/>
          <w:lang w:val="es-ES_tradnl" w:eastAsia="es-ES"/>
        </w:rPr>
        <w:t xml:space="preserve"> </w:t>
      </w:r>
    </w:p>
    <w:p w14:paraId="7F204F26" w14:textId="77777777" w:rsidR="00E106AF" w:rsidRPr="009C6B45" w:rsidRDefault="00E106AF" w:rsidP="00E106AF">
      <w:pPr>
        <w:jc w:val="both"/>
        <w:rPr>
          <w:rFonts w:ascii="Arial" w:hAnsi="Arial" w:cs="Arial"/>
          <w:sz w:val="20"/>
          <w:szCs w:val="20"/>
          <w:lang w:val="es-ES_tradnl" w:eastAsia="es-ES"/>
        </w:rPr>
      </w:pPr>
    </w:p>
    <w:p w14:paraId="5E39BDC4" w14:textId="7ADCAE6C" w:rsidR="00056F52" w:rsidRPr="009C6B45" w:rsidRDefault="00056F52" w:rsidP="00E106AF">
      <w:pPr>
        <w:jc w:val="both"/>
        <w:rPr>
          <w:rFonts w:ascii="Arial" w:hAnsi="Arial" w:cs="Arial"/>
          <w:sz w:val="20"/>
          <w:szCs w:val="20"/>
          <w:lang w:val="es-ES_tradnl" w:eastAsia="es-ES"/>
        </w:rPr>
      </w:pPr>
      <w:r w:rsidRPr="00056F52">
        <w:rPr>
          <w:rFonts w:ascii="Arial" w:hAnsi="Arial" w:cs="Arial"/>
          <w:sz w:val="20"/>
          <w:szCs w:val="20"/>
          <w:lang w:val="es-ES_tradnl" w:eastAsia="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51E58581" w14:textId="6F58B17F" w:rsidR="00E106AF" w:rsidRPr="009C6B45" w:rsidRDefault="00E106AF" w:rsidP="00E106AF">
      <w:pPr>
        <w:jc w:val="both"/>
        <w:rPr>
          <w:rFonts w:ascii="Arial" w:hAnsi="Arial" w:cs="Arial"/>
          <w:sz w:val="20"/>
          <w:szCs w:val="20"/>
          <w:lang w:val="es-ES_tradnl" w:eastAsia="es-ES"/>
        </w:rPr>
      </w:pPr>
    </w:p>
    <w:p w14:paraId="389E46F4" w14:textId="25D527FC" w:rsidR="007E6590" w:rsidRPr="009C6B45" w:rsidRDefault="007E6590" w:rsidP="00E106AF">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LIQUIDACIÓN DEL CONTRATO – Oportunidad </w:t>
      </w:r>
    </w:p>
    <w:p w14:paraId="7F125106" w14:textId="7CBB46A4" w:rsidR="00056F52" w:rsidRDefault="00056F52" w:rsidP="00E106AF">
      <w:pPr>
        <w:jc w:val="both"/>
        <w:rPr>
          <w:rFonts w:ascii="Arial" w:hAnsi="Arial" w:cs="Arial"/>
          <w:sz w:val="20"/>
          <w:szCs w:val="20"/>
          <w:lang w:val="es-ES_tradnl" w:eastAsia="es-ES"/>
        </w:rPr>
      </w:pPr>
    </w:p>
    <w:p w14:paraId="00E905FA" w14:textId="797D2DAC" w:rsidR="00056F52" w:rsidRPr="00056F52" w:rsidRDefault="00056F52" w:rsidP="008D7D85">
      <w:pPr>
        <w:spacing w:after="120"/>
        <w:jc w:val="both"/>
        <w:rPr>
          <w:rFonts w:ascii="Arial" w:hAnsi="Arial" w:cs="Arial"/>
          <w:sz w:val="20"/>
          <w:szCs w:val="20"/>
          <w:lang w:val="es-ES_tradnl" w:eastAsia="es-ES"/>
        </w:rPr>
      </w:pPr>
      <w:r>
        <w:rPr>
          <w:rFonts w:ascii="Arial" w:hAnsi="Arial" w:cs="Arial"/>
          <w:sz w:val="20"/>
          <w:szCs w:val="20"/>
          <w:lang w:val="es-ES_tradnl" w:eastAsia="es-ES"/>
        </w:rPr>
        <w:t xml:space="preserve">[…] </w:t>
      </w:r>
      <w:r w:rsidRPr="00056F52">
        <w:rPr>
          <w:rFonts w:ascii="Arial" w:hAnsi="Arial" w:cs="Arial"/>
          <w:sz w:val="20"/>
          <w:szCs w:val="20"/>
          <w:lang w:val="es-ES_tradnl" w:eastAsia="es-ES"/>
        </w:rPr>
        <w:t>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p>
    <w:p w14:paraId="3791FE56" w14:textId="11FEE98F" w:rsidR="00056F52" w:rsidRPr="009C6B45" w:rsidRDefault="00056F52" w:rsidP="008D7D85">
      <w:pPr>
        <w:jc w:val="both"/>
        <w:rPr>
          <w:rFonts w:ascii="Arial" w:hAnsi="Arial" w:cs="Arial"/>
          <w:sz w:val="20"/>
          <w:szCs w:val="20"/>
          <w:lang w:val="es-ES_tradnl" w:eastAsia="es-ES"/>
        </w:rPr>
      </w:pPr>
      <w:r w:rsidRPr="00056F52">
        <w:rPr>
          <w:rFonts w:ascii="Arial" w:hAnsi="Arial" w:cs="Arial"/>
          <w:sz w:val="20"/>
          <w:szCs w:val="20"/>
          <w:lang w:val="es-ES_tradnl" w:eastAsia="es-ES"/>
        </w:rPr>
        <w:t>Durante este término, el contratista puede solicitar que se adelante el trámite de liquidación. Sin embargo, es responsabilidad de la entidad estatal convocarlo para adelantar la liquidación de común acuerdo o notificarlo para que se presente a la liquidación, de manera que el contrato pueda ser liquidado bilateralmente, bien sea en el plazo previsto en el pliego de condiciones, el acordado por las partes, o los cuatro meses señalados en la Ley, según corresponda. Esta liquidación bilateral puede ser total o parcial, y el documento que la contiene presta mérito ejecutivo, siempre que se satisfagan los elementos para considerarlo como tal.</w:t>
      </w:r>
    </w:p>
    <w:p w14:paraId="3933ED1E" w14:textId="4FEA59A4" w:rsidR="00AE64FF" w:rsidRPr="009C6B45" w:rsidRDefault="00AE64FF" w:rsidP="008D7D85">
      <w:pPr>
        <w:jc w:val="both"/>
        <w:rPr>
          <w:rFonts w:ascii="Arial" w:hAnsi="Arial" w:cs="Arial"/>
          <w:sz w:val="20"/>
          <w:szCs w:val="20"/>
          <w:lang w:val="es-ES_tradnl" w:eastAsia="es-ES"/>
        </w:rPr>
      </w:pPr>
    </w:p>
    <w:p w14:paraId="6C7DC82F" w14:textId="1C255E15" w:rsidR="00AE64FF" w:rsidRPr="009C6B45" w:rsidRDefault="00AE64FF" w:rsidP="008D7D85">
      <w:pPr>
        <w:jc w:val="both"/>
        <w:rPr>
          <w:rFonts w:ascii="Arial" w:hAnsi="Arial" w:cs="Arial"/>
          <w:b/>
          <w:sz w:val="22"/>
          <w:szCs w:val="22"/>
          <w:lang w:val="es-ES_tradnl" w:eastAsia="es-ES"/>
        </w:rPr>
      </w:pPr>
      <w:r w:rsidRPr="009C6B45">
        <w:rPr>
          <w:rFonts w:ascii="Arial" w:hAnsi="Arial" w:cs="Arial"/>
          <w:b/>
          <w:sz w:val="22"/>
          <w:szCs w:val="22"/>
          <w:lang w:val="es-ES_tradnl" w:eastAsia="es-ES"/>
        </w:rPr>
        <w:t>LIQUIDACIÓN DEL CONTRATO</w:t>
      </w:r>
      <w:r w:rsidR="009554FD" w:rsidRPr="009C6B45">
        <w:rPr>
          <w:rFonts w:ascii="Arial" w:hAnsi="Arial" w:cs="Arial"/>
          <w:b/>
          <w:sz w:val="22"/>
          <w:szCs w:val="22"/>
          <w:lang w:val="es-ES_tradnl" w:eastAsia="es-ES"/>
        </w:rPr>
        <w:t xml:space="preserve"> </w:t>
      </w:r>
      <w:r w:rsidRPr="009C6B45">
        <w:rPr>
          <w:rFonts w:ascii="Arial" w:hAnsi="Arial" w:cs="Arial"/>
          <w:b/>
          <w:sz w:val="22"/>
          <w:szCs w:val="22"/>
          <w:lang w:val="es-ES_tradnl" w:eastAsia="es-ES"/>
        </w:rPr>
        <w:t xml:space="preserve">– Liquidación unilateral </w:t>
      </w:r>
    </w:p>
    <w:p w14:paraId="786CB64A" w14:textId="1CE03878" w:rsidR="00AE64FF" w:rsidRPr="009C6B45" w:rsidRDefault="00AE64FF" w:rsidP="008D7D85">
      <w:pPr>
        <w:jc w:val="both"/>
        <w:rPr>
          <w:rFonts w:ascii="Arial" w:hAnsi="Arial" w:cs="Arial"/>
          <w:sz w:val="20"/>
          <w:szCs w:val="20"/>
          <w:lang w:val="es-ES_tradnl" w:eastAsia="es-ES"/>
        </w:rPr>
      </w:pPr>
    </w:p>
    <w:p w14:paraId="571E2B9F" w14:textId="1CC92D4D" w:rsidR="00056F52" w:rsidRPr="00056F52" w:rsidRDefault="00056F52" w:rsidP="008D7D85">
      <w:pPr>
        <w:spacing w:after="120"/>
        <w:jc w:val="both"/>
        <w:rPr>
          <w:rFonts w:ascii="Arial" w:hAnsi="Arial" w:cs="Arial"/>
          <w:sz w:val="20"/>
          <w:szCs w:val="20"/>
          <w:lang w:val="es-ES_tradnl" w:eastAsia="es-ES"/>
        </w:rPr>
      </w:pPr>
      <w:r w:rsidRPr="00056F52">
        <w:rPr>
          <w:rFonts w:ascii="Arial" w:hAnsi="Arial" w:cs="Arial"/>
          <w:sz w:val="20"/>
          <w:szCs w:val="20"/>
          <w:lang w:val="es-ES_tradnl" w:eastAsia="es-ES"/>
        </w:rPr>
        <w:t xml:space="preserve">Si no se logra la liquidación bilateral del contrato, la entidad estatal tiene la facultad de liquidar unilateralmente el contrato durante el término de 2 meses  contados a partir del vencimiento del plazo que acuerden las partes para liquidar bilateralmente, o, ante el silencio de estas, del vencimiento de los 4 meses supletivos establecidos por la Ley. </w:t>
      </w:r>
    </w:p>
    <w:p w14:paraId="5E8C5F64" w14:textId="5301253D" w:rsidR="00056F52" w:rsidRPr="009C6B45" w:rsidRDefault="00056F52" w:rsidP="008D7D85">
      <w:pPr>
        <w:jc w:val="both"/>
        <w:rPr>
          <w:rFonts w:ascii="Arial" w:hAnsi="Arial" w:cs="Arial"/>
          <w:sz w:val="20"/>
          <w:szCs w:val="20"/>
          <w:lang w:val="es-ES_tradnl" w:eastAsia="es-ES"/>
        </w:rPr>
      </w:pPr>
      <w:r w:rsidRPr="00056F52">
        <w:rPr>
          <w:rFonts w:ascii="Arial" w:hAnsi="Arial" w:cs="Arial"/>
          <w:sz w:val="20"/>
          <w:szCs w:val="20"/>
          <w:lang w:val="es-ES_tradnl" w:eastAsia="es-ES"/>
        </w:rPr>
        <w:t>Finalmente, transcurridos estos 2 meses, la liquidación podrá ser realizada en cualquier tiempo dentro de los dos años siguientes al vencimiento del término referido. Durante estos dos años la liquidación podrá hacerse de mutuo acuerdo, unilateralmente por la entidad, o podrá ser solicitada judicialmente por el interesado</w:t>
      </w:r>
      <w:r>
        <w:rPr>
          <w:rFonts w:ascii="Arial" w:hAnsi="Arial" w:cs="Arial"/>
          <w:sz w:val="20"/>
          <w:szCs w:val="20"/>
          <w:lang w:val="es-ES_tradnl" w:eastAsia="es-ES"/>
        </w:rPr>
        <w:t>.</w:t>
      </w:r>
    </w:p>
    <w:p w14:paraId="07BD433B" w14:textId="24B5D822" w:rsidR="009554FD" w:rsidRPr="009C6B45" w:rsidRDefault="009554FD" w:rsidP="008D7D85">
      <w:pPr>
        <w:jc w:val="both"/>
        <w:rPr>
          <w:rFonts w:ascii="Arial" w:hAnsi="Arial" w:cs="Arial"/>
          <w:sz w:val="20"/>
          <w:szCs w:val="20"/>
          <w:lang w:val="es-ES_tradnl" w:eastAsia="es-ES"/>
        </w:rPr>
      </w:pPr>
    </w:p>
    <w:p w14:paraId="6F3164B8" w14:textId="0D781651" w:rsidR="009554FD" w:rsidRPr="009C6B45" w:rsidRDefault="009554FD" w:rsidP="008D7D85">
      <w:pPr>
        <w:jc w:val="both"/>
        <w:rPr>
          <w:rFonts w:ascii="Arial" w:hAnsi="Arial" w:cs="Arial"/>
          <w:b/>
          <w:sz w:val="22"/>
          <w:szCs w:val="22"/>
          <w:lang w:val="es-ES_tradnl" w:eastAsia="es-ES"/>
        </w:rPr>
      </w:pPr>
      <w:r w:rsidRPr="009C6B45">
        <w:rPr>
          <w:rFonts w:ascii="Arial" w:hAnsi="Arial" w:cs="Arial"/>
          <w:b/>
          <w:sz w:val="22"/>
          <w:szCs w:val="22"/>
          <w:lang w:val="es-ES_tradnl" w:eastAsia="es-ES"/>
        </w:rPr>
        <w:t>LIQUIDACIÓN DEL CONTRATO – Plazo máximo</w:t>
      </w:r>
    </w:p>
    <w:p w14:paraId="25417B1B" w14:textId="3CCEEDFA" w:rsidR="009554FD" w:rsidRPr="009C6B45" w:rsidRDefault="009554FD" w:rsidP="008D7D85">
      <w:pPr>
        <w:jc w:val="both"/>
        <w:rPr>
          <w:rFonts w:ascii="Arial" w:hAnsi="Arial" w:cs="Arial"/>
          <w:sz w:val="20"/>
          <w:szCs w:val="20"/>
          <w:lang w:val="es-ES_tradnl" w:eastAsia="es-ES"/>
        </w:rPr>
      </w:pPr>
    </w:p>
    <w:p w14:paraId="6C7FEC73" w14:textId="79C1AD96" w:rsidR="00056F52" w:rsidRPr="009C6B45" w:rsidRDefault="00056F52" w:rsidP="008D7D85">
      <w:pPr>
        <w:jc w:val="both"/>
        <w:rPr>
          <w:rFonts w:ascii="Arial" w:hAnsi="Arial" w:cs="Arial"/>
          <w:sz w:val="20"/>
          <w:szCs w:val="20"/>
          <w:lang w:val="es-ES_tradnl" w:eastAsia="es-ES"/>
        </w:rPr>
      </w:pPr>
      <w:r>
        <w:rPr>
          <w:rFonts w:ascii="Arial" w:hAnsi="Arial" w:cs="Arial"/>
          <w:sz w:val="20"/>
          <w:szCs w:val="20"/>
          <w:lang w:val="es-ES_tradnl" w:eastAsia="es-ES"/>
        </w:rPr>
        <w:t xml:space="preserve">[…] </w:t>
      </w:r>
      <w:r w:rsidRPr="00056F52">
        <w:rPr>
          <w:rFonts w:ascii="Arial" w:hAnsi="Arial" w:cs="Arial"/>
          <w:sz w:val="20"/>
          <w:szCs w:val="20"/>
          <w:lang w:val="es-ES_tradnl" w:eastAsia="es-ES"/>
        </w:rPr>
        <w:t xml:space="preserve">la facultad de liquidar los contratos tiene una ventana temporal que empieza con la terminación del contrato y comprende el período contractual pactado por las partes o legal supletivo– de 4 meses – para la liquidación bilateral, más el período legal para la liquidación unilateral – de 2 meses –, más el plazo para que opere el fenómeno de la caducidad –de 2 años –, el cual se cuenta desde este último. </w:t>
      </w:r>
    </w:p>
    <w:p w14:paraId="215C09D7" w14:textId="3E895D87" w:rsidR="009554FD" w:rsidRPr="009C6B45" w:rsidRDefault="009554FD" w:rsidP="009554FD">
      <w:pPr>
        <w:jc w:val="both"/>
        <w:rPr>
          <w:rFonts w:ascii="Arial" w:hAnsi="Arial" w:cs="Arial"/>
          <w:sz w:val="20"/>
          <w:szCs w:val="20"/>
          <w:lang w:val="es-ES_tradnl" w:eastAsia="es-ES"/>
        </w:rPr>
      </w:pPr>
    </w:p>
    <w:p w14:paraId="36D5E766" w14:textId="54091AAE" w:rsidR="009554FD" w:rsidRPr="009C6B45" w:rsidRDefault="009554FD" w:rsidP="009554FD">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LIQUIDACIÓN DEL CONTRATO – Tipos de liquidación </w:t>
      </w:r>
    </w:p>
    <w:p w14:paraId="75C758FC" w14:textId="70C4D618" w:rsidR="00E106AF" w:rsidRPr="009C6B45" w:rsidRDefault="00E106AF" w:rsidP="00E106AF">
      <w:pPr>
        <w:jc w:val="both"/>
        <w:rPr>
          <w:rFonts w:ascii="Arial" w:hAnsi="Arial" w:cs="Arial"/>
          <w:sz w:val="20"/>
          <w:szCs w:val="20"/>
          <w:lang w:val="es-ES_tradnl" w:eastAsia="es-ES"/>
        </w:rPr>
      </w:pPr>
    </w:p>
    <w:p w14:paraId="1660C1A2" w14:textId="54502D46" w:rsidR="009554FD" w:rsidRPr="009C6B45" w:rsidRDefault="009554FD" w:rsidP="009554FD">
      <w:pPr>
        <w:jc w:val="both"/>
        <w:rPr>
          <w:rFonts w:ascii="Arial" w:hAnsi="Arial" w:cs="Arial"/>
          <w:sz w:val="20"/>
          <w:szCs w:val="20"/>
          <w:lang w:val="es-ES_tradnl" w:eastAsia="es-ES"/>
        </w:rPr>
      </w:pPr>
      <w:r w:rsidRPr="009C6B45">
        <w:rPr>
          <w:rFonts w:ascii="Arial" w:hAnsi="Arial" w:cs="Arial"/>
          <w:sz w:val="20"/>
          <w:szCs w:val="20"/>
          <w:lang w:val="es-ES_tradnl" w:eastAsia="es-ES"/>
        </w:rPr>
        <w:t xml:space="preserve">[…] </w:t>
      </w:r>
      <w:r w:rsidR="00056F52" w:rsidRPr="00056F52">
        <w:rPr>
          <w:rFonts w:ascii="Arial" w:hAnsi="Arial" w:cs="Arial"/>
          <w:sz w:val="20"/>
          <w:szCs w:val="20"/>
          <w:lang w:val="es-ES_tradnl" w:eastAsia="es-ES"/>
        </w:rPr>
        <w:t>de 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subsidiario de cuatro meses. La segunda se debe practicar dentro de los dos meses siguientes al vencimiento del término que acuerden las partes, o, ante el silencio de estas, de los cuatro meses para realizar la liquidación bilateral, sin que esta se efectúe. Finalmente, la tercera la realiza el juez contencioso administrativo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decisión de unificación del Consejo de Estado.</w:t>
      </w:r>
    </w:p>
    <w:p w14:paraId="57460D7D" w14:textId="42E070C0" w:rsidR="00066CFF" w:rsidRPr="009C6B45" w:rsidRDefault="00066CFF" w:rsidP="009554FD">
      <w:pPr>
        <w:jc w:val="both"/>
        <w:rPr>
          <w:rFonts w:ascii="Arial" w:hAnsi="Arial" w:cs="Arial"/>
          <w:sz w:val="20"/>
          <w:szCs w:val="20"/>
          <w:lang w:val="es-ES_tradnl" w:eastAsia="es-ES"/>
        </w:rPr>
      </w:pPr>
    </w:p>
    <w:p w14:paraId="37523FA1" w14:textId="699A3758" w:rsidR="00066CFF" w:rsidRPr="009C6B45" w:rsidRDefault="00066CFF" w:rsidP="009554FD">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GARANTÍA DE CUMPLIMIENTO – Carácter indemnizatorio </w:t>
      </w:r>
    </w:p>
    <w:p w14:paraId="4436B0B2" w14:textId="24F42A3A" w:rsidR="00066CFF" w:rsidRPr="009C6B45" w:rsidRDefault="00066CFF" w:rsidP="009554FD">
      <w:pPr>
        <w:jc w:val="both"/>
        <w:rPr>
          <w:rFonts w:ascii="Arial" w:hAnsi="Arial" w:cs="Arial"/>
          <w:sz w:val="20"/>
          <w:szCs w:val="20"/>
          <w:lang w:val="es-ES_tradnl" w:eastAsia="es-ES"/>
        </w:rPr>
      </w:pPr>
    </w:p>
    <w:p w14:paraId="3AFAB3ED" w14:textId="17ACF574" w:rsidR="00066CFF" w:rsidRPr="009C6B45" w:rsidRDefault="00066CFF" w:rsidP="00066CFF">
      <w:pPr>
        <w:jc w:val="both"/>
        <w:rPr>
          <w:rFonts w:ascii="Arial" w:hAnsi="Arial" w:cs="Arial"/>
          <w:bCs/>
          <w:sz w:val="20"/>
          <w:szCs w:val="20"/>
          <w:lang w:val="es-ES_tradnl" w:eastAsia="es-ES"/>
        </w:rPr>
      </w:pPr>
      <w:r w:rsidRPr="009C6B45">
        <w:rPr>
          <w:rFonts w:ascii="Arial" w:hAnsi="Arial" w:cs="Arial"/>
          <w:bCs/>
          <w:sz w:val="20"/>
          <w:szCs w:val="20"/>
          <w:lang w:val="es-ES_tradnl" w:eastAsia="es-ES"/>
        </w:rPr>
        <w:t>Tiene carácter indemnizatorio</w:t>
      </w:r>
      <w:r w:rsidR="00652F74">
        <w:rPr>
          <w:rFonts w:ascii="Arial" w:hAnsi="Arial" w:cs="Arial"/>
          <w:bCs/>
          <w:sz w:val="20"/>
          <w:szCs w:val="20"/>
          <w:lang w:val="es-ES_tradnl" w:eastAsia="es-ES"/>
        </w:rPr>
        <w:t>,</w:t>
      </w:r>
      <w:r w:rsidRPr="009C6B45">
        <w:rPr>
          <w:rFonts w:ascii="Arial" w:hAnsi="Arial" w:cs="Arial"/>
          <w:bCs/>
          <w:sz w:val="20"/>
          <w:szCs w:val="20"/>
          <w:lang w:val="es-ES_tradnl" w:eastAsia="es-ES"/>
        </w:rPr>
        <w:t xml:space="preserve"> dado que su finalidad es proteger el patrimonio público del daño que le puede ocasionar el posible incumplimiento de las obligaciones contractuales por parte del particular contratista, para</w:t>
      </w:r>
      <w:r w:rsidR="00F63667">
        <w:rPr>
          <w:rFonts w:ascii="Arial" w:hAnsi="Arial" w:cs="Arial"/>
          <w:bCs/>
          <w:sz w:val="20"/>
          <w:szCs w:val="20"/>
          <w:lang w:val="es-ES_tradnl" w:eastAsia="es-ES"/>
        </w:rPr>
        <w:t>,</w:t>
      </w:r>
      <w:r w:rsidRPr="009C6B45">
        <w:rPr>
          <w:rFonts w:ascii="Arial" w:hAnsi="Arial" w:cs="Arial"/>
          <w:bCs/>
          <w:sz w:val="20"/>
          <w:szCs w:val="20"/>
          <w:lang w:val="es-ES_tradnl" w:eastAsia="es-ES"/>
        </w:rPr>
        <w:t xml:space="preserve"> de esta manera</w:t>
      </w:r>
      <w:r w:rsidR="00F63667">
        <w:rPr>
          <w:rFonts w:ascii="Arial" w:hAnsi="Arial" w:cs="Arial"/>
          <w:bCs/>
          <w:sz w:val="20"/>
          <w:szCs w:val="20"/>
          <w:lang w:val="es-ES_tradnl" w:eastAsia="es-ES"/>
        </w:rPr>
        <w:t>,</w:t>
      </w:r>
      <w:r w:rsidRPr="009C6B45">
        <w:rPr>
          <w:rFonts w:ascii="Arial" w:hAnsi="Arial" w:cs="Arial"/>
          <w:bCs/>
          <w:sz w:val="20"/>
          <w:szCs w:val="20"/>
          <w:lang w:val="es-ES_tradnl" w:eastAsia="es-ES"/>
        </w:rPr>
        <w:t xml:space="preserve"> evitar que dicho patrimonio se vea afectado o empobrecido.</w:t>
      </w:r>
    </w:p>
    <w:p w14:paraId="297A6117" w14:textId="44017869" w:rsidR="009554FD" w:rsidRPr="009C6B45" w:rsidRDefault="009554FD" w:rsidP="009554FD">
      <w:pPr>
        <w:jc w:val="both"/>
        <w:rPr>
          <w:rFonts w:ascii="Arial" w:hAnsi="Arial" w:cs="Arial"/>
          <w:sz w:val="20"/>
          <w:szCs w:val="20"/>
          <w:lang w:val="es-ES_tradnl" w:eastAsia="es-ES"/>
        </w:rPr>
      </w:pPr>
    </w:p>
    <w:p w14:paraId="07752898" w14:textId="59C40E02" w:rsidR="00E73969" w:rsidRPr="009C6B45" w:rsidRDefault="00E73969" w:rsidP="009554FD">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GARANTÍA DE CUMPLIMIENTO – Vigencia </w:t>
      </w:r>
    </w:p>
    <w:p w14:paraId="150EBB86" w14:textId="77777777" w:rsidR="00E73969" w:rsidRPr="009C6B45" w:rsidRDefault="00E73969" w:rsidP="009554FD">
      <w:pPr>
        <w:jc w:val="both"/>
        <w:rPr>
          <w:rFonts w:ascii="Arial" w:hAnsi="Arial" w:cs="Arial"/>
          <w:sz w:val="20"/>
          <w:szCs w:val="20"/>
          <w:lang w:val="es-ES_tradnl" w:eastAsia="es-ES"/>
        </w:rPr>
      </w:pPr>
    </w:p>
    <w:p w14:paraId="4D145CF0" w14:textId="31AC5D5C" w:rsidR="001F452E" w:rsidRPr="009C6B45" w:rsidRDefault="00056F52" w:rsidP="008D7D85">
      <w:pPr>
        <w:spacing w:after="120"/>
        <w:jc w:val="both"/>
        <w:rPr>
          <w:rFonts w:ascii="Arial" w:hAnsi="Arial" w:cs="Arial"/>
          <w:bCs/>
          <w:sz w:val="20"/>
          <w:szCs w:val="20"/>
          <w:lang w:val="es-ES_tradnl" w:eastAsia="es-ES"/>
        </w:rPr>
      </w:pPr>
      <w:r>
        <w:rPr>
          <w:rFonts w:ascii="Arial" w:hAnsi="Arial" w:cs="Arial"/>
          <w:bCs/>
          <w:sz w:val="20"/>
          <w:szCs w:val="20"/>
          <w:lang w:val="es-ES_tradnl" w:eastAsia="es-ES"/>
        </w:rPr>
        <w:t xml:space="preserve">[…] </w:t>
      </w:r>
      <w:r w:rsidRPr="00056F52">
        <w:rPr>
          <w:rFonts w:ascii="Arial" w:hAnsi="Arial" w:cs="Arial"/>
          <w:bCs/>
          <w:sz w:val="20"/>
          <w:szCs w:val="20"/>
          <w:lang w:val="es-ES_tradnl" w:eastAsia="es-ES"/>
        </w:rPr>
        <w:t xml:space="preserve">el artículo 2.2.1.2.3.1.12. del citado Decreto señala que «[l]a garantía de cumplimiento del contrato debe tener una vigencia mínima hasta la liquidación del contrato». </w:t>
      </w:r>
    </w:p>
    <w:p w14:paraId="092D5FA8" w14:textId="1BB10EDC" w:rsidR="00056F52" w:rsidRPr="009C6B45" w:rsidRDefault="00056F52" w:rsidP="008D7D85">
      <w:pPr>
        <w:jc w:val="both"/>
        <w:rPr>
          <w:rFonts w:ascii="Arial" w:hAnsi="Arial" w:cs="Arial"/>
          <w:bCs/>
          <w:sz w:val="20"/>
          <w:szCs w:val="20"/>
          <w:lang w:val="es-ES_tradnl" w:eastAsia="es-ES"/>
        </w:rPr>
      </w:pPr>
      <w:r w:rsidRPr="00056F52">
        <w:rPr>
          <w:rFonts w:ascii="Arial" w:hAnsi="Arial" w:cs="Arial"/>
          <w:bCs/>
          <w:sz w:val="20"/>
          <w:szCs w:val="20"/>
          <w:lang w:val="es-ES_tradnl" w:eastAsia="es-ES"/>
        </w:rPr>
        <w:t xml:space="preserve">Para poner en contacto este aparte del concepto con los términos para la liquidación bilateral, unilateral o judicial, se puede afirmar que la entidad debe mantener la garantía de cumplimiento vigente durante el plazo de ejecución del contrato, más el plazo para la liquidación bilateral – bien sea este el plazo acordado por las partes o el supletivo de </w:t>
      </w:r>
      <w:r w:rsidR="003E5C29">
        <w:rPr>
          <w:rFonts w:ascii="Arial" w:hAnsi="Arial" w:cs="Arial"/>
          <w:bCs/>
          <w:sz w:val="20"/>
          <w:szCs w:val="20"/>
          <w:lang w:val="es-ES_tradnl" w:eastAsia="es-ES"/>
        </w:rPr>
        <w:t>4</w:t>
      </w:r>
      <w:r w:rsidRPr="00056F52">
        <w:rPr>
          <w:rFonts w:ascii="Arial" w:hAnsi="Arial" w:cs="Arial"/>
          <w:bCs/>
          <w:sz w:val="20"/>
          <w:szCs w:val="20"/>
          <w:lang w:val="es-ES_tradnl" w:eastAsia="es-ES"/>
        </w:rPr>
        <w:t xml:space="preserve"> meses – más el plazo de dos meses que tiene la entidad para realizar la liquidación unilateral. </w:t>
      </w:r>
    </w:p>
    <w:bookmarkEnd w:id="0"/>
    <w:bookmarkEnd w:id="1"/>
    <w:p w14:paraId="2AE6F03C" w14:textId="024BA5A5" w:rsidR="00D85D2F" w:rsidRDefault="00D85D2F" w:rsidP="00D85D2F">
      <w:pPr>
        <w:pStyle w:val="Default"/>
        <w:rPr>
          <w:sz w:val="22"/>
          <w:szCs w:val="22"/>
          <w:lang w:val="es-ES_tradnl"/>
        </w:rPr>
      </w:pPr>
    </w:p>
    <w:p w14:paraId="2B1E6310" w14:textId="77777777" w:rsidR="00990995" w:rsidRPr="00990995" w:rsidRDefault="00990995" w:rsidP="00D85D2F">
      <w:pPr>
        <w:pStyle w:val="Default"/>
        <w:rPr>
          <w:sz w:val="22"/>
          <w:szCs w:val="22"/>
          <w:lang w:val="es-ES_tradnl"/>
        </w:rPr>
      </w:pPr>
    </w:p>
    <w:p w14:paraId="546FE0A9" w14:textId="77777777" w:rsidR="00990995" w:rsidRDefault="00990995" w:rsidP="002A56B2">
      <w:pPr>
        <w:rPr>
          <w:rFonts w:ascii="Arial" w:hAnsi="Arial" w:cs="Arial"/>
          <w:b/>
          <w:bCs/>
          <w:sz w:val="22"/>
          <w:szCs w:val="22"/>
          <w:lang w:val="pt-BR"/>
        </w:rPr>
      </w:pPr>
      <w:r w:rsidRPr="00990995">
        <w:rPr>
          <w:rFonts w:ascii="Arial" w:hAnsi="Arial" w:cs="Arial"/>
          <w:sz w:val="22"/>
          <w:szCs w:val="22"/>
          <w:lang w:val="pt-BR"/>
        </w:rPr>
        <w:t xml:space="preserve">Bogotá D.C., </w:t>
      </w:r>
      <w:r w:rsidRPr="00990995">
        <w:rPr>
          <w:rFonts w:ascii="Arial" w:hAnsi="Arial" w:cs="Arial"/>
          <w:b/>
          <w:bCs/>
          <w:sz w:val="22"/>
          <w:szCs w:val="22"/>
          <w:lang w:val="pt-BR"/>
        </w:rPr>
        <w:t xml:space="preserve">28/09/2020 Hora 12:42:42s </w:t>
      </w:r>
    </w:p>
    <w:p w14:paraId="5BB620EC" w14:textId="6F095788" w:rsidR="002A56B2" w:rsidRPr="00990995" w:rsidRDefault="00990995" w:rsidP="00990995">
      <w:pPr>
        <w:jc w:val="right"/>
        <w:rPr>
          <w:rFonts w:ascii="Arial" w:eastAsia="Calibri" w:hAnsi="Arial" w:cs="Arial"/>
          <w:color w:val="000000" w:themeColor="text1"/>
          <w:sz w:val="22"/>
          <w:szCs w:val="22"/>
          <w:lang w:val="pt-BR"/>
        </w:rPr>
      </w:pPr>
      <w:r w:rsidRPr="00990995">
        <w:rPr>
          <w:rFonts w:ascii="Arial" w:hAnsi="Arial" w:cs="Arial"/>
          <w:b/>
          <w:bCs/>
          <w:sz w:val="22"/>
          <w:szCs w:val="22"/>
          <w:lang w:val="pt-BR"/>
        </w:rPr>
        <w:t>N° Radicado: 2202013000009245</w:t>
      </w:r>
    </w:p>
    <w:p w14:paraId="7BE8FAB9" w14:textId="77777777" w:rsidR="001641F6" w:rsidRPr="00990995" w:rsidRDefault="001641F6" w:rsidP="002A56B2">
      <w:pPr>
        <w:rPr>
          <w:rFonts w:ascii="Arial" w:eastAsia="Calibri" w:hAnsi="Arial" w:cs="Arial"/>
          <w:color w:val="000000" w:themeColor="text1"/>
          <w:sz w:val="22"/>
          <w:lang w:val="pt-BR"/>
        </w:rPr>
      </w:pPr>
    </w:p>
    <w:p w14:paraId="0D548AEF" w14:textId="33E77F93" w:rsidR="00B414DE" w:rsidRPr="009C6B45" w:rsidRDefault="00B414DE" w:rsidP="00450B8D">
      <w:pPr>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Señor</w:t>
      </w:r>
    </w:p>
    <w:p w14:paraId="67345EE9" w14:textId="13B9B0A1" w:rsidR="00B414DE" w:rsidRPr="001641F6" w:rsidRDefault="006934AD" w:rsidP="00450B8D">
      <w:pPr>
        <w:rPr>
          <w:rFonts w:asciiTheme="minorBidi" w:eastAsia="Calibri" w:hAnsiTheme="minorBidi" w:cstheme="minorBidi"/>
          <w:b/>
          <w:bCs/>
          <w:color w:val="000000" w:themeColor="text1"/>
          <w:sz w:val="22"/>
          <w:szCs w:val="22"/>
          <w:lang w:val="es-ES_tradnl"/>
        </w:rPr>
      </w:pPr>
      <w:r w:rsidRPr="001641F6">
        <w:rPr>
          <w:rFonts w:asciiTheme="minorBidi" w:hAnsiTheme="minorBidi" w:cstheme="minorBidi"/>
          <w:b/>
          <w:bCs/>
          <w:sz w:val="22"/>
          <w:szCs w:val="22"/>
        </w:rPr>
        <w:t xml:space="preserve">Oscar Alexander Mesa </w:t>
      </w:r>
    </w:p>
    <w:p w14:paraId="5F2A0814" w14:textId="4540F3D8" w:rsidR="00B414DE" w:rsidRDefault="001641F6" w:rsidP="00450B8D">
      <w:pPr>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w:t>
      </w:r>
      <w:r w:rsidR="006934AD">
        <w:rPr>
          <w:rFonts w:ascii="Arial" w:eastAsia="Calibri" w:hAnsi="Arial" w:cs="Arial"/>
          <w:color w:val="000000" w:themeColor="text1"/>
          <w:sz w:val="22"/>
          <w:lang w:val="es-ES_tradnl"/>
        </w:rPr>
        <w:t xml:space="preserve"> D.C.</w:t>
      </w:r>
    </w:p>
    <w:p w14:paraId="24C5BCCB" w14:textId="77777777" w:rsidR="006934AD" w:rsidRPr="009C6B45" w:rsidRDefault="006934AD" w:rsidP="00450B8D">
      <w:pPr>
        <w:rPr>
          <w:rFonts w:ascii="Arial" w:eastAsia="Calibri" w:hAnsi="Arial" w:cs="Arial"/>
          <w:color w:val="000000" w:themeColor="text1"/>
          <w:sz w:val="22"/>
          <w:lang w:val="es-ES_tradnl"/>
        </w:rPr>
      </w:pPr>
    </w:p>
    <w:p w14:paraId="6A84D5A2" w14:textId="77777777" w:rsidR="00B414DE" w:rsidRPr="009C6B45" w:rsidRDefault="00B414DE" w:rsidP="00450B8D">
      <w:pPr>
        <w:rPr>
          <w:rFonts w:ascii="Arial" w:eastAsia="Calibri" w:hAnsi="Arial" w:cs="Arial"/>
          <w:color w:val="000000" w:themeColor="text1"/>
          <w:sz w:val="22"/>
          <w:lang w:val="es-ES_tradnl"/>
        </w:rPr>
      </w:pPr>
    </w:p>
    <w:p w14:paraId="0504970D" w14:textId="55B9C802" w:rsidR="00B414DE" w:rsidRPr="009C6B45" w:rsidRDefault="00B414DE" w:rsidP="00450B8D">
      <w:pPr>
        <w:ind w:firstLine="2694"/>
        <w:rPr>
          <w:rFonts w:ascii="Arial" w:eastAsia="Calibri" w:hAnsi="Arial" w:cs="Arial"/>
          <w:b/>
          <w:color w:val="000000" w:themeColor="text1"/>
          <w:sz w:val="22"/>
          <w:lang w:val="es-ES_tradnl"/>
        </w:rPr>
      </w:pPr>
      <w:r w:rsidRPr="009C6B45">
        <w:rPr>
          <w:rFonts w:ascii="Arial" w:eastAsia="Calibri" w:hAnsi="Arial" w:cs="Arial"/>
          <w:b/>
          <w:color w:val="000000" w:themeColor="text1"/>
          <w:sz w:val="22"/>
          <w:lang w:val="es-ES_tradnl"/>
        </w:rPr>
        <w:t xml:space="preserve">Concepto C </w:t>
      </w:r>
      <w:r w:rsidR="006934AD">
        <w:rPr>
          <w:rFonts w:ascii="Arial" w:eastAsia="Calibri" w:hAnsi="Arial" w:cs="Arial"/>
          <w:b/>
          <w:color w:val="000000" w:themeColor="text1"/>
          <w:sz w:val="22"/>
          <w:lang w:val="es-ES_tradnl"/>
        </w:rPr>
        <w:t>–</w:t>
      </w:r>
      <w:r w:rsidR="00F41731" w:rsidRPr="009C6B45">
        <w:rPr>
          <w:rFonts w:ascii="Arial" w:eastAsia="Calibri" w:hAnsi="Arial" w:cs="Arial"/>
          <w:b/>
          <w:color w:val="000000" w:themeColor="text1"/>
          <w:sz w:val="22"/>
          <w:lang w:val="es-ES_tradnl"/>
        </w:rPr>
        <w:t xml:space="preserve"> </w:t>
      </w:r>
      <w:r w:rsidR="001641F6">
        <w:rPr>
          <w:rFonts w:ascii="Arial" w:eastAsia="Calibri" w:hAnsi="Arial" w:cs="Arial"/>
          <w:b/>
          <w:color w:val="000000" w:themeColor="text1"/>
          <w:sz w:val="22"/>
          <w:lang w:val="es-ES_tradnl"/>
        </w:rPr>
        <w:t xml:space="preserve">625 </w:t>
      </w:r>
      <w:r w:rsidRPr="009C6B45">
        <w:rPr>
          <w:rFonts w:ascii="Arial" w:eastAsia="Calibri" w:hAnsi="Arial" w:cs="Arial"/>
          <w:b/>
          <w:color w:val="000000" w:themeColor="text1"/>
          <w:sz w:val="22"/>
          <w:lang w:val="es-ES_tradnl"/>
        </w:rPr>
        <w:t>de 2020</w:t>
      </w:r>
    </w:p>
    <w:p w14:paraId="1C23701E" w14:textId="77777777" w:rsidR="00B414DE" w:rsidRPr="009C6B45" w:rsidRDefault="00B414DE" w:rsidP="00450B8D">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E44D4" w:rsidRPr="00C91526" w14:paraId="02EC7E35" w14:textId="77777777" w:rsidTr="00450B8D">
        <w:tc>
          <w:tcPr>
            <w:tcW w:w="2689" w:type="dxa"/>
            <w:hideMark/>
          </w:tcPr>
          <w:p w14:paraId="1690F0B0" w14:textId="77777777" w:rsidR="00B414DE" w:rsidRPr="000D2ED5" w:rsidRDefault="00B414DE" w:rsidP="00B414DE">
            <w:pPr>
              <w:rPr>
                <w:rFonts w:ascii="Arial" w:eastAsia="Calibri" w:hAnsi="Arial" w:cs="Arial"/>
                <w:color w:val="000000" w:themeColor="text1"/>
                <w:sz w:val="22"/>
                <w:lang w:val="es-ES_tradnl"/>
              </w:rPr>
            </w:pPr>
            <w:r w:rsidRPr="000D2ED5">
              <w:rPr>
                <w:rFonts w:ascii="Arial" w:eastAsia="Calibri" w:hAnsi="Arial" w:cs="Arial"/>
                <w:b/>
                <w:color w:val="000000" w:themeColor="text1"/>
                <w:sz w:val="22"/>
                <w:lang w:val="es-ES_tradnl"/>
              </w:rPr>
              <w:t>Temas:</w:t>
            </w:r>
            <w:r w:rsidRPr="000D2ED5">
              <w:rPr>
                <w:rFonts w:ascii="Arial" w:eastAsia="Calibri" w:hAnsi="Arial" w:cs="Arial"/>
                <w:color w:val="000000" w:themeColor="text1"/>
                <w:sz w:val="22"/>
                <w:lang w:val="es-ES_tradnl"/>
              </w:rPr>
              <w:t xml:space="preserve">           </w:t>
            </w:r>
          </w:p>
          <w:p w14:paraId="516E55D8" w14:textId="77777777" w:rsidR="00B414DE" w:rsidRPr="000D2ED5" w:rsidRDefault="00B414DE" w:rsidP="00B414DE">
            <w:pPr>
              <w:rPr>
                <w:rFonts w:ascii="Arial" w:eastAsia="Calibri" w:hAnsi="Arial" w:cs="Arial"/>
                <w:color w:val="000000" w:themeColor="text1"/>
                <w:sz w:val="22"/>
                <w:lang w:val="es-ES_tradnl"/>
              </w:rPr>
            </w:pPr>
            <w:r w:rsidRPr="000D2ED5">
              <w:rPr>
                <w:rFonts w:ascii="Arial" w:eastAsia="Calibri" w:hAnsi="Arial" w:cs="Arial"/>
                <w:color w:val="000000" w:themeColor="text1"/>
                <w:sz w:val="22"/>
                <w:lang w:val="es-ES_tradnl"/>
              </w:rPr>
              <w:t xml:space="preserve">                           </w:t>
            </w:r>
          </w:p>
        </w:tc>
        <w:tc>
          <w:tcPr>
            <w:tcW w:w="6237" w:type="dxa"/>
            <w:hideMark/>
          </w:tcPr>
          <w:p w14:paraId="10E02B5E" w14:textId="2C03DF9C" w:rsidR="00B414DE" w:rsidRPr="000D2ED5" w:rsidRDefault="000D2ED5" w:rsidP="00990995">
            <w:pPr>
              <w:spacing w:after="120"/>
              <w:jc w:val="both"/>
              <w:rPr>
                <w:rFonts w:ascii="Arial" w:eastAsia="Calibri" w:hAnsi="Arial" w:cs="Arial"/>
                <w:color w:val="000000" w:themeColor="text1"/>
                <w:sz w:val="21"/>
                <w:szCs w:val="21"/>
                <w:lang w:val="es-ES_tradnl"/>
              </w:rPr>
            </w:pPr>
            <w:r w:rsidRPr="000D2ED5">
              <w:rPr>
                <w:rFonts w:ascii="Arial" w:eastAsia="Calibri" w:hAnsi="Arial" w:cs="Arial"/>
                <w:color w:val="000000" w:themeColor="text1"/>
                <w:sz w:val="21"/>
                <w:szCs w:val="21"/>
              </w:rPr>
              <w:t>LIQUIDACIÓN DEL CONTRATO - Definición – Objetivo / LIQUIDACIÓN DEL CONTRATO – Normativa / LIQUIDACIÓN DEL CONTRATO – Oportunidad / LIQUIDACIÓN DEL CONTRATO – Liquidación unilateral / LIQUIDACIÓN DEL CONTRATO – Plazo máximo / LIQUIDACIÓN DEL CONTRATO – Tipos de liquidación / GARANTÍA DE CUMPLIMIENTO – Carácter indemnizatorio / GARANTÍA DE CUMPLIMIENTO – Vigencia</w:t>
            </w:r>
          </w:p>
        </w:tc>
      </w:tr>
      <w:tr w:rsidR="00B414DE" w:rsidRPr="00C91526" w14:paraId="08429821" w14:textId="77777777" w:rsidTr="00450B8D">
        <w:tc>
          <w:tcPr>
            <w:tcW w:w="2689" w:type="dxa"/>
          </w:tcPr>
          <w:p w14:paraId="45B26E8D" w14:textId="77777777" w:rsidR="00B414DE" w:rsidRPr="009C6B45" w:rsidRDefault="00B414DE" w:rsidP="00B414DE">
            <w:pPr>
              <w:rPr>
                <w:rFonts w:ascii="Arial" w:eastAsia="Calibri" w:hAnsi="Arial" w:cs="Arial"/>
                <w:b/>
                <w:color w:val="000000" w:themeColor="text1"/>
                <w:sz w:val="22"/>
                <w:lang w:val="es-ES_tradnl"/>
              </w:rPr>
            </w:pPr>
            <w:r w:rsidRPr="009C6B45">
              <w:rPr>
                <w:rFonts w:ascii="Arial" w:eastAsia="Calibri" w:hAnsi="Arial" w:cs="Arial"/>
                <w:b/>
                <w:color w:val="000000" w:themeColor="text1"/>
                <w:sz w:val="22"/>
                <w:lang w:val="es-ES_tradnl"/>
              </w:rPr>
              <w:lastRenderedPageBreak/>
              <w:t>Radicación:</w:t>
            </w:r>
            <w:r w:rsidRPr="009C6B45">
              <w:rPr>
                <w:rFonts w:ascii="Arial" w:eastAsia="Calibri" w:hAnsi="Arial" w:cs="Arial"/>
                <w:color w:val="000000" w:themeColor="text1"/>
                <w:sz w:val="22"/>
                <w:lang w:val="es-ES_tradnl"/>
              </w:rPr>
              <w:t xml:space="preserve">                              </w:t>
            </w:r>
          </w:p>
        </w:tc>
        <w:tc>
          <w:tcPr>
            <w:tcW w:w="6237" w:type="dxa"/>
          </w:tcPr>
          <w:p w14:paraId="6947F303" w14:textId="33E02FD7" w:rsidR="00B414DE" w:rsidRPr="009C6B45" w:rsidRDefault="00B414DE" w:rsidP="00F41731">
            <w:pPr>
              <w:jc w:val="both"/>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 xml:space="preserve">Respuesta a consulta # </w:t>
            </w:r>
            <w:r w:rsidR="001948D8" w:rsidRPr="001948D8">
              <w:rPr>
                <w:rFonts w:ascii="Arial" w:eastAsia="Calibri" w:hAnsi="Arial" w:cs="Arial"/>
                <w:color w:val="000000" w:themeColor="text1"/>
                <w:sz w:val="22"/>
                <w:lang w:val="es-ES_tradnl"/>
              </w:rPr>
              <w:t>4202013000008003</w:t>
            </w:r>
          </w:p>
        </w:tc>
      </w:tr>
    </w:tbl>
    <w:p w14:paraId="7DD2DBE3" w14:textId="77777777" w:rsidR="00B414DE" w:rsidRPr="009C6B45" w:rsidRDefault="00B414DE" w:rsidP="00450B8D">
      <w:pPr>
        <w:jc w:val="both"/>
        <w:rPr>
          <w:rFonts w:ascii="Arial" w:eastAsia="Calibri" w:hAnsi="Arial" w:cs="Arial"/>
          <w:bCs/>
          <w:color w:val="000000" w:themeColor="text1"/>
          <w:sz w:val="21"/>
          <w:szCs w:val="21"/>
          <w:lang w:val="es-ES_tradnl"/>
        </w:rPr>
      </w:pPr>
    </w:p>
    <w:p w14:paraId="1D4A929F" w14:textId="77777777" w:rsidR="00B414DE" w:rsidRPr="009C6B45" w:rsidRDefault="00B414DE" w:rsidP="00450B8D">
      <w:pPr>
        <w:rPr>
          <w:rFonts w:ascii="Arial" w:eastAsia="Calibri" w:hAnsi="Arial" w:cs="Arial"/>
          <w:color w:val="000000" w:themeColor="text1"/>
          <w:sz w:val="22"/>
          <w:lang w:val="es-ES_tradnl"/>
        </w:rPr>
      </w:pPr>
    </w:p>
    <w:p w14:paraId="50E79AAD" w14:textId="12181EFD" w:rsidR="00B414DE" w:rsidRPr="009C6B45" w:rsidRDefault="005F6F8C" w:rsidP="00450B8D">
      <w:pPr>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 xml:space="preserve">Estimado señora </w:t>
      </w:r>
      <w:r w:rsidR="001641F6">
        <w:rPr>
          <w:rFonts w:ascii="Arial" w:eastAsia="Calibri" w:hAnsi="Arial" w:cs="Arial"/>
          <w:color w:val="000000" w:themeColor="text1"/>
          <w:sz w:val="22"/>
          <w:lang w:val="es-ES_tradnl"/>
        </w:rPr>
        <w:t>Mesa</w:t>
      </w:r>
      <w:r w:rsidR="00B414DE" w:rsidRPr="009C6B45">
        <w:rPr>
          <w:rFonts w:ascii="Arial" w:eastAsia="Calibri" w:hAnsi="Arial" w:cs="Arial"/>
          <w:color w:val="000000" w:themeColor="text1"/>
          <w:sz w:val="22"/>
          <w:lang w:val="es-ES_tradnl"/>
        </w:rPr>
        <w:t>:</w:t>
      </w:r>
    </w:p>
    <w:p w14:paraId="6025D289" w14:textId="77777777" w:rsidR="00B414DE" w:rsidRPr="009C6B45" w:rsidRDefault="00B414DE" w:rsidP="00450B8D">
      <w:pPr>
        <w:rPr>
          <w:rFonts w:ascii="Arial" w:eastAsia="Calibri" w:hAnsi="Arial" w:cs="Arial"/>
          <w:color w:val="000000" w:themeColor="text1"/>
          <w:sz w:val="22"/>
          <w:lang w:val="es-ES_tradnl"/>
        </w:rPr>
      </w:pPr>
    </w:p>
    <w:p w14:paraId="260ABCFE" w14:textId="533AE56B" w:rsidR="00B414DE" w:rsidRPr="009C6B45" w:rsidRDefault="009A4639" w:rsidP="00450B8D">
      <w:pPr>
        <w:spacing w:line="276" w:lineRule="auto"/>
        <w:jc w:val="both"/>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 xml:space="preserve">La Agencia Nacional de Contratación Pública </w:t>
      </w:r>
      <w:r w:rsidR="00216ADA">
        <w:rPr>
          <w:rFonts w:ascii="Arial" w:eastAsia="Calibri" w:hAnsi="Arial" w:cs="Arial"/>
          <w:color w:val="000000" w:themeColor="text1"/>
          <w:sz w:val="22"/>
          <w:lang w:val="es-ES_tradnl"/>
        </w:rPr>
        <w:t>–</w:t>
      </w:r>
      <w:r w:rsidRPr="009C6B45">
        <w:rPr>
          <w:rFonts w:ascii="Arial" w:eastAsia="Calibri" w:hAnsi="Arial" w:cs="Arial"/>
          <w:color w:val="000000" w:themeColor="text1"/>
          <w:sz w:val="22"/>
          <w:lang w:val="es-ES_tradnl"/>
        </w:rPr>
        <w:t xml:space="preserve"> Colombia Compra Eficiente resp</w:t>
      </w:r>
      <w:r w:rsidR="00A72898" w:rsidRPr="009C6B45">
        <w:rPr>
          <w:rFonts w:ascii="Arial" w:eastAsia="Calibri" w:hAnsi="Arial" w:cs="Arial"/>
          <w:color w:val="000000" w:themeColor="text1"/>
          <w:sz w:val="22"/>
          <w:lang w:val="es-ES_tradnl"/>
        </w:rPr>
        <w:t xml:space="preserve">onde su consulta del </w:t>
      </w:r>
      <w:r w:rsidR="001641F6">
        <w:rPr>
          <w:rFonts w:ascii="Arial" w:eastAsia="Calibri" w:hAnsi="Arial" w:cs="Arial"/>
          <w:color w:val="000000" w:themeColor="text1"/>
          <w:sz w:val="22"/>
          <w:lang w:val="es-ES_tradnl"/>
        </w:rPr>
        <w:t>11</w:t>
      </w:r>
      <w:r w:rsidR="00A72898" w:rsidRPr="009C6B45">
        <w:rPr>
          <w:rFonts w:ascii="Arial" w:eastAsia="Calibri" w:hAnsi="Arial" w:cs="Arial"/>
          <w:color w:val="000000" w:themeColor="text1"/>
          <w:sz w:val="22"/>
          <w:lang w:val="es-ES_tradnl"/>
        </w:rPr>
        <w:t xml:space="preserve"> de </w:t>
      </w:r>
      <w:r w:rsidR="001641F6">
        <w:rPr>
          <w:rFonts w:ascii="Arial" w:eastAsia="Calibri" w:hAnsi="Arial" w:cs="Arial"/>
          <w:color w:val="000000" w:themeColor="text1"/>
          <w:sz w:val="22"/>
          <w:lang w:val="es-ES_tradnl"/>
        </w:rPr>
        <w:t>septiembre</w:t>
      </w:r>
      <w:r w:rsidRPr="009C6B45">
        <w:rPr>
          <w:rFonts w:ascii="Arial" w:eastAsia="Calibri" w:hAnsi="Arial" w:cs="Arial"/>
          <w:color w:val="000000" w:themeColor="text1"/>
          <w:sz w:val="22"/>
          <w:lang w:val="es-ES_tradnl"/>
        </w:rPr>
        <w:t xml:space="preserve"> de 2020, e</w:t>
      </w:r>
      <w:r w:rsidR="00B414DE" w:rsidRPr="009C6B45">
        <w:rPr>
          <w:rFonts w:ascii="Arial" w:eastAsia="Calibri" w:hAnsi="Arial" w:cs="Arial"/>
          <w:color w:val="000000" w:themeColor="text1"/>
          <w:sz w:val="22"/>
          <w:lang w:val="es-ES_tradnl"/>
        </w:rPr>
        <w:t xml:space="preserve">n ejercicio de la competencia otorgada por los artículos 11, numeral 8º, y 3º, numeral 5º, del Decreto Ley 4170 de 2011. </w:t>
      </w:r>
    </w:p>
    <w:p w14:paraId="05013358" w14:textId="77777777" w:rsidR="00B414DE" w:rsidRPr="009C6B45" w:rsidRDefault="00B414DE" w:rsidP="00450B8D">
      <w:pPr>
        <w:spacing w:line="276" w:lineRule="auto"/>
        <w:jc w:val="both"/>
        <w:rPr>
          <w:rFonts w:ascii="Arial" w:eastAsia="Calibri" w:hAnsi="Arial" w:cs="Arial"/>
          <w:color w:val="000000" w:themeColor="text1"/>
          <w:sz w:val="22"/>
          <w:lang w:val="es-ES_tradnl"/>
        </w:rPr>
      </w:pPr>
    </w:p>
    <w:p w14:paraId="1A1B6CFF" w14:textId="77777777" w:rsidR="00B414DE" w:rsidRPr="009C6B45" w:rsidRDefault="00B414DE" w:rsidP="00B414DE">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9C6B45">
        <w:rPr>
          <w:rFonts w:ascii="Arial" w:eastAsia="Calibri" w:hAnsi="Arial" w:cs="Arial"/>
          <w:b/>
          <w:color w:val="000000" w:themeColor="text1"/>
          <w:sz w:val="22"/>
          <w:lang w:val="es-ES_tradnl"/>
        </w:rPr>
        <w:t xml:space="preserve">Problemas planteados </w:t>
      </w:r>
    </w:p>
    <w:p w14:paraId="293124B1" w14:textId="77777777" w:rsidR="00B414DE" w:rsidRPr="009C6B45" w:rsidRDefault="00B414DE" w:rsidP="00450B8D">
      <w:pPr>
        <w:tabs>
          <w:tab w:val="left" w:pos="426"/>
        </w:tabs>
        <w:spacing w:line="276" w:lineRule="auto"/>
        <w:jc w:val="both"/>
        <w:rPr>
          <w:rFonts w:ascii="Arial" w:eastAsia="Calibri" w:hAnsi="Arial" w:cs="Arial"/>
          <w:b/>
          <w:color w:val="000000" w:themeColor="text1"/>
          <w:sz w:val="22"/>
          <w:lang w:val="es-ES_tradnl"/>
        </w:rPr>
      </w:pPr>
    </w:p>
    <w:p w14:paraId="1C6D8D6E" w14:textId="6E94F25F" w:rsidR="001641F6" w:rsidRPr="00FE75EB" w:rsidRDefault="00216ADA" w:rsidP="001641F6">
      <w:pPr>
        <w:spacing w:line="276" w:lineRule="auto"/>
        <w:jc w:val="both"/>
        <w:rPr>
          <w:rFonts w:asciiTheme="minorBidi" w:hAnsiTheme="minorBidi" w:cstheme="minorBidi"/>
          <w:sz w:val="22"/>
          <w:szCs w:val="22"/>
        </w:rPr>
      </w:pPr>
      <w:r>
        <w:rPr>
          <w:rFonts w:ascii="Arial" w:eastAsia="Calibri" w:hAnsi="Arial" w:cs="Arial"/>
          <w:color w:val="000000" w:themeColor="text1"/>
          <w:sz w:val="22"/>
          <w:szCs w:val="22"/>
          <w:lang w:val="es-ES_tradnl"/>
        </w:rPr>
        <w:t>U</w:t>
      </w:r>
      <w:r w:rsidR="001641F6" w:rsidRPr="00FE75EB">
        <w:rPr>
          <w:rFonts w:ascii="Arial" w:eastAsia="Calibri" w:hAnsi="Arial" w:cs="Arial"/>
          <w:color w:val="000000" w:themeColor="text1"/>
          <w:sz w:val="22"/>
          <w:szCs w:val="22"/>
          <w:lang w:val="es-ES_tradnl"/>
        </w:rPr>
        <w:t>sted plantea las siguientes preguntas</w:t>
      </w:r>
      <w:r w:rsidR="003979E0" w:rsidRPr="00FE75EB">
        <w:rPr>
          <w:rFonts w:ascii="Arial" w:eastAsia="Calibri" w:hAnsi="Arial" w:cs="Arial"/>
          <w:color w:val="000000" w:themeColor="text1"/>
          <w:sz w:val="22"/>
          <w:szCs w:val="22"/>
          <w:lang w:val="es-ES_tradnl"/>
        </w:rPr>
        <w:t xml:space="preserve">: </w:t>
      </w:r>
      <w:bookmarkStart w:id="2" w:name="_Hlk51749515"/>
      <w:r w:rsidR="001641F6" w:rsidRPr="00FE75EB">
        <w:rPr>
          <w:rFonts w:asciiTheme="minorBidi" w:hAnsiTheme="minorBidi" w:cstheme="minorBidi"/>
          <w:sz w:val="22"/>
          <w:szCs w:val="22"/>
        </w:rPr>
        <w:t>i)</w:t>
      </w:r>
      <w:r>
        <w:rPr>
          <w:rFonts w:asciiTheme="minorBidi" w:hAnsiTheme="minorBidi" w:cstheme="minorBidi"/>
          <w:sz w:val="22"/>
          <w:szCs w:val="22"/>
        </w:rPr>
        <w:t xml:space="preserve"> </w:t>
      </w:r>
      <w:r w:rsidR="001641F6" w:rsidRPr="00FE75EB">
        <w:rPr>
          <w:rFonts w:asciiTheme="minorBidi" w:hAnsiTheme="minorBidi" w:cstheme="minorBidi"/>
          <w:sz w:val="22"/>
          <w:szCs w:val="22"/>
        </w:rPr>
        <w:t>«¿La garantía de cumplimiento debe estar vigente por el plazo de ejecución del contrato y el establecido para la liquidación bilateral (04) meses más el plazo establecido para la liquidación unilateral dos (02) meses?»</w:t>
      </w:r>
      <w:r>
        <w:rPr>
          <w:rFonts w:asciiTheme="minorBidi" w:hAnsiTheme="minorBidi" w:cstheme="minorBidi"/>
          <w:sz w:val="22"/>
          <w:szCs w:val="22"/>
        </w:rPr>
        <w:t>,</w:t>
      </w:r>
      <w:r w:rsidR="001641F6" w:rsidRPr="00FE75EB">
        <w:rPr>
          <w:rFonts w:asciiTheme="minorBidi" w:hAnsiTheme="minorBidi" w:cstheme="minorBidi"/>
          <w:sz w:val="22"/>
          <w:szCs w:val="22"/>
        </w:rPr>
        <w:t xml:space="preserve"> ii)</w:t>
      </w:r>
      <w:r>
        <w:rPr>
          <w:rFonts w:asciiTheme="minorBidi" w:hAnsiTheme="minorBidi" w:cstheme="minorBidi"/>
          <w:sz w:val="22"/>
          <w:szCs w:val="22"/>
        </w:rPr>
        <w:t xml:space="preserve"> </w:t>
      </w:r>
      <w:r w:rsidR="001641F6" w:rsidRPr="00FE75EB">
        <w:rPr>
          <w:rFonts w:asciiTheme="minorBidi" w:hAnsiTheme="minorBidi" w:cstheme="minorBidi"/>
          <w:sz w:val="22"/>
          <w:szCs w:val="22"/>
        </w:rPr>
        <w:t>«En caso de que no se logre la liquidación bilateral dentro del término establecido para la liquidación bilateral o en su defecto la liquidación unilateral dentro del término de los dos (2) meses siguientes al vencimiento del plazo convenido por las partes para liquidar de mutuo acuerdo ¿puede la entidad exigir al contratista que mantenga vigente la garantía de cumplimiento del contrato durante el termino de dos (2) años establecidos en el artículo 164, numeral 2, literal j, ordinal v, de la Ley 1437 de 2011 C.P.C.A?»</w:t>
      </w:r>
      <w:r>
        <w:rPr>
          <w:rFonts w:asciiTheme="minorBidi" w:hAnsiTheme="minorBidi" w:cstheme="minorBidi"/>
          <w:sz w:val="22"/>
          <w:szCs w:val="22"/>
        </w:rPr>
        <w:t>,</w:t>
      </w:r>
      <w:r w:rsidR="001641F6" w:rsidRPr="00FE75EB">
        <w:rPr>
          <w:rFonts w:asciiTheme="minorBidi" w:hAnsiTheme="minorBidi" w:cstheme="minorBidi"/>
          <w:sz w:val="22"/>
          <w:szCs w:val="22"/>
        </w:rPr>
        <w:t xml:space="preserve"> iii) «Si la respuesta 2 es positiva ¿Cuál sería el soporte para solicitar a la aseguradora la ampliación de la garantía, si ya el plazo del contrato expiro o el contrato se terminó por acto administrativo?» </w:t>
      </w:r>
      <w:r>
        <w:rPr>
          <w:rFonts w:asciiTheme="minorBidi" w:hAnsiTheme="minorBidi" w:cstheme="minorBidi"/>
          <w:sz w:val="22"/>
          <w:szCs w:val="22"/>
        </w:rPr>
        <w:t xml:space="preserve">y </w:t>
      </w:r>
      <w:r w:rsidR="001641F6" w:rsidRPr="00FE75EB">
        <w:rPr>
          <w:rFonts w:asciiTheme="minorBidi" w:hAnsiTheme="minorBidi" w:cstheme="minorBidi"/>
          <w:sz w:val="22"/>
          <w:szCs w:val="22"/>
        </w:rPr>
        <w:t>i</w:t>
      </w:r>
      <w:r>
        <w:rPr>
          <w:rFonts w:asciiTheme="minorBidi" w:hAnsiTheme="minorBidi" w:cstheme="minorBidi"/>
          <w:sz w:val="22"/>
          <w:szCs w:val="22"/>
        </w:rPr>
        <w:t>v</w:t>
      </w:r>
      <w:r w:rsidR="001641F6" w:rsidRPr="00FE75EB">
        <w:rPr>
          <w:rFonts w:asciiTheme="minorBidi" w:hAnsiTheme="minorBidi" w:cstheme="minorBidi"/>
          <w:sz w:val="22"/>
          <w:szCs w:val="22"/>
        </w:rPr>
        <w:t>) «Si la vigencia de la garantía de cumplimiento del contrato ya termino sin que se hubiese logrado la liquidación bilateral o la liquidación unilateral ¿Puede la entidad exigir al contratista que amplié el amparo de cumplimiento para liquidar el contrato dentro de los dos años establecidos para la caducidad de la acción contractual?»</w:t>
      </w:r>
      <w:r>
        <w:rPr>
          <w:rFonts w:asciiTheme="minorBidi" w:hAnsiTheme="minorBidi" w:cstheme="minorBidi"/>
          <w:sz w:val="22"/>
          <w:szCs w:val="22"/>
        </w:rPr>
        <w:t>.</w:t>
      </w:r>
      <w:bookmarkEnd w:id="2"/>
    </w:p>
    <w:p w14:paraId="1126AE51" w14:textId="77777777" w:rsidR="00B414DE" w:rsidRPr="009C6B45" w:rsidRDefault="00B414DE" w:rsidP="00450B8D">
      <w:pPr>
        <w:tabs>
          <w:tab w:val="left" w:pos="426"/>
        </w:tabs>
        <w:spacing w:line="276" w:lineRule="auto"/>
        <w:jc w:val="both"/>
        <w:rPr>
          <w:rFonts w:ascii="Arial" w:eastAsia="Calibri" w:hAnsi="Arial" w:cs="Arial"/>
          <w:color w:val="000000" w:themeColor="text1"/>
          <w:sz w:val="22"/>
          <w:lang w:val="es-ES_tradnl"/>
        </w:rPr>
      </w:pPr>
    </w:p>
    <w:p w14:paraId="13FA1B5E" w14:textId="06084105" w:rsidR="00B414DE" w:rsidRPr="009C6B45" w:rsidRDefault="00B414DE" w:rsidP="00B414DE">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_tradnl"/>
        </w:rPr>
      </w:pPr>
      <w:r w:rsidRPr="009C6B45">
        <w:rPr>
          <w:rFonts w:ascii="Arial" w:eastAsia="Calibri" w:hAnsi="Arial" w:cs="Arial"/>
          <w:b/>
          <w:color w:val="000000" w:themeColor="text1"/>
          <w:sz w:val="22"/>
          <w:lang w:val="es-ES_tradnl"/>
        </w:rPr>
        <w:t>Consideraciones</w:t>
      </w:r>
    </w:p>
    <w:p w14:paraId="05B317A4" w14:textId="590C170B" w:rsidR="00A72898" w:rsidRPr="009C6B45" w:rsidRDefault="00A72898" w:rsidP="00A72898">
      <w:pPr>
        <w:tabs>
          <w:tab w:val="left" w:pos="426"/>
        </w:tabs>
        <w:spacing w:line="276" w:lineRule="auto"/>
        <w:jc w:val="both"/>
        <w:rPr>
          <w:rFonts w:ascii="Arial" w:eastAsia="Calibri" w:hAnsi="Arial" w:cs="Arial"/>
          <w:b/>
          <w:color w:val="000000" w:themeColor="text1"/>
          <w:sz w:val="22"/>
          <w:lang w:val="es-ES_tradnl"/>
        </w:rPr>
      </w:pPr>
    </w:p>
    <w:p w14:paraId="6C925FDB" w14:textId="77777777" w:rsidR="00216ADA" w:rsidRDefault="00A72898" w:rsidP="00990995">
      <w:pPr>
        <w:tabs>
          <w:tab w:val="left" w:pos="426"/>
        </w:tabs>
        <w:spacing w:after="120" w:line="276" w:lineRule="auto"/>
        <w:jc w:val="both"/>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 xml:space="preserve">Para </w:t>
      </w:r>
      <w:r w:rsidR="006665A8">
        <w:rPr>
          <w:rFonts w:ascii="Arial" w:eastAsia="Calibri" w:hAnsi="Arial" w:cs="Arial"/>
          <w:color w:val="000000" w:themeColor="text1"/>
          <w:sz w:val="22"/>
          <w:lang w:val="es-ES_tradnl"/>
        </w:rPr>
        <w:t>responder el</w:t>
      </w:r>
      <w:r w:rsidRPr="009C6B45">
        <w:rPr>
          <w:rFonts w:ascii="Arial" w:eastAsia="Calibri" w:hAnsi="Arial" w:cs="Arial"/>
          <w:color w:val="000000" w:themeColor="text1"/>
          <w:sz w:val="22"/>
          <w:lang w:val="es-ES_tradnl"/>
        </w:rPr>
        <w:t xml:space="preserve"> interrogante planteado en la consulta, se analizará el concepto de liquidación de los contratos estatales, la diferencia entre el acta de recibo final y el acta de liquidación y, finalmente, los aspectos más importantes sobre la garantía de cumplimiento del contrato. </w:t>
      </w:r>
    </w:p>
    <w:p w14:paraId="3FDCEE52" w14:textId="53BB2962" w:rsidR="00A72898" w:rsidRPr="009C6B45" w:rsidRDefault="00216ADA" w:rsidP="00C844D3">
      <w:pPr>
        <w:tabs>
          <w:tab w:val="left" w:pos="426"/>
        </w:tabs>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r>
      <w:r>
        <w:rPr>
          <w:rFonts w:ascii="Arial" w:eastAsia="Calibri" w:hAnsi="Arial" w:cs="Arial"/>
          <w:color w:val="000000" w:themeColor="text1"/>
          <w:sz w:val="22"/>
          <w:lang w:val="es-ES_tradnl"/>
        </w:rPr>
        <w:tab/>
      </w:r>
      <w:r w:rsidR="00C844D3" w:rsidRPr="009C6B45">
        <w:rPr>
          <w:rFonts w:ascii="Arial" w:eastAsia="Calibri" w:hAnsi="Arial" w:cs="Arial"/>
          <w:color w:val="000000" w:themeColor="text1"/>
          <w:sz w:val="22"/>
          <w:lang w:val="es-ES_tradnl"/>
        </w:rPr>
        <w:t>La Agencia Nacional de Contratación Pública – Colombia Compra Eficiente se pronunció sobre el tema de la liquidación en el concepto CU-028 de 25 de febrero de 2020</w:t>
      </w:r>
      <w:r w:rsidR="001641F6">
        <w:rPr>
          <w:rFonts w:ascii="Arial" w:eastAsia="Calibri" w:hAnsi="Arial" w:cs="Arial"/>
          <w:color w:val="000000" w:themeColor="text1"/>
          <w:sz w:val="22"/>
          <w:lang w:val="es-ES_tradnl"/>
        </w:rPr>
        <w:t xml:space="preserve">, </w:t>
      </w:r>
      <w:r w:rsidR="00086C81" w:rsidRPr="009C6B45">
        <w:rPr>
          <w:rFonts w:ascii="Arial" w:eastAsia="Calibri" w:hAnsi="Arial" w:cs="Arial"/>
          <w:color w:val="000000" w:themeColor="text1"/>
          <w:sz w:val="22"/>
          <w:lang w:val="es-ES_tradnl"/>
        </w:rPr>
        <w:t>C-221 de 21 de abril de 2020</w:t>
      </w:r>
      <w:r w:rsidR="001641F6">
        <w:rPr>
          <w:rFonts w:ascii="Arial" w:eastAsia="Calibri" w:hAnsi="Arial" w:cs="Arial"/>
          <w:color w:val="000000" w:themeColor="text1"/>
          <w:sz w:val="22"/>
          <w:lang w:val="es-ES_tradnl"/>
        </w:rPr>
        <w:t xml:space="preserve"> y C-479 de</w:t>
      </w:r>
      <w:r w:rsidR="00B3607F">
        <w:rPr>
          <w:rFonts w:ascii="Arial" w:eastAsia="Calibri" w:hAnsi="Arial" w:cs="Arial"/>
          <w:color w:val="000000" w:themeColor="text1"/>
          <w:sz w:val="22"/>
          <w:lang w:val="es-ES_tradnl"/>
        </w:rPr>
        <w:t xml:space="preserve"> 27 de julio de 2020</w:t>
      </w:r>
      <w:r w:rsidR="00364375">
        <w:rPr>
          <w:rFonts w:ascii="Arial" w:eastAsia="Calibri" w:hAnsi="Arial" w:cs="Arial"/>
          <w:color w:val="000000" w:themeColor="text1"/>
          <w:sz w:val="22"/>
          <w:lang w:val="es-ES_tradnl"/>
        </w:rPr>
        <w:t>. L</w:t>
      </w:r>
      <w:r w:rsidR="00C844D3" w:rsidRPr="009C6B45">
        <w:rPr>
          <w:rFonts w:ascii="Arial" w:eastAsia="Calibri" w:hAnsi="Arial" w:cs="Arial"/>
          <w:color w:val="000000" w:themeColor="text1"/>
          <w:sz w:val="22"/>
          <w:lang w:val="es-ES_tradnl"/>
        </w:rPr>
        <w:t>a tesis desarrollada</w:t>
      </w:r>
      <w:r>
        <w:rPr>
          <w:rFonts w:ascii="Arial" w:eastAsia="Calibri" w:hAnsi="Arial" w:cs="Arial"/>
          <w:color w:val="000000" w:themeColor="text1"/>
          <w:sz w:val="22"/>
          <w:lang w:val="es-ES_tradnl"/>
        </w:rPr>
        <w:t xml:space="preserve"> en estos conceptos</w:t>
      </w:r>
      <w:r w:rsidR="00C844D3" w:rsidRPr="009C6B45">
        <w:rPr>
          <w:rFonts w:ascii="Arial" w:eastAsia="Calibri" w:hAnsi="Arial" w:cs="Arial"/>
          <w:color w:val="000000" w:themeColor="text1"/>
          <w:sz w:val="22"/>
          <w:lang w:val="es-ES_tradnl"/>
        </w:rPr>
        <w:t xml:space="preserve"> se </w:t>
      </w:r>
      <w:r>
        <w:rPr>
          <w:rFonts w:ascii="Arial" w:eastAsia="Calibri" w:hAnsi="Arial" w:cs="Arial"/>
          <w:color w:val="000000" w:themeColor="text1"/>
          <w:sz w:val="22"/>
          <w:lang w:val="es-ES_tradnl"/>
        </w:rPr>
        <w:t>reitera</w:t>
      </w:r>
      <w:r w:rsidRPr="009C6B45">
        <w:rPr>
          <w:rFonts w:ascii="Arial" w:eastAsia="Calibri" w:hAnsi="Arial" w:cs="Arial"/>
          <w:color w:val="000000" w:themeColor="text1"/>
          <w:sz w:val="22"/>
          <w:lang w:val="es-ES_tradnl"/>
        </w:rPr>
        <w:t xml:space="preserve"> </w:t>
      </w:r>
      <w:r w:rsidR="00C844D3" w:rsidRPr="009C6B45">
        <w:rPr>
          <w:rFonts w:ascii="Arial" w:eastAsia="Calibri" w:hAnsi="Arial" w:cs="Arial"/>
          <w:color w:val="000000" w:themeColor="text1"/>
          <w:sz w:val="22"/>
          <w:lang w:val="es-ES_tradnl"/>
        </w:rPr>
        <w:t xml:space="preserve">a continuación.  </w:t>
      </w:r>
    </w:p>
    <w:p w14:paraId="3927A434" w14:textId="77777777" w:rsidR="00A72898" w:rsidRPr="009C6B45" w:rsidRDefault="00A72898" w:rsidP="00A72898">
      <w:pPr>
        <w:tabs>
          <w:tab w:val="left" w:pos="426"/>
        </w:tabs>
        <w:spacing w:line="276" w:lineRule="auto"/>
        <w:jc w:val="both"/>
        <w:rPr>
          <w:rFonts w:ascii="Arial" w:eastAsia="Calibri" w:hAnsi="Arial" w:cs="Arial"/>
          <w:b/>
          <w:color w:val="000000" w:themeColor="text1"/>
          <w:sz w:val="22"/>
          <w:lang w:val="es-ES_tradnl"/>
        </w:rPr>
      </w:pPr>
    </w:p>
    <w:p w14:paraId="1FC69EEF" w14:textId="5C65CB6A" w:rsidR="00C844D3" w:rsidRPr="009C6B45" w:rsidRDefault="003979E0" w:rsidP="003C2405">
      <w:pPr>
        <w:pStyle w:val="Sinespaciado"/>
        <w:spacing w:line="276" w:lineRule="auto"/>
        <w:jc w:val="both"/>
        <w:rPr>
          <w:rFonts w:ascii="Arial" w:hAnsi="Arial" w:cs="Arial"/>
          <w:b/>
          <w:color w:val="000000" w:themeColor="text1"/>
          <w:sz w:val="22"/>
          <w:lang w:val="es-ES_tradnl"/>
        </w:rPr>
      </w:pPr>
      <w:r w:rsidRPr="009C6B45">
        <w:rPr>
          <w:rFonts w:ascii="Arial" w:hAnsi="Arial" w:cs="Arial"/>
          <w:b/>
          <w:color w:val="000000" w:themeColor="text1"/>
          <w:sz w:val="22"/>
          <w:lang w:val="es-ES_tradnl"/>
        </w:rPr>
        <w:t>2.1. La liquidación del contrato estatal</w:t>
      </w:r>
    </w:p>
    <w:p w14:paraId="48398A08" w14:textId="77777777" w:rsidR="00086C81" w:rsidRPr="009C6B45" w:rsidRDefault="00086C81" w:rsidP="003C2405">
      <w:pPr>
        <w:pStyle w:val="Sinespaciado"/>
        <w:spacing w:line="276" w:lineRule="auto"/>
        <w:jc w:val="both"/>
        <w:rPr>
          <w:rFonts w:ascii="Arial" w:hAnsi="Arial" w:cs="Arial"/>
          <w:b/>
          <w:color w:val="000000" w:themeColor="text1"/>
          <w:sz w:val="22"/>
          <w:lang w:val="es-ES_tradnl"/>
        </w:rPr>
      </w:pPr>
    </w:p>
    <w:p w14:paraId="60318626" w14:textId="0E1475DB" w:rsidR="003C2405" w:rsidRPr="009C6B45" w:rsidRDefault="003C2405" w:rsidP="003C2405">
      <w:pPr>
        <w:pStyle w:val="Sinespaciado"/>
        <w:spacing w:after="120" w:line="276" w:lineRule="auto"/>
        <w:jc w:val="both"/>
        <w:rPr>
          <w:rFonts w:ascii="Arial" w:hAnsi="Arial" w:cs="Arial"/>
          <w:color w:val="000000" w:themeColor="text1"/>
          <w:sz w:val="22"/>
          <w:lang w:val="es-ES_tradnl"/>
        </w:rPr>
      </w:pPr>
      <w:r w:rsidRPr="009C6B45">
        <w:rPr>
          <w:rFonts w:ascii="Arial" w:hAnsi="Arial" w:cs="Arial"/>
          <w:color w:val="000000" w:themeColor="text1"/>
          <w:sz w:val="22"/>
          <w:lang w:val="es-ES_tradnl"/>
        </w:rPr>
        <w:lastRenderedPageBreak/>
        <w:t xml:space="preserve">La liquidación es el momento en el cual, una vez concluido el contrato estatal, las partes cruzan cuentas respecto de sus obligaciones. El objetivo de la liquidación es determinar si las partes pueden declararse a paz y salvo mutuo, o si existen obligaciones por cumplir, y con ocasión de aquella se puede acordar la forma en que deben ser cumplidas. </w:t>
      </w:r>
    </w:p>
    <w:p w14:paraId="21260784" w14:textId="647DBF5C" w:rsidR="003C2405" w:rsidRPr="009C6B45" w:rsidRDefault="003C2405" w:rsidP="00990995">
      <w:pPr>
        <w:spacing w:before="120" w:after="120" w:line="276" w:lineRule="auto"/>
        <w:ind w:firstLine="709"/>
        <w:jc w:val="both"/>
        <w:rPr>
          <w:rFonts w:ascii="Arial" w:hAnsi="Arial" w:cs="Arial"/>
          <w:color w:val="000000" w:themeColor="text1"/>
          <w:sz w:val="21"/>
          <w:szCs w:val="21"/>
          <w:lang w:val="es-ES_tradnl"/>
        </w:rPr>
      </w:pPr>
      <w:r w:rsidRPr="009C6B45">
        <w:rPr>
          <w:rFonts w:ascii="Arial" w:hAnsi="Arial" w:cs="Arial"/>
          <w:color w:val="000000" w:themeColor="text1"/>
          <w:sz w:val="22"/>
          <w:lang w:val="es-ES_tradnl"/>
        </w:rPr>
        <w:t xml:space="preserve">La liquidación del contrato, según la jurisprudencia,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9C6B45">
        <w:rPr>
          <w:rFonts w:ascii="Arial" w:hAnsi="Arial" w:cs="Arial"/>
          <w:i/>
          <w:iCs/>
          <w:color w:val="000000" w:themeColor="text1"/>
          <w:sz w:val="22"/>
          <w:lang w:val="es-ES_tradnl"/>
        </w:rPr>
        <w:t>liquidar</w:t>
      </w:r>
      <w:r w:rsidRPr="009C6B45">
        <w:rPr>
          <w:rFonts w:ascii="Arial" w:hAnsi="Arial" w:cs="Arial"/>
          <w:color w:val="000000" w:themeColor="text1"/>
          <w:sz w:val="22"/>
          <w:lang w:val="es-ES_tradnl"/>
        </w:rPr>
        <w:t xml:space="preserve"> supone un ajuste en relación con las cuentas y el estado de cumplimiento del contrato estatal y, por el otro, que la </w:t>
      </w:r>
      <w:r w:rsidRPr="009C6B45">
        <w:rPr>
          <w:rFonts w:ascii="Arial" w:hAnsi="Arial" w:cs="Arial"/>
          <w:i/>
          <w:iCs/>
          <w:color w:val="000000" w:themeColor="text1"/>
          <w:sz w:val="22"/>
          <w:lang w:val="es-ES_tradnl"/>
        </w:rPr>
        <w:t>liquidación</w:t>
      </w:r>
      <w:r w:rsidRPr="009C6B45">
        <w:rPr>
          <w:rFonts w:ascii="Arial" w:hAnsi="Arial" w:cs="Arial"/>
          <w:color w:val="000000" w:themeColor="text1"/>
          <w:sz w:val="22"/>
          <w:lang w:val="es-ES_tradnl"/>
        </w:rPr>
        <w:t xml:space="preserve"> debe incluir el análisis de las condiciones de calidad y oportunidad en la entrega de los bienes, obras o servicios, así como el balance económico y el comportamiento financiero del negocio</w:t>
      </w:r>
      <w:r w:rsidRPr="009C6B45">
        <w:rPr>
          <w:rStyle w:val="Refdenotaalpie"/>
          <w:rFonts w:ascii="Arial" w:hAnsi="Arial" w:cs="Arial"/>
          <w:color w:val="000000" w:themeColor="text1"/>
          <w:sz w:val="22"/>
          <w:lang w:val="es-ES_tradnl"/>
        </w:rPr>
        <w:footnoteReference w:id="1"/>
      </w:r>
      <w:r w:rsidRPr="009C6B45">
        <w:rPr>
          <w:rFonts w:ascii="Arial" w:hAnsi="Arial" w:cs="Arial"/>
          <w:color w:val="000000" w:themeColor="text1"/>
          <w:sz w:val="22"/>
          <w:lang w:val="es-ES_tradnl"/>
        </w:rPr>
        <w:t xml:space="preserve">. </w:t>
      </w:r>
    </w:p>
    <w:p w14:paraId="1D772183" w14:textId="4F830A6F" w:rsidR="003C2405" w:rsidRPr="009C6B45" w:rsidRDefault="003C2405" w:rsidP="003C2405">
      <w:pPr>
        <w:pStyle w:val="Sinespaciado"/>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 xml:space="preserve">Las disposiciones legales que </w:t>
      </w:r>
      <w:r w:rsidR="00C42382">
        <w:rPr>
          <w:rFonts w:ascii="Arial" w:hAnsi="Arial" w:cs="Arial"/>
          <w:color w:val="000000" w:themeColor="text1"/>
          <w:sz w:val="22"/>
          <w:lang w:val="es-ES_tradnl"/>
        </w:rPr>
        <w:t>regulan</w:t>
      </w:r>
      <w:r w:rsidR="00C42382" w:rsidRPr="009C6B45">
        <w:rPr>
          <w:rFonts w:ascii="Arial" w:hAnsi="Arial" w:cs="Arial"/>
          <w:color w:val="000000" w:themeColor="text1"/>
          <w:sz w:val="22"/>
          <w:lang w:val="es-ES_tradnl"/>
        </w:rPr>
        <w:t xml:space="preserve"> </w:t>
      </w:r>
      <w:r w:rsidRPr="009C6B45">
        <w:rPr>
          <w:rFonts w:ascii="Arial" w:hAnsi="Arial" w:cs="Arial"/>
          <w:color w:val="000000" w:themeColor="text1"/>
          <w:sz w:val="22"/>
          <w:lang w:val="es-ES_tradnl"/>
        </w:rPr>
        <w:t>la etapa de liquidación de los contratos estatales son el artículo 60 de la Ley 80 de 1993, modificado por el artículo 217 del Decreto 019 de 2012, y el artículo 11 de la Ley 1150 de 2007. El primer</w:t>
      </w:r>
      <w:r w:rsidR="00C42382">
        <w:rPr>
          <w:rFonts w:ascii="Arial" w:hAnsi="Arial" w:cs="Arial"/>
          <w:color w:val="000000" w:themeColor="text1"/>
          <w:sz w:val="22"/>
          <w:lang w:val="es-ES_tradnl"/>
        </w:rPr>
        <w:t>o</w:t>
      </w:r>
      <w:r w:rsidRPr="009C6B45">
        <w:rPr>
          <w:rFonts w:ascii="Arial" w:hAnsi="Arial" w:cs="Arial"/>
          <w:color w:val="000000" w:themeColor="text1"/>
          <w:sz w:val="22"/>
          <w:lang w:val="es-ES_tradnl"/>
        </w:rPr>
        <w:t xml:space="preserve"> de estos artículos se refiere al alcance sustantivo de la liquidación, mientras que </w:t>
      </w:r>
      <w:r w:rsidR="00C42382">
        <w:rPr>
          <w:rFonts w:ascii="Arial" w:hAnsi="Arial" w:cs="Arial"/>
          <w:color w:val="000000" w:themeColor="text1"/>
          <w:sz w:val="22"/>
          <w:lang w:val="es-ES_tradnl"/>
        </w:rPr>
        <w:t>el</w:t>
      </w:r>
      <w:r w:rsidR="00C42382" w:rsidRPr="009C6B45">
        <w:rPr>
          <w:rFonts w:ascii="Arial" w:hAnsi="Arial" w:cs="Arial"/>
          <w:color w:val="000000" w:themeColor="text1"/>
          <w:sz w:val="22"/>
          <w:lang w:val="es-ES_tradnl"/>
        </w:rPr>
        <w:t xml:space="preserve"> </w:t>
      </w:r>
      <w:r w:rsidRPr="009C6B45">
        <w:rPr>
          <w:rFonts w:ascii="Arial" w:hAnsi="Arial" w:cs="Arial"/>
          <w:color w:val="000000" w:themeColor="text1"/>
          <w:sz w:val="22"/>
          <w:lang w:val="es-ES_tradnl"/>
        </w:rPr>
        <w:t>segund</w:t>
      </w:r>
      <w:r w:rsidR="00C42382">
        <w:rPr>
          <w:rFonts w:ascii="Arial" w:hAnsi="Arial" w:cs="Arial"/>
          <w:color w:val="000000" w:themeColor="text1"/>
          <w:sz w:val="22"/>
          <w:lang w:val="es-ES_tradnl"/>
        </w:rPr>
        <w:t>o</w:t>
      </w:r>
      <w:r w:rsidRPr="009C6B45">
        <w:rPr>
          <w:rFonts w:ascii="Arial" w:hAnsi="Arial" w:cs="Arial"/>
          <w:color w:val="000000" w:themeColor="text1"/>
          <w:sz w:val="22"/>
          <w:lang w:val="es-ES_tradnl"/>
        </w:rPr>
        <w:t xml:space="preserve"> contiene reglas procedimentales para su manejo. </w:t>
      </w:r>
    </w:p>
    <w:p w14:paraId="208FDC9A" w14:textId="503FD2BF" w:rsidR="0032186C" w:rsidRPr="009C6B45" w:rsidRDefault="003C2405" w:rsidP="0032186C">
      <w:pPr>
        <w:pStyle w:val="Sinespaciado"/>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De acuerdo con el artículo 60 de la Ley 80 de 1993, los contratos de tracto sucesivo, aquellos cuyo cumplimiento o ejecución se prolongue en el tiempo y los demás que lo requieran «serán objeto de liquidación»</w:t>
      </w:r>
      <w:r w:rsidR="0032186C" w:rsidRPr="009C6B45">
        <w:rPr>
          <w:rFonts w:ascii="Arial" w:hAnsi="Arial" w:cs="Arial"/>
          <w:color w:val="000000" w:themeColor="text1"/>
          <w:sz w:val="22"/>
          <w:lang w:val="es-ES_tradnl"/>
        </w:rPr>
        <w:t>. El mismo artículo prescribe que no será obligatoria la liquidación en los contratos de prestación de servicios profesionales</w:t>
      </w:r>
      <w:r w:rsidR="00D82606">
        <w:rPr>
          <w:rFonts w:ascii="Arial" w:hAnsi="Arial" w:cs="Arial"/>
          <w:color w:val="000000" w:themeColor="text1"/>
          <w:sz w:val="22"/>
          <w:lang w:val="es-ES_tradnl"/>
        </w:rPr>
        <w:t xml:space="preserve"> y de apoyo a la gestión</w:t>
      </w:r>
      <w:r w:rsidR="0032186C" w:rsidRPr="009C6B45">
        <w:rPr>
          <w:rFonts w:ascii="Arial" w:hAnsi="Arial" w:cs="Arial"/>
          <w:color w:val="000000" w:themeColor="text1"/>
          <w:sz w:val="22"/>
          <w:lang w:val="es-ES_tradnl"/>
        </w:rPr>
        <w:t xml:space="preserve">. </w:t>
      </w:r>
    </w:p>
    <w:p w14:paraId="36AE80B8" w14:textId="4F7CD7BD" w:rsidR="003C2405" w:rsidRPr="009C6B45" w:rsidRDefault="0032186C" w:rsidP="0032186C">
      <w:pPr>
        <w:pStyle w:val="Sinespaciado"/>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 xml:space="preserve">Adicionalmente, </w:t>
      </w:r>
      <w:r w:rsidR="00DC3EB9">
        <w:rPr>
          <w:rFonts w:ascii="Arial" w:hAnsi="Arial" w:cs="Arial"/>
          <w:color w:val="000000" w:themeColor="text1"/>
          <w:sz w:val="22"/>
          <w:lang w:val="es-ES_tradnl"/>
        </w:rPr>
        <w:t>en los contratos</w:t>
      </w:r>
      <w:r w:rsidRPr="009C6B45">
        <w:rPr>
          <w:rFonts w:ascii="Arial" w:hAnsi="Arial" w:cs="Arial"/>
          <w:color w:val="000000" w:themeColor="text1"/>
          <w:sz w:val="22"/>
          <w:lang w:val="es-ES_tradnl"/>
        </w:rPr>
        <w:t xml:space="preserve"> las entidades estatales deben definir </w:t>
      </w:r>
      <w:r w:rsidR="00DB79F5" w:rsidRPr="009C6B45">
        <w:rPr>
          <w:rFonts w:ascii="Arial" w:hAnsi="Arial" w:cs="Arial"/>
          <w:color w:val="000000" w:themeColor="text1"/>
          <w:sz w:val="22"/>
          <w:lang w:val="es-ES_tradnl"/>
        </w:rPr>
        <w:t>la oportunidad y forma de recibir el objeto contratado y, en</w:t>
      </w:r>
      <w:r w:rsidRPr="009C6B45">
        <w:rPr>
          <w:rFonts w:ascii="Arial" w:hAnsi="Arial" w:cs="Arial"/>
          <w:color w:val="000000" w:themeColor="text1"/>
          <w:sz w:val="22"/>
          <w:lang w:val="es-ES_tradnl"/>
        </w:rPr>
        <w:t xml:space="preserve"> cada caso</w:t>
      </w:r>
      <w:r w:rsidR="00F778CF">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si un contrato requiere o no de liquidación</w:t>
      </w:r>
      <w:r w:rsidR="00F778CF">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con arreglo a criterios tales como la naturaleza, objeto y plazo del contrato</w:t>
      </w:r>
      <w:r w:rsidRPr="009C6B45">
        <w:rPr>
          <w:rStyle w:val="Refdenotaalpie"/>
          <w:rFonts w:ascii="Arial" w:hAnsi="Arial" w:cs="Arial"/>
          <w:color w:val="000000" w:themeColor="text1"/>
          <w:sz w:val="22"/>
          <w:lang w:val="es-ES_tradnl"/>
        </w:rPr>
        <w:footnoteReference w:id="2"/>
      </w:r>
      <w:r w:rsidRPr="009C6B45">
        <w:rPr>
          <w:rFonts w:ascii="Arial" w:hAnsi="Arial" w:cs="Arial"/>
          <w:color w:val="000000" w:themeColor="text1"/>
          <w:sz w:val="22"/>
          <w:lang w:val="es-ES_tradnl"/>
        </w:rPr>
        <w:t xml:space="preserve">, así como la probabilidad de que puedan surgir diferencias durante la ejecución del contrato.  </w:t>
      </w:r>
    </w:p>
    <w:p w14:paraId="5C725330" w14:textId="5B0F691E" w:rsidR="00C34EB1" w:rsidRPr="009C6B45" w:rsidRDefault="00C34EB1" w:rsidP="0032186C">
      <w:pPr>
        <w:pStyle w:val="Sinespaciado"/>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lastRenderedPageBreak/>
        <w:t>El artículo 11 de la Ley 1150 de 2007</w:t>
      </w:r>
      <w:r w:rsidR="00E81289" w:rsidRPr="009C6B45">
        <w:rPr>
          <w:rStyle w:val="Refdenotaalpie"/>
          <w:rFonts w:ascii="Arial" w:hAnsi="Arial" w:cs="Arial"/>
          <w:color w:val="000000" w:themeColor="text1"/>
          <w:sz w:val="22"/>
          <w:lang w:val="es-ES_tradnl"/>
        </w:rPr>
        <w:footnoteReference w:id="3"/>
      </w:r>
      <w:r w:rsidRPr="009C6B45">
        <w:rPr>
          <w:rFonts w:ascii="Arial" w:hAnsi="Arial" w:cs="Arial"/>
          <w:color w:val="000000" w:themeColor="text1"/>
          <w:sz w:val="22"/>
          <w:lang w:val="es-ES_tradnl"/>
        </w:rPr>
        <w:t xml:space="preserve"> contiene las reglas de tipo procedimental para liquidar los contratos estatales que se pasan a explicar. </w:t>
      </w:r>
    </w:p>
    <w:p w14:paraId="45D11518" w14:textId="1C363910" w:rsidR="00DB79F5" w:rsidRPr="009C6B45" w:rsidRDefault="00DB79F5" w:rsidP="003C2405">
      <w:pPr>
        <w:pStyle w:val="Sinespaciado"/>
        <w:spacing w:after="120"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En</w:t>
      </w:r>
      <w:r w:rsidR="00C34EB1" w:rsidRPr="009C6B45">
        <w:rPr>
          <w:rFonts w:ascii="Arial" w:hAnsi="Arial" w:cs="Arial"/>
          <w:color w:val="000000" w:themeColor="text1"/>
          <w:sz w:val="22"/>
          <w:lang w:val="es-ES_tradnl"/>
        </w:rPr>
        <w:t xml:space="preserve"> primer lugar, en</w:t>
      </w:r>
      <w:r w:rsidRPr="009C6B45">
        <w:rPr>
          <w:rFonts w:ascii="Arial" w:hAnsi="Arial" w:cs="Arial"/>
          <w:color w:val="000000" w:themeColor="text1"/>
          <w:sz w:val="22"/>
          <w:lang w:val="es-ES_tradnl"/>
        </w:rPr>
        <w:t xml:space="preserve"> ejercicio de la autonomía de la voluntad y de conformidad con los criterios </w:t>
      </w:r>
      <w:r w:rsidR="00C34EB1" w:rsidRPr="009C6B45">
        <w:rPr>
          <w:rFonts w:ascii="Arial" w:hAnsi="Arial" w:cs="Arial"/>
          <w:color w:val="000000" w:themeColor="text1"/>
          <w:sz w:val="22"/>
          <w:lang w:val="es-ES_tradnl"/>
        </w:rPr>
        <w:t>de la naturaleza, objeto y plazo del contrato</w:t>
      </w:r>
      <w:r w:rsidRPr="009C6B45">
        <w:rPr>
          <w:rFonts w:ascii="Arial" w:hAnsi="Arial" w:cs="Arial"/>
          <w:color w:val="000000" w:themeColor="text1"/>
          <w:sz w:val="22"/>
          <w:lang w:val="es-ES_tradnl"/>
        </w:rPr>
        <w:t>, la entidad puede definir en el pliego de condiciones</w:t>
      </w:r>
      <w:r w:rsidR="00826E56">
        <w:rPr>
          <w:rFonts w:ascii="Arial" w:hAnsi="Arial" w:cs="Arial"/>
          <w:color w:val="000000" w:themeColor="text1"/>
          <w:sz w:val="22"/>
          <w:lang w:val="es-ES_tradnl"/>
        </w:rPr>
        <w:t xml:space="preserve"> o en el contrato</w:t>
      </w:r>
      <w:r w:rsidRPr="009C6B45">
        <w:rPr>
          <w:rFonts w:ascii="Arial" w:hAnsi="Arial" w:cs="Arial"/>
          <w:color w:val="000000" w:themeColor="text1"/>
          <w:sz w:val="22"/>
          <w:lang w:val="es-ES_tradnl"/>
        </w:rPr>
        <w:t xml:space="preserve"> el plazo para efectuar la liquidación de mutuo acuerdo. En ausencia de pacto contractual, el artículo 11 de la Ley 1150 de 2007 </w:t>
      </w:r>
      <w:r w:rsidR="0021359A" w:rsidRPr="009C6B45">
        <w:rPr>
          <w:rFonts w:ascii="Arial" w:hAnsi="Arial" w:cs="Arial"/>
          <w:color w:val="000000" w:themeColor="text1"/>
          <w:sz w:val="22"/>
          <w:lang w:val="es-ES_tradnl"/>
        </w:rPr>
        <w:t>prevé</w:t>
      </w:r>
      <w:r w:rsidRPr="009C6B45">
        <w:rPr>
          <w:rFonts w:ascii="Arial" w:hAnsi="Arial" w:cs="Arial"/>
          <w:color w:val="000000" w:themeColor="text1"/>
          <w:sz w:val="22"/>
          <w:lang w:val="es-ES_tradnl"/>
        </w:rPr>
        <w:t xml:space="preserve"> un término supletivo de 4 meses </w:t>
      </w:r>
      <w:r w:rsidR="005A083E" w:rsidRPr="009C6B45">
        <w:rPr>
          <w:rFonts w:ascii="Arial" w:hAnsi="Arial" w:cs="Arial"/>
          <w:color w:val="000000" w:themeColor="text1"/>
          <w:sz w:val="22"/>
          <w:lang w:val="es-ES_tradnl"/>
        </w:rPr>
        <w:t>contados desde</w:t>
      </w:r>
      <w:r w:rsidR="00826E56">
        <w:rPr>
          <w:rFonts w:ascii="Arial" w:hAnsi="Arial" w:cs="Arial"/>
          <w:color w:val="000000" w:themeColor="text1"/>
          <w:sz w:val="22"/>
          <w:lang w:val="es-ES_tradnl"/>
        </w:rPr>
        <w:t>:</w:t>
      </w:r>
      <w:r w:rsidR="005A083E" w:rsidRPr="009C6B45">
        <w:rPr>
          <w:rFonts w:ascii="Arial" w:hAnsi="Arial" w:cs="Arial"/>
          <w:color w:val="000000" w:themeColor="text1"/>
          <w:sz w:val="22"/>
          <w:lang w:val="es-ES_tradnl"/>
        </w:rPr>
        <w:t xml:space="preserve"> (i) el vencimiento del plazo previsto para la ejecución del contrato, (ii) la expedición del acto administrativo que ordene la terminación del contrato o (iii) la fecha del acuerdo que disponga la terminación del contrato.</w:t>
      </w:r>
    </w:p>
    <w:p w14:paraId="2C534D71" w14:textId="650F00D7" w:rsidR="00F554CD" w:rsidRPr="009C6B45" w:rsidRDefault="005A083E" w:rsidP="00F554CD">
      <w:pPr>
        <w:pStyle w:val="Sinespaciado"/>
        <w:spacing w:after="120"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Durante este término</w:t>
      </w:r>
      <w:r w:rsidR="00086C81" w:rsidRPr="009C6B45">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w:t>
      </w:r>
      <w:r w:rsidR="003C2405" w:rsidRPr="009C6B45">
        <w:rPr>
          <w:rFonts w:ascii="Arial" w:hAnsi="Arial" w:cs="Arial"/>
          <w:color w:val="000000" w:themeColor="text1"/>
          <w:sz w:val="22"/>
          <w:lang w:val="es-ES_tradnl"/>
        </w:rPr>
        <w:t>el contratista puede solicitar que se adelante el trámite</w:t>
      </w:r>
      <w:r w:rsidRPr="009C6B45">
        <w:rPr>
          <w:rFonts w:ascii="Arial" w:hAnsi="Arial" w:cs="Arial"/>
          <w:color w:val="000000" w:themeColor="text1"/>
          <w:sz w:val="22"/>
          <w:lang w:val="es-ES_tradnl"/>
        </w:rPr>
        <w:t xml:space="preserve"> de liquidación</w:t>
      </w:r>
      <w:r w:rsidR="0021359A" w:rsidRPr="009C6B45">
        <w:rPr>
          <w:rFonts w:ascii="Arial" w:hAnsi="Arial" w:cs="Arial"/>
          <w:color w:val="000000" w:themeColor="text1"/>
          <w:sz w:val="22"/>
          <w:lang w:val="es-ES_tradnl"/>
        </w:rPr>
        <w:t>. Sin embargo,</w:t>
      </w:r>
      <w:r w:rsidR="003C2405" w:rsidRPr="009C6B45">
        <w:rPr>
          <w:rFonts w:ascii="Arial" w:hAnsi="Arial" w:cs="Arial"/>
          <w:color w:val="000000" w:themeColor="text1"/>
          <w:sz w:val="22"/>
          <w:lang w:val="es-ES_tradnl"/>
        </w:rPr>
        <w:t xml:space="preserve"> es responsabilidad de la </w:t>
      </w:r>
      <w:r w:rsidR="00E778A1">
        <w:rPr>
          <w:rFonts w:ascii="Arial" w:hAnsi="Arial" w:cs="Arial"/>
          <w:color w:val="000000" w:themeColor="text1"/>
          <w:sz w:val="22"/>
          <w:lang w:val="es-ES_tradnl"/>
        </w:rPr>
        <w:t>e</w:t>
      </w:r>
      <w:r w:rsidR="003C2405" w:rsidRPr="009C6B45">
        <w:rPr>
          <w:rFonts w:ascii="Arial" w:hAnsi="Arial" w:cs="Arial"/>
          <w:color w:val="000000" w:themeColor="text1"/>
          <w:sz w:val="22"/>
          <w:lang w:val="es-ES_tradnl"/>
        </w:rPr>
        <w:t xml:space="preserve">ntidad </w:t>
      </w:r>
      <w:r w:rsidR="00E778A1">
        <w:rPr>
          <w:rFonts w:ascii="Arial" w:hAnsi="Arial" w:cs="Arial"/>
          <w:color w:val="000000" w:themeColor="text1"/>
          <w:sz w:val="22"/>
          <w:lang w:val="es-ES_tradnl"/>
        </w:rPr>
        <w:t>e</w:t>
      </w:r>
      <w:r w:rsidR="003C2405" w:rsidRPr="009C6B45">
        <w:rPr>
          <w:rFonts w:ascii="Arial" w:hAnsi="Arial" w:cs="Arial"/>
          <w:color w:val="000000" w:themeColor="text1"/>
          <w:sz w:val="22"/>
          <w:lang w:val="es-ES_tradnl"/>
        </w:rPr>
        <w:t>statal convocarlo para adelantar la liquidación de común acuerdo o notificarlo para que se presente a la liquidación</w:t>
      </w:r>
      <w:r w:rsidRPr="009C6B45">
        <w:rPr>
          <w:rStyle w:val="Refdenotaalpie"/>
          <w:rFonts w:ascii="Arial" w:hAnsi="Arial" w:cs="Arial"/>
          <w:color w:val="000000" w:themeColor="text1"/>
          <w:sz w:val="22"/>
          <w:lang w:val="es-ES_tradnl"/>
        </w:rPr>
        <w:footnoteReference w:id="4"/>
      </w:r>
      <w:r w:rsidR="003C2405" w:rsidRPr="009C6B45">
        <w:rPr>
          <w:rFonts w:ascii="Arial" w:hAnsi="Arial" w:cs="Arial"/>
          <w:color w:val="000000" w:themeColor="text1"/>
          <w:sz w:val="22"/>
          <w:lang w:val="es-ES_tradnl"/>
        </w:rPr>
        <w:t>, de manera que el contrato pueda ser liquidado</w:t>
      </w:r>
      <w:r w:rsidR="0021359A" w:rsidRPr="009C6B45">
        <w:rPr>
          <w:rFonts w:ascii="Arial" w:hAnsi="Arial" w:cs="Arial"/>
          <w:color w:val="000000" w:themeColor="text1"/>
          <w:sz w:val="22"/>
          <w:lang w:val="es-ES_tradnl"/>
        </w:rPr>
        <w:t xml:space="preserve"> bilateralmente, bien sea</w:t>
      </w:r>
      <w:r w:rsidR="003C2405" w:rsidRPr="009C6B45">
        <w:rPr>
          <w:rFonts w:ascii="Arial" w:hAnsi="Arial" w:cs="Arial"/>
          <w:color w:val="000000" w:themeColor="text1"/>
          <w:sz w:val="22"/>
          <w:lang w:val="es-ES_tradnl"/>
        </w:rPr>
        <w:t xml:space="preserve"> en el plazo previsto en el pliego de condiciones, el acordado por las partes, o los cuatro meses señalados en la </w:t>
      </w:r>
      <w:r w:rsidR="00640443">
        <w:rPr>
          <w:rFonts w:ascii="Arial" w:hAnsi="Arial" w:cs="Arial"/>
          <w:color w:val="000000" w:themeColor="text1"/>
          <w:sz w:val="22"/>
          <w:lang w:val="es-ES_tradnl"/>
        </w:rPr>
        <w:t>l</w:t>
      </w:r>
      <w:r w:rsidR="003C2405" w:rsidRPr="009C6B45">
        <w:rPr>
          <w:rFonts w:ascii="Arial" w:hAnsi="Arial" w:cs="Arial"/>
          <w:color w:val="000000" w:themeColor="text1"/>
          <w:sz w:val="22"/>
          <w:lang w:val="es-ES_tradnl"/>
        </w:rPr>
        <w:t>ey</w:t>
      </w:r>
      <w:r w:rsidR="0021359A" w:rsidRPr="009C6B45">
        <w:rPr>
          <w:rFonts w:ascii="Arial" w:hAnsi="Arial" w:cs="Arial"/>
          <w:color w:val="000000" w:themeColor="text1"/>
          <w:sz w:val="22"/>
          <w:lang w:val="es-ES_tradnl"/>
        </w:rPr>
        <w:t>,</w:t>
      </w:r>
      <w:r w:rsidR="003C2405" w:rsidRPr="009C6B45">
        <w:rPr>
          <w:rFonts w:ascii="Arial" w:hAnsi="Arial" w:cs="Arial"/>
          <w:color w:val="000000" w:themeColor="text1"/>
          <w:sz w:val="22"/>
          <w:lang w:val="es-ES_tradnl"/>
        </w:rPr>
        <w:t xml:space="preserve"> según corresponda. </w:t>
      </w:r>
      <w:r w:rsidR="00EA42DD" w:rsidRPr="009C6B45">
        <w:rPr>
          <w:rFonts w:ascii="Arial" w:hAnsi="Arial" w:cs="Arial"/>
          <w:color w:val="000000" w:themeColor="text1"/>
          <w:sz w:val="22"/>
          <w:lang w:val="es-ES_tradnl"/>
        </w:rPr>
        <w:t>Esta liquidación bilateral puede ser total o parcial</w:t>
      </w:r>
      <w:r w:rsidR="00EA42DD" w:rsidRPr="009C6B45">
        <w:rPr>
          <w:rStyle w:val="Refdenotaalpie"/>
          <w:rFonts w:ascii="Arial" w:hAnsi="Arial" w:cs="Arial"/>
          <w:iCs/>
          <w:color w:val="000000" w:themeColor="text1"/>
          <w:sz w:val="22"/>
          <w:lang w:val="es-ES_tradnl"/>
        </w:rPr>
        <w:footnoteReference w:id="5"/>
      </w:r>
      <w:r w:rsidR="00EA42DD" w:rsidRPr="009C6B45">
        <w:rPr>
          <w:rFonts w:ascii="Arial" w:hAnsi="Arial" w:cs="Arial"/>
          <w:color w:val="000000" w:themeColor="text1"/>
          <w:sz w:val="22"/>
          <w:lang w:val="es-ES_tradnl"/>
        </w:rPr>
        <w:t xml:space="preserve">, y </w:t>
      </w:r>
      <w:r w:rsidR="00EA42DD" w:rsidRPr="009C6B45">
        <w:rPr>
          <w:rFonts w:ascii="Arial" w:hAnsi="Arial" w:cs="Arial"/>
          <w:iCs/>
          <w:color w:val="000000" w:themeColor="text1"/>
          <w:sz w:val="22"/>
          <w:lang w:val="es-ES_tradnl"/>
        </w:rPr>
        <w:t>el documento que la contiene presta mérito ejecutivo</w:t>
      </w:r>
      <w:r w:rsidR="009C6B45">
        <w:rPr>
          <w:rFonts w:ascii="Arial" w:hAnsi="Arial" w:cs="Arial"/>
          <w:iCs/>
          <w:color w:val="000000" w:themeColor="text1"/>
          <w:sz w:val="22"/>
          <w:lang w:val="es-ES_tradnl"/>
        </w:rPr>
        <w:t>, siempre que se satisfagan los elementos para considerarlo como tal</w:t>
      </w:r>
      <w:r w:rsidR="00EA42DD" w:rsidRPr="009C6B45">
        <w:rPr>
          <w:rFonts w:ascii="Arial" w:hAnsi="Arial" w:cs="Arial"/>
          <w:color w:val="000000" w:themeColor="text1"/>
          <w:sz w:val="22"/>
          <w:lang w:val="es-ES_tradnl"/>
        </w:rPr>
        <w:t>.</w:t>
      </w:r>
    </w:p>
    <w:p w14:paraId="28B06806" w14:textId="7D8D0AA6" w:rsidR="00F554CD" w:rsidRPr="009C6B45" w:rsidRDefault="00F554CD" w:rsidP="00F554CD">
      <w:pPr>
        <w:pStyle w:val="Sinespaciado"/>
        <w:spacing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lastRenderedPageBreak/>
        <w:t xml:space="preserve">Si no es posible efectuar la liquidación de manera bilateral, el ordenamiento jurídico prevé una habilitación competencial, de carácter subsidiario, para que la entidad estatal realice la liquidación </w:t>
      </w:r>
      <w:r w:rsidR="00EA42DD" w:rsidRPr="009C6B45">
        <w:rPr>
          <w:rFonts w:ascii="Arial" w:hAnsi="Arial" w:cs="Arial"/>
          <w:color w:val="000000" w:themeColor="text1"/>
          <w:sz w:val="22"/>
          <w:lang w:val="es-ES_tradnl"/>
        </w:rPr>
        <w:t>unilateralmente</w:t>
      </w:r>
      <w:r w:rsidRPr="009C6B45">
        <w:rPr>
          <w:rFonts w:ascii="Arial" w:hAnsi="Arial" w:cs="Arial"/>
          <w:color w:val="000000" w:themeColor="text1"/>
          <w:sz w:val="22"/>
          <w:lang w:val="es-ES_tradnl"/>
        </w:rPr>
        <w:t>. Sobre el punto</w:t>
      </w:r>
      <w:r w:rsidR="00EA42DD" w:rsidRPr="009C6B45">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el Consejo de Estado ha señalado:</w:t>
      </w:r>
    </w:p>
    <w:p w14:paraId="260EE891" w14:textId="77777777" w:rsidR="00F554CD" w:rsidRPr="00990995" w:rsidRDefault="00F554CD" w:rsidP="00990995">
      <w:pPr>
        <w:pStyle w:val="Sinespaciado"/>
        <w:spacing w:line="276" w:lineRule="auto"/>
        <w:ind w:left="709" w:right="760"/>
        <w:jc w:val="both"/>
        <w:rPr>
          <w:rFonts w:ascii="Arial" w:hAnsi="Arial" w:cs="Arial"/>
          <w:color w:val="000000" w:themeColor="text1"/>
          <w:sz w:val="22"/>
          <w:lang w:val="es-ES_tradnl"/>
        </w:rPr>
      </w:pPr>
    </w:p>
    <w:p w14:paraId="65A7197C" w14:textId="74C0CC04" w:rsidR="00F554CD" w:rsidRPr="009C6B45" w:rsidRDefault="00F554CD" w:rsidP="00990995">
      <w:pPr>
        <w:pStyle w:val="Sinespaciado"/>
        <w:ind w:left="709" w:right="709"/>
        <w:jc w:val="both"/>
        <w:rPr>
          <w:rFonts w:ascii="Arial" w:hAnsi="Arial" w:cs="Arial"/>
          <w:color w:val="000000" w:themeColor="text1"/>
          <w:sz w:val="21"/>
          <w:szCs w:val="21"/>
          <w:lang w:val="es-ES_tradnl"/>
        </w:rPr>
      </w:pPr>
      <w:r w:rsidRPr="009C6B45">
        <w:rPr>
          <w:rFonts w:ascii="Arial" w:hAnsi="Arial" w:cs="Arial"/>
          <w:color w:val="000000" w:themeColor="text1"/>
          <w:sz w:val="21"/>
          <w:szCs w:val="21"/>
          <w:lang w:val="es-ES_tradnl"/>
        </w:rPr>
        <w:t>Al respecto 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sidRPr="009C6B45">
        <w:rPr>
          <w:rStyle w:val="Refdenotaalpie"/>
          <w:rFonts w:ascii="Arial" w:hAnsi="Arial" w:cs="Arial"/>
          <w:color w:val="000000" w:themeColor="text1"/>
          <w:sz w:val="21"/>
          <w:szCs w:val="21"/>
          <w:lang w:val="es-ES_tradnl"/>
        </w:rPr>
        <w:footnoteReference w:id="6"/>
      </w:r>
      <w:r w:rsidRPr="009C6B45">
        <w:rPr>
          <w:rFonts w:ascii="Arial" w:hAnsi="Arial" w:cs="Arial"/>
          <w:color w:val="000000" w:themeColor="text1"/>
          <w:sz w:val="21"/>
          <w:szCs w:val="21"/>
          <w:lang w:val="es-ES_tradnl"/>
        </w:rPr>
        <w:t xml:space="preserve">. </w:t>
      </w:r>
    </w:p>
    <w:p w14:paraId="14CC45CE" w14:textId="77777777" w:rsidR="00F554CD" w:rsidRPr="00990995" w:rsidRDefault="00F554CD" w:rsidP="00990995">
      <w:pPr>
        <w:pStyle w:val="Sinespaciado"/>
        <w:spacing w:line="276" w:lineRule="auto"/>
        <w:ind w:left="709" w:right="760"/>
        <w:jc w:val="both"/>
        <w:rPr>
          <w:rFonts w:ascii="Arial" w:hAnsi="Arial" w:cs="Arial"/>
          <w:color w:val="000000" w:themeColor="text1"/>
          <w:sz w:val="22"/>
          <w:lang w:val="es-ES_tradnl"/>
        </w:rPr>
      </w:pPr>
    </w:p>
    <w:p w14:paraId="6BD6DD1C" w14:textId="2DA51E91" w:rsidR="00C34EB1" w:rsidRPr="009C6B45" w:rsidRDefault="0021359A" w:rsidP="00EA42DD">
      <w:pPr>
        <w:pStyle w:val="Sinespaciado"/>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Si no se logra la liquidación bilateral del contrato, l</w:t>
      </w:r>
      <w:r w:rsidR="00C34EB1" w:rsidRPr="009C6B45">
        <w:rPr>
          <w:rFonts w:ascii="Arial" w:hAnsi="Arial" w:cs="Arial"/>
          <w:color w:val="000000" w:themeColor="text1"/>
          <w:sz w:val="22"/>
          <w:lang w:val="es-ES_tradnl"/>
        </w:rPr>
        <w:t xml:space="preserve">a </w:t>
      </w:r>
      <w:r w:rsidR="0042238D">
        <w:rPr>
          <w:rFonts w:ascii="Arial" w:hAnsi="Arial" w:cs="Arial"/>
          <w:color w:val="000000" w:themeColor="text1"/>
          <w:sz w:val="22"/>
          <w:lang w:val="es-ES_tradnl"/>
        </w:rPr>
        <w:t>e</w:t>
      </w:r>
      <w:r w:rsidR="00C34EB1" w:rsidRPr="009C6B45">
        <w:rPr>
          <w:rFonts w:ascii="Arial" w:hAnsi="Arial" w:cs="Arial"/>
          <w:color w:val="000000" w:themeColor="text1"/>
          <w:sz w:val="22"/>
          <w:lang w:val="es-ES_tradnl"/>
        </w:rPr>
        <w:t xml:space="preserve">ntidad </w:t>
      </w:r>
      <w:r w:rsidR="0042238D">
        <w:rPr>
          <w:rFonts w:ascii="Arial" w:hAnsi="Arial" w:cs="Arial"/>
          <w:color w:val="000000" w:themeColor="text1"/>
          <w:sz w:val="22"/>
          <w:lang w:val="es-ES_tradnl"/>
        </w:rPr>
        <w:t>e</w:t>
      </w:r>
      <w:r w:rsidR="00C34EB1" w:rsidRPr="009C6B45">
        <w:rPr>
          <w:rFonts w:ascii="Arial" w:hAnsi="Arial" w:cs="Arial"/>
          <w:color w:val="000000" w:themeColor="text1"/>
          <w:sz w:val="22"/>
          <w:lang w:val="es-ES_tradnl"/>
        </w:rPr>
        <w:t xml:space="preserve">statal tiene </w:t>
      </w:r>
      <w:r w:rsidRPr="009C6B45">
        <w:rPr>
          <w:rFonts w:ascii="Arial" w:hAnsi="Arial" w:cs="Arial"/>
          <w:color w:val="000000" w:themeColor="text1"/>
          <w:sz w:val="22"/>
          <w:lang w:val="es-ES_tradnl"/>
        </w:rPr>
        <w:t>la</w:t>
      </w:r>
      <w:r w:rsidR="00C34EB1" w:rsidRPr="009C6B45">
        <w:rPr>
          <w:rFonts w:ascii="Arial" w:hAnsi="Arial" w:cs="Arial"/>
          <w:color w:val="000000" w:themeColor="text1"/>
          <w:sz w:val="22"/>
          <w:lang w:val="es-ES_tradnl"/>
        </w:rPr>
        <w:t xml:space="preserve"> facultad de liquidar unilateralmente el contrato durante el término de </w:t>
      </w:r>
      <w:r w:rsidR="00EA42DD" w:rsidRPr="009C6B45">
        <w:rPr>
          <w:rFonts w:ascii="Arial" w:hAnsi="Arial" w:cs="Arial"/>
          <w:color w:val="000000" w:themeColor="text1"/>
          <w:sz w:val="22"/>
          <w:lang w:val="es-ES_tradnl"/>
        </w:rPr>
        <w:t>2</w:t>
      </w:r>
      <w:r w:rsidR="00C34EB1" w:rsidRPr="009C6B45">
        <w:rPr>
          <w:rFonts w:ascii="Arial" w:hAnsi="Arial" w:cs="Arial"/>
          <w:color w:val="000000" w:themeColor="text1"/>
          <w:sz w:val="22"/>
          <w:lang w:val="es-ES_tradnl"/>
        </w:rPr>
        <w:t xml:space="preserve"> meses</w:t>
      </w:r>
      <w:r w:rsidR="00EA42DD" w:rsidRPr="009C6B45">
        <w:rPr>
          <w:rStyle w:val="Refdenotaalpie"/>
          <w:rFonts w:ascii="Arial" w:hAnsi="Arial" w:cs="Arial"/>
          <w:color w:val="000000" w:themeColor="text1"/>
          <w:sz w:val="22"/>
          <w:lang w:val="es-ES_tradnl"/>
        </w:rPr>
        <w:footnoteReference w:id="7"/>
      </w:r>
      <w:r w:rsidR="00C34EB1" w:rsidRPr="009C6B45">
        <w:rPr>
          <w:rFonts w:ascii="Arial" w:hAnsi="Arial" w:cs="Arial"/>
          <w:color w:val="000000" w:themeColor="text1"/>
          <w:sz w:val="22"/>
          <w:lang w:val="es-ES_tradnl"/>
        </w:rPr>
        <w:t xml:space="preserve"> contados a partir del vencimiento del plazo </w:t>
      </w:r>
      <w:r w:rsidRPr="009C6B45">
        <w:rPr>
          <w:rFonts w:ascii="Arial" w:hAnsi="Arial" w:cs="Arial"/>
          <w:color w:val="000000" w:themeColor="text1"/>
          <w:sz w:val="22"/>
          <w:lang w:val="es-ES_tradnl"/>
        </w:rPr>
        <w:t>que acuerden las partes para liquidar bilateralmente, o</w:t>
      </w:r>
      <w:r w:rsidR="00F709AB">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ante el </w:t>
      </w:r>
      <w:r w:rsidR="00F709AB" w:rsidRPr="00F709AB">
        <w:rPr>
          <w:rFonts w:ascii="Arial" w:hAnsi="Arial" w:cs="Arial"/>
          <w:color w:val="000000" w:themeColor="text1"/>
          <w:sz w:val="22"/>
          <w:lang w:val="es-ES_tradnl"/>
        </w:rPr>
        <w:t>silencio</w:t>
      </w:r>
      <w:r w:rsidRPr="009C6B45">
        <w:rPr>
          <w:rFonts w:ascii="Arial" w:hAnsi="Arial" w:cs="Arial"/>
          <w:color w:val="000000" w:themeColor="text1"/>
          <w:sz w:val="22"/>
          <w:lang w:val="es-ES_tradnl"/>
        </w:rPr>
        <w:t xml:space="preserve"> de estas</w:t>
      </w:r>
      <w:r w:rsidR="00086C81" w:rsidRPr="009C6B45">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de</w:t>
      </w:r>
      <w:r w:rsidR="00EA42DD" w:rsidRPr="009C6B45">
        <w:rPr>
          <w:rFonts w:ascii="Arial" w:hAnsi="Arial" w:cs="Arial"/>
          <w:color w:val="000000" w:themeColor="text1"/>
          <w:sz w:val="22"/>
          <w:lang w:val="es-ES_tradnl"/>
        </w:rPr>
        <w:t xml:space="preserve">l vencimiento de los 4 meses supletivos establecidos por la Ley. </w:t>
      </w:r>
    </w:p>
    <w:p w14:paraId="09F302B3" w14:textId="6263FF43" w:rsidR="00E81289" w:rsidRPr="009C6B45" w:rsidRDefault="00EA42DD" w:rsidP="00086C81">
      <w:pPr>
        <w:pStyle w:val="Sinespaciado"/>
        <w:spacing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Finalmente, transcurridos estos 2 meses</w:t>
      </w:r>
      <w:r w:rsidR="00E81289" w:rsidRPr="009C6B45">
        <w:rPr>
          <w:rFonts w:ascii="Arial" w:hAnsi="Arial" w:cs="Arial"/>
          <w:color w:val="000000" w:themeColor="text1"/>
          <w:sz w:val="22"/>
          <w:lang w:val="es-ES_tradnl"/>
        </w:rPr>
        <w:t xml:space="preserve">, la liquidación podrá ser realizada en cualquier tiempo dentro de los dos años siguientes al vencimiento del término referido. Durante estos dos años la liquidación podrá hacerse de mutuo acuerdo, unilateralmente por la entidad, o podrá ser solicitada </w:t>
      </w:r>
      <w:r w:rsidR="00F709AB" w:rsidRPr="00F709AB">
        <w:rPr>
          <w:rFonts w:ascii="Arial" w:hAnsi="Arial" w:cs="Arial"/>
          <w:color w:val="000000" w:themeColor="text1"/>
          <w:sz w:val="22"/>
          <w:lang w:val="es-ES_tradnl"/>
        </w:rPr>
        <w:t>judicialmente</w:t>
      </w:r>
      <w:r w:rsidR="00E81289" w:rsidRPr="009C6B45">
        <w:rPr>
          <w:rFonts w:ascii="Arial" w:hAnsi="Arial" w:cs="Arial"/>
          <w:color w:val="000000" w:themeColor="text1"/>
          <w:sz w:val="22"/>
          <w:lang w:val="es-ES_tradnl"/>
        </w:rPr>
        <w:t xml:space="preserve"> por el </w:t>
      </w:r>
      <w:r w:rsidR="00AF0733">
        <w:rPr>
          <w:rFonts w:ascii="Arial" w:hAnsi="Arial" w:cs="Arial"/>
          <w:color w:val="000000" w:themeColor="text1"/>
          <w:sz w:val="22"/>
          <w:lang w:val="es-ES_tradnl"/>
        </w:rPr>
        <w:t>interesado</w:t>
      </w:r>
      <w:r w:rsidR="00E81289" w:rsidRPr="009C6B45">
        <w:rPr>
          <w:rFonts w:ascii="Arial" w:hAnsi="Arial" w:cs="Arial"/>
          <w:color w:val="000000" w:themeColor="text1"/>
          <w:sz w:val="22"/>
          <w:lang w:val="es-ES_tradnl"/>
        </w:rPr>
        <w:t xml:space="preserve">. En este sentido, el Consejo de Estado </w:t>
      </w:r>
      <w:r w:rsidR="00640443">
        <w:rPr>
          <w:rFonts w:ascii="Arial" w:hAnsi="Arial" w:cs="Arial"/>
          <w:color w:val="000000" w:themeColor="text1"/>
          <w:sz w:val="22"/>
          <w:lang w:val="es-ES_tradnl"/>
        </w:rPr>
        <w:t>explicó lo siguiente</w:t>
      </w:r>
      <w:r w:rsidR="00E81289" w:rsidRPr="009C6B45">
        <w:rPr>
          <w:rFonts w:ascii="Arial" w:hAnsi="Arial" w:cs="Arial"/>
          <w:color w:val="000000" w:themeColor="text1"/>
          <w:sz w:val="22"/>
          <w:lang w:val="es-ES_tradnl"/>
        </w:rPr>
        <w:t xml:space="preserve">: </w:t>
      </w:r>
    </w:p>
    <w:p w14:paraId="359D7257" w14:textId="77777777" w:rsidR="00086C81" w:rsidRPr="00990995" w:rsidRDefault="00086C81" w:rsidP="00990995">
      <w:pPr>
        <w:pStyle w:val="Sinespaciado"/>
        <w:spacing w:line="276" w:lineRule="auto"/>
        <w:ind w:left="709" w:right="760"/>
        <w:jc w:val="both"/>
        <w:rPr>
          <w:rFonts w:ascii="Arial" w:hAnsi="Arial" w:cs="Arial"/>
          <w:color w:val="000000" w:themeColor="text1"/>
          <w:sz w:val="22"/>
          <w:lang w:val="es-ES_tradnl"/>
        </w:rPr>
      </w:pPr>
    </w:p>
    <w:p w14:paraId="5E9EFA7A" w14:textId="7438346A" w:rsidR="008677EC" w:rsidRPr="009C6B45" w:rsidRDefault="00E81289" w:rsidP="00990995">
      <w:pPr>
        <w:pStyle w:val="Sinespaciado"/>
        <w:ind w:left="709" w:right="709"/>
        <w:jc w:val="both"/>
        <w:rPr>
          <w:rFonts w:ascii="Arial" w:hAnsi="Arial" w:cs="Arial"/>
          <w:color w:val="000000" w:themeColor="text1"/>
          <w:sz w:val="21"/>
          <w:szCs w:val="21"/>
          <w:lang w:val="es-ES_tradnl"/>
        </w:rPr>
      </w:pPr>
      <w:r w:rsidRPr="009C6B45">
        <w:rPr>
          <w:rFonts w:ascii="Arial" w:hAnsi="Arial" w:cs="Arial"/>
          <w:color w:val="000000" w:themeColor="text1"/>
          <w:sz w:val="21"/>
          <w:szCs w:val="21"/>
          <w:lang w:val="es-ES_tradnl"/>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liquidatorio se logre dentro del lapso de dos años contados a partir del vencimiento del término legalmente conocido para la liquidación unilateral, pues ese es el lapso que el ordenamiento ha fijado para el ejercicio oportuno de la acción</w:t>
      </w:r>
      <w:r w:rsidR="00086C81" w:rsidRPr="009C6B45">
        <w:rPr>
          <w:rStyle w:val="Refdenotaalpie"/>
          <w:rFonts w:ascii="Arial" w:hAnsi="Arial" w:cs="Arial"/>
          <w:color w:val="000000" w:themeColor="text1"/>
          <w:sz w:val="21"/>
          <w:szCs w:val="21"/>
          <w:lang w:val="es-ES_tradnl"/>
        </w:rPr>
        <w:footnoteReference w:id="8"/>
      </w:r>
      <w:r w:rsidRPr="009C6B45">
        <w:rPr>
          <w:rFonts w:ascii="Arial" w:hAnsi="Arial" w:cs="Arial"/>
          <w:color w:val="000000" w:themeColor="text1"/>
          <w:sz w:val="21"/>
          <w:szCs w:val="21"/>
          <w:lang w:val="es-ES_tradnl"/>
        </w:rPr>
        <w:t>.</w:t>
      </w:r>
    </w:p>
    <w:p w14:paraId="76FB6E4D" w14:textId="77777777" w:rsidR="008677EC" w:rsidRPr="00990995" w:rsidRDefault="008677EC" w:rsidP="00990995">
      <w:pPr>
        <w:pStyle w:val="Sinespaciado"/>
        <w:spacing w:line="276" w:lineRule="auto"/>
        <w:ind w:left="709" w:right="760"/>
        <w:jc w:val="both"/>
        <w:rPr>
          <w:rFonts w:ascii="Arial" w:hAnsi="Arial" w:cs="Arial"/>
          <w:color w:val="000000" w:themeColor="text1"/>
          <w:sz w:val="22"/>
          <w:lang w:val="es-ES_tradnl"/>
        </w:rPr>
      </w:pPr>
    </w:p>
    <w:p w14:paraId="63CBE7A8" w14:textId="300BA17C" w:rsidR="008677EC" w:rsidRPr="009C6B45" w:rsidRDefault="008677EC" w:rsidP="00E81289">
      <w:pPr>
        <w:spacing w:after="120" w:line="276" w:lineRule="auto"/>
        <w:jc w:val="both"/>
        <w:rPr>
          <w:rFonts w:ascii="Arial" w:hAnsi="Arial" w:cs="Arial"/>
          <w:color w:val="000000" w:themeColor="text1"/>
          <w:sz w:val="22"/>
          <w:lang w:val="es-ES_tradnl"/>
        </w:rPr>
      </w:pPr>
      <w:r w:rsidRPr="009C6B45">
        <w:rPr>
          <w:rFonts w:ascii="Arial" w:hAnsi="Arial" w:cs="Arial"/>
          <w:color w:val="000000" w:themeColor="text1"/>
          <w:sz w:val="22"/>
          <w:lang w:val="es-ES_tradnl"/>
        </w:rPr>
        <w:lastRenderedPageBreak/>
        <w:tab/>
        <w:t>Así las cosas,</w:t>
      </w:r>
      <w:r w:rsidRPr="009C6B45">
        <w:rPr>
          <w:rFonts w:ascii="Arial" w:hAnsi="Arial" w:cs="Arial"/>
          <w:color w:val="000000" w:themeColor="text1"/>
          <w:sz w:val="22"/>
          <w:lang w:val="es-ES_tradnl"/>
        </w:rPr>
        <w:tab/>
        <w:t xml:space="preserve">es claro que el ordenamiento jurídico vigente permite la liquidación </w:t>
      </w:r>
      <w:r w:rsidR="003F7329" w:rsidRPr="009C6B45">
        <w:rPr>
          <w:rFonts w:ascii="Arial" w:hAnsi="Arial" w:cs="Arial"/>
          <w:color w:val="000000" w:themeColor="text1"/>
          <w:sz w:val="22"/>
          <w:lang w:val="es-ES_tradnl"/>
        </w:rPr>
        <w:t xml:space="preserve">unilateral o </w:t>
      </w:r>
      <w:r w:rsidRPr="009C6B45">
        <w:rPr>
          <w:rFonts w:ascii="Arial" w:hAnsi="Arial" w:cs="Arial"/>
          <w:color w:val="000000" w:themeColor="text1"/>
          <w:sz w:val="22"/>
          <w:lang w:val="es-ES_tradnl"/>
        </w:rPr>
        <w:t>bilateral</w:t>
      </w:r>
      <w:r w:rsidR="003F7329" w:rsidRPr="009C6B45">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w:t>
      </w:r>
      <w:r w:rsidR="003F7329" w:rsidRPr="009C6B45">
        <w:rPr>
          <w:rFonts w:ascii="Arial" w:hAnsi="Arial" w:cs="Arial"/>
          <w:color w:val="000000" w:themeColor="text1"/>
          <w:sz w:val="22"/>
          <w:lang w:val="es-ES_tradnl"/>
        </w:rPr>
        <w:t>una vez vencido</w:t>
      </w:r>
      <w:r w:rsidRPr="009C6B45">
        <w:rPr>
          <w:rFonts w:ascii="Arial" w:hAnsi="Arial" w:cs="Arial"/>
          <w:color w:val="000000" w:themeColor="text1"/>
          <w:sz w:val="22"/>
          <w:lang w:val="es-ES_tradnl"/>
        </w:rPr>
        <w:t xml:space="preserve"> el plazo de dos meses para la liquidación unilateral de que trata el inciso segundo del artículo 11 de la Ley 1150 de 2007, siempre y cuando la liquidación se realice dentro del plazo de dos años «a partir del vencimiento del término legalmente conocido para la liquidación unilateral, pues este es el lapso que el ordenamiento ha fijado para el ejercicio oportuno de la acción». </w:t>
      </w:r>
    </w:p>
    <w:p w14:paraId="23F0EC7B" w14:textId="2968AE19" w:rsidR="003F7329" w:rsidRPr="009C6B45" w:rsidRDefault="008677EC" w:rsidP="004C0962">
      <w:pPr>
        <w:spacing w:after="120" w:line="276" w:lineRule="auto"/>
        <w:jc w:val="both"/>
        <w:rPr>
          <w:rFonts w:ascii="Arial" w:hAnsi="Arial" w:cs="Arial"/>
          <w:color w:val="000000" w:themeColor="text1"/>
          <w:sz w:val="22"/>
          <w:lang w:val="es-ES_tradnl"/>
        </w:rPr>
      </w:pPr>
      <w:r w:rsidRPr="009C6B45">
        <w:rPr>
          <w:rFonts w:ascii="Arial" w:hAnsi="Arial" w:cs="Arial"/>
          <w:color w:val="000000" w:themeColor="text1"/>
          <w:sz w:val="22"/>
          <w:lang w:val="es-ES_tradnl"/>
        </w:rPr>
        <w:tab/>
      </w:r>
      <w:r w:rsidR="004C0962" w:rsidRPr="009C6B45">
        <w:rPr>
          <w:rFonts w:ascii="Arial" w:hAnsi="Arial" w:cs="Arial"/>
          <w:color w:val="000000" w:themeColor="text1"/>
          <w:sz w:val="22"/>
          <w:lang w:val="es-ES_tradnl"/>
        </w:rPr>
        <w:t>En otras palabras</w:t>
      </w:r>
      <w:r w:rsidR="003F7329" w:rsidRPr="009C6B45">
        <w:rPr>
          <w:rFonts w:ascii="Arial" w:hAnsi="Arial" w:cs="Arial"/>
          <w:color w:val="000000" w:themeColor="text1"/>
          <w:sz w:val="22"/>
          <w:lang w:val="es-ES_tradnl"/>
        </w:rPr>
        <w:t xml:space="preserve">, la facultad de liquidar los contratos tiene una ventana temporal que empieza con la terminación </w:t>
      </w:r>
      <w:r w:rsidR="00E232ED" w:rsidRPr="009C6B45">
        <w:rPr>
          <w:rFonts w:ascii="Arial" w:hAnsi="Arial" w:cs="Arial"/>
          <w:color w:val="000000" w:themeColor="text1"/>
          <w:sz w:val="22"/>
          <w:lang w:val="es-ES_tradnl"/>
        </w:rPr>
        <w:t xml:space="preserve">del contrato </w:t>
      </w:r>
      <w:r w:rsidR="003F7329" w:rsidRPr="009C6B45">
        <w:rPr>
          <w:rFonts w:ascii="Arial" w:hAnsi="Arial" w:cs="Arial"/>
          <w:color w:val="000000" w:themeColor="text1"/>
          <w:sz w:val="22"/>
          <w:lang w:val="es-ES_tradnl"/>
        </w:rPr>
        <w:t>y comprende el per</w:t>
      </w:r>
      <w:r w:rsidR="00E2516A">
        <w:rPr>
          <w:rFonts w:ascii="Arial" w:hAnsi="Arial" w:cs="Arial"/>
          <w:color w:val="000000" w:themeColor="text1"/>
          <w:sz w:val="22"/>
          <w:lang w:val="es-ES_tradnl"/>
        </w:rPr>
        <w:t>í</w:t>
      </w:r>
      <w:r w:rsidR="003F7329" w:rsidRPr="009C6B45">
        <w:rPr>
          <w:rFonts w:ascii="Arial" w:hAnsi="Arial" w:cs="Arial"/>
          <w:color w:val="000000" w:themeColor="text1"/>
          <w:sz w:val="22"/>
          <w:lang w:val="es-ES_tradnl"/>
        </w:rPr>
        <w:t>odo contractual</w:t>
      </w:r>
      <w:r w:rsidR="00E232ED" w:rsidRPr="009C6B45">
        <w:rPr>
          <w:rFonts w:ascii="Arial" w:hAnsi="Arial" w:cs="Arial"/>
          <w:color w:val="000000" w:themeColor="text1"/>
          <w:sz w:val="22"/>
          <w:lang w:val="es-ES_tradnl"/>
        </w:rPr>
        <w:t xml:space="preserve"> pactado por las partes</w:t>
      </w:r>
      <w:r w:rsidR="003F7329" w:rsidRPr="009C6B45">
        <w:rPr>
          <w:rFonts w:ascii="Arial" w:hAnsi="Arial" w:cs="Arial"/>
          <w:color w:val="000000" w:themeColor="text1"/>
          <w:sz w:val="22"/>
          <w:lang w:val="es-ES_tradnl"/>
        </w:rPr>
        <w:t xml:space="preserve"> o legal</w:t>
      </w:r>
      <w:r w:rsidR="004C0962" w:rsidRPr="009C6B45">
        <w:rPr>
          <w:rFonts w:ascii="Arial" w:hAnsi="Arial" w:cs="Arial"/>
          <w:color w:val="000000" w:themeColor="text1"/>
          <w:sz w:val="22"/>
          <w:lang w:val="es-ES_tradnl"/>
        </w:rPr>
        <w:t xml:space="preserve"> </w:t>
      </w:r>
      <w:r w:rsidR="00E232ED" w:rsidRPr="009C6B45">
        <w:rPr>
          <w:rFonts w:ascii="Arial" w:hAnsi="Arial" w:cs="Arial"/>
          <w:color w:val="000000" w:themeColor="text1"/>
          <w:sz w:val="22"/>
          <w:lang w:val="es-ES_tradnl"/>
        </w:rPr>
        <w:t>supletivo</w:t>
      </w:r>
      <w:r w:rsidR="004C0962" w:rsidRPr="009C6B45">
        <w:rPr>
          <w:rFonts w:ascii="Arial" w:hAnsi="Arial" w:cs="Arial"/>
          <w:color w:val="000000" w:themeColor="text1"/>
          <w:sz w:val="22"/>
          <w:lang w:val="es-ES_tradnl"/>
        </w:rPr>
        <w:t>– de 4 meses –</w:t>
      </w:r>
      <w:r w:rsidR="003F7329" w:rsidRPr="009C6B45">
        <w:rPr>
          <w:rFonts w:ascii="Arial" w:hAnsi="Arial" w:cs="Arial"/>
          <w:color w:val="000000" w:themeColor="text1"/>
          <w:sz w:val="22"/>
          <w:lang w:val="es-ES_tradnl"/>
        </w:rPr>
        <w:t xml:space="preserve"> para la liquidación bilateral, más el per</w:t>
      </w:r>
      <w:r w:rsidR="0021387B">
        <w:rPr>
          <w:rFonts w:ascii="Arial" w:hAnsi="Arial" w:cs="Arial"/>
          <w:color w:val="000000" w:themeColor="text1"/>
          <w:sz w:val="22"/>
          <w:lang w:val="es-ES_tradnl"/>
        </w:rPr>
        <w:t>í</w:t>
      </w:r>
      <w:r w:rsidR="003F7329" w:rsidRPr="009C6B45">
        <w:rPr>
          <w:rFonts w:ascii="Arial" w:hAnsi="Arial" w:cs="Arial"/>
          <w:color w:val="000000" w:themeColor="text1"/>
          <w:sz w:val="22"/>
          <w:lang w:val="es-ES_tradnl"/>
        </w:rPr>
        <w:t xml:space="preserve">odo legal para la liquidación unilateral </w:t>
      </w:r>
      <w:r w:rsidR="004C0962" w:rsidRPr="009C6B45">
        <w:rPr>
          <w:rFonts w:ascii="Arial" w:hAnsi="Arial" w:cs="Arial"/>
          <w:color w:val="000000" w:themeColor="text1"/>
          <w:sz w:val="22"/>
          <w:lang w:val="es-ES_tradnl"/>
        </w:rPr>
        <w:t xml:space="preserve">– </w:t>
      </w:r>
      <w:r w:rsidR="003F7329" w:rsidRPr="009C6B45">
        <w:rPr>
          <w:rFonts w:ascii="Arial" w:hAnsi="Arial" w:cs="Arial"/>
          <w:color w:val="000000" w:themeColor="text1"/>
          <w:sz w:val="22"/>
          <w:lang w:val="es-ES_tradnl"/>
        </w:rPr>
        <w:t>de 2 meses</w:t>
      </w:r>
      <w:r w:rsidR="004C0962" w:rsidRPr="009C6B45">
        <w:rPr>
          <w:rFonts w:ascii="Arial" w:hAnsi="Arial" w:cs="Arial"/>
          <w:color w:val="000000" w:themeColor="text1"/>
          <w:sz w:val="22"/>
          <w:lang w:val="es-ES_tradnl"/>
        </w:rPr>
        <w:t xml:space="preserve"> –,</w:t>
      </w:r>
      <w:r w:rsidR="003F7329" w:rsidRPr="009C6B45">
        <w:rPr>
          <w:rFonts w:ascii="Arial" w:hAnsi="Arial" w:cs="Arial"/>
          <w:color w:val="000000" w:themeColor="text1"/>
          <w:sz w:val="22"/>
          <w:lang w:val="es-ES_tradnl"/>
        </w:rPr>
        <w:t xml:space="preserve"> más el plazo</w:t>
      </w:r>
      <w:r w:rsidR="004C0962" w:rsidRPr="009C6B45">
        <w:rPr>
          <w:rFonts w:ascii="Arial" w:hAnsi="Arial" w:cs="Arial"/>
          <w:color w:val="000000" w:themeColor="text1"/>
          <w:sz w:val="22"/>
          <w:lang w:val="es-ES_tradnl"/>
        </w:rPr>
        <w:t xml:space="preserve"> para que opere el </w:t>
      </w:r>
      <w:r w:rsidR="0021387B" w:rsidRPr="0021387B">
        <w:rPr>
          <w:rFonts w:ascii="Arial" w:hAnsi="Arial" w:cs="Arial"/>
          <w:color w:val="000000" w:themeColor="text1"/>
          <w:sz w:val="22"/>
          <w:lang w:val="es-ES_tradnl"/>
        </w:rPr>
        <w:t>fenómeno</w:t>
      </w:r>
      <w:r w:rsidR="004C0962" w:rsidRPr="009C6B45">
        <w:rPr>
          <w:rFonts w:ascii="Arial" w:hAnsi="Arial" w:cs="Arial"/>
          <w:color w:val="000000" w:themeColor="text1"/>
          <w:sz w:val="22"/>
          <w:lang w:val="es-ES_tradnl"/>
        </w:rPr>
        <w:t xml:space="preserve"> de la caducidad –</w:t>
      </w:r>
      <w:r w:rsidR="003F7329" w:rsidRPr="009C6B45">
        <w:rPr>
          <w:rFonts w:ascii="Arial" w:hAnsi="Arial" w:cs="Arial"/>
          <w:color w:val="000000" w:themeColor="text1"/>
          <w:sz w:val="22"/>
          <w:lang w:val="es-ES_tradnl"/>
        </w:rPr>
        <w:t xml:space="preserve">de </w:t>
      </w:r>
      <w:r w:rsidR="004C0962" w:rsidRPr="009C6B45">
        <w:rPr>
          <w:rFonts w:ascii="Arial" w:hAnsi="Arial" w:cs="Arial"/>
          <w:color w:val="000000" w:themeColor="text1"/>
          <w:sz w:val="22"/>
          <w:lang w:val="es-ES_tradnl"/>
        </w:rPr>
        <w:t>2</w:t>
      </w:r>
      <w:r w:rsidR="003F7329" w:rsidRPr="009C6B45">
        <w:rPr>
          <w:rFonts w:ascii="Arial" w:hAnsi="Arial" w:cs="Arial"/>
          <w:color w:val="000000" w:themeColor="text1"/>
          <w:sz w:val="22"/>
          <w:lang w:val="es-ES_tradnl"/>
        </w:rPr>
        <w:t xml:space="preserve"> años</w:t>
      </w:r>
      <w:r w:rsidR="004C0962" w:rsidRPr="009C6B45">
        <w:rPr>
          <w:rFonts w:ascii="Arial" w:hAnsi="Arial" w:cs="Arial"/>
          <w:color w:val="000000" w:themeColor="text1"/>
          <w:sz w:val="22"/>
          <w:lang w:val="es-ES_tradnl"/>
        </w:rPr>
        <w:t xml:space="preserve"> –, el c</w:t>
      </w:r>
      <w:r w:rsidR="009554FD" w:rsidRPr="009C6B45">
        <w:rPr>
          <w:rFonts w:ascii="Arial" w:hAnsi="Arial" w:cs="Arial"/>
          <w:color w:val="000000" w:themeColor="text1"/>
          <w:sz w:val="22"/>
          <w:lang w:val="es-ES_tradnl"/>
        </w:rPr>
        <w:t>ual se cuenta desde este último</w:t>
      </w:r>
      <w:r w:rsidR="004C0962" w:rsidRPr="009C6B45">
        <w:rPr>
          <w:rFonts w:ascii="Arial" w:hAnsi="Arial" w:cs="Arial"/>
          <w:color w:val="000000" w:themeColor="text1"/>
          <w:sz w:val="22"/>
          <w:lang w:val="es-ES_tradnl"/>
        </w:rPr>
        <w:t>.</w:t>
      </w:r>
      <w:r w:rsidR="003F7329" w:rsidRPr="009C6B45">
        <w:rPr>
          <w:rFonts w:ascii="Arial" w:hAnsi="Arial" w:cs="Arial"/>
          <w:color w:val="000000" w:themeColor="text1"/>
          <w:sz w:val="22"/>
          <w:lang w:val="es-ES_tradnl"/>
        </w:rPr>
        <w:t xml:space="preserve"> </w:t>
      </w:r>
    </w:p>
    <w:p w14:paraId="57013F28" w14:textId="32B03ED0" w:rsidR="004C0962" w:rsidRPr="009C6B45" w:rsidRDefault="003F7329" w:rsidP="004C0962">
      <w:pPr>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 xml:space="preserve">En ese orden de ideas, si se trata de un contrato en </w:t>
      </w:r>
      <w:r w:rsidR="004C0962" w:rsidRPr="009C6B45">
        <w:rPr>
          <w:rFonts w:ascii="Arial" w:hAnsi="Arial" w:cs="Arial"/>
          <w:color w:val="000000" w:themeColor="text1"/>
          <w:sz w:val="22"/>
          <w:lang w:val="es-ES_tradnl"/>
        </w:rPr>
        <w:t>el cual</w:t>
      </w:r>
      <w:r w:rsidRPr="009C6B45">
        <w:rPr>
          <w:rFonts w:ascii="Arial" w:hAnsi="Arial" w:cs="Arial"/>
          <w:color w:val="000000" w:themeColor="text1"/>
          <w:sz w:val="22"/>
          <w:lang w:val="es-ES_tradnl"/>
        </w:rPr>
        <w:t xml:space="preserve"> no existe pacto sobre el término para la liquidación bilateral, el término supletivo aplicaría, y </w:t>
      </w:r>
      <w:r w:rsidR="004C0962" w:rsidRPr="009C6B45">
        <w:rPr>
          <w:rFonts w:ascii="Arial" w:hAnsi="Arial" w:cs="Arial"/>
          <w:color w:val="000000" w:themeColor="text1"/>
          <w:sz w:val="22"/>
          <w:lang w:val="es-ES_tradnl"/>
        </w:rPr>
        <w:t>se podría</w:t>
      </w:r>
      <w:r w:rsidRPr="009C6B45">
        <w:rPr>
          <w:rFonts w:ascii="Arial" w:hAnsi="Arial" w:cs="Arial"/>
          <w:color w:val="000000" w:themeColor="text1"/>
          <w:sz w:val="22"/>
          <w:lang w:val="es-ES_tradnl"/>
        </w:rPr>
        <w:t xml:space="preserve"> liquidar el contrato dentro de los 4 meses siguientes a </w:t>
      </w:r>
      <w:r w:rsidR="004C0962" w:rsidRPr="009C6B45">
        <w:rPr>
          <w:rFonts w:ascii="Arial" w:hAnsi="Arial" w:cs="Arial"/>
          <w:color w:val="000000" w:themeColor="text1"/>
          <w:sz w:val="22"/>
          <w:lang w:val="es-ES_tradnl"/>
        </w:rPr>
        <w:t>su</w:t>
      </w:r>
      <w:r w:rsidRPr="009C6B45">
        <w:rPr>
          <w:rFonts w:ascii="Arial" w:hAnsi="Arial" w:cs="Arial"/>
          <w:color w:val="000000" w:themeColor="text1"/>
          <w:sz w:val="22"/>
          <w:lang w:val="es-ES_tradnl"/>
        </w:rPr>
        <w:t xml:space="preserve"> terminación de manera bilateral, dentro de los 2 meses siguientes a ellos de manera unilateral por la entidad, más</w:t>
      </w:r>
      <w:r w:rsidR="004C0962" w:rsidRPr="009C6B45">
        <w:rPr>
          <w:rFonts w:ascii="Arial" w:hAnsi="Arial" w:cs="Arial"/>
          <w:color w:val="000000" w:themeColor="text1"/>
          <w:sz w:val="22"/>
          <w:lang w:val="es-ES_tradnl"/>
        </w:rPr>
        <w:t xml:space="preserve"> un plazo de</w:t>
      </w:r>
      <w:r w:rsidRPr="009C6B45">
        <w:rPr>
          <w:rFonts w:ascii="Arial" w:hAnsi="Arial" w:cs="Arial"/>
          <w:color w:val="000000" w:themeColor="text1"/>
          <w:sz w:val="22"/>
          <w:lang w:val="es-ES_tradnl"/>
        </w:rPr>
        <w:t xml:space="preserve"> 2 años para la liquidación unilateral, bilateral o judicial: para un total de 2 años y 6 meses.  </w:t>
      </w:r>
      <w:r w:rsidR="004C0962" w:rsidRPr="009C6B45">
        <w:rPr>
          <w:rFonts w:ascii="Arial" w:hAnsi="Arial" w:cs="Arial"/>
          <w:color w:val="000000" w:themeColor="text1"/>
          <w:sz w:val="22"/>
          <w:lang w:val="es-ES_tradnl"/>
        </w:rPr>
        <w:t>Estos términos pueden verse modificados si las partes acuerdan un plazo mayor o menor para realizar la liquidación de mutuo acuerdo</w:t>
      </w:r>
      <w:r w:rsidR="00E232ED" w:rsidRPr="009C6B45">
        <w:rPr>
          <w:rFonts w:ascii="Arial" w:hAnsi="Arial" w:cs="Arial"/>
          <w:color w:val="000000" w:themeColor="text1"/>
          <w:sz w:val="22"/>
          <w:lang w:val="es-ES_tradnl"/>
        </w:rPr>
        <w:t>, con lo cual dejaría de estar incluido el término supletivo de la Ley 1150 de 2007</w:t>
      </w:r>
      <w:r w:rsidR="004C0962" w:rsidRPr="009C6B45">
        <w:rPr>
          <w:rFonts w:ascii="Arial" w:hAnsi="Arial" w:cs="Arial"/>
          <w:color w:val="000000" w:themeColor="text1"/>
          <w:sz w:val="22"/>
          <w:lang w:val="es-ES_tradnl"/>
        </w:rPr>
        <w:t xml:space="preserve">. </w:t>
      </w:r>
    </w:p>
    <w:p w14:paraId="0F0E7E12" w14:textId="5F81CB68" w:rsidR="00B414DE" w:rsidRPr="009C6B45" w:rsidRDefault="00E81289" w:rsidP="00990995">
      <w:pPr>
        <w:spacing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En suma, de</w:t>
      </w:r>
      <w:r w:rsidRPr="009C6B45">
        <w:rPr>
          <w:rFonts w:ascii="Arial" w:hAnsi="Arial" w:cs="Arial"/>
          <w:iCs/>
          <w:color w:val="000000" w:themeColor="text1"/>
          <w:sz w:val="22"/>
          <w:lang w:val="es-ES_tradnl"/>
        </w:rPr>
        <w:t xml:space="preserve"> 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w:t>
      </w:r>
      <w:r w:rsidR="0058473E">
        <w:rPr>
          <w:rFonts w:ascii="Arial" w:hAnsi="Arial" w:cs="Arial"/>
          <w:iCs/>
          <w:color w:val="000000" w:themeColor="text1"/>
          <w:sz w:val="22"/>
          <w:lang w:val="es-ES_tradnl"/>
        </w:rPr>
        <w:t>subsidiario</w:t>
      </w:r>
      <w:r w:rsidR="0058473E" w:rsidRPr="009C6B45">
        <w:rPr>
          <w:rFonts w:ascii="Arial" w:hAnsi="Arial" w:cs="Arial"/>
          <w:iCs/>
          <w:color w:val="000000" w:themeColor="text1"/>
          <w:sz w:val="22"/>
          <w:lang w:val="es-ES_tradnl"/>
        </w:rPr>
        <w:t xml:space="preserve"> </w:t>
      </w:r>
      <w:r w:rsidRPr="009C6B45">
        <w:rPr>
          <w:rFonts w:ascii="Arial" w:hAnsi="Arial" w:cs="Arial"/>
          <w:iCs/>
          <w:color w:val="000000" w:themeColor="text1"/>
          <w:sz w:val="22"/>
          <w:lang w:val="es-ES_tradnl"/>
        </w:rPr>
        <w:t>de cuatro meses. La segunda se debe practicar d</w:t>
      </w:r>
      <w:r w:rsidRPr="009C6B45">
        <w:rPr>
          <w:rFonts w:ascii="Arial" w:hAnsi="Arial" w:cs="Arial"/>
          <w:color w:val="000000" w:themeColor="text1"/>
          <w:sz w:val="22"/>
          <w:lang w:val="es-ES_tradnl"/>
        </w:rPr>
        <w:t>entro de los dos meses siguientes al vencimiento del término que acuerden las partes, o</w:t>
      </w:r>
      <w:r w:rsidR="000926E7">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ante el silencio de estas</w:t>
      </w:r>
      <w:r w:rsidR="000926E7">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de los cuatro meses para realizar la liquidación bilateral, sin que </w:t>
      </w:r>
      <w:r w:rsidR="000926E7">
        <w:rPr>
          <w:rFonts w:ascii="Arial" w:hAnsi="Arial" w:cs="Arial"/>
          <w:color w:val="000000" w:themeColor="text1"/>
          <w:sz w:val="22"/>
          <w:lang w:val="es-ES_tradnl"/>
        </w:rPr>
        <w:t>e</w:t>
      </w:r>
      <w:r w:rsidRPr="009C6B45">
        <w:rPr>
          <w:rFonts w:ascii="Arial" w:hAnsi="Arial" w:cs="Arial"/>
          <w:color w:val="000000" w:themeColor="text1"/>
          <w:sz w:val="22"/>
          <w:lang w:val="es-ES_tradnl"/>
        </w:rPr>
        <w:t>sta se efectúe.</w:t>
      </w:r>
      <w:r w:rsidR="008677EC" w:rsidRPr="009C6B45">
        <w:rPr>
          <w:rFonts w:ascii="Arial" w:hAnsi="Arial" w:cs="Arial"/>
          <w:color w:val="000000" w:themeColor="text1"/>
          <w:sz w:val="22"/>
          <w:lang w:val="es-ES_tradnl"/>
        </w:rPr>
        <w:t xml:space="preserve"> Finalmente,</w:t>
      </w:r>
      <w:r w:rsidRPr="009C6B45">
        <w:rPr>
          <w:rFonts w:ascii="Arial" w:hAnsi="Arial" w:cs="Arial"/>
          <w:color w:val="000000" w:themeColor="text1"/>
          <w:sz w:val="22"/>
          <w:lang w:val="es-ES_tradnl"/>
        </w:rPr>
        <w:t xml:space="preserve"> </w:t>
      </w:r>
      <w:r w:rsidR="008677EC" w:rsidRPr="009C6B45">
        <w:rPr>
          <w:rFonts w:ascii="Arial" w:hAnsi="Arial" w:cs="Arial"/>
          <w:color w:val="000000" w:themeColor="text1"/>
          <w:sz w:val="22"/>
          <w:lang w:val="es-ES_tradnl"/>
        </w:rPr>
        <w:t>l</w:t>
      </w:r>
      <w:r w:rsidRPr="009C6B45">
        <w:rPr>
          <w:rFonts w:ascii="Arial" w:hAnsi="Arial" w:cs="Arial"/>
          <w:color w:val="000000" w:themeColor="text1"/>
          <w:sz w:val="22"/>
          <w:lang w:val="es-ES_tradnl"/>
        </w:rPr>
        <w:t xml:space="preserve">a tercera la realiza el juez contencioso administrativo dentro de un proceso judicial de controversias contractuales y puede darse con ocasión de una demanda del </w:t>
      </w:r>
      <w:r w:rsidR="000926E7">
        <w:rPr>
          <w:rFonts w:ascii="Arial" w:hAnsi="Arial" w:cs="Arial"/>
          <w:color w:val="000000" w:themeColor="text1"/>
          <w:sz w:val="22"/>
          <w:lang w:val="es-ES_tradnl"/>
        </w:rPr>
        <w:t>interesado</w:t>
      </w:r>
      <w:r w:rsidR="000926E7" w:rsidRPr="009C6B45">
        <w:rPr>
          <w:rFonts w:ascii="Arial" w:hAnsi="Arial" w:cs="Arial"/>
          <w:color w:val="000000" w:themeColor="text1"/>
          <w:sz w:val="22"/>
          <w:lang w:val="es-ES_tradnl"/>
        </w:rPr>
        <w:t xml:space="preserve"> </w:t>
      </w:r>
      <w:r w:rsidRPr="009C6B45">
        <w:rPr>
          <w:rFonts w:ascii="Arial" w:hAnsi="Arial" w:cs="Arial"/>
          <w:color w:val="000000" w:themeColor="text1"/>
          <w:sz w:val="22"/>
          <w:lang w:val="es-ES_tradnl"/>
        </w:rPr>
        <w:t>solicitando dicha liquidación</w:t>
      </w:r>
      <w:r w:rsidR="008677EC" w:rsidRPr="009C6B45">
        <w:rPr>
          <w:rFonts w:ascii="Arial" w:hAnsi="Arial" w:cs="Arial"/>
          <w:color w:val="000000" w:themeColor="text1"/>
          <w:sz w:val="22"/>
          <w:lang w:val="es-ES_tradnl"/>
        </w:rPr>
        <w:t xml:space="preserve"> y para ello existe un plazo máximo de 2 años contados a partir de los dos meses establecidos en la Ley para realizar la liquidación unilateral</w:t>
      </w:r>
      <w:r w:rsidR="000926E7">
        <w:rPr>
          <w:rFonts w:ascii="Arial" w:hAnsi="Arial" w:cs="Arial"/>
          <w:color w:val="000000" w:themeColor="text1"/>
          <w:sz w:val="22"/>
          <w:lang w:val="es-ES_tradnl"/>
        </w:rPr>
        <w:t>,</w:t>
      </w:r>
      <w:r w:rsidR="008677EC" w:rsidRPr="009C6B45">
        <w:rPr>
          <w:rFonts w:ascii="Arial" w:hAnsi="Arial" w:cs="Arial"/>
          <w:color w:val="000000" w:themeColor="text1"/>
          <w:sz w:val="22"/>
          <w:lang w:val="es-ES_tradnl"/>
        </w:rPr>
        <w:t xml:space="preserve"> de conformidad con la citada decisión de unificación del Consejo de Estado</w:t>
      </w:r>
      <w:r w:rsidRPr="009C6B45">
        <w:rPr>
          <w:rFonts w:ascii="Arial" w:hAnsi="Arial" w:cs="Arial"/>
          <w:color w:val="000000" w:themeColor="text1"/>
          <w:sz w:val="22"/>
          <w:lang w:val="es-ES_tradnl"/>
        </w:rPr>
        <w:t>.</w:t>
      </w:r>
    </w:p>
    <w:p w14:paraId="22031387" w14:textId="77777777" w:rsidR="00B414DE" w:rsidRPr="009C6B45" w:rsidRDefault="00B414DE" w:rsidP="00990995">
      <w:pPr>
        <w:spacing w:line="276" w:lineRule="auto"/>
        <w:jc w:val="both"/>
        <w:rPr>
          <w:rFonts w:ascii="Arial" w:hAnsi="Arial" w:cs="Arial"/>
          <w:color w:val="000000" w:themeColor="text1"/>
          <w:sz w:val="22"/>
          <w:lang w:val="es-ES_tradnl"/>
        </w:rPr>
      </w:pPr>
    </w:p>
    <w:p w14:paraId="49EC0DB7" w14:textId="3B03CC28" w:rsidR="00975C71" w:rsidRPr="009C6B45" w:rsidRDefault="00BA1551" w:rsidP="00450B8D">
      <w:pPr>
        <w:spacing w:line="276" w:lineRule="auto"/>
        <w:jc w:val="both"/>
        <w:rPr>
          <w:rFonts w:ascii="Arial" w:hAnsi="Arial" w:cs="Arial"/>
          <w:b/>
          <w:bCs/>
          <w:color w:val="000000" w:themeColor="text1"/>
          <w:sz w:val="22"/>
          <w:lang w:val="es-ES_tradnl"/>
        </w:rPr>
      </w:pPr>
      <w:r w:rsidRPr="009C6B45">
        <w:rPr>
          <w:rFonts w:ascii="Arial" w:hAnsi="Arial" w:cs="Arial"/>
          <w:b/>
          <w:bCs/>
          <w:color w:val="000000" w:themeColor="text1"/>
          <w:sz w:val="22"/>
          <w:lang w:val="es-ES_tradnl"/>
        </w:rPr>
        <w:t>2.</w:t>
      </w:r>
      <w:r w:rsidR="004C0962" w:rsidRPr="009C6B45">
        <w:rPr>
          <w:rFonts w:ascii="Arial" w:hAnsi="Arial" w:cs="Arial"/>
          <w:b/>
          <w:bCs/>
          <w:color w:val="000000" w:themeColor="text1"/>
          <w:sz w:val="22"/>
          <w:lang w:val="es-ES_tradnl"/>
        </w:rPr>
        <w:t>2</w:t>
      </w:r>
      <w:r w:rsidR="00B414DE" w:rsidRPr="009C6B45">
        <w:rPr>
          <w:rFonts w:ascii="Arial" w:hAnsi="Arial" w:cs="Arial"/>
          <w:b/>
          <w:bCs/>
          <w:color w:val="000000" w:themeColor="text1"/>
          <w:sz w:val="22"/>
          <w:lang w:val="es-ES_tradnl"/>
        </w:rPr>
        <w:t>.</w:t>
      </w:r>
      <w:r w:rsidRPr="009C6B45">
        <w:rPr>
          <w:rFonts w:ascii="Arial" w:hAnsi="Arial" w:cs="Arial"/>
          <w:b/>
          <w:bCs/>
          <w:color w:val="000000" w:themeColor="text1"/>
          <w:sz w:val="22"/>
          <w:lang w:val="es-ES_tradnl"/>
        </w:rPr>
        <w:t xml:space="preserve"> La garant</w:t>
      </w:r>
      <w:r w:rsidR="00A614ED" w:rsidRPr="009C6B45">
        <w:rPr>
          <w:rFonts w:ascii="Arial" w:hAnsi="Arial" w:cs="Arial"/>
          <w:b/>
          <w:bCs/>
          <w:color w:val="000000" w:themeColor="text1"/>
          <w:sz w:val="22"/>
          <w:lang w:val="es-ES_tradnl"/>
        </w:rPr>
        <w:t>ía de cumplimiento: noción</w:t>
      </w:r>
      <w:r w:rsidR="00975C71" w:rsidRPr="009C6B45">
        <w:rPr>
          <w:rFonts w:ascii="Arial" w:hAnsi="Arial" w:cs="Arial"/>
          <w:b/>
          <w:bCs/>
          <w:color w:val="000000" w:themeColor="text1"/>
          <w:sz w:val="22"/>
          <w:lang w:val="es-ES_tradnl"/>
        </w:rPr>
        <w:t xml:space="preserve"> y vigencia </w:t>
      </w:r>
    </w:p>
    <w:p w14:paraId="49F0C92C" w14:textId="77777777" w:rsidR="00975C71" w:rsidRPr="00990995" w:rsidRDefault="00975C71" w:rsidP="00450B8D">
      <w:pPr>
        <w:spacing w:line="276" w:lineRule="auto"/>
        <w:jc w:val="both"/>
        <w:rPr>
          <w:rFonts w:ascii="Arial" w:hAnsi="Arial" w:cs="Arial"/>
          <w:color w:val="000000" w:themeColor="text1"/>
          <w:sz w:val="22"/>
          <w:lang w:val="es-ES_tradnl"/>
        </w:rPr>
      </w:pPr>
    </w:p>
    <w:p w14:paraId="1F441C2E" w14:textId="16BC3073" w:rsidR="009F1174" w:rsidRPr="009C6B45" w:rsidRDefault="00E232ED" w:rsidP="00A02F49">
      <w:pPr>
        <w:spacing w:line="276" w:lineRule="auto"/>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L</w:t>
      </w:r>
      <w:r w:rsidR="00A02F49" w:rsidRPr="009C6B45">
        <w:rPr>
          <w:rFonts w:ascii="Arial" w:hAnsi="Arial" w:cs="Arial"/>
          <w:bCs/>
          <w:color w:val="000000" w:themeColor="text1"/>
          <w:sz w:val="22"/>
          <w:lang w:val="es-ES_tradnl"/>
        </w:rPr>
        <w:t xml:space="preserve">a Guía de Garantías en procesos de Contratación </w:t>
      </w:r>
      <w:r w:rsidRPr="009C6B45">
        <w:rPr>
          <w:rFonts w:ascii="Arial" w:hAnsi="Arial" w:cs="Arial"/>
          <w:bCs/>
          <w:color w:val="000000" w:themeColor="text1"/>
          <w:sz w:val="22"/>
          <w:lang w:val="es-ES_tradnl"/>
        </w:rPr>
        <w:t>señala</w:t>
      </w:r>
      <w:r w:rsidR="00A02F49" w:rsidRPr="009C6B45">
        <w:rPr>
          <w:rFonts w:ascii="Arial" w:hAnsi="Arial" w:cs="Arial"/>
          <w:bCs/>
          <w:color w:val="000000" w:themeColor="text1"/>
          <w:sz w:val="22"/>
          <w:lang w:val="es-ES_tradnl"/>
        </w:rPr>
        <w:t xml:space="preserve"> que </w:t>
      </w:r>
      <w:r w:rsidR="00A02F49" w:rsidRPr="009C6B45">
        <w:rPr>
          <w:rFonts w:ascii="Arial" w:hAnsi="Arial" w:cs="Arial"/>
          <w:bCs/>
          <w:color w:val="000000" w:themeColor="text1"/>
          <w:sz w:val="22"/>
          <w:szCs w:val="22"/>
          <w:lang w:val="es-ES_tradnl"/>
        </w:rPr>
        <w:t>«Las garantías son instrumentos de cobertura de algunos Riesgos comunes en Procesos de Contratación»</w:t>
      </w:r>
      <w:r w:rsidR="00A02F49" w:rsidRPr="009C6B45">
        <w:rPr>
          <w:rStyle w:val="Refdenotaalpie"/>
          <w:rFonts w:ascii="Arial" w:hAnsi="Arial" w:cs="Arial"/>
          <w:bCs/>
          <w:color w:val="000000" w:themeColor="text1"/>
          <w:sz w:val="21"/>
          <w:szCs w:val="21"/>
          <w:lang w:val="es-ES_tradnl"/>
        </w:rPr>
        <w:footnoteReference w:id="9"/>
      </w:r>
      <w:r w:rsidR="00A02F49" w:rsidRPr="009C6B45">
        <w:rPr>
          <w:rFonts w:ascii="Arial" w:hAnsi="Arial" w:cs="Arial"/>
          <w:bCs/>
          <w:color w:val="000000" w:themeColor="text1"/>
          <w:sz w:val="21"/>
          <w:szCs w:val="21"/>
          <w:lang w:val="es-ES_tradnl"/>
        </w:rPr>
        <w:t xml:space="preserve">. </w:t>
      </w:r>
      <w:r w:rsidR="00A02F49" w:rsidRPr="009C6B45">
        <w:rPr>
          <w:rFonts w:ascii="Arial" w:hAnsi="Arial" w:cs="Arial"/>
          <w:bCs/>
          <w:color w:val="000000" w:themeColor="text1"/>
          <w:sz w:val="22"/>
          <w:lang w:val="es-ES_tradnl"/>
        </w:rPr>
        <w:t xml:space="preserve"> </w:t>
      </w:r>
      <w:r w:rsidRPr="009C6B45">
        <w:rPr>
          <w:rFonts w:ascii="Arial" w:hAnsi="Arial" w:cs="Arial"/>
          <w:bCs/>
          <w:color w:val="000000" w:themeColor="text1"/>
          <w:sz w:val="22"/>
          <w:lang w:val="es-ES_tradnl"/>
        </w:rPr>
        <w:lastRenderedPageBreak/>
        <w:t>S</w:t>
      </w:r>
      <w:r w:rsidR="009F1174" w:rsidRPr="009C6B45">
        <w:rPr>
          <w:rFonts w:ascii="Arial" w:hAnsi="Arial" w:cs="Arial"/>
          <w:bCs/>
          <w:color w:val="000000" w:themeColor="text1"/>
          <w:sz w:val="22"/>
          <w:lang w:val="es-ES_tradnl"/>
        </w:rPr>
        <w:t>obre la garantía de cumplimiento</w:t>
      </w:r>
      <w:r w:rsidRPr="009C6B45">
        <w:rPr>
          <w:rFonts w:ascii="Arial" w:hAnsi="Arial" w:cs="Arial"/>
          <w:bCs/>
          <w:color w:val="000000" w:themeColor="text1"/>
          <w:sz w:val="22"/>
          <w:lang w:val="es-ES_tradnl"/>
        </w:rPr>
        <w:t>,</w:t>
      </w:r>
      <w:r w:rsidR="009F1174" w:rsidRPr="009C6B45">
        <w:rPr>
          <w:rFonts w:ascii="Arial" w:hAnsi="Arial" w:cs="Arial"/>
          <w:bCs/>
          <w:color w:val="000000" w:themeColor="text1"/>
          <w:sz w:val="22"/>
          <w:lang w:val="es-ES_tradnl"/>
        </w:rPr>
        <w:t xml:space="preserve"> la Agencia Nacional de Contratación Pública </w:t>
      </w:r>
      <w:r w:rsidR="00F15515">
        <w:rPr>
          <w:rFonts w:ascii="Arial" w:hAnsi="Arial" w:cs="Arial"/>
          <w:bCs/>
          <w:color w:val="000000" w:themeColor="text1"/>
          <w:sz w:val="22"/>
          <w:lang w:val="es-ES_tradnl"/>
        </w:rPr>
        <w:t>explica que</w:t>
      </w:r>
      <w:r w:rsidR="009F1174" w:rsidRPr="009C6B45">
        <w:rPr>
          <w:rFonts w:ascii="Arial" w:hAnsi="Arial" w:cs="Arial"/>
          <w:bCs/>
          <w:color w:val="000000" w:themeColor="text1"/>
          <w:sz w:val="22"/>
          <w:lang w:val="es-ES_tradnl"/>
        </w:rPr>
        <w:t>:</w:t>
      </w:r>
    </w:p>
    <w:p w14:paraId="316DADB4" w14:textId="77777777" w:rsidR="00A02F49" w:rsidRPr="00990995" w:rsidRDefault="00A02F49" w:rsidP="00990995">
      <w:pPr>
        <w:spacing w:line="276" w:lineRule="auto"/>
        <w:ind w:left="709" w:right="758"/>
        <w:jc w:val="both"/>
        <w:rPr>
          <w:rFonts w:ascii="Arial" w:hAnsi="Arial" w:cs="Arial"/>
          <w:bCs/>
          <w:color w:val="000000" w:themeColor="text1"/>
          <w:sz w:val="22"/>
          <w:szCs w:val="22"/>
          <w:lang w:val="es-ES_tradnl"/>
        </w:rPr>
      </w:pPr>
    </w:p>
    <w:p w14:paraId="5BBDADF6" w14:textId="4C9B6D7D" w:rsidR="009F1174" w:rsidRPr="009C6B45" w:rsidRDefault="00975C71" w:rsidP="00990995">
      <w:pPr>
        <w:spacing w:after="120"/>
        <w:ind w:left="709" w:right="709"/>
        <w:jc w:val="both"/>
        <w:rPr>
          <w:rFonts w:ascii="Arial" w:hAnsi="Arial" w:cs="Arial"/>
          <w:bCs/>
          <w:color w:val="000000" w:themeColor="text1"/>
          <w:sz w:val="21"/>
          <w:szCs w:val="21"/>
          <w:lang w:val="es-ES_tradnl"/>
        </w:rPr>
      </w:pPr>
      <w:r w:rsidRPr="009C6B45">
        <w:rPr>
          <w:rFonts w:ascii="Arial" w:hAnsi="Arial" w:cs="Arial"/>
          <w:bCs/>
          <w:color w:val="000000" w:themeColor="text1"/>
          <w:sz w:val="21"/>
          <w:szCs w:val="21"/>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1E1A1AD1" w14:textId="6D9D794F" w:rsidR="00BA1551" w:rsidRPr="009C6B45" w:rsidRDefault="00975C71" w:rsidP="00990995">
      <w:pPr>
        <w:ind w:left="709" w:right="709"/>
        <w:jc w:val="both"/>
        <w:rPr>
          <w:rFonts w:ascii="Arial" w:hAnsi="Arial" w:cs="Arial"/>
          <w:bCs/>
          <w:color w:val="000000" w:themeColor="text1"/>
          <w:sz w:val="21"/>
          <w:szCs w:val="21"/>
          <w:lang w:val="es-ES_tradnl"/>
        </w:rPr>
      </w:pPr>
      <w:r w:rsidRPr="009C6B45">
        <w:rPr>
          <w:rFonts w:ascii="Arial" w:hAnsi="Arial" w:cs="Arial"/>
          <w:bCs/>
          <w:color w:val="000000" w:themeColor="text1"/>
          <w:sz w:val="21"/>
          <w:szCs w:val="21"/>
          <w:lang w:val="es-ES_tradnl"/>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009F1174" w:rsidRPr="009C6B45">
        <w:rPr>
          <w:rStyle w:val="Refdenotaalpie"/>
          <w:rFonts w:ascii="Arial" w:hAnsi="Arial" w:cs="Arial"/>
          <w:bCs/>
          <w:color w:val="000000" w:themeColor="text1"/>
          <w:sz w:val="21"/>
          <w:szCs w:val="21"/>
          <w:lang w:val="es-ES_tradnl"/>
        </w:rPr>
        <w:footnoteReference w:id="10"/>
      </w:r>
      <w:r w:rsidRPr="009C6B45">
        <w:rPr>
          <w:rFonts w:ascii="Arial" w:hAnsi="Arial" w:cs="Arial"/>
          <w:bCs/>
          <w:color w:val="000000" w:themeColor="text1"/>
          <w:sz w:val="21"/>
          <w:szCs w:val="21"/>
          <w:lang w:val="es-ES_tradnl"/>
        </w:rPr>
        <w:t>.</w:t>
      </w:r>
    </w:p>
    <w:p w14:paraId="3B61F45E" w14:textId="77777777" w:rsidR="00A02F49" w:rsidRPr="009C6B45" w:rsidRDefault="00A02F49" w:rsidP="009F1174">
      <w:pPr>
        <w:spacing w:line="276" w:lineRule="auto"/>
        <w:jc w:val="both"/>
        <w:rPr>
          <w:rFonts w:ascii="Arial" w:hAnsi="Arial" w:cs="Arial"/>
          <w:bCs/>
          <w:color w:val="000000" w:themeColor="text1"/>
          <w:sz w:val="22"/>
          <w:lang w:val="es-ES_tradnl"/>
        </w:rPr>
      </w:pPr>
    </w:p>
    <w:p w14:paraId="655226B9" w14:textId="4D730265" w:rsidR="002A3EC7" w:rsidRPr="009C6B45" w:rsidRDefault="00A02F49" w:rsidP="002A3EC7">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Como puede verse, la finalidad y principal objetivo de la garantía</w:t>
      </w:r>
      <w:r w:rsidR="004110A1" w:rsidRPr="009C6B45">
        <w:rPr>
          <w:rFonts w:ascii="Arial" w:hAnsi="Arial" w:cs="Arial"/>
          <w:bCs/>
          <w:color w:val="000000" w:themeColor="text1"/>
          <w:sz w:val="22"/>
          <w:lang w:val="es-ES_tradnl"/>
        </w:rPr>
        <w:t xml:space="preserve"> de cumplimiento</w:t>
      </w:r>
      <w:r w:rsidRPr="009C6B45">
        <w:rPr>
          <w:rFonts w:ascii="Arial" w:hAnsi="Arial" w:cs="Arial"/>
          <w:bCs/>
          <w:color w:val="000000" w:themeColor="text1"/>
          <w:sz w:val="22"/>
          <w:lang w:val="es-ES_tradnl"/>
        </w:rPr>
        <w:t xml:space="preserve"> es proteger el patrimonio de la entidad de los potenciales riesgos </w:t>
      </w:r>
      <w:r w:rsidR="004110A1" w:rsidRPr="009C6B45">
        <w:rPr>
          <w:rFonts w:ascii="Arial" w:hAnsi="Arial" w:cs="Arial"/>
          <w:bCs/>
          <w:color w:val="000000" w:themeColor="text1"/>
          <w:sz w:val="22"/>
          <w:lang w:val="es-ES_tradnl"/>
        </w:rPr>
        <w:t xml:space="preserve">y efectos </w:t>
      </w:r>
      <w:r w:rsidRPr="009C6B45">
        <w:rPr>
          <w:rFonts w:ascii="Arial" w:hAnsi="Arial" w:cs="Arial"/>
          <w:bCs/>
          <w:color w:val="000000" w:themeColor="text1"/>
          <w:sz w:val="22"/>
          <w:lang w:val="es-ES_tradnl"/>
        </w:rPr>
        <w:t>derivados de un incumplimiento del contratista</w:t>
      </w:r>
      <w:r w:rsidR="004110A1" w:rsidRPr="009C6B45">
        <w:rPr>
          <w:rFonts w:ascii="Arial" w:hAnsi="Arial" w:cs="Arial"/>
          <w:bCs/>
          <w:color w:val="000000" w:themeColor="text1"/>
          <w:sz w:val="22"/>
          <w:lang w:val="es-ES_tradnl"/>
        </w:rPr>
        <w:t>. Esta función, se advierte, debe irradiar la comprensión de las normas sobre garantías en general</w:t>
      </w:r>
      <w:r w:rsidR="00E232ED" w:rsidRPr="009C6B45">
        <w:rPr>
          <w:rFonts w:ascii="Arial" w:hAnsi="Arial" w:cs="Arial"/>
          <w:bCs/>
          <w:color w:val="000000" w:themeColor="text1"/>
          <w:sz w:val="22"/>
          <w:lang w:val="es-ES_tradnl"/>
        </w:rPr>
        <w:t xml:space="preserve"> y sobre su vigencia en particular</w:t>
      </w:r>
      <w:r w:rsidR="004110A1" w:rsidRPr="009C6B45">
        <w:rPr>
          <w:rFonts w:ascii="Arial" w:hAnsi="Arial" w:cs="Arial"/>
          <w:bCs/>
          <w:color w:val="000000" w:themeColor="text1"/>
          <w:sz w:val="22"/>
          <w:lang w:val="es-ES_tradnl"/>
        </w:rPr>
        <w:t xml:space="preserve">. </w:t>
      </w:r>
    </w:p>
    <w:p w14:paraId="15ABCFBF" w14:textId="6BD8EA54" w:rsidR="002A3EC7" w:rsidRPr="009C6B45" w:rsidRDefault="00E232ED" w:rsidP="004110A1">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Según el </w:t>
      </w:r>
      <w:r w:rsidR="002A3EC7" w:rsidRPr="009C6B45">
        <w:rPr>
          <w:rFonts w:ascii="Arial" w:hAnsi="Arial" w:cs="Arial"/>
          <w:bCs/>
          <w:color w:val="000000" w:themeColor="text1"/>
          <w:sz w:val="22"/>
          <w:lang w:val="es-ES_tradnl"/>
        </w:rPr>
        <w:t>2.2.1.2.3.1.7. del Decreto 1082 de 2015</w:t>
      </w:r>
      <w:r w:rsidR="002A3EC7" w:rsidRPr="009C6B45">
        <w:rPr>
          <w:rStyle w:val="Refdenotaalpie"/>
          <w:rFonts w:ascii="Arial" w:hAnsi="Arial" w:cs="Arial"/>
          <w:bCs/>
          <w:color w:val="000000" w:themeColor="text1"/>
          <w:sz w:val="22"/>
          <w:lang w:val="es-ES_tradnl"/>
        </w:rPr>
        <w:footnoteReference w:id="11"/>
      </w:r>
      <w:r w:rsidRPr="009C6B45">
        <w:rPr>
          <w:rFonts w:ascii="Arial" w:hAnsi="Arial" w:cs="Arial"/>
          <w:bCs/>
          <w:color w:val="000000" w:themeColor="text1"/>
          <w:sz w:val="22"/>
          <w:lang w:val="es-ES_tradnl"/>
        </w:rPr>
        <w:t>,</w:t>
      </w:r>
      <w:r w:rsidR="002A3EC7" w:rsidRPr="009C6B45">
        <w:rPr>
          <w:rFonts w:ascii="Arial" w:hAnsi="Arial" w:cs="Arial"/>
          <w:bCs/>
          <w:color w:val="000000" w:themeColor="text1"/>
          <w:sz w:val="22"/>
          <w:lang w:val="es-ES_tradnl"/>
        </w:rPr>
        <w:t xml:space="preserve"> la garantía única de cumplimiento cuenta con varios amparos que incluyen el de buen manejo y correcta </w:t>
      </w:r>
      <w:r w:rsidR="002A3EC7" w:rsidRPr="009C6B45">
        <w:rPr>
          <w:rFonts w:ascii="Arial" w:hAnsi="Arial" w:cs="Arial"/>
          <w:bCs/>
          <w:color w:val="000000" w:themeColor="text1"/>
          <w:sz w:val="22"/>
          <w:lang w:val="es-ES_tradnl"/>
        </w:rPr>
        <w:lastRenderedPageBreak/>
        <w:t>inversión del anticipo, la devolución del pago anticipado, el amparo de cumplimiento del contrato, la garantía de pago de salarios, entre otros.</w:t>
      </w:r>
    </w:p>
    <w:p w14:paraId="33A7B4A1" w14:textId="74E946CE" w:rsidR="002A0A0B" w:rsidRPr="009C6B45" w:rsidRDefault="002A3EC7" w:rsidP="008208BF">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El amparo de cumplimiento</w:t>
      </w:r>
      <w:r w:rsidR="00E232ED" w:rsidRPr="009C6B45">
        <w:rPr>
          <w:rFonts w:ascii="Arial" w:hAnsi="Arial" w:cs="Arial"/>
          <w:bCs/>
          <w:color w:val="000000" w:themeColor="text1"/>
          <w:sz w:val="22"/>
          <w:lang w:val="es-ES_tradnl"/>
        </w:rPr>
        <w:t>, que constituye el objeto central de este concepto,</w:t>
      </w:r>
      <w:r w:rsidRPr="009C6B45">
        <w:rPr>
          <w:rFonts w:ascii="Arial" w:hAnsi="Arial" w:cs="Arial"/>
          <w:bCs/>
          <w:color w:val="000000" w:themeColor="text1"/>
          <w:sz w:val="22"/>
          <w:lang w:val="es-ES_tradnl"/>
        </w:rPr>
        <w:t xml:space="preserve"> es uno de los </w:t>
      </w:r>
      <w:r w:rsidR="008208BF" w:rsidRPr="009C6B45">
        <w:rPr>
          <w:rFonts w:ascii="Arial" w:hAnsi="Arial" w:cs="Arial"/>
          <w:bCs/>
          <w:color w:val="000000" w:themeColor="text1"/>
          <w:sz w:val="22"/>
          <w:lang w:val="es-ES_tradnl"/>
        </w:rPr>
        <w:t>múltiples</w:t>
      </w:r>
      <w:r w:rsidRPr="009C6B45">
        <w:rPr>
          <w:rFonts w:ascii="Arial" w:hAnsi="Arial" w:cs="Arial"/>
          <w:bCs/>
          <w:color w:val="000000" w:themeColor="text1"/>
          <w:sz w:val="22"/>
          <w:lang w:val="es-ES_tradnl"/>
        </w:rPr>
        <w:t xml:space="preserve"> </w:t>
      </w:r>
      <w:r w:rsidR="008208BF" w:rsidRPr="009C6B45">
        <w:rPr>
          <w:rFonts w:ascii="Arial" w:hAnsi="Arial" w:cs="Arial"/>
          <w:bCs/>
          <w:color w:val="000000" w:themeColor="text1"/>
          <w:sz w:val="22"/>
          <w:lang w:val="es-ES_tradnl"/>
        </w:rPr>
        <w:t xml:space="preserve">amparos </w:t>
      </w:r>
      <w:r w:rsidRPr="009C6B45">
        <w:rPr>
          <w:rFonts w:ascii="Arial" w:hAnsi="Arial" w:cs="Arial"/>
          <w:bCs/>
          <w:color w:val="000000" w:themeColor="text1"/>
          <w:sz w:val="22"/>
          <w:lang w:val="es-ES_tradnl"/>
        </w:rPr>
        <w:t>que conforman la garantía única de cumplimiento</w:t>
      </w:r>
      <w:r w:rsidR="003B1CAE">
        <w:rPr>
          <w:rFonts w:ascii="Arial" w:hAnsi="Arial" w:cs="Arial"/>
          <w:bCs/>
          <w:color w:val="000000" w:themeColor="text1"/>
          <w:sz w:val="22"/>
          <w:lang w:val="es-ES_tradnl"/>
        </w:rPr>
        <w:t>.</w:t>
      </w:r>
      <w:r w:rsidR="00E232ED" w:rsidRPr="009C6B45">
        <w:rPr>
          <w:rFonts w:ascii="Arial" w:hAnsi="Arial" w:cs="Arial"/>
          <w:bCs/>
          <w:color w:val="000000" w:themeColor="text1"/>
          <w:sz w:val="22"/>
          <w:lang w:val="es-ES_tradnl"/>
        </w:rPr>
        <w:t xml:space="preserve"> </w:t>
      </w:r>
      <w:r w:rsidR="003B1CAE">
        <w:rPr>
          <w:rFonts w:ascii="Arial" w:hAnsi="Arial" w:cs="Arial"/>
          <w:bCs/>
          <w:color w:val="000000" w:themeColor="text1"/>
          <w:sz w:val="22"/>
          <w:lang w:val="es-ES_tradnl"/>
        </w:rPr>
        <w:t>A</w:t>
      </w:r>
      <w:r w:rsidR="00E232ED" w:rsidRPr="009C6B45">
        <w:rPr>
          <w:rFonts w:ascii="Arial" w:hAnsi="Arial" w:cs="Arial"/>
          <w:bCs/>
          <w:color w:val="000000" w:themeColor="text1"/>
          <w:sz w:val="22"/>
          <w:lang w:val="es-ES_tradnl"/>
        </w:rPr>
        <w:t xml:space="preserve">l tenor de lo normado por el </w:t>
      </w:r>
      <w:r w:rsidRPr="009C6B45">
        <w:rPr>
          <w:rFonts w:ascii="Arial" w:hAnsi="Arial" w:cs="Arial"/>
          <w:bCs/>
          <w:color w:val="000000" w:themeColor="text1"/>
          <w:sz w:val="22"/>
          <w:lang w:val="es-ES_tradnl"/>
        </w:rPr>
        <w:t xml:space="preserve">artículo 2.2.1.2.3.1.7. </w:t>
      </w:r>
      <w:r w:rsidRPr="009C6B45">
        <w:rPr>
          <w:rFonts w:ascii="Arial" w:hAnsi="Arial" w:cs="Arial"/>
          <w:bCs/>
          <w:i/>
          <w:iCs/>
          <w:color w:val="000000" w:themeColor="text1"/>
          <w:sz w:val="22"/>
          <w:lang w:val="es-ES_tradnl"/>
        </w:rPr>
        <w:t>Ibídem</w:t>
      </w:r>
      <w:r w:rsidR="00E232ED" w:rsidRPr="009C6B45">
        <w:rPr>
          <w:rFonts w:ascii="Arial" w:hAnsi="Arial" w:cs="Arial"/>
          <w:bCs/>
          <w:color w:val="000000" w:themeColor="text1"/>
          <w:sz w:val="22"/>
          <w:lang w:val="es-ES_tradnl"/>
        </w:rPr>
        <w:t xml:space="preserve"> la garantía de cumplimiento debe </w:t>
      </w:r>
      <w:r w:rsidR="008208BF" w:rsidRPr="009C6B45">
        <w:rPr>
          <w:rFonts w:ascii="Arial" w:hAnsi="Arial" w:cs="Arial"/>
          <w:bCs/>
          <w:color w:val="000000" w:themeColor="text1"/>
          <w:sz w:val="22"/>
          <w:lang w:val="es-ES_tradnl"/>
        </w:rPr>
        <w:t xml:space="preserve">proteger a la entidad </w:t>
      </w:r>
      <w:r w:rsidR="002A0A0B" w:rsidRPr="009C6B45">
        <w:rPr>
          <w:rFonts w:ascii="Arial" w:hAnsi="Arial" w:cs="Arial"/>
          <w:bCs/>
          <w:color w:val="000000" w:themeColor="text1"/>
          <w:sz w:val="22"/>
          <w:lang w:val="es-ES_tradnl"/>
        </w:rPr>
        <w:t>de los perjuicios que se pueda</w:t>
      </w:r>
      <w:r w:rsidR="008208BF" w:rsidRPr="009C6B45">
        <w:rPr>
          <w:rFonts w:ascii="Arial" w:hAnsi="Arial" w:cs="Arial"/>
          <w:bCs/>
          <w:color w:val="000000" w:themeColor="text1"/>
          <w:sz w:val="22"/>
          <w:lang w:val="es-ES_tradnl"/>
        </w:rPr>
        <w:t>n</w:t>
      </w:r>
      <w:r w:rsidR="002A0A0B" w:rsidRPr="009C6B45">
        <w:rPr>
          <w:rFonts w:ascii="Arial" w:hAnsi="Arial" w:cs="Arial"/>
          <w:bCs/>
          <w:color w:val="000000" w:themeColor="text1"/>
          <w:sz w:val="22"/>
          <w:lang w:val="es-ES_tradnl"/>
        </w:rPr>
        <w:t xml:space="preserve">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p w14:paraId="6D08D940" w14:textId="2DD8E097" w:rsidR="004F3B02" w:rsidRPr="009C6B45" w:rsidRDefault="008208BF" w:rsidP="008208BF">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De otra parte, e</w:t>
      </w:r>
      <w:r w:rsidR="004110A1" w:rsidRPr="009C6B45">
        <w:rPr>
          <w:rFonts w:ascii="Arial" w:hAnsi="Arial" w:cs="Arial"/>
          <w:bCs/>
          <w:color w:val="000000" w:themeColor="text1"/>
          <w:sz w:val="22"/>
          <w:lang w:val="es-ES_tradnl"/>
        </w:rPr>
        <w:t xml:space="preserve">n relación con la vigencia de las garantías, </w:t>
      </w:r>
      <w:r w:rsidR="001850FE" w:rsidRPr="009C6B45">
        <w:rPr>
          <w:rFonts w:ascii="Arial" w:hAnsi="Arial" w:cs="Arial"/>
          <w:bCs/>
          <w:color w:val="000000" w:themeColor="text1"/>
          <w:sz w:val="22"/>
          <w:lang w:val="es-ES_tradnl"/>
        </w:rPr>
        <w:t xml:space="preserve">el artículo 2.2.1.2.3.1.12. del citado </w:t>
      </w:r>
      <w:r w:rsidR="00635578">
        <w:rPr>
          <w:rFonts w:ascii="Arial" w:hAnsi="Arial" w:cs="Arial"/>
          <w:bCs/>
          <w:color w:val="000000" w:themeColor="text1"/>
          <w:sz w:val="22"/>
          <w:lang w:val="es-ES_tradnl"/>
        </w:rPr>
        <w:t>D</w:t>
      </w:r>
      <w:r w:rsidR="001850FE" w:rsidRPr="009C6B45">
        <w:rPr>
          <w:rFonts w:ascii="Arial" w:hAnsi="Arial" w:cs="Arial"/>
          <w:bCs/>
          <w:color w:val="000000" w:themeColor="text1"/>
          <w:sz w:val="22"/>
          <w:lang w:val="es-ES_tradnl"/>
        </w:rPr>
        <w:t xml:space="preserve">ecreto señala que «[l]a garantía de cumplimiento del contrato debe tener una vigencia mínima hasta la liquidación del contrato». </w:t>
      </w:r>
    </w:p>
    <w:p w14:paraId="7ED81E22" w14:textId="58714DEA" w:rsidR="008208BF" w:rsidRPr="009C6B45" w:rsidRDefault="008208BF" w:rsidP="008208BF">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Lo primero que debe ponerse de presente es que esta disposición no se refiere a la garantía única de cumplimiento en su totalidad, sino exclusivamente al amparo de cumplimiento al que se ha venido haciendo referencia; ello explica, que los artículos anteriores y subsiguientes establezcan términos diferentes para los demás amparos</w:t>
      </w:r>
      <w:r w:rsidR="004F3B02" w:rsidRPr="009C6B45">
        <w:rPr>
          <w:rFonts w:ascii="Arial" w:hAnsi="Arial" w:cs="Arial"/>
          <w:bCs/>
          <w:color w:val="000000" w:themeColor="text1"/>
          <w:sz w:val="22"/>
          <w:lang w:val="es-ES_tradnl"/>
        </w:rPr>
        <w:t xml:space="preserve"> que conforman la garantía única de cumplimiento</w:t>
      </w:r>
      <w:r w:rsidRPr="009C6B45">
        <w:rPr>
          <w:rFonts w:ascii="Arial" w:hAnsi="Arial" w:cs="Arial"/>
          <w:bCs/>
          <w:color w:val="000000" w:themeColor="text1"/>
          <w:sz w:val="22"/>
          <w:lang w:val="es-ES_tradnl"/>
        </w:rPr>
        <w:t xml:space="preserve">. Así, por ejemplo, el artículo 2.2.1.2.3.1.13 </w:t>
      </w:r>
      <w:r w:rsidRPr="009C6B45">
        <w:rPr>
          <w:rFonts w:ascii="Arial" w:hAnsi="Arial" w:cs="Arial"/>
          <w:bCs/>
          <w:i/>
          <w:iCs/>
          <w:color w:val="000000" w:themeColor="text1"/>
          <w:sz w:val="22"/>
          <w:lang w:val="es-ES_tradnl"/>
        </w:rPr>
        <w:t>Ibídem</w:t>
      </w:r>
      <w:r w:rsidRPr="009C6B45">
        <w:rPr>
          <w:rFonts w:ascii="Arial" w:hAnsi="Arial" w:cs="Arial"/>
          <w:bCs/>
          <w:color w:val="000000" w:themeColor="text1"/>
          <w:sz w:val="22"/>
          <w:lang w:val="es-ES_tradnl"/>
        </w:rPr>
        <w:t xml:space="preserve"> </w:t>
      </w:r>
      <w:r w:rsidR="004F3B02" w:rsidRPr="009C6B45">
        <w:rPr>
          <w:rFonts w:ascii="Arial" w:hAnsi="Arial" w:cs="Arial"/>
          <w:bCs/>
          <w:color w:val="000000" w:themeColor="text1"/>
          <w:sz w:val="22"/>
          <w:lang w:val="es-ES_tradnl"/>
        </w:rPr>
        <w:t xml:space="preserve">prescribe que la garantía de pago de salarios y prestaciones sociales debe estar vigente por el plazo del contrato y 3 años adicionales y, a su vez, el artículo 2.2.1.2.3.1.14 establece un término no inferior a 5 años para la garantía de estabilidad de la obra. </w:t>
      </w:r>
    </w:p>
    <w:p w14:paraId="0DC6E4AD" w14:textId="01C439B8" w:rsidR="004F3B02" w:rsidRPr="009C6B45" w:rsidRDefault="004F3B02" w:rsidP="008208BF">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Dicho ello, es preciso distinguir dos conceptos jurídicos relevantes para comprender el alcance del artículo 2.2.1.2.3.1.12</w:t>
      </w:r>
      <w:r w:rsidR="009713F3">
        <w:rPr>
          <w:rFonts w:ascii="Arial" w:hAnsi="Arial" w:cs="Arial"/>
          <w:bCs/>
          <w:color w:val="000000" w:themeColor="text1"/>
          <w:sz w:val="22"/>
          <w:lang w:val="es-ES_tradnl"/>
        </w:rPr>
        <w:t>. E</w:t>
      </w:r>
      <w:r w:rsidRPr="009C6B45">
        <w:rPr>
          <w:rFonts w:ascii="Arial" w:hAnsi="Arial" w:cs="Arial"/>
          <w:bCs/>
          <w:color w:val="000000" w:themeColor="text1"/>
          <w:sz w:val="22"/>
          <w:lang w:val="es-ES_tradnl"/>
        </w:rPr>
        <w:t xml:space="preserve">stos son, de un lado, la vigencia de la garantía y, de otro, el plazo para su reclamación. Esta distinción es importante pues para hacer una reclamación </w:t>
      </w:r>
      <w:r w:rsidR="00DE5B4E" w:rsidRPr="009C6B45">
        <w:rPr>
          <w:rFonts w:ascii="Arial" w:hAnsi="Arial" w:cs="Arial"/>
          <w:bCs/>
          <w:color w:val="000000" w:themeColor="text1"/>
          <w:sz w:val="22"/>
          <w:lang w:val="es-ES_tradnl"/>
        </w:rPr>
        <w:t xml:space="preserve">válida </w:t>
      </w:r>
      <w:r w:rsidRPr="009C6B45">
        <w:rPr>
          <w:rFonts w:ascii="Arial" w:hAnsi="Arial" w:cs="Arial"/>
          <w:bCs/>
          <w:color w:val="000000" w:themeColor="text1"/>
          <w:sz w:val="22"/>
          <w:lang w:val="es-ES_tradnl"/>
        </w:rPr>
        <w:t xml:space="preserve">al garante no es indispensable que la garantía se encuentre vigente, sino que lo haya estado en el momento de la concreción de riesgo, como se pasa a explicar.  </w:t>
      </w:r>
    </w:p>
    <w:p w14:paraId="09085642" w14:textId="6FBD6FEC" w:rsidR="004F3B02" w:rsidRPr="009C6B45" w:rsidRDefault="00DE5B4E" w:rsidP="00DE5B4E">
      <w:pPr>
        <w:spacing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Sobre el punto, el artículo 1047 del Código de Comercio establece que la póliza debe expresar, entre otros, «ii) la vigencia del contrato, con indicación de las fechas y horas </w:t>
      </w:r>
      <w:r w:rsidRPr="009C6B45">
        <w:rPr>
          <w:rFonts w:ascii="Arial" w:hAnsi="Arial" w:cs="Arial"/>
          <w:bCs/>
          <w:color w:val="000000" w:themeColor="text1"/>
          <w:sz w:val="22"/>
          <w:lang w:val="es-ES_tradnl"/>
        </w:rPr>
        <w:lastRenderedPageBreak/>
        <w:t xml:space="preserve">de iniciación y vencimiento, o el modo de determinar unas y otras». El Consejo de Estado se pronunció sobre esta disposición en los siguientes términos: </w:t>
      </w:r>
    </w:p>
    <w:p w14:paraId="2A3E385A" w14:textId="77777777" w:rsidR="00DE5B4E" w:rsidRPr="00990995" w:rsidRDefault="00DE5B4E" w:rsidP="00990995">
      <w:pPr>
        <w:spacing w:line="276" w:lineRule="auto"/>
        <w:ind w:left="709" w:right="758"/>
        <w:jc w:val="both"/>
        <w:rPr>
          <w:rFonts w:ascii="Arial" w:hAnsi="Arial" w:cs="Arial"/>
          <w:bCs/>
          <w:color w:val="000000" w:themeColor="text1"/>
          <w:sz w:val="22"/>
          <w:szCs w:val="22"/>
          <w:lang w:val="es-ES_tradnl"/>
        </w:rPr>
      </w:pPr>
    </w:p>
    <w:p w14:paraId="36B24A35" w14:textId="4A45C0B4" w:rsidR="004F3B02" w:rsidRPr="009C6B45" w:rsidRDefault="004F3B02" w:rsidP="00990995">
      <w:pPr>
        <w:ind w:left="709" w:right="709"/>
        <w:jc w:val="both"/>
        <w:rPr>
          <w:rFonts w:ascii="Arial" w:hAnsi="Arial" w:cs="Arial"/>
          <w:bCs/>
          <w:color w:val="000000" w:themeColor="text1"/>
          <w:sz w:val="21"/>
          <w:szCs w:val="21"/>
          <w:lang w:val="es-ES_tradnl"/>
        </w:rPr>
      </w:pPr>
      <w:r w:rsidRPr="009C6B45">
        <w:rPr>
          <w:rFonts w:ascii="Arial" w:hAnsi="Arial" w:cs="Arial"/>
          <w:bCs/>
          <w:color w:val="000000" w:themeColor="text1"/>
          <w:sz w:val="21"/>
          <w:szCs w:val="21"/>
          <w:lang w:val="es-ES_tradnl"/>
        </w:rPr>
        <w:t>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w:t>
      </w:r>
      <w:r w:rsidR="00DE5B4E" w:rsidRPr="009C6B45">
        <w:rPr>
          <w:rStyle w:val="Refdenotaalpie"/>
          <w:rFonts w:ascii="Arial" w:hAnsi="Arial" w:cs="Arial"/>
          <w:bCs/>
          <w:color w:val="000000" w:themeColor="text1"/>
          <w:sz w:val="21"/>
          <w:szCs w:val="21"/>
          <w:lang w:val="es-ES_tradnl"/>
        </w:rPr>
        <w:footnoteReference w:id="12"/>
      </w:r>
      <w:r w:rsidRPr="009C6B45">
        <w:rPr>
          <w:rFonts w:ascii="Arial" w:hAnsi="Arial" w:cs="Arial"/>
          <w:bCs/>
          <w:color w:val="000000" w:themeColor="text1"/>
          <w:sz w:val="21"/>
          <w:szCs w:val="21"/>
          <w:lang w:val="es-ES_tradnl"/>
        </w:rPr>
        <w:t xml:space="preserve">. </w:t>
      </w:r>
    </w:p>
    <w:p w14:paraId="70FE8CA2" w14:textId="77777777" w:rsidR="00DE5B4E" w:rsidRPr="00990995" w:rsidRDefault="00DE5B4E" w:rsidP="00990995">
      <w:pPr>
        <w:spacing w:line="276" w:lineRule="auto"/>
        <w:ind w:left="709" w:right="758"/>
        <w:jc w:val="both"/>
        <w:rPr>
          <w:rFonts w:ascii="Arial" w:hAnsi="Arial" w:cs="Arial"/>
          <w:bCs/>
          <w:color w:val="000000" w:themeColor="text1"/>
          <w:sz w:val="22"/>
          <w:szCs w:val="22"/>
          <w:lang w:val="es-ES_tradnl"/>
        </w:rPr>
      </w:pPr>
    </w:p>
    <w:p w14:paraId="6C5B624B" w14:textId="7E49B4CE" w:rsidR="00DE5B4E" w:rsidRDefault="00DE5B4E" w:rsidP="00DE5B4E">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Resulta claro que el riesgo que se traslada al garante solamente será aquel se realice dentro del plazo de vigencia del contrato; es decir, si el siniestro se presenta dentro de esos límites temporales el garante deberá asumir sus consecuencias. Sin embargo, ello no puede confundirse con el término para hacer la reclamación de un riesgo ocurrido durante el término de vigencia de la garantía, pues para ello resulta necesario recurrir a las normas sobre prescripción de las acciones. </w:t>
      </w:r>
    </w:p>
    <w:p w14:paraId="6CAA3074" w14:textId="2EAC6686" w:rsidR="009C6B45" w:rsidRPr="009C6B45" w:rsidRDefault="009C6B45" w:rsidP="00DE5B4E">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Conforme a lo explicado, puede decirse que una vez culmina el plazo de ejecución, deja de existir también, en gran medida, el riesgo de incumplimiento por parte del contratista, pues los incumplimientos del contrato, por definición, solamente pueden ocurrir durante la etapa de cumplimiento, o ejecución de las obligaciones. Lo anterior no pretende desconocer que para ciertos contratos algunas obligaciones y su exigibilidad subsisten más allá del plazo acordado para la ejecución del objeto principal, tal puede ser el caso de los aportes a la seguridad social de los trabajadores vinculados a la ejecución del objeto del contrato. </w:t>
      </w:r>
    </w:p>
    <w:p w14:paraId="76D4D18A" w14:textId="3B691688" w:rsidR="00727BE1" w:rsidRPr="009C6B45" w:rsidRDefault="00727BE1" w:rsidP="00727BE1">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Lo anterior, según lo explicado, no puede confundirse con la reclamación, y por ello aún si la entidad comprueba o verifica un incumplimiento con posterioridad al plazo de ejecución, este incumplimiento es un riesgo asegurado puesto que se ha concretado, temporalmente hablando, durante </w:t>
      </w:r>
      <w:r w:rsidR="009C6B45">
        <w:rPr>
          <w:rFonts w:ascii="Arial" w:hAnsi="Arial" w:cs="Arial"/>
          <w:bCs/>
          <w:color w:val="000000" w:themeColor="text1"/>
          <w:sz w:val="22"/>
          <w:lang w:val="es-ES_tradnl"/>
        </w:rPr>
        <w:t>el</w:t>
      </w:r>
      <w:r w:rsidR="009C6B45" w:rsidRPr="009C6B45">
        <w:rPr>
          <w:rFonts w:ascii="Arial" w:hAnsi="Arial" w:cs="Arial"/>
          <w:bCs/>
          <w:color w:val="000000" w:themeColor="text1"/>
          <w:sz w:val="22"/>
          <w:lang w:val="es-ES_tradnl"/>
        </w:rPr>
        <w:t xml:space="preserve"> </w:t>
      </w:r>
      <w:r w:rsidRPr="009C6B45">
        <w:rPr>
          <w:rFonts w:ascii="Arial" w:hAnsi="Arial" w:cs="Arial"/>
          <w:bCs/>
          <w:color w:val="000000" w:themeColor="text1"/>
          <w:sz w:val="22"/>
          <w:lang w:val="es-ES_tradnl"/>
        </w:rPr>
        <w:t>plazo de ejecución del contrato.</w:t>
      </w:r>
    </w:p>
    <w:p w14:paraId="7B20EC0A" w14:textId="77777777" w:rsidR="00727BE1" w:rsidRPr="009C6B45" w:rsidRDefault="00727BE1" w:rsidP="00727BE1">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Por ello es fundamental que el amparo esté vigente hasta el plazo máximo de ejecución del contrato y sus obligaciones, pero desde el punto de vista del riesgo asegurado, no sería necesario que dicha garantía se extienda para comprender los plazos adicionales otorgados por el ordenamiento para realizar la liquidación. </w:t>
      </w:r>
    </w:p>
    <w:p w14:paraId="2765F2F0" w14:textId="44370F63" w:rsidR="00EC4208" w:rsidRPr="009C6B45" w:rsidRDefault="007917E4" w:rsidP="008F6F78">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No obstante</w:t>
      </w:r>
      <w:bookmarkStart w:id="3" w:name="_Hlk51240436"/>
      <w:r w:rsidRPr="009C6B45">
        <w:rPr>
          <w:rFonts w:ascii="Arial" w:hAnsi="Arial" w:cs="Arial"/>
          <w:bCs/>
          <w:color w:val="000000" w:themeColor="text1"/>
          <w:sz w:val="22"/>
          <w:lang w:val="es-ES_tradnl"/>
        </w:rPr>
        <w:t xml:space="preserve">, la norma reglamentaria es clara y exige de la entidad estatal que la garantía permanezca vigente </w:t>
      </w:r>
      <w:r w:rsidR="008F6F78" w:rsidRPr="009C6B45">
        <w:rPr>
          <w:rFonts w:ascii="Arial" w:hAnsi="Arial" w:cs="Arial"/>
          <w:bCs/>
          <w:color w:val="000000" w:themeColor="text1"/>
          <w:sz w:val="22"/>
          <w:lang w:val="es-ES_tradnl"/>
        </w:rPr>
        <w:t xml:space="preserve">hasta la efectiva liquidación del contrato; esto es </w:t>
      </w:r>
      <w:r w:rsidRPr="009C6B45">
        <w:rPr>
          <w:rFonts w:ascii="Arial" w:hAnsi="Arial" w:cs="Arial"/>
          <w:bCs/>
          <w:color w:val="000000" w:themeColor="text1"/>
          <w:sz w:val="22"/>
          <w:lang w:val="es-ES_tradnl"/>
        </w:rPr>
        <w:t xml:space="preserve">más allá del plazo de ejecución. </w:t>
      </w:r>
      <w:r w:rsidR="00944606" w:rsidRPr="009C6B45">
        <w:rPr>
          <w:rFonts w:ascii="Arial" w:hAnsi="Arial" w:cs="Arial"/>
          <w:bCs/>
          <w:color w:val="000000" w:themeColor="text1"/>
          <w:sz w:val="22"/>
          <w:lang w:val="es-ES_tradnl"/>
        </w:rPr>
        <w:t xml:space="preserve">Ello revela que </w:t>
      </w:r>
      <w:r w:rsidRPr="009C6B45">
        <w:rPr>
          <w:rFonts w:ascii="Arial" w:hAnsi="Arial" w:cs="Arial"/>
          <w:bCs/>
          <w:color w:val="000000" w:themeColor="text1"/>
          <w:sz w:val="22"/>
          <w:lang w:val="es-ES_tradnl"/>
        </w:rPr>
        <w:t>el Decreto 1082 de 2015</w:t>
      </w:r>
      <w:r w:rsidR="00944606" w:rsidRPr="009C6B45">
        <w:rPr>
          <w:rFonts w:ascii="Arial" w:hAnsi="Arial" w:cs="Arial"/>
          <w:bCs/>
          <w:color w:val="000000" w:themeColor="text1"/>
          <w:sz w:val="22"/>
          <w:lang w:val="es-ES_tradnl"/>
        </w:rPr>
        <w:t xml:space="preserve"> </w:t>
      </w:r>
      <w:r w:rsidR="00EC4208" w:rsidRPr="009C6B45">
        <w:rPr>
          <w:rFonts w:ascii="Arial" w:hAnsi="Arial" w:cs="Arial"/>
          <w:bCs/>
          <w:color w:val="000000" w:themeColor="text1"/>
          <w:sz w:val="22"/>
          <w:lang w:val="es-ES_tradnl"/>
        </w:rPr>
        <w:t>hace una exigencia que se podría calificar como excesiva en la medida en que requiere que el amparo de cumplimiento esté vigente incluso durante un per</w:t>
      </w:r>
      <w:r w:rsidR="001E65F8" w:rsidRPr="00752428">
        <w:rPr>
          <w:rFonts w:ascii="Arial" w:hAnsi="Arial" w:cs="Arial"/>
          <w:bCs/>
          <w:color w:val="000000" w:themeColor="text1"/>
          <w:sz w:val="22"/>
          <w:lang w:val="es-ES_tradnl"/>
        </w:rPr>
        <w:t>í</w:t>
      </w:r>
      <w:r w:rsidR="00EC4208" w:rsidRPr="009C6B45">
        <w:rPr>
          <w:rFonts w:ascii="Arial" w:hAnsi="Arial" w:cs="Arial"/>
          <w:bCs/>
          <w:color w:val="000000" w:themeColor="text1"/>
          <w:sz w:val="22"/>
          <w:lang w:val="es-ES_tradnl"/>
        </w:rPr>
        <w:t>odo en donde el riesgo asegurado no podría</w:t>
      </w:r>
      <w:r w:rsidR="009C6B45">
        <w:rPr>
          <w:rFonts w:ascii="Arial" w:hAnsi="Arial" w:cs="Arial"/>
          <w:bCs/>
          <w:color w:val="000000" w:themeColor="text1"/>
          <w:sz w:val="22"/>
          <w:lang w:val="es-ES_tradnl"/>
        </w:rPr>
        <w:t xml:space="preserve">, en </w:t>
      </w:r>
      <w:r w:rsidR="009C6B45">
        <w:rPr>
          <w:rFonts w:ascii="Arial" w:hAnsi="Arial" w:cs="Arial"/>
          <w:bCs/>
          <w:color w:val="000000" w:themeColor="text1"/>
          <w:sz w:val="22"/>
          <w:lang w:val="es-ES_tradnl"/>
        </w:rPr>
        <w:lastRenderedPageBreak/>
        <w:t>principio,</w:t>
      </w:r>
      <w:r w:rsidR="00EC4208" w:rsidRPr="009C6B45">
        <w:rPr>
          <w:rFonts w:ascii="Arial" w:hAnsi="Arial" w:cs="Arial"/>
          <w:bCs/>
          <w:color w:val="000000" w:themeColor="text1"/>
          <w:sz w:val="22"/>
          <w:lang w:val="es-ES_tradnl"/>
        </w:rPr>
        <w:t xml:space="preserve"> acaecer: esto es, el plazo que va desde la terminación del contrato hasta la efectiva liquidación. </w:t>
      </w:r>
    </w:p>
    <w:p w14:paraId="4FB619DB" w14:textId="49922790" w:rsidR="009C6B45" w:rsidRDefault="009C6B45" w:rsidP="00EF3D2F">
      <w:pPr>
        <w:spacing w:after="120" w:line="276" w:lineRule="auto"/>
        <w:ind w:firstLine="708"/>
        <w:jc w:val="both"/>
        <w:rPr>
          <w:rFonts w:ascii="Arial" w:hAnsi="Arial" w:cs="Arial"/>
          <w:bCs/>
          <w:color w:val="000000" w:themeColor="text1"/>
          <w:sz w:val="22"/>
          <w:lang w:val="es-ES_tradnl"/>
        </w:rPr>
      </w:pPr>
      <w:r>
        <w:rPr>
          <w:rFonts w:ascii="Arial" w:hAnsi="Arial" w:cs="Arial"/>
          <w:bCs/>
          <w:color w:val="000000" w:themeColor="text1"/>
          <w:sz w:val="22"/>
          <w:lang w:val="es-ES_tradnl"/>
        </w:rPr>
        <w:t>Pese a ello</w:t>
      </w:r>
      <w:r w:rsidR="006D4530" w:rsidRPr="009C6B45">
        <w:rPr>
          <w:rFonts w:ascii="Arial" w:hAnsi="Arial" w:cs="Arial"/>
          <w:bCs/>
          <w:color w:val="000000" w:themeColor="text1"/>
          <w:sz w:val="22"/>
          <w:lang w:val="es-ES_tradnl"/>
        </w:rPr>
        <w:t xml:space="preserve">, la garantía de cumplimiento, en virtud del tenor literal de las normas vigentes, debe tener una vigencia mínima hasta la efectiva liquidación del contrato. </w:t>
      </w:r>
    </w:p>
    <w:p w14:paraId="5659D74B" w14:textId="35450E10" w:rsidR="009C6B45" w:rsidRDefault="009C6B45" w:rsidP="00EF3D2F">
      <w:pPr>
        <w:spacing w:after="120" w:line="276" w:lineRule="auto"/>
        <w:ind w:firstLine="708"/>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Para poner en contacto este aparte del concepto con los términos para la liquidación bilateral, unilateral o judicial, se puede afirmar que la entidad </w:t>
      </w:r>
      <w:r>
        <w:rPr>
          <w:rFonts w:ascii="Arial" w:hAnsi="Arial" w:cs="Arial"/>
          <w:bCs/>
          <w:color w:val="000000" w:themeColor="text1"/>
          <w:sz w:val="22"/>
          <w:lang w:val="es-ES_tradnl"/>
        </w:rPr>
        <w:t xml:space="preserve">debe mantener la garantía de cumplimiento vigente durante el plazo de ejecución del contrato, más el plazo para la liquidación bilateral – bien sea este el plazo acordado por las partes o el supletivo de </w:t>
      </w:r>
      <w:r w:rsidR="006D52F1">
        <w:rPr>
          <w:rFonts w:ascii="Arial" w:hAnsi="Arial" w:cs="Arial"/>
          <w:bCs/>
          <w:color w:val="000000" w:themeColor="text1"/>
          <w:sz w:val="22"/>
          <w:lang w:val="es-ES_tradnl"/>
        </w:rPr>
        <w:t>4</w:t>
      </w:r>
      <w:r>
        <w:rPr>
          <w:rFonts w:ascii="Arial" w:hAnsi="Arial" w:cs="Arial"/>
          <w:bCs/>
          <w:color w:val="000000" w:themeColor="text1"/>
          <w:sz w:val="22"/>
          <w:lang w:val="es-ES_tradnl"/>
        </w:rPr>
        <w:t xml:space="preserve"> meses – más el plazo de dos meses que tiene la entidad para realizar la liquidación unilateral</w:t>
      </w:r>
      <w:bookmarkEnd w:id="3"/>
      <w:r>
        <w:rPr>
          <w:rFonts w:ascii="Arial" w:hAnsi="Arial" w:cs="Arial"/>
          <w:bCs/>
          <w:color w:val="000000" w:themeColor="text1"/>
          <w:sz w:val="22"/>
          <w:lang w:val="es-ES_tradnl"/>
        </w:rPr>
        <w:t xml:space="preserve">. </w:t>
      </w:r>
    </w:p>
    <w:p w14:paraId="578F69A5" w14:textId="77777777" w:rsidR="00056F52" w:rsidRDefault="009C6B45" w:rsidP="00EF3D2F">
      <w:pPr>
        <w:spacing w:after="120" w:line="276" w:lineRule="auto"/>
        <w:ind w:firstLine="708"/>
        <w:jc w:val="both"/>
        <w:rPr>
          <w:rFonts w:ascii="Arial" w:hAnsi="Arial" w:cs="Arial"/>
          <w:bCs/>
          <w:color w:val="000000" w:themeColor="text1"/>
          <w:sz w:val="22"/>
          <w:lang w:val="es-ES_tradnl"/>
        </w:rPr>
      </w:pPr>
      <w:r>
        <w:rPr>
          <w:rFonts w:ascii="Arial" w:hAnsi="Arial" w:cs="Arial"/>
          <w:bCs/>
          <w:color w:val="000000" w:themeColor="text1"/>
          <w:sz w:val="22"/>
          <w:lang w:val="es-ES_tradnl"/>
        </w:rPr>
        <w:t>Con base en ello, si no se pactó un plazo para la liquidación bilateral, la entidad debe solicitar que el amparo de cumplimiento esté vigente desde la suscripción del contrato</w:t>
      </w:r>
      <w:r w:rsidR="00056F52">
        <w:rPr>
          <w:rFonts w:ascii="Arial" w:hAnsi="Arial" w:cs="Arial"/>
          <w:bCs/>
          <w:color w:val="000000" w:themeColor="text1"/>
          <w:sz w:val="22"/>
          <w:lang w:val="es-ES_tradnl"/>
        </w:rPr>
        <w:t>, durante todo el plazo de ejecución y seis meses más; esto correspondería al plazo de los 4 meses supletorios para la liquidación bilateral más 2 meses adicionales para la liquidación unilateral.</w:t>
      </w:r>
    </w:p>
    <w:p w14:paraId="2E143CF5" w14:textId="07049615" w:rsidR="009C6B45" w:rsidRDefault="00056F52" w:rsidP="000C175D">
      <w:pPr>
        <w:spacing w:line="276" w:lineRule="auto"/>
        <w:ind w:firstLine="708"/>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Ahora bien, </w:t>
      </w:r>
      <w:bookmarkStart w:id="4" w:name="_Hlk51240596"/>
      <w:r>
        <w:rPr>
          <w:rFonts w:ascii="Arial" w:hAnsi="Arial" w:cs="Arial"/>
          <w:bCs/>
          <w:color w:val="000000" w:themeColor="text1"/>
          <w:sz w:val="22"/>
          <w:lang w:val="es-ES_tradnl"/>
        </w:rPr>
        <w:t xml:space="preserve">si por alguna razón no se logra liquidar el contrato dentro del plazo para la liquidación unilateral, la entidad estatal </w:t>
      </w:r>
      <w:r w:rsidR="00565B22">
        <w:rPr>
          <w:rFonts w:ascii="Arial" w:hAnsi="Arial" w:cs="Arial"/>
          <w:bCs/>
          <w:color w:val="000000" w:themeColor="text1"/>
          <w:sz w:val="22"/>
          <w:lang w:val="es-ES_tradnl"/>
        </w:rPr>
        <w:t>deberá</w:t>
      </w:r>
      <w:r>
        <w:rPr>
          <w:rFonts w:ascii="Arial" w:hAnsi="Arial" w:cs="Arial"/>
          <w:bCs/>
          <w:color w:val="000000" w:themeColor="text1"/>
          <w:sz w:val="22"/>
          <w:lang w:val="es-ES_tradnl"/>
        </w:rPr>
        <w:t xml:space="preserve"> solicitar al contratista que amplíe el amparo de cumplimiento hasta que se logre la efectiva liquidación del contrato</w:t>
      </w:r>
      <w:bookmarkEnd w:id="4"/>
      <w:r>
        <w:rPr>
          <w:rFonts w:ascii="Arial" w:hAnsi="Arial" w:cs="Arial"/>
          <w:bCs/>
          <w:color w:val="000000" w:themeColor="text1"/>
          <w:sz w:val="22"/>
          <w:lang w:val="es-ES_tradnl"/>
        </w:rPr>
        <w:t xml:space="preserve">. </w:t>
      </w:r>
    </w:p>
    <w:p w14:paraId="7F7479D0" w14:textId="77777777" w:rsidR="00056F52" w:rsidRDefault="00056F52" w:rsidP="000C175D">
      <w:pPr>
        <w:spacing w:line="276" w:lineRule="auto"/>
        <w:ind w:firstLine="708"/>
        <w:jc w:val="both"/>
        <w:rPr>
          <w:rFonts w:ascii="Arial" w:hAnsi="Arial" w:cs="Arial"/>
          <w:bCs/>
          <w:color w:val="000000" w:themeColor="text1"/>
          <w:sz w:val="22"/>
          <w:lang w:val="es-ES_tradnl"/>
        </w:rPr>
      </w:pPr>
    </w:p>
    <w:p w14:paraId="1525C158" w14:textId="05523999" w:rsidR="00B414DE" w:rsidRPr="009C6B45" w:rsidRDefault="00B414DE" w:rsidP="000C175D">
      <w:pPr>
        <w:pStyle w:val="Prrafodelista"/>
        <w:numPr>
          <w:ilvl w:val="0"/>
          <w:numId w:val="1"/>
        </w:numPr>
        <w:tabs>
          <w:tab w:val="left" w:pos="284"/>
        </w:tabs>
        <w:spacing w:line="276" w:lineRule="auto"/>
        <w:ind w:left="0" w:firstLine="0"/>
        <w:rPr>
          <w:rFonts w:ascii="Arial" w:hAnsi="Arial" w:cs="Arial"/>
          <w:b/>
          <w:bCs/>
          <w:color w:val="000000" w:themeColor="text1"/>
          <w:sz w:val="22"/>
          <w:lang w:val="es-ES_tradnl"/>
        </w:rPr>
      </w:pPr>
      <w:r w:rsidRPr="009C6B45">
        <w:rPr>
          <w:rFonts w:ascii="Arial" w:hAnsi="Arial" w:cs="Arial"/>
          <w:b/>
          <w:bCs/>
          <w:color w:val="000000" w:themeColor="text1"/>
          <w:sz w:val="22"/>
          <w:lang w:val="es-ES_tradnl"/>
        </w:rPr>
        <w:t>Respuesta</w:t>
      </w:r>
      <w:r w:rsidR="000C175D">
        <w:rPr>
          <w:rFonts w:ascii="Arial" w:hAnsi="Arial" w:cs="Arial"/>
          <w:b/>
          <w:bCs/>
          <w:color w:val="000000" w:themeColor="text1"/>
          <w:sz w:val="22"/>
          <w:lang w:val="es-ES_tradnl"/>
        </w:rPr>
        <w:t>s</w:t>
      </w:r>
    </w:p>
    <w:p w14:paraId="24EEA074" w14:textId="77777777" w:rsidR="00483651" w:rsidRPr="009C6B45" w:rsidRDefault="00483651" w:rsidP="001850FE">
      <w:pPr>
        <w:ind w:right="709"/>
        <w:jc w:val="both"/>
        <w:rPr>
          <w:rFonts w:ascii="Arial" w:eastAsia="Calibri" w:hAnsi="Arial" w:cs="Arial"/>
          <w:color w:val="000000" w:themeColor="text1"/>
          <w:sz w:val="21"/>
          <w:szCs w:val="21"/>
          <w:lang w:val="es-ES_tradnl"/>
        </w:rPr>
      </w:pPr>
    </w:p>
    <w:p w14:paraId="6616DAFD" w14:textId="77777777" w:rsidR="00564170" w:rsidRDefault="00564170" w:rsidP="00990995">
      <w:pPr>
        <w:spacing w:after="120"/>
        <w:ind w:left="709" w:right="709"/>
        <w:jc w:val="both"/>
        <w:rPr>
          <w:rFonts w:asciiTheme="minorBidi" w:hAnsiTheme="minorBidi" w:cstheme="minorBidi"/>
          <w:sz w:val="21"/>
          <w:szCs w:val="21"/>
        </w:rPr>
      </w:pPr>
      <w:r w:rsidRPr="00564170">
        <w:rPr>
          <w:rFonts w:asciiTheme="minorBidi" w:hAnsiTheme="minorBidi" w:cstheme="minorBidi"/>
          <w:sz w:val="21"/>
          <w:szCs w:val="21"/>
        </w:rPr>
        <w:t>i) «¿La garantía de cumplimiento debe estar vigente por el plazo de ejecución del contrato y el establecido para la liquidación bilateral (04) meses más el plazo establecido para la liquidación unilateral dos (02) meses?»</w:t>
      </w:r>
      <w:r>
        <w:rPr>
          <w:rFonts w:asciiTheme="minorBidi" w:hAnsiTheme="minorBidi" w:cstheme="minorBidi"/>
          <w:sz w:val="21"/>
          <w:szCs w:val="21"/>
        </w:rPr>
        <w:t>.</w:t>
      </w:r>
    </w:p>
    <w:p w14:paraId="7981F4DC" w14:textId="77777777" w:rsidR="00564170" w:rsidRDefault="00564170" w:rsidP="00990995">
      <w:pPr>
        <w:spacing w:after="120"/>
        <w:ind w:left="709" w:right="709"/>
        <w:jc w:val="both"/>
        <w:rPr>
          <w:rFonts w:asciiTheme="minorBidi" w:hAnsiTheme="minorBidi" w:cstheme="minorBidi"/>
          <w:sz w:val="21"/>
          <w:szCs w:val="21"/>
        </w:rPr>
      </w:pPr>
      <w:r w:rsidRPr="00564170">
        <w:rPr>
          <w:rFonts w:asciiTheme="minorBidi" w:hAnsiTheme="minorBidi" w:cstheme="minorBidi"/>
          <w:sz w:val="21"/>
          <w:szCs w:val="21"/>
        </w:rPr>
        <w:t>ii) «En caso de que no se logre la liquidación bilateral dentro del término establecido para la liquidación bilateral o en su defecto la liquidación unilateral dentro del término de los dos (2) meses siguientes al vencimiento del plazo convenido por las partes para liquidar de mutuo acuerdo ¿puede la entidad exigir al contratista que mantenga vigente la garantía de cumplimiento del contrato durante el termino de dos (2) años establecidos en el artículo 164, numeral 2, literal j, ordinal v, de la Ley 1437 de 2011 C.P.C.A?»</w:t>
      </w:r>
      <w:r>
        <w:rPr>
          <w:rFonts w:asciiTheme="minorBidi" w:hAnsiTheme="minorBidi" w:cstheme="minorBidi"/>
          <w:sz w:val="21"/>
          <w:szCs w:val="21"/>
        </w:rPr>
        <w:t>.</w:t>
      </w:r>
      <w:r w:rsidRPr="00564170">
        <w:rPr>
          <w:rFonts w:asciiTheme="minorBidi" w:hAnsiTheme="minorBidi" w:cstheme="minorBidi"/>
          <w:sz w:val="21"/>
          <w:szCs w:val="21"/>
        </w:rPr>
        <w:t xml:space="preserve"> </w:t>
      </w:r>
    </w:p>
    <w:p w14:paraId="6A41BCC6" w14:textId="77777777" w:rsidR="00564170" w:rsidRDefault="00564170" w:rsidP="00990995">
      <w:pPr>
        <w:spacing w:after="120"/>
        <w:ind w:left="709" w:right="709"/>
        <w:jc w:val="both"/>
        <w:rPr>
          <w:rFonts w:asciiTheme="minorBidi" w:hAnsiTheme="minorBidi" w:cstheme="minorBidi"/>
          <w:sz w:val="21"/>
          <w:szCs w:val="21"/>
        </w:rPr>
      </w:pPr>
      <w:r w:rsidRPr="00564170">
        <w:rPr>
          <w:rFonts w:asciiTheme="minorBidi" w:hAnsiTheme="minorBidi" w:cstheme="minorBidi"/>
          <w:sz w:val="21"/>
          <w:szCs w:val="21"/>
        </w:rPr>
        <w:t>iii) «Si la respuesta 2 es positiva ¿Cuál sería el soporte para solicitar a la aseguradora la ampliación de la garantía, si ya el plazo del contrato expiro o el contrato se terminó por acto administrativo?»</w:t>
      </w:r>
      <w:r>
        <w:rPr>
          <w:rFonts w:asciiTheme="minorBidi" w:hAnsiTheme="minorBidi" w:cstheme="minorBidi"/>
          <w:sz w:val="21"/>
          <w:szCs w:val="21"/>
        </w:rPr>
        <w:t>.</w:t>
      </w:r>
    </w:p>
    <w:p w14:paraId="405598FF" w14:textId="38D76666" w:rsidR="00E838E8" w:rsidRPr="00990995" w:rsidRDefault="00564170" w:rsidP="00990995">
      <w:pPr>
        <w:ind w:left="709" w:right="709"/>
        <w:jc w:val="both"/>
        <w:rPr>
          <w:rFonts w:asciiTheme="minorBidi" w:hAnsiTheme="minorBidi"/>
          <w:sz w:val="21"/>
          <w:szCs w:val="21"/>
        </w:rPr>
      </w:pPr>
      <w:r w:rsidRPr="00564170">
        <w:rPr>
          <w:rFonts w:asciiTheme="minorBidi" w:hAnsiTheme="minorBidi" w:cstheme="minorBidi"/>
          <w:sz w:val="21"/>
          <w:szCs w:val="21"/>
        </w:rPr>
        <w:t>iv) «Si la vigencia de la garantía de cumplimiento del contrato ya termino sin que se hubiese logrado la liquidación bilateral o la liquidación unilateral ¿Puede la entidad exigir al contratista que amplié el amparo de cumplimiento para liquidar el contrato dentro de los dos años establecidos para la caducidad de la acción contractual?»</w:t>
      </w:r>
      <w:r w:rsidRPr="00990995">
        <w:rPr>
          <w:rFonts w:asciiTheme="minorBidi" w:hAnsiTheme="minorBidi" w:cstheme="minorBidi"/>
          <w:sz w:val="21"/>
          <w:szCs w:val="21"/>
        </w:rPr>
        <w:t>.</w:t>
      </w:r>
      <w:r w:rsidR="00E838E8" w:rsidRPr="00990995">
        <w:rPr>
          <w:rFonts w:asciiTheme="minorBidi" w:hAnsiTheme="minorBidi" w:cstheme="minorBidi"/>
          <w:sz w:val="21"/>
          <w:szCs w:val="21"/>
        </w:rPr>
        <w:t xml:space="preserve"> </w:t>
      </w:r>
    </w:p>
    <w:p w14:paraId="2EDB4D0C" w14:textId="77777777" w:rsidR="00E838E8" w:rsidRDefault="00E838E8" w:rsidP="00E838E8">
      <w:pPr>
        <w:spacing w:line="276" w:lineRule="auto"/>
        <w:ind w:left="709" w:right="709"/>
        <w:jc w:val="both"/>
        <w:rPr>
          <w:rFonts w:asciiTheme="minorBidi" w:hAnsiTheme="minorBidi"/>
        </w:rPr>
      </w:pPr>
    </w:p>
    <w:p w14:paraId="1DE604E7" w14:textId="47D96E05" w:rsidR="00282AAD" w:rsidRDefault="000F169E" w:rsidP="000F169E">
      <w:pPr>
        <w:spacing w:after="120" w:line="276" w:lineRule="auto"/>
        <w:jc w:val="both"/>
        <w:rPr>
          <w:rFonts w:ascii="Arial" w:hAnsi="Arial" w:cs="Arial"/>
          <w:bCs/>
          <w:color w:val="000000" w:themeColor="text1"/>
          <w:sz w:val="22"/>
          <w:lang w:val="es-ES_tradnl"/>
        </w:rPr>
      </w:pPr>
      <w:r>
        <w:rPr>
          <w:rFonts w:ascii="Arial" w:hAnsi="Arial" w:cs="Arial"/>
          <w:bCs/>
          <w:color w:val="000000" w:themeColor="text1"/>
          <w:sz w:val="22"/>
          <w:szCs w:val="22"/>
          <w:lang w:val="es-ES_tradnl"/>
        </w:rPr>
        <w:lastRenderedPageBreak/>
        <w:t>Conforme al</w:t>
      </w:r>
      <w:r w:rsidR="00564170" w:rsidRPr="00990995">
        <w:rPr>
          <w:rFonts w:ascii="Arial" w:hAnsi="Arial" w:cs="Arial"/>
          <w:bCs/>
          <w:color w:val="000000" w:themeColor="text1"/>
          <w:sz w:val="22"/>
          <w:szCs w:val="22"/>
          <w:lang w:val="es-ES_tradnl"/>
        </w:rPr>
        <w:t xml:space="preserve"> </w:t>
      </w:r>
      <w:r w:rsidR="00282AAD">
        <w:rPr>
          <w:rFonts w:ascii="Arial" w:hAnsi="Arial" w:cs="Arial"/>
          <w:bCs/>
          <w:color w:val="000000" w:themeColor="text1"/>
          <w:sz w:val="22"/>
          <w:szCs w:val="22"/>
          <w:lang w:val="es-ES_tradnl"/>
        </w:rPr>
        <w:t xml:space="preserve">artículo </w:t>
      </w:r>
      <w:r w:rsidR="00564170" w:rsidRPr="00990995">
        <w:rPr>
          <w:rFonts w:ascii="Arial" w:hAnsi="Arial" w:cs="Arial"/>
          <w:bCs/>
          <w:color w:val="000000" w:themeColor="text1"/>
          <w:sz w:val="22"/>
          <w:szCs w:val="22"/>
          <w:lang w:val="es-ES_tradnl"/>
        </w:rPr>
        <w:t>2.2.1.2.3.1.12 del Decreto 1082 de 2015</w:t>
      </w:r>
      <w:r>
        <w:rPr>
          <w:rFonts w:ascii="Arial" w:hAnsi="Arial" w:cs="Arial"/>
          <w:bCs/>
          <w:color w:val="000000" w:themeColor="text1"/>
          <w:sz w:val="22"/>
          <w:szCs w:val="22"/>
          <w:lang w:val="es-ES_tradnl"/>
        </w:rPr>
        <w:t>, l</w:t>
      </w:r>
      <w:r w:rsidRPr="000F169E">
        <w:rPr>
          <w:rFonts w:ascii="Arial" w:hAnsi="Arial" w:cs="Arial"/>
          <w:bCs/>
          <w:color w:val="000000" w:themeColor="text1"/>
          <w:sz w:val="22"/>
          <w:szCs w:val="22"/>
          <w:lang w:val="es-ES_tradnl"/>
        </w:rPr>
        <w:t>a garantía de cumplimiento, debe tener una vigencia mínima hasta la efectiva liquidación del contrato</w:t>
      </w:r>
      <w:r>
        <w:rPr>
          <w:rFonts w:ascii="Arial" w:hAnsi="Arial" w:cs="Arial"/>
          <w:bCs/>
          <w:color w:val="000000" w:themeColor="text1"/>
          <w:sz w:val="22"/>
          <w:szCs w:val="22"/>
          <w:lang w:val="es-ES_tradnl"/>
        </w:rPr>
        <w:t>. Por tanto</w:t>
      </w:r>
      <w:r w:rsidRPr="009C6B45">
        <w:rPr>
          <w:rFonts w:ascii="Arial" w:hAnsi="Arial" w:cs="Arial"/>
          <w:bCs/>
          <w:color w:val="000000" w:themeColor="text1"/>
          <w:sz w:val="22"/>
          <w:lang w:val="es-ES_tradnl"/>
        </w:rPr>
        <w:t xml:space="preserve">, la entidad </w:t>
      </w:r>
      <w:r>
        <w:rPr>
          <w:rFonts w:ascii="Arial" w:hAnsi="Arial" w:cs="Arial"/>
          <w:bCs/>
          <w:color w:val="000000" w:themeColor="text1"/>
          <w:sz w:val="22"/>
          <w:lang w:val="es-ES_tradnl"/>
        </w:rPr>
        <w:t>debe verificar que la garantía de cumplimiento esté vigente durante el plazo de ejecución del contrato, más el plazo para la liquidación bilateral –bien sea este el plazo acordado por las partes o el supletivo de 4 meses– más el plazo de dos meses que tiene la entidad para liquidar unilateralmente, exigiendo al contratista las respectivas ampliaciones cuando sea necesario.</w:t>
      </w:r>
    </w:p>
    <w:p w14:paraId="4B334F08" w14:textId="3FAFE801" w:rsidR="00802258" w:rsidRDefault="00802258" w:rsidP="000F169E">
      <w:pPr>
        <w:spacing w:after="120" w:line="276" w:lineRule="auto"/>
        <w:jc w:val="both"/>
        <w:rPr>
          <w:rFonts w:ascii="Arial" w:hAnsi="Arial" w:cs="Arial"/>
          <w:bCs/>
          <w:color w:val="000000" w:themeColor="text1"/>
          <w:sz w:val="22"/>
          <w:lang w:val="es-ES_tradnl"/>
        </w:rPr>
      </w:pPr>
      <w:r>
        <w:rPr>
          <w:rFonts w:ascii="Arial" w:hAnsi="Arial" w:cs="Arial"/>
          <w:bCs/>
          <w:color w:val="000000" w:themeColor="text1"/>
          <w:sz w:val="22"/>
          <w:lang w:val="es-ES_tradnl"/>
        </w:rPr>
        <w:tab/>
        <w:t>De esta manera</w:t>
      </w:r>
      <w:r w:rsidRPr="00802258">
        <w:rPr>
          <w:rFonts w:ascii="Arial" w:hAnsi="Arial" w:cs="Arial"/>
          <w:bCs/>
          <w:color w:val="000000" w:themeColor="text1"/>
          <w:sz w:val="22"/>
          <w:lang w:val="es-ES_tradnl"/>
        </w:rPr>
        <w:t>, si no se pactó un plazo para la liquidación bilateral, la entidad debe solicitar que el amparo de cumplimiento esté vigente desde la suscripción del contrato, durante todo el plazo de ejecución y seis meses más; esto correspondería al plazo de los 4 meses supletorios para la liquidación bilateral más 2 meses adicionales para la liquidación unilateral.</w:t>
      </w:r>
    </w:p>
    <w:p w14:paraId="15D13B51" w14:textId="1A5F7F6C" w:rsidR="00282AAD" w:rsidRDefault="00282AAD" w:rsidP="00282AAD">
      <w:pPr>
        <w:spacing w:after="120" w:line="276" w:lineRule="auto"/>
        <w:ind w:firstLine="708"/>
        <w:jc w:val="both"/>
        <w:rPr>
          <w:rFonts w:ascii="Arial" w:hAnsi="Arial" w:cs="Arial"/>
          <w:bCs/>
          <w:color w:val="000000" w:themeColor="text1"/>
          <w:sz w:val="22"/>
          <w:lang w:val="es-ES_tradnl"/>
        </w:rPr>
      </w:pPr>
      <w:r>
        <w:rPr>
          <w:rFonts w:ascii="Arial" w:hAnsi="Arial" w:cs="Arial"/>
          <w:bCs/>
          <w:color w:val="000000" w:themeColor="text1"/>
          <w:sz w:val="22"/>
          <w:lang w:val="es-ES_tradnl"/>
        </w:rPr>
        <w:t>Si por alguna razón no se logra liquidar el contrato dentro del plazo para la liquidación unilateral, la entidad estatal deberá solicitar al contratista que amplíe el amparo de cumplimiento hasta que –d</w:t>
      </w:r>
      <w:r w:rsidR="00FA3C87">
        <w:rPr>
          <w:rFonts w:ascii="Arial" w:hAnsi="Arial" w:cs="Arial"/>
          <w:bCs/>
          <w:color w:val="000000" w:themeColor="text1"/>
          <w:sz w:val="22"/>
          <w:lang w:val="es-ES_tradnl"/>
        </w:rPr>
        <w:t xml:space="preserve">urante </w:t>
      </w:r>
      <w:r>
        <w:rPr>
          <w:rFonts w:ascii="Arial" w:hAnsi="Arial" w:cs="Arial"/>
          <w:bCs/>
          <w:color w:val="000000" w:themeColor="text1"/>
          <w:sz w:val="22"/>
          <w:lang w:val="es-ES_tradnl"/>
        </w:rPr>
        <w:t xml:space="preserve">el término de caducidad del medio de control de controversias contractuales– se logre la efectiva liquidación del contrato. </w:t>
      </w:r>
    </w:p>
    <w:p w14:paraId="332CFA78" w14:textId="7B438D6B" w:rsidR="00E838E8" w:rsidRPr="00990995" w:rsidRDefault="00282AAD" w:rsidP="00990995">
      <w:pPr>
        <w:spacing w:after="120" w:line="276" w:lineRule="auto"/>
        <w:ind w:firstLine="708"/>
        <w:jc w:val="both"/>
        <w:rPr>
          <w:rFonts w:ascii="Arial" w:hAnsi="Arial" w:cs="Arial"/>
          <w:bCs/>
          <w:color w:val="000000" w:themeColor="text1"/>
          <w:sz w:val="22"/>
          <w:szCs w:val="22"/>
          <w:lang w:val="es-ES_tradnl"/>
        </w:rPr>
      </w:pPr>
      <w:r>
        <w:rPr>
          <w:rFonts w:ascii="Arial" w:hAnsi="Arial" w:cs="Arial"/>
          <w:bCs/>
          <w:color w:val="000000" w:themeColor="text1"/>
          <w:sz w:val="22"/>
          <w:lang w:val="es-ES_tradnl"/>
        </w:rPr>
        <w:t>En las hipótesis mencionadas,</w:t>
      </w:r>
      <w:r w:rsidR="00802258">
        <w:rPr>
          <w:rFonts w:ascii="Arial" w:hAnsi="Arial" w:cs="Arial"/>
          <w:bCs/>
          <w:color w:val="000000" w:themeColor="text1"/>
          <w:sz w:val="22"/>
          <w:lang w:val="es-ES_tradnl"/>
        </w:rPr>
        <w:t xml:space="preserve"> se reitera que</w:t>
      </w:r>
      <w:r>
        <w:rPr>
          <w:rFonts w:ascii="Arial" w:hAnsi="Arial" w:cs="Arial"/>
          <w:bCs/>
          <w:color w:val="000000" w:themeColor="text1"/>
          <w:sz w:val="22"/>
          <w:lang w:val="es-ES_tradnl"/>
        </w:rPr>
        <w:t xml:space="preserve"> el fundamento para solicitar la ampliación del amparo de cumplimiento es el citado </w:t>
      </w:r>
      <w:r>
        <w:rPr>
          <w:rFonts w:ascii="Arial" w:hAnsi="Arial" w:cs="Arial"/>
          <w:bCs/>
          <w:color w:val="000000" w:themeColor="text1"/>
          <w:sz w:val="22"/>
          <w:szCs w:val="22"/>
          <w:lang w:val="es-ES_tradnl"/>
        </w:rPr>
        <w:t xml:space="preserve">artículo </w:t>
      </w:r>
      <w:r w:rsidRPr="0059288B">
        <w:rPr>
          <w:rFonts w:ascii="Arial" w:hAnsi="Arial" w:cs="Arial"/>
          <w:bCs/>
          <w:color w:val="000000" w:themeColor="text1"/>
          <w:sz w:val="22"/>
          <w:szCs w:val="22"/>
          <w:lang w:val="es-ES_tradnl"/>
        </w:rPr>
        <w:t>2.2.1.2.3.1.12 del Decreto 1082 de 2015</w:t>
      </w:r>
      <w:r w:rsidR="00493AF8">
        <w:rPr>
          <w:rFonts w:ascii="Arial" w:hAnsi="Arial" w:cs="Arial"/>
          <w:bCs/>
          <w:color w:val="000000" w:themeColor="text1"/>
          <w:sz w:val="22"/>
          <w:szCs w:val="22"/>
          <w:lang w:val="es-ES_tradnl"/>
        </w:rPr>
        <w:t>, pues esta</w:t>
      </w:r>
      <w:r w:rsidR="00FA3C87">
        <w:rPr>
          <w:rFonts w:ascii="Arial" w:hAnsi="Arial" w:cs="Arial"/>
          <w:bCs/>
          <w:color w:val="000000" w:themeColor="text1"/>
          <w:sz w:val="22"/>
          <w:szCs w:val="22"/>
          <w:lang w:val="es-ES_tradnl"/>
        </w:rPr>
        <w:t xml:space="preserve"> norma regula la vigencia mínima de esta garantía hasta la efectiva liquidación del contrato</w:t>
      </w:r>
      <w:r w:rsidR="00493AF8">
        <w:rPr>
          <w:rFonts w:ascii="Arial" w:hAnsi="Arial" w:cs="Arial"/>
          <w:bCs/>
          <w:color w:val="000000" w:themeColor="text1"/>
          <w:sz w:val="22"/>
          <w:szCs w:val="22"/>
          <w:lang w:val="es-ES_tradnl"/>
        </w:rPr>
        <w:t>. De esta manera,</w:t>
      </w:r>
      <w:r w:rsidR="00FA3C87">
        <w:rPr>
          <w:rFonts w:ascii="Arial" w:hAnsi="Arial" w:cs="Arial"/>
          <w:bCs/>
          <w:color w:val="000000" w:themeColor="text1"/>
          <w:sz w:val="22"/>
          <w:szCs w:val="22"/>
          <w:lang w:val="es-ES_tradnl"/>
        </w:rPr>
        <w:t xml:space="preserve"> la entidad</w:t>
      </w:r>
      <w:r w:rsidR="00802258">
        <w:rPr>
          <w:rFonts w:ascii="Arial" w:hAnsi="Arial" w:cs="Arial"/>
          <w:bCs/>
          <w:color w:val="000000" w:themeColor="text1"/>
          <w:sz w:val="22"/>
          <w:szCs w:val="22"/>
          <w:lang w:val="es-ES_tradnl"/>
        </w:rPr>
        <w:t xml:space="preserve"> debe</w:t>
      </w:r>
      <w:r w:rsidR="00FA3C87">
        <w:rPr>
          <w:rFonts w:ascii="Arial" w:hAnsi="Arial" w:cs="Arial"/>
          <w:bCs/>
          <w:color w:val="000000" w:themeColor="text1"/>
          <w:sz w:val="22"/>
          <w:szCs w:val="22"/>
          <w:lang w:val="es-ES_tradnl"/>
        </w:rPr>
        <w:t xml:space="preserve"> solicitar la ampliación de la cobertura después del vencimiento del plazo de ejecución </w:t>
      </w:r>
      <w:r w:rsidR="00493AF8">
        <w:rPr>
          <w:rFonts w:ascii="Arial" w:hAnsi="Arial" w:cs="Arial"/>
          <w:bCs/>
          <w:color w:val="000000" w:themeColor="text1"/>
          <w:sz w:val="22"/>
          <w:szCs w:val="22"/>
          <w:lang w:val="es-ES_tradnl"/>
        </w:rPr>
        <w:t>–</w:t>
      </w:r>
      <w:r w:rsidR="00FA3C87">
        <w:rPr>
          <w:rFonts w:ascii="Arial" w:hAnsi="Arial" w:cs="Arial"/>
          <w:bCs/>
          <w:color w:val="000000" w:themeColor="text1"/>
          <w:sz w:val="22"/>
          <w:szCs w:val="22"/>
          <w:lang w:val="es-ES_tradnl"/>
        </w:rPr>
        <w:t>o</w:t>
      </w:r>
      <w:r w:rsidR="00A74A46">
        <w:rPr>
          <w:rFonts w:ascii="Arial" w:hAnsi="Arial" w:cs="Arial"/>
          <w:bCs/>
          <w:color w:val="000000" w:themeColor="text1"/>
          <w:sz w:val="22"/>
          <w:szCs w:val="22"/>
          <w:lang w:val="es-ES_tradnl"/>
        </w:rPr>
        <w:t>, incluso, después</w:t>
      </w:r>
      <w:r w:rsidR="00FA3C87">
        <w:rPr>
          <w:rFonts w:ascii="Arial" w:hAnsi="Arial" w:cs="Arial"/>
          <w:bCs/>
          <w:color w:val="000000" w:themeColor="text1"/>
          <w:sz w:val="22"/>
          <w:szCs w:val="22"/>
          <w:lang w:val="es-ES_tradnl"/>
        </w:rPr>
        <w:t xml:space="preserve"> de la terminación</w:t>
      </w:r>
      <w:r w:rsidR="007F1023">
        <w:rPr>
          <w:rFonts w:ascii="Arial" w:hAnsi="Arial" w:cs="Arial"/>
          <w:bCs/>
          <w:color w:val="000000" w:themeColor="text1"/>
          <w:sz w:val="22"/>
          <w:szCs w:val="22"/>
          <w:lang w:val="es-ES_tradnl"/>
        </w:rPr>
        <w:t xml:space="preserve"> del acuerdo</w:t>
      </w:r>
      <w:r w:rsidR="00FA3C87">
        <w:rPr>
          <w:rFonts w:ascii="Arial" w:hAnsi="Arial" w:cs="Arial"/>
          <w:bCs/>
          <w:color w:val="000000" w:themeColor="text1"/>
          <w:sz w:val="22"/>
          <w:szCs w:val="22"/>
          <w:lang w:val="es-ES_tradnl"/>
        </w:rPr>
        <w:t xml:space="preserve"> por acto administrativo</w:t>
      </w:r>
      <w:r w:rsidR="00493AF8">
        <w:rPr>
          <w:rFonts w:ascii="Arial" w:hAnsi="Arial" w:cs="Arial"/>
          <w:bCs/>
          <w:color w:val="000000" w:themeColor="text1"/>
          <w:sz w:val="22"/>
          <w:szCs w:val="22"/>
          <w:lang w:val="es-ES_tradnl"/>
        </w:rPr>
        <w:t>– en los términos anteriormente explicados</w:t>
      </w:r>
      <w:r w:rsidR="00F948A9">
        <w:rPr>
          <w:rFonts w:ascii="Arial" w:hAnsi="Arial" w:cs="Arial"/>
          <w:bCs/>
          <w:color w:val="000000" w:themeColor="text1"/>
          <w:sz w:val="22"/>
          <w:szCs w:val="22"/>
          <w:lang w:val="es-ES_tradnl"/>
        </w:rPr>
        <w:t>.</w:t>
      </w:r>
    </w:p>
    <w:p w14:paraId="60C21ECF" w14:textId="77777777" w:rsidR="00E838E8" w:rsidRPr="00E838E8" w:rsidRDefault="00E838E8" w:rsidP="00E838E8">
      <w:pPr>
        <w:spacing w:line="276" w:lineRule="auto"/>
        <w:ind w:firstLine="708"/>
        <w:jc w:val="both"/>
        <w:rPr>
          <w:rFonts w:ascii="Arial" w:hAnsi="Arial" w:cs="Arial"/>
          <w:bCs/>
          <w:color w:val="000000" w:themeColor="text1"/>
          <w:sz w:val="22"/>
          <w:lang w:val="es-ES_tradnl"/>
        </w:rPr>
      </w:pPr>
    </w:p>
    <w:p w14:paraId="396A4674" w14:textId="77777777" w:rsidR="00B414DE" w:rsidRPr="009C6B45" w:rsidRDefault="00B414DE" w:rsidP="00450B8D">
      <w:pPr>
        <w:spacing w:line="276" w:lineRule="auto"/>
        <w:jc w:val="both"/>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3D1D8FAE" w14:textId="77777777" w:rsidR="00B414DE" w:rsidRPr="009C6B45" w:rsidRDefault="00B414DE" w:rsidP="00450B8D">
      <w:pPr>
        <w:spacing w:line="276" w:lineRule="auto"/>
        <w:ind w:firstLine="708"/>
        <w:jc w:val="both"/>
        <w:rPr>
          <w:rFonts w:ascii="Arial" w:eastAsia="Calibri" w:hAnsi="Arial" w:cs="Arial"/>
          <w:color w:val="000000" w:themeColor="text1"/>
          <w:sz w:val="22"/>
          <w:lang w:val="es-ES_tradnl"/>
        </w:rPr>
      </w:pPr>
    </w:p>
    <w:p w14:paraId="321DE140" w14:textId="77777777" w:rsidR="00B414DE" w:rsidRPr="009C6B45" w:rsidRDefault="00B414DE" w:rsidP="00450B8D">
      <w:pPr>
        <w:jc w:val="both"/>
        <w:rPr>
          <w:rFonts w:ascii="Arial" w:hAnsi="Arial" w:cs="Arial"/>
          <w:color w:val="000000" w:themeColor="text1"/>
          <w:sz w:val="22"/>
          <w:lang w:val="es-ES_tradnl" w:eastAsia="es-CO"/>
        </w:rPr>
      </w:pPr>
      <w:r w:rsidRPr="009C6B45">
        <w:rPr>
          <w:rFonts w:ascii="Arial" w:hAnsi="Arial" w:cs="Arial"/>
          <w:color w:val="000000" w:themeColor="text1"/>
          <w:sz w:val="22"/>
          <w:lang w:val="es-ES_tradnl" w:eastAsia="es-CO"/>
        </w:rPr>
        <w:t>Atentamente,</w:t>
      </w:r>
    </w:p>
    <w:p w14:paraId="3F572253" w14:textId="309DFFC2" w:rsidR="00B414DE" w:rsidRDefault="00990995" w:rsidP="00B414DE">
      <w:pPr>
        <w:jc w:val="center"/>
        <w:rPr>
          <w:rFonts w:ascii="Arial" w:hAnsi="Arial" w:cs="Arial"/>
          <w:color w:val="000000" w:themeColor="text1"/>
          <w:sz w:val="18"/>
          <w:szCs w:val="20"/>
          <w:lang w:val="es-ES_tradnl" w:eastAsia="es-CO"/>
        </w:rPr>
      </w:pPr>
      <w:r>
        <w:rPr>
          <w:noProof/>
          <w:lang w:eastAsia="es-CO"/>
        </w:rPr>
        <w:drawing>
          <wp:inline distT="0" distB="0" distL="0" distR="0" wp14:anchorId="38697611" wp14:editId="40E333AE">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p>
    <w:p w14:paraId="5D32B5C5" w14:textId="77777777" w:rsidR="00601B74" w:rsidRPr="009C6B45" w:rsidRDefault="00601B74" w:rsidP="00B414DE">
      <w:pPr>
        <w:jc w:val="center"/>
        <w:rPr>
          <w:rFonts w:ascii="Arial" w:hAnsi="Arial" w:cs="Arial"/>
          <w:color w:val="000000" w:themeColor="text1"/>
          <w:sz w:val="18"/>
          <w:szCs w:val="20"/>
          <w:lang w:val="es-ES_tradnl" w:eastAsia="es-CO"/>
        </w:rPr>
      </w:pPr>
    </w:p>
    <w:p w14:paraId="0CCCAE56" w14:textId="77777777" w:rsidR="00B414DE" w:rsidRPr="009C6B45" w:rsidRDefault="00B414DE" w:rsidP="00B414DE">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E44D4" w:rsidRPr="00C91526" w14:paraId="4AD57BFC" w14:textId="77777777" w:rsidTr="00B414DE">
        <w:trPr>
          <w:trHeight w:val="315"/>
        </w:trPr>
        <w:tc>
          <w:tcPr>
            <w:tcW w:w="812" w:type="dxa"/>
            <w:vAlign w:val="center"/>
            <w:hideMark/>
          </w:tcPr>
          <w:p w14:paraId="2348C71A" w14:textId="77777777" w:rsidR="00B414DE" w:rsidRPr="009C6B45" w:rsidRDefault="00B414DE"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4360F89" w14:textId="5C1F5D78" w:rsidR="00B414DE" w:rsidRPr="009C6B45" w:rsidRDefault="00E838E8" w:rsidP="00450B8D">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Carlos Mario Castrillon Endo</w:t>
            </w:r>
          </w:p>
          <w:p w14:paraId="4FC81B8B" w14:textId="43CAE153" w:rsidR="00EB72B4" w:rsidRPr="009C6B45" w:rsidRDefault="00EB72B4"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Contratista de la Subdirección de Gestión Contractual</w:t>
            </w:r>
          </w:p>
        </w:tc>
      </w:tr>
      <w:tr w:rsidR="00EE44D4" w:rsidRPr="00C91526" w14:paraId="0C80F724" w14:textId="77777777" w:rsidTr="00B414DE">
        <w:trPr>
          <w:trHeight w:val="330"/>
        </w:trPr>
        <w:tc>
          <w:tcPr>
            <w:tcW w:w="812" w:type="dxa"/>
            <w:vAlign w:val="center"/>
            <w:hideMark/>
          </w:tcPr>
          <w:p w14:paraId="7B02603D" w14:textId="77777777" w:rsidR="00B414DE" w:rsidRPr="009C6B45" w:rsidRDefault="00B414DE"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33015E" w14:textId="1AED519F" w:rsidR="00B414DE" w:rsidRPr="009C6B45" w:rsidRDefault="00A74A46" w:rsidP="00450B8D">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Juan David Montoya Penagos </w:t>
            </w:r>
          </w:p>
          <w:p w14:paraId="30C83AB5" w14:textId="1E6DC0B8" w:rsidR="00B414DE" w:rsidRPr="009C6B45" w:rsidRDefault="009F3FFA" w:rsidP="00450B8D">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Gestor T1-15 </w:t>
            </w:r>
          </w:p>
        </w:tc>
      </w:tr>
      <w:tr w:rsidR="00B414DE" w:rsidRPr="00C91526" w14:paraId="2ED34222" w14:textId="77777777" w:rsidTr="00B414DE">
        <w:trPr>
          <w:trHeight w:val="300"/>
        </w:trPr>
        <w:tc>
          <w:tcPr>
            <w:tcW w:w="812" w:type="dxa"/>
            <w:vAlign w:val="center"/>
            <w:hideMark/>
          </w:tcPr>
          <w:p w14:paraId="4A95DB32" w14:textId="77777777" w:rsidR="00B414DE" w:rsidRPr="009C6B45" w:rsidRDefault="00B414DE"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06F310" w14:textId="36AD2BBF" w:rsidR="00B414DE" w:rsidRPr="009C6B45" w:rsidRDefault="00B3607F" w:rsidP="00450B8D">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Andrés Ricardo Mancipe González</w:t>
            </w:r>
          </w:p>
          <w:p w14:paraId="0FA7AE38" w14:textId="0D80810B" w:rsidR="00B414DE" w:rsidRPr="009C6B45" w:rsidRDefault="00B414DE"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Subdirector de Gestión Contractual</w:t>
            </w:r>
            <w:r w:rsidR="00B3607F">
              <w:rPr>
                <w:rFonts w:ascii="Arial" w:hAnsi="Arial" w:cs="Arial"/>
                <w:color w:val="000000" w:themeColor="text1"/>
                <w:sz w:val="16"/>
                <w:szCs w:val="16"/>
                <w:lang w:val="es-ES_tradnl" w:eastAsia="es-ES"/>
              </w:rPr>
              <w:t xml:space="preserve"> (E)</w:t>
            </w:r>
          </w:p>
        </w:tc>
      </w:tr>
    </w:tbl>
    <w:p w14:paraId="799CD722" w14:textId="77777777" w:rsidR="00B414DE" w:rsidRPr="009C6B45" w:rsidRDefault="00B414DE" w:rsidP="00B414DE">
      <w:pPr>
        <w:rPr>
          <w:rFonts w:ascii="Arial" w:hAnsi="Arial" w:cs="Arial"/>
          <w:color w:val="000000" w:themeColor="text1"/>
          <w:sz w:val="16"/>
          <w:szCs w:val="16"/>
          <w:lang w:val="es-ES_tradnl" w:eastAsia="es-ES"/>
        </w:rPr>
      </w:pPr>
    </w:p>
    <w:p w14:paraId="10F629D1" w14:textId="77777777" w:rsidR="00EA6C85" w:rsidRPr="009C6B45" w:rsidRDefault="00EA6C85">
      <w:pPr>
        <w:rPr>
          <w:color w:val="000000" w:themeColor="text1"/>
          <w:lang w:val="es-ES_tradnl"/>
        </w:rPr>
      </w:pPr>
    </w:p>
    <w:sectPr w:rsidR="00EA6C85" w:rsidRPr="009C6B45" w:rsidSect="00450B8D">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81598" w14:textId="77777777" w:rsidR="0000616C" w:rsidRDefault="0000616C" w:rsidP="00B414DE">
      <w:r>
        <w:separator/>
      </w:r>
    </w:p>
  </w:endnote>
  <w:endnote w:type="continuationSeparator" w:id="0">
    <w:p w14:paraId="21A8D1FE" w14:textId="77777777" w:rsidR="0000616C" w:rsidRDefault="0000616C" w:rsidP="00B4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F934" w14:textId="77777777" w:rsidR="00450B8D" w:rsidRDefault="00450B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716E" w14:textId="2433E0B3" w:rsidR="00450B8D" w:rsidRPr="008217B7" w:rsidRDefault="00450B8D" w:rsidP="00450B8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01B74">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01B74">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766F493F" w14:textId="77777777" w:rsidR="00450B8D" w:rsidRDefault="00450B8D" w:rsidP="00450B8D">
    <w:pPr>
      <w:pStyle w:val="Piedepgina"/>
      <w:jc w:val="center"/>
      <w:rPr>
        <w:lang w:val="es-ES"/>
      </w:rPr>
    </w:pPr>
    <w:r>
      <w:rPr>
        <w:noProof/>
        <w:lang w:val="es-CO" w:eastAsia="es-CO"/>
      </w:rPr>
      <w:drawing>
        <wp:inline distT="0" distB="0" distL="0" distR="0" wp14:anchorId="78957759" wp14:editId="1910867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2659F03F" w14:textId="77777777" w:rsidR="00450B8D" w:rsidRDefault="00450B8D" w:rsidP="00450B8D">
    <w:pPr>
      <w:pStyle w:val="Piedepgina"/>
      <w:jc w:val="center"/>
      <w:rPr>
        <w:lang w:val="es-ES"/>
      </w:rPr>
    </w:pPr>
  </w:p>
  <w:p w14:paraId="63626C30" w14:textId="77777777" w:rsidR="00450B8D" w:rsidRPr="007B0854" w:rsidRDefault="00450B8D" w:rsidP="00450B8D">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F8C5" w14:textId="77777777" w:rsidR="00450B8D" w:rsidRDefault="00450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EACC5" w14:textId="77777777" w:rsidR="0000616C" w:rsidRDefault="0000616C" w:rsidP="00B414DE">
      <w:r>
        <w:separator/>
      </w:r>
    </w:p>
  </w:footnote>
  <w:footnote w:type="continuationSeparator" w:id="0">
    <w:p w14:paraId="5F511475" w14:textId="77777777" w:rsidR="0000616C" w:rsidRDefault="0000616C" w:rsidP="00B414DE">
      <w:r>
        <w:continuationSeparator/>
      </w:r>
    </w:p>
  </w:footnote>
  <w:footnote w:id="1">
    <w:p w14:paraId="0E5DD716" w14:textId="73870724" w:rsidR="00450B8D" w:rsidRPr="00DE5B4E" w:rsidRDefault="00450B8D" w:rsidP="00990995">
      <w:pPr>
        <w:ind w:firstLine="708"/>
        <w:jc w:val="both"/>
        <w:rPr>
          <w:lang w:val="es-ES"/>
        </w:rPr>
      </w:pPr>
      <w:r w:rsidRPr="00DE5B4E">
        <w:rPr>
          <w:rStyle w:val="Refdenotaalpie"/>
          <w:rFonts w:ascii="Arial" w:hAnsi="Arial" w:cs="Arial"/>
          <w:color w:val="000000" w:themeColor="text1"/>
          <w:sz w:val="19"/>
          <w:szCs w:val="19"/>
        </w:rPr>
        <w:footnoteRef/>
      </w:r>
      <w:r w:rsidRPr="00DE5B4E">
        <w:rPr>
          <w:rFonts w:ascii="Arial" w:hAnsi="Arial" w:cs="Arial"/>
          <w:color w:val="000000" w:themeColor="text1"/>
          <w:sz w:val="19"/>
          <w:szCs w:val="19"/>
        </w:rPr>
        <w:t xml:space="preserve"> </w:t>
      </w:r>
      <w:r w:rsidR="00056F52">
        <w:rPr>
          <w:rFonts w:ascii="Arial" w:hAnsi="Arial" w:cs="Arial"/>
          <w:color w:val="000000" w:themeColor="text1"/>
          <w:sz w:val="19"/>
          <w:szCs w:val="19"/>
        </w:rPr>
        <w:t>CONSEJO DE ESTADO</w:t>
      </w:r>
      <w:r w:rsidRPr="00DE5B4E">
        <w:rPr>
          <w:rFonts w:ascii="Arial" w:hAnsi="Arial" w:cs="Arial"/>
          <w:color w:val="000000" w:themeColor="text1"/>
          <w:sz w:val="19"/>
          <w:szCs w:val="19"/>
        </w:rPr>
        <w:t>. Sección Tercera. Subsección «C». Radicado No. 05001-23-31-000-1998-00038-01. Número Interno 27.777. M.P. Enrique Gil Botero.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footnote>
  <w:footnote w:id="2">
    <w:p w14:paraId="054A3292" w14:textId="041405A5" w:rsidR="00450B8D" w:rsidRDefault="00450B8D" w:rsidP="002A3EC7">
      <w:pPr>
        <w:pStyle w:val="Textonotapie"/>
        <w:ind w:firstLine="708"/>
        <w:jc w:val="both"/>
        <w:rPr>
          <w:rFonts w:ascii="Arial" w:hAnsi="Arial" w:cs="Arial"/>
          <w:sz w:val="19"/>
          <w:szCs w:val="19"/>
        </w:rPr>
      </w:pPr>
      <w:r w:rsidRPr="00DE5B4E">
        <w:rPr>
          <w:rStyle w:val="Refdenotaalpie"/>
          <w:rFonts w:ascii="Arial" w:hAnsi="Arial" w:cs="Arial"/>
          <w:sz w:val="19"/>
          <w:szCs w:val="19"/>
        </w:rPr>
        <w:footnoteRef/>
      </w:r>
      <w:r w:rsidRPr="00DE5B4E">
        <w:rPr>
          <w:rFonts w:ascii="Arial" w:hAnsi="Arial" w:cs="Arial"/>
          <w:sz w:val="19"/>
          <w:szCs w:val="19"/>
        </w:rPr>
        <w:t xml:space="preserve"> CONSEJO DE ESTADO, Sala de Consulta y Servicio Civil. Radicado No. 1453. Concepto de 6 de agosto de 2003. MP. Augusto Trejos.</w:t>
      </w:r>
    </w:p>
    <w:p w14:paraId="0F293222" w14:textId="77777777" w:rsidR="00BC1CD6" w:rsidRPr="00DE5B4E" w:rsidRDefault="00BC1CD6" w:rsidP="002A3EC7">
      <w:pPr>
        <w:pStyle w:val="Textonotapie"/>
        <w:ind w:firstLine="708"/>
        <w:jc w:val="both"/>
        <w:rPr>
          <w:rFonts w:ascii="Arial" w:hAnsi="Arial" w:cs="Arial"/>
          <w:sz w:val="19"/>
          <w:szCs w:val="19"/>
        </w:rPr>
      </w:pPr>
    </w:p>
  </w:footnote>
  <w:footnote w:id="3">
    <w:p w14:paraId="5DD2939D" w14:textId="452DA31D" w:rsidR="00450B8D" w:rsidRPr="00DE5B4E" w:rsidRDefault="00450B8D" w:rsidP="009C6B45">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w:t>
      </w:r>
      <w:r w:rsidRPr="00DE5B4E">
        <w:rPr>
          <w:rFonts w:ascii="Arial" w:hAnsi="Arial" w:cs="Arial"/>
          <w:sz w:val="19"/>
          <w:szCs w:val="19"/>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2DEE921D" w14:textId="02D76003" w:rsidR="00450B8D" w:rsidRPr="00DE5B4E" w:rsidRDefault="00450B8D" w:rsidP="009C6B45">
      <w:pPr>
        <w:pStyle w:val="Textonotapie"/>
        <w:ind w:firstLine="708"/>
        <w:jc w:val="both"/>
        <w:rPr>
          <w:rFonts w:ascii="Arial" w:hAnsi="Arial" w:cs="Arial"/>
          <w:sz w:val="19"/>
          <w:szCs w:val="19"/>
          <w:lang w:val="es-ES"/>
        </w:rPr>
      </w:pPr>
      <w:r w:rsidRPr="00DE5B4E">
        <w:rPr>
          <w:rFonts w:ascii="Arial" w:hAnsi="Arial" w:cs="Arial"/>
          <w:sz w:val="19"/>
          <w:szCs w:val="19"/>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1CAA8E84" w14:textId="1B8B09B7" w:rsidR="00450B8D" w:rsidRPr="00DE5B4E" w:rsidRDefault="00450B8D" w:rsidP="009C6B45">
      <w:pPr>
        <w:pStyle w:val="Textonotapie"/>
        <w:ind w:firstLine="708"/>
        <w:jc w:val="both"/>
        <w:rPr>
          <w:rFonts w:ascii="Arial" w:hAnsi="Arial" w:cs="Arial"/>
          <w:sz w:val="19"/>
          <w:szCs w:val="19"/>
          <w:lang w:val="es-ES"/>
        </w:rPr>
      </w:pPr>
      <w:r w:rsidRPr="00DE5B4E">
        <w:rPr>
          <w:rFonts w:ascii="Arial" w:hAnsi="Arial" w:cs="Arial"/>
          <w:sz w:val="19"/>
          <w:szCs w:val="19"/>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79407C29" w14:textId="71EED827" w:rsidR="00450B8D" w:rsidRPr="00DE5B4E" w:rsidRDefault="00450B8D" w:rsidP="002A3EC7">
      <w:pPr>
        <w:pStyle w:val="Textonotapie"/>
        <w:ind w:firstLine="708"/>
        <w:jc w:val="both"/>
        <w:rPr>
          <w:rFonts w:ascii="Arial" w:hAnsi="Arial" w:cs="Arial"/>
          <w:sz w:val="19"/>
          <w:szCs w:val="19"/>
          <w:lang w:val="es-ES"/>
        </w:rPr>
      </w:pPr>
      <w:r w:rsidRPr="00DE5B4E">
        <w:rPr>
          <w:rFonts w:ascii="Arial" w:hAnsi="Arial" w:cs="Arial"/>
          <w:sz w:val="19"/>
          <w:szCs w:val="19"/>
          <w:lang w:val="es-ES"/>
        </w:rPr>
        <w:t>» Los contratistas tendrán derecho a efectuar salvedades a la liquidación por mutuo acuerdo, y en este evento la liquidación unilateral solo procederá en relación con los aspectos que no hayan sido objeto de acuerdo»</w:t>
      </w:r>
      <w:r w:rsidR="00086C81" w:rsidRPr="00DE5B4E">
        <w:rPr>
          <w:rFonts w:ascii="Arial" w:hAnsi="Arial" w:cs="Arial"/>
          <w:sz w:val="19"/>
          <w:szCs w:val="19"/>
          <w:lang w:val="es-ES"/>
        </w:rPr>
        <w:t>.</w:t>
      </w:r>
    </w:p>
    <w:p w14:paraId="6F4EBE50" w14:textId="77777777" w:rsidR="00086C81" w:rsidRPr="00DE5B4E" w:rsidRDefault="00086C81" w:rsidP="002A3EC7">
      <w:pPr>
        <w:pStyle w:val="Textonotapie"/>
        <w:ind w:firstLine="708"/>
        <w:jc w:val="both"/>
        <w:rPr>
          <w:rFonts w:ascii="Arial" w:hAnsi="Arial" w:cs="Arial"/>
          <w:sz w:val="19"/>
          <w:szCs w:val="19"/>
          <w:lang w:val="es-ES"/>
        </w:rPr>
      </w:pPr>
    </w:p>
  </w:footnote>
  <w:footnote w:id="4">
    <w:p w14:paraId="733397AB" w14:textId="31973DE7" w:rsidR="00450B8D" w:rsidRDefault="00450B8D" w:rsidP="002A3EC7">
      <w:pPr>
        <w:pStyle w:val="Textonotapie"/>
        <w:ind w:firstLine="708"/>
        <w:jc w:val="both"/>
        <w:rPr>
          <w:rFonts w:ascii="Arial" w:hAnsi="Arial" w:cs="Arial"/>
          <w:sz w:val="19"/>
          <w:szCs w:val="19"/>
        </w:rPr>
      </w:pPr>
      <w:r w:rsidRPr="00DE5B4E">
        <w:rPr>
          <w:rStyle w:val="Refdenotaalpie"/>
          <w:rFonts w:ascii="Arial" w:hAnsi="Arial" w:cs="Arial"/>
          <w:sz w:val="19"/>
          <w:szCs w:val="19"/>
        </w:rPr>
        <w:footnoteRef/>
      </w:r>
      <w:r w:rsidRPr="00DE5B4E">
        <w:rPr>
          <w:rFonts w:ascii="Arial" w:hAnsi="Arial" w:cs="Arial"/>
          <w:sz w:val="19"/>
          <w:szCs w:val="19"/>
        </w:rPr>
        <w:t xml:space="preserve"> COLOMBIA COMPRA EFICIENTE. Guía para la Liquidación de los Procesos de Contratación. página 5, disponible en: </w:t>
      </w:r>
      <w:hyperlink r:id="rId1" w:history="1">
        <w:r w:rsidRPr="00DE5B4E">
          <w:rPr>
            <w:rStyle w:val="Hipervnculo"/>
            <w:rFonts w:ascii="Arial" w:hAnsi="Arial" w:cs="Arial"/>
            <w:sz w:val="19"/>
            <w:szCs w:val="19"/>
          </w:rPr>
          <w:t>https://www.colombiacompra.gov.co/sites/cce_public/files/cce_documents/cce_guia_liquidacion_procesos.pdf</w:t>
        </w:r>
      </w:hyperlink>
      <w:r w:rsidRPr="00DE5B4E">
        <w:rPr>
          <w:rFonts w:ascii="Arial" w:hAnsi="Arial" w:cs="Arial"/>
          <w:sz w:val="19"/>
          <w:szCs w:val="19"/>
        </w:rPr>
        <w:t xml:space="preserve"> </w:t>
      </w:r>
    </w:p>
    <w:p w14:paraId="122EA40F" w14:textId="77777777" w:rsidR="005030F4" w:rsidRPr="00DE5B4E" w:rsidRDefault="005030F4" w:rsidP="002A3EC7">
      <w:pPr>
        <w:pStyle w:val="Textonotapie"/>
        <w:ind w:firstLine="708"/>
        <w:jc w:val="both"/>
        <w:rPr>
          <w:rFonts w:ascii="Arial" w:hAnsi="Arial" w:cs="Arial"/>
          <w:sz w:val="19"/>
          <w:szCs w:val="19"/>
          <w:lang w:val="es-ES"/>
        </w:rPr>
      </w:pPr>
    </w:p>
  </w:footnote>
  <w:footnote w:id="5">
    <w:p w14:paraId="403AE7BF" w14:textId="77777777" w:rsidR="00450B8D" w:rsidRPr="00DE5B4E" w:rsidRDefault="00450B8D" w:rsidP="002A3EC7">
      <w:pPr>
        <w:pStyle w:val="Textonotapie"/>
        <w:ind w:firstLine="708"/>
        <w:jc w:val="both"/>
        <w:rPr>
          <w:rFonts w:ascii="Arial" w:hAnsi="Arial" w:cs="Arial"/>
          <w:color w:val="000000" w:themeColor="text1"/>
          <w:sz w:val="19"/>
          <w:szCs w:val="19"/>
        </w:rPr>
      </w:pPr>
      <w:r w:rsidRPr="00DE5B4E">
        <w:rPr>
          <w:rStyle w:val="Refdenotaalpie"/>
          <w:rFonts w:ascii="Arial" w:hAnsi="Arial" w:cs="Arial"/>
          <w:color w:val="000000" w:themeColor="text1"/>
          <w:sz w:val="19"/>
          <w:szCs w:val="19"/>
        </w:rPr>
        <w:footnoteRef/>
      </w:r>
      <w:r w:rsidRPr="00DE5B4E">
        <w:rPr>
          <w:rFonts w:ascii="Arial" w:hAnsi="Arial" w:cs="Arial"/>
          <w:color w:val="000000" w:themeColor="text1"/>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2ED964D4" w14:textId="77777777" w:rsidR="00450B8D" w:rsidRPr="00DE5B4E" w:rsidRDefault="00450B8D" w:rsidP="002A3EC7">
      <w:pPr>
        <w:pStyle w:val="Textonotapie"/>
        <w:ind w:firstLine="708"/>
        <w:jc w:val="both"/>
        <w:rPr>
          <w:rFonts w:ascii="Arial" w:hAnsi="Arial" w:cs="Arial"/>
          <w:color w:val="000000" w:themeColor="text1"/>
          <w:sz w:val="19"/>
          <w:szCs w:val="19"/>
          <w:lang w:val="es-ES"/>
        </w:rPr>
      </w:pPr>
    </w:p>
  </w:footnote>
  <w:footnote w:id="6">
    <w:p w14:paraId="235FB0F0" w14:textId="2B582FD5" w:rsidR="00450B8D" w:rsidRPr="00DE5B4E" w:rsidRDefault="00450B8D" w:rsidP="002A3EC7">
      <w:pPr>
        <w:pStyle w:val="Textonotapie"/>
        <w:ind w:firstLine="708"/>
        <w:jc w:val="both"/>
        <w:rPr>
          <w:rFonts w:ascii="Arial" w:hAnsi="Arial" w:cs="Arial"/>
          <w:sz w:val="19"/>
          <w:szCs w:val="19"/>
        </w:rPr>
      </w:pPr>
      <w:r w:rsidRPr="00DE5B4E">
        <w:rPr>
          <w:rStyle w:val="Refdenotaalpie"/>
          <w:rFonts w:ascii="Arial" w:hAnsi="Arial" w:cs="Arial"/>
          <w:sz w:val="19"/>
          <w:szCs w:val="19"/>
        </w:rPr>
        <w:footnoteRef/>
      </w:r>
      <w:r w:rsidRPr="00DE5B4E">
        <w:rPr>
          <w:rFonts w:ascii="Arial" w:hAnsi="Arial" w:cs="Arial"/>
          <w:sz w:val="19"/>
          <w:szCs w:val="19"/>
        </w:rPr>
        <w:t xml:space="preserve"> CONSEJO DE ESTADO. Sala de Consulta y Servicio Civil. Concepto de 28 de Junio de 2016. Radicación: 2253. C.P. Álvaro Namén Vargas. </w:t>
      </w:r>
    </w:p>
    <w:p w14:paraId="712FC63C" w14:textId="77777777" w:rsidR="00450B8D" w:rsidRPr="00DE5B4E" w:rsidRDefault="00450B8D" w:rsidP="002A3EC7">
      <w:pPr>
        <w:pStyle w:val="Textonotapie"/>
        <w:ind w:firstLine="708"/>
        <w:jc w:val="both"/>
        <w:rPr>
          <w:rFonts w:ascii="Arial" w:hAnsi="Arial" w:cs="Arial"/>
          <w:sz w:val="19"/>
          <w:szCs w:val="19"/>
          <w:lang w:val="es-ES"/>
        </w:rPr>
      </w:pPr>
    </w:p>
  </w:footnote>
  <w:footnote w:id="7">
    <w:p w14:paraId="65289E74" w14:textId="1E29E80A" w:rsidR="00450B8D" w:rsidRPr="00DE5B4E" w:rsidRDefault="00450B8D">
      <w:pPr>
        <w:pStyle w:val="Textonotapie"/>
        <w:ind w:firstLine="708"/>
        <w:jc w:val="both"/>
        <w:rPr>
          <w:rFonts w:ascii="Arial" w:hAnsi="Arial" w:cs="Arial"/>
          <w:color w:val="000000" w:themeColor="text1"/>
          <w:sz w:val="19"/>
          <w:szCs w:val="19"/>
          <w:lang w:val="es-ES"/>
        </w:rPr>
      </w:pPr>
      <w:r w:rsidRPr="00DE5B4E">
        <w:rPr>
          <w:rStyle w:val="Refdenotaalpie"/>
          <w:rFonts w:ascii="Arial" w:hAnsi="Arial" w:cs="Arial"/>
          <w:color w:val="000000" w:themeColor="text1"/>
          <w:sz w:val="19"/>
          <w:szCs w:val="19"/>
        </w:rPr>
        <w:footnoteRef/>
      </w:r>
      <w:r w:rsidRPr="00DE5B4E">
        <w:rPr>
          <w:rFonts w:ascii="Arial" w:hAnsi="Arial" w:cs="Arial"/>
          <w:color w:val="000000" w:themeColor="text1"/>
          <w:sz w:val="19"/>
          <w:szCs w:val="19"/>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footnote>
  <w:footnote w:id="8">
    <w:p w14:paraId="2B3FCB48" w14:textId="7F2C6EE8" w:rsidR="00086C81" w:rsidRPr="00DE5B4E" w:rsidRDefault="00086C81" w:rsidP="00086C81">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CONSEJO DE ESTADO. Sección Tercera. </w:t>
      </w:r>
      <w:r w:rsidRPr="00990995">
        <w:rPr>
          <w:rFonts w:ascii="Arial" w:hAnsi="Arial" w:cs="Arial"/>
          <w:sz w:val="19"/>
          <w:szCs w:val="19"/>
          <w:lang w:val="es-CO"/>
        </w:rPr>
        <w:t>Sala Plena. Auto de</w:t>
      </w:r>
      <w:r w:rsidR="006F3C92" w:rsidRPr="00990995">
        <w:rPr>
          <w:rFonts w:ascii="Arial" w:hAnsi="Arial" w:cs="Arial"/>
          <w:sz w:val="19"/>
          <w:szCs w:val="19"/>
          <w:lang w:val="es-CO"/>
        </w:rPr>
        <w:t>l</w:t>
      </w:r>
      <w:r w:rsidRPr="00990995">
        <w:rPr>
          <w:rFonts w:ascii="Arial" w:hAnsi="Arial" w:cs="Arial"/>
          <w:sz w:val="19"/>
          <w:szCs w:val="19"/>
          <w:lang w:val="es-CO"/>
        </w:rPr>
        <w:t xml:space="preserve"> 1 de agosto de 2019. </w:t>
      </w:r>
      <w:r w:rsidRPr="00DE5B4E">
        <w:rPr>
          <w:rFonts w:ascii="Arial" w:hAnsi="Arial" w:cs="Arial"/>
          <w:sz w:val="19"/>
          <w:szCs w:val="19"/>
        </w:rPr>
        <w:t xml:space="preserve">Exp. 62009. C.P. Jaime Enrique Rodríguez Navas. </w:t>
      </w:r>
    </w:p>
  </w:footnote>
  <w:footnote w:id="9">
    <w:p w14:paraId="4994A13C" w14:textId="4E3B46AC" w:rsidR="00450B8D" w:rsidRPr="00DE5B4E" w:rsidRDefault="00450B8D" w:rsidP="002A3EC7">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w:t>
      </w:r>
      <w:r w:rsidRPr="00DE5B4E">
        <w:rPr>
          <w:rFonts w:ascii="Arial" w:hAnsi="Arial" w:cs="Arial"/>
          <w:sz w:val="19"/>
          <w:szCs w:val="19"/>
          <w:lang w:val="es-ES"/>
        </w:rPr>
        <w:t xml:space="preserve">COLOMBIA COMPRA EFICIENTE. Guía de Garantías en Proceso de Contratación. Disponible en: </w:t>
      </w:r>
      <w:hyperlink r:id="rId2" w:history="1">
        <w:r w:rsidRPr="00DE5B4E">
          <w:rPr>
            <w:rStyle w:val="Hipervnculo"/>
            <w:rFonts w:ascii="Arial" w:hAnsi="Arial" w:cs="Arial"/>
            <w:sz w:val="19"/>
            <w:szCs w:val="19"/>
            <w:lang w:val="es-ES"/>
          </w:rPr>
          <w:t>https://www.colombiacompra.gov.co/sites/cce_public/files/cce_documents/cce_guia_garantias.pdf</w:t>
        </w:r>
      </w:hyperlink>
      <w:r w:rsidRPr="00DE5B4E">
        <w:rPr>
          <w:rFonts w:ascii="Arial" w:hAnsi="Arial" w:cs="Arial"/>
          <w:sz w:val="19"/>
          <w:szCs w:val="19"/>
          <w:lang w:val="es-ES"/>
        </w:rPr>
        <w:t xml:space="preserve"> </w:t>
      </w:r>
    </w:p>
    <w:p w14:paraId="53131B36" w14:textId="77777777" w:rsidR="00450B8D" w:rsidRPr="00DE5B4E" w:rsidRDefault="00450B8D" w:rsidP="002A3EC7">
      <w:pPr>
        <w:pStyle w:val="Textonotapie"/>
        <w:jc w:val="both"/>
        <w:rPr>
          <w:rFonts w:ascii="Arial" w:hAnsi="Arial" w:cs="Arial"/>
          <w:sz w:val="19"/>
          <w:szCs w:val="19"/>
        </w:rPr>
      </w:pPr>
    </w:p>
  </w:footnote>
  <w:footnote w:id="10">
    <w:p w14:paraId="4D43B69F" w14:textId="6C923821" w:rsidR="00450B8D" w:rsidRPr="00DE5B4E" w:rsidRDefault="00450B8D" w:rsidP="002A3EC7">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w:t>
      </w:r>
      <w:r w:rsidRPr="00DE5B4E">
        <w:rPr>
          <w:rFonts w:ascii="Arial" w:hAnsi="Arial" w:cs="Arial"/>
          <w:sz w:val="19"/>
          <w:szCs w:val="19"/>
          <w:lang w:val="es-ES"/>
        </w:rPr>
        <w:t xml:space="preserve">COLOMBIA COMPRA EFICIENTE. </w:t>
      </w:r>
      <w:r w:rsidR="00C872F0" w:rsidRPr="00DE5B4E">
        <w:rPr>
          <w:rFonts w:ascii="Arial" w:hAnsi="Arial" w:cs="Arial"/>
          <w:sz w:val="19"/>
          <w:szCs w:val="19"/>
          <w:lang w:val="es-ES"/>
        </w:rPr>
        <w:t>Síntesis</w:t>
      </w:r>
      <w:r w:rsidRPr="00DE5B4E">
        <w:rPr>
          <w:rFonts w:ascii="Arial" w:hAnsi="Arial" w:cs="Arial"/>
          <w:sz w:val="19"/>
          <w:szCs w:val="19"/>
          <w:lang w:val="es-ES"/>
        </w:rPr>
        <w:t xml:space="preserve">: 8. Etapa precontractual: Garantía de cumplimiento del contrato estatal. </w:t>
      </w:r>
    </w:p>
    <w:p w14:paraId="22D3E77B" w14:textId="77777777" w:rsidR="00450B8D" w:rsidRPr="00DE5B4E" w:rsidRDefault="00450B8D" w:rsidP="002A3EC7">
      <w:pPr>
        <w:pStyle w:val="Textonotapie"/>
        <w:ind w:firstLine="708"/>
        <w:jc w:val="both"/>
        <w:rPr>
          <w:rFonts w:ascii="Arial" w:hAnsi="Arial" w:cs="Arial"/>
          <w:sz w:val="19"/>
          <w:szCs w:val="19"/>
        </w:rPr>
      </w:pPr>
    </w:p>
  </w:footnote>
  <w:footnote w:id="11">
    <w:p w14:paraId="37D5C026" w14:textId="7771C665" w:rsidR="002A3EC7" w:rsidRPr="00DE5B4E" w:rsidRDefault="002A3EC7" w:rsidP="002A3EC7">
      <w:pPr>
        <w:pStyle w:val="Textonotapie"/>
        <w:ind w:firstLine="708"/>
        <w:jc w:val="both"/>
        <w:rPr>
          <w:rFonts w:ascii="Arial" w:hAnsi="Arial" w:cs="Arial"/>
          <w:sz w:val="19"/>
          <w:szCs w:val="19"/>
        </w:rPr>
      </w:pPr>
      <w:r w:rsidRPr="00DE5B4E">
        <w:rPr>
          <w:rStyle w:val="Refdenotaalpie"/>
          <w:rFonts w:ascii="Arial" w:hAnsi="Arial" w:cs="Arial"/>
          <w:sz w:val="19"/>
          <w:szCs w:val="19"/>
        </w:rPr>
        <w:footnoteRef/>
      </w:r>
      <w:r w:rsidRPr="00DE5B4E">
        <w:rPr>
          <w:rFonts w:ascii="Arial" w:hAnsi="Arial" w:cs="Arial"/>
          <w:sz w:val="19"/>
          <w:szCs w:val="19"/>
        </w:rPr>
        <w:t xml:space="preserve"> La norma citada dispone: «Artículo 2.2.1.2.3.1.7. Garantía de cumplimiento. La garantía de cumplimiento del contrato debe cubrir:</w:t>
      </w:r>
    </w:p>
    <w:p w14:paraId="143DAB77" w14:textId="48B79A21"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»1.</w:t>
      </w:r>
      <w:r w:rsidR="00F15515">
        <w:rPr>
          <w:rFonts w:ascii="Arial" w:hAnsi="Arial" w:cs="Arial"/>
          <w:sz w:val="19"/>
          <w:szCs w:val="19"/>
        </w:rPr>
        <w:t xml:space="preserve"> </w:t>
      </w:r>
      <w:r w:rsidRPr="00DE5B4E">
        <w:rPr>
          <w:rFonts w:ascii="Arial" w:hAnsi="Arial" w:cs="Arial"/>
          <w:sz w:val="19"/>
          <w:szCs w:val="19"/>
        </w:rPr>
        <w:t>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7FAC0A51" w14:textId="46A0BD4D"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»2.</w:t>
      </w:r>
      <w:r w:rsidR="00F15515">
        <w:rPr>
          <w:rFonts w:ascii="Arial" w:hAnsi="Arial" w:cs="Arial"/>
          <w:sz w:val="19"/>
          <w:szCs w:val="19"/>
        </w:rPr>
        <w:t xml:space="preserve"> </w:t>
      </w:r>
      <w:r w:rsidRPr="00DE5B4E">
        <w:rPr>
          <w:rFonts w:ascii="Arial" w:hAnsi="Arial" w:cs="Arial"/>
          <w:sz w:val="19"/>
          <w:szCs w:val="19"/>
        </w:rPr>
        <w:t>Devolución del pago anticipado. Este amparo cubre los perjuicios sufridos por la Entidad Estatal por la no devolución total o parcial del dinero entregado al contratista a título de pago anticipado, cuando a ello hubiere lugar.</w:t>
      </w:r>
    </w:p>
    <w:p w14:paraId="65A3C698" w14:textId="1F8B2098"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»3.</w:t>
      </w:r>
      <w:r w:rsidR="00F15515">
        <w:rPr>
          <w:rFonts w:ascii="Arial" w:hAnsi="Arial" w:cs="Arial"/>
          <w:sz w:val="19"/>
          <w:szCs w:val="19"/>
        </w:rPr>
        <w:t xml:space="preserve"> </w:t>
      </w:r>
      <w:r w:rsidRPr="00DE5B4E">
        <w:rPr>
          <w:rFonts w:ascii="Arial" w:hAnsi="Arial" w:cs="Arial"/>
          <w:sz w:val="19"/>
          <w:szCs w:val="19"/>
        </w:rPr>
        <w:t>Cumplimiento del contrato. Este amparo cubre a la Entidad Estatal de los perjuicios derivados de:</w:t>
      </w:r>
    </w:p>
    <w:p w14:paraId="3734245D" w14:textId="376E3718"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»3.1.</w:t>
      </w:r>
      <w:r w:rsidR="00F15515">
        <w:rPr>
          <w:rFonts w:ascii="Arial" w:hAnsi="Arial" w:cs="Arial"/>
          <w:sz w:val="19"/>
          <w:szCs w:val="19"/>
        </w:rPr>
        <w:t xml:space="preserve"> </w:t>
      </w:r>
      <w:r w:rsidRPr="00DE5B4E">
        <w:rPr>
          <w:rFonts w:ascii="Arial" w:hAnsi="Arial" w:cs="Arial"/>
          <w:sz w:val="19"/>
          <w:szCs w:val="19"/>
        </w:rPr>
        <w:t>El incumplimiento total o parcial del contrato, cuando el incumplimiento es imputable al contratista;</w:t>
      </w:r>
    </w:p>
    <w:p w14:paraId="206532DC" w14:textId="1A445F53"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»3.2.</w:t>
      </w:r>
      <w:r w:rsidR="00F15515">
        <w:rPr>
          <w:rFonts w:ascii="Arial" w:hAnsi="Arial" w:cs="Arial"/>
          <w:sz w:val="19"/>
          <w:szCs w:val="19"/>
        </w:rPr>
        <w:t xml:space="preserve"> </w:t>
      </w:r>
      <w:r w:rsidRPr="00DE5B4E">
        <w:rPr>
          <w:rFonts w:ascii="Arial" w:hAnsi="Arial" w:cs="Arial"/>
          <w:sz w:val="19"/>
          <w:szCs w:val="19"/>
        </w:rPr>
        <w:t>El cumplimiento tardío o defectuoso del contrato, cuando el incumplimiento es imputable al contratista;</w:t>
      </w:r>
    </w:p>
    <w:p w14:paraId="379E42C4" w14:textId="4C09B131"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»3.3.</w:t>
      </w:r>
      <w:r w:rsidR="00F15515">
        <w:rPr>
          <w:rFonts w:ascii="Arial" w:hAnsi="Arial" w:cs="Arial"/>
          <w:sz w:val="19"/>
          <w:szCs w:val="19"/>
        </w:rPr>
        <w:t xml:space="preserve"> </w:t>
      </w:r>
      <w:r w:rsidRPr="00DE5B4E">
        <w:rPr>
          <w:rFonts w:ascii="Arial" w:hAnsi="Arial" w:cs="Arial"/>
          <w:sz w:val="19"/>
          <w:szCs w:val="19"/>
        </w:rPr>
        <w:t>Los daños imputables al contratista por entregas parciales de la obra, cuando el contrato no prevé entregas parciales; y</w:t>
      </w:r>
    </w:p>
    <w:p w14:paraId="7F4F8DB9" w14:textId="2ADF8DED"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»3.4.</w:t>
      </w:r>
      <w:r w:rsidR="00F15515">
        <w:rPr>
          <w:rFonts w:ascii="Arial" w:hAnsi="Arial" w:cs="Arial"/>
          <w:sz w:val="19"/>
          <w:szCs w:val="19"/>
        </w:rPr>
        <w:t xml:space="preserve"> </w:t>
      </w:r>
      <w:r w:rsidRPr="00DE5B4E">
        <w:rPr>
          <w:rFonts w:ascii="Arial" w:hAnsi="Arial" w:cs="Arial"/>
          <w:sz w:val="19"/>
          <w:szCs w:val="19"/>
        </w:rPr>
        <w:t>El pago del valor de las multas y de la cláusula penal pecuniaria.</w:t>
      </w:r>
    </w:p>
    <w:p w14:paraId="6770DD60" w14:textId="5D5490DE"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»4.</w:t>
      </w:r>
      <w:r w:rsidR="00F15515">
        <w:rPr>
          <w:rFonts w:ascii="Arial" w:hAnsi="Arial" w:cs="Arial"/>
          <w:sz w:val="19"/>
          <w:szCs w:val="19"/>
        </w:rPr>
        <w:t xml:space="preserve"> </w:t>
      </w:r>
      <w:r w:rsidRPr="00DE5B4E">
        <w:rPr>
          <w:rFonts w:ascii="Arial" w:hAnsi="Arial" w:cs="Arial"/>
          <w:sz w:val="19"/>
          <w:szCs w:val="19"/>
        </w:rPr>
        <w:t>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703986EE" w14:textId="5DB504B7"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»La Entidad Estatal no debe exigir una garantía para cubrir este Riesgo en los contratos que se ejecuten fuera del territorio nacional con personal contratado bajo un régimen jurídico distinto al colombiano.</w:t>
      </w:r>
    </w:p>
    <w:p w14:paraId="41C11F2E" w14:textId="10467157"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»5. Estabilidad y calidad de la obra. Este amparo cubre a la Entidad Estatal de los perjuicios ocasionados por cualquier tipo de daño o deterioro, imputable al contratista, sufrido por la obra entregada a satisfacción.</w:t>
      </w:r>
    </w:p>
    <w:p w14:paraId="35EF256C" w14:textId="7976BE2A"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»6. Calidad del servicio. Este amparo cubre a la Entidad Estatal por los perjuicios deri­vados de la deficiente calidad del servicio prestado.</w:t>
      </w:r>
    </w:p>
    <w:p w14:paraId="41EDCBC7" w14:textId="5B6A4DDD"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»7. Calidad y correcto funcionamiento de los bienes. Este amparo debe cubrir la calidad y el correcto funcionamiento de los bienes que recibe la Entidad Estatal en cumplimiento de un contrato.</w:t>
      </w:r>
    </w:p>
    <w:p w14:paraId="2D4438A6" w14:textId="1839F3D3"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»8. Los demás incumplimientos de obligaciones que la Entidad Estatal considere deben ser amparados de manera proporcional y acorde a la naturaleza del contrato».</w:t>
      </w:r>
    </w:p>
  </w:footnote>
  <w:footnote w:id="12">
    <w:p w14:paraId="3DA01B57" w14:textId="7323238D" w:rsidR="00DE5B4E" w:rsidRPr="00DE5B4E" w:rsidRDefault="00DE5B4E" w:rsidP="00DE5B4E">
      <w:pPr>
        <w:pStyle w:val="Textonotapie"/>
        <w:ind w:firstLine="708"/>
        <w:rPr>
          <w:rFonts w:ascii="Arial" w:hAnsi="Arial" w:cs="Arial"/>
          <w:sz w:val="19"/>
          <w:szCs w:val="19"/>
        </w:rPr>
      </w:pPr>
      <w:r w:rsidRPr="00DE5B4E">
        <w:rPr>
          <w:rStyle w:val="Refdenotaalpie"/>
          <w:rFonts w:ascii="Arial" w:hAnsi="Arial" w:cs="Arial"/>
          <w:sz w:val="19"/>
          <w:szCs w:val="19"/>
        </w:rPr>
        <w:footnoteRef/>
      </w:r>
      <w:r w:rsidRPr="00DE5B4E">
        <w:rPr>
          <w:rFonts w:ascii="Arial" w:hAnsi="Arial" w:cs="Arial"/>
          <w:sz w:val="19"/>
          <w:szCs w:val="19"/>
        </w:rPr>
        <w:t xml:space="preserve"> </w:t>
      </w:r>
      <w:r>
        <w:rPr>
          <w:rFonts w:ascii="Arial" w:hAnsi="Arial" w:cs="Arial"/>
          <w:sz w:val="19"/>
          <w:szCs w:val="19"/>
        </w:rPr>
        <w:t xml:space="preserve">CONSEJO DE ESTADO. Sección Tercera. Subsección B. Sentencia de 19 de junio de 2013. Exp. 25472. C.P. Danilo Rojas Betancourth.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68EA" w14:textId="77777777" w:rsidR="00450B8D" w:rsidRDefault="00450B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C374" w14:textId="77777777" w:rsidR="00450B8D" w:rsidRDefault="00450B8D">
    <w:pPr>
      <w:pStyle w:val="Encabezado"/>
    </w:pPr>
    <w:r>
      <w:rPr>
        <w:noProof/>
        <w:lang w:val="es-CO" w:eastAsia="es-CO"/>
      </w:rPr>
      <w:drawing>
        <wp:anchor distT="0" distB="0" distL="114300" distR="114300" simplePos="0" relativeHeight="251659264" behindDoc="1" locked="0" layoutInCell="1" allowOverlap="1" wp14:anchorId="167429E6" wp14:editId="017820F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6B1D" w14:textId="77777777" w:rsidR="00450B8D" w:rsidRDefault="00450B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034A6B4"/>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D737E9E"/>
    <w:multiLevelType w:val="hybridMultilevel"/>
    <w:tmpl w:val="B192C1FA"/>
    <w:lvl w:ilvl="0" w:tplc="240A0011">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DE"/>
    <w:rsid w:val="000039E1"/>
    <w:rsid w:val="00003A62"/>
    <w:rsid w:val="0000616C"/>
    <w:rsid w:val="00031959"/>
    <w:rsid w:val="00031B4F"/>
    <w:rsid w:val="00056F52"/>
    <w:rsid w:val="00066CFF"/>
    <w:rsid w:val="00071380"/>
    <w:rsid w:val="000728DE"/>
    <w:rsid w:val="00086C81"/>
    <w:rsid w:val="000926E7"/>
    <w:rsid w:val="000953C9"/>
    <w:rsid w:val="000B562A"/>
    <w:rsid w:val="000C13EA"/>
    <w:rsid w:val="000C175D"/>
    <w:rsid w:val="000D2ED5"/>
    <w:rsid w:val="000E0191"/>
    <w:rsid w:val="000E387D"/>
    <w:rsid w:val="000E5B5B"/>
    <w:rsid w:val="000F169E"/>
    <w:rsid w:val="00101EF3"/>
    <w:rsid w:val="00141C23"/>
    <w:rsid w:val="00155391"/>
    <w:rsid w:val="001641F6"/>
    <w:rsid w:val="00173C18"/>
    <w:rsid w:val="001850FE"/>
    <w:rsid w:val="001948D8"/>
    <w:rsid w:val="001B60AC"/>
    <w:rsid w:val="001C5AB9"/>
    <w:rsid w:val="001D393D"/>
    <w:rsid w:val="001E604C"/>
    <w:rsid w:val="001E65F8"/>
    <w:rsid w:val="001E7119"/>
    <w:rsid w:val="001F05D5"/>
    <w:rsid w:val="001F452E"/>
    <w:rsid w:val="001F4744"/>
    <w:rsid w:val="0021359A"/>
    <w:rsid w:val="0021387B"/>
    <w:rsid w:val="00216ADA"/>
    <w:rsid w:val="00222730"/>
    <w:rsid w:val="00222AAB"/>
    <w:rsid w:val="0025201D"/>
    <w:rsid w:val="00267459"/>
    <w:rsid w:val="00282AAD"/>
    <w:rsid w:val="00297E77"/>
    <w:rsid w:val="002A0A0B"/>
    <w:rsid w:val="002A3EC7"/>
    <w:rsid w:val="002A56B2"/>
    <w:rsid w:val="002C04D6"/>
    <w:rsid w:val="002E10E4"/>
    <w:rsid w:val="002E21C0"/>
    <w:rsid w:val="002F42B6"/>
    <w:rsid w:val="002F468C"/>
    <w:rsid w:val="003205E9"/>
    <w:rsid w:val="0032186C"/>
    <w:rsid w:val="003306EE"/>
    <w:rsid w:val="00355473"/>
    <w:rsid w:val="00364375"/>
    <w:rsid w:val="003979E0"/>
    <w:rsid w:val="003B1CAE"/>
    <w:rsid w:val="003C2405"/>
    <w:rsid w:val="003C281E"/>
    <w:rsid w:val="003E5C29"/>
    <w:rsid w:val="003F39B5"/>
    <w:rsid w:val="003F7329"/>
    <w:rsid w:val="004110A1"/>
    <w:rsid w:val="00415B81"/>
    <w:rsid w:val="0042238D"/>
    <w:rsid w:val="00445FD5"/>
    <w:rsid w:val="00450B8D"/>
    <w:rsid w:val="00483651"/>
    <w:rsid w:val="00486258"/>
    <w:rsid w:val="00493AF8"/>
    <w:rsid w:val="004B18B0"/>
    <w:rsid w:val="004C0962"/>
    <w:rsid w:val="004C0ACE"/>
    <w:rsid w:val="004F3B02"/>
    <w:rsid w:val="005030F4"/>
    <w:rsid w:val="0050493D"/>
    <w:rsid w:val="00507D44"/>
    <w:rsid w:val="00530BBB"/>
    <w:rsid w:val="00542B00"/>
    <w:rsid w:val="00564170"/>
    <w:rsid w:val="00565B22"/>
    <w:rsid w:val="0058473E"/>
    <w:rsid w:val="005A083E"/>
    <w:rsid w:val="005A5129"/>
    <w:rsid w:val="005B2080"/>
    <w:rsid w:val="005E3EAB"/>
    <w:rsid w:val="005F6F8C"/>
    <w:rsid w:val="00601B74"/>
    <w:rsid w:val="0063396E"/>
    <w:rsid w:val="00635578"/>
    <w:rsid w:val="00640443"/>
    <w:rsid w:val="00646598"/>
    <w:rsid w:val="00652F74"/>
    <w:rsid w:val="006665A8"/>
    <w:rsid w:val="00674DF5"/>
    <w:rsid w:val="00684FB1"/>
    <w:rsid w:val="006934AD"/>
    <w:rsid w:val="006A4794"/>
    <w:rsid w:val="006D06D5"/>
    <w:rsid w:val="006D28C4"/>
    <w:rsid w:val="006D4530"/>
    <w:rsid w:val="006D4574"/>
    <w:rsid w:val="006D52F1"/>
    <w:rsid w:val="006E01B8"/>
    <w:rsid w:val="006E416F"/>
    <w:rsid w:val="006F3C92"/>
    <w:rsid w:val="00727BE1"/>
    <w:rsid w:val="00752428"/>
    <w:rsid w:val="00767C09"/>
    <w:rsid w:val="007917E4"/>
    <w:rsid w:val="007A31CB"/>
    <w:rsid w:val="007A5B30"/>
    <w:rsid w:val="007C2DF1"/>
    <w:rsid w:val="007E6590"/>
    <w:rsid w:val="007F1023"/>
    <w:rsid w:val="00802258"/>
    <w:rsid w:val="008124B3"/>
    <w:rsid w:val="008208BF"/>
    <w:rsid w:val="00826E56"/>
    <w:rsid w:val="00831DD0"/>
    <w:rsid w:val="008325E0"/>
    <w:rsid w:val="008677EC"/>
    <w:rsid w:val="00897B79"/>
    <w:rsid w:val="008A3517"/>
    <w:rsid w:val="008D7D85"/>
    <w:rsid w:val="008F0C53"/>
    <w:rsid w:val="008F6F78"/>
    <w:rsid w:val="0090501A"/>
    <w:rsid w:val="00912E49"/>
    <w:rsid w:val="00916668"/>
    <w:rsid w:val="00927DD9"/>
    <w:rsid w:val="00944606"/>
    <w:rsid w:val="009553A7"/>
    <w:rsid w:val="009554FD"/>
    <w:rsid w:val="009640B1"/>
    <w:rsid w:val="009713F3"/>
    <w:rsid w:val="0097361F"/>
    <w:rsid w:val="00975C71"/>
    <w:rsid w:val="00986CDF"/>
    <w:rsid w:val="00990995"/>
    <w:rsid w:val="009A4639"/>
    <w:rsid w:val="009C6B45"/>
    <w:rsid w:val="009D0E06"/>
    <w:rsid w:val="009D7CD1"/>
    <w:rsid w:val="009E3832"/>
    <w:rsid w:val="009F1174"/>
    <w:rsid w:val="009F11D5"/>
    <w:rsid w:val="009F3FFA"/>
    <w:rsid w:val="009F44CB"/>
    <w:rsid w:val="00A02F49"/>
    <w:rsid w:val="00A23755"/>
    <w:rsid w:val="00A36C06"/>
    <w:rsid w:val="00A37CBF"/>
    <w:rsid w:val="00A614ED"/>
    <w:rsid w:val="00A67D29"/>
    <w:rsid w:val="00A72898"/>
    <w:rsid w:val="00A74A46"/>
    <w:rsid w:val="00A77D37"/>
    <w:rsid w:val="00A80656"/>
    <w:rsid w:val="00A97364"/>
    <w:rsid w:val="00AC3023"/>
    <w:rsid w:val="00AE5D1A"/>
    <w:rsid w:val="00AE64FF"/>
    <w:rsid w:val="00AF0733"/>
    <w:rsid w:val="00B3607F"/>
    <w:rsid w:val="00B414DE"/>
    <w:rsid w:val="00B42C4F"/>
    <w:rsid w:val="00B471AF"/>
    <w:rsid w:val="00B7322E"/>
    <w:rsid w:val="00BA1551"/>
    <w:rsid w:val="00BC1CD6"/>
    <w:rsid w:val="00BE6E35"/>
    <w:rsid w:val="00BF4AE0"/>
    <w:rsid w:val="00BF66F6"/>
    <w:rsid w:val="00C034B9"/>
    <w:rsid w:val="00C06F7B"/>
    <w:rsid w:val="00C239FA"/>
    <w:rsid w:val="00C34174"/>
    <w:rsid w:val="00C34EB1"/>
    <w:rsid w:val="00C42382"/>
    <w:rsid w:val="00C52F4B"/>
    <w:rsid w:val="00C560E4"/>
    <w:rsid w:val="00C5783A"/>
    <w:rsid w:val="00C743C3"/>
    <w:rsid w:val="00C7475D"/>
    <w:rsid w:val="00C844D3"/>
    <w:rsid w:val="00C872F0"/>
    <w:rsid w:val="00C91526"/>
    <w:rsid w:val="00C9438A"/>
    <w:rsid w:val="00CC7712"/>
    <w:rsid w:val="00CF05C5"/>
    <w:rsid w:val="00CF2711"/>
    <w:rsid w:val="00CF3CFD"/>
    <w:rsid w:val="00D102E5"/>
    <w:rsid w:val="00D365AC"/>
    <w:rsid w:val="00D46547"/>
    <w:rsid w:val="00D57A17"/>
    <w:rsid w:val="00D67815"/>
    <w:rsid w:val="00D770A9"/>
    <w:rsid w:val="00D816C0"/>
    <w:rsid w:val="00D82606"/>
    <w:rsid w:val="00D85D2F"/>
    <w:rsid w:val="00D85D7B"/>
    <w:rsid w:val="00D9583C"/>
    <w:rsid w:val="00DA1D04"/>
    <w:rsid w:val="00DB79F5"/>
    <w:rsid w:val="00DC3EB9"/>
    <w:rsid w:val="00DC43A8"/>
    <w:rsid w:val="00DE5B4E"/>
    <w:rsid w:val="00DF123C"/>
    <w:rsid w:val="00E01F78"/>
    <w:rsid w:val="00E106AF"/>
    <w:rsid w:val="00E232ED"/>
    <w:rsid w:val="00E2516A"/>
    <w:rsid w:val="00E26720"/>
    <w:rsid w:val="00E73969"/>
    <w:rsid w:val="00E778A1"/>
    <w:rsid w:val="00E81289"/>
    <w:rsid w:val="00E838E8"/>
    <w:rsid w:val="00E95FCD"/>
    <w:rsid w:val="00EA42DD"/>
    <w:rsid w:val="00EA6C85"/>
    <w:rsid w:val="00EB72B4"/>
    <w:rsid w:val="00EC1EF5"/>
    <w:rsid w:val="00EC4208"/>
    <w:rsid w:val="00ED04A5"/>
    <w:rsid w:val="00ED0755"/>
    <w:rsid w:val="00EE44D4"/>
    <w:rsid w:val="00EF3D2F"/>
    <w:rsid w:val="00F15515"/>
    <w:rsid w:val="00F16AE6"/>
    <w:rsid w:val="00F41731"/>
    <w:rsid w:val="00F467FE"/>
    <w:rsid w:val="00F554CD"/>
    <w:rsid w:val="00F63667"/>
    <w:rsid w:val="00F709AB"/>
    <w:rsid w:val="00F7703D"/>
    <w:rsid w:val="00F778CF"/>
    <w:rsid w:val="00F92F57"/>
    <w:rsid w:val="00F948A9"/>
    <w:rsid w:val="00FA0CA1"/>
    <w:rsid w:val="00FA3C87"/>
    <w:rsid w:val="00FB2F20"/>
    <w:rsid w:val="00FE75E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23B17"/>
  <w15:chartTrackingRefBased/>
  <w15:docId w15:val="{7C0F370A-AFA6-4DBB-8524-C5206633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49"/>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414DE"/>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B414DE"/>
    <w:rPr>
      <w:sz w:val="24"/>
      <w:lang w:val="es-MX"/>
    </w:rPr>
  </w:style>
  <w:style w:type="paragraph" w:styleId="Encabezado">
    <w:name w:val="header"/>
    <w:basedOn w:val="Normal"/>
    <w:link w:val="EncabezadoCar"/>
    <w:uiPriority w:val="99"/>
    <w:unhideWhenUsed/>
    <w:rsid w:val="00B414DE"/>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B414DE"/>
    <w:rPr>
      <w:sz w:val="24"/>
      <w:lang w:val="es-MX"/>
    </w:rPr>
  </w:style>
  <w:style w:type="table" w:styleId="Tablaconcuadrcula">
    <w:name w:val="Table Grid"/>
    <w:basedOn w:val="Tablanormal"/>
    <w:uiPriority w:val="59"/>
    <w:rsid w:val="00B4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B414DE"/>
    <w:pPr>
      <w:ind w:left="720"/>
      <w:contextualSpacing/>
    </w:pPr>
    <w:rPr>
      <w:rFonts w:asciiTheme="minorHAnsi" w:eastAsiaTheme="minorHAnsi" w:hAnsiTheme="minorHAnsi" w:cstheme="minorBidi"/>
      <w:szCs w:val="22"/>
      <w:lang w:val="es-MX"/>
    </w:rPr>
  </w:style>
  <w:style w:type="paragraph" w:styleId="Sinespaciado">
    <w:name w:val="No Spacing"/>
    <w:aliases w:val="No Indent"/>
    <w:uiPriority w:val="3"/>
    <w:qFormat/>
    <w:rsid w:val="00B414DE"/>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B414D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B414DE"/>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B414DE"/>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414DE"/>
    <w:rPr>
      <w:sz w:val="24"/>
      <w:lang w:val="es-MX"/>
    </w:rPr>
  </w:style>
  <w:style w:type="paragraph" w:customStyle="1" w:styleId="Capitulo1">
    <w:name w:val="Capitulo 1"/>
    <w:basedOn w:val="Normal"/>
    <w:qFormat/>
    <w:rsid w:val="00B414DE"/>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B414DE"/>
    <w:rPr>
      <w:vertAlign w:val="superscript"/>
    </w:rPr>
  </w:style>
  <w:style w:type="paragraph" w:customStyle="1" w:styleId="Default">
    <w:name w:val="Default"/>
    <w:rsid w:val="00D85D2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57A17"/>
    <w:rPr>
      <w:rFonts w:eastAsiaTheme="minorHAnsi"/>
      <w:lang w:val="es-MX"/>
    </w:rPr>
  </w:style>
  <w:style w:type="character" w:styleId="Hipervnculo">
    <w:name w:val="Hyperlink"/>
    <w:basedOn w:val="Fuentedeprrafopredeter"/>
    <w:uiPriority w:val="99"/>
    <w:unhideWhenUsed/>
    <w:rsid w:val="006E01B8"/>
    <w:rPr>
      <w:color w:val="0563C1" w:themeColor="hyperlink"/>
      <w:u w:val="single"/>
    </w:rPr>
  </w:style>
  <w:style w:type="character" w:customStyle="1" w:styleId="UnresolvedMention1">
    <w:name w:val="Unresolved Mention1"/>
    <w:basedOn w:val="Fuentedeprrafopredeter"/>
    <w:uiPriority w:val="99"/>
    <w:semiHidden/>
    <w:unhideWhenUsed/>
    <w:rsid w:val="005A083E"/>
    <w:rPr>
      <w:color w:val="605E5C"/>
      <w:shd w:val="clear" w:color="auto" w:fill="E1DFDD"/>
    </w:rPr>
  </w:style>
  <w:style w:type="character" w:styleId="Textoennegrita">
    <w:name w:val="Strong"/>
    <w:basedOn w:val="Fuentedeprrafopredeter"/>
    <w:uiPriority w:val="22"/>
    <w:qFormat/>
    <w:rsid w:val="004110A1"/>
    <w:rPr>
      <w:b/>
      <w:bCs/>
    </w:rPr>
  </w:style>
  <w:style w:type="character" w:styleId="nfasis">
    <w:name w:val="Emphasis"/>
    <w:basedOn w:val="Fuentedeprrafopredeter"/>
    <w:uiPriority w:val="20"/>
    <w:qFormat/>
    <w:rsid w:val="004110A1"/>
    <w:rPr>
      <w:i/>
      <w:iCs/>
    </w:rPr>
  </w:style>
  <w:style w:type="paragraph" w:styleId="Textodeglobo">
    <w:name w:val="Balloon Text"/>
    <w:basedOn w:val="Normal"/>
    <w:link w:val="TextodegloboCar"/>
    <w:uiPriority w:val="99"/>
    <w:semiHidden/>
    <w:unhideWhenUsed/>
    <w:rsid w:val="002A56B2"/>
    <w:rPr>
      <w:sz w:val="18"/>
      <w:szCs w:val="18"/>
    </w:rPr>
  </w:style>
  <w:style w:type="character" w:customStyle="1" w:styleId="TextodegloboCar">
    <w:name w:val="Texto de globo Car"/>
    <w:basedOn w:val="Fuentedeprrafopredeter"/>
    <w:link w:val="Textodeglobo"/>
    <w:uiPriority w:val="99"/>
    <w:semiHidden/>
    <w:rsid w:val="002A56B2"/>
    <w:rPr>
      <w:rFonts w:ascii="Times New Roman" w:eastAsia="Times New Roman" w:hAnsi="Times New Roman" w:cs="Times New Roman"/>
      <w:sz w:val="18"/>
      <w:szCs w:val="18"/>
    </w:rPr>
  </w:style>
  <w:style w:type="character" w:styleId="Refdecomentario">
    <w:name w:val="annotation reference"/>
    <w:basedOn w:val="Fuentedeprrafopredeter"/>
    <w:uiPriority w:val="99"/>
    <w:semiHidden/>
    <w:unhideWhenUsed/>
    <w:rsid w:val="002A56B2"/>
    <w:rPr>
      <w:sz w:val="16"/>
      <w:szCs w:val="16"/>
    </w:rPr>
  </w:style>
  <w:style w:type="paragraph" w:styleId="Textocomentario">
    <w:name w:val="annotation text"/>
    <w:basedOn w:val="Normal"/>
    <w:link w:val="TextocomentarioCar"/>
    <w:uiPriority w:val="99"/>
    <w:semiHidden/>
    <w:unhideWhenUsed/>
    <w:rsid w:val="002A56B2"/>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semiHidden/>
    <w:rsid w:val="002A56B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F11D5"/>
    <w:rPr>
      <w:rFonts w:ascii="Times New Roman" w:eastAsia="Times New Roman" w:hAnsi="Times New Roman" w:cs="Times New Roman"/>
      <w:b/>
      <w:bCs/>
      <w:lang w:val="es-CO"/>
    </w:rPr>
  </w:style>
  <w:style w:type="character" w:customStyle="1" w:styleId="AsuntodelcomentarioCar">
    <w:name w:val="Asunto del comentario Car"/>
    <w:basedOn w:val="TextocomentarioCar"/>
    <w:link w:val="Asuntodelcomentario"/>
    <w:uiPriority w:val="99"/>
    <w:semiHidden/>
    <w:rsid w:val="009F11D5"/>
    <w:rPr>
      <w:rFonts w:ascii="Times New Roman" w:eastAsia="Times New Roman" w:hAnsi="Times New Roman" w:cs="Times New Roman"/>
      <w:b/>
      <w:bCs/>
      <w:sz w:val="20"/>
      <w:szCs w:val="20"/>
      <w:lang w:val="es-MX"/>
    </w:rPr>
  </w:style>
  <w:style w:type="paragraph" w:styleId="Revisin">
    <w:name w:val="Revision"/>
    <w:hidden/>
    <w:uiPriority w:val="99"/>
    <w:semiHidden/>
    <w:rsid w:val="005E3EA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1558">
      <w:bodyDiv w:val="1"/>
      <w:marLeft w:val="0"/>
      <w:marRight w:val="0"/>
      <w:marTop w:val="0"/>
      <w:marBottom w:val="0"/>
      <w:divBdr>
        <w:top w:val="none" w:sz="0" w:space="0" w:color="auto"/>
        <w:left w:val="none" w:sz="0" w:space="0" w:color="auto"/>
        <w:bottom w:val="none" w:sz="0" w:space="0" w:color="auto"/>
        <w:right w:val="none" w:sz="0" w:space="0" w:color="auto"/>
      </w:divBdr>
    </w:div>
    <w:div w:id="281965796">
      <w:bodyDiv w:val="1"/>
      <w:marLeft w:val="0"/>
      <w:marRight w:val="0"/>
      <w:marTop w:val="0"/>
      <w:marBottom w:val="0"/>
      <w:divBdr>
        <w:top w:val="none" w:sz="0" w:space="0" w:color="auto"/>
        <w:left w:val="none" w:sz="0" w:space="0" w:color="auto"/>
        <w:bottom w:val="none" w:sz="0" w:space="0" w:color="auto"/>
        <w:right w:val="none" w:sz="0" w:space="0" w:color="auto"/>
      </w:divBdr>
    </w:div>
    <w:div w:id="447697258">
      <w:bodyDiv w:val="1"/>
      <w:marLeft w:val="0"/>
      <w:marRight w:val="0"/>
      <w:marTop w:val="0"/>
      <w:marBottom w:val="0"/>
      <w:divBdr>
        <w:top w:val="none" w:sz="0" w:space="0" w:color="auto"/>
        <w:left w:val="none" w:sz="0" w:space="0" w:color="auto"/>
        <w:bottom w:val="none" w:sz="0" w:space="0" w:color="auto"/>
        <w:right w:val="none" w:sz="0" w:space="0" w:color="auto"/>
      </w:divBdr>
    </w:div>
    <w:div w:id="449251502">
      <w:bodyDiv w:val="1"/>
      <w:marLeft w:val="0"/>
      <w:marRight w:val="0"/>
      <w:marTop w:val="0"/>
      <w:marBottom w:val="0"/>
      <w:divBdr>
        <w:top w:val="none" w:sz="0" w:space="0" w:color="auto"/>
        <w:left w:val="none" w:sz="0" w:space="0" w:color="auto"/>
        <w:bottom w:val="none" w:sz="0" w:space="0" w:color="auto"/>
        <w:right w:val="none" w:sz="0" w:space="0" w:color="auto"/>
      </w:divBdr>
    </w:div>
    <w:div w:id="477183958">
      <w:bodyDiv w:val="1"/>
      <w:marLeft w:val="0"/>
      <w:marRight w:val="0"/>
      <w:marTop w:val="0"/>
      <w:marBottom w:val="0"/>
      <w:divBdr>
        <w:top w:val="none" w:sz="0" w:space="0" w:color="auto"/>
        <w:left w:val="none" w:sz="0" w:space="0" w:color="auto"/>
        <w:bottom w:val="none" w:sz="0" w:space="0" w:color="auto"/>
        <w:right w:val="none" w:sz="0" w:space="0" w:color="auto"/>
      </w:divBdr>
    </w:div>
    <w:div w:id="667443252">
      <w:bodyDiv w:val="1"/>
      <w:marLeft w:val="0"/>
      <w:marRight w:val="0"/>
      <w:marTop w:val="0"/>
      <w:marBottom w:val="0"/>
      <w:divBdr>
        <w:top w:val="none" w:sz="0" w:space="0" w:color="auto"/>
        <w:left w:val="none" w:sz="0" w:space="0" w:color="auto"/>
        <w:bottom w:val="none" w:sz="0" w:space="0" w:color="auto"/>
        <w:right w:val="none" w:sz="0" w:space="0" w:color="auto"/>
      </w:divBdr>
    </w:div>
    <w:div w:id="736899898">
      <w:bodyDiv w:val="1"/>
      <w:marLeft w:val="0"/>
      <w:marRight w:val="0"/>
      <w:marTop w:val="0"/>
      <w:marBottom w:val="0"/>
      <w:divBdr>
        <w:top w:val="none" w:sz="0" w:space="0" w:color="auto"/>
        <w:left w:val="none" w:sz="0" w:space="0" w:color="auto"/>
        <w:bottom w:val="none" w:sz="0" w:space="0" w:color="auto"/>
        <w:right w:val="none" w:sz="0" w:space="0" w:color="auto"/>
      </w:divBdr>
    </w:div>
    <w:div w:id="743768160">
      <w:bodyDiv w:val="1"/>
      <w:marLeft w:val="0"/>
      <w:marRight w:val="0"/>
      <w:marTop w:val="0"/>
      <w:marBottom w:val="0"/>
      <w:divBdr>
        <w:top w:val="none" w:sz="0" w:space="0" w:color="auto"/>
        <w:left w:val="none" w:sz="0" w:space="0" w:color="auto"/>
        <w:bottom w:val="none" w:sz="0" w:space="0" w:color="auto"/>
        <w:right w:val="none" w:sz="0" w:space="0" w:color="auto"/>
      </w:divBdr>
    </w:div>
    <w:div w:id="816610400">
      <w:bodyDiv w:val="1"/>
      <w:marLeft w:val="0"/>
      <w:marRight w:val="0"/>
      <w:marTop w:val="0"/>
      <w:marBottom w:val="0"/>
      <w:divBdr>
        <w:top w:val="none" w:sz="0" w:space="0" w:color="auto"/>
        <w:left w:val="none" w:sz="0" w:space="0" w:color="auto"/>
        <w:bottom w:val="none" w:sz="0" w:space="0" w:color="auto"/>
        <w:right w:val="none" w:sz="0" w:space="0" w:color="auto"/>
      </w:divBdr>
    </w:div>
    <w:div w:id="927035956">
      <w:bodyDiv w:val="1"/>
      <w:marLeft w:val="0"/>
      <w:marRight w:val="0"/>
      <w:marTop w:val="0"/>
      <w:marBottom w:val="0"/>
      <w:divBdr>
        <w:top w:val="none" w:sz="0" w:space="0" w:color="auto"/>
        <w:left w:val="none" w:sz="0" w:space="0" w:color="auto"/>
        <w:bottom w:val="none" w:sz="0" w:space="0" w:color="auto"/>
        <w:right w:val="none" w:sz="0" w:space="0" w:color="auto"/>
      </w:divBdr>
    </w:div>
    <w:div w:id="965886970">
      <w:bodyDiv w:val="1"/>
      <w:marLeft w:val="0"/>
      <w:marRight w:val="0"/>
      <w:marTop w:val="0"/>
      <w:marBottom w:val="0"/>
      <w:divBdr>
        <w:top w:val="none" w:sz="0" w:space="0" w:color="auto"/>
        <w:left w:val="none" w:sz="0" w:space="0" w:color="auto"/>
        <w:bottom w:val="none" w:sz="0" w:space="0" w:color="auto"/>
        <w:right w:val="none" w:sz="0" w:space="0" w:color="auto"/>
      </w:divBdr>
    </w:div>
    <w:div w:id="1204713484">
      <w:bodyDiv w:val="1"/>
      <w:marLeft w:val="0"/>
      <w:marRight w:val="0"/>
      <w:marTop w:val="0"/>
      <w:marBottom w:val="0"/>
      <w:divBdr>
        <w:top w:val="none" w:sz="0" w:space="0" w:color="auto"/>
        <w:left w:val="none" w:sz="0" w:space="0" w:color="auto"/>
        <w:bottom w:val="none" w:sz="0" w:space="0" w:color="auto"/>
        <w:right w:val="none" w:sz="0" w:space="0" w:color="auto"/>
      </w:divBdr>
    </w:div>
    <w:div w:id="1320115925">
      <w:bodyDiv w:val="1"/>
      <w:marLeft w:val="0"/>
      <w:marRight w:val="0"/>
      <w:marTop w:val="0"/>
      <w:marBottom w:val="0"/>
      <w:divBdr>
        <w:top w:val="none" w:sz="0" w:space="0" w:color="auto"/>
        <w:left w:val="none" w:sz="0" w:space="0" w:color="auto"/>
        <w:bottom w:val="none" w:sz="0" w:space="0" w:color="auto"/>
        <w:right w:val="none" w:sz="0" w:space="0" w:color="auto"/>
      </w:divBdr>
    </w:div>
    <w:div w:id="1456867817">
      <w:bodyDiv w:val="1"/>
      <w:marLeft w:val="0"/>
      <w:marRight w:val="0"/>
      <w:marTop w:val="0"/>
      <w:marBottom w:val="0"/>
      <w:divBdr>
        <w:top w:val="none" w:sz="0" w:space="0" w:color="auto"/>
        <w:left w:val="none" w:sz="0" w:space="0" w:color="auto"/>
        <w:bottom w:val="none" w:sz="0" w:space="0" w:color="auto"/>
        <w:right w:val="none" w:sz="0" w:space="0" w:color="auto"/>
      </w:divBdr>
    </w:div>
    <w:div w:id="1508666894">
      <w:bodyDiv w:val="1"/>
      <w:marLeft w:val="0"/>
      <w:marRight w:val="0"/>
      <w:marTop w:val="0"/>
      <w:marBottom w:val="0"/>
      <w:divBdr>
        <w:top w:val="none" w:sz="0" w:space="0" w:color="auto"/>
        <w:left w:val="none" w:sz="0" w:space="0" w:color="auto"/>
        <w:bottom w:val="none" w:sz="0" w:space="0" w:color="auto"/>
        <w:right w:val="none" w:sz="0" w:space="0" w:color="auto"/>
      </w:divBdr>
    </w:div>
    <w:div w:id="1579368278">
      <w:bodyDiv w:val="1"/>
      <w:marLeft w:val="0"/>
      <w:marRight w:val="0"/>
      <w:marTop w:val="0"/>
      <w:marBottom w:val="0"/>
      <w:divBdr>
        <w:top w:val="none" w:sz="0" w:space="0" w:color="auto"/>
        <w:left w:val="none" w:sz="0" w:space="0" w:color="auto"/>
        <w:bottom w:val="none" w:sz="0" w:space="0" w:color="auto"/>
        <w:right w:val="none" w:sz="0" w:space="0" w:color="auto"/>
      </w:divBdr>
    </w:div>
    <w:div w:id="1598635096">
      <w:bodyDiv w:val="1"/>
      <w:marLeft w:val="0"/>
      <w:marRight w:val="0"/>
      <w:marTop w:val="0"/>
      <w:marBottom w:val="0"/>
      <w:divBdr>
        <w:top w:val="none" w:sz="0" w:space="0" w:color="auto"/>
        <w:left w:val="none" w:sz="0" w:space="0" w:color="auto"/>
        <w:bottom w:val="none" w:sz="0" w:space="0" w:color="auto"/>
        <w:right w:val="none" w:sz="0" w:space="0" w:color="auto"/>
      </w:divBdr>
    </w:div>
    <w:div w:id="1602837449">
      <w:bodyDiv w:val="1"/>
      <w:marLeft w:val="0"/>
      <w:marRight w:val="0"/>
      <w:marTop w:val="0"/>
      <w:marBottom w:val="0"/>
      <w:divBdr>
        <w:top w:val="none" w:sz="0" w:space="0" w:color="auto"/>
        <w:left w:val="none" w:sz="0" w:space="0" w:color="auto"/>
        <w:bottom w:val="none" w:sz="0" w:space="0" w:color="auto"/>
        <w:right w:val="none" w:sz="0" w:space="0" w:color="auto"/>
      </w:divBdr>
    </w:div>
    <w:div w:id="1604991346">
      <w:bodyDiv w:val="1"/>
      <w:marLeft w:val="0"/>
      <w:marRight w:val="0"/>
      <w:marTop w:val="0"/>
      <w:marBottom w:val="0"/>
      <w:divBdr>
        <w:top w:val="none" w:sz="0" w:space="0" w:color="auto"/>
        <w:left w:val="none" w:sz="0" w:space="0" w:color="auto"/>
        <w:bottom w:val="none" w:sz="0" w:space="0" w:color="auto"/>
        <w:right w:val="none" w:sz="0" w:space="0" w:color="auto"/>
      </w:divBdr>
    </w:div>
    <w:div w:id="1761175588">
      <w:bodyDiv w:val="1"/>
      <w:marLeft w:val="0"/>
      <w:marRight w:val="0"/>
      <w:marTop w:val="0"/>
      <w:marBottom w:val="0"/>
      <w:divBdr>
        <w:top w:val="none" w:sz="0" w:space="0" w:color="auto"/>
        <w:left w:val="none" w:sz="0" w:space="0" w:color="auto"/>
        <w:bottom w:val="none" w:sz="0" w:space="0" w:color="auto"/>
        <w:right w:val="none" w:sz="0" w:space="0" w:color="auto"/>
      </w:divBdr>
    </w:div>
    <w:div w:id="1819345301">
      <w:bodyDiv w:val="1"/>
      <w:marLeft w:val="0"/>
      <w:marRight w:val="0"/>
      <w:marTop w:val="0"/>
      <w:marBottom w:val="0"/>
      <w:divBdr>
        <w:top w:val="none" w:sz="0" w:space="0" w:color="auto"/>
        <w:left w:val="none" w:sz="0" w:space="0" w:color="auto"/>
        <w:bottom w:val="none" w:sz="0" w:space="0" w:color="auto"/>
        <w:right w:val="none" w:sz="0" w:space="0" w:color="auto"/>
      </w:divBdr>
    </w:div>
    <w:div w:id="1821995983">
      <w:bodyDiv w:val="1"/>
      <w:marLeft w:val="0"/>
      <w:marRight w:val="0"/>
      <w:marTop w:val="0"/>
      <w:marBottom w:val="0"/>
      <w:divBdr>
        <w:top w:val="none" w:sz="0" w:space="0" w:color="auto"/>
        <w:left w:val="none" w:sz="0" w:space="0" w:color="auto"/>
        <w:bottom w:val="none" w:sz="0" w:space="0" w:color="auto"/>
        <w:right w:val="none" w:sz="0" w:space="0" w:color="auto"/>
      </w:divBdr>
    </w:div>
    <w:div w:id="1899704641">
      <w:bodyDiv w:val="1"/>
      <w:marLeft w:val="0"/>
      <w:marRight w:val="0"/>
      <w:marTop w:val="0"/>
      <w:marBottom w:val="0"/>
      <w:divBdr>
        <w:top w:val="none" w:sz="0" w:space="0" w:color="auto"/>
        <w:left w:val="none" w:sz="0" w:space="0" w:color="auto"/>
        <w:bottom w:val="none" w:sz="0" w:space="0" w:color="auto"/>
        <w:right w:val="none" w:sz="0" w:space="0" w:color="auto"/>
      </w:divBdr>
    </w:div>
    <w:div w:id="2085058501">
      <w:bodyDiv w:val="1"/>
      <w:marLeft w:val="0"/>
      <w:marRight w:val="0"/>
      <w:marTop w:val="0"/>
      <w:marBottom w:val="0"/>
      <w:divBdr>
        <w:top w:val="none" w:sz="0" w:space="0" w:color="auto"/>
        <w:left w:val="none" w:sz="0" w:space="0" w:color="auto"/>
        <w:bottom w:val="none" w:sz="0" w:space="0" w:color="auto"/>
        <w:right w:val="none" w:sz="0" w:space="0" w:color="auto"/>
      </w:divBdr>
    </w:div>
    <w:div w:id="21322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garantias.pdf" TargetMode="External"/><Relationship Id="rId1" Type="http://schemas.openxmlformats.org/officeDocument/2006/relationships/hyperlink" Target="https://www.colombiacompra.gov.co/sites/cce_public/files/cce_documents/cce_guia_liquidacion_proces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C147276-2722-40B2-BF3C-4B567BD3E60C}">
  <ds:schemaRefs>
    <ds:schemaRef ds:uri="http://schemas.openxmlformats.org/officeDocument/2006/bibliography"/>
  </ds:schemaRefs>
</ds:datastoreItem>
</file>

<file path=customXml/itemProps2.xml><?xml version="1.0" encoding="utf-8"?>
<ds:datastoreItem xmlns:ds="http://schemas.openxmlformats.org/officeDocument/2006/customXml" ds:itemID="{A3367A30-7BC8-40B8-B280-C188A900B11B}">
  <ds:schemaRefs>
    <ds:schemaRef ds:uri="http://schemas.microsoft.com/sharepoint/v3/contenttype/forms"/>
  </ds:schemaRefs>
</ds:datastoreItem>
</file>

<file path=customXml/itemProps3.xml><?xml version="1.0" encoding="utf-8"?>
<ds:datastoreItem xmlns:ds="http://schemas.openxmlformats.org/officeDocument/2006/customXml" ds:itemID="{34AEC866-4FA2-4623-BF59-5A8B928A2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81352-70BB-456F-BE9F-D648057BDE9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4412</Words>
  <Characters>24270</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3</cp:revision>
  <dcterms:created xsi:type="dcterms:W3CDTF">2020-10-05T14:00:00Z</dcterms:created>
  <dcterms:modified xsi:type="dcterms:W3CDTF">2020-10-05T14:41:00Z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