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85790B"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6C15D5">
        <w:rPr>
          <w:rFonts w:ascii="Arial" w:hAnsi="Arial" w:cs="Arial"/>
          <w:bCs/>
          <w:color w:val="000000" w:themeColor="text1"/>
          <w:sz w:val="16"/>
          <w:szCs w:val="16"/>
          <w:lang w:eastAsia="es-ES"/>
        </w:rPr>
        <w:t>CCE-DES-FM-17</w:t>
      </w:r>
    </w:p>
    <w:bookmarkEnd w:id="0"/>
    <w:bookmarkEnd w:id="1"/>
    <w:p w14:paraId="1BED658F" w14:textId="77777777" w:rsidR="00F02D25" w:rsidRPr="0085790B" w:rsidRDefault="00F02D25" w:rsidP="00E548C3">
      <w:pPr>
        <w:jc w:val="both"/>
        <w:rPr>
          <w:rFonts w:ascii="Arial" w:eastAsia="Calibri" w:hAnsi="Arial" w:cs="Arial"/>
          <w:b/>
          <w:bCs/>
          <w:color w:val="000000" w:themeColor="text1"/>
          <w:sz w:val="22"/>
          <w:lang w:val="es-ES_tradnl"/>
        </w:rPr>
      </w:pPr>
    </w:p>
    <w:p w14:paraId="62FE313E" w14:textId="77777777" w:rsidR="000F1450" w:rsidRPr="000679DA" w:rsidRDefault="000F1450" w:rsidP="000F1450">
      <w:pPr>
        <w:jc w:val="both"/>
        <w:rPr>
          <w:rFonts w:ascii="Arial" w:eastAsia="Calibri" w:hAnsi="Arial" w:cs="Arial"/>
          <w:b/>
          <w:color w:val="000000"/>
          <w:sz w:val="22"/>
        </w:rPr>
      </w:pPr>
      <w:r w:rsidRPr="000679DA">
        <w:rPr>
          <w:rFonts w:ascii="Arial" w:eastAsia="Calibri" w:hAnsi="Arial" w:cs="Arial"/>
          <w:b/>
          <w:color w:val="000000"/>
          <w:sz w:val="22"/>
        </w:rPr>
        <w:t xml:space="preserve">PERSONAS EN CONDICIÓN DE DISCAPACIDAD – </w:t>
      </w:r>
      <w:r>
        <w:rPr>
          <w:rFonts w:ascii="Arial" w:eastAsia="Calibri" w:hAnsi="Arial" w:cs="Arial"/>
          <w:b/>
          <w:color w:val="000000"/>
          <w:sz w:val="22"/>
        </w:rPr>
        <w:t xml:space="preserve">Incentivo </w:t>
      </w:r>
      <w:r w:rsidRPr="000679DA">
        <w:rPr>
          <w:rFonts w:ascii="Arial" w:eastAsia="Calibri" w:hAnsi="Arial" w:cs="Arial"/>
          <w:b/>
          <w:color w:val="000000"/>
          <w:sz w:val="22"/>
        </w:rPr>
        <w:t>Puntaje –</w:t>
      </w:r>
      <w:r>
        <w:rPr>
          <w:rFonts w:ascii="Arial" w:eastAsia="Calibri" w:hAnsi="Arial" w:cs="Arial"/>
          <w:b/>
          <w:color w:val="000000"/>
          <w:sz w:val="22"/>
        </w:rPr>
        <w:t xml:space="preserve"> A</w:t>
      </w:r>
      <w:r w:rsidRPr="000679DA">
        <w:rPr>
          <w:rFonts w:ascii="Arial" w:eastAsia="Calibri" w:hAnsi="Arial" w:cs="Arial"/>
          <w:b/>
          <w:color w:val="000000"/>
          <w:sz w:val="22"/>
        </w:rPr>
        <w:t>dicional – Normativa</w:t>
      </w:r>
    </w:p>
    <w:p w14:paraId="4CB407EA" w14:textId="77777777" w:rsidR="000F1450" w:rsidRPr="004C1CC6" w:rsidRDefault="000F1450" w:rsidP="000F1450">
      <w:pPr>
        <w:tabs>
          <w:tab w:val="left" w:pos="1816"/>
        </w:tabs>
        <w:jc w:val="both"/>
        <w:rPr>
          <w:rFonts w:ascii="Arial" w:eastAsia="Calibri" w:hAnsi="Arial" w:cs="Arial"/>
          <w:b/>
          <w:color w:val="000000"/>
          <w:sz w:val="22"/>
        </w:rPr>
      </w:pPr>
      <w:r w:rsidRPr="000679DA">
        <w:rPr>
          <w:rFonts w:ascii="Arial" w:eastAsia="Calibri" w:hAnsi="Arial" w:cs="Arial"/>
          <w:b/>
          <w:color w:val="000000"/>
          <w:sz w:val="22"/>
        </w:rPr>
        <w:t xml:space="preserve"> </w:t>
      </w:r>
      <w:r w:rsidRPr="000679DA">
        <w:rPr>
          <w:rFonts w:ascii="Arial" w:eastAsia="Calibri" w:hAnsi="Arial" w:cs="Arial"/>
          <w:b/>
          <w:color w:val="000000"/>
          <w:sz w:val="22"/>
        </w:rPr>
        <w:tab/>
      </w:r>
      <w:r>
        <w:rPr>
          <w:rFonts w:ascii="Arial" w:eastAsia="Calibri" w:hAnsi="Arial" w:cs="Arial"/>
          <w:color w:val="000000"/>
          <w:sz w:val="20"/>
          <w:szCs w:val="20"/>
        </w:rPr>
        <w:t xml:space="preserve"> </w:t>
      </w:r>
    </w:p>
    <w:p w14:paraId="31A08788" w14:textId="77777777" w:rsidR="000F1450" w:rsidRPr="006434A3" w:rsidRDefault="000F1450" w:rsidP="000F1450">
      <w:pPr>
        <w:spacing w:after="120"/>
        <w:jc w:val="both"/>
        <w:rPr>
          <w:rFonts w:ascii="Arial" w:eastAsia="Calibri" w:hAnsi="Arial" w:cs="Arial"/>
          <w:bCs/>
          <w:sz w:val="20"/>
          <w:szCs w:val="20"/>
          <w:lang w:val="es-ES"/>
        </w:rPr>
      </w:pPr>
      <w:r>
        <w:rPr>
          <w:rFonts w:ascii="Arial" w:eastAsia="Calibri" w:hAnsi="Arial" w:cs="Arial"/>
          <w:color w:val="000000"/>
          <w:sz w:val="20"/>
          <w:szCs w:val="20"/>
        </w:rPr>
        <w:t>El Decreto 392 de 2018 […]</w:t>
      </w:r>
      <w:r w:rsidRPr="004C1CC6">
        <w:rPr>
          <w:rFonts w:ascii="Arial" w:eastAsia="Calibri" w:hAnsi="Arial" w:cs="Arial"/>
          <w:color w:val="000000"/>
          <w:sz w:val="20"/>
          <w:szCs w:val="20"/>
        </w:rPr>
        <w:t xml:space="preserve"> </w:t>
      </w:r>
      <w:r w:rsidRPr="00B715D7">
        <w:rPr>
          <w:rFonts w:ascii="Arial" w:eastAsia="Calibri" w:hAnsi="Arial" w:cs="Arial"/>
          <w:color w:val="000000"/>
          <w:sz w:val="20"/>
          <w:szCs w:val="20"/>
        </w:rPr>
        <w:t xml:space="preserve">prevé el deber de las entidades estatales de otorgar un puntaje adicional a los procesos de selección de contratistas en las modalidades de licitación pública y concurso de méritos, a quienes acrediten que al menos el diez por ciento (10%) de su nómina la integran personas en situación de </w:t>
      </w:r>
      <w:r w:rsidRPr="006434A3">
        <w:rPr>
          <w:rFonts w:ascii="Arial" w:eastAsia="Calibri" w:hAnsi="Arial" w:cs="Arial"/>
          <w:bCs/>
          <w:sz w:val="20"/>
          <w:szCs w:val="20"/>
          <w:lang w:val="es-ES"/>
        </w:rPr>
        <w:t>discapacidad.</w:t>
      </w:r>
    </w:p>
    <w:p w14:paraId="16A2E774" w14:textId="145138D9" w:rsidR="000F1450" w:rsidRPr="002B73B0" w:rsidRDefault="000F1450" w:rsidP="002B73B0">
      <w:pPr>
        <w:jc w:val="both"/>
        <w:rPr>
          <w:rFonts w:ascii="Arial" w:eastAsia="Calibri" w:hAnsi="Arial" w:cs="Arial"/>
          <w:color w:val="000000"/>
          <w:sz w:val="20"/>
          <w:szCs w:val="20"/>
        </w:rPr>
      </w:pPr>
      <w:r w:rsidRPr="006434A3">
        <w:rPr>
          <w:rFonts w:ascii="Arial" w:eastAsia="Calibri" w:hAnsi="Arial" w:cs="Arial"/>
          <w:bCs/>
          <w:sz w:val="20"/>
          <w:szCs w:val="20"/>
          <w:lang w:val="es-ES"/>
        </w:rPr>
        <w:t>Conforme con lo anterior, el Decreto 1082 de 2015, en el artículo 2.2.1.2.4.6, adicionado por el Decreto 392 de 20</w:t>
      </w:r>
      <w:r w:rsidRPr="00B715D7">
        <w:rPr>
          <w:rFonts w:ascii="Arial" w:eastAsia="Calibri" w:hAnsi="Arial" w:cs="Arial"/>
          <w:color w:val="000000"/>
          <w:sz w:val="20"/>
          <w:szCs w:val="20"/>
        </w:rPr>
        <w:t>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w:t>
      </w:r>
      <w:r>
        <w:rPr>
          <w:rFonts w:ascii="Arial" w:eastAsia="Calibri" w:hAnsi="Arial" w:cs="Arial"/>
          <w:color w:val="000000"/>
          <w:sz w:val="20"/>
          <w:szCs w:val="20"/>
        </w:rPr>
        <w:t xml:space="preserve">. </w:t>
      </w:r>
    </w:p>
    <w:p w14:paraId="2487B81A" w14:textId="77777777" w:rsidR="002B73B0" w:rsidRDefault="002B73B0" w:rsidP="000F1450">
      <w:pPr>
        <w:jc w:val="both"/>
        <w:rPr>
          <w:rFonts w:ascii="Arial" w:eastAsia="Calibri" w:hAnsi="Arial" w:cs="Arial"/>
          <w:b/>
          <w:sz w:val="22"/>
        </w:rPr>
      </w:pPr>
    </w:p>
    <w:p w14:paraId="029600C5" w14:textId="404B51A3" w:rsidR="000F1450" w:rsidRPr="00B62411" w:rsidRDefault="000F1450" w:rsidP="000F1450">
      <w:pPr>
        <w:jc w:val="both"/>
        <w:rPr>
          <w:rFonts w:ascii="Arial" w:eastAsia="Calibri" w:hAnsi="Arial" w:cs="Arial"/>
          <w:sz w:val="22"/>
          <w:lang w:val="es-ES"/>
        </w:rPr>
      </w:pPr>
      <w:r w:rsidRPr="006210F0">
        <w:rPr>
          <w:rFonts w:ascii="Arial" w:eastAsia="Calibri" w:hAnsi="Arial" w:cs="Arial"/>
          <w:b/>
          <w:sz w:val="22"/>
        </w:rPr>
        <w:t xml:space="preserve">PERSONAS EN CONDICIÓN DE DISCAPACIDAD – Proponentes plurales – Regla </w:t>
      </w:r>
    </w:p>
    <w:p w14:paraId="4FA83ED0" w14:textId="77777777" w:rsidR="000F1450" w:rsidRPr="006210F0" w:rsidRDefault="000F1450" w:rsidP="000F1450">
      <w:pPr>
        <w:jc w:val="both"/>
        <w:rPr>
          <w:rFonts w:ascii="Arial" w:eastAsia="Calibri" w:hAnsi="Arial" w:cs="Arial"/>
          <w:sz w:val="20"/>
          <w:szCs w:val="20"/>
        </w:rPr>
      </w:pPr>
      <w:r w:rsidRPr="006210F0">
        <w:rPr>
          <w:rFonts w:ascii="Arial" w:eastAsia="Calibri" w:hAnsi="Arial" w:cs="Arial"/>
          <w:sz w:val="20"/>
          <w:szCs w:val="20"/>
        </w:rPr>
        <w:t xml:space="preserve"> </w:t>
      </w:r>
    </w:p>
    <w:p w14:paraId="047E82B7" w14:textId="77777777" w:rsidR="000F1450" w:rsidRPr="006210F0" w:rsidRDefault="000F1450" w:rsidP="000F1450">
      <w:pPr>
        <w:jc w:val="both"/>
        <w:rPr>
          <w:rFonts w:ascii="Arial" w:eastAsia="Calibri" w:hAnsi="Arial" w:cs="Arial"/>
          <w:sz w:val="20"/>
          <w:szCs w:val="20"/>
        </w:rPr>
      </w:pPr>
      <w:r w:rsidRPr="006210F0">
        <w:rPr>
          <w:rFonts w:ascii="Arial" w:eastAsia="Calibri" w:hAnsi="Arial" w:cs="Arial"/>
          <w:sz w:val="20"/>
          <w:szCs w:val="20"/>
        </w:rPr>
        <w:t>[…]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mínimo el cuarenta por ciento (40%) de la experiencia. En contraste, si el integrante que aporta este porcentaje no tiene vinculados trabajadores en condición de discapacidad, no podrá el consorcio o la unión temporal de que hace parte obtener puntaje por este criterio. Ello es así, aun cuando los demás integrantes que hayan aportado experiencia en un porcentaje inferior al cuarenta por ciento (40%) cuenten con trabajadores en condición de discapacidad.</w:t>
      </w:r>
    </w:p>
    <w:p w14:paraId="04696619" w14:textId="77777777" w:rsidR="000F1450" w:rsidRPr="006210F0" w:rsidRDefault="000F1450" w:rsidP="000F1450">
      <w:pPr>
        <w:jc w:val="both"/>
        <w:rPr>
          <w:rFonts w:ascii="Arial" w:eastAsia="Calibri" w:hAnsi="Arial" w:cs="Arial"/>
          <w:sz w:val="20"/>
          <w:szCs w:val="20"/>
        </w:rPr>
      </w:pPr>
    </w:p>
    <w:p w14:paraId="5A7E88B9" w14:textId="77777777" w:rsidR="000F1450" w:rsidRPr="00B62411" w:rsidRDefault="000F1450" w:rsidP="000F1450">
      <w:pPr>
        <w:jc w:val="both"/>
        <w:rPr>
          <w:rFonts w:ascii="Arial" w:eastAsia="Calibri" w:hAnsi="Arial" w:cs="Arial"/>
          <w:b/>
          <w:bCs/>
          <w:sz w:val="22"/>
          <w:lang w:val="es-ES"/>
        </w:rPr>
      </w:pPr>
      <w:r w:rsidRPr="006210F0">
        <w:rPr>
          <w:rFonts w:ascii="Arial" w:eastAsia="Calibri" w:hAnsi="Arial" w:cs="Arial"/>
          <w:b/>
          <w:sz w:val="22"/>
        </w:rPr>
        <w:t xml:space="preserve">PERSONAS EN CONDICIÓN DE DISCAPACIDAD </w:t>
      </w:r>
      <w:r w:rsidRPr="00B62411">
        <w:rPr>
          <w:rFonts w:ascii="Arial" w:eastAsia="Calibri" w:hAnsi="Arial" w:cs="Arial"/>
          <w:b/>
          <w:bCs/>
          <w:sz w:val="22"/>
          <w:lang w:val="es-ES"/>
        </w:rPr>
        <w:t>– Proponentes plurales</w:t>
      </w:r>
      <w:r>
        <w:rPr>
          <w:rFonts w:ascii="Arial" w:eastAsia="Calibri" w:hAnsi="Arial" w:cs="Arial"/>
          <w:b/>
          <w:bCs/>
          <w:sz w:val="22"/>
          <w:lang w:val="es-ES"/>
        </w:rPr>
        <w:t xml:space="preserve"> – Experiencia</w:t>
      </w:r>
      <w:r w:rsidRPr="00B62411">
        <w:rPr>
          <w:rFonts w:ascii="Arial" w:eastAsia="Calibri" w:hAnsi="Arial" w:cs="Arial"/>
          <w:b/>
          <w:bCs/>
          <w:sz w:val="22"/>
          <w:lang w:val="es-ES"/>
        </w:rPr>
        <w:t xml:space="preserve"> –</w:t>
      </w:r>
      <w:r>
        <w:rPr>
          <w:rFonts w:ascii="Arial" w:eastAsia="Calibri" w:hAnsi="Arial" w:cs="Arial"/>
          <w:b/>
          <w:bCs/>
          <w:sz w:val="22"/>
          <w:lang w:val="es-ES"/>
        </w:rPr>
        <w:t xml:space="preserve"> Varios integrantes – Consorcio y unión temporal</w:t>
      </w:r>
    </w:p>
    <w:p w14:paraId="43501186" w14:textId="77777777" w:rsidR="000F1450" w:rsidRPr="00B62411" w:rsidRDefault="000F1450" w:rsidP="000F1450">
      <w:pPr>
        <w:jc w:val="both"/>
        <w:rPr>
          <w:rFonts w:ascii="Arial" w:eastAsia="Calibri" w:hAnsi="Arial" w:cs="Arial"/>
          <w:sz w:val="20"/>
          <w:szCs w:val="20"/>
          <w:lang w:val="es-ES"/>
        </w:rPr>
      </w:pPr>
    </w:p>
    <w:p w14:paraId="71BD263B" w14:textId="77777777" w:rsidR="000F1450" w:rsidRPr="00B715D7" w:rsidRDefault="000F1450" w:rsidP="000F1450">
      <w:pPr>
        <w:spacing w:after="120"/>
        <w:jc w:val="both"/>
        <w:rPr>
          <w:rFonts w:ascii="Arial" w:eastAsia="Calibri" w:hAnsi="Arial" w:cs="Arial"/>
          <w:bCs/>
          <w:sz w:val="20"/>
          <w:szCs w:val="20"/>
          <w:lang w:val="es-ES"/>
        </w:rPr>
      </w:pPr>
      <w:r w:rsidRPr="00B715D7">
        <w:rPr>
          <w:rFonts w:ascii="Arial" w:eastAsia="Calibri" w:hAnsi="Arial" w:cs="Arial"/>
          <w:bCs/>
          <w:sz w:val="20"/>
          <w:szCs w:val="20"/>
          <w:lang w:val="es-ES"/>
        </w:rPr>
        <w:t xml:space="preserve">Sobre el cálculo de la experiencia para las estructuras plurales. En el «Manual para determinar y verificar los requisitos habilitantes en los Procesos de Contratación» la Agencia Nacional de Contratación Pública – Colombia Compra Eficiente aclaró lo siguiente: «La experiencia del oferente plural (unión temporal, consorcio y promesa de sociedad futura) corresponde a la suma de la experiencia que acredite cada uno de los integrantes del proponente plural». 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00709C80" w14:textId="271FFEA2" w:rsidR="000F1450" w:rsidRDefault="000F1450" w:rsidP="000F1450">
      <w:pPr>
        <w:jc w:val="both"/>
        <w:rPr>
          <w:rFonts w:ascii="Arial" w:eastAsia="Calibri" w:hAnsi="Arial" w:cs="Arial"/>
          <w:bCs/>
          <w:sz w:val="20"/>
          <w:szCs w:val="20"/>
          <w:lang w:val="es-ES"/>
        </w:rPr>
      </w:pPr>
      <w:r w:rsidRPr="00B715D7">
        <w:rPr>
          <w:rFonts w:ascii="Arial" w:eastAsia="Calibri" w:hAnsi="Arial" w:cs="Arial"/>
          <w:bCs/>
          <w:sz w:val="20"/>
          <w:szCs w:val="20"/>
          <w:lang w:val="es-ES"/>
        </w:rPr>
        <w:t xml:space="preserve">Como consecuencia, se debe decir que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 pues para </w:t>
      </w:r>
      <w:r w:rsidRPr="00B715D7">
        <w:rPr>
          <w:rFonts w:ascii="Arial" w:eastAsia="Calibri" w:hAnsi="Arial" w:cs="Arial"/>
          <w:bCs/>
          <w:sz w:val="20"/>
          <w:szCs w:val="20"/>
          <w:lang w:val="es-ES"/>
        </w:rPr>
        <w:lastRenderedPageBreak/>
        <w:t>calcular la experiencia solamente se toma en cuenta la sumatoria total de la experiencia de cada uno de ellos, independientemente de la manera como está conformado el proponente plural.</w:t>
      </w:r>
    </w:p>
    <w:p w14:paraId="117854B6" w14:textId="50568503" w:rsidR="00850D82" w:rsidRDefault="00850D82" w:rsidP="000F1450">
      <w:pPr>
        <w:jc w:val="both"/>
        <w:rPr>
          <w:rFonts w:ascii="Arial" w:eastAsia="Calibri" w:hAnsi="Arial" w:cs="Arial"/>
          <w:bCs/>
          <w:sz w:val="20"/>
          <w:szCs w:val="20"/>
          <w:lang w:val="es-ES"/>
        </w:rPr>
      </w:pPr>
    </w:p>
    <w:p w14:paraId="1C71ED32" w14:textId="0DD49906" w:rsidR="006C70C4" w:rsidRPr="00B62411" w:rsidRDefault="006C70C4" w:rsidP="006C70C4">
      <w:pPr>
        <w:jc w:val="both"/>
        <w:rPr>
          <w:rFonts w:ascii="Arial" w:eastAsia="Calibri" w:hAnsi="Arial" w:cs="Arial"/>
          <w:b/>
          <w:bCs/>
          <w:sz w:val="22"/>
          <w:lang w:val="es-ES"/>
        </w:rPr>
      </w:pPr>
      <w:r>
        <w:rPr>
          <w:rFonts w:ascii="Arial" w:eastAsia="Calibri" w:hAnsi="Arial" w:cs="Arial"/>
          <w:b/>
          <w:sz w:val="22"/>
        </w:rPr>
        <w:t>INCENTIVO</w:t>
      </w:r>
      <w:r w:rsidRPr="006210F0">
        <w:rPr>
          <w:rFonts w:ascii="Arial" w:eastAsia="Calibri" w:hAnsi="Arial" w:cs="Arial"/>
          <w:b/>
          <w:sz w:val="22"/>
        </w:rPr>
        <w:t xml:space="preserve"> </w:t>
      </w:r>
      <w:r w:rsidRPr="00B62411">
        <w:rPr>
          <w:rFonts w:ascii="Arial" w:eastAsia="Calibri" w:hAnsi="Arial" w:cs="Arial"/>
          <w:b/>
          <w:bCs/>
          <w:sz w:val="22"/>
          <w:lang w:val="es-ES"/>
        </w:rPr>
        <w:t xml:space="preserve">– </w:t>
      </w:r>
      <w:r w:rsidR="005111E2">
        <w:rPr>
          <w:rFonts w:ascii="Arial" w:eastAsia="Calibri" w:hAnsi="Arial" w:cs="Arial"/>
          <w:b/>
          <w:bCs/>
          <w:sz w:val="22"/>
          <w:lang w:val="es-ES"/>
        </w:rPr>
        <w:t>Silencio del pliego</w:t>
      </w:r>
      <w:r>
        <w:rPr>
          <w:rFonts w:ascii="Arial" w:eastAsia="Calibri" w:hAnsi="Arial" w:cs="Arial"/>
          <w:b/>
          <w:bCs/>
          <w:sz w:val="22"/>
          <w:lang w:val="es-ES"/>
        </w:rPr>
        <w:t xml:space="preserve"> – </w:t>
      </w:r>
      <w:r w:rsidR="005111E2">
        <w:rPr>
          <w:rFonts w:ascii="Arial" w:eastAsia="Calibri" w:hAnsi="Arial" w:cs="Arial"/>
          <w:b/>
          <w:bCs/>
          <w:sz w:val="22"/>
          <w:lang w:val="es-ES"/>
        </w:rPr>
        <w:t>Consecuencia</w:t>
      </w:r>
      <w:r w:rsidRPr="00B62411">
        <w:rPr>
          <w:rFonts w:ascii="Arial" w:eastAsia="Calibri" w:hAnsi="Arial" w:cs="Arial"/>
          <w:b/>
          <w:bCs/>
          <w:sz w:val="22"/>
          <w:lang w:val="es-ES"/>
        </w:rPr>
        <w:t xml:space="preserve"> </w:t>
      </w:r>
    </w:p>
    <w:p w14:paraId="369A56D4" w14:textId="77777777" w:rsidR="006C70C4" w:rsidRDefault="006C70C4" w:rsidP="000F1450">
      <w:pPr>
        <w:jc w:val="both"/>
        <w:rPr>
          <w:rFonts w:ascii="Arial" w:eastAsia="Calibri" w:hAnsi="Arial" w:cs="Arial"/>
          <w:sz w:val="21"/>
          <w:szCs w:val="21"/>
          <w:lang w:val="es-ES" w:eastAsia="en-GB"/>
        </w:rPr>
      </w:pPr>
    </w:p>
    <w:p w14:paraId="22399517" w14:textId="50CDD453" w:rsidR="00850D82" w:rsidRDefault="00850D82" w:rsidP="000F1450">
      <w:pPr>
        <w:jc w:val="both"/>
        <w:rPr>
          <w:rFonts w:ascii="Arial" w:eastAsia="Calibri" w:hAnsi="Arial" w:cs="Arial"/>
          <w:sz w:val="21"/>
          <w:szCs w:val="21"/>
          <w:lang w:val="es-ES" w:eastAsia="en-GB"/>
        </w:rPr>
      </w:pPr>
      <w:r w:rsidRPr="00850D82">
        <w:rPr>
          <w:rFonts w:ascii="Arial" w:eastAsia="Calibri" w:hAnsi="Arial" w:cs="Arial"/>
          <w:sz w:val="21"/>
          <w:szCs w:val="21"/>
          <w:lang w:val="es-ES" w:eastAsia="en-GB"/>
        </w:rPr>
        <w:t>En consecuencia, la falta de incorporación de dicho incentivo en el pliego de condiciones de la licitación pública y el concurso de méritos representa un incumplimiento de un deber legal y reglamentario; pero en caso de que la entidad estatal haya incurrido en tal omisión en el pliego, porque haya distribuido la totalidad de los puntos en otros factores, sin hacer referencia al incentivo analizado aquí, deberá estarse, en principio, al contenido del pliego de condiciones durante la evaluación, pues, como lo ha indicado la Corte Constitucional y lo ratifica el artículo 148 de la Ley 1437 de 2011, la «excepción de ilegalidad» de los actos administrativos –también denominado «control por vía de excepción»–, no procede en sede administrativa, es decir, aplicada por parte de la misma Administración.</w:t>
      </w:r>
    </w:p>
    <w:p w14:paraId="13781770" w14:textId="77777777" w:rsidR="001805C1" w:rsidRPr="000F1450" w:rsidRDefault="001805C1" w:rsidP="00CD050A">
      <w:pPr>
        <w:jc w:val="both"/>
        <w:rPr>
          <w:rFonts w:ascii="Arial" w:eastAsia="Arial" w:hAnsi="Arial" w:cs="Arial"/>
          <w:b/>
          <w:bCs/>
          <w:sz w:val="22"/>
          <w:lang w:val="es-ES"/>
        </w:rPr>
      </w:pPr>
    </w:p>
    <w:p w14:paraId="11D42DD3" w14:textId="77777777" w:rsidR="00AB726C" w:rsidRPr="0085790B" w:rsidRDefault="00AB726C" w:rsidP="00AB726C">
      <w:pPr>
        <w:tabs>
          <w:tab w:val="left" w:pos="709"/>
        </w:tabs>
        <w:jc w:val="both"/>
        <w:rPr>
          <w:rFonts w:ascii="Arial" w:eastAsia="Arial" w:hAnsi="Arial" w:cs="Arial"/>
          <w:sz w:val="20"/>
          <w:szCs w:val="20"/>
          <w:lang w:val="es-ES_tradnl"/>
        </w:rPr>
      </w:pPr>
    </w:p>
    <w:p w14:paraId="4E5C1D62" w14:textId="4131C13F" w:rsidR="00DD5B04" w:rsidRPr="0085790B" w:rsidRDefault="00DD5B04" w:rsidP="00DF76A2">
      <w:pPr>
        <w:spacing w:line="276" w:lineRule="auto"/>
        <w:jc w:val="both"/>
        <w:rPr>
          <w:rFonts w:ascii="Arial" w:eastAsia="Calibri" w:hAnsi="Arial" w:cs="Arial"/>
          <w:noProof/>
          <w:color w:val="000000" w:themeColor="text1"/>
          <w:sz w:val="20"/>
          <w:lang w:val="es-ES_tradnl"/>
        </w:rPr>
      </w:pPr>
      <w:r w:rsidRPr="0085790B">
        <w:rPr>
          <w:rFonts w:ascii="Arial" w:hAnsi="Arial" w:cs="Arial"/>
          <w:noProof/>
          <w:color w:val="000000" w:themeColor="text1"/>
          <w:sz w:val="22"/>
          <w:lang w:val="es-ES_tradnl"/>
        </w:rPr>
        <w:t xml:space="preserve">Bogotá D.C., </w:t>
      </w:r>
      <w:r w:rsidR="00CC2227">
        <w:rPr>
          <w:rFonts w:ascii="Arial" w:hAnsi="Arial" w:cs="Arial"/>
          <w:b/>
          <w:noProof/>
          <w:color w:val="000000" w:themeColor="text1"/>
          <w:sz w:val="22"/>
          <w:lang w:val="es-ES_tradnl"/>
        </w:rPr>
        <w:t>02/10/2020</w:t>
      </w:r>
    </w:p>
    <w:p w14:paraId="3EE008C6" w14:textId="38F19EFD" w:rsidR="00DD5B04" w:rsidRPr="0085790B" w:rsidRDefault="00DD5B04" w:rsidP="002A1A58">
      <w:pPr>
        <w:spacing w:line="276" w:lineRule="auto"/>
        <w:jc w:val="right"/>
        <w:rPr>
          <w:rFonts w:ascii="Arial" w:hAnsi="Arial" w:cs="Arial"/>
          <w:b/>
          <w:noProof/>
          <w:color w:val="000000" w:themeColor="text1"/>
          <w:sz w:val="22"/>
          <w:lang w:val="es-ES_tradnl"/>
        </w:rPr>
      </w:pPr>
      <w:r w:rsidRPr="0085790B">
        <w:rPr>
          <w:rFonts w:ascii="Arial" w:hAnsi="Arial" w:cs="Arial"/>
          <w:b/>
          <w:noProof/>
          <w:color w:val="000000" w:themeColor="text1"/>
          <w:sz w:val="22"/>
          <w:lang w:val="es-ES_tradnl"/>
        </w:rPr>
        <w:t xml:space="preserve">N° Radicado: </w:t>
      </w:r>
      <w:r w:rsidR="00CC2227">
        <w:rPr>
          <w:rFonts w:ascii="Arial" w:hAnsi="Arial" w:cs="Arial"/>
          <w:b/>
          <w:noProof/>
          <w:color w:val="000000" w:themeColor="text1"/>
          <w:sz w:val="22"/>
          <w:lang w:val="es-ES_tradnl"/>
        </w:rPr>
        <w:t>22020</w:t>
      </w:r>
      <w:r w:rsidR="00775652">
        <w:rPr>
          <w:rFonts w:ascii="Arial" w:hAnsi="Arial" w:cs="Arial"/>
          <w:b/>
          <w:noProof/>
          <w:color w:val="000000" w:themeColor="text1"/>
          <w:sz w:val="22"/>
          <w:lang w:val="es-ES_tradnl"/>
        </w:rPr>
        <w:t>13000009494</w:t>
      </w:r>
    </w:p>
    <w:p w14:paraId="33BD7B68" w14:textId="77777777" w:rsidR="00DD5B04" w:rsidRPr="0085790B" w:rsidRDefault="00DD5B04" w:rsidP="00DF76A2">
      <w:pPr>
        <w:jc w:val="both"/>
        <w:rPr>
          <w:rFonts w:ascii="Arial" w:hAnsi="Arial" w:cs="Arial"/>
          <w:b/>
          <w:color w:val="000000" w:themeColor="text1"/>
          <w:sz w:val="22"/>
          <w:lang w:val="es-ES_tradnl"/>
        </w:rPr>
      </w:pPr>
    </w:p>
    <w:p w14:paraId="74A475A6" w14:textId="3F4BB71F"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Señor</w:t>
      </w:r>
    </w:p>
    <w:p w14:paraId="6011130B" w14:textId="0A24019F" w:rsidR="00AE1990" w:rsidRPr="0085790B" w:rsidRDefault="00D55904"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Germán Augusto Guzmán Cuesta</w:t>
      </w:r>
    </w:p>
    <w:p w14:paraId="5E9E4CD6" w14:textId="4F1126FA"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Ciudad</w:t>
      </w:r>
    </w:p>
    <w:p w14:paraId="79F69118" w14:textId="77777777" w:rsidR="00DD5B04" w:rsidRPr="0085790B" w:rsidRDefault="00DD5B04" w:rsidP="00DF76A2">
      <w:pPr>
        <w:jc w:val="both"/>
        <w:rPr>
          <w:rFonts w:ascii="Arial" w:eastAsia="Calibri" w:hAnsi="Arial" w:cs="Arial"/>
          <w:color w:val="000000" w:themeColor="text1"/>
          <w:sz w:val="22"/>
          <w:lang w:val="es-ES_tradnl"/>
        </w:rPr>
      </w:pPr>
    </w:p>
    <w:p w14:paraId="03294061" w14:textId="77777777" w:rsidR="00DD5B04" w:rsidRPr="0085790B" w:rsidRDefault="00DD5B04" w:rsidP="00DF76A2">
      <w:pPr>
        <w:jc w:val="both"/>
        <w:rPr>
          <w:rFonts w:ascii="Arial" w:eastAsia="Calibri" w:hAnsi="Arial" w:cs="Arial"/>
          <w:color w:val="000000" w:themeColor="text1"/>
          <w:sz w:val="22"/>
          <w:lang w:val="es-ES_tradnl"/>
        </w:rPr>
      </w:pPr>
    </w:p>
    <w:p w14:paraId="60978A0D" w14:textId="248CE079" w:rsidR="00DD5B04" w:rsidRPr="0085790B" w:rsidRDefault="00DD5B04" w:rsidP="002A1A58">
      <w:pPr>
        <w:jc w:val="center"/>
        <w:rPr>
          <w:rFonts w:ascii="Arial" w:eastAsia="Calibri" w:hAnsi="Arial" w:cs="Arial"/>
          <w:b/>
          <w:bCs/>
          <w:color w:val="000000" w:themeColor="text1"/>
          <w:sz w:val="22"/>
          <w:lang w:val="es-ES_tradnl"/>
        </w:rPr>
      </w:pPr>
      <w:r w:rsidRPr="0085790B">
        <w:rPr>
          <w:rFonts w:ascii="Arial" w:eastAsia="Calibri" w:hAnsi="Arial" w:cs="Arial"/>
          <w:b/>
          <w:bCs/>
          <w:color w:val="000000" w:themeColor="text1"/>
          <w:sz w:val="22"/>
          <w:lang w:val="es-ES_tradnl"/>
        </w:rPr>
        <w:t>Concepto C</w:t>
      </w:r>
      <w:r w:rsidR="00FE144E"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 xml:space="preserve">‒ </w:t>
      </w:r>
      <w:r w:rsidR="004F5F0C">
        <w:rPr>
          <w:rFonts w:ascii="Arial" w:eastAsia="Calibri" w:hAnsi="Arial" w:cs="Arial"/>
          <w:b/>
          <w:bCs/>
          <w:color w:val="000000" w:themeColor="text1"/>
          <w:sz w:val="22"/>
          <w:lang w:val="es-ES_tradnl"/>
        </w:rPr>
        <w:t>629</w:t>
      </w:r>
      <w:r w:rsidR="00B52697"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de 2020</w:t>
      </w:r>
    </w:p>
    <w:p w14:paraId="3097F323" w14:textId="3A1E6C73" w:rsidR="00DD5B04" w:rsidRPr="0085790B" w:rsidRDefault="00DD5B04" w:rsidP="00DF76A2">
      <w:pPr>
        <w:jc w:val="both"/>
        <w:rPr>
          <w:rFonts w:ascii="Arial" w:eastAsia="Calibri" w:hAnsi="Arial" w:cs="Arial"/>
          <w:color w:val="000000" w:themeColor="text1"/>
          <w:sz w:val="22"/>
          <w:lang w:val="es-ES_tradnl"/>
        </w:rPr>
      </w:pPr>
    </w:p>
    <w:p w14:paraId="3C334747" w14:textId="77777777" w:rsidR="00F02D25" w:rsidRPr="0085790B" w:rsidRDefault="00F02D25" w:rsidP="00DF76A2">
      <w:pPr>
        <w:jc w:val="both"/>
        <w:rPr>
          <w:rFonts w:ascii="Arial" w:eastAsia="Calibri" w:hAnsi="Arial" w:cs="Arial"/>
          <w:color w:val="000000" w:themeColor="text1"/>
          <w:sz w:val="22"/>
          <w:lang w:val="es-ES_tradnl"/>
        </w:rPr>
      </w:pPr>
    </w:p>
    <w:p w14:paraId="50574B19" w14:textId="77777777" w:rsidR="00DD5B04" w:rsidRPr="0085790B"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85790B" w14:paraId="10318206" w14:textId="77777777" w:rsidTr="00083F1B">
        <w:tc>
          <w:tcPr>
            <w:tcW w:w="2689" w:type="dxa"/>
          </w:tcPr>
          <w:p w14:paraId="3FE8DF90" w14:textId="77777777"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b/>
                <w:color w:val="000000" w:themeColor="text1"/>
                <w:sz w:val="22"/>
                <w:lang w:val="es-ES_tradnl"/>
              </w:rPr>
              <w:t>Temas:</w:t>
            </w:r>
            <w:r w:rsidRPr="0085790B">
              <w:rPr>
                <w:rFonts w:ascii="Arial" w:eastAsia="Calibri" w:hAnsi="Arial" w:cs="Arial"/>
                <w:color w:val="000000" w:themeColor="text1"/>
                <w:sz w:val="22"/>
                <w:lang w:val="es-ES_tradnl"/>
              </w:rPr>
              <w:t xml:space="preserve">                                      </w:t>
            </w:r>
          </w:p>
        </w:tc>
        <w:tc>
          <w:tcPr>
            <w:tcW w:w="6237" w:type="dxa"/>
          </w:tcPr>
          <w:p w14:paraId="63D57D37" w14:textId="36198A3B" w:rsidR="00DD5B04" w:rsidRPr="00233079" w:rsidRDefault="000F1450" w:rsidP="00DF76A2">
            <w:pPr>
              <w:jc w:val="both"/>
              <w:rPr>
                <w:rFonts w:ascii="Arial" w:eastAsia="Calibri" w:hAnsi="Arial" w:cs="Arial"/>
                <w:color w:val="000000" w:themeColor="text1"/>
                <w:sz w:val="22"/>
                <w:lang w:val="es-ES"/>
              </w:rPr>
            </w:pPr>
            <w:r w:rsidRPr="000F1450">
              <w:rPr>
                <w:rFonts w:ascii="Arial" w:eastAsia="Arial" w:hAnsi="Arial" w:cs="Arial"/>
                <w:sz w:val="22"/>
                <w:lang w:val="es-ES_tradnl"/>
              </w:rPr>
              <w:t>INCENTIVO LEGAL PERSONAS EN CONDICIÓN DE DISCAPACIDAD – Puntaje adicional – Normativa / INCENTIVO LEGAL PERSONAS EN CONDICIÓN DE DISCAPACIDAD – Proponentes plurales – Regla / INCENTIVO LEGAL PERSONAS EN CONDICIÓN DE DISCAPACIDAD – Proponentes plurales – Experiencia – Varios integrantes – Consorcio y unión temporal</w:t>
            </w:r>
            <w:r w:rsidR="00233079">
              <w:rPr>
                <w:rFonts w:ascii="Arial" w:eastAsia="Arial" w:hAnsi="Arial" w:cs="Arial"/>
                <w:sz w:val="22"/>
                <w:lang w:val="es-ES_tradnl"/>
              </w:rPr>
              <w:t xml:space="preserve"> / </w:t>
            </w:r>
            <w:r w:rsidR="00233079" w:rsidRPr="00233079">
              <w:rPr>
                <w:rFonts w:ascii="Arial" w:eastAsia="Arial" w:hAnsi="Arial" w:cs="Arial"/>
                <w:sz w:val="22"/>
                <w:lang w:val="es-ES_tradnl"/>
              </w:rPr>
              <w:t>INCENTIVO – Silencio del pliego – Consecuencia</w:t>
            </w:r>
          </w:p>
        </w:tc>
      </w:tr>
      <w:tr w:rsidR="00DD5B04" w:rsidRPr="0085790B" w14:paraId="60E06E0C" w14:textId="77777777" w:rsidTr="00083F1B">
        <w:tc>
          <w:tcPr>
            <w:tcW w:w="2689" w:type="dxa"/>
          </w:tcPr>
          <w:p w14:paraId="5655C7E4" w14:textId="77777777" w:rsidR="00DD5B04" w:rsidRPr="0085790B" w:rsidRDefault="00DD5B04" w:rsidP="00DF76A2">
            <w:pPr>
              <w:spacing w:before="12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Radicación:</w:t>
            </w:r>
            <w:r w:rsidRPr="0085790B">
              <w:rPr>
                <w:rFonts w:ascii="Arial" w:eastAsia="Calibri" w:hAnsi="Arial" w:cs="Arial"/>
                <w:color w:val="000000" w:themeColor="text1"/>
                <w:sz w:val="22"/>
                <w:lang w:val="es-ES_tradnl"/>
              </w:rPr>
              <w:t xml:space="preserve">                              </w:t>
            </w:r>
          </w:p>
        </w:tc>
        <w:tc>
          <w:tcPr>
            <w:tcW w:w="6237" w:type="dxa"/>
          </w:tcPr>
          <w:p w14:paraId="33E25A02" w14:textId="63DD989B"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Respuesta</w:t>
            </w:r>
            <w:r w:rsidR="008100F7" w:rsidRPr="0085790B">
              <w:rPr>
                <w:rFonts w:ascii="Arial" w:eastAsia="Calibri" w:hAnsi="Arial" w:cs="Arial"/>
                <w:color w:val="000000" w:themeColor="text1"/>
                <w:sz w:val="22"/>
                <w:lang w:val="es-ES_tradnl"/>
              </w:rPr>
              <w:t xml:space="preserve"> </w:t>
            </w:r>
            <w:r w:rsidR="00CA5812" w:rsidRPr="0085790B">
              <w:rPr>
                <w:rFonts w:ascii="Arial" w:eastAsia="Calibri" w:hAnsi="Arial" w:cs="Arial"/>
                <w:color w:val="000000" w:themeColor="text1"/>
                <w:sz w:val="22"/>
                <w:lang w:val="es-ES_tradnl"/>
              </w:rPr>
              <w:t xml:space="preserve">a </w:t>
            </w:r>
            <w:r w:rsidRPr="0085790B">
              <w:rPr>
                <w:rFonts w:ascii="Arial" w:eastAsia="Calibri" w:hAnsi="Arial" w:cs="Arial"/>
                <w:color w:val="000000" w:themeColor="text1"/>
                <w:sz w:val="22"/>
                <w:lang w:val="es-ES_tradnl"/>
              </w:rPr>
              <w:t>consulta</w:t>
            </w:r>
            <w:r w:rsidR="008022C9"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 xml:space="preserve"># </w:t>
            </w:r>
            <w:r w:rsidR="00064DB7" w:rsidRPr="00064DB7">
              <w:rPr>
                <w:rFonts w:ascii="Arial" w:eastAsia="Calibri" w:hAnsi="Arial" w:cs="Arial"/>
                <w:color w:val="000000" w:themeColor="text1"/>
                <w:sz w:val="22"/>
                <w:lang w:val="es-ES_tradnl"/>
              </w:rPr>
              <w:t>4202013000008121</w:t>
            </w:r>
          </w:p>
          <w:p w14:paraId="0DA3D2F3" w14:textId="77777777"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 </w:t>
            </w:r>
          </w:p>
        </w:tc>
      </w:tr>
    </w:tbl>
    <w:p w14:paraId="3D1F1089" w14:textId="77777777" w:rsidR="005305E5" w:rsidRPr="0085790B" w:rsidRDefault="005305E5" w:rsidP="00DF76A2">
      <w:pPr>
        <w:jc w:val="both"/>
        <w:rPr>
          <w:rFonts w:ascii="Arial" w:eastAsia="Calibri" w:hAnsi="Arial" w:cs="Arial"/>
          <w:color w:val="000000" w:themeColor="text1"/>
          <w:sz w:val="22"/>
          <w:lang w:val="es-ES_tradnl"/>
        </w:rPr>
      </w:pPr>
    </w:p>
    <w:p w14:paraId="30BB5B67" w14:textId="31B3DA96"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Estimad</w:t>
      </w:r>
      <w:r w:rsidR="00B857EB">
        <w:rPr>
          <w:rFonts w:ascii="Arial" w:eastAsia="Calibri" w:hAnsi="Arial" w:cs="Arial"/>
          <w:color w:val="000000" w:themeColor="text1"/>
          <w:sz w:val="22"/>
          <w:lang w:val="es-ES_tradnl"/>
        </w:rPr>
        <w:t>o</w:t>
      </w:r>
      <w:r w:rsidRPr="0085790B">
        <w:rPr>
          <w:rFonts w:ascii="Arial" w:eastAsia="Calibri" w:hAnsi="Arial" w:cs="Arial"/>
          <w:color w:val="000000" w:themeColor="text1"/>
          <w:sz w:val="22"/>
          <w:lang w:val="es-ES_tradnl"/>
        </w:rPr>
        <w:t xml:space="preserve"> señor </w:t>
      </w:r>
      <w:r w:rsidR="00B857EB">
        <w:rPr>
          <w:rFonts w:ascii="Arial" w:eastAsia="Calibri" w:hAnsi="Arial" w:cs="Arial"/>
          <w:color w:val="000000" w:themeColor="text1"/>
          <w:sz w:val="22"/>
          <w:lang w:val="es-ES_tradnl"/>
        </w:rPr>
        <w:t>Guzmán</w:t>
      </w:r>
      <w:r w:rsidRPr="0085790B">
        <w:rPr>
          <w:rFonts w:ascii="Arial" w:eastAsia="Calibri" w:hAnsi="Arial" w:cs="Arial"/>
          <w:color w:val="000000" w:themeColor="text1"/>
          <w:sz w:val="22"/>
          <w:lang w:val="es-ES_tradnl"/>
        </w:rPr>
        <w:t>:</w:t>
      </w:r>
    </w:p>
    <w:p w14:paraId="1EAE5543" w14:textId="77777777" w:rsidR="00DD5B04" w:rsidRPr="0085790B" w:rsidRDefault="00DD5B04" w:rsidP="00DF76A2">
      <w:pPr>
        <w:jc w:val="both"/>
        <w:rPr>
          <w:rFonts w:ascii="Arial" w:eastAsia="Calibri" w:hAnsi="Arial" w:cs="Arial"/>
          <w:color w:val="000000" w:themeColor="text1"/>
          <w:sz w:val="22"/>
          <w:lang w:val="es-ES_tradnl"/>
        </w:rPr>
      </w:pPr>
    </w:p>
    <w:p w14:paraId="2109B2D3" w14:textId="27DF1561" w:rsidR="00DD5B04" w:rsidRPr="0085790B" w:rsidRDefault="00DD5B04" w:rsidP="00DF76A2">
      <w:pPr>
        <w:spacing w:line="276" w:lineRule="auto"/>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E0FAD" w:rsidRPr="0085790B">
        <w:rPr>
          <w:rFonts w:ascii="Arial" w:eastAsia="Calibri" w:hAnsi="Arial" w:cs="Arial"/>
          <w:color w:val="000000" w:themeColor="text1"/>
          <w:sz w:val="22"/>
          <w:lang w:val="es-ES_tradnl"/>
        </w:rPr>
        <w:t>1</w:t>
      </w:r>
      <w:r w:rsidR="00DD72A0">
        <w:rPr>
          <w:rFonts w:ascii="Arial" w:eastAsia="Calibri" w:hAnsi="Arial" w:cs="Arial"/>
          <w:color w:val="000000" w:themeColor="text1"/>
          <w:sz w:val="22"/>
          <w:lang w:val="es-ES_tradnl"/>
        </w:rPr>
        <w:t>6</w:t>
      </w:r>
      <w:r w:rsidR="00FD4AF3" w:rsidRPr="0085790B">
        <w:rPr>
          <w:rFonts w:ascii="Arial" w:eastAsia="Calibri" w:hAnsi="Arial" w:cs="Arial"/>
          <w:color w:val="000000" w:themeColor="text1"/>
          <w:sz w:val="22"/>
          <w:lang w:val="es-ES_tradnl"/>
        </w:rPr>
        <w:t xml:space="preserve"> de </w:t>
      </w:r>
      <w:r w:rsidR="008E0FAD" w:rsidRPr="0085790B">
        <w:rPr>
          <w:rFonts w:ascii="Arial" w:eastAsia="Calibri" w:hAnsi="Arial" w:cs="Arial"/>
          <w:color w:val="000000" w:themeColor="text1"/>
          <w:sz w:val="22"/>
          <w:lang w:val="es-ES_tradnl"/>
        </w:rPr>
        <w:t>septiembre</w:t>
      </w:r>
      <w:r w:rsidRPr="0085790B">
        <w:rPr>
          <w:rFonts w:ascii="Arial" w:eastAsia="Calibri" w:hAnsi="Arial" w:cs="Arial"/>
          <w:color w:val="000000" w:themeColor="text1"/>
          <w:sz w:val="22"/>
          <w:lang w:val="es-ES_tradnl"/>
        </w:rPr>
        <w:t xml:space="preserve"> del</w:t>
      </w:r>
      <w:r w:rsidR="007E74BF"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2020</w:t>
      </w:r>
      <w:r w:rsidR="00FD4AF3" w:rsidRPr="0085790B">
        <w:rPr>
          <w:rFonts w:ascii="Arial" w:eastAsia="Calibri" w:hAnsi="Arial" w:cs="Arial"/>
          <w:color w:val="000000" w:themeColor="text1"/>
          <w:sz w:val="22"/>
          <w:lang w:val="es-ES_tradnl"/>
        </w:rPr>
        <w:t>.</w:t>
      </w:r>
    </w:p>
    <w:p w14:paraId="0C1E0712" w14:textId="77777777" w:rsidR="00DD5B04" w:rsidRPr="0085790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5790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 xml:space="preserve">Problema planteado </w:t>
      </w:r>
    </w:p>
    <w:p w14:paraId="224B43D3" w14:textId="77777777" w:rsidR="00DD5B04" w:rsidRPr="0085790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B6D537E" w14:textId="5CE47DB6" w:rsidR="008D1A2A" w:rsidRPr="0085790B" w:rsidRDefault="00DD5B04" w:rsidP="008D1A2A">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 xml:space="preserve">Usted </w:t>
      </w:r>
      <w:r w:rsidR="00B422C0" w:rsidRPr="0085790B">
        <w:rPr>
          <w:rFonts w:ascii="Arial" w:hAnsi="Arial" w:cs="Arial"/>
          <w:color w:val="000000" w:themeColor="text1"/>
          <w:sz w:val="22"/>
          <w:lang w:val="es-ES_tradnl"/>
        </w:rPr>
        <w:t>formula</w:t>
      </w:r>
      <w:r w:rsidR="006D46A3">
        <w:rPr>
          <w:rFonts w:ascii="Arial" w:hAnsi="Arial" w:cs="Arial"/>
          <w:color w:val="000000" w:themeColor="text1"/>
          <w:sz w:val="22"/>
          <w:lang w:val="es-ES_tradnl"/>
        </w:rPr>
        <w:t xml:space="preserve"> las siguientes preguntas, relacionadas con el incentivo previsto en el numeral 1 del artículo 13 de la Ley 1618 de 2013</w:t>
      </w:r>
      <w:r w:rsidR="00015B44">
        <w:rPr>
          <w:rFonts w:ascii="Arial" w:hAnsi="Arial" w:cs="Arial"/>
          <w:color w:val="000000" w:themeColor="text1"/>
          <w:sz w:val="22"/>
          <w:lang w:val="es-ES_tradnl"/>
        </w:rPr>
        <w:t xml:space="preserve"> y el Decreto reglamentario No. 392 de 2018, para los proponentes que cuenten con trabajadores con discapacidad</w:t>
      </w:r>
      <w:r w:rsidR="00B422C0" w:rsidRPr="0085790B">
        <w:rPr>
          <w:rFonts w:ascii="Arial" w:hAnsi="Arial" w:cs="Arial"/>
          <w:color w:val="000000" w:themeColor="text1"/>
          <w:sz w:val="22"/>
          <w:lang w:val="es-ES_tradnl"/>
        </w:rPr>
        <w:t>:</w:t>
      </w:r>
    </w:p>
    <w:p w14:paraId="64A6EC81" w14:textId="77777777" w:rsidR="00B61FD4" w:rsidRPr="0085790B" w:rsidRDefault="00B61FD4" w:rsidP="008D1A2A">
      <w:pPr>
        <w:spacing w:line="276" w:lineRule="auto"/>
        <w:jc w:val="both"/>
        <w:rPr>
          <w:rFonts w:ascii="Arial" w:hAnsi="Arial" w:cs="Arial"/>
          <w:color w:val="000000" w:themeColor="text1"/>
          <w:sz w:val="22"/>
          <w:lang w:val="es-ES_tradnl"/>
        </w:rPr>
      </w:pPr>
    </w:p>
    <w:p w14:paraId="570FAD31" w14:textId="0885F2F4" w:rsidR="00F23759" w:rsidRDefault="00F23759" w:rsidP="00B422C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23759">
        <w:rPr>
          <w:rFonts w:ascii="Arial" w:hAnsi="Arial" w:cs="Arial"/>
          <w:color w:val="000000" w:themeColor="text1"/>
          <w:sz w:val="21"/>
          <w:szCs w:val="21"/>
          <w:lang w:val="es-ES_tradnl"/>
        </w:rPr>
        <w:t>Que teniendo en cuenta la finalidad de la Ley y su decreto reglamentario citado anteriormente,</w:t>
      </w:r>
      <w:r>
        <w:rPr>
          <w:rFonts w:ascii="Arial" w:hAnsi="Arial" w:cs="Arial"/>
          <w:color w:val="000000" w:themeColor="text1"/>
          <w:sz w:val="21"/>
          <w:szCs w:val="21"/>
          <w:lang w:val="es-ES_tradnl"/>
        </w:rPr>
        <w:t xml:space="preserve"> </w:t>
      </w:r>
      <w:r w:rsidRPr="00F23759">
        <w:rPr>
          <w:rFonts w:ascii="Arial" w:hAnsi="Arial" w:cs="Arial"/>
          <w:color w:val="000000" w:themeColor="text1"/>
          <w:sz w:val="21"/>
          <w:szCs w:val="21"/>
          <w:lang w:val="es-ES_tradnl"/>
        </w:rPr>
        <w:t>quisiera que por parte de la entidad COLOMBIA COMPRA EFICIENTE se me informe si este incentivo debe aplicar de manera obligatoria en todas las licitaciones públicas y procesos de contratación a nivel Nacional, o si al respecto el otorgamiento de dicho porcentaje aplica por mera liberalidad de las entidades de acuerdo con lo que se establezca en los respectivos pliegos de condiciones</w:t>
      </w:r>
      <w:r>
        <w:rPr>
          <w:rFonts w:ascii="Arial" w:hAnsi="Arial" w:cs="Arial"/>
          <w:color w:val="000000" w:themeColor="text1"/>
          <w:sz w:val="21"/>
          <w:szCs w:val="21"/>
          <w:lang w:val="es-ES_tradnl"/>
        </w:rPr>
        <w:t>.</w:t>
      </w:r>
    </w:p>
    <w:p w14:paraId="72740F97" w14:textId="77777777" w:rsidR="00F23759" w:rsidRDefault="00F23759" w:rsidP="00B422C0">
      <w:pPr>
        <w:ind w:left="709" w:right="709"/>
        <w:jc w:val="both"/>
        <w:rPr>
          <w:rFonts w:ascii="Arial" w:hAnsi="Arial" w:cs="Arial"/>
          <w:color w:val="000000" w:themeColor="text1"/>
          <w:sz w:val="21"/>
          <w:szCs w:val="21"/>
          <w:lang w:val="es-ES_tradnl"/>
        </w:rPr>
      </w:pPr>
    </w:p>
    <w:p w14:paraId="7E8B8948" w14:textId="6C7442A2" w:rsidR="008D1A2A" w:rsidRPr="0085790B" w:rsidRDefault="00F23759" w:rsidP="00B422C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23759">
        <w:rPr>
          <w:rFonts w:ascii="Arial" w:hAnsi="Arial" w:cs="Arial"/>
          <w:color w:val="000000" w:themeColor="text1"/>
          <w:sz w:val="21"/>
          <w:szCs w:val="21"/>
          <w:lang w:val="es-ES_tradnl"/>
        </w:rPr>
        <w:t>Adicionalmente solicito se informe, si al respecto hay alguna incidencia en que el otorgamiento de dicho puntaje adicional NO aplica por omitirse el incentivo en los pliegos de condiciones, o si por el contrario debe aplicarse por ministerio de la Ley aun si en los pliegos no se dice nada al respecto</w:t>
      </w:r>
      <w:r>
        <w:rPr>
          <w:rFonts w:ascii="Arial" w:hAnsi="Arial" w:cs="Arial"/>
          <w:color w:val="000000" w:themeColor="text1"/>
          <w:sz w:val="21"/>
          <w:szCs w:val="21"/>
          <w:lang w:val="es-ES_tradnl"/>
        </w:rPr>
        <w:t>»</w:t>
      </w:r>
      <w:r w:rsidR="00D32A27" w:rsidRPr="0085790B">
        <w:rPr>
          <w:rFonts w:ascii="Arial" w:hAnsi="Arial" w:cs="Arial"/>
          <w:color w:val="000000" w:themeColor="text1"/>
          <w:sz w:val="21"/>
          <w:szCs w:val="21"/>
          <w:lang w:val="es-ES_tradnl"/>
        </w:rPr>
        <w:t>.</w:t>
      </w:r>
    </w:p>
    <w:p w14:paraId="3C2ECFFE" w14:textId="77777777" w:rsidR="00F02BFD" w:rsidRPr="0085790B" w:rsidRDefault="00F02BFD" w:rsidP="006A457D">
      <w:pPr>
        <w:spacing w:line="276" w:lineRule="auto"/>
        <w:jc w:val="both"/>
        <w:rPr>
          <w:rFonts w:ascii="Arial" w:hAnsi="Arial" w:cs="Arial"/>
          <w:color w:val="000000" w:themeColor="text1"/>
          <w:sz w:val="22"/>
          <w:lang w:val="es-ES_tradnl"/>
        </w:rPr>
      </w:pPr>
    </w:p>
    <w:p w14:paraId="124D2DCA" w14:textId="77777777" w:rsidR="00DD5B04" w:rsidRPr="0085790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Consideraciones</w:t>
      </w:r>
    </w:p>
    <w:p w14:paraId="35E25E39" w14:textId="77777777" w:rsidR="00DD5B04" w:rsidRPr="0085790B" w:rsidRDefault="00DD5B04" w:rsidP="00DF76A2">
      <w:pPr>
        <w:spacing w:line="276" w:lineRule="auto"/>
        <w:jc w:val="both"/>
        <w:rPr>
          <w:rFonts w:ascii="Arial" w:eastAsia="Calibri" w:hAnsi="Arial" w:cs="Arial"/>
          <w:color w:val="000000" w:themeColor="text1"/>
          <w:sz w:val="20"/>
          <w:szCs w:val="20"/>
          <w:lang w:val="es-ES_tradnl"/>
        </w:rPr>
      </w:pPr>
    </w:p>
    <w:p w14:paraId="5E2E1EB4" w14:textId="2650962D" w:rsidR="00477C5F" w:rsidRPr="000679DA" w:rsidRDefault="00477C5F" w:rsidP="00477C5F">
      <w:pPr>
        <w:tabs>
          <w:tab w:val="left" w:pos="426"/>
        </w:tabs>
        <w:spacing w:line="276" w:lineRule="auto"/>
        <w:jc w:val="both"/>
        <w:rPr>
          <w:rFonts w:ascii="Arial" w:eastAsia="Calibri" w:hAnsi="Arial" w:cs="Arial"/>
          <w:color w:val="000000"/>
          <w:sz w:val="22"/>
          <w:lang w:eastAsia="en-GB"/>
        </w:rPr>
      </w:pPr>
      <w:r w:rsidRPr="000679DA">
        <w:rPr>
          <w:rFonts w:ascii="Arial" w:eastAsia="Calibri" w:hAnsi="Arial" w:cs="Arial"/>
          <w:color w:val="000000"/>
          <w:sz w:val="22"/>
          <w:lang w:eastAsia="en-GB"/>
        </w:rPr>
        <w:t xml:space="preserve">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0679DA">
        <w:rPr>
          <w:rFonts w:ascii="Arial" w:eastAsia="Calibri" w:hAnsi="Arial" w:cs="Arial"/>
          <w:sz w:val="22"/>
          <w:lang w:val="es-ES" w:eastAsia="en-GB"/>
        </w:rPr>
        <w:t>C–026 del 2 de enero de 2020, C–196 del 8 de abril de 2020</w:t>
      </w:r>
      <w:r>
        <w:rPr>
          <w:rFonts w:ascii="Arial" w:eastAsia="Calibri" w:hAnsi="Arial" w:cs="Arial"/>
          <w:sz w:val="22"/>
          <w:lang w:val="es-ES" w:eastAsia="en-GB"/>
        </w:rPr>
        <w:t>,</w:t>
      </w:r>
      <w:r w:rsidR="00471DF7">
        <w:rPr>
          <w:rFonts w:ascii="Arial" w:eastAsia="Calibri" w:hAnsi="Arial" w:cs="Arial"/>
          <w:sz w:val="22"/>
          <w:lang w:val="es-ES" w:eastAsia="en-GB"/>
        </w:rPr>
        <w:t xml:space="preserve"> </w:t>
      </w:r>
      <w:r>
        <w:rPr>
          <w:rFonts w:ascii="Arial" w:eastAsia="Calibri" w:hAnsi="Arial" w:cs="Arial"/>
          <w:sz w:val="22"/>
          <w:lang w:val="es-ES" w:eastAsia="en-GB"/>
        </w:rPr>
        <w:t>C-335 de 29 de mayo de 2020</w:t>
      </w:r>
      <w:r w:rsidR="00471DF7">
        <w:rPr>
          <w:rFonts w:ascii="Arial" w:eastAsia="Calibri" w:hAnsi="Arial" w:cs="Arial"/>
          <w:sz w:val="22"/>
          <w:lang w:val="es-ES" w:eastAsia="en-GB"/>
        </w:rPr>
        <w:t xml:space="preserve"> y C-436 del 24 de junio de 2020</w:t>
      </w:r>
      <w:r w:rsidR="00E93804">
        <w:rPr>
          <w:rFonts w:ascii="Arial" w:eastAsia="Calibri" w:hAnsi="Arial" w:cs="Arial"/>
          <w:sz w:val="22"/>
          <w:lang w:val="es-ES" w:eastAsia="en-GB"/>
        </w:rPr>
        <w:t>,</w:t>
      </w:r>
      <w:r w:rsidRPr="000679DA">
        <w:rPr>
          <w:rFonts w:ascii="Arial" w:eastAsia="Calibri" w:hAnsi="Arial" w:cs="Arial"/>
          <w:color w:val="000000"/>
          <w:sz w:val="22"/>
          <w:lang w:eastAsia="en-GB"/>
        </w:rPr>
        <w:t xml:space="preserve"> estudió los requisitos para acreditar el personal en situación de discapacidad, con la finalidad de obtener el incentivo previsto en el Decreto 392 de 2018. La tesis desarrollada se expone a continuación. </w:t>
      </w:r>
    </w:p>
    <w:p w14:paraId="2A5CD627" w14:textId="77777777" w:rsidR="00477C5F" w:rsidRPr="000679DA" w:rsidRDefault="00477C5F" w:rsidP="00477C5F">
      <w:pPr>
        <w:tabs>
          <w:tab w:val="left" w:pos="426"/>
        </w:tabs>
        <w:spacing w:line="276" w:lineRule="auto"/>
        <w:jc w:val="both"/>
        <w:rPr>
          <w:rFonts w:ascii="Arial" w:eastAsia="Calibri" w:hAnsi="Arial" w:cs="Arial"/>
          <w:color w:val="000000"/>
          <w:sz w:val="22"/>
          <w:lang w:val="es-ES_tradnl" w:eastAsia="en-GB"/>
        </w:rPr>
      </w:pPr>
    </w:p>
    <w:p w14:paraId="46906C30" w14:textId="77777777" w:rsidR="00477C5F" w:rsidRPr="000679DA" w:rsidRDefault="00477C5F" w:rsidP="00477C5F">
      <w:pPr>
        <w:tabs>
          <w:tab w:val="left" w:pos="426"/>
        </w:tabs>
        <w:spacing w:line="276" w:lineRule="auto"/>
        <w:jc w:val="both"/>
        <w:rPr>
          <w:rFonts w:ascii="Arial" w:eastAsia="Calibri" w:hAnsi="Arial" w:cs="Arial"/>
          <w:b/>
          <w:color w:val="000000"/>
          <w:sz w:val="22"/>
          <w:lang w:val="es-ES_tradnl" w:eastAsia="en-GB"/>
        </w:rPr>
      </w:pPr>
      <w:r w:rsidRPr="000679DA">
        <w:rPr>
          <w:rFonts w:ascii="Arial" w:eastAsia="Calibri" w:hAnsi="Arial" w:cs="Arial"/>
          <w:b/>
          <w:color w:val="000000"/>
          <w:sz w:val="22"/>
          <w:lang w:val="es-ES_tradnl" w:eastAsia="en-GB"/>
        </w:rPr>
        <w:t xml:space="preserve">2.1. Incentivos en procesos de contratación para favorecer personas </w:t>
      </w:r>
      <w:r>
        <w:rPr>
          <w:rFonts w:ascii="Arial" w:eastAsia="Calibri" w:hAnsi="Arial" w:cs="Arial"/>
          <w:b/>
          <w:color w:val="000000"/>
          <w:sz w:val="22"/>
          <w:lang w:val="es-ES_tradnl" w:eastAsia="en-GB"/>
        </w:rPr>
        <w:t>en condición de</w:t>
      </w:r>
      <w:r w:rsidRPr="000679DA">
        <w:rPr>
          <w:rFonts w:ascii="Arial" w:eastAsia="Calibri" w:hAnsi="Arial" w:cs="Arial"/>
          <w:b/>
          <w:color w:val="000000"/>
          <w:sz w:val="22"/>
          <w:lang w:val="es-ES_tradnl" w:eastAsia="en-GB"/>
        </w:rPr>
        <w:t xml:space="preserve"> discapacidad</w:t>
      </w:r>
    </w:p>
    <w:p w14:paraId="2D9334FF" w14:textId="77777777" w:rsidR="00477C5F" w:rsidRPr="000679DA" w:rsidRDefault="00477C5F" w:rsidP="00477C5F">
      <w:pPr>
        <w:tabs>
          <w:tab w:val="left" w:pos="426"/>
        </w:tabs>
        <w:spacing w:line="276" w:lineRule="auto"/>
        <w:jc w:val="both"/>
        <w:rPr>
          <w:rFonts w:ascii="Arial" w:eastAsia="Calibri" w:hAnsi="Arial" w:cs="Arial"/>
          <w:b/>
          <w:color w:val="000000"/>
          <w:sz w:val="22"/>
          <w:lang w:val="es-ES_tradnl" w:eastAsia="en-GB"/>
        </w:rPr>
      </w:pPr>
    </w:p>
    <w:p w14:paraId="0364E006" w14:textId="77777777" w:rsidR="00477C5F" w:rsidRPr="007B384B" w:rsidRDefault="00477C5F" w:rsidP="00996992">
      <w:pPr>
        <w:spacing w:line="276" w:lineRule="auto"/>
        <w:jc w:val="both"/>
        <w:rPr>
          <w:rFonts w:ascii="Arial" w:eastAsia="Calibri" w:hAnsi="Arial" w:cs="Arial"/>
          <w:color w:val="000000"/>
          <w:sz w:val="22"/>
          <w:lang w:val="es-ES"/>
        </w:rPr>
      </w:pPr>
      <w:r w:rsidRPr="007B384B">
        <w:rPr>
          <w:rFonts w:ascii="Arial" w:eastAsia="Calibri" w:hAnsi="Arial" w:cs="Arial"/>
          <w:color w:val="000000"/>
          <w:sz w:val="22"/>
          <w:lang w:val="es-ES"/>
        </w:rPr>
        <w:t>Con la expedición de la Ley 1618 de 2013</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el legislador estableció </w:t>
      </w:r>
      <w:r>
        <w:rPr>
          <w:rFonts w:ascii="Arial" w:eastAsia="Calibri" w:hAnsi="Arial" w:cs="Arial"/>
          <w:color w:val="000000"/>
          <w:sz w:val="22"/>
          <w:lang w:val="es-ES"/>
        </w:rPr>
        <w:t>ciertas</w:t>
      </w:r>
      <w:r w:rsidRPr="007B384B">
        <w:rPr>
          <w:rFonts w:ascii="Arial" w:eastAsia="Calibri" w:hAnsi="Arial" w:cs="Arial"/>
          <w:color w:val="000000"/>
          <w:sz w:val="22"/>
          <w:lang w:val="es-ES"/>
        </w:rPr>
        <w:t xml:space="preserve"> disposiciones para garantizar el ejercicio de los derechos de las personas </w:t>
      </w:r>
      <w:r>
        <w:rPr>
          <w:rFonts w:ascii="Arial" w:eastAsia="Calibri" w:hAnsi="Arial" w:cs="Arial"/>
          <w:color w:val="000000"/>
          <w:sz w:val="22"/>
          <w:lang w:val="es-ES"/>
        </w:rPr>
        <w:t>en condición de</w:t>
      </w:r>
      <w:r w:rsidRPr="007B384B">
        <w:rPr>
          <w:rFonts w:ascii="Arial" w:eastAsia="Calibri" w:hAnsi="Arial" w:cs="Arial"/>
          <w:color w:val="000000"/>
          <w:sz w:val="22"/>
          <w:lang w:val="es-ES"/>
        </w:rPr>
        <w:t xml:space="preserve"> discapacidad</w:t>
      </w:r>
      <w:r w:rsidRPr="007B384B">
        <w:rPr>
          <w:rFonts w:ascii="Arial" w:eastAsia="Calibri" w:hAnsi="Arial" w:cs="Arial"/>
          <w:color w:val="000000"/>
          <w:sz w:val="22"/>
          <w:vertAlign w:val="superscript"/>
          <w:lang w:val="es-ES"/>
        </w:rPr>
        <w:footnoteReference w:id="2"/>
      </w:r>
      <w:r w:rsidRPr="007B384B">
        <w:rPr>
          <w:rFonts w:ascii="Arial" w:eastAsia="Calibri" w:hAnsi="Arial" w:cs="Arial"/>
          <w:color w:val="000000"/>
          <w:sz w:val="22"/>
          <w:lang w:val="es-ES"/>
        </w:rPr>
        <w:t xml:space="preserve">. </w:t>
      </w:r>
      <w:r w:rsidRPr="007B384B">
        <w:rPr>
          <w:rFonts w:ascii="Arial" w:eastAsia="Calibri" w:hAnsi="Arial" w:cs="Arial"/>
          <w:color w:val="000000"/>
          <w:sz w:val="22"/>
          <w:lang w:val="es-ES"/>
        </w:rPr>
        <w:lastRenderedPageBreak/>
        <w:t>Así mismo, el artículo 13 ordenó al Gobierno Nacional expedir un reglamento que determinara la metodología mediante la cual se otorgaría el puntaje adicional a las empresas que en su planta de personal tuvieran contratado</w:t>
      </w:r>
      <w:r>
        <w:rPr>
          <w:rFonts w:ascii="Arial" w:eastAsia="Calibri" w:hAnsi="Arial" w:cs="Arial"/>
          <w:color w:val="000000"/>
          <w:sz w:val="22"/>
          <w:lang w:val="es-ES"/>
        </w:rPr>
        <w:t>s</w:t>
      </w:r>
      <w:r w:rsidRPr="007B384B">
        <w:rPr>
          <w:rFonts w:ascii="Arial" w:eastAsia="Calibri" w:hAnsi="Arial" w:cs="Arial"/>
          <w:color w:val="000000"/>
          <w:sz w:val="22"/>
          <w:lang w:val="es-ES"/>
        </w:rPr>
        <w:t xml:space="preserve"> </w:t>
      </w:r>
      <w:r>
        <w:rPr>
          <w:rFonts w:ascii="Arial" w:eastAsia="Calibri" w:hAnsi="Arial" w:cs="Arial"/>
          <w:color w:val="000000"/>
          <w:sz w:val="22"/>
          <w:lang w:val="es-ES"/>
        </w:rPr>
        <w:t>trabajadores</w:t>
      </w:r>
      <w:r w:rsidRPr="007B384B">
        <w:rPr>
          <w:rFonts w:ascii="Arial" w:eastAsia="Calibri" w:hAnsi="Arial" w:cs="Arial"/>
          <w:color w:val="000000"/>
          <w:sz w:val="22"/>
          <w:lang w:val="es-ES"/>
        </w:rPr>
        <w:t xml:space="preserve"> en </w:t>
      </w:r>
      <w:r>
        <w:rPr>
          <w:rFonts w:ascii="Arial" w:eastAsia="Calibri" w:hAnsi="Arial" w:cs="Arial"/>
          <w:color w:val="000000"/>
          <w:sz w:val="22"/>
          <w:lang w:val="es-ES"/>
        </w:rPr>
        <w:t>condición</w:t>
      </w:r>
      <w:r w:rsidRPr="007B384B">
        <w:rPr>
          <w:rFonts w:ascii="Arial" w:eastAsia="Calibri" w:hAnsi="Arial" w:cs="Arial"/>
          <w:color w:val="000000"/>
          <w:sz w:val="22"/>
          <w:lang w:val="es-ES"/>
        </w:rPr>
        <w:t xml:space="preserve"> de discapacidad. La Ley 1618 de 2013 prescribe:</w:t>
      </w:r>
    </w:p>
    <w:p w14:paraId="4FF3014C" w14:textId="77777777" w:rsidR="00477C5F" w:rsidRPr="007B384B" w:rsidRDefault="00477C5F" w:rsidP="00477C5F">
      <w:pPr>
        <w:spacing w:after="18"/>
        <w:jc w:val="both"/>
        <w:rPr>
          <w:rFonts w:ascii="Arial" w:eastAsia="Calibri" w:hAnsi="Arial" w:cs="Arial"/>
          <w:color w:val="000000"/>
          <w:sz w:val="22"/>
          <w:lang w:val="es-ES"/>
        </w:rPr>
      </w:pPr>
    </w:p>
    <w:p w14:paraId="3885A683" w14:textId="77777777" w:rsidR="00477C5F" w:rsidRPr="007B384B" w:rsidRDefault="00477C5F" w:rsidP="00477C5F">
      <w:pPr>
        <w:ind w:left="709"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A51CAA0" w14:textId="77777777" w:rsidR="00477C5F" w:rsidRPr="007B384B" w:rsidRDefault="00477C5F" w:rsidP="00477C5F">
      <w:pPr>
        <w:ind w:left="709" w:right="709"/>
        <w:jc w:val="both"/>
        <w:rPr>
          <w:rFonts w:ascii="Arial" w:eastAsia="Calibri" w:hAnsi="Arial" w:cs="Arial"/>
          <w:color w:val="000000"/>
          <w:sz w:val="21"/>
          <w:szCs w:val="21"/>
          <w:lang w:val="es-ES"/>
        </w:rPr>
      </w:pPr>
    </w:p>
    <w:p w14:paraId="2ED75091" w14:textId="77777777" w:rsidR="00477C5F" w:rsidRPr="007B384B" w:rsidRDefault="00477C5F" w:rsidP="00477C5F">
      <w:pPr>
        <w:ind w:left="709"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53A88A5" w14:textId="77777777" w:rsidR="00477C5F" w:rsidRPr="007B384B" w:rsidRDefault="00477C5F" w:rsidP="00477C5F">
      <w:pPr>
        <w:ind w:left="709"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w:t>
      </w:r>
    </w:p>
    <w:p w14:paraId="0198DDBD" w14:textId="77777777" w:rsidR="00477C5F" w:rsidRPr="007B384B" w:rsidRDefault="00477C5F" w:rsidP="00477C5F">
      <w:pPr>
        <w:ind w:left="709" w:right="709"/>
        <w:jc w:val="both"/>
        <w:rPr>
          <w:rFonts w:ascii="Arial" w:eastAsia="Calibri" w:hAnsi="Arial" w:cs="Arial"/>
          <w:color w:val="000000"/>
          <w:sz w:val="21"/>
          <w:szCs w:val="21"/>
          <w:lang w:val="es-ES"/>
        </w:rPr>
      </w:pPr>
    </w:p>
    <w:p w14:paraId="607F4D30" w14:textId="77777777" w:rsidR="00477C5F" w:rsidRPr="007B384B" w:rsidRDefault="00477C5F" w:rsidP="00477C5F">
      <w:pPr>
        <w:ind w:left="708" w:right="709"/>
        <w:jc w:val="both"/>
        <w:rPr>
          <w:rFonts w:ascii="Arial" w:eastAsia="Calibri" w:hAnsi="Arial" w:cs="Arial"/>
          <w:color w:val="000000"/>
          <w:sz w:val="21"/>
          <w:szCs w:val="21"/>
          <w:lang w:val="es-ES"/>
        </w:rPr>
      </w:pPr>
      <w:r w:rsidRPr="007B384B">
        <w:rPr>
          <w:rFonts w:ascii="Arial" w:eastAsia="Calibri" w:hAnsi="Arial" w:cs="Arial"/>
          <w:color w:val="000000"/>
          <w:sz w:val="21"/>
          <w:szCs w:val="21"/>
          <w:lang w:val="es-ES"/>
        </w:rPr>
        <w:t>8. Los gobiernos nacional, departamentales, distritales y municipales, deberán fijar mediante decreto reglamentario, en los procesos de selección de los contratistas y proveedores, un sistema de preferencias a favor de las personas con discapacidad.</w:t>
      </w:r>
    </w:p>
    <w:p w14:paraId="0EC106C1" w14:textId="77777777" w:rsidR="00477C5F" w:rsidRPr="007B384B" w:rsidRDefault="00477C5F" w:rsidP="00477C5F">
      <w:pPr>
        <w:spacing w:after="18" w:line="276" w:lineRule="auto"/>
        <w:jc w:val="both"/>
        <w:rPr>
          <w:rFonts w:ascii="Arial" w:eastAsia="Calibri" w:hAnsi="Arial" w:cs="Arial"/>
          <w:color w:val="000000"/>
          <w:sz w:val="22"/>
          <w:lang w:val="es-ES"/>
        </w:rPr>
      </w:pPr>
      <w:r w:rsidRPr="007B384B">
        <w:rPr>
          <w:rFonts w:ascii="Arial" w:eastAsia="Calibri" w:hAnsi="Arial" w:cs="Arial"/>
          <w:color w:val="000000"/>
          <w:sz w:val="22"/>
          <w:lang w:val="es-ES"/>
        </w:rPr>
        <w:t xml:space="preserve">  </w:t>
      </w:r>
    </w:p>
    <w:p w14:paraId="1E2CD0AA"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Habida</w:t>
      </w:r>
      <w:r w:rsidRPr="007B384B">
        <w:rPr>
          <w:rFonts w:ascii="Arial" w:eastAsia="Calibri" w:hAnsi="Arial" w:cs="Arial"/>
          <w:color w:val="000000"/>
          <w:sz w:val="22"/>
          <w:lang w:val="es-ES"/>
        </w:rPr>
        <w:t xml:space="preserve"> cuenta </w:t>
      </w:r>
      <w:r>
        <w:rPr>
          <w:rFonts w:ascii="Arial" w:eastAsia="Calibri" w:hAnsi="Arial" w:cs="Arial"/>
          <w:color w:val="000000"/>
          <w:sz w:val="22"/>
          <w:lang w:val="es-ES"/>
        </w:rPr>
        <w:t xml:space="preserve">de </w:t>
      </w:r>
      <w:r w:rsidRPr="007B384B">
        <w:rPr>
          <w:rFonts w:ascii="Arial" w:eastAsia="Calibri" w:hAnsi="Arial" w:cs="Arial"/>
          <w:color w:val="000000"/>
          <w:sz w:val="22"/>
          <w:lang w:val="es-ES"/>
        </w:rPr>
        <w:t xml:space="preserve">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w:t>
      </w:r>
      <w:r>
        <w:rPr>
          <w:rFonts w:ascii="Arial" w:eastAsia="Calibri" w:hAnsi="Arial" w:cs="Arial"/>
          <w:color w:val="000000"/>
          <w:sz w:val="22"/>
          <w:lang w:val="es-ES"/>
        </w:rPr>
        <w:t>estatales</w:t>
      </w:r>
      <w:r w:rsidRPr="007B384B">
        <w:rPr>
          <w:rFonts w:ascii="Arial" w:eastAsia="Calibri" w:hAnsi="Arial" w:cs="Arial"/>
          <w:color w:val="000000"/>
          <w:sz w:val="22"/>
          <w:lang w:val="es-ES"/>
        </w:rPr>
        <w:t xml:space="preserve"> de otorgar un puntaje adicional a los procesos de selección de</w:t>
      </w:r>
      <w:r>
        <w:rPr>
          <w:rFonts w:ascii="Arial" w:eastAsia="Calibri" w:hAnsi="Arial" w:cs="Arial"/>
          <w:color w:val="000000"/>
          <w:sz w:val="22"/>
          <w:lang w:val="es-ES"/>
        </w:rPr>
        <w:t xml:space="preserve"> contratistas</w:t>
      </w:r>
      <w:r w:rsidRPr="007B384B">
        <w:rPr>
          <w:rFonts w:ascii="Arial" w:eastAsia="Calibri" w:hAnsi="Arial" w:cs="Arial"/>
          <w:color w:val="000000"/>
          <w:sz w:val="22"/>
          <w:lang w:val="es-ES"/>
        </w:rPr>
        <w:t xml:space="preserve"> en las modalidades de licitación pública y concurso de méritos, a quienes acrediten que al menos el diez por ciento (10%) de su nómina la integran personas en situación de discapacidad. </w:t>
      </w:r>
    </w:p>
    <w:p w14:paraId="384DC63A" w14:textId="77777777" w:rsidR="00477C5F" w:rsidRPr="007B384B" w:rsidRDefault="00477C5F" w:rsidP="003430C8">
      <w:pPr>
        <w:spacing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 xml:space="preserve">Conforme </w:t>
      </w:r>
      <w:r>
        <w:rPr>
          <w:rFonts w:ascii="Arial" w:eastAsia="Calibri" w:hAnsi="Arial" w:cs="Arial"/>
          <w:color w:val="000000"/>
          <w:sz w:val="22"/>
          <w:lang w:val="es-ES"/>
        </w:rPr>
        <w:t>con</w:t>
      </w:r>
      <w:r w:rsidRPr="007B384B">
        <w:rPr>
          <w:rFonts w:ascii="Arial" w:eastAsia="Calibri" w:hAnsi="Arial" w:cs="Arial"/>
          <w:color w:val="000000"/>
          <w:sz w:val="22"/>
          <w:lang w:val="es-ES"/>
        </w:rPr>
        <w:t xml:space="preserve"> lo anterior, el Decreto 1082 de 2015, en el artículo 2.2.1.2.4.6, adicionado por el Decreto 392 de 2018, regula el puntaje adicional para proponentes con trabajadores con discapacidad. Dicho artículo establece que debe asignarse un uno por ciento (1%) adicional a los proponentes que acrediten la vinculación de trabajadores con </w:t>
      </w:r>
      <w:r w:rsidRPr="007B384B">
        <w:rPr>
          <w:rFonts w:ascii="Arial" w:eastAsia="Calibri" w:hAnsi="Arial" w:cs="Arial"/>
          <w:color w:val="000000"/>
          <w:sz w:val="22"/>
          <w:lang w:val="es-ES"/>
        </w:rPr>
        <w:lastRenderedPageBreak/>
        <w:t>discapacidad en los procesos de licitaciones públicas y concursos de méritos, de acuerdo con los requisitos previstos en el Decreto en mención:</w:t>
      </w:r>
    </w:p>
    <w:p w14:paraId="1ABA68F4" w14:textId="77777777" w:rsidR="00477C5F" w:rsidRPr="007B384B" w:rsidRDefault="00477C5F" w:rsidP="00477C5F">
      <w:pPr>
        <w:spacing w:after="18"/>
        <w:jc w:val="both"/>
        <w:rPr>
          <w:rFonts w:ascii="Arial" w:eastAsia="Calibri" w:hAnsi="Arial" w:cs="Arial"/>
          <w:color w:val="000000"/>
          <w:sz w:val="20"/>
          <w:szCs w:val="20"/>
          <w:lang w:val="es-ES"/>
        </w:rPr>
      </w:pPr>
    </w:p>
    <w:p w14:paraId="7C590FDC" w14:textId="77777777" w:rsidR="00477C5F" w:rsidRPr="007B384B" w:rsidRDefault="00477C5F" w:rsidP="00477C5F">
      <w:pPr>
        <w:spacing w:after="18"/>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bCs/>
          <w:color w:val="000000"/>
          <w:sz w:val="21"/>
          <w:szCs w:val="21"/>
          <w:lang w:val="es-ES" w:eastAsia="es-CO"/>
        </w:rPr>
        <w:t>Artículo 2.2.1.2.4.2.6. Puntaje adicional para proponentes con trabajadores con discapacidad</w:t>
      </w:r>
      <w:r w:rsidRPr="007B384B">
        <w:rPr>
          <w:rFonts w:ascii="Arial" w:eastAsia="Times New Roman" w:hAnsi="Arial" w:cs="Arial"/>
          <w:color w:val="000000"/>
          <w:sz w:val="21"/>
          <w:szCs w:val="21"/>
          <w:lang w:val="es-ES"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7FC2661A" w14:textId="77777777" w:rsidR="00477C5F" w:rsidRPr="007B384B" w:rsidRDefault="00477C5F" w:rsidP="00477C5F">
      <w:pPr>
        <w:spacing w:after="18"/>
        <w:ind w:left="709" w:right="709"/>
        <w:jc w:val="both"/>
        <w:rPr>
          <w:rFonts w:ascii="Arial" w:eastAsia="Calibri" w:hAnsi="Arial" w:cs="Arial"/>
          <w:i/>
          <w:iCs/>
          <w:color w:val="000000"/>
          <w:sz w:val="21"/>
          <w:szCs w:val="21"/>
          <w:lang w:val="es-ES"/>
        </w:rPr>
      </w:pPr>
    </w:p>
    <w:p w14:paraId="5FD3E4F6" w14:textId="77777777" w:rsidR="00477C5F" w:rsidRPr="007B384B" w:rsidRDefault="00477C5F" w:rsidP="00477C5F">
      <w:pPr>
        <w:spacing w:after="18"/>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F039266" w14:textId="77777777" w:rsidR="00477C5F" w:rsidRPr="007B384B" w:rsidRDefault="00477C5F" w:rsidP="00477C5F">
      <w:pPr>
        <w:spacing w:after="18"/>
        <w:ind w:left="709" w:right="709"/>
        <w:jc w:val="both"/>
        <w:rPr>
          <w:rFonts w:ascii="Arial" w:eastAsia="Times New Roman" w:hAnsi="Arial" w:cs="Arial"/>
          <w:color w:val="000000"/>
          <w:sz w:val="21"/>
          <w:szCs w:val="21"/>
          <w:lang w:val="es-ES" w:eastAsia="es-CO"/>
        </w:rPr>
      </w:pPr>
    </w:p>
    <w:p w14:paraId="27143583" w14:textId="77777777" w:rsidR="00477C5F" w:rsidRPr="007B384B" w:rsidRDefault="00477C5F" w:rsidP="00477C5F">
      <w:pPr>
        <w:spacing w:after="18"/>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4D55AFFE" w14:textId="77777777" w:rsidR="00477C5F" w:rsidRPr="007B384B" w:rsidRDefault="00477C5F" w:rsidP="00477C5F">
      <w:pPr>
        <w:spacing w:after="18"/>
        <w:ind w:left="709" w:right="709"/>
        <w:jc w:val="both"/>
        <w:rPr>
          <w:rFonts w:ascii="Arial" w:eastAsia="Times New Roman" w:hAnsi="Arial" w:cs="Arial"/>
          <w:color w:val="000000"/>
          <w:sz w:val="21"/>
          <w:szCs w:val="21"/>
          <w:lang w:val="es-ES"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477C5F" w:rsidRPr="00796164" w14:paraId="273DD82B" w14:textId="77777777" w:rsidTr="00B9634F">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B4D6F19" w14:textId="77777777" w:rsidR="00477C5F" w:rsidRPr="007B384B" w:rsidRDefault="00477C5F" w:rsidP="00B9634F">
            <w:pPr>
              <w:spacing w:line="254" w:lineRule="atLeast"/>
              <w:jc w:val="center"/>
              <w:rPr>
                <w:rFonts w:ascii="Arial" w:eastAsia="Times New Roman" w:hAnsi="Arial" w:cs="Arial"/>
                <w:b/>
                <w:bCs/>
                <w:color w:val="000000"/>
                <w:sz w:val="21"/>
                <w:szCs w:val="21"/>
                <w:lang w:val="es-ES" w:eastAsia="es-CO"/>
              </w:rPr>
            </w:pPr>
            <w:r w:rsidRPr="007B384B">
              <w:rPr>
                <w:rFonts w:ascii="Arial" w:eastAsia="Times New Roman" w:hAnsi="Arial" w:cs="Arial"/>
                <w:b/>
                <w:bCs/>
                <w:color w:val="000000"/>
                <w:sz w:val="21"/>
                <w:szCs w:val="21"/>
                <w:lang w:val="es-ES"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4AC0B65" w14:textId="77777777" w:rsidR="00477C5F" w:rsidRPr="007B384B" w:rsidRDefault="00477C5F" w:rsidP="00B9634F">
            <w:pPr>
              <w:spacing w:line="254" w:lineRule="atLeast"/>
              <w:jc w:val="center"/>
              <w:rPr>
                <w:rFonts w:ascii="Arial" w:eastAsia="Times New Roman" w:hAnsi="Arial" w:cs="Arial"/>
                <w:b/>
                <w:bCs/>
                <w:color w:val="000000"/>
                <w:sz w:val="21"/>
                <w:szCs w:val="21"/>
                <w:lang w:val="es-ES" w:eastAsia="es-CO"/>
              </w:rPr>
            </w:pPr>
            <w:r w:rsidRPr="007B384B">
              <w:rPr>
                <w:rFonts w:ascii="Arial" w:eastAsia="Times New Roman" w:hAnsi="Arial" w:cs="Arial"/>
                <w:b/>
                <w:bCs/>
                <w:color w:val="000000"/>
                <w:sz w:val="21"/>
                <w:szCs w:val="21"/>
                <w:lang w:val="es-ES" w:eastAsia="es-CO"/>
              </w:rPr>
              <w:t>Número mínimo de trabajadores con discapacidad exigido </w:t>
            </w:r>
          </w:p>
        </w:tc>
      </w:tr>
      <w:tr w:rsidR="00477C5F" w:rsidRPr="007B384B" w14:paraId="2349858D" w14:textId="77777777" w:rsidTr="00B9634F">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A9A9F20" w14:textId="77777777" w:rsidR="00477C5F" w:rsidRPr="007B384B" w:rsidRDefault="00477C5F" w:rsidP="00B9634F">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8D73643" w14:textId="77777777" w:rsidR="00477C5F" w:rsidRPr="007B384B" w:rsidRDefault="00477C5F" w:rsidP="00B9634F">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1 </w:t>
            </w:r>
          </w:p>
        </w:tc>
      </w:tr>
      <w:tr w:rsidR="00477C5F" w:rsidRPr="007B384B" w14:paraId="7CA4CF9F" w14:textId="77777777" w:rsidTr="00B9634F">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6954A90" w14:textId="77777777" w:rsidR="00477C5F" w:rsidRPr="007B384B" w:rsidRDefault="00477C5F" w:rsidP="00B9634F">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85A5612" w14:textId="77777777" w:rsidR="00477C5F" w:rsidRPr="007B384B" w:rsidRDefault="00477C5F" w:rsidP="00B9634F">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2 </w:t>
            </w:r>
          </w:p>
        </w:tc>
      </w:tr>
      <w:tr w:rsidR="00477C5F" w:rsidRPr="007B384B" w14:paraId="4451E5B0" w14:textId="77777777" w:rsidTr="00B9634F">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9BDF3DB" w14:textId="77777777" w:rsidR="00477C5F" w:rsidRPr="007B384B" w:rsidRDefault="00477C5F" w:rsidP="00B9634F">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7410461" w14:textId="77777777" w:rsidR="00477C5F" w:rsidRPr="007B384B" w:rsidRDefault="00477C5F" w:rsidP="00B9634F">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3 </w:t>
            </w:r>
          </w:p>
        </w:tc>
      </w:tr>
      <w:tr w:rsidR="00477C5F" w:rsidRPr="007B384B" w14:paraId="546B2687" w14:textId="77777777" w:rsidTr="00B9634F">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4E572B9" w14:textId="77777777" w:rsidR="00477C5F" w:rsidRPr="007B384B" w:rsidRDefault="00477C5F" w:rsidP="00B9634F">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16ED842" w14:textId="77777777" w:rsidR="00477C5F" w:rsidRPr="007B384B" w:rsidRDefault="00477C5F" w:rsidP="00B9634F">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4 </w:t>
            </w:r>
          </w:p>
        </w:tc>
      </w:tr>
      <w:tr w:rsidR="00477C5F" w:rsidRPr="007B384B" w14:paraId="44C3A751" w14:textId="77777777" w:rsidTr="00B9634F">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DB1FEFB" w14:textId="77777777" w:rsidR="00477C5F" w:rsidRPr="007B384B" w:rsidRDefault="00477C5F" w:rsidP="00B9634F">
            <w:pPr>
              <w:spacing w:line="254" w:lineRule="atLeast"/>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08FB947" w14:textId="77777777" w:rsidR="00477C5F" w:rsidRPr="007B384B" w:rsidRDefault="00477C5F" w:rsidP="00B9634F">
            <w:pPr>
              <w:spacing w:line="254" w:lineRule="atLeast"/>
              <w:jc w:val="center"/>
              <w:rPr>
                <w:rFonts w:ascii="Arial" w:eastAsia="Times New Roman" w:hAnsi="Arial" w:cs="Arial"/>
                <w:color w:val="000000"/>
                <w:sz w:val="21"/>
                <w:szCs w:val="21"/>
                <w:lang w:val="es-ES" w:eastAsia="es-CO"/>
              </w:rPr>
            </w:pPr>
            <w:r w:rsidRPr="007B384B">
              <w:rPr>
                <w:rFonts w:ascii="Arial" w:eastAsia="Times New Roman" w:hAnsi="Arial" w:cs="Arial"/>
                <w:color w:val="000000"/>
                <w:sz w:val="21"/>
                <w:szCs w:val="21"/>
                <w:lang w:val="es-ES" w:eastAsia="es-CO"/>
              </w:rPr>
              <w:t>5 </w:t>
            </w:r>
          </w:p>
        </w:tc>
      </w:tr>
    </w:tbl>
    <w:p w14:paraId="20F6B60E" w14:textId="77777777" w:rsidR="00477C5F" w:rsidRPr="007B384B" w:rsidRDefault="00477C5F" w:rsidP="00477C5F">
      <w:pPr>
        <w:spacing w:after="18"/>
        <w:ind w:left="709" w:right="709"/>
        <w:jc w:val="both"/>
        <w:rPr>
          <w:rFonts w:ascii="Arial" w:eastAsia="Times New Roman" w:hAnsi="Arial" w:cs="Arial"/>
          <w:color w:val="000000"/>
          <w:sz w:val="21"/>
          <w:szCs w:val="21"/>
          <w:lang w:val="es-ES" w:eastAsia="es-CO"/>
        </w:rPr>
      </w:pPr>
    </w:p>
    <w:p w14:paraId="33B2F295"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 xml:space="preserve">Según esta norma, en los procesos de licitación pública o concurso de méritos, para obtener el puntaje adicional por tener personas en condición de discapacidad vinculadas en la planta de personal, se debe acreditar: i) el número total de trabajadores vinculados a la planta de personal; y ii) </w:t>
      </w:r>
      <w:bookmarkStart w:id="2" w:name="_Hlk11918325"/>
      <w:r w:rsidRPr="007B384B">
        <w:rPr>
          <w:rFonts w:ascii="Arial" w:eastAsia="Calibri" w:hAnsi="Arial" w:cs="Arial"/>
          <w:color w:val="000000"/>
          <w:sz w:val="22"/>
          <w:lang w:val="es-ES"/>
        </w:rPr>
        <w:t>el número mínimo de personas con discapacidad en su planta de personal</w:t>
      </w:r>
      <w:bookmarkEnd w:id="2"/>
      <w:r w:rsidRPr="007B384B">
        <w:rPr>
          <w:rFonts w:ascii="Arial" w:eastAsia="Calibri" w:hAnsi="Arial" w:cs="Arial"/>
          <w:color w:val="000000"/>
          <w:sz w:val="22"/>
          <w:lang w:val="es-ES"/>
        </w:rPr>
        <w:t xml:space="preserve">. </w:t>
      </w:r>
    </w:p>
    <w:p w14:paraId="7310FA25"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En relación con primer requisito, la norma prevé que la persona natural, el representante legal de la persona jurídica</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o el revisor fiscal, según corresponda, deberá certificar el número total de trabajadores vinculados a la planta de personal del proponente o sus integrantes a la fecha de cierre del proceso de selección.</w:t>
      </w:r>
    </w:p>
    <w:p w14:paraId="6D594A3C"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lastRenderedPageBreak/>
        <w:t>Para el caso de proponentes singulares, la acreditación de tal situación se realiza a través de</w:t>
      </w:r>
      <w:r>
        <w:rPr>
          <w:rFonts w:ascii="Arial" w:eastAsia="Calibri" w:hAnsi="Arial" w:cs="Arial"/>
          <w:color w:val="000000"/>
          <w:sz w:val="22"/>
          <w:lang w:val="es-ES"/>
        </w:rPr>
        <w:t xml:space="preserve"> una</w:t>
      </w:r>
      <w:r w:rsidRPr="007B384B">
        <w:rPr>
          <w:rFonts w:ascii="Arial" w:eastAsia="Calibri" w:hAnsi="Arial" w:cs="Arial"/>
          <w:color w:val="000000"/>
          <w:sz w:val="22"/>
          <w:lang w:val="es-ES"/>
        </w:rPr>
        <w:t xml:space="preserve"> certificación emitida por: i) la persona natural o ii) el representante legal de la persona jurídica o su revisor fiscal cuando esté obligado a tenerlo. </w:t>
      </w:r>
    </w:p>
    <w:p w14:paraId="1581D61D"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14:paraId="30FFC2D2"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Para llegar a la anterior conclusión es necesario tener en cuenta que esta condición es propia de la persona natural o jurídica que pretende acreditarla para obtener el puntaje. Por lo tanto,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p>
    <w:p w14:paraId="5EE1B32D" w14:textId="77777777" w:rsidR="00477C5F" w:rsidRPr="007B384B" w:rsidRDefault="00477C5F" w:rsidP="00201F1E">
      <w:pPr>
        <w:spacing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7B384B">
        <w:rPr>
          <w:rFonts w:ascii="Arial" w:eastAsia="Calibri" w:hAnsi="Arial" w:cs="Arial"/>
          <w:i/>
          <w:color w:val="000000"/>
          <w:sz w:val="22"/>
          <w:lang w:val="es-ES"/>
        </w:rPr>
        <w:t>o</w:t>
      </w:r>
      <w:r w:rsidRPr="007B384B">
        <w:rPr>
          <w:rFonts w:ascii="Arial" w:eastAsia="Calibri" w:hAnsi="Arial" w:cs="Arial"/>
          <w:color w:val="000000"/>
          <w:sz w:val="22"/>
          <w:lang w:val="es-ES"/>
        </w:rPr>
        <w:t xml:space="preserve"> sus integrantes a la fecha de cierre del proceso de selección.</w:t>
      </w:r>
      <w:r>
        <w:rPr>
          <w:rFonts w:ascii="Arial" w:eastAsia="Calibri" w:hAnsi="Arial" w:cs="Arial"/>
          <w:color w:val="000000"/>
          <w:sz w:val="22"/>
          <w:lang w:val="es-ES"/>
        </w:rPr>
        <w:t xml:space="preserve"> </w:t>
      </w:r>
      <w:r w:rsidRPr="007B384B">
        <w:rPr>
          <w:rFonts w:ascii="Arial" w:eastAsia="Calibri" w:hAnsi="Arial" w:cs="Arial"/>
          <w:color w:val="000000"/>
          <w:sz w:val="22"/>
          <w:lang w:val="es-ES"/>
        </w:rPr>
        <w:t xml:space="preserve">El parágrafo del artículo 2.2.1.2.4.2.6. establece la siguiente regla para las ofertas presentadas por proponentes plurales: </w:t>
      </w:r>
    </w:p>
    <w:p w14:paraId="13A3AABB" w14:textId="77777777" w:rsidR="00477C5F" w:rsidRPr="007B384B" w:rsidRDefault="00477C5F" w:rsidP="00477C5F">
      <w:pPr>
        <w:spacing w:line="276" w:lineRule="auto"/>
        <w:ind w:left="709" w:right="709"/>
        <w:jc w:val="both"/>
        <w:rPr>
          <w:rFonts w:ascii="Arial" w:eastAsia="Times New Roman" w:hAnsi="Arial" w:cs="Arial"/>
          <w:bCs/>
          <w:color w:val="000000"/>
          <w:sz w:val="21"/>
          <w:szCs w:val="21"/>
          <w:lang w:val="es-ES" w:eastAsia="es-CO"/>
        </w:rPr>
      </w:pPr>
    </w:p>
    <w:p w14:paraId="08D97232" w14:textId="77777777" w:rsidR="00477C5F" w:rsidRPr="007B384B" w:rsidRDefault="00477C5F" w:rsidP="00477C5F">
      <w:pPr>
        <w:ind w:left="709" w:right="709"/>
        <w:jc w:val="both"/>
        <w:rPr>
          <w:rFonts w:ascii="Arial" w:eastAsia="Times New Roman" w:hAnsi="Arial" w:cs="Arial"/>
          <w:color w:val="000000"/>
          <w:sz w:val="21"/>
          <w:szCs w:val="21"/>
          <w:lang w:val="es-ES" w:eastAsia="es-CO"/>
        </w:rPr>
      </w:pPr>
      <w:r w:rsidRPr="007B384B">
        <w:rPr>
          <w:rFonts w:ascii="Arial" w:eastAsia="Times New Roman" w:hAnsi="Arial" w:cs="Arial"/>
          <w:bCs/>
          <w:color w:val="000000"/>
          <w:sz w:val="21"/>
          <w:szCs w:val="21"/>
          <w:lang w:val="es-ES" w:eastAsia="es-CO"/>
        </w:rPr>
        <w:t>Parágrafo</w:t>
      </w:r>
      <w:r w:rsidRPr="007B384B">
        <w:rPr>
          <w:rFonts w:ascii="Arial" w:eastAsia="Times New Roman" w:hAnsi="Arial" w:cs="Arial"/>
          <w:color w:val="000000"/>
          <w:sz w:val="21"/>
          <w:szCs w:val="21"/>
          <w:lang w:val="es-ES"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18FEACBA" w14:textId="77777777" w:rsidR="00477C5F" w:rsidRPr="007B384B" w:rsidRDefault="00477C5F" w:rsidP="00477C5F">
      <w:pPr>
        <w:spacing w:line="276" w:lineRule="auto"/>
        <w:ind w:left="709" w:right="709"/>
        <w:jc w:val="both"/>
        <w:rPr>
          <w:rFonts w:ascii="Arial" w:eastAsia="Calibri" w:hAnsi="Arial" w:cs="Arial"/>
          <w:color w:val="000000"/>
          <w:sz w:val="22"/>
          <w:lang w:val="es-ES"/>
        </w:rPr>
      </w:pPr>
    </w:p>
    <w:p w14:paraId="7D3516C3" w14:textId="77777777" w:rsidR="00477C5F"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 xml:space="preserve">De acuerdo con esta norma, la entidad estatal tendrá en cuenta la planta de personal del integrante del proponente plural que aporte como mínimo el cuarenta por ciento </w:t>
      </w:r>
      <w:r>
        <w:rPr>
          <w:rFonts w:ascii="Arial" w:eastAsia="Calibri" w:hAnsi="Arial" w:cs="Arial"/>
          <w:color w:val="000000"/>
          <w:sz w:val="22"/>
          <w:lang w:val="es-ES"/>
        </w:rPr>
        <w:t>(</w:t>
      </w:r>
      <w:r w:rsidRPr="007B384B">
        <w:rPr>
          <w:rFonts w:ascii="Arial" w:eastAsia="Calibri" w:hAnsi="Arial" w:cs="Arial"/>
          <w:color w:val="000000"/>
          <w:sz w:val="22"/>
          <w:lang w:val="es-ES"/>
        </w:rPr>
        <w:t>40%</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w:t>
      </w:r>
      <w:r>
        <w:rPr>
          <w:rFonts w:ascii="Arial" w:eastAsia="Calibri" w:hAnsi="Arial" w:cs="Arial"/>
          <w:color w:val="000000"/>
          <w:sz w:val="22"/>
          <w:lang w:val="es-ES"/>
        </w:rPr>
        <w:t xml:space="preserve">mínimo </w:t>
      </w:r>
      <w:r w:rsidRPr="007B384B">
        <w:rPr>
          <w:rFonts w:ascii="Arial" w:eastAsia="Calibri" w:hAnsi="Arial" w:cs="Arial"/>
          <w:color w:val="000000"/>
          <w:sz w:val="22"/>
          <w:lang w:val="es-ES"/>
        </w:rPr>
        <w:t xml:space="preserve">el cuarenta por ciento </w:t>
      </w:r>
      <w:r>
        <w:rPr>
          <w:rFonts w:ascii="Arial" w:eastAsia="Calibri" w:hAnsi="Arial" w:cs="Arial"/>
          <w:color w:val="000000"/>
          <w:sz w:val="22"/>
          <w:lang w:val="es-ES"/>
        </w:rPr>
        <w:t>(</w:t>
      </w:r>
      <w:r w:rsidRPr="007B384B">
        <w:rPr>
          <w:rFonts w:ascii="Arial" w:eastAsia="Calibri" w:hAnsi="Arial" w:cs="Arial"/>
          <w:color w:val="000000"/>
          <w:sz w:val="22"/>
          <w:lang w:val="es-ES"/>
        </w:rPr>
        <w:t>40%</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de la experiencia. En contraste, si el integrante que aporta este porcentaje no tiene vinculados trabajadores </w:t>
      </w:r>
      <w:r>
        <w:rPr>
          <w:rFonts w:ascii="Arial" w:eastAsia="Calibri" w:hAnsi="Arial" w:cs="Arial"/>
          <w:color w:val="000000"/>
          <w:sz w:val="22"/>
          <w:lang w:val="es-ES"/>
        </w:rPr>
        <w:t>en condición de</w:t>
      </w:r>
      <w:r w:rsidRPr="007B384B">
        <w:rPr>
          <w:rFonts w:ascii="Arial" w:eastAsia="Calibri" w:hAnsi="Arial" w:cs="Arial"/>
          <w:color w:val="000000"/>
          <w:sz w:val="22"/>
          <w:lang w:val="es-ES"/>
        </w:rPr>
        <w:t xml:space="preserve"> discapacidad</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no podrá el consorcio o la unión temporal de que hace parte obtener puntaje </w:t>
      </w:r>
      <w:r w:rsidRPr="007B384B">
        <w:rPr>
          <w:rFonts w:ascii="Arial" w:eastAsia="Calibri" w:hAnsi="Arial" w:cs="Arial"/>
          <w:color w:val="000000"/>
          <w:sz w:val="22"/>
          <w:lang w:val="es-ES"/>
        </w:rPr>
        <w:lastRenderedPageBreak/>
        <w:t>por este criterio</w:t>
      </w:r>
      <w:r>
        <w:rPr>
          <w:rFonts w:ascii="Arial" w:eastAsia="Calibri" w:hAnsi="Arial" w:cs="Arial"/>
          <w:color w:val="000000"/>
          <w:sz w:val="22"/>
          <w:lang w:val="es-ES"/>
        </w:rPr>
        <w:t>. Ello es así,</w:t>
      </w:r>
      <w:r w:rsidRPr="007B384B">
        <w:rPr>
          <w:rFonts w:ascii="Arial" w:eastAsia="Calibri" w:hAnsi="Arial" w:cs="Arial"/>
          <w:color w:val="000000"/>
          <w:sz w:val="22"/>
          <w:lang w:val="es-ES"/>
        </w:rPr>
        <w:t xml:space="preserve"> aun cuando los demás integrantes que hayan aportado experiencia en un porcentaje inferior al cuarenta por ciento </w:t>
      </w:r>
      <w:r>
        <w:rPr>
          <w:rFonts w:ascii="Arial" w:eastAsia="Calibri" w:hAnsi="Arial" w:cs="Arial"/>
          <w:color w:val="000000"/>
          <w:sz w:val="22"/>
          <w:lang w:val="es-ES"/>
        </w:rPr>
        <w:t>(</w:t>
      </w:r>
      <w:r w:rsidRPr="007B384B">
        <w:rPr>
          <w:rFonts w:ascii="Arial" w:eastAsia="Calibri" w:hAnsi="Arial" w:cs="Arial"/>
          <w:color w:val="000000"/>
          <w:sz w:val="22"/>
          <w:lang w:val="es-ES"/>
        </w:rPr>
        <w:t>40%</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cuenten con trabajadores en condición de discapacidad. </w:t>
      </w:r>
    </w:p>
    <w:p w14:paraId="78B723B5" w14:textId="77777777" w:rsidR="00477C5F" w:rsidRDefault="00477C5F" w:rsidP="00477C5F">
      <w:pPr>
        <w:spacing w:after="120" w:line="276" w:lineRule="auto"/>
        <w:ind w:firstLine="709"/>
        <w:jc w:val="both"/>
        <w:rPr>
          <w:rFonts w:ascii="Arial" w:eastAsia="Calibri" w:hAnsi="Arial" w:cs="Arial"/>
          <w:color w:val="000000"/>
          <w:sz w:val="22"/>
          <w:lang w:val="es-ES"/>
        </w:rPr>
      </w:pPr>
      <w:r w:rsidRPr="003E6B10">
        <w:rPr>
          <w:rFonts w:ascii="Arial" w:eastAsia="Calibri" w:hAnsi="Arial" w:cs="Arial"/>
          <w:color w:val="000000"/>
          <w:sz w:val="22"/>
          <w:lang w:val="es-ES"/>
        </w:rPr>
        <w:t>En este punto es importante hacer una precisión adicional</w:t>
      </w:r>
      <w:r>
        <w:rPr>
          <w:rFonts w:ascii="Arial" w:eastAsia="Calibri" w:hAnsi="Arial" w:cs="Arial"/>
          <w:color w:val="000000"/>
          <w:sz w:val="22"/>
          <w:lang w:val="es-ES"/>
        </w:rPr>
        <w:t xml:space="preserve">. La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w:t>
      </w:r>
    </w:p>
    <w:p w14:paraId="24E1D41C" w14:textId="77777777" w:rsidR="00477C5F" w:rsidRDefault="00477C5F" w:rsidP="00477C5F">
      <w:pPr>
        <w:spacing w:after="120" w:line="276" w:lineRule="auto"/>
        <w:ind w:firstLine="709"/>
        <w:jc w:val="both"/>
        <w:rPr>
          <w:rFonts w:ascii="Arial" w:eastAsia="Calibri" w:hAnsi="Arial" w:cs="Arial"/>
          <w:color w:val="000000"/>
          <w:sz w:val="22"/>
          <w:lang w:val="es-ES"/>
        </w:rPr>
      </w:pPr>
      <w:r w:rsidRPr="003E6B10">
        <w:rPr>
          <w:rFonts w:ascii="Arial" w:eastAsia="Calibri" w:hAnsi="Arial" w:cs="Arial"/>
          <w:color w:val="000000"/>
          <w:sz w:val="22"/>
          <w:lang w:val="es-ES"/>
        </w:rPr>
        <w:t xml:space="preserve"> </w:t>
      </w:r>
      <w:r>
        <w:rPr>
          <w:rFonts w:ascii="Arial" w:eastAsia="Calibri" w:hAnsi="Arial" w:cs="Arial"/>
          <w:color w:val="000000"/>
          <w:sz w:val="22"/>
          <w:lang w:val="es-ES"/>
        </w:rPr>
        <w:t>S</w:t>
      </w:r>
      <w:r w:rsidRPr="003E6B10">
        <w:rPr>
          <w:rFonts w:ascii="Arial" w:eastAsia="Calibri" w:hAnsi="Arial" w:cs="Arial"/>
          <w:color w:val="000000"/>
          <w:sz w:val="22"/>
          <w:lang w:val="es-ES"/>
        </w:rPr>
        <w:t>obre el cálculo de la experiencia para las estructuras plurales. En el «</w:t>
      </w:r>
      <w:r w:rsidRPr="00796164">
        <w:rPr>
          <w:rFonts w:ascii="Arial" w:eastAsia="Calibri" w:hAnsi="Arial" w:cs="Arial"/>
          <w:color w:val="000000"/>
          <w:sz w:val="22"/>
        </w:rPr>
        <w:t>Manual para determinar y verificar los requisitos habilitantes en los Procesos de Contratación</w:t>
      </w:r>
      <w:r w:rsidRPr="003E6B10">
        <w:rPr>
          <w:rFonts w:ascii="Arial" w:eastAsia="Calibri" w:hAnsi="Arial" w:cs="Arial"/>
          <w:color w:val="000000"/>
          <w:sz w:val="22"/>
          <w:lang w:val="es-ES"/>
        </w:rPr>
        <w:t>»</w:t>
      </w:r>
      <w:r>
        <w:rPr>
          <w:rFonts w:ascii="Arial" w:eastAsia="Calibri" w:hAnsi="Arial" w:cs="Arial"/>
          <w:color w:val="000000"/>
          <w:sz w:val="22"/>
          <w:lang w:val="es-ES"/>
        </w:rPr>
        <w:t xml:space="preserve"> la Agencia Nacional de Contratación Pública – Colombia Compra Eficiente aclaró lo siguiente:</w:t>
      </w:r>
      <w:r w:rsidRPr="00E65BCF">
        <w:rPr>
          <w:rFonts w:ascii="Arial" w:eastAsia="Calibri" w:hAnsi="Arial" w:cs="Arial"/>
          <w:color w:val="000000"/>
          <w:sz w:val="22"/>
          <w:lang w:val="es-ES"/>
        </w:rPr>
        <w:t xml:space="preserve"> «</w:t>
      </w:r>
      <w:r w:rsidRPr="00796164">
        <w:rPr>
          <w:rFonts w:ascii="Arial" w:eastAsia="Calibri" w:hAnsi="Arial" w:cs="Arial"/>
          <w:color w:val="000000"/>
          <w:sz w:val="22"/>
        </w:rPr>
        <w:t>La experiencia del oferente plural (unión temporal, consorcio y promesa de sociedad futura) corresponde a la suma de la experiencia que acredite cada uno de los integrantes del proponente plural».</w:t>
      </w:r>
      <w:r w:rsidRPr="00AC6151">
        <w:rPr>
          <w:rFonts w:ascii="Arial" w:eastAsia="Times New Roman" w:hAnsi="Arial" w:cs="Arial"/>
          <w:bCs/>
          <w:color w:val="000000"/>
          <w:sz w:val="21"/>
          <w:szCs w:val="21"/>
          <w:lang w:val="es-ES" w:eastAsia="es-CO"/>
        </w:rPr>
        <w:t xml:space="preserve"> </w:t>
      </w:r>
      <w:r>
        <w:rPr>
          <w:rFonts w:ascii="Arial" w:eastAsia="Calibri" w:hAnsi="Arial" w:cs="Arial"/>
          <w:color w:val="000000"/>
          <w:sz w:val="22"/>
          <w:lang w:val="es-ES"/>
        </w:rPr>
        <w:t xml:space="preserve">A la luz de lo anterior, la experiencia de cada uno de los integrantes se suma para obtener la experiencia de la estructura plural, sin que para dicho cálculo sea relevante el porcentaje de participación del respectivo integrante en el consorcio o unión temporal. </w:t>
      </w:r>
    </w:p>
    <w:p w14:paraId="06930BAB" w14:textId="2E63FB72" w:rsidR="00477C5F" w:rsidRDefault="00477C5F" w:rsidP="00477C5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 xml:space="preserve">Como consecuencia, se debe decir que si más de uno de los integrantes de la estructura plural aporta </w:t>
      </w:r>
      <w:r w:rsidRPr="00AC6151">
        <w:rPr>
          <w:rFonts w:ascii="Arial" w:eastAsia="Calibri" w:hAnsi="Arial" w:cs="Arial"/>
          <w:color w:val="000000"/>
          <w:sz w:val="22"/>
          <w:lang w:val="es-ES"/>
        </w:rPr>
        <w:t xml:space="preserve">«mínimo el cuarenta por ciento </w:t>
      </w:r>
      <w:r>
        <w:rPr>
          <w:rFonts w:ascii="Arial" w:eastAsia="Calibri" w:hAnsi="Arial" w:cs="Arial"/>
          <w:color w:val="000000"/>
          <w:sz w:val="22"/>
          <w:lang w:val="es-ES"/>
        </w:rPr>
        <w:t>(</w:t>
      </w:r>
      <w:r w:rsidRPr="00AC6151">
        <w:rPr>
          <w:rFonts w:ascii="Arial" w:eastAsia="Calibri" w:hAnsi="Arial" w:cs="Arial"/>
          <w:color w:val="000000"/>
          <w:sz w:val="22"/>
          <w:lang w:val="es-ES"/>
        </w:rPr>
        <w:t>40%</w:t>
      </w:r>
      <w:r>
        <w:rPr>
          <w:rFonts w:ascii="Arial" w:eastAsia="Calibri" w:hAnsi="Arial" w:cs="Arial"/>
          <w:color w:val="000000"/>
          <w:sz w:val="22"/>
          <w:lang w:val="es-ES"/>
        </w:rPr>
        <w:t>)</w:t>
      </w:r>
      <w:r w:rsidRPr="00AC6151">
        <w:rPr>
          <w:rFonts w:ascii="Arial" w:eastAsia="Calibri" w:hAnsi="Arial" w:cs="Arial"/>
          <w:color w:val="000000"/>
          <w:sz w:val="22"/>
          <w:lang w:val="es-ES"/>
        </w:rPr>
        <w:t xml:space="preserve"> de la experiencia requerida para la respectiva contratación»</w:t>
      </w:r>
      <w:r>
        <w:rPr>
          <w:rFonts w:ascii="Arial" w:eastAsia="Calibri" w:hAnsi="Arial" w:cs="Arial"/>
          <w:color w:val="000000"/>
          <w:sz w:val="22"/>
          <w:lang w:val="es-ES"/>
        </w:rPr>
        <w:t>,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w:t>
      </w:r>
      <w:r w:rsidRPr="00096B3E">
        <w:rPr>
          <w:rFonts w:ascii="Arial" w:eastAsia="Calibri" w:hAnsi="Arial" w:cs="Arial"/>
          <w:color w:val="000000"/>
          <w:sz w:val="22"/>
          <w:lang w:val="es-ES"/>
        </w:rPr>
        <w:t xml:space="preserve"> </w:t>
      </w:r>
      <w:r>
        <w:rPr>
          <w:rFonts w:ascii="Arial" w:eastAsia="Calibri" w:hAnsi="Arial" w:cs="Arial"/>
          <w:color w:val="000000"/>
          <w:sz w:val="22"/>
          <w:lang w:val="es-ES"/>
        </w:rPr>
        <w:t xml:space="preserve">Sobre este punto, se reitera, no resulta relevante el porcentaje de participación que tenga cada uno de los integrantes, pues para calcular la experiencia solamente se </w:t>
      </w:r>
      <w:r w:rsidR="007236C4">
        <w:rPr>
          <w:rFonts w:ascii="Arial" w:eastAsia="Calibri" w:hAnsi="Arial" w:cs="Arial"/>
          <w:color w:val="000000"/>
          <w:sz w:val="22"/>
          <w:lang w:val="es-ES"/>
        </w:rPr>
        <w:t xml:space="preserve">tiene </w:t>
      </w:r>
      <w:r>
        <w:rPr>
          <w:rFonts w:ascii="Arial" w:eastAsia="Calibri" w:hAnsi="Arial" w:cs="Arial"/>
          <w:color w:val="000000"/>
          <w:sz w:val="22"/>
          <w:lang w:val="es-ES"/>
        </w:rPr>
        <w:t xml:space="preserve">en cuenta la sumatoria total de la experiencia de cada uno de ellos, independientemente de la manera como está conformado el proponente plural. </w:t>
      </w:r>
    </w:p>
    <w:p w14:paraId="52335C43" w14:textId="77777777" w:rsidR="00477C5F" w:rsidRDefault="00477C5F" w:rsidP="00477C5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Así, por ejemplo, si tres miembros conforman una unión temporal y dos de los integrantes aportan cuarenta y cinco por ciento (45%)</w:t>
      </w:r>
      <w:r w:rsidRPr="00AC6151">
        <w:rPr>
          <w:rFonts w:ascii="Arial" w:eastAsia="Calibri" w:hAnsi="Arial" w:cs="Arial"/>
          <w:color w:val="000000"/>
          <w:sz w:val="22"/>
          <w:lang w:val="es-ES"/>
        </w:rPr>
        <w:t xml:space="preserve"> </w:t>
      </w:r>
      <w:r>
        <w:rPr>
          <w:rFonts w:ascii="Arial" w:eastAsia="Calibri" w:hAnsi="Arial" w:cs="Arial"/>
          <w:color w:val="000000"/>
          <w:sz w:val="22"/>
          <w:lang w:val="es-ES"/>
        </w:rPr>
        <w:t xml:space="preserve">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 </w:t>
      </w:r>
    </w:p>
    <w:p w14:paraId="17675893" w14:textId="77777777" w:rsidR="00477C5F" w:rsidRPr="00096B3E" w:rsidRDefault="00477C5F" w:rsidP="00477C5F">
      <w:pPr>
        <w:spacing w:after="120" w:line="276" w:lineRule="auto"/>
        <w:ind w:firstLine="709"/>
        <w:jc w:val="both"/>
        <w:rPr>
          <w:rFonts w:ascii="Arial" w:eastAsia="Calibri" w:hAnsi="Arial" w:cs="Arial"/>
          <w:color w:val="000000"/>
          <w:sz w:val="22"/>
          <w:lang w:val="es-ES"/>
        </w:rPr>
      </w:pPr>
      <w:r>
        <w:rPr>
          <w:rFonts w:ascii="Arial" w:eastAsia="Calibri" w:hAnsi="Arial" w:cs="Arial"/>
          <w:color w:val="000000"/>
          <w:sz w:val="22"/>
          <w:lang w:val="es-ES"/>
        </w:rPr>
        <w:t xml:space="preserve">Ahora bien, una regla diferente aplica para calcular la experiencia previa adquirida, cuando se acredita mediante contratos ejecutados por un consorcio o unión temporal. En estos casos sí se toma en consideración el porcentaje de participación que la persona </w:t>
      </w:r>
      <w:r>
        <w:rPr>
          <w:rFonts w:ascii="Arial" w:eastAsia="Calibri" w:hAnsi="Arial" w:cs="Arial"/>
          <w:color w:val="000000"/>
          <w:sz w:val="22"/>
          <w:lang w:val="es-ES"/>
        </w:rPr>
        <w:lastRenderedPageBreak/>
        <w:t xml:space="preserve">natural o jurídica haya tenido en el consorcio o unión temporal correspondiente. Por ello, en el </w:t>
      </w:r>
      <w:r w:rsidRPr="003E6B10">
        <w:rPr>
          <w:rFonts w:ascii="Arial" w:eastAsia="Calibri" w:hAnsi="Arial" w:cs="Arial"/>
          <w:color w:val="000000"/>
          <w:sz w:val="22"/>
          <w:lang w:val="es-ES"/>
        </w:rPr>
        <w:t>«</w:t>
      </w:r>
      <w:r w:rsidRPr="00796164">
        <w:rPr>
          <w:rFonts w:ascii="Arial" w:eastAsia="Calibri" w:hAnsi="Arial" w:cs="Arial"/>
          <w:color w:val="000000"/>
          <w:sz w:val="22"/>
        </w:rPr>
        <w:t>Manual para determinar y verificar los requisitos habilitantes en los Procesos de Contratación</w:t>
      </w:r>
      <w:r w:rsidRPr="003E6B10">
        <w:rPr>
          <w:rFonts w:ascii="Arial" w:eastAsia="Calibri" w:hAnsi="Arial" w:cs="Arial"/>
          <w:color w:val="000000"/>
          <w:sz w:val="22"/>
          <w:lang w:val="es-ES"/>
        </w:rPr>
        <w:t>»</w:t>
      </w:r>
      <w:r>
        <w:rPr>
          <w:rFonts w:ascii="Arial" w:eastAsia="Calibri" w:hAnsi="Arial" w:cs="Arial"/>
          <w:color w:val="000000"/>
          <w:sz w:val="22"/>
          <w:lang w:val="es-ES"/>
        </w:rPr>
        <w:t xml:space="preserve"> se dice: </w:t>
      </w:r>
      <w:r w:rsidRPr="003E6B10">
        <w:rPr>
          <w:rFonts w:ascii="Arial" w:eastAsia="Calibri" w:hAnsi="Arial" w:cs="Arial"/>
          <w:color w:val="000000"/>
          <w:sz w:val="22"/>
          <w:lang w:val="es-ES"/>
        </w:rPr>
        <w:t>«</w:t>
      </w:r>
      <w:r w:rsidRPr="00096B3E">
        <w:rPr>
          <w:rFonts w:ascii="Arial" w:eastAsia="Calibri" w:hAnsi="Arial" w:cs="Arial"/>
          <w:color w:val="000000"/>
          <w:sz w:val="22"/>
          <w:lang w:val="es-ES"/>
        </w:rPr>
        <w:t>Por otra parte, cuando un proponente adquiere experiencia en un contrato como integrante de un contratista plural, la experiencia derivada de ese contrato corresponde a la ponderación del valor del contrato por el porcentaje de participación</w:t>
      </w:r>
      <w:r w:rsidRPr="003E6B10">
        <w:rPr>
          <w:rFonts w:ascii="Arial" w:eastAsia="Calibri" w:hAnsi="Arial" w:cs="Arial"/>
          <w:color w:val="000000"/>
          <w:sz w:val="22"/>
          <w:lang w:val="es-ES"/>
        </w:rPr>
        <w:t>»</w:t>
      </w:r>
      <w:r>
        <w:rPr>
          <w:rFonts w:ascii="Arial" w:eastAsia="Calibri" w:hAnsi="Arial" w:cs="Arial"/>
          <w:color w:val="000000"/>
          <w:sz w:val="22"/>
          <w:lang w:val="es-ES"/>
        </w:rPr>
        <w:t xml:space="preserve">. </w:t>
      </w:r>
    </w:p>
    <w:p w14:paraId="72BDB7E5" w14:textId="77777777" w:rsidR="00477C5F" w:rsidRPr="007B384B" w:rsidRDefault="00477C5F" w:rsidP="00477C5F">
      <w:pPr>
        <w:spacing w:after="120"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Para acreditar el segundo requisito,</w:t>
      </w:r>
      <w:r>
        <w:rPr>
          <w:rFonts w:ascii="Arial" w:eastAsia="Calibri" w:hAnsi="Arial" w:cs="Arial"/>
          <w:color w:val="000000"/>
          <w:sz w:val="22"/>
          <w:lang w:val="es-ES"/>
        </w:rPr>
        <w:t xml:space="preserve"> esto es,</w:t>
      </w:r>
      <w:r w:rsidRPr="007B384B">
        <w:rPr>
          <w:rFonts w:ascii="Arial" w:eastAsia="Calibri" w:hAnsi="Arial" w:cs="Arial"/>
          <w:color w:val="000000"/>
          <w:sz w:val="22"/>
          <w:lang w:val="es-ES"/>
        </w:rPr>
        <w:t xml:space="preserve"> el número mínimo de personas en condición discapacidad en la planta de personal, se debe aportar el certificado expedido por el Ministerio de</w:t>
      </w:r>
      <w:r>
        <w:rPr>
          <w:rFonts w:ascii="Arial" w:eastAsia="Calibri" w:hAnsi="Arial" w:cs="Arial"/>
          <w:color w:val="000000"/>
          <w:sz w:val="22"/>
          <w:lang w:val="es-ES"/>
        </w:rPr>
        <w:t>l</w:t>
      </w:r>
      <w:r w:rsidRPr="007B384B">
        <w:rPr>
          <w:rFonts w:ascii="Arial" w:eastAsia="Calibri" w:hAnsi="Arial" w:cs="Arial"/>
          <w:color w:val="000000"/>
          <w:sz w:val="22"/>
          <w:lang w:val="es-ES"/>
        </w:rPr>
        <w:t xml:space="preserve"> Trabajo </w:t>
      </w:r>
      <w:r>
        <w:rPr>
          <w:rFonts w:ascii="Arial" w:eastAsia="Calibri" w:hAnsi="Arial" w:cs="Arial"/>
          <w:color w:val="000000"/>
          <w:sz w:val="22"/>
          <w:lang w:val="es-ES"/>
        </w:rPr>
        <w:t>del</w:t>
      </w:r>
      <w:r w:rsidRPr="007B384B">
        <w:rPr>
          <w:rFonts w:ascii="Arial" w:eastAsia="Calibri" w:hAnsi="Arial" w:cs="Arial"/>
          <w:color w:val="000000"/>
          <w:sz w:val="22"/>
          <w:lang w:val="es-ES"/>
        </w:rPr>
        <w:t xml:space="preserve"> proponente persona natural o jurídica, o </w:t>
      </w:r>
      <w:r>
        <w:rPr>
          <w:rFonts w:ascii="Arial" w:eastAsia="Calibri" w:hAnsi="Arial" w:cs="Arial"/>
          <w:color w:val="000000"/>
          <w:sz w:val="22"/>
          <w:lang w:val="es-ES"/>
        </w:rPr>
        <w:t>del</w:t>
      </w:r>
      <w:r w:rsidRPr="007B384B">
        <w:rPr>
          <w:rFonts w:ascii="Arial" w:eastAsia="Calibri" w:hAnsi="Arial" w:cs="Arial"/>
          <w:color w:val="000000"/>
          <w:sz w:val="22"/>
          <w:lang w:val="es-ES"/>
        </w:rPr>
        <w:t xml:space="preserve"> integrante de la estructura plural </w:t>
      </w:r>
      <w:r>
        <w:rPr>
          <w:rFonts w:ascii="Arial" w:eastAsia="Calibri" w:hAnsi="Arial" w:cs="Arial"/>
          <w:color w:val="000000"/>
          <w:sz w:val="22"/>
          <w:lang w:val="es-ES"/>
        </w:rPr>
        <w:t>mediante quien se pretenda acreditar este requisito en el procedimiento de selección, en las condiciones indicadas previamente</w:t>
      </w:r>
      <w:r w:rsidRPr="007B384B">
        <w:rPr>
          <w:rFonts w:ascii="Arial" w:eastAsia="Calibri" w:hAnsi="Arial" w:cs="Arial"/>
          <w:color w:val="000000"/>
          <w:sz w:val="22"/>
          <w:lang w:val="es-ES"/>
        </w:rPr>
        <w:t>. Este certificado debe estar vigente al cierre del proceso de selección.</w:t>
      </w:r>
    </w:p>
    <w:p w14:paraId="1165A5B8" w14:textId="30C75255" w:rsidR="00BC34A3" w:rsidRPr="00910E00" w:rsidRDefault="00477C5F" w:rsidP="00910E00">
      <w:pPr>
        <w:spacing w:line="276" w:lineRule="auto"/>
        <w:ind w:firstLine="709"/>
        <w:jc w:val="both"/>
        <w:rPr>
          <w:rFonts w:ascii="Arial" w:eastAsia="Calibri" w:hAnsi="Arial" w:cs="Arial"/>
          <w:color w:val="000000"/>
          <w:sz w:val="22"/>
          <w:lang w:val="es-ES"/>
        </w:rPr>
      </w:pPr>
      <w:r w:rsidRPr="007B384B">
        <w:rPr>
          <w:rFonts w:ascii="Arial" w:eastAsia="Calibri" w:hAnsi="Arial" w:cs="Arial"/>
          <w:color w:val="000000"/>
          <w:sz w:val="22"/>
          <w:lang w:val="es-ES"/>
        </w:rPr>
        <w:t xml:space="preserve">De la lectura integral del artículo 2.2.1.2.4.2.6. </w:t>
      </w:r>
      <w:r w:rsidRPr="007B384B">
        <w:rPr>
          <w:rFonts w:ascii="Arial" w:eastAsia="Calibri" w:hAnsi="Arial" w:cs="Arial"/>
          <w:i/>
          <w:color w:val="000000"/>
          <w:sz w:val="22"/>
          <w:lang w:val="es-ES"/>
        </w:rPr>
        <w:t>ibidem</w:t>
      </w:r>
      <w:r w:rsidRPr="007B384B">
        <w:rPr>
          <w:rFonts w:ascii="Arial" w:eastAsia="Calibri" w:hAnsi="Arial" w:cs="Arial"/>
          <w:color w:val="000000"/>
          <w:sz w:val="22"/>
          <w:lang w:val="es-ES"/>
        </w:rPr>
        <w:t>, se observa que la solicitud de requisitos para  acreditar la vinculación de personas en condición de discapacidad se refiere a cada una de las personas naturales o jurídicas, bien sea de forma singular o como integrante de estructura plural</w:t>
      </w:r>
      <w:r>
        <w:rPr>
          <w:rFonts w:ascii="Arial" w:eastAsia="Calibri" w:hAnsi="Arial" w:cs="Arial"/>
          <w:color w:val="000000"/>
          <w:sz w:val="22"/>
          <w:lang w:val="es-ES"/>
        </w:rPr>
        <w:t>;</w:t>
      </w:r>
      <w:r w:rsidRPr="007B384B">
        <w:rPr>
          <w:rFonts w:ascii="Arial" w:eastAsia="Calibri" w:hAnsi="Arial" w:cs="Arial"/>
          <w:color w:val="000000"/>
          <w:sz w:val="22"/>
          <w:lang w:val="es-ES"/>
        </w:rPr>
        <w:t xml:space="preserve"> tal es el caso del certificado del Ministerio de Trabajo que se expide de forma independiente o de la planta de personal que se tiene en cuenta para  verificar el número de trabajadores en condición de discapacidad que se debe acreditar frente al número de trabajadores con que cuenta la planta de personal. </w:t>
      </w:r>
    </w:p>
    <w:p w14:paraId="61990653" w14:textId="77777777" w:rsidR="00910E00" w:rsidRDefault="00910E00" w:rsidP="009D61BB">
      <w:pPr>
        <w:spacing w:line="276" w:lineRule="auto"/>
        <w:jc w:val="both"/>
        <w:rPr>
          <w:rFonts w:ascii="Arial" w:eastAsia="Arial" w:hAnsi="Arial" w:cs="Arial"/>
          <w:b/>
          <w:bCs/>
          <w:color w:val="000000"/>
          <w:sz w:val="22"/>
          <w:lang w:val="es-ES"/>
        </w:rPr>
      </w:pPr>
    </w:p>
    <w:p w14:paraId="6CB1EF30" w14:textId="6AFFBF07" w:rsidR="00910E00" w:rsidRDefault="00910E00" w:rsidP="009D61BB">
      <w:pPr>
        <w:spacing w:line="276" w:lineRule="auto"/>
        <w:jc w:val="both"/>
        <w:rPr>
          <w:rFonts w:ascii="Arial" w:eastAsia="Arial" w:hAnsi="Arial" w:cs="Arial"/>
          <w:b/>
          <w:bCs/>
          <w:color w:val="000000"/>
          <w:sz w:val="22"/>
          <w:lang w:val="es-ES"/>
        </w:rPr>
      </w:pPr>
      <w:r>
        <w:rPr>
          <w:rFonts w:ascii="Arial" w:eastAsia="Arial" w:hAnsi="Arial" w:cs="Arial"/>
          <w:b/>
          <w:bCs/>
          <w:color w:val="000000"/>
          <w:sz w:val="22"/>
          <w:lang w:val="es-ES"/>
        </w:rPr>
        <w:t>2.2. Incentivo en licitaciones públicas y concursos de méritos para oferentes que vinculen personas con discapacidad:</w:t>
      </w:r>
      <w:r w:rsidR="00957AA4">
        <w:rPr>
          <w:rFonts w:ascii="Arial" w:eastAsia="Arial" w:hAnsi="Arial" w:cs="Arial"/>
          <w:b/>
          <w:bCs/>
          <w:color w:val="000000"/>
          <w:sz w:val="22"/>
          <w:lang w:val="es-ES"/>
        </w:rPr>
        <w:t xml:space="preserve"> exigencia normativa e interpretación del «silencio» del pliego de condiciones</w:t>
      </w:r>
      <w:r>
        <w:rPr>
          <w:rFonts w:ascii="Arial" w:eastAsia="Arial" w:hAnsi="Arial" w:cs="Arial"/>
          <w:b/>
          <w:bCs/>
          <w:color w:val="000000"/>
          <w:sz w:val="22"/>
          <w:lang w:val="es-ES"/>
        </w:rPr>
        <w:t xml:space="preserve"> </w:t>
      </w:r>
    </w:p>
    <w:p w14:paraId="12C87F46" w14:textId="705072AA" w:rsidR="00910E00" w:rsidRDefault="00910E00" w:rsidP="009D61BB">
      <w:pPr>
        <w:spacing w:line="276" w:lineRule="auto"/>
        <w:jc w:val="both"/>
        <w:rPr>
          <w:rFonts w:ascii="Arial" w:eastAsia="Arial" w:hAnsi="Arial" w:cs="Arial"/>
          <w:b/>
          <w:bCs/>
          <w:color w:val="000000"/>
          <w:sz w:val="22"/>
          <w:lang w:val="es-ES"/>
        </w:rPr>
      </w:pPr>
    </w:p>
    <w:p w14:paraId="52E23A8C" w14:textId="4CB20813" w:rsidR="00E8732E" w:rsidRDefault="00957AA4" w:rsidP="009D61BB">
      <w:pPr>
        <w:spacing w:line="276" w:lineRule="auto"/>
        <w:jc w:val="both"/>
        <w:rPr>
          <w:rFonts w:ascii="Arial" w:eastAsia="Arial" w:hAnsi="Arial" w:cs="Arial"/>
          <w:color w:val="000000"/>
          <w:sz w:val="22"/>
          <w:lang w:val="es-ES"/>
        </w:rPr>
      </w:pPr>
      <w:r w:rsidRPr="00957AA4">
        <w:rPr>
          <w:rFonts w:ascii="Arial" w:eastAsia="Arial" w:hAnsi="Arial" w:cs="Arial"/>
          <w:color w:val="000000"/>
          <w:sz w:val="22"/>
          <w:lang w:val="es-ES"/>
        </w:rPr>
        <w:t>En la consulta se formulan dos inquietudes:</w:t>
      </w:r>
      <w:r>
        <w:rPr>
          <w:rFonts w:ascii="Arial" w:eastAsia="Arial" w:hAnsi="Arial" w:cs="Arial"/>
          <w:color w:val="000000"/>
          <w:sz w:val="22"/>
          <w:lang w:val="es-ES"/>
        </w:rPr>
        <w:t xml:space="preserve"> la primera, referida</w:t>
      </w:r>
      <w:r w:rsidR="00B56D6E">
        <w:rPr>
          <w:rFonts w:ascii="Arial" w:eastAsia="Arial" w:hAnsi="Arial" w:cs="Arial"/>
          <w:color w:val="000000"/>
          <w:sz w:val="22"/>
          <w:lang w:val="es-ES"/>
        </w:rPr>
        <w:t xml:space="preserve"> al alcance de la obligación normativa y la segunda, atinente a la interpretación del «silencio» del pliego de condiciones. Lo anterior </w:t>
      </w:r>
      <w:r w:rsidR="000E22CF">
        <w:rPr>
          <w:rFonts w:ascii="Arial" w:eastAsia="Arial" w:hAnsi="Arial" w:cs="Arial"/>
          <w:color w:val="000000"/>
          <w:sz w:val="22"/>
          <w:lang w:val="es-ES"/>
        </w:rPr>
        <w:t xml:space="preserve">hace necesario aclarar en qué procedimientos de selección resulta obligatoria la aplicación del incentivo previsto </w:t>
      </w:r>
      <w:r w:rsidR="00F3079E">
        <w:rPr>
          <w:rFonts w:ascii="Arial" w:eastAsia="Arial" w:hAnsi="Arial" w:cs="Arial"/>
          <w:color w:val="000000"/>
          <w:sz w:val="22"/>
          <w:lang w:val="es-ES"/>
        </w:rPr>
        <w:t>en el artículo 13 de la Ley 1618 de 2013 y en el Decreto 392 de 2018, así como dilucidar qué sucede en aquellos eventos en los cuales</w:t>
      </w:r>
      <w:r w:rsidR="00FF5B59">
        <w:rPr>
          <w:rFonts w:ascii="Arial" w:eastAsia="Arial" w:hAnsi="Arial" w:cs="Arial"/>
          <w:color w:val="000000"/>
          <w:sz w:val="22"/>
          <w:lang w:val="es-ES"/>
        </w:rPr>
        <w:t>,</w:t>
      </w:r>
      <w:r w:rsidR="00F3079E">
        <w:rPr>
          <w:rFonts w:ascii="Arial" w:eastAsia="Arial" w:hAnsi="Arial" w:cs="Arial"/>
          <w:color w:val="000000"/>
          <w:sz w:val="22"/>
          <w:lang w:val="es-ES"/>
        </w:rPr>
        <w:t xml:space="preserve"> siendo imperativo establecer</w:t>
      </w:r>
      <w:r w:rsidR="00FF5B59">
        <w:rPr>
          <w:rFonts w:ascii="Arial" w:eastAsia="Arial" w:hAnsi="Arial" w:cs="Arial"/>
          <w:color w:val="000000"/>
          <w:sz w:val="22"/>
          <w:lang w:val="es-ES"/>
        </w:rPr>
        <w:t xml:space="preserve"> en los factores de calificación del pliego de condiciones tal incentivo, la entidad omite inco</w:t>
      </w:r>
      <w:r w:rsidR="00E8732E">
        <w:rPr>
          <w:rFonts w:ascii="Arial" w:eastAsia="Arial" w:hAnsi="Arial" w:cs="Arial"/>
          <w:color w:val="000000"/>
          <w:sz w:val="22"/>
          <w:lang w:val="es-ES"/>
        </w:rPr>
        <w:t>rporarlo –de ahí que utilicemos la expresión «silencio» para aludir a esta circunstancia–.</w:t>
      </w:r>
    </w:p>
    <w:p w14:paraId="594BDF2A" w14:textId="2B61E251" w:rsidR="00957AA4" w:rsidRDefault="00E8732E" w:rsidP="00E8732E">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La lectura de las precitadas disposiciones</w:t>
      </w:r>
      <w:r w:rsidR="00A57EB2">
        <w:rPr>
          <w:rFonts w:ascii="Arial" w:eastAsia="Arial" w:hAnsi="Arial" w:cs="Arial"/>
          <w:color w:val="000000"/>
          <w:sz w:val="22"/>
          <w:lang w:val="es-ES"/>
        </w:rPr>
        <w:t xml:space="preserve"> permite afirmar que el incentivo </w:t>
      </w:r>
      <w:r w:rsidR="00716F18">
        <w:rPr>
          <w:rFonts w:ascii="Arial" w:eastAsia="Arial" w:hAnsi="Arial" w:cs="Arial"/>
          <w:color w:val="000000"/>
          <w:sz w:val="22"/>
          <w:lang w:val="es-ES"/>
        </w:rPr>
        <w:t xml:space="preserve">a favor de las ofertas en las que se acredite la vinculación de personas con discapacidad no aplica para todas las modalidades de selección, sino solo para la </w:t>
      </w:r>
      <w:r w:rsidR="00716F18" w:rsidRPr="009F0781">
        <w:rPr>
          <w:rFonts w:ascii="Arial" w:eastAsia="Arial" w:hAnsi="Arial" w:cs="Arial"/>
          <w:i/>
          <w:iCs/>
          <w:color w:val="000000"/>
          <w:sz w:val="22"/>
          <w:lang w:val="es-ES"/>
        </w:rPr>
        <w:t>licitación pública</w:t>
      </w:r>
      <w:r w:rsidR="00716F18">
        <w:rPr>
          <w:rFonts w:ascii="Arial" w:eastAsia="Arial" w:hAnsi="Arial" w:cs="Arial"/>
          <w:color w:val="000000"/>
          <w:sz w:val="22"/>
          <w:lang w:val="es-ES"/>
        </w:rPr>
        <w:t xml:space="preserve"> y el </w:t>
      </w:r>
      <w:r w:rsidR="00716F18" w:rsidRPr="009F0781">
        <w:rPr>
          <w:rFonts w:ascii="Arial" w:eastAsia="Arial" w:hAnsi="Arial" w:cs="Arial"/>
          <w:i/>
          <w:iCs/>
          <w:color w:val="000000"/>
          <w:sz w:val="22"/>
          <w:lang w:val="es-ES"/>
        </w:rPr>
        <w:t>concurso de méritos</w:t>
      </w:r>
      <w:r w:rsidR="00716F18">
        <w:rPr>
          <w:rFonts w:ascii="Arial" w:eastAsia="Arial" w:hAnsi="Arial" w:cs="Arial"/>
          <w:color w:val="000000"/>
          <w:sz w:val="22"/>
          <w:lang w:val="es-ES"/>
        </w:rPr>
        <w:t>.</w:t>
      </w:r>
      <w:r w:rsidR="00D82B57">
        <w:rPr>
          <w:rFonts w:ascii="Arial" w:eastAsia="Arial" w:hAnsi="Arial" w:cs="Arial"/>
          <w:color w:val="000000"/>
          <w:sz w:val="22"/>
          <w:lang w:val="es-ES"/>
        </w:rPr>
        <w:t xml:space="preserve"> En efecto, si bien e</w:t>
      </w:r>
      <w:r w:rsidR="006C2551">
        <w:rPr>
          <w:rFonts w:ascii="Arial" w:eastAsia="Arial" w:hAnsi="Arial" w:cs="Arial"/>
          <w:color w:val="000000"/>
          <w:sz w:val="22"/>
          <w:lang w:val="es-ES"/>
        </w:rPr>
        <w:t xml:space="preserve">l numeral 1 del artículo 13 de la Ley 1618 de 2013 </w:t>
      </w:r>
      <w:r w:rsidR="00637F44">
        <w:rPr>
          <w:rFonts w:ascii="Arial" w:eastAsia="Arial" w:hAnsi="Arial" w:cs="Arial"/>
          <w:color w:val="000000"/>
          <w:sz w:val="22"/>
          <w:lang w:val="es-ES"/>
        </w:rPr>
        <w:t>ordenó a</w:t>
      </w:r>
      <w:r w:rsidR="006C2551">
        <w:rPr>
          <w:rFonts w:ascii="Arial" w:eastAsia="Arial" w:hAnsi="Arial" w:cs="Arial"/>
          <w:color w:val="000000"/>
          <w:sz w:val="22"/>
          <w:lang w:val="es-ES"/>
        </w:rPr>
        <w:t xml:space="preserve">l </w:t>
      </w:r>
      <w:r w:rsidR="00543084">
        <w:rPr>
          <w:rFonts w:ascii="Arial" w:eastAsia="Arial" w:hAnsi="Arial" w:cs="Arial"/>
          <w:color w:val="000000"/>
          <w:sz w:val="22"/>
          <w:lang w:val="es-ES"/>
        </w:rPr>
        <w:t>gobierno nacional expedir un «</w:t>
      </w:r>
      <w:r w:rsidR="00543084" w:rsidRPr="00543084">
        <w:rPr>
          <w:rFonts w:ascii="Arial" w:eastAsia="Arial" w:hAnsi="Arial" w:cs="Arial"/>
          <w:color w:val="000000"/>
          <w:sz w:val="22"/>
          <w:lang w:val="es-ES"/>
        </w:rPr>
        <w:t>decreto reglamentario que establezca una puntuación adicional en los procesos de licitación pública, concurso de méritos y contratación directa</w:t>
      </w:r>
      <w:r w:rsidR="00543084">
        <w:rPr>
          <w:rFonts w:ascii="Arial" w:eastAsia="Arial" w:hAnsi="Arial" w:cs="Arial"/>
          <w:color w:val="000000"/>
          <w:sz w:val="22"/>
          <w:lang w:val="es-ES"/>
        </w:rPr>
        <w:t xml:space="preserve"> […]»</w:t>
      </w:r>
      <w:r w:rsidR="00637F44">
        <w:rPr>
          <w:rFonts w:ascii="Arial" w:eastAsia="Arial" w:hAnsi="Arial" w:cs="Arial"/>
          <w:color w:val="000000"/>
          <w:sz w:val="22"/>
          <w:lang w:val="es-ES"/>
        </w:rPr>
        <w:t>, dicho reglamento</w:t>
      </w:r>
      <w:r w:rsidR="00717786">
        <w:rPr>
          <w:rFonts w:ascii="Arial" w:eastAsia="Arial" w:hAnsi="Arial" w:cs="Arial"/>
          <w:color w:val="000000"/>
          <w:sz w:val="22"/>
          <w:lang w:val="es-ES"/>
        </w:rPr>
        <w:t xml:space="preserve"> –</w:t>
      </w:r>
      <w:r w:rsidR="00637F44">
        <w:rPr>
          <w:rFonts w:ascii="Arial" w:eastAsia="Arial" w:hAnsi="Arial" w:cs="Arial"/>
          <w:color w:val="000000"/>
          <w:sz w:val="22"/>
          <w:lang w:val="es-ES"/>
        </w:rPr>
        <w:t>que se materializó en el Decreto</w:t>
      </w:r>
      <w:r w:rsidR="00717786">
        <w:rPr>
          <w:rFonts w:ascii="Arial" w:eastAsia="Arial" w:hAnsi="Arial" w:cs="Arial"/>
          <w:color w:val="000000"/>
          <w:sz w:val="22"/>
          <w:lang w:val="es-ES"/>
        </w:rPr>
        <w:t xml:space="preserve"> 392 de 2018–, solo previó dicho incentivo para las dos modalidades contractuales inicialmente mencionadas; no así para la </w:t>
      </w:r>
      <w:r w:rsidR="00717786">
        <w:rPr>
          <w:rFonts w:ascii="Arial" w:eastAsia="Arial" w:hAnsi="Arial" w:cs="Arial"/>
          <w:color w:val="000000"/>
          <w:sz w:val="22"/>
          <w:lang w:val="es-ES"/>
        </w:rPr>
        <w:lastRenderedPageBreak/>
        <w:t xml:space="preserve">contratación directa. </w:t>
      </w:r>
      <w:r w:rsidR="00B41D39">
        <w:rPr>
          <w:rFonts w:ascii="Arial" w:eastAsia="Arial" w:hAnsi="Arial" w:cs="Arial"/>
          <w:color w:val="000000"/>
          <w:sz w:val="22"/>
          <w:lang w:val="es-ES"/>
        </w:rPr>
        <w:t>Esto</w:t>
      </w:r>
      <w:r w:rsidR="00717786">
        <w:rPr>
          <w:rFonts w:ascii="Arial" w:eastAsia="Arial" w:hAnsi="Arial" w:cs="Arial"/>
          <w:color w:val="000000"/>
          <w:sz w:val="22"/>
          <w:lang w:val="es-ES"/>
        </w:rPr>
        <w:t xml:space="preserve"> se lee </w:t>
      </w:r>
      <w:r w:rsidR="00E45D47">
        <w:rPr>
          <w:rFonts w:ascii="Arial" w:eastAsia="Arial" w:hAnsi="Arial" w:cs="Arial"/>
          <w:color w:val="000000"/>
          <w:sz w:val="22"/>
          <w:lang w:val="es-ES"/>
        </w:rPr>
        <w:t>en el artículo 1 del referido Decreto: «</w:t>
      </w:r>
      <w:r w:rsidR="00E45D47" w:rsidRPr="00E45D47">
        <w:rPr>
          <w:rFonts w:ascii="Arial" w:eastAsia="Arial" w:hAnsi="Arial" w:cs="Arial"/>
          <w:color w:val="000000"/>
          <w:sz w:val="22"/>
          <w:lang w:val="es-ES"/>
        </w:rPr>
        <w:t xml:space="preserve">En los procesos de licitaciones públicas y concursos de méritos, </w:t>
      </w:r>
      <w:r w:rsidR="00E45D47">
        <w:rPr>
          <w:rFonts w:ascii="Arial" w:eastAsia="Arial" w:hAnsi="Arial" w:cs="Arial"/>
          <w:color w:val="000000"/>
          <w:sz w:val="22"/>
          <w:lang w:val="es-ES"/>
        </w:rPr>
        <w:t>[…]</w:t>
      </w:r>
      <w:r w:rsidR="00E45D47" w:rsidRPr="00E45D47">
        <w:rPr>
          <w:rFonts w:ascii="Arial" w:eastAsia="Arial" w:hAnsi="Arial" w:cs="Arial"/>
          <w:color w:val="000000"/>
          <w:sz w:val="22"/>
          <w:lang w:val="es-ES"/>
        </w:rPr>
        <w:t>, las entidades estatales deberán otorgar el uno por ciento (1%) del total de los puntos establecidos en el pliego de condiciones, a los proponentes que acrediten la vinculación de trabajadores con discapacidad en su planta de personal</w:t>
      </w:r>
      <w:r w:rsidR="00684CF5">
        <w:rPr>
          <w:rFonts w:ascii="Arial" w:eastAsia="Arial" w:hAnsi="Arial" w:cs="Arial"/>
          <w:color w:val="000000"/>
          <w:sz w:val="22"/>
          <w:lang w:val="es-ES"/>
        </w:rPr>
        <w:t xml:space="preserve">, […]». Tampoco está regulado </w:t>
      </w:r>
      <w:r w:rsidR="00B41D39">
        <w:rPr>
          <w:rFonts w:ascii="Arial" w:eastAsia="Arial" w:hAnsi="Arial" w:cs="Arial"/>
          <w:color w:val="000000"/>
          <w:sz w:val="22"/>
          <w:lang w:val="es-ES"/>
        </w:rPr>
        <w:t>tal</w:t>
      </w:r>
      <w:r w:rsidR="00684CF5">
        <w:rPr>
          <w:rFonts w:ascii="Arial" w:eastAsia="Arial" w:hAnsi="Arial" w:cs="Arial"/>
          <w:color w:val="000000"/>
          <w:sz w:val="22"/>
          <w:lang w:val="es-ES"/>
        </w:rPr>
        <w:t xml:space="preserve"> incentivo </w:t>
      </w:r>
      <w:r w:rsidR="00B41D39">
        <w:rPr>
          <w:rFonts w:ascii="Arial" w:eastAsia="Arial" w:hAnsi="Arial" w:cs="Arial"/>
          <w:color w:val="000000"/>
          <w:sz w:val="22"/>
          <w:lang w:val="es-ES"/>
        </w:rPr>
        <w:t>para</w:t>
      </w:r>
      <w:r w:rsidR="00684CF5">
        <w:rPr>
          <w:rFonts w:ascii="Arial" w:eastAsia="Arial" w:hAnsi="Arial" w:cs="Arial"/>
          <w:color w:val="000000"/>
          <w:sz w:val="22"/>
          <w:lang w:val="es-ES"/>
        </w:rPr>
        <w:t xml:space="preserve"> los procedimientos de selección abreviada, de mínima cuantía, ni en los que deben adelantar las entidades exceptuadas de la aplicación del Estatuto General de Contratación de la Administración Pública.</w:t>
      </w:r>
    </w:p>
    <w:p w14:paraId="653402E2" w14:textId="7E5AB97E" w:rsidR="00B41D39" w:rsidRDefault="00B41D39" w:rsidP="00E8732E">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Ahora bien, cabe formular la siguiente pregunta: ¿cuál es la naturaleza y alcance del precepto que consagra dicho incentivo?</w:t>
      </w:r>
      <w:r w:rsidR="006134B3">
        <w:rPr>
          <w:rFonts w:ascii="Arial" w:eastAsia="Arial" w:hAnsi="Arial" w:cs="Arial"/>
          <w:color w:val="000000"/>
          <w:sz w:val="22"/>
          <w:lang w:val="es-ES"/>
        </w:rPr>
        <w:t xml:space="preserve"> En cuanto a lo primero, debe señalarse que se trata de un mandato legislativo, que goza de un desarrollo reglamentario posterior; mandato que si bien desarrolla el principio de igualdad, al consagrar una acción afirmativa a favor de las personas con discapacidad, no está </w:t>
      </w:r>
      <w:r w:rsidR="00B80C72">
        <w:rPr>
          <w:rFonts w:ascii="Arial" w:eastAsia="Arial" w:hAnsi="Arial" w:cs="Arial"/>
          <w:color w:val="000000"/>
          <w:sz w:val="22"/>
          <w:lang w:val="es-ES"/>
        </w:rPr>
        <w:t>previsto expresamente en la Constitución. En otras palabras, esta no crea</w:t>
      </w:r>
      <w:r w:rsidR="0038152A">
        <w:rPr>
          <w:rFonts w:ascii="Arial" w:eastAsia="Arial" w:hAnsi="Arial" w:cs="Arial"/>
          <w:color w:val="000000"/>
          <w:sz w:val="22"/>
          <w:lang w:val="es-ES"/>
        </w:rPr>
        <w:t>, ni desarrolla en su texto,</w:t>
      </w:r>
      <w:r w:rsidR="00B80C72">
        <w:rPr>
          <w:rFonts w:ascii="Arial" w:eastAsia="Arial" w:hAnsi="Arial" w:cs="Arial"/>
          <w:color w:val="000000"/>
          <w:sz w:val="22"/>
          <w:lang w:val="es-ES"/>
        </w:rPr>
        <w:t xml:space="preserve"> el incentivo de asignación de un puntaje adicional en los procedimientos de contratación a los que </w:t>
      </w:r>
      <w:r w:rsidR="0038152A">
        <w:rPr>
          <w:rFonts w:ascii="Arial" w:eastAsia="Arial" w:hAnsi="Arial" w:cs="Arial"/>
          <w:color w:val="000000"/>
          <w:sz w:val="22"/>
          <w:lang w:val="es-ES"/>
        </w:rPr>
        <w:t>se aludió</w:t>
      </w:r>
      <w:r w:rsidR="00B80C72">
        <w:rPr>
          <w:rFonts w:ascii="Arial" w:eastAsia="Arial" w:hAnsi="Arial" w:cs="Arial"/>
          <w:color w:val="000000"/>
          <w:sz w:val="22"/>
          <w:lang w:val="es-ES"/>
        </w:rPr>
        <w:t>, sino que habilita al legislador para hacerlo, como precisamente</w:t>
      </w:r>
      <w:r w:rsidR="002D4B42">
        <w:rPr>
          <w:rFonts w:ascii="Arial" w:eastAsia="Arial" w:hAnsi="Arial" w:cs="Arial"/>
          <w:color w:val="000000"/>
          <w:sz w:val="22"/>
          <w:lang w:val="es-ES"/>
        </w:rPr>
        <w:t xml:space="preserve"> lo hizo en una ley estatutaria –la Ley 1618 de 2013–.</w:t>
      </w:r>
      <w:r w:rsidR="0038152A">
        <w:rPr>
          <w:rFonts w:ascii="Arial" w:eastAsia="Arial" w:hAnsi="Arial" w:cs="Arial"/>
          <w:color w:val="000000"/>
          <w:sz w:val="22"/>
          <w:lang w:val="es-ES"/>
        </w:rPr>
        <w:t xml:space="preserve"> Esta idea es importante, porque la claridad en torno a la naturaleza del mandato</w:t>
      </w:r>
      <w:r w:rsidR="00762E60">
        <w:rPr>
          <w:rFonts w:ascii="Arial" w:eastAsia="Arial" w:hAnsi="Arial" w:cs="Arial"/>
          <w:color w:val="000000"/>
          <w:sz w:val="22"/>
          <w:lang w:val="es-ES"/>
        </w:rPr>
        <w:t xml:space="preserve"> posibilita entender que no es en sí una regla constitucional, sino legal –así implique un desarrollo de la carta política–. Y es más, </w:t>
      </w:r>
      <w:r w:rsidR="004E1F1C">
        <w:rPr>
          <w:rFonts w:ascii="Arial" w:eastAsia="Arial" w:hAnsi="Arial" w:cs="Arial"/>
          <w:color w:val="000000"/>
          <w:sz w:val="22"/>
          <w:lang w:val="es-ES"/>
        </w:rPr>
        <w:t>dicha afirmación puede complementarse diciendo que se trata de una regla legal que tuvo un desarrollo reglamentario posterior.</w:t>
      </w:r>
    </w:p>
    <w:p w14:paraId="798B2163" w14:textId="64EC9B90" w:rsidR="004A6A04" w:rsidRDefault="004A6A04" w:rsidP="00E8732E">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 xml:space="preserve">En relación con el segundo aspecto de la pregunta, es decir, </w:t>
      </w:r>
      <w:r w:rsidR="00C760DC">
        <w:rPr>
          <w:rFonts w:ascii="Arial" w:eastAsia="Arial" w:hAnsi="Arial" w:cs="Arial"/>
          <w:color w:val="000000"/>
          <w:sz w:val="22"/>
          <w:lang w:val="es-ES"/>
        </w:rPr>
        <w:t>frente al</w:t>
      </w:r>
      <w:r>
        <w:rPr>
          <w:rFonts w:ascii="Arial" w:eastAsia="Arial" w:hAnsi="Arial" w:cs="Arial"/>
          <w:color w:val="000000"/>
          <w:sz w:val="22"/>
          <w:lang w:val="es-ES"/>
        </w:rPr>
        <w:t xml:space="preserve"> alcance </w:t>
      </w:r>
      <w:r w:rsidR="00C20EB0">
        <w:rPr>
          <w:rFonts w:ascii="Arial" w:eastAsia="Arial" w:hAnsi="Arial" w:cs="Arial"/>
          <w:color w:val="000000"/>
          <w:sz w:val="22"/>
          <w:lang w:val="es-ES"/>
        </w:rPr>
        <w:t>de la regla</w:t>
      </w:r>
      <w:r>
        <w:rPr>
          <w:rFonts w:ascii="Arial" w:eastAsia="Arial" w:hAnsi="Arial" w:cs="Arial"/>
          <w:color w:val="000000"/>
          <w:sz w:val="22"/>
          <w:lang w:val="es-ES"/>
        </w:rPr>
        <w:t xml:space="preserve">, </w:t>
      </w:r>
      <w:r w:rsidR="005B2A28">
        <w:rPr>
          <w:rFonts w:ascii="Arial" w:eastAsia="Arial" w:hAnsi="Arial" w:cs="Arial"/>
          <w:color w:val="000000"/>
          <w:sz w:val="22"/>
          <w:lang w:val="es-ES"/>
        </w:rPr>
        <w:t>es fundamental analizar su contenido deóntico</w:t>
      </w:r>
      <w:r w:rsidR="00E72B41">
        <w:rPr>
          <w:rFonts w:ascii="Arial" w:eastAsia="Arial" w:hAnsi="Arial" w:cs="Arial"/>
          <w:color w:val="000000"/>
          <w:sz w:val="22"/>
          <w:lang w:val="es-ES"/>
        </w:rPr>
        <w:t>. En este plano del análisis</w:t>
      </w:r>
      <w:r w:rsidR="00263101">
        <w:rPr>
          <w:rFonts w:ascii="Arial" w:eastAsia="Arial" w:hAnsi="Arial" w:cs="Arial"/>
          <w:color w:val="000000"/>
          <w:sz w:val="22"/>
          <w:lang w:val="es-ES"/>
        </w:rPr>
        <w:t xml:space="preserve"> </w:t>
      </w:r>
      <w:r w:rsidR="00C20EB0">
        <w:rPr>
          <w:rFonts w:ascii="Arial" w:eastAsia="Arial" w:hAnsi="Arial" w:cs="Arial"/>
          <w:color w:val="000000"/>
          <w:sz w:val="22"/>
          <w:lang w:val="es-ES"/>
        </w:rPr>
        <w:t xml:space="preserve">procedente </w:t>
      </w:r>
      <w:r w:rsidR="00263101">
        <w:rPr>
          <w:rFonts w:ascii="Arial" w:eastAsia="Arial" w:hAnsi="Arial" w:cs="Arial"/>
          <w:color w:val="000000"/>
          <w:sz w:val="22"/>
          <w:lang w:val="es-ES"/>
        </w:rPr>
        <w:t xml:space="preserve">la siguiente </w:t>
      </w:r>
      <w:r w:rsidR="00C20EB0">
        <w:rPr>
          <w:rFonts w:ascii="Arial" w:eastAsia="Arial" w:hAnsi="Arial" w:cs="Arial"/>
          <w:color w:val="000000"/>
          <w:sz w:val="22"/>
          <w:lang w:val="es-ES"/>
        </w:rPr>
        <w:t>distinción: por un lado, el legislador establece un mandato dirigido al gobierno nacional, de expedir un reglamento</w:t>
      </w:r>
      <w:r w:rsidR="0029624A">
        <w:rPr>
          <w:rFonts w:ascii="Arial" w:eastAsia="Arial" w:hAnsi="Arial" w:cs="Arial"/>
          <w:color w:val="000000"/>
          <w:sz w:val="22"/>
          <w:lang w:val="es-ES"/>
        </w:rPr>
        <w:t xml:space="preserve"> para regular el incentivo a favor</w:t>
      </w:r>
      <w:r w:rsidR="00755DD0">
        <w:rPr>
          <w:rFonts w:ascii="Arial" w:eastAsia="Arial" w:hAnsi="Arial" w:cs="Arial"/>
          <w:color w:val="000000"/>
          <w:sz w:val="22"/>
          <w:lang w:val="es-ES"/>
        </w:rPr>
        <w:t xml:space="preserve"> de «</w:t>
      </w:r>
      <w:r w:rsidR="00263101">
        <w:rPr>
          <w:rFonts w:ascii="Arial" w:eastAsia="Arial" w:hAnsi="Arial" w:cs="Arial"/>
          <w:color w:val="000000"/>
          <w:sz w:val="22"/>
          <w:lang w:val="es-ES"/>
        </w:rPr>
        <w:t xml:space="preserve">[…] </w:t>
      </w:r>
      <w:r w:rsidR="00755DD0" w:rsidRPr="00755DD0">
        <w:rPr>
          <w:rFonts w:ascii="Arial" w:eastAsia="Arial" w:hAnsi="Arial" w:cs="Arial"/>
          <w:color w:val="000000"/>
          <w:sz w:val="22"/>
          <w:lang w:val="es-ES"/>
        </w:rPr>
        <w:t>las empresas que en su planta de personal tengan personas con discapacidad contratadas con todas las exigencias y garantías legalmente establecidas, y para las empresas de personas con discapacidad, familiares y tutores</w:t>
      </w:r>
      <w:r w:rsidR="00755DD0">
        <w:rPr>
          <w:rFonts w:ascii="Arial" w:eastAsia="Arial" w:hAnsi="Arial" w:cs="Arial"/>
          <w:color w:val="000000"/>
          <w:sz w:val="22"/>
          <w:lang w:val="es-ES"/>
        </w:rPr>
        <w:t>»</w:t>
      </w:r>
      <w:r w:rsidR="00263101">
        <w:rPr>
          <w:rFonts w:ascii="Arial" w:eastAsia="Arial" w:hAnsi="Arial" w:cs="Arial"/>
          <w:color w:val="000000"/>
          <w:sz w:val="22"/>
          <w:lang w:val="es-ES"/>
        </w:rPr>
        <w:t>; por otro, el gobierno nacional obliga a las entidades estatales</w:t>
      </w:r>
      <w:r w:rsidR="00242D62">
        <w:rPr>
          <w:rFonts w:ascii="Arial" w:eastAsia="Arial" w:hAnsi="Arial" w:cs="Arial"/>
          <w:color w:val="000000"/>
          <w:sz w:val="22"/>
          <w:lang w:val="es-ES"/>
        </w:rPr>
        <w:t>, señalando que en las licitaciones públicas y concursos de méritos</w:t>
      </w:r>
      <w:r w:rsidR="000A17C8">
        <w:rPr>
          <w:rFonts w:ascii="Arial" w:eastAsia="Arial" w:hAnsi="Arial" w:cs="Arial"/>
          <w:color w:val="000000"/>
          <w:sz w:val="22"/>
          <w:lang w:val="es-ES"/>
        </w:rPr>
        <w:t xml:space="preserve"> «</w:t>
      </w:r>
      <w:r w:rsidR="000A17C8" w:rsidRPr="000A17C8">
        <w:rPr>
          <w:rFonts w:ascii="Arial" w:eastAsia="Arial" w:hAnsi="Arial" w:cs="Arial"/>
          <w:color w:val="000000"/>
          <w:sz w:val="22"/>
          <w:lang w:val="es-ES"/>
        </w:rPr>
        <w:t>deberán otorgar el uno por ciento (1%) del total de los puntos establecidos en el pliego de condiciones, a los proponentes que acrediten la vinculación de trabajadores con discapacidad en su planta de personal</w:t>
      </w:r>
      <w:r w:rsidR="000A17C8">
        <w:rPr>
          <w:rFonts w:ascii="Arial" w:eastAsia="Arial" w:hAnsi="Arial" w:cs="Arial"/>
          <w:color w:val="000000"/>
          <w:sz w:val="22"/>
          <w:lang w:val="es-ES"/>
        </w:rPr>
        <w:t xml:space="preserve"> […]».</w:t>
      </w:r>
    </w:p>
    <w:p w14:paraId="2A5AD6EE" w14:textId="6418DB45" w:rsidR="00C96D1B" w:rsidRDefault="00C96D1B" w:rsidP="00CA76FC">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 xml:space="preserve">Pero, ¿qué significa que las entidades estatales </w:t>
      </w:r>
      <w:r w:rsidR="003A31A5">
        <w:rPr>
          <w:rFonts w:ascii="Arial" w:eastAsia="Arial" w:hAnsi="Arial" w:cs="Arial"/>
          <w:color w:val="000000"/>
          <w:sz w:val="22"/>
          <w:lang w:val="es-ES"/>
        </w:rPr>
        <w:t>deben «otorgar» dicho porcentaje como incentivo en las dos modalidades de selección indicadas en el reglamento? La interpretación más razonable de este mandato</w:t>
      </w:r>
      <w:r w:rsidR="00ED43A2">
        <w:rPr>
          <w:rFonts w:ascii="Arial" w:eastAsia="Arial" w:hAnsi="Arial" w:cs="Arial"/>
          <w:color w:val="000000"/>
          <w:sz w:val="22"/>
          <w:lang w:val="es-ES"/>
        </w:rPr>
        <w:t xml:space="preserve"> consiste en entender que</w:t>
      </w:r>
      <w:r w:rsidR="003945F4">
        <w:rPr>
          <w:rFonts w:ascii="Arial" w:eastAsia="Arial" w:hAnsi="Arial" w:cs="Arial"/>
          <w:color w:val="000000"/>
          <w:sz w:val="22"/>
          <w:lang w:val="es-ES"/>
        </w:rPr>
        <w:t xml:space="preserve">, en la licitación pública y el concurso de méritos, </w:t>
      </w:r>
      <w:r w:rsidR="00ED43A2">
        <w:rPr>
          <w:rFonts w:ascii="Arial" w:eastAsia="Arial" w:hAnsi="Arial" w:cs="Arial"/>
          <w:color w:val="000000"/>
          <w:sz w:val="22"/>
          <w:lang w:val="es-ES"/>
        </w:rPr>
        <w:t xml:space="preserve">al elaborar el pliego de condiciones –acto administrativo en el que se definen los criterios de calificación–, la entidad </w:t>
      </w:r>
      <w:r w:rsidR="008E5179">
        <w:rPr>
          <w:rFonts w:ascii="Arial" w:eastAsia="Arial" w:hAnsi="Arial" w:cs="Arial"/>
          <w:color w:val="000000"/>
          <w:sz w:val="22"/>
          <w:lang w:val="es-ES"/>
        </w:rPr>
        <w:t>pública debe incorporar el criterio de asignación de puntaje previsto en el artículo 1 del Decreto</w:t>
      </w:r>
      <w:r w:rsidR="003945F4">
        <w:rPr>
          <w:rFonts w:ascii="Arial" w:eastAsia="Arial" w:hAnsi="Arial" w:cs="Arial"/>
          <w:color w:val="000000"/>
          <w:sz w:val="22"/>
          <w:lang w:val="es-ES"/>
        </w:rPr>
        <w:t xml:space="preserve"> 392 de 2018</w:t>
      </w:r>
      <w:r w:rsidR="00721BFF">
        <w:rPr>
          <w:rFonts w:ascii="Arial" w:eastAsia="Arial" w:hAnsi="Arial" w:cs="Arial"/>
          <w:color w:val="000000"/>
          <w:sz w:val="22"/>
          <w:lang w:val="es-ES"/>
        </w:rPr>
        <w:t>, para aplicarlo luego en la evaluación</w:t>
      </w:r>
      <w:r w:rsidR="008E28BD">
        <w:rPr>
          <w:rFonts w:ascii="Arial" w:eastAsia="Arial" w:hAnsi="Arial" w:cs="Arial"/>
          <w:color w:val="000000"/>
          <w:sz w:val="22"/>
          <w:lang w:val="es-ES"/>
        </w:rPr>
        <w:t xml:space="preserve">. Esta </w:t>
      </w:r>
      <w:r w:rsidR="00EE5FB7">
        <w:rPr>
          <w:rFonts w:ascii="Arial" w:eastAsia="Arial" w:hAnsi="Arial" w:cs="Arial"/>
          <w:color w:val="000000"/>
          <w:sz w:val="22"/>
          <w:lang w:val="es-ES"/>
        </w:rPr>
        <w:t>interpretación es acorde</w:t>
      </w:r>
      <w:r w:rsidR="008717D8">
        <w:rPr>
          <w:rFonts w:ascii="Arial" w:eastAsia="Arial" w:hAnsi="Arial" w:cs="Arial"/>
          <w:color w:val="000000"/>
          <w:sz w:val="22"/>
          <w:lang w:val="es-ES"/>
        </w:rPr>
        <w:t xml:space="preserve"> con lo señalado en el </w:t>
      </w:r>
      <w:r w:rsidR="00A7723B">
        <w:rPr>
          <w:rFonts w:ascii="Arial" w:eastAsia="Arial" w:hAnsi="Arial" w:cs="Arial"/>
          <w:color w:val="000000"/>
          <w:sz w:val="22"/>
          <w:lang w:val="es-ES"/>
        </w:rPr>
        <w:lastRenderedPageBreak/>
        <w:t>«</w:t>
      </w:r>
      <w:r w:rsidR="008717D8">
        <w:rPr>
          <w:rFonts w:ascii="Arial" w:eastAsia="Arial" w:hAnsi="Arial" w:cs="Arial"/>
          <w:color w:val="000000"/>
          <w:sz w:val="22"/>
          <w:lang w:val="es-ES"/>
        </w:rPr>
        <w:t xml:space="preserve">Manual para el manejo de los incentivos en </w:t>
      </w:r>
      <w:r w:rsidR="00A7723B">
        <w:rPr>
          <w:rFonts w:ascii="Arial" w:eastAsia="Arial" w:hAnsi="Arial" w:cs="Arial"/>
          <w:color w:val="000000"/>
          <w:sz w:val="22"/>
          <w:lang w:val="es-ES"/>
        </w:rPr>
        <w:t>los procesos de contratación»</w:t>
      </w:r>
      <w:r w:rsidR="00A7723B">
        <w:rPr>
          <w:rStyle w:val="Refdenotaalpie"/>
          <w:rFonts w:ascii="Arial" w:eastAsia="Arial" w:hAnsi="Arial" w:cs="Arial"/>
          <w:color w:val="000000"/>
          <w:sz w:val="22"/>
          <w:lang w:val="es-ES"/>
        </w:rPr>
        <w:footnoteReference w:id="3"/>
      </w:r>
      <w:r w:rsidR="00755B08">
        <w:rPr>
          <w:rFonts w:ascii="Arial" w:eastAsia="Arial" w:hAnsi="Arial" w:cs="Arial"/>
          <w:color w:val="000000"/>
          <w:sz w:val="22"/>
          <w:lang w:val="es-ES"/>
        </w:rPr>
        <w:t xml:space="preserve">, </w:t>
      </w:r>
      <w:r w:rsidR="00B23813">
        <w:rPr>
          <w:rFonts w:ascii="Arial" w:eastAsia="Arial" w:hAnsi="Arial" w:cs="Arial"/>
          <w:color w:val="000000"/>
          <w:sz w:val="22"/>
          <w:lang w:val="es-ES"/>
        </w:rPr>
        <w:t xml:space="preserve">documento en el que Colombia Compra Eficiente indicó que para cumplir con dicha exigencia reglamentaria las entidades estatales deben </w:t>
      </w:r>
      <w:r w:rsidR="005B7E96">
        <w:rPr>
          <w:rFonts w:ascii="Arial" w:eastAsia="Arial" w:hAnsi="Arial" w:cs="Arial"/>
          <w:color w:val="000000"/>
          <w:sz w:val="22"/>
          <w:lang w:val="es-ES"/>
        </w:rPr>
        <w:t>realizar cuatro actividades:</w:t>
      </w:r>
      <w:r w:rsidR="001A4DAF">
        <w:rPr>
          <w:rFonts w:ascii="Arial" w:eastAsia="Arial" w:hAnsi="Arial" w:cs="Arial"/>
          <w:color w:val="000000"/>
          <w:sz w:val="22"/>
          <w:lang w:val="es-ES"/>
        </w:rPr>
        <w:t xml:space="preserve"> i) «</w:t>
      </w:r>
      <w:r w:rsidR="001A4DAF" w:rsidRPr="001A4DAF">
        <w:rPr>
          <w:rFonts w:ascii="Arial" w:eastAsia="Arial" w:hAnsi="Arial" w:cs="Arial"/>
          <w:color w:val="000000"/>
          <w:sz w:val="22"/>
          <w:lang w:val="es-ES"/>
        </w:rPr>
        <w:t>Etapa de planeación.</w:t>
      </w:r>
      <w:r w:rsidR="001A4DAF">
        <w:rPr>
          <w:rFonts w:ascii="Arial" w:eastAsia="Arial" w:hAnsi="Arial" w:cs="Arial"/>
          <w:color w:val="000000"/>
          <w:sz w:val="22"/>
          <w:lang w:val="es-ES"/>
        </w:rPr>
        <w:t xml:space="preserve"> </w:t>
      </w:r>
      <w:r w:rsidR="001A4DAF" w:rsidRPr="001A4DAF">
        <w:rPr>
          <w:rFonts w:ascii="Arial" w:eastAsia="Arial" w:hAnsi="Arial" w:cs="Arial"/>
          <w:color w:val="000000"/>
          <w:sz w:val="22"/>
          <w:lang w:val="es-ES"/>
        </w:rPr>
        <w:t>Fijación de criterios de</w:t>
      </w:r>
      <w:r w:rsidR="001A4DAF">
        <w:rPr>
          <w:rFonts w:ascii="Arial" w:eastAsia="Arial" w:hAnsi="Arial" w:cs="Arial"/>
          <w:color w:val="000000"/>
          <w:sz w:val="22"/>
          <w:lang w:val="es-ES"/>
        </w:rPr>
        <w:t xml:space="preserve"> </w:t>
      </w:r>
      <w:r w:rsidR="001A4DAF" w:rsidRPr="001A4DAF">
        <w:rPr>
          <w:rFonts w:ascii="Arial" w:eastAsia="Arial" w:hAnsi="Arial" w:cs="Arial"/>
          <w:color w:val="000000"/>
          <w:sz w:val="22"/>
          <w:lang w:val="es-ES"/>
        </w:rPr>
        <w:t>puntación en el</w:t>
      </w:r>
      <w:r w:rsidR="001A4DAF">
        <w:rPr>
          <w:rFonts w:ascii="Arial" w:eastAsia="Arial" w:hAnsi="Arial" w:cs="Arial"/>
          <w:color w:val="000000"/>
          <w:sz w:val="22"/>
          <w:lang w:val="es-ES"/>
        </w:rPr>
        <w:t xml:space="preserve"> </w:t>
      </w:r>
      <w:r w:rsidR="001A4DAF" w:rsidRPr="001A4DAF">
        <w:rPr>
          <w:rFonts w:ascii="Arial" w:eastAsia="Arial" w:hAnsi="Arial" w:cs="Arial"/>
          <w:color w:val="000000"/>
          <w:sz w:val="22"/>
          <w:lang w:val="es-ES"/>
        </w:rPr>
        <w:t>proceso de selección</w:t>
      </w:r>
      <w:r w:rsidR="001A4DAF">
        <w:rPr>
          <w:rFonts w:ascii="Arial" w:eastAsia="Arial" w:hAnsi="Arial" w:cs="Arial"/>
          <w:color w:val="000000"/>
          <w:sz w:val="22"/>
          <w:lang w:val="es-ES"/>
        </w:rPr>
        <w:t xml:space="preserve"> </w:t>
      </w:r>
      <w:r w:rsidR="001A4DAF" w:rsidRPr="001A4DAF">
        <w:rPr>
          <w:rFonts w:ascii="Arial" w:eastAsia="Arial" w:hAnsi="Arial" w:cs="Arial"/>
          <w:color w:val="000000"/>
          <w:sz w:val="22"/>
          <w:lang w:val="es-ES"/>
        </w:rPr>
        <w:t>como incentivo a favor</w:t>
      </w:r>
      <w:r w:rsidR="001A4DAF">
        <w:rPr>
          <w:rFonts w:ascii="Arial" w:eastAsia="Arial" w:hAnsi="Arial" w:cs="Arial"/>
          <w:color w:val="000000"/>
          <w:sz w:val="22"/>
          <w:lang w:val="es-ES"/>
        </w:rPr>
        <w:t xml:space="preserve"> </w:t>
      </w:r>
      <w:r w:rsidR="001A4DAF" w:rsidRPr="001A4DAF">
        <w:rPr>
          <w:rFonts w:ascii="Arial" w:eastAsia="Arial" w:hAnsi="Arial" w:cs="Arial"/>
          <w:color w:val="000000"/>
          <w:sz w:val="22"/>
          <w:lang w:val="es-ES"/>
        </w:rPr>
        <w:t>de las personas con</w:t>
      </w:r>
      <w:r w:rsidR="001A4DAF">
        <w:rPr>
          <w:rFonts w:ascii="Arial" w:eastAsia="Arial" w:hAnsi="Arial" w:cs="Arial"/>
          <w:color w:val="000000"/>
          <w:sz w:val="22"/>
          <w:lang w:val="es-ES"/>
        </w:rPr>
        <w:t xml:space="preserve"> </w:t>
      </w:r>
      <w:r w:rsidR="001A4DAF" w:rsidRPr="001A4DAF">
        <w:rPr>
          <w:rFonts w:ascii="Arial" w:eastAsia="Arial" w:hAnsi="Arial" w:cs="Arial"/>
          <w:color w:val="000000"/>
          <w:sz w:val="22"/>
          <w:lang w:val="es-ES"/>
        </w:rPr>
        <w:t>discapacidad</w:t>
      </w:r>
      <w:r w:rsidR="001A4DAF">
        <w:rPr>
          <w:rFonts w:ascii="Arial" w:eastAsia="Arial" w:hAnsi="Arial" w:cs="Arial"/>
          <w:color w:val="000000"/>
          <w:sz w:val="22"/>
          <w:lang w:val="es-ES"/>
        </w:rPr>
        <w:t>»; ii)</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Establecer el 1% del total</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de los puntos a asignar por</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factores de calificación, y</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la forma de verificación de</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las condiciones para tal</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asignación al momento de</w:t>
      </w:r>
      <w:r w:rsidR="00B86162">
        <w:rPr>
          <w:rFonts w:ascii="Arial" w:eastAsia="Arial" w:hAnsi="Arial" w:cs="Arial"/>
          <w:color w:val="000000"/>
          <w:sz w:val="22"/>
          <w:lang w:val="es-ES"/>
        </w:rPr>
        <w:t xml:space="preserve"> </w:t>
      </w:r>
      <w:r w:rsidR="00B86162" w:rsidRPr="00B86162">
        <w:rPr>
          <w:rFonts w:ascii="Arial" w:eastAsia="Arial" w:hAnsi="Arial" w:cs="Arial"/>
          <w:color w:val="000000"/>
          <w:sz w:val="22"/>
          <w:lang w:val="es-ES"/>
        </w:rPr>
        <w:t>evaluar la oferta</w:t>
      </w:r>
      <w:r w:rsidR="00B86162">
        <w:rPr>
          <w:rFonts w:ascii="Arial" w:eastAsia="Arial" w:hAnsi="Arial" w:cs="Arial"/>
          <w:color w:val="000000"/>
          <w:sz w:val="22"/>
          <w:lang w:val="es-ES"/>
        </w:rPr>
        <w:t>»; iii)</w:t>
      </w:r>
      <w:r w:rsidR="00CA76FC">
        <w:rPr>
          <w:rFonts w:ascii="Arial" w:eastAsia="Arial" w:hAnsi="Arial" w:cs="Arial"/>
          <w:color w:val="000000"/>
          <w:sz w:val="22"/>
          <w:lang w:val="es-ES"/>
        </w:rPr>
        <w:t xml:space="preserve"> «</w:t>
      </w:r>
      <w:r w:rsidR="00CA76FC" w:rsidRPr="00CA76FC">
        <w:rPr>
          <w:rFonts w:ascii="Arial" w:eastAsia="Arial" w:hAnsi="Arial" w:cs="Arial"/>
          <w:color w:val="000000"/>
          <w:sz w:val="22"/>
          <w:lang w:val="es-ES"/>
        </w:rPr>
        <w:t>Asignación de puntaje</w:t>
      </w:r>
      <w:r w:rsidR="00CA76FC">
        <w:rPr>
          <w:rFonts w:ascii="Arial" w:eastAsia="Arial" w:hAnsi="Arial" w:cs="Arial"/>
          <w:color w:val="000000"/>
          <w:sz w:val="22"/>
          <w:lang w:val="es-ES"/>
        </w:rPr>
        <w:t xml:space="preserve"> </w:t>
      </w:r>
      <w:r w:rsidR="00CA76FC" w:rsidRPr="00613191">
        <w:rPr>
          <w:rFonts w:ascii="Arial" w:eastAsia="Arial" w:hAnsi="Arial" w:cs="Arial"/>
          <w:i/>
          <w:iCs/>
          <w:color w:val="000000"/>
          <w:sz w:val="22"/>
          <w:lang w:val="es-ES"/>
        </w:rPr>
        <w:t>según las reglas previstas en el pliego de condiciones</w:t>
      </w:r>
      <w:r w:rsidR="00CA76FC" w:rsidRPr="00CA76FC">
        <w:rPr>
          <w:rFonts w:ascii="Arial" w:eastAsia="Arial" w:hAnsi="Arial" w:cs="Arial"/>
          <w:color w:val="000000"/>
          <w:sz w:val="22"/>
          <w:lang w:val="es-ES"/>
        </w:rPr>
        <w:t xml:space="preserve"> durante el</w:t>
      </w:r>
      <w:r w:rsidR="00CA76FC">
        <w:rPr>
          <w:rFonts w:ascii="Arial" w:eastAsia="Arial" w:hAnsi="Arial" w:cs="Arial"/>
          <w:color w:val="000000"/>
          <w:sz w:val="22"/>
          <w:lang w:val="es-ES"/>
        </w:rPr>
        <w:t xml:space="preserve"> </w:t>
      </w:r>
      <w:r w:rsidR="00CA76FC" w:rsidRPr="00CA76FC">
        <w:rPr>
          <w:rFonts w:ascii="Arial" w:eastAsia="Arial" w:hAnsi="Arial" w:cs="Arial"/>
          <w:color w:val="000000"/>
          <w:sz w:val="22"/>
          <w:lang w:val="es-ES"/>
        </w:rPr>
        <w:t>periodo de evaluación</w:t>
      </w:r>
      <w:r w:rsidR="00CA76FC">
        <w:rPr>
          <w:rFonts w:ascii="Arial" w:eastAsia="Arial" w:hAnsi="Arial" w:cs="Arial"/>
          <w:color w:val="000000"/>
          <w:sz w:val="22"/>
          <w:lang w:val="es-ES"/>
        </w:rPr>
        <w:t xml:space="preserve">»; y iv) </w:t>
      </w:r>
      <w:r w:rsidR="00EE7C8B">
        <w:rPr>
          <w:rFonts w:ascii="Arial" w:eastAsia="Arial" w:hAnsi="Arial" w:cs="Arial"/>
          <w:color w:val="000000"/>
          <w:sz w:val="22"/>
          <w:lang w:val="es-ES"/>
        </w:rPr>
        <w:t>«</w:t>
      </w:r>
      <w:r w:rsidR="00EE7C8B" w:rsidRPr="00EE7C8B">
        <w:rPr>
          <w:rFonts w:ascii="Arial" w:eastAsia="Arial" w:hAnsi="Arial" w:cs="Arial"/>
          <w:color w:val="000000"/>
          <w:sz w:val="22"/>
          <w:lang w:val="es-ES"/>
        </w:rPr>
        <w:t>Seguimiento y</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verificación durante la</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ejecución del contrato</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de la permanencia del</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número mínimo de</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trabajadores que dio</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lugar a la obtención del</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puntaje adicional en la</w:t>
      </w:r>
      <w:r w:rsidR="00EE7C8B">
        <w:rPr>
          <w:rFonts w:ascii="Arial" w:eastAsia="Arial" w:hAnsi="Arial" w:cs="Arial"/>
          <w:color w:val="000000"/>
          <w:sz w:val="22"/>
          <w:lang w:val="es-ES"/>
        </w:rPr>
        <w:t xml:space="preserve"> </w:t>
      </w:r>
      <w:r w:rsidR="00EE7C8B" w:rsidRPr="00EE7C8B">
        <w:rPr>
          <w:rFonts w:ascii="Arial" w:eastAsia="Arial" w:hAnsi="Arial" w:cs="Arial"/>
          <w:color w:val="000000"/>
          <w:sz w:val="22"/>
          <w:lang w:val="es-ES"/>
        </w:rPr>
        <w:t>oferta</w:t>
      </w:r>
      <w:r w:rsidR="00EE7C8B">
        <w:rPr>
          <w:rFonts w:ascii="Arial" w:eastAsia="Arial" w:hAnsi="Arial" w:cs="Arial"/>
          <w:color w:val="000000"/>
          <w:sz w:val="22"/>
          <w:lang w:val="es-ES"/>
        </w:rPr>
        <w:t>»</w:t>
      </w:r>
      <w:r w:rsidR="00613191">
        <w:rPr>
          <w:rStyle w:val="Refdenotaalpie"/>
          <w:rFonts w:ascii="Arial" w:eastAsia="Arial" w:hAnsi="Arial" w:cs="Arial"/>
          <w:color w:val="000000"/>
          <w:sz w:val="22"/>
          <w:lang w:val="es-ES"/>
        </w:rPr>
        <w:footnoteReference w:id="4"/>
      </w:r>
      <w:r w:rsidR="00613191">
        <w:rPr>
          <w:rFonts w:ascii="Arial" w:eastAsia="Arial" w:hAnsi="Arial" w:cs="Arial"/>
          <w:color w:val="000000"/>
          <w:sz w:val="22"/>
          <w:lang w:val="es-ES"/>
        </w:rPr>
        <w:t xml:space="preserve"> (cursiva fuera de texto)</w:t>
      </w:r>
      <w:r w:rsidR="00CA76FC">
        <w:rPr>
          <w:rFonts w:ascii="Arial" w:eastAsia="Arial" w:hAnsi="Arial" w:cs="Arial"/>
          <w:color w:val="000000"/>
          <w:sz w:val="22"/>
          <w:lang w:val="es-ES"/>
        </w:rPr>
        <w:t>.</w:t>
      </w:r>
    </w:p>
    <w:p w14:paraId="5FFA6785" w14:textId="2C9FB2D2" w:rsidR="007368B4" w:rsidRDefault="00F93DBC" w:rsidP="00CA76FC">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Por ende</w:t>
      </w:r>
      <w:r w:rsidR="00613191">
        <w:rPr>
          <w:rFonts w:ascii="Arial" w:eastAsia="Arial" w:hAnsi="Arial" w:cs="Arial"/>
          <w:color w:val="000000"/>
          <w:sz w:val="22"/>
          <w:lang w:val="es-ES"/>
        </w:rPr>
        <w:t xml:space="preserve">, si bien el </w:t>
      </w:r>
      <w:r w:rsidR="00B55857">
        <w:rPr>
          <w:rFonts w:ascii="Arial" w:eastAsia="Arial" w:hAnsi="Arial" w:cs="Arial"/>
          <w:color w:val="000000"/>
          <w:sz w:val="22"/>
          <w:lang w:val="es-ES"/>
        </w:rPr>
        <w:t>artículo 1 del Decreto 392 de 201</w:t>
      </w:r>
      <w:r w:rsidR="00605AC3">
        <w:rPr>
          <w:rFonts w:ascii="Arial" w:eastAsia="Arial" w:hAnsi="Arial" w:cs="Arial"/>
          <w:color w:val="000000"/>
          <w:sz w:val="22"/>
          <w:lang w:val="es-ES"/>
        </w:rPr>
        <w:t xml:space="preserve">8 </w:t>
      </w:r>
      <w:r w:rsidR="00B55857">
        <w:rPr>
          <w:rFonts w:ascii="Arial" w:eastAsia="Arial" w:hAnsi="Arial" w:cs="Arial"/>
          <w:color w:val="000000"/>
          <w:sz w:val="22"/>
          <w:lang w:val="es-ES"/>
        </w:rPr>
        <w:t xml:space="preserve">establece un deber </w:t>
      </w:r>
      <w:r w:rsidR="00B55857" w:rsidRPr="00B55857">
        <w:rPr>
          <w:rFonts w:ascii="Arial" w:eastAsia="Arial" w:hAnsi="Arial" w:cs="Arial"/>
          <w:i/>
          <w:iCs/>
          <w:color w:val="000000"/>
          <w:sz w:val="22"/>
          <w:lang w:val="es-ES"/>
        </w:rPr>
        <w:t>reglado</w:t>
      </w:r>
      <w:r w:rsidR="00B55857">
        <w:rPr>
          <w:rFonts w:ascii="Arial" w:eastAsia="Arial" w:hAnsi="Arial" w:cs="Arial"/>
          <w:color w:val="000000"/>
          <w:sz w:val="22"/>
          <w:lang w:val="es-ES"/>
        </w:rPr>
        <w:t xml:space="preserve">, </w:t>
      </w:r>
      <w:r>
        <w:rPr>
          <w:rFonts w:ascii="Arial" w:eastAsia="Arial" w:hAnsi="Arial" w:cs="Arial"/>
          <w:color w:val="000000"/>
          <w:sz w:val="22"/>
          <w:lang w:val="es-ES"/>
        </w:rPr>
        <w:t xml:space="preserve">o sea, </w:t>
      </w:r>
      <w:r w:rsidR="00B55857" w:rsidRPr="00B55857">
        <w:rPr>
          <w:rFonts w:ascii="Arial" w:eastAsia="Arial" w:hAnsi="Arial" w:cs="Arial"/>
          <w:i/>
          <w:iCs/>
          <w:color w:val="000000"/>
          <w:sz w:val="22"/>
          <w:lang w:val="es-ES"/>
        </w:rPr>
        <w:t>no discrecional</w:t>
      </w:r>
      <w:r>
        <w:rPr>
          <w:rFonts w:ascii="Arial" w:eastAsia="Arial" w:hAnsi="Arial" w:cs="Arial"/>
          <w:color w:val="000000"/>
          <w:sz w:val="22"/>
          <w:lang w:val="es-ES"/>
        </w:rPr>
        <w:t>,</w:t>
      </w:r>
      <w:r w:rsidR="00B55857">
        <w:rPr>
          <w:rFonts w:ascii="Arial" w:eastAsia="Arial" w:hAnsi="Arial" w:cs="Arial"/>
          <w:color w:val="000000"/>
          <w:sz w:val="22"/>
          <w:lang w:val="es-ES"/>
        </w:rPr>
        <w:t xml:space="preserve"> para las entidades estatales que realicen licitaciones públicas o concursos de méritos</w:t>
      </w:r>
      <w:r w:rsidR="009F4F25">
        <w:rPr>
          <w:rFonts w:ascii="Arial" w:eastAsia="Arial" w:hAnsi="Arial" w:cs="Arial"/>
          <w:color w:val="000000"/>
          <w:sz w:val="22"/>
          <w:lang w:val="es-ES"/>
        </w:rPr>
        <w:t>,</w:t>
      </w:r>
      <w:r w:rsidR="00887C79">
        <w:rPr>
          <w:rFonts w:ascii="Arial" w:eastAsia="Arial" w:hAnsi="Arial" w:cs="Arial"/>
          <w:color w:val="000000"/>
          <w:sz w:val="22"/>
          <w:lang w:val="es-ES"/>
        </w:rPr>
        <w:t xml:space="preserve"> </w:t>
      </w:r>
      <w:r w:rsidR="009F4F25">
        <w:rPr>
          <w:rFonts w:ascii="Arial" w:eastAsia="Arial" w:hAnsi="Arial" w:cs="Arial"/>
          <w:color w:val="000000"/>
          <w:sz w:val="22"/>
          <w:lang w:val="es-ES"/>
        </w:rPr>
        <w:t>que</w:t>
      </w:r>
      <w:r w:rsidR="00887C79">
        <w:rPr>
          <w:rFonts w:ascii="Arial" w:eastAsia="Arial" w:hAnsi="Arial" w:cs="Arial"/>
          <w:color w:val="000000"/>
          <w:sz w:val="22"/>
          <w:lang w:val="es-ES"/>
        </w:rPr>
        <w:t>,</w:t>
      </w:r>
      <w:r w:rsidR="009F4F25">
        <w:rPr>
          <w:rFonts w:ascii="Arial" w:eastAsia="Arial" w:hAnsi="Arial" w:cs="Arial"/>
          <w:color w:val="000000"/>
          <w:sz w:val="22"/>
          <w:lang w:val="es-ES"/>
        </w:rPr>
        <w:t xml:space="preserve"> por tanto, les impide no incluir el incentivo</w:t>
      </w:r>
      <w:r w:rsidR="00887C79">
        <w:rPr>
          <w:rFonts w:ascii="Arial" w:eastAsia="Arial" w:hAnsi="Arial" w:cs="Arial"/>
          <w:color w:val="000000"/>
          <w:sz w:val="22"/>
          <w:lang w:val="es-ES"/>
        </w:rPr>
        <w:t xml:space="preserve"> a favor de personas con discapacidad</w:t>
      </w:r>
      <w:r w:rsidR="00460946">
        <w:rPr>
          <w:rFonts w:ascii="Arial" w:eastAsia="Arial" w:hAnsi="Arial" w:cs="Arial"/>
          <w:color w:val="000000"/>
          <w:sz w:val="22"/>
          <w:lang w:val="es-ES"/>
        </w:rPr>
        <w:t xml:space="preserve"> en el pliego de condiciones, es este acto administrativo el que</w:t>
      </w:r>
      <w:r w:rsidR="00753BAC">
        <w:rPr>
          <w:rFonts w:ascii="Arial" w:eastAsia="Arial" w:hAnsi="Arial" w:cs="Arial"/>
          <w:color w:val="000000"/>
          <w:sz w:val="22"/>
          <w:lang w:val="es-ES"/>
        </w:rPr>
        <w:t>,</w:t>
      </w:r>
      <w:r w:rsidR="00460946">
        <w:rPr>
          <w:rFonts w:ascii="Arial" w:eastAsia="Arial" w:hAnsi="Arial" w:cs="Arial"/>
          <w:color w:val="000000"/>
          <w:sz w:val="22"/>
          <w:lang w:val="es-ES"/>
        </w:rPr>
        <w:t xml:space="preserve"> como «ley» del procedimiento de selección, establece los requisitos</w:t>
      </w:r>
      <w:r w:rsidR="000B0A15">
        <w:rPr>
          <w:rFonts w:ascii="Arial" w:eastAsia="Arial" w:hAnsi="Arial" w:cs="Arial"/>
          <w:color w:val="000000"/>
          <w:sz w:val="22"/>
          <w:lang w:val="es-ES"/>
        </w:rPr>
        <w:t xml:space="preserve"> que deben cumplir los oferentes para acreditar los factores de calificación, así como la metodología para la asignación del puntaje.</w:t>
      </w:r>
    </w:p>
    <w:p w14:paraId="42F86907" w14:textId="15AB00F3" w:rsidR="00EA0100" w:rsidRDefault="007368B4" w:rsidP="00CA76FC">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En consecuencia, la falta de incorporación de</w:t>
      </w:r>
      <w:r w:rsidR="0000600A">
        <w:rPr>
          <w:rFonts w:ascii="Arial" w:eastAsia="Arial" w:hAnsi="Arial" w:cs="Arial"/>
          <w:color w:val="000000"/>
          <w:sz w:val="22"/>
          <w:lang w:val="es-ES"/>
        </w:rPr>
        <w:t xml:space="preserve"> dicho </w:t>
      </w:r>
      <w:r>
        <w:rPr>
          <w:rFonts w:ascii="Arial" w:eastAsia="Arial" w:hAnsi="Arial" w:cs="Arial"/>
          <w:color w:val="000000"/>
          <w:sz w:val="22"/>
          <w:lang w:val="es-ES"/>
        </w:rPr>
        <w:t>incentivo</w:t>
      </w:r>
      <w:r w:rsidR="0000600A">
        <w:rPr>
          <w:rFonts w:ascii="Arial" w:eastAsia="Arial" w:hAnsi="Arial" w:cs="Arial"/>
          <w:color w:val="000000"/>
          <w:sz w:val="22"/>
          <w:lang w:val="es-ES"/>
        </w:rPr>
        <w:t xml:space="preserve"> en el pliego de condiciones de la licitación pública y el concurso de méritos</w:t>
      </w:r>
      <w:r>
        <w:rPr>
          <w:rFonts w:ascii="Arial" w:eastAsia="Arial" w:hAnsi="Arial" w:cs="Arial"/>
          <w:color w:val="000000"/>
          <w:sz w:val="22"/>
          <w:lang w:val="es-ES"/>
        </w:rPr>
        <w:t xml:space="preserve"> representa un incumplimiento de un deber legal y reglamentario</w:t>
      </w:r>
      <w:r w:rsidR="0000600A">
        <w:rPr>
          <w:rFonts w:ascii="Arial" w:eastAsia="Arial" w:hAnsi="Arial" w:cs="Arial"/>
          <w:color w:val="000000"/>
          <w:sz w:val="22"/>
          <w:lang w:val="es-ES"/>
        </w:rPr>
        <w:t xml:space="preserve">; pero en caso de que la entidad estatal </w:t>
      </w:r>
      <w:r w:rsidR="002569F0">
        <w:rPr>
          <w:rFonts w:ascii="Arial" w:eastAsia="Arial" w:hAnsi="Arial" w:cs="Arial"/>
          <w:color w:val="000000"/>
          <w:sz w:val="22"/>
          <w:lang w:val="es-ES"/>
        </w:rPr>
        <w:t>haya incurrido en tal omisión en el pliego, porque haya distribuido la totalidad de los puntos en otros factores, sin hacer referencia a</w:t>
      </w:r>
      <w:r w:rsidR="00323881">
        <w:rPr>
          <w:rFonts w:ascii="Arial" w:eastAsia="Arial" w:hAnsi="Arial" w:cs="Arial"/>
          <w:color w:val="000000"/>
          <w:sz w:val="22"/>
          <w:lang w:val="es-ES"/>
        </w:rPr>
        <w:t>l incentivo analizado aquí, deberá estarse</w:t>
      </w:r>
      <w:r w:rsidR="009C1C7F">
        <w:rPr>
          <w:rFonts w:ascii="Arial" w:eastAsia="Arial" w:hAnsi="Arial" w:cs="Arial"/>
          <w:color w:val="000000"/>
          <w:sz w:val="22"/>
          <w:lang w:val="es-ES"/>
        </w:rPr>
        <w:t>, en principio,</w:t>
      </w:r>
      <w:r w:rsidR="00323881">
        <w:rPr>
          <w:rFonts w:ascii="Arial" w:eastAsia="Arial" w:hAnsi="Arial" w:cs="Arial"/>
          <w:color w:val="000000"/>
          <w:sz w:val="22"/>
          <w:lang w:val="es-ES"/>
        </w:rPr>
        <w:t xml:space="preserve"> al contenido del pliego de condiciones </w:t>
      </w:r>
      <w:r w:rsidR="008E38B4">
        <w:rPr>
          <w:rFonts w:ascii="Arial" w:eastAsia="Arial" w:hAnsi="Arial" w:cs="Arial"/>
          <w:color w:val="000000"/>
          <w:sz w:val="22"/>
          <w:lang w:val="es-ES"/>
        </w:rPr>
        <w:t>durante</w:t>
      </w:r>
      <w:r w:rsidR="00323881">
        <w:rPr>
          <w:rFonts w:ascii="Arial" w:eastAsia="Arial" w:hAnsi="Arial" w:cs="Arial"/>
          <w:color w:val="000000"/>
          <w:sz w:val="22"/>
          <w:lang w:val="es-ES"/>
        </w:rPr>
        <w:t xml:space="preserve"> la evaluación, pues, como lo ha indicado la Corte Constitucional</w:t>
      </w:r>
      <w:r w:rsidR="00D40DB0">
        <w:rPr>
          <w:rStyle w:val="Refdenotaalpie"/>
          <w:rFonts w:ascii="Arial" w:eastAsia="Arial" w:hAnsi="Arial" w:cs="Arial"/>
          <w:color w:val="000000"/>
          <w:sz w:val="22"/>
          <w:lang w:val="es-ES"/>
        </w:rPr>
        <w:footnoteReference w:id="5"/>
      </w:r>
      <w:r w:rsidR="009C1C7F">
        <w:rPr>
          <w:rFonts w:ascii="Arial" w:eastAsia="Arial" w:hAnsi="Arial" w:cs="Arial"/>
          <w:color w:val="000000"/>
          <w:sz w:val="22"/>
          <w:lang w:val="es-ES"/>
        </w:rPr>
        <w:t xml:space="preserve"> y </w:t>
      </w:r>
      <w:r w:rsidR="008E38B4">
        <w:rPr>
          <w:rFonts w:ascii="Arial" w:eastAsia="Arial" w:hAnsi="Arial" w:cs="Arial"/>
          <w:color w:val="000000"/>
          <w:sz w:val="22"/>
          <w:lang w:val="es-ES"/>
        </w:rPr>
        <w:t>lo ratifica</w:t>
      </w:r>
      <w:r w:rsidR="009C1C7F">
        <w:rPr>
          <w:rFonts w:ascii="Arial" w:eastAsia="Arial" w:hAnsi="Arial" w:cs="Arial"/>
          <w:color w:val="000000"/>
          <w:sz w:val="22"/>
          <w:lang w:val="es-ES"/>
        </w:rPr>
        <w:t xml:space="preserve"> el artículo </w:t>
      </w:r>
      <w:r w:rsidR="006B3E19">
        <w:rPr>
          <w:rFonts w:ascii="Arial" w:eastAsia="Arial" w:hAnsi="Arial" w:cs="Arial"/>
          <w:color w:val="000000"/>
          <w:sz w:val="22"/>
          <w:lang w:val="es-ES"/>
        </w:rPr>
        <w:t>148 de la Ley 1437 de 2011</w:t>
      </w:r>
      <w:r w:rsidR="006B3E19">
        <w:rPr>
          <w:rStyle w:val="Refdenotaalpie"/>
          <w:rFonts w:ascii="Arial" w:eastAsia="Arial" w:hAnsi="Arial" w:cs="Arial"/>
          <w:color w:val="000000"/>
          <w:sz w:val="22"/>
          <w:lang w:val="es-ES"/>
        </w:rPr>
        <w:footnoteReference w:id="6"/>
      </w:r>
      <w:r w:rsidR="0004149B">
        <w:rPr>
          <w:rFonts w:ascii="Arial" w:eastAsia="Arial" w:hAnsi="Arial" w:cs="Arial"/>
          <w:color w:val="000000"/>
          <w:sz w:val="22"/>
          <w:lang w:val="es-ES"/>
        </w:rPr>
        <w:t xml:space="preserve">, la </w:t>
      </w:r>
      <w:r w:rsidR="008E38B4">
        <w:rPr>
          <w:rFonts w:ascii="Arial" w:eastAsia="Arial" w:hAnsi="Arial" w:cs="Arial"/>
          <w:color w:val="000000"/>
          <w:sz w:val="22"/>
          <w:lang w:val="es-ES"/>
        </w:rPr>
        <w:t>«</w:t>
      </w:r>
      <w:r w:rsidR="0004149B">
        <w:rPr>
          <w:rFonts w:ascii="Arial" w:eastAsia="Arial" w:hAnsi="Arial" w:cs="Arial"/>
          <w:color w:val="000000"/>
          <w:sz w:val="22"/>
          <w:lang w:val="es-ES"/>
        </w:rPr>
        <w:t>excepción de ilegalidad</w:t>
      </w:r>
      <w:r w:rsidR="008E38B4">
        <w:rPr>
          <w:rFonts w:ascii="Arial" w:eastAsia="Arial" w:hAnsi="Arial" w:cs="Arial"/>
          <w:color w:val="000000"/>
          <w:sz w:val="22"/>
          <w:lang w:val="es-ES"/>
        </w:rPr>
        <w:t>»</w:t>
      </w:r>
      <w:r w:rsidR="0004149B">
        <w:rPr>
          <w:rFonts w:ascii="Arial" w:eastAsia="Arial" w:hAnsi="Arial" w:cs="Arial"/>
          <w:color w:val="000000"/>
          <w:sz w:val="22"/>
          <w:lang w:val="es-ES"/>
        </w:rPr>
        <w:t xml:space="preserve"> de los actos administrativos –también denominado</w:t>
      </w:r>
      <w:r w:rsidR="00ED732E">
        <w:rPr>
          <w:rFonts w:ascii="Arial" w:eastAsia="Arial" w:hAnsi="Arial" w:cs="Arial"/>
          <w:color w:val="000000"/>
          <w:sz w:val="22"/>
          <w:lang w:val="es-ES"/>
        </w:rPr>
        <w:t xml:space="preserve"> </w:t>
      </w:r>
      <w:r w:rsidR="0004149B">
        <w:rPr>
          <w:rFonts w:ascii="Arial" w:eastAsia="Arial" w:hAnsi="Arial" w:cs="Arial"/>
          <w:color w:val="000000"/>
          <w:sz w:val="22"/>
          <w:lang w:val="es-ES"/>
        </w:rPr>
        <w:t>«control por vía de excepción»</w:t>
      </w:r>
      <w:r w:rsidR="00D40DB0">
        <w:rPr>
          <w:rFonts w:ascii="Arial" w:eastAsia="Arial" w:hAnsi="Arial" w:cs="Arial"/>
          <w:color w:val="000000"/>
          <w:sz w:val="22"/>
          <w:lang w:val="es-ES"/>
        </w:rPr>
        <w:t>–,</w:t>
      </w:r>
      <w:r w:rsidR="008E38B4">
        <w:rPr>
          <w:rFonts w:ascii="Arial" w:eastAsia="Arial" w:hAnsi="Arial" w:cs="Arial"/>
          <w:color w:val="000000"/>
          <w:sz w:val="22"/>
          <w:lang w:val="es-ES"/>
        </w:rPr>
        <w:t xml:space="preserve"> no procede en sede administrativa, es decir</w:t>
      </w:r>
      <w:r w:rsidR="00E114CA">
        <w:rPr>
          <w:rFonts w:ascii="Arial" w:eastAsia="Arial" w:hAnsi="Arial" w:cs="Arial"/>
          <w:color w:val="000000"/>
          <w:sz w:val="22"/>
          <w:lang w:val="es-ES"/>
        </w:rPr>
        <w:t>, aplicad</w:t>
      </w:r>
      <w:r w:rsidR="007804FE">
        <w:rPr>
          <w:rFonts w:ascii="Arial" w:eastAsia="Arial" w:hAnsi="Arial" w:cs="Arial"/>
          <w:color w:val="000000"/>
          <w:sz w:val="22"/>
          <w:lang w:val="es-ES"/>
        </w:rPr>
        <w:t>a</w:t>
      </w:r>
      <w:r w:rsidR="00E114CA">
        <w:rPr>
          <w:rFonts w:ascii="Arial" w:eastAsia="Arial" w:hAnsi="Arial" w:cs="Arial"/>
          <w:color w:val="000000"/>
          <w:sz w:val="22"/>
          <w:lang w:val="es-ES"/>
        </w:rPr>
        <w:t xml:space="preserve"> por parte de la misma Administración.</w:t>
      </w:r>
    </w:p>
    <w:p w14:paraId="792008E7" w14:textId="5EAD6F49" w:rsidR="00957AA4" w:rsidRDefault="00EA0100" w:rsidP="00523C45">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lastRenderedPageBreak/>
        <w:t xml:space="preserve">Finalmente, </w:t>
      </w:r>
      <w:r w:rsidR="002A6AFB">
        <w:rPr>
          <w:rFonts w:ascii="Arial" w:eastAsia="Arial" w:hAnsi="Arial" w:cs="Arial"/>
          <w:color w:val="000000"/>
          <w:sz w:val="22"/>
          <w:lang w:val="es-ES"/>
        </w:rPr>
        <w:t>a partir de</w:t>
      </w:r>
      <w:r>
        <w:rPr>
          <w:rFonts w:ascii="Arial" w:eastAsia="Arial" w:hAnsi="Arial" w:cs="Arial"/>
          <w:color w:val="000000"/>
          <w:sz w:val="22"/>
          <w:lang w:val="es-ES"/>
        </w:rPr>
        <w:t xml:space="preserve"> la naturaleza y el alcance del mandato</w:t>
      </w:r>
      <w:r w:rsidR="00153491">
        <w:rPr>
          <w:rFonts w:ascii="Arial" w:eastAsia="Arial" w:hAnsi="Arial" w:cs="Arial"/>
          <w:color w:val="000000"/>
          <w:sz w:val="22"/>
          <w:lang w:val="es-ES"/>
        </w:rPr>
        <w:t xml:space="preserve"> contenido en el artículo 13 de la Ley </w:t>
      </w:r>
      <w:r w:rsidR="00B67FBF">
        <w:rPr>
          <w:rFonts w:ascii="Arial" w:eastAsia="Arial" w:hAnsi="Arial" w:cs="Arial"/>
          <w:color w:val="000000"/>
          <w:sz w:val="22"/>
          <w:lang w:val="es-ES"/>
        </w:rPr>
        <w:t>1618 de 2013</w:t>
      </w:r>
      <w:r w:rsidR="00363348">
        <w:rPr>
          <w:rFonts w:ascii="Arial" w:eastAsia="Arial" w:hAnsi="Arial" w:cs="Arial"/>
          <w:color w:val="000000"/>
          <w:sz w:val="22"/>
          <w:lang w:val="es-ES"/>
        </w:rPr>
        <w:t xml:space="preserve"> y en el artículo 1 del Decreto</w:t>
      </w:r>
      <w:r w:rsidR="00605AC3">
        <w:rPr>
          <w:rFonts w:ascii="Arial" w:eastAsia="Arial" w:hAnsi="Arial" w:cs="Arial"/>
          <w:color w:val="000000"/>
          <w:sz w:val="22"/>
          <w:lang w:val="es-ES"/>
        </w:rPr>
        <w:t xml:space="preserve"> 392 de 2018</w:t>
      </w:r>
      <w:r>
        <w:rPr>
          <w:rFonts w:ascii="Arial" w:eastAsia="Arial" w:hAnsi="Arial" w:cs="Arial"/>
          <w:color w:val="000000"/>
          <w:sz w:val="22"/>
          <w:lang w:val="es-ES"/>
        </w:rPr>
        <w:t>, explicados al comienzo de este numeral, esta Subdirección no considera</w:t>
      </w:r>
      <w:r w:rsidR="00BC14A7">
        <w:rPr>
          <w:rFonts w:ascii="Arial" w:eastAsia="Arial" w:hAnsi="Arial" w:cs="Arial"/>
          <w:color w:val="000000"/>
          <w:sz w:val="22"/>
          <w:lang w:val="es-ES"/>
        </w:rPr>
        <w:t xml:space="preserve"> válido </w:t>
      </w:r>
      <w:r w:rsidR="00A03C54">
        <w:rPr>
          <w:rFonts w:ascii="Arial" w:eastAsia="Arial" w:hAnsi="Arial" w:cs="Arial"/>
          <w:color w:val="000000"/>
          <w:sz w:val="22"/>
          <w:lang w:val="es-ES"/>
        </w:rPr>
        <w:t>otorgar</w:t>
      </w:r>
      <w:r w:rsidR="00BC14A7">
        <w:rPr>
          <w:rFonts w:ascii="Arial" w:eastAsia="Arial" w:hAnsi="Arial" w:cs="Arial"/>
          <w:color w:val="000000"/>
          <w:sz w:val="22"/>
          <w:lang w:val="es-ES"/>
        </w:rPr>
        <w:t xml:space="preserve"> directamente el incentivo</w:t>
      </w:r>
      <w:r w:rsidR="001E1CC4">
        <w:rPr>
          <w:rFonts w:ascii="Arial" w:eastAsia="Arial" w:hAnsi="Arial" w:cs="Arial"/>
          <w:color w:val="000000"/>
          <w:sz w:val="22"/>
          <w:lang w:val="es-ES"/>
        </w:rPr>
        <w:t>, acudiendo a la excepción de inconstitucionalidad en contra del pliego de condiciones</w:t>
      </w:r>
      <w:r w:rsidR="00DC00B4">
        <w:rPr>
          <w:rStyle w:val="Refdenotaalpie"/>
          <w:rFonts w:ascii="Arial" w:eastAsia="Arial" w:hAnsi="Arial" w:cs="Arial"/>
          <w:color w:val="000000"/>
          <w:sz w:val="22"/>
          <w:lang w:val="es-ES"/>
        </w:rPr>
        <w:footnoteReference w:id="7"/>
      </w:r>
      <w:r w:rsidR="00DC00B4">
        <w:rPr>
          <w:rFonts w:ascii="Arial" w:eastAsia="Arial" w:hAnsi="Arial" w:cs="Arial"/>
          <w:color w:val="000000"/>
          <w:sz w:val="22"/>
          <w:lang w:val="es-ES"/>
        </w:rPr>
        <w:t xml:space="preserve"> en caso de que este no lo contemple</w:t>
      </w:r>
      <w:r w:rsidR="001E1CC4">
        <w:rPr>
          <w:rFonts w:ascii="Arial" w:eastAsia="Arial" w:hAnsi="Arial" w:cs="Arial"/>
          <w:color w:val="000000"/>
          <w:sz w:val="22"/>
          <w:lang w:val="es-ES"/>
        </w:rPr>
        <w:t xml:space="preserve">, al no ser una obligación </w:t>
      </w:r>
      <w:r w:rsidR="00452EAD">
        <w:rPr>
          <w:rFonts w:ascii="Arial" w:eastAsia="Arial" w:hAnsi="Arial" w:cs="Arial"/>
          <w:color w:val="000000"/>
          <w:sz w:val="22"/>
          <w:lang w:val="es-ES"/>
        </w:rPr>
        <w:t>consagrada</w:t>
      </w:r>
      <w:r w:rsidR="001E1CC4">
        <w:rPr>
          <w:rFonts w:ascii="Arial" w:eastAsia="Arial" w:hAnsi="Arial" w:cs="Arial"/>
          <w:color w:val="000000"/>
          <w:sz w:val="22"/>
          <w:lang w:val="es-ES"/>
        </w:rPr>
        <w:t xml:space="preserve"> directamente </w:t>
      </w:r>
      <w:r w:rsidR="00DC00B4">
        <w:rPr>
          <w:rFonts w:ascii="Arial" w:eastAsia="Arial" w:hAnsi="Arial" w:cs="Arial"/>
          <w:color w:val="000000"/>
          <w:sz w:val="22"/>
          <w:lang w:val="es-ES"/>
        </w:rPr>
        <w:t>en</w:t>
      </w:r>
      <w:r w:rsidR="001E1CC4">
        <w:rPr>
          <w:rFonts w:ascii="Arial" w:eastAsia="Arial" w:hAnsi="Arial" w:cs="Arial"/>
          <w:color w:val="000000"/>
          <w:sz w:val="22"/>
          <w:lang w:val="es-ES"/>
        </w:rPr>
        <w:t xml:space="preserve"> la Constitución</w:t>
      </w:r>
      <w:r w:rsidR="00DC00B4">
        <w:rPr>
          <w:rFonts w:ascii="Arial" w:eastAsia="Arial" w:hAnsi="Arial" w:cs="Arial"/>
          <w:color w:val="000000"/>
          <w:sz w:val="22"/>
          <w:lang w:val="es-ES"/>
        </w:rPr>
        <w:t>, sino en l</w:t>
      </w:r>
      <w:r w:rsidR="00523C45">
        <w:rPr>
          <w:rFonts w:ascii="Arial" w:eastAsia="Arial" w:hAnsi="Arial" w:cs="Arial"/>
          <w:color w:val="000000"/>
          <w:sz w:val="22"/>
          <w:lang w:val="es-ES"/>
        </w:rPr>
        <w:t>a ley y en el reglamento.</w:t>
      </w:r>
      <w:r w:rsidR="006B786A">
        <w:rPr>
          <w:rFonts w:ascii="Arial" w:eastAsia="Arial" w:hAnsi="Arial" w:cs="Arial"/>
          <w:color w:val="000000"/>
          <w:sz w:val="22"/>
          <w:lang w:val="es-ES"/>
        </w:rPr>
        <w:t xml:space="preserve"> Además, </w:t>
      </w:r>
      <w:r w:rsidR="00DE78D1">
        <w:rPr>
          <w:rFonts w:ascii="Arial" w:eastAsia="Arial" w:hAnsi="Arial" w:cs="Arial"/>
          <w:color w:val="000000"/>
          <w:sz w:val="22"/>
          <w:lang w:val="es-ES"/>
        </w:rPr>
        <w:t>aplicar «de plano»</w:t>
      </w:r>
      <w:r w:rsidR="00CF1ABB">
        <w:rPr>
          <w:rFonts w:ascii="Arial" w:eastAsia="Arial" w:hAnsi="Arial" w:cs="Arial"/>
          <w:color w:val="000000"/>
          <w:sz w:val="22"/>
          <w:lang w:val="es-ES"/>
        </w:rPr>
        <w:t xml:space="preserve"> </w:t>
      </w:r>
      <w:r w:rsidR="00DE78D1">
        <w:rPr>
          <w:rFonts w:ascii="Arial" w:eastAsia="Arial" w:hAnsi="Arial" w:cs="Arial"/>
          <w:color w:val="000000"/>
          <w:sz w:val="22"/>
          <w:lang w:val="es-ES"/>
        </w:rPr>
        <w:t>el puntaje para incentivar la vinculación de personas con discapacidad</w:t>
      </w:r>
      <w:r w:rsidR="00D4498E">
        <w:rPr>
          <w:rFonts w:ascii="Arial" w:eastAsia="Arial" w:hAnsi="Arial" w:cs="Arial"/>
          <w:color w:val="000000"/>
          <w:sz w:val="22"/>
          <w:lang w:val="es-ES"/>
        </w:rPr>
        <w:t xml:space="preserve">, </w:t>
      </w:r>
      <w:r w:rsidR="00DE78D1">
        <w:rPr>
          <w:rFonts w:ascii="Arial" w:eastAsia="Arial" w:hAnsi="Arial" w:cs="Arial"/>
          <w:color w:val="000000"/>
          <w:sz w:val="22"/>
          <w:lang w:val="es-ES"/>
        </w:rPr>
        <w:t>en la instancia de evaluación,</w:t>
      </w:r>
      <w:r w:rsidR="00CF1ABB">
        <w:rPr>
          <w:rFonts w:ascii="Arial" w:eastAsia="Arial" w:hAnsi="Arial" w:cs="Arial"/>
          <w:color w:val="000000"/>
          <w:sz w:val="22"/>
          <w:lang w:val="es-ES"/>
        </w:rPr>
        <w:t xml:space="preserve"> o sea, sin que este criterio se haya previsto en el pliego de condiciones –</w:t>
      </w:r>
      <w:r w:rsidR="00D4498E">
        <w:rPr>
          <w:rFonts w:ascii="Arial" w:eastAsia="Arial" w:hAnsi="Arial" w:cs="Arial"/>
          <w:color w:val="000000"/>
          <w:sz w:val="22"/>
          <w:lang w:val="es-ES"/>
        </w:rPr>
        <w:t>a pesar de que la entidad estatal estaba obligada a hacerlo</w:t>
      </w:r>
      <w:r w:rsidR="00CF1ABB">
        <w:rPr>
          <w:rFonts w:ascii="Arial" w:eastAsia="Arial" w:hAnsi="Arial" w:cs="Arial"/>
          <w:color w:val="000000"/>
          <w:sz w:val="22"/>
          <w:lang w:val="es-ES"/>
        </w:rPr>
        <w:t>–</w:t>
      </w:r>
      <w:r w:rsidR="00F10618">
        <w:rPr>
          <w:rFonts w:ascii="Arial" w:eastAsia="Arial" w:hAnsi="Arial" w:cs="Arial"/>
          <w:color w:val="000000"/>
          <w:sz w:val="22"/>
          <w:lang w:val="es-ES"/>
        </w:rPr>
        <w:t xml:space="preserve"> podría menoscabar la igualdad de los demás oferentes, porque es posible que algunos no hayan aportado la información para acreditar la vinculación de trabajadores en tal condición</w:t>
      </w:r>
      <w:r w:rsidR="00185AFE">
        <w:rPr>
          <w:rFonts w:ascii="Arial" w:eastAsia="Arial" w:hAnsi="Arial" w:cs="Arial"/>
          <w:color w:val="000000"/>
          <w:sz w:val="22"/>
          <w:lang w:val="es-ES"/>
        </w:rPr>
        <w:t>, y, ya que se trata de un criterio de evaluación, este no es subsanable</w:t>
      </w:r>
      <w:r w:rsidR="00F428B1">
        <w:rPr>
          <w:rStyle w:val="Refdenotaalpie"/>
          <w:rFonts w:ascii="Arial" w:eastAsia="Arial" w:hAnsi="Arial" w:cs="Arial"/>
          <w:color w:val="000000"/>
          <w:sz w:val="22"/>
          <w:lang w:val="es-ES"/>
        </w:rPr>
        <w:footnoteReference w:id="8"/>
      </w:r>
      <w:r w:rsidR="00185AFE">
        <w:rPr>
          <w:rFonts w:ascii="Arial" w:eastAsia="Arial" w:hAnsi="Arial" w:cs="Arial"/>
          <w:color w:val="000000"/>
          <w:sz w:val="22"/>
          <w:lang w:val="es-ES"/>
        </w:rPr>
        <w:t>.</w:t>
      </w:r>
      <w:r w:rsidR="00CF1ABB">
        <w:rPr>
          <w:rFonts w:ascii="Arial" w:eastAsia="Arial" w:hAnsi="Arial" w:cs="Arial"/>
          <w:color w:val="000000"/>
          <w:sz w:val="22"/>
          <w:lang w:val="es-ES"/>
        </w:rPr>
        <w:t xml:space="preserve"> </w:t>
      </w:r>
      <w:r w:rsidR="00DE78D1">
        <w:rPr>
          <w:rFonts w:ascii="Arial" w:eastAsia="Arial" w:hAnsi="Arial" w:cs="Arial"/>
          <w:color w:val="000000"/>
          <w:sz w:val="22"/>
          <w:lang w:val="es-ES"/>
        </w:rPr>
        <w:t xml:space="preserve"> </w:t>
      </w:r>
    </w:p>
    <w:p w14:paraId="1A7AE93D" w14:textId="77777777" w:rsidR="00523C45" w:rsidRPr="00523C45" w:rsidRDefault="00523C45" w:rsidP="00523C45">
      <w:pPr>
        <w:spacing w:line="276" w:lineRule="auto"/>
        <w:ind w:firstLine="709"/>
        <w:jc w:val="both"/>
        <w:rPr>
          <w:rFonts w:ascii="Arial" w:eastAsia="Arial" w:hAnsi="Arial" w:cs="Arial"/>
          <w:color w:val="000000"/>
          <w:sz w:val="22"/>
          <w:lang w:val="es-ES"/>
        </w:rPr>
      </w:pPr>
    </w:p>
    <w:p w14:paraId="37CA9805" w14:textId="048E662B" w:rsidR="00DD5B04" w:rsidRPr="0085790B" w:rsidRDefault="004177A6" w:rsidP="002C5D0F">
      <w:pPr>
        <w:tabs>
          <w:tab w:val="left" w:pos="0"/>
        </w:tabs>
        <w:spacing w:line="276" w:lineRule="auto"/>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3</w:t>
      </w:r>
      <w:r w:rsidR="00B011A9" w:rsidRPr="0085790B">
        <w:rPr>
          <w:rFonts w:ascii="Arial" w:eastAsia="Calibri" w:hAnsi="Arial" w:cs="Arial"/>
          <w:b/>
          <w:color w:val="000000" w:themeColor="text1"/>
          <w:sz w:val="22"/>
          <w:lang w:val="es-ES_tradnl"/>
        </w:rPr>
        <w:t xml:space="preserve">. </w:t>
      </w:r>
      <w:r w:rsidR="00DD5B04" w:rsidRPr="0085790B">
        <w:rPr>
          <w:rFonts w:ascii="Arial" w:eastAsia="Calibri" w:hAnsi="Arial" w:cs="Arial"/>
          <w:b/>
          <w:color w:val="000000" w:themeColor="text1"/>
          <w:sz w:val="22"/>
          <w:lang w:val="es-ES_tradnl"/>
        </w:rPr>
        <w:t>Respuesta</w:t>
      </w:r>
      <w:r w:rsidR="00931451" w:rsidRPr="0085790B">
        <w:rPr>
          <w:rFonts w:ascii="Arial" w:eastAsia="Calibri" w:hAnsi="Arial" w:cs="Arial"/>
          <w:b/>
          <w:color w:val="000000" w:themeColor="text1"/>
          <w:sz w:val="22"/>
          <w:lang w:val="es-ES_tradnl"/>
        </w:rPr>
        <w:t>s</w:t>
      </w:r>
    </w:p>
    <w:p w14:paraId="0B74D5B8" w14:textId="7F0A7F13" w:rsidR="00C4581D" w:rsidRDefault="00C4581D" w:rsidP="00DF76A2">
      <w:pPr>
        <w:tabs>
          <w:tab w:val="left" w:pos="0"/>
        </w:tabs>
        <w:spacing w:line="276" w:lineRule="auto"/>
        <w:jc w:val="both"/>
        <w:rPr>
          <w:rFonts w:ascii="Arial" w:eastAsia="Calibri" w:hAnsi="Arial" w:cs="Arial"/>
          <w:color w:val="000000" w:themeColor="text1"/>
          <w:sz w:val="22"/>
          <w:lang w:val="es-ES_tradnl"/>
        </w:rPr>
      </w:pPr>
    </w:p>
    <w:p w14:paraId="08AAB956" w14:textId="4DF1FCAE" w:rsidR="00ED538C" w:rsidRDefault="00ED538C" w:rsidP="00ED538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23759">
        <w:rPr>
          <w:rFonts w:ascii="Arial" w:hAnsi="Arial" w:cs="Arial"/>
          <w:color w:val="000000" w:themeColor="text1"/>
          <w:sz w:val="21"/>
          <w:szCs w:val="21"/>
          <w:lang w:val="es-ES_tradnl"/>
        </w:rPr>
        <w:t>Que teniendo en cuenta la finalidad de la Ley y su decreto reglamentario citado anteriormente,</w:t>
      </w:r>
      <w:r>
        <w:rPr>
          <w:rFonts w:ascii="Arial" w:hAnsi="Arial" w:cs="Arial"/>
          <w:color w:val="000000" w:themeColor="text1"/>
          <w:sz w:val="21"/>
          <w:szCs w:val="21"/>
          <w:lang w:val="es-ES_tradnl"/>
        </w:rPr>
        <w:t xml:space="preserve"> </w:t>
      </w:r>
      <w:r w:rsidRPr="00F23759">
        <w:rPr>
          <w:rFonts w:ascii="Arial" w:hAnsi="Arial" w:cs="Arial"/>
          <w:color w:val="000000" w:themeColor="text1"/>
          <w:sz w:val="21"/>
          <w:szCs w:val="21"/>
          <w:lang w:val="es-ES_tradnl"/>
        </w:rPr>
        <w:t>quisiera que por parte de la entidad COLOMBIA COMPRA EFICIENTE se me informe si este incentivo debe aplicar de manera obligatoria en todas las licitaciones públicas y procesos de contratación a nivel Nacional, o si al respecto el otorgamiento de dicho porcentaje aplica por mera liberalidad de las entidades de acuerdo con lo que se establezca en los respectivos pliegos de condiciones</w:t>
      </w:r>
      <w:r w:rsidR="00BC0F33">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44406857" w14:textId="77777777" w:rsidR="00296922" w:rsidRDefault="00296922" w:rsidP="00296922">
      <w:pPr>
        <w:spacing w:line="276" w:lineRule="auto"/>
        <w:jc w:val="both"/>
        <w:rPr>
          <w:rFonts w:ascii="Arial" w:hAnsi="Arial" w:cs="Arial"/>
          <w:color w:val="000000" w:themeColor="text1"/>
          <w:sz w:val="21"/>
          <w:szCs w:val="21"/>
          <w:lang w:val="es-ES_tradnl"/>
        </w:rPr>
      </w:pPr>
    </w:p>
    <w:p w14:paraId="15BFDBC1" w14:textId="28781201" w:rsidR="000A3B49" w:rsidRDefault="00296922" w:rsidP="000A3B49">
      <w:pPr>
        <w:spacing w:line="276" w:lineRule="auto"/>
        <w:jc w:val="both"/>
        <w:rPr>
          <w:rFonts w:ascii="Arial" w:eastAsia="Arial" w:hAnsi="Arial" w:cs="Arial"/>
          <w:color w:val="000000"/>
          <w:sz w:val="22"/>
          <w:lang w:val="es-ES"/>
        </w:rPr>
      </w:pPr>
      <w:r>
        <w:rPr>
          <w:rFonts w:ascii="Arial" w:eastAsia="Arial" w:hAnsi="Arial" w:cs="Arial"/>
          <w:color w:val="000000"/>
          <w:sz w:val="22"/>
          <w:lang w:val="es-ES"/>
        </w:rPr>
        <w:t xml:space="preserve">El incentivo a favor de las ofertas en las que se acredite la vinculación de personas con discapacidad no aplica para todas las modalidades de selección, sino solo para la </w:t>
      </w:r>
      <w:r w:rsidRPr="009F0781">
        <w:rPr>
          <w:rFonts w:ascii="Arial" w:eastAsia="Arial" w:hAnsi="Arial" w:cs="Arial"/>
          <w:i/>
          <w:iCs/>
          <w:color w:val="000000"/>
          <w:sz w:val="22"/>
          <w:lang w:val="es-ES"/>
        </w:rPr>
        <w:t>licitación pública</w:t>
      </w:r>
      <w:r>
        <w:rPr>
          <w:rFonts w:ascii="Arial" w:eastAsia="Arial" w:hAnsi="Arial" w:cs="Arial"/>
          <w:color w:val="000000"/>
          <w:sz w:val="22"/>
          <w:lang w:val="es-ES"/>
        </w:rPr>
        <w:t xml:space="preserve"> y el </w:t>
      </w:r>
      <w:r w:rsidRPr="009F0781">
        <w:rPr>
          <w:rFonts w:ascii="Arial" w:eastAsia="Arial" w:hAnsi="Arial" w:cs="Arial"/>
          <w:i/>
          <w:iCs/>
          <w:color w:val="000000"/>
          <w:sz w:val="22"/>
          <w:lang w:val="es-ES"/>
        </w:rPr>
        <w:t>concurso de méritos</w:t>
      </w:r>
      <w:r>
        <w:rPr>
          <w:rFonts w:ascii="Arial" w:eastAsia="Arial" w:hAnsi="Arial" w:cs="Arial"/>
          <w:color w:val="000000"/>
          <w:sz w:val="22"/>
          <w:lang w:val="es-ES"/>
        </w:rPr>
        <w:t>. En efecto, si bien el numeral 1 del artículo 13 de la Ley 1618 de 2013 ordenó al gobierno nacional expedir un «</w:t>
      </w:r>
      <w:r w:rsidRPr="00543084">
        <w:rPr>
          <w:rFonts w:ascii="Arial" w:eastAsia="Arial" w:hAnsi="Arial" w:cs="Arial"/>
          <w:color w:val="000000"/>
          <w:sz w:val="22"/>
          <w:lang w:val="es-ES"/>
        </w:rPr>
        <w:t>decreto reglamentario que establezca una puntuación adicional en los procesos de licitación pública, concurso de méritos y contratación directa</w:t>
      </w:r>
      <w:r>
        <w:rPr>
          <w:rFonts w:ascii="Arial" w:eastAsia="Arial" w:hAnsi="Arial" w:cs="Arial"/>
          <w:color w:val="000000"/>
          <w:sz w:val="22"/>
          <w:lang w:val="es-ES"/>
        </w:rPr>
        <w:t xml:space="preserve"> […]», dicho reglamento –que se materializó en el Decreto 392 de 2018–, solo previó dicho incentivo para las dos modalidades contractuales inicialmente mencionadas; no así para la contratación directa. Esto se lee en el artículo 1 del referido Decreto: «</w:t>
      </w:r>
      <w:r w:rsidRPr="00E45D47">
        <w:rPr>
          <w:rFonts w:ascii="Arial" w:eastAsia="Arial" w:hAnsi="Arial" w:cs="Arial"/>
          <w:color w:val="000000"/>
          <w:sz w:val="22"/>
          <w:lang w:val="es-ES"/>
        </w:rPr>
        <w:t xml:space="preserve">En los procesos de licitaciones públicas y concursos de méritos, </w:t>
      </w:r>
      <w:r>
        <w:rPr>
          <w:rFonts w:ascii="Arial" w:eastAsia="Arial" w:hAnsi="Arial" w:cs="Arial"/>
          <w:color w:val="000000"/>
          <w:sz w:val="22"/>
          <w:lang w:val="es-ES"/>
        </w:rPr>
        <w:t>[…]</w:t>
      </w:r>
      <w:r w:rsidRPr="00E45D47">
        <w:rPr>
          <w:rFonts w:ascii="Arial" w:eastAsia="Arial" w:hAnsi="Arial" w:cs="Arial"/>
          <w:color w:val="000000"/>
          <w:sz w:val="22"/>
          <w:lang w:val="es-ES"/>
        </w:rPr>
        <w:t>, las entidades estatales deberán otorgar el uno por ciento (1%) del total de los puntos establecidos en el pliego de condiciones, a los proponentes que acrediten la vinculación de trabajadores con discapacidad en su planta de personal</w:t>
      </w:r>
      <w:r>
        <w:rPr>
          <w:rFonts w:ascii="Arial" w:eastAsia="Arial" w:hAnsi="Arial" w:cs="Arial"/>
          <w:color w:val="000000"/>
          <w:sz w:val="22"/>
          <w:lang w:val="es-ES"/>
        </w:rPr>
        <w:t xml:space="preserve">, […]». Tampoco está regulado tal incentivo para los procedimientos de selección abreviada, de mínima cuantía, ni en los que </w:t>
      </w:r>
      <w:r>
        <w:rPr>
          <w:rFonts w:ascii="Arial" w:eastAsia="Arial" w:hAnsi="Arial" w:cs="Arial"/>
          <w:color w:val="000000"/>
          <w:sz w:val="22"/>
          <w:lang w:val="es-ES"/>
        </w:rPr>
        <w:lastRenderedPageBreak/>
        <w:t>deben adelantar las entidades exceptuadas de la aplicación del Estatuto General de Contratación de la Administración Pública.</w:t>
      </w:r>
    </w:p>
    <w:p w14:paraId="46B721BF" w14:textId="62AC06F7" w:rsidR="00103EA0" w:rsidRDefault="000A3B49" w:rsidP="000A3B49">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Ahora bien, l</w:t>
      </w:r>
      <w:r w:rsidR="00103EA0">
        <w:rPr>
          <w:rFonts w:ascii="Arial" w:eastAsia="Arial" w:hAnsi="Arial" w:cs="Arial"/>
          <w:color w:val="000000"/>
          <w:sz w:val="22"/>
          <w:lang w:val="es-ES"/>
        </w:rPr>
        <w:t>a interpretación más razonable de este mandato consiste en entender que, en la licitación pública y el concurso de méritos, al momento de elaborar el pliego de condiciones –acto administrativo en el que se definen los criterios de calificación–, la entidad pública debe incorporar el criterio de asignación de puntaje previsto en el artículo 1 del Decreto 392 de 2018, para aplicarlo luego en la evaluación. Esta interpretación es acorde con lo señalado en el «Manual para el manejo de los incentivos en los procesos de contratación», documento en el que Colombia Compra Eficiente indicó que para cumplir con dicha exigencia reglamentaria las entidades estatales deben realizar cuatro actividades: i) «</w:t>
      </w:r>
      <w:r w:rsidR="00103EA0" w:rsidRPr="001A4DAF">
        <w:rPr>
          <w:rFonts w:ascii="Arial" w:eastAsia="Arial" w:hAnsi="Arial" w:cs="Arial"/>
          <w:color w:val="000000"/>
          <w:sz w:val="22"/>
          <w:lang w:val="es-ES"/>
        </w:rPr>
        <w:t>Etapa de planeación.</w:t>
      </w:r>
      <w:r w:rsidR="00103EA0">
        <w:rPr>
          <w:rFonts w:ascii="Arial" w:eastAsia="Arial" w:hAnsi="Arial" w:cs="Arial"/>
          <w:color w:val="000000"/>
          <w:sz w:val="22"/>
          <w:lang w:val="es-ES"/>
        </w:rPr>
        <w:t xml:space="preserve"> </w:t>
      </w:r>
      <w:r w:rsidR="00103EA0" w:rsidRPr="001A4DAF">
        <w:rPr>
          <w:rFonts w:ascii="Arial" w:eastAsia="Arial" w:hAnsi="Arial" w:cs="Arial"/>
          <w:color w:val="000000"/>
          <w:sz w:val="22"/>
          <w:lang w:val="es-ES"/>
        </w:rPr>
        <w:t>Fijación de criterios de</w:t>
      </w:r>
      <w:r w:rsidR="00103EA0">
        <w:rPr>
          <w:rFonts w:ascii="Arial" w:eastAsia="Arial" w:hAnsi="Arial" w:cs="Arial"/>
          <w:color w:val="000000"/>
          <w:sz w:val="22"/>
          <w:lang w:val="es-ES"/>
        </w:rPr>
        <w:t xml:space="preserve"> </w:t>
      </w:r>
      <w:r w:rsidR="00103EA0" w:rsidRPr="001A4DAF">
        <w:rPr>
          <w:rFonts w:ascii="Arial" w:eastAsia="Arial" w:hAnsi="Arial" w:cs="Arial"/>
          <w:color w:val="000000"/>
          <w:sz w:val="22"/>
          <w:lang w:val="es-ES"/>
        </w:rPr>
        <w:t>puntación en el</w:t>
      </w:r>
      <w:r w:rsidR="00103EA0">
        <w:rPr>
          <w:rFonts w:ascii="Arial" w:eastAsia="Arial" w:hAnsi="Arial" w:cs="Arial"/>
          <w:color w:val="000000"/>
          <w:sz w:val="22"/>
          <w:lang w:val="es-ES"/>
        </w:rPr>
        <w:t xml:space="preserve"> </w:t>
      </w:r>
      <w:r w:rsidR="00103EA0" w:rsidRPr="001A4DAF">
        <w:rPr>
          <w:rFonts w:ascii="Arial" w:eastAsia="Arial" w:hAnsi="Arial" w:cs="Arial"/>
          <w:color w:val="000000"/>
          <w:sz w:val="22"/>
          <w:lang w:val="es-ES"/>
        </w:rPr>
        <w:t>proceso de selección</w:t>
      </w:r>
      <w:r w:rsidR="00103EA0">
        <w:rPr>
          <w:rFonts w:ascii="Arial" w:eastAsia="Arial" w:hAnsi="Arial" w:cs="Arial"/>
          <w:color w:val="000000"/>
          <w:sz w:val="22"/>
          <w:lang w:val="es-ES"/>
        </w:rPr>
        <w:t xml:space="preserve"> </w:t>
      </w:r>
      <w:r w:rsidR="00103EA0" w:rsidRPr="001A4DAF">
        <w:rPr>
          <w:rFonts w:ascii="Arial" w:eastAsia="Arial" w:hAnsi="Arial" w:cs="Arial"/>
          <w:color w:val="000000"/>
          <w:sz w:val="22"/>
          <w:lang w:val="es-ES"/>
        </w:rPr>
        <w:t>como incentivo a favor</w:t>
      </w:r>
      <w:r w:rsidR="00103EA0">
        <w:rPr>
          <w:rFonts w:ascii="Arial" w:eastAsia="Arial" w:hAnsi="Arial" w:cs="Arial"/>
          <w:color w:val="000000"/>
          <w:sz w:val="22"/>
          <w:lang w:val="es-ES"/>
        </w:rPr>
        <w:t xml:space="preserve"> </w:t>
      </w:r>
      <w:r w:rsidR="00103EA0" w:rsidRPr="001A4DAF">
        <w:rPr>
          <w:rFonts w:ascii="Arial" w:eastAsia="Arial" w:hAnsi="Arial" w:cs="Arial"/>
          <w:color w:val="000000"/>
          <w:sz w:val="22"/>
          <w:lang w:val="es-ES"/>
        </w:rPr>
        <w:t>de las personas con</w:t>
      </w:r>
      <w:r w:rsidR="00103EA0">
        <w:rPr>
          <w:rFonts w:ascii="Arial" w:eastAsia="Arial" w:hAnsi="Arial" w:cs="Arial"/>
          <w:color w:val="000000"/>
          <w:sz w:val="22"/>
          <w:lang w:val="es-ES"/>
        </w:rPr>
        <w:t xml:space="preserve"> </w:t>
      </w:r>
      <w:r w:rsidR="00103EA0" w:rsidRPr="001A4DAF">
        <w:rPr>
          <w:rFonts w:ascii="Arial" w:eastAsia="Arial" w:hAnsi="Arial" w:cs="Arial"/>
          <w:color w:val="000000"/>
          <w:sz w:val="22"/>
          <w:lang w:val="es-ES"/>
        </w:rPr>
        <w:t>discapacidad</w:t>
      </w:r>
      <w:r w:rsidR="00103EA0">
        <w:rPr>
          <w:rFonts w:ascii="Arial" w:eastAsia="Arial" w:hAnsi="Arial" w:cs="Arial"/>
          <w:color w:val="000000"/>
          <w:sz w:val="22"/>
          <w:lang w:val="es-ES"/>
        </w:rPr>
        <w:t>»; ii) «</w:t>
      </w:r>
      <w:r w:rsidR="00103EA0" w:rsidRPr="00B86162">
        <w:rPr>
          <w:rFonts w:ascii="Arial" w:eastAsia="Arial" w:hAnsi="Arial" w:cs="Arial"/>
          <w:color w:val="000000"/>
          <w:sz w:val="22"/>
          <w:lang w:val="es-ES"/>
        </w:rPr>
        <w:t>Establecer el 1% del total</w:t>
      </w:r>
      <w:r w:rsidR="00103EA0">
        <w:rPr>
          <w:rFonts w:ascii="Arial" w:eastAsia="Arial" w:hAnsi="Arial" w:cs="Arial"/>
          <w:color w:val="000000"/>
          <w:sz w:val="22"/>
          <w:lang w:val="es-ES"/>
        </w:rPr>
        <w:t xml:space="preserve"> </w:t>
      </w:r>
      <w:r w:rsidR="00103EA0" w:rsidRPr="00B86162">
        <w:rPr>
          <w:rFonts w:ascii="Arial" w:eastAsia="Arial" w:hAnsi="Arial" w:cs="Arial"/>
          <w:color w:val="000000"/>
          <w:sz w:val="22"/>
          <w:lang w:val="es-ES"/>
        </w:rPr>
        <w:t>de los puntos a asignar por</w:t>
      </w:r>
      <w:r w:rsidR="00103EA0">
        <w:rPr>
          <w:rFonts w:ascii="Arial" w:eastAsia="Arial" w:hAnsi="Arial" w:cs="Arial"/>
          <w:color w:val="000000"/>
          <w:sz w:val="22"/>
          <w:lang w:val="es-ES"/>
        </w:rPr>
        <w:t xml:space="preserve"> </w:t>
      </w:r>
      <w:r w:rsidR="00103EA0" w:rsidRPr="00B86162">
        <w:rPr>
          <w:rFonts w:ascii="Arial" w:eastAsia="Arial" w:hAnsi="Arial" w:cs="Arial"/>
          <w:color w:val="000000"/>
          <w:sz w:val="22"/>
          <w:lang w:val="es-ES"/>
        </w:rPr>
        <w:t>factores de calificación, y</w:t>
      </w:r>
      <w:r w:rsidR="00103EA0">
        <w:rPr>
          <w:rFonts w:ascii="Arial" w:eastAsia="Arial" w:hAnsi="Arial" w:cs="Arial"/>
          <w:color w:val="000000"/>
          <w:sz w:val="22"/>
          <w:lang w:val="es-ES"/>
        </w:rPr>
        <w:t xml:space="preserve"> </w:t>
      </w:r>
      <w:r w:rsidR="00103EA0" w:rsidRPr="00B86162">
        <w:rPr>
          <w:rFonts w:ascii="Arial" w:eastAsia="Arial" w:hAnsi="Arial" w:cs="Arial"/>
          <w:color w:val="000000"/>
          <w:sz w:val="22"/>
          <w:lang w:val="es-ES"/>
        </w:rPr>
        <w:t>la forma de verificación de</w:t>
      </w:r>
      <w:r w:rsidR="00103EA0">
        <w:rPr>
          <w:rFonts w:ascii="Arial" w:eastAsia="Arial" w:hAnsi="Arial" w:cs="Arial"/>
          <w:color w:val="000000"/>
          <w:sz w:val="22"/>
          <w:lang w:val="es-ES"/>
        </w:rPr>
        <w:t xml:space="preserve"> </w:t>
      </w:r>
      <w:r w:rsidR="00103EA0" w:rsidRPr="00B86162">
        <w:rPr>
          <w:rFonts w:ascii="Arial" w:eastAsia="Arial" w:hAnsi="Arial" w:cs="Arial"/>
          <w:color w:val="000000"/>
          <w:sz w:val="22"/>
          <w:lang w:val="es-ES"/>
        </w:rPr>
        <w:t>las condiciones para tal</w:t>
      </w:r>
      <w:r w:rsidR="00103EA0">
        <w:rPr>
          <w:rFonts w:ascii="Arial" w:eastAsia="Arial" w:hAnsi="Arial" w:cs="Arial"/>
          <w:color w:val="000000"/>
          <w:sz w:val="22"/>
          <w:lang w:val="es-ES"/>
        </w:rPr>
        <w:t xml:space="preserve"> </w:t>
      </w:r>
      <w:r w:rsidR="00103EA0" w:rsidRPr="00B86162">
        <w:rPr>
          <w:rFonts w:ascii="Arial" w:eastAsia="Arial" w:hAnsi="Arial" w:cs="Arial"/>
          <w:color w:val="000000"/>
          <w:sz w:val="22"/>
          <w:lang w:val="es-ES"/>
        </w:rPr>
        <w:t>asignación al momento de</w:t>
      </w:r>
      <w:r w:rsidR="00103EA0">
        <w:rPr>
          <w:rFonts w:ascii="Arial" w:eastAsia="Arial" w:hAnsi="Arial" w:cs="Arial"/>
          <w:color w:val="000000"/>
          <w:sz w:val="22"/>
          <w:lang w:val="es-ES"/>
        </w:rPr>
        <w:t xml:space="preserve"> </w:t>
      </w:r>
      <w:r w:rsidR="00103EA0" w:rsidRPr="00B86162">
        <w:rPr>
          <w:rFonts w:ascii="Arial" w:eastAsia="Arial" w:hAnsi="Arial" w:cs="Arial"/>
          <w:color w:val="000000"/>
          <w:sz w:val="22"/>
          <w:lang w:val="es-ES"/>
        </w:rPr>
        <w:t>evaluar la oferta</w:t>
      </w:r>
      <w:r w:rsidR="00103EA0">
        <w:rPr>
          <w:rFonts w:ascii="Arial" w:eastAsia="Arial" w:hAnsi="Arial" w:cs="Arial"/>
          <w:color w:val="000000"/>
          <w:sz w:val="22"/>
          <w:lang w:val="es-ES"/>
        </w:rPr>
        <w:t>»; iii) «</w:t>
      </w:r>
      <w:r w:rsidR="00103EA0" w:rsidRPr="00CA76FC">
        <w:rPr>
          <w:rFonts w:ascii="Arial" w:eastAsia="Arial" w:hAnsi="Arial" w:cs="Arial"/>
          <w:color w:val="000000"/>
          <w:sz w:val="22"/>
          <w:lang w:val="es-ES"/>
        </w:rPr>
        <w:t>Asignación de puntaje</w:t>
      </w:r>
      <w:r w:rsidR="00103EA0">
        <w:rPr>
          <w:rFonts w:ascii="Arial" w:eastAsia="Arial" w:hAnsi="Arial" w:cs="Arial"/>
          <w:color w:val="000000"/>
          <w:sz w:val="22"/>
          <w:lang w:val="es-ES"/>
        </w:rPr>
        <w:t xml:space="preserve"> </w:t>
      </w:r>
      <w:r w:rsidR="00103EA0" w:rsidRPr="00613191">
        <w:rPr>
          <w:rFonts w:ascii="Arial" w:eastAsia="Arial" w:hAnsi="Arial" w:cs="Arial"/>
          <w:i/>
          <w:iCs/>
          <w:color w:val="000000"/>
          <w:sz w:val="22"/>
          <w:lang w:val="es-ES"/>
        </w:rPr>
        <w:t>según las reglas previstas en el pliego de condiciones</w:t>
      </w:r>
      <w:r w:rsidR="00103EA0" w:rsidRPr="00CA76FC">
        <w:rPr>
          <w:rFonts w:ascii="Arial" w:eastAsia="Arial" w:hAnsi="Arial" w:cs="Arial"/>
          <w:color w:val="000000"/>
          <w:sz w:val="22"/>
          <w:lang w:val="es-ES"/>
        </w:rPr>
        <w:t xml:space="preserve"> durante el</w:t>
      </w:r>
      <w:r w:rsidR="00103EA0">
        <w:rPr>
          <w:rFonts w:ascii="Arial" w:eastAsia="Arial" w:hAnsi="Arial" w:cs="Arial"/>
          <w:color w:val="000000"/>
          <w:sz w:val="22"/>
          <w:lang w:val="es-ES"/>
        </w:rPr>
        <w:t xml:space="preserve"> </w:t>
      </w:r>
      <w:r w:rsidR="00103EA0" w:rsidRPr="00CA76FC">
        <w:rPr>
          <w:rFonts w:ascii="Arial" w:eastAsia="Arial" w:hAnsi="Arial" w:cs="Arial"/>
          <w:color w:val="000000"/>
          <w:sz w:val="22"/>
          <w:lang w:val="es-ES"/>
        </w:rPr>
        <w:t>periodo de evaluación</w:t>
      </w:r>
      <w:r w:rsidR="00103EA0">
        <w:rPr>
          <w:rFonts w:ascii="Arial" w:eastAsia="Arial" w:hAnsi="Arial" w:cs="Arial"/>
          <w:color w:val="000000"/>
          <w:sz w:val="22"/>
          <w:lang w:val="es-ES"/>
        </w:rPr>
        <w:t>»; y iv) «</w:t>
      </w:r>
      <w:r w:rsidR="00103EA0" w:rsidRPr="00EE7C8B">
        <w:rPr>
          <w:rFonts w:ascii="Arial" w:eastAsia="Arial" w:hAnsi="Arial" w:cs="Arial"/>
          <w:color w:val="000000"/>
          <w:sz w:val="22"/>
          <w:lang w:val="es-ES"/>
        </w:rPr>
        <w:t>Seguimiento y</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verificación durante la</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ejecución del contrato</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de la permanencia del</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número mínimo de</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trabajadores que dio</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lugar a la obtención del</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puntaje adicional en la</w:t>
      </w:r>
      <w:r w:rsidR="00103EA0">
        <w:rPr>
          <w:rFonts w:ascii="Arial" w:eastAsia="Arial" w:hAnsi="Arial" w:cs="Arial"/>
          <w:color w:val="000000"/>
          <w:sz w:val="22"/>
          <w:lang w:val="es-ES"/>
        </w:rPr>
        <w:t xml:space="preserve"> </w:t>
      </w:r>
      <w:r w:rsidR="00103EA0" w:rsidRPr="00EE7C8B">
        <w:rPr>
          <w:rFonts w:ascii="Arial" w:eastAsia="Arial" w:hAnsi="Arial" w:cs="Arial"/>
          <w:color w:val="000000"/>
          <w:sz w:val="22"/>
          <w:lang w:val="es-ES"/>
        </w:rPr>
        <w:t>oferta</w:t>
      </w:r>
      <w:r w:rsidR="00103EA0">
        <w:rPr>
          <w:rFonts w:ascii="Arial" w:eastAsia="Arial" w:hAnsi="Arial" w:cs="Arial"/>
          <w:color w:val="000000"/>
          <w:sz w:val="22"/>
          <w:lang w:val="es-ES"/>
        </w:rPr>
        <w:t>» (cursiva fuera de texto).</w:t>
      </w:r>
    </w:p>
    <w:p w14:paraId="2314E88D" w14:textId="4F26C676" w:rsidR="00837673" w:rsidRDefault="00837673" w:rsidP="000A3B49">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De otro lado, el deber</w:t>
      </w:r>
      <w:r w:rsidR="00AC56F2">
        <w:rPr>
          <w:rFonts w:ascii="Arial" w:eastAsia="Arial" w:hAnsi="Arial" w:cs="Arial"/>
          <w:color w:val="000000"/>
          <w:sz w:val="22"/>
          <w:lang w:val="es-ES"/>
        </w:rPr>
        <w:t xml:space="preserve"> previsto en el numeral 1 del artículo 13 de la Ley 1618 de 2013 y en el artículo 1 del Decreto 392 de 2018 es </w:t>
      </w:r>
      <w:r w:rsidR="00AC56F2" w:rsidRPr="009B6D21">
        <w:rPr>
          <w:rFonts w:ascii="Arial" w:eastAsia="Arial" w:hAnsi="Arial" w:cs="Arial"/>
          <w:i/>
          <w:iCs/>
          <w:color w:val="000000"/>
          <w:sz w:val="22"/>
          <w:lang w:val="es-ES"/>
        </w:rPr>
        <w:t>reglado</w:t>
      </w:r>
      <w:r w:rsidR="00AC56F2">
        <w:rPr>
          <w:rFonts w:ascii="Arial" w:eastAsia="Arial" w:hAnsi="Arial" w:cs="Arial"/>
          <w:color w:val="000000"/>
          <w:sz w:val="22"/>
          <w:lang w:val="es-ES"/>
        </w:rPr>
        <w:t xml:space="preserve">; es decir, no es discrecional y mucho menos algo que aplique por simple «ánimo de liberalidad» de las entidades estatales. </w:t>
      </w:r>
    </w:p>
    <w:p w14:paraId="560C5980" w14:textId="77777777" w:rsidR="00103EA0" w:rsidRDefault="00103EA0" w:rsidP="00103EA0">
      <w:pPr>
        <w:ind w:right="709"/>
        <w:jc w:val="both"/>
        <w:rPr>
          <w:rFonts w:ascii="Arial" w:hAnsi="Arial" w:cs="Arial"/>
          <w:color w:val="000000" w:themeColor="text1"/>
          <w:sz w:val="21"/>
          <w:szCs w:val="21"/>
          <w:lang w:val="es-ES_tradnl"/>
        </w:rPr>
      </w:pPr>
    </w:p>
    <w:p w14:paraId="20ED7148" w14:textId="26F6AF75" w:rsidR="00ED538C" w:rsidRPr="0085790B" w:rsidRDefault="0025316D" w:rsidP="00ED538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ED538C" w:rsidRPr="00F23759">
        <w:rPr>
          <w:rFonts w:ascii="Arial" w:hAnsi="Arial" w:cs="Arial"/>
          <w:color w:val="000000" w:themeColor="text1"/>
          <w:sz w:val="21"/>
          <w:szCs w:val="21"/>
          <w:lang w:val="es-ES_tradnl"/>
        </w:rPr>
        <w:t>Adicionalmente solicito se informe, si al respecto hay alguna incidencia en que el otorgamiento de dicho puntaje adicional NO aplica por omitirse el incentivo en los pliegos de condiciones, o si por el contrario debe aplicarse por ministerio de la Ley aun si en los pliegos no se dice nada al respecto</w:t>
      </w:r>
      <w:r w:rsidR="00ED538C">
        <w:rPr>
          <w:rFonts w:ascii="Arial" w:hAnsi="Arial" w:cs="Arial"/>
          <w:color w:val="000000" w:themeColor="text1"/>
          <w:sz w:val="21"/>
          <w:szCs w:val="21"/>
          <w:lang w:val="es-ES_tradnl"/>
        </w:rPr>
        <w:t>»</w:t>
      </w:r>
      <w:r w:rsidR="00ED538C" w:rsidRPr="0085790B">
        <w:rPr>
          <w:rFonts w:ascii="Arial" w:hAnsi="Arial" w:cs="Arial"/>
          <w:color w:val="000000" w:themeColor="text1"/>
          <w:sz w:val="21"/>
          <w:szCs w:val="21"/>
          <w:lang w:val="es-ES_tradnl"/>
        </w:rPr>
        <w:t>.</w:t>
      </w:r>
    </w:p>
    <w:p w14:paraId="1864F1BB" w14:textId="51DA9ECF" w:rsidR="00FC434C" w:rsidRDefault="00FC434C" w:rsidP="00DF76A2">
      <w:pPr>
        <w:tabs>
          <w:tab w:val="left" w:pos="0"/>
        </w:tabs>
        <w:spacing w:line="276" w:lineRule="auto"/>
        <w:jc w:val="both"/>
        <w:rPr>
          <w:rFonts w:ascii="Arial" w:eastAsia="Calibri" w:hAnsi="Arial" w:cs="Arial"/>
          <w:color w:val="000000" w:themeColor="text1"/>
          <w:sz w:val="22"/>
          <w:lang w:val="es-ES_tradnl"/>
        </w:rPr>
      </w:pPr>
    </w:p>
    <w:p w14:paraId="0CCE6681" w14:textId="2193D0A3" w:rsidR="00B83182" w:rsidRDefault="00B83182" w:rsidP="00B83182">
      <w:pPr>
        <w:spacing w:line="276" w:lineRule="auto"/>
        <w:jc w:val="both"/>
        <w:rPr>
          <w:rFonts w:ascii="Arial" w:eastAsia="Arial" w:hAnsi="Arial" w:cs="Arial"/>
          <w:color w:val="000000"/>
          <w:sz w:val="22"/>
          <w:lang w:val="es-ES"/>
        </w:rPr>
      </w:pPr>
      <w:r>
        <w:rPr>
          <w:rFonts w:ascii="Arial" w:eastAsia="Arial" w:hAnsi="Arial" w:cs="Arial"/>
          <w:color w:val="000000"/>
          <w:sz w:val="22"/>
          <w:lang w:val="es-ES"/>
        </w:rPr>
        <w:t xml:space="preserve">Si bien el artículo 1 del Decreto 392 de 2018 establece un deber </w:t>
      </w:r>
      <w:r w:rsidRPr="00B55857">
        <w:rPr>
          <w:rFonts w:ascii="Arial" w:eastAsia="Arial" w:hAnsi="Arial" w:cs="Arial"/>
          <w:i/>
          <w:iCs/>
          <w:color w:val="000000"/>
          <w:sz w:val="22"/>
          <w:lang w:val="es-ES"/>
        </w:rPr>
        <w:t>reglado</w:t>
      </w:r>
      <w:r>
        <w:rPr>
          <w:rFonts w:ascii="Arial" w:eastAsia="Arial" w:hAnsi="Arial" w:cs="Arial"/>
          <w:color w:val="000000"/>
          <w:sz w:val="22"/>
          <w:lang w:val="es-ES"/>
        </w:rPr>
        <w:t xml:space="preserve">, o sea, </w:t>
      </w:r>
      <w:r w:rsidRPr="00B55857">
        <w:rPr>
          <w:rFonts w:ascii="Arial" w:eastAsia="Arial" w:hAnsi="Arial" w:cs="Arial"/>
          <w:i/>
          <w:iCs/>
          <w:color w:val="000000"/>
          <w:sz w:val="22"/>
          <w:lang w:val="es-ES"/>
        </w:rPr>
        <w:t>no discrecional</w:t>
      </w:r>
      <w:r>
        <w:rPr>
          <w:rFonts w:ascii="Arial" w:eastAsia="Arial" w:hAnsi="Arial" w:cs="Arial"/>
          <w:color w:val="000000"/>
          <w:sz w:val="22"/>
          <w:lang w:val="es-ES"/>
        </w:rPr>
        <w:t>, para las entidades estatales que realicen licitaciones públicas o concursos de méritos, que, por tanto, les impide no incluir el incentivo a favor de personas con discapacidad en el pliego de condiciones, es este acto administrativo el que</w:t>
      </w:r>
      <w:r w:rsidR="00753BAC">
        <w:rPr>
          <w:rFonts w:ascii="Arial" w:eastAsia="Arial" w:hAnsi="Arial" w:cs="Arial"/>
          <w:color w:val="000000"/>
          <w:sz w:val="22"/>
          <w:lang w:val="es-ES"/>
        </w:rPr>
        <w:t>,</w:t>
      </w:r>
      <w:r>
        <w:rPr>
          <w:rFonts w:ascii="Arial" w:eastAsia="Arial" w:hAnsi="Arial" w:cs="Arial"/>
          <w:color w:val="000000"/>
          <w:sz w:val="22"/>
          <w:lang w:val="es-ES"/>
        </w:rPr>
        <w:t xml:space="preserve"> como «ley» del procedimiento de selección, establece los requisitos que deben cumplir los oferentes para acreditar los factores de calificación, así como la metodología para la asignación del puntaje.</w:t>
      </w:r>
    </w:p>
    <w:p w14:paraId="653F1237" w14:textId="0FA2EC8B" w:rsidR="00B83182" w:rsidRDefault="00B83182" w:rsidP="00B83182">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 xml:space="preserve">En consecuencia, la falta de incorporación de dicho incentivo en el pliego de condiciones de la licitación pública y el concurso de méritos representa un incumplimiento de un deber legal y reglamentario; pero en caso de que la entidad estatal haya incurrido en tal omisión en el pliego, porque haya distribuido la totalidad de los puntos en otros factores, sin hacer referencia al incentivo analizado aquí, deberá estarse, en principio, al contenido </w:t>
      </w:r>
      <w:r>
        <w:rPr>
          <w:rFonts w:ascii="Arial" w:eastAsia="Arial" w:hAnsi="Arial" w:cs="Arial"/>
          <w:color w:val="000000"/>
          <w:sz w:val="22"/>
          <w:lang w:val="es-ES"/>
        </w:rPr>
        <w:lastRenderedPageBreak/>
        <w:t>del pliego de condiciones durante la evaluación, pues, como lo ha indicado la Corte Constitucional</w:t>
      </w:r>
      <w:r>
        <w:rPr>
          <w:rStyle w:val="Refdenotaalpie"/>
          <w:rFonts w:ascii="Arial" w:eastAsia="Arial" w:hAnsi="Arial" w:cs="Arial"/>
          <w:color w:val="000000"/>
          <w:sz w:val="22"/>
          <w:lang w:val="es-ES"/>
        </w:rPr>
        <w:footnoteReference w:id="9"/>
      </w:r>
      <w:r>
        <w:rPr>
          <w:rFonts w:ascii="Arial" w:eastAsia="Arial" w:hAnsi="Arial" w:cs="Arial"/>
          <w:color w:val="000000"/>
          <w:sz w:val="22"/>
          <w:lang w:val="es-ES"/>
        </w:rPr>
        <w:t xml:space="preserve"> y lo ratifica el artículo 148 de la Ley 1437 de 2011</w:t>
      </w:r>
      <w:r>
        <w:rPr>
          <w:rStyle w:val="Refdenotaalpie"/>
          <w:rFonts w:ascii="Arial" w:eastAsia="Arial" w:hAnsi="Arial" w:cs="Arial"/>
          <w:color w:val="000000"/>
          <w:sz w:val="22"/>
          <w:lang w:val="es-ES"/>
        </w:rPr>
        <w:footnoteReference w:id="10"/>
      </w:r>
      <w:r>
        <w:rPr>
          <w:rFonts w:ascii="Arial" w:eastAsia="Arial" w:hAnsi="Arial" w:cs="Arial"/>
          <w:color w:val="000000"/>
          <w:sz w:val="22"/>
          <w:lang w:val="es-ES"/>
        </w:rPr>
        <w:t>, la «excepción de ilegalidad» de los actos administrativos –también denominado «control por vía de excepción»–, no procede en sede administrativa, es decir, aplicad</w:t>
      </w:r>
      <w:r w:rsidR="007804FE">
        <w:rPr>
          <w:rFonts w:ascii="Arial" w:eastAsia="Arial" w:hAnsi="Arial" w:cs="Arial"/>
          <w:color w:val="000000"/>
          <w:sz w:val="22"/>
          <w:lang w:val="es-ES"/>
        </w:rPr>
        <w:t>a</w:t>
      </w:r>
      <w:r>
        <w:rPr>
          <w:rFonts w:ascii="Arial" w:eastAsia="Arial" w:hAnsi="Arial" w:cs="Arial"/>
          <w:color w:val="000000"/>
          <w:sz w:val="22"/>
          <w:lang w:val="es-ES"/>
        </w:rPr>
        <w:t xml:space="preserve"> por parte de la misma Administración.</w:t>
      </w:r>
    </w:p>
    <w:p w14:paraId="3FAAC064" w14:textId="31EEAA10" w:rsidR="00B83182" w:rsidRDefault="00B83182" w:rsidP="00B83182">
      <w:pPr>
        <w:spacing w:before="120" w:line="276" w:lineRule="auto"/>
        <w:ind w:firstLine="709"/>
        <w:jc w:val="both"/>
        <w:rPr>
          <w:rFonts w:ascii="Arial" w:eastAsia="Arial" w:hAnsi="Arial" w:cs="Arial"/>
          <w:color w:val="000000"/>
          <w:sz w:val="22"/>
          <w:lang w:val="es-ES"/>
        </w:rPr>
      </w:pPr>
      <w:r>
        <w:rPr>
          <w:rFonts w:ascii="Arial" w:eastAsia="Arial" w:hAnsi="Arial" w:cs="Arial"/>
          <w:color w:val="000000"/>
          <w:sz w:val="22"/>
          <w:lang w:val="es-ES"/>
        </w:rPr>
        <w:t xml:space="preserve">Finalmente, a partir de la naturaleza y el alcance del mandato contenido en el artículo 13 de la Ley 1618 de 2013 y en el artículo 1 del Decreto 392 de 2018, explicados </w:t>
      </w:r>
      <w:r w:rsidR="00A03C54">
        <w:rPr>
          <w:rFonts w:ascii="Arial" w:eastAsia="Arial" w:hAnsi="Arial" w:cs="Arial"/>
          <w:color w:val="000000"/>
          <w:sz w:val="22"/>
          <w:lang w:val="es-ES"/>
        </w:rPr>
        <w:t>en las consideraciones del concepto</w:t>
      </w:r>
      <w:r>
        <w:rPr>
          <w:rFonts w:ascii="Arial" w:eastAsia="Arial" w:hAnsi="Arial" w:cs="Arial"/>
          <w:color w:val="000000"/>
          <w:sz w:val="22"/>
          <w:lang w:val="es-ES"/>
        </w:rPr>
        <w:t xml:space="preserve">, esta Subdirección no considera válido </w:t>
      </w:r>
      <w:r w:rsidR="00A03C54">
        <w:rPr>
          <w:rFonts w:ascii="Arial" w:eastAsia="Arial" w:hAnsi="Arial" w:cs="Arial"/>
          <w:color w:val="000000"/>
          <w:sz w:val="22"/>
          <w:lang w:val="es-ES"/>
        </w:rPr>
        <w:t>otorgar</w:t>
      </w:r>
      <w:r>
        <w:rPr>
          <w:rFonts w:ascii="Arial" w:eastAsia="Arial" w:hAnsi="Arial" w:cs="Arial"/>
          <w:color w:val="000000"/>
          <w:sz w:val="22"/>
          <w:lang w:val="es-ES"/>
        </w:rPr>
        <w:t xml:space="preserve"> directamente el incentivo, acudiendo a la excepción de inconstitucionalidad en contra del pliego de condiciones</w:t>
      </w:r>
      <w:r w:rsidR="00A03C54">
        <w:rPr>
          <w:rFonts w:ascii="Arial" w:eastAsia="Arial" w:hAnsi="Arial" w:cs="Arial"/>
          <w:color w:val="000000"/>
          <w:sz w:val="22"/>
          <w:lang w:val="es-ES"/>
        </w:rPr>
        <w:t xml:space="preserve"> </w:t>
      </w:r>
      <w:r>
        <w:rPr>
          <w:rFonts w:ascii="Arial" w:eastAsia="Arial" w:hAnsi="Arial" w:cs="Arial"/>
          <w:color w:val="000000"/>
          <w:sz w:val="22"/>
          <w:lang w:val="es-ES"/>
        </w:rPr>
        <w:t xml:space="preserve">en caso de que este no lo contemple, al no ser una obligación consagrada directamente en la Constitución, sino en la ley y en el reglamento. Además, aplicar «de plano» el puntaje para incentivar la vinculación de personas con discapacidad, en la instancia de evaluación, o sea, sin que este criterio se haya previsto en el pliego de condiciones –a pesar de que la entidad estatal estaba obligada a hacerlo– podría menoscabar la igualdad de los demás oferentes, porque es posible que algunos no hayan aportado la información para acreditar la vinculación de trabajadores en tal condición, y, ya que se trata de un criterio de evaluación, este no es subsanable.  </w:t>
      </w:r>
    </w:p>
    <w:p w14:paraId="4B0B5526" w14:textId="77777777" w:rsidR="00B83182" w:rsidRPr="00B83182" w:rsidRDefault="00B83182" w:rsidP="00DF76A2">
      <w:pPr>
        <w:tabs>
          <w:tab w:val="left" w:pos="0"/>
        </w:tabs>
        <w:spacing w:line="276" w:lineRule="auto"/>
        <w:jc w:val="both"/>
        <w:rPr>
          <w:rFonts w:ascii="Arial" w:eastAsia="Calibri" w:hAnsi="Arial" w:cs="Arial"/>
          <w:color w:val="000000" w:themeColor="text1"/>
          <w:sz w:val="22"/>
          <w:lang w:val="es-ES"/>
        </w:rPr>
      </w:pPr>
    </w:p>
    <w:p w14:paraId="7B2C921D" w14:textId="676D574B" w:rsidR="00DD5B04" w:rsidRPr="0085790B" w:rsidRDefault="00DD5B04" w:rsidP="00DF76A2">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5790B">
        <w:rPr>
          <w:rFonts w:ascii="Arial" w:hAnsi="Arial" w:cs="Arial"/>
          <w:color w:val="000000" w:themeColor="text1"/>
          <w:sz w:val="22"/>
          <w:szCs w:val="22"/>
          <w:lang w:val="es-ES_tradnl"/>
        </w:rPr>
        <w:t>Atentamente,</w:t>
      </w:r>
    </w:p>
    <w:p w14:paraId="5CBAE239" w14:textId="77777777" w:rsidR="00425C43" w:rsidRPr="0085790B" w:rsidRDefault="00425C43" w:rsidP="00B37657">
      <w:pPr>
        <w:jc w:val="center"/>
        <w:rPr>
          <w:rFonts w:ascii="Arial" w:eastAsia="Times New Roman" w:hAnsi="Arial" w:cs="Arial"/>
          <w:color w:val="000000" w:themeColor="text1"/>
          <w:sz w:val="18"/>
          <w:szCs w:val="20"/>
          <w:lang w:val="es-ES_tradnl" w:eastAsia="es-CO"/>
        </w:rPr>
      </w:pPr>
    </w:p>
    <w:p w14:paraId="49730030" w14:textId="08AF1BDD" w:rsidR="00DD5B04" w:rsidRPr="0085790B" w:rsidRDefault="00980579" w:rsidP="00B37657">
      <w:pPr>
        <w:jc w:val="center"/>
        <w:rPr>
          <w:rFonts w:ascii="Arial" w:eastAsia="Times New Roman" w:hAnsi="Arial" w:cs="Arial"/>
          <w:color w:val="000000" w:themeColor="text1"/>
          <w:sz w:val="18"/>
          <w:szCs w:val="20"/>
          <w:lang w:val="es-ES_tradnl" w:eastAsia="es-CO"/>
        </w:rPr>
      </w:pPr>
      <w:r>
        <w:rPr>
          <w:noProof/>
          <w:lang w:eastAsia="es-CO"/>
        </w:rPr>
        <w:drawing>
          <wp:inline distT="0" distB="0" distL="0" distR="0" wp14:anchorId="40CC9E24" wp14:editId="04DB8F0B">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5790B" w14:paraId="0C7DC5F7" w14:textId="77777777" w:rsidTr="00083F1B">
        <w:trPr>
          <w:trHeight w:val="315"/>
        </w:trPr>
        <w:tc>
          <w:tcPr>
            <w:tcW w:w="812" w:type="dxa"/>
            <w:vAlign w:val="center"/>
            <w:hideMark/>
          </w:tcPr>
          <w:p w14:paraId="5BDB1AC9"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Cristian Andrés Díaz Díez</w:t>
            </w:r>
          </w:p>
          <w:p w14:paraId="240C71FD" w14:textId="31312C95"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Contratista</w:t>
            </w:r>
            <w:r w:rsidR="00FF0050" w:rsidRPr="0085790B">
              <w:rPr>
                <w:rFonts w:ascii="Arial" w:eastAsia="Times New Roman" w:hAnsi="Arial" w:cs="Arial"/>
                <w:color w:val="000000" w:themeColor="text1"/>
                <w:sz w:val="16"/>
                <w:szCs w:val="16"/>
                <w:lang w:val="es-ES_tradnl" w:eastAsia="es-ES"/>
              </w:rPr>
              <w:t xml:space="preserve"> de la </w:t>
            </w:r>
            <w:r w:rsidRPr="0085790B">
              <w:rPr>
                <w:rFonts w:ascii="Arial" w:eastAsia="Times New Roman" w:hAnsi="Arial" w:cs="Arial"/>
                <w:color w:val="000000" w:themeColor="text1"/>
                <w:sz w:val="16"/>
                <w:szCs w:val="16"/>
                <w:lang w:val="es-ES_tradnl" w:eastAsia="es-ES"/>
              </w:rPr>
              <w:t>Subdirección de Gestión Contractual</w:t>
            </w:r>
          </w:p>
        </w:tc>
      </w:tr>
      <w:tr w:rsidR="00DD5B04" w:rsidRPr="0085790B" w14:paraId="2F8FD650" w14:textId="77777777" w:rsidTr="00083F1B">
        <w:trPr>
          <w:trHeight w:val="330"/>
        </w:trPr>
        <w:tc>
          <w:tcPr>
            <w:tcW w:w="812" w:type="dxa"/>
            <w:vAlign w:val="center"/>
            <w:hideMark/>
          </w:tcPr>
          <w:p w14:paraId="50203A0B"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13560687" w:rsidR="006A55EE" w:rsidRPr="0085790B" w:rsidRDefault="00451A52" w:rsidP="006A55E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30B3228" w14:textId="6AB3E72B" w:rsidR="00DD5B04" w:rsidRPr="0085790B" w:rsidRDefault="00626EE3"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w:t>
            </w:r>
            <w:r w:rsidR="0079146D">
              <w:rPr>
                <w:rFonts w:ascii="Arial" w:eastAsia="Times New Roman" w:hAnsi="Arial" w:cs="Arial"/>
                <w:color w:val="000000" w:themeColor="text1"/>
                <w:sz w:val="16"/>
                <w:szCs w:val="16"/>
                <w:lang w:val="es-ES_tradnl" w:eastAsia="es-ES"/>
              </w:rPr>
              <w:t>T</w:t>
            </w:r>
            <w:r>
              <w:rPr>
                <w:rFonts w:ascii="Arial" w:eastAsia="Times New Roman" w:hAnsi="Arial" w:cs="Arial"/>
                <w:color w:val="000000" w:themeColor="text1"/>
                <w:sz w:val="16"/>
                <w:szCs w:val="16"/>
                <w:lang w:val="es-ES_tradnl" w:eastAsia="es-ES"/>
              </w:rPr>
              <w:t xml:space="preserve">1 – Grado 15 </w:t>
            </w:r>
            <w:r w:rsidRPr="0085790B">
              <w:rPr>
                <w:rFonts w:ascii="Arial" w:eastAsia="Times New Roman" w:hAnsi="Arial" w:cs="Arial"/>
                <w:color w:val="000000" w:themeColor="text1"/>
                <w:sz w:val="16"/>
                <w:szCs w:val="16"/>
                <w:lang w:val="es-ES_tradnl" w:eastAsia="es-ES"/>
              </w:rPr>
              <w:t>Subdirección de Gestión Contractual</w:t>
            </w:r>
          </w:p>
        </w:tc>
      </w:tr>
      <w:tr w:rsidR="00DD5B04" w:rsidRPr="0085790B" w14:paraId="0FCBCA4A" w14:textId="77777777" w:rsidTr="00083F1B">
        <w:trPr>
          <w:trHeight w:val="300"/>
        </w:trPr>
        <w:tc>
          <w:tcPr>
            <w:tcW w:w="812" w:type="dxa"/>
            <w:vAlign w:val="center"/>
            <w:hideMark/>
          </w:tcPr>
          <w:p w14:paraId="3C1D943A"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7777777" w:rsidR="006A55EE" w:rsidRPr="0085790B" w:rsidRDefault="006A55EE"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 xml:space="preserve">Andrés Ricardo Mancipe González </w:t>
            </w:r>
          </w:p>
          <w:p w14:paraId="1ADC483B" w14:textId="0BF77DE8"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Subdirector de Gestión Contractual</w:t>
            </w:r>
            <w:r w:rsidR="006A55EE" w:rsidRPr="0085790B">
              <w:rPr>
                <w:rFonts w:ascii="Arial" w:eastAsia="Times New Roman" w:hAnsi="Arial" w:cs="Arial"/>
                <w:color w:val="000000" w:themeColor="text1"/>
                <w:sz w:val="16"/>
                <w:szCs w:val="16"/>
                <w:lang w:val="es-ES_tradnl" w:eastAsia="es-ES"/>
              </w:rPr>
              <w:t xml:space="preserve"> (E)</w:t>
            </w:r>
          </w:p>
        </w:tc>
      </w:tr>
    </w:tbl>
    <w:p w14:paraId="35B56F46" w14:textId="77777777" w:rsidR="00746E08" w:rsidRPr="0085790B" w:rsidRDefault="00746E08" w:rsidP="00215B8E">
      <w:pPr>
        <w:jc w:val="both"/>
        <w:rPr>
          <w:rFonts w:ascii="Arial" w:hAnsi="Arial" w:cs="Arial"/>
          <w:lang w:val="es-ES_tradnl"/>
        </w:rPr>
      </w:pPr>
    </w:p>
    <w:sectPr w:rsidR="00746E08" w:rsidRPr="0085790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15E0F" w14:textId="77777777" w:rsidR="00B36B05" w:rsidRDefault="00B36B05">
      <w:r>
        <w:separator/>
      </w:r>
    </w:p>
  </w:endnote>
  <w:endnote w:type="continuationSeparator" w:id="0">
    <w:p w14:paraId="6FDC93C2" w14:textId="77777777" w:rsidR="00B36B05" w:rsidRDefault="00B36B05">
      <w:r>
        <w:continuationSeparator/>
      </w:r>
    </w:p>
  </w:endnote>
  <w:endnote w:type="continuationNotice" w:id="1">
    <w:p w14:paraId="107609AF" w14:textId="77777777" w:rsidR="00B36B05" w:rsidRDefault="00B36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F528" w14:textId="77777777" w:rsidR="00B36B05" w:rsidRDefault="00B36B05">
      <w:r>
        <w:separator/>
      </w:r>
    </w:p>
  </w:footnote>
  <w:footnote w:type="continuationSeparator" w:id="0">
    <w:p w14:paraId="071E595C" w14:textId="77777777" w:rsidR="00B36B05" w:rsidRDefault="00B36B05">
      <w:r>
        <w:continuationSeparator/>
      </w:r>
    </w:p>
  </w:footnote>
  <w:footnote w:type="continuationNotice" w:id="1">
    <w:p w14:paraId="46BC98DC" w14:textId="77777777" w:rsidR="00B36B05" w:rsidRDefault="00B36B05"/>
  </w:footnote>
  <w:footnote w:id="2">
    <w:p w14:paraId="3122D349" w14:textId="77777777" w:rsidR="00477C5F" w:rsidRPr="00421E00" w:rsidRDefault="00477C5F" w:rsidP="00421E00">
      <w:pPr>
        <w:pStyle w:val="Textonotapie"/>
        <w:ind w:firstLine="709"/>
        <w:jc w:val="both"/>
        <w:rPr>
          <w:rFonts w:ascii="Arial" w:hAnsi="Arial" w:cs="Arial"/>
          <w:sz w:val="19"/>
          <w:szCs w:val="19"/>
        </w:rPr>
      </w:pPr>
      <w:r w:rsidRPr="00421E00">
        <w:rPr>
          <w:rStyle w:val="Refdenotaalpie"/>
          <w:rFonts w:ascii="Arial" w:hAnsi="Arial" w:cs="Arial"/>
          <w:sz w:val="19"/>
          <w:szCs w:val="19"/>
        </w:rPr>
        <w:footnoteRef/>
      </w:r>
      <w:r w:rsidRPr="00421E00">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20105F87" w14:textId="77777777" w:rsidR="00477C5F" w:rsidRPr="00421E00" w:rsidRDefault="00477C5F" w:rsidP="00421E00">
      <w:pPr>
        <w:pStyle w:val="Textonotapie"/>
        <w:ind w:firstLine="709"/>
        <w:jc w:val="both"/>
        <w:rPr>
          <w:rFonts w:ascii="Arial" w:hAnsi="Arial" w:cs="Arial"/>
          <w:sz w:val="19"/>
          <w:szCs w:val="19"/>
          <w:lang w:val="es-ES"/>
        </w:rPr>
      </w:pPr>
    </w:p>
  </w:footnote>
  <w:footnote w:id="3">
    <w:p w14:paraId="12DFEF31" w14:textId="77777777" w:rsidR="00A7723B" w:rsidRPr="00421E00" w:rsidRDefault="00A7723B" w:rsidP="00421E00">
      <w:pPr>
        <w:pStyle w:val="Textonotapie"/>
        <w:ind w:firstLine="709"/>
        <w:jc w:val="both"/>
        <w:rPr>
          <w:rFonts w:ascii="Arial" w:hAnsi="Arial" w:cs="Arial"/>
          <w:sz w:val="19"/>
          <w:szCs w:val="19"/>
          <w:lang w:val="es-ES"/>
        </w:rPr>
      </w:pPr>
      <w:r w:rsidRPr="00421E00">
        <w:rPr>
          <w:rStyle w:val="Refdenotaalpie"/>
          <w:rFonts w:ascii="Arial" w:hAnsi="Arial" w:cs="Arial"/>
          <w:sz w:val="19"/>
          <w:szCs w:val="19"/>
        </w:rPr>
        <w:footnoteRef/>
      </w:r>
      <w:r w:rsidRPr="00421E00">
        <w:rPr>
          <w:rFonts w:ascii="Arial" w:hAnsi="Arial" w:cs="Arial"/>
          <w:sz w:val="19"/>
          <w:szCs w:val="19"/>
        </w:rPr>
        <w:t xml:space="preserve"> </w:t>
      </w:r>
      <w:r w:rsidRPr="00421E00">
        <w:rPr>
          <w:rFonts w:ascii="Arial" w:hAnsi="Arial" w:cs="Arial"/>
          <w:sz w:val="19"/>
          <w:szCs w:val="19"/>
          <w:lang w:val="es-ES"/>
        </w:rPr>
        <w:t xml:space="preserve">Disponible en el siguiente sitio web: </w:t>
      </w:r>
    </w:p>
    <w:p w14:paraId="246E0DDC" w14:textId="230300FE" w:rsidR="00A7723B" w:rsidRDefault="00A7723B" w:rsidP="00421E00">
      <w:pPr>
        <w:pStyle w:val="Textonotapie"/>
        <w:ind w:firstLine="709"/>
        <w:jc w:val="both"/>
        <w:rPr>
          <w:rFonts w:ascii="Arial" w:hAnsi="Arial" w:cs="Arial"/>
          <w:sz w:val="19"/>
          <w:szCs w:val="19"/>
          <w:lang w:val="es-ES"/>
        </w:rPr>
      </w:pPr>
      <w:r w:rsidRPr="00421E00">
        <w:rPr>
          <w:rFonts w:ascii="Arial" w:hAnsi="Arial" w:cs="Arial"/>
          <w:sz w:val="19"/>
          <w:szCs w:val="19"/>
          <w:lang w:val="es-ES"/>
        </w:rPr>
        <w:t>https://www.colombiacompra.gov.co/sites/cce_public/files/cce_documents/cce_manual_manejo_incentivos.pdf</w:t>
      </w:r>
    </w:p>
    <w:p w14:paraId="4549C76C" w14:textId="77777777" w:rsidR="003F6181" w:rsidRPr="00421E00" w:rsidRDefault="003F6181" w:rsidP="00421E00">
      <w:pPr>
        <w:pStyle w:val="Textonotapie"/>
        <w:ind w:firstLine="709"/>
        <w:jc w:val="both"/>
        <w:rPr>
          <w:rFonts w:ascii="Arial" w:hAnsi="Arial" w:cs="Arial"/>
          <w:sz w:val="19"/>
          <w:szCs w:val="19"/>
          <w:lang w:val="es-ES"/>
        </w:rPr>
      </w:pPr>
    </w:p>
  </w:footnote>
  <w:footnote w:id="4">
    <w:p w14:paraId="74928B7D" w14:textId="2FBD35EF" w:rsidR="00613191" w:rsidRDefault="00613191" w:rsidP="00421E00">
      <w:pPr>
        <w:pStyle w:val="Textonotapie"/>
        <w:ind w:firstLine="709"/>
        <w:jc w:val="both"/>
        <w:rPr>
          <w:rFonts w:ascii="Arial" w:hAnsi="Arial" w:cs="Arial"/>
          <w:sz w:val="19"/>
          <w:szCs w:val="19"/>
          <w:lang w:val="es-ES"/>
        </w:rPr>
      </w:pPr>
      <w:r w:rsidRPr="00421E00">
        <w:rPr>
          <w:rStyle w:val="Refdenotaalpie"/>
          <w:rFonts w:ascii="Arial" w:hAnsi="Arial" w:cs="Arial"/>
          <w:sz w:val="19"/>
          <w:szCs w:val="19"/>
        </w:rPr>
        <w:footnoteRef/>
      </w:r>
      <w:r w:rsidRPr="00421E00">
        <w:rPr>
          <w:rFonts w:ascii="Arial" w:hAnsi="Arial" w:cs="Arial"/>
          <w:sz w:val="19"/>
          <w:szCs w:val="19"/>
        </w:rPr>
        <w:t xml:space="preserve"> </w:t>
      </w:r>
      <w:r w:rsidRPr="00421E00">
        <w:rPr>
          <w:rFonts w:ascii="Arial" w:hAnsi="Arial" w:cs="Arial"/>
          <w:sz w:val="19"/>
          <w:szCs w:val="19"/>
          <w:lang w:val="es-ES"/>
        </w:rPr>
        <w:t>Ibídem.</w:t>
      </w:r>
    </w:p>
    <w:p w14:paraId="08CAE872" w14:textId="77777777" w:rsidR="003F6181" w:rsidRPr="00421E00" w:rsidRDefault="003F6181" w:rsidP="00421E00">
      <w:pPr>
        <w:pStyle w:val="Textonotapie"/>
        <w:ind w:firstLine="709"/>
        <w:jc w:val="both"/>
        <w:rPr>
          <w:rFonts w:ascii="Arial" w:hAnsi="Arial" w:cs="Arial"/>
          <w:sz w:val="19"/>
          <w:szCs w:val="19"/>
          <w:lang w:val="es-ES"/>
        </w:rPr>
      </w:pPr>
    </w:p>
  </w:footnote>
  <w:footnote w:id="5">
    <w:p w14:paraId="1A3016F2" w14:textId="6B440FFD" w:rsidR="00D40DB0" w:rsidRDefault="00D40DB0" w:rsidP="00421E00">
      <w:pPr>
        <w:pStyle w:val="Textonotapie"/>
        <w:ind w:firstLine="709"/>
        <w:jc w:val="both"/>
        <w:rPr>
          <w:rFonts w:ascii="Arial" w:hAnsi="Arial" w:cs="Arial"/>
          <w:sz w:val="19"/>
          <w:szCs w:val="19"/>
        </w:rPr>
      </w:pPr>
      <w:r w:rsidRPr="00421E00">
        <w:rPr>
          <w:rStyle w:val="Refdenotaalpie"/>
          <w:rFonts w:ascii="Arial" w:hAnsi="Arial" w:cs="Arial"/>
          <w:sz w:val="19"/>
          <w:szCs w:val="19"/>
        </w:rPr>
        <w:footnoteRef/>
      </w:r>
      <w:r w:rsidRPr="00421E00">
        <w:rPr>
          <w:rFonts w:ascii="Arial" w:hAnsi="Arial" w:cs="Arial"/>
          <w:sz w:val="19"/>
          <w:szCs w:val="19"/>
        </w:rPr>
        <w:t xml:space="preserve"> Sentencia C-037 de 2000, M.P. Vladimiro Naranjo Mesa.</w:t>
      </w:r>
    </w:p>
    <w:p w14:paraId="2D264E0E" w14:textId="77777777" w:rsidR="003F6181" w:rsidRPr="00421E00" w:rsidRDefault="003F6181" w:rsidP="00421E00">
      <w:pPr>
        <w:pStyle w:val="Textonotapie"/>
        <w:ind w:firstLine="709"/>
        <w:jc w:val="both"/>
        <w:rPr>
          <w:rFonts w:ascii="Arial" w:hAnsi="Arial" w:cs="Arial"/>
          <w:sz w:val="19"/>
          <w:szCs w:val="19"/>
        </w:rPr>
      </w:pPr>
    </w:p>
  </w:footnote>
  <w:footnote w:id="6">
    <w:p w14:paraId="00A3FD29" w14:textId="6DD3803B" w:rsidR="006B3E19" w:rsidRPr="00421E00" w:rsidRDefault="006B3E19" w:rsidP="00421E00">
      <w:pPr>
        <w:pStyle w:val="Textonotapie"/>
        <w:ind w:firstLine="709"/>
        <w:jc w:val="both"/>
        <w:rPr>
          <w:rFonts w:ascii="Arial" w:hAnsi="Arial" w:cs="Arial"/>
          <w:sz w:val="19"/>
          <w:szCs w:val="19"/>
          <w:lang w:val="es-ES"/>
        </w:rPr>
      </w:pPr>
      <w:r w:rsidRPr="00421E00">
        <w:rPr>
          <w:rStyle w:val="Refdenotaalpie"/>
          <w:rFonts w:ascii="Arial" w:hAnsi="Arial" w:cs="Arial"/>
          <w:sz w:val="19"/>
          <w:szCs w:val="19"/>
        </w:rPr>
        <w:footnoteRef/>
      </w:r>
      <w:r w:rsidRPr="00421E00">
        <w:rPr>
          <w:rFonts w:ascii="Arial" w:hAnsi="Arial" w:cs="Arial"/>
          <w:sz w:val="19"/>
          <w:szCs w:val="19"/>
        </w:rPr>
        <w:t xml:space="preserve"> Esta norma establece: </w:t>
      </w:r>
      <w:r w:rsidRPr="00421E00">
        <w:rPr>
          <w:rFonts w:ascii="Arial" w:hAnsi="Arial" w:cs="Arial"/>
          <w:sz w:val="19"/>
          <w:szCs w:val="19"/>
          <w:lang w:val="es-ES"/>
        </w:rPr>
        <w:t>«En los procesos que se adelanten ante la Jurisdicción de lo Contencioso Administrativo, el juez podrá, de oficio o a petición de parte, inaplicar con efectos interpartes los actos administrativos cuando vulneren la Constitución Política o la ley.</w:t>
      </w:r>
    </w:p>
    <w:p w14:paraId="7127AC4A" w14:textId="0FED8973" w:rsidR="006B3E19" w:rsidRPr="00421E00" w:rsidRDefault="006B3E19" w:rsidP="00421E00">
      <w:pPr>
        <w:pStyle w:val="Textonotapie"/>
        <w:ind w:firstLine="709"/>
        <w:jc w:val="both"/>
        <w:rPr>
          <w:rFonts w:ascii="Arial" w:hAnsi="Arial" w:cs="Arial"/>
          <w:sz w:val="19"/>
          <w:szCs w:val="19"/>
          <w:lang w:val="es-CO"/>
        </w:rPr>
      </w:pPr>
      <w:r w:rsidRPr="00421E00">
        <w:rPr>
          <w:rFonts w:ascii="Arial" w:hAnsi="Arial" w:cs="Arial"/>
          <w:sz w:val="19"/>
          <w:szCs w:val="19"/>
          <w:lang w:val="es-ES"/>
        </w:rPr>
        <w:t>La decisión consistente en inaplicar un acto administrativo sólo producirá efectos en relación con el proceso dentro del cual se adopte».</w:t>
      </w:r>
    </w:p>
  </w:footnote>
  <w:footnote w:id="7">
    <w:p w14:paraId="6EE12F6F" w14:textId="77777777" w:rsidR="00DC00B4" w:rsidRPr="00421E00" w:rsidRDefault="00DC00B4" w:rsidP="00421E00">
      <w:pPr>
        <w:pStyle w:val="Textonotapie"/>
        <w:ind w:firstLine="709"/>
        <w:jc w:val="both"/>
        <w:rPr>
          <w:rFonts w:ascii="Arial" w:hAnsi="Arial" w:cs="Arial"/>
          <w:sz w:val="19"/>
          <w:szCs w:val="19"/>
          <w:lang w:val="es-CO"/>
        </w:rPr>
      </w:pPr>
      <w:r w:rsidRPr="00421E00">
        <w:rPr>
          <w:rStyle w:val="Refdenotaalpie"/>
          <w:rFonts w:ascii="Arial" w:hAnsi="Arial" w:cs="Arial"/>
          <w:sz w:val="19"/>
          <w:szCs w:val="19"/>
        </w:rPr>
        <w:footnoteRef/>
      </w:r>
      <w:r w:rsidRPr="00421E00">
        <w:rPr>
          <w:rFonts w:ascii="Arial" w:hAnsi="Arial" w:cs="Arial"/>
          <w:sz w:val="19"/>
          <w:szCs w:val="19"/>
        </w:rPr>
        <w:t xml:space="preserve"> </w:t>
      </w:r>
      <w:r w:rsidRPr="00421E00">
        <w:rPr>
          <w:rFonts w:ascii="Arial" w:hAnsi="Arial" w:cs="Arial"/>
          <w:sz w:val="19"/>
          <w:szCs w:val="19"/>
          <w:lang w:val="es-ES"/>
        </w:rPr>
        <w:t>«La Constitución es norma de normas. En todo caso de incompatibilidad entre la Constitución y la ley u otra norma jurídica, se aplicarán las disposiciones constitucionales».</w:t>
      </w:r>
    </w:p>
  </w:footnote>
  <w:footnote w:id="8">
    <w:p w14:paraId="3DA6967A" w14:textId="59EE1B05" w:rsidR="00F428B1" w:rsidRPr="00421E00" w:rsidRDefault="00F428B1" w:rsidP="00421E00">
      <w:pPr>
        <w:pStyle w:val="Textonotapie"/>
        <w:ind w:firstLine="709"/>
        <w:jc w:val="both"/>
        <w:rPr>
          <w:rFonts w:ascii="Arial" w:hAnsi="Arial" w:cs="Arial"/>
          <w:sz w:val="19"/>
          <w:szCs w:val="19"/>
          <w:lang w:val="es-CO"/>
        </w:rPr>
      </w:pPr>
      <w:r w:rsidRPr="00421E00">
        <w:rPr>
          <w:rStyle w:val="Refdenotaalpie"/>
          <w:rFonts w:ascii="Arial" w:hAnsi="Arial" w:cs="Arial"/>
          <w:sz w:val="19"/>
          <w:szCs w:val="19"/>
        </w:rPr>
        <w:footnoteRef/>
      </w:r>
      <w:r w:rsidRPr="00421E00">
        <w:rPr>
          <w:rFonts w:ascii="Arial" w:hAnsi="Arial" w:cs="Arial"/>
          <w:sz w:val="19"/>
          <w:szCs w:val="19"/>
        </w:rPr>
        <w:t xml:space="preserve"> </w:t>
      </w:r>
      <w:r w:rsidRPr="00421E00">
        <w:rPr>
          <w:rFonts w:ascii="Arial" w:hAnsi="Arial" w:cs="Arial"/>
          <w:sz w:val="19"/>
          <w:szCs w:val="19"/>
          <w:lang w:val="es-ES"/>
        </w:rPr>
        <w:t>En efecto, el</w:t>
      </w:r>
      <w:r w:rsidR="00953018" w:rsidRPr="00421E00">
        <w:rPr>
          <w:rFonts w:ascii="Arial" w:hAnsi="Arial" w:cs="Arial"/>
          <w:sz w:val="19"/>
          <w:szCs w:val="19"/>
          <w:lang w:val="es-ES"/>
        </w:rPr>
        <w:t xml:space="preserve"> parágrafo 1º del artículo 5 de la Ley 1150 de 2007</w:t>
      </w:r>
      <w:r w:rsidR="001F1863">
        <w:rPr>
          <w:rFonts w:ascii="Arial" w:hAnsi="Arial" w:cs="Arial"/>
          <w:sz w:val="19"/>
          <w:szCs w:val="19"/>
          <w:lang w:val="es-ES"/>
        </w:rPr>
        <w:t xml:space="preserve">, </w:t>
      </w:r>
      <w:r w:rsidR="001F1863" w:rsidRPr="001F1863">
        <w:rPr>
          <w:rFonts w:ascii="Arial" w:hAnsi="Arial" w:cs="Arial"/>
          <w:sz w:val="19"/>
          <w:szCs w:val="19"/>
          <w:lang w:val="es-ES"/>
        </w:rPr>
        <w:t>modificado por el artículo 5 de la Ley 1882 de 2018</w:t>
      </w:r>
      <w:r w:rsidR="001F1863">
        <w:rPr>
          <w:rFonts w:ascii="Arial" w:hAnsi="Arial" w:cs="Arial"/>
          <w:sz w:val="19"/>
          <w:szCs w:val="19"/>
          <w:lang w:val="es-ES"/>
        </w:rPr>
        <w:t xml:space="preserve">, </w:t>
      </w:r>
      <w:r w:rsidR="00953018" w:rsidRPr="00421E00">
        <w:rPr>
          <w:rFonts w:ascii="Arial" w:hAnsi="Arial" w:cs="Arial"/>
          <w:sz w:val="19"/>
          <w:szCs w:val="19"/>
          <w:lang w:val="es-ES"/>
        </w:rPr>
        <w:t xml:space="preserve">solo permite la subsanabilidad respecto de </w:t>
      </w:r>
      <w:r w:rsidR="00421E00" w:rsidRPr="00421E00">
        <w:rPr>
          <w:rFonts w:ascii="Arial" w:hAnsi="Arial" w:cs="Arial"/>
          <w:sz w:val="19"/>
          <w:szCs w:val="19"/>
          <w:lang w:val="es-ES"/>
        </w:rPr>
        <w:t>«todos aquellos requisitos de la propuesta que no afecten la asignación de puntaje».</w:t>
      </w:r>
    </w:p>
  </w:footnote>
  <w:footnote w:id="9">
    <w:p w14:paraId="14A39233" w14:textId="701C66FD" w:rsidR="00B83182" w:rsidRDefault="00B83182" w:rsidP="00B83182">
      <w:pPr>
        <w:pStyle w:val="Textonotapie"/>
        <w:ind w:firstLine="709"/>
        <w:jc w:val="both"/>
        <w:rPr>
          <w:rFonts w:ascii="Arial" w:hAnsi="Arial" w:cs="Arial"/>
          <w:sz w:val="19"/>
          <w:szCs w:val="19"/>
        </w:rPr>
      </w:pPr>
      <w:r w:rsidRPr="00421E00">
        <w:rPr>
          <w:rStyle w:val="Refdenotaalpie"/>
          <w:rFonts w:ascii="Arial" w:hAnsi="Arial" w:cs="Arial"/>
          <w:sz w:val="19"/>
          <w:szCs w:val="19"/>
        </w:rPr>
        <w:footnoteRef/>
      </w:r>
      <w:r w:rsidRPr="00421E00">
        <w:rPr>
          <w:rFonts w:ascii="Arial" w:hAnsi="Arial" w:cs="Arial"/>
          <w:sz w:val="19"/>
          <w:szCs w:val="19"/>
        </w:rPr>
        <w:t xml:space="preserve"> Sentencia C-037 de 2000, M.P. Vladimiro Naranjo Mesa.</w:t>
      </w:r>
    </w:p>
    <w:p w14:paraId="0CA7F8DD" w14:textId="77777777" w:rsidR="003F6181" w:rsidRPr="00421E00" w:rsidRDefault="003F6181" w:rsidP="00B83182">
      <w:pPr>
        <w:pStyle w:val="Textonotapie"/>
        <w:ind w:firstLine="709"/>
        <w:jc w:val="both"/>
        <w:rPr>
          <w:rFonts w:ascii="Arial" w:hAnsi="Arial" w:cs="Arial"/>
          <w:sz w:val="19"/>
          <w:szCs w:val="19"/>
        </w:rPr>
      </w:pPr>
    </w:p>
  </w:footnote>
  <w:footnote w:id="10">
    <w:p w14:paraId="622C6825" w14:textId="77777777" w:rsidR="00B83182" w:rsidRPr="00421E00" w:rsidRDefault="00B83182" w:rsidP="00B83182">
      <w:pPr>
        <w:pStyle w:val="Textonotapie"/>
        <w:ind w:firstLine="709"/>
        <w:jc w:val="both"/>
        <w:rPr>
          <w:rFonts w:ascii="Arial" w:hAnsi="Arial" w:cs="Arial"/>
          <w:sz w:val="19"/>
          <w:szCs w:val="19"/>
          <w:lang w:val="es-ES"/>
        </w:rPr>
      </w:pPr>
      <w:r w:rsidRPr="00421E00">
        <w:rPr>
          <w:rStyle w:val="Refdenotaalpie"/>
          <w:rFonts w:ascii="Arial" w:hAnsi="Arial" w:cs="Arial"/>
          <w:sz w:val="19"/>
          <w:szCs w:val="19"/>
        </w:rPr>
        <w:footnoteRef/>
      </w:r>
      <w:r w:rsidRPr="00421E00">
        <w:rPr>
          <w:rFonts w:ascii="Arial" w:hAnsi="Arial" w:cs="Arial"/>
          <w:sz w:val="19"/>
          <w:szCs w:val="19"/>
        </w:rPr>
        <w:t xml:space="preserve"> Esta norma establece: </w:t>
      </w:r>
      <w:r w:rsidRPr="00421E00">
        <w:rPr>
          <w:rFonts w:ascii="Arial" w:hAnsi="Arial" w:cs="Arial"/>
          <w:sz w:val="19"/>
          <w:szCs w:val="19"/>
          <w:lang w:val="es-ES"/>
        </w:rPr>
        <w:t>«En los procesos que se adelanten ante la Jurisdicción de lo Contencioso Administrativo, el juez podrá, de oficio o a petición de parte, inaplicar con efectos interpartes los actos administrativos cuando vulneren la Constitución Política o la ley.</w:t>
      </w:r>
    </w:p>
    <w:p w14:paraId="5CA4476E" w14:textId="77777777" w:rsidR="00B83182" w:rsidRPr="00421E00" w:rsidRDefault="00B83182" w:rsidP="00B83182">
      <w:pPr>
        <w:pStyle w:val="Textonotapie"/>
        <w:ind w:firstLine="709"/>
        <w:jc w:val="both"/>
        <w:rPr>
          <w:rFonts w:ascii="Arial" w:hAnsi="Arial" w:cs="Arial"/>
          <w:sz w:val="19"/>
          <w:szCs w:val="19"/>
          <w:lang w:val="es-CO"/>
        </w:rPr>
      </w:pPr>
      <w:r w:rsidRPr="00421E00">
        <w:rPr>
          <w:rFonts w:ascii="Arial" w:hAnsi="Arial" w:cs="Arial"/>
          <w:sz w:val="19"/>
          <w:szCs w:val="19"/>
          <w:lang w:val="es-ES"/>
        </w:rPr>
        <w:t>La decisión consistente en inaplicar un acto administrativo sólo producirá efectos en relación con el proceso dentro del cual se adopte».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0A"/>
    <w:rsid w:val="00006081"/>
    <w:rsid w:val="00007750"/>
    <w:rsid w:val="000077FD"/>
    <w:rsid w:val="00007E37"/>
    <w:rsid w:val="00010C40"/>
    <w:rsid w:val="00011DCC"/>
    <w:rsid w:val="00012B9E"/>
    <w:rsid w:val="00013C6B"/>
    <w:rsid w:val="0001406B"/>
    <w:rsid w:val="00014624"/>
    <w:rsid w:val="00015B44"/>
    <w:rsid w:val="00016081"/>
    <w:rsid w:val="000165AC"/>
    <w:rsid w:val="00016651"/>
    <w:rsid w:val="000171A2"/>
    <w:rsid w:val="00017B65"/>
    <w:rsid w:val="00020158"/>
    <w:rsid w:val="000207E0"/>
    <w:rsid w:val="00020F8F"/>
    <w:rsid w:val="00021A95"/>
    <w:rsid w:val="0002256F"/>
    <w:rsid w:val="00023DAE"/>
    <w:rsid w:val="000263F0"/>
    <w:rsid w:val="00026407"/>
    <w:rsid w:val="00026608"/>
    <w:rsid w:val="000315E1"/>
    <w:rsid w:val="0003236E"/>
    <w:rsid w:val="0003339A"/>
    <w:rsid w:val="000341F2"/>
    <w:rsid w:val="00036E03"/>
    <w:rsid w:val="00041029"/>
    <w:rsid w:val="0004149B"/>
    <w:rsid w:val="00042961"/>
    <w:rsid w:val="00042C25"/>
    <w:rsid w:val="00042D03"/>
    <w:rsid w:val="00043086"/>
    <w:rsid w:val="000430A0"/>
    <w:rsid w:val="0004418C"/>
    <w:rsid w:val="00044204"/>
    <w:rsid w:val="000449D4"/>
    <w:rsid w:val="00046A63"/>
    <w:rsid w:val="00046C09"/>
    <w:rsid w:val="0004716A"/>
    <w:rsid w:val="00047385"/>
    <w:rsid w:val="000504DE"/>
    <w:rsid w:val="00051074"/>
    <w:rsid w:val="00052EA0"/>
    <w:rsid w:val="0005474D"/>
    <w:rsid w:val="00055CB9"/>
    <w:rsid w:val="0005702F"/>
    <w:rsid w:val="00061D06"/>
    <w:rsid w:val="00062CDD"/>
    <w:rsid w:val="00064CAE"/>
    <w:rsid w:val="00064DB7"/>
    <w:rsid w:val="00064FA7"/>
    <w:rsid w:val="00065195"/>
    <w:rsid w:val="00070AF1"/>
    <w:rsid w:val="0007254F"/>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79CF"/>
    <w:rsid w:val="000A03C8"/>
    <w:rsid w:val="000A0861"/>
    <w:rsid w:val="000A12DB"/>
    <w:rsid w:val="000A17C8"/>
    <w:rsid w:val="000A2128"/>
    <w:rsid w:val="000A362F"/>
    <w:rsid w:val="000A3B49"/>
    <w:rsid w:val="000A5F97"/>
    <w:rsid w:val="000A648E"/>
    <w:rsid w:val="000A73BB"/>
    <w:rsid w:val="000A7EF4"/>
    <w:rsid w:val="000B0A15"/>
    <w:rsid w:val="000B103F"/>
    <w:rsid w:val="000B1437"/>
    <w:rsid w:val="000B1470"/>
    <w:rsid w:val="000B2B86"/>
    <w:rsid w:val="000B3051"/>
    <w:rsid w:val="000B419B"/>
    <w:rsid w:val="000B5781"/>
    <w:rsid w:val="000C0185"/>
    <w:rsid w:val="000C128D"/>
    <w:rsid w:val="000C1D4B"/>
    <w:rsid w:val="000C3B77"/>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22CF"/>
    <w:rsid w:val="000E30AC"/>
    <w:rsid w:val="000E3B46"/>
    <w:rsid w:val="000E3E11"/>
    <w:rsid w:val="000E4596"/>
    <w:rsid w:val="000E5768"/>
    <w:rsid w:val="000E6139"/>
    <w:rsid w:val="000E6BE1"/>
    <w:rsid w:val="000E7E0B"/>
    <w:rsid w:val="000F078A"/>
    <w:rsid w:val="000F122D"/>
    <w:rsid w:val="000F1450"/>
    <w:rsid w:val="000F14E8"/>
    <w:rsid w:val="000F1BBD"/>
    <w:rsid w:val="000F4403"/>
    <w:rsid w:val="000F4E17"/>
    <w:rsid w:val="000F6578"/>
    <w:rsid w:val="000F7E8F"/>
    <w:rsid w:val="001000FB"/>
    <w:rsid w:val="00102605"/>
    <w:rsid w:val="00103915"/>
    <w:rsid w:val="00103EA0"/>
    <w:rsid w:val="001051E5"/>
    <w:rsid w:val="00105A74"/>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695C"/>
    <w:rsid w:val="00136BF7"/>
    <w:rsid w:val="00137FFA"/>
    <w:rsid w:val="00140109"/>
    <w:rsid w:val="0014029B"/>
    <w:rsid w:val="00140A4F"/>
    <w:rsid w:val="001413AB"/>
    <w:rsid w:val="00144335"/>
    <w:rsid w:val="0014502F"/>
    <w:rsid w:val="00145282"/>
    <w:rsid w:val="001453B0"/>
    <w:rsid w:val="001454D9"/>
    <w:rsid w:val="00145D8E"/>
    <w:rsid w:val="00146083"/>
    <w:rsid w:val="001462F7"/>
    <w:rsid w:val="00151B99"/>
    <w:rsid w:val="00153491"/>
    <w:rsid w:val="0015361C"/>
    <w:rsid w:val="00153BFB"/>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5E49"/>
    <w:rsid w:val="001805C1"/>
    <w:rsid w:val="001813AF"/>
    <w:rsid w:val="001829CD"/>
    <w:rsid w:val="00182F01"/>
    <w:rsid w:val="00185AFE"/>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4DAF"/>
    <w:rsid w:val="001A66DF"/>
    <w:rsid w:val="001A7591"/>
    <w:rsid w:val="001B0444"/>
    <w:rsid w:val="001B096B"/>
    <w:rsid w:val="001B0F9F"/>
    <w:rsid w:val="001B123C"/>
    <w:rsid w:val="001B1A0D"/>
    <w:rsid w:val="001B1BF1"/>
    <w:rsid w:val="001B2456"/>
    <w:rsid w:val="001B449C"/>
    <w:rsid w:val="001B4AA2"/>
    <w:rsid w:val="001B4ADE"/>
    <w:rsid w:val="001C19CD"/>
    <w:rsid w:val="001C22D5"/>
    <w:rsid w:val="001C2515"/>
    <w:rsid w:val="001C26FB"/>
    <w:rsid w:val="001C33C1"/>
    <w:rsid w:val="001C3E30"/>
    <w:rsid w:val="001C3E5C"/>
    <w:rsid w:val="001C5072"/>
    <w:rsid w:val="001C5B2A"/>
    <w:rsid w:val="001C600B"/>
    <w:rsid w:val="001C6898"/>
    <w:rsid w:val="001C6DD8"/>
    <w:rsid w:val="001D12D1"/>
    <w:rsid w:val="001D15DF"/>
    <w:rsid w:val="001D31A0"/>
    <w:rsid w:val="001D338E"/>
    <w:rsid w:val="001D56E9"/>
    <w:rsid w:val="001D796A"/>
    <w:rsid w:val="001D7A84"/>
    <w:rsid w:val="001E1CC4"/>
    <w:rsid w:val="001E1D38"/>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54E"/>
    <w:rsid w:val="00201F1E"/>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5B8E"/>
    <w:rsid w:val="00216264"/>
    <w:rsid w:val="00217DB8"/>
    <w:rsid w:val="002221CE"/>
    <w:rsid w:val="00222BE8"/>
    <w:rsid w:val="002232CB"/>
    <w:rsid w:val="00226055"/>
    <w:rsid w:val="0022613F"/>
    <w:rsid w:val="00226236"/>
    <w:rsid w:val="002270C9"/>
    <w:rsid w:val="00227A8B"/>
    <w:rsid w:val="002315A0"/>
    <w:rsid w:val="00231EC7"/>
    <w:rsid w:val="00232E15"/>
    <w:rsid w:val="00233079"/>
    <w:rsid w:val="00233977"/>
    <w:rsid w:val="00233C58"/>
    <w:rsid w:val="00233C71"/>
    <w:rsid w:val="002345B6"/>
    <w:rsid w:val="00234B84"/>
    <w:rsid w:val="00237065"/>
    <w:rsid w:val="00237589"/>
    <w:rsid w:val="0024019A"/>
    <w:rsid w:val="00242D62"/>
    <w:rsid w:val="002431D7"/>
    <w:rsid w:val="00244058"/>
    <w:rsid w:val="00245E07"/>
    <w:rsid w:val="00247712"/>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3101"/>
    <w:rsid w:val="00263201"/>
    <w:rsid w:val="00263A37"/>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624A"/>
    <w:rsid w:val="00296922"/>
    <w:rsid w:val="00297098"/>
    <w:rsid w:val="002A05D4"/>
    <w:rsid w:val="002A0E60"/>
    <w:rsid w:val="002A1A58"/>
    <w:rsid w:val="002A1B02"/>
    <w:rsid w:val="002A1C53"/>
    <w:rsid w:val="002A28FC"/>
    <w:rsid w:val="002A2EA5"/>
    <w:rsid w:val="002A3D94"/>
    <w:rsid w:val="002A4736"/>
    <w:rsid w:val="002A6AFB"/>
    <w:rsid w:val="002A733D"/>
    <w:rsid w:val="002A7F6D"/>
    <w:rsid w:val="002B1342"/>
    <w:rsid w:val="002B27C8"/>
    <w:rsid w:val="002B2A7F"/>
    <w:rsid w:val="002B330B"/>
    <w:rsid w:val="002B48DB"/>
    <w:rsid w:val="002B4B34"/>
    <w:rsid w:val="002B541A"/>
    <w:rsid w:val="002B6407"/>
    <w:rsid w:val="002B6416"/>
    <w:rsid w:val="002B6459"/>
    <w:rsid w:val="002B73B0"/>
    <w:rsid w:val="002C24B4"/>
    <w:rsid w:val="002C2B3A"/>
    <w:rsid w:val="002C2B87"/>
    <w:rsid w:val="002C3CF4"/>
    <w:rsid w:val="002C441A"/>
    <w:rsid w:val="002C4B84"/>
    <w:rsid w:val="002C4C0C"/>
    <w:rsid w:val="002C5016"/>
    <w:rsid w:val="002C5C2F"/>
    <w:rsid w:val="002C5D0F"/>
    <w:rsid w:val="002C60B9"/>
    <w:rsid w:val="002C6F77"/>
    <w:rsid w:val="002C704D"/>
    <w:rsid w:val="002D0845"/>
    <w:rsid w:val="002D0933"/>
    <w:rsid w:val="002D1A9B"/>
    <w:rsid w:val="002D302A"/>
    <w:rsid w:val="002D37C1"/>
    <w:rsid w:val="002D444B"/>
    <w:rsid w:val="002D4A45"/>
    <w:rsid w:val="002D4B42"/>
    <w:rsid w:val="002D5A1B"/>
    <w:rsid w:val="002D65BC"/>
    <w:rsid w:val="002E055C"/>
    <w:rsid w:val="002E1050"/>
    <w:rsid w:val="002E18E5"/>
    <w:rsid w:val="002E2D7D"/>
    <w:rsid w:val="002E3D76"/>
    <w:rsid w:val="002E40A1"/>
    <w:rsid w:val="002E48EC"/>
    <w:rsid w:val="002E4B44"/>
    <w:rsid w:val="002E4ECB"/>
    <w:rsid w:val="002F3601"/>
    <w:rsid w:val="002F45F6"/>
    <w:rsid w:val="002F7B66"/>
    <w:rsid w:val="00300CB4"/>
    <w:rsid w:val="00300E24"/>
    <w:rsid w:val="003033BA"/>
    <w:rsid w:val="003043A3"/>
    <w:rsid w:val="00304BD4"/>
    <w:rsid w:val="0030500A"/>
    <w:rsid w:val="003052EB"/>
    <w:rsid w:val="00305FCB"/>
    <w:rsid w:val="003063C3"/>
    <w:rsid w:val="00306B44"/>
    <w:rsid w:val="0031088E"/>
    <w:rsid w:val="00311376"/>
    <w:rsid w:val="00311A1F"/>
    <w:rsid w:val="00311B47"/>
    <w:rsid w:val="00311D52"/>
    <w:rsid w:val="00312190"/>
    <w:rsid w:val="003125E0"/>
    <w:rsid w:val="00313447"/>
    <w:rsid w:val="00313748"/>
    <w:rsid w:val="003161A4"/>
    <w:rsid w:val="00316955"/>
    <w:rsid w:val="0031720A"/>
    <w:rsid w:val="00317C9D"/>
    <w:rsid w:val="00317CD2"/>
    <w:rsid w:val="0032078D"/>
    <w:rsid w:val="0032137B"/>
    <w:rsid w:val="00321FA3"/>
    <w:rsid w:val="003227D3"/>
    <w:rsid w:val="00322937"/>
    <w:rsid w:val="00323881"/>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501E2"/>
    <w:rsid w:val="00351E10"/>
    <w:rsid w:val="003536F6"/>
    <w:rsid w:val="00353DD5"/>
    <w:rsid w:val="00355131"/>
    <w:rsid w:val="00363348"/>
    <w:rsid w:val="00363857"/>
    <w:rsid w:val="00363D59"/>
    <w:rsid w:val="003640F7"/>
    <w:rsid w:val="00365D3A"/>
    <w:rsid w:val="003664FF"/>
    <w:rsid w:val="003670B8"/>
    <w:rsid w:val="003706F2"/>
    <w:rsid w:val="0037124F"/>
    <w:rsid w:val="0037507B"/>
    <w:rsid w:val="00375C7C"/>
    <w:rsid w:val="00377135"/>
    <w:rsid w:val="00380272"/>
    <w:rsid w:val="0038152A"/>
    <w:rsid w:val="00382BAD"/>
    <w:rsid w:val="00384DF1"/>
    <w:rsid w:val="00384FF3"/>
    <w:rsid w:val="00386456"/>
    <w:rsid w:val="003865A9"/>
    <w:rsid w:val="0039135E"/>
    <w:rsid w:val="00393CAE"/>
    <w:rsid w:val="003945F4"/>
    <w:rsid w:val="00394EB5"/>
    <w:rsid w:val="003953B4"/>
    <w:rsid w:val="0039615F"/>
    <w:rsid w:val="00396A29"/>
    <w:rsid w:val="00397FF0"/>
    <w:rsid w:val="003A0878"/>
    <w:rsid w:val="003A1D25"/>
    <w:rsid w:val="003A2447"/>
    <w:rsid w:val="003A2AA1"/>
    <w:rsid w:val="003A31A5"/>
    <w:rsid w:val="003A3851"/>
    <w:rsid w:val="003A4A8E"/>
    <w:rsid w:val="003A563C"/>
    <w:rsid w:val="003A581E"/>
    <w:rsid w:val="003A6160"/>
    <w:rsid w:val="003A65A5"/>
    <w:rsid w:val="003A72F5"/>
    <w:rsid w:val="003A78E5"/>
    <w:rsid w:val="003B0341"/>
    <w:rsid w:val="003B1E57"/>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6181"/>
    <w:rsid w:val="003F7343"/>
    <w:rsid w:val="00400002"/>
    <w:rsid w:val="00400054"/>
    <w:rsid w:val="00401B31"/>
    <w:rsid w:val="0040202B"/>
    <w:rsid w:val="00402DE1"/>
    <w:rsid w:val="004037C2"/>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1E00"/>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1A52"/>
    <w:rsid w:val="0045271D"/>
    <w:rsid w:val="00452803"/>
    <w:rsid w:val="004529C6"/>
    <w:rsid w:val="00452EAD"/>
    <w:rsid w:val="004534D1"/>
    <w:rsid w:val="00454548"/>
    <w:rsid w:val="00454717"/>
    <w:rsid w:val="00455354"/>
    <w:rsid w:val="0045558D"/>
    <w:rsid w:val="00456970"/>
    <w:rsid w:val="00456BB1"/>
    <w:rsid w:val="00456DDB"/>
    <w:rsid w:val="00460946"/>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2A8"/>
    <w:rsid w:val="0049241A"/>
    <w:rsid w:val="00492C1F"/>
    <w:rsid w:val="00492E4C"/>
    <w:rsid w:val="00493E04"/>
    <w:rsid w:val="004940E3"/>
    <w:rsid w:val="00496664"/>
    <w:rsid w:val="00496786"/>
    <w:rsid w:val="0049695B"/>
    <w:rsid w:val="00496D8F"/>
    <w:rsid w:val="00497463"/>
    <w:rsid w:val="004A054C"/>
    <w:rsid w:val="004A08D1"/>
    <w:rsid w:val="004A16C1"/>
    <w:rsid w:val="004A34D2"/>
    <w:rsid w:val="004A4301"/>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1F1C"/>
    <w:rsid w:val="004E2A35"/>
    <w:rsid w:val="004E40CE"/>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6BC"/>
    <w:rsid w:val="004F6C26"/>
    <w:rsid w:val="0050062F"/>
    <w:rsid w:val="0050284E"/>
    <w:rsid w:val="005075CA"/>
    <w:rsid w:val="0051074C"/>
    <w:rsid w:val="005111E2"/>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3084"/>
    <w:rsid w:val="0054413A"/>
    <w:rsid w:val="00544288"/>
    <w:rsid w:val="005446BB"/>
    <w:rsid w:val="00545E30"/>
    <w:rsid w:val="00546C9B"/>
    <w:rsid w:val="00547BF6"/>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4948"/>
    <w:rsid w:val="005B501D"/>
    <w:rsid w:val="005B54CC"/>
    <w:rsid w:val="005B74AD"/>
    <w:rsid w:val="005B7E96"/>
    <w:rsid w:val="005C0429"/>
    <w:rsid w:val="005C1954"/>
    <w:rsid w:val="005C1C0B"/>
    <w:rsid w:val="005C2011"/>
    <w:rsid w:val="005C3EA3"/>
    <w:rsid w:val="005C5011"/>
    <w:rsid w:val="005C57BA"/>
    <w:rsid w:val="005C5C52"/>
    <w:rsid w:val="005C5D3D"/>
    <w:rsid w:val="005C7F3E"/>
    <w:rsid w:val="005D2044"/>
    <w:rsid w:val="005D2EB2"/>
    <w:rsid w:val="005D2F48"/>
    <w:rsid w:val="005D464B"/>
    <w:rsid w:val="005D466F"/>
    <w:rsid w:val="005D49F0"/>
    <w:rsid w:val="005D51FA"/>
    <w:rsid w:val="005D53E8"/>
    <w:rsid w:val="005D5A9D"/>
    <w:rsid w:val="005D6651"/>
    <w:rsid w:val="005D691D"/>
    <w:rsid w:val="005D6A72"/>
    <w:rsid w:val="005D791B"/>
    <w:rsid w:val="005D7F92"/>
    <w:rsid w:val="005E1595"/>
    <w:rsid w:val="005E1F1D"/>
    <w:rsid w:val="005E3278"/>
    <w:rsid w:val="005F305B"/>
    <w:rsid w:val="005F3361"/>
    <w:rsid w:val="005F4481"/>
    <w:rsid w:val="005F4A58"/>
    <w:rsid w:val="005F5888"/>
    <w:rsid w:val="005F6CE2"/>
    <w:rsid w:val="005F72E9"/>
    <w:rsid w:val="00600473"/>
    <w:rsid w:val="006013C9"/>
    <w:rsid w:val="00602B45"/>
    <w:rsid w:val="006035F5"/>
    <w:rsid w:val="00603CC2"/>
    <w:rsid w:val="006047D1"/>
    <w:rsid w:val="00604A55"/>
    <w:rsid w:val="00605AC3"/>
    <w:rsid w:val="00606908"/>
    <w:rsid w:val="00607A37"/>
    <w:rsid w:val="0061085E"/>
    <w:rsid w:val="00611398"/>
    <w:rsid w:val="00612322"/>
    <w:rsid w:val="00613191"/>
    <w:rsid w:val="006133F9"/>
    <w:rsid w:val="006134B3"/>
    <w:rsid w:val="0061401F"/>
    <w:rsid w:val="00614817"/>
    <w:rsid w:val="0061591D"/>
    <w:rsid w:val="0061604C"/>
    <w:rsid w:val="00616C2B"/>
    <w:rsid w:val="006178D1"/>
    <w:rsid w:val="00620719"/>
    <w:rsid w:val="006212C9"/>
    <w:rsid w:val="00622470"/>
    <w:rsid w:val="00622725"/>
    <w:rsid w:val="006231AA"/>
    <w:rsid w:val="00623482"/>
    <w:rsid w:val="00623AC2"/>
    <w:rsid w:val="006266D7"/>
    <w:rsid w:val="00626EE3"/>
    <w:rsid w:val="006274AD"/>
    <w:rsid w:val="00627532"/>
    <w:rsid w:val="006302AA"/>
    <w:rsid w:val="006310C3"/>
    <w:rsid w:val="0063161E"/>
    <w:rsid w:val="00631BB5"/>
    <w:rsid w:val="00631DD0"/>
    <w:rsid w:val="00633DBF"/>
    <w:rsid w:val="00634122"/>
    <w:rsid w:val="00635E32"/>
    <w:rsid w:val="006365DE"/>
    <w:rsid w:val="00637836"/>
    <w:rsid w:val="00637C26"/>
    <w:rsid w:val="00637F44"/>
    <w:rsid w:val="00641078"/>
    <w:rsid w:val="00641242"/>
    <w:rsid w:val="006433D5"/>
    <w:rsid w:val="00646B20"/>
    <w:rsid w:val="00646D0F"/>
    <w:rsid w:val="00647DCC"/>
    <w:rsid w:val="00647EFA"/>
    <w:rsid w:val="00651C47"/>
    <w:rsid w:val="00652E70"/>
    <w:rsid w:val="00653469"/>
    <w:rsid w:val="00654A38"/>
    <w:rsid w:val="00655301"/>
    <w:rsid w:val="00655371"/>
    <w:rsid w:val="006573EA"/>
    <w:rsid w:val="00661029"/>
    <w:rsid w:val="0066135A"/>
    <w:rsid w:val="0066272D"/>
    <w:rsid w:val="006635A0"/>
    <w:rsid w:val="00664351"/>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4CF5"/>
    <w:rsid w:val="0068553E"/>
    <w:rsid w:val="00685E7B"/>
    <w:rsid w:val="00686551"/>
    <w:rsid w:val="0068730C"/>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67AC"/>
    <w:rsid w:val="006B786A"/>
    <w:rsid w:val="006C003A"/>
    <w:rsid w:val="006C2551"/>
    <w:rsid w:val="006C37CA"/>
    <w:rsid w:val="006C40D2"/>
    <w:rsid w:val="006C5B15"/>
    <w:rsid w:val="006C5DCB"/>
    <w:rsid w:val="006C70C4"/>
    <w:rsid w:val="006D04DA"/>
    <w:rsid w:val="006D1544"/>
    <w:rsid w:val="006D1688"/>
    <w:rsid w:val="006D1FF3"/>
    <w:rsid w:val="006D2C65"/>
    <w:rsid w:val="006D32C6"/>
    <w:rsid w:val="006D360E"/>
    <w:rsid w:val="006D3697"/>
    <w:rsid w:val="006D39D2"/>
    <w:rsid w:val="006D3F2A"/>
    <w:rsid w:val="006D46A3"/>
    <w:rsid w:val="006D6A12"/>
    <w:rsid w:val="006D712D"/>
    <w:rsid w:val="006D7687"/>
    <w:rsid w:val="006D7D1F"/>
    <w:rsid w:val="006D7D8A"/>
    <w:rsid w:val="006E0572"/>
    <w:rsid w:val="006E08EE"/>
    <w:rsid w:val="006E39D1"/>
    <w:rsid w:val="006E437F"/>
    <w:rsid w:val="006E4D5B"/>
    <w:rsid w:val="006E602F"/>
    <w:rsid w:val="006E7275"/>
    <w:rsid w:val="006E77B8"/>
    <w:rsid w:val="006F15CC"/>
    <w:rsid w:val="006F4147"/>
    <w:rsid w:val="006F4CB0"/>
    <w:rsid w:val="006F547E"/>
    <w:rsid w:val="006F5CCF"/>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22E8"/>
    <w:rsid w:val="00753BAC"/>
    <w:rsid w:val="00754A0B"/>
    <w:rsid w:val="007552DB"/>
    <w:rsid w:val="00755B08"/>
    <w:rsid w:val="00755DD0"/>
    <w:rsid w:val="0075647A"/>
    <w:rsid w:val="00756A2F"/>
    <w:rsid w:val="007573E1"/>
    <w:rsid w:val="00757B2D"/>
    <w:rsid w:val="00757BAD"/>
    <w:rsid w:val="00757D62"/>
    <w:rsid w:val="00760867"/>
    <w:rsid w:val="00760EB6"/>
    <w:rsid w:val="007616DB"/>
    <w:rsid w:val="0076228A"/>
    <w:rsid w:val="00762440"/>
    <w:rsid w:val="00762E60"/>
    <w:rsid w:val="007634AD"/>
    <w:rsid w:val="007672F3"/>
    <w:rsid w:val="007678B1"/>
    <w:rsid w:val="007708A8"/>
    <w:rsid w:val="0077380D"/>
    <w:rsid w:val="00773BC8"/>
    <w:rsid w:val="0077466F"/>
    <w:rsid w:val="007752B7"/>
    <w:rsid w:val="00775652"/>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041"/>
    <w:rsid w:val="008022C9"/>
    <w:rsid w:val="00802F9E"/>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3430"/>
    <w:rsid w:val="0083417F"/>
    <w:rsid w:val="00835143"/>
    <w:rsid w:val="00835741"/>
    <w:rsid w:val="00836E74"/>
    <w:rsid w:val="00836EAB"/>
    <w:rsid w:val="00837673"/>
    <w:rsid w:val="00837937"/>
    <w:rsid w:val="00837D82"/>
    <w:rsid w:val="00840893"/>
    <w:rsid w:val="008423EC"/>
    <w:rsid w:val="00843615"/>
    <w:rsid w:val="00843B57"/>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931"/>
    <w:rsid w:val="00867512"/>
    <w:rsid w:val="0087033C"/>
    <w:rsid w:val="008717D8"/>
    <w:rsid w:val="00871E3C"/>
    <w:rsid w:val="00872F97"/>
    <w:rsid w:val="00874607"/>
    <w:rsid w:val="00874915"/>
    <w:rsid w:val="00874B89"/>
    <w:rsid w:val="00875403"/>
    <w:rsid w:val="00876215"/>
    <w:rsid w:val="00877932"/>
    <w:rsid w:val="0088106B"/>
    <w:rsid w:val="0088107D"/>
    <w:rsid w:val="00881E64"/>
    <w:rsid w:val="00882E39"/>
    <w:rsid w:val="008850EB"/>
    <w:rsid w:val="00886DF2"/>
    <w:rsid w:val="00886FB9"/>
    <w:rsid w:val="00887C79"/>
    <w:rsid w:val="0089107B"/>
    <w:rsid w:val="008914AE"/>
    <w:rsid w:val="008919CF"/>
    <w:rsid w:val="00891F84"/>
    <w:rsid w:val="008928EC"/>
    <w:rsid w:val="008935CF"/>
    <w:rsid w:val="008959C6"/>
    <w:rsid w:val="00896129"/>
    <w:rsid w:val="0089774F"/>
    <w:rsid w:val="00897B8F"/>
    <w:rsid w:val="008A00D9"/>
    <w:rsid w:val="008A2A23"/>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D18AA"/>
    <w:rsid w:val="008D1A2A"/>
    <w:rsid w:val="008D35D9"/>
    <w:rsid w:val="008D3B85"/>
    <w:rsid w:val="008D462D"/>
    <w:rsid w:val="008D66CA"/>
    <w:rsid w:val="008D69B1"/>
    <w:rsid w:val="008E0012"/>
    <w:rsid w:val="008E0DF7"/>
    <w:rsid w:val="008E0FAD"/>
    <w:rsid w:val="008E16E0"/>
    <w:rsid w:val="008E1C15"/>
    <w:rsid w:val="008E28BD"/>
    <w:rsid w:val="008E38B4"/>
    <w:rsid w:val="008E44AB"/>
    <w:rsid w:val="008E5179"/>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0E00"/>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7E8D"/>
    <w:rsid w:val="00927F23"/>
    <w:rsid w:val="009307CD"/>
    <w:rsid w:val="00931451"/>
    <w:rsid w:val="009314FA"/>
    <w:rsid w:val="0093194F"/>
    <w:rsid w:val="00931BF3"/>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018"/>
    <w:rsid w:val="009533E2"/>
    <w:rsid w:val="0095385A"/>
    <w:rsid w:val="0095780A"/>
    <w:rsid w:val="009579E4"/>
    <w:rsid w:val="00957AA4"/>
    <w:rsid w:val="00960BDB"/>
    <w:rsid w:val="0096147D"/>
    <w:rsid w:val="00961E5F"/>
    <w:rsid w:val="00962A50"/>
    <w:rsid w:val="00964138"/>
    <w:rsid w:val="00964B3F"/>
    <w:rsid w:val="00964C98"/>
    <w:rsid w:val="00971441"/>
    <w:rsid w:val="009715D4"/>
    <w:rsid w:val="00974B58"/>
    <w:rsid w:val="009761ED"/>
    <w:rsid w:val="0098022F"/>
    <w:rsid w:val="00980579"/>
    <w:rsid w:val="009810DE"/>
    <w:rsid w:val="0098427D"/>
    <w:rsid w:val="00984567"/>
    <w:rsid w:val="009865D5"/>
    <w:rsid w:val="00987C77"/>
    <w:rsid w:val="00990345"/>
    <w:rsid w:val="0099119C"/>
    <w:rsid w:val="0099137A"/>
    <w:rsid w:val="0099211C"/>
    <w:rsid w:val="00995119"/>
    <w:rsid w:val="009953AD"/>
    <w:rsid w:val="00996992"/>
    <w:rsid w:val="00996E1E"/>
    <w:rsid w:val="00997392"/>
    <w:rsid w:val="0099747C"/>
    <w:rsid w:val="0099771C"/>
    <w:rsid w:val="009A01E4"/>
    <w:rsid w:val="009A0A33"/>
    <w:rsid w:val="009A1351"/>
    <w:rsid w:val="009A2435"/>
    <w:rsid w:val="009A38AB"/>
    <w:rsid w:val="009A3D47"/>
    <w:rsid w:val="009A5356"/>
    <w:rsid w:val="009A5468"/>
    <w:rsid w:val="009A5D99"/>
    <w:rsid w:val="009A608C"/>
    <w:rsid w:val="009A6FDF"/>
    <w:rsid w:val="009A76D6"/>
    <w:rsid w:val="009B2E29"/>
    <w:rsid w:val="009B422F"/>
    <w:rsid w:val="009B46BC"/>
    <w:rsid w:val="009B4D1A"/>
    <w:rsid w:val="009B558B"/>
    <w:rsid w:val="009B6D21"/>
    <w:rsid w:val="009C181C"/>
    <w:rsid w:val="009C1C7F"/>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781"/>
    <w:rsid w:val="009F0850"/>
    <w:rsid w:val="009F1BDF"/>
    <w:rsid w:val="009F1EAE"/>
    <w:rsid w:val="009F369D"/>
    <w:rsid w:val="009F36FE"/>
    <w:rsid w:val="009F4F25"/>
    <w:rsid w:val="009F59C2"/>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66C3"/>
    <w:rsid w:val="00A06754"/>
    <w:rsid w:val="00A069E0"/>
    <w:rsid w:val="00A06E4A"/>
    <w:rsid w:val="00A078FB"/>
    <w:rsid w:val="00A1036D"/>
    <w:rsid w:val="00A1069F"/>
    <w:rsid w:val="00A10ACA"/>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30368"/>
    <w:rsid w:val="00A30E02"/>
    <w:rsid w:val="00A30F6A"/>
    <w:rsid w:val="00A31C3E"/>
    <w:rsid w:val="00A34538"/>
    <w:rsid w:val="00A3540F"/>
    <w:rsid w:val="00A35630"/>
    <w:rsid w:val="00A36189"/>
    <w:rsid w:val="00A37E73"/>
    <w:rsid w:val="00A37FB6"/>
    <w:rsid w:val="00A4104A"/>
    <w:rsid w:val="00A41081"/>
    <w:rsid w:val="00A411CA"/>
    <w:rsid w:val="00A42096"/>
    <w:rsid w:val="00A426F3"/>
    <w:rsid w:val="00A42FDF"/>
    <w:rsid w:val="00A430A9"/>
    <w:rsid w:val="00A431FE"/>
    <w:rsid w:val="00A439E5"/>
    <w:rsid w:val="00A4497A"/>
    <w:rsid w:val="00A44F54"/>
    <w:rsid w:val="00A46574"/>
    <w:rsid w:val="00A53037"/>
    <w:rsid w:val="00A532B9"/>
    <w:rsid w:val="00A5351D"/>
    <w:rsid w:val="00A53E79"/>
    <w:rsid w:val="00A54031"/>
    <w:rsid w:val="00A55122"/>
    <w:rsid w:val="00A56DE7"/>
    <w:rsid w:val="00A57EB2"/>
    <w:rsid w:val="00A6009E"/>
    <w:rsid w:val="00A60B1F"/>
    <w:rsid w:val="00A62C3A"/>
    <w:rsid w:val="00A63812"/>
    <w:rsid w:val="00A668BA"/>
    <w:rsid w:val="00A66FA7"/>
    <w:rsid w:val="00A70C5C"/>
    <w:rsid w:val="00A71EA7"/>
    <w:rsid w:val="00A73D64"/>
    <w:rsid w:val="00A74216"/>
    <w:rsid w:val="00A751E3"/>
    <w:rsid w:val="00A75504"/>
    <w:rsid w:val="00A77168"/>
    <w:rsid w:val="00A7723B"/>
    <w:rsid w:val="00A80085"/>
    <w:rsid w:val="00A8043B"/>
    <w:rsid w:val="00A81323"/>
    <w:rsid w:val="00A820CB"/>
    <w:rsid w:val="00A82342"/>
    <w:rsid w:val="00A84443"/>
    <w:rsid w:val="00A8487F"/>
    <w:rsid w:val="00A90F12"/>
    <w:rsid w:val="00A93101"/>
    <w:rsid w:val="00A94293"/>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61C7"/>
    <w:rsid w:val="00AA669D"/>
    <w:rsid w:val="00AA6BE1"/>
    <w:rsid w:val="00AA7416"/>
    <w:rsid w:val="00AA7A60"/>
    <w:rsid w:val="00AA7B42"/>
    <w:rsid w:val="00AB041C"/>
    <w:rsid w:val="00AB14E8"/>
    <w:rsid w:val="00AB1B1D"/>
    <w:rsid w:val="00AB358D"/>
    <w:rsid w:val="00AB37A1"/>
    <w:rsid w:val="00AB3CFD"/>
    <w:rsid w:val="00AB49BC"/>
    <w:rsid w:val="00AB4DEE"/>
    <w:rsid w:val="00AB4E32"/>
    <w:rsid w:val="00AB726C"/>
    <w:rsid w:val="00AB72B4"/>
    <w:rsid w:val="00AC02AA"/>
    <w:rsid w:val="00AC0537"/>
    <w:rsid w:val="00AC0A84"/>
    <w:rsid w:val="00AC2A0B"/>
    <w:rsid w:val="00AC2E53"/>
    <w:rsid w:val="00AC4B20"/>
    <w:rsid w:val="00AC56F2"/>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7447"/>
    <w:rsid w:val="00B1771D"/>
    <w:rsid w:val="00B20209"/>
    <w:rsid w:val="00B203C9"/>
    <w:rsid w:val="00B22E22"/>
    <w:rsid w:val="00B23813"/>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6B05"/>
    <w:rsid w:val="00B37657"/>
    <w:rsid w:val="00B37B07"/>
    <w:rsid w:val="00B4046F"/>
    <w:rsid w:val="00B41D39"/>
    <w:rsid w:val="00B422C0"/>
    <w:rsid w:val="00B426CA"/>
    <w:rsid w:val="00B426E1"/>
    <w:rsid w:val="00B44746"/>
    <w:rsid w:val="00B44854"/>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22C"/>
    <w:rsid w:val="00B614F8"/>
    <w:rsid w:val="00B61994"/>
    <w:rsid w:val="00B61FD4"/>
    <w:rsid w:val="00B63872"/>
    <w:rsid w:val="00B63CB2"/>
    <w:rsid w:val="00B64246"/>
    <w:rsid w:val="00B64EDB"/>
    <w:rsid w:val="00B65938"/>
    <w:rsid w:val="00B65C8A"/>
    <w:rsid w:val="00B66109"/>
    <w:rsid w:val="00B66349"/>
    <w:rsid w:val="00B67FBF"/>
    <w:rsid w:val="00B72B91"/>
    <w:rsid w:val="00B73019"/>
    <w:rsid w:val="00B7315F"/>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6EEC"/>
    <w:rsid w:val="00B976C7"/>
    <w:rsid w:val="00BA0C54"/>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65C3"/>
    <w:rsid w:val="00BB662E"/>
    <w:rsid w:val="00BB6C01"/>
    <w:rsid w:val="00BB7CD1"/>
    <w:rsid w:val="00BC0F33"/>
    <w:rsid w:val="00BC14A7"/>
    <w:rsid w:val="00BC17CC"/>
    <w:rsid w:val="00BC2898"/>
    <w:rsid w:val="00BC2928"/>
    <w:rsid w:val="00BC2BB1"/>
    <w:rsid w:val="00BC34A3"/>
    <w:rsid w:val="00BC3FF9"/>
    <w:rsid w:val="00BC4A97"/>
    <w:rsid w:val="00BC68B4"/>
    <w:rsid w:val="00BD0140"/>
    <w:rsid w:val="00BD02CC"/>
    <w:rsid w:val="00BD2063"/>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1159D"/>
    <w:rsid w:val="00C1233E"/>
    <w:rsid w:val="00C12FB3"/>
    <w:rsid w:val="00C13D85"/>
    <w:rsid w:val="00C14E82"/>
    <w:rsid w:val="00C14FF6"/>
    <w:rsid w:val="00C1641B"/>
    <w:rsid w:val="00C165FC"/>
    <w:rsid w:val="00C176D5"/>
    <w:rsid w:val="00C2082C"/>
    <w:rsid w:val="00C20EB0"/>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1C9A"/>
    <w:rsid w:val="00C52D98"/>
    <w:rsid w:val="00C54640"/>
    <w:rsid w:val="00C547A6"/>
    <w:rsid w:val="00C54A3A"/>
    <w:rsid w:val="00C56A67"/>
    <w:rsid w:val="00C56CC2"/>
    <w:rsid w:val="00C57498"/>
    <w:rsid w:val="00C5763C"/>
    <w:rsid w:val="00C5780C"/>
    <w:rsid w:val="00C5796B"/>
    <w:rsid w:val="00C619A1"/>
    <w:rsid w:val="00C6305F"/>
    <w:rsid w:val="00C6325B"/>
    <w:rsid w:val="00C63E99"/>
    <w:rsid w:val="00C64A64"/>
    <w:rsid w:val="00C65151"/>
    <w:rsid w:val="00C66119"/>
    <w:rsid w:val="00C66292"/>
    <w:rsid w:val="00C672A3"/>
    <w:rsid w:val="00C672F1"/>
    <w:rsid w:val="00C673D0"/>
    <w:rsid w:val="00C71E2A"/>
    <w:rsid w:val="00C733BA"/>
    <w:rsid w:val="00C760DC"/>
    <w:rsid w:val="00C8082B"/>
    <w:rsid w:val="00C81A88"/>
    <w:rsid w:val="00C81D46"/>
    <w:rsid w:val="00C82298"/>
    <w:rsid w:val="00C833B4"/>
    <w:rsid w:val="00C84284"/>
    <w:rsid w:val="00C861FC"/>
    <w:rsid w:val="00C9005E"/>
    <w:rsid w:val="00C90CA9"/>
    <w:rsid w:val="00C917B1"/>
    <w:rsid w:val="00C9193C"/>
    <w:rsid w:val="00C91B77"/>
    <w:rsid w:val="00C920E2"/>
    <w:rsid w:val="00C93765"/>
    <w:rsid w:val="00C93877"/>
    <w:rsid w:val="00C93D8C"/>
    <w:rsid w:val="00C959BD"/>
    <w:rsid w:val="00C96D1B"/>
    <w:rsid w:val="00CA0031"/>
    <w:rsid w:val="00CA0413"/>
    <w:rsid w:val="00CA043A"/>
    <w:rsid w:val="00CA41E7"/>
    <w:rsid w:val="00CA5812"/>
    <w:rsid w:val="00CA5BD4"/>
    <w:rsid w:val="00CA5C14"/>
    <w:rsid w:val="00CA76FC"/>
    <w:rsid w:val="00CA7E7B"/>
    <w:rsid w:val="00CB2D38"/>
    <w:rsid w:val="00CB4137"/>
    <w:rsid w:val="00CB52D0"/>
    <w:rsid w:val="00CB5578"/>
    <w:rsid w:val="00CB591C"/>
    <w:rsid w:val="00CB61B3"/>
    <w:rsid w:val="00CB6F83"/>
    <w:rsid w:val="00CB72AE"/>
    <w:rsid w:val="00CC00CD"/>
    <w:rsid w:val="00CC0AF3"/>
    <w:rsid w:val="00CC0BC6"/>
    <w:rsid w:val="00CC0E68"/>
    <w:rsid w:val="00CC2227"/>
    <w:rsid w:val="00CC2514"/>
    <w:rsid w:val="00CC2F69"/>
    <w:rsid w:val="00CC315F"/>
    <w:rsid w:val="00CC3D38"/>
    <w:rsid w:val="00CC40C3"/>
    <w:rsid w:val="00CC4E5D"/>
    <w:rsid w:val="00CC50AE"/>
    <w:rsid w:val="00CC69EC"/>
    <w:rsid w:val="00CC743D"/>
    <w:rsid w:val="00CD050A"/>
    <w:rsid w:val="00CD205D"/>
    <w:rsid w:val="00CD2A22"/>
    <w:rsid w:val="00CD2B50"/>
    <w:rsid w:val="00CD4506"/>
    <w:rsid w:val="00CD520B"/>
    <w:rsid w:val="00CD5A1A"/>
    <w:rsid w:val="00CD7EFA"/>
    <w:rsid w:val="00CE020E"/>
    <w:rsid w:val="00CE0566"/>
    <w:rsid w:val="00CE1CD4"/>
    <w:rsid w:val="00CE2761"/>
    <w:rsid w:val="00CE314E"/>
    <w:rsid w:val="00CE3D5C"/>
    <w:rsid w:val="00CE3E14"/>
    <w:rsid w:val="00CE44C7"/>
    <w:rsid w:val="00CE53CC"/>
    <w:rsid w:val="00CE65A7"/>
    <w:rsid w:val="00CE6EC4"/>
    <w:rsid w:val="00CE7F26"/>
    <w:rsid w:val="00CF1ABB"/>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0612A"/>
    <w:rsid w:val="00D1060D"/>
    <w:rsid w:val="00D10E7C"/>
    <w:rsid w:val="00D11182"/>
    <w:rsid w:val="00D11807"/>
    <w:rsid w:val="00D12D82"/>
    <w:rsid w:val="00D1306E"/>
    <w:rsid w:val="00D14B5F"/>
    <w:rsid w:val="00D14E13"/>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256"/>
    <w:rsid w:val="00D32A27"/>
    <w:rsid w:val="00D32ABC"/>
    <w:rsid w:val="00D34F4E"/>
    <w:rsid w:val="00D357F3"/>
    <w:rsid w:val="00D35C0E"/>
    <w:rsid w:val="00D373A8"/>
    <w:rsid w:val="00D401BE"/>
    <w:rsid w:val="00D40DB0"/>
    <w:rsid w:val="00D41858"/>
    <w:rsid w:val="00D422DB"/>
    <w:rsid w:val="00D42AC2"/>
    <w:rsid w:val="00D4498E"/>
    <w:rsid w:val="00D4515F"/>
    <w:rsid w:val="00D466C9"/>
    <w:rsid w:val="00D47275"/>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616D"/>
    <w:rsid w:val="00D915C8"/>
    <w:rsid w:val="00D9310B"/>
    <w:rsid w:val="00D93726"/>
    <w:rsid w:val="00D93F3E"/>
    <w:rsid w:val="00D9405B"/>
    <w:rsid w:val="00D95145"/>
    <w:rsid w:val="00D967CB"/>
    <w:rsid w:val="00D96EE0"/>
    <w:rsid w:val="00D97BD1"/>
    <w:rsid w:val="00DA06B8"/>
    <w:rsid w:val="00DA2969"/>
    <w:rsid w:val="00DA29B7"/>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0B4"/>
    <w:rsid w:val="00DC0954"/>
    <w:rsid w:val="00DC15BA"/>
    <w:rsid w:val="00DC18CD"/>
    <w:rsid w:val="00DC1A68"/>
    <w:rsid w:val="00DC30B8"/>
    <w:rsid w:val="00DC62E5"/>
    <w:rsid w:val="00DC6F33"/>
    <w:rsid w:val="00DC7349"/>
    <w:rsid w:val="00DD14D8"/>
    <w:rsid w:val="00DD1599"/>
    <w:rsid w:val="00DD1B03"/>
    <w:rsid w:val="00DD2A62"/>
    <w:rsid w:val="00DD2F2F"/>
    <w:rsid w:val="00DD2F7A"/>
    <w:rsid w:val="00DD3885"/>
    <w:rsid w:val="00DD5946"/>
    <w:rsid w:val="00DD5B04"/>
    <w:rsid w:val="00DD5EC6"/>
    <w:rsid w:val="00DD605F"/>
    <w:rsid w:val="00DD72A0"/>
    <w:rsid w:val="00DD735D"/>
    <w:rsid w:val="00DE0159"/>
    <w:rsid w:val="00DE082D"/>
    <w:rsid w:val="00DE3119"/>
    <w:rsid w:val="00DE3FF0"/>
    <w:rsid w:val="00DE4105"/>
    <w:rsid w:val="00DE5189"/>
    <w:rsid w:val="00DE78D1"/>
    <w:rsid w:val="00DF0263"/>
    <w:rsid w:val="00DF1E36"/>
    <w:rsid w:val="00DF236B"/>
    <w:rsid w:val="00DF3889"/>
    <w:rsid w:val="00DF3CC9"/>
    <w:rsid w:val="00DF4451"/>
    <w:rsid w:val="00DF49FF"/>
    <w:rsid w:val="00DF4FFB"/>
    <w:rsid w:val="00DF5236"/>
    <w:rsid w:val="00DF651F"/>
    <w:rsid w:val="00DF6F43"/>
    <w:rsid w:val="00DF752F"/>
    <w:rsid w:val="00DF76A2"/>
    <w:rsid w:val="00E02186"/>
    <w:rsid w:val="00E026BB"/>
    <w:rsid w:val="00E027C5"/>
    <w:rsid w:val="00E03124"/>
    <w:rsid w:val="00E03951"/>
    <w:rsid w:val="00E03DB8"/>
    <w:rsid w:val="00E05E70"/>
    <w:rsid w:val="00E064BC"/>
    <w:rsid w:val="00E109DD"/>
    <w:rsid w:val="00E11229"/>
    <w:rsid w:val="00E114CA"/>
    <w:rsid w:val="00E1397F"/>
    <w:rsid w:val="00E13AB8"/>
    <w:rsid w:val="00E1482E"/>
    <w:rsid w:val="00E1699C"/>
    <w:rsid w:val="00E16E75"/>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5E4"/>
    <w:rsid w:val="00E457CB"/>
    <w:rsid w:val="00E45D47"/>
    <w:rsid w:val="00E45DE4"/>
    <w:rsid w:val="00E45E63"/>
    <w:rsid w:val="00E50A7B"/>
    <w:rsid w:val="00E510FE"/>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4700"/>
    <w:rsid w:val="00E65074"/>
    <w:rsid w:val="00E65E70"/>
    <w:rsid w:val="00E66087"/>
    <w:rsid w:val="00E66FF9"/>
    <w:rsid w:val="00E67856"/>
    <w:rsid w:val="00E724E7"/>
    <w:rsid w:val="00E72B41"/>
    <w:rsid w:val="00E7347B"/>
    <w:rsid w:val="00E73D03"/>
    <w:rsid w:val="00E77AF5"/>
    <w:rsid w:val="00E82C1F"/>
    <w:rsid w:val="00E84A71"/>
    <w:rsid w:val="00E86556"/>
    <w:rsid w:val="00E86D35"/>
    <w:rsid w:val="00E86DC2"/>
    <w:rsid w:val="00E8732E"/>
    <w:rsid w:val="00E9011F"/>
    <w:rsid w:val="00E906EB"/>
    <w:rsid w:val="00E92E62"/>
    <w:rsid w:val="00E93804"/>
    <w:rsid w:val="00E95434"/>
    <w:rsid w:val="00E96467"/>
    <w:rsid w:val="00E96948"/>
    <w:rsid w:val="00E9737B"/>
    <w:rsid w:val="00E97A3F"/>
    <w:rsid w:val="00E97F0A"/>
    <w:rsid w:val="00EA0100"/>
    <w:rsid w:val="00EA2744"/>
    <w:rsid w:val="00EA37B9"/>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DA3"/>
    <w:rsid w:val="00EC6014"/>
    <w:rsid w:val="00EC6B3E"/>
    <w:rsid w:val="00EC7637"/>
    <w:rsid w:val="00ED046C"/>
    <w:rsid w:val="00ED053A"/>
    <w:rsid w:val="00ED1F03"/>
    <w:rsid w:val="00ED2D27"/>
    <w:rsid w:val="00ED3347"/>
    <w:rsid w:val="00ED43A2"/>
    <w:rsid w:val="00ED4967"/>
    <w:rsid w:val="00ED538C"/>
    <w:rsid w:val="00ED5771"/>
    <w:rsid w:val="00ED587F"/>
    <w:rsid w:val="00ED5964"/>
    <w:rsid w:val="00ED72E9"/>
    <w:rsid w:val="00ED732E"/>
    <w:rsid w:val="00ED7FBC"/>
    <w:rsid w:val="00EE0253"/>
    <w:rsid w:val="00EE0297"/>
    <w:rsid w:val="00EE1668"/>
    <w:rsid w:val="00EE366D"/>
    <w:rsid w:val="00EE59B5"/>
    <w:rsid w:val="00EE5FB7"/>
    <w:rsid w:val="00EE7B54"/>
    <w:rsid w:val="00EE7C88"/>
    <w:rsid w:val="00EE7C8B"/>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48B7"/>
    <w:rsid w:val="00F15505"/>
    <w:rsid w:val="00F15BFF"/>
    <w:rsid w:val="00F213A0"/>
    <w:rsid w:val="00F21D54"/>
    <w:rsid w:val="00F23113"/>
    <w:rsid w:val="00F23255"/>
    <w:rsid w:val="00F23759"/>
    <w:rsid w:val="00F24644"/>
    <w:rsid w:val="00F30400"/>
    <w:rsid w:val="00F3079E"/>
    <w:rsid w:val="00F346ED"/>
    <w:rsid w:val="00F34945"/>
    <w:rsid w:val="00F34E1E"/>
    <w:rsid w:val="00F368FF"/>
    <w:rsid w:val="00F37068"/>
    <w:rsid w:val="00F37F3F"/>
    <w:rsid w:val="00F40992"/>
    <w:rsid w:val="00F41596"/>
    <w:rsid w:val="00F41D8B"/>
    <w:rsid w:val="00F42121"/>
    <w:rsid w:val="00F428B1"/>
    <w:rsid w:val="00F428B4"/>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15AC"/>
    <w:rsid w:val="00F840BF"/>
    <w:rsid w:val="00F843DF"/>
    <w:rsid w:val="00F84899"/>
    <w:rsid w:val="00F85585"/>
    <w:rsid w:val="00F859F0"/>
    <w:rsid w:val="00F85CC1"/>
    <w:rsid w:val="00F86B5D"/>
    <w:rsid w:val="00F87C13"/>
    <w:rsid w:val="00F87E29"/>
    <w:rsid w:val="00F87F18"/>
    <w:rsid w:val="00F87F68"/>
    <w:rsid w:val="00F9167D"/>
    <w:rsid w:val="00F91CB2"/>
    <w:rsid w:val="00F9289C"/>
    <w:rsid w:val="00F93DBC"/>
    <w:rsid w:val="00F94644"/>
    <w:rsid w:val="00F9537B"/>
    <w:rsid w:val="00F963FC"/>
    <w:rsid w:val="00FA015F"/>
    <w:rsid w:val="00FA1DA2"/>
    <w:rsid w:val="00FA347A"/>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31B"/>
    <w:rsid w:val="00FC434C"/>
    <w:rsid w:val="00FC5CF4"/>
    <w:rsid w:val="00FC6A39"/>
    <w:rsid w:val="00FC79AB"/>
    <w:rsid w:val="00FC7DAC"/>
    <w:rsid w:val="00FD04AE"/>
    <w:rsid w:val="00FD1994"/>
    <w:rsid w:val="00FD393C"/>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1852</TotalTime>
  <Pages>13</Pages>
  <Words>5386</Words>
  <Characters>29628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1582</cp:revision>
  <cp:lastPrinted>2020-01-30T15:05:00Z</cp:lastPrinted>
  <dcterms:created xsi:type="dcterms:W3CDTF">2020-08-06T16:35:00Z</dcterms:created>
  <dcterms:modified xsi:type="dcterms:W3CDTF">2020-10-08T19:54:00Z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