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A26EC" w:rsidR="0098121E" w:rsidP="00173D13" w:rsidRDefault="0098121E" w14:paraId="0B30BB99" w14:textId="77777777">
      <w:pPr>
        <w:spacing w:line="240" w:lineRule="auto"/>
        <w:rPr>
          <w:rFonts w:ascii="Geomanist Light" w:hAnsi="Geomanist Light" w:cs="Arial"/>
          <w:b/>
          <w:bCs/>
          <w:sz w:val="20"/>
          <w:szCs w:val="20"/>
          <w:lang w:val="es-ES_tradnl"/>
        </w:rPr>
      </w:pPr>
      <w:r w:rsidRPr="001A26EC">
        <w:rPr>
          <w:rFonts w:ascii="Geomanist Light" w:hAnsi="Geomanist Light" w:cs="Arial"/>
          <w:b/>
          <w:bCs/>
          <w:sz w:val="20"/>
          <w:szCs w:val="20"/>
          <w:lang w:val="es-ES_tradnl"/>
        </w:rPr>
        <w:t>DOCUMENTOS TIPO – Numeral 4.1.1</w:t>
      </w:r>
    </w:p>
    <w:p w:rsidRPr="001A26EC" w:rsidR="0098121E" w:rsidP="49D68B91" w:rsidRDefault="0098121E" w14:paraId="08440C1E" w14:textId="77777777">
      <w:pPr>
        <w:spacing w:line="240" w:lineRule="auto"/>
        <w:rPr>
          <w:rFonts w:ascii="Geomanist Light" w:hAnsi="Geomanist Light" w:cs="Arial"/>
          <w:sz w:val="20"/>
          <w:szCs w:val="20"/>
          <w:lang w:val="es-ES"/>
        </w:rPr>
      </w:pPr>
      <w:r w:rsidRPr="49D68B91" w:rsidR="0098121E">
        <w:rPr>
          <w:rFonts w:ascii="Geomanist Light" w:hAnsi="Geomanist Light" w:cs="Arial"/>
          <w:sz w:val="20"/>
          <w:szCs w:val="20"/>
          <w:lang w:val="es-ES"/>
        </w:rPr>
        <w:t xml:space="preserve">El A.I.U. es una forma de presentar el análisis de costos o precios de la oferta y del contrato y es de la libertad de las partes utilizarlo y cuantificarlo en forma independiente al valor directo de la obra o como un porcentaje de </w:t>
      </w:r>
      <w:r w:rsidRPr="49D68B91" w:rsidR="0098121E">
        <w:rPr>
          <w:rFonts w:ascii="Geomanist Light" w:hAnsi="Geomanist Light" w:cs="Arial"/>
          <w:sz w:val="20"/>
          <w:szCs w:val="20"/>
          <w:lang w:val="es-ES"/>
        </w:rPr>
        <w:t>la misma</w:t>
      </w:r>
      <w:r w:rsidRPr="49D68B91" w:rsidR="0098121E">
        <w:rPr>
          <w:rFonts w:ascii="Geomanist Light" w:hAnsi="Geomanist Light" w:cs="Arial"/>
          <w:sz w:val="20"/>
          <w:szCs w:val="20"/>
          <w:lang w:val="es-ES"/>
        </w:rPr>
        <w:t xml:space="preserve"> o, simplemente no discriminarlo e incorporarlo en el valor de los precios unitarios.</w:t>
      </w:r>
    </w:p>
    <w:p w:rsidRPr="001A26EC" w:rsidR="0098121E" w:rsidP="00173D13" w:rsidRDefault="0098121E" w14:paraId="3BA17194" w14:textId="77777777">
      <w:pPr>
        <w:spacing w:line="240" w:lineRule="auto"/>
        <w:rPr>
          <w:rFonts w:ascii="Geomanist Light" w:hAnsi="Geomanist Light" w:cs="Arial"/>
          <w:sz w:val="20"/>
          <w:szCs w:val="20"/>
          <w:lang w:val="es-ES_tradnl"/>
        </w:rPr>
      </w:pPr>
      <w:r w:rsidRPr="001A26EC">
        <w:rPr>
          <w:rFonts w:ascii="Geomanist Light" w:hAnsi="Geomanist Light" w:cs="Arial"/>
          <w:sz w:val="20"/>
          <w:szCs w:val="20"/>
          <w:lang w:val="es-ES_tradnl"/>
        </w:rPr>
        <w:t>[…] el numeral «4.1.1 AIU» del Documento Base de los documentos tipo para procesos de selección abreviada de menor cuantía de infraestructura de transporte –versión 2, establece la obligatoriedad de incluir el AIU cuando el proceso de contratación sea por precios unitarios. En consecuencia, se indica el deber del proponente de calcular todos los gastos en los que incurre para poder remunerar los costos de administración, los imprevistos y la utilidad o beneficio económico que pretende percibir por la ejecución del contrato</w:t>
      </w:r>
    </w:p>
    <w:p w:rsidRPr="001A26EC" w:rsidR="0098121E" w:rsidP="00173D13" w:rsidRDefault="0098121E" w14:paraId="7CC57C94" w14:textId="77777777">
      <w:pPr>
        <w:spacing w:line="240" w:lineRule="auto"/>
        <w:rPr>
          <w:rFonts w:ascii="Geomanist Light" w:hAnsi="Geomanist Light" w:cs="Arial"/>
          <w:b/>
          <w:bCs/>
          <w:sz w:val="20"/>
          <w:szCs w:val="20"/>
          <w:lang w:val="es-ES_tradnl"/>
        </w:rPr>
      </w:pPr>
      <w:r w:rsidRPr="001A26EC">
        <w:rPr>
          <w:rFonts w:ascii="Geomanist Light" w:hAnsi="Geomanist Light" w:cs="Arial"/>
          <w:b/>
          <w:bCs/>
          <w:sz w:val="20"/>
          <w:szCs w:val="20"/>
          <w:lang w:val="es-ES_tradnl"/>
        </w:rPr>
        <w:t xml:space="preserve">FORMULARIO 1 – Connotación – Alcance – </w:t>
      </w:r>
      <w:r w:rsidRPr="00B26DB8">
        <w:rPr>
          <w:rFonts w:ascii="Geomanist Light" w:hAnsi="Geomanist Light" w:cs="Arial"/>
          <w:b/>
          <w:bCs/>
          <w:sz w:val="20"/>
          <w:szCs w:val="20"/>
          <w:lang w:val="es-ES_tradnl"/>
        </w:rPr>
        <w:t>Definición</w:t>
      </w:r>
    </w:p>
    <w:p w:rsidRPr="001A26EC" w:rsidR="0098121E" w:rsidP="49D68B91" w:rsidRDefault="0098121E" w14:paraId="7689B91D" w14:textId="77777777">
      <w:pPr>
        <w:spacing w:line="240" w:lineRule="auto"/>
        <w:rPr>
          <w:rFonts w:ascii="Geomanist Light" w:hAnsi="Geomanist Light" w:cs="Arial"/>
          <w:sz w:val="20"/>
          <w:szCs w:val="20"/>
          <w:lang w:val="es-ES"/>
        </w:rPr>
      </w:pPr>
      <w:r w:rsidRPr="49D68B91" w:rsidR="0098121E">
        <w:rPr>
          <w:rFonts w:ascii="Geomanist Light" w:hAnsi="Geomanist Light" w:cs="Arial"/>
          <w:sz w:val="20"/>
          <w:szCs w:val="20"/>
          <w:lang w:val="es-ES"/>
        </w:rPr>
        <w:t>En los documentos tipo referidos, el «Formulario 1 – Formulario de Presupuesto Oficial» tiene dos connotaciones: i) por un lado, es el formulario sobre el cual la entidad estructura y presenta el presupuesto oficial del procedimiento de contratación; y ii) por el otro, es el formulario sobre el cual los proponentes elaboran y presentan su oferta económica. El propósito de esto es evitar la duplicidad de información y permitir que las propuestas económicas sean evaluadas con las variables, cantidades, unidades de medida y reglas consideradas por la entidad al estructurar su presupuesto oficial.</w:t>
      </w:r>
    </w:p>
    <w:p w:rsidRPr="001A26EC" w:rsidR="0098121E" w:rsidP="00173D13" w:rsidRDefault="0098121E" w14:paraId="4A7F7A82" w14:textId="77777777">
      <w:pPr>
        <w:spacing w:line="240" w:lineRule="auto"/>
        <w:rPr>
          <w:rFonts w:ascii="Geomanist Light" w:hAnsi="Geomanist Light" w:cs="Arial"/>
          <w:b/>
          <w:bCs/>
          <w:sz w:val="20"/>
          <w:szCs w:val="20"/>
          <w:lang w:val="es-ES_tradnl"/>
        </w:rPr>
      </w:pPr>
      <w:r w:rsidRPr="001A26EC">
        <w:rPr>
          <w:rFonts w:ascii="Geomanist Light" w:hAnsi="Geomanist Light" w:cs="Arial"/>
          <w:b/>
          <w:bCs/>
          <w:sz w:val="20"/>
          <w:szCs w:val="20"/>
          <w:lang w:val="es-ES_tradnl"/>
        </w:rPr>
        <w:t xml:space="preserve">FORMULARIO 1 – </w:t>
      </w:r>
      <w:r w:rsidRPr="00876310">
        <w:rPr>
          <w:rFonts w:ascii="Geomanist Light" w:hAnsi="Geomanist Light" w:cs="Arial"/>
          <w:b/>
          <w:bCs/>
          <w:sz w:val="20"/>
          <w:szCs w:val="20"/>
          <w:lang w:val="es-ES_tradnl"/>
        </w:rPr>
        <w:t>Formulario de presupuesto oficial</w:t>
      </w:r>
      <w:r w:rsidRPr="001A26EC">
        <w:rPr>
          <w:rFonts w:ascii="Geomanist Light" w:hAnsi="Geomanist Light" w:cs="Arial"/>
          <w:b/>
          <w:bCs/>
          <w:sz w:val="20"/>
          <w:szCs w:val="20"/>
          <w:lang w:val="es-ES_tradnl"/>
        </w:rPr>
        <w:t xml:space="preserve"> </w:t>
      </w:r>
      <w:r w:rsidRPr="00876310">
        <w:rPr>
          <w:rFonts w:ascii="Geomanist Light" w:hAnsi="Geomanist Light" w:cs="Arial"/>
          <w:b/>
          <w:bCs/>
          <w:sz w:val="20"/>
          <w:szCs w:val="20"/>
          <w:lang w:val="es-ES_tradnl"/>
        </w:rPr>
        <w:t>– Notas 1, 2 y 3</w:t>
      </w:r>
      <w:r w:rsidRPr="001A26EC">
        <w:rPr>
          <w:rFonts w:ascii="Geomanist Light" w:hAnsi="Geomanist Light" w:cs="Arial"/>
          <w:b/>
          <w:bCs/>
          <w:sz w:val="20"/>
          <w:szCs w:val="20"/>
          <w:lang w:val="es-ES_tradnl"/>
        </w:rPr>
        <w:t xml:space="preserve"> – Componentes del AIU</w:t>
      </w:r>
    </w:p>
    <w:p w:rsidRPr="001A26EC" w:rsidR="0098121E" w:rsidP="00173D13" w:rsidRDefault="0098121E" w14:paraId="62E5B0BC" w14:textId="77777777">
      <w:pPr>
        <w:pStyle w:val="Textoindependiente"/>
        <w:spacing w:after="120"/>
        <w:jc w:val="both"/>
        <w:rPr>
          <w:rFonts w:ascii="Geomanist Light" w:hAnsi="Geomanist Light" w:eastAsia="Arial" w:cs="Arial"/>
          <w:sz w:val="20"/>
          <w:szCs w:val="20"/>
        </w:rPr>
      </w:pPr>
      <w:r w:rsidRPr="001A26EC">
        <w:rPr>
          <w:rFonts w:ascii="Geomanist Light" w:hAnsi="Geomanist Light"/>
          <w:sz w:val="20"/>
          <w:szCs w:val="20"/>
        </w:rPr>
        <w:t>[…] en la primera hoja del «Formulario 1 – Formulario de Presupuesto oficial» se señala que en los procesos de contratación estructurados por precios unitarios aplican las notas 1, 2 y 3 de dicho formato y, por tanto, se diligencian las casillas de «Descripción», «Porcentaje» de la Administración, Imprevistos, Utilidad y total del A.I.U resaltados en color amarillo. En otras palabras, las entidades estatales incluirán de manera obligatoria el porcentaje de la: i) administración, ii) imprevistos y iii) utilidad cuando el proceso de contratación sea por precios unitarios.</w:t>
      </w:r>
    </w:p>
    <w:p w:rsidRPr="001A26EC" w:rsidR="0098121E" w:rsidP="00173D13" w:rsidRDefault="0098121E" w14:paraId="1C40AA91" w14:textId="77777777">
      <w:pPr>
        <w:spacing w:line="240" w:lineRule="auto"/>
        <w:rPr>
          <w:rFonts w:ascii="Geomanist Light" w:hAnsi="Geomanist Light" w:cs="Arial"/>
          <w:b/>
          <w:bCs/>
          <w:sz w:val="20"/>
          <w:szCs w:val="20"/>
          <w:lang w:val="es-ES_tradnl"/>
        </w:rPr>
      </w:pPr>
      <w:bookmarkStart w:name="_Hlk65169726" w:id="0"/>
      <w:r w:rsidRPr="001A26EC">
        <w:rPr>
          <w:rFonts w:ascii="Geomanist Light" w:hAnsi="Geomanist Light" w:cs="Arial"/>
          <w:b/>
          <w:bCs/>
          <w:sz w:val="20"/>
          <w:szCs w:val="20"/>
          <w:lang w:val="es-ES_tradnl"/>
        </w:rPr>
        <w:t>FORMULARIO 1 – Formulario de propuesta económica – Aplicabilidad de la nota 1 – Discriminación del AIU</w:t>
      </w:r>
    </w:p>
    <w:p w:rsidRPr="001A26EC" w:rsidR="0098121E" w:rsidP="00173D13" w:rsidRDefault="0098121E" w14:paraId="56862A73" w14:textId="77777777">
      <w:pPr>
        <w:spacing w:before="120" w:after="120" w:line="240" w:lineRule="auto"/>
        <w:rPr>
          <w:rFonts w:ascii="Geomanist Light" w:hAnsi="Geomanist Light" w:eastAsia="Arial" w:cs="Arial"/>
          <w:sz w:val="20"/>
          <w:szCs w:val="20"/>
          <w:lang w:val="es-ES" w:eastAsia="es-ES" w:bidi="es-ES"/>
        </w:rPr>
      </w:pPr>
      <w:r w:rsidRPr="001A26EC">
        <w:rPr>
          <w:rFonts w:ascii="Geomanist Light" w:hAnsi="Geomanist Light" w:eastAsia="Arial" w:cs="Arial"/>
          <w:sz w:val="20"/>
          <w:szCs w:val="20"/>
          <w:lang w:val="es-ES" w:eastAsia="es-ES" w:bidi="es-ES"/>
        </w:rPr>
        <w:t xml:space="preserve">En efecto, el «Formulario 1 – Propuesta económica» solicita indicar el valor unitario de cada </w:t>
      </w:r>
      <w:proofErr w:type="spellStart"/>
      <w:r w:rsidRPr="001A26EC">
        <w:rPr>
          <w:rFonts w:ascii="Geomanist Light" w:hAnsi="Geomanist Light" w:eastAsia="Arial" w:cs="Arial"/>
          <w:sz w:val="20"/>
          <w:szCs w:val="20"/>
          <w:lang w:val="es-ES" w:eastAsia="es-ES" w:bidi="es-ES"/>
        </w:rPr>
        <w:t>item</w:t>
      </w:r>
      <w:proofErr w:type="spellEnd"/>
      <w:r w:rsidRPr="001A26EC">
        <w:rPr>
          <w:rFonts w:ascii="Geomanist Light" w:hAnsi="Geomanist Light" w:eastAsia="Arial" w:cs="Arial"/>
          <w:sz w:val="20"/>
          <w:szCs w:val="20"/>
          <w:lang w:val="es-ES" w:eastAsia="es-ES" w:bidi="es-ES"/>
        </w:rPr>
        <w:t xml:space="preserve"> de la propuesta económica, valor que de acuerdo con lo establecido por la «NOTA 1» debe incluir el valor de A.I.U. En consecuencia, el proponente debe calcular todos los gastos en los que incurre para poder remunerar los costos de administración, los imprevistos y la utilidad o beneficio económico que pretende percibir por la ejecución del contrato e incluirlos dentro de valor total en pesos colombianos relacionado en el valor unitario. Adicionalmente, el valor del A.I.U debe expresarse en un porcentaje que no debe ser superior al establecido por la entidad en el «Formulario 1 – Presupuesto Oficial» y, en todo caso, dicho porcentaje deberá corresponder con el valor relacionado en el valor unitario. Es decir, el porcentaje discriminado de AIU deberá ser un reflejo y corresponder con el valor en pesos colombianos incluido como unitario.</w:t>
      </w:r>
    </w:p>
    <w:p w:rsidRPr="001A26EC" w:rsidR="0098121E" w:rsidP="0098121E" w:rsidRDefault="0098121E" w14:paraId="74175F8E" w14:textId="4A2AB8AF">
      <w:pPr>
        <w:rPr>
          <w:rFonts w:ascii="Geomanist Light" w:hAnsi="Geomanist Light" w:cs="Arial"/>
          <w:b/>
          <w:sz w:val="22"/>
          <w:szCs w:val="20"/>
          <w:lang w:eastAsia="en-US"/>
        </w:rPr>
      </w:pPr>
    </w:p>
    <w:p w:rsidRPr="001A26EC" w:rsidR="000636B4" w:rsidP="0098121E" w:rsidRDefault="000636B4" w14:paraId="63FBE5F1" w14:textId="77777777">
      <w:pPr>
        <w:rPr>
          <w:rFonts w:ascii="Geomanist Light" w:hAnsi="Geomanist Light" w:cs="Arial"/>
          <w:b/>
          <w:sz w:val="22"/>
          <w:szCs w:val="20"/>
          <w:lang w:eastAsia="en-US"/>
        </w:rPr>
      </w:pPr>
    </w:p>
    <w:p w:rsidRPr="001A26EC" w:rsidR="0098121E" w:rsidP="0098121E" w:rsidRDefault="0098121E" w14:paraId="3FB9CC5D" w14:textId="77777777">
      <w:pPr>
        <w:rPr>
          <w:rFonts w:ascii="Geomanist Light" w:hAnsi="Geomanist Light" w:cs="Arial"/>
          <w:b/>
          <w:sz w:val="22"/>
          <w:szCs w:val="20"/>
        </w:rPr>
      </w:pPr>
    </w:p>
    <w:p w:rsidR="000636B4" w:rsidP="0098121E" w:rsidRDefault="000636B4" w14:paraId="0AA294BB" w14:textId="28040215">
      <w:pPr>
        <w:rPr>
          <w:rFonts w:ascii="Geomanist Light" w:hAnsi="Geomanist Light" w:cs="Arial"/>
          <w:sz w:val="22"/>
        </w:rPr>
      </w:pPr>
      <w:r w:rsidRPr="001A26EC">
        <w:rPr>
          <w:rFonts w:ascii="Geomanist Light" w:hAnsi="Geomanist Light" w:cs="Arial"/>
          <w:sz w:val="22"/>
        </w:rPr>
        <w:t xml:space="preserve">Bogotá, D.C, </w:t>
      </w:r>
      <w:r w:rsidR="00AA08C0">
        <w:rPr>
          <w:rFonts w:ascii="Geomanist Light" w:hAnsi="Geomanist Light" w:cs="Arial"/>
          <w:sz w:val="22"/>
        </w:rPr>
        <w:t>09 de diciembre 2022</w:t>
      </w:r>
    </w:p>
    <w:p w:rsidR="00AA08C0" w:rsidP="00AA08C0" w:rsidRDefault="00AA08C0" w14:paraId="75AA017E" w14:textId="513CE946">
      <w:pPr>
        <w:jc w:val="right"/>
        <w:rPr>
          <w:rFonts w:ascii="Geomanist Light" w:hAnsi="Geomanist Light" w:cs="Arial"/>
          <w:sz w:val="22"/>
        </w:rPr>
      </w:pPr>
      <w:r w:rsidRPr="00AA08C0">
        <w:rPr>
          <w:rFonts w:ascii="Geomanist Light" w:hAnsi="Geomanist Light" w:cs="Arial"/>
          <w:noProof/>
          <w:sz w:val="22"/>
        </w:rPr>
        <w:drawing>
          <wp:inline distT="0" distB="0" distL="0" distR="0" wp14:anchorId="28CE0F61" wp14:editId="5B288A5C">
            <wp:extent cx="2724152" cy="688207"/>
            <wp:effectExtent l="0" t="0" r="0" b="0"/>
            <wp:docPr id="1" name="Imagen 1" descr="Un conjunto de letras blancas en u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conjunto de letras blancas en un fondo blanco&#10;&#10;Descripción generada automáticamente con confianza media"/>
                    <pic:cNvPicPr/>
                  </pic:nvPicPr>
                  <pic:blipFill>
                    <a:blip r:embed="rId11"/>
                    <a:stretch>
                      <a:fillRect/>
                    </a:stretch>
                  </pic:blipFill>
                  <pic:spPr>
                    <a:xfrm>
                      <a:off x="0" y="0"/>
                      <a:ext cx="2742968" cy="692960"/>
                    </a:xfrm>
                    <a:prstGeom prst="rect">
                      <a:avLst/>
                    </a:prstGeom>
                  </pic:spPr>
                </pic:pic>
              </a:graphicData>
            </a:graphic>
          </wp:inline>
        </w:drawing>
      </w:r>
    </w:p>
    <w:p w:rsidRPr="001A26EC" w:rsidR="0098121E" w:rsidP="000636B4" w:rsidRDefault="0098121E" w14:paraId="55E1D656" w14:textId="299EC5DF">
      <w:pPr>
        <w:spacing w:after="0" w:line="240" w:lineRule="auto"/>
        <w:rPr>
          <w:rFonts w:ascii="Geomanist Light" w:hAnsi="Geomanist Light" w:cs="Arial"/>
          <w:sz w:val="22"/>
          <w:szCs w:val="22"/>
        </w:rPr>
      </w:pPr>
      <w:r w:rsidRPr="001A26EC">
        <w:rPr>
          <w:rFonts w:ascii="Geomanist Light" w:hAnsi="Geomanist Light" w:cs="Arial"/>
          <w:sz w:val="22"/>
        </w:rPr>
        <w:t xml:space="preserve">Señor </w:t>
      </w:r>
    </w:p>
    <w:p w:rsidRPr="001A26EC" w:rsidR="0098121E" w:rsidP="000636B4" w:rsidRDefault="0098121E" w14:paraId="53E8972E" w14:textId="77777777">
      <w:pPr>
        <w:spacing w:after="0" w:line="240" w:lineRule="auto"/>
        <w:rPr>
          <w:rFonts w:ascii="Geomanist Light" w:hAnsi="Geomanist Light" w:cs="Arial"/>
          <w:b/>
          <w:sz w:val="22"/>
        </w:rPr>
      </w:pPr>
      <w:r w:rsidRPr="001A26EC">
        <w:rPr>
          <w:rFonts w:ascii="Geomanist Light" w:hAnsi="Geomanist Light" w:cs="Arial"/>
          <w:b/>
          <w:sz w:val="22"/>
        </w:rPr>
        <w:t>ANDRES JULIAN GARCIA GAMA</w:t>
      </w:r>
    </w:p>
    <w:p w:rsidRPr="001A26EC" w:rsidR="0098121E" w:rsidP="000636B4" w:rsidRDefault="0098121E" w14:paraId="1CFC95CE" w14:textId="2CE958FD">
      <w:pPr>
        <w:spacing w:after="0" w:line="240" w:lineRule="auto"/>
        <w:rPr>
          <w:rFonts w:ascii="Geomanist Light" w:hAnsi="Geomanist Light" w:cs="Arial"/>
          <w:b/>
          <w:sz w:val="22"/>
        </w:rPr>
      </w:pPr>
      <w:r w:rsidRPr="001A26EC">
        <w:rPr>
          <w:rFonts w:ascii="Geomanist Light" w:hAnsi="Geomanist Light" w:cs="Arial"/>
          <w:b/>
          <w:sz w:val="22"/>
        </w:rPr>
        <w:t>GRUPO VERTICE INGENIERIA SAS</w:t>
      </w:r>
    </w:p>
    <w:p w:rsidRPr="001A26EC" w:rsidR="000636B4" w:rsidP="000636B4" w:rsidRDefault="00000000" w14:paraId="0F07AA98" w14:textId="211F8A85">
      <w:pPr>
        <w:spacing w:after="0" w:line="240" w:lineRule="auto"/>
        <w:rPr>
          <w:rFonts w:ascii="Geomanist Light" w:hAnsi="Geomanist Light" w:cs="Arial"/>
          <w:b/>
          <w:sz w:val="22"/>
        </w:rPr>
      </w:pPr>
      <w:hyperlink w:history="1" r:id="rId12">
        <w:r w:rsidRPr="001A26EC" w:rsidR="000636B4">
          <w:rPr>
            <w:rStyle w:val="Hipervnculo"/>
            <w:rFonts w:ascii="Geomanist Light" w:hAnsi="Geomanist Light" w:cs="Arial"/>
            <w:b/>
            <w:sz w:val="22"/>
          </w:rPr>
          <w:t>VERTICEGROUP8@GMAIL.COM</w:t>
        </w:r>
      </w:hyperlink>
      <w:r w:rsidRPr="001A26EC" w:rsidR="000636B4">
        <w:rPr>
          <w:rFonts w:ascii="Geomanist Light" w:hAnsi="Geomanist Light" w:cs="Arial"/>
          <w:b/>
          <w:sz w:val="22"/>
        </w:rPr>
        <w:t xml:space="preserve"> </w:t>
      </w:r>
    </w:p>
    <w:p w:rsidRPr="001A26EC" w:rsidR="0098121E" w:rsidP="000636B4" w:rsidRDefault="0098121E" w14:paraId="210BCE5D" w14:textId="77777777">
      <w:pPr>
        <w:spacing w:after="0" w:line="240" w:lineRule="auto"/>
        <w:rPr>
          <w:rFonts w:ascii="Geomanist Light" w:hAnsi="Geomanist Light" w:cs="Arial"/>
          <w:sz w:val="22"/>
        </w:rPr>
      </w:pPr>
      <w:r w:rsidRPr="001A26EC">
        <w:rPr>
          <w:rFonts w:ascii="Geomanist Light" w:hAnsi="Geomanist Light" w:cs="Arial"/>
          <w:sz w:val="22"/>
        </w:rPr>
        <w:t>Ciudad.</w:t>
      </w:r>
    </w:p>
    <w:p w:rsidRPr="001A26EC" w:rsidR="000636B4" w:rsidP="0098121E" w:rsidRDefault="000636B4" w14:paraId="4F0350F1" w14:textId="77777777">
      <w:pPr>
        <w:jc w:val="center"/>
        <w:rPr>
          <w:rFonts w:ascii="Geomanist Light" w:hAnsi="Geomanist Light" w:cs="Arial"/>
          <w:b/>
          <w:sz w:val="22"/>
        </w:rPr>
      </w:pPr>
    </w:p>
    <w:p w:rsidRPr="001A26EC" w:rsidR="000636B4" w:rsidP="0098121E" w:rsidRDefault="000636B4" w14:paraId="6A6D6DB1" w14:textId="77777777">
      <w:pPr>
        <w:jc w:val="center"/>
        <w:rPr>
          <w:rFonts w:ascii="Geomanist Light" w:hAnsi="Geomanist Light" w:cs="Arial"/>
          <w:b/>
          <w:sz w:val="22"/>
        </w:rPr>
      </w:pPr>
    </w:p>
    <w:p w:rsidRPr="001A26EC" w:rsidR="0098121E" w:rsidP="0098121E" w:rsidRDefault="0098121E" w14:paraId="4561B937" w14:textId="4D44FB67">
      <w:pPr>
        <w:jc w:val="center"/>
        <w:rPr>
          <w:rFonts w:ascii="Geomanist Light" w:hAnsi="Geomanist Light" w:cs="Arial"/>
          <w:b/>
          <w:color w:val="002060"/>
          <w:sz w:val="22"/>
        </w:rPr>
      </w:pPr>
      <w:r w:rsidRPr="001A26EC">
        <w:rPr>
          <w:rFonts w:ascii="Geomanist Light" w:hAnsi="Geomanist Light" w:cs="Arial"/>
          <w:b/>
          <w:color w:val="002060"/>
          <w:sz w:val="22"/>
        </w:rPr>
        <w:t>Concepto C–854 de 2022</w:t>
      </w:r>
    </w:p>
    <w:tbl>
      <w:tblPr>
        <w:tblStyle w:val="Tablaconcuadrcula"/>
        <w:tblW w:w="89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689"/>
        <w:gridCol w:w="6237"/>
      </w:tblGrid>
      <w:tr w:rsidRPr="001A26EC" w:rsidR="0098121E" w:rsidTr="0098121E" w14:paraId="7D566C35" w14:textId="77777777">
        <w:trPr>
          <w:trHeight w:val="1234"/>
        </w:trPr>
        <w:tc>
          <w:tcPr>
            <w:tcW w:w="2689" w:type="dxa"/>
            <w:hideMark/>
          </w:tcPr>
          <w:p w:rsidRPr="001A26EC" w:rsidR="0098121E" w:rsidRDefault="0098121E" w14:paraId="3AD69738" w14:textId="77777777">
            <w:pPr>
              <w:rPr>
                <w:rFonts w:ascii="Geomanist Light" w:hAnsi="Geomanist Light" w:cs="Arial"/>
                <w:color w:val="002060"/>
                <w:sz w:val="22"/>
              </w:rPr>
            </w:pPr>
            <w:r w:rsidRPr="001A26EC">
              <w:rPr>
                <w:rFonts w:ascii="Geomanist Light" w:hAnsi="Geomanist Light" w:cs="Arial"/>
                <w:b/>
                <w:color w:val="002060"/>
                <w:sz w:val="22"/>
              </w:rPr>
              <w:t>Temas:</w:t>
            </w:r>
            <w:r w:rsidRPr="001A26EC">
              <w:rPr>
                <w:rFonts w:ascii="Geomanist Light" w:hAnsi="Geomanist Light" w:cs="Arial"/>
                <w:color w:val="002060"/>
                <w:sz w:val="22"/>
              </w:rPr>
              <w:t xml:space="preserve">           </w:t>
            </w:r>
          </w:p>
          <w:p w:rsidRPr="001A26EC" w:rsidR="0098121E" w:rsidRDefault="0098121E" w14:paraId="55740F4B" w14:textId="77777777">
            <w:pPr>
              <w:rPr>
                <w:rFonts w:ascii="Geomanist Light" w:hAnsi="Geomanist Light" w:cs="Arial"/>
                <w:color w:val="002060"/>
                <w:sz w:val="22"/>
              </w:rPr>
            </w:pPr>
            <w:r w:rsidRPr="001A26EC">
              <w:rPr>
                <w:rFonts w:ascii="Geomanist Light" w:hAnsi="Geomanist Light" w:cs="Arial"/>
                <w:color w:val="002060"/>
                <w:sz w:val="22"/>
              </w:rPr>
              <w:t xml:space="preserve">                           </w:t>
            </w:r>
          </w:p>
        </w:tc>
        <w:tc>
          <w:tcPr>
            <w:tcW w:w="6237" w:type="dxa"/>
            <w:hideMark/>
          </w:tcPr>
          <w:p w:rsidRPr="001A26EC" w:rsidR="0098121E" w:rsidRDefault="0098121E" w14:paraId="607B82D1" w14:textId="77777777">
            <w:pPr>
              <w:rPr>
                <w:rFonts w:ascii="Geomanist Light" w:hAnsi="Geomanist Light" w:cs="Arial"/>
                <w:sz w:val="22"/>
              </w:rPr>
            </w:pPr>
            <w:r w:rsidRPr="001A26EC">
              <w:rPr>
                <w:rFonts w:ascii="Geomanist Light" w:hAnsi="Geomanist Light" w:cs="Arial"/>
                <w:bCs/>
                <w:sz w:val="22"/>
                <w:lang w:val="es-ES_tradnl"/>
              </w:rPr>
              <w:t>DOCUMENTOS TIPO – Numeral 4.1.1 – AIU</w:t>
            </w:r>
            <w:r w:rsidRPr="001A26EC">
              <w:rPr>
                <w:rFonts w:ascii="Geomanist Light" w:hAnsi="Geomanist Light" w:cs="Arial"/>
                <w:b/>
                <w:color w:val="000000" w:themeColor="text1"/>
                <w:sz w:val="22"/>
                <w:lang w:val="es-ES_tradnl"/>
              </w:rPr>
              <w:t xml:space="preserve"> </w:t>
            </w:r>
            <w:r w:rsidRPr="001A26EC">
              <w:rPr>
                <w:rFonts w:ascii="Geomanist Light" w:hAnsi="Geomanist Light" w:cs="Arial"/>
                <w:bCs/>
                <w:color w:val="000000" w:themeColor="text1"/>
                <w:sz w:val="22"/>
              </w:rPr>
              <w:t xml:space="preserve">/ FORMULARIO 1 – Connotación – Alcance – Definición / </w:t>
            </w:r>
            <w:r w:rsidRPr="001A26EC">
              <w:rPr>
                <w:rFonts w:ascii="Geomanist Light" w:hAnsi="Geomanist Light" w:cs="Arial"/>
                <w:bCs/>
                <w:sz w:val="22"/>
                <w:lang w:val="es-ES_tradnl"/>
              </w:rPr>
              <w:t xml:space="preserve">FORMULARIO 1 </w:t>
            </w:r>
            <w:r w:rsidRPr="001A26EC">
              <w:rPr>
                <w:rFonts w:ascii="Geomanist Light" w:hAnsi="Geomanist Light" w:cs="Arial"/>
                <w:bCs/>
                <w:color w:val="000000" w:themeColor="text1"/>
                <w:sz w:val="22"/>
              </w:rPr>
              <w:t>– Formulario de presupuesto oficial – Notas 1, 2 y 3 – Componentes del AIU /</w:t>
            </w:r>
            <w:r w:rsidRPr="001A26EC">
              <w:rPr>
                <w:rFonts w:ascii="Geomanist Light" w:hAnsi="Geomanist Light" w:cs="Arial"/>
                <w:b/>
                <w:bCs/>
                <w:sz w:val="22"/>
                <w:lang w:val="es-ES_tradnl"/>
              </w:rPr>
              <w:t xml:space="preserve"> </w:t>
            </w:r>
            <w:bookmarkStart w:name="_Hlk102467213" w:id="1"/>
            <w:r w:rsidRPr="001A26EC">
              <w:rPr>
                <w:rFonts w:ascii="Geomanist Light" w:hAnsi="Geomanist Light" w:cs="Arial"/>
                <w:sz w:val="22"/>
                <w:lang w:val="es-ES_tradnl"/>
              </w:rPr>
              <w:t>FORMULARIO 1</w:t>
            </w:r>
            <w:r w:rsidRPr="001A26EC">
              <w:rPr>
                <w:rFonts w:ascii="Geomanist Light" w:hAnsi="Geomanist Light" w:cs="Arial"/>
                <w:bCs/>
                <w:sz w:val="22"/>
                <w:lang w:val="es-ES_tradnl"/>
              </w:rPr>
              <w:t xml:space="preserve"> – </w:t>
            </w:r>
            <w:bookmarkEnd w:id="1"/>
            <w:r w:rsidRPr="001A26EC">
              <w:rPr>
                <w:rFonts w:ascii="Geomanist Light" w:hAnsi="Geomanist Light" w:cs="Arial"/>
                <w:bCs/>
                <w:sz w:val="22"/>
                <w:lang w:val="es-ES_tradnl"/>
              </w:rPr>
              <w:t>Formulario de propuesta económica – Aplicabilidad de la nota 1 – Discriminación del AIU</w:t>
            </w:r>
          </w:p>
        </w:tc>
      </w:tr>
      <w:tr w:rsidRPr="001A26EC" w:rsidR="0098121E" w:rsidTr="0098121E" w14:paraId="748D49F0" w14:textId="77777777">
        <w:trPr>
          <w:trHeight w:val="465"/>
        </w:trPr>
        <w:tc>
          <w:tcPr>
            <w:tcW w:w="2689" w:type="dxa"/>
            <w:hideMark/>
          </w:tcPr>
          <w:p w:rsidRPr="001A26EC" w:rsidR="0098121E" w:rsidRDefault="0098121E" w14:paraId="778216C0" w14:textId="77777777">
            <w:pPr>
              <w:rPr>
                <w:rFonts w:ascii="Geomanist Light" w:hAnsi="Geomanist Light" w:cs="Arial"/>
                <w:b/>
                <w:color w:val="002060"/>
                <w:sz w:val="22"/>
              </w:rPr>
            </w:pPr>
            <w:r w:rsidRPr="001A26EC">
              <w:rPr>
                <w:rFonts w:ascii="Geomanist Light" w:hAnsi="Geomanist Light" w:cs="Arial"/>
                <w:b/>
                <w:color w:val="002060"/>
                <w:sz w:val="22"/>
              </w:rPr>
              <w:t>Radicación:</w:t>
            </w:r>
            <w:r w:rsidRPr="001A26EC">
              <w:rPr>
                <w:rFonts w:ascii="Geomanist Light" w:hAnsi="Geomanist Light" w:cs="Arial"/>
                <w:color w:val="002060"/>
                <w:sz w:val="22"/>
              </w:rPr>
              <w:t xml:space="preserve">                              </w:t>
            </w:r>
          </w:p>
        </w:tc>
        <w:tc>
          <w:tcPr>
            <w:tcW w:w="6237" w:type="dxa"/>
            <w:hideMark/>
          </w:tcPr>
          <w:p w:rsidRPr="001A26EC" w:rsidR="0098121E" w:rsidRDefault="0098121E" w14:paraId="54AFBA5C" w14:textId="77777777">
            <w:pPr>
              <w:rPr>
                <w:rFonts w:ascii="Geomanist Light" w:hAnsi="Geomanist Light" w:cs="Arial"/>
                <w:sz w:val="22"/>
              </w:rPr>
            </w:pPr>
            <w:r w:rsidRPr="001A26EC">
              <w:rPr>
                <w:rFonts w:ascii="Geomanist Light" w:hAnsi="Geomanist Light" w:cs="Arial"/>
                <w:sz w:val="22"/>
              </w:rPr>
              <w:t>Respuesta a la consulta No.</w:t>
            </w:r>
            <w:r w:rsidRPr="001A26EC">
              <w:rPr>
                <w:rFonts w:ascii="Geomanist Light" w:hAnsi="Geomanist Light"/>
              </w:rPr>
              <w:t xml:space="preserve"> </w:t>
            </w:r>
            <w:r w:rsidRPr="001A26EC">
              <w:rPr>
                <w:rFonts w:ascii="Geomanist Light" w:hAnsi="Geomanist Light" w:cs="Arial"/>
                <w:sz w:val="22"/>
              </w:rPr>
              <w:t>P20221026010791</w:t>
            </w:r>
          </w:p>
        </w:tc>
      </w:tr>
    </w:tbl>
    <w:p w:rsidRPr="001A26EC" w:rsidR="0098121E" w:rsidP="0098121E" w:rsidRDefault="0098121E" w14:paraId="6B5A7951" w14:textId="77777777">
      <w:pPr>
        <w:rPr>
          <w:rFonts w:ascii="Geomanist Light" w:hAnsi="Geomanist Light" w:cs="Arial"/>
          <w:sz w:val="22"/>
          <w:szCs w:val="22"/>
          <w:lang w:eastAsia="en-US"/>
        </w:rPr>
      </w:pPr>
    </w:p>
    <w:p w:rsidRPr="001A26EC" w:rsidR="0098121E" w:rsidP="0098121E" w:rsidRDefault="0098121E" w14:paraId="08ECFF75" w14:textId="77777777">
      <w:pPr>
        <w:rPr>
          <w:rFonts w:ascii="Geomanist Light" w:hAnsi="Geomanist Light" w:cs="Arial"/>
          <w:sz w:val="22"/>
        </w:rPr>
      </w:pPr>
      <w:r w:rsidRPr="001A26EC">
        <w:rPr>
          <w:rFonts w:ascii="Geomanist Light" w:hAnsi="Geomanist Light" w:cs="Arial"/>
          <w:sz w:val="22"/>
        </w:rPr>
        <w:t>Estimado señor García:</w:t>
      </w:r>
    </w:p>
    <w:p w:rsidRPr="001A26EC" w:rsidR="0098121E" w:rsidP="0098121E" w:rsidRDefault="0098121E" w14:paraId="2BE2A4E5" w14:textId="77777777">
      <w:pPr>
        <w:rPr>
          <w:rFonts w:ascii="Geomanist Light" w:hAnsi="Geomanist Light" w:cs="Arial"/>
          <w:sz w:val="22"/>
        </w:rPr>
      </w:pPr>
      <w:r w:rsidRPr="001A26EC">
        <w:rPr>
          <w:rFonts w:ascii="Geomanist Light" w:hAnsi="Geomanist Light" w:cs="Arial"/>
          <w:color w:val="000000" w:themeColor="text1"/>
          <w:sz w:val="22"/>
          <w:lang w:val="es-ES"/>
        </w:rPr>
        <w:t xml:space="preserve">En ejercicio de la competencia otorgada por el numeral 8 del artículo 11 y el numeral 5 del artículo 3 del Decreto Ley 4170 de 2011, la Agencia Nacional de Contratación Pública – Colombia Compra Eficiente responde </w:t>
      </w:r>
      <w:r w:rsidRPr="001A26EC">
        <w:rPr>
          <w:rFonts w:ascii="Geomanist Light" w:hAnsi="Geomanist Light" w:cs="Arial"/>
          <w:sz w:val="22"/>
        </w:rPr>
        <w:t xml:space="preserve">su consulta del 25 de octubre de 2022. </w:t>
      </w:r>
    </w:p>
    <w:p w:rsidRPr="001A26EC" w:rsidR="0098121E" w:rsidP="0098121E" w:rsidRDefault="0098121E" w14:paraId="1B9FD55D" w14:textId="77777777">
      <w:pPr>
        <w:pStyle w:val="Prrafodelista"/>
        <w:numPr>
          <w:ilvl w:val="0"/>
          <w:numId w:val="8"/>
        </w:numPr>
        <w:tabs>
          <w:tab w:val="left" w:pos="284"/>
        </w:tabs>
        <w:spacing w:after="0" w:line="276" w:lineRule="auto"/>
        <w:ind w:left="0" w:firstLine="0"/>
        <w:jc w:val="both"/>
        <w:rPr>
          <w:rFonts w:eastAsia="Calibri" w:cs="Arial"/>
          <w:b/>
        </w:rPr>
      </w:pPr>
      <w:r w:rsidRPr="001A26EC">
        <w:rPr>
          <w:rFonts w:eastAsia="Calibri" w:cs="Arial"/>
          <w:b/>
        </w:rPr>
        <w:t xml:space="preserve">Problemas planteados </w:t>
      </w:r>
    </w:p>
    <w:p w:rsidRPr="001A26EC" w:rsidR="0098121E" w:rsidP="0098121E" w:rsidRDefault="0098121E" w14:paraId="5DC904DC" w14:textId="77777777">
      <w:pPr>
        <w:pStyle w:val="Default"/>
        <w:spacing w:before="120" w:after="120" w:line="276" w:lineRule="auto"/>
        <w:jc w:val="both"/>
        <w:rPr>
          <w:rFonts w:ascii="Geomanist Light" w:hAnsi="Geomanist Light" w:eastAsia="Calibri"/>
          <w:color w:val="auto"/>
          <w:sz w:val="22"/>
        </w:rPr>
      </w:pPr>
      <w:r w:rsidRPr="001A26EC">
        <w:rPr>
          <w:rFonts w:ascii="Geomanist Light" w:hAnsi="Geomanist Light" w:eastAsia="Calibri"/>
          <w:color w:val="auto"/>
          <w:sz w:val="22"/>
        </w:rPr>
        <w:t xml:space="preserve">Usted pregunta lo siguiente, en relación los documentos tipo: </w:t>
      </w:r>
    </w:p>
    <w:p w:rsidRPr="001A26EC" w:rsidR="0098121E" w:rsidP="000636B4" w:rsidRDefault="0098121E" w14:paraId="03CC4EFB" w14:textId="61C0055A">
      <w:pPr>
        <w:pStyle w:val="Default"/>
        <w:ind w:left="709" w:right="709"/>
        <w:jc w:val="both"/>
        <w:rPr>
          <w:rFonts w:ascii="Geomanist Light" w:hAnsi="Geomanist Light" w:eastAsia="Calibri"/>
          <w:color w:val="auto"/>
          <w:sz w:val="21"/>
          <w:szCs w:val="21"/>
        </w:rPr>
      </w:pPr>
      <w:r w:rsidRPr="001A26EC">
        <w:rPr>
          <w:rFonts w:ascii="Geomanist Light" w:hAnsi="Geomanist Light"/>
          <w:sz w:val="21"/>
          <w:szCs w:val="21"/>
          <w:lang w:val="es-ES_tradnl"/>
        </w:rPr>
        <w:t>«</w:t>
      </w:r>
      <w:r w:rsidRPr="001A26EC">
        <w:rPr>
          <w:rFonts w:ascii="Geomanist Light" w:hAnsi="Geomanist Light"/>
          <w:sz w:val="21"/>
          <w:szCs w:val="21"/>
        </w:rPr>
        <w:t xml:space="preserve">cuál es la manera correcta de presentar el presupuesto oficial, siguiendo la nota 1 donde se incluye el </w:t>
      </w:r>
      <w:proofErr w:type="spellStart"/>
      <w:r w:rsidRPr="001A26EC">
        <w:rPr>
          <w:rFonts w:ascii="Geomanist Light" w:hAnsi="Geomanist Light"/>
          <w:sz w:val="21"/>
          <w:szCs w:val="21"/>
        </w:rPr>
        <w:t>aiu</w:t>
      </w:r>
      <w:proofErr w:type="spellEnd"/>
      <w:r w:rsidRPr="001A26EC">
        <w:rPr>
          <w:rFonts w:ascii="Geomanist Light" w:hAnsi="Geomanist Light"/>
          <w:sz w:val="21"/>
          <w:szCs w:val="21"/>
        </w:rPr>
        <w:t xml:space="preserve"> al valor unitario o adicionarle el valor de costos indirectos al final, ya que si se realizan los dos al tiempo se esta adicionando dos veces el valor del AIU</w:t>
      </w:r>
      <w:r w:rsidRPr="001A26EC">
        <w:rPr>
          <w:rFonts w:ascii="Geomanist Light" w:hAnsi="Geomanist Light" w:eastAsia="Calibri"/>
          <w:color w:val="auto"/>
          <w:sz w:val="21"/>
          <w:szCs w:val="21"/>
        </w:rPr>
        <w:t xml:space="preserve">» </w:t>
      </w:r>
      <w:r w:rsidRPr="001A26EC" w:rsidR="00C13550">
        <w:rPr>
          <w:rFonts w:ascii="Geomanist Light" w:hAnsi="Geomanist Light" w:eastAsia="Calibri"/>
          <w:color w:val="auto"/>
          <w:sz w:val="21"/>
          <w:szCs w:val="21"/>
        </w:rPr>
        <w:t>(sic)</w:t>
      </w:r>
    </w:p>
    <w:p w:rsidRPr="001A26EC" w:rsidR="0098121E" w:rsidP="0098121E" w:rsidRDefault="0098121E" w14:paraId="4FFEAB9B" w14:textId="59F2721D">
      <w:pPr>
        <w:pStyle w:val="Default"/>
        <w:spacing w:line="276" w:lineRule="auto"/>
        <w:ind w:firstLine="709"/>
        <w:jc w:val="both"/>
        <w:rPr>
          <w:rFonts w:ascii="Geomanist Light" w:hAnsi="Geomanist Light"/>
          <w:sz w:val="22"/>
        </w:rPr>
      </w:pPr>
    </w:p>
    <w:p w:rsidRPr="001A26EC" w:rsidR="000636B4" w:rsidP="0098121E" w:rsidRDefault="000636B4" w14:paraId="4510B254" w14:textId="77777777">
      <w:pPr>
        <w:pStyle w:val="Default"/>
        <w:spacing w:line="276" w:lineRule="auto"/>
        <w:ind w:firstLine="709"/>
        <w:jc w:val="both"/>
        <w:rPr>
          <w:rFonts w:ascii="Geomanist Light" w:hAnsi="Geomanist Light"/>
          <w:sz w:val="22"/>
        </w:rPr>
      </w:pPr>
    </w:p>
    <w:p w:rsidRPr="001A26EC" w:rsidR="0098121E" w:rsidP="0098121E" w:rsidRDefault="0098121E" w14:paraId="780A2A87" w14:textId="77777777">
      <w:pPr>
        <w:pStyle w:val="Prrafodelista"/>
        <w:numPr>
          <w:ilvl w:val="0"/>
          <w:numId w:val="8"/>
        </w:numPr>
        <w:tabs>
          <w:tab w:val="left" w:pos="426"/>
        </w:tabs>
        <w:spacing w:after="0" w:line="240" w:lineRule="auto"/>
        <w:ind w:left="0" w:firstLine="0"/>
        <w:jc w:val="both"/>
        <w:rPr>
          <w:rFonts w:eastAsia="Calibri" w:cs="Arial"/>
          <w:b/>
        </w:rPr>
      </w:pPr>
      <w:r w:rsidRPr="001A26EC">
        <w:rPr>
          <w:rFonts w:eastAsia="Calibri" w:cs="Arial"/>
          <w:b/>
        </w:rPr>
        <w:t>Consideraciones</w:t>
      </w:r>
    </w:p>
    <w:p w:rsidRPr="001A26EC" w:rsidR="0098121E" w:rsidP="0098121E" w:rsidRDefault="0098121E" w14:paraId="390E795A" w14:textId="77777777">
      <w:pPr>
        <w:pStyle w:val="Prrafodelista"/>
        <w:tabs>
          <w:tab w:val="left" w:pos="426"/>
        </w:tabs>
        <w:ind w:left="0"/>
        <w:jc w:val="both"/>
        <w:rPr>
          <w:rFonts w:eastAsia="Calibri" w:cs="Arial"/>
          <w:b/>
        </w:rPr>
      </w:pPr>
    </w:p>
    <w:p w:rsidRPr="001A26EC" w:rsidR="0098121E" w:rsidP="0098121E" w:rsidRDefault="0098121E" w14:paraId="7B52325B" w14:textId="77777777">
      <w:pPr>
        <w:rPr>
          <w:rFonts w:ascii="Geomanist Light" w:hAnsi="Geomanist Light" w:cs="Arial" w:eastAsiaTheme="minorHAnsi"/>
          <w:color w:val="000000"/>
          <w:sz w:val="22"/>
          <w:lang w:val="es-ES"/>
        </w:rPr>
      </w:pPr>
      <w:r w:rsidRPr="001A26EC">
        <w:rPr>
          <w:rFonts w:ascii="Geomanist Light" w:hAnsi="Geomanist Light" w:cs="Arial"/>
          <w:color w:val="000000"/>
          <w:sz w:val="22"/>
          <w:lang w:val="es-CO"/>
        </w:rPr>
        <w:t>Para responder sus preguntas relacionadas con los documentos tipo</w:t>
      </w:r>
      <w:r w:rsidRPr="001A26EC">
        <w:rPr>
          <w:rFonts w:ascii="Geomanist Light" w:hAnsi="Geomanist Light" w:cs="Arial"/>
          <w:color w:val="000000"/>
          <w:sz w:val="22"/>
          <w:lang w:val="es-ES"/>
        </w:rPr>
        <w:t xml:space="preserve">, se analizarán los siguientes temas: i) el A.I.U. en los procesos regidos por documentos tipo, ii) alcance del Formulario 1 – Formulario del Presupuesto Oficial y iii) alcance de la causal de rechazo del literal R. </w:t>
      </w:r>
    </w:p>
    <w:p w:rsidRPr="001A26EC" w:rsidR="0098121E" w:rsidP="0098121E" w:rsidRDefault="0098121E" w14:paraId="1B62C3E6" w14:textId="77777777">
      <w:pPr>
        <w:tabs>
          <w:tab w:val="left" w:pos="0"/>
        </w:tabs>
        <w:spacing w:before="120" w:after="120"/>
        <w:ind w:firstLine="709"/>
        <w:rPr>
          <w:rFonts w:ascii="Geomanist Light" w:hAnsi="Geomanist Light" w:cs="Arial"/>
          <w:bCs/>
          <w:sz w:val="22"/>
          <w:szCs w:val="22"/>
          <w:lang w:val="es-CO"/>
        </w:rPr>
      </w:pPr>
      <w:bookmarkStart w:name="_Hlk38448224" w:id="2"/>
      <w:r w:rsidRPr="001A26EC">
        <w:rPr>
          <w:rFonts w:ascii="Geomanist Light" w:hAnsi="Geomanist Light" w:cs="Arial"/>
          <w:bCs/>
          <w:sz w:val="22"/>
          <w:lang w:val="es-CO"/>
        </w:rPr>
        <w:t xml:space="preserve">La Agencia Nacional de Contratación Pública – Colombia Compra Eficiente, </w:t>
      </w:r>
      <w:bookmarkStart w:name="_Hlk102459012" w:id="3"/>
      <w:r w:rsidRPr="001A26EC">
        <w:rPr>
          <w:rFonts w:ascii="Geomanist Light" w:hAnsi="Geomanist Light" w:cs="Arial"/>
          <w:bCs/>
          <w:sz w:val="22"/>
          <w:lang w:val="es-CO"/>
        </w:rPr>
        <w:t>en el concepto con radicado No. 4201912000004987 del 14 de agosto de 2019, reiterado y desarrollado en los conceptos No. 4201913000005675 del 25 de septiembre de 2019, 4201912000005852 del 25 de septiembre de 2019, 4201912000006447 del 10 de octubre de 2019, 4201912000006498 del 7 de octubre de 2019, 4201912000007471 del 13 de noviembre de 2019, C – 016 de 2020 del 21 de abril de 2020, C – 037 de 2020 del 28 de enero de 2020, C – 038 de 2020 del 28 de enero de 2020, C – 093 de 2020 del 28 de febrero de 2020, C – 133 del 30 de marzo de 2020, C – 153 del 1 de abril de 2020, C – 704 del 11 de diciembre del 2020, C – 070 del 16 de marzo de 2021, C – 204 del 6 de mayo de 2021 y C – 435 de 1 de septiembre de 2021 se pronunció acerca del Formulario 1 – Formulario de Presupuesto Oficial de los Documentos Tipo</w:t>
      </w:r>
      <w:bookmarkEnd w:id="3"/>
      <w:r w:rsidRPr="001A26EC">
        <w:rPr>
          <w:rFonts w:ascii="Geomanist Light" w:hAnsi="Geomanist Light" w:cs="Arial"/>
          <w:bCs/>
          <w:sz w:val="22"/>
          <w:lang w:val="es-CO"/>
        </w:rPr>
        <w:t>. Igualmente, esta Agencia se pronunció sobre la configuración del AIU en los Documentos Tipo según el numeral 4.1.1. del Documento Base y el Formulario 1 – Formulario de Presupuesto Oficial en los conceptos C-030 de 26 de febrero de 2021, C-488 del 10 de septiembre de 2021, C-640 del 12 de noviembre de 2021, C-123 del 22 de marzo de 2022, C-113 del 22 de marzo de 2022</w:t>
      </w:r>
      <w:bookmarkEnd w:id="2"/>
      <w:r w:rsidRPr="001A26EC">
        <w:rPr>
          <w:rFonts w:ascii="Geomanist Light" w:hAnsi="Geomanist Light" w:cs="Arial"/>
          <w:bCs/>
          <w:sz w:val="22"/>
          <w:lang w:val="es-CO"/>
        </w:rPr>
        <w:t xml:space="preserve"> y C-298 del 9 de mayo de 2022. Las tesis desarrolladas se exponen a continuación y se complementan en lo pertinente. </w:t>
      </w:r>
    </w:p>
    <w:p w:rsidRPr="001A26EC" w:rsidR="0098121E" w:rsidP="0098121E" w:rsidRDefault="0098121E" w14:paraId="37020554" w14:textId="77777777">
      <w:pPr>
        <w:rPr>
          <w:rFonts w:ascii="Geomanist Light" w:hAnsi="Geomanist Light" w:cs="Arial" w:eastAsiaTheme="minorHAnsi"/>
          <w:bCs/>
          <w:sz w:val="22"/>
          <w:lang w:val="es-ES_tradnl"/>
        </w:rPr>
      </w:pPr>
    </w:p>
    <w:p w:rsidRPr="001A26EC" w:rsidR="0098121E" w:rsidP="0098121E" w:rsidRDefault="0098121E" w14:paraId="639338E3" w14:textId="77777777">
      <w:pPr>
        <w:rPr>
          <w:rFonts w:ascii="Geomanist Light" w:hAnsi="Geomanist Light" w:cs="Arial"/>
          <w:b/>
          <w:sz w:val="22"/>
          <w:lang w:val="es-ES_tradnl"/>
        </w:rPr>
      </w:pPr>
      <w:r w:rsidRPr="001A26EC">
        <w:rPr>
          <w:rFonts w:ascii="Geomanist Light" w:hAnsi="Geomanist Light" w:cs="Arial"/>
          <w:b/>
          <w:sz w:val="22"/>
          <w:lang w:val="es-ES_tradnl"/>
        </w:rPr>
        <w:t>2.1. El A.I.U. en los documentos tipo para procesos regidos por documentos tipo</w:t>
      </w:r>
    </w:p>
    <w:p w:rsidRPr="001A26EC" w:rsidR="0098121E" w:rsidP="0098121E" w:rsidRDefault="0098121E" w14:paraId="18834EAE" w14:textId="77777777">
      <w:pPr>
        <w:spacing w:after="120"/>
        <w:rPr>
          <w:rFonts w:ascii="Geomanist Light" w:hAnsi="Geomanist Light" w:eastAsia="Arial" w:cs="Arial"/>
          <w:sz w:val="22"/>
          <w:lang w:val="es-CO" w:eastAsia="es-CO"/>
        </w:rPr>
      </w:pPr>
      <w:r w:rsidRPr="001A26EC">
        <w:rPr>
          <w:rFonts w:ascii="Geomanist Light" w:hAnsi="Geomanist Light" w:eastAsia="Arial" w:cs="Arial"/>
          <w:sz w:val="22"/>
          <w:lang w:val="es-CO" w:eastAsia="es-CO"/>
        </w:rPr>
        <w:t>Uno de los elementos más comunes en los contratos estatales es el precio, también conocido como valor. Aunque no todo contrato lo incluye –pues también existen negocios gratuitos– lo usual es que los contratos estatales se perfeccionen como onerosos y, la mayoría de las veces, como conmutativos. Adicionalmente, el precio suele ser el elemento más importante para el contratista, porque equivale a la remuneración o contraprestación que la entidad contratante le pagará por la ejecución del contrato.</w:t>
      </w:r>
    </w:p>
    <w:p w:rsidRPr="001A26EC" w:rsidR="0098121E" w:rsidP="0098121E" w:rsidRDefault="0098121E" w14:paraId="006E3378" w14:textId="3F4C2A8C">
      <w:pPr>
        <w:spacing w:before="120" w:after="120"/>
        <w:ind w:firstLine="709"/>
        <w:rPr>
          <w:rFonts w:ascii="Geomanist Light" w:hAnsi="Geomanist Light" w:eastAsia="Arial" w:cs="Arial"/>
          <w:sz w:val="22"/>
          <w:lang w:val="es-CO" w:eastAsia="es-CO"/>
        </w:rPr>
      </w:pPr>
      <w:r w:rsidRPr="001A26EC">
        <w:rPr>
          <w:rFonts w:ascii="Geomanist Light" w:hAnsi="Geomanist Light" w:eastAsia="Arial" w:cs="Arial"/>
          <w:sz w:val="22"/>
          <w:lang w:val="es-CO" w:eastAsia="es-CO"/>
        </w:rPr>
        <w:t xml:space="preserve">Desde la etapa de planeación, en la fase precontractual, las </w:t>
      </w:r>
      <w:r w:rsidRPr="001A26EC" w:rsidR="007E24A4">
        <w:rPr>
          <w:rFonts w:ascii="Geomanist Light" w:hAnsi="Geomanist Light" w:eastAsia="Arial" w:cs="Arial"/>
          <w:sz w:val="22"/>
          <w:lang w:val="es-CO" w:eastAsia="es-CO"/>
        </w:rPr>
        <w:t>E</w:t>
      </w:r>
      <w:r w:rsidRPr="001A26EC">
        <w:rPr>
          <w:rFonts w:ascii="Geomanist Light" w:hAnsi="Geomanist Light" w:eastAsia="Arial" w:cs="Arial"/>
          <w:sz w:val="22"/>
          <w:lang w:val="es-CO" w:eastAsia="es-CO"/>
        </w:rPr>
        <w:t xml:space="preserve">ntidades </w:t>
      </w:r>
      <w:r w:rsidRPr="001A26EC" w:rsidR="007E24A4">
        <w:rPr>
          <w:rFonts w:ascii="Geomanist Light" w:hAnsi="Geomanist Light" w:eastAsia="Arial" w:cs="Arial"/>
          <w:sz w:val="22"/>
          <w:lang w:val="es-CO" w:eastAsia="es-CO"/>
        </w:rPr>
        <w:t>E</w:t>
      </w:r>
      <w:r w:rsidRPr="001A26EC">
        <w:rPr>
          <w:rFonts w:ascii="Geomanist Light" w:hAnsi="Geomanist Light" w:eastAsia="Arial" w:cs="Arial"/>
          <w:sz w:val="22"/>
          <w:lang w:val="es-CO" w:eastAsia="es-CO"/>
        </w:rPr>
        <w:t xml:space="preserve">statales deben calcular el presupuesto oficial, mediante la realización del análisis del sector –que incluye el estudio del mercado– y definir la metodología con la cual estructurarán el precio del contrato. Dicho de </w:t>
      </w:r>
      <w:r w:rsidRPr="001A26EC">
        <w:rPr>
          <w:rFonts w:ascii="Geomanist Light" w:hAnsi="Geomanist Light" w:eastAsia="Arial" w:cs="Arial"/>
          <w:sz w:val="22"/>
          <w:lang w:val="es-CO" w:eastAsia="es-CO"/>
        </w:rPr>
        <w:t>otro modo, hace parte de los estudios previos la definición del esquema que la entidad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1A26EC">
        <w:rPr>
          <w:rFonts w:ascii="Geomanist Light" w:hAnsi="Geomanist Light"/>
          <w:vertAlign w:val="superscript"/>
        </w:rPr>
        <w:footnoteReference w:id="2"/>
      </w:r>
      <w:r w:rsidRPr="001A26EC">
        <w:rPr>
          <w:rFonts w:ascii="Geomanist Light" w:hAnsi="Geomanist Light" w:eastAsia="Arial" w:cs="Arial"/>
          <w:sz w:val="22"/>
          <w:lang w:val="es-CO" w:eastAsia="es-CO"/>
        </w:rPr>
        <w:t>. 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–calculados de acuerdo con las unidades que componen el objeto del contrato–, ii) el precio global –que equivale al monto total, sin discriminar unidades–, y iii) la administración delegada de recursos –en la que se distinguen los costos de inversión de los honorarios del administrador–.</w:t>
      </w:r>
    </w:p>
    <w:p w:rsidRPr="001A26EC" w:rsidR="0098121E" w:rsidP="0098121E" w:rsidRDefault="0098121E" w14:paraId="1EB9364C" w14:textId="77777777">
      <w:pPr>
        <w:spacing w:after="120"/>
        <w:rPr>
          <w:rFonts w:ascii="Geomanist Light" w:hAnsi="Geomanist Light" w:eastAsia="Arial" w:cs="Arial"/>
          <w:sz w:val="22"/>
          <w:lang w:val="es-CO" w:eastAsia="es-CO"/>
        </w:rPr>
      </w:pPr>
      <w:r w:rsidRPr="001A26EC">
        <w:rPr>
          <w:rFonts w:ascii="Geomanist Light" w:hAnsi="Geomanist Light" w:eastAsia="Arial" w:cs="Arial"/>
          <w:sz w:val="22"/>
          <w:lang w:val="es-CO" w:eastAsia="es-CO"/>
        </w:rPr>
        <w:tab/>
      </w:r>
      <w:r w:rsidRPr="001A26EC">
        <w:rPr>
          <w:rFonts w:ascii="Geomanist Light" w:hAnsi="Geomanist Light" w:eastAsia="Arial" w:cs="Arial"/>
          <w:sz w:val="22"/>
          <w:lang w:val="es-CO" w:eastAsia="es-CO"/>
        </w:rPr>
        <w:t xml:space="preserve">Así las cosas, en los contratos cuyo precio se estructura a partir del sistema de precios unitarios, ha hecho parte de la práctica de los negocios que el contratante le solicite al potencial contratista que separe en su propuesta los costos directos –es decir, los que están directamente implicados en la ejecución del objeto–, de los costos indirectos –que equivalen a los rubros que no tienen que ver de manera inmediata con la ejecución de las actividades contractuales, pero que integran también el precio, bien porque constituyen erogaciones administrativas o contingentes </w:t>
      </w:r>
      <w:r w:rsidRPr="001A26EC">
        <w:rPr>
          <w:rFonts w:ascii="Geomanist Light" w:hAnsi="Geomanist Light" w:eastAsia="Arial" w:cs="Arial"/>
          <w:sz w:val="22"/>
          <w:lang w:val="es-CO" w:eastAsia="es-CO"/>
        </w:rPr>
        <w:t xml:space="preserve">para el contratista o bien porque se dirigen a salvaguardar su ganancia–. En tal sentido, mientras que los costos directos se evidencian en el «análisis de precios unitarios» –APU–, como la sumatoria de los valores de los </w:t>
      </w:r>
      <w:r w:rsidRPr="001A26EC">
        <w:rPr>
          <w:rFonts w:ascii="Geomanist Light" w:hAnsi="Geomanist Light" w:eastAsia="Arial" w:cs="Arial"/>
          <w:i/>
          <w:sz w:val="22"/>
          <w:lang w:val="es-CO" w:eastAsia="es-CO"/>
        </w:rPr>
        <w:t>ítems</w:t>
      </w:r>
      <w:r w:rsidRPr="001A26EC">
        <w:rPr>
          <w:rFonts w:ascii="Geomanist Light" w:hAnsi="Geomanist Light" w:eastAsia="Arial" w:cs="Arial"/>
          <w:sz w:val="22"/>
          <w:lang w:val="es-CO" w:eastAsia="es-CO"/>
        </w:rPr>
        <w:t xml:space="preserve"> según su unidad de medida, los costos indirectos se suelen abreviar en las variables que integran el acrónimo AIU: Administración, Imprevistos y Utilidad, que se calcula como un porcentaje aplicado a los costos directos. </w:t>
      </w:r>
    </w:p>
    <w:p w:rsidRPr="001A26EC" w:rsidR="0098121E" w:rsidP="0098121E" w:rsidRDefault="0098121E" w14:paraId="4264C1D3" w14:textId="61AD2B7B">
      <w:pPr>
        <w:spacing w:after="120"/>
        <w:ind w:firstLine="708"/>
        <w:rPr>
          <w:rFonts w:ascii="Geomanist Light" w:hAnsi="Geomanist Light" w:eastAsia="Arial" w:cs="Arial"/>
          <w:sz w:val="22"/>
          <w:lang w:val="es-CO" w:eastAsia="es-CO"/>
        </w:rPr>
      </w:pPr>
      <w:r w:rsidRPr="001A26EC">
        <w:rPr>
          <w:rFonts w:ascii="Geomanist Light" w:hAnsi="Geomanist Light" w:eastAsia="Arial" w:cs="Arial"/>
          <w:sz w:val="22"/>
          <w:lang w:val="es-CO" w:eastAsia="es-CO"/>
        </w:rPr>
        <w:t>En ese sentido, como manifestación de la autonomía de la voluntad admitida, aunque con matices, dentro del contexto de los contratos estatales, entre otros, por los artículos 32</w:t>
      </w:r>
      <w:r w:rsidRPr="001A26EC">
        <w:rPr>
          <w:rFonts w:ascii="Geomanist Light" w:hAnsi="Geomanist Light"/>
          <w:vertAlign w:val="superscript"/>
        </w:rPr>
        <w:footnoteReference w:id="3"/>
      </w:r>
      <w:r w:rsidRPr="001A26EC">
        <w:rPr>
          <w:rFonts w:ascii="Geomanist Light" w:hAnsi="Geomanist Light" w:eastAsia="Arial" w:cs="Arial"/>
          <w:sz w:val="22"/>
          <w:lang w:val="es-CO" w:eastAsia="es-CO"/>
        </w:rPr>
        <w:t xml:space="preserve"> y 40</w:t>
      </w:r>
      <w:r w:rsidRPr="001A26EC">
        <w:rPr>
          <w:rFonts w:ascii="Geomanist Light" w:hAnsi="Geomanist Light"/>
          <w:vertAlign w:val="superscript"/>
        </w:rPr>
        <w:footnoteReference w:id="4"/>
      </w:r>
      <w:r w:rsidRPr="001A26EC">
        <w:rPr>
          <w:rFonts w:ascii="Geomanist Light" w:hAnsi="Geomanist Light" w:eastAsia="Arial" w:cs="Arial"/>
          <w:sz w:val="22"/>
          <w:lang w:val="es-CO" w:eastAsia="es-CO"/>
        </w:rPr>
        <w:t xml:space="preserve"> de la Ley 80 de 1993, las </w:t>
      </w:r>
      <w:r w:rsidRPr="001A26EC" w:rsidR="003F2FFB">
        <w:rPr>
          <w:rFonts w:ascii="Geomanist Light" w:hAnsi="Geomanist Light" w:eastAsia="Arial" w:cs="Arial"/>
          <w:sz w:val="22"/>
          <w:lang w:val="es-CO" w:eastAsia="es-CO"/>
        </w:rPr>
        <w:t>E</w:t>
      </w:r>
      <w:r w:rsidRPr="001A26EC">
        <w:rPr>
          <w:rFonts w:ascii="Geomanist Light" w:hAnsi="Geomanist Light" w:eastAsia="Arial" w:cs="Arial"/>
          <w:sz w:val="22"/>
          <w:lang w:val="es-CO" w:eastAsia="es-CO"/>
        </w:rPr>
        <w:t xml:space="preserve">ntidades </w:t>
      </w:r>
      <w:r w:rsidRPr="001A26EC" w:rsidR="003F2FFB">
        <w:rPr>
          <w:rFonts w:ascii="Geomanist Light" w:hAnsi="Geomanist Light" w:eastAsia="Arial" w:cs="Arial"/>
          <w:sz w:val="22"/>
          <w:lang w:val="es-CO" w:eastAsia="es-CO"/>
        </w:rPr>
        <w:t>E</w:t>
      </w:r>
      <w:r w:rsidRPr="001A26EC">
        <w:rPr>
          <w:rFonts w:ascii="Geomanist Light" w:hAnsi="Geomanist Light" w:eastAsia="Arial" w:cs="Arial"/>
          <w:sz w:val="22"/>
          <w:lang w:val="es-CO" w:eastAsia="es-CO"/>
        </w:rPr>
        <w:t xml:space="preserve">statales y contratistas pueden hacer uso de un método para cuantificar los costos del valor de la oferta con miras a otorgar un porcentaje a sumas calculadas en el valor del objeto contractual –obra, bienes o servicios– por concepto de costos indirectos de administración, costos por imprevistos y la utilidad esperada del contratista. A este método se le conoce como costos por A.I.U. –Administración, Imprevistos y Utilidades–. </w:t>
      </w:r>
    </w:p>
    <w:p w:rsidRPr="001A26EC" w:rsidR="0098121E" w:rsidP="0098121E" w:rsidRDefault="0098121E" w14:paraId="2E6C942E" w14:textId="0E13C732">
      <w:pPr>
        <w:spacing w:after="120"/>
        <w:ind w:firstLine="708"/>
        <w:rPr>
          <w:rFonts w:ascii="Geomanist Light" w:hAnsi="Geomanist Light" w:eastAsia="Arial" w:cs="Arial"/>
          <w:sz w:val="22"/>
          <w:lang w:val="es-CO" w:eastAsia="es-CO"/>
        </w:rPr>
      </w:pPr>
      <w:bookmarkStart w:name="_Hlk82170471" w:id="4"/>
      <w:r w:rsidRPr="001A26EC">
        <w:rPr>
          <w:rFonts w:ascii="Geomanist Light" w:hAnsi="Geomanist Light" w:eastAsia="Arial" w:cs="Arial"/>
          <w:sz w:val="22"/>
          <w:lang w:val="es-CO" w:eastAsia="es-CO"/>
        </w:rPr>
        <w:t xml:space="preserve">El A.I.U. es una forma de presentar el análisis de costos o precios de la oferta y del contrato y es de la libertad de las partes utilizarlo y cuantificarlo en forma independiente al valor directo de la obra o como un porcentaje de </w:t>
      </w:r>
      <w:r w:rsidRPr="001A26EC" w:rsidR="00765DC1">
        <w:rPr>
          <w:rFonts w:ascii="Geomanist Light" w:hAnsi="Geomanist Light" w:eastAsia="Arial" w:cs="Arial"/>
          <w:sz w:val="22"/>
          <w:lang w:val="es-CO" w:eastAsia="es-CO"/>
        </w:rPr>
        <w:t>esta</w:t>
      </w:r>
      <w:r w:rsidRPr="001A26EC">
        <w:rPr>
          <w:rFonts w:ascii="Geomanist Light" w:hAnsi="Geomanist Light" w:eastAsia="Arial" w:cs="Arial"/>
          <w:sz w:val="22"/>
          <w:lang w:val="es-CO" w:eastAsia="es-CO"/>
        </w:rPr>
        <w:t xml:space="preserve"> o, simplemente no discriminarlo e incorporarlo en el valor de los precios unitarios</w:t>
      </w:r>
      <w:r w:rsidRPr="001A26EC">
        <w:rPr>
          <w:rFonts w:ascii="Geomanist Light" w:hAnsi="Geomanist Light"/>
          <w:vertAlign w:val="superscript"/>
        </w:rPr>
        <w:footnoteReference w:id="5"/>
      </w:r>
      <w:r w:rsidRPr="001A26EC">
        <w:rPr>
          <w:rFonts w:ascii="Geomanist Light" w:hAnsi="Geomanist Light" w:eastAsia="Arial" w:cs="Arial"/>
          <w:sz w:val="22"/>
          <w:lang w:val="es-CO" w:eastAsia="es-CO"/>
        </w:rPr>
        <w:t>.</w:t>
      </w:r>
    </w:p>
    <w:p w:rsidRPr="001A26EC" w:rsidR="0098121E" w:rsidP="0098121E" w:rsidRDefault="0098121E" w14:paraId="167D86AD" w14:textId="77777777">
      <w:pPr>
        <w:spacing w:after="120"/>
        <w:ind w:firstLine="708"/>
        <w:rPr>
          <w:rFonts w:ascii="Geomanist Light" w:hAnsi="Geomanist Light" w:eastAsia="Arial" w:cs="Arial"/>
          <w:sz w:val="22"/>
          <w:lang w:val="es-CO" w:eastAsia="es-CO"/>
        </w:rPr>
      </w:pPr>
      <w:r w:rsidRPr="001A26EC">
        <w:rPr>
          <w:rFonts w:ascii="Geomanist Light" w:hAnsi="Geomanist Light" w:eastAsia="Arial" w:cs="Arial"/>
          <w:sz w:val="22"/>
          <w:lang w:val="es-CO" w:eastAsia="es-CO"/>
        </w:rPr>
        <w:t>Si bien el A.I.U. es con concepto sin definición en la legislación contractual colombiana, sus características, finalidades y componentes han sido decantados por la jurisprudencia contencioso-administrativa, así como por esta Agencia. De esta forma, al definir los elementos conformantes del A.I.U., el Consejo de Estado ha dicho que el rubro «A» corresponde a los costos indirectos por concepto de administración para la operación del contrato, tales como los gastos de disponibilidad de la organización del contratista.</w:t>
      </w:r>
    </w:p>
    <w:p w:rsidRPr="001A26EC" w:rsidR="0098121E" w:rsidP="0098121E" w:rsidRDefault="0098121E" w14:paraId="68A445C8" w14:textId="77777777">
      <w:pPr>
        <w:widowControl w:val="0"/>
        <w:spacing w:before="93"/>
        <w:ind w:right="106" w:firstLine="708"/>
        <w:rPr>
          <w:rFonts w:ascii="Geomanist Light" w:hAnsi="Geomanist Light" w:eastAsia="Arial" w:cs="Arial"/>
          <w:color w:val="000000"/>
          <w:sz w:val="22"/>
          <w:lang w:val="es-CO" w:eastAsia="es-CO"/>
        </w:rPr>
      </w:pPr>
      <w:r w:rsidRPr="001A26EC">
        <w:rPr>
          <w:rFonts w:ascii="Geomanist Light" w:hAnsi="Geomanist Light" w:eastAsia="Arial" w:cs="Arial"/>
          <w:color w:val="000000"/>
          <w:sz w:val="22"/>
          <w:lang w:val="es-CO" w:eastAsia="es-CO"/>
        </w:rPr>
        <w:t xml:space="preserve">El rubro «I» comprende «el porcentaje destinado a cubrir los gastos con los que no se contaba y que se presenten durante la ejecución del contrato, esto es, el </w:t>
      </w:r>
      <w:proofErr w:type="spellStart"/>
      <w:r w:rsidRPr="001A26EC">
        <w:rPr>
          <w:rFonts w:ascii="Geomanist Light" w:hAnsi="Geomanist Light" w:eastAsia="Arial" w:cs="Arial"/>
          <w:color w:val="000000"/>
          <w:sz w:val="22"/>
          <w:lang w:val="es-CO" w:eastAsia="es-CO"/>
        </w:rPr>
        <w:t>álea</w:t>
      </w:r>
      <w:proofErr w:type="spellEnd"/>
      <w:r w:rsidRPr="001A26EC">
        <w:rPr>
          <w:rFonts w:ascii="Geomanist Light" w:hAnsi="Geomanist Light" w:eastAsia="Arial" w:cs="Arial"/>
          <w:color w:val="000000"/>
          <w:sz w:val="22"/>
          <w:lang w:val="es-CO" w:eastAsia="es-CO"/>
        </w:rPr>
        <w:t xml:space="preserve"> normal del contrato»</w:t>
      </w:r>
      <w:r w:rsidRPr="001A26EC">
        <w:rPr>
          <w:rFonts w:ascii="Geomanist Light" w:hAnsi="Geomanist Light"/>
          <w:vertAlign w:val="superscript"/>
        </w:rPr>
        <w:footnoteReference w:id="6"/>
      </w:r>
      <w:r w:rsidRPr="001A26EC">
        <w:rPr>
          <w:rFonts w:ascii="Geomanist Light" w:hAnsi="Geomanist Light" w:eastAsia="Arial" w:cs="Arial"/>
          <w:color w:val="000000"/>
          <w:sz w:val="22"/>
          <w:lang w:val="es-CO" w:eastAsia="es-CO"/>
        </w:rPr>
        <w:t>, y debe ser diferenciado claramente de los hechos o eventos imprevisibles que corresponden al instituto del desequilibrio económico del contrato por virtud de la teoría de la imprevisión, tal y como lo ha dicho el Consejo de Estado</w:t>
      </w:r>
      <w:bookmarkEnd w:id="4"/>
      <w:r w:rsidRPr="001A26EC">
        <w:rPr>
          <w:rFonts w:ascii="Geomanist Light" w:hAnsi="Geomanist Light" w:eastAsia="Arial" w:cs="Arial"/>
          <w:color w:val="000000"/>
          <w:sz w:val="22"/>
          <w:lang w:val="es-CO" w:eastAsia="es-CO"/>
        </w:rPr>
        <w:t>:</w:t>
      </w:r>
    </w:p>
    <w:p w:rsidRPr="001A26EC" w:rsidR="0098121E" w:rsidP="00765DC1" w:rsidRDefault="00765DC1" w14:paraId="0115E692" w14:textId="45E58EC2">
      <w:pPr>
        <w:spacing w:before="280" w:after="280" w:line="240" w:lineRule="auto"/>
        <w:ind w:left="708" w:right="851"/>
        <w:rPr>
          <w:rFonts w:ascii="Geomanist Light" w:hAnsi="Geomanist Light" w:eastAsia="Arial" w:cs="Arial"/>
          <w:sz w:val="21"/>
          <w:szCs w:val="21"/>
          <w:lang w:val="es-CO" w:eastAsia="es-CO"/>
        </w:rPr>
      </w:pPr>
      <w:r w:rsidRPr="001A26EC">
        <w:rPr>
          <w:rFonts w:ascii="Geomanist Light" w:hAnsi="Geomanist Light" w:eastAsia="Arial" w:cs="Arial"/>
          <w:sz w:val="21"/>
          <w:szCs w:val="21"/>
          <w:lang w:val="es-CO" w:eastAsia="es-CO"/>
        </w:rPr>
        <w:t>«</w:t>
      </w:r>
      <w:r w:rsidRPr="001A26EC" w:rsidR="0098121E">
        <w:rPr>
          <w:rFonts w:ascii="Geomanist Light" w:hAnsi="Geomanist Light" w:eastAsia="Arial" w:cs="Arial"/>
          <w:sz w:val="21"/>
          <w:szCs w:val="21"/>
          <w:lang w:val="es-CO" w:eastAsia="es-CO"/>
        </w:rPr>
        <w:t>Así también vale la pena señalar, que en los contratos de obra dentro del precio pactado se suele incluir un porcentaje a costos indirectos bajo el nombre de imprevistos, pero ello es solo para los eventos en que se concretan aleas normales u ordinarias que afectan la ejecución de los contratos y que son tasados en un valor determinado pero que no se cobijan allí los que tienen el carácter de extraordinarios o anormales, que de alguna manera desbordan lo calculado por este concepto y de contera impactan el equilibrio económico del contrato y por tanto deben ser reconocidos por la entidad</w:t>
      </w:r>
      <w:r w:rsidRPr="001A26EC" w:rsidR="0098121E">
        <w:rPr>
          <w:rFonts w:ascii="Geomanist Light" w:hAnsi="Geomanist Light"/>
          <w:sz w:val="21"/>
          <w:szCs w:val="21"/>
          <w:vertAlign w:val="superscript"/>
        </w:rPr>
        <w:footnoteReference w:id="7"/>
      </w:r>
      <w:r w:rsidRPr="001A26EC" w:rsidR="0098121E">
        <w:rPr>
          <w:rFonts w:ascii="Geomanist Light" w:hAnsi="Geomanist Light" w:eastAsia="Arial" w:cs="Arial"/>
          <w:sz w:val="21"/>
          <w:szCs w:val="21"/>
          <w:lang w:val="es-CO" w:eastAsia="es-CO"/>
        </w:rPr>
        <w:t>.</w:t>
      </w:r>
      <w:r w:rsidRPr="001A26EC">
        <w:rPr>
          <w:rFonts w:ascii="Geomanist Light" w:hAnsi="Geomanist Light" w:eastAsia="Arial" w:cs="Arial"/>
          <w:sz w:val="21"/>
          <w:szCs w:val="21"/>
          <w:lang w:val="es-CO" w:eastAsia="es-CO"/>
        </w:rPr>
        <w:t>»</w:t>
      </w:r>
    </w:p>
    <w:p w:rsidRPr="001A26EC" w:rsidR="0098121E" w:rsidP="0098121E" w:rsidRDefault="0098121E" w14:paraId="403B2B82" w14:textId="77777777">
      <w:pPr>
        <w:widowControl w:val="0"/>
        <w:spacing w:before="93"/>
        <w:ind w:right="106" w:firstLine="708"/>
        <w:rPr>
          <w:rFonts w:ascii="Geomanist Light" w:hAnsi="Geomanist Light" w:eastAsia="Arial" w:cs="Arial"/>
          <w:color w:val="000000"/>
          <w:sz w:val="22"/>
          <w:szCs w:val="22"/>
          <w:lang w:val="es-CO" w:eastAsia="es-CO"/>
        </w:rPr>
      </w:pPr>
      <w:bookmarkStart w:name="_Hlk82170528" w:id="5"/>
      <w:r w:rsidRPr="001A26EC">
        <w:rPr>
          <w:rFonts w:ascii="Geomanist Light" w:hAnsi="Geomanist Light" w:eastAsia="Arial" w:cs="Arial"/>
          <w:color w:val="000000"/>
          <w:sz w:val="22"/>
          <w:lang w:val="es-CO" w:eastAsia="es-CO"/>
        </w:rPr>
        <w:t>Por su parte, el componente «U» hace referencia a una estimación de la utilidad que espera obtener el contratista por cumplir con el objeto contractual convenido.</w:t>
      </w:r>
      <w:bookmarkEnd w:id="5"/>
      <w:r w:rsidRPr="001A26EC">
        <w:rPr>
          <w:rFonts w:ascii="Geomanist Light" w:hAnsi="Geomanist Light" w:eastAsia="Arial" w:cs="Arial"/>
          <w:color w:val="000000"/>
          <w:sz w:val="22"/>
          <w:lang w:val="es-CO" w:eastAsia="es-CO"/>
        </w:rPr>
        <w:t xml:space="preserve"> Para mayor claridad con respecto a la definición de los rubros comprendidos dentro del A.I.U., resulta pertinente traer a colación lo sostenido por la Sección Tercera del Consejo de Estado:</w:t>
      </w:r>
    </w:p>
    <w:p w:rsidRPr="001A26EC" w:rsidR="0098121E" w:rsidP="00765DC1" w:rsidRDefault="00765DC1" w14:paraId="723BC8DB" w14:textId="11E5A1DC">
      <w:pPr>
        <w:spacing w:line="240" w:lineRule="auto"/>
        <w:ind w:left="708" w:right="851"/>
        <w:rPr>
          <w:rFonts w:ascii="Geomanist Light" w:hAnsi="Geomanist Light" w:eastAsia="Arial" w:cs="Arial"/>
          <w:color w:val="000000"/>
          <w:sz w:val="21"/>
          <w:szCs w:val="21"/>
          <w:lang w:val="es-CO" w:eastAsia="es-CO"/>
        </w:rPr>
      </w:pPr>
      <w:r w:rsidRPr="001A26EC">
        <w:rPr>
          <w:rFonts w:ascii="Geomanist Light" w:hAnsi="Geomanist Light" w:eastAsia="Arial" w:cs="Arial"/>
          <w:color w:val="000000"/>
          <w:sz w:val="21"/>
          <w:szCs w:val="21"/>
          <w:lang w:val="es-CO" w:eastAsia="es-CO"/>
        </w:rPr>
        <w:t>«</w:t>
      </w:r>
      <w:r w:rsidRPr="001A26EC" w:rsidR="0098121E">
        <w:rPr>
          <w:rFonts w:ascii="Geomanist Light" w:hAnsi="Geomanist Light" w:eastAsia="Arial" w:cs="Arial"/>
          <w:color w:val="000000"/>
          <w:sz w:val="21"/>
          <w:szCs w:val="21"/>
          <w:lang w:val="es-CO" w:eastAsia="es-CO"/>
        </w:rPr>
        <w:t xml:space="preserve">La legislación contractual no tiene una definición de lo que debe entenderse por el A.I.U que se introduce en el valor total de la oferta. Sin embargo, no hay duda que la </w:t>
      </w:r>
      <w:r w:rsidRPr="001A26EC" w:rsidR="0098121E">
        <w:rPr>
          <w:rFonts w:ascii="Geomanist Light" w:hAnsi="Geomanist Light" w:eastAsia="Arial" w:cs="Arial"/>
          <w:i/>
          <w:color w:val="000000"/>
          <w:sz w:val="21"/>
          <w:szCs w:val="21"/>
          <w:lang w:val="es-CO" w:eastAsia="es-CO"/>
        </w:rPr>
        <w:t>utilidad es</w:t>
      </w:r>
      <w:r w:rsidRPr="001A26EC" w:rsidR="0098121E">
        <w:rPr>
          <w:rFonts w:ascii="Geomanist Light" w:hAnsi="Geomanist Light" w:eastAsia="Arial" w:cs="Arial"/>
          <w:color w:val="000000"/>
          <w:sz w:val="21"/>
          <w:szCs w:val="21"/>
          <w:lang w:val="es-CO" w:eastAsia="es-CO"/>
        </w:rPr>
        <w:t xml:space="preserve"> el beneficio económico que pretende percibir el contratista por la ejecución del contrato y por costos de administración se han tenido como tales los que constituyen costos indirectos para la operación del contrato, tales como los gastos de disponibilidad de la organización del contratista; el porcentaje para </w:t>
      </w:r>
      <w:r w:rsidRPr="001A26EC" w:rsidR="0098121E">
        <w:rPr>
          <w:rFonts w:ascii="Geomanist Light" w:hAnsi="Geomanist Light" w:eastAsia="Arial" w:cs="Arial"/>
          <w:i/>
          <w:color w:val="000000"/>
          <w:sz w:val="21"/>
          <w:szCs w:val="21"/>
          <w:lang w:val="es-CO" w:eastAsia="es-CO"/>
        </w:rPr>
        <w:t>imprevistos,</w:t>
      </w:r>
      <w:r w:rsidRPr="001A26EC" w:rsidR="0098121E">
        <w:rPr>
          <w:rFonts w:ascii="Geomanist Light" w:hAnsi="Geomanist Light" w:eastAsia="Arial" w:cs="Arial"/>
          <w:color w:val="000000"/>
          <w:sz w:val="21"/>
          <w:szCs w:val="21"/>
          <w:lang w:val="es-CO" w:eastAsia="es-CO"/>
        </w:rPr>
        <w:t xml:space="preserve"> como su nombre lo indica, está destinado a cubrir los gastos con los que no se contaba y que se presenten durante la ejecución del contrato</w:t>
      </w:r>
      <w:r w:rsidRPr="001A26EC" w:rsidR="0098121E">
        <w:rPr>
          <w:rFonts w:ascii="Geomanist Light" w:hAnsi="Geomanist Light"/>
          <w:sz w:val="21"/>
          <w:szCs w:val="21"/>
          <w:vertAlign w:val="superscript"/>
        </w:rPr>
        <w:footnoteReference w:id="8"/>
      </w:r>
      <w:r w:rsidRPr="001A26EC" w:rsidR="0098121E">
        <w:rPr>
          <w:rFonts w:ascii="Geomanist Light" w:hAnsi="Geomanist Light" w:eastAsia="Arial" w:cs="Arial"/>
          <w:color w:val="000000"/>
          <w:sz w:val="21"/>
          <w:szCs w:val="21"/>
          <w:lang w:val="es-CO" w:eastAsia="es-CO"/>
        </w:rPr>
        <w:t>.</w:t>
      </w:r>
      <w:r w:rsidRPr="001A26EC">
        <w:rPr>
          <w:rFonts w:ascii="Geomanist Light" w:hAnsi="Geomanist Light" w:eastAsia="Arial" w:cs="Arial"/>
          <w:color w:val="000000"/>
          <w:sz w:val="21"/>
          <w:szCs w:val="21"/>
          <w:lang w:val="es-CO" w:eastAsia="es-CO"/>
        </w:rPr>
        <w:t>»</w:t>
      </w:r>
      <w:r w:rsidRPr="001A26EC" w:rsidR="0098121E">
        <w:rPr>
          <w:rFonts w:ascii="Geomanist Light" w:hAnsi="Geomanist Light" w:eastAsia="Arial" w:cs="Arial"/>
          <w:color w:val="000000"/>
          <w:sz w:val="21"/>
          <w:szCs w:val="21"/>
          <w:lang w:val="es-CO" w:eastAsia="es-CO"/>
        </w:rPr>
        <w:t xml:space="preserve"> </w:t>
      </w:r>
    </w:p>
    <w:p w:rsidRPr="001A26EC" w:rsidR="0098121E" w:rsidP="0098121E" w:rsidRDefault="0098121E" w14:paraId="5178D617" w14:textId="3AA9FCEB">
      <w:pPr>
        <w:ind w:firstLine="709"/>
        <w:rPr>
          <w:rFonts w:ascii="Geomanist Light" w:hAnsi="Geomanist Light" w:cs="Arial" w:eastAsiaTheme="minorHAnsi"/>
          <w:bCs/>
          <w:sz w:val="22"/>
          <w:szCs w:val="22"/>
          <w:lang w:val="es-ES_tradnl" w:eastAsia="en-US"/>
        </w:rPr>
      </w:pPr>
      <w:r w:rsidRPr="001A26EC">
        <w:rPr>
          <w:rFonts w:ascii="Geomanist Light" w:hAnsi="Geomanist Light" w:eastAsia="Arial" w:cs="Arial"/>
          <w:sz w:val="22"/>
          <w:lang w:val="es-CO" w:eastAsia="es-CO"/>
        </w:rPr>
        <w:t xml:space="preserve">Ahora bien, teniendo claro el concepto y los componentes del A.I.U. conviene precisar que, </w:t>
      </w:r>
      <w:r w:rsidRPr="001A26EC">
        <w:rPr>
          <w:rFonts w:ascii="Geomanist Light" w:hAnsi="Geomanist Light" w:cs="Arial"/>
          <w:bCs/>
          <w:sz w:val="22"/>
          <w:lang w:val="es-ES_tradnl"/>
        </w:rPr>
        <w:t xml:space="preserve">el numeral «4.1.1 AIU» del Documento Base de los documentos tipo, establece la obligatoriedad de incluir el AIU cuando el </w:t>
      </w:r>
      <w:r w:rsidRPr="001A26EC" w:rsidR="00E75C30">
        <w:rPr>
          <w:rFonts w:ascii="Geomanist Light" w:hAnsi="Geomanist Light" w:cs="Arial"/>
          <w:bCs/>
          <w:sz w:val="22"/>
          <w:lang w:val="es-ES_tradnl"/>
        </w:rPr>
        <w:t>P</w:t>
      </w:r>
      <w:r w:rsidRPr="001A26EC">
        <w:rPr>
          <w:rFonts w:ascii="Geomanist Light" w:hAnsi="Geomanist Light" w:cs="Arial"/>
          <w:bCs/>
          <w:sz w:val="22"/>
          <w:lang w:val="es-ES_tradnl"/>
        </w:rPr>
        <w:t xml:space="preserve">roceso de </w:t>
      </w:r>
      <w:r w:rsidRPr="001A26EC" w:rsidR="00E75C30">
        <w:rPr>
          <w:rFonts w:ascii="Geomanist Light" w:hAnsi="Geomanist Light" w:cs="Arial"/>
          <w:bCs/>
          <w:sz w:val="22"/>
          <w:lang w:val="es-ES_tradnl"/>
        </w:rPr>
        <w:t>C</w:t>
      </w:r>
      <w:r w:rsidRPr="001A26EC">
        <w:rPr>
          <w:rFonts w:ascii="Geomanist Light" w:hAnsi="Geomanist Light" w:cs="Arial"/>
          <w:bCs/>
          <w:sz w:val="22"/>
          <w:lang w:val="es-ES_tradnl"/>
        </w:rPr>
        <w:t xml:space="preserve">ontratación sea por precios unitarios. En consecuencia, se indica el deber del proponente de calcular todos los gastos en los que incurre para poder remunerar los costos de administración, los imprevistos y la utilidad o beneficio económico que pretende percibir por la ejecución del contrato, tal como se muestra a continuación: </w:t>
      </w:r>
    </w:p>
    <w:p w:rsidRPr="001A26EC" w:rsidR="00765DC1" w:rsidP="00765DC1" w:rsidRDefault="00765DC1" w14:paraId="5B6556BD" w14:textId="0DDC25D5">
      <w:pPr>
        <w:spacing w:line="240" w:lineRule="auto"/>
        <w:ind w:left="709" w:right="709"/>
        <w:rPr>
          <w:rFonts w:ascii="Geomanist Light" w:hAnsi="Geomanist Light" w:eastAsia="Times New Roman" w:cs="Arial"/>
          <w:color w:val="000000" w:themeColor="text1"/>
          <w:sz w:val="21"/>
          <w:szCs w:val="21"/>
          <w:lang w:val="es-CO" w:eastAsia="es-ES"/>
        </w:rPr>
      </w:pPr>
      <w:r w:rsidRPr="001A26EC">
        <w:rPr>
          <w:rFonts w:ascii="Geomanist Light" w:hAnsi="Geomanist Light" w:eastAsia="Times New Roman" w:cs="Arial"/>
          <w:color w:val="000000" w:themeColor="text1"/>
          <w:sz w:val="21"/>
          <w:szCs w:val="21"/>
          <w:lang w:val="es-CO" w:eastAsia="es-ES"/>
        </w:rPr>
        <w:t>«4.1.1.</w:t>
      </w:r>
      <w:r w:rsidRPr="001A26EC">
        <w:rPr>
          <w:rFonts w:ascii="Geomanist Light" w:hAnsi="Geomanist Light" w:eastAsia="Times New Roman" w:cs="Arial"/>
          <w:color w:val="000000" w:themeColor="text1"/>
          <w:sz w:val="21"/>
          <w:szCs w:val="21"/>
          <w:lang w:val="es-CO" w:eastAsia="es-ES"/>
        </w:rPr>
        <w:tab/>
      </w:r>
      <w:r w:rsidRPr="001A26EC">
        <w:rPr>
          <w:rFonts w:ascii="Geomanist Light" w:hAnsi="Geomanist Light" w:eastAsia="Times New Roman" w:cs="Arial"/>
          <w:color w:val="000000" w:themeColor="text1"/>
          <w:sz w:val="21"/>
          <w:szCs w:val="21"/>
          <w:lang w:val="es-CO" w:eastAsia="es-ES"/>
        </w:rPr>
        <w:t>AIU</w:t>
      </w:r>
    </w:p>
    <w:p w:rsidRPr="001A26EC" w:rsidR="00765DC1" w:rsidP="00765DC1" w:rsidRDefault="00765DC1" w14:paraId="59BD8506" w14:textId="77777777">
      <w:pPr>
        <w:spacing w:line="240" w:lineRule="auto"/>
        <w:ind w:left="709" w:right="709"/>
        <w:rPr>
          <w:rFonts w:ascii="Geomanist Light" w:hAnsi="Geomanist Light" w:eastAsia="Times New Roman" w:cs="Arial"/>
          <w:color w:val="000000" w:themeColor="text1"/>
          <w:sz w:val="21"/>
          <w:szCs w:val="21"/>
          <w:lang w:val="es-CO" w:eastAsia="es-ES"/>
        </w:rPr>
      </w:pPr>
      <w:r w:rsidRPr="001A26EC">
        <w:rPr>
          <w:rFonts w:ascii="Geomanist Light" w:hAnsi="Geomanist Light" w:eastAsia="Times New Roman" w:cs="Arial"/>
          <w:color w:val="000000" w:themeColor="text1"/>
          <w:sz w:val="21"/>
          <w:szCs w:val="21"/>
          <w:highlight w:val="lightGray"/>
          <w:lang w:val="es-CO" w:eastAsia="es-ES"/>
        </w:rPr>
        <w:t>[Esta sección se debe incluir en el evento en el que el proceso de contratación sea por precios unitarios]</w:t>
      </w:r>
    </w:p>
    <w:p w:rsidRPr="001A26EC" w:rsidR="00765DC1" w:rsidP="00765DC1" w:rsidRDefault="00765DC1" w14:paraId="56A51464" w14:textId="77777777">
      <w:pPr>
        <w:spacing w:line="240" w:lineRule="auto"/>
        <w:ind w:left="709" w:right="709"/>
        <w:rPr>
          <w:rFonts w:ascii="Geomanist Light" w:hAnsi="Geomanist Light" w:eastAsia="Times New Roman" w:cs="Arial"/>
          <w:color w:val="000000" w:themeColor="text1"/>
          <w:sz w:val="21"/>
          <w:szCs w:val="21"/>
          <w:lang w:val="es-CO" w:eastAsia="es-ES"/>
        </w:rPr>
      </w:pPr>
      <w:r w:rsidRPr="001A26EC">
        <w:rPr>
          <w:rFonts w:ascii="Geomanist Light" w:hAnsi="Geomanist Light" w:eastAsia="Times New Roman" w:cs="Arial"/>
          <w:color w:val="000000" w:themeColor="text1"/>
          <w:sz w:val="21"/>
          <w:szCs w:val="21"/>
          <w:lang w:val="es-CO" w:eastAsia="es-ES"/>
        </w:rPr>
        <w:t>El proponente debe calcular un AIU que contenga todos los costos en los que incurre la organización del constructor para poder desarrollar la administración, los imprevistos y la utilidad o beneficio económico que pretende percibir por la ejecución del contrato.</w:t>
      </w:r>
    </w:p>
    <w:p w:rsidRPr="001A26EC" w:rsidR="00765DC1" w:rsidP="00765DC1" w:rsidRDefault="00765DC1" w14:paraId="160C18AC" w14:textId="77777777">
      <w:pPr>
        <w:spacing w:line="240" w:lineRule="auto"/>
        <w:ind w:left="709" w:right="709"/>
        <w:rPr>
          <w:rFonts w:ascii="Geomanist Light" w:hAnsi="Geomanist Light" w:eastAsia="Times New Roman" w:cs="Arial"/>
          <w:color w:val="000000" w:themeColor="text1"/>
          <w:sz w:val="21"/>
          <w:szCs w:val="21"/>
          <w:lang w:val="es-CO" w:eastAsia="es-ES"/>
        </w:rPr>
      </w:pPr>
      <w:r w:rsidRPr="001A26EC">
        <w:rPr>
          <w:rFonts w:ascii="Geomanist Light" w:hAnsi="Geomanist Light" w:eastAsia="Times New Roman" w:cs="Arial"/>
          <w:color w:val="000000" w:themeColor="text1"/>
          <w:sz w:val="21"/>
          <w:szCs w:val="21"/>
          <w:lang w:val="es-CO" w:eastAsia="es-ES"/>
        </w:rPr>
        <w:t xml:space="preserve">El valor del AIU debe expresarse en un porcentaje (%) y debe consignarlo y discriminarlo en la propuesta económica. </w:t>
      </w:r>
      <w:r w:rsidRPr="001A26EC">
        <w:rPr>
          <w:rFonts w:ascii="Geomanist Light" w:hAnsi="Geomanist Light" w:eastAsia="Times New Roman" w:cs="Arial"/>
          <w:color w:val="000000" w:themeColor="text1"/>
          <w:sz w:val="21"/>
          <w:szCs w:val="21"/>
          <w:highlight w:val="lightGray"/>
          <w:lang w:val="es-CO" w:eastAsia="es-ES"/>
        </w:rPr>
        <w:t>[La entidad no podrá exigir al proponente el desglose del AIU o componentes internos de la administración (A) en la propuesta económica, sino solo la discriminación de su valor en porcentaje (%). Para el proponente que resulte adjudicatario se podrá solicitar el desglose del A.I.U. ofertado.]</w:t>
      </w:r>
    </w:p>
    <w:p w:rsidRPr="001A26EC" w:rsidR="00765DC1" w:rsidP="00765DC1" w:rsidRDefault="00765DC1" w14:paraId="691B37E1" w14:textId="77777777">
      <w:pPr>
        <w:spacing w:line="240" w:lineRule="auto"/>
        <w:ind w:left="709" w:right="709"/>
        <w:rPr>
          <w:rFonts w:ascii="Geomanist Light" w:hAnsi="Geomanist Light" w:eastAsia="Times New Roman" w:cs="Arial"/>
          <w:color w:val="000000" w:themeColor="text1"/>
          <w:sz w:val="21"/>
          <w:szCs w:val="21"/>
          <w:lang w:val="es-CO" w:eastAsia="es-ES"/>
        </w:rPr>
      </w:pPr>
      <w:r w:rsidRPr="001A26EC">
        <w:rPr>
          <w:rFonts w:ascii="Geomanist Light" w:hAnsi="Geomanist Light" w:eastAsia="Times New Roman" w:cs="Arial"/>
          <w:color w:val="000000" w:themeColor="text1"/>
          <w:sz w:val="21"/>
          <w:szCs w:val="21"/>
          <w:lang w:val="es-CO" w:eastAsia="es-ES"/>
        </w:rPr>
        <w:t>Cuando el proponente exprese el AIU en porcentaje (%) y en pesos, prevalece el valor expresado en porcentaje (%). El porcentaje del A.I.U. que presenten los Proponentes no debe ser superior al porcentaje total del A.I.U establecido en el Formulario 1– Formulario de Presupuesto Oficial. En consecuencia, el Proponente puede configurar libremente el porcentaje individual de la A, de la I y de la U, siempre que la sumatoria de ellos no exceda el porcentaje total definido por la Entidad en el Formulario 1– Formulario de Presupuesto Oficial.</w:t>
      </w:r>
    </w:p>
    <w:p w:rsidRPr="001A26EC" w:rsidR="0098121E" w:rsidP="00765DC1" w:rsidRDefault="00765DC1" w14:paraId="7F8F15CF" w14:textId="543B91D2">
      <w:pPr>
        <w:spacing w:line="240" w:lineRule="auto"/>
        <w:ind w:left="709" w:right="709"/>
        <w:rPr>
          <w:rFonts w:ascii="Geomanist Light" w:hAnsi="Geomanist Light" w:cs="Arial" w:eastAsiaTheme="minorHAnsi"/>
          <w:bCs/>
          <w:sz w:val="21"/>
          <w:szCs w:val="21"/>
          <w:lang w:val="es-ES_tradnl"/>
        </w:rPr>
      </w:pPr>
      <w:r w:rsidRPr="001A26EC">
        <w:rPr>
          <w:rFonts w:ascii="Geomanist Light" w:hAnsi="Geomanist Light" w:eastAsia="Times New Roman" w:cs="Arial"/>
          <w:color w:val="000000" w:themeColor="text1"/>
          <w:sz w:val="21"/>
          <w:szCs w:val="21"/>
          <w:lang w:val="es-CO" w:eastAsia="es-ES"/>
        </w:rPr>
        <w:t>Los componentes internos de la administración (A) deberán ser presentados por el adjudicatario del presente proceso de contratación en la oportunidad establecida en el numeral 8.1</w:t>
      </w:r>
      <w:r w:rsidRPr="001A26EC">
        <w:rPr>
          <w:rFonts w:ascii="Geomanist Light" w:hAnsi="Geomanist Light" w:eastAsia="Arial" w:cs="Arial"/>
          <w:color w:val="000000" w:themeColor="text1"/>
          <w:sz w:val="21"/>
          <w:szCs w:val="21"/>
          <w:lang w:val="es-CO"/>
        </w:rPr>
        <w:t>»</w:t>
      </w:r>
      <w:r w:rsidRPr="001A26EC" w:rsidR="0098121E">
        <w:rPr>
          <w:rFonts w:ascii="Geomanist Light" w:hAnsi="Geomanist Light" w:eastAsia="Arial" w:cs="Arial"/>
          <w:color w:val="000000" w:themeColor="text1"/>
          <w:sz w:val="21"/>
          <w:szCs w:val="21"/>
          <w:lang w:val="es-CO"/>
        </w:rPr>
        <w:t xml:space="preserve"> </w:t>
      </w:r>
    </w:p>
    <w:p w:rsidRPr="001A26EC" w:rsidR="0098121E" w:rsidP="49D68B91" w:rsidRDefault="0098121E" w14:paraId="75AB2671" w14:textId="0A5A6E3C">
      <w:pPr>
        <w:rPr>
          <w:rFonts w:ascii="Geomanist Light" w:hAnsi="Geomanist Light" w:cs="Arial"/>
          <w:sz w:val="22"/>
          <w:szCs w:val="22"/>
          <w:lang w:val="es-ES"/>
        </w:rPr>
      </w:pPr>
      <w:r w:rsidRPr="001A26EC">
        <w:rPr>
          <w:rFonts w:ascii="Geomanist Light" w:hAnsi="Geomanist Light" w:cs="Arial"/>
          <w:bCs/>
          <w:sz w:val="22"/>
          <w:lang w:val="es-ES_tradnl"/>
        </w:rPr>
        <w:tab/>
      </w:r>
      <w:r w:rsidRPr="49D68B91" w:rsidR="0098121E">
        <w:rPr>
          <w:rFonts w:ascii="Geomanist Light" w:hAnsi="Geomanist Light" w:cs="Arial"/>
          <w:sz w:val="22"/>
          <w:szCs w:val="22"/>
          <w:lang w:val="es-ES"/>
        </w:rPr>
        <w:t xml:space="preserve">En este sentido, en </w:t>
      </w:r>
      <w:bookmarkStart w:name="_Hlk62829022" w:id="6"/>
      <w:r w:rsidRPr="49D68B91" w:rsidR="0098121E">
        <w:rPr>
          <w:rFonts w:ascii="Geomanist Light" w:hAnsi="Geomanist Light" w:cs="Arial"/>
          <w:sz w:val="22"/>
          <w:szCs w:val="22"/>
          <w:lang w:val="es-ES"/>
        </w:rPr>
        <w:t xml:space="preserve">el numeral «4.1.1 AIU» se incluyen reglas imperativas que las entidades y proponentes deben acoger en su totalidad, estas son: i) incluir este numeral en los procesos de contratación que sea por precios unitarios, ii) el proponente calculará un AIU que contenga todos los costos en que los que incurre el contratista, esto es, los costos directos y la administración, imprevistos y utilidad, iii) el valor debe expresarse en un porcentaje, pero no es necesario que el proponente desglose cada uno de los componentes internos del AIU, sino únicamente la discriminación de su valor en porcentaje y, iv) el porcentaje del AIU que presente el proponente, no debe ser superior al establecido por la entidad. </w:t>
      </w:r>
    </w:p>
    <w:bookmarkEnd w:id="6"/>
    <w:p w:rsidRPr="001A26EC" w:rsidR="0098121E" w:rsidP="0098121E" w:rsidRDefault="0098121E" w14:paraId="7C07F927" w14:textId="77777777">
      <w:pPr>
        <w:rPr>
          <w:rFonts w:ascii="Geomanist Light" w:hAnsi="Geomanist Light" w:cs="Arial"/>
          <w:b/>
          <w:bCs/>
          <w:sz w:val="22"/>
          <w:szCs w:val="22"/>
          <w:lang w:val="es-ES_tradnl"/>
        </w:rPr>
      </w:pPr>
      <w:r w:rsidRPr="001A26EC">
        <w:rPr>
          <w:rFonts w:ascii="Geomanist Light" w:hAnsi="Geomanist Light" w:cs="Arial"/>
          <w:b/>
          <w:bCs/>
          <w:sz w:val="22"/>
        </w:rPr>
        <w:t xml:space="preserve">2.2. </w:t>
      </w:r>
      <w:r w:rsidRPr="001A26EC">
        <w:rPr>
          <w:rFonts w:ascii="Geomanist Light" w:hAnsi="Geomanist Light" w:cs="Arial"/>
          <w:b/>
          <w:bCs/>
          <w:sz w:val="22"/>
          <w:lang w:val="es-ES_tradnl"/>
        </w:rPr>
        <w:t xml:space="preserve">Alcance del </w:t>
      </w:r>
      <w:r w:rsidRPr="001A26EC">
        <w:rPr>
          <w:rFonts w:ascii="Geomanist Light" w:hAnsi="Geomanist Light" w:cs="Arial"/>
          <w:b/>
          <w:sz w:val="22"/>
          <w:lang w:val="es-ES"/>
        </w:rPr>
        <w:t>«</w:t>
      </w:r>
      <w:r w:rsidRPr="001A26EC">
        <w:rPr>
          <w:rFonts w:ascii="Geomanist Light" w:hAnsi="Geomanist Light" w:cs="Arial"/>
          <w:b/>
          <w:bCs/>
          <w:sz w:val="22"/>
          <w:lang w:val="es-ES_tradnl"/>
        </w:rPr>
        <w:t>Formulario 1 – Formulario del Presupuesto Oficial</w:t>
      </w:r>
      <w:r w:rsidRPr="001A26EC">
        <w:rPr>
          <w:rFonts w:ascii="Geomanist Light" w:hAnsi="Geomanist Light" w:cs="Arial"/>
          <w:sz w:val="22"/>
          <w:lang w:val="es-ES" w:eastAsia="es-ES" w:bidi="es-ES"/>
        </w:rPr>
        <w:t>»</w:t>
      </w:r>
      <w:r w:rsidRPr="001A26EC">
        <w:rPr>
          <w:rFonts w:ascii="Geomanist Light" w:hAnsi="Geomanist Light" w:cs="Arial"/>
          <w:b/>
          <w:bCs/>
          <w:sz w:val="22"/>
          <w:lang w:val="es-ES_tradnl"/>
        </w:rPr>
        <w:t xml:space="preserve"> </w:t>
      </w:r>
    </w:p>
    <w:p w:rsidRPr="001A26EC" w:rsidR="0098121E" w:rsidP="0098121E" w:rsidRDefault="0098121E" w14:paraId="58EE3B50" w14:textId="77777777">
      <w:pPr>
        <w:rPr>
          <w:rFonts w:ascii="Geomanist Light" w:hAnsi="Geomanist Light" w:cs="Arial"/>
          <w:b/>
          <w:bCs/>
          <w:sz w:val="12"/>
          <w:szCs w:val="12"/>
          <w:lang w:val="es-ES_tradnl"/>
        </w:rPr>
      </w:pPr>
    </w:p>
    <w:p w:rsidRPr="001A26EC" w:rsidR="0098121E" w:rsidP="0098121E" w:rsidRDefault="0098121E" w14:paraId="46664680" w14:textId="77777777">
      <w:pPr>
        <w:pStyle w:val="Textoindependiente"/>
        <w:spacing w:after="120" w:line="276" w:lineRule="auto"/>
        <w:jc w:val="both"/>
        <w:rPr>
          <w:rFonts w:ascii="Geomanist Light" w:hAnsi="Geomanist Light" w:cs="Arial"/>
          <w:sz w:val="22"/>
          <w:szCs w:val="22"/>
          <w:lang w:val="es-ES"/>
        </w:rPr>
      </w:pPr>
      <w:r w:rsidRPr="001A26EC">
        <w:rPr>
          <w:rFonts w:ascii="Geomanist Light" w:hAnsi="Geomanist Light" w:cs="Arial"/>
          <w:sz w:val="22"/>
          <w:szCs w:val="22"/>
        </w:rPr>
        <w:t xml:space="preserve">Los documentos tipo contemplan el </w:t>
      </w:r>
      <w:r w:rsidRPr="001A26EC">
        <w:rPr>
          <w:rFonts w:ascii="Geomanist Light" w:hAnsi="Geomanist Light" w:cs="Arial"/>
          <w:i/>
          <w:iCs/>
          <w:sz w:val="22"/>
          <w:szCs w:val="22"/>
        </w:rPr>
        <w:t>«Formulario 1 - Formulario de Presupuesto Oficial»,</w:t>
      </w:r>
      <w:r w:rsidRPr="001A26EC">
        <w:rPr>
          <w:rFonts w:ascii="Geomanist Light" w:hAnsi="Geomanist Light" w:cs="Arial"/>
          <w:sz w:val="22"/>
          <w:szCs w:val="22"/>
        </w:rPr>
        <w:t xml:space="preserve"> empleado por la entidad para elaborar y presentar el presupuesto oficial, y mediante el cual el proponente estructura la oferta económica. </w:t>
      </w:r>
    </w:p>
    <w:p w:rsidRPr="001A26EC" w:rsidR="0098121E" w:rsidP="0098121E" w:rsidRDefault="0098121E" w14:paraId="5CAB7F8E" w14:textId="77777777">
      <w:pPr>
        <w:widowControl w:val="0"/>
        <w:autoSpaceDE w:val="0"/>
        <w:autoSpaceDN w:val="0"/>
        <w:spacing w:before="120"/>
        <w:ind w:firstLine="709"/>
        <w:rPr>
          <w:rFonts w:ascii="Geomanist Light" w:hAnsi="Geomanist Light" w:cs="Arial"/>
          <w:sz w:val="22"/>
          <w:lang w:val="es-ES"/>
        </w:rPr>
      </w:pPr>
      <w:r w:rsidRPr="001A26EC">
        <w:rPr>
          <w:rFonts w:ascii="Geomanist Light" w:hAnsi="Geomanist Light" w:cs="Arial"/>
          <w:sz w:val="22"/>
          <w:lang w:val="es-ES"/>
        </w:rPr>
        <w:t>Este formulario lo prepara la entidad en la etapa de planeación y le permite definir el valor oficial estimado del proceso de contratación. Por tanto, las entidades estatales para su elaboración deben tener en cuenta diferentes variables</w:t>
      </w:r>
      <w:r w:rsidRPr="001A26EC">
        <w:rPr>
          <w:rFonts w:ascii="Geomanist Light" w:hAnsi="Geomanist Light"/>
          <w:vertAlign w:val="superscript"/>
        </w:rPr>
        <w:footnoteReference w:id="9"/>
      </w:r>
      <w:r w:rsidRPr="001A26EC">
        <w:rPr>
          <w:rFonts w:ascii="Geomanist Light" w:hAnsi="Geomanist Light" w:cs="Arial"/>
          <w:sz w:val="22"/>
          <w:lang w:val="es-ES"/>
        </w:rPr>
        <w:t>, como el objeto, alcance, obras a ejecutar, actividades, cantidades, particularidades de la zona de ejecución del proyecto, disponibilidad y distancia de fuentes de materiales, entre otros.</w:t>
      </w:r>
    </w:p>
    <w:p w:rsidRPr="001A26EC" w:rsidR="0098121E" w:rsidP="0098121E" w:rsidRDefault="0098121E" w14:paraId="3A49495F" w14:textId="77777777">
      <w:pPr>
        <w:widowControl w:val="0"/>
        <w:autoSpaceDE w:val="0"/>
        <w:autoSpaceDN w:val="0"/>
        <w:spacing w:before="120" w:after="120"/>
        <w:ind w:firstLine="709"/>
        <w:rPr>
          <w:rFonts w:ascii="Geomanist Light" w:hAnsi="Geomanist Light" w:cs="Arial"/>
          <w:sz w:val="22"/>
          <w:lang w:val="es-CO"/>
        </w:rPr>
      </w:pPr>
      <w:r w:rsidRPr="001A26EC">
        <w:rPr>
          <w:rFonts w:ascii="Geomanist Light" w:hAnsi="Geomanist Light" w:cs="Arial"/>
          <w:sz w:val="22"/>
          <w:lang w:val="es-ES"/>
        </w:rPr>
        <w:t xml:space="preserve">En los documentos tipo </w:t>
      </w:r>
      <w:r w:rsidRPr="001A26EC">
        <w:rPr>
          <w:rFonts w:ascii="Geomanist Light" w:hAnsi="Geomanist Light" w:eastAsia="Arial" w:cs="Arial"/>
          <w:sz w:val="22"/>
          <w:lang w:val="es-ES" w:eastAsia="es-ES" w:bidi="es-ES"/>
        </w:rPr>
        <w:t xml:space="preserve">referidos, </w:t>
      </w:r>
      <w:r w:rsidRPr="001A26EC">
        <w:rPr>
          <w:rFonts w:ascii="Geomanist Light" w:hAnsi="Geomanist Light" w:cs="Arial"/>
          <w:sz w:val="22"/>
          <w:lang w:val="es-ES"/>
        </w:rPr>
        <w:t>el «</w:t>
      </w:r>
      <w:r w:rsidRPr="001A26EC">
        <w:rPr>
          <w:rFonts w:ascii="Geomanist Light" w:hAnsi="Geomanist Light" w:cs="Arial"/>
          <w:i/>
          <w:iCs/>
          <w:sz w:val="22"/>
          <w:lang w:val="es-ES"/>
        </w:rPr>
        <w:t xml:space="preserve">Formulario 1 – Formulario de Presupuesto Oficial» </w:t>
      </w:r>
      <w:r w:rsidRPr="001A26EC">
        <w:rPr>
          <w:rFonts w:ascii="Geomanist Light" w:hAnsi="Geomanist Light" w:cs="Arial"/>
          <w:sz w:val="22"/>
          <w:lang w:val="es-ES"/>
        </w:rPr>
        <w:t xml:space="preserve">tiene dos connotaciones: i) por un lado, </w:t>
      </w:r>
      <w:r w:rsidRPr="001A26EC">
        <w:rPr>
          <w:rFonts w:ascii="Geomanist Light" w:hAnsi="Geomanist Light" w:cs="Arial"/>
          <w:sz w:val="22"/>
          <w:lang w:val="es-CO"/>
        </w:rPr>
        <w:t>es el formulario sobre el cual la entidad estructura y presenta el presupuesto oficial del procedimiento de contratación; y ii) por el otro, es el formulario sobre el cual los proponentes elaboran y presentan su oferta económica. El propósito de esto es evitar la duplicidad de información y permitir que las propuestas económicas sean evaluadas con las variables, cantidades, unidades de medida y reglas consideradas por la entidad al estructurar su presupuesto oficial.</w:t>
      </w:r>
    </w:p>
    <w:p w:rsidRPr="001A26EC" w:rsidR="0098121E" w:rsidP="0098121E" w:rsidRDefault="0098121E" w14:paraId="289092BC" w14:textId="77777777">
      <w:pPr>
        <w:widowControl w:val="0"/>
        <w:autoSpaceDE w:val="0"/>
        <w:autoSpaceDN w:val="0"/>
        <w:spacing w:after="120"/>
        <w:ind w:firstLine="709"/>
        <w:rPr>
          <w:rFonts w:ascii="Geomanist Light" w:hAnsi="Geomanist Light" w:eastAsia="Arial" w:cs="Arial"/>
          <w:iCs/>
          <w:sz w:val="22"/>
          <w:szCs w:val="22"/>
          <w:lang w:val="es-ES" w:eastAsia="es-ES" w:bidi="es-ES"/>
        </w:rPr>
      </w:pPr>
      <w:r w:rsidRPr="001A26EC">
        <w:rPr>
          <w:rFonts w:ascii="Geomanist Light" w:hAnsi="Geomanist Light" w:eastAsia="Arial" w:cs="Arial"/>
          <w:sz w:val="22"/>
          <w:lang w:val="es-CO" w:eastAsia="es-ES" w:bidi="es-ES"/>
        </w:rPr>
        <w:t xml:space="preserve">En ese contexto, se tiene, entonces que en </w:t>
      </w:r>
      <w:r w:rsidRPr="001A26EC">
        <w:rPr>
          <w:rFonts w:ascii="Geomanist Light" w:hAnsi="Geomanist Light" w:eastAsia="Arial" w:cs="Arial"/>
          <w:sz w:val="22"/>
          <w:lang w:val="es-ES" w:eastAsia="es-ES" w:bidi="es-ES"/>
        </w:rPr>
        <w:t xml:space="preserve">la primera hoja del Formulario 1, que corresponde al presupuesto oficial, la entidad debe enlistar los </w:t>
      </w:r>
      <w:r w:rsidRPr="001A26EC">
        <w:rPr>
          <w:rFonts w:ascii="Geomanist Light" w:hAnsi="Geomanist Light" w:eastAsia="Arial" w:cs="Arial"/>
          <w:i/>
          <w:sz w:val="22"/>
          <w:lang w:val="es-ES" w:eastAsia="es-ES" w:bidi="es-ES"/>
        </w:rPr>
        <w:t xml:space="preserve">ítems de pago </w:t>
      </w:r>
      <w:r w:rsidRPr="001A26EC">
        <w:rPr>
          <w:rFonts w:ascii="Geomanist Light" w:hAnsi="Geomanist Light" w:eastAsia="Arial" w:cs="Arial"/>
          <w:sz w:val="22"/>
          <w:lang w:val="es-ES" w:eastAsia="es-ES" w:bidi="es-ES"/>
        </w:rPr>
        <w:t xml:space="preserve">de los bienes, obras o servicios que se requieren para la ejecución de la obra pública de infraestructura de transporte que se contrata. Además, es posible establecer: i) sus especificaciones generales y particulares, ii) la descripción, iii) la unidad de medida, iv) la cantidad, v) el valor unitario y vi) el valor total de los </w:t>
      </w:r>
      <w:r w:rsidRPr="001A26EC">
        <w:rPr>
          <w:rFonts w:ascii="Geomanist Light" w:hAnsi="Geomanist Light" w:eastAsia="Arial" w:cs="Arial"/>
          <w:i/>
          <w:sz w:val="22"/>
          <w:lang w:val="es-ES" w:eastAsia="es-ES" w:bidi="es-ES"/>
        </w:rPr>
        <w:t>ítems.</w:t>
      </w:r>
    </w:p>
    <w:p w:rsidRPr="001A26EC" w:rsidR="0098121E" w:rsidP="0098121E" w:rsidRDefault="0098121E" w14:paraId="4D5A0C3D" w14:textId="77777777">
      <w:pPr>
        <w:widowControl w:val="0"/>
        <w:autoSpaceDE w:val="0"/>
        <w:autoSpaceDN w:val="0"/>
        <w:spacing w:after="120"/>
        <w:ind w:firstLine="709"/>
        <w:rPr>
          <w:rFonts w:ascii="Geomanist Light" w:hAnsi="Geomanist Light" w:eastAsia="Arial" w:cs="Arial"/>
          <w:sz w:val="22"/>
          <w:lang w:val="es-ES" w:eastAsia="es-ES" w:bidi="es-ES"/>
        </w:rPr>
      </w:pPr>
      <w:r w:rsidRPr="001A26EC">
        <w:rPr>
          <w:rFonts w:ascii="Geomanist Light" w:hAnsi="Geomanist Light" w:eastAsia="Arial" w:cs="Arial"/>
          <w:iCs/>
          <w:sz w:val="22"/>
          <w:lang w:val="es-ES" w:eastAsia="es-ES" w:bidi="es-ES"/>
        </w:rPr>
        <w:t xml:space="preserve">En el marco del ejercicio de planeación, la entidad podrá determinar la necesidad de establecer algunos valores topes para algunos </w:t>
      </w:r>
      <w:r w:rsidRPr="001A26EC">
        <w:rPr>
          <w:rFonts w:ascii="Geomanist Light" w:hAnsi="Geomanist Light" w:eastAsia="Arial" w:cs="Arial"/>
          <w:i/>
          <w:sz w:val="22"/>
          <w:lang w:val="es-ES" w:eastAsia="es-ES" w:bidi="es-ES"/>
        </w:rPr>
        <w:t xml:space="preserve">ítems, </w:t>
      </w:r>
      <w:r w:rsidRPr="001A26EC">
        <w:rPr>
          <w:rFonts w:ascii="Geomanist Light" w:hAnsi="Geomanist Light" w:eastAsia="Arial" w:cs="Arial"/>
          <w:iCs/>
          <w:sz w:val="22"/>
          <w:lang w:val="es-ES" w:eastAsia="es-ES" w:bidi="es-ES"/>
        </w:rPr>
        <w:t>los cuales no podrán ser excedidos por los proponentes al presentar sus ofertas.</w:t>
      </w:r>
      <w:r w:rsidRPr="001A26EC">
        <w:rPr>
          <w:rFonts w:ascii="Geomanist Light" w:hAnsi="Geomanist Light" w:eastAsia="Arial" w:cs="Arial"/>
          <w:sz w:val="22"/>
          <w:lang w:val="es-ES" w:eastAsia="es-ES" w:bidi="es-ES"/>
        </w:rPr>
        <w:t xml:space="preserve"> La inclusión que hace la entidad de valores que no deben ser excedidos por los proponentes al presentar sus ofertas no es una práctica generalizada ni obligatoria para todas las entidades, por cuanto la inclusión de estos </w:t>
      </w:r>
      <w:r w:rsidRPr="001A26EC">
        <w:rPr>
          <w:rFonts w:ascii="Geomanist Light" w:hAnsi="Geomanist Light" w:eastAsia="Arial" w:cs="Arial"/>
          <w:i/>
          <w:sz w:val="22"/>
          <w:lang w:val="es-ES" w:eastAsia="es-ES" w:bidi="es-ES"/>
        </w:rPr>
        <w:t>ítems</w:t>
      </w:r>
      <w:r w:rsidRPr="001A26EC">
        <w:rPr>
          <w:rFonts w:ascii="Geomanist Light" w:hAnsi="Geomanist Light" w:eastAsia="Arial" w:cs="Arial"/>
          <w:sz w:val="22"/>
          <w:lang w:val="es-ES" w:eastAsia="es-ES" w:bidi="es-ES"/>
        </w:rPr>
        <w:t xml:space="preserve"> debe estar justificada en situaciones y eventos particulares de determinados procedimientos de contratación. Cuando las entidades estructuran el Formulario 1, incluyendo este tipo de </w:t>
      </w:r>
      <w:r w:rsidRPr="001A26EC">
        <w:rPr>
          <w:rFonts w:ascii="Geomanist Light" w:hAnsi="Geomanist Light" w:eastAsia="Arial" w:cs="Arial"/>
          <w:i/>
          <w:sz w:val="22"/>
          <w:lang w:val="es-ES" w:eastAsia="es-ES" w:bidi="es-ES"/>
        </w:rPr>
        <w:t>ítems</w:t>
      </w:r>
      <w:r w:rsidRPr="001A26EC">
        <w:rPr>
          <w:rFonts w:ascii="Geomanist Light" w:hAnsi="Geomanist Light" w:eastAsia="Arial" w:cs="Arial"/>
          <w:sz w:val="22"/>
          <w:lang w:val="es-ES" w:eastAsia="es-ES" w:bidi="es-ES"/>
        </w:rPr>
        <w:t xml:space="preserve"> y justificando su decisión, los </w:t>
      </w:r>
      <w:r w:rsidRPr="001A26EC">
        <w:rPr>
          <w:rFonts w:ascii="Geomanist Light" w:hAnsi="Geomanist Light" w:eastAsia="Arial" w:cs="Arial"/>
          <w:sz w:val="22"/>
          <w:lang w:val="es-ES" w:eastAsia="es-ES" w:bidi="es-ES"/>
        </w:rPr>
        <w:t>proponentes deben incluirlos dentro de la oferta económica sin exceder el valor que la entidad ha definido, so pena del rechazo de la propuesta</w:t>
      </w:r>
      <w:r w:rsidRPr="001A26EC">
        <w:rPr>
          <w:rFonts w:ascii="Geomanist Light" w:hAnsi="Geomanist Light"/>
          <w:vertAlign w:val="superscript"/>
        </w:rPr>
        <w:footnoteReference w:id="10"/>
      </w:r>
      <w:r w:rsidRPr="001A26EC">
        <w:rPr>
          <w:rFonts w:ascii="Geomanist Light" w:hAnsi="Geomanist Light" w:eastAsia="Arial" w:cs="Arial"/>
          <w:sz w:val="22"/>
          <w:lang w:val="es-ES" w:eastAsia="es-ES" w:bidi="es-ES"/>
        </w:rPr>
        <w:t xml:space="preserve">. </w:t>
      </w:r>
    </w:p>
    <w:p w:rsidRPr="001A26EC" w:rsidR="0098121E" w:rsidP="0098121E" w:rsidRDefault="0098121E" w14:paraId="1294671D" w14:textId="77777777">
      <w:pPr>
        <w:widowControl w:val="0"/>
        <w:autoSpaceDE w:val="0"/>
        <w:autoSpaceDN w:val="0"/>
        <w:spacing w:after="120"/>
        <w:ind w:firstLine="709"/>
        <w:rPr>
          <w:rFonts w:ascii="Geomanist Light" w:hAnsi="Geomanist Light" w:eastAsia="Arial" w:cs="Arial"/>
          <w:sz w:val="22"/>
          <w:lang w:val="es-ES" w:eastAsia="es-ES" w:bidi="es-ES"/>
        </w:rPr>
      </w:pPr>
      <w:r w:rsidRPr="001A26EC">
        <w:rPr>
          <w:rFonts w:ascii="Geomanist Light" w:hAnsi="Geomanist Light" w:eastAsia="Arial" w:cs="Arial"/>
          <w:sz w:val="22"/>
          <w:lang w:val="es-ES" w:eastAsia="es-ES" w:bidi="es-ES"/>
        </w:rPr>
        <w:t xml:space="preserve">De igual manera, en la primera hoja del </w:t>
      </w:r>
      <w:r w:rsidRPr="001A26EC">
        <w:rPr>
          <w:rFonts w:ascii="Geomanist Light" w:hAnsi="Geomanist Light" w:eastAsia="Arial" w:cs="Arial"/>
          <w:i/>
          <w:iCs/>
          <w:sz w:val="22"/>
          <w:lang w:val="es-ES" w:eastAsia="es-ES" w:bidi="es-ES"/>
        </w:rPr>
        <w:t>«Formulario 1 – Formulario de Presupuesto oficial»</w:t>
      </w:r>
      <w:r w:rsidRPr="001A26EC">
        <w:rPr>
          <w:rFonts w:ascii="Geomanist Light" w:hAnsi="Geomanist Light" w:eastAsia="Arial" w:cs="Arial"/>
          <w:sz w:val="22"/>
          <w:lang w:val="es-ES" w:eastAsia="es-ES" w:bidi="es-ES"/>
        </w:rPr>
        <w:t xml:space="preserve"> se señala que en los procesos de contratación estructurados por precios unitarios aplican las notas 1, 2 y 3 de dicho formato y, por tanto, se diligencian las casillas de «Descripción», «Porcentaje» de la Administración, Imprevistos, Utilidad y total del A.I.U resaltados en color amarillo. En otras palabras, las entidades estatales incluirán de manera obligatoria el porcentaje de la: i) administración, ii) imprevistos y iii) utilidad cuando el proceso de contratación sea por precios unitarios.</w:t>
      </w:r>
    </w:p>
    <w:p w:rsidRPr="001A26EC" w:rsidR="0098121E" w:rsidP="0098121E" w:rsidRDefault="0098121E" w14:paraId="62448D0A" w14:textId="77777777">
      <w:pPr>
        <w:widowControl w:val="0"/>
        <w:autoSpaceDE w:val="0"/>
        <w:autoSpaceDN w:val="0"/>
        <w:spacing w:after="120"/>
        <w:ind w:firstLine="709"/>
        <w:rPr>
          <w:rFonts w:ascii="Geomanist Light" w:hAnsi="Geomanist Light" w:eastAsia="Arial" w:cs="Arial"/>
          <w:sz w:val="22"/>
          <w:lang w:val="es-ES" w:eastAsia="es-ES" w:bidi="es-ES"/>
        </w:rPr>
      </w:pPr>
      <w:r w:rsidRPr="001A26EC">
        <w:rPr>
          <w:rFonts w:ascii="Geomanist Light" w:hAnsi="Geomanist Light" w:eastAsia="Arial" w:cs="Arial"/>
          <w:sz w:val="22"/>
          <w:lang w:val="es-ES" w:eastAsia="es-ES" w:bidi="es-ES"/>
        </w:rPr>
        <w:t xml:space="preserve">Al respecto, en la «Nota 1» se establece que el precio unitario incluye el valor de A.I.U. Por su parte, la «Nota 2» indica la regla que cuando la fracción decimal del peso sea igual o superior a 5 se aproximará por exceso al número entero siguiente del peso y cuando la fracción decimal del peso sea inferior a 5 se aproximará por defecto al número entero del peso. Finalmente, en la «Nota 3» se indica que el A.I.U y su discriminación debe ser en porcentaje. </w:t>
      </w:r>
    </w:p>
    <w:p w:rsidRPr="001A26EC" w:rsidR="0098121E" w:rsidP="0098121E" w:rsidRDefault="0098121E" w14:paraId="7AE399BD" w14:textId="77777777">
      <w:pPr>
        <w:widowControl w:val="0"/>
        <w:autoSpaceDE w:val="0"/>
        <w:autoSpaceDN w:val="0"/>
        <w:spacing w:after="160"/>
        <w:ind w:firstLine="709"/>
        <w:rPr>
          <w:rFonts w:ascii="Geomanist Light" w:hAnsi="Geomanist Light" w:eastAsia="Arial" w:cs="Arial"/>
          <w:sz w:val="22"/>
          <w:lang w:val="es-ES" w:eastAsia="es-ES" w:bidi="es-ES"/>
        </w:rPr>
      </w:pPr>
      <w:r w:rsidRPr="001A26EC">
        <w:rPr>
          <w:rFonts w:ascii="Geomanist Light" w:hAnsi="Geomanist Light" w:eastAsia="Arial" w:cs="Arial"/>
          <w:sz w:val="22"/>
          <w:lang w:val="es-ES" w:eastAsia="es-ES" w:bidi="es-ES"/>
        </w:rPr>
        <w:t xml:space="preserve">De la redacción de estas notas se infiere que las entidades obligatoriamente aplicarán las notas definidas en el </w:t>
      </w:r>
      <w:r w:rsidRPr="001A26EC">
        <w:rPr>
          <w:rFonts w:ascii="Geomanist Light" w:hAnsi="Geomanist Light" w:eastAsia="Arial" w:cs="Arial"/>
          <w:i/>
          <w:iCs/>
          <w:sz w:val="22"/>
          <w:lang w:val="es-ES" w:eastAsia="es-ES" w:bidi="es-ES"/>
        </w:rPr>
        <w:t>«Formulario 1 – Formulario del Presupuesto Oficial»,</w:t>
      </w:r>
      <w:r w:rsidRPr="001A26EC">
        <w:rPr>
          <w:rFonts w:ascii="Geomanist Light" w:hAnsi="Geomanist Light" w:eastAsia="Arial" w:cs="Arial"/>
          <w:sz w:val="22"/>
          <w:lang w:val="es-ES" w:eastAsia="es-ES" w:bidi="es-ES"/>
        </w:rPr>
        <w:t xml:space="preserve"> cuando el proceso de contratación es estructurado por precios unitarios y, por ende, se incluirá el porcentaje respectivo a la: i) administración, ii) imprevistos y iii) utilidad. En consecuencia, las entidades no podrán omitir alguno de sus componentes y lo definirán de acuerdo con el estudio de mercado y el sector, incluyendo el valor que consideren procedente. Además, el </w:t>
      </w:r>
      <w:r w:rsidRPr="001A26EC">
        <w:rPr>
          <w:rFonts w:ascii="Geomanist Light" w:hAnsi="Geomanist Light" w:eastAsia="Arial" w:cs="Arial"/>
          <w:i/>
          <w:iCs/>
          <w:sz w:val="22"/>
          <w:lang w:val="es-ES" w:eastAsia="es-ES" w:bidi="es-ES"/>
        </w:rPr>
        <w:t>«Formulario 1 – Formulario de Presupuesto Oficial»</w:t>
      </w:r>
      <w:r w:rsidRPr="001A26EC">
        <w:rPr>
          <w:rFonts w:ascii="Geomanist Light" w:hAnsi="Geomanist Light" w:eastAsia="Arial" w:cs="Arial"/>
          <w:sz w:val="22"/>
          <w:lang w:val="es-ES" w:eastAsia="es-ES" w:bidi="es-ES"/>
        </w:rPr>
        <w:t xml:space="preserve"> señala los espacios en los cuales se incluirán estos porcentajes. Así se determina en los siguientes términos: </w:t>
      </w:r>
    </w:p>
    <w:tbl>
      <w:tblPr>
        <w:tblStyle w:val="Tablaconcuadrcula11"/>
        <w:tblW w:w="8247" w:type="dxa"/>
        <w:jc w:val="center"/>
        <w:tblLook w:val="04A0" w:firstRow="1" w:lastRow="0" w:firstColumn="1" w:lastColumn="0" w:noHBand="0" w:noVBand="1"/>
      </w:tblPr>
      <w:tblGrid>
        <w:gridCol w:w="2794"/>
        <w:gridCol w:w="2409"/>
        <w:gridCol w:w="3044"/>
      </w:tblGrid>
      <w:tr w:rsidRPr="001A26EC" w:rsidR="0098121E" w:rsidTr="0098121E" w14:paraId="2CB5E381" w14:textId="77777777">
        <w:trPr>
          <w:trHeight w:val="541"/>
          <w:jc w:val="center"/>
        </w:trPr>
        <w:tc>
          <w:tcPr>
            <w:tcW w:w="5203" w:type="dxa"/>
            <w:gridSpan w:val="2"/>
            <w:tcBorders>
              <w:top w:val="single" w:color="auto" w:sz="4" w:space="0"/>
              <w:left w:val="single" w:color="auto" w:sz="4" w:space="0"/>
              <w:bottom w:val="single" w:color="auto" w:sz="4" w:space="0"/>
              <w:right w:val="single" w:color="auto" w:sz="4" w:space="0"/>
            </w:tcBorders>
            <w:hideMark/>
          </w:tcPr>
          <w:p w:rsidRPr="001A26EC" w:rsidR="0098121E" w:rsidRDefault="0098121E" w14:paraId="088DD117" w14:textId="77777777">
            <w:pPr>
              <w:jc w:val="center"/>
              <w:rPr>
                <w:rFonts w:ascii="Geomanist Light" w:hAnsi="Geomanist Light" w:eastAsia="Times New Roman" w:cs="Arial"/>
                <w:b/>
                <w:bCs/>
                <w:sz w:val="20"/>
                <w:szCs w:val="20"/>
                <w:lang w:val="es-CO" w:eastAsia="es-CO"/>
              </w:rPr>
            </w:pPr>
            <w:r w:rsidRPr="001A26EC">
              <w:rPr>
                <w:rFonts w:ascii="Geomanist Light" w:hAnsi="Geomanist Light" w:eastAsia="Times New Roman" w:cs="Arial"/>
                <w:b/>
                <w:bCs/>
                <w:sz w:val="20"/>
                <w:szCs w:val="20"/>
                <w:lang w:val="es-CO" w:eastAsia="es-CO"/>
              </w:rPr>
              <w:t>DESCRIPCION</w:t>
            </w:r>
          </w:p>
        </w:tc>
        <w:tc>
          <w:tcPr>
            <w:tcW w:w="3044" w:type="dxa"/>
            <w:tcBorders>
              <w:top w:val="single" w:color="auto" w:sz="4" w:space="0"/>
              <w:left w:val="single" w:color="auto" w:sz="4" w:space="0"/>
              <w:bottom w:val="single" w:color="auto" w:sz="4" w:space="0"/>
              <w:right w:val="single" w:color="auto" w:sz="4" w:space="0"/>
            </w:tcBorders>
            <w:noWrap/>
            <w:hideMark/>
          </w:tcPr>
          <w:p w:rsidRPr="001A26EC" w:rsidR="0098121E" w:rsidRDefault="0098121E" w14:paraId="439B0259" w14:textId="77777777">
            <w:pPr>
              <w:jc w:val="center"/>
              <w:rPr>
                <w:rFonts w:ascii="Geomanist Light" w:hAnsi="Geomanist Light" w:eastAsia="Times New Roman" w:cs="Arial"/>
                <w:b/>
                <w:bCs/>
                <w:sz w:val="20"/>
                <w:szCs w:val="20"/>
                <w:lang w:val="es-CO" w:eastAsia="es-CO"/>
              </w:rPr>
            </w:pPr>
            <w:r w:rsidRPr="001A26EC">
              <w:rPr>
                <w:rFonts w:ascii="Geomanist Light" w:hAnsi="Geomanist Light" w:eastAsia="Times New Roman" w:cs="Arial"/>
                <w:b/>
                <w:bCs/>
                <w:sz w:val="20"/>
                <w:szCs w:val="20"/>
                <w:lang w:val="es-CO" w:eastAsia="es-CO"/>
              </w:rPr>
              <w:t xml:space="preserve"> PORCENTAJE </w:t>
            </w:r>
          </w:p>
        </w:tc>
      </w:tr>
      <w:tr w:rsidRPr="001A26EC" w:rsidR="0098121E" w:rsidTr="0098121E" w14:paraId="7FA550DA" w14:textId="77777777">
        <w:trPr>
          <w:trHeight w:val="375"/>
          <w:jc w:val="center"/>
        </w:trPr>
        <w:tc>
          <w:tcPr>
            <w:tcW w:w="2794" w:type="dxa"/>
            <w:tcBorders>
              <w:top w:val="single" w:color="auto" w:sz="4" w:space="0"/>
              <w:left w:val="single" w:color="auto" w:sz="4" w:space="0"/>
              <w:bottom w:val="single" w:color="auto" w:sz="4" w:space="0"/>
              <w:right w:val="single" w:color="auto" w:sz="4" w:space="0"/>
            </w:tcBorders>
            <w:noWrap/>
            <w:hideMark/>
          </w:tcPr>
          <w:p w:rsidRPr="001A26EC" w:rsidR="0098121E" w:rsidRDefault="0098121E" w14:paraId="58E5972A" w14:textId="77777777">
            <w:pPr>
              <w:jc w:val="center"/>
              <w:rPr>
                <w:rFonts w:ascii="Geomanist Light" w:hAnsi="Geomanist Light" w:eastAsia="Times New Roman" w:cs="Arial"/>
                <w:b/>
                <w:bCs/>
                <w:sz w:val="20"/>
                <w:szCs w:val="20"/>
                <w:lang w:val="es-CO" w:eastAsia="es-CO"/>
              </w:rPr>
            </w:pPr>
            <w:r w:rsidRPr="001A26EC">
              <w:rPr>
                <w:rFonts w:ascii="Geomanist Light" w:hAnsi="Geomanist Light" w:eastAsia="Times New Roman" w:cs="Arial"/>
                <w:b/>
                <w:bCs/>
                <w:sz w:val="20"/>
                <w:szCs w:val="20"/>
                <w:lang w:val="es-CO" w:eastAsia="es-CO"/>
              </w:rPr>
              <w:t>ADMINISTRACIÓN</w:t>
            </w:r>
          </w:p>
        </w:tc>
        <w:tc>
          <w:tcPr>
            <w:tcW w:w="2408" w:type="dxa"/>
            <w:tcBorders>
              <w:top w:val="single" w:color="auto" w:sz="4" w:space="0"/>
              <w:left w:val="single" w:color="auto" w:sz="4" w:space="0"/>
              <w:bottom w:val="single" w:color="auto" w:sz="4" w:space="0"/>
              <w:right w:val="single" w:color="auto" w:sz="4" w:space="0"/>
            </w:tcBorders>
            <w:noWrap/>
            <w:hideMark/>
          </w:tcPr>
          <w:p w:rsidRPr="001A26EC" w:rsidR="0098121E" w:rsidRDefault="0098121E" w14:paraId="7AE51526" w14:textId="77777777">
            <w:pPr>
              <w:jc w:val="center"/>
              <w:rPr>
                <w:rFonts w:ascii="Geomanist Light" w:hAnsi="Geomanist Light" w:eastAsia="Times New Roman" w:cs="Arial"/>
                <w:b/>
                <w:bCs/>
                <w:sz w:val="20"/>
                <w:szCs w:val="20"/>
                <w:lang w:val="es-CO" w:eastAsia="es-CO"/>
              </w:rPr>
            </w:pPr>
            <w:r w:rsidRPr="001A26EC">
              <w:rPr>
                <w:rFonts w:ascii="Geomanist Light" w:hAnsi="Geomanist Light" w:eastAsia="Times New Roman" w:cs="Arial"/>
                <w:b/>
                <w:bCs/>
                <w:sz w:val="20"/>
                <w:szCs w:val="20"/>
                <w:lang w:val="es-CO" w:eastAsia="es-CO"/>
              </w:rPr>
              <w:t xml:space="preserve"> A= </w:t>
            </w:r>
          </w:p>
        </w:tc>
        <w:tc>
          <w:tcPr>
            <w:tcW w:w="3044" w:type="dxa"/>
            <w:tcBorders>
              <w:top w:val="single" w:color="auto" w:sz="4" w:space="0"/>
              <w:left w:val="single" w:color="auto" w:sz="4" w:space="0"/>
              <w:bottom w:val="single" w:color="auto" w:sz="4" w:space="0"/>
              <w:right w:val="single" w:color="auto" w:sz="4" w:space="0"/>
            </w:tcBorders>
            <w:noWrap/>
            <w:hideMark/>
          </w:tcPr>
          <w:p w:rsidRPr="001A26EC" w:rsidR="0098121E" w:rsidRDefault="0098121E" w14:paraId="41694C6A" w14:textId="77777777">
            <w:pPr>
              <w:jc w:val="center"/>
              <w:rPr>
                <w:rFonts w:ascii="Geomanist Light" w:hAnsi="Geomanist Light" w:eastAsia="Times New Roman" w:cs="Arial"/>
                <w:sz w:val="20"/>
                <w:szCs w:val="20"/>
                <w:lang w:val="es-CO" w:eastAsia="es-CO"/>
              </w:rPr>
            </w:pPr>
            <w:r w:rsidRPr="001A26EC">
              <w:rPr>
                <w:rFonts w:ascii="Geomanist Light" w:hAnsi="Geomanist Light" w:eastAsia="Times New Roman" w:cs="Arial"/>
                <w:sz w:val="20"/>
                <w:szCs w:val="20"/>
                <w:highlight w:val="lightGray"/>
                <w:lang w:val="es-CO" w:eastAsia="es-CO"/>
              </w:rPr>
              <w:t>[Determinar por la Entidad]</w:t>
            </w:r>
          </w:p>
        </w:tc>
      </w:tr>
      <w:tr w:rsidRPr="001A26EC" w:rsidR="0098121E" w:rsidTr="0098121E" w14:paraId="3235F13E" w14:textId="77777777">
        <w:trPr>
          <w:trHeight w:val="349"/>
          <w:jc w:val="center"/>
        </w:trPr>
        <w:tc>
          <w:tcPr>
            <w:tcW w:w="2794" w:type="dxa"/>
            <w:tcBorders>
              <w:top w:val="single" w:color="auto" w:sz="4" w:space="0"/>
              <w:left w:val="single" w:color="auto" w:sz="4" w:space="0"/>
              <w:bottom w:val="single" w:color="auto" w:sz="4" w:space="0"/>
              <w:right w:val="single" w:color="auto" w:sz="4" w:space="0"/>
            </w:tcBorders>
            <w:hideMark/>
          </w:tcPr>
          <w:p w:rsidRPr="001A26EC" w:rsidR="0098121E" w:rsidRDefault="0098121E" w14:paraId="041BACF1" w14:textId="77777777">
            <w:pPr>
              <w:jc w:val="center"/>
              <w:rPr>
                <w:rFonts w:ascii="Geomanist Light" w:hAnsi="Geomanist Light" w:eastAsia="Times New Roman" w:cs="Arial"/>
                <w:b/>
                <w:bCs/>
                <w:sz w:val="20"/>
                <w:szCs w:val="20"/>
                <w:lang w:val="es-CO" w:eastAsia="es-CO"/>
              </w:rPr>
            </w:pPr>
            <w:r w:rsidRPr="001A26EC">
              <w:rPr>
                <w:rFonts w:ascii="Geomanist Light" w:hAnsi="Geomanist Light" w:eastAsia="Times New Roman" w:cs="Arial"/>
                <w:b/>
                <w:bCs/>
                <w:sz w:val="20"/>
                <w:szCs w:val="20"/>
                <w:lang w:val="es-CO" w:eastAsia="es-CO"/>
              </w:rPr>
              <w:t>IMPREVISTO</w:t>
            </w:r>
          </w:p>
        </w:tc>
        <w:tc>
          <w:tcPr>
            <w:tcW w:w="2408" w:type="dxa"/>
            <w:tcBorders>
              <w:top w:val="single" w:color="auto" w:sz="4" w:space="0"/>
              <w:left w:val="single" w:color="auto" w:sz="4" w:space="0"/>
              <w:bottom w:val="single" w:color="auto" w:sz="4" w:space="0"/>
              <w:right w:val="single" w:color="auto" w:sz="4" w:space="0"/>
            </w:tcBorders>
            <w:noWrap/>
            <w:hideMark/>
          </w:tcPr>
          <w:p w:rsidRPr="001A26EC" w:rsidR="0098121E" w:rsidRDefault="0098121E" w14:paraId="34C642D6" w14:textId="77777777">
            <w:pPr>
              <w:jc w:val="center"/>
              <w:rPr>
                <w:rFonts w:ascii="Geomanist Light" w:hAnsi="Geomanist Light" w:eastAsia="Times New Roman" w:cs="Arial"/>
                <w:b/>
                <w:bCs/>
                <w:sz w:val="20"/>
                <w:szCs w:val="20"/>
                <w:lang w:val="es-CO" w:eastAsia="es-CO"/>
              </w:rPr>
            </w:pPr>
            <w:r w:rsidRPr="001A26EC">
              <w:rPr>
                <w:rFonts w:ascii="Geomanist Light" w:hAnsi="Geomanist Light" w:eastAsia="Times New Roman" w:cs="Arial"/>
                <w:b/>
                <w:bCs/>
                <w:sz w:val="20"/>
                <w:szCs w:val="20"/>
                <w:lang w:val="es-CO" w:eastAsia="es-CO"/>
              </w:rPr>
              <w:t xml:space="preserve"> I= </w:t>
            </w:r>
          </w:p>
        </w:tc>
        <w:tc>
          <w:tcPr>
            <w:tcW w:w="3044" w:type="dxa"/>
            <w:tcBorders>
              <w:top w:val="single" w:color="auto" w:sz="4" w:space="0"/>
              <w:left w:val="single" w:color="auto" w:sz="4" w:space="0"/>
              <w:bottom w:val="single" w:color="auto" w:sz="4" w:space="0"/>
              <w:right w:val="single" w:color="auto" w:sz="4" w:space="0"/>
            </w:tcBorders>
            <w:noWrap/>
            <w:hideMark/>
          </w:tcPr>
          <w:p w:rsidRPr="001A26EC" w:rsidR="0098121E" w:rsidRDefault="0098121E" w14:paraId="34FEE8CE" w14:textId="77777777">
            <w:pPr>
              <w:jc w:val="center"/>
              <w:rPr>
                <w:rFonts w:ascii="Geomanist Light" w:hAnsi="Geomanist Light" w:eastAsia="Times New Roman" w:cs="Arial"/>
                <w:sz w:val="20"/>
                <w:szCs w:val="20"/>
                <w:highlight w:val="lightGray"/>
                <w:lang w:val="es-CO" w:eastAsia="es-CO"/>
              </w:rPr>
            </w:pPr>
            <w:r w:rsidRPr="001A26EC">
              <w:rPr>
                <w:rFonts w:ascii="Geomanist Light" w:hAnsi="Geomanist Light" w:eastAsia="Times New Roman" w:cs="Arial"/>
                <w:sz w:val="20"/>
                <w:szCs w:val="20"/>
                <w:highlight w:val="lightGray"/>
                <w:lang w:val="es-CO" w:eastAsia="es-CO"/>
              </w:rPr>
              <w:t>[Determinar por la Entidad]</w:t>
            </w:r>
          </w:p>
        </w:tc>
      </w:tr>
      <w:tr w:rsidRPr="001A26EC" w:rsidR="0098121E" w:rsidTr="0098121E" w14:paraId="276328ED" w14:textId="77777777">
        <w:trPr>
          <w:trHeight w:val="680"/>
          <w:jc w:val="center"/>
        </w:trPr>
        <w:tc>
          <w:tcPr>
            <w:tcW w:w="2794" w:type="dxa"/>
            <w:tcBorders>
              <w:top w:val="single" w:color="auto" w:sz="4" w:space="0"/>
              <w:left w:val="single" w:color="auto" w:sz="4" w:space="0"/>
              <w:bottom w:val="single" w:color="auto" w:sz="4" w:space="0"/>
              <w:right w:val="single" w:color="auto" w:sz="4" w:space="0"/>
            </w:tcBorders>
            <w:hideMark/>
          </w:tcPr>
          <w:p w:rsidRPr="001A26EC" w:rsidR="0098121E" w:rsidRDefault="0098121E" w14:paraId="5A749929" w14:textId="77777777">
            <w:pPr>
              <w:jc w:val="center"/>
              <w:rPr>
                <w:rFonts w:ascii="Geomanist Light" w:hAnsi="Geomanist Light" w:eastAsia="Times New Roman" w:cs="Arial"/>
                <w:b/>
                <w:bCs/>
                <w:sz w:val="20"/>
                <w:szCs w:val="20"/>
                <w:lang w:val="es-CO" w:eastAsia="es-CO"/>
              </w:rPr>
            </w:pPr>
            <w:r w:rsidRPr="001A26EC">
              <w:rPr>
                <w:rFonts w:ascii="Geomanist Light" w:hAnsi="Geomanist Light" w:eastAsia="Times New Roman" w:cs="Arial"/>
                <w:b/>
                <w:bCs/>
                <w:sz w:val="20"/>
                <w:szCs w:val="20"/>
                <w:lang w:val="es-CO" w:eastAsia="es-CO"/>
              </w:rPr>
              <w:t>UTILIDAD</w:t>
            </w:r>
          </w:p>
        </w:tc>
        <w:tc>
          <w:tcPr>
            <w:tcW w:w="2408" w:type="dxa"/>
            <w:tcBorders>
              <w:top w:val="single" w:color="auto" w:sz="4" w:space="0"/>
              <w:left w:val="single" w:color="auto" w:sz="4" w:space="0"/>
              <w:bottom w:val="single" w:color="auto" w:sz="4" w:space="0"/>
              <w:right w:val="single" w:color="auto" w:sz="4" w:space="0"/>
            </w:tcBorders>
            <w:noWrap/>
            <w:hideMark/>
          </w:tcPr>
          <w:p w:rsidRPr="001A26EC" w:rsidR="0098121E" w:rsidRDefault="0098121E" w14:paraId="4624983B" w14:textId="77777777">
            <w:pPr>
              <w:jc w:val="center"/>
              <w:rPr>
                <w:rFonts w:ascii="Geomanist Light" w:hAnsi="Geomanist Light" w:eastAsia="Times New Roman" w:cs="Arial"/>
                <w:b/>
                <w:bCs/>
                <w:sz w:val="20"/>
                <w:szCs w:val="20"/>
                <w:lang w:val="es-CO" w:eastAsia="es-CO"/>
              </w:rPr>
            </w:pPr>
            <w:r w:rsidRPr="001A26EC">
              <w:rPr>
                <w:rFonts w:ascii="Geomanist Light" w:hAnsi="Geomanist Light" w:eastAsia="Times New Roman" w:cs="Arial"/>
                <w:b/>
                <w:bCs/>
                <w:sz w:val="20"/>
                <w:szCs w:val="20"/>
                <w:lang w:val="es-CO" w:eastAsia="es-CO"/>
              </w:rPr>
              <w:t xml:space="preserve"> U= </w:t>
            </w:r>
          </w:p>
        </w:tc>
        <w:tc>
          <w:tcPr>
            <w:tcW w:w="3044" w:type="dxa"/>
            <w:tcBorders>
              <w:top w:val="single" w:color="auto" w:sz="4" w:space="0"/>
              <w:left w:val="single" w:color="auto" w:sz="4" w:space="0"/>
              <w:bottom w:val="single" w:color="auto" w:sz="4" w:space="0"/>
              <w:right w:val="single" w:color="auto" w:sz="4" w:space="0"/>
            </w:tcBorders>
            <w:noWrap/>
            <w:hideMark/>
          </w:tcPr>
          <w:p w:rsidRPr="001A26EC" w:rsidR="0098121E" w:rsidRDefault="0098121E" w14:paraId="04F0DD37" w14:textId="77777777">
            <w:pPr>
              <w:jc w:val="center"/>
              <w:rPr>
                <w:rFonts w:ascii="Geomanist Light" w:hAnsi="Geomanist Light" w:eastAsia="Times New Roman" w:cs="Arial"/>
                <w:sz w:val="20"/>
                <w:szCs w:val="20"/>
                <w:highlight w:val="lightGray"/>
                <w:lang w:val="es-CO" w:eastAsia="es-CO"/>
              </w:rPr>
            </w:pPr>
            <w:r w:rsidRPr="001A26EC">
              <w:rPr>
                <w:rFonts w:ascii="Geomanist Light" w:hAnsi="Geomanist Light" w:eastAsia="Times New Roman" w:cs="Arial"/>
                <w:sz w:val="20"/>
                <w:szCs w:val="20"/>
                <w:highlight w:val="lightGray"/>
                <w:lang w:val="es-CO" w:eastAsia="es-CO"/>
              </w:rPr>
              <w:t>[Determinar por la Entidad]</w:t>
            </w:r>
          </w:p>
        </w:tc>
      </w:tr>
      <w:tr w:rsidRPr="001A26EC" w:rsidR="0098121E" w:rsidTr="0098121E" w14:paraId="26F73EE0" w14:textId="77777777">
        <w:trPr>
          <w:trHeight w:val="663"/>
          <w:jc w:val="center"/>
        </w:trPr>
        <w:tc>
          <w:tcPr>
            <w:tcW w:w="2794" w:type="dxa"/>
            <w:tcBorders>
              <w:top w:val="single" w:color="auto" w:sz="4" w:space="0"/>
              <w:left w:val="single" w:color="auto" w:sz="4" w:space="0"/>
              <w:bottom w:val="single" w:color="auto" w:sz="4" w:space="0"/>
              <w:right w:val="single" w:color="auto" w:sz="4" w:space="0"/>
            </w:tcBorders>
            <w:noWrap/>
            <w:hideMark/>
          </w:tcPr>
          <w:p w:rsidRPr="001A26EC" w:rsidR="0098121E" w:rsidRDefault="0098121E" w14:paraId="2225CA71" w14:textId="77777777">
            <w:pPr>
              <w:jc w:val="center"/>
              <w:rPr>
                <w:rFonts w:ascii="Geomanist Light" w:hAnsi="Geomanist Light" w:eastAsia="Times New Roman" w:cs="Arial"/>
                <w:b/>
                <w:bCs/>
                <w:sz w:val="20"/>
                <w:szCs w:val="20"/>
                <w:lang w:val="es-CO" w:eastAsia="es-CO"/>
              </w:rPr>
            </w:pPr>
            <w:r w:rsidRPr="001A26EC">
              <w:rPr>
                <w:rFonts w:ascii="Geomanist Light" w:hAnsi="Geomanist Light" w:eastAsia="Times New Roman" w:cs="Arial"/>
                <w:b/>
                <w:bCs/>
                <w:sz w:val="20"/>
                <w:szCs w:val="20"/>
                <w:lang w:val="es-CO" w:eastAsia="es-CO"/>
              </w:rPr>
              <w:t>TOTAL A.I.U.</w:t>
            </w:r>
          </w:p>
        </w:tc>
        <w:tc>
          <w:tcPr>
            <w:tcW w:w="2408" w:type="dxa"/>
            <w:tcBorders>
              <w:top w:val="single" w:color="auto" w:sz="4" w:space="0"/>
              <w:left w:val="single" w:color="auto" w:sz="4" w:space="0"/>
              <w:bottom w:val="single" w:color="auto" w:sz="4" w:space="0"/>
              <w:right w:val="single" w:color="auto" w:sz="4" w:space="0"/>
            </w:tcBorders>
            <w:noWrap/>
            <w:hideMark/>
          </w:tcPr>
          <w:p w:rsidRPr="001A26EC" w:rsidR="0098121E" w:rsidRDefault="0098121E" w14:paraId="1ED40953" w14:textId="77777777">
            <w:pPr>
              <w:jc w:val="center"/>
              <w:rPr>
                <w:rFonts w:ascii="Geomanist Light" w:hAnsi="Geomanist Light" w:eastAsia="Times New Roman" w:cs="Arial"/>
                <w:b/>
                <w:bCs/>
                <w:sz w:val="20"/>
                <w:szCs w:val="20"/>
                <w:lang w:val="es-CO" w:eastAsia="es-CO"/>
              </w:rPr>
            </w:pPr>
            <w:r w:rsidRPr="001A26EC">
              <w:rPr>
                <w:rFonts w:ascii="Geomanist Light" w:hAnsi="Geomanist Light" w:eastAsia="Times New Roman" w:cs="Arial"/>
                <w:b/>
                <w:bCs/>
                <w:sz w:val="20"/>
                <w:szCs w:val="20"/>
                <w:lang w:val="es-CO" w:eastAsia="es-CO"/>
              </w:rPr>
              <w:t xml:space="preserve"> A.I.U.= </w:t>
            </w:r>
          </w:p>
        </w:tc>
        <w:tc>
          <w:tcPr>
            <w:tcW w:w="3044" w:type="dxa"/>
            <w:tcBorders>
              <w:top w:val="single" w:color="auto" w:sz="4" w:space="0"/>
              <w:left w:val="single" w:color="auto" w:sz="4" w:space="0"/>
              <w:bottom w:val="single" w:color="auto" w:sz="4" w:space="0"/>
              <w:right w:val="single" w:color="auto" w:sz="4" w:space="0"/>
            </w:tcBorders>
            <w:noWrap/>
            <w:hideMark/>
          </w:tcPr>
          <w:p w:rsidRPr="001A26EC" w:rsidR="0098121E" w:rsidRDefault="0098121E" w14:paraId="47767870" w14:textId="77777777">
            <w:pPr>
              <w:jc w:val="center"/>
              <w:rPr>
                <w:rFonts w:ascii="Geomanist Light" w:hAnsi="Geomanist Light" w:eastAsia="Times New Roman" w:cs="Arial"/>
                <w:sz w:val="20"/>
                <w:szCs w:val="20"/>
                <w:lang w:val="es-CO" w:eastAsia="es-CO"/>
              </w:rPr>
            </w:pPr>
            <w:r w:rsidRPr="001A26EC">
              <w:rPr>
                <w:rFonts w:ascii="Geomanist Light" w:hAnsi="Geomanist Light" w:eastAsia="Times New Roman" w:cs="Arial"/>
                <w:sz w:val="20"/>
                <w:szCs w:val="20"/>
                <w:highlight w:val="lightGray"/>
                <w:lang w:val="es-CO" w:eastAsia="es-CO"/>
              </w:rPr>
              <w:t>[Determinar por la Entidad]</w:t>
            </w:r>
          </w:p>
        </w:tc>
      </w:tr>
    </w:tbl>
    <w:p w:rsidRPr="001A26EC" w:rsidR="0098121E" w:rsidP="0098121E" w:rsidRDefault="0098121E" w14:paraId="7633D736" w14:textId="77777777">
      <w:pPr>
        <w:widowControl w:val="0"/>
        <w:autoSpaceDE w:val="0"/>
        <w:autoSpaceDN w:val="0"/>
        <w:spacing w:after="120"/>
        <w:ind w:firstLine="709"/>
        <w:rPr>
          <w:rFonts w:ascii="Geomanist Light" w:hAnsi="Geomanist Light" w:eastAsia="Arial" w:cs="Arial"/>
          <w:sz w:val="20"/>
          <w:szCs w:val="20"/>
          <w:lang w:val="es-ES" w:eastAsia="es-ES" w:bidi="es-ES"/>
        </w:rPr>
      </w:pPr>
    </w:p>
    <w:p w:rsidRPr="001A26EC" w:rsidR="0098121E" w:rsidP="0098121E" w:rsidRDefault="0098121E" w14:paraId="3DD42987" w14:textId="77777777">
      <w:pPr>
        <w:widowControl w:val="0"/>
        <w:autoSpaceDE w:val="0"/>
        <w:autoSpaceDN w:val="0"/>
        <w:ind w:firstLine="709"/>
        <w:rPr>
          <w:rFonts w:ascii="Geomanist Light" w:hAnsi="Geomanist Light" w:eastAsia="Arial" w:cs="Arial"/>
          <w:sz w:val="22"/>
          <w:szCs w:val="22"/>
          <w:lang w:val="es-ES" w:eastAsia="es-ES" w:bidi="es-ES"/>
        </w:rPr>
      </w:pPr>
      <w:r w:rsidRPr="001A26EC">
        <w:rPr>
          <w:rFonts w:ascii="Geomanist Light" w:hAnsi="Geomanist Light" w:eastAsia="Arial" w:cs="Arial"/>
          <w:sz w:val="22"/>
          <w:lang w:val="es-ES" w:eastAsia="es-ES" w:bidi="es-ES"/>
        </w:rPr>
        <w:t xml:space="preserve">En este sentido, reiterando el principio de inalterabilidad, las entidades solo pueden modificar aquello que el documento tipo permita. Por ello, debido a que la primera hoja del </w:t>
      </w:r>
      <w:r w:rsidRPr="001A26EC">
        <w:rPr>
          <w:rFonts w:ascii="Geomanist Light" w:hAnsi="Geomanist Light" w:eastAsia="Arial" w:cs="Arial"/>
          <w:i/>
          <w:iCs/>
          <w:sz w:val="22"/>
          <w:lang w:val="es-ES" w:eastAsia="es-ES" w:bidi="es-ES"/>
        </w:rPr>
        <w:t>«Formulario 1 – Formulario del Presupuesto Oficial»</w:t>
      </w:r>
      <w:r w:rsidRPr="001A26EC">
        <w:rPr>
          <w:rFonts w:ascii="Geomanist Light" w:hAnsi="Geomanist Light" w:eastAsia="Arial" w:cs="Arial"/>
          <w:sz w:val="22"/>
          <w:lang w:val="es-ES" w:eastAsia="es-ES" w:bidi="es-ES"/>
        </w:rPr>
        <w:t xml:space="preserve"> no permite su modificación en los procesos estructurados por precios unitarios, no será posible omitir alguno de los componentes del A.I.U. Bajo ese entendido, las entidades no podrán eliminar o modificar las filas correspondientes a la administración, imprevistos y utilidad, ni eliminar o modificar las «Nota 1 a 3» que versan sobre el uso de precios unitarios con componentes del A.I.U.</w:t>
      </w:r>
    </w:p>
    <w:p w:rsidRPr="001A26EC" w:rsidR="0098121E" w:rsidP="0098121E" w:rsidRDefault="0098121E" w14:paraId="0F4A0413" w14:textId="77777777">
      <w:pPr>
        <w:widowControl w:val="0"/>
        <w:autoSpaceDE w:val="0"/>
        <w:autoSpaceDN w:val="0"/>
        <w:spacing w:before="120"/>
        <w:ind w:firstLine="709"/>
        <w:rPr>
          <w:rFonts w:ascii="Geomanist Light" w:hAnsi="Geomanist Light" w:eastAsia="Arial" w:cs="Arial"/>
          <w:sz w:val="22"/>
          <w:lang w:val="es-ES" w:eastAsia="es-ES" w:bidi="es-ES"/>
        </w:rPr>
      </w:pPr>
      <w:r w:rsidRPr="001A26EC">
        <w:rPr>
          <w:rFonts w:ascii="Geomanist Light" w:hAnsi="Geomanist Light" w:eastAsia="Arial" w:cs="Arial"/>
          <w:sz w:val="22"/>
          <w:lang w:val="es-CO" w:eastAsia="es-ES" w:bidi="es-ES"/>
        </w:rPr>
        <w:t xml:space="preserve">De otra parte, </w:t>
      </w:r>
      <w:r w:rsidRPr="001A26EC">
        <w:rPr>
          <w:rFonts w:ascii="Geomanist Light" w:hAnsi="Geomanist Light" w:eastAsia="Arial" w:cs="Arial"/>
          <w:sz w:val="22"/>
          <w:lang w:val="es-ES" w:eastAsia="es-ES" w:bidi="es-ES"/>
        </w:rPr>
        <w:t>en los documentos tipo el «Formulario 1</w:t>
      </w:r>
      <w:r w:rsidRPr="001A26EC">
        <w:rPr>
          <w:rFonts w:ascii="Geomanist Light" w:hAnsi="Geomanist Light" w:cs="Arial"/>
          <w:sz w:val="22"/>
          <w:lang w:val="es-ES" w:eastAsia="es-ES" w:bidi="es-ES"/>
        </w:rPr>
        <w:t xml:space="preserve">» en su segunda pestaña en </w:t>
      </w:r>
      <w:r w:rsidRPr="001A26EC">
        <w:rPr>
          <w:rFonts w:ascii="Geomanist Light" w:hAnsi="Geomanist Light" w:cs="Arial"/>
          <w:i/>
          <w:iCs/>
          <w:sz w:val="22"/>
          <w:lang w:val="es-ES" w:eastAsia="es-ES" w:bidi="es-ES"/>
        </w:rPr>
        <w:t>Excel</w:t>
      </w:r>
      <w:r w:rsidRPr="001A26EC">
        <w:rPr>
          <w:rFonts w:ascii="Geomanist Light" w:hAnsi="Geomanist Light" w:cs="Arial"/>
          <w:sz w:val="22"/>
          <w:lang w:val="es-ES" w:eastAsia="es-ES" w:bidi="es-ES"/>
        </w:rPr>
        <w:t xml:space="preserve">, titulada </w:t>
      </w:r>
      <w:r w:rsidRPr="001A26EC">
        <w:rPr>
          <w:rFonts w:ascii="Geomanist Light" w:hAnsi="Geomanist Light" w:cs="Arial"/>
          <w:i/>
          <w:iCs/>
          <w:sz w:val="22"/>
          <w:lang w:val="es-ES" w:eastAsia="es-ES" w:bidi="es-ES"/>
        </w:rPr>
        <w:t>«Formulario 1 Propuesta Económica»</w:t>
      </w:r>
      <w:r w:rsidRPr="001A26EC">
        <w:rPr>
          <w:rFonts w:ascii="Geomanist Light" w:hAnsi="Geomanist Light" w:eastAsia="Arial" w:cs="Arial"/>
          <w:sz w:val="22"/>
          <w:lang w:val="es-ES" w:eastAsia="es-ES" w:bidi="es-ES"/>
        </w:rPr>
        <w:t xml:space="preserve"> señala en la parte superior derecha: «</w:t>
      </w:r>
      <w:r w:rsidRPr="001A26EC">
        <w:rPr>
          <w:rFonts w:ascii="Geomanist Light" w:hAnsi="Geomanist Light" w:eastAsia="Arial" w:cs="Arial"/>
          <w:sz w:val="22"/>
          <w:highlight w:val="lightGray"/>
          <w:lang w:val="es-ES" w:eastAsia="es-ES" w:bidi="es-ES"/>
        </w:rPr>
        <w:t>[La entidad puede utilizar este formulario de presentación de propuesta económica de forma detallada, sin perjuicio que la entidad pueda modificarlo o establecer la presentación de la oferta económica con un formulario distinto al indicado.]</w:t>
      </w:r>
      <w:r w:rsidRPr="001A26EC">
        <w:rPr>
          <w:rFonts w:ascii="Geomanist Light" w:hAnsi="Geomanist Light" w:eastAsia="Arial" w:cs="Arial"/>
          <w:sz w:val="22"/>
          <w:lang w:val="es-ES" w:eastAsia="es-ES" w:bidi="es-ES"/>
        </w:rPr>
        <w:t xml:space="preserve">». </w:t>
      </w:r>
      <w:r w:rsidRPr="001A26EC">
        <w:rPr>
          <w:rFonts w:ascii="Geomanist Light" w:hAnsi="Geomanist Light" w:cs="Arial"/>
          <w:color w:val="000000"/>
          <w:sz w:val="22"/>
          <w:lang w:val="es-ES_tradnl"/>
        </w:rPr>
        <w:t>Igualmente, se indica que los proponentes emplearán el formulario establecido por la entidad para determinar su propuesta económica conforme al Formulario 1 - Presupuesto Oficial publicado por la Entidad. Esto</w:t>
      </w:r>
      <w:r w:rsidRPr="001A26EC">
        <w:rPr>
          <w:rFonts w:ascii="Geomanist Light" w:hAnsi="Geomanist Light" w:cs="Arial"/>
          <w:sz w:val="22"/>
          <w:lang w:val="es-ES_tradnl"/>
        </w:rPr>
        <w:t xml:space="preserve"> significa </w:t>
      </w:r>
      <w:r w:rsidRPr="001A26EC">
        <w:rPr>
          <w:rFonts w:ascii="Geomanist Light" w:hAnsi="Geomanist Light" w:cs="Arial"/>
          <w:sz w:val="22"/>
          <w:lang w:val="es-ES"/>
        </w:rPr>
        <w:t>que las entidades pueden diseñar un formulario para que los proponentes presenten su oferta económica, sin que sea obligatorio sujetarse al formulario que los documentos tipo proponen para el efecto.</w:t>
      </w:r>
      <w:r w:rsidRPr="001A26EC">
        <w:rPr>
          <w:rFonts w:ascii="Geomanist Light" w:hAnsi="Geomanist Light" w:eastAsia="Arial" w:cs="Arial"/>
          <w:bCs/>
          <w:sz w:val="22"/>
          <w:lang w:val="es-ES"/>
        </w:rPr>
        <w:t xml:space="preserve"> En todo caso, el proponente deberá emplear el formulario que establezca la entidad. </w:t>
      </w:r>
    </w:p>
    <w:p w:rsidRPr="001A26EC" w:rsidR="0098121E" w:rsidP="0098121E" w:rsidRDefault="0098121E" w14:paraId="258B1330" w14:textId="77777777">
      <w:pPr>
        <w:widowControl w:val="0"/>
        <w:autoSpaceDE w:val="0"/>
        <w:autoSpaceDN w:val="0"/>
        <w:spacing w:before="120"/>
        <w:ind w:firstLine="709"/>
        <w:rPr>
          <w:rFonts w:ascii="Geomanist Light" w:hAnsi="Geomanist Light" w:eastAsia="Arial" w:cs="Arial"/>
          <w:bCs/>
          <w:sz w:val="22"/>
          <w:lang w:val="es-ES" w:eastAsia="en-US"/>
        </w:rPr>
      </w:pPr>
      <w:r w:rsidRPr="001A26EC">
        <w:rPr>
          <w:rFonts w:ascii="Geomanist Light" w:hAnsi="Geomanist Light" w:eastAsia="Arial" w:cs="Arial"/>
          <w:bCs/>
          <w:sz w:val="22"/>
          <w:lang w:val="es-ES"/>
        </w:rPr>
        <w:t xml:space="preserve">Lo anterior es concordante con lo dispuesto en el numeral 4.1 del Documento Base, que establece que la entidad «debe configurar el formato de oferta económica que se encuentra en el Formulario 1 – Formulario de Presupuesto Oficial, para que sea diligenciado por los proponentes». En tales términos, la presentación de la oferta económica por parte del proponente se realizará teniendo en cuenta el formato determinado por la entidad, sea el que configure de acuerdo con el Formulario 1 o aquel que disponga sobre el particular. Adicionalmente, los proponentes al presentar su oferta deberán ceñirse a las reglas para la presentación de oferta establecidas en los numerales 2.3 y 4.1 del Documento Base, así como observar el análisis de precios unitarios, procurando no ofertar por encima de los valores tope establecidos por la entidad para algunos de los </w:t>
      </w:r>
      <w:r w:rsidRPr="001A26EC">
        <w:rPr>
          <w:rFonts w:ascii="Geomanist Light" w:hAnsi="Geomanist Light" w:eastAsia="Arial" w:cs="Arial"/>
          <w:bCs/>
          <w:i/>
          <w:iCs/>
          <w:sz w:val="22"/>
          <w:lang w:val="es-ES"/>
        </w:rPr>
        <w:t>ítems</w:t>
      </w:r>
      <w:r w:rsidRPr="001A26EC">
        <w:rPr>
          <w:rFonts w:ascii="Geomanist Light" w:hAnsi="Geomanist Light" w:eastAsia="Arial" w:cs="Arial"/>
          <w:bCs/>
          <w:sz w:val="22"/>
          <w:lang w:val="es-ES"/>
        </w:rPr>
        <w:t xml:space="preserve">, en caso de que se opte por dicha regulación.  </w:t>
      </w:r>
    </w:p>
    <w:p w:rsidRPr="001A26EC" w:rsidR="0098121E" w:rsidP="0098121E" w:rsidRDefault="0098121E" w14:paraId="636BDA73" w14:textId="77777777">
      <w:pPr>
        <w:widowControl w:val="0"/>
        <w:autoSpaceDE w:val="0"/>
        <w:autoSpaceDN w:val="0"/>
        <w:spacing w:before="120"/>
        <w:ind w:firstLine="709"/>
        <w:rPr>
          <w:rFonts w:ascii="Geomanist Light" w:hAnsi="Geomanist Light" w:cs="Arial"/>
          <w:sz w:val="22"/>
          <w:lang w:val="es-ES"/>
        </w:rPr>
      </w:pPr>
      <w:r w:rsidRPr="001A26EC">
        <w:rPr>
          <w:rFonts w:ascii="Geomanist Light" w:hAnsi="Geomanist Light" w:cs="Arial"/>
          <w:sz w:val="22"/>
          <w:lang w:val="es-ES"/>
        </w:rPr>
        <w:t xml:space="preserve">Así las cosas, los oferentes deben usar la segunda pestaña </w:t>
      </w:r>
      <w:r w:rsidRPr="001A26EC">
        <w:rPr>
          <w:rFonts w:ascii="Geomanist Light" w:hAnsi="Geomanist Light" w:cs="Arial"/>
          <w:i/>
          <w:iCs/>
          <w:sz w:val="22"/>
          <w:lang w:val="es-ES"/>
        </w:rPr>
        <w:t xml:space="preserve">del «Formulario 1 – Formulario de Presupuesto Oficial» </w:t>
      </w:r>
      <w:r w:rsidRPr="001A26EC">
        <w:rPr>
          <w:rFonts w:ascii="Geomanist Light" w:hAnsi="Geomanist Light" w:cs="Arial"/>
          <w:sz w:val="22"/>
          <w:lang w:val="es-ES"/>
        </w:rPr>
        <w:t xml:space="preserve">puesta a disposición en formato </w:t>
      </w:r>
      <w:r w:rsidRPr="001A26EC">
        <w:rPr>
          <w:rFonts w:ascii="Geomanist Light" w:hAnsi="Geomanist Light" w:cs="Arial"/>
          <w:i/>
          <w:iCs/>
          <w:sz w:val="22"/>
          <w:lang w:val="es-ES"/>
        </w:rPr>
        <w:t xml:space="preserve">Excel </w:t>
      </w:r>
      <w:r w:rsidRPr="001A26EC">
        <w:rPr>
          <w:rFonts w:ascii="Geomanist Light" w:hAnsi="Geomanist Light" w:cs="Arial"/>
          <w:sz w:val="22"/>
          <w:lang w:val="es-ES"/>
        </w:rPr>
        <w:t>por la respectiva entidad, titulada «propuesta económica», sin perjuicio de que las entidades estatales modifiquen o establezcan la presentación de la oferta económica en un formulario distinto.</w:t>
      </w:r>
    </w:p>
    <w:p w:rsidRPr="001A26EC" w:rsidR="0098121E" w:rsidP="0098121E" w:rsidRDefault="0098121E" w14:paraId="3BA84897" w14:textId="77777777">
      <w:pPr>
        <w:widowControl w:val="0"/>
        <w:autoSpaceDE w:val="0"/>
        <w:autoSpaceDN w:val="0"/>
        <w:spacing w:before="120"/>
        <w:ind w:firstLine="709"/>
        <w:rPr>
          <w:rFonts w:ascii="Geomanist Light" w:hAnsi="Geomanist Light" w:cs="Arial" w:eastAsiaTheme="minorHAnsi"/>
          <w:sz w:val="22"/>
        </w:rPr>
      </w:pPr>
      <w:r w:rsidRPr="001A26EC">
        <w:rPr>
          <w:rFonts w:ascii="Geomanist Light" w:hAnsi="Geomanist Light" w:cs="Arial"/>
          <w:sz w:val="22"/>
          <w:lang w:val="es-ES"/>
        </w:rPr>
        <w:t xml:space="preserve">Ahora bien, teniendo en cuenta que se consulta respecto del diligenciamiento del «Formulario 1 – Propuesta económica» se debe tener en cuenta que la información solicitada por dicho documento </w:t>
      </w:r>
      <w:r w:rsidRPr="001A26EC">
        <w:rPr>
          <w:rFonts w:ascii="Geomanist Light" w:hAnsi="Geomanist Light" w:cs="Arial"/>
          <w:sz w:val="22"/>
        </w:rPr>
        <w:t xml:space="preserve">se armoniza con el contenido del numeral 4.1.1. del Documento Base, en el cual se indica </w:t>
      </w:r>
      <w:r w:rsidRPr="001A26EC">
        <w:rPr>
          <w:rFonts w:ascii="Geomanist Light" w:hAnsi="Geomanist Light" w:cs="Arial"/>
          <w:bCs/>
          <w:sz w:val="22"/>
          <w:lang w:val="es-ES_tradnl"/>
        </w:rPr>
        <w:t>la obligatoriedad de incluir el AIU cuando el proceso de contratación sea por precios unitarios</w:t>
      </w:r>
      <w:r w:rsidRPr="001A26EC">
        <w:rPr>
          <w:rFonts w:ascii="Geomanist Light" w:hAnsi="Geomanist Light" w:cs="Arial"/>
          <w:sz w:val="22"/>
        </w:rPr>
        <w:t xml:space="preserve">. </w:t>
      </w:r>
    </w:p>
    <w:p w:rsidRPr="001A26EC" w:rsidR="0098121E" w:rsidP="49D68B91" w:rsidRDefault="0098121E" w14:paraId="41F5A864" w14:textId="77777777">
      <w:pPr>
        <w:widowControl w:val="0"/>
        <w:autoSpaceDE w:val="0"/>
        <w:autoSpaceDN w:val="0"/>
        <w:spacing w:before="120"/>
        <w:ind w:firstLine="709"/>
        <w:rPr>
          <w:rFonts w:ascii="Geomanist Light" w:hAnsi="Geomanist Light" w:cs="Arial"/>
          <w:sz w:val="22"/>
          <w:szCs w:val="22"/>
          <w:lang w:val="es-ES"/>
        </w:rPr>
      </w:pPr>
      <w:r w:rsidRPr="49D68B91" w:rsidR="0098121E">
        <w:rPr>
          <w:rFonts w:ascii="Geomanist Light" w:hAnsi="Geomanist Light" w:cs="Arial"/>
          <w:sz w:val="22"/>
          <w:szCs w:val="22"/>
          <w:lang w:val="es-ES"/>
        </w:rPr>
        <w:t xml:space="preserve">Al respecto, en el numeral «4.1.1» se incluyen reglas imperativas que las entidades y proponentes deben acoger en su totalidad, estas son: i) incluir este numeral en los procesos de contratación que sean por precios unitarios, ii) el proponente calculará un AIU que contenga todos los costos en que los que incurre el contratista, esto es, los costos directos y la administración, imprevistos y utilidad y iii) el valor debe expresarse en un porcentaje y, iv) el porcentaje del AIU que presente el proponente, no debe ser superior al establecido por la entidad. </w:t>
      </w:r>
    </w:p>
    <w:p w:rsidRPr="001A26EC" w:rsidR="0098121E" w:rsidP="0098121E" w:rsidRDefault="0098121E" w14:paraId="0849CE83" w14:textId="50D75476">
      <w:pPr>
        <w:spacing w:before="120" w:after="120"/>
        <w:ind w:firstLine="708"/>
        <w:rPr>
          <w:rFonts w:ascii="Geomanist Light" w:hAnsi="Geomanist Light" w:cs="Arial"/>
          <w:bCs/>
          <w:sz w:val="22"/>
          <w:lang w:val="es-ES_tradnl"/>
        </w:rPr>
      </w:pPr>
      <w:r w:rsidRPr="001A26EC">
        <w:rPr>
          <w:rFonts w:ascii="Geomanist Light" w:hAnsi="Geomanist Light" w:cs="Arial"/>
          <w:sz w:val="22"/>
          <w:lang w:val="es-ES_tradnl"/>
        </w:rPr>
        <w:t xml:space="preserve">En efecto, el </w:t>
      </w:r>
      <w:r w:rsidRPr="001A26EC">
        <w:rPr>
          <w:rFonts w:ascii="Geomanist Light" w:hAnsi="Geomanist Light" w:cs="Arial"/>
          <w:i/>
          <w:iCs/>
          <w:sz w:val="22"/>
          <w:lang w:val="es-ES"/>
        </w:rPr>
        <w:t>«Formulario 1 – Propuesta económica»</w:t>
      </w:r>
      <w:r w:rsidRPr="001A26EC">
        <w:rPr>
          <w:rFonts w:ascii="Geomanist Light" w:hAnsi="Geomanist Light" w:cs="Arial"/>
          <w:sz w:val="22"/>
          <w:lang w:val="es-ES"/>
        </w:rPr>
        <w:t xml:space="preserve"> solicita indicar el valor unitario de cada </w:t>
      </w:r>
      <w:r w:rsidRPr="001A26EC" w:rsidR="00C13550">
        <w:rPr>
          <w:rFonts w:ascii="Geomanist Light" w:hAnsi="Geomanist Light" w:cs="Arial"/>
          <w:sz w:val="22"/>
          <w:lang w:val="es-ES"/>
        </w:rPr>
        <w:t>ítem</w:t>
      </w:r>
      <w:r w:rsidRPr="001A26EC">
        <w:rPr>
          <w:rFonts w:ascii="Geomanist Light" w:hAnsi="Geomanist Light" w:cs="Arial"/>
          <w:sz w:val="22"/>
          <w:lang w:val="es-ES"/>
        </w:rPr>
        <w:t xml:space="preserve"> de la propuesta económica, valor que de acuerdo con lo establecido por la «NOTA 1» debe incluir el valor de A.I.U. </w:t>
      </w:r>
      <w:r w:rsidRPr="001A26EC">
        <w:rPr>
          <w:rFonts w:ascii="Geomanist Light" w:hAnsi="Geomanist Light" w:cs="Arial"/>
          <w:bCs/>
          <w:sz w:val="22"/>
          <w:lang w:val="es-ES_tradnl"/>
        </w:rPr>
        <w:t>En consecuencia, el proponente debe calcular todos los gastos en los que incurre para poder remunerar los costos de administración, los imprevistos y la utilidad o beneficio económico que pretende percibir por la ejecución del contrato e incluirlos dentro de valor total en pesos colombianos relacionado en el valor unitario.</w:t>
      </w:r>
    </w:p>
    <w:p w:rsidRPr="001A26EC" w:rsidR="0098121E" w:rsidP="0098121E" w:rsidRDefault="0098121E" w14:paraId="12842453" w14:textId="77777777">
      <w:pPr>
        <w:spacing w:after="120"/>
        <w:ind w:firstLine="708"/>
        <w:rPr>
          <w:rFonts w:ascii="Geomanist Light" w:hAnsi="Geomanist Light" w:cs="Arial"/>
          <w:sz w:val="22"/>
          <w:lang w:val="es-ES"/>
        </w:rPr>
      </w:pPr>
      <w:r w:rsidRPr="001A26EC">
        <w:rPr>
          <w:rFonts w:ascii="Geomanist Light" w:hAnsi="Geomanist Light" w:cs="Arial"/>
          <w:bCs/>
          <w:sz w:val="22"/>
          <w:lang w:val="es-ES_tradnl"/>
        </w:rPr>
        <w:t xml:space="preserve">Adicionalmente, el valor del A.I.U debe expresarse en un porcentaje que no debe ser superior al establecido por la entidad en el </w:t>
      </w:r>
      <w:r w:rsidRPr="001A26EC">
        <w:rPr>
          <w:rFonts w:ascii="Geomanist Light" w:hAnsi="Geomanist Light" w:cs="Arial"/>
          <w:i/>
          <w:iCs/>
          <w:sz w:val="22"/>
          <w:lang w:val="es-ES"/>
        </w:rPr>
        <w:t>«Formulario 1 – Presupuesto Oficial»</w:t>
      </w:r>
      <w:r w:rsidRPr="001A26EC">
        <w:rPr>
          <w:rFonts w:ascii="Geomanist Light" w:hAnsi="Geomanist Light" w:cs="Arial"/>
          <w:sz w:val="22"/>
          <w:lang w:val="es-ES"/>
        </w:rPr>
        <w:t xml:space="preserve"> y, en todo caso, dicho porcentaje deberá corresponder con el valor relacionado en el valor unitario. Es decir, el porcentaje discriminado de AIU deberá ser un reflejo y corresponder con el valor en pesos colombianos incluido como unitario.</w:t>
      </w:r>
    </w:p>
    <w:p w:rsidRPr="001A26EC" w:rsidR="0098121E" w:rsidP="0098121E" w:rsidRDefault="0098121E" w14:paraId="7272487C" w14:textId="77777777">
      <w:pPr>
        <w:pStyle w:val="Prrafodelista"/>
        <w:numPr>
          <w:ilvl w:val="0"/>
          <w:numId w:val="8"/>
        </w:numPr>
        <w:tabs>
          <w:tab w:val="left" w:pos="284"/>
        </w:tabs>
        <w:spacing w:after="0" w:line="276" w:lineRule="auto"/>
        <w:ind w:left="0" w:firstLine="0"/>
        <w:jc w:val="both"/>
        <w:rPr>
          <w:rFonts w:eastAsia="Calibri" w:cs="Arial"/>
          <w:lang w:val="es-MX"/>
        </w:rPr>
      </w:pPr>
      <w:r w:rsidRPr="001A26EC">
        <w:rPr>
          <w:rFonts w:eastAsia="Calibri" w:cs="Arial"/>
          <w:b/>
        </w:rPr>
        <w:t>Respuestas</w:t>
      </w:r>
    </w:p>
    <w:p w:rsidRPr="001A26EC" w:rsidR="0098121E" w:rsidP="0098121E" w:rsidRDefault="0098121E" w14:paraId="2553B010" w14:textId="77777777">
      <w:pPr>
        <w:pStyle w:val="Prrafodelista"/>
        <w:tabs>
          <w:tab w:val="left" w:pos="284"/>
        </w:tabs>
        <w:spacing w:line="276" w:lineRule="auto"/>
        <w:ind w:left="0"/>
        <w:jc w:val="both"/>
        <w:rPr>
          <w:rFonts w:eastAsia="Calibri" w:cs="Arial"/>
          <w:sz w:val="14"/>
          <w:szCs w:val="14"/>
        </w:rPr>
      </w:pPr>
    </w:p>
    <w:p w:rsidRPr="001A26EC" w:rsidR="0098121E" w:rsidP="0098121E" w:rsidRDefault="0098121E" w14:paraId="169628C3" w14:textId="5007EC25">
      <w:pPr>
        <w:pStyle w:val="Default"/>
        <w:ind w:left="709" w:right="709"/>
        <w:jc w:val="both"/>
        <w:rPr>
          <w:rFonts w:ascii="Geomanist Light" w:hAnsi="Geomanist Light" w:eastAsia="Calibri"/>
          <w:color w:val="auto"/>
          <w:sz w:val="21"/>
          <w:szCs w:val="21"/>
        </w:rPr>
      </w:pPr>
      <w:r w:rsidRPr="001A26EC">
        <w:rPr>
          <w:rFonts w:ascii="Geomanist Light" w:hAnsi="Geomanist Light"/>
          <w:sz w:val="21"/>
          <w:szCs w:val="21"/>
          <w:lang w:val="es-ES_tradnl"/>
        </w:rPr>
        <w:t>«</w:t>
      </w:r>
      <w:r w:rsidRPr="001A26EC">
        <w:rPr>
          <w:rFonts w:ascii="Geomanist Light" w:hAnsi="Geomanist Light"/>
          <w:sz w:val="21"/>
          <w:szCs w:val="21"/>
        </w:rPr>
        <w:t xml:space="preserve">cuál es la manera correcta de presentar el presupuesto oficial, siguiendo la nota 1 donde se incluye el </w:t>
      </w:r>
      <w:proofErr w:type="spellStart"/>
      <w:r w:rsidRPr="001A26EC">
        <w:rPr>
          <w:rFonts w:ascii="Geomanist Light" w:hAnsi="Geomanist Light"/>
          <w:sz w:val="21"/>
          <w:szCs w:val="21"/>
        </w:rPr>
        <w:t>aiu</w:t>
      </w:r>
      <w:proofErr w:type="spellEnd"/>
      <w:r w:rsidRPr="001A26EC">
        <w:rPr>
          <w:rFonts w:ascii="Geomanist Light" w:hAnsi="Geomanist Light"/>
          <w:sz w:val="21"/>
          <w:szCs w:val="21"/>
        </w:rPr>
        <w:t xml:space="preserve"> al valor unitario o adicionarle el valor de costos indirectos al final, ya que si se realizan los dos al tiempo se esta adicionando dos veces el valor del AIU</w:t>
      </w:r>
      <w:r w:rsidRPr="001A26EC">
        <w:rPr>
          <w:rFonts w:ascii="Geomanist Light" w:hAnsi="Geomanist Light" w:eastAsia="Calibri"/>
          <w:color w:val="auto"/>
          <w:sz w:val="21"/>
          <w:szCs w:val="21"/>
        </w:rPr>
        <w:t xml:space="preserve">» </w:t>
      </w:r>
      <w:r w:rsidRPr="001A26EC" w:rsidR="00C13550">
        <w:rPr>
          <w:rFonts w:ascii="Geomanist Light" w:hAnsi="Geomanist Light" w:eastAsia="Calibri"/>
          <w:color w:val="auto"/>
          <w:sz w:val="21"/>
          <w:szCs w:val="21"/>
        </w:rPr>
        <w:t>(sic)</w:t>
      </w:r>
    </w:p>
    <w:p w:rsidRPr="001A26EC" w:rsidR="0098121E" w:rsidP="0098121E" w:rsidRDefault="0098121E" w14:paraId="19A6773E" w14:textId="77777777">
      <w:pPr>
        <w:pStyle w:val="Default"/>
        <w:ind w:left="709" w:right="709"/>
        <w:jc w:val="both"/>
        <w:rPr>
          <w:rFonts w:ascii="Geomanist Light" w:hAnsi="Geomanist Light" w:eastAsia="Calibri"/>
          <w:color w:val="auto"/>
          <w:sz w:val="21"/>
          <w:szCs w:val="21"/>
        </w:rPr>
      </w:pPr>
    </w:p>
    <w:p w:rsidRPr="001A26EC" w:rsidR="0098121E" w:rsidP="0098121E" w:rsidRDefault="0098121E" w14:paraId="2239340E" w14:textId="1DE8220B">
      <w:pPr>
        <w:spacing w:before="120" w:after="120"/>
        <w:rPr>
          <w:rFonts w:ascii="Geomanist Light" w:hAnsi="Geomanist Light" w:cs="Arial" w:eastAsiaTheme="minorHAnsi"/>
          <w:bCs/>
          <w:sz w:val="22"/>
          <w:szCs w:val="22"/>
          <w:lang w:val="es-ES_tradnl"/>
        </w:rPr>
      </w:pPr>
      <w:bookmarkStart w:name="_Hlk100224022" w:id="7"/>
      <w:r w:rsidRPr="001A26EC">
        <w:rPr>
          <w:rFonts w:ascii="Geomanist Light" w:hAnsi="Geomanist Light" w:cs="Arial"/>
          <w:sz w:val="22"/>
          <w:lang w:val="es-ES_tradnl"/>
        </w:rPr>
        <w:t xml:space="preserve">El </w:t>
      </w:r>
      <w:r w:rsidRPr="001A26EC">
        <w:rPr>
          <w:rFonts w:ascii="Geomanist Light" w:hAnsi="Geomanist Light" w:cs="Arial"/>
          <w:sz w:val="22"/>
          <w:lang w:val="es-ES"/>
        </w:rPr>
        <w:t xml:space="preserve">«Formulario 1 – Propuesta económica» solicita indicar el valor unitario de cada </w:t>
      </w:r>
      <w:r w:rsidRPr="001A26EC" w:rsidR="00C13550">
        <w:rPr>
          <w:rFonts w:ascii="Geomanist Light" w:hAnsi="Geomanist Light" w:cs="Arial"/>
          <w:sz w:val="22"/>
          <w:lang w:val="es-ES"/>
        </w:rPr>
        <w:t>ítem</w:t>
      </w:r>
      <w:r w:rsidRPr="001A26EC">
        <w:rPr>
          <w:rFonts w:ascii="Geomanist Light" w:hAnsi="Geomanist Light" w:cs="Arial"/>
          <w:sz w:val="22"/>
          <w:lang w:val="es-ES"/>
        </w:rPr>
        <w:t xml:space="preserve"> de la propuesta económica, valor que de acuerdo con lo establecido por la «NOTA 1» debe incluir el </w:t>
      </w:r>
      <w:r w:rsidRPr="001A26EC">
        <w:rPr>
          <w:rFonts w:ascii="Geomanist Light" w:hAnsi="Geomanist Light" w:cs="Arial"/>
          <w:sz w:val="22"/>
          <w:lang w:val="es-ES"/>
        </w:rPr>
        <w:t xml:space="preserve">valor de A.I.U. </w:t>
      </w:r>
      <w:r w:rsidRPr="001A26EC">
        <w:rPr>
          <w:rFonts w:ascii="Geomanist Light" w:hAnsi="Geomanist Light" w:cs="Arial"/>
          <w:bCs/>
          <w:sz w:val="22"/>
          <w:lang w:val="es-ES_tradnl"/>
        </w:rPr>
        <w:t>En consecuencia, el proponente debe calcular todos los gastos en los que incurre para poder remunerar los costos de administración, los imprevistos y la utilidad o beneficio económico que pretende percibir por la ejecución del contrato e incluirlos dentro de valor total en pesos colombianos relacionado en el valor unitario.</w:t>
      </w:r>
    </w:p>
    <w:p w:rsidRPr="001A26EC" w:rsidR="0098121E" w:rsidP="0098121E" w:rsidRDefault="0098121E" w14:paraId="078ECF36" w14:textId="77777777">
      <w:pPr>
        <w:spacing w:before="120" w:after="120"/>
        <w:ind w:firstLine="708"/>
        <w:rPr>
          <w:rFonts w:ascii="Geomanist Light" w:hAnsi="Geomanist Light" w:cs="Arial"/>
          <w:sz w:val="22"/>
          <w:lang w:val="es-ES"/>
        </w:rPr>
      </w:pPr>
      <w:r w:rsidRPr="001A26EC">
        <w:rPr>
          <w:rFonts w:ascii="Geomanist Light" w:hAnsi="Geomanist Light" w:cs="Arial"/>
          <w:sz w:val="22"/>
          <w:lang w:val="es-ES"/>
        </w:rPr>
        <w:t>Adicionalmente, el valor del A.I.U debe expresarse en un porcentaje que no debe ser superior al establecido por la entidad en el «Formulario 1 – Presupuesto Oficial» y, en todo caso, dicho porcentaje deberá corresponder con el valor relacionado en el valor unitario. Es decir, el porcentaje discriminado de AIU deberá ser un reflejo y corresponder con el valor en pesos colombianos incluido como unitario, sin que en ningún caso se adicione doblemente dicho cálculo.</w:t>
      </w:r>
    </w:p>
    <w:bookmarkEnd w:id="7"/>
    <w:p w:rsidRPr="001A26EC" w:rsidR="0098121E" w:rsidP="0098121E" w:rsidRDefault="0098121E" w14:paraId="0CB00118" w14:textId="77777777">
      <w:pPr>
        <w:rPr>
          <w:rFonts w:ascii="Geomanist Light" w:hAnsi="Geomanist Light" w:cs="Arial" w:eastAsiaTheme="minorHAnsi"/>
          <w:sz w:val="22"/>
        </w:rPr>
      </w:pPr>
    </w:p>
    <w:p w:rsidRPr="001A26EC" w:rsidR="00C13550" w:rsidP="00C13550" w:rsidRDefault="0098121E" w14:paraId="049D291F" w14:textId="77777777">
      <w:pPr>
        <w:spacing w:after="0"/>
        <w:ind w:firstLine="708"/>
        <w:rPr>
          <w:rFonts w:ascii="Geomanist Light" w:hAnsi="Geomanist Light" w:cs="Arial"/>
          <w:bCs/>
          <w:color w:val="000000" w:themeColor="text1"/>
          <w:sz w:val="22"/>
          <w:szCs w:val="22"/>
          <w:lang w:eastAsia="en-US"/>
        </w:rPr>
      </w:pPr>
      <w:r w:rsidRPr="001A26EC">
        <w:rPr>
          <w:rFonts w:ascii="Geomanist Light" w:hAnsi="Geomanist Light" w:cs="Arial"/>
          <w:sz w:val="22"/>
        </w:rPr>
        <w:t>Este concepto tiene el alcance previsto en el artículo 28 del Código de Procedimiento Administrativo y de lo Contencioso Administrativo</w:t>
      </w:r>
      <w:r w:rsidRPr="001A26EC" w:rsidR="00C13550">
        <w:rPr>
          <w:rFonts w:ascii="Geomanist Light" w:hAnsi="Geomanist Light" w:cs="Arial"/>
          <w:sz w:val="22"/>
        </w:rPr>
        <w:t xml:space="preserve"> </w:t>
      </w:r>
      <w:r w:rsidRPr="001A26EC" w:rsidR="00C13550">
        <w:rPr>
          <w:rFonts w:ascii="Geomanist Light" w:hAnsi="Geomanist Light" w:cs="Arial"/>
          <w:bCs/>
          <w:color w:val="000000" w:themeColor="text1"/>
          <w:sz w:val="22"/>
          <w:szCs w:val="22"/>
          <w:lang w:eastAsia="en-US"/>
        </w:rPr>
        <w:t xml:space="preserve">y </w:t>
      </w:r>
      <w:r w:rsidRPr="001A26EC" w:rsidR="00C13550">
        <w:rPr>
          <w:rFonts w:ascii="Geomanist Light" w:hAnsi="Geomanist Light" w:cs="Arial"/>
          <w:sz w:val="22"/>
          <w:szCs w:val="22"/>
          <w:lang w:eastAsia="en-US"/>
        </w:rPr>
        <w:t>las expresiones aquí utilizadas con mayúscula inicial deben ser entendidas con el significado que les otorga el artículo 2.2.1.1.1.3.1. del Decreto 1082 de 2015</w:t>
      </w:r>
      <w:r w:rsidRPr="001A26EC" w:rsidR="00C13550">
        <w:rPr>
          <w:rFonts w:ascii="Geomanist Light" w:hAnsi="Geomanist Light" w:cs="Arial"/>
          <w:bCs/>
          <w:color w:val="000000" w:themeColor="text1"/>
          <w:sz w:val="22"/>
          <w:szCs w:val="22"/>
          <w:lang w:eastAsia="en-US"/>
        </w:rPr>
        <w:t>.</w:t>
      </w:r>
    </w:p>
    <w:p w:rsidRPr="001A26EC" w:rsidR="0098121E" w:rsidP="0098121E" w:rsidRDefault="0098121E" w14:paraId="01835159" w14:textId="77777777">
      <w:pPr>
        <w:rPr>
          <w:rFonts w:ascii="Geomanist Light" w:hAnsi="Geomanist Light" w:cs="Arial" w:eastAsiaTheme="minorHAnsi"/>
          <w:lang w:eastAsia="es-CO"/>
        </w:rPr>
      </w:pPr>
      <w:bookmarkStart w:name="_Hlk50370367" w:id="8"/>
    </w:p>
    <w:bookmarkEnd w:id="8"/>
    <w:p w:rsidRPr="001A26EC" w:rsidR="0098121E" w:rsidP="0098121E" w:rsidRDefault="0098121E" w14:paraId="25D47A2E" w14:textId="77777777">
      <w:pPr>
        <w:rPr>
          <w:rFonts w:ascii="Geomanist Light" w:hAnsi="Geomanist Light" w:cs="Arial"/>
          <w:sz w:val="22"/>
          <w:szCs w:val="20"/>
          <w:lang w:eastAsia="en-US"/>
        </w:rPr>
      </w:pPr>
      <w:r w:rsidRPr="001A26EC">
        <w:rPr>
          <w:rFonts w:ascii="Geomanist Light" w:hAnsi="Geomanist Light" w:cs="Arial"/>
          <w:sz w:val="22"/>
          <w:szCs w:val="20"/>
          <w:lang w:eastAsia="es-CO"/>
        </w:rPr>
        <w:t>Atentamente,</w:t>
      </w:r>
    </w:p>
    <w:p w:rsidRPr="001A26EC" w:rsidR="0098121E" w:rsidP="0098121E" w:rsidRDefault="001A26EC" w14:paraId="63600F0D" w14:textId="2B5C86E8">
      <w:pPr>
        <w:spacing w:after="18"/>
        <w:jc w:val="center"/>
        <w:rPr>
          <w:rFonts w:ascii="Geomanist Light" w:hAnsi="Geomanist Light" w:cstheme="minorBidi"/>
          <w:szCs w:val="22"/>
        </w:rPr>
      </w:pPr>
      <w:r w:rsidRPr="001A26EC">
        <w:rPr>
          <w:rFonts w:ascii="Geomanist Light" w:hAnsi="Geomanist Light" w:cs="Arial"/>
          <w:noProof/>
          <w:color w:val="000000"/>
          <w:lang w:val="es-ES_tradnl"/>
        </w:rPr>
        <w:drawing>
          <wp:inline distT="0" distB="0" distL="0" distR="0" wp14:anchorId="1CBD5F26" wp14:editId="17B03472">
            <wp:extent cx="2905125" cy="1114655"/>
            <wp:effectExtent l="0" t="0" r="0" b="9525"/>
            <wp:docPr id="2"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2252" cy="1117390"/>
                    </a:xfrm>
                    <a:prstGeom prst="rect">
                      <a:avLst/>
                    </a:prstGeom>
                    <a:noFill/>
                    <a:ln>
                      <a:noFill/>
                    </a:ln>
                  </pic:spPr>
                </pic:pic>
              </a:graphicData>
            </a:graphic>
          </wp:inline>
        </w:drawing>
      </w:r>
    </w:p>
    <w:p w:rsidRPr="001A26EC" w:rsidR="0098121E" w:rsidP="0098121E" w:rsidRDefault="0098121E" w14:paraId="772E50FB" w14:textId="77777777">
      <w:pPr>
        <w:spacing w:after="18"/>
        <w:jc w:val="center"/>
        <w:rPr>
          <w:rFonts w:ascii="Geomanist Light" w:hAnsi="Geomanist Light" w:cs="Arial"/>
          <w:lang w:eastAsia="es-CO"/>
        </w:rPr>
      </w:pPr>
    </w:p>
    <w:tbl>
      <w:tblPr>
        <w:tblStyle w:val="Tablaconcuadrcula1"/>
        <w:tblpPr w:leftFromText="141" w:rightFromText="141" w:vertAnchor="text" w:horzAnchor="margin" w:tblpY="-1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0"/>
        <w:gridCol w:w="4384"/>
      </w:tblGrid>
      <w:tr w:rsidRPr="001A26EC" w:rsidR="0098121E" w:rsidTr="0098121E" w14:paraId="0616949B" w14:textId="77777777">
        <w:trPr>
          <w:trHeight w:val="291"/>
        </w:trPr>
        <w:tc>
          <w:tcPr>
            <w:tcW w:w="970" w:type="dxa"/>
            <w:vAlign w:val="center"/>
            <w:hideMark/>
          </w:tcPr>
          <w:p w:rsidRPr="001A26EC" w:rsidR="0098121E" w:rsidP="00C13550" w:rsidRDefault="0098121E" w14:paraId="46E59AE1" w14:textId="77777777">
            <w:pPr>
              <w:spacing w:after="0" w:line="240" w:lineRule="auto"/>
              <w:rPr>
                <w:rFonts w:ascii="Geomanist Light" w:hAnsi="Geomanist Light" w:cs="Arial"/>
                <w:sz w:val="14"/>
                <w:szCs w:val="14"/>
                <w:lang w:eastAsia="es-ES"/>
              </w:rPr>
            </w:pPr>
            <w:r w:rsidRPr="001A26EC">
              <w:rPr>
                <w:rFonts w:ascii="Geomanist Light" w:hAnsi="Geomanist Light" w:cs="Arial"/>
                <w:sz w:val="14"/>
                <w:szCs w:val="14"/>
                <w:lang w:eastAsia="es-ES"/>
              </w:rPr>
              <w:t>Elaboró:</w:t>
            </w:r>
          </w:p>
        </w:tc>
        <w:tc>
          <w:tcPr>
            <w:tcW w:w="4384" w:type="dxa"/>
            <w:tcBorders>
              <w:top w:val="nil"/>
              <w:left w:val="nil"/>
              <w:bottom w:val="dotted" w:color="7F7F7F" w:themeColor="text1" w:themeTint="80" w:sz="4" w:space="0"/>
              <w:right w:val="nil"/>
            </w:tcBorders>
            <w:vAlign w:val="center"/>
            <w:hideMark/>
          </w:tcPr>
          <w:p w:rsidRPr="001A26EC" w:rsidR="0098121E" w:rsidP="00C13550" w:rsidRDefault="0098121E" w14:paraId="71738094" w14:textId="77777777">
            <w:pPr>
              <w:spacing w:after="0" w:line="240" w:lineRule="auto"/>
              <w:rPr>
                <w:rFonts w:ascii="Geomanist Light" w:hAnsi="Geomanist Light" w:cs="Arial"/>
                <w:sz w:val="14"/>
                <w:szCs w:val="14"/>
                <w:lang w:eastAsia="es-ES"/>
              </w:rPr>
            </w:pPr>
            <w:r w:rsidRPr="001A26EC">
              <w:rPr>
                <w:rFonts w:ascii="Geomanist Light" w:hAnsi="Geomanist Light" w:cs="Arial"/>
                <w:sz w:val="14"/>
                <w:szCs w:val="14"/>
                <w:lang w:eastAsia="es-ES"/>
              </w:rPr>
              <w:t>Nathalia Urrego Jiménez</w:t>
            </w:r>
          </w:p>
          <w:p w:rsidRPr="001A26EC" w:rsidR="0098121E" w:rsidP="00C13550" w:rsidRDefault="0098121E" w14:paraId="77189B9C" w14:textId="77777777">
            <w:pPr>
              <w:spacing w:after="0" w:line="240" w:lineRule="auto"/>
              <w:rPr>
                <w:rFonts w:ascii="Geomanist Light" w:hAnsi="Geomanist Light" w:cs="Arial"/>
                <w:sz w:val="14"/>
                <w:szCs w:val="14"/>
                <w:lang w:eastAsia="es-ES"/>
              </w:rPr>
            </w:pPr>
            <w:r w:rsidRPr="001A26EC">
              <w:rPr>
                <w:rFonts w:ascii="Geomanist Light" w:hAnsi="Geomanist Light" w:cs="Arial"/>
                <w:sz w:val="14"/>
                <w:szCs w:val="14"/>
                <w:lang w:eastAsia="es-ES"/>
              </w:rPr>
              <w:t>Contratista de la Subdirección de Gestión Contractual</w:t>
            </w:r>
          </w:p>
        </w:tc>
      </w:tr>
      <w:tr w:rsidRPr="001A26EC" w:rsidR="0098121E" w:rsidTr="0098121E" w14:paraId="3C371A76" w14:textId="77777777">
        <w:trPr>
          <w:trHeight w:val="305"/>
        </w:trPr>
        <w:tc>
          <w:tcPr>
            <w:tcW w:w="970" w:type="dxa"/>
            <w:vAlign w:val="center"/>
            <w:hideMark/>
          </w:tcPr>
          <w:p w:rsidRPr="001A26EC" w:rsidR="0098121E" w:rsidP="00C13550" w:rsidRDefault="0098121E" w14:paraId="2B4FA533" w14:textId="77777777">
            <w:pPr>
              <w:spacing w:after="0" w:line="240" w:lineRule="auto"/>
              <w:rPr>
                <w:rFonts w:ascii="Geomanist Light" w:hAnsi="Geomanist Light" w:cs="Arial"/>
                <w:sz w:val="14"/>
                <w:szCs w:val="14"/>
                <w:lang w:eastAsia="es-ES"/>
              </w:rPr>
            </w:pPr>
            <w:r w:rsidRPr="001A26EC">
              <w:rPr>
                <w:rFonts w:ascii="Geomanist Light" w:hAnsi="Geomanist Light" w:cs="Arial"/>
                <w:sz w:val="14"/>
                <w:szCs w:val="14"/>
                <w:lang w:eastAsia="es-ES"/>
              </w:rPr>
              <w:t>Revisó:</w:t>
            </w:r>
          </w:p>
        </w:tc>
        <w:tc>
          <w:tcPr>
            <w:tcW w:w="4384" w:type="dxa"/>
            <w:tcBorders>
              <w:top w:val="dotted" w:color="7F7F7F" w:themeColor="text1" w:themeTint="80" w:sz="4" w:space="0"/>
              <w:left w:val="nil"/>
              <w:bottom w:val="dotted" w:color="7F7F7F" w:themeColor="text1" w:themeTint="80" w:sz="4" w:space="0"/>
              <w:right w:val="nil"/>
            </w:tcBorders>
            <w:vAlign w:val="center"/>
            <w:hideMark/>
          </w:tcPr>
          <w:p w:rsidRPr="001A26EC" w:rsidR="0098121E" w:rsidP="00C13550" w:rsidRDefault="0098121E" w14:paraId="2981536B" w14:textId="77777777">
            <w:pPr>
              <w:spacing w:after="0" w:line="240" w:lineRule="auto"/>
              <w:rPr>
                <w:rFonts w:ascii="Geomanist Light" w:hAnsi="Geomanist Light" w:cs="Arial"/>
                <w:sz w:val="14"/>
                <w:szCs w:val="14"/>
                <w:lang w:eastAsia="es-ES"/>
              </w:rPr>
            </w:pPr>
            <w:r w:rsidRPr="001A26EC">
              <w:rPr>
                <w:rFonts w:ascii="Geomanist Light" w:hAnsi="Geomanist Light" w:cs="Arial"/>
                <w:sz w:val="14"/>
                <w:szCs w:val="14"/>
                <w:lang w:eastAsia="es-ES"/>
              </w:rPr>
              <w:t>Any Alejandra Tovar</w:t>
            </w:r>
          </w:p>
          <w:p w:rsidRPr="001A26EC" w:rsidR="0098121E" w:rsidP="00C13550" w:rsidRDefault="0098121E" w14:paraId="616A0B0F" w14:textId="77777777">
            <w:pPr>
              <w:spacing w:after="0" w:line="240" w:lineRule="auto"/>
              <w:rPr>
                <w:rFonts w:ascii="Geomanist Light" w:hAnsi="Geomanist Light" w:cs="Arial"/>
                <w:sz w:val="14"/>
                <w:szCs w:val="14"/>
                <w:lang w:eastAsia="es-ES"/>
              </w:rPr>
            </w:pPr>
            <w:r w:rsidRPr="001A26EC">
              <w:rPr>
                <w:rFonts w:ascii="Geomanist Light" w:hAnsi="Geomanist Light" w:cs="Arial"/>
                <w:sz w:val="14"/>
                <w:szCs w:val="14"/>
                <w:lang w:eastAsia="es-ES"/>
              </w:rPr>
              <w:t xml:space="preserve">Contratista de la Subdirección de Gestión Contractual  </w:t>
            </w:r>
          </w:p>
        </w:tc>
      </w:tr>
      <w:tr w:rsidRPr="001A26EC" w:rsidR="0098121E" w:rsidTr="0098121E" w14:paraId="528D4ED0" w14:textId="77777777">
        <w:trPr>
          <w:trHeight w:val="277"/>
        </w:trPr>
        <w:tc>
          <w:tcPr>
            <w:tcW w:w="970" w:type="dxa"/>
            <w:vAlign w:val="center"/>
            <w:hideMark/>
          </w:tcPr>
          <w:p w:rsidRPr="001A26EC" w:rsidR="0098121E" w:rsidP="00C13550" w:rsidRDefault="0098121E" w14:paraId="28FEFCCE" w14:textId="77777777">
            <w:pPr>
              <w:spacing w:after="0" w:line="240" w:lineRule="auto"/>
              <w:rPr>
                <w:rFonts w:ascii="Geomanist Light" w:hAnsi="Geomanist Light" w:cs="Arial"/>
                <w:sz w:val="14"/>
                <w:szCs w:val="14"/>
                <w:lang w:eastAsia="es-ES"/>
              </w:rPr>
            </w:pPr>
            <w:r w:rsidRPr="001A26EC">
              <w:rPr>
                <w:rFonts w:ascii="Geomanist Light" w:hAnsi="Geomanist Light" w:cs="Arial"/>
                <w:sz w:val="14"/>
                <w:szCs w:val="14"/>
                <w:lang w:eastAsia="es-ES"/>
              </w:rPr>
              <w:t>Aprobó:</w:t>
            </w:r>
          </w:p>
        </w:tc>
        <w:tc>
          <w:tcPr>
            <w:tcW w:w="4384" w:type="dxa"/>
            <w:tcBorders>
              <w:top w:val="dotted" w:color="7F7F7F" w:themeColor="text1" w:themeTint="80" w:sz="4" w:space="0"/>
              <w:left w:val="nil"/>
              <w:bottom w:val="dotted" w:color="7F7F7F" w:themeColor="text1" w:themeTint="80" w:sz="4" w:space="0"/>
              <w:right w:val="nil"/>
            </w:tcBorders>
            <w:vAlign w:val="center"/>
            <w:hideMark/>
          </w:tcPr>
          <w:p w:rsidRPr="001A26EC" w:rsidR="0098121E" w:rsidP="00C13550" w:rsidRDefault="0098121E" w14:paraId="59353FCE" w14:textId="77777777">
            <w:pPr>
              <w:spacing w:after="0" w:line="240" w:lineRule="auto"/>
              <w:rPr>
                <w:rFonts w:ascii="Geomanist Light" w:hAnsi="Geomanist Light" w:cs="Arial"/>
                <w:sz w:val="14"/>
                <w:szCs w:val="14"/>
                <w:lang w:eastAsia="es-ES"/>
              </w:rPr>
            </w:pPr>
            <w:r w:rsidRPr="001A26EC">
              <w:rPr>
                <w:rFonts w:ascii="Geomanist Light" w:hAnsi="Geomanist Light" w:cs="Arial"/>
                <w:sz w:val="14"/>
                <w:szCs w:val="14"/>
                <w:lang w:eastAsia="es-ES"/>
              </w:rPr>
              <w:t>Nohelia del Carmen Zawady Palacio</w:t>
            </w:r>
          </w:p>
          <w:p w:rsidRPr="001A26EC" w:rsidR="0098121E" w:rsidP="00C13550" w:rsidRDefault="0098121E" w14:paraId="6ADD9AEC" w14:textId="77777777">
            <w:pPr>
              <w:spacing w:after="0" w:line="240" w:lineRule="auto"/>
              <w:rPr>
                <w:rFonts w:ascii="Geomanist Light" w:hAnsi="Geomanist Light" w:cs="Arial"/>
                <w:sz w:val="14"/>
                <w:szCs w:val="14"/>
                <w:lang w:eastAsia="es-ES"/>
              </w:rPr>
            </w:pPr>
            <w:r w:rsidRPr="001A26EC">
              <w:rPr>
                <w:rFonts w:ascii="Geomanist Light" w:hAnsi="Geomanist Light" w:cs="Arial"/>
                <w:sz w:val="14"/>
                <w:szCs w:val="14"/>
                <w:lang w:eastAsia="es-ES"/>
              </w:rPr>
              <w:t>Subdirectora de Gestión Contractual</w:t>
            </w:r>
          </w:p>
        </w:tc>
      </w:tr>
    </w:tbl>
    <w:p w:rsidRPr="001A26EC" w:rsidR="0098121E" w:rsidP="0098121E" w:rsidRDefault="0098121E" w14:paraId="12155DCD" w14:textId="77777777">
      <w:pPr>
        <w:rPr>
          <w:rFonts w:ascii="Geomanist Light" w:hAnsi="Geomanist Light" w:cs="Arial"/>
          <w:szCs w:val="22"/>
          <w:lang w:eastAsia="es-ES"/>
        </w:rPr>
      </w:pPr>
    </w:p>
    <w:p w:rsidRPr="001A26EC" w:rsidR="0098121E" w:rsidP="0098121E" w:rsidRDefault="0098121E" w14:paraId="58BC4BF3" w14:textId="77777777">
      <w:pPr>
        <w:rPr>
          <w:rFonts w:ascii="Geomanist Light" w:hAnsi="Geomanist Light" w:cs="Arial"/>
          <w:lang w:eastAsia="es-ES"/>
        </w:rPr>
      </w:pPr>
    </w:p>
    <w:p w:rsidRPr="001A26EC" w:rsidR="0098121E" w:rsidP="0098121E" w:rsidRDefault="0098121E" w14:paraId="4ABA983F" w14:textId="77777777">
      <w:pPr>
        <w:rPr>
          <w:rFonts w:ascii="Geomanist Light" w:hAnsi="Geomanist Light" w:cs="Arial"/>
          <w:lang w:eastAsia="es-ES"/>
        </w:rPr>
      </w:pPr>
    </w:p>
    <w:bookmarkEnd w:id="0"/>
    <w:p w:rsidRPr="001A26EC" w:rsidR="00F04A9E" w:rsidP="0098121E" w:rsidRDefault="00F04A9E" w14:paraId="1FF81E31" w14:textId="77777777">
      <w:pPr>
        <w:pStyle w:val="Sinespaciado"/>
        <w:rPr>
          <w:rFonts w:ascii="Geomanist Light" w:hAnsi="Geomanist Light" w:cs="Arial"/>
          <w:sz w:val="22"/>
        </w:rPr>
      </w:pPr>
    </w:p>
    <w:sectPr w:rsidRPr="001A26EC" w:rsidR="00F04A9E" w:rsidSect="0039439C">
      <w:headerReference w:type="default" r:id="rId14"/>
      <w:footerReference w:type="default" r:id="rId15"/>
      <w:pgSz w:w="12240" w:h="15840" w:orient="portrait" w:code="1"/>
      <w:pgMar w:top="1418" w:right="1418" w:bottom="1418" w:left="1418" w:header="850" w:footer="397" w:gutter="0"/>
      <w:pgBorders w:offsetFrom="page">
        <w:top w:val="dotted" w:color="auto" w:sz="4" w:space="24"/>
        <w:left w:val="dotted" w:color="auto" w:sz="4" w:space="24"/>
        <w:bottom w:val="dotted" w:color="auto" w:sz="4" w:space="24"/>
        <w:right w:val="dotted"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1BFC" w:rsidP="004A1847" w:rsidRDefault="00241BFC" w14:paraId="23DAEF6A" w14:textId="77777777">
      <w:pPr>
        <w:spacing w:after="0" w:line="240" w:lineRule="auto"/>
      </w:pPr>
      <w:r>
        <w:separator/>
      </w:r>
    </w:p>
  </w:endnote>
  <w:endnote w:type="continuationSeparator" w:id="0">
    <w:p w:rsidR="00241BFC" w:rsidP="004A1847" w:rsidRDefault="00241BFC" w14:paraId="50109A6E" w14:textId="77777777">
      <w:pPr>
        <w:spacing w:after="0" w:line="240" w:lineRule="auto"/>
      </w:pPr>
      <w:r>
        <w:continuationSeparator/>
      </w:r>
    </w:p>
  </w:endnote>
  <w:endnote w:type="continuationNotice" w:id="1">
    <w:p w:rsidR="00241BFC" w:rsidRDefault="00241BFC" w14:paraId="54B36F1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manist Light">
    <w:altName w:val="Calibri"/>
    <w:panose1 w:val="02000503000000020004"/>
    <w:charset w:val="00"/>
    <w:family w:val="modern"/>
    <w:notTrueType/>
    <w:pitch w:val="variable"/>
    <w:sig w:usb0="A000002F" w:usb1="1000004A" w:usb2="00000000" w:usb3="00000000" w:csb0="00000193" w:csb1="00000000"/>
  </w:font>
  <w:font w:name="Geomanist">
    <w:panose1 w:val="02000503000000020004"/>
    <w:charset w:val="00"/>
    <w:family w:val="modern"/>
    <w:notTrueType/>
    <w:pitch w:val="variable"/>
    <w:sig w:usb0="A000002F" w:usb1="1000004A" w:usb2="00000000" w:usb3="00000000" w:csb0="00000193" w:csb1="00000000"/>
  </w:font>
  <w:font w:name="Arial Nova">
    <w:charset w:val="00"/>
    <w:family w:val="swiss"/>
    <w:pitch w:val="variable"/>
    <w:sig w:usb0="2000028F" w:usb1="00000002" w:usb2="00000000" w:usb3="00000000" w:csb0="0000019F" w:csb1="00000000"/>
  </w:font>
  <w:font w:name="Geo">
    <w:altName w:val="Calibri"/>
    <w:charset w:val="00"/>
    <w:family w:val="auto"/>
    <w:pitch w:val="variable"/>
    <w:sig w:usb0="8000002F" w:usb1="40000048" w:usb2="00000000" w:usb3="00000000" w:csb0="00000001" w:csb1="00000000"/>
  </w:font>
  <w:font w:name="Geomanist Bold">
    <w:altName w:val="Calibri"/>
    <w:panose1 w:val="02000503000000020004"/>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A1847" w:rsidP="008614E5" w:rsidRDefault="004A1847" w14:paraId="18911A32" w14:textId="460CCDF7">
    <w:pPr>
      <w:pStyle w:val="Piedepgina"/>
    </w:pPr>
    <w:r>
      <w:rPr>
        <w:noProof/>
      </w:rPr>
      <w:drawing>
        <wp:inline distT="0" distB="0" distL="0" distR="0" wp14:anchorId="1F77499E" wp14:editId="160C643E">
          <wp:extent cx="5742143" cy="892175"/>
          <wp:effectExtent l="0" t="0" r="0" b="3175"/>
          <wp:docPr id="4" name="Imagen 4"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792894" cy="900060"/>
                  </a:xfrm>
                  <a:prstGeom prst="rect">
                    <a:avLst/>
                  </a:prstGeom>
                </pic:spPr>
              </pic:pic>
            </a:graphicData>
          </a:graphic>
        </wp:inline>
      </w:drawing>
    </w:r>
  </w:p>
  <w:tbl>
    <w:tblPr>
      <w:tblStyle w:val="Tablaconcuadrcula"/>
      <w:tblW w:w="92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38"/>
      <w:gridCol w:w="678"/>
      <w:gridCol w:w="844"/>
      <w:gridCol w:w="1784"/>
      <w:gridCol w:w="720"/>
      <w:gridCol w:w="2818"/>
      <w:gridCol w:w="1527"/>
    </w:tblGrid>
    <w:tr w:rsidRPr="00080DA3" w:rsidR="008614E5" w:rsidTr="00A07532" w14:paraId="0534DA7F" w14:textId="77777777">
      <w:trPr>
        <w:trHeight w:val="198"/>
        <w:jc w:val="center"/>
      </w:trPr>
      <w:tc>
        <w:tcPr>
          <w:tcW w:w="838"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4B28DD0E" w14:textId="403BB573">
          <w:pPr>
            <w:pStyle w:val="Piedepgina"/>
            <w:jc w:val="center"/>
            <w:rPr>
              <w:rFonts w:ascii="Geomanist Light" w:hAnsi="Geomanist Light"/>
              <w:sz w:val="18"/>
              <w:szCs w:val="18"/>
            </w:rPr>
          </w:pPr>
          <w:r w:rsidRPr="00080DA3">
            <w:rPr>
              <w:rFonts w:ascii="Geomanist Light" w:hAnsi="Geomanist Light"/>
              <w:sz w:val="18"/>
              <w:szCs w:val="18"/>
            </w:rPr>
            <w:t>Versión:</w:t>
          </w:r>
        </w:p>
      </w:tc>
      <w:tc>
        <w:tcPr>
          <w:tcW w:w="67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6219F8" w:rsidP="00A07532" w:rsidRDefault="006219F8" w14:paraId="79B52F09" w14:textId="22188FC9">
          <w:pPr>
            <w:pStyle w:val="Piedepgina"/>
            <w:jc w:val="center"/>
            <w:rPr>
              <w:rFonts w:ascii="Geomanist Light" w:hAnsi="Geomanist Light"/>
              <w:sz w:val="18"/>
              <w:szCs w:val="18"/>
            </w:rPr>
          </w:pPr>
          <w:r w:rsidRPr="00080DA3">
            <w:rPr>
              <w:rFonts w:ascii="Geomanist Light" w:hAnsi="Geomanist Light"/>
              <w:sz w:val="18"/>
              <w:szCs w:val="18"/>
            </w:rPr>
            <w:t>0</w:t>
          </w:r>
          <w:r w:rsidR="00C9405D">
            <w:rPr>
              <w:rFonts w:ascii="Geomanist Light" w:hAnsi="Geomanist Light"/>
              <w:sz w:val="18"/>
              <w:szCs w:val="18"/>
            </w:rPr>
            <w:t>2</w:t>
          </w:r>
        </w:p>
      </w:tc>
      <w:tc>
        <w:tcPr>
          <w:tcW w:w="844"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36DA5B04" w14:textId="372D5633">
          <w:pPr>
            <w:pStyle w:val="Piedepgina"/>
            <w:jc w:val="center"/>
            <w:rPr>
              <w:rFonts w:ascii="Geomanist Light" w:hAnsi="Geomanist Light"/>
              <w:sz w:val="18"/>
              <w:szCs w:val="18"/>
            </w:rPr>
          </w:pPr>
          <w:r w:rsidRPr="00080DA3">
            <w:rPr>
              <w:rFonts w:ascii="Geomanist Light" w:hAnsi="Geomanist Light"/>
              <w:sz w:val="18"/>
              <w:szCs w:val="18"/>
            </w:rPr>
            <w:t>Código:</w:t>
          </w:r>
        </w:p>
      </w:tc>
      <w:tc>
        <w:tcPr>
          <w:tcW w:w="1784"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vAlign w:val="center"/>
        </w:tcPr>
        <w:p w:rsidRPr="004B6B0E" w:rsidR="006219F8" w:rsidP="00A07532" w:rsidRDefault="00906B3C" w14:paraId="71E26DE9" w14:textId="227155A8">
          <w:pPr>
            <w:pBdr>
              <w:top w:val="nil"/>
              <w:left w:val="nil"/>
              <w:bottom w:val="nil"/>
              <w:right w:val="nil"/>
              <w:between w:val="nil"/>
            </w:pBdr>
            <w:tabs>
              <w:tab w:val="center" w:pos="4419"/>
              <w:tab w:val="right" w:pos="8838"/>
              <w:tab w:val="center" w:pos="5400"/>
            </w:tabs>
            <w:jc w:val="center"/>
            <w:rPr>
              <w:rFonts w:ascii="Geomanist Bold" w:hAnsi="Geomanist Bold" w:eastAsia="Geo" w:cs="Geo"/>
              <w:b/>
              <w:color w:val="002060"/>
              <w:lang w:eastAsia="es-CO"/>
            </w:rPr>
          </w:pPr>
          <w:r w:rsidRPr="0000650B">
            <w:rPr>
              <w:rFonts w:ascii="Geomanist Light" w:hAnsi="Geomanist Light" w:eastAsia="Geo" w:cs="Geo"/>
              <w:b/>
              <w:color w:val="000000"/>
              <w:sz w:val="18"/>
              <w:szCs w:val="18"/>
              <w:lang w:eastAsia="es-CO"/>
            </w:rPr>
            <w:t>CCE-</w:t>
          </w:r>
          <w:r>
            <w:rPr>
              <w:rFonts w:ascii="Geomanist Light" w:hAnsi="Geomanist Light" w:eastAsia="Geo" w:cs="Geo"/>
              <w:b/>
              <w:color w:val="000000"/>
              <w:sz w:val="18"/>
              <w:szCs w:val="18"/>
              <w:lang w:eastAsia="es-CO"/>
            </w:rPr>
            <w:t>PQRSD</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FM</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0</w:t>
          </w:r>
          <w:r w:rsidR="004B6B0E">
            <w:rPr>
              <w:rFonts w:ascii="Geomanist Light" w:hAnsi="Geomanist Light" w:eastAsia="Geo" w:cs="Geo"/>
              <w:b/>
              <w:color w:val="000000"/>
              <w:sz w:val="18"/>
              <w:szCs w:val="18"/>
              <w:lang w:eastAsia="es-CO"/>
            </w:rPr>
            <w:t>8</w:t>
          </w:r>
        </w:p>
      </w:tc>
      <w:tc>
        <w:tcPr>
          <w:tcW w:w="720"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169F6C19" w14:textId="77777777">
          <w:pPr>
            <w:pStyle w:val="Piedepgina"/>
            <w:jc w:val="center"/>
            <w:rPr>
              <w:rFonts w:ascii="Geomanist Light" w:hAnsi="Geomanist Light"/>
              <w:sz w:val="18"/>
              <w:szCs w:val="18"/>
            </w:rPr>
          </w:pPr>
          <w:r w:rsidRPr="00080DA3">
            <w:rPr>
              <w:rFonts w:ascii="Geomanist Light" w:hAnsi="Geomanist Light"/>
              <w:sz w:val="18"/>
              <w:szCs w:val="18"/>
            </w:rPr>
            <w:t>Fecha:</w:t>
          </w:r>
        </w:p>
      </w:tc>
      <w:tc>
        <w:tcPr>
          <w:tcW w:w="281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A07532" w:rsidP="00A07532" w:rsidRDefault="00906B3C" w14:paraId="7D02B6A6" w14:textId="04459FA8">
          <w:pPr>
            <w:pStyle w:val="Piedepgina"/>
            <w:jc w:val="center"/>
            <w:rPr>
              <w:rFonts w:ascii="Geomanist Light" w:hAnsi="Geomanist Light"/>
              <w:sz w:val="18"/>
              <w:szCs w:val="18"/>
            </w:rPr>
          </w:pPr>
          <w:r>
            <w:rPr>
              <w:rFonts w:ascii="Geomanist Light" w:hAnsi="Geomanist Light"/>
              <w:sz w:val="18"/>
              <w:szCs w:val="18"/>
            </w:rPr>
            <w:t>2</w:t>
          </w:r>
          <w:r w:rsidR="00C9405D">
            <w:rPr>
              <w:rFonts w:ascii="Geomanist Light" w:hAnsi="Geomanist Light"/>
              <w:sz w:val="18"/>
              <w:szCs w:val="18"/>
            </w:rPr>
            <w:t>8</w:t>
          </w:r>
          <w:r w:rsidRPr="00080DA3" w:rsidR="006219F8">
            <w:rPr>
              <w:rFonts w:ascii="Geomanist Light" w:hAnsi="Geomanist Light"/>
              <w:sz w:val="18"/>
              <w:szCs w:val="18"/>
            </w:rPr>
            <w:t xml:space="preserve"> de </w:t>
          </w:r>
          <w:r w:rsidR="00C9405D">
            <w:rPr>
              <w:rFonts w:ascii="Geomanist Light" w:hAnsi="Geomanist Light"/>
              <w:sz w:val="18"/>
              <w:szCs w:val="18"/>
            </w:rPr>
            <w:t>septiembre</w:t>
          </w:r>
          <w:r w:rsidRPr="00080DA3" w:rsidR="006219F8">
            <w:rPr>
              <w:rFonts w:ascii="Geomanist Light" w:hAnsi="Geomanist Light"/>
              <w:sz w:val="18"/>
              <w:szCs w:val="18"/>
            </w:rPr>
            <w:t xml:space="preserve"> de 202</w:t>
          </w:r>
          <w:r w:rsidR="000A683E">
            <w:rPr>
              <w:rFonts w:ascii="Geomanist Light" w:hAnsi="Geomanist Light"/>
              <w:sz w:val="18"/>
              <w:szCs w:val="18"/>
            </w:rPr>
            <w:t>2</w:t>
          </w:r>
        </w:p>
      </w:tc>
      <w:tc>
        <w:tcPr>
          <w:tcW w:w="1527"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6219F8" w:rsidP="00A07532" w:rsidRDefault="006219F8" w14:paraId="6C25E7A7" w14:textId="74CFB824">
          <w:pPr>
            <w:pStyle w:val="Piedepgina"/>
            <w:jc w:val="center"/>
            <w:rPr>
              <w:rFonts w:ascii="Geomanist Light" w:hAnsi="Geomanist Light"/>
              <w:sz w:val="18"/>
              <w:szCs w:val="18"/>
            </w:rPr>
          </w:pPr>
          <w:r w:rsidRPr="00080DA3">
            <w:rPr>
              <w:rFonts w:ascii="Geomanist Light" w:hAnsi="Geomanist Light"/>
              <w:sz w:val="18"/>
              <w:szCs w:val="18"/>
            </w:rPr>
            <w:t xml:space="preserve">Página </w:t>
          </w:r>
          <w:r w:rsidRPr="00080DA3">
            <w:rPr>
              <w:rFonts w:ascii="Geomanist Light" w:hAnsi="Geomanist Light"/>
              <w:b/>
              <w:bCs/>
              <w:sz w:val="18"/>
              <w:szCs w:val="18"/>
            </w:rPr>
            <w:fldChar w:fldCharType="begin"/>
          </w:r>
          <w:r w:rsidRPr="00080DA3">
            <w:rPr>
              <w:rFonts w:ascii="Geomanist Light" w:hAnsi="Geomanist Light"/>
              <w:b/>
              <w:bCs/>
              <w:sz w:val="18"/>
              <w:szCs w:val="18"/>
            </w:rPr>
            <w:instrText>PAGE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1</w:t>
          </w:r>
          <w:r w:rsidRPr="00080DA3">
            <w:rPr>
              <w:rFonts w:ascii="Geomanist Light" w:hAnsi="Geomanist Light"/>
              <w:b/>
              <w:bCs/>
              <w:sz w:val="18"/>
              <w:szCs w:val="18"/>
            </w:rPr>
            <w:fldChar w:fldCharType="end"/>
          </w:r>
          <w:r w:rsidRPr="00080DA3">
            <w:rPr>
              <w:rFonts w:ascii="Geomanist Light" w:hAnsi="Geomanist Light"/>
              <w:sz w:val="18"/>
              <w:szCs w:val="18"/>
            </w:rPr>
            <w:t xml:space="preserve"> de </w:t>
          </w:r>
          <w:r w:rsidRPr="00080DA3">
            <w:rPr>
              <w:rFonts w:ascii="Geomanist Light" w:hAnsi="Geomanist Light"/>
              <w:b/>
              <w:bCs/>
              <w:sz w:val="18"/>
              <w:szCs w:val="18"/>
            </w:rPr>
            <w:fldChar w:fldCharType="begin"/>
          </w:r>
          <w:r w:rsidRPr="00080DA3">
            <w:rPr>
              <w:rFonts w:ascii="Geomanist Light" w:hAnsi="Geomanist Light"/>
              <w:b/>
              <w:bCs/>
              <w:sz w:val="18"/>
              <w:szCs w:val="18"/>
            </w:rPr>
            <w:instrText>NUMPAGES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2</w:t>
          </w:r>
          <w:r w:rsidRPr="00080DA3">
            <w:rPr>
              <w:rFonts w:ascii="Geomanist Light" w:hAnsi="Geomanist Light"/>
              <w:b/>
              <w:bCs/>
              <w:sz w:val="18"/>
              <w:szCs w:val="18"/>
            </w:rPr>
            <w:fldChar w:fldCharType="end"/>
          </w:r>
        </w:p>
      </w:tc>
    </w:tr>
  </w:tbl>
  <w:p w:rsidR="006219F8" w:rsidP="00A07532" w:rsidRDefault="006219F8" w14:paraId="744661F5" w14:textId="77777777">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1BFC" w:rsidP="004A1847" w:rsidRDefault="00241BFC" w14:paraId="406FC2CD" w14:textId="77777777">
      <w:pPr>
        <w:spacing w:after="0" w:line="240" w:lineRule="auto"/>
      </w:pPr>
      <w:r>
        <w:separator/>
      </w:r>
    </w:p>
  </w:footnote>
  <w:footnote w:type="continuationSeparator" w:id="0">
    <w:p w:rsidR="00241BFC" w:rsidP="004A1847" w:rsidRDefault="00241BFC" w14:paraId="49A649D4" w14:textId="77777777">
      <w:pPr>
        <w:spacing w:after="0" w:line="240" w:lineRule="auto"/>
      </w:pPr>
      <w:r>
        <w:continuationSeparator/>
      </w:r>
    </w:p>
  </w:footnote>
  <w:footnote w:type="continuationNotice" w:id="1">
    <w:p w:rsidR="00241BFC" w:rsidRDefault="00241BFC" w14:paraId="29A72A95" w14:textId="77777777">
      <w:pPr>
        <w:spacing w:after="0" w:line="240" w:lineRule="auto"/>
      </w:pPr>
    </w:p>
  </w:footnote>
  <w:footnote w:id="2">
    <w:p w:rsidRPr="001A26EC" w:rsidR="0098121E" w:rsidP="0098121E" w:rsidRDefault="0098121E" w14:paraId="3D4A8A1E" w14:textId="77777777">
      <w:pPr>
        <w:spacing w:after="120"/>
        <w:ind w:firstLine="709"/>
        <w:rPr>
          <w:rFonts w:ascii="Geomanist Light" w:hAnsi="Geomanist Light" w:eastAsia="Arial" w:cs="Arial"/>
          <w:color w:val="000000"/>
          <w:sz w:val="19"/>
          <w:szCs w:val="19"/>
        </w:rPr>
      </w:pPr>
      <w:r w:rsidRPr="001A26EC">
        <w:rPr>
          <w:rFonts w:ascii="Geomanist Light" w:hAnsi="Geomanist Light" w:cs="Arial"/>
          <w:color w:val="000000"/>
          <w:sz w:val="19"/>
          <w:szCs w:val="19"/>
          <w:vertAlign w:val="superscript"/>
        </w:rPr>
        <w:footnoteRef/>
      </w:r>
      <w:r w:rsidRPr="001A26EC">
        <w:rPr>
          <w:rFonts w:ascii="Geomanist Light" w:hAnsi="Geomanist Light" w:eastAsia="Arial" w:cs="Arial"/>
          <w:color w:val="000000"/>
          <w:sz w:val="19"/>
          <w:szCs w:val="19"/>
        </w:rPr>
        <w:t xml:space="preserve"> «La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rsidRPr="001A26EC" w:rsidR="0098121E" w:rsidP="0098121E" w:rsidRDefault="0098121E" w14:paraId="6FA17D48" w14:textId="77777777">
      <w:pPr>
        <w:ind w:firstLine="709"/>
        <w:rPr>
          <w:rFonts w:ascii="Geomanist Light" w:hAnsi="Geomanist Light" w:eastAsia="Arial" w:cs="Arial"/>
          <w:color w:val="000000"/>
          <w:sz w:val="19"/>
          <w:szCs w:val="19"/>
        </w:rPr>
      </w:pPr>
      <w:r w:rsidRPr="001A26EC">
        <w:rPr>
          <w:rFonts w:ascii="Geomanist Light" w:hAnsi="Geomanist Light" w:eastAsia="Arial" w:cs="Arial"/>
          <w:color w:val="000000"/>
          <w:sz w:val="19"/>
          <w:szCs w:val="19"/>
        </w:rPr>
        <w:t xml:space="preserve">» Sin embargo, en otros negocios, como la obra pública, la concesión y la consultoría, el Estado está acostumbrado a que se desglosen intensamente los costos, exigiendo no sólo el precio total sino una distinción entre los </w:t>
      </w:r>
      <w:r w:rsidRPr="001A26EC">
        <w:rPr>
          <w:rFonts w:ascii="Geomanist Light" w:hAnsi="Geomanist Light" w:eastAsia="Arial" w:cs="Arial"/>
          <w:i/>
          <w:color w:val="000000"/>
          <w:sz w:val="19"/>
          <w:szCs w:val="19"/>
        </w:rPr>
        <w:t>costos directos</w:t>
      </w:r>
      <w:r w:rsidRPr="001A26EC">
        <w:rPr>
          <w:rFonts w:ascii="Geomanist Light" w:hAnsi="Geomanist Light" w:eastAsia="Arial" w:cs="Arial"/>
          <w:color w:val="000000"/>
          <w:sz w:val="19"/>
          <w:szCs w:val="19"/>
        </w:rPr>
        <w:t xml:space="preserve"> y los</w:t>
      </w:r>
      <w:r w:rsidRPr="001A26EC">
        <w:rPr>
          <w:rFonts w:ascii="Geomanist Light" w:hAnsi="Geomanist Light" w:eastAsia="Arial" w:cs="Arial"/>
          <w:i/>
          <w:color w:val="000000"/>
          <w:sz w:val="19"/>
          <w:szCs w:val="19"/>
        </w:rPr>
        <w:t xml:space="preserve"> costos indirectos</w:t>
      </w:r>
      <w:r w:rsidRPr="001A26EC">
        <w:rPr>
          <w:rFonts w:ascii="Geomanist Light" w:hAnsi="Geomanist Light" w:eastAsia="Arial" w:cs="Arial"/>
          <w:color w:val="000000"/>
          <w:sz w:val="19"/>
          <w:szCs w:val="19"/>
        </w:rPr>
        <w:t xml:space="preserve">.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w:t>
      </w:r>
      <w:r w:rsidRPr="001A26EC">
        <w:rPr>
          <w:rFonts w:ascii="Geomanist Light" w:hAnsi="Geomanist Light" w:eastAsia="Arial" w:cs="Arial"/>
          <w:i/>
          <w:color w:val="000000"/>
          <w:sz w:val="19"/>
          <w:szCs w:val="19"/>
        </w:rPr>
        <w:t>ítems</w:t>
      </w:r>
      <w:r w:rsidRPr="001A26EC">
        <w:rPr>
          <w:rFonts w:ascii="Geomanist Light" w:hAnsi="Geomanist Light" w:eastAsia="Arial" w:cs="Arial"/>
          <w:color w:val="000000"/>
          <w:sz w:val="19"/>
          <w:szCs w:val="19"/>
        </w:rPr>
        <w:t xml:space="preserve"> que componen el contrato–. Los costos </w:t>
      </w:r>
      <w:r w:rsidRPr="001A26EC">
        <w:rPr>
          <w:rFonts w:ascii="Geomanist Light" w:hAnsi="Geomanist Light" w:eastAsia="Arial" w:cs="Arial"/>
          <w:i/>
          <w:color w:val="000000"/>
          <w:sz w:val="19"/>
          <w:szCs w:val="19"/>
        </w:rPr>
        <w:t>indirectos</w:t>
      </w:r>
      <w:r w:rsidRPr="001A26EC">
        <w:rPr>
          <w:rFonts w:ascii="Geomanist Light" w:hAnsi="Geomanist Light" w:eastAsia="Arial" w:cs="Arial"/>
          <w:color w:val="000000"/>
          <w:sz w:val="19"/>
          <w:szCs w:val="19"/>
        </w:rPr>
        <w:t xml:space="preserve">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p w:rsidRPr="001A26EC" w:rsidR="0098121E" w:rsidP="0098121E" w:rsidRDefault="0098121E" w14:paraId="215031F0" w14:textId="77777777">
      <w:pPr>
        <w:ind w:firstLine="709"/>
        <w:rPr>
          <w:rFonts w:ascii="Geomanist Light" w:hAnsi="Geomanist Light" w:eastAsia="Arial" w:cs="Arial"/>
          <w:color w:val="000000"/>
          <w:sz w:val="19"/>
          <w:szCs w:val="19"/>
        </w:rPr>
      </w:pPr>
    </w:p>
  </w:footnote>
  <w:footnote w:id="3">
    <w:p w:rsidRPr="001A26EC" w:rsidR="0098121E" w:rsidP="0098121E" w:rsidRDefault="0098121E" w14:paraId="1C98848E" w14:textId="77777777">
      <w:pPr>
        <w:ind w:firstLine="709"/>
        <w:rPr>
          <w:rFonts w:ascii="Geomanist Light" w:hAnsi="Geomanist Light" w:eastAsia="Arial" w:cs="Arial"/>
          <w:color w:val="000000"/>
          <w:sz w:val="19"/>
          <w:szCs w:val="19"/>
        </w:rPr>
      </w:pPr>
      <w:r w:rsidRPr="001A26EC">
        <w:rPr>
          <w:rFonts w:ascii="Geomanist Light" w:hAnsi="Geomanist Light" w:cs="Arial"/>
          <w:color w:val="000000"/>
          <w:sz w:val="19"/>
          <w:szCs w:val="19"/>
          <w:vertAlign w:val="superscript"/>
        </w:rPr>
        <w:footnoteRef/>
      </w:r>
      <w:r w:rsidRPr="001A26EC">
        <w:rPr>
          <w:rFonts w:ascii="Geomanist Light" w:hAnsi="Geomanist Light" w:eastAsia="Arial" w:cs="Arial"/>
          <w:color w:val="000000"/>
          <w:sz w:val="19"/>
          <w:szCs w:val="19"/>
        </w:rPr>
        <w:t xml:space="preserve"> «Art. 32. Son contratos estatales todos los actos jurídicos generadores de obligaciones que celebren las entidades a que se refiere el presente estatuto, previstos en el derecho privado o en disposiciones especiales, o derivados del ejercicio de la autonomía de la voluntad, así como los que, a título enunciativo, se definen a continuación: […]».</w:t>
      </w:r>
    </w:p>
  </w:footnote>
  <w:footnote w:id="4">
    <w:p w:rsidRPr="001A26EC" w:rsidR="0098121E" w:rsidP="0098121E" w:rsidRDefault="0098121E" w14:paraId="2221F030" w14:textId="77777777">
      <w:pPr>
        <w:ind w:firstLine="709"/>
        <w:rPr>
          <w:rFonts w:ascii="Geomanist Light" w:hAnsi="Geomanist Light" w:eastAsia="Arial" w:cs="Arial"/>
          <w:color w:val="000000"/>
          <w:sz w:val="19"/>
          <w:szCs w:val="19"/>
        </w:rPr>
      </w:pPr>
      <w:r w:rsidRPr="001A26EC">
        <w:rPr>
          <w:rFonts w:ascii="Geomanist Light" w:hAnsi="Geomanist Light" w:cs="Arial"/>
          <w:color w:val="000000"/>
          <w:sz w:val="19"/>
          <w:szCs w:val="19"/>
          <w:vertAlign w:val="superscript"/>
        </w:rPr>
        <w:footnoteRef/>
      </w:r>
      <w:r w:rsidRPr="001A26EC">
        <w:rPr>
          <w:rFonts w:ascii="Geomanist Light" w:hAnsi="Geomanist Light" w:eastAsia="Arial" w:cs="Arial"/>
          <w:color w:val="000000"/>
          <w:sz w:val="19"/>
          <w:szCs w:val="19"/>
        </w:rPr>
        <w:t xml:space="preserve"> «Art. 40. Las estipulaciones de los contratos serán las que de acuerdo con las normas civiles, comerciales y las previstas en esta ley, correspondan a su esencia y naturaleza.</w:t>
      </w:r>
      <w:r w:rsidRPr="001A26EC">
        <w:rPr>
          <w:rFonts w:eastAsia="Arial"/>
          <w:color w:val="000000"/>
          <w:sz w:val="19"/>
          <w:szCs w:val="19"/>
        </w:rPr>
        <w:t> </w:t>
      </w:r>
    </w:p>
    <w:p w:rsidRPr="001A26EC" w:rsidR="0098121E" w:rsidP="0098121E" w:rsidRDefault="0098121E" w14:paraId="0B08288C" w14:textId="77777777">
      <w:pPr>
        <w:ind w:firstLine="709"/>
        <w:rPr>
          <w:rFonts w:ascii="Geomanist Light" w:hAnsi="Geomanist Light" w:eastAsia="Arial" w:cs="Arial"/>
          <w:color w:val="000000"/>
          <w:sz w:val="19"/>
          <w:szCs w:val="19"/>
        </w:rPr>
      </w:pPr>
      <w:r w:rsidRPr="001A26EC">
        <w:rPr>
          <w:rFonts w:ascii="Geomanist Light" w:hAnsi="Geomanist Light" w:eastAsia="Arial" w:cs="Arial"/>
          <w:color w:val="000000"/>
          <w:sz w:val="19"/>
          <w:szCs w:val="19"/>
        </w:rPr>
        <w:t>» Las entidades podrán celebrar los contratos y acuerdos que permitan la autonomía de la voluntad y requieran el cumplimiento de los fines estatales».</w:t>
      </w:r>
    </w:p>
  </w:footnote>
  <w:footnote w:id="5">
    <w:p w:rsidRPr="001A26EC" w:rsidR="0098121E" w:rsidP="0098121E" w:rsidRDefault="0098121E" w14:paraId="530844CC" w14:textId="77777777">
      <w:pPr>
        <w:ind w:firstLine="709"/>
        <w:rPr>
          <w:rFonts w:ascii="Geomanist Light" w:hAnsi="Geomanist Light" w:eastAsia="Arial" w:cs="Arial"/>
          <w:color w:val="000000"/>
          <w:sz w:val="19"/>
          <w:szCs w:val="19"/>
        </w:rPr>
      </w:pPr>
      <w:r w:rsidRPr="001A26EC">
        <w:rPr>
          <w:rFonts w:ascii="Geomanist Light" w:hAnsi="Geomanist Light" w:cs="Arial"/>
          <w:color w:val="000000"/>
          <w:sz w:val="19"/>
          <w:szCs w:val="19"/>
          <w:vertAlign w:val="superscript"/>
        </w:rPr>
        <w:footnoteRef/>
      </w:r>
      <w:r w:rsidRPr="001A26EC">
        <w:rPr>
          <w:rFonts w:ascii="Geomanist Light" w:hAnsi="Geomanist Light" w:eastAsia="Arial" w:cs="Arial"/>
          <w:color w:val="000000"/>
          <w:sz w:val="19"/>
          <w:szCs w:val="19"/>
        </w:rPr>
        <w:t xml:space="preserve"> Consejo de Estado. Sala de Consulta y Servicio Civil. Concepto del 5 de septiembre de 2018. Rad. 2018-00124 (2.386). C.P. Edgar González López.</w:t>
      </w:r>
    </w:p>
  </w:footnote>
  <w:footnote w:id="6">
    <w:p w:rsidRPr="001A26EC" w:rsidR="0098121E" w:rsidP="0098121E" w:rsidRDefault="0098121E" w14:paraId="7F4419F3" w14:textId="77777777">
      <w:pPr>
        <w:ind w:firstLine="709"/>
        <w:rPr>
          <w:rFonts w:ascii="Geomanist Light" w:hAnsi="Geomanist Light" w:eastAsia="Arial" w:cs="Arial"/>
          <w:color w:val="000000"/>
          <w:sz w:val="19"/>
          <w:szCs w:val="19"/>
        </w:rPr>
      </w:pPr>
      <w:r w:rsidRPr="001A26EC">
        <w:rPr>
          <w:rFonts w:ascii="Geomanist Light" w:hAnsi="Geomanist Light" w:cs="Arial"/>
          <w:color w:val="000000"/>
          <w:sz w:val="19"/>
          <w:szCs w:val="19"/>
          <w:vertAlign w:val="superscript"/>
        </w:rPr>
        <w:footnoteRef/>
      </w:r>
      <w:r w:rsidRPr="001A26EC">
        <w:rPr>
          <w:rFonts w:ascii="Geomanist Light" w:hAnsi="Geomanist Light" w:eastAsia="Arial" w:cs="Arial"/>
          <w:color w:val="000000"/>
          <w:sz w:val="19"/>
          <w:szCs w:val="19"/>
        </w:rPr>
        <w:t xml:space="preserve"> Sobre el A.I.U. la Sección Tercera del Consejo de Estado, en sentencia del 14 de octubre de 2011, M.P. Ruth Stella Correa Palacio, Rad. 20.811.</w:t>
      </w:r>
    </w:p>
    <w:p w:rsidRPr="001A26EC" w:rsidR="0098121E" w:rsidP="0098121E" w:rsidRDefault="0098121E" w14:paraId="72A4894B" w14:textId="77777777">
      <w:pPr>
        <w:ind w:firstLine="709"/>
        <w:rPr>
          <w:rFonts w:ascii="Geomanist Light" w:hAnsi="Geomanist Light" w:eastAsia="Arial" w:cs="Arial"/>
          <w:color w:val="000000"/>
          <w:sz w:val="19"/>
          <w:szCs w:val="19"/>
        </w:rPr>
      </w:pPr>
    </w:p>
  </w:footnote>
  <w:footnote w:id="7">
    <w:p w:rsidRPr="001A26EC" w:rsidR="0098121E" w:rsidP="0098121E" w:rsidRDefault="0098121E" w14:paraId="2D33F291" w14:textId="77777777">
      <w:pPr>
        <w:ind w:firstLine="709"/>
        <w:rPr>
          <w:rFonts w:ascii="Geomanist Light" w:hAnsi="Geomanist Light" w:eastAsia="Arial" w:cs="Arial"/>
          <w:color w:val="000000"/>
          <w:sz w:val="19"/>
          <w:szCs w:val="19"/>
        </w:rPr>
      </w:pPr>
      <w:r w:rsidRPr="001A26EC">
        <w:rPr>
          <w:rFonts w:ascii="Geomanist Light" w:hAnsi="Geomanist Light" w:cs="Arial"/>
          <w:color w:val="000000"/>
          <w:sz w:val="19"/>
          <w:szCs w:val="19"/>
          <w:vertAlign w:val="superscript"/>
        </w:rPr>
        <w:footnoteRef/>
      </w:r>
      <w:r w:rsidRPr="001A26EC">
        <w:rPr>
          <w:rFonts w:ascii="Geomanist Light" w:hAnsi="Geomanist Light" w:eastAsia="Arial" w:cs="Arial"/>
          <w:color w:val="000000"/>
          <w:sz w:val="19"/>
          <w:szCs w:val="19"/>
        </w:rPr>
        <w:t xml:space="preserve"> Consejo de Estado. Sección Tercera. Subsección C, Sentencia del 18 de enero de 2012, Expediente 20459/12, Consejera Ponente Olga Mélida Valle de La Hoz.  </w:t>
      </w:r>
    </w:p>
  </w:footnote>
  <w:footnote w:id="8">
    <w:p w:rsidRPr="001A26EC" w:rsidR="0098121E" w:rsidP="0098121E" w:rsidRDefault="0098121E" w14:paraId="3CED62F1" w14:textId="77777777">
      <w:pPr>
        <w:ind w:firstLine="709"/>
        <w:rPr>
          <w:rFonts w:ascii="Geomanist Light" w:hAnsi="Geomanist Light" w:eastAsia="Arial" w:cs="Arial"/>
          <w:color w:val="000000"/>
          <w:sz w:val="19"/>
          <w:szCs w:val="19"/>
        </w:rPr>
      </w:pPr>
    </w:p>
    <w:p w:rsidRPr="001A26EC" w:rsidR="0098121E" w:rsidP="0098121E" w:rsidRDefault="0098121E" w14:paraId="79F98F37" w14:textId="77777777">
      <w:pPr>
        <w:ind w:firstLine="709"/>
        <w:rPr>
          <w:rFonts w:ascii="Geomanist Light" w:hAnsi="Geomanist Light" w:eastAsia="Arial" w:cs="Arial"/>
          <w:color w:val="000000"/>
          <w:sz w:val="19"/>
          <w:szCs w:val="19"/>
        </w:rPr>
      </w:pPr>
      <w:r w:rsidRPr="001A26EC">
        <w:rPr>
          <w:rFonts w:ascii="Geomanist Light" w:hAnsi="Geomanist Light" w:cs="Arial"/>
          <w:color w:val="000000"/>
          <w:sz w:val="19"/>
          <w:szCs w:val="19"/>
          <w:vertAlign w:val="superscript"/>
        </w:rPr>
        <w:footnoteRef/>
      </w:r>
      <w:r w:rsidRPr="001A26EC">
        <w:rPr>
          <w:rFonts w:ascii="Geomanist Light" w:hAnsi="Geomanist Light" w:eastAsia="Arial" w:cs="Arial"/>
          <w:color w:val="000000"/>
          <w:sz w:val="19"/>
          <w:szCs w:val="19"/>
        </w:rPr>
        <w:t xml:space="preserve"> Cita original. Según el diccionario de la Real Academia de la lengua española, </w:t>
      </w:r>
      <w:r w:rsidRPr="001A26EC">
        <w:rPr>
          <w:rFonts w:ascii="Geomanist Light" w:hAnsi="Geomanist Light" w:eastAsia="Arial" w:cs="Arial"/>
          <w:color w:val="000000"/>
          <w:sz w:val="19"/>
          <w:szCs w:val="19"/>
          <w:u w:val="single"/>
        </w:rPr>
        <w:t>imprevisto</w:t>
      </w:r>
      <w:r w:rsidRPr="001A26EC">
        <w:rPr>
          <w:rFonts w:ascii="Geomanist Light" w:hAnsi="Geomanist Light" w:eastAsia="Arial" w:cs="Arial"/>
          <w:color w:val="000000"/>
          <w:sz w:val="19"/>
          <w:szCs w:val="19"/>
        </w:rPr>
        <w:t xml:space="preserve"> es, “en lenguaje administrativo, gastos con los que no se contaba y para los cuales no hay crédito habilitado”.</w:t>
      </w:r>
    </w:p>
  </w:footnote>
  <w:footnote w:id="9">
    <w:p w:rsidRPr="001A26EC" w:rsidR="0098121E" w:rsidP="0098121E" w:rsidRDefault="0098121E" w14:paraId="75F81EBF" w14:textId="77777777">
      <w:pPr>
        <w:pStyle w:val="Textonotapie"/>
        <w:ind w:firstLine="708"/>
        <w:jc w:val="both"/>
        <w:rPr>
          <w:rFonts w:ascii="Geomanist Light" w:hAnsi="Geomanist Light" w:cs="Arial"/>
          <w:color w:val="000000"/>
          <w:sz w:val="19"/>
          <w:szCs w:val="19"/>
        </w:rPr>
      </w:pPr>
      <w:r w:rsidRPr="001A26EC">
        <w:rPr>
          <w:rStyle w:val="Refdenotaalpie"/>
          <w:rFonts w:ascii="Geomanist Light" w:hAnsi="Geomanist Light"/>
          <w:color w:val="000000"/>
          <w:sz w:val="19"/>
          <w:szCs w:val="19"/>
        </w:rPr>
        <w:footnoteRef/>
      </w:r>
      <w:r w:rsidRPr="001A26EC">
        <w:rPr>
          <w:rFonts w:ascii="Geomanist Light" w:hAnsi="Geomanist Light" w:cs="Arial"/>
          <w:color w:val="000000"/>
          <w:sz w:val="19"/>
          <w:szCs w:val="19"/>
        </w:rPr>
        <w:t xml:space="preserve"> Artículo 2.2.1.1.2.1.1. del Decreto 1082 de 2015.</w:t>
      </w:r>
    </w:p>
    <w:p w:rsidRPr="001A26EC" w:rsidR="0098121E" w:rsidP="0098121E" w:rsidRDefault="0098121E" w14:paraId="4AC089A3" w14:textId="77777777">
      <w:pPr>
        <w:pStyle w:val="Textonotapie"/>
        <w:ind w:firstLine="708"/>
        <w:jc w:val="both"/>
        <w:rPr>
          <w:rFonts w:ascii="Geomanist Light" w:hAnsi="Geomanist Light" w:cs="Arial"/>
          <w:color w:val="000000"/>
          <w:sz w:val="19"/>
          <w:szCs w:val="19"/>
          <w:lang w:val="es-ES"/>
        </w:rPr>
      </w:pPr>
    </w:p>
  </w:footnote>
  <w:footnote w:id="10">
    <w:p w:rsidRPr="001A26EC" w:rsidR="0098121E" w:rsidP="0098121E" w:rsidRDefault="0098121E" w14:paraId="576CFC9E" w14:textId="77777777">
      <w:pPr>
        <w:ind w:firstLine="708"/>
        <w:rPr>
          <w:rFonts w:ascii="Geomanist Light" w:hAnsi="Geomanist Light" w:cs="Arial"/>
          <w:sz w:val="19"/>
          <w:szCs w:val="19"/>
          <w:highlight w:val="lightGray"/>
        </w:rPr>
      </w:pPr>
      <w:r w:rsidRPr="001A26EC">
        <w:rPr>
          <w:rStyle w:val="Refdenotaalpie"/>
          <w:rFonts w:ascii="Geomanist Light" w:hAnsi="Geomanist Light"/>
          <w:sz w:val="19"/>
          <w:szCs w:val="19"/>
        </w:rPr>
        <w:footnoteRef/>
      </w:r>
      <w:r w:rsidRPr="001A26EC">
        <w:rPr>
          <w:rFonts w:ascii="Geomanist Light" w:hAnsi="Geomanist Light" w:cs="Arial"/>
          <w:sz w:val="19"/>
          <w:szCs w:val="19"/>
        </w:rPr>
        <w:t xml:space="preserve"> En efecto, la causal de rechazo del literal Q de los documentos tipo para procesos de selección abreviada de menor cuantía de infraestructura de transporte –versión 2 establece: «</w:t>
      </w:r>
      <w:r w:rsidRPr="001A26EC">
        <w:rPr>
          <w:rFonts w:ascii="Geomanist Light" w:hAnsi="Geomanist Light" w:cs="Arial"/>
          <w:sz w:val="19"/>
          <w:szCs w:val="19"/>
          <w:highlight w:val="lightGray"/>
        </w:rPr>
        <w:t>[Incluir solo cuando la forma de pago sea por precios unitarios]</w:t>
      </w:r>
      <w:r w:rsidRPr="001A26EC">
        <w:rPr>
          <w:rFonts w:ascii="Geomanist Light" w:hAnsi="Geomanist Light" w:cs="Arial"/>
          <w:sz w:val="19"/>
          <w:szCs w:val="19"/>
        </w:rPr>
        <w:t xml:space="preserve"> Superar el valor unitario de alguno o algunos de los siguientes ítems ofrecidos con respecto al valor establecido para cada ítem del presupuesto oficial: </w:t>
      </w:r>
      <w:r w:rsidRPr="001A26EC">
        <w:rPr>
          <w:rFonts w:ascii="Geomanist Light" w:hAnsi="Geomanist Light" w:cs="Arial"/>
          <w:sz w:val="19"/>
          <w:szCs w:val="19"/>
          <w:highlight w:val="lightGray"/>
        </w:rPr>
        <w:t xml:space="preserve">[La entidad debe incluir esta causal cuando la forma de pago sea por precios unitarios y cuando considere necesario establecer ítems del presupuesto oficial cuyo valor no pueda ser excedido por el proponente. Cuando decida incluirla, identificará en este espacio los ítems frente a los cuales aplicará la causal de rechazo. </w:t>
      </w:r>
    </w:p>
    <w:p w:rsidRPr="001A26EC" w:rsidR="0098121E" w:rsidP="0098121E" w:rsidRDefault="0098121E" w14:paraId="0B242167" w14:textId="77777777">
      <w:pPr>
        <w:pStyle w:val="Textonotapie"/>
        <w:ind w:firstLine="708"/>
        <w:jc w:val="both"/>
        <w:rPr>
          <w:rFonts w:ascii="Geomanist Light" w:hAnsi="Geomanist Light" w:cs="Arial"/>
          <w:sz w:val="19"/>
          <w:szCs w:val="19"/>
          <w:lang w:val="es-CO"/>
        </w:rPr>
      </w:pPr>
      <w:r w:rsidRPr="001A26EC">
        <w:rPr>
          <w:rFonts w:ascii="Geomanist Light" w:hAnsi="Geomanist Light" w:cs="Arial"/>
          <w:sz w:val="19"/>
          <w:szCs w:val="19"/>
          <w:highlight w:val="lightGray"/>
        </w:rPr>
        <w:t>»Para la aplicación de esta causal la entidad debe tener en cuenta que el valor unitario establecido en el Formulario 1 – Formulario de Presupuesto Oficial incluye el valor de AIU]</w:t>
      </w:r>
      <w:r w:rsidRPr="001A26EC">
        <w:rPr>
          <w:rFonts w:ascii="Geomanist Light" w:hAnsi="Geomanist Light" w:cs="Arial"/>
          <w:sz w:val="19"/>
          <w:szCs w:val="19"/>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7566FE" w:rsidR="00906B3C" w:rsidP="008614E5" w:rsidRDefault="00906B3C" w14:paraId="2E51F6A5" w14:textId="0DD925F5">
    <w:pPr>
      <w:spacing w:after="0"/>
      <w:rPr>
        <w:rFonts w:ascii="Geomanist Light" w:hAnsi="Geomanist Light"/>
        <w:color w:val="002060"/>
        <w:sz w:val="16"/>
        <w:szCs w:val="16"/>
      </w:rPr>
    </w:pPr>
    <w:r w:rsidRPr="007566FE">
      <w:rPr>
        <w:rFonts w:ascii="Geomanist Light" w:hAnsi="Geomanist Light" w:eastAsia="Arial Nova" w:cs="Arial Nova"/>
        <w:noProof/>
        <w:sz w:val="16"/>
        <w:szCs w:val="16"/>
        <w:lang w:eastAsia="es-CO"/>
      </w:rPr>
      <w:drawing>
        <wp:anchor distT="0" distB="0" distL="0" distR="0" simplePos="0" relativeHeight="251658240" behindDoc="1" locked="0" layoutInCell="1" hidden="0" allowOverlap="1" wp14:anchorId="30C7B261" wp14:editId="79A0A4A2">
          <wp:simplePos x="0" y="0"/>
          <wp:positionH relativeFrom="margin">
            <wp:align>right</wp:align>
          </wp:positionH>
          <wp:positionV relativeFrom="paragraph">
            <wp:posOffset>-80564</wp:posOffset>
          </wp:positionV>
          <wp:extent cx="1657350" cy="676275"/>
          <wp:effectExtent l="0" t="0" r="0" b="9525"/>
          <wp:wrapNone/>
          <wp:docPr id="25" name="image3.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1657350" cy="676275"/>
                  </a:xfrm>
                  <a:prstGeom prst="rect">
                    <a:avLst/>
                  </a:prstGeom>
                  <a:ln/>
                </pic:spPr>
              </pic:pic>
            </a:graphicData>
          </a:graphic>
          <wp14:sizeRelH relativeFrom="margin">
            <wp14:pctWidth>0</wp14:pctWidth>
          </wp14:sizeRelH>
          <wp14:sizeRelV relativeFrom="margin">
            <wp14:pctHeight>0</wp14:pctHeight>
          </wp14:sizeRelV>
        </wp:anchor>
      </w:drawing>
    </w:r>
    <w:r w:rsidRPr="007566FE" w:rsidR="00B01ED6">
      <w:rPr>
        <w:rFonts w:ascii="Geomanist Light" w:hAnsi="Geomanist Light"/>
        <w:color w:val="002060"/>
        <w:sz w:val="16"/>
        <w:szCs w:val="16"/>
      </w:rPr>
      <w:t>FORMATO PQRSD</w:t>
    </w:r>
  </w:p>
  <w:p w:rsidRPr="007566FE" w:rsidR="007566FE" w:rsidP="00793403" w:rsidRDefault="007566FE" w14:paraId="077278A1" w14:textId="2CAB5B77">
    <w:pPr>
      <w:pBdr>
        <w:top w:val="nil"/>
        <w:left w:val="nil"/>
        <w:bottom w:val="nil"/>
        <w:right w:val="nil"/>
        <w:between w:val="nil"/>
      </w:pBdr>
      <w:tabs>
        <w:tab w:val="center" w:pos="4419"/>
        <w:tab w:val="right" w:pos="8838"/>
        <w:tab w:val="center" w:pos="5400"/>
      </w:tabs>
      <w:spacing w:after="0"/>
      <w:rPr>
        <w:rFonts w:ascii="Geomanist Light" w:hAnsi="Geomanist Light" w:eastAsia="Geo" w:cs="Geo"/>
        <w:b/>
        <w:color w:val="002060"/>
        <w:sz w:val="16"/>
        <w:szCs w:val="16"/>
        <w:lang w:eastAsia="es-CO"/>
      </w:rPr>
    </w:pPr>
    <w:r w:rsidRPr="007566FE">
      <w:rPr>
        <w:rFonts w:ascii="Geomanist Light" w:hAnsi="Geomanist Light" w:eastAsia="Geo" w:cs="Geo"/>
        <w:b/>
        <w:color w:val="000000"/>
        <w:sz w:val="16"/>
        <w:szCs w:val="16"/>
        <w:lang w:eastAsia="es-CO"/>
      </w:rPr>
      <w:t xml:space="preserve">Código: </w:t>
    </w:r>
    <w:r w:rsidRPr="007566FE">
      <w:rPr>
        <w:rFonts w:ascii="Geomanist Light" w:hAnsi="Geomanist Light" w:eastAsia="Geo" w:cs="Geo"/>
        <w:bCs/>
        <w:color w:val="000000"/>
        <w:sz w:val="16"/>
        <w:szCs w:val="16"/>
        <w:lang w:eastAsia="es-CO"/>
      </w:rPr>
      <w:t>CCE-PQRSD-FM-08</w:t>
    </w:r>
  </w:p>
  <w:p w:rsidR="00793403" w:rsidP="008614E5" w:rsidRDefault="00793403" w14:paraId="74FC5262" w14:textId="51A6AFCE">
    <w:pPr>
      <w:spacing w:after="0"/>
      <w:rPr>
        <w:rFonts w:ascii="Geomanist Light" w:hAnsi="Geomanist Light" w:eastAsia="Geo" w:cs="Geo"/>
        <w:sz w:val="16"/>
        <w:szCs w:val="16"/>
        <w:lang w:eastAsia="es-CO"/>
      </w:rPr>
    </w:pPr>
    <w:r w:rsidRPr="00367110">
      <w:rPr>
        <w:rFonts w:eastAsia="Arial Nova" w:cs="Arial Nova"/>
        <w:noProof/>
        <w:color w:val="000000"/>
        <w:lang w:eastAsia="es-CO"/>
      </w:rPr>
      <w:drawing>
        <wp:anchor distT="0" distB="0" distL="114300" distR="114300" simplePos="0" relativeHeight="251658241" behindDoc="1" locked="0" layoutInCell="1" allowOverlap="1" wp14:anchorId="0E3A0652" wp14:editId="21BFF5E2">
          <wp:simplePos x="0" y="0"/>
          <wp:positionH relativeFrom="margin">
            <wp:align>left</wp:align>
          </wp:positionH>
          <wp:positionV relativeFrom="paragraph">
            <wp:posOffset>141605</wp:posOffset>
          </wp:positionV>
          <wp:extent cx="3238500" cy="76200"/>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238500" cy="76200"/>
                  </a:xfrm>
                  <a:prstGeom prst="rect">
                    <a:avLst/>
                  </a:prstGeom>
                  <a:ln/>
                </pic:spPr>
              </pic:pic>
            </a:graphicData>
          </a:graphic>
          <wp14:sizeRelH relativeFrom="margin">
            <wp14:pctWidth>0</wp14:pctWidth>
          </wp14:sizeRelH>
          <wp14:sizeRelV relativeFrom="margin">
            <wp14:pctHeight>0</wp14:pctHeight>
          </wp14:sizeRelV>
        </wp:anchor>
      </w:drawing>
    </w:r>
    <w:r w:rsidRPr="007566FE" w:rsidR="007566FE">
      <w:rPr>
        <w:rFonts w:ascii="Geomanist Light" w:hAnsi="Geomanist Light" w:eastAsia="Geo" w:cs="Geo"/>
        <w:b/>
        <w:color w:val="000000"/>
        <w:sz w:val="16"/>
        <w:szCs w:val="16"/>
        <w:lang w:eastAsia="es-CO"/>
      </w:rPr>
      <w:t>Versión</w:t>
    </w:r>
    <w:r w:rsidRPr="007566FE" w:rsidR="007566FE">
      <w:rPr>
        <w:rFonts w:ascii="Geomanist Light" w:hAnsi="Geomanist Light" w:eastAsia="Arial Nova" w:cs="Arial Nova"/>
        <w:b/>
        <w:color w:val="000000"/>
        <w:sz w:val="16"/>
        <w:szCs w:val="16"/>
        <w:lang w:eastAsia="es-CO"/>
      </w:rPr>
      <w:t xml:space="preserve">: </w:t>
    </w:r>
    <w:r w:rsidRPr="007566FE" w:rsidR="007566FE">
      <w:rPr>
        <w:rFonts w:ascii="Geomanist Light" w:hAnsi="Geomanist Light" w:eastAsia="Geo" w:cs="Geo"/>
        <w:sz w:val="16"/>
        <w:szCs w:val="16"/>
        <w:lang w:eastAsia="es-CO"/>
      </w:rPr>
      <w:t>0</w:t>
    </w:r>
    <w:r w:rsidR="00C9405D">
      <w:rPr>
        <w:rFonts w:ascii="Geomanist Light" w:hAnsi="Geomanist Light" w:eastAsia="Geo" w:cs="Geo"/>
        <w:sz w:val="16"/>
        <w:szCs w:val="16"/>
        <w:lang w:eastAsia="es-CO"/>
      </w:rPr>
      <w:t>2</w:t>
    </w:r>
    <w:r w:rsidRPr="007566FE" w:rsidR="007566FE">
      <w:rPr>
        <w:rFonts w:ascii="Geomanist Light" w:hAnsi="Geomanist Light" w:eastAsia="Geo" w:cs="Geo"/>
        <w:sz w:val="16"/>
        <w:szCs w:val="16"/>
        <w:lang w:eastAsia="es-CO"/>
      </w:rPr>
      <w:t xml:space="preserve"> DEL </w:t>
    </w:r>
    <w:r w:rsidR="00C9405D">
      <w:rPr>
        <w:rFonts w:ascii="Geomanist Light" w:hAnsi="Geomanist Light" w:eastAsia="Geo" w:cs="Geo"/>
        <w:sz w:val="16"/>
        <w:szCs w:val="16"/>
        <w:lang w:eastAsia="es-CO"/>
      </w:rPr>
      <w:t>28</w:t>
    </w:r>
    <w:r w:rsidRPr="007566FE" w:rsidR="007566FE">
      <w:rPr>
        <w:rFonts w:ascii="Geomanist Light" w:hAnsi="Geomanist Light" w:eastAsia="Geo" w:cs="Geo"/>
        <w:sz w:val="16"/>
        <w:szCs w:val="16"/>
        <w:lang w:eastAsia="es-CO"/>
      </w:rPr>
      <w:t xml:space="preserve"> DE </w:t>
    </w:r>
    <w:r w:rsidR="00C9405D">
      <w:rPr>
        <w:rFonts w:ascii="Geomanist Light" w:hAnsi="Geomanist Light" w:eastAsia="Geo" w:cs="Geo"/>
        <w:sz w:val="16"/>
        <w:szCs w:val="16"/>
        <w:lang w:eastAsia="es-CO"/>
      </w:rPr>
      <w:t>SEPTIEMBRE</w:t>
    </w:r>
    <w:r w:rsidRPr="007566FE" w:rsidR="007566FE">
      <w:rPr>
        <w:rFonts w:ascii="Geomanist Light" w:hAnsi="Geomanist Light" w:eastAsia="Geo" w:cs="Geo"/>
        <w:sz w:val="16"/>
        <w:szCs w:val="16"/>
        <w:lang w:eastAsia="es-CO"/>
      </w:rPr>
      <w:t xml:space="preserve"> DE 2022</w:t>
    </w:r>
  </w:p>
  <w:p w:rsidRPr="007566FE" w:rsidR="00793403" w:rsidP="008614E5" w:rsidRDefault="00793403" w14:paraId="60144E94" w14:textId="49B57718">
    <w:pPr>
      <w:spacing w:after="0"/>
      <w:rPr>
        <w:rFonts w:ascii="Geomanist Light" w:hAnsi="Geomanist Light"/>
        <w:color w:val="002060"/>
        <w:sz w:val="16"/>
        <w:szCs w:val="16"/>
      </w:rPr>
    </w:pPr>
  </w:p>
  <w:p w:rsidRPr="00906B3C" w:rsidR="004A1847" w:rsidP="00906B3C" w:rsidRDefault="004A1847" w14:paraId="1D9AD711" w14:textId="5827BD16">
    <w:pPr>
      <w:pStyle w:val="Encabezado"/>
      <w:tabs>
        <w:tab w:val="clear" w:pos="4419"/>
        <w:tab w:val="clear" w:pos="8838"/>
      </w:tabs>
      <w:ind w:left="3545" w:firstLine="709"/>
      <w:rPr>
        <w:b/>
        <w:bCs/>
        <w:color w:val="A5A5A5" w:themeColor="accent3"/>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hint="default" w:ascii="Arial" w:hAnsi="Arial" w:eastAsia="Times New Roman" w:cs="Arial"/>
        <w:b/>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2" w15:restartNumberingAfterBreak="0">
    <w:nsid w:val="10AC56F5"/>
    <w:multiLevelType w:val="hybridMultilevel"/>
    <w:tmpl w:val="ECF404E6"/>
    <w:lvl w:ilvl="0" w:tplc="4612AA00">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691187"/>
    <w:multiLevelType w:val="hybridMultilevel"/>
    <w:tmpl w:val="C5B6807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719414B"/>
    <w:multiLevelType w:val="hybridMultilevel"/>
    <w:tmpl w:val="150A828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A0A22E7"/>
    <w:multiLevelType w:val="hybridMultilevel"/>
    <w:tmpl w:val="37E83B64"/>
    <w:lvl w:ilvl="0" w:tplc="A4A0096E">
      <w:start w:val="1"/>
      <w:numFmt w:val="decimal"/>
      <w:lvlText w:val="%1."/>
      <w:lvlJc w:val="left"/>
      <w:pPr>
        <w:ind w:left="1069" w:hanging="360"/>
      </w:pPr>
      <w:rPr>
        <w:rFonts w:hint="default" w:eastAsiaTheme="minorHAnsi"/>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num w:numId="1" w16cid:durableId="1232538717">
    <w:abstractNumId w:val="4"/>
  </w:num>
  <w:num w:numId="2" w16cid:durableId="278100749">
    <w:abstractNumId w:val="1"/>
  </w:num>
  <w:num w:numId="3" w16cid:durableId="1371952515">
    <w:abstractNumId w:val="3"/>
  </w:num>
  <w:num w:numId="4" w16cid:durableId="1624077397">
    <w:abstractNumId w:val="5"/>
  </w:num>
  <w:num w:numId="5" w16cid:durableId="151534257">
    <w:abstractNumId w:val="2"/>
  </w:num>
  <w:num w:numId="6" w16cid:durableId="1788111794">
    <w:abstractNumId w:val="0"/>
  </w:num>
  <w:num w:numId="7" w16cid:durableId="1935359086">
    <w:abstractNumId w:val="6"/>
  </w:num>
  <w:num w:numId="8" w16cid:durableId="97337167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33B63"/>
    <w:rsid w:val="000636B4"/>
    <w:rsid w:val="00083334"/>
    <w:rsid w:val="000956CF"/>
    <w:rsid w:val="000A38C0"/>
    <w:rsid w:val="000A683E"/>
    <w:rsid w:val="000B492F"/>
    <w:rsid w:val="000B7097"/>
    <w:rsid w:val="000F08DB"/>
    <w:rsid w:val="0011076E"/>
    <w:rsid w:val="0011595A"/>
    <w:rsid w:val="001220C5"/>
    <w:rsid w:val="001267F7"/>
    <w:rsid w:val="00127233"/>
    <w:rsid w:val="00130999"/>
    <w:rsid w:val="00135E0B"/>
    <w:rsid w:val="0016269C"/>
    <w:rsid w:val="00164D81"/>
    <w:rsid w:val="00173D13"/>
    <w:rsid w:val="00175EB9"/>
    <w:rsid w:val="00180DA2"/>
    <w:rsid w:val="001936CB"/>
    <w:rsid w:val="00195D69"/>
    <w:rsid w:val="001964D2"/>
    <w:rsid w:val="001A1011"/>
    <w:rsid w:val="001A26EC"/>
    <w:rsid w:val="001A48D0"/>
    <w:rsid w:val="001B0E9B"/>
    <w:rsid w:val="001D6A31"/>
    <w:rsid w:val="002130B5"/>
    <w:rsid w:val="00222BDC"/>
    <w:rsid w:val="00226E86"/>
    <w:rsid w:val="00241BFC"/>
    <w:rsid w:val="002653C1"/>
    <w:rsid w:val="0026611D"/>
    <w:rsid w:val="00273083"/>
    <w:rsid w:val="00281D61"/>
    <w:rsid w:val="002929E7"/>
    <w:rsid w:val="002951A0"/>
    <w:rsid w:val="002967BC"/>
    <w:rsid w:val="002979AD"/>
    <w:rsid w:val="002A0A00"/>
    <w:rsid w:val="002A64FD"/>
    <w:rsid w:val="002B315B"/>
    <w:rsid w:val="002B5C17"/>
    <w:rsid w:val="002B7D4A"/>
    <w:rsid w:val="002C4D22"/>
    <w:rsid w:val="002C4F7C"/>
    <w:rsid w:val="002D0238"/>
    <w:rsid w:val="002E2E52"/>
    <w:rsid w:val="002F0839"/>
    <w:rsid w:val="002F1F43"/>
    <w:rsid w:val="002F2B2D"/>
    <w:rsid w:val="00301469"/>
    <w:rsid w:val="00306EE1"/>
    <w:rsid w:val="00310B9B"/>
    <w:rsid w:val="00344F89"/>
    <w:rsid w:val="0034740E"/>
    <w:rsid w:val="0036461C"/>
    <w:rsid w:val="00367884"/>
    <w:rsid w:val="0039439C"/>
    <w:rsid w:val="003A47D7"/>
    <w:rsid w:val="003B00FB"/>
    <w:rsid w:val="003B69E7"/>
    <w:rsid w:val="003C013B"/>
    <w:rsid w:val="003D0F4D"/>
    <w:rsid w:val="003D4313"/>
    <w:rsid w:val="003D47BD"/>
    <w:rsid w:val="003E5184"/>
    <w:rsid w:val="003F2FFB"/>
    <w:rsid w:val="003F58A1"/>
    <w:rsid w:val="00404C2C"/>
    <w:rsid w:val="00410DD6"/>
    <w:rsid w:val="004134C9"/>
    <w:rsid w:val="00416B75"/>
    <w:rsid w:val="0043138C"/>
    <w:rsid w:val="00443A20"/>
    <w:rsid w:val="004474D0"/>
    <w:rsid w:val="00450703"/>
    <w:rsid w:val="00462A59"/>
    <w:rsid w:val="004A1847"/>
    <w:rsid w:val="004A5028"/>
    <w:rsid w:val="004B6B0E"/>
    <w:rsid w:val="004C3BD2"/>
    <w:rsid w:val="004D25B3"/>
    <w:rsid w:val="004E0A06"/>
    <w:rsid w:val="00502E2D"/>
    <w:rsid w:val="00511405"/>
    <w:rsid w:val="00523CE9"/>
    <w:rsid w:val="00526E9D"/>
    <w:rsid w:val="005338F7"/>
    <w:rsid w:val="00535CAD"/>
    <w:rsid w:val="005401A6"/>
    <w:rsid w:val="00547856"/>
    <w:rsid w:val="00547A74"/>
    <w:rsid w:val="00554F8C"/>
    <w:rsid w:val="005566E8"/>
    <w:rsid w:val="005746AB"/>
    <w:rsid w:val="005751B5"/>
    <w:rsid w:val="005875C6"/>
    <w:rsid w:val="0059357F"/>
    <w:rsid w:val="005A1130"/>
    <w:rsid w:val="005C232C"/>
    <w:rsid w:val="005D0305"/>
    <w:rsid w:val="005D65C8"/>
    <w:rsid w:val="006219F8"/>
    <w:rsid w:val="006359A0"/>
    <w:rsid w:val="00651E48"/>
    <w:rsid w:val="00681FDB"/>
    <w:rsid w:val="006A0B04"/>
    <w:rsid w:val="006A51F9"/>
    <w:rsid w:val="006A7DAD"/>
    <w:rsid w:val="006D307E"/>
    <w:rsid w:val="006D70BA"/>
    <w:rsid w:val="006F3884"/>
    <w:rsid w:val="006F6A0E"/>
    <w:rsid w:val="007004DE"/>
    <w:rsid w:val="007566FE"/>
    <w:rsid w:val="00765DC1"/>
    <w:rsid w:val="0076726F"/>
    <w:rsid w:val="0077144B"/>
    <w:rsid w:val="007778FE"/>
    <w:rsid w:val="00777D2C"/>
    <w:rsid w:val="0079049F"/>
    <w:rsid w:val="00793403"/>
    <w:rsid w:val="007C0CDF"/>
    <w:rsid w:val="007D46CB"/>
    <w:rsid w:val="007E24A4"/>
    <w:rsid w:val="007E2A2F"/>
    <w:rsid w:val="007F0FC3"/>
    <w:rsid w:val="007F2B7C"/>
    <w:rsid w:val="007F657F"/>
    <w:rsid w:val="00811651"/>
    <w:rsid w:val="00811DE3"/>
    <w:rsid w:val="00820F5B"/>
    <w:rsid w:val="0082263E"/>
    <w:rsid w:val="00833452"/>
    <w:rsid w:val="008614E5"/>
    <w:rsid w:val="008678EB"/>
    <w:rsid w:val="00871A09"/>
    <w:rsid w:val="00875894"/>
    <w:rsid w:val="00876310"/>
    <w:rsid w:val="00881C10"/>
    <w:rsid w:val="00883420"/>
    <w:rsid w:val="00890411"/>
    <w:rsid w:val="00896947"/>
    <w:rsid w:val="008C55C1"/>
    <w:rsid w:val="008D5C70"/>
    <w:rsid w:val="008D6B13"/>
    <w:rsid w:val="008D701C"/>
    <w:rsid w:val="009025AF"/>
    <w:rsid w:val="00904071"/>
    <w:rsid w:val="00904F23"/>
    <w:rsid w:val="00906B3C"/>
    <w:rsid w:val="00921D2D"/>
    <w:rsid w:val="009407CF"/>
    <w:rsid w:val="0095342C"/>
    <w:rsid w:val="00962010"/>
    <w:rsid w:val="0098121E"/>
    <w:rsid w:val="0098628D"/>
    <w:rsid w:val="00994A1A"/>
    <w:rsid w:val="009C0D2B"/>
    <w:rsid w:val="009C0ED2"/>
    <w:rsid w:val="009F33F2"/>
    <w:rsid w:val="009F38FE"/>
    <w:rsid w:val="009F6C77"/>
    <w:rsid w:val="00A07532"/>
    <w:rsid w:val="00A1085C"/>
    <w:rsid w:val="00A12735"/>
    <w:rsid w:val="00A13B21"/>
    <w:rsid w:val="00A309E2"/>
    <w:rsid w:val="00A8066E"/>
    <w:rsid w:val="00A87D25"/>
    <w:rsid w:val="00AA0362"/>
    <w:rsid w:val="00AA08C0"/>
    <w:rsid w:val="00AA4B8A"/>
    <w:rsid w:val="00AA6BF7"/>
    <w:rsid w:val="00AF1B85"/>
    <w:rsid w:val="00AF3123"/>
    <w:rsid w:val="00B01ED6"/>
    <w:rsid w:val="00B06D09"/>
    <w:rsid w:val="00B1195A"/>
    <w:rsid w:val="00B1278B"/>
    <w:rsid w:val="00B127D6"/>
    <w:rsid w:val="00B12F69"/>
    <w:rsid w:val="00B21901"/>
    <w:rsid w:val="00B267B9"/>
    <w:rsid w:val="00B26DB8"/>
    <w:rsid w:val="00B33C60"/>
    <w:rsid w:val="00B45120"/>
    <w:rsid w:val="00B50303"/>
    <w:rsid w:val="00B616A4"/>
    <w:rsid w:val="00B730F0"/>
    <w:rsid w:val="00B771A9"/>
    <w:rsid w:val="00B809BB"/>
    <w:rsid w:val="00B8248A"/>
    <w:rsid w:val="00B9076F"/>
    <w:rsid w:val="00BB0678"/>
    <w:rsid w:val="00BB7726"/>
    <w:rsid w:val="00BF2863"/>
    <w:rsid w:val="00C13550"/>
    <w:rsid w:val="00C13C38"/>
    <w:rsid w:val="00C211FF"/>
    <w:rsid w:val="00C2154F"/>
    <w:rsid w:val="00C2329E"/>
    <w:rsid w:val="00C30461"/>
    <w:rsid w:val="00C60FBE"/>
    <w:rsid w:val="00C754BE"/>
    <w:rsid w:val="00C87572"/>
    <w:rsid w:val="00C9405D"/>
    <w:rsid w:val="00CB4B4A"/>
    <w:rsid w:val="00CC1B26"/>
    <w:rsid w:val="00CC5761"/>
    <w:rsid w:val="00CD284F"/>
    <w:rsid w:val="00CF23AA"/>
    <w:rsid w:val="00CF2686"/>
    <w:rsid w:val="00CF5093"/>
    <w:rsid w:val="00D01921"/>
    <w:rsid w:val="00D04D19"/>
    <w:rsid w:val="00D129E6"/>
    <w:rsid w:val="00D44BF2"/>
    <w:rsid w:val="00D456F7"/>
    <w:rsid w:val="00D66E64"/>
    <w:rsid w:val="00D70599"/>
    <w:rsid w:val="00D752B7"/>
    <w:rsid w:val="00DA1854"/>
    <w:rsid w:val="00DB0887"/>
    <w:rsid w:val="00DD52F3"/>
    <w:rsid w:val="00DF1E43"/>
    <w:rsid w:val="00DF3EC4"/>
    <w:rsid w:val="00E20894"/>
    <w:rsid w:val="00E264E0"/>
    <w:rsid w:val="00E26B7C"/>
    <w:rsid w:val="00E4264F"/>
    <w:rsid w:val="00E56436"/>
    <w:rsid w:val="00E75C30"/>
    <w:rsid w:val="00EA2EB0"/>
    <w:rsid w:val="00EA3003"/>
    <w:rsid w:val="00EB3C91"/>
    <w:rsid w:val="00EB66DA"/>
    <w:rsid w:val="00EE2BB9"/>
    <w:rsid w:val="00EF354C"/>
    <w:rsid w:val="00F04A9E"/>
    <w:rsid w:val="00F060ED"/>
    <w:rsid w:val="00F36765"/>
    <w:rsid w:val="00F518C9"/>
    <w:rsid w:val="00F5288D"/>
    <w:rsid w:val="00F605F2"/>
    <w:rsid w:val="00F63FBC"/>
    <w:rsid w:val="00F76AFC"/>
    <w:rsid w:val="00F8319B"/>
    <w:rsid w:val="00F97B56"/>
    <w:rsid w:val="00FA5516"/>
    <w:rsid w:val="00FD6F73"/>
    <w:rsid w:val="1CC63BF5"/>
    <w:rsid w:val="2F9951DC"/>
    <w:rsid w:val="3EA2D60F"/>
    <w:rsid w:val="49D68B91"/>
    <w:rsid w:val="6B8BD3AC"/>
    <w:rsid w:val="777950C3"/>
    <w:rsid w:val="7C0350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B86F6845-4A3F-4B91-BFF0-E9544203EC8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04DE"/>
    <w:pPr>
      <w:spacing w:after="200" w:line="276" w:lineRule="auto"/>
      <w:jc w:val="both"/>
    </w:pPr>
    <w:rPr>
      <w:rFonts w:ascii="Calibri" w:hAnsi="Calibri" w:eastAsia="Calibri" w:cs="Calibri"/>
      <w:sz w:val="24"/>
      <w:szCs w:val="24"/>
      <w:lang w:val="es-MX" w:eastAsia="es-ES_tradnl"/>
    </w:rPr>
  </w:style>
  <w:style w:type="paragraph" w:styleId="Ttulo1">
    <w:name w:val="heading 1"/>
    <w:basedOn w:val="Normal"/>
    <w:link w:val="Ttulo1Car"/>
    <w:uiPriority w:val="9"/>
    <w:qFormat/>
    <w:rsid w:val="00904F23"/>
    <w:pPr>
      <w:widowControl w:val="0"/>
      <w:autoSpaceDE w:val="0"/>
      <w:autoSpaceDN w:val="0"/>
      <w:spacing w:before="1" w:after="0" w:line="240" w:lineRule="auto"/>
      <w:ind w:left="1181" w:hanging="360"/>
      <w:jc w:val="left"/>
      <w:outlineLvl w:val="0"/>
    </w:pPr>
    <w:rPr>
      <w:rFonts w:ascii="Arial" w:hAnsi="Arial" w:eastAsia="Arial" w:cs="Arial"/>
      <w:b/>
      <w:bCs/>
      <w:sz w:val="22"/>
      <w:szCs w:val="22"/>
      <w:lang w:val="es-ES" w:eastAsia="en-US"/>
    </w:rPr>
  </w:style>
  <w:style w:type="paragraph" w:styleId="Ttulo3">
    <w:name w:val="heading 3"/>
    <w:basedOn w:val="Normal"/>
    <w:next w:val="Normal"/>
    <w:link w:val="Ttulo3Car"/>
    <w:uiPriority w:val="9"/>
    <w:semiHidden/>
    <w:unhideWhenUsed/>
    <w:qFormat/>
    <w:rsid w:val="00765DC1"/>
    <w:pPr>
      <w:keepNext/>
      <w:keepLines/>
      <w:spacing w:before="40" w:after="0"/>
      <w:outlineLvl w:val="2"/>
    </w:pPr>
    <w:rPr>
      <w:rFonts w:asciiTheme="majorHAnsi" w:hAnsiTheme="majorHAnsi" w:eastAsiaTheme="majorEastAsia" w:cstheme="majorBidi"/>
      <w:color w:val="1F3763" w:themeColor="accent1" w:themeShade="7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jc w:val="left"/>
    </w:pPr>
    <w:rPr>
      <w:rFonts w:asciiTheme="minorHAnsi" w:hAnsiTheme="minorHAnsi" w:eastAsiaTheme="minorHAnsi" w:cstheme="minorBidi"/>
      <w:sz w:val="22"/>
      <w:szCs w:val="22"/>
      <w:lang w:val="es-CO" w:eastAsia="en-US"/>
    </w:rPr>
  </w:style>
  <w:style w:type="character" w:styleId="EncabezadoCar" w:customStyle="1">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jc w:val="left"/>
    </w:pPr>
    <w:rPr>
      <w:rFonts w:asciiTheme="minorHAnsi" w:hAnsiTheme="minorHAnsi" w:eastAsiaTheme="minorHAnsi" w:cstheme="minorBidi"/>
      <w:sz w:val="22"/>
      <w:szCs w:val="22"/>
      <w:lang w:val="es-CO" w:eastAsia="en-US"/>
    </w:rPr>
  </w:style>
  <w:style w:type="character" w:styleId="PiedepginaCar" w:customStyle="1">
    <w:name w:val="Pie de página Car"/>
    <w:basedOn w:val="Fuentedeprrafopredeter"/>
    <w:link w:val="Piedepgina"/>
    <w:uiPriority w:val="99"/>
    <w:rsid w:val="004A1847"/>
  </w:style>
  <w:style w:type="paragraph" w:styleId="Default" w:customStyle="1">
    <w:name w:val="Default"/>
    <w:rsid w:val="006219F8"/>
    <w:pPr>
      <w:autoSpaceDE w:val="0"/>
      <w:autoSpaceDN w:val="0"/>
      <w:adjustRightInd w:val="0"/>
      <w:spacing w:after="0" w:line="240" w:lineRule="auto"/>
    </w:pPr>
    <w:rPr>
      <w:rFonts w:ascii="Arial" w:hAnsi="Arial" w:cs="Arial"/>
      <w:color w:val="000000"/>
      <w:sz w:val="24"/>
      <w:szCs w:val="24"/>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jc w:val="left"/>
    </w:pPr>
    <w:rPr>
      <w:rFonts w:asciiTheme="minorHAnsi" w:hAnsiTheme="minorHAnsi" w:eastAsiaTheme="minorHAnsi" w:cstheme="minorBidi"/>
      <w:sz w:val="20"/>
      <w:szCs w:val="20"/>
      <w:lang w:eastAsia="en-US"/>
    </w:rPr>
  </w:style>
  <w:style w:type="character" w:styleId="TextonotapieCar1" w:customStyle="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Re"/>
    <w:basedOn w:val="Fuentedeprrafopredeter"/>
    <w:link w:val="Appelnotedebasde"/>
    <w:uiPriority w:val="99"/>
    <w:unhideWhenUsed/>
    <w:qFormat/>
    <w:rsid w:val="006219F8"/>
    <w:rPr>
      <w:vertAlign w:val="superscript"/>
    </w:rPr>
  </w:style>
  <w:style w:type="character" w:styleId="normaltextrun" w:customStyle="1">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spacing w:after="160" w:line="259" w:lineRule="auto"/>
      <w:ind w:left="720"/>
      <w:contextualSpacing/>
      <w:jc w:val="left"/>
    </w:pPr>
    <w:rPr>
      <w:rFonts w:ascii="Geomanist Light" w:hAnsi="Geomanist Light" w:eastAsiaTheme="minorHAnsi" w:cstheme="minorBidi"/>
      <w:sz w:val="22"/>
      <w:szCs w:val="22"/>
      <w:lang w:val="es-ES" w:eastAsia="en-US"/>
    </w:rPr>
  </w:style>
  <w:style w:type="paragraph" w:styleId="Ttulo">
    <w:name w:val="Title"/>
    <w:basedOn w:val="Normal"/>
    <w:next w:val="Normal"/>
    <w:link w:val="TtuloCar"/>
    <w:uiPriority w:val="10"/>
    <w:qFormat/>
    <w:rsid w:val="005566E8"/>
    <w:pPr>
      <w:spacing w:after="0" w:line="240" w:lineRule="auto"/>
      <w:contextualSpacing/>
      <w:jc w:val="left"/>
    </w:pPr>
    <w:rPr>
      <w:rFonts w:ascii="Geomanist" w:hAnsi="Geomanist" w:eastAsiaTheme="majorEastAsia" w:cstheme="majorBidi"/>
      <w:spacing w:val="-10"/>
      <w:kern w:val="28"/>
      <w:sz w:val="22"/>
      <w:szCs w:val="56"/>
      <w:lang w:val="es-ES" w:eastAsia="en-US"/>
    </w:rPr>
  </w:style>
  <w:style w:type="character" w:styleId="TtuloCar" w:customStyle="1">
    <w:name w:val="Título Car"/>
    <w:basedOn w:val="Fuentedeprrafopredeter"/>
    <w:link w:val="Ttulo"/>
    <w:uiPriority w:val="10"/>
    <w:rsid w:val="005566E8"/>
    <w:rPr>
      <w:rFonts w:ascii="Geomanist" w:hAnsi="Geomanist" w:eastAsiaTheme="majorEastAsia" w:cstheme="majorBidi"/>
      <w:spacing w:val="-10"/>
      <w:kern w:val="28"/>
      <w:szCs w:val="56"/>
      <w:lang w:val="es-ES"/>
    </w:rPr>
  </w:style>
  <w:style w:type="character" w:styleId="Ttulo1Car" w:customStyle="1">
    <w:name w:val="Título 1 Car"/>
    <w:basedOn w:val="Fuentedeprrafopredeter"/>
    <w:link w:val="Ttulo1"/>
    <w:uiPriority w:val="9"/>
    <w:rsid w:val="00904F23"/>
    <w:rPr>
      <w:rFonts w:ascii="Arial" w:hAnsi="Arial" w:eastAsia="Arial" w:cs="Arial"/>
      <w:b/>
      <w:bCs/>
      <w:lang w:val="es-ES"/>
    </w:rPr>
  </w:style>
  <w:style w:type="character" w:styleId="Refdecomentario">
    <w:name w:val="annotation reference"/>
    <w:basedOn w:val="Fuentedeprrafopredeter"/>
    <w:uiPriority w:val="99"/>
    <w:semiHidden/>
    <w:unhideWhenUsed/>
    <w:rsid w:val="00511405"/>
    <w:rPr>
      <w:sz w:val="16"/>
      <w:szCs w:val="16"/>
    </w:rPr>
  </w:style>
  <w:style w:type="paragraph" w:styleId="Textocomentario">
    <w:name w:val="annotation text"/>
    <w:basedOn w:val="Normal"/>
    <w:link w:val="TextocomentarioCar"/>
    <w:uiPriority w:val="99"/>
    <w:unhideWhenUsed/>
    <w:rsid w:val="00511405"/>
    <w:pPr>
      <w:spacing w:after="160" w:line="240" w:lineRule="auto"/>
      <w:jc w:val="left"/>
    </w:pPr>
    <w:rPr>
      <w:rFonts w:asciiTheme="minorHAnsi" w:hAnsiTheme="minorHAnsi" w:eastAsiaTheme="minorHAnsi" w:cstheme="minorBidi"/>
      <w:sz w:val="20"/>
      <w:szCs w:val="20"/>
      <w:lang w:val="es-CO" w:eastAsia="en-US"/>
    </w:rPr>
  </w:style>
  <w:style w:type="character" w:styleId="TextocomentarioCar" w:customStyle="1">
    <w:name w:val="Texto comentario Car"/>
    <w:basedOn w:val="Fuentedeprrafopredeter"/>
    <w:link w:val="Textocomentario"/>
    <w:uiPriority w:val="99"/>
    <w:rsid w:val="00511405"/>
    <w:rPr>
      <w:sz w:val="20"/>
      <w:szCs w:val="20"/>
    </w:rPr>
  </w:style>
  <w:style w:type="paragraph" w:styleId="Revisin">
    <w:name w:val="Revision"/>
    <w:hidden/>
    <w:uiPriority w:val="99"/>
    <w:semiHidden/>
    <w:rsid w:val="00511405"/>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511405"/>
    <w:rPr>
      <w:b/>
      <w:bCs/>
    </w:rPr>
  </w:style>
  <w:style w:type="character" w:styleId="AsuntodelcomentarioCar" w:customStyle="1">
    <w:name w:val="Asunto del comentario Car"/>
    <w:basedOn w:val="TextocomentarioCar"/>
    <w:link w:val="Asuntodelcomentario"/>
    <w:uiPriority w:val="99"/>
    <w:semiHidden/>
    <w:rsid w:val="00511405"/>
    <w:rPr>
      <w:b/>
      <w:bCs/>
      <w:sz w:val="20"/>
      <w:szCs w:val="20"/>
    </w:rPr>
  </w:style>
  <w:style w:type="table" w:styleId="Tablaconcuadrcula1" w:customStyle="1">
    <w:name w:val="Tabla con cuadrícula1"/>
    <w:basedOn w:val="Tablanormal"/>
    <w:next w:val="Tablaconcuadrcula"/>
    <w:uiPriority w:val="59"/>
    <w:qFormat/>
    <w:rsid w:val="003D47BD"/>
    <w:pPr>
      <w:spacing w:after="0" w:line="24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1" w:customStyle="1">
    <w:name w:val="Hipervínculo1"/>
    <w:basedOn w:val="Fuentedeprrafopredeter"/>
    <w:uiPriority w:val="99"/>
    <w:unhideWhenUsed/>
    <w:rsid w:val="003D47BD"/>
    <w:rPr>
      <w:color w:val="F2F2F2"/>
      <w:u w:val="single"/>
    </w:rPr>
  </w:style>
  <w:style w:type="paragraph" w:styleId="Appelnotedebasde" w:customStyle="1">
    <w:name w:val="Appel note de bas de..."/>
    <w:basedOn w:val="Normal"/>
    <w:link w:val="Refdenotaalpie"/>
    <w:uiPriority w:val="99"/>
    <w:rsid w:val="003D47BD"/>
    <w:pPr>
      <w:spacing w:after="160" w:line="240" w:lineRule="exact"/>
    </w:pPr>
    <w:rPr>
      <w:rFonts w:asciiTheme="minorHAnsi" w:hAnsiTheme="minorHAnsi" w:eastAsiaTheme="minorHAnsi" w:cstheme="minorBidi"/>
      <w:sz w:val="22"/>
      <w:szCs w:val="22"/>
      <w:vertAlign w:val="superscript"/>
      <w:lang w:val="es-CO" w:eastAsia="en-US"/>
    </w:rPr>
  </w:style>
  <w:style w:type="table" w:styleId="Tablaconcuadrcula11" w:customStyle="1">
    <w:name w:val="Tabla con cuadrícula11"/>
    <w:basedOn w:val="Tablanormal"/>
    <w:next w:val="Tablaconcuadrcula"/>
    <w:uiPriority w:val="59"/>
    <w:rsid w:val="003D47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
    <w:name w:val="Hyperlink"/>
    <w:basedOn w:val="Fuentedeprrafopredeter"/>
    <w:uiPriority w:val="99"/>
    <w:unhideWhenUsed/>
    <w:rsid w:val="003D47BD"/>
    <w:rPr>
      <w:color w:val="0563C1" w:themeColor="hyperlink"/>
      <w:u w:val="single"/>
    </w:rPr>
  </w:style>
  <w:style w:type="paragraph" w:styleId="Textoindependiente">
    <w:name w:val="Body Text"/>
    <w:basedOn w:val="Normal"/>
    <w:link w:val="TextoindependienteCar"/>
    <w:uiPriority w:val="99"/>
    <w:semiHidden/>
    <w:unhideWhenUsed/>
    <w:rsid w:val="005875C6"/>
    <w:pPr>
      <w:spacing w:before="100" w:beforeAutospacing="1" w:after="100" w:afterAutospacing="1" w:line="240" w:lineRule="auto"/>
      <w:jc w:val="left"/>
    </w:pPr>
    <w:rPr>
      <w:rFonts w:ascii="Times New Roman" w:hAnsi="Times New Roman" w:eastAsia="Times New Roman" w:cs="Times New Roman"/>
      <w:lang w:val="es-CO" w:eastAsia="es-CO"/>
    </w:rPr>
  </w:style>
  <w:style w:type="character" w:styleId="TextoindependienteCar" w:customStyle="1">
    <w:name w:val="Texto independiente Car"/>
    <w:basedOn w:val="Fuentedeprrafopredeter"/>
    <w:link w:val="Textoindependiente"/>
    <w:uiPriority w:val="99"/>
    <w:semiHidden/>
    <w:rsid w:val="005875C6"/>
    <w:rPr>
      <w:rFonts w:ascii="Times New Roman" w:hAnsi="Times New Roman" w:eastAsia="Times New Roman" w:cs="Times New Roman"/>
      <w:sz w:val="24"/>
      <w:szCs w:val="24"/>
      <w:lang w:eastAsia="es-CO"/>
    </w:rPr>
  </w:style>
  <w:style w:type="paragraph" w:styleId="NormalWeb">
    <w:name w:val="Normal (Web)"/>
    <w:basedOn w:val="Normal"/>
    <w:link w:val="NormalWebCar"/>
    <w:uiPriority w:val="99"/>
    <w:unhideWhenUsed/>
    <w:rsid w:val="005875C6"/>
    <w:pPr>
      <w:spacing w:before="100" w:beforeAutospacing="1" w:after="100" w:afterAutospacing="1" w:line="240" w:lineRule="auto"/>
      <w:jc w:val="left"/>
    </w:pPr>
    <w:rPr>
      <w:rFonts w:ascii="Times New Roman" w:hAnsi="Times New Roman" w:eastAsia="Times New Roman" w:cs="Times New Roman"/>
      <w:lang w:val="es-CO" w:eastAsia="es-CO"/>
    </w:rPr>
  </w:style>
  <w:style w:type="character" w:styleId="NormalWebCar" w:customStyle="1">
    <w:name w:val="Normal (Web) Car"/>
    <w:link w:val="NormalWeb"/>
    <w:uiPriority w:val="99"/>
    <w:rsid w:val="005875C6"/>
    <w:rPr>
      <w:rFonts w:ascii="Times New Roman" w:hAnsi="Times New Roman" w:eastAsia="Times New Roman" w:cs="Times New Roman"/>
      <w:sz w:val="24"/>
      <w:szCs w:val="24"/>
      <w:lang w:eastAsia="es-CO"/>
    </w:rPr>
  </w:style>
  <w:style w:type="paragraph" w:styleId="Car1" w:customStyle="1">
    <w:name w:val="Car1"/>
    <w:basedOn w:val="Normal"/>
    <w:next w:val="Textonotapie"/>
    <w:uiPriority w:val="99"/>
    <w:unhideWhenUsed/>
    <w:qFormat/>
    <w:rsid w:val="005875C6"/>
    <w:pPr>
      <w:spacing w:after="0" w:line="240" w:lineRule="auto"/>
      <w:jc w:val="left"/>
    </w:pPr>
    <w:rPr>
      <w:rFonts w:asciiTheme="minorHAnsi" w:hAnsiTheme="minorHAnsi" w:eastAsiaTheme="minorHAnsi" w:cstheme="minorBidi"/>
      <w:sz w:val="20"/>
      <w:szCs w:val="20"/>
      <w:lang w:eastAsia="en-US"/>
    </w:rPr>
  </w:style>
  <w:style w:type="character" w:styleId="Mencinsinresolver">
    <w:name w:val="Unresolved Mention"/>
    <w:basedOn w:val="Fuentedeprrafopredeter"/>
    <w:uiPriority w:val="99"/>
    <w:semiHidden/>
    <w:unhideWhenUsed/>
    <w:rsid w:val="00F97B56"/>
    <w:rPr>
      <w:color w:val="605E5C"/>
      <w:shd w:val="clear" w:color="auto" w:fill="E1DFDD"/>
    </w:rPr>
  </w:style>
  <w:style w:type="character" w:styleId="Hipervnculovisitado">
    <w:name w:val="FollowedHyperlink"/>
    <w:basedOn w:val="Fuentedeprrafopredeter"/>
    <w:uiPriority w:val="99"/>
    <w:semiHidden/>
    <w:unhideWhenUsed/>
    <w:rsid w:val="00554F8C"/>
    <w:rPr>
      <w:color w:val="954F72" w:themeColor="followedHyperlink"/>
      <w:u w:val="single"/>
    </w:rPr>
  </w:style>
  <w:style w:type="table" w:styleId="2" w:customStyle="1">
    <w:name w:val="2"/>
    <w:basedOn w:val="Tablanormal"/>
    <w:rsid w:val="007004DE"/>
    <w:pPr>
      <w:spacing w:before="120" w:after="0" w:line="240" w:lineRule="auto"/>
    </w:pPr>
    <w:rPr>
      <w:rFonts w:ascii="Calibri" w:hAnsi="Calibri" w:eastAsia="Calibri" w:cs="Calibri"/>
      <w:sz w:val="24"/>
      <w:szCs w:val="24"/>
      <w:lang w:val="es-MX" w:eastAsia="es-ES_tradnl"/>
    </w:rPr>
    <w:tblPr>
      <w:tblStyleRowBandSize w:val="1"/>
      <w:tblStyleColBandSize w:val="1"/>
      <w:tblInd w:w="0" w:type="nil"/>
    </w:tblPr>
  </w:style>
  <w:style w:type="paragraph" w:styleId="Sinespaciado">
    <w:name w:val="No Spacing"/>
    <w:aliases w:val="No Indent"/>
    <w:link w:val="SinespaciadoCar"/>
    <w:uiPriority w:val="3"/>
    <w:qFormat/>
    <w:rsid w:val="004A5028"/>
    <w:pPr>
      <w:spacing w:after="0" w:line="240" w:lineRule="auto"/>
    </w:pPr>
    <w:rPr>
      <w:sz w:val="24"/>
      <w:lang w:val="es-MX"/>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4A5028"/>
    <w:rPr>
      <w:rFonts w:ascii="Geomanist Light" w:hAnsi="Geomanist Light"/>
      <w:lang w:val="es-ES"/>
    </w:rPr>
  </w:style>
  <w:style w:type="character" w:styleId="SinespaciadoCar" w:customStyle="1">
    <w:name w:val="Sin espaciado Car"/>
    <w:aliases w:val="No Indent Car"/>
    <w:link w:val="Sinespaciado"/>
    <w:uiPriority w:val="3"/>
    <w:rsid w:val="004A5028"/>
    <w:rPr>
      <w:sz w:val="24"/>
      <w:lang w:val="es-MX"/>
    </w:rPr>
  </w:style>
  <w:style w:type="paragraph" w:styleId="paragraph" w:customStyle="1">
    <w:name w:val="paragraph"/>
    <w:basedOn w:val="Normal"/>
    <w:rsid w:val="004A5028"/>
    <w:pPr>
      <w:spacing w:before="100" w:beforeAutospacing="1" w:after="100" w:afterAutospacing="1" w:line="240" w:lineRule="auto"/>
      <w:jc w:val="left"/>
    </w:pPr>
    <w:rPr>
      <w:rFonts w:ascii="Times New Roman" w:hAnsi="Times New Roman" w:eastAsia="Times New Roman" w:cs="Times New Roman"/>
      <w:lang w:val="es-CO" w:eastAsia="es-CO"/>
    </w:rPr>
  </w:style>
  <w:style w:type="character" w:styleId="eop" w:customStyle="1">
    <w:name w:val="eop"/>
    <w:basedOn w:val="Fuentedeprrafopredeter"/>
    <w:rsid w:val="004A5028"/>
  </w:style>
  <w:style w:type="character" w:styleId="Ttulo3Car" w:customStyle="1">
    <w:name w:val="Título 3 Car"/>
    <w:basedOn w:val="Fuentedeprrafopredeter"/>
    <w:link w:val="Ttulo3"/>
    <w:uiPriority w:val="9"/>
    <w:semiHidden/>
    <w:rsid w:val="00765DC1"/>
    <w:rPr>
      <w:rFonts w:asciiTheme="majorHAnsi" w:hAnsiTheme="majorHAnsi" w:eastAsiaTheme="majorEastAsia" w:cstheme="majorBidi"/>
      <w:color w:val="1F3763" w:themeColor="accent1" w:themeShade="7F"/>
      <w:sz w:val="24"/>
      <w:szCs w:val="24"/>
      <w:lang w:val="es-MX"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47026">
      <w:bodyDiv w:val="1"/>
      <w:marLeft w:val="0"/>
      <w:marRight w:val="0"/>
      <w:marTop w:val="0"/>
      <w:marBottom w:val="0"/>
      <w:divBdr>
        <w:top w:val="none" w:sz="0" w:space="0" w:color="auto"/>
        <w:left w:val="none" w:sz="0" w:space="0" w:color="auto"/>
        <w:bottom w:val="none" w:sz="0" w:space="0" w:color="auto"/>
        <w:right w:val="none" w:sz="0" w:space="0" w:color="auto"/>
      </w:divBdr>
    </w:div>
    <w:div w:id="273052684">
      <w:bodyDiv w:val="1"/>
      <w:marLeft w:val="0"/>
      <w:marRight w:val="0"/>
      <w:marTop w:val="0"/>
      <w:marBottom w:val="0"/>
      <w:divBdr>
        <w:top w:val="none" w:sz="0" w:space="0" w:color="auto"/>
        <w:left w:val="none" w:sz="0" w:space="0" w:color="auto"/>
        <w:bottom w:val="none" w:sz="0" w:space="0" w:color="auto"/>
        <w:right w:val="none" w:sz="0" w:space="0" w:color="auto"/>
      </w:divBdr>
    </w:div>
    <w:div w:id="502354894">
      <w:bodyDiv w:val="1"/>
      <w:marLeft w:val="0"/>
      <w:marRight w:val="0"/>
      <w:marTop w:val="0"/>
      <w:marBottom w:val="0"/>
      <w:divBdr>
        <w:top w:val="none" w:sz="0" w:space="0" w:color="auto"/>
        <w:left w:val="none" w:sz="0" w:space="0" w:color="auto"/>
        <w:bottom w:val="none" w:sz="0" w:space="0" w:color="auto"/>
        <w:right w:val="none" w:sz="0" w:space="0" w:color="auto"/>
      </w:divBdr>
    </w:div>
    <w:div w:id="1255475428">
      <w:bodyDiv w:val="1"/>
      <w:marLeft w:val="0"/>
      <w:marRight w:val="0"/>
      <w:marTop w:val="0"/>
      <w:marBottom w:val="0"/>
      <w:divBdr>
        <w:top w:val="none" w:sz="0" w:space="0" w:color="auto"/>
        <w:left w:val="none" w:sz="0" w:space="0" w:color="auto"/>
        <w:bottom w:val="none" w:sz="0" w:space="0" w:color="auto"/>
        <w:right w:val="none" w:sz="0" w:space="0" w:color="auto"/>
      </w:divBdr>
    </w:div>
    <w:div w:id="1365596617">
      <w:bodyDiv w:val="1"/>
      <w:marLeft w:val="0"/>
      <w:marRight w:val="0"/>
      <w:marTop w:val="0"/>
      <w:marBottom w:val="0"/>
      <w:divBdr>
        <w:top w:val="none" w:sz="0" w:space="0" w:color="auto"/>
        <w:left w:val="none" w:sz="0" w:space="0" w:color="auto"/>
        <w:bottom w:val="none" w:sz="0" w:space="0" w:color="auto"/>
        <w:right w:val="none" w:sz="0" w:space="0" w:color="auto"/>
      </w:divBdr>
    </w:div>
    <w:div w:id="1571116444">
      <w:bodyDiv w:val="1"/>
      <w:marLeft w:val="0"/>
      <w:marRight w:val="0"/>
      <w:marTop w:val="0"/>
      <w:marBottom w:val="0"/>
      <w:divBdr>
        <w:top w:val="none" w:sz="0" w:space="0" w:color="auto"/>
        <w:left w:val="none" w:sz="0" w:space="0" w:color="auto"/>
        <w:bottom w:val="none" w:sz="0" w:space="0" w:color="auto"/>
        <w:right w:val="none" w:sz="0" w:space="0" w:color="auto"/>
      </w:divBdr>
    </w:div>
    <w:div w:id="197185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VERTICEGROUP8@GMAIL.COM"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563816eff7b27c518f4452e301140c9d">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eb2d2e0593e1272b3512cc9bb12824ba"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SharedWithUsers xmlns="a6cb9e4b-f1d1-4245-83ec-6cad768d538a">
      <UserInfo>
        <DisplayName>Ana Maria Velez Arteaga</DisplayName>
        <AccountId>1851</AccountId>
        <AccountType/>
      </UserInfo>
    </SharedWithUsers>
    <_Flow_SignoffStatus xmlns="9d85dbaf-23eb-4e57-a637-93dcacc8b1a1" xsi:nil="true"/>
  </documentManagement>
</p:properties>
</file>

<file path=customXml/itemProps1.xml><?xml version="1.0" encoding="utf-8"?>
<ds:datastoreItem xmlns:ds="http://schemas.openxmlformats.org/officeDocument/2006/customXml" ds:itemID="{B5E10408-6D00-45E5-BB1C-D6466F72693E}">
  <ds:schemaRefs>
    <ds:schemaRef ds:uri="http://schemas.openxmlformats.org/officeDocument/2006/bibliography"/>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640D390B-F3F6-4B9E-86A6-1782923B0127}"/>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Carlos Mario Castrillón Endo</cp:lastModifiedBy>
  <cp:revision>13</cp:revision>
  <cp:lastPrinted>2023-03-01T15:25:00Z</cp:lastPrinted>
  <dcterms:created xsi:type="dcterms:W3CDTF">2022-12-09T12:51:00Z</dcterms:created>
  <dcterms:modified xsi:type="dcterms:W3CDTF">2025-11-20T09:57:20Z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