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4D902" w14:textId="77777777" w:rsidR="000E143A" w:rsidRPr="001F430E" w:rsidRDefault="000E143A" w:rsidP="000E143A">
      <w:pPr>
        <w:jc w:val="both"/>
        <w:rPr>
          <w:rFonts w:ascii="Arial" w:hAnsi="Arial" w:cs="Arial"/>
          <w:b/>
          <w:bCs/>
          <w:color w:val="000000" w:themeColor="text1"/>
          <w:lang w:val="es-ES" w:eastAsia="es-ES"/>
        </w:rPr>
      </w:pPr>
      <w:r w:rsidRPr="001F430E">
        <w:rPr>
          <w:rFonts w:ascii="Arial" w:hAnsi="Arial" w:cs="Arial"/>
          <w:b/>
          <w:bCs/>
          <w:color w:val="000000" w:themeColor="text1"/>
          <w:lang w:val="es-ES_tradnl"/>
        </w:rPr>
        <w:t>CONTRATACIÓN DIRECTA – Ejecución de trabajos artísticos</w:t>
      </w:r>
    </w:p>
    <w:p w14:paraId="4F15E3F6" w14:textId="77777777" w:rsidR="000E143A" w:rsidRPr="001F430E" w:rsidRDefault="000E143A" w:rsidP="000E143A">
      <w:pPr>
        <w:jc w:val="both"/>
        <w:rPr>
          <w:rFonts w:ascii="Arial" w:hAnsi="Arial" w:cs="Arial"/>
          <w:b/>
          <w:bCs/>
          <w:color w:val="000000" w:themeColor="text1"/>
          <w:lang w:val="es-ES_tradnl"/>
        </w:rPr>
      </w:pPr>
    </w:p>
    <w:p w14:paraId="15D74417" w14:textId="77777777" w:rsidR="000E143A" w:rsidRPr="001F430E" w:rsidRDefault="000E143A" w:rsidP="000E143A">
      <w:pPr>
        <w:jc w:val="both"/>
        <w:rPr>
          <w:rFonts w:ascii="Arial" w:hAnsi="Arial" w:cs="Arial"/>
          <w:color w:val="000000" w:themeColor="text1"/>
          <w:lang w:val="es-ES_tradnl"/>
        </w:rPr>
      </w:pPr>
      <w:r w:rsidRPr="001F430E">
        <w:rPr>
          <w:rFonts w:ascii="Arial" w:hAnsi="Arial" w:cs="Arial"/>
          <w:color w:val="000000" w:themeColor="text1"/>
          <w:lang w:val="es-ES_tradnl"/>
        </w:rPr>
        <w:t>En consecuencia, el contrato, para que sea objeto del trámite de la contratación directa, debe estar determinado por las siguientes variables (i) que tengan por objeto la ejecución de trabajos artísticos, (</w:t>
      </w:r>
      <w:proofErr w:type="spellStart"/>
      <w:r w:rsidRPr="001F430E">
        <w:rPr>
          <w:rFonts w:ascii="Arial" w:hAnsi="Arial" w:cs="Arial"/>
          <w:color w:val="000000" w:themeColor="text1"/>
          <w:lang w:val="es-ES_tradnl"/>
        </w:rPr>
        <w:t>ii</w:t>
      </w:r>
      <w:proofErr w:type="spellEnd"/>
      <w:r w:rsidRPr="001F430E">
        <w:rPr>
          <w:rFonts w:ascii="Arial" w:hAnsi="Arial" w:cs="Arial"/>
          <w:color w:val="000000" w:themeColor="text1"/>
          <w:lang w:val="es-ES_tradnl"/>
        </w:rPr>
        <w:t xml:space="preserve">) que el mismo o los mismos sólo puedan encomendarse a determinadas personas naturales. </w:t>
      </w:r>
    </w:p>
    <w:p w14:paraId="7E5BD329" w14:textId="77777777" w:rsidR="000E143A" w:rsidRPr="001F430E" w:rsidRDefault="000E143A" w:rsidP="000E143A">
      <w:pPr>
        <w:jc w:val="both"/>
        <w:rPr>
          <w:rFonts w:ascii="Arial" w:hAnsi="Arial" w:cs="Arial"/>
          <w:color w:val="000000" w:themeColor="text1"/>
          <w:lang w:val="es-ES_tradnl"/>
        </w:rPr>
      </w:pPr>
    </w:p>
    <w:p w14:paraId="23C0BD90" w14:textId="77777777" w:rsidR="000E143A" w:rsidRPr="001F430E" w:rsidRDefault="000E143A" w:rsidP="000E143A">
      <w:pPr>
        <w:jc w:val="both"/>
        <w:rPr>
          <w:rFonts w:ascii="Arial" w:hAnsi="Arial" w:cs="Arial"/>
          <w:color w:val="000000" w:themeColor="text1"/>
          <w:lang w:val="es-ES_tradnl"/>
        </w:rPr>
      </w:pPr>
      <w:r w:rsidRPr="001F430E">
        <w:rPr>
          <w:rFonts w:ascii="Arial" w:hAnsi="Arial" w:cs="Arial"/>
          <w:color w:val="000000" w:themeColor="text1"/>
          <w:lang w:val="es-ES_tradnl"/>
        </w:rPr>
        <w:t xml:space="preserve">[…] </w:t>
      </w:r>
    </w:p>
    <w:p w14:paraId="343505EB" w14:textId="77777777" w:rsidR="000E143A" w:rsidRPr="001F430E" w:rsidRDefault="000E143A" w:rsidP="000E143A">
      <w:pPr>
        <w:jc w:val="both"/>
        <w:rPr>
          <w:rFonts w:ascii="Arial" w:hAnsi="Arial" w:cs="Arial"/>
          <w:color w:val="000000" w:themeColor="text1"/>
          <w:lang w:val="es-ES_tradnl"/>
        </w:rPr>
      </w:pPr>
    </w:p>
    <w:p w14:paraId="7130E295" w14:textId="77777777" w:rsidR="000E143A" w:rsidRPr="001F430E" w:rsidRDefault="000E143A" w:rsidP="000E143A">
      <w:pPr>
        <w:jc w:val="both"/>
        <w:rPr>
          <w:rFonts w:ascii="Arial" w:hAnsi="Arial" w:cs="Arial"/>
          <w:color w:val="000000" w:themeColor="text1"/>
          <w:lang w:val="es-ES_tradnl"/>
        </w:rPr>
      </w:pPr>
      <w:r w:rsidRPr="001F430E">
        <w:rPr>
          <w:rFonts w:ascii="Arial" w:hAnsi="Arial" w:cs="Arial"/>
          <w:color w:val="000000" w:themeColor="text1"/>
          <w:lang w:val="es-ES_tradnl"/>
        </w:rPr>
        <w:t>[…] para acudir a la contratación directa, tiene lugar cuando se va a encomendar la ejecución de un trabajo artístico a una persona natural y no cuando el objeto convencional perseguido, lejos de ser la prestación de un servicio para la elaboración de una obra artística, es la adquisición o compra de un bien calificado como obra de arte.</w:t>
      </w:r>
    </w:p>
    <w:p w14:paraId="7B7162A4" w14:textId="77777777" w:rsidR="000E143A" w:rsidRPr="001F430E" w:rsidRDefault="000E143A" w:rsidP="000E143A">
      <w:pPr>
        <w:jc w:val="both"/>
        <w:rPr>
          <w:rFonts w:ascii="Arial" w:hAnsi="Arial" w:cs="Arial"/>
          <w:color w:val="000000" w:themeColor="text1"/>
          <w:lang w:val="es-ES_tradnl"/>
        </w:rPr>
      </w:pPr>
    </w:p>
    <w:p w14:paraId="47E218CD" w14:textId="77777777" w:rsidR="000E143A" w:rsidRPr="001F430E" w:rsidRDefault="000E143A" w:rsidP="000E143A">
      <w:pPr>
        <w:jc w:val="both"/>
        <w:rPr>
          <w:rFonts w:ascii="Arial" w:hAnsi="Arial" w:cs="Arial"/>
          <w:b/>
          <w:bCs/>
          <w:color w:val="000000" w:themeColor="text1"/>
          <w:lang w:val="es-ES_tradnl"/>
        </w:rPr>
      </w:pPr>
      <w:r w:rsidRPr="001F430E">
        <w:rPr>
          <w:rFonts w:ascii="Arial" w:hAnsi="Arial" w:cs="Arial"/>
          <w:b/>
          <w:bCs/>
          <w:color w:val="000000" w:themeColor="text1"/>
          <w:lang w:val="es-ES_tradnl"/>
        </w:rPr>
        <w:t xml:space="preserve">TRABAJOS ARTÍSTICOS – Definición – Ejecución de trabajos artísticos </w:t>
      </w:r>
    </w:p>
    <w:p w14:paraId="47DE479D" w14:textId="77777777" w:rsidR="000E143A" w:rsidRPr="001F430E" w:rsidRDefault="000E143A" w:rsidP="000E143A">
      <w:pPr>
        <w:jc w:val="both"/>
        <w:rPr>
          <w:rFonts w:ascii="Arial" w:hAnsi="Arial" w:cs="Arial"/>
          <w:b/>
          <w:bCs/>
          <w:color w:val="000000" w:themeColor="text1"/>
          <w:lang w:val="es-ES_tradnl"/>
        </w:rPr>
      </w:pPr>
    </w:p>
    <w:p w14:paraId="356E3564" w14:textId="77777777" w:rsidR="000E143A" w:rsidRDefault="000E143A" w:rsidP="000E143A">
      <w:pPr>
        <w:jc w:val="both"/>
        <w:rPr>
          <w:rFonts w:ascii="Arial" w:hAnsi="Arial" w:cs="Arial"/>
          <w:color w:val="000000" w:themeColor="text1"/>
          <w:lang w:val="es-ES_tradnl"/>
        </w:rPr>
      </w:pPr>
      <w:r w:rsidRPr="001F430E">
        <w:rPr>
          <w:rFonts w:ascii="Arial" w:hAnsi="Arial" w:cs="Arial"/>
          <w:color w:val="000000" w:themeColor="text1"/>
          <w:lang w:val="es-ES_tradnl"/>
        </w:rPr>
        <w:t>[…] en el contrato de prestación de servicios artísticos lo prevalente es que la persona que lo ejecute se trate de un artista, es decir, «una persona reconocida como realizador o productor de arte, de obras de arte, ejecutor de trabajos artísticos», en donde es indiferente el carácter de profesional.</w:t>
      </w:r>
    </w:p>
    <w:p w14:paraId="6003119F" w14:textId="77777777" w:rsidR="000E143A" w:rsidRDefault="000E143A" w:rsidP="000E143A">
      <w:pPr>
        <w:jc w:val="both"/>
        <w:rPr>
          <w:rFonts w:ascii="Arial" w:hAnsi="Arial" w:cs="Arial"/>
          <w:color w:val="000000" w:themeColor="text1"/>
          <w:lang w:val="es-ES_tradnl"/>
        </w:rPr>
      </w:pPr>
    </w:p>
    <w:p w14:paraId="70C7E7DC" w14:textId="77777777" w:rsidR="000E143A" w:rsidRDefault="000E143A" w:rsidP="000E143A">
      <w:pPr>
        <w:jc w:val="both"/>
        <w:rPr>
          <w:rFonts w:ascii="Arial" w:hAnsi="Arial" w:cs="Arial"/>
          <w:color w:val="000000" w:themeColor="text1"/>
          <w:lang w:val="es-ES_tradnl"/>
        </w:rPr>
      </w:pPr>
    </w:p>
    <w:p w14:paraId="4016E0BA" w14:textId="77777777" w:rsidR="000E143A" w:rsidRDefault="000E143A" w:rsidP="000E143A">
      <w:pPr>
        <w:widowControl w:val="0"/>
        <w:autoSpaceDE w:val="0"/>
        <w:autoSpaceDN w:val="0"/>
        <w:jc w:val="both"/>
        <w:rPr>
          <w:rFonts w:ascii="Arial" w:hAnsi="Arial" w:cs="Arial"/>
          <w:b/>
          <w:bCs/>
          <w:lang w:val="es-ES"/>
        </w:rPr>
      </w:pPr>
      <w:r>
        <w:rPr>
          <w:rFonts w:ascii="Arial" w:hAnsi="Arial" w:cs="Arial"/>
          <w:b/>
          <w:bCs/>
          <w:lang w:val="es-ES"/>
        </w:rPr>
        <w:t xml:space="preserve">CONTRATO DE MANDATO- Representación </w:t>
      </w:r>
    </w:p>
    <w:p w14:paraId="48B81883" w14:textId="77777777" w:rsidR="000E143A" w:rsidRDefault="000E143A" w:rsidP="000E143A">
      <w:pPr>
        <w:jc w:val="both"/>
        <w:rPr>
          <w:rFonts w:ascii="Arial" w:hAnsi="Arial" w:cs="Arial"/>
          <w:color w:val="000000" w:themeColor="text1"/>
          <w:lang w:val="es-ES_tradnl"/>
        </w:rPr>
      </w:pPr>
    </w:p>
    <w:p w14:paraId="5991245E" w14:textId="77777777" w:rsidR="000E143A" w:rsidRPr="00F430D8" w:rsidRDefault="000E143A" w:rsidP="000E143A">
      <w:pPr>
        <w:tabs>
          <w:tab w:val="left" w:pos="426"/>
        </w:tabs>
        <w:spacing w:after="120"/>
        <w:jc w:val="both"/>
        <w:rPr>
          <w:rFonts w:ascii="Arial" w:hAnsi="Arial" w:cs="Arial"/>
          <w:lang w:val="es-ES"/>
        </w:rPr>
      </w:pPr>
      <w:r w:rsidRPr="00F430D8">
        <w:rPr>
          <w:rFonts w:ascii="Arial" w:hAnsi="Arial" w:cs="Arial"/>
          <w:lang w:val="es-ES"/>
        </w:rPr>
        <w:t>De acuerdo con el artículo 2142 del Código Civil, el mandato es «un contrato en que una persona confía la gestión de uno o más negocios a otra, que se hace cargo de ellos por cuenta y riesgo de la primera»</w:t>
      </w:r>
      <w:r w:rsidRPr="00F430D8">
        <w:rPr>
          <w:rFonts w:ascii="Arial" w:hAnsi="Arial" w:cs="Arial"/>
          <w:vertAlign w:val="superscript"/>
          <w:lang w:val="es-ES"/>
        </w:rPr>
        <w:footnoteReference w:id="1"/>
      </w:r>
      <w:r w:rsidRPr="00F430D8">
        <w:rPr>
          <w:rFonts w:ascii="Arial" w:hAnsi="Arial" w:cs="Arial"/>
          <w:lang w:val="es-ES"/>
        </w:rPr>
        <w:t xml:space="preserve">. Por su parte, el Código de Comercio también establece su propia regulación del contrato de mandato cuando este tiene una naturaleza comercial. El artículo 1262 de este cuerpo </w:t>
      </w:r>
      <w:r w:rsidRPr="00F430D8">
        <w:rPr>
          <w:rFonts w:ascii="Arial" w:hAnsi="Arial" w:cs="Arial"/>
          <w:lang w:val="es-ES"/>
        </w:rPr>
        <w:lastRenderedPageBreak/>
        <w:t>normativo define al mandato como el «[…] contrato por el cual una parte se obliga a celebrar o ejecutar uno o más actos de comercio por cuenta de otra».</w:t>
      </w:r>
    </w:p>
    <w:p w14:paraId="302D0EA1" w14:textId="77777777" w:rsidR="000E143A" w:rsidRPr="001F430E" w:rsidRDefault="000E143A" w:rsidP="000E143A">
      <w:pPr>
        <w:jc w:val="both"/>
        <w:rPr>
          <w:rFonts w:ascii="Arial" w:hAnsi="Arial" w:cs="Arial"/>
          <w:color w:val="000000" w:themeColor="text1"/>
          <w:lang w:val="es-ES_tradnl"/>
        </w:rPr>
      </w:pPr>
    </w:p>
    <w:p w14:paraId="4B970038" w14:textId="77777777" w:rsidR="000E143A" w:rsidRPr="001F430E" w:rsidRDefault="000E143A" w:rsidP="000E143A">
      <w:pPr>
        <w:jc w:val="both"/>
        <w:rPr>
          <w:rFonts w:ascii="Arial" w:hAnsi="Arial" w:cs="Arial"/>
          <w:color w:val="000000" w:themeColor="text1"/>
          <w:lang w:val="es-ES_tradnl"/>
        </w:rPr>
      </w:pPr>
    </w:p>
    <w:p w14:paraId="7AF033FD" w14:textId="77777777" w:rsidR="000E143A" w:rsidRDefault="000E143A" w:rsidP="000E143A">
      <w:pPr>
        <w:widowControl w:val="0"/>
        <w:spacing w:after="120"/>
        <w:jc w:val="both"/>
        <w:rPr>
          <w:rFonts w:ascii="Arial" w:hAnsi="Arial" w:cs="Arial"/>
          <w:color w:val="000000" w:themeColor="text1"/>
          <w:lang w:val="es-ES_tradnl"/>
        </w:rPr>
      </w:pPr>
    </w:p>
    <w:p w14:paraId="6C077455" w14:textId="77777777" w:rsidR="000E143A" w:rsidRDefault="000E143A" w:rsidP="000E143A">
      <w:pPr>
        <w:widowControl w:val="0"/>
        <w:spacing w:after="120"/>
        <w:jc w:val="both"/>
        <w:rPr>
          <w:rFonts w:ascii="Arial" w:hAnsi="Arial" w:cs="Arial"/>
        </w:rPr>
      </w:pPr>
    </w:p>
    <w:p w14:paraId="7506D1CB" w14:textId="77777777" w:rsidR="000E143A" w:rsidRDefault="000E143A" w:rsidP="000E143A">
      <w:pPr>
        <w:widowControl w:val="0"/>
        <w:spacing w:after="120"/>
        <w:jc w:val="both"/>
        <w:rPr>
          <w:rFonts w:ascii="Arial" w:hAnsi="Arial" w:cs="Arial"/>
        </w:rPr>
      </w:pPr>
    </w:p>
    <w:p w14:paraId="21AB4EC3" w14:textId="77777777" w:rsidR="000E143A" w:rsidRDefault="000E143A" w:rsidP="000E143A">
      <w:pPr>
        <w:jc w:val="both"/>
        <w:rPr>
          <w:rFonts w:ascii="Arial" w:eastAsia="ArialMT" w:hAnsi="Arial" w:cs="Arial"/>
          <w:color w:val="4E4D4D"/>
        </w:rPr>
      </w:pPr>
    </w:p>
    <w:p w14:paraId="298DE016" w14:textId="2C114049" w:rsidR="00845B19" w:rsidRDefault="00845B19" w:rsidP="00845B19">
      <w:pPr>
        <w:rPr>
          <w:rFonts w:ascii="Arial" w:eastAsia="Times New Roman" w:hAnsi="Arial" w:cs="Arial"/>
          <w:b/>
          <w:lang w:eastAsia="es-CO"/>
        </w:rPr>
      </w:pPr>
    </w:p>
    <w:p w14:paraId="2CDC0245" w14:textId="0F4FCB10" w:rsidR="00063901" w:rsidRDefault="00063901" w:rsidP="00845B19">
      <w:pPr>
        <w:rPr>
          <w:rFonts w:ascii="Arial" w:eastAsia="Times New Roman" w:hAnsi="Arial" w:cs="Arial"/>
          <w:b/>
          <w:lang w:eastAsia="es-CO"/>
        </w:rPr>
      </w:pPr>
    </w:p>
    <w:p w14:paraId="032DEEEC" w14:textId="14337980" w:rsidR="00063901" w:rsidRDefault="00063901" w:rsidP="00845B19">
      <w:pPr>
        <w:rPr>
          <w:rFonts w:ascii="Arial" w:eastAsia="Times New Roman" w:hAnsi="Arial" w:cs="Arial"/>
          <w:b/>
          <w:lang w:eastAsia="es-CO"/>
        </w:rPr>
      </w:pPr>
    </w:p>
    <w:p w14:paraId="15C8EBF6" w14:textId="5810F948" w:rsidR="00063901" w:rsidRDefault="00063901" w:rsidP="00845B19">
      <w:pPr>
        <w:rPr>
          <w:rFonts w:ascii="Arial" w:eastAsia="Times New Roman" w:hAnsi="Arial" w:cs="Arial"/>
          <w:b/>
          <w:lang w:eastAsia="es-CO"/>
        </w:rPr>
      </w:pPr>
    </w:p>
    <w:p w14:paraId="1E3832D9" w14:textId="6D0373B0" w:rsidR="00063901" w:rsidRDefault="00063901" w:rsidP="00845B19">
      <w:pPr>
        <w:rPr>
          <w:rFonts w:ascii="Arial" w:eastAsia="Times New Roman" w:hAnsi="Arial" w:cs="Arial"/>
          <w:b/>
          <w:lang w:eastAsia="es-CO"/>
        </w:rPr>
      </w:pPr>
    </w:p>
    <w:p w14:paraId="387A245E" w14:textId="40D206AF" w:rsidR="00063901" w:rsidRDefault="00063901" w:rsidP="00845B19">
      <w:pPr>
        <w:rPr>
          <w:rFonts w:ascii="Arial" w:eastAsia="Times New Roman" w:hAnsi="Arial" w:cs="Arial"/>
          <w:b/>
          <w:lang w:eastAsia="es-CO"/>
        </w:rPr>
      </w:pPr>
    </w:p>
    <w:p w14:paraId="54574DED" w14:textId="34555B95" w:rsidR="00063901" w:rsidRDefault="00063901" w:rsidP="00845B19">
      <w:pPr>
        <w:rPr>
          <w:rFonts w:ascii="Arial" w:eastAsia="Times New Roman" w:hAnsi="Arial" w:cs="Arial"/>
          <w:b/>
          <w:lang w:eastAsia="es-CO"/>
        </w:rPr>
      </w:pPr>
    </w:p>
    <w:p w14:paraId="49A73ED7" w14:textId="3022A489" w:rsidR="00063901" w:rsidRDefault="00063901" w:rsidP="00845B19">
      <w:pPr>
        <w:rPr>
          <w:rFonts w:ascii="Arial" w:eastAsia="Times New Roman" w:hAnsi="Arial" w:cs="Arial"/>
          <w:b/>
          <w:lang w:eastAsia="es-CO"/>
        </w:rPr>
      </w:pPr>
    </w:p>
    <w:p w14:paraId="3C0EDADC" w14:textId="20EF0184" w:rsidR="00063901" w:rsidRDefault="00063901" w:rsidP="00845B19">
      <w:pPr>
        <w:rPr>
          <w:rFonts w:ascii="Arial" w:eastAsia="Times New Roman" w:hAnsi="Arial" w:cs="Arial"/>
          <w:b/>
          <w:lang w:eastAsia="es-CO"/>
        </w:rPr>
      </w:pPr>
    </w:p>
    <w:p w14:paraId="0C19E565" w14:textId="58820F42" w:rsidR="00063901" w:rsidRDefault="00063901" w:rsidP="00845B19">
      <w:pPr>
        <w:rPr>
          <w:rFonts w:ascii="Arial" w:eastAsia="Times New Roman" w:hAnsi="Arial" w:cs="Arial"/>
          <w:b/>
          <w:lang w:eastAsia="es-CO"/>
        </w:rPr>
      </w:pPr>
    </w:p>
    <w:p w14:paraId="10904054" w14:textId="090098D5" w:rsidR="00063901" w:rsidRDefault="00063901" w:rsidP="00845B19">
      <w:pPr>
        <w:rPr>
          <w:rFonts w:ascii="Arial" w:eastAsia="Times New Roman" w:hAnsi="Arial" w:cs="Arial"/>
          <w:b/>
          <w:lang w:eastAsia="es-CO"/>
        </w:rPr>
      </w:pPr>
    </w:p>
    <w:p w14:paraId="76F3CD56" w14:textId="021951A9" w:rsidR="00063901" w:rsidRDefault="00063901" w:rsidP="00845B19">
      <w:pPr>
        <w:rPr>
          <w:rFonts w:ascii="Arial" w:eastAsia="Times New Roman" w:hAnsi="Arial" w:cs="Arial"/>
          <w:b/>
          <w:lang w:eastAsia="es-CO"/>
        </w:rPr>
      </w:pPr>
    </w:p>
    <w:p w14:paraId="205E65C9" w14:textId="60739BFF" w:rsidR="00063901" w:rsidRDefault="00063901" w:rsidP="00845B19">
      <w:pPr>
        <w:rPr>
          <w:rFonts w:ascii="Arial" w:eastAsia="Times New Roman" w:hAnsi="Arial" w:cs="Arial"/>
          <w:b/>
          <w:lang w:eastAsia="es-CO"/>
        </w:rPr>
      </w:pPr>
    </w:p>
    <w:p w14:paraId="4E347D85" w14:textId="4EC04922" w:rsidR="00063901" w:rsidRDefault="00063901" w:rsidP="00845B19">
      <w:pPr>
        <w:rPr>
          <w:rFonts w:ascii="Arial" w:eastAsia="Times New Roman" w:hAnsi="Arial" w:cs="Arial"/>
          <w:b/>
          <w:lang w:eastAsia="es-CO"/>
        </w:rPr>
      </w:pPr>
    </w:p>
    <w:p w14:paraId="41C273D2" w14:textId="5BE20A4A" w:rsidR="00063901" w:rsidRDefault="00063901" w:rsidP="00845B19">
      <w:pPr>
        <w:rPr>
          <w:rFonts w:ascii="Arial" w:eastAsia="Times New Roman" w:hAnsi="Arial" w:cs="Arial"/>
          <w:b/>
          <w:lang w:eastAsia="es-CO"/>
        </w:rPr>
      </w:pPr>
    </w:p>
    <w:p w14:paraId="09B1B245" w14:textId="0110BE70" w:rsidR="00063901" w:rsidRDefault="00063901" w:rsidP="00845B19">
      <w:pPr>
        <w:rPr>
          <w:rFonts w:ascii="Arial" w:eastAsia="Times New Roman" w:hAnsi="Arial" w:cs="Arial"/>
          <w:b/>
          <w:lang w:eastAsia="es-CO"/>
        </w:rPr>
      </w:pPr>
    </w:p>
    <w:p w14:paraId="7A667918" w14:textId="48408694" w:rsidR="00063901" w:rsidRDefault="00063901" w:rsidP="00845B19">
      <w:pPr>
        <w:rPr>
          <w:rFonts w:ascii="Arial" w:eastAsia="Times New Roman" w:hAnsi="Arial" w:cs="Arial"/>
          <w:b/>
          <w:lang w:eastAsia="es-CO"/>
        </w:rPr>
      </w:pPr>
    </w:p>
    <w:p w14:paraId="6E77C0B1" w14:textId="032839D8" w:rsidR="00063901" w:rsidRDefault="00063901" w:rsidP="00845B19">
      <w:pPr>
        <w:rPr>
          <w:rFonts w:ascii="Arial" w:eastAsia="Times New Roman" w:hAnsi="Arial" w:cs="Arial"/>
          <w:b/>
          <w:lang w:eastAsia="es-CO"/>
        </w:rPr>
      </w:pPr>
    </w:p>
    <w:p w14:paraId="393FCA8B" w14:textId="77777777" w:rsidR="00063901" w:rsidRPr="000E143A" w:rsidRDefault="00063901" w:rsidP="00845B19">
      <w:pPr>
        <w:rPr>
          <w:rFonts w:ascii="Arial" w:eastAsia="Times New Roman" w:hAnsi="Arial" w:cs="Arial"/>
          <w:b/>
          <w:lang w:eastAsia="es-CO"/>
        </w:rPr>
      </w:pPr>
    </w:p>
    <w:p w14:paraId="42DA7AE4" w14:textId="0E3BB05A" w:rsidR="00845B19" w:rsidRDefault="00845B19" w:rsidP="00845B19">
      <w:pPr>
        <w:rPr>
          <w:rFonts w:ascii="Arial" w:eastAsia="Geomanist Light" w:hAnsi="Arial" w:cs="Arial"/>
          <w:color w:val="000000" w:themeColor="text1"/>
          <w:lang w:val="es-MX"/>
        </w:rPr>
      </w:pPr>
      <w:r w:rsidRPr="00773D00">
        <w:rPr>
          <w:rFonts w:ascii="Arial" w:eastAsia="Geomanist Light" w:hAnsi="Arial" w:cs="Arial"/>
          <w:color w:val="000000" w:themeColor="text1"/>
          <w:lang w:val="es-MX"/>
        </w:rPr>
        <w:lastRenderedPageBreak/>
        <w:t>Bogotá D.C.,</w:t>
      </w:r>
      <w:r w:rsidR="005243A8">
        <w:rPr>
          <w:rFonts w:ascii="Arial" w:eastAsia="Geomanist Light" w:hAnsi="Arial" w:cs="Arial"/>
          <w:color w:val="000000" w:themeColor="text1"/>
          <w:lang w:val="es-MX"/>
        </w:rPr>
        <w:t xml:space="preserve"> 25 de enero de 2023 </w:t>
      </w:r>
    </w:p>
    <w:p w14:paraId="22E923FF" w14:textId="6516A30F" w:rsidR="0090495C" w:rsidRDefault="0090495C" w:rsidP="00845B19">
      <w:pPr>
        <w:rPr>
          <w:rFonts w:ascii="Arial" w:eastAsia="Geomanist Light" w:hAnsi="Arial" w:cs="Arial"/>
          <w:color w:val="000000" w:themeColor="text1"/>
          <w:lang w:val="es-MX"/>
        </w:rPr>
      </w:pPr>
    </w:p>
    <w:p w14:paraId="307A63D9" w14:textId="1C07369D" w:rsidR="0090495C" w:rsidRPr="00773D00" w:rsidRDefault="0090495C" w:rsidP="0090495C">
      <w:pPr>
        <w:jc w:val="right"/>
        <w:rPr>
          <w:rFonts w:ascii="Arial" w:eastAsia="Geomanist Light" w:hAnsi="Arial" w:cs="Arial"/>
          <w:color w:val="201F1E"/>
          <w:lang w:val="es-MX"/>
        </w:rPr>
      </w:pPr>
      <w:r w:rsidRPr="0090495C">
        <w:rPr>
          <w:rFonts w:ascii="Arial" w:eastAsia="Geomanist Light" w:hAnsi="Arial" w:cs="Arial"/>
          <w:noProof/>
          <w:color w:val="201F1E"/>
          <w:lang w:val="es-MX"/>
        </w:rPr>
        <w:drawing>
          <wp:inline distT="0" distB="0" distL="0" distR="0" wp14:anchorId="5BC6D390" wp14:editId="75AF33CB">
            <wp:extent cx="2896004" cy="79068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6004" cy="790685"/>
                    </a:xfrm>
                    <a:prstGeom prst="rect">
                      <a:avLst/>
                    </a:prstGeom>
                  </pic:spPr>
                </pic:pic>
              </a:graphicData>
            </a:graphic>
          </wp:inline>
        </w:drawing>
      </w:r>
    </w:p>
    <w:p w14:paraId="52A960EE" w14:textId="77777777" w:rsidR="00845B19" w:rsidRPr="001F430E" w:rsidRDefault="00845B19" w:rsidP="00845B19">
      <w:pPr>
        <w:tabs>
          <w:tab w:val="left" w:pos="3374"/>
        </w:tabs>
        <w:spacing w:after="0" w:line="240" w:lineRule="auto"/>
        <w:jc w:val="both"/>
        <w:rPr>
          <w:rFonts w:ascii="Arial" w:eastAsia="Calibri" w:hAnsi="Arial" w:cs="Arial"/>
          <w:color w:val="000000" w:themeColor="text1"/>
          <w:lang w:val="es-ES_tradnl"/>
        </w:rPr>
      </w:pPr>
      <w:r w:rsidRPr="001F430E">
        <w:rPr>
          <w:rFonts w:ascii="Arial" w:eastAsia="Calibri" w:hAnsi="Arial" w:cs="Arial"/>
          <w:color w:val="000000" w:themeColor="text1"/>
          <w:lang w:val="es-ES_tradnl"/>
        </w:rPr>
        <w:t>Señor</w:t>
      </w:r>
    </w:p>
    <w:p w14:paraId="46F87E13" w14:textId="77777777" w:rsidR="00845B19" w:rsidRPr="001F430E" w:rsidRDefault="00845B19" w:rsidP="00845B19">
      <w:pPr>
        <w:autoSpaceDE w:val="0"/>
        <w:autoSpaceDN w:val="0"/>
        <w:adjustRightInd w:val="0"/>
        <w:spacing w:after="0" w:line="240" w:lineRule="auto"/>
        <w:jc w:val="both"/>
        <w:rPr>
          <w:rFonts w:ascii="Arial" w:hAnsi="Arial" w:cs="Arial"/>
          <w:b/>
          <w:bCs/>
        </w:rPr>
      </w:pPr>
      <w:r w:rsidRPr="001F430E">
        <w:rPr>
          <w:rFonts w:ascii="Arial" w:hAnsi="Arial" w:cs="Arial"/>
          <w:b/>
          <w:bCs/>
        </w:rPr>
        <w:t>Pedro Alejandro Ariza Rubiano</w:t>
      </w:r>
    </w:p>
    <w:p w14:paraId="46098328" w14:textId="77777777" w:rsidR="00845B19" w:rsidRDefault="00000000" w:rsidP="00845B19">
      <w:pPr>
        <w:spacing w:after="0" w:line="240" w:lineRule="auto"/>
        <w:jc w:val="both"/>
        <w:rPr>
          <w:rFonts w:ascii="Arial" w:eastAsia="ArialMT" w:hAnsi="Arial" w:cs="Arial"/>
        </w:rPr>
      </w:pPr>
      <w:hyperlink r:id="rId11" w:history="1">
        <w:r w:rsidR="00845B19" w:rsidRPr="006E78AC">
          <w:rPr>
            <w:rStyle w:val="Hipervnculo"/>
            <w:rFonts w:ascii="Arial" w:eastAsia="ArialMT" w:hAnsi="Arial" w:cs="Arial"/>
          </w:rPr>
          <w:t>pedaleja@hotmail.com</w:t>
        </w:r>
      </w:hyperlink>
    </w:p>
    <w:p w14:paraId="75F970B7" w14:textId="77777777" w:rsidR="00845B19" w:rsidRPr="001F430E" w:rsidRDefault="00845B19" w:rsidP="00845B19">
      <w:pPr>
        <w:spacing w:line="240" w:lineRule="auto"/>
        <w:jc w:val="both"/>
        <w:rPr>
          <w:rFonts w:ascii="Arial" w:eastAsia="Calibri" w:hAnsi="Arial" w:cs="Arial"/>
          <w:b/>
          <w:color w:val="000000" w:themeColor="text1"/>
          <w:lang w:val="es-ES_tradnl"/>
        </w:rPr>
      </w:pPr>
    </w:p>
    <w:p w14:paraId="7D661EDA" w14:textId="77777777" w:rsidR="00845B19" w:rsidRPr="001F430E" w:rsidRDefault="00845B19" w:rsidP="00845B19">
      <w:pPr>
        <w:spacing w:line="240" w:lineRule="auto"/>
        <w:jc w:val="center"/>
        <w:rPr>
          <w:rFonts w:ascii="Arial" w:eastAsia="Calibri" w:hAnsi="Arial" w:cs="Arial"/>
          <w:b/>
        </w:rPr>
      </w:pPr>
      <w:r w:rsidRPr="001F430E">
        <w:rPr>
          <w:rFonts w:ascii="Arial" w:eastAsia="Calibri" w:hAnsi="Arial" w:cs="Arial"/>
          <w:b/>
        </w:rPr>
        <w:t xml:space="preserve">Concepto C – </w:t>
      </w:r>
      <w:r>
        <w:rPr>
          <w:rFonts w:ascii="Arial" w:eastAsia="Calibri" w:hAnsi="Arial" w:cs="Arial"/>
          <w:b/>
        </w:rPr>
        <w:t xml:space="preserve">953 </w:t>
      </w:r>
      <w:r w:rsidRPr="001F430E">
        <w:rPr>
          <w:rFonts w:ascii="Arial" w:eastAsia="Calibri" w:hAnsi="Arial" w:cs="Arial"/>
          <w:b/>
        </w:rPr>
        <w:t>de 2022</w:t>
      </w:r>
    </w:p>
    <w:p w14:paraId="51BA937F" w14:textId="77777777" w:rsidR="00845B19" w:rsidRPr="001F430E" w:rsidRDefault="00845B19" w:rsidP="00845B19">
      <w:pPr>
        <w:spacing w:line="240" w:lineRule="auto"/>
        <w:jc w:val="both"/>
        <w:rPr>
          <w:rFonts w:ascii="Arial" w:eastAsia="Calibri" w:hAnsi="Arial" w:cs="Arial"/>
          <w:b/>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845B19" w:rsidRPr="001F430E" w14:paraId="547002D8" w14:textId="77777777" w:rsidTr="00773D00">
        <w:tc>
          <w:tcPr>
            <w:tcW w:w="2689" w:type="dxa"/>
            <w:hideMark/>
          </w:tcPr>
          <w:p w14:paraId="7DB9442D" w14:textId="77777777" w:rsidR="00845B19" w:rsidRPr="001F430E" w:rsidRDefault="00845B19" w:rsidP="00773D00">
            <w:pPr>
              <w:jc w:val="both"/>
              <w:rPr>
                <w:rFonts w:ascii="Arial" w:eastAsia="Calibri" w:hAnsi="Arial" w:cs="Arial"/>
                <w:color w:val="000000" w:themeColor="text1"/>
                <w:lang w:val="es-ES_tradnl"/>
              </w:rPr>
            </w:pPr>
            <w:r w:rsidRPr="001F430E">
              <w:rPr>
                <w:rFonts w:ascii="Arial" w:eastAsia="Calibri" w:hAnsi="Arial" w:cs="Arial"/>
                <w:b/>
                <w:color w:val="000000" w:themeColor="text1"/>
                <w:lang w:val="es-ES_tradnl"/>
              </w:rPr>
              <w:t>Temas:</w:t>
            </w:r>
            <w:r w:rsidRPr="001F430E">
              <w:rPr>
                <w:rFonts w:ascii="Arial" w:eastAsia="Calibri" w:hAnsi="Arial" w:cs="Arial"/>
                <w:color w:val="000000" w:themeColor="text1"/>
                <w:lang w:val="es-ES_tradnl"/>
              </w:rPr>
              <w:t xml:space="preserve">           </w:t>
            </w:r>
          </w:p>
          <w:p w14:paraId="477978C5" w14:textId="77777777" w:rsidR="00845B19" w:rsidRPr="001F430E" w:rsidRDefault="00845B19" w:rsidP="00773D00">
            <w:pPr>
              <w:jc w:val="both"/>
              <w:rPr>
                <w:rFonts w:ascii="Arial" w:eastAsia="Calibri" w:hAnsi="Arial" w:cs="Arial"/>
                <w:color w:val="000000" w:themeColor="text1"/>
                <w:lang w:val="es-ES_tradnl"/>
              </w:rPr>
            </w:pPr>
            <w:r w:rsidRPr="001F430E">
              <w:rPr>
                <w:rFonts w:ascii="Arial" w:eastAsia="Calibri" w:hAnsi="Arial" w:cs="Arial"/>
                <w:color w:val="000000" w:themeColor="text1"/>
                <w:lang w:val="es-ES_tradnl"/>
              </w:rPr>
              <w:t xml:space="preserve">                           </w:t>
            </w:r>
          </w:p>
        </w:tc>
        <w:tc>
          <w:tcPr>
            <w:tcW w:w="6237" w:type="dxa"/>
            <w:hideMark/>
          </w:tcPr>
          <w:p w14:paraId="1A1AF250" w14:textId="77777777" w:rsidR="00845B19" w:rsidRDefault="00845B19" w:rsidP="00773D00">
            <w:pPr>
              <w:widowControl w:val="0"/>
              <w:autoSpaceDE w:val="0"/>
              <w:autoSpaceDN w:val="0"/>
              <w:spacing w:line="276" w:lineRule="auto"/>
              <w:jc w:val="both"/>
              <w:rPr>
                <w:rFonts w:ascii="Arial" w:hAnsi="Arial" w:cs="Arial"/>
                <w:color w:val="000000" w:themeColor="text1"/>
                <w:lang w:val="es-ES_tradnl"/>
              </w:rPr>
            </w:pPr>
            <w:r w:rsidRPr="001F430E">
              <w:rPr>
                <w:rFonts w:ascii="Arial" w:hAnsi="Arial" w:cs="Arial"/>
                <w:color w:val="000000" w:themeColor="text1"/>
                <w:lang w:val="es-ES_tradnl"/>
              </w:rPr>
              <w:t xml:space="preserve">CONTRATACIÓN DIRECTA – Ejecución de trabajos artísticos / TRABAJOS ARTÍSTICOS – Definición – Ejecución de trabajos artísticos / </w:t>
            </w:r>
            <w:r w:rsidRPr="009D69C1">
              <w:rPr>
                <w:rFonts w:ascii="Arial" w:hAnsi="Arial" w:cs="Arial"/>
                <w:lang w:val="es-ES"/>
              </w:rPr>
              <w:t>CONTRATO DE MANDATO- Representación</w:t>
            </w:r>
            <w:r>
              <w:rPr>
                <w:rFonts w:ascii="Arial" w:hAnsi="Arial" w:cs="Arial"/>
                <w:b/>
                <w:bCs/>
                <w:lang w:val="es-ES"/>
              </w:rPr>
              <w:t xml:space="preserve"> </w:t>
            </w:r>
          </w:p>
          <w:p w14:paraId="16CEAB40" w14:textId="77777777" w:rsidR="00845B19" w:rsidRPr="001F430E" w:rsidRDefault="00845B19" w:rsidP="00773D00">
            <w:pPr>
              <w:widowControl w:val="0"/>
              <w:autoSpaceDE w:val="0"/>
              <w:autoSpaceDN w:val="0"/>
              <w:adjustRightInd w:val="0"/>
              <w:jc w:val="both"/>
              <w:rPr>
                <w:rFonts w:ascii="Arial" w:hAnsi="Arial" w:cs="Arial"/>
                <w:color w:val="000000" w:themeColor="text1"/>
                <w:lang w:val="es-ES_tradnl"/>
              </w:rPr>
            </w:pPr>
          </w:p>
          <w:p w14:paraId="118C74F8" w14:textId="77777777" w:rsidR="00845B19" w:rsidRPr="001F430E" w:rsidRDefault="00845B19" w:rsidP="00773D00">
            <w:pPr>
              <w:widowControl w:val="0"/>
              <w:autoSpaceDE w:val="0"/>
              <w:autoSpaceDN w:val="0"/>
              <w:adjustRightInd w:val="0"/>
              <w:spacing w:after="120"/>
              <w:jc w:val="both"/>
              <w:rPr>
                <w:rFonts w:ascii="Arial" w:hAnsi="Arial" w:cs="Arial"/>
                <w:color w:val="000000" w:themeColor="text1"/>
                <w:lang w:val="es-ES_tradnl"/>
              </w:rPr>
            </w:pPr>
          </w:p>
        </w:tc>
      </w:tr>
      <w:tr w:rsidR="00845B19" w:rsidRPr="001F430E" w14:paraId="58FEA6E6" w14:textId="77777777" w:rsidTr="00773D00">
        <w:tc>
          <w:tcPr>
            <w:tcW w:w="2689" w:type="dxa"/>
          </w:tcPr>
          <w:p w14:paraId="6829ED83" w14:textId="77777777" w:rsidR="00845B19" w:rsidRPr="001F430E" w:rsidRDefault="00845B19" w:rsidP="00773D00">
            <w:pPr>
              <w:jc w:val="both"/>
              <w:rPr>
                <w:rFonts w:ascii="Arial" w:eastAsia="Calibri" w:hAnsi="Arial" w:cs="Arial"/>
                <w:b/>
                <w:color w:val="000000" w:themeColor="text1"/>
                <w:lang w:val="es-ES_tradnl"/>
              </w:rPr>
            </w:pPr>
            <w:r w:rsidRPr="001F430E">
              <w:rPr>
                <w:rFonts w:ascii="Arial" w:eastAsia="Calibri" w:hAnsi="Arial" w:cs="Arial"/>
                <w:b/>
                <w:color w:val="000000" w:themeColor="text1"/>
                <w:lang w:val="es-ES_tradnl"/>
              </w:rPr>
              <w:t>Radicación:</w:t>
            </w:r>
            <w:r w:rsidRPr="001F430E">
              <w:rPr>
                <w:rFonts w:ascii="Arial" w:eastAsia="Calibri" w:hAnsi="Arial" w:cs="Arial"/>
                <w:color w:val="000000" w:themeColor="text1"/>
                <w:lang w:val="es-ES_tradnl"/>
              </w:rPr>
              <w:t xml:space="preserve">                              </w:t>
            </w:r>
          </w:p>
        </w:tc>
        <w:tc>
          <w:tcPr>
            <w:tcW w:w="6237" w:type="dxa"/>
          </w:tcPr>
          <w:p w14:paraId="2B899AA6" w14:textId="77777777" w:rsidR="00845B19" w:rsidRPr="001F430E" w:rsidRDefault="00845B19" w:rsidP="00773D00">
            <w:pPr>
              <w:widowControl w:val="0"/>
              <w:autoSpaceDE w:val="0"/>
              <w:autoSpaceDN w:val="0"/>
              <w:adjustRightInd w:val="0"/>
              <w:jc w:val="both"/>
              <w:rPr>
                <w:rFonts w:ascii="Arial" w:hAnsi="Arial" w:cs="Arial"/>
                <w:color w:val="000000" w:themeColor="text1"/>
                <w:lang w:val="es-ES"/>
              </w:rPr>
            </w:pPr>
            <w:r w:rsidRPr="23B667B7">
              <w:rPr>
                <w:rFonts w:ascii="Arial" w:hAnsi="Arial" w:cs="Arial"/>
                <w:color w:val="000000" w:themeColor="text1"/>
                <w:lang w:val="es-ES"/>
              </w:rPr>
              <w:t>Respuesta a consulta No P20221213012190.</w:t>
            </w:r>
          </w:p>
        </w:tc>
      </w:tr>
    </w:tbl>
    <w:p w14:paraId="3C55A22B" w14:textId="77777777" w:rsidR="00845B19" w:rsidRPr="001F430E" w:rsidRDefault="00845B19" w:rsidP="00845B19">
      <w:pPr>
        <w:spacing w:line="240" w:lineRule="auto"/>
        <w:jc w:val="both"/>
        <w:rPr>
          <w:rFonts w:ascii="Arial" w:eastAsia="Calibri" w:hAnsi="Arial" w:cs="Arial"/>
          <w:color w:val="000000" w:themeColor="text1"/>
          <w:lang w:val="es-ES_tradnl"/>
        </w:rPr>
      </w:pPr>
    </w:p>
    <w:p w14:paraId="3C3B1294" w14:textId="77777777" w:rsidR="00845B19" w:rsidRPr="001F430E" w:rsidRDefault="00845B19" w:rsidP="00845B19">
      <w:pPr>
        <w:spacing w:line="240" w:lineRule="auto"/>
        <w:jc w:val="both"/>
        <w:rPr>
          <w:rFonts w:ascii="Arial" w:eastAsia="Calibri" w:hAnsi="Arial" w:cs="Arial"/>
          <w:color w:val="000000" w:themeColor="text1"/>
          <w:lang w:val="es-ES_tradnl"/>
        </w:rPr>
      </w:pPr>
    </w:p>
    <w:p w14:paraId="41449221" w14:textId="77777777" w:rsidR="00845B19" w:rsidRPr="001F430E" w:rsidRDefault="00845B19" w:rsidP="00845B19">
      <w:pPr>
        <w:spacing w:line="240" w:lineRule="auto"/>
        <w:jc w:val="both"/>
        <w:rPr>
          <w:rFonts w:ascii="Arial" w:eastAsia="Calibri" w:hAnsi="Arial" w:cs="Arial"/>
          <w:color w:val="000000" w:themeColor="text1"/>
          <w:lang w:val="es-ES_tradnl"/>
        </w:rPr>
      </w:pPr>
      <w:r w:rsidRPr="001F430E">
        <w:rPr>
          <w:rFonts w:ascii="Arial" w:eastAsia="Calibri" w:hAnsi="Arial" w:cs="Arial"/>
          <w:color w:val="000000" w:themeColor="text1"/>
          <w:lang w:val="es-ES_tradnl"/>
        </w:rPr>
        <w:t>Estimado señor</w:t>
      </w:r>
      <w:r>
        <w:rPr>
          <w:rFonts w:ascii="Arial" w:eastAsia="Calibri" w:hAnsi="Arial" w:cs="Arial"/>
          <w:color w:val="000000" w:themeColor="text1"/>
          <w:lang w:val="es-ES_tradnl"/>
        </w:rPr>
        <w:t xml:space="preserve"> Ariza</w:t>
      </w:r>
      <w:r w:rsidRPr="001F430E">
        <w:rPr>
          <w:rFonts w:ascii="Arial" w:eastAsia="Calibri" w:hAnsi="Arial" w:cs="Arial"/>
          <w:color w:val="000000" w:themeColor="text1"/>
          <w:lang w:val="es-ES_tradnl"/>
        </w:rPr>
        <w:t>:</w:t>
      </w:r>
    </w:p>
    <w:p w14:paraId="7EA6D812" w14:textId="77777777" w:rsidR="00845B19" w:rsidRPr="001F430E" w:rsidRDefault="00845B19" w:rsidP="00845B19">
      <w:pPr>
        <w:spacing w:after="120" w:line="276" w:lineRule="auto"/>
        <w:ind w:right="51"/>
        <w:jc w:val="both"/>
        <w:rPr>
          <w:rFonts w:ascii="Arial" w:eastAsia="Calibri" w:hAnsi="Arial" w:cs="Arial"/>
          <w:color w:val="000000" w:themeColor="text1"/>
          <w:lang w:val="es-ES_tradnl"/>
        </w:rPr>
      </w:pPr>
      <w:r w:rsidRPr="001F430E">
        <w:rPr>
          <w:rFonts w:ascii="Arial" w:eastAsia="Calibri" w:hAnsi="Arial" w:cs="Arial"/>
          <w:color w:val="000000" w:themeColor="text1"/>
          <w:lang w:val="es-ES_tradnl"/>
        </w:rPr>
        <w:t xml:space="preserve">La Agencia Nacional de Contratación Pública – Colombia Compra Eficiente, en ejercicio de la competencia otorgada por el numeral 8 del artículo 11 y el numeral 5 del artículo 3 del Decreto Ley 4170 de 2011, responde su consulta del </w:t>
      </w:r>
      <w:r>
        <w:rPr>
          <w:rFonts w:ascii="Arial" w:eastAsia="Calibri" w:hAnsi="Arial" w:cs="Arial"/>
          <w:color w:val="000000" w:themeColor="text1"/>
          <w:lang w:val="es-ES_tradnl"/>
        </w:rPr>
        <w:t>13</w:t>
      </w:r>
      <w:r w:rsidRPr="001F430E">
        <w:rPr>
          <w:rFonts w:ascii="Arial" w:eastAsia="Calibri" w:hAnsi="Arial" w:cs="Arial"/>
          <w:color w:val="000000" w:themeColor="text1"/>
          <w:lang w:val="es-ES_tradnl"/>
        </w:rPr>
        <w:t xml:space="preserve"> de </w:t>
      </w:r>
      <w:r>
        <w:rPr>
          <w:rFonts w:ascii="Arial" w:eastAsia="Calibri" w:hAnsi="Arial" w:cs="Arial"/>
          <w:color w:val="000000" w:themeColor="text1"/>
          <w:lang w:val="es-ES_tradnl"/>
        </w:rPr>
        <w:t xml:space="preserve">diciembre </w:t>
      </w:r>
      <w:r w:rsidRPr="001F430E">
        <w:rPr>
          <w:rFonts w:ascii="Arial" w:eastAsia="Calibri" w:hAnsi="Arial" w:cs="Arial"/>
          <w:color w:val="000000" w:themeColor="text1"/>
          <w:lang w:val="es-ES_tradnl"/>
        </w:rPr>
        <w:t xml:space="preserve">del 2022. </w:t>
      </w:r>
    </w:p>
    <w:p w14:paraId="61BC33CE" w14:textId="77777777" w:rsidR="00845B19" w:rsidRPr="001F430E" w:rsidRDefault="00845B19" w:rsidP="00845B19">
      <w:pPr>
        <w:pStyle w:val="Prrafodelista"/>
        <w:numPr>
          <w:ilvl w:val="0"/>
          <w:numId w:val="1"/>
        </w:numPr>
        <w:tabs>
          <w:tab w:val="left" w:pos="284"/>
        </w:tabs>
        <w:spacing w:after="0" w:line="240" w:lineRule="auto"/>
        <w:ind w:left="0" w:firstLine="0"/>
        <w:jc w:val="both"/>
        <w:rPr>
          <w:rFonts w:ascii="Arial" w:eastAsia="Calibri" w:hAnsi="Arial" w:cs="Arial"/>
          <w:b/>
          <w:color w:val="000000" w:themeColor="text1"/>
          <w:lang w:val="es-ES_tradnl"/>
        </w:rPr>
      </w:pPr>
      <w:r w:rsidRPr="001F430E">
        <w:rPr>
          <w:rFonts w:ascii="Arial" w:eastAsia="Calibri" w:hAnsi="Arial" w:cs="Arial"/>
          <w:b/>
          <w:color w:val="000000" w:themeColor="text1"/>
          <w:lang w:val="es-ES_tradnl"/>
        </w:rPr>
        <w:t xml:space="preserve">Problema planteado </w:t>
      </w:r>
    </w:p>
    <w:p w14:paraId="0C1C5D0D" w14:textId="77777777" w:rsidR="00845B19" w:rsidRPr="001F430E" w:rsidRDefault="00845B19" w:rsidP="00845B19">
      <w:pPr>
        <w:tabs>
          <w:tab w:val="left" w:pos="426"/>
        </w:tabs>
        <w:spacing w:line="240" w:lineRule="auto"/>
        <w:jc w:val="both"/>
        <w:rPr>
          <w:rFonts w:ascii="Arial" w:eastAsia="Calibri" w:hAnsi="Arial" w:cs="Arial"/>
          <w:b/>
          <w:color w:val="000000" w:themeColor="text1"/>
          <w:lang w:val="es-ES_tradnl"/>
        </w:rPr>
      </w:pPr>
    </w:p>
    <w:p w14:paraId="372A6ED3" w14:textId="77777777" w:rsidR="00845B19" w:rsidRPr="001F430E" w:rsidRDefault="00845B19" w:rsidP="00845B19">
      <w:pPr>
        <w:tabs>
          <w:tab w:val="left" w:pos="426"/>
        </w:tabs>
        <w:spacing w:line="240" w:lineRule="auto"/>
        <w:jc w:val="both"/>
        <w:rPr>
          <w:rFonts w:ascii="Arial" w:eastAsia="Calibri" w:hAnsi="Arial" w:cs="Arial"/>
          <w:color w:val="000000" w:themeColor="text1"/>
          <w:lang w:val="es-ES_tradnl"/>
        </w:rPr>
      </w:pPr>
      <w:r w:rsidRPr="001F430E">
        <w:rPr>
          <w:rFonts w:ascii="Arial" w:eastAsia="Calibri" w:hAnsi="Arial" w:cs="Arial"/>
          <w:color w:val="000000" w:themeColor="text1"/>
          <w:lang w:val="es-ES_tradnl"/>
        </w:rPr>
        <w:t xml:space="preserve"> Usted realiza la siguiente consulta: </w:t>
      </w:r>
    </w:p>
    <w:p w14:paraId="71EA69D8" w14:textId="77777777" w:rsidR="00845B19" w:rsidRPr="00773D00" w:rsidRDefault="00845B19" w:rsidP="00845B19">
      <w:pPr>
        <w:autoSpaceDE w:val="0"/>
        <w:autoSpaceDN w:val="0"/>
        <w:adjustRightInd w:val="0"/>
        <w:spacing w:after="0" w:line="240" w:lineRule="auto"/>
        <w:ind w:left="709" w:right="709"/>
        <w:jc w:val="both"/>
        <w:rPr>
          <w:rFonts w:ascii="Arial" w:eastAsia="Calibri" w:hAnsi="Arial" w:cs="Arial"/>
          <w:color w:val="000000" w:themeColor="text1"/>
          <w:sz w:val="21"/>
          <w:szCs w:val="21"/>
          <w:lang w:val="es-ES_tradnl"/>
        </w:rPr>
      </w:pPr>
      <w:r w:rsidRPr="00773D00">
        <w:rPr>
          <w:rFonts w:ascii="Arial" w:eastAsia="Calibri" w:hAnsi="Arial" w:cs="Arial"/>
          <w:color w:val="000000" w:themeColor="text1"/>
          <w:sz w:val="21"/>
          <w:szCs w:val="21"/>
          <w:lang w:val="es-ES_tradnl"/>
        </w:rPr>
        <w:t xml:space="preserve">«La </w:t>
      </w:r>
      <w:proofErr w:type="spellStart"/>
      <w:r w:rsidRPr="00773D00">
        <w:rPr>
          <w:rFonts w:ascii="Arial" w:eastAsia="Calibri" w:hAnsi="Arial" w:cs="Arial"/>
          <w:color w:val="000000" w:themeColor="text1"/>
          <w:sz w:val="21"/>
          <w:szCs w:val="21"/>
          <w:lang w:val="es-ES_tradnl"/>
        </w:rPr>
        <w:t>tipologia</w:t>
      </w:r>
      <w:proofErr w:type="spellEnd"/>
      <w:r w:rsidRPr="00773D00">
        <w:rPr>
          <w:rFonts w:ascii="Arial" w:eastAsia="Calibri" w:hAnsi="Arial" w:cs="Arial"/>
          <w:color w:val="000000" w:themeColor="text1"/>
          <w:sz w:val="21"/>
          <w:szCs w:val="21"/>
          <w:lang w:val="es-ES_tradnl"/>
        </w:rPr>
        <w:t xml:space="preserve"> de contratos de </w:t>
      </w:r>
      <w:proofErr w:type="spellStart"/>
      <w:r w:rsidRPr="00773D00">
        <w:rPr>
          <w:rFonts w:ascii="Arial" w:eastAsia="Calibri" w:hAnsi="Arial" w:cs="Arial"/>
          <w:color w:val="000000" w:themeColor="text1"/>
          <w:sz w:val="21"/>
          <w:szCs w:val="21"/>
          <w:lang w:val="es-ES_tradnl"/>
        </w:rPr>
        <w:t>prestacion</w:t>
      </w:r>
      <w:proofErr w:type="spellEnd"/>
      <w:r w:rsidRPr="00773D00">
        <w:rPr>
          <w:rFonts w:ascii="Arial" w:eastAsia="Calibri" w:hAnsi="Arial" w:cs="Arial"/>
          <w:color w:val="000000" w:themeColor="text1"/>
          <w:sz w:val="21"/>
          <w:szCs w:val="21"/>
          <w:lang w:val="es-ES_tradnl"/>
        </w:rPr>
        <w:t xml:space="preserve"> de servicios </w:t>
      </w:r>
      <w:proofErr w:type="spellStart"/>
      <w:r w:rsidRPr="00773D00">
        <w:rPr>
          <w:rFonts w:ascii="Arial" w:eastAsia="Calibri" w:hAnsi="Arial" w:cs="Arial"/>
          <w:color w:val="000000" w:themeColor="text1"/>
          <w:sz w:val="21"/>
          <w:szCs w:val="21"/>
          <w:lang w:val="es-ES_tradnl"/>
        </w:rPr>
        <w:t>artisticos</w:t>
      </w:r>
      <w:proofErr w:type="spellEnd"/>
      <w:r w:rsidRPr="00773D00">
        <w:rPr>
          <w:rFonts w:ascii="Arial" w:eastAsia="Calibri" w:hAnsi="Arial" w:cs="Arial"/>
          <w:color w:val="000000" w:themeColor="text1"/>
          <w:sz w:val="21"/>
          <w:szCs w:val="21"/>
          <w:lang w:val="es-ES_tradnl"/>
        </w:rPr>
        <w:t xml:space="preserve"> con determinadas personas naturales, de conformidad con Concepto de CCE 773 de 2022 y Sentencia del CE 41719 de 2 de diciembre de 2013, precisan que se deben contratar exclusivamente con ARTISTAS.</w:t>
      </w:r>
    </w:p>
    <w:p w14:paraId="48EB7177" w14:textId="77777777" w:rsidR="00845B19" w:rsidRPr="00773D00" w:rsidRDefault="00845B19" w:rsidP="00845B19">
      <w:pPr>
        <w:autoSpaceDE w:val="0"/>
        <w:autoSpaceDN w:val="0"/>
        <w:adjustRightInd w:val="0"/>
        <w:spacing w:after="0" w:line="240" w:lineRule="auto"/>
        <w:ind w:left="709" w:right="709"/>
        <w:jc w:val="both"/>
        <w:rPr>
          <w:rFonts w:ascii="Arial" w:eastAsia="Calibri" w:hAnsi="Arial" w:cs="Arial"/>
          <w:color w:val="000000" w:themeColor="text1"/>
          <w:sz w:val="21"/>
          <w:szCs w:val="21"/>
          <w:lang w:val="es-ES_tradnl"/>
        </w:rPr>
      </w:pPr>
      <w:r w:rsidRPr="00773D00">
        <w:rPr>
          <w:rFonts w:ascii="Arial" w:eastAsia="Calibri" w:hAnsi="Arial" w:cs="Arial"/>
          <w:color w:val="000000" w:themeColor="text1"/>
          <w:sz w:val="21"/>
          <w:szCs w:val="21"/>
          <w:lang w:val="es-ES_tradnl"/>
        </w:rPr>
        <w:t>En este sentido:</w:t>
      </w:r>
    </w:p>
    <w:p w14:paraId="0B6CAE96" w14:textId="77777777" w:rsidR="00845B19" w:rsidRPr="00773D00" w:rsidRDefault="00845B19" w:rsidP="00845B19">
      <w:pPr>
        <w:autoSpaceDE w:val="0"/>
        <w:autoSpaceDN w:val="0"/>
        <w:adjustRightInd w:val="0"/>
        <w:spacing w:after="0" w:line="240" w:lineRule="auto"/>
        <w:ind w:left="709" w:right="709"/>
        <w:jc w:val="both"/>
        <w:rPr>
          <w:rFonts w:ascii="Arial" w:eastAsia="Calibri" w:hAnsi="Arial" w:cs="Arial"/>
          <w:color w:val="000000" w:themeColor="text1"/>
          <w:sz w:val="21"/>
          <w:szCs w:val="21"/>
          <w:lang w:val="es-ES_tradnl"/>
        </w:rPr>
      </w:pPr>
      <w:r w:rsidRPr="00773D00">
        <w:rPr>
          <w:rFonts w:ascii="Arial" w:eastAsia="Calibri" w:hAnsi="Arial" w:cs="Arial"/>
          <w:color w:val="000000" w:themeColor="text1"/>
          <w:sz w:val="21"/>
          <w:szCs w:val="21"/>
          <w:lang w:val="es-ES_tradnl"/>
        </w:rPr>
        <w:t>- Puede contratarse con un Manager que se encuentre apoderado por el Artista para suscribir el contrato?</w:t>
      </w:r>
    </w:p>
    <w:p w14:paraId="6372677D" w14:textId="77777777" w:rsidR="00845B19" w:rsidRPr="00773D00" w:rsidRDefault="00845B19" w:rsidP="00845B19">
      <w:pPr>
        <w:autoSpaceDE w:val="0"/>
        <w:autoSpaceDN w:val="0"/>
        <w:adjustRightInd w:val="0"/>
        <w:spacing w:after="0" w:line="240" w:lineRule="auto"/>
        <w:ind w:left="709" w:right="709"/>
        <w:jc w:val="both"/>
        <w:rPr>
          <w:rFonts w:ascii="Arial" w:eastAsia="Calibri" w:hAnsi="Arial" w:cs="Arial"/>
          <w:color w:val="000000" w:themeColor="text1"/>
          <w:sz w:val="21"/>
          <w:szCs w:val="21"/>
          <w:lang w:val="es-ES_tradnl"/>
        </w:rPr>
      </w:pPr>
      <w:r w:rsidRPr="00773D00">
        <w:rPr>
          <w:rFonts w:ascii="Arial" w:eastAsia="Calibri" w:hAnsi="Arial" w:cs="Arial"/>
          <w:color w:val="000000" w:themeColor="text1"/>
          <w:sz w:val="21"/>
          <w:szCs w:val="21"/>
          <w:lang w:val="es-ES_tradnl"/>
        </w:rPr>
        <w:t>- Puede contratarse con una persona jurídica que tenga el derecho de exclusividad del artista?</w:t>
      </w:r>
    </w:p>
    <w:p w14:paraId="36F90CB0" w14:textId="77777777" w:rsidR="00845B19" w:rsidRPr="00BE0AEE" w:rsidRDefault="00845B19" w:rsidP="00845B19">
      <w:pPr>
        <w:autoSpaceDE w:val="0"/>
        <w:autoSpaceDN w:val="0"/>
        <w:adjustRightInd w:val="0"/>
        <w:spacing w:after="0" w:line="240" w:lineRule="auto"/>
        <w:ind w:left="709" w:right="709"/>
        <w:jc w:val="both"/>
        <w:rPr>
          <w:rFonts w:ascii="Arial" w:eastAsia="Calibri" w:hAnsi="Arial" w:cs="Arial"/>
          <w:color w:val="000000" w:themeColor="text1"/>
          <w:lang w:val="es-ES_tradnl"/>
        </w:rPr>
      </w:pPr>
      <w:r w:rsidRPr="00773D00">
        <w:rPr>
          <w:rFonts w:ascii="Arial" w:eastAsia="Calibri" w:hAnsi="Arial" w:cs="Arial"/>
          <w:color w:val="000000" w:themeColor="text1"/>
          <w:sz w:val="21"/>
          <w:szCs w:val="21"/>
          <w:lang w:val="es-ES_tradnl"/>
        </w:rPr>
        <w:lastRenderedPageBreak/>
        <w:t xml:space="preserve">- o necesaria y obligatoriamente debe ser contrato directamente con el artista sin que medie un apoderado o persona </w:t>
      </w:r>
      <w:proofErr w:type="spellStart"/>
      <w:r w:rsidRPr="00773D00">
        <w:rPr>
          <w:rFonts w:ascii="Arial" w:eastAsia="Calibri" w:hAnsi="Arial" w:cs="Arial"/>
          <w:color w:val="000000" w:themeColor="text1"/>
          <w:sz w:val="21"/>
          <w:szCs w:val="21"/>
          <w:lang w:val="es-ES_tradnl"/>
        </w:rPr>
        <w:t>juridica</w:t>
      </w:r>
      <w:proofErr w:type="spellEnd"/>
      <w:r w:rsidRPr="00773D00">
        <w:rPr>
          <w:rFonts w:ascii="Arial" w:eastAsia="Calibri" w:hAnsi="Arial" w:cs="Arial"/>
          <w:color w:val="000000" w:themeColor="text1"/>
          <w:sz w:val="21"/>
          <w:szCs w:val="21"/>
          <w:lang w:val="es-ES_tradnl"/>
        </w:rPr>
        <w:t xml:space="preserve"> con derecho?» </w:t>
      </w:r>
      <w:r>
        <w:rPr>
          <w:rFonts w:ascii="Arial" w:eastAsia="Calibri" w:hAnsi="Arial" w:cs="Arial"/>
          <w:color w:val="000000" w:themeColor="text1"/>
          <w:lang w:val="es-ES_tradnl"/>
        </w:rPr>
        <w:t>(sic)</w:t>
      </w:r>
      <w:r w:rsidRPr="00BE0AEE">
        <w:rPr>
          <w:rFonts w:ascii="Arial" w:eastAsia="Calibri" w:hAnsi="Arial" w:cs="Arial"/>
          <w:color w:val="000000" w:themeColor="text1"/>
          <w:lang w:val="es-ES_tradnl"/>
        </w:rPr>
        <w:t>.</w:t>
      </w:r>
    </w:p>
    <w:p w14:paraId="0B689375" w14:textId="77777777" w:rsidR="00845B19" w:rsidRPr="001F430E" w:rsidRDefault="00845B19" w:rsidP="00845B19">
      <w:pPr>
        <w:tabs>
          <w:tab w:val="left" w:pos="426"/>
        </w:tabs>
        <w:spacing w:line="240" w:lineRule="auto"/>
        <w:jc w:val="both"/>
        <w:rPr>
          <w:rFonts w:ascii="Arial" w:eastAsia="Calibri" w:hAnsi="Arial" w:cs="Arial"/>
          <w:color w:val="000000" w:themeColor="text1"/>
          <w:lang w:val="es-ES_tradnl"/>
        </w:rPr>
      </w:pPr>
    </w:p>
    <w:p w14:paraId="45EDA8F9" w14:textId="77777777" w:rsidR="00845B19" w:rsidRPr="001F430E" w:rsidRDefault="00845B19" w:rsidP="00845B19">
      <w:pPr>
        <w:pStyle w:val="Prrafodelista"/>
        <w:numPr>
          <w:ilvl w:val="0"/>
          <w:numId w:val="1"/>
        </w:numPr>
        <w:tabs>
          <w:tab w:val="left" w:pos="426"/>
        </w:tabs>
        <w:spacing w:after="0" w:line="240" w:lineRule="auto"/>
        <w:ind w:left="284" w:hanging="284"/>
        <w:jc w:val="both"/>
        <w:rPr>
          <w:rFonts w:ascii="Arial" w:eastAsia="Calibri" w:hAnsi="Arial" w:cs="Arial"/>
          <w:b/>
          <w:color w:val="000000" w:themeColor="text1"/>
          <w:lang w:val="es-ES_tradnl"/>
        </w:rPr>
      </w:pPr>
      <w:r w:rsidRPr="001F430E">
        <w:rPr>
          <w:rFonts w:ascii="Arial" w:eastAsia="Calibri" w:hAnsi="Arial" w:cs="Arial"/>
          <w:b/>
          <w:color w:val="000000" w:themeColor="text1"/>
          <w:lang w:val="es-ES_tradnl"/>
        </w:rPr>
        <w:t>Consideraciones</w:t>
      </w:r>
    </w:p>
    <w:p w14:paraId="49783E82" w14:textId="77777777" w:rsidR="00845B19" w:rsidRDefault="00845B19" w:rsidP="00845B19">
      <w:pPr>
        <w:spacing w:after="120" w:line="240" w:lineRule="auto"/>
        <w:jc w:val="both"/>
        <w:rPr>
          <w:rFonts w:ascii="Arial" w:hAnsi="Arial" w:cs="Arial"/>
          <w:color w:val="000000" w:themeColor="text1"/>
          <w:lang w:val="es-ES_tradnl"/>
        </w:rPr>
      </w:pPr>
    </w:p>
    <w:p w14:paraId="2502EA34" w14:textId="77777777" w:rsidR="00845B19" w:rsidRPr="001F430E" w:rsidRDefault="00845B19" w:rsidP="00845B19">
      <w:pPr>
        <w:spacing w:after="120" w:line="276" w:lineRule="auto"/>
        <w:jc w:val="both"/>
        <w:rPr>
          <w:rFonts w:ascii="Arial" w:hAnsi="Arial" w:cs="Arial"/>
          <w:bCs/>
          <w:color w:val="000000" w:themeColor="text1"/>
        </w:rPr>
      </w:pPr>
      <w:r w:rsidRPr="001F430E">
        <w:rPr>
          <w:rFonts w:ascii="Arial" w:hAnsi="Arial" w:cs="Arial"/>
          <w:bCs/>
          <w:color w:val="000000" w:themeColor="text1"/>
        </w:rPr>
        <w:t>En ejercicio de las competencias establecidas en el numeral 5 del artículo 3 y el numeral 8 del artículo 11 del Decreto 4170 de 2011, la Agencia Nacional de Contratación Pública – Colombia Compra Eficiente resuelve las solicitudes sobre los asuntos de su competencia, esto es, sobre las temáticas de la contratación estatal y compras públicas relacionadas en los artículos citados.</w:t>
      </w:r>
      <w:bookmarkStart w:id="0" w:name="_Hlk61701014"/>
      <w:bookmarkStart w:id="1" w:name="_Hlk62136649"/>
      <w:r w:rsidRPr="001F430E">
        <w:rPr>
          <w:rFonts w:ascii="Arial" w:hAnsi="Arial" w:cs="Arial"/>
          <w:bCs/>
          <w:color w:val="000000" w:themeColor="text1"/>
        </w:rPr>
        <w:t xml:space="preserve"> </w:t>
      </w:r>
      <w:r w:rsidRPr="001F430E">
        <w:rPr>
          <w:rFonts w:ascii="Arial" w:hAnsi="Arial" w:cs="Arial"/>
          <w:color w:val="000000" w:themeColor="text1"/>
          <w:lang w:val="es-ES"/>
        </w:rPr>
        <w:t xml:space="preserve">Es necesario tener en cuenta que, de acuerdo con los establecido por las normas indicadas, </w:t>
      </w:r>
      <w:bookmarkStart w:id="2" w:name="_Hlk61026958"/>
      <w:r w:rsidRPr="001F430E">
        <w:rPr>
          <w:rFonts w:ascii="Arial" w:hAnsi="Arial" w:cs="Arial"/>
          <w:color w:val="000000" w:themeColor="text1"/>
          <w:lang w:val="es-ES"/>
        </w:rPr>
        <w:t>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w:t>
      </w:r>
      <w:r w:rsidRPr="001F430E">
        <w:rPr>
          <w:rFonts w:ascii="Arial" w:hAnsi="Arial" w:cs="Arial"/>
          <w:bCs/>
          <w:color w:val="000000" w:themeColor="text1"/>
        </w:rPr>
        <w:t xml:space="preserve"> de todos los partícipes de la contratación estatal. Del mismo modo, resolver consultas sobre temas ajenos a temas contractuales es un asunto que escapa de la referida competencia consultiva.</w:t>
      </w:r>
    </w:p>
    <w:p w14:paraId="7BDF92B8" w14:textId="77777777" w:rsidR="00845B19" w:rsidRPr="001F430E" w:rsidRDefault="00845B19" w:rsidP="00845B19">
      <w:pPr>
        <w:spacing w:after="120" w:line="276" w:lineRule="auto"/>
        <w:ind w:firstLine="708"/>
        <w:jc w:val="both"/>
        <w:rPr>
          <w:rFonts w:ascii="Arial" w:hAnsi="Arial" w:cs="Arial"/>
          <w:color w:val="000000" w:themeColor="text1"/>
          <w:lang w:val="es-ES"/>
        </w:rPr>
      </w:pPr>
      <w:r w:rsidRPr="001F430E">
        <w:rPr>
          <w:rFonts w:ascii="Arial" w:hAnsi="Arial" w:cs="Arial"/>
          <w:color w:val="000000" w:themeColor="text1"/>
          <w:lang w:val="es-ES"/>
        </w:rPr>
        <w:t>La competencia de esta entidad se fija con límites claros, por un lado, con el objeto de evitar que la Agencia actúe como una instancia de validación de las actuaciones de las entidades sujetas a la Ley 80 de 1993 o de los demás participantes de la contratación pública</w:t>
      </w:r>
      <w:r w:rsidRPr="001F430E">
        <w:rPr>
          <w:rFonts w:ascii="Arial" w:hAnsi="Arial" w:cs="Arial"/>
          <w:color w:val="000000" w:themeColor="text1"/>
          <w:vertAlign w:val="superscript"/>
          <w:lang w:val="es-ES"/>
        </w:rPr>
        <w:footnoteReference w:id="2"/>
      </w:r>
      <w:r w:rsidRPr="001F430E">
        <w:rPr>
          <w:rFonts w:ascii="Arial" w:hAnsi="Arial" w:cs="Arial"/>
          <w:color w:val="000000" w:themeColor="text1"/>
          <w:lang w:val="es-ES"/>
        </w:rPr>
        <w:t>, así como para evitar que se invadan los ámbitos de otras entidades. Esta competencia de interpretación de normas generales, por definición, no puede extenderse a la resolución de controversias, ni a brindar asesorías sobre casos puntuales.</w:t>
      </w:r>
      <w:bookmarkEnd w:id="2"/>
      <w:r w:rsidRPr="001F430E">
        <w:rPr>
          <w:rFonts w:ascii="Arial" w:hAnsi="Arial" w:cs="Arial"/>
          <w:color w:val="000000" w:themeColor="text1"/>
          <w:lang w:val="es-ES"/>
        </w:rPr>
        <w:t xml:space="preserve"> En este contexto, previo concepto de sus órganos asesores, la solución de estos temas corresponde a la entidad que adelanta el procedimiento de selección y, en caso de conflicto, a las autoridades judiciales, fiscales y disciplinarias. </w:t>
      </w:r>
      <w:bookmarkEnd w:id="0"/>
      <w:bookmarkEnd w:id="1"/>
    </w:p>
    <w:p w14:paraId="4B0CA823" w14:textId="77777777" w:rsidR="00845B19" w:rsidRPr="001F430E" w:rsidRDefault="00845B19" w:rsidP="00845B19">
      <w:pPr>
        <w:spacing w:after="120" w:line="276" w:lineRule="auto"/>
        <w:ind w:firstLine="708"/>
        <w:jc w:val="both"/>
        <w:rPr>
          <w:rFonts w:ascii="Arial" w:eastAsia="Calibri" w:hAnsi="Arial" w:cs="Arial"/>
          <w:color w:val="000000" w:themeColor="text1"/>
        </w:rPr>
      </w:pPr>
      <w:r w:rsidRPr="006D74FA">
        <w:rPr>
          <w:rFonts w:ascii="Arial" w:eastAsia="Calibri" w:hAnsi="Arial" w:cs="Arial"/>
          <w:color w:val="000000" w:themeColor="text1"/>
          <w:lang w:val="es-ES_tradnl"/>
        </w:rPr>
        <w:t xml:space="preserve">En atención a esto, dentro de los límites de la competencia consultiva atribuida a esta Agencia resolverá su consulta, previo desarrollo de los siguientes temas: i) los contratos de prestación de servicios profesionales, de apoyo a la gestión y de servicios artísticos como especies del contrato de prestación de servicios; </w:t>
      </w:r>
      <w:proofErr w:type="spellStart"/>
      <w:r w:rsidRPr="006D74FA">
        <w:rPr>
          <w:rFonts w:ascii="Arial" w:eastAsia="Calibri" w:hAnsi="Arial" w:cs="Arial"/>
          <w:color w:val="000000" w:themeColor="text1"/>
          <w:lang w:val="es-ES_tradnl"/>
        </w:rPr>
        <w:t>ii</w:t>
      </w:r>
      <w:proofErr w:type="spellEnd"/>
      <w:r w:rsidRPr="006D74FA">
        <w:rPr>
          <w:rFonts w:ascii="Arial" w:eastAsia="Calibri" w:hAnsi="Arial" w:cs="Arial"/>
          <w:color w:val="000000" w:themeColor="text1"/>
          <w:lang w:val="es-ES_tradnl"/>
        </w:rPr>
        <w:t xml:space="preserve">) la contratación directa de servicios para la ejecución de trabajos artísticos con determinadas personas naturales; </w:t>
      </w:r>
      <w:r>
        <w:rPr>
          <w:rFonts w:ascii="Arial" w:eastAsia="Calibri" w:hAnsi="Arial" w:cs="Arial"/>
          <w:color w:val="000000" w:themeColor="text1"/>
          <w:lang w:val="es-ES_tradnl"/>
        </w:rPr>
        <w:t xml:space="preserve">y </w:t>
      </w:r>
      <w:proofErr w:type="spellStart"/>
      <w:r w:rsidRPr="006D74FA">
        <w:rPr>
          <w:rFonts w:ascii="Arial" w:eastAsia="Calibri" w:hAnsi="Arial" w:cs="Arial"/>
          <w:color w:val="000000" w:themeColor="text1"/>
          <w:lang w:val="es-ES_tradnl"/>
        </w:rPr>
        <w:t>iii</w:t>
      </w:r>
      <w:proofErr w:type="spellEnd"/>
      <w:r w:rsidRPr="006D74FA">
        <w:rPr>
          <w:rFonts w:ascii="Arial" w:eastAsia="Calibri" w:hAnsi="Arial" w:cs="Arial"/>
          <w:color w:val="000000" w:themeColor="text1"/>
          <w:lang w:val="es-ES_tradnl"/>
        </w:rPr>
        <w:t xml:space="preserve">) </w:t>
      </w:r>
      <w:r>
        <w:rPr>
          <w:rFonts w:ascii="Arial" w:eastAsia="Calibri" w:hAnsi="Arial" w:cs="Arial"/>
          <w:color w:val="000000" w:themeColor="text1"/>
          <w:lang w:val="es-ES_tradnl"/>
        </w:rPr>
        <w:t>e</w:t>
      </w:r>
      <w:r w:rsidRPr="007817F8">
        <w:rPr>
          <w:rFonts w:ascii="Arial" w:eastAsia="Calibri" w:hAnsi="Arial" w:cs="Arial"/>
          <w:color w:val="000000" w:themeColor="text1"/>
          <w:lang w:val="es-ES_tradnl"/>
        </w:rPr>
        <w:t>l mandato con representación y sus efectos de cara a la celebración de contratos de prestación de servicios para la ejecución de trabajos</w:t>
      </w:r>
      <w:r>
        <w:rPr>
          <w:rFonts w:ascii="Arial" w:eastAsia="Calibri" w:hAnsi="Arial" w:cs="Arial"/>
          <w:color w:val="000000" w:themeColor="text1"/>
          <w:lang w:val="es-ES_tradnl"/>
        </w:rPr>
        <w:t xml:space="preserve"> artísticos.</w:t>
      </w:r>
      <w:r w:rsidRPr="006D74FA">
        <w:rPr>
          <w:rFonts w:ascii="Arial" w:eastAsia="Calibri" w:hAnsi="Arial" w:cs="Arial"/>
          <w:color w:val="000000" w:themeColor="text1"/>
          <w:lang w:val="es-ES_tradnl"/>
        </w:rPr>
        <w:t xml:space="preserve"> </w:t>
      </w:r>
    </w:p>
    <w:p w14:paraId="3F9B13F7" w14:textId="77777777" w:rsidR="00845B19" w:rsidRPr="001F430E" w:rsidRDefault="00845B19" w:rsidP="00845B19">
      <w:pPr>
        <w:spacing w:line="276" w:lineRule="auto"/>
        <w:ind w:firstLine="708"/>
        <w:jc w:val="both"/>
        <w:rPr>
          <w:rFonts w:ascii="Arial" w:hAnsi="Arial" w:cs="Arial"/>
        </w:rPr>
      </w:pPr>
      <w:r w:rsidRPr="4E9848C9">
        <w:rPr>
          <w:rFonts w:ascii="Arial" w:eastAsia="Calibri" w:hAnsi="Arial" w:cs="Arial"/>
          <w:color w:val="000000" w:themeColor="text1"/>
          <w:lang w:val="es-ES"/>
        </w:rPr>
        <w:lastRenderedPageBreak/>
        <w:t xml:space="preserve">La Agencia Nacional de Contratación Pública – Colombia Compra Eficiente se pronunció </w:t>
      </w:r>
      <w:r w:rsidRPr="001F430E">
        <w:rPr>
          <w:rFonts w:ascii="Arial" w:hAnsi="Arial" w:cs="Arial"/>
        </w:rPr>
        <w:t>en relación con la causal de contratación directa de servicios para la ejecución de trabajos artísticos, esta Agencia se pronunció en el Concepto 4201912000006026 de 1° de octubre de 2019 y C-517 del 30 de septiembre de 2021</w:t>
      </w:r>
      <w:r>
        <w:rPr>
          <w:rFonts w:ascii="Arial" w:hAnsi="Arial" w:cs="Arial"/>
        </w:rPr>
        <w:t xml:space="preserve">, el C-181 del 7 de abril de 2022 y el C773 del 17 de noviembre de 2022.  </w:t>
      </w:r>
      <w:r w:rsidRPr="001F430E">
        <w:rPr>
          <w:rFonts w:ascii="Arial" w:eastAsia="Calibri" w:hAnsi="Arial" w:cs="Arial"/>
          <w:color w:val="000000" w:themeColor="text1"/>
        </w:rPr>
        <w:t>Las tesis expuestas en estos conceptos se desarrollan y se complementan en lo pertinente a continuación.</w:t>
      </w:r>
    </w:p>
    <w:p w14:paraId="3B59CEFC" w14:textId="77777777" w:rsidR="00845B19" w:rsidRPr="001F430E" w:rsidRDefault="00845B19" w:rsidP="00845B19">
      <w:pPr>
        <w:spacing w:line="240" w:lineRule="auto"/>
        <w:ind w:firstLine="708"/>
        <w:jc w:val="both"/>
        <w:rPr>
          <w:rFonts w:ascii="Arial" w:eastAsia="Calibri" w:hAnsi="Arial" w:cs="Arial"/>
          <w:color w:val="000000" w:themeColor="text1"/>
        </w:rPr>
      </w:pPr>
    </w:p>
    <w:p w14:paraId="7F6674BB" w14:textId="77777777" w:rsidR="00845B19" w:rsidRPr="001F430E" w:rsidRDefault="00845B19" w:rsidP="00845B19">
      <w:pPr>
        <w:spacing w:line="276" w:lineRule="auto"/>
        <w:jc w:val="both"/>
        <w:rPr>
          <w:rFonts w:ascii="Arial" w:eastAsia="Calibri" w:hAnsi="Arial" w:cs="Arial"/>
          <w:b/>
          <w:bCs/>
          <w:color w:val="000000" w:themeColor="text1"/>
          <w:lang w:val="es-ES_tradnl"/>
        </w:rPr>
      </w:pPr>
      <w:r w:rsidRPr="001F430E">
        <w:rPr>
          <w:rFonts w:ascii="Arial" w:eastAsia="Calibri" w:hAnsi="Arial" w:cs="Arial"/>
          <w:b/>
          <w:bCs/>
          <w:color w:val="000000" w:themeColor="text1"/>
          <w:lang w:val="es-ES_tradnl"/>
        </w:rPr>
        <w:t>2.1. Los contratos de prestación de servicios profesionales, de apoyo a la gestión y de servicios artísticos como especies del contrato de prestación de servicios</w:t>
      </w:r>
      <w:r w:rsidRPr="001F430E" w:rsidDel="00CF2A50">
        <w:rPr>
          <w:rFonts w:ascii="Arial" w:eastAsia="Calibri" w:hAnsi="Arial" w:cs="Arial"/>
          <w:b/>
          <w:bCs/>
          <w:color w:val="000000" w:themeColor="text1"/>
          <w:lang w:val="es-ES_tradnl"/>
        </w:rPr>
        <w:t xml:space="preserve"> </w:t>
      </w:r>
    </w:p>
    <w:p w14:paraId="18992C50" w14:textId="77777777" w:rsidR="00845B19" w:rsidRPr="001F430E" w:rsidRDefault="00845B19" w:rsidP="00845B19">
      <w:pPr>
        <w:tabs>
          <w:tab w:val="left" w:pos="0"/>
        </w:tabs>
        <w:spacing w:line="276" w:lineRule="auto"/>
        <w:jc w:val="both"/>
        <w:rPr>
          <w:rFonts w:ascii="Arial" w:eastAsia="Calibri" w:hAnsi="Arial" w:cs="Arial"/>
          <w:color w:val="000000" w:themeColor="text1"/>
          <w:lang w:val="es-ES_tradnl"/>
        </w:rPr>
      </w:pPr>
      <w:r w:rsidRPr="001F430E">
        <w:rPr>
          <w:rFonts w:ascii="Arial" w:hAnsi="Arial" w:cs="Arial"/>
          <w:color w:val="000000" w:themeColor="text1"/>
        </w:rPr>
        <w:t>El contrato de prestación de servicios es un contrato estatal típico regulado en el artículo 32.3 de la Ley 80 de 1993. Es definido como aquel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r w:rsidRPr="001F430E">
        <w:rPr>
          <w:rFonts w:ascii="Arial" w:eastAsia="Calibri" w:hAnsi="Arial" w:cs="Arial"/>
          <w:color w:val="000000" w:themeColor="text1"/>
          <w:lang w:val="es-ES_tradnl"/>
        </w:rPr>
        <w:t xml:space="preserve"> La celebración de dicho contrato debe efectuarse a través de la modalidad de contratación directa. Así lo dispone el artículo 2, numeral 4º, literal h), de la Ley 1150 de 2007:</w:t>
      </w:r>
    </w:p>
    <w:p w14:paraId="4745AEA3" w14:textId="77777777" w:rsidR="00845B19" w:rsidRPr="00773D00" w:rsidRDefault="00845B19" w:rsidP="00845B19">
      <w:pPr>
        <w:spacing w:line="240" w:lineRule="auto"/>
        <w:ind w:left="709" w:right="758"/>
        <w:jc w:val="both"/>
        <w:rPr>
          <w:rFonts w:ascii="Arial" w:eastAsia="Calibri" w:hAnsi="Arial" w:cs="Arial"/>
          <w:color w:val="000000" w:themeColor="text1"/>
          <w:sz w:val="21"/>
          <w:szCs w:val="21"/>
        </w:rPr>
      </w:pPr>
      <w:r w:rsidRPr="00773D00">
        <w:rPr>
          <w:rFonts w:ascii="Arial" w:eastAsia="Calibri" w:hAnsi="Arial" w:cs="Arial"/>
          <w:color w:val="000000" w:themeColor="text1"/>
          <w:sz w:val="21"/>
          <w:szCs w:val="21"/>
        </w:rPr>
        <w:t>«La escogencia del contratista se efectuará con arreglo a las modalidades de selección de licitación pública, selección abreviada, concurso de méritos y contratación directa, con base en las siguientes reglas:</w:t>
      </w:r>
    </w:p>
    <w:p w14:paraId="5749782F" w14:textId="77777777" w:rsidR="00845B19" w:rsidRPr="00773D00" w:rsidRDefault="00845B19" w:rsidP="00845B19">
      <w:pPr>
        <w:spacing w:after="120" w:line="240" w:lineRule="auto"/>
        <w:ind w:left="709" w:right="760"/>
        <w:jc w:val="both"/>
        <w:rPr>
          <w:rFonts w:ascii="Arial" w:eastAsia="Calibri" w:hAnsi="Arial" w:cs="Arial"/>
          <w:color w:val="000000" w:themeColor="text1"/>
          <w:sz w:val="21"/>
          <w:szCs w:val="21"/>
        </w:rPr>
      </w:pPr>
      <w:r w:rsidRPr="00773D00">
        <w:rPr>
          <w:rFonts w:ascii="Arial" w:eastAsia="Calibri" w:hAnsi="Arial" w:cs="Arial"/>
          <w:color w:val="000000" w:themeColor="text1"/>
          <w:sz w:val="21"/>
          <w:szCs w:val="21"/>
        </w:rPr>
        <w:t>[…]</w:t>
      </w:r>
    </w:p>
    <w:p w14:paraId="38947C2A" w14:textId="77777777" w:rsidR="00845B19" w:rsidRPr="00773D00" w:rsidRDefault="00845B19" w:rsidP="00845B19">
      <w:pPr>
        <w:spacing w:line="240" w:lineRule="auto"/>
        <w:ind w:left="709" w:right="758"/>
        <w:jc w:val="both"/>
        <w:rPr>
          <w:rFonts w:ascii="Arial" w:eastAsia="Calibri" w:hAnsi="Arial" w:cs="Arial"/>
          <w:color w:val="000000" w:themeColor="text1"/>
          <w:sz w:val="21"/>
          <w:szCs w:val="21"/>
        </w:rPr>
      </w:pPr>
      <w:r w:rsidRPr="00773D00">
        <w:rPr>
          <w:rFonts w:ascii="Arial" w:eastAsia="Calibri" w:hAnsi="Arial" w:cs="Arial"/>
          <w:color w:val="000000" w:themeColor="text1"/>
          <w:sz w:val="21"/>
          <w:szCs w:val="21"/>
        </w:rPr>
        <w:t>4. Contratación directa. La modalidad de selección de contratación directa solamente procederá en los siguientes casos:</w:t>
      </w:r>
    </w:p>
    <w:p w14:paraId="336C2FF9" w14:textId="77777777" w:rsidR="00845B19" w:rsidRPr="00773D00" w:rsidRDefault="00845B19" w:rsidP="00845B19">
      <w:pPr>
        <w:spacing w:after="120" w:line="240" w:lineRule="auto"/>
        <w:ind w:left="709" w:right="760"/>
        <w:jc w:val="both"/>
        <w:rPr>
          <w:rFonts w:ascii="Arial" w:eastAsia="Calibri" w:hAnsi="Arial" w:cs="Arial"/>
          <w:color w:val="000000" w:themeColor="text1"/>
          <w:sz w:val="21"/>
          <w:szCs w:val="21"/>
        </w:rPr>
      </w:pPr>
      <w:r w:rsidRPr="00773D00">
        <w:rPr>
          <w:rFonts w:ascii="Arial" w:eastAsia="Calibri" w:hAnsi="Arial" w:cs="Arial"/>
          <w:color w:val="000000" w:themeColor="text1"/>
          <w:sz w:val="21"/>
          <w:szCs w:val="21"/>
        </w:rPr>
        <w:t>[…]</w:t>
      </w:r>
    </w:p>
    <w:p w14:paraId="58793FB1" w14:textId="77777777" w:rsidR="00845B19" w:rsidRPr="00773D00" w:rsidRDefault="00845B19" w:rsidP="00845B19">
      <w:pPr>
        <w:spacing w:line="240" w:lineRule="auto"/>
        <w:ind w:left="709" w:right="758"/>
        <w:jc w:val="both"/>
        <w:rPr>
          <w:rFonts w:ascii="Arial" w:eastAsia="Calibri" w:hAnsi="Arial" w:cs="Arial"/>
          <w:color w:val="000000" w:themeColor="text1"/>
          <w:sz w:val="21"/>
          <w:szCs w:val="21"/>
        </w:rPr>
      </w:pPr>
      <w:r w:rsidRPr="00773D00">
        <w:rPr>
          <w:rFonts w:ascii="Arial" w:eastAsia="Calibri" w:hAnsi="Arial" w:cs="Arial"/>
          <w:color w:val="000000" w:themeColor="text1"/>
          <w:sz w:val="21"/>
          <w:szCs w:val="21"/>
        </w:rPr>
        <w:t>h) Para la prestación de servicios profesionales y de apoyo a la gestión, o para la ejecución de trabajos artísticos que sólo puedan encomendarse a determinadas personas naturales».</w:t>
      </w:r>
    </w:p>
    <w:p w14:paraId="3E8D5A25" w14:textId="77777777" w:rsidR="00845B19" w:rsidRPr="001F430E" w:rsidRDefault="00845B19" w:rsidP="00845B19">
      <w:pPr>
        <w:tabs>
          <w:tab w:val="left" w:pos="0"/>
        </w:tabs>
        <w:spacing w:line="276" w:lineRule="auto"/>
        <w:jc w:val="both"/>
        <w:rPr>
          <w:rFonts w:ascii="Arial" w:hAnsi="Arial" w:cs="Arial"/>
          <w:noProof/>
          <w:lang w:val="es-ES_tradnl"/>
        </w:rPr>
      </w:pPr>
      <w:r w:rsidRPr="001F430E">
        <w:rPr>
          <w:rFonts w:ascii="Arial" w:hAnsi="Arial" w:cs="Arial"/>
          <w:noProof/>
          <w:lang w:val="es-ES_tradnl"/>
        </w:rPr>
        <w:tab/>
      </w:r>
      <w:r w:rsidRPr="001F430E">
        <w:rPr>
          <w:rFonts w:ascii="Arial" w:hAnsi="Arial" w:cs="Arial"/>
          <w:color w:val="000000" w:themeColor="text1"/>
          <w:lang w:val="es-ES_tradnl"/>
        </w:rPr>
        <w:t>A partir de las disposiciones citadas y de los pronunciamientos judiciales más destacados sobre el tema, es posible señalar las siguientes características del contrato de prestación de servicios</w:t>
      </w:r>
      <w:r w:rsidRPr="001F430E">
        <w:rPr>
          <w:rFonts w:ascii="Arial" w:hAnsi="Arial" w:cs="Arial"/>
          <w:noProof/>
          <w:lang w:val="es-ES_tradnl"/>
        </w:rPr>
        <w:t>:</w:t>
      </w:r>
    </w:p>
    <w:p w14:paraId="4FC8060C"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i) Solo puede celebrarse para realizar «actividades relacionadas con la administración o funcionamiento de la entidad», es decir, que hagan parte de su giro ordinario o quehacer cotidiano.</w:t>
      </w:r>
    </w:p>
    <w:p w14:paraId="479CD493"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 xml:space="preserve">ii) Admite que se suscriba con personas naturales o jurídicas. Sin embargo, cuando se celebre con aquellas, la entidad estatal debe justificar, en los estudios previos, que las actividades «no puedan realizarse con personal de planta o requieran conocimientos especializados». Esto </w:t>
      </w:r>
      <w:r w:rsidRPr="001F430E">
        <w:rPr>
          <w:rFonts w:ascii="Arial" w:hAnsi="Arial" w:cs="Arial"/>
          <w:noProof/>
          <w:lang w:val="es-ES_tradnl"/>
        </w:rPr>
        <w:lastRenderedPageBreak/>
        <w:t>sucede en varios eventos, por ejemplo, cuando no exista personal de planta para ejecutar las labores; o existiendo, está sobrecargado de trabajo, necesitando apoyo externo; o habiendo personal de planta, carece de la experticia o conocimiento especializado, razón por la cual es necesario contratar los servicios de una persona natural que tenga el conocimiento y la experiencia en el tema.</w:t>
      </w:r>
    </w:p>
    <w:p w14:paraId="6693D98D"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 xml:space="preserve">iii) Si bien se celebran para obtener la prestación personal de un servicio, se diferencian del contrato de trabajo en que quien celebra el contrato de prestación de servicios debe mantener autonomía e independencia en la ejecución de la labor, lo que significa que no debe existir </w:t>
      </w:r>
      <w:r w:rsidRPr="001F430E">
        <w:rPr>
          <w:rFonts w:ascii="Arial" w:hAnsi="Arial" w:cs="Arial"/>
          <w:i/>
          <w:noProof/>
          <w:lang w:val="es-ES_tradnl"/>
        </w:rPr>
        <w:t xml:space="preserve">subordinación </w:t>
      </w:r>
      <w:r w:rsidRPr="001F430E">
        <w:rPr>
          <w:rFonts w:ascii="Arial" w:hAnsi="Arial" w:cs="Arial"/>
          <w:iCs/>
          <w:noProof/>
          <w:lang w:val="es-ES_tradnl"/>
        </w:rPr>
        <w:t>ni</w:t>
      </w:r>
      <w:r w:rsidRPr="001F430E">
        <w:rPr>
          <w:rFonts w:ascii="Arial" w:hAnsi="Arial" w:cs="Arial"/>
          <w:i/>
          <w:noProof/>
          <w:lang w:val="es-ES_tradnl"/>
        </w:rPr>
        <w:t xml:space="preserve"> dependencia</w:t>
      </w:r>
      <w:r w:rsidRPr="001F430E">
        <w:rPr>
          <w:rFonts w:ascii="Arial" w:hAnsi="Arial" w:cs="Arial"/>
          <w:iCs/>
          <w:noProof/>
          <w:lang w:val="es-ES_tradnl"/>
        </w:rPr>
        <w:t>,</w:t>
      </w:r>
      <w:r w:rsidRPr="001F430E">
        <w:rPr>
          <w:rFonts w:ascii="Arial" w:hAnsi="Arial" w:cs="Arial"/>
          <w:noProof/>
          <w:lang w:val="es-ES_tradnl"/>
        </w:rPr>
        <w:t xml:space="preserve"> que es uno de los elementos constitutivos del vínculo laboral</w:t>
      </w:r>
      <w:r w:rsidRPr="001F430E">
        <w:rPr>
          <w:rStyle w:val="Refdenotaalpie"/>
          <w:rFonts w:ascii="Arial" w:hAnsi="Arial" w:cs="Arial"/>
          <w:noProof/>
          <w:lang w:val="es-ES_tradnl"/>
        </w:rPr>
        <w:footnoteReference w:id="3"/>
      </w:r>
      <w:r w:rsidRPr="001F430E">
        <w:rPr>
          <w:rFonts w:ascii="Arial" w:hAnsi="Arial" w:cs="Arial"/>
          <w:noProof/>
          <w:lang w:val="es-ES_tradnl"/>
        </w:rPr>
        <w:t xml:space="preserve">. Por eso, el artículo 32, numeral 3º, de la Ley 80 de 1993 establece que «En ningún caso estos contratos generan relación laboral ni prestaciones sociales». Este inciso, más que un enunciado que aluda al «ser», se refiere al «deber ser», pues debe interpretarse en el sentido de que los contratos de prestación de servicios profesionales </w:t>
      </w:r>
      <w:r w:rsidRPr="001F430E">
        <w:rPr>
          <w:rFonts w:ascii="Arial" w:hAnsi="Arial" w:cs="Arial"/>
          <w:i/>
          <w:noProof/>
          <w:lang w:val="es-ES_tradnl"/>
        </w:rPr>
        <w:t>no pueden</w:t>
      </w:r>
      <w:r w:rsidRPr="001F430E">
        <w:rPr>
          <w:rFonts w:ascii="Arial" w:hAnsi="Arial" w:cs="Arial"/>
          <w:noProof/>
          <w:lang w:val="es-ES_tradnl"/>
        </w:rPr>
        <w:t xml:space="preserve"> generar relación laboral, ni dar lugar a que las entidades estatales paguen por su cuenta los aportes al Sistema de Seguridad Social Integral del contratista. Tal como se indicó, no puede existir subordinación y dependencia; entonces, la relación laboral está proscrita y el contratista es quien, como «trabajador independiente» –como lo califican las normas de la seguridad social– debe cotizar por su cuenta y riesgo al Sistema de Seguridad Social Integral</w:t>
      </w:r>
      <w:r w:rsidRPr="001F430E">
        <w:rPr>
          <w:rStyle w:val="Refdenotaalpie"/>
          <w:rFonts w:ascii="Arial" w:hAnsi="Arial" w:cs="Arial"/>
          <w:noProof/>
          <w:lang w:val="es-ES_tradnl"/>
        </w:rPr>
        <w:footnoteReference w:id="4"/>
      </w:r>
      <w:r w:rsidRPr="001F430E">
        <w:rPr>
          <w:rFonts w:ascii="Arial" w:hAnsi="Arial" w:cs="Arial"/>
          <w:noProof/>
          <w:lang w:val="es-ES_tradnl"/>
        </w:rPr>
        <w:t xml:space="preserve">. </w:t>
      </w:r>
    </w:p>
    <w:p w14:paraId="510DE15F"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 xml:space="preserve">A pesar de este mandato deontológico, es posible que en la práctica se configure una relación laboral, pues el contrato de trabajo es </w:t>
      </w:r>
      <w:r w:rsidRPr="001F430E">
        <w:rPr>
          <w:rFonts w:ascii="Arial" w:hAnsi="Arial" w:cs="Arial"/>
          <w:i/>
          <w:iCs/>
          <w:noProof/>
          <w:lang w:val="es-ES_tradnl"/>
        </w:rPr>
        <w:t xml:space="preserve">de </w:t>
      </w:r>
      <w:r w:rsidRPr="001F430E">
        <w:rPr>
          <w:rFonts w:ascii="Arial" w:hAnsi="Arial" w:cs="Arial"/>
          <w:i/>
          <w:noProof/>
          <w:lang w:val="es-ES_tradnl"/>
        </w:rPr>
        <w:t>realidad</w:t>
      </w:r>
      <w:r w:rsidRPr="001F430E">
        <w:rPr>
          <w:rFonts w:ascii="Arial" w:hAnsi="Arial" w:cs="Arial"/>
          <w:noProof/>
          <w:lang w:val="es-ES_tradnl"/>
        </w:rPr>
        <w:t xml:space="preserve">, y para perfeccionarlo rige el principio de prevalencia de la realidad sobre las formalidades. En el sentido anterior, la Corte Constitucional declaró la exequibilidad condicionada del segundo inciso del numeral 3º del artículo 32, indicando que «las expresiones acusadas del numeral 3º del artículo 32 de la Ley 80 de 1993, no vulneran los preceptos constitucionales, razón por la cual deberán ser declaradas </w:t>
      </w:r>
      <w:r w:rsidRPr="001F430E">
        <w:rPr>
          <w:rFonts w:ascii="Arial" w:hAnsi="Arial" w:cs="Arial"/>
          <w:noProof/>
          <w:lang w:val="es-ES_tradnl"/>
        </w:rPr>
        <w:lastRenderedPageBreak/>
        <w:t>exequibles, salvo que se acredite por parte del contratista la existencia de una relación laboral subordinada»</w:t>
      </w:r>
      <w:r w:rsidRPr="001F430E">
        <w:rPr>
          <w:rStyle w:val="Refdenotaalpie"/>
          <w:rFonts w:ascii="Arial" w:hAnsi="Arial" w:cs="Arial"/>
          <w:noProof/>
          <w:lang w:val="es-ES_tradnl"/>
        </w:rPr>
        <w:footnoteReference w:id="5"/>
      </w:r>
      <w:r w:rsidRPr="001F430E">
        <w:rPr>
          <w:rFonts w:ascii="Arial" w:hAnsi="Arial" w:cs="Arial"/>
          <w:noProof/>
          <w:lang w:val="es-ES_tradnl"/>
        </w:rPr>
        <w:t>.</w:t>
      </w:r>
    </w:p>
    <w:p w14:paraId="1C8BC99D"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iv) Deben ser temporales. Así lo consideró la Corte Constitucional en la misma providencia a la que se aludió antes, expresando que:</w:t>
      </w:r>
      <w:r>
        <w:rPr>
          <w:rFonts w:ascii="Arial" w:hAnsi="Arial" w:cs="Arial"/>
          <w:noProof/>
          <w:lang w:val="es-ES_tradnl"/>
        </w:rPr>
        <w:t xml:space="preserve"> «</w:t>
      </w:r>
      <w:r w:rsidRPr="001F430E">
        <w:rPr>
          <w:rFonts w:ascii="Arial" w:hAnsi="Arial" w:cs="Arial"/>
          <w:noProof/>
          <w:lang w:val="es-ES_tradnl"/>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Pr>
          <w:rFonts w:ascii="Arial" w:hAnsi="Arial" w:cs="Arial"/>
          <w:noProof/>
          <w:lang w:val="es-ES_tradnl"/>
        </w:rPr>
        <w:t>»</w:t>
      </w:r>
      <w:r w:rsidRPr="001F430E">
        <w:rPr>
          <w:rStyle w:val="Refdenotaalpie"/>
          <w:rFonts w:ascii="Arial" w:hAnsi="Arial" w:cs="Arial"/>
          <w:noProof/>
          <w:lang w:val="es-ES_tradnl"/>
        </w:rPr>
        <w:footnoteReference w:id="6"/>
      </w:r>
      <w:r w:rsidRPr="001F430E">
        <w:rPr>
          <w:rFonts w:ascii="Arial" w:hAnsi="Arial" w:cs="Arial"/>
          <w:noProof/>
          <w:lang w:val="es-ES_tradnl"/>
        </w:rPr>
        <w:t>.</w:t>
      </w:r>
    </w:p>
    <w:p w14:paraId="39C2462E" w14:textId="77777777" w:rsidR="00845B19" w:rsidRPr="001F430E" w:rsidRDefault="00845B19" w:rsidP="00845B19">
      <w:pPr>
        <w:spacing w:after="120" w:line="276" w:lineRule="auto"/>
        <w:ind w:firstLine="709"/>
        <w:jc w:val="both"/>
        <w:rPr>
          <w:rFonts w:ascii="Arial" w:hAnsi="Arial" w:cs="Arial"/>
          <w:noProof/>
          <w:lang w:val="es-ES_tradnl"/>
        </w:rPr>
      </w:pPr>
      <w:r w:rsidRPr="001F430E">
        <w:rPr>
          <w:rFonts w:ascii="Arial" w:hAnsi="Arial" w:cs="Arial"/>
          <w:noProof/>
          <w:lang w:val="es-ES_tradnl"/>
        </w:rPr>
        <w:t>v) Se celebran a través de la modalidad de contratación directa, independientemente de la cuantía y del tipo de servicio profesional, siempre que su objeto no sea la consultoría. Esto por cuanto, como lo indicó el Consejo de Estado en la sentencia de unificación jurisprudencial, si bien en ambos existe un componente intelectual y profesional, el objeto del contrato de consultoría es especial y debe celebrarse, por regla general, mediante un concurso de méritos</w:t>
      </w:r>
      <w:r w:rsidRPr="001F430E">
        <w:rPr>
          <w:rStyle w:val="Refdenotaalpie"/>
          <w:rFonts w:ascii="Arial" w:hAnsi="Arial" w:cs="Arial"/>
          <w:noProof/>
          <w:lang w:val="es-ES_tradnl"/>
        </w:rPr>
        <w:footnoteReference w:id="7"/>
      </w:r>
      <w:r w:rsidRPr="001F430E">
        <w:rPr>
          <w:rFonts w:ascii="Arial" w:hAnsi="Arial" w:cs="Arial"/>
          <w:noProof/>
          <w:lang w:val="es-ES_tradnl"/>
        </w:rPr>
        <w:t>. Debe aclararse que no debe suscribirse un contrato de prestación de servicios profesionales para ejecutar actividades que se enmarcan en los otros contratos tipificados en el artículo 32 de la Ley 80 de 1993, como, por ejemplo, la construcción de una obra.</w:t>
      </w:r>
    </w:p>
    <w:p w14:paraId="6D0B2AC0" w14:textId="77777777" w:rsidR="00845B19" w:rsidRPr="001F430E" w:rsidRDefault="00845B19" w:rsidP="00845B19">
      <w:pPr>
        <w:spacing w:after="120" w:line="276" w:lineRule="auto"/>
        <w:ind w:firstLine="709"/>
        <w:jc w:val="both"/>
        <w:rPr>
          <w:rFonts w:ascii="Arial" w:hAnsi="Arial" w:cs="Arial"/>
          <w:noProof/>
          <w:lang w:val="es-ES_tradnl"/>
        </w:rPr>
      </w:pPr>
      <w:r w:rsidRPr="001F430E">
        <w:rPr>
          <w:rFonts w:ascii="Arial" w:hAnsi="Arial" w:cs="Arial"/>
          <w:noProof/>
          <w:lang w:val="es-ES_tradnl"/>
        </w:rPr>
        <w:t>vi) Para celebrarlo no se requiere expedir un acto administrativo de justificación de la contratación directa</w:t>
      </w:r>
      <w:r w:rsidRPr="001F430E">
        <w:rPr>
          <w:rStyle w:val="Refdenotaalpie"/>
          <w:rFonts w:ascii="Arial" w:hAnsi="Arial" w:cs="Arial"/>
          <w:noProof/>
          <w:lang w:val="es-ES_tradnl"/>
        </w:rPr>
        <w:footnoteReference w:id="8"/>
      </w:r>
      <w:r w:rsidRPr="001F430E">
        <w:rPr>
          <w:rFonts w:ascii="Arial" w:hAnsi="Arial" w:cs="Arial"/>
          <w:noProof/>
          <w:lang w:val="es-ES_tradnl"/>
        </w:rPr>
        <w:t>.</w:t>
      </w:r>
    </w:p>
    <w:p w14:paraId="6073F1FF"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 xml:space="preserve">vii) El contrato admite la inclusión de cláusulas excepcionales. En los contratos de prestación de servicios se puede pactar la caducidad, la modificación, interpretación o terminación unilateral, como acuerdos o elementos accidentales, así que para ejercer estas </w:t>
      </w:r>
      <w:r w:rsidRPr="001F430E">
        <w:rPr>
          <w:rFonts w:ascii="Arial" w:hAnsi="Arial" w:cs="Arial"/>
          <w:noProof/>
          <w:lang w:val="es-ES_tradnl"/>
        </w:rPr>
        <w:lastRenderedPageBreak/>
        <w:t>exorbitancias deben incluirse expresamente, porque no se entienden pactadas por naturaleza. Así se infiere del artículo 14, numeral 2º, de la Ley 80 de 1993</w:t>
      </w:r>
      <w:r w:rsidRPr="001F430E">
        <w:rPr>
          <w:rStyle w:val="Refdenotaalpie"/>
          <w:rFonts w:ascii="Arial" w:hAnsi="Arial" w:cs="Arial"/>
          <w:noProof/>
          <w:lang w:val="es-ES_tradnl"/>
        </w:rPr>
        <w:footnoteReference w:id="9"/>
      </w:r>
      <w:r w:rsidRPr="001F430E">
        <w:rPr>
          <w:rFonts w:ascii="Arial" w:hAnsi="Arial" w:cs="Arial"/>
          <w:noProof/>
          <w:lang w:val="es-ES_tradnl"/>
        </w:rPr>
        <w:t>.</w:t>
      </w:r>
    </w:p>
    <w:p w14:paraId="5B17B35A"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viii) No es obligatorio liquidar estos contratos, como lo establece el artículo 217 del Decreto 019 de 2012, que modificó el artículo 60 de la Ley 80 de 1993</w:t>
      </w:r>
      <w:r w:rsidRPr="001F430E">
        <w:rPr>
          <w:rStyle w:val="Refdenotaalpie"/>
          <w:rFonts w:ascii="Arial" w:hAnsi="Arial" w:cs="Arial"/>
          <w:noProof/>
          <w:lang w:val="es-ES_tradnl"/>
        </w:rPr>
        <w:footnoteReference w:id="10"/>
      </w:r>
      <w:r w:rsidRPr="001F430E">
        <w:rPr>
          <w:rFonts w:ascii="Arial" w:hAnsi="Arial" w:cs="Arial"/>
          <w:noProof/>
          <w:lang w:val="es-ES_tradnl"/>
        </w:rPr>
        <w:t>.</w:t>
      </w:r>
    </w:p>
    <w:p w14:paraId="37487D3B" w14:textId="77777777" w:rsidR="00845B19" w:rsidRPr="001F430E" w:rsidRDefault="00845B19" w:rsidP="00845B19">
      <w:pPr>
        <w:spacing w:before="120" w:line="276" w:lineRule="auto"/>
        <w:ind w:firstLine="709"/>
        <w:jc w:val="both"/>
        <w:rPr>
          <w:rFonts w:ascii="Arial" w:hAnsi="Arial" w:cs="Arial"/>
          <w:noProof/>
          <w:lang w:val="es-ES_tradnl"/>
        </w:rPr>
      </w:pPr>
      <w:r w:rsidRPr="001F430E">
        <w:rPr>
          <w:rFonts w:ascii="Arial" w:hAnsi="Arial" w:cs="Arial"/>
          <w:noProof/>
          <w:lang w:val="es-ES_tradnl"/>
        </w:rPr>
        <w:t>ix) Para celebrarlos no se requiere estar inscrito en el Registro Único de Proponentes –RUP–, como lo señala el artículo 6 de la Ley 1150 de 2007</w:t>
      </w:r>
      <w:r w:rsidRPr="001F430E">
        <w:rPr>
          <w:rStyle w:val="Refdenotaalpie"/>
          <w:rFonts w:ascii="Arial" w:hAnsi="Arial" w:cs="Arial"/>
          <w:noProof/>
          <w:lang w:val="es-ES_tradnl"/>
        </w:rPr>
        <w:footnoteReference w:id="11"/>
      </w:r>
      <w:r w:rsidRPr="001F430E">
        <w:rPr>
          <w:rFonts w:ascii="Arial" w:hAnsi="Arial" w:cs="Arial"/>
          <w:noProof/>
          <w:lang w:val="es-ES_tradnl"/>
        </w:rPr>
        <w:t>.</w:t>
      </w:r>
    </w:p>
    <w:p w14:paraId="72F90BBC" w14:textId="77777777" w:rsidR="00845B19" w:rsidRPr="001F430E" w:rsidRDefault="00845B19" w:rsidP="00845B19">
      <w:pPr>
        <w:spacing w:before="120" w:line="276" w:lineRule="auto"/>
        <w:ind w:firstLine="708"/>
        <w:jc w:val="both"/>
        <w:rPr>
          <w:rFonts w:ascii="Arial" w:hAnsi="Arial" w:cs="Arial"/>
          <w:noProof/>
          <w:lang w:val="es-ES_tradnl"/>
        </w:rPr>
      </w:pPr>
      <w:r w:rsidRPr="001F430E">
        <w:rPr>
          <w:rFonts w:ascii="Arial" w:hAnsi="Arial" w:cs="Arial"/>
          <w:noProof/>
          <w:lang w:val="es-ES_tradnl"/>
        </w:rPr>
        <w:t>x) No es necesario que el Estado exija garantías</w:t>
      </w:r>
      <w:r w:rsidRPr="001F430E">
        <w:rPr>
          <w:rStyle w:val="Refdenotaalpie"/>
          <w:rFonts w:ascii="Arial" w:hAnsi="Arial" w:cs="Arial"/>
          <w:noProof/>
          <w:lang w:val="es-ES_tradnl"/>
        </w:rPr>
        <w:footnoteReference w:id="12"/>
      </w:r>
      <w:r w:rsidRPr="001F430E">
        <w:rPr>
          <w:rFonts w:ascii="Arial" w:hAnsi="Arial" w:cs="Arial"/>
          <w:noProof/>
          <w:lang w:val="es-ES_tradnl"/>
        </w:rPr>
        <w:t>.</w:t>
      </w:r>
    </w:p>
    <w:p w14:paraId="57441A31" w14:textId="77777777" w:rsidR="00845B19" w:rsidRPr="001F430E" w:rsidRDefault="00845B19" w:rsidP="00845B19">
      <w:pPr>
        <w:tabs>
          <w:tab w:val="left" w:pos="0"/>
        </w:tabs>
        <w:spacing w:before="120" w:line="276" w:lineRule="auto"/>
        <w:ind w:firstLine="709"/>
        <w:jc w:val="both"/>
        <w:rPr>
          <w:rFonts w:ascii="Arial" w:hAnsi="Arial" w:cs="Arial"/>
          <w:color w:val="000000" w:themeColor="text1"/>
        </w:rPr>
      </w:pPr>
      <w:r w:rsidRPr="001F430E">
        <w:rPr>
          <w:rFonts w:ascii="Arial" w:hAnsi="Arial" w:cs="Arial"/>
          <w:color w:val="000000" w:themeColor="text1"/>
        </w:rPr>
        <w:t xml:space="preserve">Ahora bien, como especies del género </w:t>
      </w:r>
      <w:r w:rsidRPr="001F430E">
        <w:rPr>
          <w:rFonts w:ascii="Arial" w:hAnsi="Arial" w:cs="Arial"/>
          <w:i/>
          <w:color w:val="000000" w:themeColor="text1"/>
        </w:rPr>
        <w:t>prestación de servicios,</w:t>
      </w:r>
      <w:r w:rsidRPr="001F430E">
        <w:rPr>
          <w:rFonts w:ascii="Arial" w:hAnsi="Arial" w:cs="Arial"/>
          <w:color w:val="000000" w:themeColor="text1"/>
        </w:rPr>
        <w:t xml:space="preserve"> se incluyen </w:t>
      </w:r>
      <w:r w:rsidRPr="001F430E">
        <w:rPr>
          <w:rFonts w:ascii="Arial" w:hAnsi="Arial" w:cs="Arial"/>
          <w:color w:val="000000" w:themeColor="text1"/>
          <w:lang w:val="es-ES_tradnl"/>
        </w:rPr>
        <w:t xml:space="preserve">los </w:t>
      </w:r>
      <w:r w:rsidRPr="001F430E">
        <w:rPr>
          <w:rFonts w:ascii="Arial" w:hAnsi="Arial" w:cs="Arial"/>
          <w:i/>
          <w:iCs/>
          <w:color w:val="000000" w:themeColor="text1"/>
          <w:lang w:val="es-ES_tradnl"/>
        </w:rPr>
        <w:t>contratos de prestación de servicios profesionales, los contratos de prestación de servicios apoyo a la gestión</w:t>
      </w:r>
      <w:r w:rsidRPr="001F430E">
        <w:rPr>
          <w:rFonts w:ascii="Arial" w:hAnsi="Arial" w:cs="Arial"/>
          <w:color w:val="000000" w:themeColor="text1"/>
          <w:lang w:val="es-ES_tradnl"/>
        </w:rPr>
        <w:t xml:space="preserve"> y los </w:t>
      </w:r>
      <w:r w:rsidRPr="001F430E">
        <w:rPr>
          <w:rFonts w:ascii="Arial" w:hAnsi="Arial" w:cs="Arial"/>
          <w:i/>
          <w:iCs/>
          <w:color w:val="000000" w:themeColor="text1"/>
          <w:lang w:val="es-ES_tradnl"/>
        </w:rPr>
        <w:t>contratos de prestación de servicios artísticos que solo pueden encomendarse a determinadas personas naturales</w:t>
      </w:r>
      <w:r w:rsidRPr="001F430E">
        <w:rPr>
          <w:rFonts w:ascii="Arial" w:hAnsi="Arial" w:cs="Arial"/>
          <w:color w:val="000000" w:themeColor="text1"/>
          <w:vertAlign w:val="superscript"/>
          <w:lang w:val="es-ES_tradnl"/>
        </w:rPr>
        <w:footnoteReference w:id="13"/>
      </w:r>
      <w:r w:rsidRPr="001F430E">
        <w:rPr>
          <w:rFonts w:ascii="Arial" w:hAnsi="Arial" w:cs="Arial"/>
          <w:color w:val="000000" w:themeColor="text1"/>
        </w:rPr>
        <w:t xml:space="preserve">. </w:t>
      </w:r>
      <w:r w:rsidRPr="001F430E">
        <w:rPr>
          <w:rFonts w:ascii="Arial" w:hAnsi="Arial" w:cs="Arial"/>
          <w:color w:val="000000" w:themeColor="text1"/>
          <w:lang w:val="es-ES_tradnl"/>
        </w:rPr>
        <w:t xml:space="preserve">La diferencia entre el contrato de prestación de servicios </w:t>
      </w:r>
      <w:r w:rsidRPr="001F430E">
        <w:rPr>
          <w:rFonts w:ascii="Arial" w:hAnsi="Arial" w:cs="Arial"/>
          <w:i/>
          <w:color w:val="000000" w:themeColor="text1"/>
          <w:lang w:val="es-ES_tradnl"/>
        </w:rPr>
        <w:t>profesionales</w:t>
      </w:r>
      <w:r w:rsidRPr="001F430E">
        <w:rPr>
          <w:rFonts w:ascii="Arial" w:hAnsi="Arial" w:cs="Arial"/>
          <w:color w:val="000000" w:themeColor="text1"/>
          <w:lang w:val="es-ES_tradnl"/>
        </w:rPr>
        <w:t xml:space="preserve"> con las otras dos especies del género en el cual se ubican radica en su contenido </w:t>
      </w:r>
      <w:r w:rsidRPr="001F430E">
        <w:rPr>
          <w:rFonts w:ascii="Arial" w:hAnsi="Arial" w:cs="Arial"/>
          <w:color w:val="000000" w:themeColor="text1"/>
          <w:lang w:val="es-ES_tradnl"/>
        </w:rPr>
        <w:lastRenderedPageBreak/>
        <w:t>intelectual intangible y, al mismo tiempo, en la formación profesional que se exige para desempeñar la labor. Así lo consideró el Consejo de Estado en Sentencia de Unificación jurisprudencial del 2 de diciembre de 2013, al explicar que:</w:t>
      </w:r>
    </w:p>
    <w:p w14:paraId="6AAD9D0B" w14:textId="77777777" w:rsidR="00845B19" w:rsidRPr="00773D00" w:rsidRDefault="00845B19" w:rsidP="00845B19">
      <w:pPr>
        <w:spacing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773D00">
        <w:rPr>
          <w:rStyle w:val="Refdenotaalpie"/>
          <w:rFonts w:ascii="Arial" w:hAnsi="Arial" w:cs="Arial"/>
          <w:color w:val="000000" w:themeColor="text1"/>
          <w:sz w:val="21"/>
          <w:szCs w:val="21"/>
          <w:lang w:val="es-ES_tradnl"/>
        </w:rPr>
        <w:footnoteReference w:id="14"/>
      </w:r>
      <w:r w:rsidRPr="00773D00">
        <w:rPr>
          <w:rFonts w:ascii="Arial" w:hAnsi="Arial" w:cs="Arial"/>
          <w:color w:val="000000" w:themeColor="text1"/>
          <w:sz w:val="21"/>
          <w:szCs w:val="21"/>
          <w:lang w:val="es-ES_tradnl"/>
        </w:rPr>
        <w:t>.</w:t>
      </w:r>
    </w:p>
    <w:p w14:paraId="216EA7A2" w14:textId="77777777" w:rsidR="00845B19" w:rsidRPr="001F430E" w:rsidRDefault="00845B19" w:rsidP="00845B19">
      <w:pPr>
        <w:spacing w:line="276" w:lineRule="auto"/>
        <w:ind w:firstLine="709"/>
        <w:jc w:val="both"/>
        <w:rPr>
          <w:rFonts w:ascii="Arial" w:hAnsi="Arial" w:cs="Arial"/>
          <w:color w:val="000000" w:themeColor="text1"/>
          <w:lang w:val="es-ES_tradnl"/>
        </w:rPr>
      </w:pPr>
      <w:r w:rsidRPr="001F430E">
        <w:rPr>
          <w:rFonts w:ascii="Arial" w:hAnsi="Arial" w:cs="Arial"/>
          <w:color w:val="000000" w:themeColor="text1"/>
          <w:lang w:val="es-ES_tradnl"/>
        </w:rPr>
        <w:t xml:space="preserve">Lo expuesto, según la jurisprudencia citada, se diferencia del objeto del </w:t>
      </w:r>
      <w:r w:rsidRPr="001F430E">
        <w:rPr>
          <w:rFonts w:ascii="Arial" w:hAnsi="Arial" w:cs="Arial"/>
          <w:i/>
          <w:iCs/>
          <w:color w:val="000000" w:themeColor="text1"/>
          <w:lang w:val="es-ES_tradnl"/>
        </w:rPr>
        <w:t>contrato de prestación de servicios de apoyo a la gestión</w:t>
      </w:r>
      <w:r w:rsidRPr="001F430E">
        <w:rPr>
          <w:rFonts w:ascii="Arial" w:hAnsi="Arial" w:cs="Arial"/>
          <w:color w:val="000000" w:themeColor="text1"/>
          <w:lang w:val="es-ES_tradnl"/>
        </w:rPr>
        <w:t>, en los siguientes aspectos:</w:t>
      </w:r>
    </w:p>
    <w:p w14:paraId="2D21B643" w14:textId="77777777" w:rsidR="00845B19" w:rsidRPr="00773D00" w:rsidRDefault="00845B19" w:rsidP="00845B19">
      <w:pPr>
        <w:spacing w:after="120"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0159FBF7" w14:textId="77777777" w:rsidR="00845B19" w:rsidRPr="00773D00" w:rsidRDefault="00845B19" w:rsidP="00845B19">
      <w:pPr>
        <w:spacing w:after="120"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 xml:space="preserve">Aunque también se caracteriza por el desempeño de actividad intelectiva, ésta </w:t>
      </w:r>
      <w:proofErr w:type="gramStart"/>
      <w:r w:rsidRPr="00773D00">
        <w:rPr>
          <w:rFonts w:ascii="Arial" w:hAnsi="Arial" w:cs="Arial"/>
          <w:color w:val="000000" w:themeColor="text1"/>
          <w:sz w:val="21"/>
          <w:szCs w:val="21"/>
          <w:lang w:val="es-ES_tradnl"/>
        </w:rPr>
        <w:t>se enmarca dentro de</w:t>
      </w:r>
      <w:proofErr w:type="gramEnd"/>
      <w:r w:rsidRPr="00773D00">
        <w:rPr>
          <w:rFonts w:ascii="Arial" w:hAnsi="Arial" w:cs="Arial"/>
          <w:color w:val="000000" w:themeColor="text1"/>
          <w:sz w:val="21"/>
          <w:szCs w:val="21"/>
          <w:lang w:val="es-ES_tradnl"/>
        </w:rPr>
        <w:t xml:space="preserve"> un saber propiamente técnico; igualmente involucra actividades en donde prima el esfuerzo físico o mecánico, en donde no se requiere de personal profesional.</w:t>
      </w:r>
    </w:p>
    <w:p w14:paraId="7423DB1D" w14:textId="77777777" w:rsidR="00845B19" w:rsidRPr="00773D00" w:rsidRDefault="00845B19" w:rsidP="00845B19">
      <w:pPr>
        <w:spacing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Dentro de su objeto contractual pueden tener lugar actividades operativas, logísticas o asistenciales, siempre que satisfaga los requisitos antes mencionados y sea acorde con las necesidades de la Administración y el principio de planeación»</w:t>
      </w:r>
      <w:r w:rsidRPr="00773D00">
        <w:rPr>
          <w:rStyle w:val="Refdenotaalpie"/>
          <w:rFonts w:ascii="Arial" w:hAnsi="Arial" w:cs="Arial"/>
          <w:color w:val="000000" w:themeColor="text1"/>
          <w:sz w:val="21"/>
          <w:szCs w:val="21"/>
          <w:lang w:val="es-ES_tradnl"/>
        </w:rPr>
        <w:footnoteReference w:id="15"/>
      </w:r>
      <w:r w:rsidRPr="00773D00">
        <w:rPr>
          <w:rFonts w:ascii="Arial" w:hAnsi="Arial" w:cs="Arial"/>
          <w:color w:val="000000" w:themeColor="text1"/>
          <w:sz w:val="21"/>
          <w:szCs w:val="21"/>
          <w:lang w:val="es-ES_tradnl"/>
        </w:rPr>
        <w:t>.</w:t>
      </w:r>
    </w:p>
    <w:p w14:paraId="1E99E412" w14:textId="77777777" w:rsidR="00845B19" w:rsidRPr="001F430E" w:rsidRDefault="00845B19" w:rsidP="00845B19">
      <w:pPr>
        <w:spacing w:line="276" w:lineRule="auto"/>
        <w:ind w:firstLine="709"/>
        <w:jc w:val="both"/>
        <w:rPr>
          <w:rFonts w:ascii="Arial" w:hAnsi="Arial" w:cs="Arial"/>
          <w:color w:val="000000" w:themeColor="text1"/>
          <w:lang w:val="es-ES_tradnl"/>
        </w:rPr>
      </w:pPr>
      <w:r w:rsidRPr="001F430E">
        <w:rPr>
          <w:rFonts w:ascii="Arial" w:hAnsi="Arial" w:cs="Arial"/>
          <w:color w:val="000000" w:themeColor="text1"/>
          <w:lang w:val="es-ES_tradnl"/>
        </w:rPr>
        <w:t xml:space="preserve">En relación con el </w:t>
      </w:r>
      <w:r w:rsidRPr="001F430E">
        <w:rPr>
          <w:rFonts w:ascii="Arial" w:hAnsi="Arial" w:cs="Arial"/>
          <w:i/>
          <w:iCs/>
          <w:color w:val="000000" w:themeColor="text1"/>
          <w:lang w:val="es-ES_tradnl"/>
        </w:rPr>
        <w:t>contrato de prestación de servicios artísticos que solo pueden encomendarse a determinadas personas naturales</w:t>
      </w:r>
      <w:r w:rsidRPr="001F430E">
        <w:rPr>
          <w:rFonts w:ascii="Arial" w:hAnsi="Arial" w:cs="Arial"/>
          <w:color w:val="000000" w:themeColor="text1"/>
          <w:lang w:val="es-ES_tradnl"/>
        </w:rPr>
        <w:t>, señala la mencionada decisión judicial lo siguiente:</w:t>
      </w:r>
    </w:p>
    <w:p w14:paraId="10CF4136" w14:textId="77777777" w:rsidR="00845B19" w:rsidRPr="00773D00" w:rsidRDefault="00845B19" w:rsidP="00845B19">
      <w:pPr>
        <w:spacing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«Tienen lugar dentro de esta categoría los contratos de prestación de servicios que tengan por objeto la ejecución de trabajos artísticos, esto es, trabajos que corresponden al conjunto de creaciones humanas que 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773D00">
        <w:rPr>
          <w:rStyle w:val="Refdenotaalpie"/>
          <w:rFonts w:ascii="Arial" w:hAnsi="Arial" w:cs="Arial"/>
          <w:color w:val="000000" w:themeColor="text1"/>
          <w:sz w:val="21"/>
          <w:szCs w:val="21"/>
          <w:lang w:val="es-ES_tradnl"/>
        </w:rPr>
        <w:footnoteReference w:id="16"/>
      </w:r>
      <w:r w:rsidRPr="00773D00">
        <w:rPr>
          <w:rFonts w:ascii="Arial" w:hAnsi="Arial" w:cs="Arial"/>
          <w:color w:val="000000" w:themeColor="text1"/>
          <w:sz w:val="21"/>
          <w:szCs w:val="21"/>
          <w:lang w:val="es-ES_tradnl"/>
        </w:rPr>
        <w:t>.</w:t>
      </w:r>
    </w:p>
    <w:p w14:paraId="7A0570B5" w14:textId="77777777" w:rsidR="00845B19" w:rsidRDefault="00845B19" w:rsidP="00845B19">
      <w:pPr>
        <w:spacing w:line="276" w:lineRule="auto"/>
        <w:ind w:firstLine="709"/>
        <w:jc w:val="both"/>
        <w:rPr>
          <w:rFonts w:ascii="Arial" w:hAnsi="Arial" w:cs="Arial"/>
          <w:color w:val="000000" w:themeColor="text1"/>
          <w:lang w:val="es-ES_tradnl"/>
        </w:rPr>
      </w:pPr>
      <w:r w:rsidRPr="001F430E">
        <w:rPr>
          <w:rFonts w:ascii="Arial" w:hAnsi="Arial" w:cs="Arial"/>
          <w:color w:val="000000" w:themeColor="text1"/>
          <w:lang w:val="es-ES_tradnl"/>
        </w:rPr>
        <w:lastRenderedPageBreak/>
        <w:t xml:space="preserve">En este sentido, el contrato de prestación de servicios </w:t>
      </w:r>
      <w:r w:rsidRPr="001F430E">
        <w:rPr>
          <w:rFonts w:ascii="Arial" w:hAnsi="Arial" w:cs="Arial"/>
          <w:i/>
          <w:iCs/>
          <w:color w:val="000000" w:themeColor="text1"/>
          <w:lang w:val="es-ES_tradnl"/>
        </w:rPr>
        <w:t>profesionales</w:t>
      </w:r>
      <w:r w:rsidRPr="001F430E">
        <w:rPr>
          <w:rFonts w:ascii="Arial" w:hAnsi="Arial" w:cs="Arial"/>
          <w:color w:val="000000" w:themeColor="text1"/>
          <w:lang w:val="es-ES_tradnl"/>
        </w:rPr>
        <w:t xml:space="preserve"> se caracteriza porque su objeto guarda relación con el desarrollo de actividades que demandan competencias y habilidades profesionales o especializadas de la persona natural o jurídica a contratar, de manera que se trata de un </w:t>
      </w:r>
      <w:r w:rsidRPr="001F430E">
        <w:rPr>
          <w:rFonts w:ascii="Arial" w:hAnsi="Arial" w:cs="Arial"/>
          <w:i/>
          <w:iCs/>
          <w:color w:val="000000" w:themeColor="text1"/>
          <w:lang w:val="es-ES_tradnl"/>
        </w:rPr>
        <w:t>saber intelectivo cualificado.</w:t>
      </w:r>
      <w:r w:rsidRPr="001F430E">
        <w:rPr>
          <w:rFonts w:ascii="Arial" w:hAnsi="Arial" w:cs="Arial"/>
          <w:color w:val="000000" w:themeColor="text1"/>
          <w:lang w:val="es-ES_tradnl"/>
        </w:rPr>
        <w:t xml:space="preserve"> En cambio, los contratos de prestación de servicios de </w:t>
      </w:r>
      <w:r w:rsidRPr="001F430E">
        <w:rPr>
          <w:rFonts w:ascii="Arial" w:hAnsi="Arial" w:cs="Arial"/>
          <w:i/>
          <w:iCs/>
          <w:color w:val="000000" w:themeColor="text1"/>
          <w:lang w:val="es-ES_tradnl"/>
        </w:rPr>
        <w:t>apoyo a la gestión</w:t>
      </w:r>
      <w:r w:rsidRPr="001F430E">
        <w:rPr>
          <w:rFonts w:ascii="Arial" w:hAnsi="Arial" w:cs="Arial"/>
          <w:color w:val="000000" w:themeColor="text1"/>
          <w:lang w:val="es-ES_tradnl"/>
        </w:rPr>
        <w:t xml:space="preserve"> y de </w:t>
      </w:r>
      <w:r w:rsidRPr="001F430E">
        <w:rPr>
          <w:rFonts w:ascii="Arial" w:hAnsi="Arial" w:cs="Arial"/>
          <w:i/>
          <w:iCs/>
          <w:color w:val="000000" w:themeColor="text1"/>
          <w:lang w:val="es-ES_tradnl"/>
        </w:rPr>
        <w:t>servicios artísticos</w:t>
      </w:r>
      <w:r w:rsidRPr="001F430E">
        <w:rPr>
          <w:rFonts w:ascii="Arial" w:hAnsi="Arial" w:cs="Arial"/>
          <w:color w:val="000000" w:themeColor="text1"/>
          <w:lang w:val="es-ES_tradnl"/>
        </w:rPr>
        <w:t xml:space="preserve"> no involucran ese conocimiento profesional </w:t>
      </w:r>
      <w:r w:rsidRPr="001F430E">
        <w:rPr>
          <w:rFonts w:ascii="Arial" w:hAnsi="Arial" w:cs="Arial"/>
          <w:color w:val="000000" w:themeColor="text1"/>
        </w:rPr>
        <w:t xml:space="preserve">o especializados para su ejecución. En los de apoyo a la gestión </w:t>
      </w:r>
      <w:r w:rsidRPr="001F430E">
        <w:rPr>
          <w:rFonts w:ascii="Arial" w:hAnsi="Arial" w:cs="Arial"/>
          <w:color w:val="000000" w:themeColor="text1"/>
          <w:lang w:val="es-ES_tradnl"/>
        </w:rPr>
        <w:t xml:space="preserve">el contratista desempeña un esfuerzo o actividad de apoyo, acompañamiento, o soporte, </w:t>
      </w:r>
      <w:r w:rsidRPr="001F430E">
        <w:rPr>
          <w:rFonts w:ascii="Arial" w:hAnsi="Arial" w:cs="Arial"/>
          <w:color w:val="000000" w:themeColor="text1"/>
        </w:rPr>
        <w:t xml:space="preserve">en donde </w:t>
      </w:r>
      <w:r w:rsidRPr="001F430E">
        <w:rPr>
          <w:rFonts w:ascii="Arial" w:hAnsi="Arial" w:cs="Arial"/>
          <w:color w:val="000000" w:themeColor="text1"/>
          <w:lang w:val="es-ES_tradnl"/>
        </w:rPr>
        <w:t>«lo predominante es el actuar como ejecutor, con el propósito y finalidad de satisfacer necesidades de las entidades estatales en lo relacionado con la gestión administrativa o funcionamiento de la misma, por personas no profesionales y que no implican el ejercicio de funciones públicas administrativas». Igualmente, en el contrato de prestación de servicios artísticos lo prevalente es que la persona que lo ejecute se trate de un artista, es decir, «una persona reconocida como realizador o productor de arte, de obras de arte, ejecutor de trabajos artísticos</w:t>
      </w:r>
      <w:bookmarkStart w:id="3" w:name="_Hlk80118732"/>
      <w:r w:rsidRPr="001F430E">
        <w:rPr>
          <w:rFonts w:ascii="Arial" w:hAnsi="Arial" w:cs="Arial"/>
          <w:color w:val="000000" w:themeColor="text1"/>
          <w:lang w:val="es-ES_tradnl"/>
        </w:rPr>
        <w:t>»</w:t>
      </w:r>
      <w:bookmarkEnd w:id="3"/>
      <w:r w:rsidRPr="001F430E">
        <w:rPr>
          <w:rFonts w:ascii="Arial" w:hAnsi="Arial" w:cs="Arial"/>
          <w:color w:val="000000" w:themeColor="text1"/>
          <w:lang w:val="es-ES_tradnl"/>
        </w:rPr>
        <w:t>, en donde es indiferente el carácter de profesional.</w:t>
      </w:r>
    </w:p>
    <w:p w14:paraId="3DC1C385" w14:textId="77777777" w:rsidR="00845B19" w:rsidRPr="001F430E" w:rsidRDefault="00845B19" w:rsidP="00845B19">
      <w:pPr>
        <w:spacing w:line="276" w:lineRule="auto"/>
        <w:ind w:right="105"/>
        <w:jc w:val="both"/>
        <w:rPr>
          <w:rFonts w:ascii="Arial" w:eastAsia="Calibri" w:hAnsi="Arial" w:cs="Arial"/>
          <w:b/>
          <w:bCs/>
          <w:color w:val="000000" w:themeColor="text1"/>
        </w:rPr>
      </w:pPr>
      <w:r w:rsidRPr="001F430E">
        <w:rPr>
          <w:rFonts w:ascii="Arial" w:eastAsia="Calibri" w:hAnsi="Arial" w:cs="Arial"/>
          <w:b/>
          <w:bCs/>
          <w:color w:val="000000" w:themeColor="text1"/>
        </w:rPr>
        <w:t xml:space="preserve">2.2. La contratación directa de servicios para la ejecución de trabajos artísticos con determinadas personas naturales </w:t>
      </w:r>
    </w:p>
    <w:p w14:paraId="4D769138" w14:textId="77777777" w:rsidR="00845B19" w:rsidRPr="001F430E" w:rsidRDefault="00845B19" w:rsidP="00845B19">
      <w:pPr>
        <w:spacing w:after="120" w:line="276" w:lineRule="auto"/>
        <w:jc w:val="both"/>
        <w:rPr>
          <w:rFonts w:ascii="Arial" w:eastAsia="Calibri" w:hAnsi="Arial" w:cs="Arial"/>
          <w:color w:val="000000" w:themeColor="text1"/>
        </w:rPr>
      </w:pPr>
      <w:r w:rsidRPr="001F430E">
        <w:rPr>
          <w:rFonts w:ascii="Arial" w:eastAsia="Calibri" w:hAnsi="Arial" w:cs="Arial"/>
          <w:color w:val="000000" w:themeColor="text1"/>
        </w:rPr>
        <w:t xml:space="preserve">Según el numeral 4 del artículo 2 de la Ley 1150 de 2007, las causales para acudir a la modalidad de selección de contratación directa son: i) la urgencia manifiesta; </w:t>
      </w:r>
      <w:proofErr w:type="spellStart"/>
      <w:r w:rsidRPr="001F430E">
        <w:rPr>
          <w:rFonts w:ascii="Arial" w:eastAsia="Calibri" w:hAnsi="Arial" w:cs="Arial"/>
          <w:color w:val="000000" w:themeColor="text1"/>
        </w:rPr>
        <w:t>ii</w:t>
      </w:r>
      <w:proofErr w:type="spellEnd"/>
      <w:r w:rsidRPr="001F430E">
        <w:rPr>
          <w:rFonts w:ascii="Arial" w:eastAsia="Calibri" w:hAnsi="Arial" w:cs="Arial"/>
          <w:color w:val="000000" w:themeColor="text1"/>
        </w:rPr>
        <w:t xml:space="preserve">) la contratación entre entidades estatales; </w:t>
      </w:r>
      <w:proofErr w:type="spellStart"/>
      <w:r w:rsidRPr="001F430E">
        <w:rPr>
          <w:rFonts w:ascii="Arial" w:eastAsia="Calibri" w:hAnsi="Arial" w:cs="Arial"/>
          <w:color w:val="000000" w:themeColor="text1"/>
        </w:rPr>
        <w:t>iii</w:t>
      </w:r>
      <w:proofErr w:type="spellEnd"/>
      <w:r w:rsidRPr="001F430E">
        <w:rPr>
          <w:rFonts w:ascii="Arial" w:eastAsia="Calibri" w:hAnsi="Arial" w:cs="Arial"/>
          <w:color w:val="000000" w:themeColor="text1"/>
        </w:rPr>
        <w:t xml:space="preserve">) cuando no exista pluralidad de oferentes; </w:t>
      </w:r>
      <w:proofErr w:type="spellStart"/>
      <w:r w:rsidRPr="001F430E">
        <w:rPr>
          <w:rFonts w:ascii="Arial" w:eastAsia="Calibri" w:hAnsi="Arial" w:cs="Arial"/>
          <w:color w:val="000000" w:themeColor="text1"/>
        </w:rPr>
        <w:t>iv</w:t>
      </w:r>
      <w:proofErr w:type="spellEnd"/>
      <w:r w:rsidRPr="001F430E">
        <w:rPr>
          <w:rFonts w:ascii="Arial" w:eastAsia="Calibri" w:hAnsi="Arial" w:cs="Arial"/>
          <w:color w:val="000000" w:themeColor="text1"/>
        </w:rPr>
        <w:t>) contratos de prestación de servicios profesionales y de apoyo a la gestión</w:t>
      </w:r>
      <w:r w:rsidRPr="001F430E">
        <w:rPr>
          <w:rStyle w:val="Refdenotaalpie"/>
          <w:rFonts w:ascii="Arial" w:eastAsia="Calibri" w:hAnsi="Arial" w:cs="Arial"/>
          <w:color w:val="000000" w:themeColor="text1"/>
        </w:rPr>
        <w:footnoteReference w:id="17"/>
      </w:r>
      <w:r w:rsidRPr="001F430E">
        <w:rPr>
          <w:rFonts w:ascii="Arial" w:eastAsia="Calibri" w:hAnsi="Arial" w:cs="Arial"/>
          <w:color w:val="000000" w:themeColor="text1"/>
        </w:rPr>
        <w:t xml:space="preserve">; v) contratos para la ejecución de contratos artísticos que sólo pueden encomendarse a determinadas personas naturales; vi) adquisición y arrendamiento de bienes inmuebles; </w:t>
      </w:r>
      <w:proofErr w:type="spellStart"/>
      <w:r w:rsidRPr="001F430E">
        <w:rPr>
          <w:rFonts w:ascii="Arial" w:eastAsia="Calibri" w:hAnsi="Arial" w:cs="Arial"/>
          <w:color w:val="000000" w:themeColor="text1"/>
        </w:rPr>
        <w:t>vii</w:t>
      </w:r>
      <w:proofErr w:type="spellEnd"/>
      <w:r w:rsidRPr="001F430E">
        <w:rPr>
          <w:rFonts w:ascii="Arial" w:eastAsia="Calibri" w:hAnsi="Arial" w:cs="Arial"/>
          <w:color w:val="000000" w:themeColor="text1"/>
        </w:rPr>
        <w:t xml:space="preserve">) contratos de empréstitos; </w:t>
      </w:r>
      <w:proofErr w:type="spellStart"/>
      <w:r w:rsidRPr="001F430E">
        <w:rPr>
          <w:rFonts w:ascii="Arial" w:eastAsia="Calibri" w:hAnsi="Arial" w:cs="Arial"/>
          <w:color w:val="000000" w:themeColor="text1"/>
        </w:rPr>
        <w:t>viii</w:t>
      </w:r>
      <w:proofErr w:type="spellEnd"/>
      <w:r w:rsidRPr="001F430E">
        <w:rPr>
          <w:rFonts w:ascii="Arial" w:eastAsia="Calibri" w:hAnsi="Arial" w:cs="Arial"/>
          <w:color w:val="000000" w:themeColor="text1"/>
        </w:rPr>
        <w:t xml:space="preserve">) contratación de bienes y servicios del sector defensa que requieran reserva; </w:t>
      </w:r>
      <w:proofErr w:type="spellStart"/>
      <w:r w:rsidRPr="001F430E">
        <w:rPr>
          <w:rFonts w:ascii="Arial" w:eastAsia="Calibri" w:hAnsi="Arial" w:cs="Arial"/>
          <w:color w:val="000000" w:themeColor="text1"/>
        </w:rPr>
        <w:t>ix</w:t>
      </w:r>
      <w:proofErr w:type="spellEnd"/>
      <w:r w:rsidRPr="001F430E">
        <w:rPr>
          <w:rFonts w:ascii="Arial" w:eastAsia="Calibri" w:hAnsi="Arial" w:cs="Arial"/>
          <w:color w:val="000000" w:themeColor="text1"/>
        </w:rPr>
        <w:t>) contratos para el desarrollo de actividades científicas y tecnológicas; y x) contratos de encargo fiduciario que celebren las entidades territoriales cuando inicien el acuerdo de reestructuración de pasivos.</w:t>
      </w:r>
    </w:p>
    <w:p w14:paraId="58ADEB42" w14:textId="77777777" w:rsidR="00845B19" w:rsidRPr="001F430E" w:rsidRDefault="00845B19" w:rsidP="00845B19">
      <w:pPr>
        <w:pStyle w:val="Textoindependiente"/>
        <w:spacing w:after="0" w:line="276" w:lineRule="auto"/>
        <w:ind w:right="104" w:firstLine="668"/>
        <w:jc w:val="both"/>
        <w:rPr>
          <w:rFonts w:ascii="Arial" w:eastAsia="Calibri" w:hAnsi="Arial" w:cs="Arial"/>
          <w:color w:val="000000" w:themeColor="text1"/>
          <w:sz w:val="22"/>
        </w:rPr>
      </w:pPr>
      <w:r w:rsidRPr="001F430E">
        <w:rPr>
          <w:rFonts w:ascii="Arial" w:eastAsia="Calibri" w:hAnsi="Arial" w:cs="Arial"/>
          <w:color w:val="000000" w:themeColor="text1"/>
          <w:sz w:val="22"/>
        </w:rPr>
        <w:t xml:space="preserve">Sobre la ejecución de trabajos artísticos que sólo pueden encomendarse a determinadas personas naturales, conviene citar </w:t>
      </w:r>
      <w:proofErr w:type="gramStart"/>
      <w:r w:rsidRPr="001F430E">
        <w:rPr>
          <w:rFonts w:ascii="Arial" w:eastAsia="Calibri" w:hAnsi="Arial" w:cs="Arial"/>
          <w:i/>
          <w:iCs/>
          <w:color w:val="000000" w:themeColor="text1"/>
          <w:sz w:val="22"/>
        </w:rPr>
        <w:t>in extenso</w:t>
      </w:r>
      <w:proofErr w:type="gramEnd"/>
      <w:r w:rsidRPr="001F430E">
        <w:rPr>
          <w:rFonts w:ascii="Arial" w:eastAsia="Calibri" w:hAnsi="Arial" w:cs="Arial"/>
          <w:color w:val="000000" w:themeColor="text1"/>
          <w:sz w:val="22"/>
        </w:rPr>
        <w:t xml:space="preserve"> lo expuesto por la Sección Tercera de la Sala de lo Contencioso Administrativo del Consejo de Estado, en Sentencia del 2 de diciembre de 2013, expediente 41.719. Al respecto señaló que:</w:t>
      </w:r>
    </w:p>
    <w:p w14:paraId="23271B9E" w14:textId="77777777" w:rsidR="00845B19" w:rsidRDefault="00845B19" w:rsidP="00845B19">
      <w:pPr>
        <w:widowControl w:val="0"/>
        <w:autoSpaceDE w:val="0"/>
        <w:autoSpaceDN w:val="0"/>
        <w:spacing w:after="0" w:line="240" w:lineRule="auto"/>
        <w:ind w:left="709" w:right="709"/>
        <w:jc w:val="both"/>
        <w:rPr>
          <w:rFonts w:ascii="Arial" w:hAnsi="Arial" w:cs="Arial"/>
          <w:color w:val="000000" w:themeColor="text1"/>
          <w:lang w:val="es-ES_tradnl"/>
        </w:rPr>
      </w:pPr>
    </w:p>
    <w:p w14:paraId="2E5B51AB" w14:textId="77777777" w:rsidR="00845B19" w:rsidRPr="00773D00" w:rsidRDefault="00845B19" w:rsidP="00845B19">
      <w:pPr>
        <w:widowControl w:val="0"/>
        <w:autoSpaceDE w:val="0"/>
        <w:autoSpaceDN w:val="0"/>
        <w:spacing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 xml:space="preserve">«El segundo de los elementos normativos que el legislador ha considerado determinante para la configuración de la causal de contratación directa que ocupa la atención de la Sala, es el que se refiere a otra especie de contratos, que en esencia son de prestación de servicios, pero de un contenido prestacional diferente porque corresponden a una modalidad tipificada de negocios cuyo objeto es de por sí especialísimo ya que tienen por objeto la generación de </w:t>
      </w:r>
      <w:r w:rsidRPr="00773D00">
        <w:rPr>
          <w:rFonts w:ascii="Arial" w:hAnsi="Arial" w:cs="Arial"/>
          <w:i/>
          <w:color w:val="000000" w:themeColor="text1"/>
          <w:sz w:val="21"/>
          <w:szCs w:val="21"/>
          <w:lang w:val="es-ES_tradnl"/>
        </w:rPr>
        <w:t>patrimonio artístico</w:t>
      </w:r>
      <w:r w:rsidRPr="00773D00">
        <w:rPr>
          <w:rFonts w:ascii="Arial" w:hAnsi="Arial" w:cs="Arial"/>
          <w:color w:val="000000" w:themeColor="text1"/>
          <w:sz w:val="21"/>
          <w:szCs w:val="21"/>
          <w:lang w:val="es-ES_tradnl"/>
        </w:rPr>
        <w:t xml:space="preserve"> para la </w:t>
      </w:r>
      <w:r w:rsidRPr="00773D00">
        <w:rPr>
          <w:rFonts w:ascii="Arial" w:hAnsi="Arial" w:cs="Arial"/>
          <w:color w:val="000000" w:themeColor="text1"/>
          <w:sz w:val="21"/>
          <w:szCs w:val="21"/>
          <w:lang w:val="es-ES_tradnl"/>
        </w:rPr>
        <w:lastRenderedPageBreak/>
        <w:t>entidad estatal o bien beneficiarla de manifestaciones artísticas, para cuyo efecto se encarga a personas que por sus características, dotes, capacidades o aptitudes resultan ser únicas o especiales en el arte que manejan y que en virtud de esta circunstancia se individualizan en el medio nacional o internacional, mediante el reconocimiento como verdaderos y únicos en las técnicas o el arte que desarrollan.</w:t>
      </w:r>
    </w:p>
    <w:p w14:paraId="0058DBBA" w14:textId="77777777" w:rsidR="00845B19" w:rsidRPr="00773D00" w:rsidRDefault="00845B19" w:rsidP="00845B19">
      <w:pPr>
        <w:widowControl w:val="0"/>
        <w:autoSpaceDE w:val="0"/>
        <w:autoSpaceDN w:val="0"/>
        <w:spacing w:before="93" w:after="120"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 xml:space="preserve">En consecuencia, el contrato, para que sea objeto del trámite de la contratación directa, debe estar determinado por las siguientes variables </w:t>
      </w:r>
      <w:r w:rsidRPr="00773D00">
        <w:rPr>
          <w:rFonts w:ascii="Arial" w:hAnsi="Arial" w:cs="Arial"/>
          <w:i/>
          <w:color w:val="000000" w:themeColor="text1"/>
          <w:sz w:val="21"/>
          <w:szCs w:val="21"/>
          <w:lang w:val="es-ES_tradnl"/>
        </w:rPr>
        <w:t>(i)</w:t>
      </w:r>
      <w:r w:rsidRPr="00773D00">
        <w:rPr>
          <w:rFonts w:ascii="Arial" w:hAnsi="Arial" w:cs="Arial"/>
          <w:color w:val="000000" w:themeColor="text1"/>
          <w:sz w:val="21"/>
          <w:szCs w:val="21"/>
          <w:lang w:val="es-ES_tradnl"/>
        </w:rPr>
        <w:t xml:space="preserve"> que tengan por objeto la ejecución de </w:t>
      </w:r>
      <w:r w:rsidRPr="00773D00">
        <w:rPr>
          <w:rFonts w:ascii="Arial" w:hAnsi="Arial" w:cs="Arial"/>
          <w:i/>
          <w:color w:val="000000" w:themeColor="text1"/>
          <w:sz w:val="21"/>
          <w:szCs w:val="21"/>
          <w:lang w:val="es-ES_tradnl"/>
        </w:rPr>
        <w:t>trabajos artísticos</w:t>
      </w:r>
      <w:r w:rsidRPr="00773D00">
        <w:rPr>
          <w:rFonts w:ascii="Arial" w:hAnsi="Arial" w:cs="Arial"/>
          <w:color w:val="000000" w:themeColor="text1"/>
          <w:sz w:val="21"/>
          <w:szCs w:val="21"/>
          <w:lang w:val="es-ES_tradnl"/>
        </w:rPr>
        <w:t xml:space="preserve">, </w:t>
      </w:r>
      <w:r w:rsidRPr="00773D00">
        <w:rPr>
          <w:rFonts w:ascii="Arial" w:hAnsi="Arial" w:cs="Arial"/>
          <w:i/>
          <w:color w:val="000000" w:themeColor="text1"/>
          <w:sz w:val="21"/>
          <w:szCs w:val="21"/>
          <w:lang w:val="es-ES_tradnl"/>
        </w:rPr>
        <w:t>(</w:t>
      </w:r>
      <w:proofErr w:type="spellStart"/>
      <w:r w:rsidRPr="00773D00">
        <w:rPr>
          <w:rFonts w:ascii="Arial" w:hAnsi="Arial" w:cs="Arial"/>
          <w:i/>
          <w:color w:val="000000" w:themeColor="text1"/>
          <w:sz w:val="21"/>
          <w:szCs w:val="21"/>
          <w:lang w:val="es-ES_tradnl"/>
        </w:rPr>
        <w:t>ii</w:t>
      </w:r>
      <w:proofErr w:type="spellEnd"/>
      <w:r w:rsidRPr="00773D00">
        <w:rPr>
          <w:rFonts w:ascii="Arial" w:hAnsi="Arial" w:cs="Arial"/>
          <w:i/>
          <w:color w:val="000000" w:themeColor="text1"/>
          <w:sz w:val="21"/>
          <w:szCs w:val="21"/>
          <w:lang w:val="es-ES_tradnl"/>
        </w:rPr>
        <w:t>)</w:t>
      </w:r>
      <w:r w:rsidRPr="00773D00">
        <w:rPr>
          <w:rFonts w:ascii="Arial" w:hAnsi="Arial" w:cs="Arial"/>
          <w:color w:val="000000" w:themeColor="text1"/>
          <w:sz w:val="21"/>
          <w:szCs w:val="21"/>
          <w:lang w:val="es-ES_tradnl"/>
        </w:rPr>
        <w:t xml:space="preserve"> que el mismo o los mismos sólo puedan encomendarse a determinadas personas naturales.</w:t>
      </w:r>
    </w:p>
    <w:p w14:paraId="6BF21070" w14:textId="77777777" w:rsidR="00845B19" w:rsidRPr="00773D00" w:rsidRDefault="00845B19" w:rsidP="00845B19">
      <w:pPr>
        <w:widowControl w:val="0"/>
        <w:autoSpaceDE w:val="0"/>
        <w:autoSpaceDN w:val="0"/>
        <w:spacing w:after="120" w:line="240" w:lineRule="auto"/>
        <w:ind w:left="709" w:right="709"/>
        <w:jc w:val="both"/>
        <w:rPr>
          <w:rFonts w:ascii="Arial" w:hAnsi="Arial" w:cs="Arial"/>
          <w:color w:val="000000" w:themeColor="text1"/>
          <w:sz w:val="21"/>
          <w:szCs w:val="21"/>
          <w:lang w:val="es-ES_tradnl"/>
        </w:rPr>
      </w:pPr>
      <w:r w:rsidRPr="00773D00">
        <w:rPr>
          <w:rFonts w:ascii="Arial" w:hAnsi="Arial" w:cs="Arial"/>
          <w:color w:val="000000" w:themeColor="text1"/>
          <w:sz w:val="21"/>
          <w:szCs w:val="21"/>
          <w:lang w:val="es-ES_tradnl"/>
        </w:rPr>
        <w:t xml:space="preserve">En cuanto a la primera de las variables se refiere, se puede afirmar que el concepto que comprende el objeto de </w:t>
      </w:r>
      <w:proofErr w:type="gramStart"/>
      <w:r w:rsidRPr="00773D00">
        <w:rPr>
          <w:rFonts w:ascii="Arial" w:hAnsi="Arial" w:cs="Arial"/>
          <w:color w:val="000000" w:themeColor="text1"/>
          <w:sz w:val="21"/>
          <w:szCs w:val="21"/>
          <w:lang w:val="es-ES_tradnl"/>
        </w:rPr>
        <w:t>esta  modalidad</w:t>
      </w:r>
      <w:proofErr w:type="gramEnd"/>
      <w:r w:rsidRPr="00773D00">
        <w:rPr>
          <w:rFonts w:ascii="Arial" w:hAnsi="Arial" w:cs="Arial"/>
          <w:color w:val="000000" w:themeColor="text1"/>
          <w:sz w:val="21"/>
          <w:szCs w:val="21"/>
          <w:lang w:val="es-ES_tradnl"/>
        </w:rPr>
        <w:t xml:space="preserve">  contractual  es  el    de “trabajo artístico”, pero no en sí mismo, esto es como medio, sino como un resultado real y efectivo. Se contrata y este es el objeto, la realización de una obra artística y no simplemente una ejecución sin resultado. Es el trabajo final, el que pueda ser catalogado como una “obra de arte”, u “obra artística” o pieza de la misma naturaleza, la determinante del objeto para los efectos legales que para la materia a la que se está haciendo referencia, en esto no puede haber confusión de ninguna naturaleza.</w:t>
      </w:r>
    </w:p>
    <w:p w14:paraId="406D766D" w14:textId="77777777" w:rsidR="00845B19" w:rsidRPr="00773D00" w:rsidRDefault="00845B19" w:rsidP="00845B19">
      <w:pPr>
        <w:widowControl w:val="0"/>
        <w:autoSpaceDE w:val="0"/>
        <w:autoSpaceDN w:val="0"/>
        <w:spacing w:after="120" w:line="240" w:lineRule="auto"/>
        <w:ind w:left="709" w:right="709"/>
        <w:jc w:val="both"/>
        <w:rPr>
          <w:rFonts w:ascii="Arial" w:hAnsi="Arial" w:cs="Arial"/>
          <w:color w:val="000000" w:themeColor="text1"/>
          <w:sz w:val="21"/>
          <w:szCs w:val="21"/>
          <w:lang w:val="es-ES"/>
        </w:rPr>
      </w:pPr>
      <w:r w:rsidRPr="00773D00">
        <w:rPr>
          <w:rFonts w:ascii="Arial" w:hAnsi="Arial" w:cs="Arial"/>
          <w:color w:val="000000" w:themeColor="text1"/>
          <w:sz w:val="21"/>
          <w:szCs w:val="21"/>
          <w:lang w:val="es-ES_tradnl"/>
        </w:rPr>
        <w:t>Este es el sentido jurídico de la expresión, no otra cosa espera el interés público de un contrato de esta naturaleza, el de enriquecer con la “obra de arte” el patrimonio público a través de la obtención de una verdadera obra de un artista, una creación del hombre en el campo del arte, lo que comprende también actividades propias de las artes escénicas o aquellas culturales, musicales, por citar algunas manifestaciones concretas que satisfacen el referente artístico.</w:t>
      </w:r>
    </w:p>
    <w:p w14:paraId="4264FE74" w14:textId="77777777" w:rsidR="00845B19" w:rsidRPr="00773D00" w:rsidRDefault="00845B19" w:rsidP="00845B19">
      <w:pPr>
        <w:widowControl w:val="0"/>
        <w:autoSpaceDE w:val="0"/>
        <w:autoSpaceDN w:val="0"/>
        <w:spacing w:line="240" w:lineRule="auto"/>
        <w:ind w:left="709" w:right="709"/>
        <w:jc w:val="both"/>
        <w:rPr>
          <w:rFonts w:ascii="Arial" w:hAnsi="Arial" w:cs="Arial"/>
          <w:color w:val="000000" w:themeColor="text1"/>
          <w:sz w:val="21"/>
          <w:szCs w:val="21"/>
          <w:lang w:val="es-ES"/>
        </w:rPr>
      </w:pPr>
      <w:r w:rsidRPr="00773D00">
        <w:rPr>
          <w:rFonts w:ascii="Arial" w:hAnsi="Arial" w:cs="Arial"/>
          <w:color w:val="000000" w:themeColor="text1"/>
          <w:sz w:val="21"/>
          <w:szCs w:val="21"/>
          <w:lang w:val="es-ES"/>
        </w:rPr>
        <w:t xml:space="preserve">Es que </w:t>
      </w:r>
      <w:r w:rsidRPr="00773D00">
        <w:rPr>
          <w:rFonts w:ascii="Arial" w:hAnsi="Arial" w:cs="Arial"/>
          <w:b/>
          <w:color w:val="000000" w:themeColor="text1"/>
          <w:sz w:val="21"/>
          <w:szCs w:val="21"/>
          <w:lang w:val="es-ES"/>
        </w:rPr>
        <w:t>el “trabajo artístico” a que se refiere la disposición legal, no puede ser otro que el que se entiende como un conjunto de creaciones humanas que expresan una especial visión del mundo, tanto real como imaginaria, independientemente de la forma o el modo como se exprese por el autor o los autores, en un producto final, en un producto definitivamente con valor y contenido artístico</w:t>
      </w:r>
      <w:r w:rsidRPr="00773D00">
        <w:rPr>
          <w:rFonts w:ascii="Arial" w:hAnsi="Arial" w:cs="Arial"/>
          <w:color w:val="000000" w:themeColor="text1"/>
          <w:sz w:val="21"/>
          <w:szCs w:val="21"/>
          <w:lang w:val="es-ES"/>
        </w:rPr>
        <w:t>, no en otro sentido puede ser entendida la disposiciones bajo criterios de excepcionalidad y restricción conforme lo ampliamente explicado en esta providencia.</w:t>
      </w:r>
    </w:p>
    <w:p w14:paraId="37826D3A" w14:textId="77777777" w:rsidR="00845B19" w:rsidRPr="00773D00" w:rsidRDefault="00845B19" w:rsidP="00845B19">
      <w:pPr>
        <w:widowControl w:val="0"/>
        <w:autoSpaceDE w:val="0"/>
        <w:autoSpaceDN w:val="0"/>
        <w:spacing w:line="240" w:lineRule="auto"/>
        <w:ind w:left="668" w:right="530"/>
        <w:jc w:val="both"/>
        <w:rPr>
          <w:rFonts w:ascii="Arial" w:hAnsi="Arial" w:cs="Arial"/>
          <w:color w:val="000000" w:themeColor="text1"/>
          <w:sz w:val="21"/>
          <w:szCs w:val="21"/>
          <w:lang w:val="es-ES"/>
        </w:rPr>
      </w:pPr>
    </w:p>
    <w:p w14:paraId="21A50FAE" w14:textId="77777777" w:rsidR="00845B19" w:rsidRPr="00773D00" w:rsidRDefault="00845B19" w:rsidP="00845B19">
      <w:pPr>
        <w:widowControl w:val="0"/>
        <w:autoSpaceDE w:val="0"/>
        <w:autoSpaceDN w:val="0"/>
        <w:spacing w:line="240" w:lineRule="auto"/>
        <w:ind w:left="851" w:right="900"/>
        <w:jc w:val="both"/>
        <w:rPr>
          <w:rFonts w:ascii="Arial" w:hAnsi="Arial" w:cs="Arial"/>
          <w:color w:val="000000" w:themeColor="text1"/>
          <w:sz w:val="21"/>
          <w:szCs w:val="21"/>
          <w:lang w:val="es-ES"/>
        </w:rPr>
      </w:pPr>
      <w:r w:rsidRPr="00773D00">
        <w:rPr>
          <w:rFonts w:ascii="Arial" w:hAnsi="Arial" w:cs="Arial"/>
          <w:color w:val="000000" w:themeColor="text1"/>
          <w:sz w:val="21"/>
          <w:szCs w:val="21"/>
          <w:lang w:val="es-ES"/>
        </w:rPr>
        <w:t>“… El arte es entendido generalmente como cualquier actividad o producto realizado por el ser humano con una finalidad estética o comunicativa, a través del cual se expresan ideas, emociones o, en general, una visión del mundo, mediante diversos recursos, como los plásticos, lingüísticos, sonoros, o mixtos…”.</w:t>
      </w:r>
    </w:p>
    <w:p w14:paraId="5457563C" w14:textId="77777777" w:rsidR="00845B19" w:rsidRPr="001F430E" w:rsidRDefault="00845B19" w:rsidP="00845B19">
      <w:pPr>
        <w:widowControl w:val="0"/>
        <w:autoSpaceDE w:val="0"/>
        <w:autoSpaceDN w:val="0"/>
        <w:spacing w:line="240" w:lineRule="auto"/>
        <w:ind w:left="709" w:right="709"/>
        <w:jc w:val="both"/>
        <w:rPr>
          <w:rFonts w:ascii="Arial" w:hAnsi="Arial" w:cs="Arial"/>
          <w:color w:val="000000" w:themeColor="text1"/>
          <w:lang w:val="es-ES_tradnl"/>
        </w:rPr>
      </w:pPr>
      <w:r w:rsidRPr="00773D00">
        <w:rPr>
          <w:rFonts w:ascii="Arial" w:hAnsi="Arial" w:cs="Arial"/>
          <w:color w:val="000000" w:themeColor="text1"/>
          <w:sz w:val="21"/>
          <w:szCs w:val="21"/>
          <w:lang w:val="es-ES"/>
        </w:rPr>
        <w:t xml:space="preserve">Tratándose  de  la  segunda  de  las  variables,  esto   es,  la   que  indica  que los </w:t>
      </w:r>
      <w:r w:rsidRPr="00773D00">
        <w:rPr>
          <w:rFonts w:ascii="Arial" w:hAnsi="Arial" w:cs="Arial"/>
          <w:b/>
          <w:color w:val="000000" w:themeColor="text1"/>
          <w:sz w:val="21"/>
          <w:szCs w:val="21"/>
          <w:lang w:val="es-ES"/>
        </w:rPr>
        <w:t xml:space="preserve">“trabajos artísticos” (…) “… que sólo puedan encomendarse a determinadas personas naturales…” debe ser entendida en coherencia con lo anterior, en el sentido de que el contratista debe ser sustancialmente un artista, es decir, una persona reconocida como realizador o productor de arte, de obras de arte, ejecutor de trabajos artísticos, un ser humano que dada su sensibilidad en relación con el mundo tiene la aptitud, la capacidad, la disposición natural o </w:t>
      </w:r>
      <w:r w:rsidRPr="00773D00">
        <w:rPr>
          <w:rFonts w:ascii="Arial" w:hAnsi="Arial" w:cs="Arial"/>
          <w:b/>
          <w:color w:val="000000" w:themeColor="text1"/>
          <w:sz w:val="21"/>
          <w:szCs w:val="21"/>
          <w:lang w:val="es-ES"/>
        </w:rPr>
        <w:lastRenderedPageBreak/>
        <w:t>adquirida; el talento y estilo o forma original de hacer las cosas; y la genialidad, naturalidad y el carácter que lo hace distinto a otros artistas, esto es, su capacidad de inventiva que lo hace influyente en el medio, un ser único y excepcional, todo esto, para producir obras artísticas</w:t>
      </w:r>
      <w:r w:rsidRPr="00773D00">
        <w:rPr>
          <w:rFonts w:ascii="Arial" w:hAnsi="Arial" w:cs="Arial"/>
          <w:color w:val="000000" w:themeColor="text1"/>
          <w:sz w:val="21"/>
          <w:szCs w:val="21"/>
          <w:lang w:val="es-ES"/>
        </w:rPr>
        <w:t>, de aquí la razonabilidad de la expresión utilizada por la disposición en comento según la cual, los trabajos artísticos sólo puedan encomendarse a determinadas personas naturales. En todo caso, destaca la Sala que la motivación para la celebración de este tipo de contratos debe surgir de la ponderada valoración de las necesidades de la Entidad pública, reflejadas, siempre, en los procesos de planeación adelantados con antelación</w:t>
      </w:r>
      <w:r w:rsidRPr="00773D00">
        <w:rPr>
          <w:rFonts w:ascii="Arial" w:hAnsi="Arial" w:cs="Arial"/>
          <w:bCs/>
          <w:color w:val="000000" w:themeColor="text1"/>
          <w:sz w:val="21"/>
          <w:szCs w:val="21"/>
          <w:lang w:val="es-ES"/>
        </w:rPr>
        <w:t>».</w:t>
      </w:r>
      <w:r w:rsidRPr="001F430E">
        <w:rPr>
          <w:rFonts w:ascii="Arial" w:hAnsi="Arial" w:cs="Arial"/>
          <w:bCs/>
          <w:color w:val="000000" w:themeColor="text1"/>
          <w:lang w:val="es-ES"/>
        </w:rPr>
        <w:t xml:space="preserve"> (Negrilla fuera de texto)</w:t>
      </w:r>
    </w:p>
    <w:p w14:paraId="35941556" w14:textId="77777777" w:rsidR="00845B19" w:rsidRPr="001F430E" w:rsidRDefault="00845B19" w:rsidP="00845B19">
      <w:pPr>
        <w:widowControl w:val="0"/>
        <w:autoSpaceDE w:val="0"/>
        <w:autoSpaceDN w:val="0"/>
        <w:spacing w:before="4" w:after="120" w:line="276" w:lineRule="auto"/>
        <w:ind w:firstLine="709"/>
        <w:jc w:val="both"/>
        <w:rPr>
          <w:rFonts w:ascii="Arial" w:hAnsi="Arial" w:cs="Arial"/>
          <w:color w:val="000000" w:themeColor="text1"/>
          <w:lang w:val="es-ES_tradnl"/>
        </w:rPr>
      </w:pPr>
      <w:r w:rsidRPr="001F430E">
        <w:rPr>
          <w:rFonts w:ascii="Arial" w:hAnsi="Arial" w:cs="Arial"/>
          <w:color w:val="000000" w:themeColor="text1"/>
          <w:lang w:val="es-ES_tradnl"/>
        </w:rPr>
        <w:t>Así, la causal en estudio, para acudir a la contratación directa, tiene lugar cuando se va a encomendar la ejecución de un trabajo artístico a una persona natural y no cuando el objeto convencional perseguido, lejos de ser la prestación de un servicio para la elaboración de una obra artística, es la adquisición o compra de un bien calificado como obra de arte.</w:t>
      </w:r>
    </w:p>
    <w:p w14:paraId="0D036068" w14:textId="77777777" w:rsidR="00845B19" w:rsidRPr="001F430E" w:rsidRDefault="00845B19" w:rsidP="00845B19">
      <w:pPr>
        <w:spacing w:after="120" w:line="276" w:lineRule="auto"/>
        <w:ind w:firstLine="708"/>
        <w:jc w:val="both"/>
        <w:rPr>
          <w:rFonts w:ascii="Arial" w:hAnsi="Arial" w:cs="Arial"/>
        </w:rPr>
      </w:pPr>
      <w:r w:rsidRPr="001F430E">
        <w:rPr>
          <w:rFonts w:ascii="Arial" w:hAnsi="Arial" w:cs="Arial"/>
          <w:color w:val="000000" w:themeColor="text1"/>
          <w:lang w:val="es-ES"/>
        </w:rPr>
        <w:t>Ahora bien, otra de las causales para acudir a la contratación directa es que no exista pluralidad de oferentes en el mercado. El artículo 2.2.1.2.1.4.8 del Decreto 1082 de 2015 reglamenta esta contratación disponiendo que «</w:t>
      </w:r>
      <w:r w:rsidRPr="001F430E">
        <w:rPr>
          <w:rFonts w:ascii="Arial" w:hAnsi="Arial" w:cs="Arial"/>
          <w:color w:val="000000" w:themeColor="text1"/>
          <w:lang w:val="es-ES_tradnl"/>
        </w:rPr>
        <w:t>Se considera que no existe pluralidad de oferentes cuando existe solamente una persona que puede proveer el bien o el servicio por ser titular de los derechos de propiedad industrial o de los derechos de autor, o por ser proveedor exclusivo en el territorio nacional. Estas circunstancias deben constar en el estudio previo que soporta la contratación»</w:t>
      </w:r>
      <w:r w:rsidRPr="001F430E">
        <w:rPr>
          <w:rFonts w:ascii="Arial" w:hAnsi="Arial" w:cs="Arial"/>
        </w:rPr>
        <w:t>.</w:t>
      </w:r>
    </w:p>
    <w:p w14:paraId="5596394A" w14:textId="77777777" w:rsidR="00845B19" w:rsidRPr="001F430E" w:rsidRDefault="00845B19" w:rsidP="00845B19">
      <w:pPr>
        <w:widowControl w:val="0"/>
        <w:autoSpaceDE w:val="0"/>
        <w:autoSpaceDN w:val="0"/>
        <w:spacing w:after="120" w:line="276" w:lineRule="auto"/>
        <w:ind w:firstLine="709"/>
        <w:jc w:val="both"/>
        <w:rPr>
          <w:rFonts w:ascii="Arial" w:eastAsia="Calibri" w:hAnsi="Arial" w:cs="Arial"/>
          <w:color w:val="000000" w:themeColor="text1"/>
        </w:rPr>
      </w:pPr>
      <w:r w:rsidRPr="001F430E">
        <w:rPr>
          <w:rFonts w:ascii="Arial" w:hAnsi="Arial" w:cs="Arial"/>
          <w:color w:val="000000" w:themeColor="text1"/>
          <w:lang w:val="es-ES"/>
        </w:rPr>
        <w:t>En consecuencia, las características del proveedor exclusivo están relacionadas con que sea el único que suministre los bienes o servicios que pretende adquirir la Entidad Estatal y en el caso de que la ausencia de pluralidad de oferentes obedezca a que existe solamente una persona que pueda proveer el bien o el servicio por ser titular de los derechos de propiedad industrial o de los derechos de autor, deberá demostrar esta circunstancia de acuerdo con la normativa establecida para tal efecto. Lo importante es que dicha causal contempla un evento diferente al previsto en el literal h) d</w:t>
      </w:r>
      <w:r w:rsidRPr="001F430E">
        <w:rPr>
          <w:rFonts w:ascii="Arial" w:eastAsia="Calibri" w:hAnsi="Arial" w:cs="Arial"/>
          <w:color w:val="000000" w:themeColor="text1"/>
        </w:rPr>
        <w:t>el numeral 4 del artículo 2 de la Ley 1150 de 2007 en relación con la contratación directa de servicios para la ejecución de trabajos artísticos con personas naturales, cuya aplicación –como exige el inciso final del antecitado artículo 2.2.1.2.1.4.9 del Decreto 1082 de 2015– deberá quedar plenamente justificada en los estudios y documentos previos</w:t>
      </w:r>
      <w:r w:rsidRPr="001F430E">
        <w:rPr>
          <w:rStyle w:val="Refdenotaalpie"/>
          <w:rFonts w:ascii="Arial" w:eastAsia="Calibri" w:hAnsi="Arial" w:cs="Arial"/>
          <w:color w:val="000000" w:themeColor="text1"/>
        </w:rPr>
        <w:footnoteReference w:id="18"/>
      </w:r>
      <w:r w:rsidRPr="001F430E">
        <w:rPr>
          <w:rFonts w:ascii="Arial" w:eastAsia="Calibri" w:hAnsi="Arial" w:cs="Arial"/>
          <w:color w:val="000000" w:themeColor="text1"/>
        </w:rPr>
        <w:t>.</w:t>
      </w:r>
    </w:p>
    <w:p w14:paraId="7F20BEF8" w14:textId="77777777" w:rsidR="00845B19" w:rsidRPr="001F430E" w:rsidRDefault="00845B19" w:rsidP="00845B19">
      <w:pPr>
        <w:widowControl w:val="0"/>
        <w:autoSpaceDE w:val="0"/>
        <w:autoSpaceDN w:val="0"/>
        <w:spacing w:after="120" w:line="276" w:lineRule="auto"/>
        <w:ind w:firstLine="709"/>
        <w:jc w:val="both"/>
        <w:rPr>
          <w:rFonts w:ascii="Arial" w:eastAsia="Calibri" w:hAnsi="Arial" w:cs="Arial"/>
          <w:color w:val="000000" w:themeColor="text1"/>
        </w:rPr>
      </w:pPr>
      <w:r w:rsidRPr="001F430E">
        <w:rPr>
          <w:rFonts w:ascii="Arial" w:eastAsia="Calibri" w:hAnsi="Arial" w:cs="Arial"/>
          <w:color w:val="000000" w:themeColor="text1"/>
        </w:rPr>
        <w:lastRenderedPageBreak/>
        <w:t xml:space="preserve">En todo caso, como explica la sentencia de unificación jurisprudencial del Consejo de Estado, es necesario tener en cuenta que esta modalidad de contrato de prestación solo puede celebrarse con determinadas personas naturales. En efecto, si bien el literal d) del artículo 24.1 de la Ley 80 de 1993, en su versión primigenia, habilitaba la contratación directa «[…] para la ejecución de trabajos artísticos que sólo puedan encomendarse a determinadas personas naturales o jurídicas […]», también es cierto que esta norma fue derogada expresamente por el artículo 32 de la Ley 1150 de 2007. </w:t>
      </w:r>
    </w:p>
    <w:p w14:paraId="264B304C" w14:textId="77777777" w:rsidR="00845B19" w:rsidRDefault="00845B19" w:rsidP="00845B19">
      <w:pPr>
        <w:widowControl w:val="0"/>
        <w:autoSpaceDE w:val="0"/>
        <w:autoSpaceDN w:val="0"/>
        <w:spacing w:line="276" w:lineRule="auto"/>
        <w:ind w:firstLine="709"/>
        <w:jc w:val="both"/>
        <w:rPr>
          <w:rFonts w:ascii="Arial" w:hAnsi="Arial" w:cs="Arial"/>
          <w:color w:val="000000" w:themeColor="text1"/>
          <w:lang w:val="es-ES_tradnl"/>
        </w:rPr>
      </w:pPr>
      <w:r w:rsidRPr="001F430E">
        <w:rPr>
          <w:rFonts w:ascii="Arial" w:eastAsia="Calibri" w:hAnsi="Arial" w:cs="Arial"/>
          <w:color w:val="000000" w:themeColor="text1"/>
        </w:rPr>
        <w:t xml:space="preserve">Dado que el literal d) del artículo 24.1 de la Ley 80 de 1993 perdió vigencia, las causales de contratación directa son las del artículo 2.4 de la Ley 1150 de 2007. El literal h) de esta última norma, a diferencia la disposición derogada, solo permite la contratación directa para la «[…] para la ejecución de trabajos artísticos que sólo puedan encomendarse a determinadas personas naturales», excluyendo la posibilidad de celebrarlos con personas jurídicas. Esta orientación fue reproducida en el inciso final del artículo 2.2.1.2.1.4.9 del Decreto 1082 de 2015, el cual dispone expresamente que «La Entidad Estatal, para la </w:t>
      </w:r>
      <w:r w:rsidRPr="001F430E">
        <w:rPr>
          <w:rFonts w:ascii="Arial" w:eastAsia="Calibri" w:hAnsi="Arial" w:cs="Arial"/>
          <w:i/>
          <w:iCs/>
          <w:color w:val="000000" w:themeColor="text1"/>
        </w:rPr>
        <w:t>contratación de trabajos artísticos que solamente puedan encomendarse a determinadas personas naturales</w:t>
      </w:r>
      <w:r w:rsidRPr="001F430E">
        <w:rPr>
          <w:rFonts w:ascii="Arial" w:eastAsia="Calibri" w:hAnsi="Arial" w:cs="Arial"/>
          <w:color w:val="000000" w:themeColor="text1"/>
        </w:rPr>
        <w:t>, debe justificar esta situación en los estudios y documentos previos» (Énfasis fuera de texto).</w:t>
      </w:r>
      <w:r w:rsidRPr="001F430E">
        <w:rPr>
          <w:rFonts w:ascii="Arial" w:hAnsi="Arial" w:cs="Arial"/>
          <w:color w:val="000000" w:themeColor="text1"/>
          <w:lang w:val="es-ES_tradnl"/>
        </w:rPr>
        <w:t> </w:t>
      </w:r>
    </w:p>
    <w:p w14:paraId="2D88A55C" w14:textId="77777777" w:rsidR="00845B19" w:rsidRDefault="00845B19" w:rsidP="00845B19">
      <w:pPr>
        <w:widowControl w:val="0"/>
        <w:autoSpaceDE w:val="0"/>
        <w:autoSpaceDN w:val="0"/>
        <w:spacing w:line="276" w:lineRule="auto"/>
        <w:jc w:val="both"/>
        <w:rPr>
          <w:rFonts w:ascii="Arial" w:hAnsi="Arial" w:cs="Arial"/>
          <w:b/>
          <w:bCs/>
          <w:lang w:val="es-ES"/>
        </w:rPr>
      </w:pPr>
      <w:r w:rsidRPr="00F430D8">
        <w:rPr>
          <w:rFonts w:ascii="Arial" w:hAnsi="Arial" w:cs="Arial"/>
          <w:b/>
          <w:bCs/>
          <w:lang w:val="es-ES"/>
        </w:rPr>
        <w:t>2.</w:t>
      </w:r>
      <w:r>
        <w:rPr>
          <w:rFonts w:ascii="Arial" w:hAnsi="Arial" w:cs="Arial"/>
          <w:b/>
          <w:bCs/>
          <w:lang w:val="es-ES"/>
        </w:rPr>
        <w:t>3</w:t>
      </w:r>
      <w:r w:rsidRPr="00F430D8">
        <w:rPr>
          <w:rFonts w:ascii="Arial" w:hAnsi="Arial" w:cs="Arial"/>
          <w:b/>
          <w:bCs/>
          <w:lang w:val="es-ES"/>
        </w:rPr>
        <w:t>.</w:t>
      </w:r>
      <w:r w:rsidRPr="009D69C1">
        <w:rPr>
          <w:rFonts w:ascii="Arial" w:hAnsi="Arial" w:cs="Arial"/>
          <w:b/>
          <w:bCs/>
          <w:lang w:val="es-ES"/>
        </w:rPr>
        <w:t xml:space="preserve"> </w:t>
      </w:r>
      <w:r>
        <w:rPr>
          <w:rFonts w:ascii="Arial" w:hAnsi="Arial" w:cs="Arial"/>
          <w:b/>
          <w:bCs/>
          <w:lang w:val="es-ES"/>
        </w:rPr>
        <w:t xml:space="preserve">El mandato con representación y sus efectos de cara a la celebración de contratos de prestación de servicios para la ejecución de trabajos artísticos </w:t>
      </w:r>
    </w:p>
    <w:p w14:paraId="6E3C746A" w14:textId="77777777" w:rsidR="00845B19" w:rsidRPr="00F430D8" w:rsidRDefault="00845B19" w:rsidP="00845B19">
      <w:pPr>
        <w:tabs>
          <w:tab w:val="left" w:pos="426"/>
        </w:tabs>
        <w:spacing w:after="120" w:line="276" w:lineRule="auto"/>
        <w:jc w:val="both"/>
        <w:rPr>
          <w:rFonts w:ascii="Arial" w:hAnsi="Arial" w:cs="Arial"/>
          <w:lang w:val="es-ES"/>
        </w:rPr>
      </w:pPr>
      <w:r w:rsidRPr="00F430D8">
        <w:rPr>
          <w:rFonts w:ascii="Arial" w:hAnsi="Arial" w:cs="Arial"/>
          <w:lang w:val="es-ES"/>
        </w:rPr>
        <w:t>Por lo general, las personas que concurren a la celebración de un negocio o un contrato suelen ser quienes materialmente, y en la práctica, fungen como partes del correspondiente acuerdo, es decir, quienes se obligan en virtud de este. No obstante, ello no siempre es así, pues también es frecuente que personas, actuando en representación de otras, celebren acuerdos de voluntades que producen efectos respecto de las personas que representan, conforme a lo establecido en el artículo 1505 del Código Civil</w:t>
      </w:r>
      <w:r w:rsidRPr="00F430D8">
        <w:rPr>
          <w:rFonts w:ascii="Arial" w:hAnsi="Arial" w:cs="Arial"/>
          <w:vertAlign w:val="superscript"/>
        </w:rPr>
        <w:footnoteReference w:id="19"/>
      </w:r>
      <w:r w:rsidRPr="00F430D8">
        <w:rPr>
          <w:rFonts w:ascii="Arial" w:hAnsi="Arial" w:cs="Arial"/>
          <w:lang w:val="es-ES"/>
        </w:rPr>
        <w:t xml:space="preserve">. Esto sucede, por ejemplo, </w:t>
      </w:r>
      <w:r>
        <w:rPr>
          <w:rFonts w:ascii="Arial" w:hAnsi="Arial" w:cs="Arial"/>
          <w:lang w:val="es-ES"/>
        </w:rPr>
        <w:t xml:space="preserve">en las </w:t>
      </w:r>
      <w:r w:rsidRPr="00F430D8">
        <w:rPr>
          <w:rFonts w:ascii="Arial" w:hAnsi="Arial" w:cs="Arial"/>
          <w:lang w:val="es-ES"/>
        </w:rPr>
        <w:t xml:space="preserve">figuras en las que de manera voluntaria se acuerda tal representación, como el contrato de mandato. </w:t>
      </w:r>
    </w:p>
    <w:p w14:paraId="204AF6FA" w14:textId="77777777" w:rsidR="00845B19" w:rsidRPr="00F430D8" w:rsidRDefault="00845B19" w:rsidP="00845B19">
      <w:pPr>
        <w:tabs>
          <w:tab w:val="left" w:pos="426"/>
        </w:tabs>
        <w:spacing w:after="120" w:line="276" w:lineRule="auto"/>
        <w:jc w:val="both"/>
        <w:rPr>
          <w:rFonts w:ascii="Arial" w:hAnsi="Arial" w:cs="Arial"/>
          <w:lang w:val="es-ES"/>
        </w:rPr>
      </w:pPr>
      <w:r w:rsidRPr="00F430D8">
        <w:rPr>
          <w:rFonts w:ascii="Arial" w:hAnsi="Arial" w:cs="Arial"/>
          <w:lang w:val="es-ES"/>
        </w:rPr>
        <w:tab/>
        <w:t xml:space="preserve"> De acuerdo con el artículo 2142 del Código Civil, el mandato es «un contrato en que una persona confía la gestión de uno o más negocios a otra, que se hace cargo de ellos por cuenta y riesgo de la primera»</w:t>
      </w:r>
      <w:r w:rsidRPr="00F430D8">
        <w:rPr>
          <w:rFonts w:ascii="Arial" w:hAnsi="Arial" w:cs="Arial"/>
          <w:vertAlign w:val="superscript"/>
          <w:lang w:val="es-ES"/>
        </w:rPr>
        <w:footnoteReference w:id="20"/>
      </w:r>
      <w:r w:rsidRPr="00F430D8">
        <w:rPr>
          <w:rFonts w:ascii="Arial" w:hAnsi="Arial" w:cs="Arial"/>
          <w:lang w:val="es-ES"/>
        </w:rPr>
        <w:t>. Por su parte, el Código de Comercio también establece su propia regulación del contrato de mandato cuando este tiene una naturaleza comercial. El artículo 1262 de este cuerpo normativo define al mandato como el «[…] contrato por el cual una parte se obliga a celebrar o ejecutar uno o más actos de comercio por cuenta de otra».</w:t>
      </w:r>
    </w:p>
    <w:p w14:paraId="76F1A105" w14:textId="77777777" w:rsidR="00845B19" w:rsidRPr="00F430D8" w:rsidRDefault="00845B19" w:rsidP="00845B19">
      <w:pPr>
        <w:tabs>
          <w:tab w:val="left" w:pos="426"/>
        </w:tabs>
        <w:spacing w:after="120" w:line="276" w:lineRule="auto"/>
        <w:jc w:val="both"/>
        <w:rPr>
          <w:rFonts w:ascii="Arial" w:hAnsi="Arial" w:cs="Arial"/>
        </w:rPr>
      </w:pPr>
      <w:r w:rsidRPr="00F430D8">
        <w:rPr>
          <w:rFonts w:ascii="Arial" w:hAnsi="Arial" w:cs="Arial"/>
          <w:lang w:val="es-ES"/>
        </w:rPr>
        <w:lastRenderedPageBreak/>
        <w:tab/>
      </w:r>
      <w:r w:rsidRPr="00F430D8">
        <w:rPr>
          <w:rFonts w:ascii="Arial" w:hAnsi="Arial" w:cs="Arial"/>
          <w:lang w:val="es-ES"/>
        </w:rPr>
        <w:tab/>
        <w:t xml:space="preserve">Por su parte, </w:t>
      </w:r>
      <w:r w:rsidRPr="00F430D8">
        <w:rPr>
          <w:rFonts w:ascii="Arial" w:hAnsi="Arial" w:cs="Arial"/>
        </w:rPr>
        <w:t xml:space="preserve">el artículo 2177 del Código Civil establece que el </w:t>
      </w:r>
      <w:r w:rsidRPr="00F430D8">
        <w:rPr>
          <w:rFonts w:ascii="Arial" w:hAnsi="Arial" w:cs="Arial"/>
          <w:lang w:val="es-ES"/>
        </w:rPr>
        <w:t xml:space="preserve">«El mandatario puede, en el ejercicio de su cargo, contestar a su propio nombre o al del mandante; si contrata a su propio nombre no obliga respecto de terceros al mandante», lo que significa que el mandatario </w:t>
      </w:r>
      <w:r w:rsidRPr="00F430D8">
        <w:rPr>
          <w:rFonts w:ascii="Arial" w:hAnsi="Arial" w:cs="Arial"/>
        </w:rPr>
        <w:t xml:space="preserve">puede actuar con o sin representación y, que si contrata a su propio nombre –caso del mandato sin representación–, no obliga, respecto de terceros, al mandante. Del mismo modo, el artículo 1262 del Código de Comercio establece que el </w:t>
      </w:r>
      <w:r w:rsidRPr="00F430D8">
        <w:rPr>
          <w:rFonts w:ascii="Arial" w:hAnsi="Arial" w:cs="Arial"/>
          <w:lang w:val="es-ES"/>
        </w:rPr>
        <w:t>mandato «[…] puede conllevar o no la representación del mandante»</w:t>
      </w:r>
      <w:r w:rsidRPr="00F430D8">
        <w:rPr>
          <w:rFonts w:ascii="Arial" w:hAnsi="Arial" w:cs="Arial"/>
        </w:rPr>
        <w:t xml:space="preserve">, y que, si efectivamente la involucra, se aplicarán las normas establecidas en los artículos 832 y siguientes del estatuto comercial. Dichas normas indican, entre otras, que los negocios jurídicos propuestos o concluidos por el representante en nombre del representado, dentro del límite de sus poderes, producirán directamente efectos en relación con este. </w:t>
      </w:r>
    </w:p>
    <w:p w14:paraId="2EBB329B" w14:textId="77777777" w:rsidR="00845B19" w:rsidRPr="00F430D8" w:rsidRDefault="00845B19" w:rsidP="00845B19">
      <w:pPr>
        <w:tabs>
          <w:tab w:val="left" w:pos="426"/>
        </w:tabs>
        <w:spacing w:after="120" w:line="276" w:lineRule="auto"/>
        <w:jc w:val="both"/>
        <w:rPr>
          <w:rFonts w:ascii="Arial" w:hAnsi="Arial" w:cs="Arial"/>
        </w:rPr>
      </w:pPr>
      <w:r w:rsidRPr="00F430D8">
        <w:rPr>
          <w:rFonts w:ascii="Arial" w:hAnsi="Arial" w:cs="Arial"/>
        </w:rPr>
        <w:tab/>
      </w:r>
      <w:r w:rsidRPr="00F430D8">
        <w:rPr>
          <w:rFonts w:ascii="Arial" w:hAnsi="Arial" w:cs="Arial"/>
        </w:rPr>
        <w:tab/>
        <w:t xml:space="preserve">Conforme a esto, la representación es un efecto que confiere o limita el hecho de que el mandante –frente a terceros– asuma las consecuencias jurídicas de los actos o contratos celebrados o ejecutados por el mandatario. Esto en la medida en que, según las disposiciones citadas, cuando el mandatario actúa en virtud de un contrato de mandato con representación, los efectos de su actuación –frente a terceros– siempre habrán de radicarse en cabeza del mandante.  Por el contrario, si el mandatario actúa en virtud de un contrato de mandato sin representación, los efectos de este frente a terceros se radicarán en su propia esfera. </w:t>
      </w:r>
    </w:p>
    <w:p w14:paraId="5E912C77" w14:textId="77777777" w:rsidR="00845B19" w:rsidRDefault="00845B19" w:rsidP="00845B19">
      <w:pPr>
        <w:tabs>
          <w:tab w:val="left" w:pos="426"/>
        </w:tabs>
        <w:spacing w:after="0" w:line="276" w:lineRule="auto"/>
        <w:jc w:val="both"/>
        <w:rPr>
          <w:rFonts w:ascii="Arial" w:hAnsi="Arial" w:cs="Arial"/>
        </w:rPr>
      </w:pPr>
      <w:r w:rsidRPr="00F430D8">
        <w:rPr>
          <w:rFonts w:ascii="Arial" w:hAnsi="Arial" w:cs="Arial"/>
        </w:rPr>
        <w:tab/>
      </w:r>
      <w:r w:rsidRPr="00F430D8">
        <w:rPr>
          <w:rFonts w:ascii="Arial" w:hAnsi="Arial" w:cs="Arial"/>
        </w:rPr>
        <w:tab/>
      </w:r>
      <w:r>
        <w:rPr>
          <w:rFonts w:ascii="Arial" w:hAnsi="Arial" w:cs="Arial"/>
        </w:rPr>
        <w:t>Sin perjuicio de lo anterior, y particularmente en el ámbito civil, existe cierta discusión en torno a si la representación es un elemento esencial del mandato, o si por el contrario es posible suscribir contratos de mandato sin representación. Sobre el particular, la Sala de Casación Civil de la Corte Suprema de Justicia, de vieja data, ha defendido la posibilidad de celebrar contratos de mandato sin representación:</w:t>
      </w:r>
    </w:p>
    <w:p w14:paraId="0263A800" w14:textId="77777777" w:rsidR="00845B19" w:rsidRDefault="00845B19" w:rsidP="00845B19">
      <w:pPr>
        <w:tabs>
          <w:tab w:val="left" w:pos="426"/>
        </w:tabs>
        <w:spacing w:after="0" w:line="240" w:lineRule="auto"/>
        <w:ind w:left="709" w:right="709"/>
        <w:rPr>
          <w:rFonts w:ascii="Arial" w:hAnsi="Arial" w:cs="Arial"/>
          <w:sz w:val="21"/>
          <w:szCs w:val="21"/>
        </w:rPr>
      </w:pPr>
    </w:p>
    <w:p w14:paraId="4430C883" w14:textId="77777777" w:rsidR="00845B19" w:rsidRDefault="00845B19" w:rsidP="00845B19">
      <w:pPr>
        <w:tabs>
          <w:tab w:val="left" w:pos="426"/>
        </w:tabs>
        <w:spacing w:after="0" w:line="240" w:lineRule="auto"/>
        <w:ind w:left="709" w:right="709"/>
        <w:jc w:val="both"/>
        <w:rPr>
          <w:rFonts w:ascii="Arial" w:hAnsi="Arial" w:cs="Arial"/>
          <w:sz w:val="21"/>
          <w:szCs w:val="21"/>
        </w:rPr>
      </w:pPr>
      <w:r>
        <w:rPr>
          <w:rFonts w:ascii="Arial" w:hAnsi="Arial" w:cs="Arial"/>
          <w:sz w:val="21"/>
          <w:szCs w:val="21"/>
        </w:rPr>
        <w:t xml:space="preserve">«El apoderado, en el contrato de mandato civil, obra por cuenta y riesgo de la persona que le confía la gestión del negocio. El mandatario no es más que el órgano de la voluntad del mandante, su papel es siempre de intermediario y propiamente no puede decirse que sea parte contratante. Esto cuando el mandato es aparente, pero el apoderado puede, en ejercicio de su cargo, contratar en su propio nombre, como si el negocio le interesase personalmente. El mandante en este caso queda desligado de toda acción de parte de terceros, y al mandatario que ha obrado de hecho por encargo del mandante, aunque haya ocultado su calidad al contratar, corresponden activa y pasivamente los efectos legales del contrato. </w:t>
      </w:r>
    </w:p>
    <w:p w14:paraId="1E89327F" w14:textId="77777777" w:rsidR="00845B19" w:rsidRDefault="00845B19" w:rsidP="00845B19">
      <w:pPr>
        <w:tabs>
          <w:tab w:val="left" w:pos="426"/>
        </w:tabs>
        <w:spacing w:after="0" w:line="240" w:lineRule="auto"/>
        <w:ind w:left="709" w:right="709"/>
        <w:jc w:val="both"/>
        <w:rPr>
          <w:rFonts w:ascii="Arial" w:hAnsi="Arial" w:cs="Arial"/>
          <w:sz w:val="21"/>
          <w:szCs w:val="21"/>
        </w:rPr>
      </w:pPr>
    </w:p>
    <w:p w14:paraId="1062E1A5" w14:textId="77777777" w:rsidR="00845B19" w:rsidRDefault="00845B19" w:rsidP="00845B19">
      <w:pPr>
        <w:tabs>
          <w:tab w:val="left" w:pos="426"/>
        </w:tabs>
        <w:spacing w:after="0" w:line="240" w:lineRule="auto"/>
        <w:ind w:left="709" w:right="709"/>
        <w:jc w:val="both"/>
        <w:rPr>
          <w:rFonts w:ascii="Arial" w:hAnsi="Arial" w:cs="Arial"/>
          <w:sz w:val="21"/>
          <w:szCs w:val="21"/>
        </w:rPr>
      </w:pPr>
      <w:r>
        <w:rPr>
          <w:rFonts w:ascii="Arial" w:hAnsi="Arial" w:cs="Arial"/>
          <w:sz w:val="21"/>
          <w:szCs w:val="21"/>
        </w:rPr>
        <w:t>[…]</w:t>
      </w:r>
    </w:p>
    <w:p w14:paraId="3C773090" w14:textId="77777777" w:rsidR="00845B19" w:rsidRDefault="00845B19" w:rsidP="00845B19">
      <w:pPr>
        <w:tabs>
          <w:tab w:val="left" w:pos="426"/>
        </w:tabs>
        <w:spacing w:after="0" w:line="240" w:lineRule="auto"/>
        <w:ind w:left="709" w:right="709"/>
        <w:jc w:val="both"/>
        <w:rPr>
          <w:rFonts w:ascii="Arial" w:hAnsi="Arial" w:cs="Arial"/>
          <w:sz w:val="21"/>
          <w:szCs w:val="21"/>
        </w:rPr>
      </w:pPr>
      <w:r>
        <w:rPr>
          <w:rFonts w:ascii="Arial" w:hAnsi="Arial" w:cs="Arial"/>
          <w:sz w:val="21"/>
          <w:szCs w:val="21"/>
        </w:rPr>
        <w:t xml:space="preserve"> </w:t>
      </w:r>
    </w:p>
    <w:p w14:paraId="438ED1F0" w14:textId="77777777" w:rsidR="00845B19" w:rsidRDefault="00845B19" w:rsidP="00845B19">
      <w:pPr>
        <w:tabs>
          <w:tab w:val="left" w:pos="426"/>
        </w:tabs>
        <w:spacing w:after="0" w:line="240" w:lineRule="auto"/>
        <w:ind w:left="709" w:right="709"/>
        <w:jc w:val="both"/>
        <w:rPr>
          <w:rFonts w:ascii="Arial" w:hAnsi="Arial" w:cs="Arial"/>
          <w:sz w:val="21"/>
          <w:szCs w:val="21"/>
        </w:rPr>
      </w:pPr>
      <w:r>
        <w:rPr>
          <w:rFonts w:ascii="Arial" w:hAnsi="Arial" w:cs="Arial"/>
          <w:sz w:val="21"/>
          <w:szCs w:val="21"/>
        </w:rPr>
        <w:t xml:space="preserve">En la legislación colombiana el mandato no es esencialmente representativo. Dentro de su formación jurídica caben el mandatario ostensible y el secreto; el testaferro; la interposición en todas sus formas lícitas, y aún el acto jurídico del mandatario como </w:t>
      </w:r>
      <w:r>
        <w:rPr>
          <w:rFonts w:ascii="Arial" w:hAnsi="Arial" w:cs="Arial"/>
          <w:sz w:val="21"/>
          <w:szCs w:val="21"/>
        </w:rPr>
        <w:lastRenderedPageBreak/>
        <w:t>único interesado, siempre que el mandante tenga la voluntad de obligarse. Es posible el mandato sin representación»</w:t>
      </w:r>
      <w:r>
        <w:rPr>
          <w:rStyle w:val="Refdenotaalpie"/>
          <w:rFonts w:ascii="Arial" w:hAnsi="Arial" w:cs="Arial"/>
          <w:sz w:val="21"/>
          <w:szCs w:val="21"/>
        </w:rPr>
        <w:footnoteReference w:id="21"/>
      </w:r>
      <w:r>
        <w:rPr>
          <w:rFonts w:ascii="Arial" w:hAnsi="Arial" w:cs="Arial"/>
          <w:sz w:val="21"/>
          <w:szCs w:val="21"/>
        </w:rPr>
        <w:t>.</w:t>
      </w:r>
    </w:p>
    <w:p w14:paraId="5918C4EB" w14:textId="77777777" w:rsidR="00845B19" w:rsidRDefault="00845B19" w:rsidP="00845B19">
      <w:pPr>
        <w:tabs>
          <w:tab w:val="left" w:pos="426"/>
        </w:tabs>
        <w:spacing w:after="0"/>
        <w:rPr>
          <w:rFonts w:ascii="Arial" w:hAnsi="Arial" w:cs="Arial"/>
        </w:rPr>
      </w:pPr>
    </w:p>
    <w:p w14:paraId="26475852" w14:textId="77777777" w:rsidR="00845B19" w:rsidRDefault="00845B19" w:rsidP="00845B19">
      <w:pPr>
        <w:tabs>
          <w:tab w:val="left" w:pos="426"/>
        </w:tabs>
        <w:spacing w:after="0" w:line="276" w:lineRule="auto"/>
        <w:jc w:val="both"/>
        <w:rPr>
          <w:rFonts w:ascii="Arial" w:hAnsi="Arial" w:cs="Arial"/>
        </w:rPr>
      </w:pPr>
      <w:r>
        <w:rPr>
          <w:rFonts w:ascii="Arial" w:hAnsi="Arial" w:cs="Arial"/>
        </w:rPr>
        <w:tab/>
      </w:r>
      <w:r>
        <w:rPr>
          <w:rFonts w:ascii="Arial" w:hAnsi="Arial" w:cs="Arial"/>
        </w:rPr>
        <w:tab/>
        <w:t xml:space="preserve">No obstante, la propia Corte Suprema de Justicia, en un esfuerzo por diferenciar el mandato de tipos contractuales como el arrendamiento de servicios, se ha referido a la representación como un elemento distintivo del contrato de mandato. En este sentido ha expresado: </w:t>
      </w:r>
    </w:p>
    <w:p w14:paraId="1A13F950" w14:textId="77777777" w:rsidR="00845B19" w:rsidRDefault="00845B19" w:rsidP="00845B19">
      <w:pPr>
        <w:tabs>
          <w:tab w:val="left" w:pos="426"/>
        </w:tabs>
        <w:spacing w:after="0" w:line="240" w:lineRule="auto"/>
        <w:rPr>
          <w:rFonts w:ascii="Arial" w:hAnsi="Arial" w:cs="Arial"/>
        </w:rPr>
      </w:pPr>
    </w:p>
    <w:p w14:paraId="0B503C65" w14:textId="77777777" w:rsidR="00845B19" w:rsidRDefault="00845B19" w:rsidP="00845B19">
      <w:pPr>
        <w:tabs>
          <w:tab w:val="left" w:pos="426"/>
        </w:tabs>
        <w:spacing w:after="0" w:line="240" w:lineRule="auto"/>
        <w:ind w:left="709" w:right="709"/>
        <w:jc w:val="both"/>
        <w:rPr>
          <w:rFonts w:ascii="Arial" w:hAnsi="Arial" w:cs="Arial"/>
          <w:sz w:val="21"/>
          <w:szCs w:val="21"/>
        </w:rPr>
      </w:pPr>
      <w:r>
        <w:rPr>
          <w:rFonts w:ascii="Arial" w:hAnsi="Arial" w:cs="Arial"/>
          <w:sz w:val="21"/>
          <w:szCs w:val="21"/>
        </w:rPr>
        <w:t>«[C]</w:t>
      </w:r>
      <w:proofErr w:type="spellStart"/>
      <w:r>
        <w:rPr>
          <w:rFonts w:ascii="Arial" w:hAnsi="Arial" w:cs="Arial"/>
          <w:sz w:val="21"/>
          <w:szCs w:val="21"/>
        </w:rPr>
        <w:t>uando</w:t>
      </w:r>
      <w:proofErr w:type="spellEnd"/>
      <w:r>
        <w:rPr>
          <w:rFonts w:ascii="Arial" w:hAnsi="Arial" w:cs="Arial"/>
          <w:sz w:val="21"/>
          <w:szCs w:val="21"/>
        </w:rPr>
        <w:t xml:space="preserve"> el mandatario obra como tal frente a terceros con quienes contrata, su situación jurídica ofrece una característica esencial que sirve para distinguirla de la que se origina en otras estipulaciones que, como la del simple arrendamiento de servicios, presenta con el mandato grandes analogías: es la facultad de representación que en sí misma conlleva el acto jurídico ejecutado en nombre del mandante.</w:t>
      </w:r>
    </w:p>
    <w:p w14:paraId="2029A95D" w14:textId="77777777" w:rsidR="00845B19" w:rsidRDefault="00845B19" w:rsidP="00845B19">
      <w:pPr>
        <w:tabs>
          <w:tab w:val="left" w:pos="426"/>
        </w:tabs>
        <w:spacing w:after="0" w:line="240" w:lineRule="auto"/>
        <w:ind w:left="709" w:right="709"/>
        <w:jc w:val="both"/>
        <w:rPr>
          <w:rFonts w:ascii="Arial" w:hAnsi="Arial" w:cs="Arial"/>
          <w:sz w:val="21"/>
          <w:szCs w:val="21"/>
        </w:rPr>
      </w:pPr>
    </w:p>
    <w:p w14:paraId="795310E0" w14:textId="77777777" w:rsidR="00845B19" w:rsidRDefault="00845B19" w:rsidP="00845B19">
      <w:pPr>
        <w:tabs>
          <w:tab w:val="left" w:pos="426"/>
        </w:tabs>
        <w:spacing w:after="0" w:line="240" w:lineRule="auto"/>
        <w:ind w:left="709" w:right="709"/>
        <w:jc w:val="both"/>
        <w:rPr>
          <w:rFonts w:ascii="Arial" w:hAnsi="Arial" w:cs="Arial"/>
          <w:sz w:val="21"/>
          <w:szCs w:val="21"/>
        </w:rPr>
      </w:pPr>
      <w:r>
        <w:rPr>
          <w:rFonts w:ascii="Arial" w:hAnsi="Arial" w:cs="Arial"/>
          <w:sz w:val="21"/>
          <w:szCs w:val="21"/>
        </w:rPr>
        <w:t xml:space="preserve">[…] </w:t>
      </w:r>
    </w:p>
    <w:p w14:paraId="02BB5525" w14:textId="77777777" w:rsidR="00845B19" w:rsidRDefault="00845B19" w:rsidP="00845B19">
      <w:pPr>
        <w:tabs>
          <w:tab w:val="left" w:pos="426"/>
        </w:tabs>
        <w:spacing w:after="0" w:line="240" w:lineRule="auto"/>
        <w:ind w:left="709" w:right="709"/>
        <w:jc w:val="both"/>
        <w:rPr>
          <w:rFonts w:ascii="Arial" w:hAnsi="Arial" w:cs="Arial"/>
          <w:sz w:val="21"/>
          <w:szCs w:val="21"/>
        </w:rPr>
      </w:pPr>
    </w:p>
    <w:p w14:paraId="67BE11FA" w14:textId="77777777" w:rsidR="00845B19" w:rsidRDefault="00845B19" w:rsidP="00845B19">
      <w:pPr>
        <w:tabs>
          <w:tab w:val="left" w:pos="426"/>
        </w:tabs>
        <w:spacing w:after="0" w:line="240" w:lineRule="auto"/>
        <w:ind w:left="709" w:right="709"/>
        <w:jc w:val="both"/>
        <w:rPr>
          <w:rFonts w:ascii="Arial" w:hAnsi="Arial" w:cs="Arial"/>
          <w:sz w:val="21"/>
          <w:szCs w:val="21"/>
        </w:rPr>
      </w:pPr>
      <w:r>
        <w:rPr>
          <w:rFonts w:ascii="Arial" w:hAnsi="Arial" w:cs="Arial"/>
          <w:sz w:val="21"/>
          <w:szCs w:val="21"/>
        </w:rPr>
        <w:t>Nuestra jurisprudencia tiene establecido claramente cómo los dos contratos de que se viene hablando deben distinguirse y cuán fácil es hacerlo parando mientes en que el mandato, en contraste con el arrendamiento de servicios, implica necesariamente la representación, al punto de figurar como elemento esencial de su definición misma (Art. 2142) el que la persona encargada de la gestión se haga cargo de los asuntos respectivos por cuenta y riesgo de aquella que la ocupa»</w:t>
      </w:r>
      <w:r>
        <w:rPr>
          <w:rStyle w:val="Refdenotaalpie"/>
          <w:rFonts w:ascii="Arial" w:hAnsi="Arial" w:cs="Arial"/>
          <w:sz w:val="21"/>
          <w:szCs w:val="21"/>
        </w:rPr>
        <w:footnoteReference w:id="22"/>
      </w:r>
    </w:p>
    <w:p w14:paraId="01C4A41B" w14:textId="77777777" w:rsidR="00845B19" w:rsidRDefault="00845B19" w:rsidP="00845B19">
      <w:pPr>
        <w:tabs>
          <w:tab w:val="left" w:pos="426"/>
        </w:tabs>
        <w:spacing w:after="0"/>
        <w:rPr>
          <w:rFonts w:ascii="Arial" w:hAnsi="Arial" w:cs="Arial"/>
        </w:rPr>
      </w:pPr>
    </w:p>
    <w:p w14:paraId="6FD842B9" w14:textId="77777777" w:rsidR="00845B19" w:rsidRDefault="00845B19" w:rsidP="00845B19">
      <w:pPr>
        <w:tabs>
          <w:tab w:val="left" w:pos="426"/>
        </w:tabs>
        <w:spacing w:after="120" w:line="276" w:lineRule="auto"/>
        <w:jc w:val="both"/>
        <w:rPr>
          <w:rFonts w:ascii="Arial" w:hAnsi="Arial" w:cs="Arial"/>
        </w:rPr>
      </w:pPr>
      <w:r>
        <w:rPr>
          <w:rFonts w:ascii="Arial" w:hAnsi="Arial" w:cs="Arial"/>
        </w:rPr>
        <w:tab/>
      </w:r>
      <w:r>
        <w:rPr>
          <w:rFonts w:ascii="Arial" w:hAnsi="Arial" w:cs="Arial"/>
        </w:rPr>
        <w:tab/>
        <w:t>Esta aparente ambigüedad ha suscitado cierto debate doctrinario en torno a si la representación es o no un elemento esencial del contrato de mandato, en el ámbito civil</w:t>
      </w:r>
      <w:r>
        <w:rPr>
          <w:rStyle w:val="Refdenotaalpie"/>
          <w:rFonts w:ascii="Arial" w:hAnsi="Arial" w:cs="Arial"/>
        </w:rPr>
        <w:footnoteReference w:id="23"/>
      </w:r>
      <w:r>
        <w:rPr>
          <w:rFonts w:ascii="Arial" w:hAnsi="Arial" w:cs="Arial"/>
        </w:rPr>
        <w:t xml:space="preserve">, la cual no se presenta en el campo comercial, ya que el 1262 del Código de Comercio establece, expresamente, la posibilidad de que el mandato conlleve o no la representación. Sin embargo, al margen de tal discusión, es claro que de conformidad con el inciso final del artículo 2177 del Código Civil, el mandatario puede actuar manifestando hacerlo en nombre propio, en lo que se conoce como mandato </w:t>
      </w:r>
      <w:r>
        <w:rPr>
          <w:rFonts w:ascii="Arial" w:hAnsi="Arial" w:cs="Arial"/>
          <w:i/>
          <w:iCs/>
        </w:rPr>
        <w:t>sin representación</w:t>
      </w:r>
      <w:r>
        <w:rPr>
          <w:rFonts w:ascii="Arial" w:hAnsi="Arial" w:cs="Arial"/>
        </w:rPr>
        <w:t xml:space="preserve">, o bien puede actuar en representación del mandante, es decir, en el marco de un mandato </w:t>
      </w:r>
      <w:r>
        <w:rPr>
          <w:rFonts w:ascii="Arial" w:hAnsi="Arial" w:cs="Arial"/>
          <w:i/>
          <w:iCs/>
        </w:rPr>
        <w:t>con representación</w:t>
      </w:r>
      <w:r>
        <w:rPr>
          <w:rFonts w:ascii="Arial" w:hAnsi="Arial" w:cs="Arial"/>
        </w:rPr>
        <w:t xml:space="preserve">.   </w:t>
      </w:r>
    </w:p>
    <w:p w14:paraId="5684A5C6" w14:textId="77777777" w:rsidR="00845B19" w:rsidRDefault="00845B19" w:rsidP="00845B19">
      <w:pPr>
        <w:tabs>
          <w:tab w:val="left" w:pos="426"/>
        </w:tabs>
        <w:spacing w:after="120" w:line="276" w:lineRule="auto"/>
        <w:jc w:val="both"/>
        <w:rPr>
          <w:rFonts w:ascii="Arial" w:hAnsi="Arial" w:cs="Arial"/>
        </w:rPr>
      </w:pPr>
      <w:r>
        <w:rPr>
          <w:rFonts w:ascii="Arial" w:hAnsi="Arial" w:cs="Arial"/>
        </w:rPr>
        <w:tab/>
      </w:r>
      <w:r>
        <w:rPr>
          <w:rFonts w:ascii="Arial" w:hAnsi="Arial" w:cs="Arial"/>
        </w:rPr>
        <w:tab/>
        <w:t xml:space="preserve">Ahora, independiente de que por un lado encontremos un mandato rotulado con la categoría </w:t>
      </w:r>
      <w:r>
        <w:rPr>
          <w:rFonts w:ascii="Arial" w:hAnsi="Arial" w:cs="Arial"/>
          <w:i/>
          <w:iCs/>
        </w:rPr>
        <w:t>con representación</w:t>
      </w:r>
      <w:r>
        <w:rPr>
          <w:rFonts w:ascii="Arial" w:hAnsi="Arial" w:cs="Arial"/>
        </w:rPr>
        <w:t xml:space="preserve"> y otro </w:t>
      </w:r>
      <w:r>
        <w:rPr>
          <w:rFonts w:ascii="Arial" w:hAnsi="Arial" w:cs="Arial"/>
          <w:i/>
          <w:iCs/>
        </w:rPr>
        <w:t>sin representación</w:t>
      </w:r>
      <w:r>
        <w:rPr>
          <w:rFonts w:ascii="Arial" w:hAnsi="Arial" w:cs="Arial"/>
        </w:rPr>
        <w:t xml:space="preserve">, ambas formas de configurar el mandato se han asociado a dos tipos de representación. Por un lado, encontramos la </w:t>
      </w:r>
      <w:r>
        <w:rPr>
          <w:rFonts w:ascii="Arial" w:hAnsi="Arial" w:cs="Arial"/>
          <w:i/>
          <w:iCs/>
        </w:rPr>
        <w:t xml:space="preserve">directa </w:t>
      </w:r>
      <w:r>
        <w:rPr>
          <w:rFonts w:ascii="Arial" w:hAnsi="Arial" w:cs="Arial"/>
        </w:rPr>
        <w:t>o</w:t>
      </w:r>
      <w:r>
        <w:rPr>
          <w:rFonts w:ascii="Arial" w:hAnsi="Arial" w:cs="Arial"/>
          <w:i/>
          <w:iCs/>
        </w:rPr>
        <w:t xml:space="preserve"> inmediata</w:t>
      </w:r>
      <w:r>
        <w:rPr>
          <w:rFonts w:ascii="Arial" w:hAnsi="Arial" w:cs="Arial"/>
        </w:rPr>
        <w:t xml:space="preserve">, en virtud de la cual el mandatario celebra actos jurídicos en nombre del mandante de forma pública, de tal manera que la otra parte conoce que el mandatario actúa en representación del </w:t>
      </w:r>
      <w:r>
        <w:rPr>
          <w:rFonts w:ascii="Arial" w:hAnsi="Arial" w:cs="Arial"/>
        </w:rPr>
        <w:lastRenderedPageBreak/>
        <w:t xml:space="preserve">mandante. Esto en contraposición a la representación </w:t>
      </w:r>
      <w:r>
        <w:rPr>
          <w:rFonts w:ascii="Arial" w:hAnsi="Arial" w:cs="Arial"/>
          <w:i/>
          <w:iCs/>
        </w:rPr>
        <w:t>indirecta</w:t>
      </w:r>
      <w:r>
        <w:rPr>
          <w:rFonts w:ascii="Arial" w:hAnsi="Arial" w:cs="Arial"/>
        </w:rPr>
        <w:t xml:space="preserve"> o </w:t>
      </w:r>
      <w:r>
        <w:rPr>
          <w:rFonts w:ascii="Arial" w:hAnsi="Arial" w:cs="Arial"/>
          <w:i/>
          <w:iCs/>
        </w:rPr>
        <w:t>mediata</w:t>
      </w:r>
      <w:r>
        <w:rPr>
          <w:rFonts w:ascii="Arial" w:hAnsi="Arial" w:cs="Arial"/>
        </w:rPr>
        <w:t>, en el marco de la cual el mandatario, obrando para el mandante, concurre a la celebración del respectivo acto jurídico ocultando su condición de mandatario, es decir, manifestando actuar en nombre propio</w:t>
      </w:r>
      <w:r>
        <w:rPr>
          <w:rStyle w:val="Refdenotaalpie"/>
          <w:rFonts w:ascii="Arial" w:hAnsi="Arial" w:cs="Arial"/>
        </w:rPr>
        <w:footnoteReference w:id="24"/>
      </w:r>
      <w:r>
        <w:rPr>
          <w:rFonts w:ascii="Arial" w:hAnsi="Arial" w:cs="Arial"/>
        </w:rPr>
        <w:t xml:space="preserve">. </w:t>
      </w:r>
    </w:p>
    <w:p w14:paraId="39D8835B" w14:textId="77777777" w:rsidR="00845B19" w:rsidRDefault="00845B19" w:rsidP="00845B19">
      <w:pPr>
        <w:tabs>
          <w:tab w:val="left" w:pos="426"/>
        </w:tabs>
        <w:spacing w:after="120" w:line="276" w:lineRule="auto"/>
        <w:jc w:val="both"/>
        <w:rPr>
          <w:rFonts w:ascii="Arial" w:hAnsi="Arial" w:cs="Arial"/>
        </w:rPr>
      </w:pPr>
      <w:r>
        <w:rPr>
          <w:rFonts w:ascii="Arial" w:hAnsi="Arial" w:cs="Arial"/>
        </w:rPr>
        <w:tab/>
      </w:r>
      <w:r>
        <w:rPr>
          <w:rFonts w:ascii="Arial" w:hAnsi="Arial" w:cs="Arial"/>
        </w:rPr>
        <w:tab/>
        <w:t xml:space="preserve">En ese sentido, la representación directa o indirecta se presentan entonces como dos formas en las que el mandatario puede suscribir actos jurídicos en interés del mandante, las cuales, a luz de lo establecido en el artículo 2177 del Código Civil, determinan si la actuación surte o no efectos directos frente al mandante respecto de terceros. De acuerdo con lo previsto en esta norma, si el mandatario actúa mediante representación directa, es decir, manifestando su calidad de representante, el acto jurídico surtiría efectos respecto del mandante y su patrimonio, mientras que, si el mandatario actúa ocultando su calidad de representante, los efectos del respectivo acto jurídico se radicarían en cabeza del mandatario, sin perjuicio de su relación con el mandante. </w:t>
      </w:r>
    </w:p>
    <w:p w14:paraId="42341F83" w14:textId="77777777" w:rsidR="00845B19" w:rsidRDefault="00845B19" w:rsidP="00845B19">
      <w:pPr>
        <w:tabs>
          <w:tab w:val="left" w:pos="426"/>
        </w:tabs>
        <w:spacing w:after="120" w:line="276" w:lineRule="auto"/>
        <w:jc w:val="both"/>
        <w:rPr>
          <w:rFonts w:ascii="Arial" w:hAnsi="Arial" w:cs="Arial"/>
        </w:rPr>
      </w:pPr>
      <w:r>
        <w:rPr>
          <w:rFonts w:ascii="Arial" w:hAnsi="Arial" w:cs="Arial"/>
        </w:rPr>
        <w:tab/>
        <w:t xml:space="preserve">Tales efectos del mandato con representación pueden manifestarse en el ámbito de la contratación pública en situaciones como la que se plantea en la consulta, en la medida en que la celebración de un contrato de prestación de servicios para la ejecución de trabajos artísticos que deben ser contratados con una persona natural, bien podría ser suscrito por un mandatario designado por el artista. Esto comoquiera que, siempre que el eventual mandatario manifieste actuar en representación del mandante, sería este último quien en realidad fungiría como contratista, por lo que tal contratación cumpliría con lo explicado en el numeral 2.2 del presente concepto, toda vez que es una persona que goza de las calidades y reconocimiento propio de un artista quien se comprometió a ejecutar el contrato.  </w:t>
      </w:r>
    </w:p>
    <w:p w14:paraId="64A9BC2E" w14:textId="77777777" w:rsidR="00845B19" w:rsidRDefault="00845B19" w:rsidP="00845B19">
      <w:pPr>
        <w:tabs>
          <w:tab w:val="left" w:pos="426"/>
        </w:tabs>
        <w:spacing w:after="120" w:line="276" w:lineRule="auto"/>
        <w:jc w:val="both"/>
        <w:rPr>
          <w:sz w:val="24"/>
        </w:rPr>
      </w:pPr>
      <w:r>
        <w:rPr>
          <w:rFonts w:ascii="Arial" w:hAnsi="Arial" w:cs="Arial"/>
        </w:rPr>
        <w:tab/>
        <w:t xml:space="preserve">En estos eventos resulta irrelevante si el mandatario es una persona natural o jurídica, en la medida en que este concurre al negocio jurídico en representación del artista –mandante–, de quien, si se precisa la condición de persona natural, de acuerdo con lo previsto en el artículo 2, numeral 4 literal h) de la Ley 1150 de 2007 y el artículo </w:t>
      </w:r>
      <w:r w:rsidRPr="001F430E">
        <w:rPr>
          <w:rFonts w:ascii="Arial" w:eastAsia="Calibri" w:hAnsi="Arial" w:cs="Arial"/>
          <w:color w:val="000000" w:themeColor="text1"/>
        </w:rPr>
        <w:t>2.2.1.2.1.4.9 del</w:t>
      </w:r>
      <w:r>
        <w:rPr>
          <w:rFonts w:ascii="Arial" w:eastAsia="Calibri" w:hAnsi="Arial" w:cs="Arial"/>
          <w:color w:val="000000" w:themeColor="text1"/>
        </w:rPr>
        <w:t xml:space="preserve"> Decreto 1082 de 2015. En ese sentido, si en efecto existe un contrato de mandato entre un artista y una persona jurídica, cuyo </w:t>
      </w:r>
      <w:proofErr w:type="gramStart"/>
      <w:r>
        <w:rPr>
          <w:rFonts w:ascii="Arial" w:eastAsia="Calibri" w:hAnsi="Arial" w:cs="Arial"/>
          <w:color w:val="000000" w:themeColor="text1"/>
        </w:rPr>
        <w:t>objeto habilita</w:t>
      </w:r>
      <w:proofErr w:type="gramEnd"/>
      <w:r>
        <w:rPr>
          <w:rFonts w:ascii="Arial" w:eastAsia="Calibri" w:hAnsi="Arial" w:cs="Arial"/>
          <w:color w:val="000000" w:themeColor="text1"/>
        </w:rPr>
        <w:t xml:space="preserve"> a esta última a suscribir contratos en nombre del primero, nada obsta para que el mandatario suscriba contratos de prestación de servicios para la ejecución de trabajos artísticos, siempre y cuando al celebrarlo manifieste actuar en representación del mandante. </w:t>
      </w:r>
      <w:r>
        <w:rPr>
          <w:rFonts w:ascii="Arial" w:hAnsi="Arial" w:cs="Arial"/>
        </w:rPr>
        <w:t xml:space="preserve"> </w:t>
      </w:r>
    </w:p>
    <w:p w14:paraId="5EA51783" w14:textId="77777777" w:rsidR="00845B19" w:rsidRPr="001F430E" w:rsidRDefault="00845B19" w:rsidP="00845B19">
      <w:pPr>
        <w:tabs>
          <w:tab w:val="left" w:pos="426"/>
        </w:tabs>
        <w:spacing w:after="0" w:line="276" w:lineRule="auto"/>
        <w:jc w:val="both"/>
        <w:rPr>
          <w:rFonts w:ascii="Arial" w:hAnsi="Arial" w:cs="Arial"/>
          <w:color w:val="000000" w:themeColor="text1"/>
          <w:lang w:val="es-ES_tradnl"/>
        </w:rPr>
      </w:pPr>
    </w:p>
    <w:p w14:paraId="7E83DE85" w14:textId="77777777" w:rsidR="00845B19" w:rsidRDefault="00845B19" w:rsidP="00845B19">
      <w:pPr>
        <w:spacing w:line="240" w:lineRule="auto"/>
        <w:jc w:val="both"/>
        <w:rPr>
          <w:rFonts w:ascii="Arial" w:eastAsia="Calibri" w:hAnsi="Arial" w:cs="Arial"/>
          <w:color w:val="000000" w:themeColor="text1"/>
        </w:rPr>
      </w:pPr>
      <w:r w:rsidRPr="001F430E">
        <w:rPr>
          <w:rFonts w:ascii="Arial" w:eastAsia="Calibri" w:hAnsi="Arial" w:cs="Arial"/>
          <w:b/>
          <w:color w:val="000000" w:themeColor="text1"/>
        </w:rPr>
        <w:lastRenderedPageBreak/>
        <w:t>3. Respuesta</w:t>
      </w:r>
    </w:p>
    <w:p w14:paraId="23FC7DAB" w14:textId="77777777" w:rsidR="00845B19" w:rsidRPr="00A73BFD" w:rsidRDefault="00845B19" w:rsidP="00845B19">
      <w:pPr>
        <w:spacing w:line="240" w:lineRule="auto"/>
        <w:ind w:left="709" w:right="709"/>
        <w:jc w:val="both"/>
        <w:rPr>
          <w:rFonts w:ascii="Arial" w:eastAsia="Calibri" w:hAnsi="Arial" w:cs="Arial"/>
          <w:color w:val="000000" w:themeColor="text1"/>
          <w:lang w:val="es-MX"/>
        </w:rPr>
      </w:pPr>
      <w:r w:rsidRPr="00BE0AEE">
        <w:rPr>
          <w:rFonts w:ascii="Arial" w:eastAsia="Calibri" w:hAnsi="Arial" w:cs="Arial"/>
          <w:color w:val="000000" w:themeColor="text1"/>
          <w:lang w:val="es-ES_tradnl"/>
        </w:rPr>
        <w:t xml:space="preserve">«La </w:t>
      </w:r>
      <w:proofErr w:type="spellStart"/>
      <w:r w:rsidRPr="00BE0AEE">
        <w:rPr>
          <w:rFonts w:ascii="Arial" w:eastAsia="Calibri" w:hAnsi="Arial" w:cs="Arial"/>
          <w:color w:val="000000" w:themeColor="text1"/>
          <w:lang w:val="es-ES_tradnl"/>
        </w:rPr>
        <w:t>tipologia</w:t>
      </w:r>
      <w:proofErr w:type="spellEnd"/>
      <w:r w:rsidRPr="00BE0AEE">
        <w:rPr>
          <w:rFonts w:ascii="Arial" w:eastAsia="Calibri" w:hAnsi="Arial" w:cs="Arial"/>
          <w:color w:val="000000" w:themeColor="text1"/>
          <w:lang w:val="es-ES_tradnl"/>
        </w:rPr>
        <w:t xml:space="preserve"> de contratos de </w:t>
      </w:r>
      <w:proofErr w:type="spellStart"/>
      <w:r w:rsidRPr="00BE0AEE">
        <w:rPr>
          <w:rFonts w:ascii="Arial" w:eastAsia="Calibri" w:hAnsi="Arial" w:cs="Arial"/>
          <w:color w:val="000000" w:themeColor="text1"/>
          <w:lang w:val="es-ES_tradnl"/>
        </w:rPr>
        <w:t>prestacion</w:t>
      </w:r>
      <w:proofErr w:type="spellEnd"/>
      <w:r w:rsidRPr="00BE0AEE">
        <w:rPr>
          <w:rFonts w:ascii="Arial" w:eastAsia="Calibri" w:hAnsi="Arial" w:cs="Arial"/>
          <w:color w:val="000000" w:themeColor="text1"/>
          <w:lang w:val="es-ES_tradnl"/>
        </w:rPr>
        <w:t xml:space="preserve"> de servicios </w:t>
      </w:r>
      <w:proofErr w:type="spellStart"/>
      <w:r w:rsidRPr="00BE0AEE">
        <w:rPr>
          <w:rFonts w:ascii="Arial" w:eastAsia="Calibri" w:hAnsi="Arial" w:cs="Arial"/>
          <w:color w:val="000000" w:themeColor="text1"/>
          <w:lang w:val="es-ES_tradnl"/>
        </w:rPr>
        <w:t>artisticos</w:t>
      </w:r>
      <w:proofErr w:type="spellEnd"/>
      <w:r w:rsidRPr="00BE0AEE">
        <w:rPr>
          <w:rFonts w:ascii="Arial" w:eastAsia="Calibri" w:hAnsi="Arial" w:cs="Arial"/>
          <w:color w:val="000000" w:themeColor="text1"/>
          <w:lang w:val="es-ES_tradnl"/>
        </w:rPr>
        <w:t xml:space="preserve"> con determinadas</w:t>
      </w:r>
      <w:r>
        <w:rPr>
          <w:rFonts w:ascii="Arial" w:eastAsia="Calibri" w:hAnsi="Arial" w:cs="Arial"/>
          <w:color w:val="000000" w:themeColor="text1"/>
          <w:lang w:val="es-ES_tradnl"/>
        </w:rPr>
        <w:t xml:space="preserve"> </w:t>
      </w:r>
      <w:r w:rsidRPr="00BE0AEE">
        <w:rPr>
          <w:rFonts w:ascii="Arial" w:eastAsia="Calibri" w:hAnsi="Arial" w:cs="Arial"/>
          <w:color w:val="000000" w:themeColor="text1"/>
          <w:lang w:val="es-ES_tradnl"/>
        </w:rPr>
        <w:t>personas naturales, de conformidad con Concepto de CCE 773 de 2022 y Sentencia</w:t>
      </w:r>
      <w:r>
        <w:rPr>
          <w:rFonts w:ascii="Arial" w:eastAsia="Calibri" w:hAnsi="Arial" w:cs="Arial"/>
          <w:color w:val="000000" w:themeColor="text1"/>
          <w:lang w:val="es-ES_tradnl"/>
        </w:rPr>
        <w:t xml:space="preserve"> </w:t>
      </w:r>
      <w:r w:rsidRPr="00BE0AEE">
        <w:rPr>
          <w:rFonts w:ascii="Arial" w:eastAsia="Calibri" w:hAnsi="Arial" w:cs="Arial"/>
          <w:color w:val="000000" w:themeColor="text1"/>
          <w:lang w:val="es-ES_tradnl"/>
        </w:rPr>
        <w:t>del CE 41719</w:t>
      </w:r>
      <w:r>
        <w:rPr>
          <w:rFonts w:ascii="Arial" w:eastAsia="Calibri" w:hAnsi="Arial" w:cs="Arial"/>
          <w:color w:val="000000" w:themeColor="text1"/>
          <w:lang w:val="es-ES_tradnl"/>
        </w:rPr>
        <w:t xml:space="preserve"> </w:t>
      </w:r>
      <w:r w:rsidRPr="00BE0AEE">
        <w:rPr>
          <w:rFonts w:ascii="Arial" w:eastAsia="Calibri" w:hAnsi="Arial" w:cs="Arial"/>
          <w:color w:val="000000" w:themeColor="text1"/>
          <w:lang w:val="es-ES_tradnl"/>
        </w:rPr>
        <w:t>de 2 de diciembre de 2013, precisan que se deben contratar</w:t>
      </w:r>
      <w:r>
        <w:rPr>
          <w:rFonts w:ascii="Arial" w:eastAsia="Calibri" w:hAnsi="Arial" w:cs="Arial"/>
          <w:color w:val="000000" w:themeColor="text1"/>
          <w:lang w:val="es-ES_tradnl"/>
        </w:rPr>
        <w:t xml:space="preserve"> </w:t>
      </w:r>
      <w:r w:rsidRPr="00BE0AEE">
        <w:rPr>
          <w:rFonts w:ascii="Arial" w:eastAsia="Calibri" w:hAnsi="Arial" w:cs="Arial"/>
          <w:color w:val="000000" w:themeColor="text1"/>
          <w:lang w:val="es-ES_tradnl"/>
        </w:rPr>
        <w:t>exclusivamente con ARTISTAS.</w:t>
      </w:r>
    </w:p>
    <w:p w14:paraId="286DCB96" w14:textId="77777777" w:rsidR="00845B19" w:rsidRDefault="00845B19" w:rsidP="00845B19">
      <w:pPr>
        <w:autoSpaceDE w:val="0"/>
        <w:autoSpaceDN w:val="0"/>
        <w:adjustRightInd w:val="0"/>
        <w:spacing w:line="240" w:lineRule="auto"/>
        <w:ind w:left="709" w:right="709"/>
        <w:jc w:val="both"/>
        <w:rPr>
          <w:rFonts w:ascii="Arial" w:eastAsia="Calibri" w:hAnsi="Arial" w:cs="Arial"/>
          <w:color w:val="000000" w:themeColor="text1"/>
          <w:lang w:val="es-ES_tradnl"/>
        </w:rPr>
      </w:pPr>
      <w:r w:rsidRPr="00BE0AEE">
        <w:rPr>
          <w:rFonts w:ascii="Arial" w:eastAsia="Calibri" w:hAnsi="Arial" w:cs="Arial"/>
          <w:color w:val="000000" w:themeColor="text1"/>
          <w:lang w:val="es-ES_tradnl"/>
        </w:rPr>
        <w:t>En este sentido:</w:t>
      </w:r>
    </w:p>
    <w:p w14:paraId="1727F164" w14:textId="77777777" w:rsidR="00845B19" w:rsidRDefault="00845B19" w:rsidP="00845B19">
      <w:pPr>
        <w:autoSpaceDE w:val="0"/>
        <w:autoSpaceDN w:val="0"/>
        <w:adjustRightInd w:val="0"/>
        <w:spacing w:line="240" w:lineRule="auto"/>
        <w:ind w:left="709" w:right="709"/>
        <w:jc w:val="both"/>
        <w:rPr>
          <w:rFonts w:ascii="Arial" w:eastAsia="Calibri" w:hAnsi="Arial" w:cs="Arial"/>
          <w:color w:val="000000" w:themeColor="text1"/>
          <w:lang w:val="es-ES_tradnl"/>
        </w:rPr>
      </w:pPr>
      <w:r w:rsidRPr="00BE0AEE">
        <w:rPr>
          <w:rFonts w:ascii="Arial" w:eastAsia="Calibri" w:hAnsi="Arial" w:cs="Arial"/>
          <w:color w:val="000000" w:themeColor="text1"/>
          <w:lang w:val="es-ES_tradnl"/>
        </w:rPr>
        <w:t>- Puede contratarse con un Manager que se encuentre apoderado por el Artista para</w:t>
      </w:r>
      <w:r>
        <w:rPr>
          <w:rFonts w:ascii="Arial" w:eastAsia="Calibri" w:hAnsi="Arial" w:cs="Arial"/>
          <w:color w:val="000000" w:themeColor="text1"/>
          <w:lang w:val="es-ES_tradnl"/>
        </w:rPr>
        <w:t xml:space="preserve"> </w:t>
      </w:r>
      <w:r w:rsidRPr="00BE0AEE">
        <w:rPr>
          <w:rFonts w:ascii="Arial" w:eastAsia="Calibri" w:hAnsi="Arial" w:cs="Arial"/>
          <w:color w:val="000000" w:themeColor="text1"/>
          <w:lang w:val="es-ES_tradnl"/>
        </w:rPr>
        <w:t>suscribir el contrato?</w:t>
      </w:r>
    </w:p>
    <w:p w14:paraId="72645022" w14:textId="77777777" w:rsidR="00845B19" w:rsidRDefault="00845B19" w:rsidP="00845B19">
      <w:pPr>
        <w:autoSpaceDE w:val="0"/>
        <w:autoSpaceDN w:val="0"/>
        <w:adjustRightInd w:val="0"/>
        <w:spacing w:line="240" w:lineRule="auto"/>
        <w:ind w:left="709" w:right="709"/>
        <w:jc w:val="both"/>
        <w:rPr>
          <w:rFonts w:ascii="Arial" w:eastAsia="Calibri" w:hAnsi="Arial" w:cs="Arial"/>
          <w:color w:val="000000" w:themeColor="text1"/>
          <w:lang w:val="es-ES_tradnl"/>
        </w:rPr>
      </w:pPr>
      <w:r w:rsidRPr="00BE0AEE">
        <w:rPr>
          <w:rFonts w:ascii="Arial" w:eastAsia="Calibri" w:hAnsi="Arial" w:cs="Arial"/>
          <w:color w:val="000000" w:themeColor="text1"/>
          <w:lang w:val="es-ES_tradnl"/>
        </w:rPr>
        <w:t>- Puede contratarse con una persona jurídica que tenga el derecho de exclusividad del</w:t>
      </w:r>
      <w:r>
        <w:rPr>
          <w:rFonts w:ascii="Arial" w:eastAsia="Calibri" w:hAnsi="Arial" w:cs="Arial"/>
          <w:color w:val="000000" w:themeColor="text1"/>
          <w:lang w:val="es-ES_tradnl"/>
        </w:rPr>
        <w:t xml:space="preserve"> </w:t>
      </w:r>
      <w:r w:rsidRPr="00BE0AEE">
        <w:rPr>
          <w:rFonts w:ascii="Arial" w:eastAsia="Calibri" w:hAnsi="Arial" w:cs="Arial"/>
          <w:color w:val="000000" w:themeColor="text1"/>
          <w:lang w:val="es-ES_tradnl"/>
        </w:rPr>
        <w:t>artista?</w:t>
      </w:r>
    </w:p>
    <w:p w14:paraId="0D631B25" w14:textId="77777777" w:rsidR="00845B19" w:rsidRPr="00BE0AEE" w:rsidRDefault="00845B19" w:rsidP="00845B19">
      <w:pPr>
        <w:autoSpaceDE w:val="0"/>
        <w:autoSpaceDN w:val="0"/>
        <w:adjustRightInd w:val="0"/>
        <w:spacing w:line="240" w:lineRule="auto"/>
        <w:ind w:left="709" w:right="709"/>
        <w:jc w:val="both"/>
        <w:rPr>
          <w:rFonts w:ascii="Arial" w:eastAsia="Calibri" w:hAnsi="Arial" w:cs="Arial"/>
          <w:color w:val="000000" w:themeColor="text1"/>
          <w:lang w:val="es-ES_tradnl"/>
        </w:rPr>
      </w:pPr>
      <w:r w:rsidRPr="00BE0AEE">
        <w:rPr>
          <w:rFonts w:ascii="Arial" w:eastAsia="Calibri" w:hAnsi="Arial" w:cs="Arial"/>
          <w:color w:val="000000" w:themeColor="text1"/>
          <w:lang w:val="es-ES_tradnl"/>
        </w:rPr>
        <w:t>- o necesaria y obligatoriamente debe ser contrato directamente con el artista sin que</w:t>
      </w:r>
      <w:r>
        <w:rPr>
          <w:rFonts w:ascii="Arial" w:eastAsia="Calibri" w:hAnsi="Arial" w:cs="Arial"/>
          <w:color w:val="000000" w:themeColor="text1"/>
          <w:lang w:val="es-ES_tradnl"/>
        </w:rPr>
        <w:t xml:space="preserve"> </w:t>
      </w:r>
      <w:r w:rsidRPr="00BE0AEE">
        <w:rPr>
          <w:rFonts w:ascii="Arial" w:eastAsia="Calibri" w:hAnsi="Arial" w:cs="Arial"/>
          <w:color w:val="000000" w:themeColor="text1"/>
          <w:lang w:val="es-ES_tradnl"/>
        </w:rPr>
        <w:t xml:space="preserve">medie un apoderado o persona </w:t>
      </w:r>
      <w:proofErr w:type="spellStart"/>
      <w:r w:rsidRPr="00BE0AEE">
        <w:rPr>
          <w:rFonts w:ascii="Arial" w:eastAsia="Calibri" w:hAnsi="Arial" w:cs="Arial"/>
          <w:color w:val="000000" w:themeColor="text1"/>
          <w:lang w:val="es-ES_tradnl"/>
        </w:rPr>
        <w:t>juridica</w:t>
      </w:r>
      <w:proofErr w:type="spellEnd"/>
      <w:r w:rsidRPr="00BE0AEE">
        <w:rPr>
          <w:rFonts w:ascii="Arial" w:eastAsia="Calibri" w:hAnsi="Arial" w:cs="Arial"/>
          <w:color w:val="000000" w:themeColor="text1"/>
          <w:lang w:val="es-ES_tradnl"/>
        </w:rPr>
        <w:t xml:space="preserve"> con derecho?»</w:t>
      </w:r>
      <w:r w:rsidRPr="00B72F19">
        <w:rPr>
          <w:rFonts w:ascii="Arial" w:eastAsia="Calibri" w:hAnsi="Arial" w:cs="Arial"/>
          <w:color w:val="000000" w:themeColor="text1"/>
          <w:lang w:val="es-ES_tradnl"/>
        </w:rPr>
        <w:t xml:space="preserve"> </w:t>
      </w:r>
      <w:r>
        <w:rPr>
          <w:rFonts w:ascii="Arial" w:eastAsia="Calibri" w:hAnsi="Arial" w:cs="Arial"/>
          <w:color w:val="000000" w:themeColor="text1"/>
          <w:lang w:val="es-ES_tradnl"/>
        </w:rPr>
        <w:t>(sic)</w:t>
      </w:r>
      <w:r w:rsidRPr="00BE0AEE">
        <w:rPr>
          <w:rFonts w:ascii="Arial" w:eastAsia="Calibri" w:hAnsi="Arial" w:cs="Arial"/>
          <w:color w:val="000000" w:themeColor="text1"/>
          <w:lang w:val="es-ES_tradnl"/>
        </w:rPr>
        <w:t>.</w:t>
      </w:r>
    </w:p>
    <w:p w14:paraId="2E151869" w14:textId="77777777" w:rsidR="00845B19" w:rsidRPr="001F430E" w:rsidRDefault="00845B19" w:rsidP="00845B19">
      <w:pPr>
        <w:widowControl w:val="0"/>
        <w:autoSpaceDE w:val="0"/>
        <w:autoSpaceDN w:val="0"/>
        <w:spacing w:after="120" w:line="276" w:lineRule="auto"/>
        <w:jc w:val="both"/>
        <w:rPr>
          <w:rFonts w:ascii="Arial" w:eastAsia="Calibri" w:hAnsi="Arial" w:cs="Arial"/>
          <w:color w:val="000000" w:themeColor="text1"/>
        </w:rPr>
      </w:pPr>
      <w:r w:rsidRPr="001F430E">
        <w:rPr>
          <w:rFonts w:ascii="Arial" w:eastAsia="Calibri" w:hAnsi="Arial" w:cs="Arial"/>
          <w:color w:val="000000" w:themeColor="text1"/>
        </w:rPr>
        <w:t xml:space="preserve">Conforme a lo expuesto, las entidades sometidas al Estatuto General de Contratación de la Administración Pública pueden celebrar directamente contratos de prestación de servicios en los términos del literal h) del artículo 2.4 de la Ley 1150 de 2007 y el artículo 2.2.1.2.1.4.9 del Decreto 1082 de 2015. Ahora bien, de acuerdo con la jurisprudencia de unificación citada, el contrato de prestación de servicios tipificado en el artículo 32.3 de Ley 80 de 1993 es el género del cual se derivan, como especies, los contratos de prestación de servicios profesionales, los contratos de prestación de servicios de apoyo a la gestión y los contratos de prestación de servicios artísticos que sólo pueden encomendarse a determinadas personas naturales. </w:t>
      </w:r>
    </w:p>
    <w:p w14:paraId="7A562FEF" w14:textId="77777777" w:rsidR="00845B19" w:rsidRPr="001F430E" w:rsidRDefault="00845B19" w:rsidP="00845B19">
      <w:pPr>
        <w:spacing w:after="120" w:line="276" w:lineRule="auto"/>
        <w:ind w:firstLine="709"/>
        <w:jc w:val="both"/>
        <w:rPr>
          <w:rFonts w:ascii="Arial" w:hAnsi="Arial" w:cs="Arial"/>
          <w:color w:val="000000" w:themeColor="text1"/>
        </w:rPr>
      </w:pPr>
      <w:r w:rsidRPr="001F430E">
        <w:rPr>
          <w:rFonts w:ascii="Arial" w:eastAsia="Calibri" w:hAnsi="Arial" w:cs="Arial"/>
          <w:color w:val="000000" w:themeColor="text1"/>
        </w:rPr>
        <w:t xml:space="preserve">Esta última categoría tiene por objeto la ejecución de trabajos artísticos, que corresponden a creaciones humanas que expresan una especial visión del mundo, tanto real como imaginaria, por lo que sólo pueden celebrarse con personas naturales. En efecto, si bien el literal d) del artículo 24.1 de la Ley 80 de 1993 habilitaba en su versión primigenia la contratación directa «[…] para la ejecución de trabajos artísticos que sólo puedan encomendarse a determinadas personas naturales o jurídicas […]», también es cierto que esta norma fue derogada expresamente por el artículo 32 de la Ley 1150 de 2007. </w:t>
      </w:r>
    </w:p>
    <w:p w14:paraId="5779E214" w14:textId="77777777" w:rsidR="00845B19" w:rsidRPr="001F430E" w:rsidRDefault="00845B19" w:rsidP="00845B19">
      <w:pPr>
        <w:widowControl w:val="0"/>
        <w:autoSpaceDE w:val="0"/>
        <w:autoSpaceDN w:val="0"/>
        <w:spacing w:after="120" w:line="276" w:lineRule="auto"/>
        <w:ind w:firstLine="709"/>
        <w:jc w:val="both"/>
        <w:rPr>
          <w:rFonts w:ascii="Arial" w:hAnsi="Arial" w:cs="Arial"/>
          <w:color w:val="000000" w:themeColor="text1"/>
          <w:lang w:val="es-ES_tradnl"/>
        </w:rPr>
      </w:pPr>
      <w:r w:rsidRPr="001F430E">
        <w:rPr>
          <w:rFonts w:ascii="Arial" w:eastAsia="Calibri" w:hAnsi="Arial" w:cs="Arial"/>
          <w:color w:val="000000" w:themeColor="text1"/>
        </w:rPr>
        <w:t xml:space="preserve">Dado que el literal d) del artículo 24.1 de la Ley 80 de 1993 perdió vigencia, las causales de contratación directa son las del artículo 2.4 de la Ley 1150 de 2007. El literal h) de esta última norma, a diferencia de la disposición derogada, solo permite la contratación directa para la «[…] para la ejecución de trabajos artísticos que sólo puedan encomendarse a determinadas personas naturales», excluyendo la posibilidad de celebrarlos con personas jurídicas. Esta orientación fue reproducida en el inciso final del artículo 2.2.1.2.1.4.9 del Decreto 1082 de 2015, el cual dispone expresamente que «La Entidad Estatal, para la </w:t>
      </w:r>
      <w:r w:rsidRPr="001F430E">
        <w:rPr>
          <w:rFonts w:ascii="Arial" w:eastAsia="Calibri" w:hAnsi="Arial" w:cs="Arial"/>
          <w:i/>
          <w:iCs/>
          <w:color w:val="000000" w:themeColor="text1"/>
        </w:rPr>
        <w:t>contratación de trabajos artísticos que solamente puedan encomendarse a determinadas personas naturales</w:t>
      </w:r>
      <w:r w:rsidRPr="001F430E">
        <w:rPr>
          <w:rFonts w:ascii="Arial" w:eastAsia="Calibri" w:hAnsi="Arial" w:cs="Arial"/>
          <w:color w:val="000000" w:themeColor="text1"/>
        </w:rPr>
        <w:t>, debe justificar esta situación en los estudios y documentos previos» (Énfasis fuera de texto).</w:t>
      </w:r>
      <w:r w:rsidRPr="001F430E">
        <w:rPr>
          <w:rFonts w:ascii="Arial" w:hAnsi="Arial" w:cs="Arial"/>
          <w:color w:val="000000" w:themeColor="text1"/>
          <w:lang w:val="es-ES_tradnl"/>
        </w:rPr>
        <w:t> </w:t>
      </w:r>
    </w:p>
    <w:p w14:paraId="79E2F5A6" w14:textId="77777777" w:rsidR="00845B19" w:rsidRDefault="00845B19" w:rsidP="00845B19">
      <w:pPr>
        <w:spacing w:line="276" w:lineRule="auto"/>
        <w:ind w:firstLine="708"/>
        <w:jc w:val="both"/>
        <w:rPr>
          <w:rFonts w:ascii="Arial" w:eastAsia="Arial" w:hAnsi="Arial" w:cs="Arial"/>
        </w:rPr>
      </w:pPr>
      <w:r w:rsidRPr="001F430E">
        <w:rPr>
          <w:rFonts w:ascii="Arial" w:hAnsi="Arial" w:cs="Arial"/>
        </w:rPr>
        <w:lastRenderedPageBreak/>
        <w:t xml:space="preserve">Respecto al alcance de la expresión «[…] </w:t>
      </w:r>
      <w:r w:rsidRPr="001F430E">
        <w:rPr>
          <w:rFonts w:ascii="Arial" w:hAnsi="Arial" w:cs="Arial"/>
          <w:i/>
          <w:iCs/>
        </w:rPr>
        <w:t>que solamente puedan encomendarse a determinadas personas naturales</w:t>
      </w:r>
      <w:r w:rsidRPr="001F430E">
        <w:rPr>
          <w:rFonts w:ascii="Arial" w:hAnsi="Arial" w:cs="Arial"/>
        </w:rPr>
        <w:t xml:space="preserve">» contenida en el literal h) del artículo 2.4 de 2007, es posible afirma que la misma está relacionada con el conjunto de capacidades, habilidades y aptitudes artísticas que reúnen ciertas personas naturales en el campo de las artes, verbigracia, los pintores, escultores, actores, músicos, cantantes, etc., sin que la norma exija que sean los únicos en dicho campo.   En tal sentido, la contratación directa puede ser viable cuando aun habiendo varios sujetos en el campo artístico identificado por la entidad estatal, la escogencia del artista se hace atendiendo a esas habilidades artísticas especiales que caracterizan a determinadas personas naturales, y que, en el marco del principio de la selección objetiva, se requieren para la satisfacción de la necesidad de la entidad estatal. </w:t>
      </w:r>
      <w:r w:rsidRPr="001F430E">
        <w:rPr>
          <w:rFonts w:ascii="Arial" w:eastAsia="Arial" w:hAnsi="Arial" w:cs="Arial"/>
        </w:rPr>
        <w:t>En todo caso, se manifiesta que cada entidad estatal en el marco de su autonomía es la competente para establecer los criterios de escogencia del artista que requiere para la satisfacción de la necesidad identificada, justificando dicho acto en los estudios y documentos previos.</w:t>
      </w:r>
    </w:p>
    <w:p w14:paraId="12F6E016" w14:textId="77777777" w:rsidR="00845B19" w:rsidRDefault="00845B19" w:rsidP="00845B19">
      <w:pPr>
        <w:spacing w:line="276" w:lineRule="auto"/>
        <w:ind w:firstLine="708"/>
        <w:jc w:val="both"/>
        <w:rPr>
          <w:rFonts w:ascii="Arial" w:hAnsi="Arial" w:cs="Arial"/>
          <w:lang w:val="es-ES"/>
        </w:rPr>
      </w:pPr>
      <w:r>
        <w:rPr>
          <w:rFonts w:ascii="Arial" w:eastAsia="Arial" w:hAnsi="Arial" w:cs="Arial"/>
        </w:rPr>
        <w:t xml:space="preserve">Sin perjuicio de lo anterior, </w:t>
      </w:r>
      <w:r>
        <w:rPr>
          <w:rFonts w:ascii="Arial" w:eastAsia="Calibri" w:hAnsi="Arial" w:cs="Arial"/>
          <w:color w:val="000000" w:themeColor="text1"/>
        </w:rPr>
        <w:t>es importante tener en cuenta el hecho de que el referido tipo de contrato de prestación de servicios deba ser suscrito con una persona natural que tenga la calidad de artista, no riñe con la posibilidad de aplicar las normas civiles relacionadas con la figura del mandato, en virtud de la cual una persona actúa</w:t>
      </w:r>
      <w:r w:rsidRPr="00F430D8">
        <w:rPr>
          <w:rFonts w:ascii="Arial" w:hAnsi="Arial" w:cs="Arial"/>
          <w:lang w:val="es-ES"/>
        </w:rPr>
        <w:t xml:space="preserve"> en representación de otra, celebr</w:t>
      </w:r>
      <w:r>
        <w:rPr>
          <w:rFonts w:ascii="Arial" w:hAnsi="Arial" w:cs="Arial"/>
          <w:lang w:val="es-ES"/>
        </w:rPr>
        <w:t>ando</w:t>
      </w:r>
      <w:r w:rsidRPr="00F430D8">
        <w:rPr>
          <w:rFonts w:ascii="Arial" w:hAnsi="Arial" w:cs="Arial"/>
          <w:lang w:val="es-ES"/>
        </w:rPr>
        <w:t xml:space="preserve"> acuerdos de voluntades que producen efectos respecto de </w:t>
      </w:r>
      <w:proofErr w:type="gramStart"/>
      <w:r w:rsidRPr="00F430D8">
        <w:rPr>
          <w:rFonts w:ascii="Arial" w:hAnsi="Arial" w:cs="Arial"/>
          <w:lang w:val="es-ES"/>
        </w:rPr>
        <w:t>las persona</w:t>
      </w:r>
      <w:proofErr w:type="gramEnd"/>
      <w:r w:rsidRPr="00F430D8">
        <w:rPr>
          <w:rFonts w:ascii="Arial" w:hAnsi="Arial" w:cs="Arial"/>
          <w:lang w:val="es-ES"/>
        </w:rPr>
        <w:t xml:space="preserve"> que representa</w:t>
      </w:r>
      <w:r>
        <w:rPr>
          <w:rFonts w:ascii="Arial" w:hAnsi="Arial" w:cs="Arial"/>
          <w:lang w:val="es-ES"/>
        </w:rPr>
        <w:t>.</w:t>
      </w:r>
      <w:r w:rsidRPr="00F430D8">
        <w:rPr>
          <w:rFonts w:ascii="Arial" w:hAnsi="Arial" w:cs="Arial"/>
          <w:lang w:val="es-ES"/>
        </w:rPr>
        <w:t xml:space="preserve"> </w:t>
      </w:r>
      <w:r>
        <w:rPr>
          <w:rFonts w:ascii="Arial" w:hAnsi="Arial" w:cs="Arial"/>
          <w:lang w:val="es-ES"/>
        </w:rPr>
        <w:t xml:space="preserve">Es por ello, que la suscripción de un contrato de prestación de servicios para la ejecución de trabajos artísticos bien podría realizarse por un </w:t>
      </w:r>
      <w:r w:rsidRPr="00773D00">
        <w:rPr>
          <w:rFonts w:ascii="Arial" w:hAnsi="Arial" w:cs="Arial"/>
          <w:i/>
          <w:iCs/>
          <w:lang w:val="es-ES"/>
        </w:rPr>
        <w:t>«</w:t>
      </w:r>
      <w:r w:rsidRPr="00773D00">
        <w:rPr>
          <w:rFonts w:ascii="Arial" w:hAnsi="Arial" w:cs="Arial"/>
          <w:i/>
          <w:lang w:val="es-ES"/>
        </w:rPr>
        <w:t>manager</w:t>
      </w:r>
      <w:r w:rsidRPr="00773D00">
        <w:rPr>
          <w:rFonts w:ascii="Arial" w:hAnsi="Arial" w:cs="Arial"/>
          <w:i/>
          <w:iCs/>
          <w:lang w:val="es-ES"/>
        </w:rPr>
        <w:t>»</w:t>
      </w:r>
      <w:r>
        <w:rPr>
          <w:rFonts w:ascii="Arial" w:hAnsi="Arial" w:cs="Arial"/>
          <w:lang w:val="es-ES"/>
        </w:rPr>
        <w:t xml:space="preserve"> o una persona jurídica, quienes actuando como mandatarios podrían suscribir el contrato de manera valida, obligando al artista–mandante– quien sería el verdadero </w:t>
      </w:r>
      <w:proofErr w:type="gramStart"/>
      <w:r>
        <w:rPr>
          <w:rFonts w:ascii="Arial" w:hAnsi="Arial" w:cs="Arial"/>
          <w:lang w:val="es-ES"/>
        </w:rPr>
        <w:t xml:space="preserve">contratista,   </w:t>
      </w:r>
      <w:proofErr w:type="gramEnd"/>
      <w:r w:rsidRPr="00F430D8">
        <w:rPr>
          <w:rFonts w:ascii="Arial" w:hAnsi="Arial" w:cs="Arial"/>
          <w:lang w:val="es-ES"/>
        </w:rPr>
        <w:t xml:space="preserve">conforme </w:t>
      </w:r>
      <w:r>
        <w:rPr>
          <w:rFonts w:ascii="Arial" w:hAnsi="Arial" w:cs="Arial"/>
          <w:lang w:val="es-ES"/>
        </w:rPr>
        <w:t>con</w:t>
      </w:r>
      <w:r w:rsidRPr="00F430D8">
        <w:rPr>
          <w:rFonts w:ascii="Arial" w:hAnsi="Arial" w:cs="Arial"/>
          <w:lang w:val="es-ES"/>
        </w:rPr>
        <w:t xml:space="preserve"> lo establecido en el artículo 1505 del Código Civil</w:t>
      </w:r>
      <w:r>
        <w:rPr>
          <w:rFonts w:ascii="Arial" w:hAnsi="Arial" w:cs="Arial"/>
          <w:lang w:val="es-ES"/>
        </w:rPr>
        <w:t xml:space="preserve">.  </w:t>
      </w:r>
    </w:p>
    <w:p w14:paraId="23FF6C5C" w14:textId="77777777" w:rsidR="00845B19" w:rsidRPr="001F430E" w:rsidRDefault="00845B19" w:rsidP="00845B19">
      <w:pPr>
        <w:spacing w:line="276" w:lineRule="auto"/>
        <w:jc w:val="both"/>
        <w:rPr>
          <w:rFonts w:ascii="Arial" w:eastAsia="Calibri" w:hAnsi="Arial" w:cs="Arial"/>
          <w:color w:val="000000" w:themeColor="text1"/>
        </w:rPr>
      </w:pPr>
      <w:r>
        <w:rPr>
          <w:rFonts w:ascii="Arial" w:eastAsia="Calibri" w:hAnsi="Arial" w:cs="Arial"/>
          <w:color w:val="000000" w:themeColor="text1"/>
        </w:rPr>
        <w:t>E</w:t>
      </w:r>
      <w:r w:rsidRPr="001F430E">
        <w:rPr>
          <w:rFonts w:ascii="Arial" w:eastAsia="Calibri" w:hAnsi="Arial" w:cs="Arial"/>
          <w:color w:val="000000" w:themeColor="text1"/>
        </w:rPr>
        <w:t>ste concepto tiene el alcance previsto en el artículo 28 del Código de Procedimiento Administrativo y de lo Contencioso Administrativo.</w:t>
      </w:r>
    </w:p>
    <w:p w14:paraId="18ECBA06" w14:textId="77777777" w:rsidR="00845B19" w:rsidRPr="001F430E" w:rsidRDefault="00845B19" w:rsidP="00845B19">
      <w:pPr>
        <w:spacing w:after="0" w:line="240" w:lineRule="auto"/>
        <w:jc w:val="both"/>
        <w:rPr>
          <w:rFonts w:ascii="Arial" w:eastAsia="Calibri" w:hAnsi="Arial" w:cs="Arial"/>
          <w:lang w:val="es-MX"/>
        </w:rPr>
      </w:pPr>
      <w:r>
        <w:rPr>
          <w:rFonts w:ascii="Arial" w:eastAsia="Calibri" w:hAnsi="Arial" w:cs="Arial"/>
          <w:lang w:val="es-MX"/>
        </w:rPr>
        <w:t>C</w:t>
      </w:r>
      <w:r w:rsidRPr="001F430E">
        <w:rPr>
          <w:rFonts w:ascii="Arial" w:eastAsia="Calibri" w:hAnsi="Arial" w:cs="Arial"/>
          <w:lang w:val="es-MX"/>
        </w:rPr>
        <w:t>ordialmente,</w:t>
      </w:r>
    </w:p>
    <w:p w14:paraId="4CA93F49" w14:textId="77777777" w:rsidR="00845B19" w:rsidRPr="001F430E" w:rsidRDefault="00845B19" w:rsidP="00845B19">
      <w:pPr>
        <w:spacing w:after="0" w:line="240" w:lineRule="auto"/>
        <w:jc w:val="both"/>
        <w:rPr>
          <w:rFonts w:ascii="Arial" w:eastAsia="Calibri" w:hAnsi="Arial" w:cs="Arial"/>
          <w:b/>
          <w:bCs/>
          <w:lang w:val="es-MX"/>
        </w:rPr>
      </w:pPr>
    </w:p>
    <w:p w14:paraId="13EDBBD3" w14:textId="5AFF7EDD" w:rsidR="00845B19" w:rsidRPr="001F430E" w:rsidRDefault="0008299A" w:rsidP="00845B19">
      <w:pPr>
        <w:pStyle w:val="NormalWeb"/>
        <w:spacing w:before="0" w:beforeAutospacing="0" w:after="0" w:afterAutospacing="0"/>
        <w:jc w:val="center"/>
        <w:rPr>
          <w:rFonts w:ascii="Arial" w:hAnsi="Arial" w:cs="Arial"/>
          <w:color w:val="000000"/>
          <w:sz w:val="22"/>
          <w:szCs w:val="22"/>
          <w:shd w:val="clear" w:color="auto" w:fill="FFFFFF"/>
        </w:rPr>
      </w:pPr>
      <w:r>
        <w:rPr>
          <w:noProof/>
        </w:rPr>
        <w:drawing>
          <wp:inline distT="0" distB="0" distL="0" distR="0" wp14:anchorId="16B2C505" wp14:editId="633D1766">
            <wp:extent cx="2775006" cy="1064730"/>
            <wp:effectExtent l="0" t="0" r="6350" b="2540"/>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pic:nvPicPr>
                  <pic:blipFill>
                    <a:blip r:embed="rId12"/>
                    <a:stretch>
                      <a:fillRect/>
                    </a:stretch>
                  </pic:blipFill>
                  <pic:spPr>
                    <a:xfrm>
                      <a:off x="0" y="0"/>
                      <a:ext cx="2785707" cy="1068836"/>
                    </a:xfrm>
                    <a:prstGeom prst="rect">
                      <a:avLst/>
                    </a:prstGeom>
                  </pic:spPr>
                </pic:pic>
              </a:graphicData>
            </a:graphic>
          </wp:inline>
        </w:drawing>
      </w:r>
    </w:p>
    <w:p w14:paraId="224B3B23" w14:textId="77777777" w:rsidR="00845B19" w:rsidRPr="001F430E" w:rsidRDefault="00845B19" w:rsidP="00845B19">
      <w:pPr>
        <w:pStyle w:val="NormalWeb"/>
        <w:spacing w:before="0" w:beforeAutospacing="0" w:after="0" w:afterAutospacing="0"/>
        <w:jc w:val="both"/>
        <w:rPr>
          <w:rFonts w:ascii="Arial" w:hAnsi="Arial" w:cs="Arial"/>
          <w:sz w:val="22"/>
          <w:szCs w:val="22"/>
          <w:lang w:val="es-ES_tradnl"/>
        </w:rPr>
      </w:pPr>
      <w:r w:rsidRPr="001F430E">
        <w:rPr>
          <w:rFonts w:ascii="Arial" w:hAnsi="Arial" w:cs="Arial"/>
          <w:color w:val="000000"/>
          <w:sz w:val="22"/>
          <w:szCs w:val="22"/>
          <w:shd w:val="clear" w:color="auto" w:fill="FFFFFF"/>
        </w:rPr>
        <w:br/>
      </w:r>
    </w:p>
    <w:tbl>
      <w:tblPr>
        <w:tblW w:w="5225" w:type="dxa"/>
        <w:tblBorders>
          <w:top w:val="nil"/>
          <w:left w:val="nil"/>
          <w:bottom w:val="nil"/>
          <w:right w:val="nil"/>
          <w:insideH w:val="nil"/>
          <w:insideV w:val="nil"/>
        </w:tblBorders>
        <w:tblLayout w:type="fixed"/>
        <w:tblLook w:val="0400" w:firstRow="0" w:lastRow="0" w:firstColumn="0" w:lastColumn="0" w:noHBand="0" w:noVBand="1"/>
      </w:tblPr>
      <w:tblGrid>
        <w:gridCol w:w="812"/>
        <w:gridCol w:w="4413"/>
      </w:tblGrid>
      <w:tr w:rsidR="00845B19" w:rsidRPr="00C0487D" w14:paraId="2155741F" w14:textId="77777777" w:rsidTr="00773D00">
        <w:trPr>
          <w:trHeight w:val="315"/>
        </w:trPr>
        <w:tc>
          <w:tcPr>
            <w:tcW w:w="812" w:type="dxa"/>
            <w:vAlign w:val="center"/>
          </w:tcPr>
          <w:p w14:paraId="3B286B02"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Elaboró:</w:t>
            </w:r>
          </w:p>
        </w:tc>
        <w:tc>
          <w:tcPr>
            <w:tcW w:w="4413" w:type="dxa"/>
            <w:tcBorders>
              <w:top w:val="nil"/>
              <w:left w:val="nil"/>
              <w:bottom w:val="dotted" w:sz="4" w:space="0" w:color="7F7F7F"/>
              <w:right w:val="nil"/>
            </w:tcBorders>
            <w:vAlign w:val="center"/>
          </w:tcPr>
          <w:p w14:paraId="189DF589"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 xml:space="preserve">María Valeska Medellín Mora </w:t>
            </w:r>
          </w:p>
          <w:p w14:paraId="7EE13905"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Gestor T1- 15 Subdirección de Gestión Contractual</w:t>
            </w:r>
          </w:p>
        </w:tc>
      </w:tr>
      <w:tr w:rsidR="00845B19" w:rsidRPr="00C0487D" w14:paraId="0810128F" w14:textId="77777777" w:rsidTr="00773D00">
        <w:trPr>
          <w:trHeight w:val="330"/>
        </w:trPr>
        <w:tc>
          <w:tcPr>
            <w:tcW w:w="812" w:type="dxa"/>
            <w:vAlign w:val="center"/>
          </w:tcPr>
          <w:p w14:paraId="6654941D"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Revisó:</w:t>
            </w:r>
          </w:p>
        </w:tc>
        <w:tc>
          <w:tcPr>
            <w:tcW w:w="4413" w:type="dxa"/>
            <w:tcBorders>
              <w:top w:val="dotted" w:sz="4" w:space="0" w:color="7F7F7F"/>
              <w:left w:val="nil"/>
              <w:bottom w:val="dotted" w:sz="4" w:space="0" w:color="7F7F7F"/>
              <w:right w:val="nil"/>
            </w:tcBorders>
            <w:vAlign w:val="center"/>
          </w:tcPr>
          <w:p w14:paraId="55C307FB"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Alejandro Sarmiento Cantillo</w:t>
            </w:r>
          </w:p>
          <w:p w14:paraId="36161428"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Gestor T1- 15 Subdirección de Gestión Contractual</w:t>
            </w:r>
          </w:p>
        </w:tc>
      </w:tr>
      <w:tr w:rsidR="00845B19" w:rsidRPr="00C0487D" w14:paraId="6FFD3BA8" w14:textId="77777777" w:rsidTr="00773D00">
        <w:trPr>
          <w:trHeight w:val="300"/>
        </w:trPr>
        <w:tc>
          <w:tcPr>
            <w:tcW w:w="812" w:type="dxa"/>
            <w:vAlign w:val="center"/>
          </w:tcPr>
          <w:p w14:paraId="6BA4AB1F"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Aprobó:</w:t>
            </w:r>
          </w:p>
        </w:tc>
        <w:tc>
          <w:tcPr>
            <w:tcW w:w="4413" w:type="dxa"/>
            <w:tcBorders>
              <w:top w:val="dotted" w:sz="4" w:space="0" w:color="7F7F7F"/>
              <w:left w:val="nil"/>
              <w:bottom w:val="dotted" w:sz="4" w:space="0" w:color="7F7F7F"/>
              <w:right w:val="nil"/>
            </w:tcBorders>
            <w:vAlign w:val="center"/>
          </w:tcPr>
          <w:p w14:paraId="2745C6CA"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 xml:space="preserve"> Nohelia del Carmen </w:t>
            </w:r>
            <w:proofErr w:type="spellStart"/>
            <w:r w:rsidRPr="00C0487D">
              <w:rPr>
                <w:rFonts w:ascii="Arial" w:hAnsi="Arial" w:cs="Arial"/>
                <w:bCs/>
                <w:sz w:val="16"/>
                <w:szCs w:val="16"/>
                <w:lang w:eastAsia="es-CO"/>
              </w:rPr>
              <w:t>Zawady</w:t>
            </w:r>
            <w:proofErr w:type="spellEnd"/>
            <w:r w:rsidRPr="00C0487D">
              <w:rPr>
                <w:rFonts w:ascii="Arial" w:hAnsi="Arial" w:cs="Arial"/>
                <w:bCs/>
                <w:sz w:val="16"/>
                <w:szCs w:val="16"/>
                <w:lang w:eastAsia="es-CO"/>
              </w:rPr>
              <w:t xml:space="preserve"> Palacio </w:t>
            </w:r>
          </w:p>
          <w:p w14:paraId="3AE7F70B" w14:textId="77777777" w:rsidR="00845B19" w:rsidRPr="00C0487D" w:rsidRDefault="00845B19" w:rsidP="00773D00">
            <w:pPr>
              <w:spacing w:after="0" w:line="240" w:lineRule="auto"/>
              <w:jc w:val="both"/>
              <w:rPr>
                <w:rFonts w:ascii="Arial" w:hAnsi="Arial" w:cs="Arial"/>
                <w:bCs/>
                <w:sz w:val="16"/>
                <w:szCs w:val="16"/>
                <w:lang w:eastAsia="es-CO"/>
              </w:rPr>
            </w:pPr>
            <w:r w:rsidRPr="00C0487D">
              <w:rPr>
                <w:rFonts w:ascii="Arial" w:hAnsi="Arial" w:cs="Arial"/>
                <w:bCs/>
                <w:sz w:val="16"/>
                <w:szCs w:val="16"/>
                <w:lang w:eastAsia="es-CO"/>
              </w:rPr>
              <w:t>Subdirectora de Gestión Contractual ANCP – CCE</w:t>
            </w:r>
          </w:p>
        </w:tc>
      </w:tr>
    </w:tbl>
    <w:p w14:paraId="60E693FD" w14:textId="77777777" w:rsidR="00845B19" w:rsidRPr="001F430E" w:rsidRDefault="00845B19" w:rsidP="00845B19">
      <w:pPr>
        <w:spacing w:line="240" w:lineRule="auto"/>
        <w:jc w:val="both"/>
        <w:rPr>
          <w:rFonts w:ascii="Arial" w:eastAsia="Times New Roman" w:hAnsi="Arial" w:cs="Arial"/>
          <w:color w:val="000000"/>
          <w:lang w:val="es-ES_tradnl" w:eastAsia="es-ES_tradnl"/>
        </w:rPr>
      </w:pPr>
    </w:p>
    <w:p w14:paraId="08C849C6" w14:textId="77777777" w:rsidR="00845B19" w:rsidRPr="001F430E" w:rsidRDefault="00845B19" w:rsidP="00845B19">
      <w:pPr>
        <w:tabs>
          <w:tab w:val="left" w:pos="3795"/>
        </w:tabs>
        <w:spacing w:line="240" w:lineRule="auto"/>
        <w:jc w:val="both"/>
        <w:rPr>
          <w:rFonts w:ascii="Arial" w:eastAsia="Times New Roman" w:hAnsi="Arial" w:cs="Arial"/>
          <w:color w:val="000000"/>
          <w:lang w:val="es-ES_tradnl" w:eastAsia="es-ES_tradnl"/>
        </w:rPr>
      </w:pPr>
      <w:r w:rsidRPr="001F430E">
        <w:rPr>
          <w:rFonts w:ascii="Arial" w:eastAsia="Times New Roman" w:hAnsi="Arial" w:cs="Arial"/>
          <w:color w:val="000000"/>
          <w:lang w:val="es-ES_tradnl" w:eastAsia="es-ES_tradnl"/>
        </w:rPr>
        <w:tab/>
      </w:r>
    </w:p>
    <w:p w14:paraId="06C2E3E2" w14:textId="77777777" w:rsidR="00845B19" w:rsidRPr="001F430E" w:rsidRDefault="00845B19" w:rsidP="00845B19">
      <w:pPr>
        <w:spacing w:line="240" w:lineRule="auto"/>
        <w:jc w:val="both"/>
        <w:rPr>
          <w:rFonts w:ascii="Arial" w:hAnsi="Arial" w:cs="Arial"/>
          <w:color w:val="000000" w:themeColor="text1"/>
          <w:lang w:val="es-ES_tradnl"/>
        </w:rPr>
      </w:pPr>
    </w:p>
    <w:p w14:paraId="7DAD1C5B" w14:textId="77777777" w:rsidR="00845B19" w:rsidRPr="007566FE" w:rsidRDefault="00845B19" w:rsidP="00845B19">
      <w:pPr>
        <w:rPr>
          <w:rFonts w:ascii="Arial Nova" w:hAnsi="Arial Nova"/>
          <w:color w:val="000000" w:themeColor="text1"/>
        </w:rPr>
      </w:pPr>
    </w:p>
    <w:p w14:paraId="7525C54B" w14:textId="77777777" w:rsidR="00845B19" w:rsidRPr="00080DA3" w:rsidRDefault="00845B19" w:rsidP="00845B19">
      <w:pPr>
        <w:spacing w:after="0" w:line="240" w:lineRule="auto"/>
        <w:jc w:val="right"/>
        <w:textAlignment w:val="baseline"/>
        <w:rPr>
          <w:rFonts w:ascii="Geomanist Light" w:eastAsia="Times New Roman" w:hAnsi="Geomanist Light" w:cs="Arial"/>
          <w:lang w:eastAsia="es-CO"/>
        </w:rPr>
      </w:pPr>
    </w:p>
    <w:p w14:paraId="0C4F3AFC" w14:textId="77777777" w:rsidR="0095667D" w:rsidRDefault="0095667D"/>
    <w:sectPr w:rsidR="0095667D" w:rsidSect="0039439C">
      <w:headerReference w:type="default" r:id="rId13"/>
      <w:footerReference w:type="default" r:id="rId14"/>
      <w:pgSz w:w="12240" w:h="15840" w:code="1"/>
      <w:pgMar w:top="1418" w:right="1418" w:bottom="1418" w:left="1418" w:header="850" w:footer="397"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8010D" w14:textId="77777777" w:rsidR="00485868" w:rsidRDefault="00485868" w:rsidP="00845B19">
      <w:pPr>
        <w:spacing w:after="0" w:line="240" w:lineRule="auto"/>
      </w:pPr>
      <w:r>
        <w:separator/>
      </w:r>
    </w:p>
  </w:endnote>
  <w:endnote w:type="continuationSeparator" w:id="0">
    <w:p w14:paraId="7DB465D3" w14:textId="77777777" w:rsidR="00485868" w:rsidRDefault="00485868" w:rsidP="00845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00"/>
    <w:family w:val="roman"/>
    <w:notTrueType/>
    <w:pitch w:val="default"/>
    <w:sig w:usb0="00000003" w:usb1="08070000" w:usb2="00000010" w:usb3="00000000" w:csb0="00020001" w:csb1="00000000"/>
  </w:font>
  <w:font w:name="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1113" w14:textId="77777777" w:rsidR="004A1847" w:rsidRDefault="00000000" w:rsidP="008614E5">
    <w:pPr>
      <w:pStyle w:val="Piedepgina"/>
    </w:pPr>
    <w:r>
      <w:rPr>
        <w:noProof/>
      </w:rPr>
      <w:drawing>
        <wp:inline distT="0" distB="0" distL="0" distR="0" wp14:anchorId="2C246FFD" wp14:editId="0CE8F795">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678"/>
      <w:gridCol w:w="844"/>
      <w:gridCol w:w="1784"/>
      <w:gridCol w:w="720"/>
      <w:gridCol w:w="2818"/>
      <w:gridCol w:w="1527"/>
    </w:tblGrid>
    <w:tr w:rsidR="008614E5" w:rsidRPr="00080DA3" w14:paraId="43C41CD4" w14:textId="77777777" w:rsidTr="00A07532">
      <w:trPr>
        <w:trHeight w:val="198"/>
        <w:jc w:val="center"/>
      </w:trPr>
      <w:tc>
        <w:tcPr>
          <w:tcW w:w="838"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E020C1A" w14:textId="77777777" w:rsidR="006219F8" w:rsidRPr="00080DA3" w:rsidRDefault="00000000" w:rsidP="00A07532">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4F970135" w14:textId="77777777" w:rsidR="006219F8" w:rsidRPr="00080DA3" w:rsidRDefault="00000000" w:rsidP="00A07532">
          <w:pPr>
            <w:pStyle w:val="Piedepgina"/>
            <w:jc w:val="center"/>
            <w:rPr>
              <w:rFonts w:ascii="Geomanist Light" w:hAnsi="Geomanist Light"/>
              <w:sz w:val="18"/>
              <w:szCs w:val="18"/>
            </w:rPr>
          </w:pPr>
          <w:r w:rsidRPr="00080DA3">
            <w:rPr>
              <w:rFonts w:ascii="Geomanist Light" w:hAnsi="Geomanist Light"/>
              <w:sz w:val="18"/>
              <w:szCs w:val="18"/>
            </w:rPr>
            <w:t>0</w:t>
          </w:r>
          <w:r>
            <w:rPr>
              <w:rFonts w:ascii="Geomanist Light" w:hAnsi="Geomanist Light"/>
              <w:sz w:val="18"/>
              <w:szCs w:val="18"/>
            </w:rPr>
            <w:t>2</w:t>
          </w:r>
        </w:p>
      </w:tc>
      <w:tc>
        <w:tcPr>
          <w:tcW w:w="844"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6F163E32" w14:textId="77777777" w:rsidR="006219F8" w:rsidRPr="00080DA3" w:rsidRDefault="00000000" w:rsidP="00A07532">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vAlign w:val="center"/>
        </w:tcPr>
        <w:p w14:paraId="435CEC3D" w14:textId="77777777" w:rsidR="006219F8" w:rsidRPr="004B6B0E" w:rsidRDefault="00000000" w:rsidP="00A07532">
          <w:pPr>
            <w:pBdr>
              <w:top w:val="nil"/>
              <w:left w:val="nil"/>
              <w:bottom w:val="nil"/>
              <w:right w:val="nil"/>
              <w:between w:val="nil"/>
            </w:pBdr>
            <w:tabs>
              <w:tab w:val="center" w:pos="4419"/>
              <w:tab w:val="right" w:pos="8838"/>
              <w:tab w:val="center" w:pos="5400"/>
            </w:tabs>
            <w:jc w:val="center"/>
            <w:rPr>
              <w:rFonts w:ascii="Geomanist Bold" w:eastAsia="Geo" w:hAnsi="Geomanist Bold" w:cs="Geo"/>
              <w:b/>
              <w:color w:val="002060"/>
              <w:lang w:eastAsia="es-CO"/>
            </w:rPr>
          </w:pP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08</w:t>
          </w:r>
        </w:p>
      </w:tc>
      <w:tc>
        <w:tcPr>
          <w:tcW w:w="720"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5EDFC589" w14:textId="77777777" w:rsidR="006219F8" w:rsidRPr="00080DA3" w:rsidRDefault="00000000" w:rsidP="00A07532">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49AA0FC1" w14:textId="77777777" w:rsidR="00A07532" w:rsidRPr="00080DA3" w:rsidRDefault="00000000" w:rsidP="00A07532">
          <w:pPr>
            <w:pStyle w:val="Piedepgina"/>
            <w:jc w:val="center"/>
            <w:rPr>
              <w:rFonts w:ascii="Geomanist Light" w:hAnsi="Geomanist Light"/>
              <w:sz w:val="18"/>
              <w:szCs w:val="18"/>
            </w:rPr>
          </w:pPr>
          <w:r>
            <w:rPr>
              <w:rFonts w:ascii="Geomanist Light" w:hAnsi="Geomanist Light"/>
              <w:sz w:val="18"/>
              <w:szCs w:val="18"/>
            </w:rPr>
            <w:t>28</w:t>
          </w:r>
          <w:r w:rsidRPr="00080DA3">
            <w:rPr>
              <w:rFonts w:ascii="Geomanist Light" w:hAnsi="Geomanist Light"/>
              <w:sz w:val="18"/>
              <w:szCs w:val="18"/>
            </w:rPr>
            <w:t xml:space="preserve"> de </w:t>
          </w:r>
          <w:r>
            <w:rPr>
              <w:rFonts w:ascii="Geomanist Light" w:hAnsi="Geomanist Light"/>
              <w:sz w:val="18"/>
              <w:szCs w:val="18"/>
            </w:rPr>
            <w:t>septiembre</w:t>
          </w:r>
          <w:r w:rsidRPr="00080DA3">
            <w:rPr>
              <w:rFonts w:ascii="Geomanist Light" w:hAnsi="Geomanist Light"/>
              <w:sz w:val="18"/>
              <w:szCs w:val="18"/>
            </w:rPr>
            <w:t xml:space="preserve"> de 202</w:t>
          </w:r>
          <w:r>
            <w:rPr>
              <w:rFonts w:ascii="Geomanist Light" w:hAnsi="Geomanist Light"/>
              <w:sz w:val="18"/>
              <w:szCs w:val="18"/>
            </w:rPr>
            <w:t>2</w:t>
          </w:r>
        </w:p>
      </w:tc>
      <w:tc>
        <w:tcPr>
          <w:tcW w:w="1527"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1C2B4A0A" w14:textId="77777777" w:rsidR="006219F8" w:rsidRPr="00080DA3" w:rsidRDefault="00000000" w:rsidP="00A07532">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14:paraId="5592B786" w14:textId="77777777" w:rsidR="006219F8" w:rsidRDefault="00000000" w:rsidP="00A0753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76DE8" w14:textId="77777777" w:rsidR="00485868" w:rsidRDefault="00485868" w:rsidP="00845B19">
      <w:pPr>
        <w:spacing w:after="0" w:line="240" w:lineRule="auto"/>
      </w:pPr>
      <w:r>
        <w:separator/>
      </w:r>
    </w:p>
  </w:footnote>
  <w:footnote w:type="continuationSeparator" w:id="0">
    <w:p w14:paraId="2C07B020" w14:textId="77777777" w:rsidR="00485868" w:rsidRDefault="00485868" w:rsidP="00845B19">
      <w:pPr>
        <w:spacing w:after="0" w:line="240" w:lineRule="auto"/>
      </w:pPr>
      <w:r>
        <w:continuationSeparator/>
      </w:r>
    </w:p>
  </w:footnote>
  <w:footnote w:id="1">
    <w:p w14:paraId="43F9459D" w14:textId="77777777" w:rsidR="000E143A" w:rsidRPr="002B6BF8" w:rsidRDefault="000E143A" w:rsidP="000E143A">
      <w:pPr>
        <w:spacing w:after="120"/>
        <w:ind w:firstLine="709"/>
        <w:rPr>
          <w:rFonts w:ascii="Arial" w:hAnsi="Arial" w:cs="Arial"/>
          <w:sz w:val="16"/>
          <w:szCs w:val="16"/>
        </w:rPr>
      </w:pPr>
      <w:r w:rsidRPr="002B6BF8">
        <w:rPr>
          <w:rStyle w:val="Refdenotaalpie"/>
          <w:rFonts w:ascii="Arial" w:hAnsi="Arial" w:cs="Arial"/>
          <w:sz w:val="16"/>
          <w:szCs w:val="16"/>
        </w:rPr>
        <w:footnoteRef/>
      </w:r>
      <w:r w:rsidRPr="002B6BF8">
        <w:rPr>
          <w:rFonts w:ascii="Arial" w:hAnsi="Arial" w:cs="Arial"/>
          <w:sz w:val="16"/>
          <w:szCs w:val="16"/>
        </w:rPr>
        <w:t xml:space="preserve"> Código Civil «Artículo 2142. El mandato es un contrato en que una persona confía la gestión de uno o más negocios a otra, que se hace cargo de ellos por cuenta y riesgo de la primera.</w:t>
      </w:r>
    </w:p>
    <w:p w14:paraId="4CF06968" w14:textId="77777777" w:rsidR="000E143A" w:rsidRPr="002B6BF8" w:rsidRDefault="000E143A" w:rsidP="000E143A">
      <w:pPr>
        <w:ind w:firstLine="424"/>
        <w:rPr>
          <w:rFonts w:ascii="Arial" w:hAnsi="Arial" w:cs="Arial"/>
          <w:sz w:val="16"/>
          <w:szCs w:val="16"/>
        </w:rPr>
      </w:pPr>
      <w:proofErr w:type="gramStart"/>
      <w:r w:rsidRPr="002B6BF8">
        <w:rPr>
          <w:rFonts w:ascii="Arial" w:hAnsi="Arial" w:cs="Arial"/>
          <w:sz w:val="16"/>
          <w:szCs w:val="16"/>
        </w:rPr>
        <w:t>»La</w:t>
      </w:r>
      <w:proofErr w:type="gramEnd"/>
      <w:r w:rsidRPr="002B6BF8">
        <w:rPr>
          <w:rFonts w:ascii="Arial" w:hAnsi="Arial" w:cs="Arial"/>
          <w:sz w:val="16"/>
          <w:szCs w:val="16"/>
        </w:rPr>
        <w:t xml:space="preserve"> persona que concede el encargo se llama comitente o mandante, y la que lo acepta apoderado, procurador, y en general mandatario».</w:t>
      </w:r>
    </w:p>
  </w:footnote>
  <w:footnote w:id="2">
    <w:p w14:paraId="4FC59F9E"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r w:rsidRPr="00C44F18">
        <w:rPr>
          <w:rStyle w:val="Refdenotaalpie"/>
          <w:rFonts w:ascii="Arial" w:hAnsi="Arial" w:cs="Arial"/>
          <w:color w:val="000000" w:themeColor="text1"/>
          <w:sz w:val="16"/>
          <w:szCs w:val="16"/>
        </w:rPr>
        <w:footnoteRef/>
      </w:r>
      <w:r w:rsidRPr="00C44F18">
        <w:rPr>
          <w:rFonts w:ascii="Arial" w:hAnsi="Arial" w:cs="Arial"/>
          <w:color w:val="000000" w:themeColor="text1"/>
          <w:sz w:val="16"/>
          <w:szCs w:val="16"/>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proofErr w:type="spellStart"/>
      <w:r w:rsidRPr="00C44F18">
        <w:rPr>
          <w:rFonts w:ascii="Arial" w:hAnsi="Arial" w:cs="Arial"/>
          <w:i/>
          <w:iCs/>
          <w:color w:val="000000" w:themeColor="text1"/>
          <w:sz w:val="16"/>
          <w:szCs w:val="16"/>
        </w:rPr>
        <w:t>ibídem</w:t>
      </w:r>
      <w:proofErr w:type="spellEnd"/>
      <w:r w:rsidRPr="00C44F18">
        <w:rPr>
          <w:rFonts w:ascii="Arial" w:hAnsi="Arial" w:cs="Arial"/>
          <w:i/>
          <w:iCs/>
          <w:color w:val="000000" w:themeColor="text1"/>
          <w:sz w:val="16"/>
          <w:szCs w:val="16"/>
        </w:rPr>
        <w:t xml:space="preserve"> </w:t>
      </w:r>
      <w:r w:rsidRPr="00C44F18">
        <w:rPr>
          <w:rFonts w:ascii="Arial" w:hAnsi="Arial" w:cs="Arial"/>
          <w:color w:val="000000" w:themeColor="text1"/>
          <w:sz w:val="16"/>
          <w:szCs w:val="16"/>
        </w:rPr>
        <w:t>señala, de manera precisa, las funciones de Colombia Compra Eficiente. Concretamente, el numeral 5º de este artículo establece que le corresponde a esta entidad: «[a]</w:t>
      </w:r>
      <w:proofErr w:type="spellStart"/>
      <w:r w:rsidRPr="00C44F18">
        <w:rPr>
          <w:rFonts w:ascii="Arial" w:hAnsi="Arial" w:cs="Arial"/>
          <w:color w:val="000000" w:themeColor="text1"/>
          <w:sz w:val="16"/>
          <w:szCs w:val="16"/>
        </w:rPr>
        <w:t>bsolver</w:t>
      </w:r>
      <w:proofErr w:type="spellEnd"/>
      <w:r w:rsidRPr="00C44F18">
        <w:rPr>
          <w:rFonts w:ascii="Arial" w:hAnsi="Arial" w:cs="Arial"/>
          <w:color w:val="000000" w:themeColor="text1"/>
          <w:sz w:val="16"/>
          <w:szCs w:val="16"/>
        </w:rPr>
        <w:t xml:space="preserve"> consultas sobre la aplicación de normas de carácter general y expedir circulares externas en materia de compras y contratación pública». Seguidamente, el numeral 8º del artículo 11 </w:t>
      </w:r>
      <w:proofErr w:type="spellStart"/>
      <w:r w:rsidRPr="00C44F18">
        <w:rPr>
          <w:rFonts w:ascii="Arial" w:hAnsi="Arial" w:cs="Arial"/>
          <w:color w:val="000000" w:themeColor="text1"/>
          <w:sz w:val="16"/>
          <w:szCs w:val="16"/>
        </w:rPr>
        <w:t>ibídem</w:t>
      </w:r>
      <w:proofErr w:type="spellEnd"/>
      <w:r w:rsidRPr="00C44F18">
        <w:rPr>
          <w:rFonts w:ascii="Arial" w:hAnsi="Arial" w:cs="Arial"/>
          <w:color w:val="000000" w:themeColor="text1"/>
          <w:sz w:val="16"/>
          <w:szCs w:val="16"/>
        </w:rPr>
        <w:t xml:space="preserve"> señala que es función de la Subdirección de Gestión Contractual: «[a]</w:t>
      </w:r>
      <w:proofErr w:type="spellStart"/>
      <w:r w:rsidRPr="00C44F18">
        <w:rPr>
          <w:rFonts w:ascii="Arial" w:hAnsi="Arial" w:cs="Arial"/>
          <w:color w:val="000000" w:themeColor="text1"/>
          <w:sz w:val="16"/>
          <w:szCs w:val="16"/>
        </w:rPr>
        <w:t>bsolver</w:t>
      </w:r>
      <w:proofErr w:type="spellEnd"/>
      <w:r w:rsidRPr="00C44F18">
        <w:rPr>
          <w:rFonts w:ascii="Arial" w:hAnsi="Arial" w:cs="Arial"/>
          <w:color w:val="000000" w:themeColor="text1"/>
          <w:sz w:val="16"/>
          <w:szCs w:val="16"/>
        </w:rPr>
        <w:t xml:space="preserve"> consultas sobre la aplicación de normas de carácter general».</w:t>
      </w:r>
    </w:p>
  </w:footnote>
  <w:footnote w:id="3">
    <w:p w14:paraId="6B89466A"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r w:rsidRPr="00C44F18">
        <w:rPr>
          <w:rFonts w:ascii="Arial" w:hAnsi="Arial" w:cs="Arial"/>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0C5F3E6E" w14:textId="77777777" w:rsidR="00845B19" w:rsidRPr="00C44F18" w:rsidRDefault="00845B19" w:rsidP="00845B19">
      <w:pPr>
        <w:pStyle w:val="Textonotapie"/>
        <w:ind w:firstLine="709"/>
        <w:jc w:val="both"/>
        <w:rPr>
          <w:rFonts w:ascii="Arial" w:hAnsi="Arial" w:cs="Arial"/>
          <w:sz w:val="16"/>
          <w:szCs w:val="16"/>
          <w:lang w:val="es-ES"/>
        </w:rPr>
      </w:pPr>
    </w:p>
  </w:footnote>
  <w:footnote w:id="4">
    <w:p w14:paraId="3CEAC76C"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r w:rsidRPr="00C44F18">
        <w:rPr>
          <w:rFonts w:ascii="Arial" w:hAnsi="Arial" w:cs="Arial"/>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15F13C53"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62A3F792"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El Gobierno nacional reglamentará el mecanismo para realizar la mensualización de que trata el presente artículo.</w:t>
      </w:r>
    </w:p>
    <w:p w14:paraId="475D7774" w14:textId="77777777" w:rsidR="00845B19" w:rsidRPr="00C44F18" w:rsidRDefault="00845B19" w:rsidP="00845B19">
      <w:pPr>
        <w:pStyle w:val="Textonotapie"/>
        <w:ind w:firstLine="709"/>
        <w:jc w:val="both"/>
        <w:rPr>
          <w:rFonts w:ascii="Arial" w:hAnsi="Arial" w:cs="Arial"/>
          <w:sz w:val="16"/>
          <w:szCs w:val="16"/>
          <w:lang w:val="pt-BR"/>
        </w:rPr>
      </w:pPr>
      <w:r w:rsidRPr="00C44F18">
        <w:rPr>
          <w:rFonts w:ascii="Arial" w:hAnsi="Arial" w:cs="Arial"/>
          <w:sz w:val="16"/>
          <w:szCs w:val="16"/>
          <w:lang w:val="pt-BR"/>
        </w:rPr>
        <w:t>[…]».</w:t>
      </w:r>
    </w:p>
  </w:footnote>
  <w:footnote w:id="5">
    <w:p w14:paraId="67BC67B1"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lang w:val="pt-BR"/>
        </w:rPr>
        <w:t xml:space="preserve"> Corte Constitucional. Sentencia C-154 de 1997. </w:t>
      </w:r>
      <w:r w:rsidRPr="00C44F18">
        <w:rPr>
          <w:rFonts w:ascii="Arial" w:hAnsi="Arial" w:cs="Arial"/>
          <w:sz w:val="16"/>
          <w:szCs w:val="16"/>
          <w:lang w:val="es-ES"/>
        </w:rPr>
        <w:t>MP: Hernando Herrera Vergara.</w:t>
      </w:r>
    </w:p>
    <w:p w14:paraId="41E2E73D" w14:textId="77777777" w:rsidR="00845B19" w:rsidRPr="00C44F18" w:rsidRDefault="00845B19" w:rsidP="00845B19">
      <w:pPr>
        <w:pStyle w:val="Textonotapie"/>
        <w:ind w:firstLine="709"/>
        <w:jc w:val="both"/>
        <w:rPr>
          <w:rFonts w:ascii="Arial" w:hAnsi="Arial" w:cs="Arial"/>
          <w:sz w:val="16"/>
          <w:szCs w:val="16"/>
          <w:lang w:val="es-ES"/>
        </w:rPr>
      </w:pPr>
    </w:p>
  </w:footnote>
  <w:footnote w:id="6">
    <w:p w14:paraId="38CDE541"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proofErr w:type="spellStart"/>
      <w:r w:rsidRPr="00C44F18">
        <w:rPr>
          <w:rFonts w:ascii="Arial" w:hAnsi="Arial" w:cs="Arial"/>
          <w:sz w:val="16"/>
          <w:szCs w:val="16"/>
          <w:lang w:val="es-ES"/>
        </w:rPr>
        <w:t>Ibíd</w:t>
      </w:r>
      <w:proofErr w:type="spellEnd"/>
      <w:r w:rsidRPr="00C44F18">
        <w:rPr>
          <w:rFonts w:ascii="Arial" w:hAnsi="Arial" w:cs="Arial"/>
          <w:sz w:val="16"/>
          <w:szCs w:val="16"/>
          <w:lang w:val="es-ES"/>
        </w:rPr>
        <w:t>.</w:t>
      </w:r>
    </w:p>
    <w:p w14:paraId="4DE0BD23" w14:textId="77777777" w:rsidR="00845B19" w:rsidRPr="00C44F18" w:rsidRDefault="00845B19" w:rsidP="00845B19">
      <w:pPr>
        <w:pStyle w:val="Textonotapie"/>
        <w:ind w:firstLine="709"/>
        <w:jc w:val="both"/>
        <w:rPr>
          <w:rFonts w:ascii="Arial" w:hAnsi="Arial" w:cs="Arial"/>
          <w:sz w:val="16"/>
          <w:szCs w:val="16"/>
          <w:lang w:val="es-ES"/>
        </w:rPr>
      </w:pPr>
    </w:p>
  </w:footnote>
  <w:footnote w:id="7">
    <w:p w14:paraId="41C4CF57"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proofErr w:type="spellStart"/>
      <w:r w:rsidRPr="00C44F18">
        <w:rPr>
          <w:rFonts w:ascii="Arial" w:hAnsi="Arial" w:cs="Arial"/>
          <w:sz w:val="16"/>
          <w:szCs w:val="16"/>
          <w:lang w:val="es-ES"/>
        </w:rPr>
        <w:t>Ibíd</w:t>
      </w:r>
      <w:proofErr w:type="spellEnd"/>
      <w:r w:rsidRPr="00C44F18">
        <w:rPr>
          <w:rFonts w:ascii="Arial" w:hAnsi="Arial" w:cs="Arial"/>
          <w:sz w:val="16"/>
          <w:szCs w:val="16"/>
          <w:lang w:val="es-ES"/>
        </w:rPr>
        <w:t>.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36531E76" w14:textId="77777777" w:rsidR="00845B19" w:rsidRPr="00C44F18" w:rsidRDefault="00845B19" w:rsidP="00845B19">
      <w:pPr>
        <w:pStyle w:val="Textonotapie"/>
        <w:ind w:firstLine="709"/>
        <w:jc w:val="both"/>
        <w:rPr>
          <w:rFonts w:ascii="Arial" w:hAnsi="Arial" w:cs="Arial"/>
          <w:sz w:val="16"/>
          <w:szCs w:val="16"/>
          <w:lang w:val="es-ES"/>
        </w:rPr>
      </w:pPr>
      <w:proofErr w:type="gramStart"/>
      <w:r w:rsidRPr="00C44F18">
        <w:rPr>
          <w:rFonts w:ascii="Arial" w:hAnsi="Arial" w:cs="Arial"/>
          <w:sz w:val="16"/>
          <w:szCs w:val="16"/>
          <w:lang w:val="es-ES"/>
        </w:rPr>
        <w:t>»Son</w:t>
      </w:r>
      <w:proofErr w:type="gramEnd"/>
      <w:r w:rsidRPr="00C44F18">
        <w:rPr>
          <w:rFonts w:ascii="Arial" w:hAnsi="Arial" w:cs="Arial"/>
          <w:sz w:val="16"/>
          <w:szCs w:val="16"/>
          <w:lang w:val="es-ES"/>
        </w:rPr>
        <w:t xml:space="preserve"> también contratos de consultoría los que tienen por objeto la interventoría, asesoría, gerencia de obra o de proyectos, dirección, programación y la ejecución de diseños, planos, anteproyectos y proyectos.</w:t>
      </w:r>
    </w:p>
    <w:p w14:paraId="2DC47740" w14:textId="77777777" w:rsidR="00845B19" w:rsidRPr="00C44F18" w:rsidRDefault="00845B19" w:rsidP="00845B19">
      <w:pPr>
        <w:pStyle w:val="Textonotapie"/>
        <w:ind w:firstLine="709"/>
        <w:jc w:val="both"/>
        <w:rPr>
          <w:rFonts w:ascii="Arial" w:hAnsi="Arial" w:cs="Arial"/>
          <w:sz w:val="16"/>
          <w:szCs w:val="16"/>
          <w:lang w:val="es-ES"/>
        </w:rPr>
      </w:pPr>
      <w:proofErr w:type="gramStart"/>
      <w:r w:rsidRPr="00C44F18">
        <w:rPr>
          <w:rFonts w:ascii="Arial" w:hAnsi="Arial" w:cs="Arial"/>
          <w:sz w:val="16"/>
          <w:szCs w:val="16"/>
          <w:lang w:val="es-ES"/>
        </w:rPr>
        <w:t>»Ninguna</w:t>
      </w:r>
      <w:proofErr w:type="gramEnd"/>
      <w:r w:rsidRPr="00C44F18">
        <w:rPr>
          <w:rFonts w:ascii="Arial" w:hAnsi="Arial" w:cs="Arial"/>
          <w:sz w:val="16"/>
          <w:szCs w:val="16"/>
          <w:lang w:val="es-ES"/>
        </w:rPr>
        <w:t xml:space="preserve"> orden del interventor de una obra podrá darse verbalmente. Es obligatorio para el interventor entregar por escrito sus órdenes o sugerencias y ellas deben </w:t>
      </w:r>
      <w:proofErr w:type="gramStart"/>
      <w:r w:rsidRPr="00C44F18">
        <w:rPr>
          <w:rFonts w:ascii="Arial" w:hAnsi="Arial" w:cs="Arial"/>
          <w:sz w:val="16"/>
          <w:szCs w:val="16"/>
          <w:lang w:val="es-ES"/>
        </w:rPr>
        <w:t>enmarcarse dentro de</w:t>
      </w:r>
      <w:proofErr w:type="gramEnd"/>
      <w:r w:rsidRPr="00C44F18">
        <w:rPr>
          <w:rFonts w:ascii="Arial" w:hAnsi="Arial" w:cs="Arial"/>
          <w:sz w:val="16"/>
          <w:szCs w:val="16"/>
          <w:lang w:val="es-ES"/>
        </w:rPr>
        <w:t xml:space="preserve"> los términos del respectivo contrato».</w:t>
      </w:r>
    </w:p>
  </w:footnote>
  <w:footnote w:id="8">
    <w:p w14:paraId="651F98AE"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r w:rsidRPr="00C44F18">
        <w:rPr>
          <w:rFonts w:ascii="Arial" w:hAnsi="Arial" w:cs="Arial"/>
          <w:sz w:val="16"/>
          <w:szCs w:val="16"/>
          <w:lang w:val="es-ES"/>
        </w:rPr>
        <w:t>Así lo dispone el artículo 2.2.1.2.1.4.1. del Decreto 1082 de 2015: «La Entidad Estatal debe señalar en un acto administrativo la justificación para contratar bajo la modalidad de contratación directa, el cual debe contener:</w:t>
      </w:r>
    </w:p>
    <w:p w14:paraId="08314187"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»1. La causal que invoca para contratar directamente.</w:t>
      </w:r>
    </w:p>
    <w:p w14:paraId="64AB8440"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»2. El objeto del contrato.</w:t>
      </w:r>
    </w:p>
    <w:p w14:paraId="22FD6B89"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»3. El presupuesto para la contratación y las condiciones que exigirá al contratista.</w:t>
      </w:r>
    </w:p>
    <w:p w14:paraId="6F1329E7"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»4. El lugar en el cual los interesados pueden consultar los estudios y documentos previos.</w:t>
      </w:r>
    </w:p>
    <w:p w14:paraId="4D3B7987" w14:textId="77777777" w:rsidR="00845B19" w:rsidRPr="00C44F18" w:rsidRDefault="00845B19" w:rsidP="00845B19">
      <w:pPr>
        <w:pStyle w:val="Textonotapie"/>
        <w:ind w:firstLine="709"/>
        <w:jc w:val="both"/>
        <w:rPr>
          <w:rFonts w:ascii="Arial" w:hAnsi="Arial" w:cs="Arial"/>
          <w:sz w:val="16"/>
          <w:szCs w:val="16"/>
          <w:lang w:val="es-ES"/>
        </w:rPr>
      </w:pPr>
      <w:proofErr w:type="gramStart"/>
      <w:r w:rsidRPr="00C44F18">
        <w:rPr>
          <w:rFonts w:ascii="Arial" w:hAnsi="Arial" w:cs="Arial"/>
          <w:sz w:val="16"/>
          <w:szCs w:val="16"/>
          <w:lang w:val="es-ES"/>
        </w:rPr>
        <w:t>»Este</w:t>
      </w:r>
      <w:proofErr w:type="gramEnd"/>
      <w:r w:rsidRPr="00C44F18">
        <w:rPr>
          <w:rFonts w:ascii="Arial" w:hAnsi="Arial" w:cs="Arial"/>
          <w:sz w:val="16"/>
          <w:szCs w:val="16"/>
          <w:lang w:val="es-ES"/>
        </w:rPr>
        <w:t xml:space="preserve"> acto administrativo no es necesario cuando el contrato a celebrar es de prestación de servicios profesionales y de apoyo a la gestión, y para los contratos de que tratan los literales (a) y (b) del artículo 2.2.1.2.1.4.3 del presente decreto».</w:t>
      </w:r>
    </w:p>
  </w:footnote>
  <w:footnote w:id="9">
    <w:p w14:paraId="7DB21E8F" w14:textId="77777777" w:rsidR="00845B19" w:rsidRPr="00C44F18" w:rsidRDefault="00845B19" w:rsidP="00845B19">
      <w:pPr>
        <w:pStyle w:val="Textonotapie"/>
        <w:jc w:val="both"/>
        <w:rPr>
          <w:rFonts w:ascii="Arial" w:hAnsi="Arial" w:cs="Arial"/>
          <w:sz w:val="16"/>
          <w:szCs w:val="16"/>
        </w:rPr>
      </w:pPr>
    </w:p>
    <w:p w14:paraId="354B5115"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r w:rsidRPr="00C44F18">
        <w:rPr>
          <w:rFonts w:ascii="Arial" w:hAnsi="Arial" w:cs="Arial"/>
          <w:sz w:val="16"/>
          <w:szCs w:val="16"/>
          <w:lang w:val="es-ES"/>
        </w:rPr>
        <w:t xml:space="preserve">La norma expresa: «Art. 14. </w:t>
      </w:r>
      <w:r w:rsidRPr="00C44F18">
        <w:rPr>
          <w:rFonts w:ascii="Arial" w:hAnsi="Arial" w:cs="Arial"/>
          <w:sz w:val="16"/>
          <w:szCs w:val="16"/>
        </w:rPr>
        <w:t>P</w:t>
      </w:r>
      <w:r w:rsidRPr="00C44F18">
        <w:rPr>
          <w:rFonts w:ascii="Arial" w:hAnsi="Arial" w:cs="Arial"/>
          <w:sz w:val="16"/>
          <w:szCs w:val="16"/>
          <w:lang w:val="es-ES"/>
        </w:rPr>
        <w:t>ara el cumplimiento de los fines de la contratación, las entidades estatales al celebrar un contrato:</w:t>
      </w:r>
    </w:p>
    <w:p w14:paraId="2572534B"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w:t>
      </w:r>
    </w:p>
    <w:p w14:paraId="2DF234B8"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3FDD53D5"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Las entidades estatales podrán pactar estas cláusulas en los contratos de suministro y de prestación de servicios.</w:t>
      </w:r>
    </w:p>
    <w:p w14:paraId="28E5D5D1"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lang w:val="es-ES"/>
        </w:rPr>
        <w:t>[…]».</w:t>
      </w:r>
    </w:p>
  </w:footnote>
  <w:footnote w:id="10">
    <w:p w14:paraId="144878B0"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r w:rsidRPr="00C44F18">
        <w:rPr>
          <w:rFonts w:ascii="Arial" w:hAnsi="Arial" w:cs="Arial"/>
          <w:sz w:val="16"/>
          <w:szCs w:val="16"/>
          <w:lang w:val="es-ES"/>
        </w:rPr>
        <w:t>La norma dispone: «La liquidación a que se refiere el presente artículo no será obligatoria en los contratos de prestación de servicios profesionales y de apoyo a la gestión».</w:t>
      </w:r>
    </w:p>
  </w:footnote>
  <w:footnote w:id="11">
    <w:p w14:paraId="3B4AAF89" w14:textId="77777777" w:rsidR="00845B19" w:rsidRPr="00C44F18" w:rsidRDefault="00845B19" w:rsidP="00845B19">
      <w:pPr>
        <w:pStyle w:val="Textonotapie"/>
        <w:ind w:firstLine="709"/>
        <w:jc w:val="both"/>
        <w:rPr>
          <w:rFonts w:ascii="Arial" w:hAnsi="Arial" w:cs="Arial"/>
          <w:sz w:val="16"/>
          <w:szCs w:val="16"/>
        </w:rPr>
      </w:pPr>
      <w:r w:rsidRPr="00C44F18">
        <w:rPr>
          <w:rStyle w:val="Refdenotaalpie"/>
          <w:rFonts w:ascii="Arial" w:hAnsi="Arial" w:cs="Arial"/>
          <w:sz w:val="16"/>
          <w:szCs w:val="16"/>
        </w:rPr>
        <w:footnoteRef/>
      </w:r>
      <w:r w:rsidRPr="00C44F18">
        <w:rPr>
          <w:rFonts w:ascii="Arial" w:hAnsi="Arial" w:cs="Arial"/>
          <w:sz w:val="16"/>
          <w:szCs w:val="16"/>
        </w:rPr>
        <w:t xml:space="preserve"> Según dicho artículo: «Art.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3B3CEC11" w14:textId="77777777" w:rsidR="00845B19" w:rsidRPr="00C44F18" w:rsidRDefault="00845B19" w:rsidP="00845B19">
      <w:pPr>
        <w:pStyle w:val="Textonotapie"/>
        <w:ind w:firstLine="709"/>
        <w:jc w:val="both"/>
        <w:rPr>
          <w:rFonts w:ascii="Arial" w:hAnsi="Arial" w:cs="Arial"/>
          <w:sz w:val="16"/>
          <w:szCs w:val="16"/>
        </w:rPr>
      </w:pPr>
      <w:r w:rsidRPr="00C44F18">
        <w:rPr>
          <w:rFonts w:ascii="Arial" w:hAnsi="Arial" w:cs="Arial"/>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2B392517" w14:textId="77777777" w:rsidR="00845B19" w:rsidRPr="00C44F18" w:rsidRDefault="00845B19" w:rsidP="00845B19">
      <w:pPr>
        <w:pStyle w:val="Textonotapie"/>
        <w:ind w:firstLine="709"/>
        <w:jc w:val="both"/>
        <w:rPr>
          <w:rFonts w:ascii="Arial" w:hAnsi="Arial" w:cs="Arial"/>
          <w:sz w:val="16"/>
          <w:szCs w:val="16"/>
          <w:lang w:val="es-ES"/>
        </w:rPr>
      </w:pPr>
      <w:r w:rsidRPr="00C44F18">
        <w:rPr>
          <w:rFonts w:ascii="Arial" w:hAnsi="Arial" w:cs="Arial"/>
          <w:sz w:val="16"/>
          <w:szCs w:val="16"/>
        </w:rPr>
        <w:t>[…]».</w:t>
      </w:r>
    </w:p>
  </w:footnote>
  <w:footnote w:id="12">
    <w:p w14:paraId="4A509FD3" w14:textId="77777777" w:rsidR="00845B19" w:rsidRPr="00C44F18" w:rsidRDefault="00845B19" w:rsidP="00845B19">
      <w:pPr>
        <w:pStyle w:val="Textonotapie"/>
        <w:ind w:firstLine="709"/>
        <w:jc w:val="both"/>
        <w:rPr>
          <w:rFonts w:ascii="Arial" w:hAnsi="Arial" w:cs="Arial"/>
          <w:sz w:val="16"/>
          <w:szCs w:val="16"/>
          <w:lang w:val="es-ES"/>
        </w:rPr>
      </w:pPr>
      <w:r w:rsidRPr="00C44F18">
        <w:rPr>
          <w:rStyle w:val="Refdenotaalpie"/>
          <w:rFonts w:ascii="Arial" w:hAnsi="Arial" w:cs="Arial"/>
          <w:sz w:val="16"/>
          <w:szCs w:val="16"/>
        </w:rPr>
        <w:footnoteRef/>
      </w:r>
      <w:r w:rsidRPr="00C44F18">
        <w:rPr>
          <w:rFonts w:ascii="Arial" w:hAnsi="Arial" w:cs="Arial"/>
          <w:sz w:val="16"/>
          <w:szCs w:val="16"/>
        </w:rPr>
        <w:t xml:space="preserve"> </w:t>
      </w:r>
      <w:r w:rsidRPr="00C44F18">
        <w:rPr>
          <w:rFonts w:ascii="Arial" w:hAnsi="Arial" w:cs="Arial"/>
          <w:sz w:val="16"/>
          <w:szCs w:val="16"/>
          <w:lang w:val="es-ES"/>
        </w:rPr>
        <w:t>Así lo establece el Decreto 1082 de 2015: «Artículo 2.2.1.2.1.4.5. No obligatoriedad de garantías. En la contratación directa la exigencia de garantías establecidas en la Sección 3, que comprende los artículos 2.2.1.2.3.1.1 al 2.2.1.2.3.5.1. del presente decreto no es obligatoria y la justificación para exigirlas o no debe estar en los estudios y documentos previos».</w:t>
      </w:r>
    </w:p>
    <w:p w14:paraId="12102B89" w14:textId="77777777" w:rsidR="00845B19" w:rsidRPr="00C44F18" w:rsidRDefault="00845B19" w:rsidP="00845B19">
      <w:pPr>
        <w:pStyle w:val="Textonotapie"/>
        <w:ind w:firstLine="709"/>
        <w:jc w:val="both"/>
        <w:rPr>
          <w:rFonts w:ascii="Arial" w:hAnsi="Arial" w:cs="Arial"/>
          <w:sz w:val="16"/>
          <w:szCs w:val="16"/>
          <w:lang w:val="es-ES"/>
        </w:rPr>
      </w:pPr>
    </w:p>
  </w:footnote>
  <w:footnote w:id="13">
    <w:p w14:paraId="1162DDFF"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r w:rsidRPr="00C44F18">
        <w:rPr>
          <w:rStyle w:val="Refdenotaalpie"/>
          <w:rFonts w:ascii="Arial" w:hAnsi="Arial" w:cs="Arial"/>
          <w:color w:val="000000" w:themeColor="text1"/>
          <w:sz w:val="16"/>
          <w:szCs w:val="16"/>
        </w:rPr>
        <w:footnoteRef/>
      </w:r>
      <w:r w:rsidRPr="00C44F18">
        <w:rPr>
          <w:rFonts w:ascii="Arial" w:hAnsi="Arial" w:cs="Arial"/>
          <w:color w:val="000000" w:themeColor="text1"/>
          <w:sz w:val="16"/>
          <w:szCs w:val="16"/>
        </w:rPr>
        <w:t xml:space="preserve"> </w:t>
      </w:r>
      <w:r w:rsidRPr="00C44F18">
        <w:rPr>
          <w:rFonts w:ascii="Arial" w:hAnsi="Arial" w:cs="Arial"/>
          <w:color w:val="000000" w:themeColor="text1"/>
          <w:sz w:val="16"/>
          <w:szCs w:val="16"/>
          <w:lang w:val="es-ES"/>
        </w:rPr>
        <w:t>El Decreto 1082 de 2015 lo establece de la siguiente manera: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18EB2E18"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proofErr w:type="gramStart"/>
      <w:r w:rsidRPr="00C44F18">
        <w:rPr>
          <w:rFonts w:ascii="Arial" w:hAnsi="Arial" w:cs="Arial"/>
          <w:color w:val="000000" w:themeColor="text1"/>
          <w:sz w:val="16"/>
          <w:szCs w:val="16"/>
          <w:lang w:val="es-ES"/>
        </w:rPr>
        <w:t>»Los</w:t>
      </w:r>
      <w:proofErr w:type="gramEnd"/>
      <w:r w:rsidRPr="00C44F18">
        <w:rPr>
          <w:rFonts w:ascii="Arial" w:hAnsi="Arial" w:cs="Arial"/>
          <w:color w:val="000000" w:themeColor="text1"/>
          <w:sz w:val="16"/>
          <w:szCs w:val="16"/>
          <w:lang w:val="es-ES"/>
        </w:rPr>
        <w:t xml:space="preserve">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115419E0"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proofErr w:type="gramStart"/>
      <w:r w:rsidRPr="00C44F18">
        <w:rPr>
          <w:rFonts w:ascii="Arial" w:hAnsi="Arial" w:cs="Arial"/>
          <w:color w:val="000000" w:themeColor="text1"/>
          <w:sz w:val="16"/>
          <w:szCs w:val="16"/>
          <w:lang w:val="es-ES"/>
        </w:rPr>
        <w:t>»La</w:t>
      </w:r>
      <w:proofErr w:type="gramEnd"/>
      <w:r w:rsidRPr="00C44F18">
        <w:rPr>
          <w:rFonts w:ascii="Arial" w:hAnsi="Arial" w:cs="Arial"/>
          <w:color w:val="000000" w:themeColor="text1"/>
          <w:sz w:val="16"/>
          <w:szCs w:val="16"/>
          <w:lang w:val="es-ES"/>
        </w:rPr>
        <w:t xml:space="preserve"> Entidad Estatal, para la contratación de trabajos artísticos que solamente puedan en</w:t>
      </w:r>
      <w:r w:rsidRPr="00C44F18">
        <w:rPr>
          <w:rFonts w:ascii="Arial" w:hAnsi="Arial" w:cs="Arial"/>
          <w:color w:val="000000" w:themeColor="text1"/>
          <w:sz w:val="16"/>
          <w:szCs w:val="16"/>
          <w:lang w:val="es-ES"/>
        </w:rPr>
        <w:softHyphen/>
        <w:t>comendarse a determinadas personas naturales, debe justificar esta situación en los estudios y documentos previos».</w:t>
      </w:r>
    </w:p>
    <w:p w14:paraId="627160F8"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p>
  </w:footnote>
  <w:footnote w:id="14">
    <w:p w14:paraId="32A1E595"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r w:rsidRPr="00C44F18">
        <w:rPr>
          <w:rStyle w:val="Refdenotaalpie"/>
          <w:rFonts w:ascii="Arial" w:hAnsi="Arial" w:cs="Arial"/>
          <w:color w:val="000000" w:themeColor="text1"/>
          <w:sz w:val="16"/>
          <w:szCs w:val="16"/>
        </w:rPr>
        <w:footnoteRef/>
      </w:r>
      <w:r w:rsidRPr="00C44F18">
        <w:rPr>
          <w:rFonts w:ascii="Arial" w:hAnsi="Arial" w:cs="Arial"/>
          <w:color w:val="000000" w:themeColor="text1"/>
          <w:sz w:val="16"/>
          <w:szCs w:val="16"/>
        </w:rPr>
        <w:t xml:space="preserve"> </w:t>
      </w:r>
      <w:r w:rsidRPr="00C44F18">
        <w:rPr>
          <w:rFonts w:ascii="Arial" w:hAnsi="Arial" w:cs="Arial"/>
          <w:color w:val="000000" w:themeColor="text1"/>
          <w:sz w:val="16"/>
          <w:szCs w:val="16"/>
          <w:lang w:val="es-ES"/>
        </w:rPr>
        <w:t xml:space="preserve">CONSEJO DE ESTADO. Sección Tercera. Subsección C. Sentencia de Unificación del 2 de diciembre de 2013. </w:t>
      </w:r>
      <w:proofErr w:type="spellStart"/>
      <w:r w:rsidRPr="00C44F18">
        <w:rPr>
          <w:rFonts w:ascii="Arial" w:hAnsi="Arial" w:cs="Arial"/>
          <w:color w:val="000000" w:themeColor="text1"/>
          <w:sz w:val="16"/>
          <w:szCs w:val="16"/>
          <w:lang w:val="es-ES"/>
        </w:rPr>
        <w:t>Exp</w:t>
      </w:r>
      <w:proofErr w:type="spellEnd"/>
      <w:r w:rsidRPr="00C44F18">
        <w:rPr>
          <w:rFonts w:ascii="Arial" w:hAnsi="Arial" w:cs="Arial"/>
          <w:color w:val="000000" w:themeColor="text1"/>
          <w:sz w:val="16"/>
          <w:szCs w:val="16"/>
          <w:lang w:val="es-ES"/>
        </w:rPr>
        <w:t>. 41.719. C.P. Jaime Orlando Santofimio Gamboa.</w:t>
      </w:r>
    </w:p>
    <w:p w14:paraId="07F156A8"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p>
  </w:footnote>
  <w:footnote w:id="15">
    <w:p w14:paraId="5096101F"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r w:rsidRPr="00C44F18">
        <w:rPr>
          <w:rStyle w:val="Refdenotaalpie"/>
          <w:rFonts w:ascii="Arial" w:hAnsi="Arial" w:cs="Arial"/>
          <w:color w:val="000000" w:themeColor="text1"/>
          <w:sz w:val="16"/>
          <w:szCs w:val="16"/>
        </w:rPr>
        <w:footnoteRef/>
      </w:r>
      <w:r w:rsidRPr="00C44F18">
        <w:rPr>
          <w:rFonts w:ascii="Arial" w:hAnsi="Arial" w:cs="Arial"/>
          <w:color w:val="000000" w:themeColor="text1"/>
          <w:sz w:val="16"/>
          <w:szCs w:val="16"/>
        </w:rPr>
        <w:t xml:space="preserve"> </w:t>
      </w:r>
      <w:proofErr w:type="spellStart"/>
      <w:r w:rsidRPr="00C44F18">
        <w:rPr>
          <w:rFonts w:ascii="Arial" w:hAnsi="Arial" w:cs="Arial"/>
          <w:i/>
          <w:iCs/>
          <w:color w:val="000000" w:themeColor="text1"/>
          <w:sz w:val="16"/>
          <w:szCs w:val="16"/>
          <w:lang w:val="es-ES"/>
        </w:rPr>
        <w:t>Ibíd</w:t>
      </w:r>
      <w:proofErr w:type="spellEnd"/>
      <w:r w:rsidRPr="00C44F18">
        <w:rPr>
          <w:rFonts w:ascii="Arial" w:hAnsi="Arial" w:cs="Arial"/>
          <w:color w:val="000000" w:themeColor="text1"/>
          <w:sz w:val="16"/>
          <w:szCs w:val="16"/>
          <w:lang w:val="es-ES"/>
        </w:rPr>
        <w:t>.</w:t>
      </w:r>
    </w:p>
    <w:p w14:paraId="27F54BBB"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p>
  </w:footnote>
  <w:footnote w:id="16">
    <w:p w14:paraId="08670FF1"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r w:rsidRPr="00C44F18">
        <w:rPr>
          <w:rStyle w:val="Refdenotaalpie"/>
          <w:rFonts w:ascii="Arial" w:hAnsi="Arial" w:cs="Arial"/>
          <w:color w:val="000000" w:themeColor="text1"/>
          <w:sz w:val="16"/>
          <w:szCs w:val="16"/>
        </w:rPr>
        <w:footnoteRef/>
      </w:r>
      <w:r w:rsidRPr="00C44F18">
        <w:rPr>
          <w:rFonts w:ascii="Arial" w:hAnsi="Arial" w:cs="Arial"/>
          <w:color w:val="000000" w:themeColor="text1"/>
          <w:sz w:val="16"/>
          <w:szCs w:val="16"/>
        </w:rPr>
        <w:t xml:space="preserve"> </w:t>
      </w:r>
      <w:proofErr w:type="spellStart"/>
      <w:r w:rsidRPr="00C44F18">
        <w:rPr>
          <w:rFonts w:ascii="Arial" w:hAnsi="Arial" w:cs="Arial"/>
          <w:i/>
          <w:iCs/>
          <w:color w:val="000000" w:themeColor="text1"/>
          <w:sz w:val="16"/>
          <w:szCs w:val="16"/>
          <w:lang w:val="es-ES"/>
        </w:rPr>
        <w:t>Ibíd</w:t>
      </w:r>
      <w:proofErr w:type="spellEnd"/>
      <w:r w:rsidRPr="00C44F18">
        <w:rPr>
          <w:rFonts w:ascii="Arial" w:hAnsi="Arial" w:cs="Arial"/>
          <w:color w:val="000000" w:themeColor="text1"/>
          <w:sz w:val="16"/>
          <w:szCs w:val="16"/>
          <w:lang w:val="es-ES"/>
        </w:rPr>
        <w:t>.</w:t>
      </w:r>
    </w:p>
    <w:p w14:paraId="74DB3D35" w14:textId="77777777" w:rsidR="00845B19" w:rsidRPr="00C44F18" w:rsidRDefault="00845B19" w:rsidP="00845B19">
      <w:pPr>
        <w:pStyle w:val="Textonotapie"/>
        <w:ind w:firstLine="709"/>
        <w:jc w:val="both"/>
        <w:rPr>
          <w:rFonts w:ascii="Arial" w:hAnsi="Arial" w:cs="Arial"/>
          <w:color w:val="000000" w:themeColor="text1"/>
          <w:sz w:val="16"/>
          <w:szCs w:val="16"/>
          <w:lang w:val="es-ES"/>
        </w:rPr>
      </w:pPr>
    </w:p>
  </w:footnote>
  <w:footnote w:id="17">
    <w:p w14:paraId="19C7FDFC" w14:textId="77777777" w:rsidR="00845B19" w:rsidRPr="00C44F18" w:rsidRDefault="00845B19" w:rsidP="00845B19">
      <w:pPr>
        <w:pStyle w:val="Textonotapie"/>
        <w:ind w:firstLine="708"/>
        <w:jc w:val="both"/>
        <w:rPr>
          <w:rFonts w:ascii="Arial" w:hAnsi="Arial" w:cs="Arial"/>
          <w:color w:val="000000" w:themeColor="text1"/>
          <w:sz w:val="16"/>
          <w:szCs w:val="16"/>
          <w:lang w:val="es-ES"/>
        </w:rPr>
      </w:pPr>
      <w:r w:rsidRPr="00C44F18">
        <w:rPr>
          <w:rStyle w:val="Refdenotaalpie"/>
          <w:sz w:val="16"/>
          <w:szCs w:val="16"/>
        </w:rPr>
        <w:footnoteRef/>
      </w:r>
      <w:r w:rsidRPr="00C44F18">
        <w:rPr>
          <w:sz w:val="16"/>
          <w:szCs w:val="16"/>
        </w:rPr>
        <w:t xml:space="preserve"> </w:t>
      </w:r>
      <w:r w:rsidRPr="00C44F18">
        <w:rPr>
          <w:rFonts w:ascii="Arial" w:hAnsi="Arial" w:cs="Arial"/>
          <w:color w:val="000000" w:themeColor="text1"/>
          <w:sz w:val="16"/>
          <w:szCs w:val="16"/>
          <w:lang w:val="es-ES"/>
        </w:rPr>
        <w:t xml:space="preserve">Los contratos de prestación de servicios profesionales y de apoyo a la gestión son aquellos de naturaleza intelectual que se derivan del cumplimiento de funciones de la Administración, como los relacionados con actividades operativas, logísticas o asistenciales, de conformidad con el artículo 2.2.1.2.1.4.9 del Decreto 1082 de 2015. </w:t>
      </w:r>
    </w:p>
  </w:footnote>
  <w:footnote w:id="18">
    <w:p w14:paraId="28677D65" w14:textId="77777777" w:rsidR="00845B19" w:rsidRPr="00C44F18" w:rsidRDefault="00845B19" w:rsidP="00845B19">
      <w:pPr>
        <w:pStyle w:val="Textonotapie"/>
        <w:ind w:firstLine="708"/>
        <w:jc w:val="both"/>
        <w:rPr>
          <w:rFonts w:ascii="Arial" w:hAnsi="Arial" w:cs="Arial"/>
          <w:sz w:val="16"/>
          <w:szCs w:val="16"/>
        </w:rPr>
      </w:pPr>
      <w:r w:rsidRPr="00C44F18">
        <w:rPr>
          <w:rStyle w:val="Refdenotaalpie"/>
          <w:rFonts w:ascii="Arial" w:hAnsi="Arial" w:cs="Arial"/>
          <w:sz w:val="16"/>
          <w:szCs w:val="16"/>
        </w:rPr>
        <w:footnoteRef/>
      </w:r>
      <w:r w:rsidRPr="00C44F18">
        <w:rPr>
          <w:rFonts w:ascii="Arial" w:hAnsi="Arial" w:cs="Arial"/>
          <w:sz w:val="16"/>
          <w:szCs w:val="16"/>
        </w:rPr>
        <w:t xml:space="preserve"> Respecto al alcance del literal h) del numeral 4 del artículo 2 de la Ley 1150 de 2007, la doctrina considera que «[…] El sentido de este enunciado normativo es que la razón que permite la contratación directa con dichas personas naturales es precisamente el conjunto de habilidades artísticas que </w:t>
      </w:r>
      <w:proofErr w:type="spellStart"/>
      <w:r w:rsidRPr="00C44F18">
        <w:rPr>
          <w:rFonts w:ascii="Arial" w:hAnsi="Arial" w:cs="Arial"/>
          <w:sz w:val="16"/>
          <w:szCs w:val="16"/>
        </w:rPr>
        <w:t>reunen</w:t>
      </w:r>
      <w:proofErr w:type="spellEnd"/>
      <w:r w:rsidRPr="00C44F18">
        <w:rPr>
          <w:rFonts w:ascii="Arial" w:hAnsi="Arial" w:cs="Arial"/>
          <w:sz w:val="16"/>
          <w:szCs w:val="16"/>
        </w:rPr>
        <w:t xml:space="preserve">. En tal medida, la expresión “que solo puedan encomendarse a determinadas personas” no puede interpretarse como un mandato de que el contrato de prestación de servicios para la ejecución del trabajo artístico solo sea causal de contratación directa cuando solo exista un único artista en el mercado que pueda encargarse de la labor requerida por la entidad. La contratación directa está permitida aun cuando sean varios los sujetos en la línea artística sobre la que versa el trabajo que contratará la Administración. Lo contrario sería confundir la causal de contratación directa que se viene analizando, con la prevista en el literal anterior, es decir, en el g) del mismo numeral y artículo, que también permite dicha modalidad contractual “cuando no exista pluralidad de oferentes en el mercado”» (Cfr. DÍAZ DÍEZ, Cristian Andrés &amp; GÓMEZ VELÁSQUEZ, Alejandro. El contrato de prestación de servicios en el estatuto general de contratación de la administración pública: un tipo contractual de compleja celebración. Consultado el 27 de septiembre de 2021 en la página </w:t>
      </w:r>
      <w:hyperlink r:id="rId1" w:history="1">
        <w:r w:rsidRPr="00C44F18">
          <w:rPr>
            <w:rStyle w:val="Hipervnculo"/>
            <w:rFonts w:ascii="Arial" w:hAnsi="Arial" w:cs="Arial"/>
            <w:sz w:val="16"/>
            <w:szCs w:val="16"/>
          </w:rPr>
          <w:t>https://revistas.javeriana.edu.co/files-articulos/VJ/139%20(2019-II)/82562148007/</w:t>
        </w:r>
      </w:hyperlink>
      <w:r w:rsidRPr="00C44F18">
        <w:rPr>
          <w:rFonts w:ascii="Arial" w:hAnsi="Arial" w:cs="Arial"/>
          <w:sz w:val="16"/>
          <w:szCs w:val="16"/>
        </w:rPr>
        <w:t xml:space="preserve">). </w:t>
      </w:r>
    </w:p>
  </w:footnote>
  <w:footnote w:id="19">
    <w:p w14:paraId="25426528" w14:textId="77777777" w:rsidR="00845B19" w:rsidRPr="00C44F18" w:rsidRDefault="00845B19" w:rsidP="00845B19">
      <w:pPr>
        <w:pStyle w:val="Textonotapie"/>
        <w:ind w:firstLine="708"/>
        <w:jc w:val="both"/>
        <w:rPr>
          <w:rFonts w:ascii="Arial" w:hAnsi="Arial" w:cs="Arial"/>
          <w:sz w:val="16"/>
          <w:szCs w:val="16"/>
        </w:rPr>
      </w:pPr>
      <w:r w:rsidRPr="00C44F18">
        <w:rPr>
          <w:rStyle w:val="Refdenotaalpie"/>
          <w:rFonts w:ascii="Arial" w:hAnsi="Arial" w:cs="Arial"/>
          <w:sz w:val="16"/>
          <w:szCs w:val="16"/>
        </w:rPr>
        <w:footnoteRef/>
      </w:r>
      <w:r w:rsidRPr="00C44F18">
        <w:rPr>
          <w:rFonts w:ascii="Arial" w:hAnsi="Arial" w:cs="Arial"/>
          <w:sz w:val="16"/>
          <w:szCs w:val="16"/>
        </w:rPr>
        <w:t xml:space="preserve"> «Art. 1505. Lo que una persona ejecuta a nombre de otra, estando facultada por ella o por la ley para representarla, produce respecto del representado iguales efectos que si hubiese contratado él mismo».</w:t>
      </w:r>
    </w:p>
    <w:p w14:paraId="7F2F84B9" w14:textId="77777777" w:rsidR="00845B19" w:rsidRPr="00C44F18" w:rsidRDefault="00845B19" w:rsidP="00845B19">
      <w:pPr>
        <w:pStyle w:val="Textonotapie"/>
        <w:ind w:firstLine="708"/>
        <w:jc w:val="both"/>
        <w:rPr>
          <w:rFonts w:ascii="Arial" w:hAnsi="Arial" w:cs="Arial"/>
          <w:sz w:val="16"/>
          <w:szCs w:val="16"/>
        </w:rPr>
      </w:pPr>
    </w:p>
  </w:footnote>
  <w:footnote w:id="20">
    <w:p w14:paraId="5D039B33" w14:textId="77777777" w:rsidR="00845B19" w:rsidRPr="00C44F18" w:rsidRDefault="00845B19" w:rsidP="00845B19">
      <w:pPr>
        <w:spacing w:after="120" w:line="240" w:lineRule="auto"/>
        <w:ind w:firstLine="709"/>
        <w:jc w:val="both"/>
        <w:rPr>
          <w:rFonts w:ascii="Arial" w:hAnsi="Arial" w:cs="Arial"/>
          <w:sz w:val="16"/>
          <w:szCs w:val="16"/>
        </w:rPr>
      </w:pPr>
      <w:r w:rsidRPr="00C44F18">
        <w:rPr>
          <w:rStyle w:val="Refdenotaalpie"/>
          <w:rFonts w:ascii="Arial" w:hAnsi="Arial" w:cs="Arial"/>
          <w:sz w:val="16"/>
          <w:szCs w:val="16"/>
        </w:rPr>
        <w:footnoteRef/>
      </w:r>
      <w:r w:rsidRPr="00C44F18">
        <w:rPr>
          <w:rFonts w:ascii="Arial" w:hAnsi="Arial" w:cs="Arial"/>
          <w:sz w:val="16"/>
          <w:szCs w:val="16"/>
        </w:rPr>
        <w:t xml:space="preserve"> Código Civil «Artículo 2142. El mandato es un contrato en que una persona confía la gestión de uno o más negocios a otra, que se hace cargo de ellos por cuenta y riesgo de la primera.</w:t>
      </w:r>
    </w:p>
    <w:p w14:paraId="6E65E63D" w14:textId="77777777" w:rsidR="00845B19" w:rsidRPr="00C44F18" w:rsidRDefault="00845B19" w:rsidP="00845B19">
      <w:pPr>
        <w:spacing w:after="0" w:line="240" w:lineRule="auto"/>
        <w:ind w:firstLine="424"/>
        <w:jc w:val="both"/>
        <w:rPr>
          <w:rFonts w:ascii="Arial" w:hAnsi="Arial" w:cs="Arial"/>
          <w:sz w:val="16"/>
          <w:szCs w:val="16"/>
        </w:rPr>
      </w:pPr>
      <w:proofErr w:type="gramStart"/>
      <w:r w:rsidRPr="00C44F18">
        <w:rPr>
          <w:rFonts w:ascii="Arial" w:hAnsi="Arial" w:cs="Arial"/>
          <w:sz w:val="16"/>
          <w:szCs w:val="16"/>
        </w:rPr>
        <w:t>»La</w:t>
      </w:r>
      <w:proofErr w:type="gramEnd"/>
      <w:r w:rsidRPr="00C44F18">
        <w:rPr>
          <w:rFonts w:ascii="Arial" w:hAnsi="Arial" w:cs="Arial"/>
          <w:sz w:val="16"/>
          <w:szCs w:val="16"/>
        </w:rPr>
        <w:t xml:space="preserve"> persona que concede el encargo se llama comitente o mandante, y la que lo acepta apoderado, procurador, y en general mandatario».</w:t>
      </w:r>
    </w:p>
  </w:footnote>
  <w:footnote w:id="21">
    <w:p w14:paraId="563EB5E2" w14:textId="77777777" w:rsidR="00845B19" w:rsidRDefault="00845B19" w:rsidP="00845B19">
      <w:pPr>
        <w:pStyle w:val="Textonotapie"/>
        <w:ind w:firstLine="708"/>
        <w:jc w:val="both"/>
        <w:rPr>
          <w:rFonts w:ascii="Arial" w:hAnsi="Arial" w:cs="Arial"/>
          <w:sz w:val="19"/>
          <w:szCs w:val="19"/>
        </w:rPr>
      </w:pPr>
      <w:r>
        <w:rPr>
          <w:rStyle w:val="Refdenotaalpie"/>
          <w:rFonts w:ascii="Arial" w:hAnsi="Arial" w:cs="Arial"/>
          <w:sz w:val="19"/>
          <w:szCs w:val="19"/>
        </w:rPr>
        <w:footnoteRef/>
      </w:r>
      <w:r>
        <w:rPr>
          <w:rFonts w:ascii="Arial" w:hAnsi="Arial" w:cs="Arial"/>
          <w:sz w:val="19"/>
          <w:szCs w:val="19"/>
        </w:rPr>
        <w:t xml:space="preserve"> Corte Suprema de Justicia. Sala de Casación Civil. Sentencia de 17 de junio de 1937, reiterada en sentencias de 28 de marzo de 1939 y 18 de agosto de 1958. </w:t>
      </w:r>
    </w:p>
  </w:footnote>
  <w:footnote w:id="22">
    <w:p w14:paraId="3ED48587" w14:textId="77777777" w:rsidR="00845B19" w:rsidRDefault="00845B19" w:rsidP="00845B19">
      <w:pPr>
        <w:pStyle w:val="Textonotapie"/>
        <w:ind w:firstLine="708"/>
        <w:jc w:val="both"/>
        <w:rPr>
          <w:rFonts w:ascii="Arial" w:hAnsi="Arial" w:cs="Arial"/>
          <w:sz w:val="19"/>
          <w:szCs w:val="19"/>
        </w:rPr>
      </w:pPr>
      <w:r>
        <w:rPr>
          <w:rStyle w:val="Refdenotaalpie"/>
          <w:rFonts w:ascii="Arial" w:hAnsi="Arial" w:cs="Arial"/>
          <w:sz w:val="19"/>
          <w:szCs w:val="19"/>
        </w:rPr>
        <w:footnoteRef/>
      </w:r>
      <w:r>
        <w:rPr>
          <w:rFonts w:ascii="Arial" w:hAnsi="Arial" w:cs="Arial"/>
          <w:sz w:val="19"/>
          <w:szCs w:val="19"/>
        </w:rPr>
        <w:t xml:space="preserve"> Corte Suprema de Justicia. Sala de Casación Civil. Febrero 25 de 1952.</w:t>
      </w:r>
    </w:p>
    <w:p w14:paraId="7A13717E" w14:textId="77777777" w:rsidR="00845B19" w:rsidRDefault="00845B19" w:rsidP="00845B19">
      <w:pPr>
        <w:pStyle w:val="Textonotapie"/>
        <w:ind w:firstLine="708"/>
        <w:jc w:val="both"/>
        <w:rPr>
          <w:rFonts w:ascii="Arial" w:hAnsi="Arial" w:cs="Arial"/>
          <w:sz w:val="19"/>
          <w:szCs w:val="19"/>
        </w:rPr>
      </w:pPr>
    </w:p>
  </w:footnote>
  <w:footnote w:id="23">
    <w:p w14:paraId="56F5ECBA" w14:textId="77777777" w:rsidR="00845B19" w:rsidRDefault="00845B19" w:rsidP="00845B19">
      <w:pPr>
        <w:pStyle w:val="Textonotapie"/>
        <w:ind w:firstLine="709"/>
        <w:jc w:val="both"/>
        <w:rPr>
          <w:rFonts w:ascii="Arial" w:hAnsi="Arial" w:cs="Arial"/>
          <w:sz w:val="19"/>
          <w:szCs w:val="19"/>
        </w:rPr>
      </w:pPr>
      <w:r>
        <w:rPr>
          <w:rStyle w:val="Refdenotaalpie"/>
          <w:rFonts w:ascii="Arial" w:hAnsi="Arial" w:cs="Arial"/>
          <w:sz w:val="19"/>
          <w:szCs w:val="19"/>
        </w:rPr>
        <w:footnoteRef/>
      </w:r>
      <w:r>
        <w:rPr>
          <w:rFonts w:ascii="Arial" w:hAnsi="Arial" w:cs="Arial"/>
          <w:sz w:val="19"/>
          <w:szCs w:val="19"/>
        </w:rPr>
        <w:t xml:space="preserve"> Véase BONIVENTO FERNÁNDEZ, José Alejandro. Los principales contratos civiles y su paralelo con los comerciales. Decimosexta edición, Ediciones Librería del Profesional, 2004, Bogotá, pp. 600-620</w:t>
      </w:r>
    </w:p>
    <w:p w14:paraId="33878273" w14:textId="77777777" w:rsidR="00845B19" w:rsidRDefault="00845B19" w:rsidP="00845B19">
      <w:pPr>
        <w:pStyle w:val="Textonotapie"/>
        <w:ind w:firstLine="709"/>
        <w:jc w:val="both"/>
        <w:rPr>
          <w:rFonts w:ascii="Arial" w:hAnsi="Arial" w:cs="Arial"/>
          <w:sz w:val="19"/>
          <w:szCs w:val="19"/>
        </w:rPr>
      </w:pPr>
    </w:p>
  </w:footnote>
  <w:footnote w:id="24">
    <w:p w14:paraId="70A43850" w14:textId="77777777" w:rsidR="00845B19" w:rsidRDefault="00845B19" w:rsidP="00845B19">
      <w:pPr>
        <w:spacing w:line="240" w:lineRule="auto"/>
        <w:ind w:firstLine="708"/>
        <w:jc w:val="both"/>
        <w:rPr>
          <w:sz w:val="24"/>
        </w:rPr>
      </w:pPr>
      <w:r>
        <w:rPr>
          <w:rStyle w:val="Refdenotaalpie"/>
          <w:rFonts w:ascii="Arial" w:hAnsi="Arial" w:cs="Arial"/>
          <w:sz w:val="19"/>
          <w:szCs w:val="19"/>
        </w:rPr>
        <w:footnoteRef/>
      </w:r>
      <w:r>
        <w:rPr>
          <w:rFonts w:ascii="Arial" w:hAnsi="Arial" w:cs="Arial"/>
          <w:sz w:val="19"/>
          <w:szCs w:val="19"/>
        </w:rPr>
        <w:t xml:space="preserve"> Sobre la representación indirecta la doctrina nacional ha señalado: «Se dice que hay representación, pero indirecta, cuando el agente, a pesar de obrar por cuenta ajena, provisto de un poder y en ejercicio de él, procede en nombre propio (“ejercicio del derecho en nombre propio </w:t>
      </w:r>
      <w:r>
        <w:rPr>
          <w:rFonts w:ascii="Arial" w:hAnsi="Arial" w:cs="Arial"/>
          <w:i/>
          <w:iCs/>
          <w:sz w:val="19"/>
          <w:szCs w:val="19"/>
        </w:rPr>
        <w:t>‘</w:t>
      </w:r>
      <w:proofErr w:type="spellStart"/>
      <w:r>
        <w:rPr>
          <w:rFonts w:ascii="Arial" w:hAnsi="Arial" w:cs="Arial"/>
          <w:i/>
          <w:iCs/>
          <w:sz w:val="19"/>
          <w:szCs w:val="19"/>
        </w:rPr>
        <w:t>Ermächtigung</w:t>
      </w:r>
      <w:proofErr w:type="spellEnd"/>
      <w:r>
        <w:rPr>
          <w:rFonts w:ascii="Arial" w:hAnsi="Arial" w:cs="Arial"/>
          <w:i/>
          <w:iCs/>
          <w:sz w:val="19"/>
          <w:szCs w:val="19"/>
        </w:rPr>
        <w:t xml:space="preserve">’”). </w:t>
      </w:r>
      <w:r>
        <w:rPr>
          <w:rFonts w:ascii="Arial" w:hAnsi="Arial" w:cs="Arial"/>
          <w:sz w:val="19"/>
          <w:szCs w:val="19"/>
        </w:rPr>
        <w:t xml:space="preserve">Se trata de una anomalía, por cierto, muy frecuente, y el hecho es que el agente puede actuar válidamente por el interesado sin mencionar su presencia al tercero. […] En otras palabras, es un evento característico de interposición real de persona. […]La investidura para la representación indirecta de suyo está insertada en un negocio de gestión (mandato, art, 2177 c.c.), e implica una facultad para realizar la actividad jurídica en nombre propio, pero por cuenta del interesado». HINESTROZA, Fernando. La representación. Primera Edición, Universidad Externado de Colombia, 2008, Bogotá, pp. 362-366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3A4A" w14:textId="77777777" w:rsidR="00906B3C" w:rsidRPr="007566FE" w:rsidRDefault="00000000" w:rsidP="008614E5">
    <w:pPr>
      <w:spacing w:after="0"/>
      <w:rPr>
        <w:rFonts w:ascii="Geomanist Light" w:hAnsi="Geomanist Light"/>
        <w:color w:val="002060"/>
        <w:sz w:val="16"/>
        <w:szCs w:val="16"/>
      </w:rPr>
    </w:pPr>
    <w:r w:rsidRPr="007566FE">
      <w:rPr>
        <w:rFonts w:ascii="Geomanist Light" w:eastAsia="Arial Nova" w:hAnsi="Geomanist Light" w:cs="Arial Nova"/>
        <w:noProof/>
        <w:sz w:val="16"/>
        <w:szCs w:val="16"/>
        <w:lang w:eastAsia="es-CO"/>
      </w:rPr>
      <w:drawing>
        <wp:anchor distT="0" distB="0" distL="0" distR="0" simplePos="0" relativeHeight="251659264" behindDoc="1" locked="0" layoutInCell="1" hidden="0" allowOverlap="1" wp14:anchorId="6347CA08" wp14:editId="541E75A3">
          <wp:simplePos x="0" y="0"/>
          <wp:positionH relativeFrom="margin">
            <wp:align>right</wp:align>
          </wp:positionH>
          <wp:positionV relativeFrom="paragraph">
            <wp:posOffset>-80564</wp:posOffset>
          </wp:positionV>
          <wp:extent cx="1657350" cy="676275"/>
          <wp:effectExtent l="0" t="0" r="0" b="9525"/>
          <wp:wrapNone/>
          <wp:docPr id="25"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Pr>
        <w:rFonts w:ascii="Geomanist Light" w:hAnsi="Geomanist Light"/>
        <w:color w:val="002060"/>
        <w:sz w:val="16"/>
        <w:szCs w:val="16"/>
      </w:rPr>
      <w:t>FORMATO PQRSD</w:t>
    </w:r>
  </w:p>
  <w:p w14:paraId="1AF61203" w14:textId="77777777" w:rsidR="007566FE" w:rsidRPr="007566FE" w:rsidRDefault="00000000" w:rsidP="00793403">
    <w:pPr>
      <w:pBdr>
        <w:top w:val="nil"/>
        <w:left w:val="nil"/>
        <w:bottom w:val="nil"/>
        <w:right w:val="nil"/>
        <w:between w:val="nil"/>
      </w:pBdr>
      <w:tabs>
        <w:tab w:val="center" w:pos="4419"/>
        <w:tab w:val="right" w:pos="8838"/>
        <w:tab w:val="center" w:pos="5400"/>
      </w:tabs>
      <w:spacing w:after="0"/>
      <w:rPr>
        <w:rFonts w:ascii="Geomanist Light" w:eastAsia="Geo" w:hAnsi="Geomanist Light" w:cs="Geo"/>
        <w:b/>
        <w:color w:val="002060"/>
        <w:sz w:val="16"/>
        <w:szCs w:val="16"/>
        <w:lang w:eastAsia="es-CO"/>
      </w:rPr>
    </w:pPr>
    <w:r w:rsidRPr="007566FE">
      <w:rPr>
        <w:rFonts w:ascii="Geomanist Light" w:eastAsia="Geo" w:hAnsi="Geomanist Light" w:cs="Geo"/>
        <w:b/>
        <w:color w:val="000000"/>
        <w:sz w:val="16"/>
        <w:szCs w:val="16"/>
        <w:lang w:eastAsia="es-CO"/>
      </w:rPr>
      <w:t xml:space="preserve">Código: </w:t>
    </w:r>
    <w:r w:rsidRPr="007566FE">
      <w:rPr>
        <w:rFonts w:ascii="Geomanist Light" w:eastAsia="Geo" w:hAnsi="Geomanist Light" w:cs="Geo"/>
        <w:bCs/>
        <w:color w:val="000000"/>
        <w:sz w:val="16"/>
        <w:szCs w:val="16"/>
        <w:lang w:eastAsia="es-CO"/>
      </w:rPr>
      <w:t>CCE-PQRSD-FM-08</w:t>
    </w:r>
  </w:p>
  <w:p w14:paraId="6D1DAA7E" w14:textId="77777777" w:rsidR="00793403" w:rsidRDefault="00000000" w:rsidP="008614E5">
    <w:pPr>
      <w:spacing w:after="0"/>
      <w:rPr>
        <w:rFonts w:ascii="Geomanist Light" w:eastAsia="Geo" w:hAnsi="Geomanist Light" w:cs="Geo"/>
        <w:sz w:val="16"/>
        <w:szCs w:val="16"/>
        <w:lang w:eastAsia="es-CO"/>
      </w:rPr>
    </w:pPr>
    <w:r w:rsidRPr="00367110">
      <w:rPr>
        <w:rFonts w:eastAsia="Arial Nova" w:cs="Arial Nova"/>
        <w:noProof/>
        <w:color w:val="000000"/>
        <w:lang w:eastAsia="es-CO"/>
      </w:rPr>
      <w:drawing>
        <wp:anchor distT="0" distB="0" distL="114300" distR="114300" simplePos="0" relativeHeight="251660288" behindDoc="1" locked="0" layoutInCell="1" allowOverlap="1" wp14:anchorId="2F93DB29" wp14:editId="564B91C7">
          <wp:simplePos x="0" y="0"/>
          <wp:positionH relativeFrom="margin">
            <wp:align>left</wp:align>
          </wp:positionH>
          <wp:positionV relativeFrom="paragraph">
            <wp:posOffset>141605</wp:posOffset>
          </wp:positionV>
          <wp:extent cx="3238500" cy="762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Pr>
        <w:rFonts w:ascii="Geomanist Light" w:eastAsia="Geo" w:hAnsi="Geomanist Light" w:cs="Geo"/>
        <w:b/>
        <w:color w:val="000000"/>
        <w:sz w:val="16"/>
        <w:szCs w:val="16"/>
        <w:lang w:eastAsia="es-CO"/>
      </w:rPr>
      <w:t>Versión</w:t>
    </w:r>
    <w:r w:rsidRPr="007566FE">
      <w:rPr>
        <w:rFonts w:ascii="Geomanist Light" w:eastAsia="Arial Nova" w:hAnsi="Geomanist Light" w:cs="Arial Nova"/>
        <w:b/>
        <w:color w:val="000000"/>
        <w:sz w:val="16"/>
        <w:szCs w:val="16"/>
        <w:lang w:eastAsia="es-CO"/>
      </w:rPr>
      <w:t xml:space="preserve">: </w:t>
    </w:r>
    <w:r w:rsidRPr="007566FE">
      <w:rPr>
        <w:rFonts w:ascii="Geomanist Light" w:eastAsia="Geo" w:hAnsi="Geomanist Light" w:cs="Geo"/>
        <w:sz w:val="16"/>
        <w:szCs w:val="16"/>
        <w:lang w:eastAsia="es-CO"/>
      </w:rPr>
      <w:t>0</w:t>
    </w:r>
    <w:r>
      <w:rPr>
        <w:rFonts w:ascii="Geomanist Light" w:eastAsia="Geo" w:hAnsi="Geomanist Light" w:cs="Geo"/>
        <w:sz w:val="16"/>
        <w:szCs w:val="16"/>
        <w:lang w:eastAsia="es-CO"/>
      </w:rPr>
      <w:t>2</w:t>
    </w:r>
    <w:r w:rsidRPr="007566FE">
      <w:rPr>
        <w:rFonts w:ascii="Geomanist Light" w:eastAsia="Geo" w:hAnsi="Geomanist Light" w:cs="Geo"/>
        <w:sz w:val="16"/>
        <w:szCs w:val="16"/>
        <w:lang w:eastAsia="es-CO"/>
      </w:rPr>
      <w:t xml:space="preserve"> DEL </w:t>
    </w:r>
    <w:r>
      <w:rPr>
        <w:rFonts w:ascii="Geomanist Light" w:eastAsia="Geo" w:hAnsi="Geomanist Light" w:cs="Geo"/>
        <w:sz w:val="16"/>
        <w:szCs w:val="16"/>
        <w:lang w:eastAsia="es-CO"/>
      </w:rPr>
      <w:t>28</w:t>
    </w:r>
    <w:r w:rsidRPr="007566FE">
      <w:rPr>
        <w:rFonts w:ascii="Geomanist Light" w:eastAsia="Geo" w:hAnsi="Geomanist Light" w:cs="Geo"/>
        <w:sz w:val="16"/>
        <w:szCs w:val="16"/>
        <w:lang w:eastAsia="es-CO"/>
      </w:rPr>
      <w:t xml:space="preserve"> DE </w:t>
    </w:r>
    <w:r>
      <w:rPr>
        <w:rFonts w:ascii="Geomanist Light" w:eastAsia="Geo" w:hAnsi="Geomanist Light" w:cs="Geo"/>
        <w:sz w:val="16"/>
        <w:szCs w:val="16"/>
        <w:lang w:eastAsia="es-CO"/>
      </w:rPr>
      <w:t>SEPTIEMBRE</w:t>
    </w:r>
    <w:r w:rsidRPr="007566FE">
      <w:rPr>
        <w:rFonts w:ascii="Geomanist Light" w:eastAsia="Geo" w:hAnsi="Geomanist Light" w:cs="Geo"/>
        <w:sz w:val="16"/>
        <w:szCs w:val="16"/>
        <w:lang w:eastAsia="es-CO"/>
      </w:rPr>
      <w:t xml:space="preserve"> DE 2022</w:t>
    </w:r>
  </w:p>
  <w:p w14:paraId="2622A6D3" w14:textId="77777777" w:rsidR="00793403" w:rsidRPr="007566FE" w:rsidRDefault="00000000" w:rsidP="008614E5">
    <w:pPr>
      <w:spacing w:after="0"/>
      <w:rPr>
        <w:rFonts w:ascii="Geomanist Light" w:hAnsi="Geomanist Light"/>
        <w:color w:val="002060"/>
        <w:sz w:val="16"/>
        <w:szCs w:val="16"/>
      </w:rPr>
    </w:pPr>
  </w:p>
  <w:p w14:paraId="1A66BAA8" w14:textId="77777777" w:rsidR="004A1847" w:rsidRPr="00906B3C" w:rsidRDefault="00000000" w:rsidP="00906B3C">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37481E2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16cid:durableId="160769128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7D"/>
    <w:rsid w:val="00063901"/>
    <w:rsid w:val="0008299A"/>
    <w:rsid w:val="000A295A"/>
    <w:rsid w:val="000E143A"/>
    <w:rsid w:val="00485868"/>
    <w:rsid w:val="005243A8"/>
    <w:rsid w:val="007C27E0"/>
    <w:rsid w:val="00845B19"/>
    <w:rsid w:val="0090495C"/>
    <w:rsid w:val="0095667D"/>
    <w:rsid w:val="00CA37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B7421"/>
  <w15:chartTrackingRefBased/>
  <w15:docId w15:val="{86DBA0C0-899C-40ED-87DC-F3F1CB3F6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B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5B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5B19"/>
  </w:style>
  <w:style w:type="paragraph" w:styleId="Piedepgina">
    <w:name w:val="footer"/>
    <w:basedOn w:val="Normal"/>
    <w:link w:val="PiedepginaCar"/>
    <w:uiPriority w:val="99"/>
    <w:unhideWhenUsed/>
    <w:rsid w:val="00845B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5B19"/>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845B19"/>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845B19"/>
    <w:pPr>
      <w:spacing w:after="0" w:line="240" w:lineRule="auto"/>
    </w:pPr>
    <w:rPr>
      <w:sz w:val="20"/>
      <w:szCs w:val="20"/>
      <w:lang w:val="es-MX"/>
    </w:rPr>
  </w:style>
  <w:style w:type="character" w:customStyle="1" w:styleId="TextonotapieCar1">
    <w:name w:val="Texto nota pie Car1"/>
    <w:basedOn w:val="Fuentedeprrafopredeter"/>
    <w:uiPriority w:val="99"/>
    <w:semiHidden/>
    <w:rsid w:val="00845B19"/>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845B19"/>
    <w:rPr>
      <w:vertAlign w:val="superscript"/>
    </w:rPr>
  </w:style>
  <w:style w:type="table" w:styleId="Tablaconcuadrcula">
    <w:name w:val="Table Grid"/>
    <w:basedOn w:val="Tablanormal"/>
    <w:uiPriority w:val="39"/>
    <w:rsid w:val="00845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1,Foot"/>
    <w:basedOn w:val="Normal"/>
    <w:link w:val="PrrafodelistaCar"/>
    <w:uiPriority w:val="34"/>
    <w:qFormat/>
    <w:rsid w:val="00845B19"/>
    <w:pPr>
      <w:ind w:left="720"/>
      <w:contextualSpacing/>
    </w:pPr>
    <w:rPr>
      <w:rFonts w:ascii="Geomanist Light" w:hAnsi="Geomanist Light"/>
      <w:lang w:val="es-ES"/>
    </w:rPr>
  </w:style>
  <w:style w:type="character" w:styleId="Refdecomentario">
    <w:name w:val="annotation reference"/>
    <w:basedOn w:val="Fuentedeprrafopredeter"/>
    <w:uiPriority w:val="99"/>
    <w:semiHidden/>
    <w:unhideWhenUsed/>
    <w:rsid w:val="00845B19"/>
    <w:rPr>
      <w:sz w:val="16"/>
      <w:szCs w:val="16"/>
    </w:rPr>
  </w:style>
  <w:style w:type="paragraph" w:styleId="Textocomentario">
    <w:name w:val="annotation text"/>
    <w:basedOn w:val="Normal"/>
    <w:link w:val="TextocomentarioCar"/>
    <w:uiPriority w:val="99"/>
    <w:unhideWhenUsed/>
    <w:rsid w:val="00845B19"/>
    <w:pPr>
      <w:spacing w:line="240" w:lineRule="auto"/>
    </w:pPr>
    <w:rPr>
      <w:sz w:val="20"/>
      <w:szCs w:val="20"/>
    </w:rPr>
  </w:style>
  <w:style w:type="character" w:customStyle="1" w:styleId="TextocomentarioCar">
    <w:name w:val="Texto comentario Car"/>
    <w:basedOn w:val="Fuentedeprrafopredeter"/>
    <w:link w:val="Textocomentario"/>
    <w:uiPriority w:val="99"/>
    <w:rsid w:val="00845B19"/>
    <w:rPr>
      <w:sz w:val="20"/>
      <w:szCs w:val="20"/>
    </w:rPr>
  </w:style>
  <w:style w:type="character" w:styleId="Hipervnculo">
    <w:name w:val="Hyperlink"/>
    <w:basedOn w:val="Fuentedeprrafopredeter"/>
    <w:uiPriority w:val="99"/>
    <w:unhideWhenUsed/>
    <w:rsid w:val="00845B19"/>
    <w:rPr>
      <w:color w:val="0563C1" w:themeColor="hyperlink"/>
      <w:u w:val="single"/>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45B19"/>
    <w:rPr>
      <w:rFonts w:ascii="Geomanist Light" w:hAnsi="Geomanist Light"/>
      <w:lang w:val="es-ES"/>
    </w:rPr>
  </w:style>
  <w:style w:type="paragraph" w:styleId="NormalWeb">
    <w:name w:val="Normal (Web)"/>
    <w:basedOn w:val="Normal"/>
    <w:link w:val="NormalWebCar"/>
    <w:uiPriority w:val="99"/>
    <w:unhideWhenUsed/>
    <w:rsid w:val="00845B1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WebCar">
    <w:name w:val="Normal (Web) Car"/>
    <w:link w:val="NormalWeb"/>
    <w:uiPriority w:val="99"/>
    <w:rsid w:val="00845B19"/>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99"/>
    <w:semiHidden/>
    <w:unhideWhenUsed/>
    <w:rsid w:val="00845B19"/>
    <w:pPr>
      <w:spacing w:after="120" w:line="240" w:lineRule="auto"/>
    </w:pPr>
    <w:rPr>
      <w:sz w:val="24"/>
      <w:lang w:val="es-MX"/>
    </w:rPr>
  </w:style>
  <w:style w:type="character" w:customStyle="1" w:styleId="TextoindependienteCar">
    <w:name w:val="Texto independiente Car"/>
    <w:basedOn w:val="Fuentedeprrafopredeter"/>
    <w:link w:val="Textoindependiente"/>
    <w:uiPriority w:val="99"/>
    <w:semiHidden/>
    <w:rsid w:val="00845B19"/>
    <w:rPr>
      <w:sz w:val="24"/>
      <w:lang w:val="es-MX"/>
    </w:rPr>
  </w:style>
  <w:style w:type="paragraph" w:customStyle="1" w:styleId="Appelnotedebasde">
    <w:name w:val="Appel note de bas de..."/>
    <w:basedOn w:val="Normal"/>
    <w:link w:val="Refdenotaalpie"/>
    <w:uiPriority w:val="99"/>
    <w:rsid w:val="00845B19"/>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daleja@hotmai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revistas.javeriana.edu.co/files-articulos/VJ/139%20(2019-II)/8256214800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82D47-9CD4-4DD6-B2B5-FD6DAEF2186E}">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6DF32E5A-81F1-4CA8-A42C-D84BA112EC9B}">
  <ds:schemaRefs>
    <ds:schemaRef ds:uri="http://schemas.microsoft.com/sharepoint/v3/contenttype/forms"/>
  </ds:schemaRefs>
</ds:datastoreItem>
</file>

<file path=customXml/itemProps3.xml><?xml version="1.0" encoding="utf-8"?>
<ds:datastoreItem xmlns:ds="http://schemas.openxmlformats.org/officeDocument/2006/customXml" ds:itemID="{F5454A2B-1D4D-4D7C-BD7C-5666CFAE5559}"/>
</file>

<file path=docProps/app.xml><?xml version="1.0" encoding="utf-8"?>
<Properties xmlns="http://schemas.openxmlformats.org/officeDocument/2006/extended-properties" xmlns:vt="http://schemas.openxmlformats.org/officeDocument/2006/docPropsVTypes">
  <Template>Normal</Template>
  <TotalTime>10</TotalTime>
  <Pages>19</Pages>
  <Words>6262</Words>
  <Characters>34443</Characters>
  <Application>Microsoft Office Word</Application>
  <DocSecurity>0</DocSecurity>
  <Lines>287</Lines>
  <Paragraphs>81</Paragraphs>
  <ScaleCrop>false</ScaleCrop>
  <Company/>
  <LinksUpToDate>false</LinksUpToDate>
  <CharactersWithSpaces>40624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Valeska Medellín Mora</dc:creator>
  <cp:keywords/>
  <dc:description/>
  <cp:lastModifiedBy>Diego German Revelo Bolívar</cp:lastModifiedBy>
  <cp:revision>8</cp:revision>
  <dcterms:created xsi:type="dcterms:W3CDTF">2023-01-25T19:50:00Z</dcterms:created>
  <dcterms:modified xsi:type="dcterms:W3CDTF">2023-03-22T19:52:00Z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