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508DF" w:rsidR="00E508DF" w:rsidP="00E508DF" w:rsidRDefault="00E508DF" w14:paraId="3CBD2CF4"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bookmarkStart w:name="_Hlk143780582" w:id="0"/>
      <w:r w:rsidRPr="00E508DF">
        <w:rPr>
          <w:rFonts w:ascii="Century Gothic" w:hAnsi="Century Gothic" w:eastAsia="Calibri" w:cs="Arial"/>
          <w:b/>
          <w:kern w:val="2"/>
          <w:lang w:val="es-ES_tradnl" w:eastAsia="es-ES_tradnl"/>
          <w14:ligatures w14:val="standardContextual"/>
        </w:rPr>
        <w:t xml:space="preserve">DOCUMENTOS TIPO – Fundamento normativo – Ley 2022 de 2020 </w:t>
      </w:r>
    </w:p>
    <w:p w:rsidRPr="00D90AE1" w:rsidR="00E508DF" w:rsidP="00E508DF" w:rsidRDefault="00E508DF" w14:paraId="40725193" w14:textId="77777777">
      <w:pPr>
        <w:spacing w:after="0" w:line="240" w:lineRule="auto"/>
        <w:contextualSpacing/>
        <w:jc w:val="both"/>
        <w:rPr>
          <w:rFonts w:ascii="Century Gothic" w:hAnsi="Century Gothic" w:eastAsia="Calibri" w:cs="Arial"/>
          <w:kern w:val="2"/>
          <w:lang w:val="es-ES_tradnl" w:eastAsia="es-ES"/>
          <w14:ligatures w14:val="standardContextual"/>
        </w:rPr>
      </w:pPr>
    </w:p>
    <w:p w:rsidRPr="00E508DF" w:rsidR="00E508DF" w:rsidP="4362226D" w:rsidRDefault="005F0E8A" w14:paraId="7CB0526F" w14:textId="761BB93E" w14:noSpellErr="1">
      <w:pPr>
        <w:spacing w:after="0" w:line="240" w:lineRule="auto"/>
        <w:contextualSpacing/>
        <w:jc w:val="both"/>
        <w:rPr>
          <w:rFonts w:ascii="Century Gothic" w:hAnsi="Century Gothic" w:eastAsia="Calibri" w:cs="Arial"/>
          <w:kern w:val="2"/>
          <w:sz w:val="20"/>
          <w:szCs w:val="20"/>
          <w:lang w:val="es-ES"/>
          <w14:ligatures w14:val="standardContextual"/>
        </w:rPr>
      </w:pPr>
      <w:r w:rsidRPr="4362226D" w:rsidR="005F0E8A">
        <w:rPr>
          <w:rFonts w:ascii="Century Gothic" w:hAnsi="Century Gothic" w:eastAsia="Calibri" w:cs="Arial"/>
          <w:kern w:val="2"/>
          <w:sz w:val="20"/>
          <w:szCs w:val="20"/>
          <w:lang w:val="es-ES" w:eastAsia="es-ES"/>
          <w14:ligatures w14:val="standardContextua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rsidR="00E508DF" w:rsidP="00E508DF" w:rsidRDefault="00E508DF" w14:paraId="13576AF5" w14:textId="77777777">
      <w:pPr>
        <w:spacing w:after="0" w:line="240" w:lineRule="auto"/>
        <w:contextualSpacing/>
        <w:jc w:val="both"/>
        <w:rPr>
          <w:rFonts w:ascii="Century Gothic" w:hAnsi="Century Gothic" w:eastAsia="Times New Roman" w:cs="Arial"/>
          <w:kern w:val="2"/>
          <w:sz w:val="20"/>
          <w:szCs w:val="20"/>
          <w:lang w:val="es-ES_tradnl" w:eastAsia="es-ES_tradnl"/>
          <w14:ligatures w14:val="standardContextual"/>
        </w:rPr>
      </w:pPr>
      <w:r w:rsidRPr="00E508DF">
        <w:rPr>
          <w:rFonts w:ascii="Century Gothic" w:hAnsi="Century Gothic" w:eastAsia="Times New Roman" w:cs="Arial"/>
          <w:kern w:val="2"/>
          <w:sz w:val="20"/>
          <w:szCs w:val="20"/>
          <w:lang w:val="es-ES_tradnl" w:eastAsia="es-ES_tradnl"/>
          <w14:ligatures w14:val="standardContextual"/>
        </w:rPr>
        <w:t>[…]</w:t>
      </w:r>
    </w:p>
    <w:p w:rsidRPr="00E508DF" w:rsidR="00D90AE1" w:rsidP="4362226D" w:rsidRDefault="00D90AE1" w14:paraId="35D1F70B" w14:textId="16C59154" w14:noSpellErr="1">
      <w:pPr>
        <w:spacing w:after="0" w:line="240" w:lineRule="auto"/>
        <w:contextualSpacing/>
        <w:jc w:val="both"/>
        <w:rPr>
          <w:rFonts w:ascii="Century Gothic" w:hAnsi="Century Gothic" w:eastAsia="Times New Roman" w:cs="Arial"/>
          <w:kern w:val="2"/>
          <w:sz w:val="20"/>
          <w:szCs w:val="20"/>
          <w:lang w:val="es-ES" w:eastAsia="es-ES"/>
          <w14:ligatures w14:val="standardContextual"/>
        </w:rPr>
      </w:pPr>
      <w:r w:rsidRPr="4362226D" w:rsidR="00D90AE1">
        <w:rPr>
          <w:rFonts w:ascii="Century Gothic" w:hAnsi="Century Gothic" w:eastAsia="Times New Roman" w:cs="Arial"/>
          <w:kern w:val="2"/>
          <w:sz w:val="20"/>
          <w:szCs w:val="20"/>
          <w:lang w:val="es-ES" w:eastAsia="es-ES"/>
          <w14:ligatures w14:val="standardContextual"/>
        </w:rPr>
        <w:t xml:space="preserve">Por otra parte, debe tenerse en cuenta que la Ley 2022 de 2020 fue sancionada por el </w:t>
      </w:r>
      <w:r w:rsidRPr="4362226D" w:rsidR="00D90AE1">
        <w:rPr>
          <w:rFonts w:ascii="Century Gothic" w:hAnsi="Century Gothic" w:eastAsia="Times New Roman" w:cs="Arial"/>
          <w:kern w:val="2"/>
          <w:sz w:val="20"/>
          <w:szCs w:val="20"/>
          <w:lang w:val="es-ES" w:eastAsia="es-ES"/>
          <w14:ligatures w14:val="standardContextual"/>
        </w:rPr>
        <w:t>Presidente</w:t>
      </w:r>
      <w:r w:rsidRPr="4362226D" w:rsidR="00D90AE1">
        <w:rPr>
          <w:rFonts w:ascii="Century Gothic" w:hAnsi="Century Gothic" w:eastAsia="Times New Roman" w:cs="Arial"/>
          <w:kern w:val="2"/>
          <w:sz w:val="20"/>
          <w:szCs w:val="20"/>
          <w:lang w:val="es-ES" w:eastAsia="es-ES"/>
          <w14:ligatures w14:val="standardContextua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rsidRPr="00D90AE1" w:rsidR="00E508DF" w:rsidP="00E508DF" w:rsidRDefault="00E508DF" w14:paraId="20907DE9"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p>
    <w:p w:rsidRPr="00E508DF" w:rsidR="00E508DF" w:rsidP="00E508DF" w:rsidRDefault="00E508DF" w14:paraId="623B11C2"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r w:rsidRPr="00E508DF">
        <w:rPr>
          <w:rFonts w:ascii="Century Gothic" w:hAnsi="Century Gothic" w:eastAsia="Calibri" w:cs="Arial"/>
          <w:b/>
          <w:kern w:val="2"/>
          <w:lang w:val="es-ES_tradnl" w:eastAsia="es-ES_tradnl"/>
          <w14:ligatures w14:val="standardContextual"/>
        </w:rPr>
        <w:t xml:space="preserve">LEY 2195 DE 2022 – Artículo 56 – Ámbito de aplicación </w:t>
      </w:r>
    </w:p>
    <w:p w:rsidRPr="00953CD4" w:rsidR="00E508DF" w:rsidP="00E508DF" w:rsidRDefault="00E508DF" w14:paraId="0F252F93" w14:textId="77777777">
      <w:pPr>
        <w:spacing w:after="0" w:line="240" w:lineRule="auto"/>
        <w:contextualSpacing/>
        <w:jc w:val="both"/>
        <w:rPr>
          <w:rFonts w:ascii="Century Gothic" w:hAnsi="Century Gothic" w:eastAsia="Calibri" w:cs="Arial"/>
          <w:bCs/>
          <w:kern w:val="2"/>
          <w:lang w:val="es-ES_tradnl" w:eastAsia="es-ES_tradnl"/>
          <w14:ligatures w14:val="standardContextual"/>
        </w:rPr>
      </w:pPr>
    </w:p>
    <w:p w:rsidRPr="00E508DF" w:rsidR="00E508DF" w:rsidP="00E508DF" w:rsidRDefault="003556CB" w14:paraId="209EC3B1" w14:textId="732BB183">
      <w:pPr>
        <w:spacing w:after="0" w:line="240" w:lineRule="auto"/>
        <w:contextualSpacing/>
        <w:jc w:val="both"/>
        <w:rPr>
          <w:rFonts w:ascii="Century Gothic" w:hAnsi="Century Gothic" w:eastAsia="Calibri" w:cs="Arial"/>
          <w:bCs/>
          <w:kern w:val="2"/>
          <w:sz w:val="20"/>
          <w:szCs w:val="20"/>
          <w:lang w:val="es-ES_tradnl" w:eastAsia="es-ES_tradnl"/>
          <w14:ligatures w14:val="standardContextual"/>
        </w:rPr>
      </w:pPr>
      <w:r w:rsidRPr="003556CB">
        <w:rPr>
          <w:rFonts w:ascii="Century Gothic" w:hAnsi="Century Gothic" w:eastAsia="Calibri" w:cs="Arial"/>
          <w:bCs/>
          <w:kern w:val="2"/>
          <w:sz w:val="20"/>
          <w:szCs w:val="20"/>
          <w:lang w:val="es-ES_tradnl" w:eastAsia="es-ES_tradnl"/>
          <w14:ligatures w14:val="standardContextua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rsidRPr="00E508DF" w:rsidR="00E508DF" w:rsidP="00E508DF" w:rsidRDefault="00E508DF" w14:paraId="05C61401" w14:textId="77777777">
      <w:pPr>
        <w:spacing w:after="0" w:line="240" w:lineRule="auto"/>
        <w:contextualSpacing/>
        <w:jc w:val="both"/>
        <w:rPr>
          <w:rFonts w:ascii="Century Gothic" w:hAnsi="Century Gothic" w:eastAsia="Calibri" w:cs="Arial"/>
          <w:kern w:val="2"/>
          <w:sz w:val="20"/>
          <w:szCs w:val="20"/>
          <w:lang w:val="es-ES_tradnl" w:eastAsia="es-ES_tradnl"/>
          <w14:ligatures w14:val="standardContextual"/>
        </w:rPr>
      </w:pPr>
      <w:r w:rsidRPr="00E508DF">
        <w:rPr>
          <w:rFonts w:ascii="Century Gothic" w:hAnsi="Century Gothic" w:eastAsia="Times New Roman" w:cs="Arial"/>
          <w:kern w:val="2"/>
          <w:sz w:val="20"/>
          <w:szCs w:val="20"/>
          <w:lang w:val="es-ES_tradnl" w:eastAsia="es-ES_tradnl"/>
          <w14:ligatures w14:val="standardContextual"/>
        </w:rPr>
        <w:t>[…]</w:t>
      </w:r>
    </w:p>
    <w:p w:rsidRPr="00E508DF" w:rsidR="00E508DF" w:rsidP="00E508DF" w:rsidRDefault="003556CB" w14:paraId="1AFA0E68" w14:textId="269E4C97">
      <w:pPr>
        <w:spacing w:after="0" w:line="240" w:lineRule="auto"/>
        <w:contextualSpacing/>
        <w:jc w:val="both"/>
        <w:rPr>
          <w:rFonts w:ascii="Century Gothic" w:hAnsi="Century Gothic" w:eastAsia="Calibri" w:cs="Arial"/>
          <w:kern w:val="2"/>
          <w:sz w:val="20"/>
          <w:szCs w:val="20"/>
          <w:lang w:val="es-ES_tradnl" w:eastAsia="es-ES_tradnl"/>
          <w14:ligatures w14:val="standardContextual"/>
        </w:rPr>
      </w:pPr>
      <w:r w:rsidRPr="003556CB">
        <w:rPr>
          <w:rFonts w:ascii="Century Gothic" w:hAnsi="Century Gothic" w:eastAsia="Calibri" w:cs="Arial"/>
          <w:kern w:val="2"/>
          <w:sz w:val="20"/>
          <w:szCs w:val="20"/>
          <w:lang w:val="es-ES_tradnl" w:eastAsia="es-ES_tradnl"/>
          <w14:ligatures w14:val="standardContextua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w:t>
      </w:r>
      <w:r w:rsidRPr="003556CB">
        <w:rPr>
          <w:rFonts w:ascii="Century Gothic" w:hAnsi="Century Gothic" w:eastAsia="Calibri" w:cs="Arial"/>
          <w:kern w:val="2"/>
          <w:sz w:val="20"/>
          <w:szCs w:val="20"/>
          <w:lang w:val="es-ES_tradnl" w:eastAsia="es-ES_tradnl"/>
          <w14:ligatures w14:val="standardContextual"/>
        </w:rPr>
        <w:t>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w:t>
      </w:r>
      <w:r w:rsidR="00953CD4">
        <w:rPr>
          <w:rFonts w:ascii="Century Gothic" w:hAnsi="Century Gothic" w:eastAsia="Calibri" w:cs="Arial"/>
          <w:kern w:val="2"/>
          <w:sz w:val="20"/>
          <w:szCs w:val="20"/>
          <w:lang w:val="es-ES_tradnl" w:eastAsia="es-ES_tradnl"/>
          <w14:ligatures w14:val="standardContextual"/>
        </w:rPr>
        <w:t xml:space="preserve"> […].</w:t>
      </w:r>
    </w:p>
    <w:p w:rsidRPr="00953CD4" w:rsidR="00E508DF" w:rsidP="00E508DF" w:rsidRDefault="00E508DF" w14:paraId="06076D6C"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p>
    <w:p w:rsidRPr="00E508DF" w:rsidR="00E508DF" w:rsidP="00E508DF" w:rsidRDefault="00E508DF" w14:paraId="65FD8034"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r w:rsidRPr="00E508DF">
        <w:rPr>
          <w:rFonts w:ascii="Century Gothic" w:hAnsi="Century Gothic" w:eastAsia="Calibri" w:cs="Arial"/>
          <w:b/>
          <w:kern w:val="2"/>
          <w:lang w:val="es-ES_tradnl" w:eastAsia="es-ES_tradnl"/>
          <w14:ligatures w14:val="standardContextual"/>
        </w:rPr>
        <w:t xml:space="preserve">LEY 2195 DE 2022 – Artículo 56 – Finalidad </w:t>
      </w:r>
    </w:p>
    <w:p w:rsidRPr="00920F5E" w:rsidR="00E508DF" w:rsidP="00E508DF" w:rsidRDefault="00E508DF" w14:paraId="492C3F07" w14:textId="77777777">
      <w:pPr>
        <w:spacing w:after="0" w:line="240" w:lineRule="auto"/>
        <w:contextualSpacing/>
        <w:jc w:val="both"/>
        <w:rPr>
          <w:rFonts w:ascii="Century Gothic" w:hAnsi="Century Gothic" w:eastAsia="Times New Roman" w:cs="Arial"/>
          <w:kern w:val="2"/>
          <w:lang w:val="es-ES_tradnl" w:eastAsia="es-ES_tradnl"/>
          <w14:ligatures w14:val="standardContextual"/>
        </w:rPr>
      </w:pPr>
    </w:p>
    <w:p w:rsidR="0006678E" w:rsidP="00920F5E" w:rsidRDefault="00E508DF" w14:paraId="0AFBA891" w14:textId="0E55D103">
      <w:pPr>
        <w:tabs>
          <w:tab w:val="left" w:pos="0"/>
        </w:tabs>
        <w:spacing w:after="0" w:line="240" w:lineRule="auto"/>
        <w:jc w:val="both"/>
        <w:rPr>
          <w:rFonts w:ascii="Century Gothic" w:hAnsi="Century Gothic" w:eastAsia="Calibri" w:cs="Arial"/>
          <w:sz w:val="20"/>
          <w:szCs w:val="20"/>
        </w:rPr>
      </w:pPr>
      <w:r w:rsidRPr="00920F5E">
        <w:rPr>
          <w:rFonts w:ascii="Century Gothic" w:hAnsi="Century Gothic" w:eastAsia="Times New Roman" w:cs="Arial"/>
          <w:kern w:val="2"/>
          <w:sz w:val="20"/>
          <w:szCs w:val="20"/>
          <w:lang w:val="es-ES_tradnl" w:eastAsia="es-ES_tradnl"/>
          <w14:ligatures w14:val="standardContextual"/>
        </w:rPr>
        <w:t>[…]</w:t>
      </w:r>
      <w:r w:rsidRPr="00920F5E" w:rsidR="0006678E">
        <w:rPr>
          <w:rFonts w:ascii="Century Gothic" w:hAnsi="Century Gothic" w:eastAsia="Times New Roman" w:cs="Arial"/>
          <w:kern w:val="2"/>
          <w:sz w:val="20"/>
          <w:szCs w:val="20"/>
          <w:lang w:val="es-ES_tradnl" w:eastAsia="es-ES_tradnl"/>
          <w14:ligatures w14:val="standardContextual"/>
        </w:rPr>
        <w:t xml:space="preserve"> </w:t>
      </w:r>
      <w:r w:rsidRPr="00920F5E" w:rsidR="0006678E">
        <w:rPr>
          <w:rFonts w:ascii="Century Gothic" w:hAnsi="Century Gothic" w:eastAsia="Calibri" w:cs="Arial"/>
          <w:sz w:val="20"/>
          <w:szCs w:val="20"/>
          <w:lang w:val="es-ES_tradnl" w:eastAsia="es-ES_tradnl"/>
        </w:rPr>
        <w:t xml:space="preserve">la adición del articulado en mención tiene como fin </w:t>
      </w:r>
      <w:r w:rsidRPr="00920F5E" w:rsidR="0006678E">
        <w:rPr>
          <w:rFonts w:ascii="Century Gothic" w:hAnsi="Century Gothic" w:eastAsia="Calibri" w:cs="Arial"/>
          <w:sz w:val="20"/>
          <w:szCs w:val="20"/>
        </w:rPr>
        <w:t xml:space="preserve">“Extender la </w:t>
      </w:r>
      <w:r w:rsidRPr="00920F5E" w:rsidR="0006678E">
        <w:rPr>
          <w:rFonts w:ascii="Century Gothic" w:hAnsi="Century Gothic" w:eastAsia="Calibri" w:cs="Arial"/>
          <w:i/>
          <w:sz w:val="20"/>
          <w:szCs w:val="20"/>
        </w:rPr>
        <w:t>obligatoriedad de la aplicación del régimen de contratación estatal y pliegos tipo, cuando se celebran convenios interadministrativos</w:t>
      </w:r>
      <w:r w:rsidRPr="00920F5E" w:rsidR="0006678E">
        <w:rPr>
          <w:rFonts w:ascii="Century Gothic" w:hAnsi="Century Gothic" w:eastAsia="Calibri" w:cs="Arial"/>
          <w:sz w:val="20"/>
          <w:szCs w:val="20"/>
        </w:rPr>
        <w:t xml:space="preserve"> con una entidad que tiene régimen de contratación privada </w:t>
      </w:r>
      <w:r w:rsidRPr="00920F5E" w:rsidR="0006678E">
        <w:rPr>
          <w:rFonts w:ascii="Century Gothic" w:hAnsi="Century Gothic" w:eastAsia="Calibri" w:cs="Arial"/>
          <w:i/>
          <w:sz w:val="20"/>
          <w:szCs w:val="20"/>
        </w:rPr>
        <w:t>con el fin de evitar la contratación directa con recursos del estado y proveer de mayores garantías al proceso</w:t>
      </w:r>
      <w:r w:rsidRPr="00920F5E" w:rsidR="0006678E">
        <w:rPr>
          <w:rFonts w:ascii="Century Gothic" w:hAnsi="Century Gothic" w:eastAsia="Calibri" w:cs="Arial"/>
          <w:sz w:val="20"/>
          <w:szCs w:val="20"/>
        </w:rPr>
        <w:t>”</w:t>
      </w:r>
      <w:r w:rsidRPr="00920F5E" w:rsidR="0006678E">
        <w:rPr>
          <w:rFonts w:ascii="Century Gothic" w:hAnsi="Century Gothic" w:eastAsia="Calibri" w:cs="Arial"/>
          <w:sz w:val="20"/>
          <w:szCs w:val="20"/>
        </w:rPr>
        <w:t xml:space="preserve"> </w:t>
      </w:r>
      <w:r w:rsidRPr="00920F5E" w:rsidR="0006678E">
        <w:rPr>
          <w:rFonts w:ascii="Century Gothic" w:hAnsi="Century Gothic" w:eastAsia="Calibri" w:cs="Arial"/>
          <w:sz w:val="20"/>
          <w:szCs w:val="20"/>
        </w:rPr>
        <w:t>(Énfasis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rsidRPr="00920F5E" w:rsidR="00920F5E" w:rsidP="00920F5E" w:rsidRDefault="00920F5E" w14:paraId="6E218253" w14:textId="77777777">
      <w:pPr>
        <w:tabs>
          <w:tab w:val="left" w:pos="0"/>
        </w:tabs>
        <w:spacing w:after="0" w:line="240" w:lineRule="auto"/>
        <w:jc w:val="both"/>
        <w:rPr>
          <w:rFonts w:ascii="Century Gothic" w:hAnsi="Century Gothic" w:eastAsia="Calibri" w:cs="Arial"/>
          <w:sz w:val="20"/>
          <w:szCs w:val="20"/>
        </w:rPr>
      </w:pPr>
    </w:p>
    <w:p w:rsidRPr="00920F5E" w:rsidR="0006678E" w:rsidP="00920F5E" w:rsidRDefault="0006678E" w14:paraId="737E71E1" w14:textId="55AF41E9">
      <w:pPr>
        <w:tabs>
          <w:tab w:val="left" w:pos="0"/>
        </w:tabs>
        <w:spacing w:after="0" w:line="240" w:lineRule="auto"/>
        <w:jc w:val="both"/>
        <w:rPr>
          <w:rFonts w:ascii="Century Gothic" w:hAnsi="Century Gothic" w:eastAsia="Calibri" w:cs="Arial"/>
          <w:bCs/>
          <w:sz w:val="20"/>
          <w:szCs w:val="20"/>
          <w:lang w:val="es-ES_tradnl" w:eastAsia="es-ES_tradnl"/>
        </w:rPr>
      </w:pPr>
      <w:r w:rsidRPr="00920F5E">
        <w:rPr>
          <w:rFonts w:ascii="Century Gothic" w:hAnsi="Century Gothic" w:eastAsia="Calibri" w:cs="Arial"/>
          <w:bCs/>
          <w:sz w:val="20"/>
          <w:szCs w:val="20"/>
          <w:lang w:val="es-ES_tradnl" w:eastAsia="es-ES_tradnl"/>
        </w:rPr>
        <w:t>Sin embargo, para segunda ponencia del Senado</w:t>
      </w:r>
      <w:r w:rsidRPr="00920F5E">
        <w:rPr>
          <w:rFonts w:ascii="Century Gothic" w:hAnsi="Century Gothic" w:eastAsia="Calibri" w:cs="Arial"/>
          <w:bCs/>
          <w:sz w:val="20"/>
          <w:szCs w:val="20"/>
          <w:vertAlign w:val="superscript"/>
          <w:lang w:val="es-ES_tradnl" w:eastAsia="es-ES_tradnl"/>
        </w:rPr>
        <w:t xml:space="preserve"> </w:t>
      </w:r>
      <w:r w:rsidRPr="00920F5E">
        <w:rPr>
          <w:rFonts w:ascii="Century Gothic" w:hAnsi="Century Gothic" w:eastAsia="Calibri" w:cs="Arial"/>
          <w:bCs/>
          <w:sz w:val="20"/>
          <w:szCs w:val="20"/>
          <w:lang w:val="es-ES_tradnl" w:eastAsia="es-ES_tradnl"/>
        </w:rPr>
        <w:t>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r w:rsidRPr="00920F5E" w:rsidR="00920F5E">
        <w:rPr>
          <w:rFonts w:ascii="Century Gothic" w:hAnsi="Century Gothic" w:eastAsia="Calibri" w:cs="Arial"/>
          <w:bCs/>
          <w:sz w:val="20"/>
          <w:szCs w:val="20"/>
          <w:lang w:val="es-ES_tradnl" w:eastAsia="es-ES_tradnl"/>
        </w:rPr>
        <w:t xml:space="preserve"> […]</w:t>
      </w:r>
    </w:p>
    <w:p w:rsidRPr="00920F5E" w:rsidR="00E508DF" w:rsidP="00E508DF" w:rsidRDefault="00E508DF" w14:paraId="338CD2E2"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p>
    <w:p w:rsidRPr="00E508DF" w:rsidR="00E508DF" w:rsidP="00E508DF" w:rsidRDefault="00E508DF" w14:paraId="3C830649" w14:textId="77777777">
      <w:pPr>
        <w:spacing w:after="0" w:line="240" w:lineRule="auto"/>
        <w:contextualSpacing/>
        <w:jc w:val="both"/>
        <w:rPr>
          <w:rFonts w:ascii="Century Gothic" w:hAnsi="Century Gothic" w:eastAsia="Calibri" w:cs="Arial"/>
          <w:b/>
          <w:kern w:val="2"/>
          <w:sz w:val="24"/>
          <w:szCs w:val="24"/>
          <w:lang w:val="es-ES_tradnl" w:eastAsia="es-ES_tradnl"/>
          <w14:ligatures w14:val="standardContextual"/>
        </w:rPr>
      </w:pPr>
      <w:r w:rsidRPr="00E508DF">
        <w:rPr>
          <w:rFonts w:ascii="Century Gothic" w:hAnsi="Century Gothic" w:eastAsia="Calibri" w:cs="Arial"/>
          <w:b/>
          <w:kern w:val="2"/>
          <w:lang w:val="es-ES_tradnl" w:eastAsia="es-ES_tradnl"/>
          <w14:ligatures w14:val="standardContextual"/>
        </w:rPr>
        <w:t>LEY 2195 DE 2022 – Artículo 56 – Incisos 1 y 2 – Interpretación conjunta – Aplicación de documentos tipo</w:t>
      </w:r>
    </w:p>
    <w:p w:rsidRPr="00366069" w:rsidR="00E508DF" w:rsidP="00E508DF" w:rsidRDefault="00E508DF" w14:paraId="099504BA" w14:textId="77777777">
      <w:pPr>
        <w:tabs>
          <w:tab w:val="left" w:pos="0"/>
        </w:tabs>
        <w:spacing w:after="0" w:line="240" w:lineRule="auto"/>
        <w:jc w:val="both"/>
        <w:rPr>
          <w:rFonts w:ascii="Century Gothic" w:hAnsi="Century Gothic" w:eastAsia="Calibri" w:cs="Arial"/>
          <w:bCs/>
          <w:kern w:val="2"/>
          <w:lang w:val="es-ES_tradnl" w:eastAsia="es-ES_tradnl"/>
          <w14:ligatures w14:val="standardContextual"/>
        </w:rPr>
      </w:pPr>
    </w:p>
    <w:p w:rsidRPr="00366069" w:rsidR="00A60982" w:rsidP="00366069" w:rsidRDefault="00E508DF" w14:paraId="7AFC248E" w14:textId="77777777">
      <w:pPr>
        <w:tabs>
          <w:tab w:val="left" w:pos="0"/>
        </w:tabs>
        <w:spacing w:after="0" w:line="240" w:lineRule="auto"/>
        <w:jc w:val="both"/>
        <w:rPr>
          <w:rFonts w:ascii="Century Gothic" w:hAnsi="Century Gothic" w:eastAsia="Calibri" w:cs="Arial"/>
          <w:bCs/>
          <w:sz w:val="20"/>
          <w:szCs w:val="20"/>
          <w:lang w:val="es-ES_tradnl" w:eastAsia="es-ES_tradnl"/>
        </w:rPr>
      </w:pPr>
      <w:r w:rsidRPr="00366069">
        <w:rPr>
          <w:rFonts w:ascii="Century Gothic" w:hAnsi="Century Gothic" w:eastAsia="Calibri" w:cs="Arial"/>
          <w:bCs/>
          <w:kern w:val="2"/>
          <w:sz w:val="20"/>
          <w:szCs w:val="20"/>
          <w:lang w:val="es-ES_tradnl" w:eastAsia="es-ES_tradnl"/>
          <w14:ligatures w14:val="standardContextual"/>
        </w:rPr>
        <w:t xml:space="preserve">Como </w:t>
      </w:r>
      <w:r w:rsidRPr="00366069" w:rsidR="00A60982">
        <w:rPr>
          <w:rFonts w:ascii="Century Gothic" w:hAnsi="Century Gothic" w:eastAsia="Calibri"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rsidR="00366069" w:rsidP="00366069" w:rsidRDefault="00366069" w14:paraId="056DDBF5" w14:textId="77777777">
      <w:pPr>
        <w:tabs>
          <w:tab w:val="left" w:pos="0"/>
        </w:tabs>
        <w:spacing w:after="0" w:line="240" w:lineRule="auto"/>
        <w:jc w:val="both"/>
        <w:rPr>
          <w:rFonts w:ascii="Century Gothic" w:hAnsi="Century Gothic" w:eastAsia="Calibri" w:cs="Arial"/>
          <w:bCs/>
          <w:sz w:val="20"/>
          <w:szCs w:val="20"/>
          <w:lang w:val="es-ES_tradnl" w:eastAsia="es-ES_tradnl"/>
        </w:rPr>
      </w:pPr>
    </w:p>
    <w:p w:rsidRPr="00366069" w:rsidR="00A60982" w:rsidP="00366069" w:rsidRDefault="00A60982" w14:paraId="212DB544" w14:textId="310E1CA6">
      <w:pPr>
        <w:tabs>
          <w:tab w:val="left" w:pos="0"/>
        </w:tabs>
        <w:spacing w:after="0" w:line="240" w:lineRule="auto"/>
        <w:jc w:val="both"/>
        <w:rPr>
          <w:rFonts w:ascii="Century Gothic" w:hAnsi="Century Gothic" w:eastAsia="Calibri" w:cs="Arial"/>
          <w:sz w:val="20"/>
          <w:szCs w:val="20"/>
          <w:lang w:val="es-ES_tradnl" w:eastAsia="es-ES_tradnl"/>
        </w:rPr>
      </w:pPr>
      <w:r w:rsidRPr="00366069">
        <w:rPr>
          <w:rFonts w:ascii="Century Gothic" w:hAnsi="Century Gothic" w:eastAsia="Calibri"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w:t>
      </w:r>
      <w:r w:rsidRPr="00366069">
        <w:rPr>
          <w:rFonts w:ascii="Century Gothic" w:hAnsi="Century Gothic" w:eastAsia="Calibri" w:cs="Arial"/>
          <w:sz w:val="20"/>
          <w:szCs w:val="20"/>
          <w:lang w:val="es-ES_tradnl" w:eastAsia="es-ES_tradnl"/>
        </w:rPr>
        <w:t xml:space="preserve">Civil, según el cual “Los pasajes oscuros de una ley pueden ser ilustrados por medio de otras leyes, particularmente si versan sobre el mismo asunto”, y de interpretación por extensión de una ley consagrada en el artículo 31 </w:t>
      </w:r>
      <w:r w:rsidRPr="00366069">
        <w:rPr>
          <w:rFonts w:ascii="Century Gothic" w:hAnsi="Century Gothic" w:eastAsia="Calibri" w:cs="Arial"/>
          <w:i/>
          <w:iCs/>
          <w:sz w:val="20"/>
          <w:szCs w:val="20"/>
          <w:lang w:val="es-ES_tradnl" w:eastAsia="es-ES_tradnl"/>
        </w:rPr>
        <w:t>ibidem</w:t>
      </w:r>
      <w:r w:rsidRPr="00366069">
        <w:rPr>
          <w:rFonts w:ascii="Century Gothic" w:hAnsi="Century Gothic" w:eastAsia="Calibri" w:cs="Arial"/>
          <w:sz w:val="20"/>
          <w:szCs w:val="20"/>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r w:rsidRPr="00366069">
        <w:rPr>
          <w:rFonts w:ascii="Century Gothic" w:hAnsi="Century Gothic" w:eastAsia="Calibri" w:cs="Arial"/>
          <w:bCs/>
          <w:sz w:val="20"/>
          <w:szCs w:val="20"/>
          <w:lang w:val="es-ES_tradnl" w:eastAsia="es-ES_tradnl"/>
        </w:rPr>
        <w:t>Desde esta perspectiva, no pudiera</w:t>
      </w:r>
      <w:r w:rsidRPr="00366069">
        <w:rPr>
          <w:rFonts w:ascii="Century Gothic" w:hAnsi="Century Gothic" w:eastAsia="Calibri"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366069">
        <w:rPr>
          <w:rFonts w:ascii="Century Gothic" w:hAnsi="Century Gothic" w:eastAsia="Calibri" w:cs="Arial"/>
          <w:bCs/>
          <w:sz w:val="20"/>
          <w:szCs w:val="20"/>
          <w:lang w:val="es-ES_tradnl" w:eastAsia="es-ES_tradnl"/>
        </w:rPr>
        <w:t xml:space="preserve"> </w:t>
      </w:r>
      <w:r w:rsidRPr="00366069">
        <w:rPr>
          <w:rFonts w:ascii="Century Gothic" w:hAnsi="Century Gothic" w:eastAsia="Calibri" w:cs="Arial"/>
          <w:sz w:val="20"/>
          <w:szCs w:val="20"/>
          <w:lang w:val="es-ES_tradnl" w:eastAsia="es-ES_tradnl"/>
        </w:rPr>
        <w:t xml:space="preserve">la obligatoriedad de utilizar documentos pliego tipo </w:t>
      </w:r>
      <w:r w:rsidRPr="00366069">
        <w:rPr>
          <w:rFonts w:ascii="Century Gothic" w:hAnsi="Century Gothic" w:eastAsia="Calibri" w:cs="Arial"/>
          <w:bCs/>
          <w:sz w:val="20"/>
          <w:szCs w:val="20"/>
          <w:lang w:val="es-ES_tradnl" w:eastAsia="es-ES_tradnl"/>
        </w:rPr>
        <w:t xml:space="preserve">se extiende </w:t>
      </w:r>
      <w:r w:rsidRPr="00366069">
        <w:rPr>
          <w:rFonts w:ascii="Century Gothic" w:hAnsi="Century Gothic" w:eastAsia="Calibri" w:cs="Arial"/>
          <w:sz w:val="20"/>
          <w:szCs w:val="20"/>
          <w:lang w:val="es-ES_tradnl" w:eastAsia="es-ES_tradnl"/>
        </w:rPr>
        <w:t xml:space="preserve">en los convenios o contratos interadministrativos o de cualquier otra índole, </w:t>
      </w:r>
      <w:r w:rsidRPr="00366069">
        <w:rPr>
          <w:rFonts w:ascii="Century Gothic" w:hAnsi="Century Gothic" w:eastAsia="Calibri" w:cs="Arial"/>
          <w:bCs/>
          <w:sz w:val="20"/>
          <w:szCs w:val="20"/>
          <w:lang w:val="es-ES_tradnl" w:eastAsia="es-ES_tradnl"/>
        </w:rPr>
        <w:t>y</w:t>
      </w:r>
      <w:r w:rsidRPr="00366069">
        <w:rPr>
          <w:rFonts w:ascii="Century Gothic" w:hAnsi="Century Gothic" w:eastAsia="Calibri" w:cs="Arial"/>
          <w:sz w:val="20"/>
          <w:szCs w:val="20"/>
          <w:lang w:val="es-ES_tradnl" w:eastAsia="es-ES_tradnl"/>
        </w:rPr>
        <w:t>a las diferentes modalidades de selección de los Procesos de Contratación adelantados por entidades sometidas al EGCAP</w:t>
      </w:r>
      <w:r w:rsidRPr="00366069">
        <w:rPr>
          <w:rFonts w:ascii="Century Gothic" w:hAnsi="Century Gothic" w:eastAsia="Calibri" w:cs="Arial"/>
          <w:bCs/>
          <w:sz w:val="20"/>
          <w:szCs w:val="20"/>
          <w:lang w:val="es-ES_tradnl" w:eastAsia="es-ES_tradnl"/>
        </w:rPr>
        <w:t>.</w:t>
      </w:r>
      <w:r w:rsidRPr="00366069">
        <w:rPr>
          <w:rFonts w:ascii="Century Gothic" w:hAnsi="Century Gothic" w:eastAsia="Calibri" w:cs="Arial"/>
          <w:bCs/>
          <w:sz w:val="20"/>
          <w:szCs w:val="20"/>
          <w:lang w:val="es-ES_tradnl" w:eastAsia="es-ES_tradnl"/>
        </w:rPr>
        <w:tab/>
      </w:r>
    </w:p>
    <w:p w:rsidRPr="00366069" w:rsidR="00E508DF" w:rsidP="00366069" w:rsidRDefault="00E508DF" w14:paraId="020AE5B3" w14:textId="77777777">
      <w:pPr>
        <w:tabs>
          <w:tab w:val="left" w:pos="0"/>
        </w:tabs>
        <w:spacing w:after="0" w:line="240" w:lineRule="auto"/>
        <w:jc w:val="both"/>
        <w:rPr>
          <w:rFonts w:ascii="Century Gothic" w:hAnsi="Century Gothic" w:eastAsia="Times New Roman" w:cs="Arial"/>
          <w:kern w:val="2"/>
          <w:sz w:val="20"/>
          <w:szCs w:val="20"/>
          <w:lang w:val="es-ES_tradnl" w:eastAsia="es-ES_tradnl"/>
          <w14:ligatures w14:val="standardContextual"/>
        </w:rPr>
      </w:pPr>
      <w:r w:rsidRPr="00366069">
        <w:rPr>
          <w:rFonts w:ascii="Century Gothic" w:hAnsi="Century Gothic" w:eastAsia="Times New Roman" w:cs="Arial"/>
          <w:kern w:val="2"/>
          <w:sz w:val="20"/>
          <w:szCs w:val="20"/>
          <w:lang w:val="es-ES_tradnl" w:eastAsia="es-ES_tradnl"/>
          <w14:ligatures w14:val="standardContextual"/>
        </w:rPr>
        <w:t>[…]</w:t>
      </w:r>
    </w:p>
    <w:p w:rsidRPr="00366069" w:rsidR="00366069" w:rsidP="00366069" w:rsidRDefault="00366069" w14:paraId="46043BE1" w14:textId="5D7CDDFA">
      <w:pPr>
        <w:tabs>
          <w:tab w:val="left" w:pos="0"/>
        </w:tabs>
        <w:spacing w:after="0" w:line="240" w:lineRule="auto"/>
        <w:jc w:val="both"/>
        <w:rPr>
          <w:rFonts w:ascii="Century Gothic" w:hAnsi="Century Gothic" w:eastAsia="Calibri" w:cs="Arial"/>
          <w:bCs/>
          <w:kern w:val="2"/>
          <w:sz w:val="20"/>
          <w:szCs w:val="20"/>
          <w:lang w:val="es-ES_tradnl" w:eastAsia="es-ES_tradnl"/>
          <w14:ligatures w14:val="standardContextual"/>
        </w:rPr>
      </w:pPr>
      <w:r w:rsidRPr="00366069">
        <w:rPr>
          <w:rFonts w:ascii="Century Gothic" w:hAnsi="Century Gothic" w:eastAsia="Calibri" w:cs="Arial"/>
          <w:bCs/>
          <w:kern w:val="2"/>
          <w:sz w:val="20"/>
          <w:szCs w:val="20"/>
          <w:lang w:val="es-ES_tradnl" w:eastAsia="es-ES_tradnl"/>
          <w14:ligatures w14:val="standardContextual"/>
        </w:rPr>
        <w:t xml:space="preserve">El segundo inciso de la norma bajo estudio usa la expresión “los procedimientos de selección y contratos que realicen en desarrollo de los anteriores negocios jurídicos”.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desarrollar tales negocios jurídicos la Entidad Estatal sometida necesariamente debe adelantar un procedimiento de selección y suscribir un contrato elevado a escrito, lo que –en atención al artículo 56– deberá hacerlo aplicando documentos tipo y con sujeción al EGCAP. </w:t>
      </w:r>
    </w:p>
    <w:p w:rsidRPr="00366069" w:rsidR="00366069" w:rsidP="00366069" w:rsidRDefault="00366069" w14:paraId="3D1C9BDC" w14:textId="77777777">
      <w:pPr>
        <w:tabs>
          <w:tab w:val="left" w:pos="0"/>
        </w:tabs>
        <w:spacing w:after="0" w:line="240" w:lineRule="auto"/>
        <w:jc w:val="both"/>
        <w:rPr>
          <w:rFonts w:ascii="Century Gothic" w:hAnsi="Century Gothic" w:eastAsia="Calibri" w:cs="Arial"/>
          <w:bCs/>
          <w:kern w:val="2"/>
          <w:sz w:val="20"/>
          <w:szCs w:val="20"/>
          <w:lang w:val="es-ES_tradnl" w:eastAsia="es-ES_tradnl"/>
          <w14:ligatures w14:val="standardContextual"/>
        </w:rPr>
      </w:pPr>
    </w:p>
    <w:p w:rsidRPr="00366069" w:rsidR="00E508DF" w:rsidP="4362226D" w:rsidRDefault="00366069" w14:paraId="7DB50B4C" w14:textId="64160DCF" w14:noSpellErr="1">
      <w:pPr>
        <w:spacing w:after="0" w:line="240" w:lineRule="auto"/>
        <w:jc w:val="both"/>
        <w:rPr>
          <w:rFonts w:ascii="Century Gothic" w:hAnsi="Century Gothic" w:eastAsia="Calibri" w:cs="Arial"/>
          <w:kern w:val="2"/>
          <w:sz w:val="20"/>
          <w:szCs w:val="20"/>
          <w:lang w:val="es-ES" w:eastAsia="es-ES"/>
          <w14:ligatures w14:val="standardContextual"/>
        </w:rPr>
      </w:pPr>
      <w:r w:rsidRPr="4362226D" w:rsidR="00366069">
        <w:rPr>
          <w:rFonts w:ascii="Century Gothic" w:hAnsi="Century Gothic" w:eastAsia="Calibri" w:cs="Arial"/>
          <w:kern w:val="2"/>
          <w:sz w:val="20"/>
          <w:szCs w:val="20"/>
          <w:lang w:val="es-ES" w:eastAsia="es-ES"/>
          <w14:ligatures w14:val="standardContextua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r w:rsidRPr="4362226D" w:rsidR="00366069">
        <w:rPr>
          <w:rFonts w:ascii="Century Gothic" w:hAnsi="Century Gothic" w:eastAsia="Calibri" w:cs="Arial"/>
          <w:kern w:val="2"/>
          <w:sz w:val="20"/>
          <w:szCs w:val="20"/>
          <w:lang w:val="es-ES" w:eastAsia="es-ES"/>
          <w14:ligatures w14:val="standardContextual"/>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w:t>
      </w:r>
    </w:p>
    <w:p w:rsidRPr="00E508DF" w:rsidR="00366069" w:rsidP="00366069" w:rsidRDefault="00366069" w14:paraId="589FF036" w14:textId="77777777">
      <w:pPr>
        <w:tabs>
          <w:tab w:val="left" w:pos="0"/>
        </w:tabs>
        <w:spacing w:after="0" w:line="240" w:lineRule="auto"/>
        <w:jc w:val="both"/>
        <w:rPr>
          <w:rFonts w:ascii="Century Gothic" w:hAnsi="Century Gothic" w:eastAsia="Calibri" w:cs="Arial"/>
        </w:rPr>
      </w:pPr>
    </w:p>
    <w:p w:rsidRPr="00E508DF" w:rsidR="00E508DF" w:rsidP="00E508DF" w:rsidRDefault="00E508DF" w14:paraId="257F62F7" w14:textId="77777777">
      <w:pPr>
        <w:spacing w:after="0" w:line="240" w:lineRule="auto"/>
        <w:contextualSpacing/>
        <w:jc w:val="both"/>
        <w:rPr>
          <w:rFonts w:ascii="Century Gothic" w:hAnsi="Century Gothic" w:eastAsia="Aptos" w:cs="Arial"/>
          <w:b/>
          <w:bCs/>
          <w:iCs/>
          <w:kern w:val="2"/>
          <w:lang w:val="es-ES_tradnl"/>
          <w14:ligatures w14:val="standardContextual"/>
        </w:rPr>
      </w:pPr>
      <w:r w:rsidRPr="00E508DF">
        <w:rPr>
          <w:rFonts w:ascii="Century Gothic" w:hAnsi="Century Gothic" w:eastAsia="Aptos" w:cs="Arial"/>
          <w:b/>
          <w:bCs/>
          <w:iCs/>
          <w:kern w:val="2"/>
          <w:lang w:val="es-ES_tradnl"/>
          <w14:ligatures w14:val="standardContextual"/>
        </w:rPr>
        <w:t xml:space="preserve">DEBER DE PUBLICIDAD </w:t>
      </w:r>
      <w:r w:rsidRPr="00E508DF">
        <w:rPr>
          <w:rFonts w:ascii="Century Gothic" w:hAnsi="Century Gothic" w:eastAsia="Calibri" w:cs="Arial"/>
          <w:b/>
          <w:kern w:val="2"/>
          <w:lang w:val="es-ES_tradnl"/>
          <w14:ligatures w14:val="standardContextual"/>
        </w:rPr>
        <w:t>–</w:t>
      </w:r>
      <w:r w:rsidRPr="00E508DF">
        <w:rPr>
          <w:rFonts w:ascii="Century Gothic" w:hAnsi="Century Gothic" w:eastAsia="Aptos" w:cs="Arial"/>
          <w:b/>
          <w:bCs/>
          <w:iCs/>
          <w:kern w:val="2"/>
          <w:lang w:val="es-ES_tradnl"/>
          <w14:ligatures w14:val="standardContextual"/>
        </w:rPr>
        <w:t xml:space="preserve"> Entidades estatales exceptuadas del Estatuto General de Contratación de la Administración Pública</w:t>
      </w:r>
    </w:p>
    <w:p w:rsidRPr="000271E9" w:rsidR="00E508DF" w:rsidP="00E508DF" w:rsidRDefault="00E508DF" w14:paraId="2304570D" w14:textId="77777777">
      <w:pPr>
        <w:spacing w:after="0" w:line="240" w:lineRule="auto"/>
        <w:contextualSpacing/>
        <w:jc w:val="both"/>
        <w:rPr>
          <w:rFonts w:ascii="Century Gothic" w:hAnsi="Century Gothic" w:eastAsia="Aptos" w:cs="Arial"/>
          <w:b/>
          <w:bCs/>
          <w:iCs/>
          <w:kern w:val="2"/>
          <w:lang w:val="es-ES_tradnl"/>
          <w14:ligatures w14:val="standardContextual"/>
        </w:rPr>
      </w:pPr>
    </w:p>
    <w:p w:rsidRPr="00366069" w:rsidR="00366069" w:rsidP="000271E9" w:rsidRDefault="000271E9" w14:paraId="35D027A1" w14:textId="4C6E558E">
      <w:pPr>
        <w:spacing w:after="0" w:line="240" w:lineRule="auto"/>
        <w:jc w:val="both"/>
        <w:rPr>
          <w:rFonts w:ascii="Century Gothic" w:hAnsi="Century Gothic" w:eastAsia="Calibri" w:cs="Arial"/>
          <w:bCs/>
          <w:sz w:val="20"/>
          <w:szCs w:val="20"/>
          <w:lang w:val="es-MX"/>
        </w:rPr>
      </w:pPr>
      <w:r>
        <w:rPr>
          <w:rFonts w:ascii="Century Gothic" w:hAnsi="Century Gothic" w:eastAsia="Calibri" w:cs="Arial"/>
          <w:bCs/>
          <w:sz w:val="20"/>
          <w:szCs w:val="20"/>
          <w:lang w:val="es-MX"/>
        </w:rPr>
        <w:t xml:space="preserve">[…] </w:t>
      </w:r>
      <w:r w:rsidRPr="00366069" w:rsidR="00366069">
        <w:rPr>
          <w:rFonts w:ascii="Century Gothic" w:hAnsi="Century Gothic" w:eastAsia="Calibri" w:cs="Arial"/>
          <w:bCs/>
          <w:sz w:val="20"/>
          <w:szCs w:val="20"/>
          <w:lang w:val="es-MX"/>
        </w:rPr>
        <w:t>la Ley 1712 de 2014, “</w:t>
      </w:r>
      <w:r w:rsidRPr="00366069" w:rsidR="00366069">
        <w:rPr>
          <w:rFonts w:ascii="Century Gothic" w:hAnsi="Century Gothic" w:eastAsia="Calibri" w:cs="Arial"/>
          <w:sz w:val="20"/>
          <w:szCs w:val="20"/>
        </w:rPr>
        <w:t>P</w:t>
      </w:r>
      <w:r w:rsidRPr="00366069" w:rsidR="00366069">
        <w:rPr>
          <w:rFonts w:ascii="Century Gothic" w:hAnsi="Century Gothic" w:eastAsia="Times New Roman" w:cs="Arial"/>
          <w:sz w:val="20"/>
          <w:szCs w:val="20"/>
          <w:lang w:eastAsia="es-CO"/>
        </w:rPr>
        <w:t>or medio de la cual se crea la Ley de Transparencia y del Derecho de Acceso a la Información Pública Nacional y se dictan otras disposiciones</w:t>
      </w:r>
      <w:r w:rsidRPr="00366069" w:rsidR="00366069">
        <w:rPr>
          <w:rFonts w:ascii="Century Gothic" w:hAnsi="Century Gothic" w:eastAsia="Calibri" w:cs="Arial"/>
          <w:bCs/>
          <w:sz w:val="20"/>
          <w:szCs w:val="20"/>
          <w:lang w:val="es-MX"/>
        </w:rPr>
        <w:t xml:space="preserve">”, identifica como principios que orientan el derecho de acceso a la información pública, el principio de máxima publicidad, el principio de transparencia en la información y el principio de buena fe. El principio de </w:t>
      </w:r>
      <w:r w:rsidRPr="00366069" w:rsidR="00366069">
        <w:rPr>
          <w:rFonts w:ascii="Century Gothic" w:hAnsi="Century Gothic" w:eastAsia="Calibri" w:cs="Arial"/>
          <w:bCs/>
          <w:i/>
          <w:iCs/>
          <w:sz w:val="20"/>
          <w:szCs w:val="20"/>
          <w:lang w:val="es-MX"/>
        </w:rPr>
        <w:t>máxima publicidad</w:t>
      </w:r>
      <w:r w:rsidRPr="00366069" w:rsidR="00366069">
        <w:rPr>
          <w:rFonts w:ascii="Century Gothic" w:hAnsi="Century Gothic" w:eastAsia="Calibri" w:cs="Arial"/>
          <w:bCs/>
          <w:sz w:val="20"/>
          <w:szCs w:val="20"/>
          <w:lang w:val="es-MX"/>
        </w:rPr>
        <w:t xml:space="preserve"> establece que “toda información en posesión, bajo control o custodia de un sujeto obligado es pública y no podrá ser reservada o limitada sino por disposición constitucional o legal”. El </w:t>
      </w:r>
      <w:r w:rsidRPr="00366069" w:rsidR="00366069">
        <w:rPr>
          <w:rFonts w:ascii="Century Gothic" w:hAnsi="Century Gothic" w:eastAsia="Calibri" w:cs="Arial"/>
          <w:bCs/>
          <w:i/>
          <w:iCs/>
          <w:sz w:val="20"/>
          <w:szCs w:val="20"/>
          <w:lang w:val="es-MX"/>
        </w:rPr>
        <w:t>principio de transparencia</w:t>
      </w:r>
      <w:r w:rsidRPr="00366069" w:rsidR="00366069">
        <w:rPr>
          <w:rFonts w:ascii="Century Gothic" w:hAnsi="Century Gothic" w:eastAsia="Calibri" w:cs="Arial"/>
          <w:bCs/>
          <w:sz w:val="20"/>
          <w:szCs w:val="20"/>
          <w:lang w:val="es-MX"/>
        </w:rPr>
        <w:t xml:space="preserve"> en la información alude al deber de los sujetos de proporcionar y facilitar el acceso a la misma en los términos más amplios posibles, a través de los medios y procedimientos legales. Y el </w:t>
      </w:r>
      <w:r w:rsidRPr="00366069" w:rsidR="00366069">
        <w:rPr>
          <w:rFonts w:ascii="Century Gothic" w:hAnsi="Century Gothic" w:eastAsia="Calibri" w:cs="Arial"/>
          <w:bCs/>
          <w:i/>
          <w:iCs/>
          <w:sz w:val="20"/>
          <w:szCs w:val="20"/>
          <w:lang w:val="es-MX"/>
        </w:rPr>
        <w:t>principio de buena fe</w:t>
      </w:r>
      <w:r w:rsidRPr="00366069" w:rsidR="00366069">
        <w:rPr>
          <w:rFonts w:ascii="Century Gothic" w:hAnsi="Century Gothic" w:eastAsia="Calibri" w:cs="Arial"/>
          <w:bCs/>
          <w:sz w:val="20"/>
          <w:szCs w:val="20"/>
          <w:lang w:val="es-MX"/>
        </w:rPr>
        <w:t xml:space="preserve"> hace referencia al deber de todo sujeto obligado de cumplir con las obligaciones derivadas del derecho de acceso a la información pública con motivación honesta, leal y desprovista de cualquier intención dolosa o culposa. </w:t>
      </w:r>
    </w:p>
    <w:p w:rsidR="000271E9" w:rsidP="000271E9" w:rsidRDefault="000271E9" w14:paraId="43C6B18E" w14:textId="77777777">
      <w:pPr>
        <w:spacing w:after="0" w:line="240" w:lineRule="auto"/>
        <w:jc w:val="both"/>
        <w:rPr>
          <w:rFonts w:ascii="Century Gothic" w:hAnsi="Century Gothic" w:eastAsia="Calibri" w:cs="Arial"/>
          <w:bCs/>
          <w:sz w:val="20"/>
          <w:szCs w:val="20"/>
          <w:lang w:val="es-MX"/>
        </w:rPr>
      </w:pPr>
    </w:p>
    <w:p w:rsidRPr="00366069" w:rsidR="00E508DF" w:rsidP="000271E9" w:rsidRDefault="00366069" w14:paraId="50A3A986" w14:textId="32CA6EBE">
      <w:pPr>
        <w:spacing w:after="0" w:line="240" w:lineRule="auto"/>
        <w:jc w:val="both"/>
        <w:rPr>
          <w:rFonts w:ascii="Century Gothic" w:hAnsi="Century Gothic" w:eastAsia="Times New Roman" w:cs="Arial"/>
          <w:sz w:val="20"/>
          <w:szCs w:val="20"/>
          <w:lang w:eastAsia="es-CO"/>
        </w:rPr>
      </w:pPr>
      <w:r w:rsidRPr="00366069">
        <w:rPr>
          <w:rFonts w:ascii="Century Gothic" w:hAnsi="Century Gothic" w:eastAsia="Calibri" w:cs="Arial"/>
          <w:bCs/>
          <w:sz w:val="20"/>
          <w:szCs w:val="20"/>
          <w:lang w:val="es-MX"/>
        </w:rPr>
        <w:t xml:space="preserve">La citada Ley establece, en el literal e) del artículo 9, que los </w:t>
      </w:r>
      <w:r w:rsidRPr="00366069">
        <w:rPr>
          <w:rFonts w:ascii="Century Gothic" w:hAnsi="Century Gothic" w:eastAsia="Calibri" w:cs="Arial"/>
          <w:bCs/>
          <w:i/>
          <w:iCs/>
          <w:sz w:val="20"/>
          <w:szCs w:val="20"/>
          <w:lang w:val="es-MX"/>
        </w:rPr>
        <w:t>sujetos obligados</w:t>
      </w:r>
      <w:r w:rsidRPr="00366069">
        <w:rPr>
          <w:rFonts w:ascii="Century Gothic" w:hAnsi="Century Gothic" w:eastAsia="Calibri" w:cs="Arial"/>
          <w:bCs/>
          <w:sz w:val="20"/>
          <w:szCs w:val="20"/>
          <w:lang w:val="es-MX"/>
        </w:rPr>
        <w:t xml:space="preserve"> deben publicar la información relativa a su contratación. El artículo 5 ibidem, al describir qué se entiende por sujetos obligados, consagra una lista cuyo propósito es incluir a cualquier entidad, órgano, organismo, o persona natural que desempeñe funciones públicas o administre recursos públicos. </w:t>
      </w:r>
      <w:r w:rsidRPr="00366069">
        <w:rPr>
          <w:rFonts w:ascii="Century Gothic" w:hAnsi="Century Gothic" w:eastAsia="Arial MT" w:cs="Arial"/>
          <w:sz w:val="20"/>
          <w:szCs w:val="20"/>
          <w:lang w:val="es-ES"/>
        </w:rPr>
        <w:t>Igualmente, establece que son sujetos obligados las empresas públicas, las empresas del Estado y las sociedades en las que el Estado tenga participación, sin que importe su monto.</w:t>
      </w:r>
      <w:r w:rsidRPr="00366069">
        <w:rPr>
          <w:rFonts w:ascii="Century Gothic" w:hAnsi="Century Gothic" w:eastAsia="Times New Roman" w:cs="Arial"/>
          <w:sz w:val="20"/>
          <w:szCs w:val="20"/>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r w:rsidRPr="00366069" w:rsidR="00E508DF">
        <w:rPr>
          <w:rFonts w:ascii="Century Gothic" w:hAnsi="Century Gothic" w:eastAsia="Arial MT" w:cs="Arial"/>
          <w:kern w:val="2"/>
          <w:sz w:val="20"/>
          <w:szCs w:val="20"/>
          <w:lang w:val="es-ES"/>
          <w14:ligatures w14:val="standardContextual"/>
        </w:rPr>
        <w:t xml:space="preserve">. </w:t>
      </w:r>
    </w:p>
    <w:p w:rsidRPr="000271E9" w:rsidR="00E508DF" w:rsidP="00E508DF" w:rsidRDefault="00E508DF" w14:paraId="31AB6C9F" w14:textId="77777777">
      <w:pPr>
        <w:spacing w:after="0" w:line="240" w:lineRule="auto"/>
        <w:contextualSpacing/>
        <w:jc w:val="both"/>
        <w:rPr>
          <w:rFonts w:ascii="Century Gothic" w:hAnsi="Century Gothic" w:eastAsia="Times New Roman" w:cs="Arial"/>
          <w:kern w:val="2"/>
          <w:lang w:val="es-ES_tradnl" w:eastAsia="es-CO"/>
          <w14:ligatures w14:val="standardContextual"/>
        </w:rPr>
      </w:pPr>
    </w:p>
    <w:p w:rsidRPr="00E508DF" w:rsidR="00E508DF" w:rsidP="00E508DF" w:rsidRDefault="00E508DF" w14:paraId="1872DBAB" w14:textId="77777777">
      <w:pPr>
        <w:spacing w:after="0" w:line="240" w:lineRule="auto"/>
        <w:contextualSpacing/>
        <w:jc w:val="both"/>
        <w:rPr>
          <w:rFonts w:ascii="Century Gothic" w:hAnsi="Century Gothic" w:eastAsia="Aptos" w:cs="Arial"/>
          <w:b/>
          <w:bCs/>
          <w:iCs/>
          <w:kern w:val="2"/>
          <w:lang w:val="es-ES_tradnl"/>
          <w14:ligatures w14:val="standardContextual"/>
        </w:rPr>
      </w:pPr>
      <w:r w:rsidRPr="00E508DF">
        <w:rPr>
          <w:rFonts w:ascii="Century Gothic" w:hAnsi="Century Gothic" w:eastAsia="Aptos" w:cs="Arial"/>
          <w:b/>
          <w:bCs/>
          <w:iCs/>
          <w:kern w:val="2"/>
          <w:lang w:val="es-ES_tradnl"/>
          <w14:ligatures w14:val="standardContextual"/>
        </w:rPr>
        <w:t xml:space="preserve">SECOP II </w:t>
      </w:r>
      <w:r w:rsidRPr="00E508DF">
        <w:rPr>
          <w:rFonts w:ascii="Century Gothic" w:hAnsi="Century Gothic" w:eastAsia="Calibri" w:cs="Arial"/>
          <w:b/>
          <w:kern w:val="2"/>
          <w:lang w:val="es-ES_tradnl"/>
          <w14:ligatures w14:val="standardContextual"/>
        </w:rPr>
        <w:t>–</w:t>
      </w:r>
      <w:r w:rsidRPr="00E508DF">
        <w:rPr>
          <w:rFonts w:ascii="Century Gothic" w:hAnsi="Century Gothic" w:eastAsia="Aptos" w:cs="Arial"/>
          <w:b/>
          <w:bCs/>
          <w:iCs/>
          <w:kern w:val="2"/>
          <w:lang w:val="es-ES_tradnl"/>
          <w14:ligatures w14:val="standardContextual"/>
        </w:rPr>
        <w:t xml:space="preserve"> Deber de publicidad </w:t>
      </w:r>
      <w:r w:rsidRPr="00E508DF">
        <w:rPr>
          <w:rFonts w:ascii="Century Gothic" w:hAnsi="Century Gothic" w:eastAsia="Calibri" w:cs="Arial"/>
          <w:b/>
          <w:kern w:val="2"/>
          <w:lang w:val="es-ES_tradnl"/>
          <w14:ligatures w14:val="standardContextual"/>
        </w:rPr>
        <w:t>–</w:t>
      </w:r>
      <w:r w:rsidRPr="00E508DF">
        <w:rPr>
          <w:rFonts w:ascii="Century Gothic" w:hAnsi="Century Gothic" w:eastAsia="Aptos" w:cs="Arial"/>
          <w:b/>
          <w:bCs/>
          <w:iCs/>
          <w:kern w:val="2"/>
          <w:lang w:val="es-ES_tradnl"/>
          <w14:ligatures w14:val="standardContextual"/>
        </w:rPr>
        <w:t xml:space="preserve"> Entidades estatales exceptuadas del Estatuto General de Contratación de la Administración Pública – Modificación artículo 53 de la Ley 2195 de 2022</w:t>
      </w:r>
    </w:p>
    <w:p w:rsidRPr="000271E9" w:rsidR="00E508DF" w:rsidP="00E508DF" w:rsidRDefault="00E508DF" w14:paraId="0961E2AD" w14:textId="77777777">
      <w:pPr>
        <w:spacing w:after="0" w:line="240" w:lineRule="auto"/>
        <w:contextualSpacing/>
        <w:jc w:val="both"/>
        <w:rPr>
          <w:rFonts w:ascii="Century Gothic" w:hAnsi="Century Gothic" w:eastAsia="Aptos" w:cs="Arial"/>
          <w:b/>
          <w:bCs/>
          <w:iCs/>
          <w:kern w:val="2"/>
          <w:lang w:val="es-ES_tradnl"/>
          <w14:ligatures w14:val="standardContextual"/>
        </w:rPr>
      </w:pPr>
    </w:p>
    <w:p w:rsidRPr="000271E9" w:rsidR="000271E9" w:rsidP="000271E9" w:rsidRDefault="000271E9" w14:paraId="3455F0B9" w14:textId="75A488EF">
      <w:pPr>
        <w:spacing w:after="0" w:line="240" w:lineRule="auto"/>
        <w:contextualSpacing/>
        <w:jc w:val="both"/>
        <w:rPr>
          <w:rFonts w:ascii="Century Gothic" w:hAnsi="Century Gothic" w:eastAsia="Calibri" w:cs="Arial"/>
          <w:bCs/>
          <w:sz w:val="20"/>
          <w:szCs w:val="20"/>
          <w:lang w:val="es-MX"/>
        </w:rPr>
      </w:pPr>
      <w:r w:rsidRPr="000271E9">
        <w:rPr>
          <w:rFonts w:ascii="Century Gothic" w:hAnsi="Century Gothic" w:eastAsia="Calibri" w:cs="Arial"/>
          <w:bCs/>
          <w:sz w:val="20"/>
          <w:szCs w:val="20"/>
          <w:lang w:val="es-MX"/>
        </w:rPr>
        <w:t xml:space="preserve">Las anteriores disposiciones normativas fueron complementadas con la expedición de 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w:t>
      </w:r>
      <w:r w:rsidRPr="000271E9">
        <w:rPr>
          <w:rFonts w:ascii="Century Gothic" w:hAnsi="Century Gothic" w:eastAsia="Calibri" w:cs="Arial"/>
          <w:bCs/>
          <w:sz w:val="20"/>
          <w:szCs w:val="20"/>
          <w:lang w:val="es-MX"/>
        </w:rPr>
        <w:t>plataforma transaccional que haga sus veces. Al respecto, la norma citada, de manera expresa, señala:</w:t>
      </w:r>
      <w:r w:rsidRPr="000271E9">
        <w:rPr>
          <w:rFonts w:ascii="Century Gothic" w:hAnsi="Century Gothic" w:eastAsia="Calibri" w:cs="Arial"/>
          <w:bCs/>
          <w:sz w:val="20"/>
          <w:szCs w:val="20"/>
          <w:lang w:val="es-MX"/>
        </w:rPr>
        <w:t xml:space="preserve"> […]</w:t>
      </w:r>
    </w:p>
    <w:p w:rsidRPr="000271E9" w:rsidR="00E508DF" w:rsidP="000271E9" w:rsidRDefault="00E508DF" w14:paraId="0B41B921" w14:textId="6000AE70">
      <w:pPr>
        <w:spacing w:after="0" w:line="240" w:lineRule="auto"/>
        <w:contextualSpacing/>
        <w:jc w:val="both"/>
        <w:rPr>
          <w:rFonts w:ascii="Century Gothic" w:hAnsi="Century Gothic" w:eastAsia="Aptos" w:cs="Arial"/>
          <w:kern w:val="2"/>
          <w:sz w:val="20"/>
          <w:szCs w:val="20"/>
          <w:lang w:val="es-ES"/>
          <w14:ligatures w14:val="standardContextual"/>
        </w:rPr>
      </w:pPr>
    </w:p>
    <w:p w:rsidRPr="000271E9" w:rsidR="00E508DF" w:rsidP="000271E9" w:rsidRDefault="00E508DF" w14:paraId="7367D5E4" w14:textId="77777777">
      <w:pPr>
        <w:spacing w:after="0" w:line="240" w:lineRule="auto"/>
        <w:rPr>
          <w:rFonts w:ascii="Century Gothic" w:hAnsi="Century Gothic" w:eastAsia="Calibri" w:cs="Arial"/>
          <w:sz w:val="20"/>
          <w:szCs w:val="20"/>
        </w:rPr>
      </w:pPr>
    </w:p>
    <w:p w:rsidRPr="00E508DF" w:rsidR="00E508DF" w:rsidP="00E508DF" w:rsidRDefault="00E508DF" w14:paraId="718580CA" w14:textId="77777777">
      <w:pPr>
        <w:spacing w:after="0"/>
        <w:rPr>
          <w:rFonts w:ascii="Century Gothic" w:hAnsi="Century Gothic" w:eastAsia="Calibri" w:cs="Arial"/>
        </w:rPr>
      </w:pPr>
    </w:p>
    <w:p w:rsidRPr="00E508DF" w:rsidR="00E508DF" w:rsidP="00E508DF" w:rsidRDefault="00E508DF" w14:paraId="29AAB40E" w14:textId="77777777">
      <w:pPr>
        <w:spacing w:after="0"/>
        <w:rPr>
          <w:rFonts w:ascii="Century Gothic" w:hAnsi="Century Gothic" w:eastAsia="Calibri" w:cs="Arial"/>
        </w:rPr>
      </w:pPr>
    </w:p>
    <w:p w:rsidRPr="00E508DF" w:rsidR="00E508DF" w:rsidP="00E508DF" w:rsidRDefault="00E508DF" w14:paraId="14CA3B81" w14:textId="77777777">
      <w:pPr>
        <w:spacing w:after="0"/>
        <w:rPr>
          <w:rFonts w:ascii="Century Gothic" w:hAnsi="Century Gothic" w:eastAsia="Calibri" w:cs="Arial"/>
        </w:rPr>
      </w:pPr>
    </w:p>
    <w:p w:rsidRPr="00E508DF" w:rsidR="00E508DF" w:rsidP="00E508DF" w:rsidRDefault="00E508DF" w14:paraId="2D59831B" w14:textId="77777777">
      <w:pPr>
        <w:spacing w:after="0"/>
        <w:rPr>
          <w:rFonts w:ascii="Century Gothic" w:hAnsi="Century Gothic" w:eastAsia="Calibri" w:cs="Arial"/>
        </w:rPr>
      </w:pPr>
    </w:p>
    <w:p w:rsidRPr="00E508DF" w:rsidR="00E508DF" w:rsidP="00E508DF" w:rsidRDefault="00E508DF" w14:paraId="5E0761F9" w14:textId="77777777">
      <w:pPr>
        <w:rPr>
          <w:rFonts w:ascii="Century Gothic" w:hAnsi="Century Gothic" w:eastAsia="Calibri" w:cs="Times New Roman"/>
        </w:rPr>
      </w:pPr>
    </w:p>
    <w:p w:rsidRPr="00E508DF" w:rsidR="00E508DF" w:rsidP="00E508DF" w:rsidRDefault="00E508DF" w14:paraId="5C466C04" w14:textId="77777777">
      <w:pPr>
        <w:rPr>
          <w:rFonts w:ascii="Century Gothic" w:hAnsi="Century Gothic" w:eastAsia="Calibri" w:cs="Times New Roman"/>
        </w:rPr>
      </w:pPr>
    </w:p>
    <w:p w:rsidRPr="00E508DF" w:rsidR="00E508DF" w:rsidP="00E508DF" w:rsidRDefault="00E508DF" w14:paraId="14AAB823" w14:textId="77777777">
      <w:pPr>
        <w:rPr>
          <w:rFonts w:ascii="Century Gothic" w:hAnsi="Century Gothic" w:eastAsia="Calibri" w:cs="Times New Roman"/>
        </w:rPr>
      </w:pPr>
    </w:p>
    <w:p w:rsidRPr="00E508DF" w:rsidR="00E508DF" w:rsidP="00E508DF" w:rsidRDefault="00E508DF" w14:paraId="7466D2A8" w14:textId="77777777">
      <w:pPr>
        <w:rPr>
          <w:rFonts w:ascii="Century Gothic" w:hAnsi="Century Gothic" w:eastAsia="Calibri" w:cs="Times New Roman"/>
        </w:rPr>
      </w:pPr>
    </w:p>
    <w:p w:rsidRPr="00E508DF" w:rsidR="00E508DF" w:rsidP="00E508DF" w:rsidRDefault="00E508DF" w14:paraId="27AC5CDC" w14:textId="77777777">
      <w:pPr>
        <w:rPr>
          <w:rFonts w:ascii="Century Gothic" w:hAnsi="Century Gothic" w:eastAsia="Calibri" w:cs="Times New Roman"/>
        </w:rPr>
      </w:pPr>
    </w:p>
    <w:p w:rsidRPr="00E508DF" w:rsidR="00E508DF" w:rsidP="00E508DF" w:rsidRDefault="00E508DF" w14:paraId="1A733812" w14:textId="77777777">
      <w:pPr>
        <w:rPr>
          <w:rFonts w:ascii="Century Gothic" w:hAnsi="Century Gothic" w:eastAsia="Calibri" w:cs="Times New Roman"/>
        </w:rPr>
      </w:pPr>
    </w:p>
    <w:p w:rsidRPr="00E508DF" w:rsidR="00E508DF" w:rsidP="00E508DF" w:rsidRDefault="00E508DF" w14:paraId="513ABD57" w14:textId="77777777">
      <w:pPr>
        <w:rPr>
          <w:rFonts w:ascii="Century Gothic" w:hAnsi="Century Gothic" w:eastAsia="Calibri" w:cs="Times New Roman"/>
        </w:rPr>
      </w:pPr>
    </w:p>
    <w:p w:rsidRPr="00E508DF" w:rsidR="00E508DF" w:rsidP="00E508DF" w:rsidRDefault="00E508DF" w14:paraId="557E924A" w14:textId="77777777">
      <w:pPr>
        <w:rPr>
          <w:rFonts w:ascii="Century Gothic" w:hAnsi="Century Gothic" w:eastAsia="Calibri" w:cs="Times New Roman"/>
        </w:rPr>
      </w:pPr>
    </w:p>
    <w:p w:rsidRPr="00E508DF" w:rsidR="00E508DF" w:rsidP="00E508DF" w:rsidRDefault="00E508DF" w14:paraId="73BEF8FF" w14:textId="77777777">
      <w:pPr>
        <w:rPr>
          <w:rFonts w:ascii="Century Gothic" w:hAnsi="Century Gothic" w:eastAsia="Calibri" w:cs="Times New Roman"/>
        </w:rPr>
      </w:pPr>
    </w:p>
    <w:p w:rsidR="00E508DF" w:rsidP="00E508DF" w:rsidRDefault="00E508DF" w14:paraId="00633FDC" w14:textId="77777777">
      <w:pPr>
        <w:rPr>
          <w:rFonts w:ascii="Century Gothic" w:hAnsi="Century Gothic" w:eastAsia="Calibri" w:cs="Times New Roman"/>
        </w:rPr>
      </w:pPr>
    </w:p>
    <w:p w:rsidR="000271E9" w:rsidP="00E508DF" w:rsidRDefault="000271E9" w14:paraId="7C62F159" w14:textId="77777777">
      <w:pPr>
        <w:rPr>
          <w:rFonts w:ascii="Century Gothic" w:hAnsi="Century Gothic" w:eastAsia="Calibri" w:cs="Times New Roman"/>
        </w:rPr>
      </w:pPr>
    </w:p>
    <w:p w:rsidR="000271E9" w:rsidP="00E508DF" w:rsidRDefault="000271E9" w14:paraId="61382EC2" w14:textId="77777777">
      <w:pPr>
        <w:rPr>
          <w:rFonts w:ascii="Century Gothic" w:hAnsi="Century Gothic" w:eastAsia="Calibri" w:cs="Times New Roman"/>
        </w:rPr>
      </w:pPr>
    </w:p>
    <w:p w:rsidR="000271E9" w:rsidP="00E508DF" w:rsidRDefault="000271E9" w14:paraId="56D7A7C8" w14:textId="77777777">
      <w:pPr>
        <w:rPr>
          <w:rFonts w:ascii="Century Gothic" w:hAnsi="Century Gothic" w:eastAsia="Calibri" w:cs="Times New Roman"/>
        </w:rPr>
      </w:pPr>
    </w:p>
    <w:p w:rsidR="000271E9" w:rsidP="00E508DF" w:rsidRDefault="000271E9" w14:paraId="555FECD2" w14:textId="77777777">
      <w:pPr>
        <w:rPr>
          <w:rFonts w:ascii="Century Gothic" w:hAnsi="Century Gothic" w:eastAsia="Calibri" w:cs="Times New Roman"/>
        </w:rPr>
      </w:pPr>
    </w:p>
    <w:p w:rsidR="000271E9" w:rsidP="00E508DF" w:rsidRDefault="000271E9" w14:paraId="0011298E" w14:textId="77777777">
      <w:pPr>
        <w:rPr>
          <w:rFonts w:ascii="Century Gothic" w:hAnsi="Century Gothic" w:eastAsia="Calibri" w:cs="Times New Roman"/>
        </w:rPr>
      </w:pPr>
    </w:p>
    <w:p w:rsidR="000271E9" w:rsidP="00E508DF" w:rsidRDefault="000271E9" w14:paraId="518FD5AD" w14:textId="77777777">
      <w:pPr>
        <w:rPr>
          <w:rFonts w:ascii="Century Gothic" w:hAnsi="Century Gothic" w:eastAsia="Calibri" w:cs="Times New Roman"/>
        </w:rPr>
      </w:pPr>
    </w:p>
    <w:p w:rsidR="000271E9" w:rsidP="00E508DF" w:rsidRDefault="000271E9" w14:paraId="5DE4A736" w14:textId="77777777">
      <w:pPr>
        <w:rPr>
          <w:rFonts w:ascii="Century Gothic" w:hAnsi="Century Gothic" w:eastAsia="Calibri" w:cs="Times New Roman"/>
        </w:rPr>
      </w:pPr>
    </w:p>
    <w:p w:rsidR="000271E9" w:rsidP="00E508DF" w:rsidRDefault="000271E9" w14:paraId="32E6D169" w14:textId="77777777">
      <w:pPr>
        <w:rPr>
          <w:rFonts w:ascii="Century Gothic" w:hAnsi="Century Gothic" w:eastAsia="Calibri" w:cs="Times New Roman"/>
        </w:rPr>
      </w:pPr>
    </w:p>
    <w:p w:rsidRPr="00E508DF" w:rsidR="000271E9" w:rsidP="00E508DF" w:rsidRDefault="000271E9" w14:paraId="0225849E" w14:textId="77777777">
      <w:pPr>
        <w:rPr>
          <w:rFonts w:ascii="Century Gothic" w:hAnsi="Century Gothic" w:eastAsia="Calibri" w:cs="Times New Roman"/>
        </w:rPr>
      </w:pPr>
    </w:p>
    <w:p w:rsidR="00E508DF" w:rsidP="00E508DF" w:rsidRDefault="00E508DF" w14:paraId="5CC4AABF" w14:textId="77777777">
      <w:pPr>
        <w:spacing w:after="0"/>
        <w:rPr>
          <w:rFonts w:ascii="Century Gothic" w:hAnsi="Century Gothic"/>
          <w:lang w:val="es-MX"/>
        </w:rPr>
      </w:pPr>
      <w:r w:rsidRPr="687B05C8">
        <w:rPr>
          <w:rFonts w:ascii="Century Gothic" w:hAnsi="Century Gothic"/>
        </w:rPr>
        <w:t>Bogotá D.C., [Día] [</w:t>
      </w:r>
      <w:proofErr w:type="spellStart"/>
      <w:r w:rsidRPr="687B05C8">
        <w:rPr>
          <w:rFonts w:ascii="Century Gothic" w:hAnsi="Century Gothic"/>
        </w:rPr>
        <w:t>Mes.NombreCapitalizado</w:t>
      </w:r>
      <w:proofErr w:type="spellEnd"/>
      <w:r w:rsidRPr="687B05C8">
        <w:rPr>
          <w:rFonts w:ascii="Century Gothic" w:hAnsi="Century Gothic"/>
        </w:rPr>
        <w:t>] [Año]</w:t>
      </w:r>
    </w:p>
    <w:p w:rsidR="00A8034D" w:rsidP="00E508DF" w:rsidRDefault="00A8034D" w14:paraId="57CB1575" w14:textId="77777777">
      <w:pPr>
        <w:spacing w:after="0"/>
        <w:jc w:val="right"/>
        <w:rPr>
          <w:rFonts w:ascii="Century Gothic" w:hAnsi="Century Gothic" w:eastAsia="Calibri" w:cs="Arial"/>
        </w:rPr>
      </w:pPr>
    </w:p>
    <w:p w:rsidRPr="00E508DF" w:rsidR="00E508DF" w:rsidP="00A8034D" w:rsidRDefault="00E508DF" w14:paraId="57928D86" w14:textId="46C8E462">
      <w:pPr>
        <w:spacing w:after="0"/>
        <w:jc w:val="right"/>
        <w:rPr>
          <w:rFonts w:ascii="Century Gothic" w:hAnsi="Century Gothic" w:eastAsia="Calibri" w:cs="Arial"/>
        </w:rPr>
      </w:pPr>
      <w:r w:rsidRPr="00E508DF">
        <w:rPr>
          <w:rFonts w:ascii="Century Gothic" w:hAnsi="Century Gothic" w:eastAsia="Calibri" w:cs="Arial"/>
        </w:rPr>
        <w:tab/>
      </w:r>
      <w:bookmarkStart w:name="_Hlk94281581" w:id="1"/>
      <w:bookmarkStart w:name="_Hlk102489058" w:id="2"/>
      <w:bookmarkStart w:name="_Hlk34951122" w:id="3"/>
      <w:r w:rsidR="00A8034D">
        <w:rPr>
          <w:rFonts w:ascii="Century Gothic" w:hAnsi="Century Gothic" w:eastAsia="Calibri" w:cs="Arial"/>
          <w:noProof/>
        </w:rPr>
        <w:drawing>
          <wp:inline distT="0" distB="0" distL="0" distR="0" wp14:anchorId="23EE6D07" wp14:editId="0CD96ED4">
            <wp:extent cx="2815991" cy="823136"/>
            <wp:effectExtent l="0" t="0" r="3810" b="0"/>
            <wp:docPr id="1190371887"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71887" name="Imagen 1" descr="Interfaz de usuario gráfica, Texto, Aplicación, Chat o mensaje d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36108" cy="829016"/>
                    </a:xfrm>
                    <a:prstGeom prst="rect">
                      <a:avLst/>
                    </a:prstGeom>
                  </pic:spPr>
                </pic:pic>
              </a:graphicData>
            </a:graphic>
          </wp:inline>
        </w:drawing>
      </w:r>
    </w:p>
    <w:p w:rsidRPr="00E508DF" w:rsidR="00E508DF" w:rsidP="00E508DF" w:rsidRDefault="00E508DF" w14:paraId="2C4C22CD" w14:textId="77777777">
      <w:pPr>
        <w:spacing w:after="0"/>
        <w:rPr>
          <w:rFonts w:ascii="Century Gothic" w:hAnsi="Century Gothic" w:eastAsia="Calibri" w:cs="Arial"/>
        </w:rPr>
      </w:pPr>
      <w:r w:rsidRPr="00E508DF">
        <w:rPr>
          <w:rFonts w:ascii="Century Gothic" w:hAnsi="Century Gothic" w:eastAsia="Calibri" w:cs="Arial"/>
        </w:rPr>
        <w:t>Señor</w:t>
      </w:r>
    </w:p>
    <w:p w:rsidRPr="00E508DF" w:rsidR="00E508DF" w:rsidP="00E508DF" w:rsidRDefault="00E508DF" w14:paraId="7FDFD322" w14:textId="77777777">
      <w:pPr>
        <w:spacing w:after="0"/>
        <w:rPr>
          <w:rFonts w:ascii="Century Gothic" w:hAnsi="Century Gothic" w:eastAsia="Calibri" w:cs="Arial"/>
          <w:b/>
          <w:bCs/>
        </w:rPr>
      </w:pPr>
      <w:r w:rsidRPr="00E508DF">
        <w:rPr>
          <w:rFonts w:ascii="Century Gothic" w:hAnsi="Century Gothic" w:eastAsia="Calibri" w:cs="Arial"/>
          <w:b/>
          <w:bCs/>
        </w:rPr>
        <w:t>Darío Revelo Gómez</w:t>
      </w:r>
    </w:p>
    <w:p w:rsidRPr="00E508DF" w:rsidR="00E508DF" w:rsidP="00E508DF" w:rsidRDefault="00E508DF" w14:paraId="48B3B630" w14:textId="77777777">
      <w:pPr>
        <w:spacing w:after="0"/>
        <w:rPr>
          <w:rFonts w:ascii="Century Gothic" w:hAnsi="Century Gothic" w:eastAsia="Calibri" w:cs="Arial"/>
        </w:rPr>
      </w:pPr>
      <w:r w:rsidRPr="00E508DF">
        <w:rPr>
          <w:rFonts w:ascii="Century Gothic" w:hAnsi="Century Gothic" w:eastAsia="Calibri" w:cs="Arial"/>
        </w:rPr>
        <w:t>Mocoa, Putumayo</w:t>
      </w:r>
    </w:p>
    <w:p w:rsidRPr="00E508DF" w:rsidR="00E508DF" w:rsidP="00E508DF" w:rsidRDefault="00E508DF" w14:paraId="31612C93" w14:textId="77777777">
      <w:pPr>
        <w:spacing w:after="0"/>
        <w:rPr>
          <w:rFonts w:ascii="Century Gothic" w:hAnsi="Century Gothic" w:eastAsia="Calibri" w:cs="Arial"/>
        </w:rPr>
      </w:pPr>
    </w:p>
    <w:p w:rsidRPr="00E508DF" w:rsidR="00E508DF" w:rsidP="00E508DF" w:rsidRDefault="00E508DF" w14:paraId="77F7D4C5" w14:textId="77777777">
      <w:pPr>
        <w:shd w:val="clear" w:color="auto" w:fill="FFFFFF"/>
        <w:ind w:left="2124" w:firstLine="570"/>
        <w:contextualSpacing/>
        <w:rPr>
          <w:rFonts w:ascii="Century Gothic" w:hAnsi="Century Gothic" w:eastAsia="Calibri" w:cs="Arial"/>
          <w:b/>
          <w:bCs/>
          <w:lang w:val="es-ES_tradnl" w:eastAsia="es-ES_tradnl"/>
        </w:rPr>
      </w:pPr>
      <w:r w:rsidRPr="00E508DF">
        <w:rPr>
          <w:rFonts w:ascii="Century Gothic" w:hAnsi="Century Gothic" w:eastAsia="Calibri" w:cs="Arial"/>
          <w:b/>
          <w:bCs/>
          <w:lang w:val="es-ES_tradnl" w:eastAsia="es-ES_tradnl"/>
        </w:rPr>
        <w:t>Concepto C – 055 de 2024</w:t>
      </w:r>
    </w:p>
    <w:p w:rsidRPr="00E508DF" w:rsidR="00E508DF" w:rsidP="00E508DF" w:rsidRDefault="00E508DF" w14:paraId="79AA93CE" w14:textId="77777777">
      <w:pPr>
        <w:shd w:val="clear" w:color="auto" w:fill="FFFFFF"/>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508DF" w:rsidR="00E508DF" w:rsidTr="0019155F" w14:paraId="0EE08112" w14:textId="77777777">
        <w:tc>
          <w:tcPr>
            <w:tcW w:w="2689" w:type="dxa"/>
          </w:tcPr>
          <w:p w:rsidRPr="00E508DF" w:rsidR="00E508DF" w:rsidP="00E508DF" w:rsidRDefault="00E508DF" w14:paraId="1FF54AFC" w14:textId="77777777">
            <w:pPr>
              <w:shd w:val="clear" w:color="auto" w:fill="FFFFFF"/>
              <w:contextualSpacing/>
              <w:jc w:val="both"/>
              <w:rPr>
                <w:rFonts w:ascii="Century Gothic" w:hAnsi="Century Gothic" w:eastAsia="Calibri" w:cs="Arial"/>
                <w:lang w:val="es-ES_tradnl" w:eastAsia="es-ES_tradnl"/>
              </w:rPr>
            </w:pPr>
            <w:r w:rsidRPr="00E508DF">
              <w:rPr>
                <w:rFonts w:ascii="Century Gothic" w:hAnsi="Century Gothic" w:eastAsia="Calibri" w:cs="Arial"/>
                <w:b/>
                <w:lang w:val="es-ES_tradnl" w:eastAsia="es-ES_tradnl"/>
              </w:rPr>
              <w:t>Temas:</w:t>
            </w:r>
            <w:r w:rsidRPr="00E508DF">
              <w:rPr>
                <w:rFonts w:ascii="Century Gothic" w:hAnsi="Century Gothic" w:eastAsia="Calibri" w:cs="Arial"/>
                <w:lang w:val="es-ES_tradnl" w:eastAsia="es-ES_tradnl"/>
              </w:rPr>
              <w:t xml:space="preserve">                                      </w:t>
            </w:r>
          </w:p>
        </w:tc>
        <w:tc>
          <w:tcPr>
            <w:tcW w:w="6237" w:type="dxa"/>
          </w:tcPr>
          <w:p w:rsidRPr="00E508DF" w:rsidR="00E508DF" w:rsidP="00E508DF" w:rsidRDefault="00E508DF" w14:paraId="204A76D9" w14:textId="77777777">
            <w:pPr>
              <w:shd w:val="clear" w:color="auto" w:fill="FFFFFF"/>
              <w:spacing w:after="120"/>
              <w:contextualSpacing/>
              <w:jc w:val="both"/>
              <w:rPr>
                <w:rFonts w:ascii="Century Gothic" w:hAnsi="Century Gothic" w:eastAsia="Calibri" w:cs="Arial"/>
                <w:bCs/>
                <w:lang w:val="es-MX" w:eastAsia="es-ES_tradnl"/>
              </w:rPr>
            </w:pPr>
            <w:r w:rsidRPr="00E508DF">
              <w:rPr>
                <w:rFonts w:ascii="Century Gothic" w:hAnsi="Century Gothic" w:eastAsia="Calibri" w:cs="Arial"/>
                <w:bCs/>
                <w:lang w:val="es-MX" w:eastAsia="es-ES_tradnl"/>
              </w:rPr>
              <w:t>DOCUMENTOS TIPO – Fundamento normativo – Ley 2022 de 2020 / LEY 2195 DE 2022 – Artículo 56 – Ámbito de aplicación / LEY 2195 DE 2022 – Artículo 56 – Finalidad / LEY 2195 DE 2022 – Artículo 56 – Incisos 1 y 2 – Interpretación conjunta – Aplicación de documentos tipo / DEBER DE PUBLICIDAD – Entidades estatales exceptuadas del Estatuto General de Contratación de la Administración Pública / SECOP II – Deber de publicidad – Entidades estatales exceptuadas del Estatuto General de Contratación de la Administración Pública – Modificación artículo 53 de la Ley 2195 de 2022</w:t>
            </w:r>
          </w:p>
          <w:p w:rsidRPr="00E508DF" w:rsidR="00E508DF" w:rsidP="00E508DF" w:rsidRDefault="00E508DF" w14:paraId="63BE1961" w14:textId="77777777">
            <w:pPr>
              <w:shd w:val="clear" w:color="auto" w:fill="FFFFFF"/>
              <w:spacing w:after="120"/>
              <w:contextualSpacing/>
              <w:jc w:val="both"/>
              <w:rPr>
                <w:rFonts w:ascii="Century Gothic" w:hAnsi="Century Gothic" w:eastAsia="Calibri" w:cs="Arial"/>
                <w:bCs/>
                <w:sz w:val="12"/>
                <w:szCs w:val="12"/>
                <w:highlight w:val="yellow"/>
                <w:lang w:val="es-ES_tradnl" w:eastAsia="es-ES_tradnl"/>
              </w:rPr>
            </w:pPr>
          </w:p>
        </w:tc>
      </w:tr>
      <w:tr w:rsidRPr="00E508DF" w:rsidR="00E508DF" w:rsidTr="0019155F" w14:paraId="72A0CC52" w14:textId="77777777">
        <w:trPr>
          <w:trHeight w:val="309"/>
        </w:trPr>
        <w:tc>
          <w:tcPr>
            <w:tcW w:w="2689" w:type="dxa"/>
          </w:tcPr>
          <w:p w:rsidRPr="00E508DF" w:rsidR="00E508DF" w:rsidP="00E508DF" w:rsidRDefault="00E508DF" w14:paraId="55C4596B" w14:textId="77777777">
            <w:pPr>
              <w:shd w:val="clear" w:color="auto" w:fill="FFFFFF"/>
              <w:contextualSpacing/>
              <w:jc w:val="both"/>
              <w:rPr>
                <w:rFonts w:ascii="Century Gothic" w:hAnsi="Century Gothic" w:eastAsia="Calibri" w:cs="Arial"/>
                <w:b/>
                <w:lang w:val="es-ES_tradnl" w:eastAsia="es-ES_tradnl"/>
              </w:rPr>
            </w:pPr>
            <w:r w:rsidRPr="00E508DF">
              <w:rPr>
                <w:rFonts w:ascii="Century Gothic" w:hAnsi="Century Gothic" w:eastAsia="Calibri" w:cs="Arial"/>
                <w:b/>
                <w:lang w:val="es-ES_tradnl" w:eastAsia="es-ES_tradnl"/>
              </w:rPr>
              <w:t>Radicación:</w:t>
            </w:r>
            <w:r w:rsidRPr="00E508DF">
              <w:rPr>
                <w:rFonts w:ascii="Century Gothic" w:hAnsi="Century Gothic" w:eastAsia="Calibri" w:cs="Arial"/>
                <w:lang w:val="es-ES_tradnl" w:eastAsia="es-ES_tradnl"/>
              </w:rPr>
              <w:t xml:space="preserve">                             </w:t>
            </w:r>
          </w:p>
        </w:tc>
        <w:tc>
          <w:tcPr>
            <w:tcW w:w="6237" w:type="dxa"/>
          </w:tcPr>
          <w:p w:rsidRPr="00E508DF" w:rsidR="00E508DF" w:rsidP="00E508DF" w:rsidRDefault="00E508DF" w14:paraId="68A73B74" w14:textId="77777777">
            <w:pPr>
              <w:shd w:val="clear" w:color="auto" w:fill="FFFFFF"/>
              <w:contextualSpacing/>
              <w:jc w:val="both"/>
              <w:rPr>
                <w:rFonts w:ascii="Century Gothic" w:hAnsi="Century Gothic" w:eastAsia="Calibri" w:cs="Arial"/>
                <w:lang w:val="es-ES_tradnl" w:eastAsia="es-ES_tradnl"/>
              </w:rPr>
            </w:pPr>
            <w:r w:rsidRPr="00E508DF">
              <w:rPr>
                <w:rFonts w:ascii="Century Gothic" w:hAnsi="Century Gothic" w:eastAsia="Calibri" w:cs="Arial"/>
                <w:lang w:val="es-ES_tradnl" w:eastAsia="es-ES_tradnl"/>
              </w:rPr>
              <w:t>Respuesta a consulta P20240324003180</w:t>
            </w:r>
          </w:p>
        </w:tc>
      </w:tr>
    </w:tbl>
    <w:p w:rsidRPr="00E508DF" w:rsidR="00E508DF" w:rsidP="00E508DF" w:rsidRDefault="00E508DF" w14:paraId="1DCB574F" w14:textId="77777777">
      <w:pPr>
        <w:shd w:val="clear" w:color="auto" w:fill="FFFFFF"/>
        <w:contextualSpacing/>
        <w:jc w:val="both"/>
        <w:rPr>
          <w:rFonts w:ascii="Century Gothic" w:hAnsi="Century Gothic" w:eastAsia="Calibri" w:cs="Arial"/>
          <w:lang w:val="es-ES_tradnl" w:eastAsia="es-ES_tradnl"/>
        </w:rPr>
      </w:pPr>
    </w:p>
    <w:p w:rsidRPr="00E508DF" w:rsidR="00E508DF" w:rsidP="00E508DF" w:rsidRDefault="00E508DF" w14:paraId="1CE12C5F" w14:textId="77777777">
      <w:pPr>
        <w:shd w:val="clear" w:color="auto" w:fill="FFFFFF"/>
        <w:contextualSpacing/>
        <w:jc w:val="both"/>
        <w:rPr>
          <w:rFonts w:ascii="Century Gothic" w:hAnsi="Century Gothic" w:eastAsia="Calibri" w:cs="Arial"/>
          <w:lang w:val="es-ES" w:eastAsia="es-ES"/>
        </w:rPr>
      </w:pPr>
      <w:r w:rsidRPr="00E508DF">
        <w:rPr>
          <w:rFonts w:ascii="Century Gothic" w:hAnsi="Century Gothic" w:eastAsia="Calibri" w:cs="Arial"/>
          <w:lang w:val="es-ES" w:eastAsia="es-ES"/>
        </w:rPr>
        <w:t xml:space="preserve">Respetado señor Revelo Gómez: </w:t>
      </w:r>
    </w:p>
    <w:p w:rsidRPr="00E508DF" w:rsidR="00E508DF" w:rsidP="00E508DF" w:rsidRDefault="00E508DF" w14:paraId="056FF49C" w14:textId="77777777">
      <w:pPr>
        <w:shd w:val="clear" w:color="auto" w:fill="FFFFFF"/>
        <w:spacing w:line="276" w:lineRule="auto"/>
        <w:contextualSpacing/>
        <w:jc w:val="both"/>
        <w:rPr>
          <w:rFonts w:ascii="Century Gothic" w:hAnsi="Century Gothic" w:eastAsia="Calibri" w:cs="Arial"/>
          <w:szCs w:val="24"/>
          <w:lang w:val="es-ES_tradnl" w:eastAsia="es-ES_tradnl"/>
        </w:rPr>
      </w:pPr>
    </w:p>
    <w:bookmarkEnd w:id="1"/>
    <w:bookmarkEnd w:id="2"/>
    <w:p w:rsidRPr="00E508DF" w:rsidR="00E508DF" w:rsidP="00E508DF" w:rsidRDefault="00E508DF" w14:paraId="3307ABB6" w14:textId="77777777">
      <w:pPr>
        <w:shd w:val="clear" w:color="auto" w:fill="FFFFFF"/>
        <w:spacing w:after="0" w:line="276" w:lineRule="auto"/>
        <w:jc w:val="both"/>
        <w:rPr>
          <w:rFonts w:ascii="Century Gothic" w:hAnsi="Century Gothic" w:eastAsia="Calibri" w:cs="Arial"/>
          <w:color w:val="000000"/>
          <w:lang w:val="es-ES_tradnl"/>
        </w:rPr>
      </w:pPr>
      <w:r w:rsidRPr="00E508DF">
        <w:rPr>
          <w:rFonts w:ascii="Century Gothic" w:hAnsi="Century Gothic" w:eastAsia="Calibri" w:cs="Arial"/>
          <w:color w:val="000000"/>
          <w:lang w:val="es-ES_tradnl"/>
        </w:rPr>
        <w:t>En ejercicio de la competencia otorgada por el numeral 8 del artículo 11 y el numeral 5 del artículo 3 del Decreto Ley 4170 de 2011</w:t>
      </w:r>
      <w:bookmarkStart w:name="_Hlk99120496" w:id="4"/>
      <w:r w:rsidRPr="00E508DF">
        <w:rPr>
          <w:rFonts w:ascii="Century Gothic" w:hAnsi="Century Gothic" w:eastAsia="Arial MT" w:cs="Arial"/>
          <w:lang w:val="es-ES"/>
        </w:rPr>
        <w:t xml:space="preserve">, </w:t>
      </w:r>
      <w:bookmarkEnd w:id="4"/>
      <w:r w:rsidRPr="00E508DF">
        <w:rPr>
          <w:rFonts w:ascii="Century Gothic" w:hAnsi="Century Gothic" w:eastAsia="Calibri" w:cs="Arial"/>
          <w:color w:val="000000"/>
          <w:lang w:val="es-ES_tradnl"/>
        </w:rPr>
        <w:t>la Agencia Nacional de Contratación Pública –Colombia Compra Eficiente– responde la consulta radicada el 24 de marzo de 2024.</w:t>
      </w:r>
    </w:p>
    <w:p w:rsidRPr="00E508DF" w:rsidR="00E508DF" w:rsidP="00E508DF" w:rsidRDefault="00E508DF" w14:paraId="485330F2" w14:textId="77777777">
      <w:pPr>
        <w:shd w:val="clear" w:color="auto" w:fill="FFFFFF"/>
        <w:spacing w:after="0" w:line="276" w:lineRule="auto"/>
        <w:jc w:val="both"/>
        <w:rPr>
          <w:rFonts w:ascii="Century Gothic" w:hAnsi="Century Gothic" w:eastAsia="Calibri" w:cs="Arial"/>
          <w:b/>
          <w:color w:val="000000"/>
          <w:lang w:val="es-ES_tradnl"/>
        </w:rPr>
      </w:pPr>
    </w:p>
    <w:p w:rsidRPr="00E508DF" w:rsidR="00E508DF" w:rsidP="00E508DF" w:rsidRDefault="00E508DF" w14:paraId="3A8986DC" w14:textId="77777777">
      <w:pPr>
        <w:numPr>
          <w:ilvl w:val="0"/>
          <w:numId w:val="6"/>
        </w:numPr>
        <w:shd w:val="clear" w:color="auto" w:fill="FFFFFF"/>
        <w:tabs>
          <w:tab w:val="left" w:pos="0"/>
          <w:tab w:val="left" w:pos="142"/>
          <w:tab w:val="left" w:pos="284"/>
        </w:tabs>
        <w:spacing w:after="0" w:line="276" w:lineRule="auto"/>
        <w:ind w:left="357" w:hanging="357"/>
        <w:contextualSpacing/>
        <w:rPr>
          <w:rFonts w:ascii="Century Gothic" w:hAnsi="Century Gothic" w:eastAsia="Calibri" w:cs="Arial"/>
          <w:b/>
          <w:color w:val="000000"/>
          <w:lang w:val="es-ES_tradnl"/>
        </w:rPr>
      </w:pPr>
      <w:r w:rsidRPr="00E508DF">
        <w:rPr>
          <w:rFonts w:ascii="Century Gothic" w:hAnsi="Century Gothic" w:eastAsia="Calibri" w:cs="Arial"/>
          <w:b/>
          <w:color w:val="000000"/>
          <w:lang w:val="es-ES_tradnl"/>
        </w:rPr>
        <w:t xml:space="preserve">Problema planteado </w:t>
      </w:r>
    </w:p>
    <w:p w:rsidRPr="00E508DF" w:rsidR="00E508DF" w:rsidP="00E508DF" w:rsidRDefault="00E508DF" w14:paraId="490782AF" w14:textId="77777777">
      <w:pPr>
        <w:shd w:val="clear" w:color="auto" w:fill="FFFFFF"/>
        <w:tabs>
          <w:tab w:val="left" w:pos="426"/>
        </w:tabs>
        <w:spacing w:after="0" w:line="276" w:lineRule="auto"/>
        <w:jc w:val="both"/>
        <w:rPr>
          <w:rFonts w:ascii="Century Gothic" w:hAnsi="Century Gothic" w:eastAsia="Calibri" w:cs="Arial"/>
          <w:b/>
          <w:color w:val="000000"/>
          <w:lang w:val="es-ES_tradnl"/>
        </w:rPr>
      </w:pPr>
    </w:p>
    <w:p w:rsidRPr="00E508DF" w:rsidR="00E508DF" w:rsidP="00E508DF" w:rsidRDefault="00E508DF" w14:paraId="402D4878" w14:textId="77777777">
      <w:pPr>
        <w:shd w:val="clear" w:color="auto" w:fill="FFFFFF"/>
        <w:spacing w:after="0" w:line="276" w:lineRule="auto"/>
        <w:jc w:val="both"/>
        <w:rPr>
          <w:rFonts w:ascii="Century Gothic" w:hAnsi="Century Gothic" w:eastAsia="Calibri" w:cs="Arial"/>
          <w:color w:val="000000"/>
        </w:rPr>
      </w:pPr>
      <w:r w:rsidRPr="00E508DF">
        <w:rPr>
          <w:rFonts w:ascii="Century Gothic" w:hAnsi="Century Gothic" w:eastAsia="Calibri" w:cs="Arial"/>
          <w:color w:val="000000"/>
          <w:lang w:val="es-ES_tradnl"/>
        </w:rPr>
        <w:t>Usted realiza las siguientes preguntas:</w:t>
      </w:r>
    </w:p>
    <w:p w:rsidRPr="00E508DF" w:rsidR="00E508DF" w:rsidP="00E508DF" w:rsidRDefault="00E508DF" w14:paraId="2441F5B8" w14:textId="77777777">
      <w:pPr>
        <w:shd w:val="clear" w:color="auto" w:fill="FFFFFF"/>
        <w:spacing w:after="0" w:line="276" w:lineRule="auto"/>
        <w:jc w:val="both"/>
        <w:rPr>
          <w:rFonts w:ascii="Century Gothic" w:hAnsi="Century Gothic" w:eastAsia="Calibri" w:cs="Arial"/>
          <w:color w:val="000000"/>
        </w:rPr>
      </w:pPr>
    </w:p>
    <w:p w:rsidRPr="00E508DF" w:rsidR="00E508DF" w:rsidP="00E508DF" w:rsidRDefault="00E508DF" w14:paraId="117C4A52"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E508DF">
        <w:rPr>
          <w:rFonts w:ascii="Century Gothic" w:hAnsi="Century Gothic" w:eastAsia="Calibri" w:cs="Arial"/>
          <w:color w:val="000000"/>
          <w:sz w:val="21"/>
          <w:szCs w:val="21"/>
          <w:lang w:val="es-ES_tradnl"/>
        </w:rPr>
        <w:t>“1. ¿Se puede transferir recursos de Regalías a un fondo mixto y contratar de manera directa obviándose un proceso de licitación de Obra Pública; Proyectos del Sector Agropecuario, Ciencia y Tecnología; Salud, Educación, Obras del Sector de Agua Potable y Saneamiento Básico, Obras de Infraestructura Vial; ¿Obras de Infraestructura Social (Hospitales, Colegios, Escuelas, Parques, Coliseos)?</w:t>
      </w:r>
    </w:p>
    <w:p w:rsidRPr="00E508DF" w:rsidR="00E508DF" w:rsidP="00E508DF" w:rsidRDefault="00E508DF" w14:paraId="683BE149"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E508DF">
        <w:rPr>
          <w:rFonts w:ascii="Century Gothic" w:hAnsi="Century Gothic" w:eastAsia="Calibri" w:cs="Arial"/>
          <w:color w:val="000000"/>
          <w:sz w:val="21"/>
          <w:szCs w:val="21"/>
          <w:lang w:val="es-ES_tradnl"/>
        </w:rPr>
        <w:t>2. ¿Pueden los fondos mixtos contratar sin aplicar los documentos y pliegos tipo adoptados por Colombia Compra Eficiente?; ¿y si es obligatorio que publiquen el proceso de contratación en el SECOP, y que se cumplan los términos legales del Estatuto de Contratación Pública de Colombia?</w:t>
      </w:r>
    </w:p>
    <w:p w:rsidRPr="00E508DF" w:rsidR="00E508DF" w:rsidP="1CD11FF5" w:rsidRDefault="00E508DF" w14:paraId="5C3EA1E2"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1CD11FF5">
        <w:rPr>
          <w:rFonts w:ascii="Century Gothic" w:hAnsi="Century Gothic" w:eastAsia="Calibri" w:cs="Arial"/>
          <w:color w:val="000000" w:themeColor="text1"/>
          <w:sz w:val="21"/>
          <w:szCs w:val="21"/>
          <w:lang w:val="es-ES"/>
        </w:rPr>
        <w:t>3. ¿Cómo se deduce el costo de las Estampillas (</w:t>
      </w:r>
      <w:proofErr w:type="gramStart"/>
      <w:r w:rsidRPr="1CD11FF5">
        <w:rPr>
          <w:rFonts w:ascii="Century Gothic" w:hAnsi="Century Gothic" w:eastAsia="Calibri" w:cs="Arial"/>
          <w:color w:val="000000" w:themeColor="text1"/>
          <w:sz w:val="21"/>
          <w:szCs w:val="21"/>
          <w:lang w:val="es-ES"/>
        </w:rPr>
        <w:t>Pro Adulto</w:t>
      </w:r>
      <w:proofErr w:type="gramEnd"/>
      <w:r w:rsidRPr="1CD11FF5">
        <w:rPr>
          <w:rFonts w:ascii="Century Gothic" w:hAnsi="Century Gothic" w:eastAsia="Calibri" w:cs="Arial"/>
          <w:color w:val="000000" w:themeColor="text1"/>
          <w:sz w:val="21"/>
          <w:szCs w:val="21"/>
          <w:lang w:val="es-ES"/>
        </w:rPr>
        <w:t xml:space="preserve"> Mayor, Procultura, Pro Deporte E.T.C) de los proyectos ejecutados por los fondos mixtos con recursos girados de sistema de regalías para ejecutar obras e Interventorías?”</w:t>
      </w:r>
    </w:p>
    <w:p w:rsidRPr="00E508DF" w:rsidR="00E508DF" w:rsidP="00E508DF" w:rsidRDefault="00E508DF" w14:paraId="69D5384F" w14:textId="77777777">
      <w:pPr>
        <w:shd w:val="clear" w:color="auto" w:fill="FFFFFF"/>
        <w:spacing w:after="0" w:line="240" w:lineRule="auto"/>
        <w:ind w:left="709" w:right="709"/>
        <w:jc w:val="both"/>
        <w:rPr>
          <w:rFonts w:ascii="Century Gothic" w:hAnsi="Century Gothic" w:eastAsia="Calibri" w:cs="Arial"/>
          <w:color w:val="000000"/>
          <w:lang w:val="es-ES_tradnl"/>
        </w:rPr>
      </w:pPr>
    </w:p>
    <w:p w:rsidRPr="00E508DF" w:rsidR="00E508DF" w:rsidP="00E508DF" w:rsidRDefault="00E508DF" w14:paraId="33DE2D67" w14:textId="77777777">
      <w:pPr>
        <w:numPr>
          <w:ilvl w:val="0"/>
          <w:numId w:val="6"/>
        </w:numPr>
        <w:shd w:val="clear" w:color="auto" w:fill="FFFFFF"/>
        <w:tabs>
          <w:tab w:val="left" w:pos="0"/>
          <w:tab w:val="left" w:pos="284"/>
        </w:tabs>
        <w:spacing w:after="0" w:line="278" w:lineRule="auto"/>
        <w:ind w:left="357" w:hanging="357"/>
        <w:contextualSpacing/>
        <w:jc w:val="both"/>
        <w:rPr>
          <w:rFonts w:ascii="Century Gothic" w:hAnsi="Century Gothic" w:eastAsia="Calibri" w:cs="Arial"/>
          <w:b/>
          <w:color w:val="000000"/>
          <w:lang w:val="es-ES_tradnl"/>
        </w:rPr>
      </w:pPr>
      <w:r w:rsidRPr="00E508DF">
        <w:rPr>
          <w:rFonts w:ascii="Century Gothic" w:hAnsi="Century Gothic" w:eastAsia="Calibri" w:cs="Arial"/>
          <w:b/>
          <w:color w:val="000000"/>
          <w:lang w:val="es-ES_tradnl"/>
        </w:rPr>
        <w:t>Consideraciones</w:t>
      </w:r>
    </w:p>
    <w:p w:rsidRPr="00E508DF" w:rsidR="00E508DF" w:rsidP="00E508DF" w:rsidRDefault="00E508DF" w14:paraId="6D80A82D" w14:textId="77777777">
      <w:pPr>
        <w:shd w:val="clear" w:color="auto" w:fill="FFFFFF"/>
        <w:spacing w:after="0" w:line="276" w:lineRule="auto"/>
        <w:jc w:val="both"/>
        <w:rPr>
          <w:rFonts w:ascii="Century Gothic" w:hAnsi="Century Gothic" w:eastAsia="Calibri" w:cs="Arial"/>
          <w:color w:val="000000"/>
          <w:lang w:val="es-ES"/>
        </w:rPr>
      </w:pPr>
    </w:p>
    <w:p w:rsidRPr="00E508DF" w:rsidR="00E508DF" w:rsidP="00E508DF" w:rsidRDefault="00E508DF" w14:paraId="7BC0A56E" w14:textId="77777777">
      <w:pPr>
        <w:shd w:val="clear" w:color="auto" w:fill="FFFFFF"/>
        <w:spacing w:after="120" w:line="276" w:lineRule="auto"/>
        <w:jc w:val="both"/>
        <w:rPr>
          <w:rFonts w:ascii="Century Gothic" w:hAnsi="Century Gothic" w:eastAsia="Calibri" w:cs="Arial"/>
          <w:color w:val="000000"/>
        </w:rPr>
      </w:pPr>
      <w:r w:rsidRPr="00E508DF">
        <w:rPr>
          <w:rFonts w:ascii="Century Gothic" w:hAnsi="Century Gothic" w:eastAsia="Calibri"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rsidRPr="00E508DF" w:rsidR="00E508DF" w:rsidP="00E508DF" w:rsidRDefault="00E508DF" w14:paraId="28975A22" w14:textId="77777777">
      <w:pPr>
        <w:shd w:val="clear" w:color="auto" w:fill="FFFFFF"/>
        <w:spacing w:after="120" w:line="276" w:lineRule="auto"/>
        <w:ind w:firstLine="708"/>
        <w:jc w:val="both"/>
        <w:rPr>
          <w:rFonts w:ascii="Century Gothic" w:hAnsi="Century Gothic" w:eastAsia="Calibri" w:cs="Arial"/>
          <w:color w:val="000000"/>
        </w:rPr>
      </w:pPr>
      <w:r w:rsidRPr="00E508DF">
        <w:rPr>
          <w:rFonts w:ascii="Century Gothic" w:hAnsi="Century Gothic" w:eastAsia="Calibri"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rsidRPr="00E508DF" w:rsidR="00E508DF" w:rsidP="00E508DF" w:rsidRDefault="00E508DF" w14:paraId="516996DA" w14:textId="77777777">
      <w:pPr>
        <w:shd w:val="clear" w:color="auto" w:fill="FFFFFF"/>
        <w:spacing w:after="120" w:line="276" w:lineRule="auto"/>
        <w:jc w:val="both"/>
        <w:rPr>
          <w:rFonts w:ascii="Century Gothic" w:hAnsi="Century Gothic" w:eastAsia="Calibri" w:cs="Arial"/>
          <w:bCs/>
          <w:color w:val="000000"/>
          <w:lang w:val="es-ES"/>
        </w:rPr>
      </w:pPr>
      <w:r w:rsidRPr="00E508DF">
        <w:rPr>
          <w:rFonts w:ascii="Century Gothic" w:hAnsi="Century Gothic" w:eastAsia="Calibri" w:cs="Arial"/>
          <w:color w:val="000000"/>
        </w:rPr>
        <w:tab/>
      </w:r>
      <w:r w:rsidRPr="00E508DF">
        <w:rPr>
          <w:rFonts w:ascii="Century Gothic" w:hAnsi="Century Gothic" w:eastAsia="Calibri" w:cs="Arial"/>
          <w:color w:val="000000"/>
        </w:rPr>
        <w:t>En este contexto, la Subdirección de Gestión Contractual, dentro de los límites de sus atribuciones, resolverá la consulta conforme a las normas generales en materia de contratación estatal. Con este objetivo se analizarán</w:t>
      </w:r>
      <w:r w:rsidRPr="00E508DF">
        <w:rPr>
          <w:rFonts w:ascii="Century Gothic" w:hAnsi="Century Gothic" w:eastAsia="Calibri" w:cs="Arial"/>
          <w:color w:val="000000"/>
          <w:lang w:val="es-ES"/>
        </w:rPr>
        <w:t xml:space="preserve"> los siguientes temas: </w:t>
      </w:r>
      <w:r w:rsidRPr="00E508DF">
        <w:rPr>
          <w:rFonts w:ascii="Century Gothic" w:hAnsi="Century Gothic" w:eastAsia="Calibri" w:cs="Arial"/>
          <w:color w:val="000000"/>
          <w:lang w:val="es-ES_tradnl"/>
        </w:rPr>
        <w:t xml:space="preserve">i) fundamento normativo y ámbito de aplicación de los documentos tipo; </w:t>
      </w:r>
      <w:proofErr w:type="spellStart"/>
      <w:r w:rsidRPr="00E508DF">
        <w:rPr>
          <w:rFonts w:ascii="Century Gothic" w:hAnsi="Century Gothic" w:eastAsia="Calibri" w:cs="Arial"/>
          <w:color w:val="000000"/>
          <w:lang w:val="es-ES_tradnl"/>
        </w:rPr>
        <w:t>ii</w:t>
      </w:r>
      <w:proofErr w:type="spellEnd"/>
      <w:r w:rsidRPr="00E508DF">
        <w:rPr>
          <w:rFonts w:ascii="Century Gothic" w:hAnsi="Century Gothic" w:eastAsia="Calibri" w:cs="Arial"/>
          <w:color w:val="000000"/>
          <w:lang w:val="es-ES_tradnl"/>
        </w:rPr>
        <w:t xml:space="preserve">) </w:t>
      </w:r>
      <w:r w:rsidRPr="00E508DF">
        <w:rPr>
          <w:rFonts w:ascii="Century Gothic" w:hAnsi="Century Gothic" w:eastAsia="Calibri" w:cs="Arial"/>
          <w:color w:val="000000"/>
          <w:lang w:val="es-ES_tradnl"/>
        </w:rPr>
        <w:t xml:space="preserve">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 y </w:t>
      </w:r>
      <w:proofErr w:type="spellStart"/>
      <w:r w:rsidRPr="00E508DF">
        <w:rPr>
          <w:rFonts w:ascii="Century Gothic" w:hAnsi="Century Gothic" w:eastAsia="Calibri" w:cs="Arial"/>
          <w:color w:val="000000"/>
          <w:lang w:val="es-ES_tradnl"/>
        </w:rPr>
        <w:t>iii</w:t>
      </w:r>
      <w:proofErr w:type="spellEnd"/>
      <w:r w:rsidRPr="00E508DF">
        <w:rPr>
          <w:rFonts w:ascii="Century Gothic" w:hAnsi="Century Gothic" w:eastAsia="Calibri" w:cs="Arial"/>
          <w:color w:val="000000"/>
          <w:lang w:val="es-ES_tradnl"/>
        </w:rPr>
        <w:t>)</w:t>
      </w:r>
      <w:r w:rsidRPr="00E508DF">
        <w:rPr>
          <w:rFonts w:ascii="Aptos" w:hAnsi="Aptos" w:eastAsia="Aptos" w:cs="Times New Roman"/>
          <w:kern w:val="2"/>
          <w:sz w:val="24"/>
          <w:szCs w:val="24"/>
          <w:lang w:val="es-ES_tradnl"/>
          <w14:ligatures w14:val="standardContextual"/>
        </w:rPr>
        <w:t xml:space="preserve"> </w:t>
      </w:r>
      <w:r w:rsidRPr="00E508DF">
        <w:rPr>
          <w:rFonts w:ascii="Century Gothic" w:hAnsi="Century Gothic" w:eastAsia="Calibri" w:cs="Arial"/>
          <w:color w:val="000000"/>
          <w:lang w:val="es-ES_tradnl"/>
        </w:rPr>
        <w:t>deber de las entidades estatales, exceptuadas del Estatuto General de Contratación de la Administración Pública, de publicar los documentos relacionados con su actividad contractual en el SECOP II. Asimismo, le informamos que las preguntas 1 y 3 de su petición serán remitidas al Ministerio de Hacienda y Crédito Público, por ser esa la entidad competente, para que atienda su solicitud conforme a la competencia atribuida y dentro del término legal previsto para ello.</w:t>
      </w:r>
    </w:p>
    <w:p w:rsidRPr="00E508DF" w:rsidR="00E508DF" w:rsidP="00E508DF" w:rsidRDefault="00E508DF" w14:paraId="5ACD147E" w14:textId="77777777">
      <w:pPr>
        <w:shd w:val="clear" w:color="auto" w:fill="FFFFFF"/>
        <w:spacing w:after="120" w:line="276" w:lineRule="auto"/>
        <w:ind w:firstLine="708"/>
        <w:jc w:val="both"/>
        <w:rPr>
          <w:rFonts w:ascii="Century Gothic" w:hAnsi="Century Gothic" w:eastAsia="Calibri" w:cs="Arial"/>
          <w:color w:val="000000"/>
        </w:rPr>
      </w:pPr>
      <w:r w:rsidRPr="00E508DF">
        <w:rPr>
          <w:rFonts w:ascii="Century Gothic" w:hAnsi="Century Gothic" w:eastAsia="Calibri" w:cs="Arial"/>
          <w:color w:val="000000"/>
        </w:rPr>
        <w:t xml:space="preserve">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y C-399 del 29 de septiembre de 2023. </w:t>
      </w:r>
    </w:p>
    <w:p w:rsidRPr="00E508DF" w:rsidR="00E508DF" w:rsidP="00E508DF" w:rsidRDefault="00E508DF" w14:paraId="089803D0" w14:textId="77777777">
      <w:pPr>
        <w:shd w:val="clear" w:color="auto" w:fill="FFFFFF"/>
        <w:spacing w:after="0" w:line="276" w:lineRule="auto"/>
        <w:ind w:firstLine="709"/>
        <w:jc w:val="both"/>
        <w:rPr>
          <w:rFonts w:ascii="Century Gothic" w:hAnsi="Century Gothic" w:eastAsia="Calibri" w:cs="Arial"/>
          <w:color w:val="000000"/>
        </w:rPr>
      </w:pPr>
      <w:r w:rsidRPr="00E508DF">
        <w:rPr>
          <w:rFonts w:ascii="Century Gothic" w:hAnsi="Century Gothic" w:eastAsia="Calibri" w:cs="Arial"/>
          <w:color w:val="000000"/>
        </w:rPr>
        <w:t xml:space="preserve">A su vez, </w:t>
      </w:r>
      <w:r w:rsidRPr="00E508DF">
        <w:rPr>
          <w:rFonts w:ascii="Century Gothic" w:hAnsi="Century Gothic" w:eastAsia="Calibri" w:cs="Arial"/>
          <w:bCs/>
          <w:kern w:val="2"/>
          <w:lang w:val="es-MX"/>
          <w14:ligatures w14:val="standardContextual"/>
        </w:rPr>
        <w:t xml:space="preserve">esta Agencia se ha pronunciado en diferentes oportunidades respecto a la aplicación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w:t>
      </w:r>
      <w:r w:rsidRPr="00E508DF">
        <w:rPr>
          <w:rFonts w:ascii="Century Gothic" w:hAnsi="Century Gothic" w:eastAsia="Calibri" w:cs="Arial"/>
          <w:bCs/>
          <w:kern w:val="2"/>
          <w:lang w:val="es-MX"/>
          <w14:ligatures w14:val="standardContextual"/>
        </w:rPr>
        <w:t>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C-071 del 28 de marzo del 2023 y C-457 del 24 de octubre de 2023</w:t>
      </w:r>
      <w:r w:rsidRPr="00E508DF">
        <w:rPr>
          <w:rFonts w:ascii="Century Gothic" w:hAnsi="Century Gothic" w:eastAsia="Aptos" w:cs="Arial"/>
          <w:color w:val="000000"/>
          <w:kern w:val="2"/>
          <w:sz w:val="24"/>
          <w:szCs w:val="24"/>
          <w:vertAlign w:val="superscript"/>
          <w:lang w:val="es-ES_tradnl"/>
          <w14:ligatures w14:val="standardContextual"/>
        </w:rPr>
        <w:footnoteReference w:id="2"/>
      </w:r>
      <w:r w:rsidRPr="00E508DF">
        <w:rPr>
          <w:rFonts w:ascii="Century Gothic" w:hAnsi="Century Gothic" w:eastAsia="Calibri" w:cs="Arial"/>
          <w:bCs/>
          <w:kern w:val="2"/>
          <w:lang w:val="es-MX"/>
          <w14:ligatures w14:val="standardContextual"/>
        </w:rPr>
        <w:t>.</w:t>
      </w:r>
      <w:r w:rsidRPr="00E508DF">
        <w:rPr>
          <w:rFonts w:ascii="Century Gothic" w:hAnsi="Century Gothic" w:eastAsia="Calibri" w:cs="Arial"/>
          <w:color w:val="000000"/>
        </w:rPr>
        <w:t xml:space="preserve"> Las tesis propuestas en estos conceptos se reiteran a continuación y se complementan en lo pertinente, de acuerdo con las preguntas realizadas.  </w:t>
      </w:r>
    </w:p>
    <w:p w:rsidRPr="00E508DF" w:rsidR="00E508DF" w:rsidP="00E508DF" w:rsidRDefault="00E508DF" w14:paraId="4AD6F477" w14:textId="77777777">
      <w:pPr>
        <w:shd w:val="clear" w:color="auto" w:fill="FFFFFF"/>
        <w:spacing w:after="0" w:line="276" w:lineRule="auto"/>
        <w:ind w:firstLine="709"/>
        <w:jc w:val="both"/>
        <w:rPr>
          <w:rFonts w:ascii="Century Gothic" w:hAnsi="Century Gothic" w:eastAsia="Calibri" w:cs="Arial"/>
          <w:color w:val="000000"/>
        </w:rPr>
      </w:pPr>
    </w:p>
    <w:p w:rsidRPr="00E508DF" w:rsidR="00E508DF" w:rsidP="00E508DF" w:rsidRDefault="00E508DF" w14:paraId="336D5206" w14:textId="77777777">
      <w:pPr>
        <w:spacing w:after="0" w:line="276" w:lineRule="auto"/>
        <w:contextualSpacing/>
        <w:jc w:val="both"/>
        <w:rPr>
          <w:rFonts w:ascii="Century Gothic" w:hAnsi="Century Gothic" w:eastAsia="Arial" w:cs="Arial"/>
          <w:b/>
          <w:bCs/>
          <w:lang w:val="es-ES_tradnl" w:eastAsia="es-ES_tradnl"/>
        </w:rPr>
      </w:pPr>
      <w:r w:rsidRPr="00E508DF">
        <w:rPr>
          <w:rFonts w:ascii="Century Gothic" w:hAnsi="Century Gothic" w:eastAsia="Arial" w:cs="Arial"/>
          <w:b/>
          <w:bCs/>
          <w:lang w:val="es-ES_tradnl" w:eastAsia="es-ES_tradnl"/>
        </w:rPr>
        <w:t xml:space="preserve">2.1. </w:t>
      </w:r>
      <w:bookmarkStart w:name="_Hlk110852287" w:id="5"/>
      <w:r w:rsidRPr="00E508DF">
        <w:rPr>
          <w:rFonts w:ascii="Century Gothic" w:hAnsi="Century Gothic" w:eastAsia="Arial" w:cs="Arial"/>
          <w:b/>
          <w:bCs/>
          <w:lang w:val="es-ES_tradnl" w:eastAsia="es-ES_tradnl"/>
        </w:rPr>
        <w:t xml:space="preserve">Fundamento normativo y ámbito de aplicación de los documentos tipo </w:t>
      </w:r>
      <w:bookmarkEnd w:id="5"/>
    </w:p>
    <w:p w:rsidRPr="00E508DF" w:rsidR="00E508DF" w:rsidP="00E508DF" w:rsidRDefault="00E508DF" w14:paraId="03F06D07" w14:textId="77777777">
      <w:pPr>
        <w:spacing w:after="0" w:line="240" w:lineRule="auto"/>
        <w:contextualSpacing/>
        <w:jc w:val="both"/>
        <w:rPr>
          <w:rFonts w:ascii="Century Gothic" w:hAnsi="Century Gothic" w:eastAsia="Arial" w:cs="Arial"/>
          <w:b/>
          <w:bCs/>
          <w:lang w:val="es-ES_tradnl" w:eastAsia="es-ES_tradnl"/>
        </w:rPr>
      </w:pPr>
    </w:p>
    <w:p w:rsidRPr="00E508DF" w:rsidR="00E508DF" w:rsidP="00E508DF" w:rsidRDefault="00E508DF" w14:paraId="3993458A" w14:textId="77777777">
      <w:pPr>
        <w:spacing w:after="120" w:line="276" w:lineRule="auto"/>
        <w:jc w:val="both"/>
        <w:rPr>
          <w:rFonts w:ascii="Century Gothic" w:hAnsi="Century Gothic" w:eastAsia="Calibri" w:cs="Arial"/>
          <w:color w:val="000000"/>
          <w:szCs w:val="24"/>
          <w:lang w:val="es-ES" w:eastAsia="es-ES_tradnl"/>
        </w:rPr>
      </w:pPr>
      <w:bookmarkStart w:name="_Hlk113022941" w:id="6"/>
      <w:r w:rsidRPr="00E508DF">
        <w:rPr>
          <w:rFonts w:ascii="Century Gothic" w:hAnsi="Century Gothic" w:eastAsia="Calibri" w:cs="Arial"/>
          <w:color w:val="000000"/>
          <w:szCs w:val="24"/>
          <w:lang w:val="es-ES" w:eastAsia="es-ES_tradnl"/>
        </w:rPr>
        <w:t>La adopción de los documentos tipo obligatorios en el ordenamiento jurídico colombiano se incluyó por primera vez en el parágrafo 3 del artículo 2 de la Ley 1150 de 2007</w:t>
      </w:r>
      <w:r w:rsidRPr="00E508DF">
        <w:rPr>
          <w:rFonts w:ascii="Century Gothic" w:hAnsi="Century Gothic" w:eastAsia="Calibri" w:cs="Arial"/>
          <w:color w:val="000000"/>
          <w:szCs w:val="24"/>
          <w:vertAlign w:val="superscript"/>
          <w:lang w:val="es-ES" w:eastAsia="es-ES_tradnl"/>
        </w:rPr>
        <w:footnoteReference w:id="3"/>
      </w:r>
      <w:r w:rsidRPr="00E508DF">
        <w:rPr>
          <w:rFonts w:ascii="Century Gothic" w:hAnsi="Century Gothic" w:eastAsia="Calibri"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rsidRPr="00E508DF" w:rsidR="00E508DF" w:rsidP="00E508DF" w:rsidRDefault="00E508DF" w14:paraId="61DF881C" w14:textId="77777777">
      <w:pPr>
        <w:spacing w:after="120" w:line="276" w:lineRule="auto"/>
        <w:ind w:firstLine="708"/>
        <w:jc w:val="both"/>
        <w:rPr>
          <w:rFonts w:ascii="Century Gothic" w:hAnsi="Century Gothic" w:eastAsia="Calibri" w:cs="Arial"/>
          <w:color w:val="000000"/>
          <w:szCs w:val="24"/>
          <w:lang w:val="es-ES" w:eastAsia="es-ES_tradnl"/>
        </w:rPr>
      </w:pPr>
      <w:r w:rsidRPr="00E508DF">
        <w:rPr>
          <w:rFonts w:ascii="Century Gothic" w:hAnsi="Century Gothic" w:eastAsia="Calibri" w:cs="Arial"/>
          <w:color w:val="000000"/>
          <w:szCs w:val="24"/>
          <w:lang w:val="es-ES" w:eastAsia="es-ES_tradnl"/>
        </w:rPr>
        <w:t xml:space="preserve">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w:t>
      </w:r>
      <w:r w:rsidRPr="00E508DF">
        <w:rPr>
          <w:rFonts w:ascii="Century Gothic" w:hAnsi="Century Gothic" w:eastAsia="Calibri" w:cs="Arial"/>
          <w:color w:val="000000"/>
          <w:szCs w:val="24"/>
          <w:lang w:val="es-ES" w:eastAsia="es-ES_tradnl"/>
        </w:rPr>
        <w:t>todas las entidades sometidas al Estatuto General de Contratación de la Administración Pública en los procesos de selección que adelantaran</w:t>
      </w:r>
      <w:r w:rsidRPr="00E508DF">
        <w:rPr>
          <w:rFonts w:ascii="Century Gothic" w:hAnsi="Century Gothic" w:eastAsia="Calibri" w:cs="Arial"/>
          <w:color w:val="000000"/>
          <w:szCs w:val="24"/>
          <w:vertAlign w:val="superscript"/>
          <w:lang w:val="es-ES" w:eastAsia="es-ES_tradnl"/>
        </w:rPr>
        <w:footnoteReference w:id="4"/>
      </w:r>
      <w:r w:rsidRPr="00E508DF">
        <w:rPr>
          <w:rFonts w:ascii="Century Gothic" w:hAnsi="Century Gothic" w:eastAsia="Calibri" w:cs="Arial"/>
          <w:color w:val="000000"/>
          <w:szCs w:val="24"/>
          <w:lang w:val="es-ES" w:eastAsia="es-ES_tradnl"/>
        </w:rPr>
        <w:t>.</w:t>
      </w:r>
    </w:p>
    <w:p w:rsidRPr="00E508DF" w:rsidR="00E508DF" w:rsidP="00E508DF" w:rsidRDefault="00E508DF" w14:paraId="5775973A" w14:textId="77777777">
      <w:pPr>
        <w:spacing w:before="120" w:after="120" w:line="276" w:lineRule="auto"/>
        <w:jc w:val="both"/>
        <w:rPr>
          <w:rFonts w:ascii="Century Gothic" w:hAnsi="Century Gothic" w:eastAsia="Calibri" w:cs="Arial"/>
          <w:color w:val="000000"/>
          <w:szCs w:val="24"/>
          <w:lang w:val="es-ES" w:eastAsia="es-ES_tradnl"/>
        </w:rPr>
      </w:pPr>
      <w:r w:rsidRPr="00E508DF">
        <w:rPr>
          <w:rFonts w:ascii="Century Gothic" w:hAnsi="Century Gothic" w:eastAsia="Calibri" w:cs="Arial"/>
          <w:color w:val="000000"/>
          <w:szCs w:val="24"/>
          <w:lang w:val="es-ES" w:eastAsia="es-ES_tradnl"/>
        </w:rPr>
        <w:tab/>
      </w:r>
      <w:r w:rsidRPr="00E508DF">
        <w:rPr>
          <w:rFonts w:ascii="Century Gothic" w:hAnsi="Century Gothic" w:eastAsia="Calibri" w:cs="Arial"/>
          <w:color w:val="000000"/>
          <w:szCs w:val="24"/>
          <w:lang w:val="es-ES" w:eastAsia="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rsidRPr="00E508DF" w:rsidR="00E508DF" w:rsidP="00E508DF" w:rsidRDefault="00E508DF" w14:paraId="55376BFA" w14:textId="77777777">
      <w:pPr>
        <w:spacing w:before="120" w:after="120" w:line="276" w:lineRule="auto"/>
        <w:jc w:val="both"/>
        <w:rPr>
          <w:rFonts w:ascii="Century Gothic" w:hAnsi="Century Gothic" w:eastAsia="Calibri" w:cs="Arial"/>
          <w:color w:val="000000"/>
          <w:szCs w:val="24"/>
          <w:lang w:val="es-ES" w:eastAsia="es-ES_tradnl"/>
        </w:rPr>
      </w:pPr>
      <w:r w:rsidRPr="00E508DF">
        <w:rPr>
          <w:rFonts w:ascii="Century Gothic" w:hAnsi="Century Gothic" w:eastAsia="Calibri" w:cs="Arial"/>
          <w:color w:val="000000"/>
          <w:szCs w:val="24"/>
          <w:lang w:val="es-ES" w:eastAsia="es-ES_tradnl"/>
        </w:rPr>
        <w:tab/>
      </w:r>
      <w:r w:rsidRPr="00E508DF">
        <w:rPr>
          <w:rFonts w:ascii="Century Gothic" w:hAnsi="Century Gothic" w:eastAsia="Calibri" w:cs="Arial"/>
          <w:color w:val="000000"/>
          <w:szCs w:val="24"/>
          <w:lang w:val="es-ES" w:eastAsia="es-ES_tradnl"/>
        </w:rPr>
        <w:t xml:space="preserve">De la norma descrita se concluía lo siguiente: i) la adopción de los documentos tipo estaba en cabeza del gobierno nacional; </w:t>
      </w:r>
      <w:proofErr w:type="spellStart"/>
      <w:r w:rsidRPr="00E508DF">
        <w:rPr>
          <w:rFonts w:ascii="Century Gothic" w:hAnsi="Century Gothic" w:eastAsia="Calibri" w:cs="Arial"/>
          <w:color w:val="000000"/>
          <w:szCs w:val="24"/>
          <w:lang w:val="es-ES" w:eastAsia="es-ES_tradnl"/>
        </w:rPr>
        <w:t>ii</w:t>
      </w:r>
      <w:proofErr w:type="spellEnd"/>
      <w:r w:rsidRPr="00E508DF">
        <w:rPr>
          <w:rFonts w:ascii="Century Gothic" w:hAnsi="Century Gothic" w:eastAsia="Calibri"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508DF">
        <w:rPr>
          <w:rFonts w:ascii="Century Gothic" w:hAnsi="Century Gothic" w:eastAsia="Calibri" w:cs="Arial"/>
          <w:color w:val="000000"/>
          <w:szCs w:val="24"/>
          <w:lang w:val="es-ES" w:eastAsia="es-ES_tradnl"/>
        </w:rPr>
        <w:t>iii</w:t>
      </w:r>
      <w:proofErr w:type="spellEnd"/>
      <w:r w:rsidRPr="00E508DF">
        <w:rPr>
          <w:rFonts w:ascii="Century Gothic" w:hAnsi="Century Gothic" w:eastAsia="Calibri"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E508DF">
        <w:rPr>
          <w:rFonts w:ascii="Century Gothic" w:hAnsi="Century Gothic" w:eastAsia="Calibri" w:cs="Arial"/>
          <w:color w:val="000000"/>
          <w:szCs w:val="24"/>
          <w:lang w:val="es-ES" w:eastAsia="es-ES_tradnl"/>
        </w:rPr>
        <w:t>iv</w:t>
      </w:r>
      <w:proofErr w:type="spellEnd"/>
      <w:r w:rsidRPr="00E508DF">
        <w:rPr>
          <w:rFonts w:ascii="Century Gothic" w:hAnsi="Century Gothic" w:eastAsia="Calibri"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w:t>
      </w:r>
      <w:r w:rsidRPr="00E508DF">
        <w:rPr>
          <w:rFonts w:ascii="Century Gothic" w:hAnsi="Century Gothic" w:eastAsia="Calibri" w:cs="Arial"/>
          <w:color w:val="000000"/>
          <w:szCs w:val="24"/>
          <w:lang w:val="es-ES" w:eastAsia="es-ES_tradnl"/>
        </w:rPr>
        <w:t xml:space="preserve">selección, y por último, vi) los documentos tipo serían adoptados por categorías de acuerdo con la cuantía de la contratación. </w:t>
      </w:r>
    </w:p>
    <w:p w:rsidRPr="00E508DF" w:rsidR="00E508DF" w:rsidP="00E508DF" w:rsidRDefault="00E508DF" w14:paraId="4A3642D7" w14:textId="77777777">
      <w:pPr>
        <w:spacing w:before="120" w:after="120" w:line="276" w:lineRule="auto"/>
        <w:jc w:val="both"/>
        <w:rPr>
          <w:rFonts w:ascii="Century Gothic" w:hAnsi="Century Gothic" w:eastAsia="Calibri" w:cs="Arial"/>
          <w:color w:val="000000"/>
          <w:szCs w:val="24"/>
          <w:lang w:val="es-ES" w:eastAsia="es-ES_tradnl"/>
        </w:rPr>
      </w:pPr>
      <w:r w:rsidRPr="00E508DF">
        <w:rPr>
          <w:rFonts w:ascii="Century Gothic" w:hAnsi="Century Gothic" w:eastAsia="Calibri" w:cs="Arial"/>
          <w:color w:val="000000"/>
          <w:szCs w:val="24"/>
          <w:lang w:val="es-ES" w:eastAsia="es-ES_tradnl"/>
        </w:rPr>
        <w:tab/>
      </w:r>
      <w:r w:rsidRPr="00E508DF">
        <w:rPr>
          <w:rFonts w:ascii="Century Gothic" w:hAnsi="Century Gothic" w:eastAsia="Calibri" w:cs="Arial"/>
          <w:color w:val="000000"/>
          <w:szCs w:val="24"/>
          <w:lang w:val="es-ES" w:eastAsia="es-ES_tradnl"/>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508DF">
        <w:rPr>
          <w:rFonts w:ascii="Century Gothic" w:hAnsi="Century Gothic" w:eastAsia="Calibri" w:cs="Arial"/>
          <w:color w:val="000000"/>
          <w:szCs w:val="24"/>
          <w:vertAlign w:val="superscript"/>
          <w:lang w:val="es-ES" w:eastAsia="es-ES_tradnl"/>
        </w:rPr>
        <w:footnoteReference w:id="5"/>
      </w:r>
      <w:r w:rsidRPr="00E508DF">
        <w:rPr>
          <w:rFonts w:ascii="Century Gothic" w:hAnsi="Century Gothic" w:eastAsia="Calibri" w:cs="Arial"/>
          <w:color w:val="000000"/>
          <w:szCs w:val="24"/>
          <w:lang w:val="es-ES" w:eastAsia="es-ES_tradnl"/>
        </w:rPr>
        <w:t>.</w:t>
      </w:r>
    </w:p>
    <w:p w:rsidRPr="00E508DF" w:rsidR="00E508DF" w:rsidP="00E508DF" w:rsidRDefault="00E508DF" w14:paraId="1EAF16F6" w14:textId="77777777">
      <w:pPr>
        <w:spacing w:before="120" w:after="120" w:line="276" w:lineRule="auto"/>
        <w:jc w:val="both"/>
        <w:rPr>
          <w:rFonts w:ascii="Century Gothic" w:hAnsi="Century Gothic" w:eastAsia="Calibri" w:cs="Arial"/>
          <w:color w:val="000000"/>
          <w:szCs w:val="24"/>
          <w:lang w:val="es-ES" w:eastAsia="es-ES_tradnl"/>
        </w:rPr>
      </w:pPr>
      <w:r w:rsidRPr="00E508DF">
        <w:rPr>
          <w:rFonts w:ascii="Century Gothic" w:hAnsi="Century Gothic" w:eastAsia="Calibri" w:cs="Arial"/>
          <w:color w:val="000000"/>
          <w:szCs w:val="24"/>
          <w:lang w:val="es-ES" w:eastAsia="es-ES_tradnl"/>
        </w:rPr>
        <w:tab/>
      </w:r>
      <w:r w:rsidRPr="00E508DF">
        <w:rPr>
          <w:rFonts w:ascii="Century Gothic" w:hAnsi="Century Gothic" w:eastAsia="Calibri" w:cs="Arial"/>
          <w:color w:val="000000"/>
          <w:szCs w:val="24"/>
          <w:lang w:val="es-ES" w:eastAsia="es-ES_tradnl"/>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Pr="00E508DF" w:rsidR="00E508DF" w:rsidP="00E508DF" w:rsidRDefault="00E508DF" w14:paraId="3E10A193" w14:textId="77777777">
      <w:pPr>
        <w:spacing w:before="120" w:after="120" w:line="276" w:lineRule="auto"/>
        <w:jc w:val="both"/>
        <w:rPr>
          <w:rFonts w:ascii="Century Gothic" w:hAnsi="Century Gothic" w:eastAsia="Calibri" w:cs="Arial"/>
          <w:lang w:val="es-ES"/>
        </w:rPr>
      </w:pPr>
      <w:r w:rsidRPr="00E508DF">
        <w:rPr>
          <w:rFonts w:ascii="Century Gothic" w:hAnsi="Century Gothic" w:eastAsia="Calibri" w:cs="Arial"/>
          <w:color w:val="000000"/>
          <w:lang w:val="es-ES" w:eastAsia="es-ES_tradnl"/>
        </w:rPr>
        <w:tab/>
      </w:r>
      <w:r w:rsidRPr="00E508DF">
        <w:rPr>
          <w:rFonts w:ascii="Century Gothic" w:hAnsi="Century Gothic" w:eastAsia="Calibri" w:cs="Arial"/>
          <w:color w:val="000000"/>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E508DF">
        <w:rPr>
          <w:rFonts w:ascii="Century Gothic" w:hAnsi="Century Gothic" w:eastAsia="Calibri" w:cs="Arial"/>
          <w:lang w:val="es-ES"/>
        </w:rPr>
        <w:t xml:space="preserve">Dada la relevancia económica y el impacto que tienen en el nivel territorial los proyectos de obra en el sector transporte, el gobierno nacional, en vigencia del artículo 4 de </w:t>
      </w:r>
      <w:r w:rsidRPr="00E508DF">
        <w:rPr>
          <w:rFonts w:ascii="Century Gothic" w:hAnsi="Century Gothic" w:eastAsia="Calibri" w:cs="Arial"/>
          <w:lang w:val="es-ES"/>
        </w:rPr>
        <w:t xml:space="preserve">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E508DF" w:rsidR="00E508DF" w:rsidP="00E508DF" w:rsidRDefault="00E508DF" w14:paraId="1F1365D0" w14:textId="77777777">
      <w:pPr>
        <w:spacing w:before="120" w:after="120" w:line="276" w:lineRule="auto"/>
        <w:jc w:val="both"/>
        <w:rPr>
          <w:rFonts w:ascii="Century Gothic" w:hAnsi="Century Gothic" w:eastAsia="Calibri" w:cs="Arial"/>
          <w:color w:val="000000"/>
          <w:lang w:val="es-ES" w:eastAsia="es-ES_tradnl"/>
        </w:rPr>
      </w:pPr>
      <w:r w:rsidRPr="00E508DF">
        <w:rPr>
          <w:rFonts w:ascii="Century Gothic" w:hAnsi="Century Gothic" w:eastAsia="Calibri" w:cs="Arial"/>
          <w:lang w:val="es-ES"/>
        </w:rPr>
        <w:tab/>
      </w:r>
      <w:r w:rsidRPr="00E508DF">
        <w:rPr>
          <w:rFonts w:ascii="Century Gothic" w:hAnsi="Century Gothic" w:eastAsia="Calibri" w:cs="Arial"/>
          <w:lang w:val="es-ES"/>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508DF" w:rsidDel="00A434AB">
        <w:rPr>
          <w:rFonts w:ascii="Century Gothic" w:hAnsi="Century Gothic" w:eastAsia="Calibri" w:cs="Arial"/>
          <w:lang w:val="es-ES"/>
        </w:rPr>
        <w:t xml:space="preserve"> </w:t>
      </w:r>
      <w:r w:rsidRPr="00E508DF">
        <w:rPr>
          <w:rFonts w:ascii="Century Gothic" w:hAnsi="Century Gothic" w:eastAsia="Calibri"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rsidRPr="00E508DF" w:rsidR="00E508DF" w:rsidP="00E508DF" w:rsidRDefault="00E508DF" w14:paraId="46359522" w14:textId="77777777">
      <w:pPr>
        <w:spacing w:before="120" w:after="120" w:line="276" w:lineRule="auto"/>
        <w:ind w:firstLine="709"/>
        <w:jc w:val="both"/>
        <w:rPr>
          <w:rFonts w:ascii="Century Gothic" w:hAnsi="Century Gothic" w:eastAsia="Calibri" w:cs="Arial"/>
          <w:bdr w:val="none" w:color="auto" w:sz="0" w:space="0" w:frame="1"/>
        </w:rPr>
      </w:pPr>
      <w:bookmarkStart w:name="_Hlk143271549" w:id="7"/>
      <w:r w:rsidRPr="00E508DF">
        <w:rPr>
          <w:rFonts w:ascii="Century Gothic" w:hAnsi="Century Gothic" w:eastAsia="Calibri" w:cs="Arial"/>
          <w:color w:val="000000"/>
          <w:lang w:val="es-ES" w:eastAsia="es-ES"/>
        </w:rPr>
        <w:t>Por otra parte</w:t>
      </w:r>
      <w:r w:rsidRPr="00E508DF">
        <w:rPr>
          <w:rFonts w:ascii="Century Gothic" w:hAnsi="Century Gothic" w:eastAsia="Calibri" w:cs="Arial"/>
          <w:i/>
          <w:iCs/>
          <w:color w:val="000000"/>
          <w:lang w:val="es-ES" w:eastAsia="es-ES"/>
        </w:rPr>
        <w:t>,</w:t>
      </w:r>
      <w:r w:rsidRPr="00E508DF">
        <w:rPr>
          <w:rFonts w:ascii="Century Gothic" w:hAnsi="Century Gothic" w:eastAsia="Calibri" w:cs="Arial"/>
          <w:color w:val="000000"/>
          <w:lang w:val="es-ES" w:eastAsia="es-ES"/>
        </w:rPr>
        <w:t xml:space="preserve"> debe tenerse en cuenta que la Ley 2022 de 2020 fue sancionada por el </w:t>
      </w:r>
      <w:proofErr w:type="gramStart"/>
      <w:r w:rsidRPr="00E508DF">
        <w:rPr>
          <w:rFonts w:ascii="Century Gothic" w:hAnsi="Century Gothic" w:eastAsia="Calibri" w:cs="Arial"/>
          <w:color w:val="000000"/>
          <w:lang w:val="es-ES" w:eastAsia="es-ES"/>
        </w:rPr>
        <w:t>Presidente</w:t>
      </w:r>
      <w:proofErr w:type="gramEnd"/>
      <w:r w:rsidRPr="00E508DF">
        <w:rPr>
          <w:rFonts w:ascii="Century Gothic" w:hAnsi="Century Gothic" w:eastAsia="Calibri"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508DF">
        <w:rPr>
          <w:rFonts w:ascii="Century Gothic" w:hAnsi="Century Gothic" w:eastAsia="Calibri" w:cs="Arial"/>
          <w:color w:val="000000"/>
          <w:vertAlign w:val="superscript"/>
          <w:lang w:val="es-ES" w:eastAsia="es-ES"/>
        </w:rPr>
        <w:footnoteReference w:id="6"/>
      </w:r>
      <w:r w:rsidRPr="00E508DF">
        <w:rPr>
          <w:rFonts w:ascii="Century Gothic" w:hAnsi="Century Gothic" w:eastAsia="Calibri" w:cs="Arial"/>
          <w:color w:val="000000"/>
          <w:lang w:val="es-ES" w:eastAsia="es-ES"/>
        </w:rPr>
        <w:t xml:space="preserve">. En este sentido, con la finalidad de </w:t>
      </w:r>
      <w:r w:rsidRPr="00E508DF">
        <w:rPr>
          <w:rFonts w:ascii="Century Gothic" w:hAnsi="Century Gothic" w:eastAsia="Calibri" w:cs="Arial"/>
          <w:color w:val="000000"/>
          <w:lang w:val="es-ES" w:eastAsia="es-ES"/>
        </w:rPr>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rsidRPr="00E508DF" w:rsidR="00E508DF" w:rsidP="00E508DF" w:rsidRDefault="00E508DF" w14:paraId="10A71884" w14:textId="77777777">
      <w:pPr>
        <w:spacing w:before="120" w:after="120" w:line="276" w:lineRule="auto"/>
        <w:ind w:firstLine="709"/>
        <w:jc w:val="both"/>
        <w:rPr>
          <w:rFonts w:ascii="Century Gothic" w:hAnsi="Century Gothic" w:eastAsia="Calibri" w:cs="Arial"/>
          <w:lang w:val="es-ES" w:eastAsia="es-ES"/>
        </w:rPr>
      </w:pPr>
      <w:r w:rsidRPr="00E508DF">
        <w:rPr>
          <w:rFonts w:ascii="Century Gothic" w:hAnsi="Century Gothic" w:eastAsia="Calibri"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rsidRPr="00E508DF" w:rsidR="00E508DF" w:rsidP="00E508DF" w:rsidRDefault="00E508DF" w14:paraId="7564274A" w14:textId="77777777">
      <w:pPr>
        <w:spacing w:before="120" w:after="120" w:line="276" w:lineRule="auto"/>
        <w:ind w:firstLine="709"/>
        <w:jc w:val="both"/>
        <w:rPr>
          <w:rFonts w:ascii="Century Gothic" w:hAnsi="Century Gothic" w:eastAsia="Calibri" w:cs="Arial"/>
          <w:lang w:val="es-ES" w:eastAsia="es-ES"/>
        </w:rPr>
      </w:pPr>
      <w:r w:rsidRPr="00E508DF">
        <w:rPr>
          <w:rFonts w:ascii="Century Gothic" w:hAnsi="Century Gothic" w:eastAsia="Calibri"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rsidRPr="00E508DF" w:rsidR="00E508DF" w:rsidP="00E508DF" w:rsidRDefault="00E508DF" w14:paraId="1E442996" w14:textId="77777777">
      <w:pPr>
        <w:spacing w:before="120" w:after="120" w:line="276" w:lineRule="auto"/>
        <w:ind w:firstLine="709"/>
        <w:jc w:val="both"/>
        <w:rPr>
          <w:rFonts w:ascii="Century Gothic" w:hAnsi="Century Gothic" w:eastAsia="Calibri" w:cs="Arial"/>
        </w:rPr>
      </w:pPr>
      <w:r w:rsidRPr="00E508DF">
        <w:rPr>
          <w:rFonts w:ascii="Century Gothic" w:hAnsi="Century Gothic" w:eastAsia="Calibri" w:cs="Arial"/>
          <w:color w:val="000000"/>
          <w:lang w:val="es-ES" w:eastAsia="es-ES"/>
        </w:rPr>
        <w:t xml:space="preserve">Asimismo, en el transcurso del año 2021, esta Agencia expidió la Resolución 193 del 14 de julio de 2021, “Por la cual se adoptan los documentos tipo para los procesos de </w:t>
      </w:r>
      <w:r w:rsidRPr="00E508DF">
        <w:rPr>
          <w:rFonts w:ascii="Century Gothic" w:hAnsi="Century Gothic" w:eastAsia="Calibri"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E508DF">
        <w:rPr>
          <w:rFonts w:ascii="Century Gothic" w:hAnsi="Century Gothic" w:eastAsia="Calibri" w:cs="Arial"/>
          <w:bCs/>
          <w:iCs/>
          <w:shd w:val="clear" w:color="auto" w:fill="FFFFFF"/>
        </w:rPr>
        <w:t>Por la cual se adoptan los documentos tipo complementarios para los procesos de licitación de obra pública de infraestructura social relacionados con el sector salud</w:t>
      </w:r>
      <w:r w:rsidRPr="00E508DF">
        <w:rPr>
          <w:rFonts w:ascii="Century Gothic" w:hAnsi="Century Gothic" w:eastAsia="Calibri" w:cs="Arial"/>
          <w:lang w:val="es-ES" w:eastAsia="es-ES"/>
        </w:rPr>
        <w:t>”. Luego, se expidió la Resolución 454 del 16 de diciembre de 2021, “</w:t>
      </w:r>
      <w:r w:rsidRPr="00E508DF">
        <w:rPr>
          <w:rFonts w:ascii="Century Gothic" w:hAnsi="Century Gothic" w:eastAsia="Calibri" w:cs="Arial"/>
        </w:rPr>
        <w:t>Por la cual se adoptan los documentos tipo complementarios para los procesos de licitación de obra pública de infraestructura social relacionados con el sector cultura, recreación y deporte</w:t>
      </w:r>
      <w:r w:rsidRPr="00E508DF">
        <w:rPr>
          <w:rFonts w:ascii="Century Gothic" w:hAnsi="Century Gothic" w:eastAsia="Calibri" w:cs="Arial"/>
          <w:lang w:val="es-ES" w:eastAsia="es-ES"/>
        </w:rPr>
        <w:t>”</w:t>
      </w:r>
      <w:r w:rsidRPr="00E508DF">
        <w:rPr>
          <w:rFonts w:ascii="Century Gothic" w:hAnsi="Century Gothic" w:eastAsia="Calibri" w:cs="Arial"/>
        </w:rPr>
        <w:t>.</w:t>
      </w:r>
    </w:p>
    <w:p w:rsidRPr="00E508DF" w:rsidR="00E508DF" w:rsidP="00E508DF" w:rsidRDefault="00E508DF" w14:paraId="37FC21F4" w14:textId="77777777">
      <w:pPr>
        <w:spacing w:before="120" w:after="120" w:line="276" w:lineRule="auto"/>
        <w:ind w:firstLine="709"/>
        <w:jc w:val="both"/>
        <w:rPr>
          <w:rFonts w:ascii="Century Gothic" w:hAnsi="Century Gothic" w:eastAsia="Times New Roman" w:cs="Arial"/>
          <w:bdr w:val="none" w:color="auto" w:sz="0" w:space="0" w:frame="1"/>
          <w:lang w:val="es-ES_tradnl" w:eastAsia="es-CO"/>
        </w:rPr>
      </w:pPr>
      <w:r w:rsidRPr="00E508DF">
        <w:rPr>
          <w:rFonts w:ascii="Century Gothic" w:hAnsi="Century Gothic" w:eastAsia="Times New Roman" w:cs="Arial"/>
          <w:bdr w:val="none" w:color="auto" w:sz="0" w:space="0"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rsidRPr="00E508DF" w:rsidR="00E508DF" w:rsidP="00E508DF" w:rsidRDefault="00E508DF" w14:paraId="5EAF6BE6" w14:textId="77777777">
      <w:pPr>
        <w:spacing w:before="120" w:after="120" w:line="276" w:lineRule="auto"/>
        <w:ind w:firstLine="709"/>
        <w:jc w:val="both"/>
        <w:rPr>
          <w:rFonts w:ascii="Century Gothic" w:hAnsi="Century Gothic" w:eastAsia="Calibri" w:cs="Arial"/>
          <w:lang w:val="es-ES" w:eastAsia="es-ES"/>
        </w:rPr>
      </w:pPr>
      <w:r w:rsidRPr="1CD11FF5">
        <w:rPr>
          <w:rFonts w:ascii="Century Gothic" w:hAnsi="Century Gothic" w:eastAsia="Calibri" w:cs="Arial"/>
          <w:lang w:val="es-ES"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rsidRPr="00E508DF" w:rsidR="00E508DF" w:rsidP="00E508DF" w:rsidRDefault="00E508DF" w14:paraId="0ACB43BB" w14:textId="77777777">
      <w:pPr>
        <w:spacing w:after="0" w:line="276" w:lineRule="auto"/>
        <w:ind w:firstLine="709"/>
        <w:jc w:val="both"/>
        <w:rPr>
          <w:rFonts w:ascii="Century Gothic" w:hAnsi="Century Gothic" w:eastAsia="Calibri" w:cs="Arial"/>
          <w:spacing w:val="2"/>
          <w:lang w:eastAsia="es-CO"/>
        </w:rPr>
      </w:pPr>
      <w:r w:rsidRPr="00E508DF">
        <w:rPr>
          <w:rFonts w:ascii="Century Gothic" w:hAnsi="Century Gothic" w:eastAsia="Calibri" w:cs="Arial"/>
          <w:spacing w:val="2"/>
          <w:lang w:eastAsia="es-CO"/>
        </w:rPr>
        <w:t xml:space="preserve">Con posterioridad, el Decreto 1860 de 2021 modificó </w:t>
      </w:r>
      <w:r w:rsidRPr="00E508DF">
        <w:rPr>
          <w:rFonts w:ascii="Century Gothic" w:hAnsi="Century Gothic" w:eastAsia="Arial" w:cs="Arial"/>
          <w:szCs w:val="24"/>
          <w:lang w:eastAsia="es-CO"/>
        </w:rPr>
        <w:t xml:space="preserve">el Decreto 1082 de 2015, Único Reglamentario del Sector Administrativo de Planeación Nacional, incorporando una regulación detallada de la Ley 2069 de 2020 para su efectiva </w:t>
      </w:r>
      <w:r w:rsidRPr="00E508DF">
        <w:rPr>
          <w:rFonts w:ascii="Century Gothic" w:hAnsi="Century Gothic" w:eastAsia="Arial" w:cs="Arial"/>
          <w:szCs w:val="24"/>
          <w:lang w:eastAsia="es-CO"/>
        </w:rPr>
        <w:t xml:space="preserve">implementación en el sistema de compras y contratación pública, </w:t>
      </w:r>
      <w:r w:rsidRPr="00E508DF">
        <w:rPr>
          <w:rFonts w:ascii="Century Gothic" w:hAnsi="Century Gothic" w:eastAsia="Times New Roman" w:cs="Arial"/>
          <w:szCs w:val="24"/>
          <w:lang w:eastAsia="es-MX"/>
        </w:rPr>
        <w:t>además de incluir algunas disposiciones adicionales para la reglamentación efectiva de la citada Ley.</w:t>
      </w:r>
      <w:r w:rsidRPr="00E508DF">
        <w:rPr>
          <w:rFonts w:ascii="Century Gothic" w:hAnsi="Century Gothic" w:eastAsia="Arial" w:cs="Arial"/>
          <w:szCs w:val="24"/>
          <w:lang w:eastAsia="es-CO"/>
        </w:rPr>
        <w:t xml:space="preserve"> </w:t>
      </w:r>
      <w:r w:rsidRPr="00E508DF">
        <w:rPr>
          <w:rFonts w:ascii="Century Gothic" w:hAnsi="Century Gothic" w:eastAsia="Times New Roman"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E508DF">
        <w:rPr>
          <w:rFonts w:ascii="Century Gothic" w:hAnsi="Century Gothic" w:eastAsia="Calibri"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rsidRPr="00E508DF" w:rsidR="00E508DF" w:rsidP="00E508DF" w:rsidRDefault="00E508DF" w14:paraId="32F20300" w14:textId="77777777">
      <w:pPr>
        <w:spacing w:before="120" w:after="0" w:line="276" w:lineRule="auto"/>
        <w:ind w:firstLine="709"/>
        <w:jc w:val="both"/>
        <w:rPr>
          <w:rFonts w:ascii="Century Gothic" w:hAnsi="Century Gothic" w:eastAsia="Calibri" w:cs="Arial"/>
          <w:spacing w:val="2"/>
          <w:lang w:eastAsia="es-CO"/>
        </w:rPr>
      </w:pPr>
      <w:r w:rsidRPr="00E508DF">
        <w:rPr>
          <w:rFonts w:ascii="Century Gothic" w:hAnsi="Century Gothic" w:eastAsia="Calibri" w:cs="Arial"/>
          <w:spacing w:val="2"/>
          <w:lang w:eastAsia="es-CO"/>
        </w:rPr>
        <w:t>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w:t>
      </w:r>
      <w:r w:rsidRPr="00E508DF">
        <w:rPr>
          <w:rFonts w:ascii="Century Gothic" w:hAnsi="Century Gothic" w:eastAsia="Calibri" w:cs="Arial"/>
          <w:spacing w:val="2"/>
          <w:vertAlign w:val="superscript"/>
          <w:lang w:eastAsia="es-CO"/>
        </w:rPr>
        <w:footnoteReference w:id="7"/>
      </w:r>
      <w:r w:rsidRPr="00E508DF">
        <w:rPr>
          <w:rFonts w:ascii="Century Gothic" w:hAnsi="Century Gothic" w:eastAsia="Calibri" w:cs="Arial"/>
          <w:spacing w:val="2"/>
          <w:lang w:eastAsia="es-CO"/>
        </w:rPr>
        <w:t xml:space="preserve">. </w:t>
      </w:r>
    </w:p>
    <w:p w:rsidRPr="00E508DF" w:rsidR="00E508DF" w:rsidP="00E508DF" w:rsidRDefault="00E508DF" w14:paraId="0969D4F8" w14:textId="77777777">
      <w:pPr>
        <w:spacing w:before="120" w:after="0" w:line="276" w:lineRule="auto"/>
        <w:ind w:firstLine="709"/>
        <w:jc w:val="both"/>
        <w:rPr>
          <w:rFonts w:ascii="Century Gothic" w:hAnsi="Century Gothic" w:eastAsia="Calibri" w:cs="Arial"/>
          <w:spacing w:val="2"/>
          <w:lang w:eastAsia="es-CO"/>
        </w:rPr>
      </w:pPr>
      <w:r w:rsidRPr="00E508DF">
        <w:rPr>
          <w:rFonts w:ascii="Century Gothic" w:hAnsi="Century Gothic" w:eastAsia="Calibri" w:cs="Arial"/>
          <w:spacing w:val="2"/>
          <w:lang w:eastAsia="es-CO"/>
        </w:rPr>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E508DF">
        <w:rPr>
          <w:rFonts w:ascii="Century Gothic" w:hAnsi="Century Gothic" w:eastAsia="Calibri" w:cs="Arial"/>
          <w:spacing w:val="2"/>
          <w:kern w:val="2"/>
          <w:lang w:val="es-ES_tradnl" w:eastAsia="es-CO"/>
          <w14:ligatures w14:val="standardContextual"/>
        </w:rPr>
        <w:t>Finalmente, la Agencia expidió la Resolución 798 de 2023,</w:t>
      </w:r>
      <w:r w:rsidRPr="00E508DF">
        <w:rPr>
          <w:rFonts w:ascii="Aptos" w:hAnsi="Aptos" w:eastAsia="Aptos" w:cs="Times New Roman"/>
          <w:kern w:val="2"/>
          <w:lang w:val="es-ES_tradnl"/>
          <w14:ligatures w14:val="standardContextual"/>
        </w:rPr>
        <w:t xml:space="preserve"> “</w:t>
      </w:r>
      <w:r w:rsidRPr="00E508DF">
        <w:rPr>
          <w:rFonts w:ascii="Century Gothic" w:hAnsi="Century Gothic" w:eastAsia="Calibri"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w:t>
      </w:r>
      <w:r w:rsidRPr="00E508DF">
        <w:rPr>
          <w:rFonts w:ascii="Century Gothic" w:hAnsi="Century Gothic" w:eastAsia="Calibri" w:cs="Arial"/>
          <w:spacing w:val="2"/>
          <w:kern w:val="2"/>
          <w:lang w:val="es-ES_tradnl" w:eastAsia="es-CO"/>
          <w14:ligatures w14:val="standardContextual"/>
        </w:rPr>
        <w:t xml:space="preserve">los sectores de educación, salud, cultura, recreación y deporte”. Para </w:t>
      </w:r>
      <w:proofErr w:type="gramStart"/>
      <w:r w:rsidRPr="00E508DF">
        <w:rPr>
          <w:rFonts w:ascii="Century Gothic" w:hAnsi="Century Gothic" w:eastAsia="Calibri" w:cs="Arial"/>
          <w:spacing w:val="2"/>
          <w:kern w:val="2"/>
          <w:lang w:val="es-ES_tradnl" w:eastAsia="es-CO"/>
          <w14:ligatures w14:val="standardContextual"/>
        </w:rPr>
        <w:t>mayor información</w:t>
      </w:r>
      <w:proofErr w:type="gramEnd"/>
      <w:r w:rsidRPr="00E508DF">
        <w:rPr>
          <w:rFonts w:ascii="Century Gothic" w:hAnsi="Century Gothic" w:eastAsia="Calibri" w:cs="Arial"/>
          <w:spacing w:val="2"/>
          <w:kern w:val="2"/>
          <w:lang w:val="es-ES_tradnl" w:eastAsia="es-CO"/>
          <w14:ligatures w14:val="standardContextual"/>
        </w:rPr>
        <w:t xml:space="preserve"> sobre los </w:t>
      </w:r>
      <w:r w:rsidRPr="00E508DF">
        <w:rPr>
          <w:rFonts w:ascii="Century Gothic" w:hAnsi="Century Gothic" w:eastAsia="Calibri" w:cs="Arial"/>
          <w:spacing w:val="2"/>
          <w:lang w:eastAsia="es-CO"/>
        </w:rPr>
        <w:t xml:space="preserve">actos administrativos que han implementado documentos tipo en el ordenamiento jurídico, puede consultar el siguiente enlace: </w:t>
      </w:r>
      <w:hyperlink w:history="1" r:id="rId11">
        <w:r w:rsidRPr="00E508DF">
          <w:rPr>
            <w:rFonts w:ascii="Century Gothic" w:hAnsi="Century Gothic" w:eastAsia="Calibri" w:cs="Arial"/>
            <w:color w:val="0000FF"/>
            <w:spacing w:val="2"/>
            <w:u w:val="single"/>
          </w:rPr>
          <w:t>https://www.colombiacompra.gov.co/documentos-tipo/documentos-tipo</w:t>
        </w:r>
      </w:hyperlink>
      <w:r w:rsidRPr="00E508DF">
        <w:rPr>
          <w:rFonts w:ascii="Century Gothic" w:hAnsi="Century Gothic" w:eastAsia="Calibri" w:cs="Arial"/>
          <w:spacing w:val="2"/>
          <w:lang w:eastAsia="es-CO"/>
        </w:rPr>
        <w:t xml:space="preserve">. </w:t>
      </w:r>
      <w:r w:rsidRPr="00E508DF">
        <w:rPr>
          <w:rFonts w:ascii="Century Gothic" w:hAnsi="Century Gothic" w:eastAsia="Calibri" w:cs="Arial"/>
          <w:lang w:eastAsia="en-GB"/>
        </w:rPr>
        <w:t xml:space="preserve"> </w:t>
      </w:r>
    </w:p>
    <w:bookmarkEnd w:id="6"/>
    <w:p w:rsidRPr="00E508DF" w:rsidR="00E508DF" w:rsidP="00E508DF" w:rsidRDefault="00E508DF" w14:paraId="3C1BE9E3" w14:textId="77777777">
      <w:pPr>
        <w:tabs>
          <w:tab w:val="left" w:pos="0"/>
        </w:tabs>
        <w:spacing w:after="0" w:line="276" w:lineRule="auto"/>
        <w:contextualSpacing/>
        <w:jc w:val="both"/>
        <w:rPr>
          <w:rFonts w:ascii="Century Gothic" w:hAnsi="Century Gothic" w:eastAsia="Calibri" w:cs="Arial"/>
          <w:b/>
          <w:lang w:val="es-ES_tradnl" w:eastAsia="es-ES_tradnl"/>
        </w:rPr>
      </w:pPr>
      <w:r w:rsidRPr="00E508DF">
        <w:rPr>
          <w:rFonts w:ascii="Century Gothic" w:hAnsi="Century Gothic" w:eastAsia="Calibri" w:cs="Arial"/>
          <w:lang w:eastAsia="en-GB"/>
        </w:rPr>
        <w:t xml:space="preserve"> </w:t>
      </w:r>
    </w:p>
    <w:p w:rsidRPr="00E508DF" w:rsidR="00E508DF" w:rsidP="00E508DF" w:rsidRDefault="00E508DF" w14:paraId="15E8815C" w14:textId="77777777">
      <w:pPr>
        <w:tabs>
          <w:tab w:val="left" w:pos="0"/>
        </w:tabs>
        <w:spacing w:after="0" w:line="276" w:lineRule="auto"/>
        <w:contextualSpacing/>
        <w:jc w:val="both"/>
        <w:rPr>
          <w:rFonts w:ascii="Century Gothic" w:hAnsi="Century Gothic" w:eastAsia="Calibri" w:cs="Arial"/>
          <w:b/>
          <w:lang w:val="es-ES_tradnl" w:eastAsia="es-ES_tradnl"/>
        </w:rPr>
      </w:pPr>
      <w:r w:rsidRPr="00E508DF">
        <w:rPr>
          <w:rFonts w:ascii="Century Gothic" w:hAnsi="Century Gothic" w:eastAsia="Calibri" w:cs="Arial"/>
          <w:b/>
          <w:lang w:val="es-ES_tradnl" w:eastAsia="es-ES_tradnl"/>
        </w:rPr>
        <w:t xml:space="preserve">2.2. </w:t>
      </w:r>
      <w:bookmarkStart w:name="_Hlk95322387" w:id="8"/>
      <w:r w:rsidRPr="00E508DF">
        <w:rPr>
          <w:rFonts w:ascii="Century Gothic" w:hAnsi="Century Gothic" w:eastAsia="Calibri" w:cs="Arial"/>
          <w:b/>
          <w:lang w:val="es-ES_tradnl"/>
        </w:rPr>
        <w:t xml:space="preserve">Alcance del artículo 56 de la Ley 2195 de 2022 frente a la implementación obligatoria del </w:t>
      </w:r>
      <w:r w:rsidRPr="00E508DF">
        <w:rPr>
          <w:rFonts w:ascii="Century Gothic" w:hAnsi="Century Gothic" w:eastAsia="Calibri" w:cs="Arial"/>
          <w:b/>
          <w:lang w:val="es-ES_tradnl" w:eastAsia="es-ES_tradnl"/>
        </w:rPr>
        <w:t xml:space="preserve">Estatuto General de Contratación de la Administración Pública </w:t>
      </w:r>
      <w:r w:rsidRPr="00E508DF">
        <w:rPr>
          <w:rFonts w:ascii="Century Gothic" w:hAnsi="Century Gothic" w:eastAsia="Calibri" w:cs="Arial"/>
          <w:b/>
          <w:lang w:val="es-ES_tradnl"/>
        </w:rPr>
        <w:t>y de los documentos tipo en la celebración de convenios o contratos interadministrativos o de cualquier otra índole con entidades estatales exceptuadas y particulares</w:t>
      </w:r>
    </w:p>
    <w:bookmarkEnd w:id="8"/>
    <w:p w:rsidRPr="00E508DF" w:rsidR="00E508DF" w:rsidP="00E508DF" w:rsidRDefault="00E508DF" w14:paraId="13B75C60" w14:textId="77777777">
      <w:pPr>
        <w:tabs>
          <w:tab w:val="left" w:pos="0"/>
        </w:tabs>
        <w:spacing w:after="0" w:line="276" w:lineRule="auto"/>
        <w:contextualSpacing/>
        <w:jc w:val="both"/>
        <w:rPr>
          <w:rFonts w:ascii="Century Gothic" w:hAnsi="Century Gothic" w:eastAsia="Calibri" w:cs="Arial"/>
          <w:bCs/>
          <w:lang w:val="es-ES_tradnl" w:eastAsia="es-ES_tradnl"/>
        </w:rPr>
      </w:pPr>
    </w:p>
    <w:p w:rsidRPr="00E508DF" w:rsidR="00E508DF" w:rsidP="1CD11FF5" w:rsidRDefault="00E508DF" w14:paraId="7C5F79F5" w14:textId="77777777">
      <w:pPr>
        <w:spacing w:after="120" w:line="276" w:lineRule="auto"/>
        <w:jc w:val="both"/>
        <w:rPr>
          <w:rFonts w:ascii="Century Gothic" w:hAnsi="Century Gothic" w:eastAsia="Calibri" w:cs="Arial"/>
          <w:lang w:val="es-ES" w:eastAsia="es-ES"/>
        </w:rPr>
      </w:pPr>
      <w:r w:rsidRPr="1CD11FF5">
        <w:rPr>
          <w:rFonts w:ascii="Century Gothic" w:hAnsi="Century Gothic" w:eastAsia="Calibri" w:cs="Arial"/>
          <w:lang w:val="es-ES" w:eastAsia="es-ES"/>
        </w:rPr>
        <w:t xml:space="preserve">En virtud de la Ley 2022 de 2020, los documentos tipo expedidos por la Agencia Nacional de Contratación Pública – Colombia Compra Eficiente– son de aplicación obligatoria para las entidades estatales sometidas al Estatuto General de Contratación de la Administración Pública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rsidRPr="00E508DF" w:rsidR="00E508DF" w:rsidP="00E508DF" w:rsidRDefault="00E508DF" w14:paraId="75D696D9"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
          <w:lang w:val="es-ES_tradnl" w:eastAsia="es-ES_tradnl"/>
        </w:rPr>
        <w:tab/>
      </w:r>
      <w:bookmarkStart w:name="_Hlk113023000" w:id="9"/>
      <w:r w:rsidRPr="00E508DF">
        <w:rPr>
          <w:rFonts w:ascii="Century Gothic" w:hAnsi="Century Gothic" w:eastAsia="Calibri" w:cs="Arial"/>
          <w:bCs/>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E508DF">
        <w:rPr>
          <w:rFonts w:ascii="Century Gothic" w:hAnsi="Century Gothic" w:eastAsia="Calibri" w:cs="Arial"/>
          <w:lang w:val="es-ES_tradnl" w:eastAsia="es-ES_tradnl"/>
        </w:rPr>
        <w:t>“</w:t>
      </w:r>
      <w:r w:rsidRPr="00E508DF">
        <w:rPr>
          <w:rFonts w:ascii="Century Gothic" w:hAnsi="Century Gothic" w:eastAsia="Times New Roman" w:cs="Arial"/>
          <w:lang w:val="es-ES_tradnl" w:eastAsia="es-ES_tradnl"/>
        </w:rPr>
        <w:t xml:space="preserve">[…] </w:t>
      </w:r>
      <w:r w:rsidRPr="00E508DF">
        <w:rPr>
          <w:rFonts w:ascii="Century Gothic" w:hAnsi="Century Gothic" w:eastAsia="Calibri"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E508DF">
        <w:rPr>
          <w:rFonts w:ascii="Century Gothic" w:hAnsi="Century Gothic" w:eastAsia="Calibri" w:cs="Arial"/>
          <w:bCs/>
          <w:lang w:val="es-ES_tradnl" w:eastAsia="es-ES_tradnl"/>
        </w:rPr>
        <w:t>destaca el artículo 56.</w:t>
      </w:r>
    </w:p>
    <w:p w:rsidRPr="00E508DF" w:rsidR="00E508DF" w:rsidP="00E508DF" w:rsidRDefault="00E508DF" w14:paraId="446603EF"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Para comenzar el análisis del contenido de la referida disposición, es pertinente iniciar estudiando su trámite legislativo. Al respecto, el Proyecto de Ley No. 341 de 2020</w:t>
      </w:r>
      <w:r w:rsidRPr="00E508DF">
        <w:rPr>
          <w:rFonts w:ascii="Century Gothic" w:hAnsi="Century Gothic" w:eastAsia="Calibri" w:cs="Arial"/>
          <w:bCs/>
          <w:vertAlign w:val="superscript"/>
          <w:lang w:val="es-ES_tradnl" w:eastAsia="es-ES_tradnl"/>
        </w:rPr>
        <w:footnoteReference w:id="8"/>
      </w:r>
      <w:r w:rsidRPr="00E508DF">
        <w:rPr>
          <w:rFonts w:ascii="Century Gothic" w:hAnsi="Century Gothic" w:eastAsia="Calibri" w:cs="Arial"/>
          <w:bCs/>
          <w:lang w:val="es-ES_tradnl" w:eastAsia="es-ES_tradnl"/>
        </w:rPr>
        <w:t xml:space="preserve"> radicado el 20 de octubre de 2020 por el gobierno nacional ante </w:t>
      </w:r>
      <w:r w:rsidRPr="00E508DF">
        <w:rPr>
          <w:rFonts w:ascii="Century Gothic" w:hAnsi="Century Gothic" w:eastAsia="Calibri" w:cs="Arial"/>
          <w:bCs/>
          <w:lang w:val="es-ES_tradnl" w:eastAsia="es-ES_tradnl"/>
        </w:rPr>
        <w:t>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 369 de 2021</w:t>
      </w:r>
      <w:r w:rsidRPr="00E508DF">
        <w:rPr>
          <w:rFonts w:ascii="Century Gothic" w:hAnsi="Century Gothic" w:eastAsia="Calibri" w:cs="Arial"/>
          <w:bCs/>
          <w:vertAlign w:val="superscript"/>
          <w:lang w:val="es-ES_tradnl" w:eastAsia="es-ES_tradnl"/>
        </w:rPr>
        <w:footnoteReference w:id="9"/>
      </w:r>
      <w:r w:rsidRPr="00E508DF">
        <w:rPr>
          <w:rFonts w:ascii="Century Gothic" w:hAnsi="Century Gothic" w:eastAsia="Calibri" w:cs="Arial"/>
          <w:bCs/>
          <w:lang w:val="es-ES_tradnl" w:eastAsia="es-ES_tradnl"/>
        </w:rPr>
        <w:t xml:space="preserve"> y a continuación conciliado por ambas cámaras el 16 y 15 de diciembre de 2021, respectivamente.</w:t>
      </w:r>
    </w:p>
    <w:p w:rsidRPr="00E508DF" w:rsidR="00E508DF" w:rsidP="00E508DF" w:rsidRDefault="00E508DF" w14:paraId="18B1C078" w14:textId="77777777">
      <w:pPr>
        <w:tabs>
          <w:tab w:val="left" w:pos="0"/>
        </w:tabs>
        <w:spacing w:after="0" w:line="276" w:lineRule="auto"/>
        <w:jc w:val="both"/>
        <w:rPr>
          <w:rFonts w:ascii="Century Gothic" w:hAnsi="Century Gothic" w:eastAsia="Calibri" w:cs="Arial"/>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 xml:space="preserve">Sobre el tema, es importante indicar que, en el informe de ponencia para primer debate legislativo en Senado, previo a la intervención realizada por la Subdirección de Gestión Contractual de la Agencia, </w:t>
      </w:r>
      <w:r w:rsidRPr="00E508DF">
        <w:rPr>
          <w:rFonts w:ascii="Century Gothic" w:hAnsi="Century Gothic" w:eastAsia="Calibri" w:cs="Arial"/>
          <w:lang w:val="es-ES_tradnl" w:eastAsia="es-ES_tradnl"/>
        </w:rPr>
        <w:t xml:space="preserve">en audiencia pública realizada por la </w:t>
      </w:r>
      <w:r w:rsidRPr="00E508DF">
        <w:rPr>
          <w:rFonts w:ascii="Century Gothic" w:hAnsi="Century Gothic" w:eastAsia="Calibri" w:cs="Arial"/>
        </w:rPr>
        <w:t xml:space="preserve">Comisión Primera del Senado </w:t>
      </w:r>
      <w:r w:rsidRPr="00E508DF">
        <w:rPr>
          <w:rFonts w:ascii="Century Gothic" w:hAnsi="Century Gothic" w:eastAsia="Calibri" w:cs="Arial"/>
          <w:lang w:val="es-ES_tradnl" w:eastAsia="es-ES_tradnl"/>
        </w:rPr>
        <w:t xml:space="preserve">el día </w:t>
      </w:r>
      <w:r w:rsidRPr="00E508DF">
        <w:rPr>
          <w:rFonts w:ascii="Century Gothic" w:hAnsi="Century Gothic" w:eastAsia="Calibri" w:cs="Arial"/>
        </w:rPr>
        <w:t xml:space="preserve">14 de diciembre de 2020, </w:t>
      </w:r>
      <w:r w:rsidRPr="00E508DF">
        <w:rPr>
          <w:rFonts w:ascii="Century Gothic" w:hAnsi="Century Gothic" w:eastAsia="Calibri" w:cs="Arial"/>
          <w:bCs/>
          <w:lang w:val="es-ES_tradnl" w:eastAsia="es-ES_tradnl"/>
        </w:rPr>
        <w:t xml:space="preserve">se incluyeron disposiciones en el proyecto de Ley relacionadas por ejemplo con: </w:t>
      </w:r>
      <w:r w:rsidRPr="00E508DF">
        <w:rPr>
          <w:rFonts w:ascii="Century Gothic" w:hAnsi="Century Gothic" w:eastAsia="Calibri"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E508DF">
        <w:rPr>
          <w:rFonts w:ascii="Century Gothic" w:hAnsi="Century Gothic" w:eastAsia="Calibri" w:cs="Arial"/>
          <w:vertAlign w:val="superscript"/>
          <w:lang w:val="es-ES_tradnl" w:eastAsia="es-ES_tradnl"/>
        </w:rPr>
        <w:footnoteReference w:id="10"/>
      </w:r>
      <w:r w:rsidRPr="00E508DF">
        <w:rPr>
          <w:rFonts w:ascii="Century Gothic" w:hAnsi="Century Gothic" w:eastAsia="Calibri" w:cs="Arial"/>
          <w:lang w:val="es-ES_tradnl" w:eastAsia="es-ES_tradnl"/>
        </w:rPr>
        <w:t xml:space="preserve">. </w:t>
      </w:r>
      <w:r w:rsidRPr="00E508DF">
        <w:rPr>
          <w:rFonts w:ascii="Century Gothic" w:hAnsi="Century Gothic" w:eastAsia="Calibri" w:cs="Arial"/>
          <w:lang w:val="es-ES" w:eastAsia="es-ES"/>
        </w:rPr>
        <w:t xml:space="preserve">En ese orden de ideas, se incorporó en el informe para primer debate legislativo el artículo 85, denominado “Aplicación del Régimen de Contratación Pública en Entidades del Régimen Privado o Especial”, que disponía: </w:t>
      </w:r>
    </w:p>
    <w:p w:rsidRPr="00E508DF" w:rsidR="00E508DF" w:rsidP="00E508DF" w:rsidRDefault="00E508DF" w14:paraId="76316A7F" w14:textId="77777777">
      <w:pPr>
        <w:spacing w:after="0" w:line="276" w:lineRule="auto"/>
        <w:jc w:val="both"/>
        <w:rPr>
          <w:rFonts w:ascii="Century Gothic" w:hAnsi="Century Gothic" w:eastAsia="Calibri" w:cs="Arial"/>
          <w:lang w:val="es-ES" w:eastAsia="es-ES"/>
        </w:rPr>
      </w:pPr>
    </w:p>
    <w:p w:rsidRPr="00E508DF" w:rsidR="00E508DF" w:rsidP="00E508DF" w:rsidRDefault="00E508DF" w14:paraId="60CF7F19" w14:textId="77777777">
      <w:pPr>
        <w:tabs>
          <w:tab w:val="left" w:pos="0"/>
        </w:tabs>
        <w:spacing w:after="120" w:line="240" w:lineRule="auto"/>
        <w:ind w:left="709" w:right="709"/>
        <w:jc w:val="both"/>
        <w:rPr>
          <w:rFonts w:ascii="Century Gothic" w:hAnsi="Century Gothic" w:eastAsia="Calibri" w:cs="Arial"/>
          <w:bCs/>
          <w:sz w:val="21"/>
          <w:szCs w:val="21"/>
          <w:lang w:val="es-ES_tradnl" w:eastAsia="es-ES_tradnl"/>
        </w:rPr>
      </w:pPr>
      <w:r w:rsidRPr="00E508DF">
        <w:rPr>
          <w:rFonts w:ascii="Century Gothic" w:hAnsi="Century Gothic" w:eastAsia="Calibri"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w:t>
      </w:r>
      <w:r w:rsidRPr="00E508DF">
        <w:rPr>
          <w:rFonts w:ascii="Century Gothic" w:hAnsi="Century Gothic" w:eastAsia="Calibri" w:cs="Arial"/>
          <w:bCs/>
          <w:sz w:val="21"/>
          <w:szCs w:val="21"/>
          <w:lang w:val="es-ES_tradnl" w:eastAsia="es-ES_tradnl"/>
        </w:rPr>
        <w:t xml:space="preserve">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rsidRPr="00E508DF" w:rsidR="00E508DF" w:rsidP="00E508DF" w:rsidRDefault="00E508DF" w14:paraId="134BD0C1" w14:textId="77777777">
      <w:pPr>
        <w:spacing w:after="0" w:line="240" w:lineRule="auto"/>
        <w:ind w:left="709" w:right="709"/>
        <w:jc w:val="both"/>
        <w:rPr>
          <w:rFonts w:ascii="Century Gothic" w:hAnsi="Century Gothic" w:eastAsia="Calibri" w:cs="Arial"/>
          <w:sz w:val="21"/>
          <w:szCs w:val="21"/>
          <w:lang w:val="es-ES" w:eastAsia="es-ES"/>
        </w:rPr>
      </w:pPr>
      <w:r w:rsidRPr="00E508DF">
        <w:rPr>
          <w:rFonts w:ascii="Century Gothic" w:hAnsi="Century Gothic" w:eastAsia="Calibri"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E508DF">
        <w:rPr>
          <w:rFonts w:ascii="Century Gothic" w:hAnsi="Century Gothic" w:eastAsia="Calibri" w:cs="Arial"/>
          <w:sz w:val="21"/>
          <w:szCs w:val="21"/>
          <w:vertAlign w:val="superscript"/>
          <w:lang w:val="es-ES" w:eastAsia="es-ES"/>
        </w:rPr>
        <w:footnoteReference w:id="11"/>
      </w:r>
    </w:p>
    <w:p w:rsidRPr="00E508DF" w:rsidR="00E508DF" w:rsidP="00E508DF" w:rsidRDefault="00E508DF" w14:paraId="5E943A74" w14:textId="77777777">
      <w:pPr>
        <w:spacing w:after="0" w:line="276" w:lineRule="auto"/>
        <w:ind w:left="709" w:right="709"/>
        <w:jc w:val="both"/>
        <w:rPr>
          <w:rFonts w:ascii="Century Gothic" w:hAnsi="Century Gothic" w:eastAsia="Calibri" w:cs="Arial"/>
          <w:lang w:val="es-ES" w:eastAsia="es-ES"/>
        </w:rPr>
      </w:pPr>
    </w:p>
    <w:p w:rsidRPr="00E508DF" w:rsidR="00E508DF" w:rsidP="00E508DF" w:rsidRDefault="00E508DF" w14:paraId="779352C6" w14:textId="77777777">
      <w:pPr>
        <w:tabs>
          <w:tab w:val="left" w:pos="0"/>
        </w:tabs>
        <w:spacing w:after="120" w:line="276" w:lineRule="auto"/>
        <w:jc w:val="both"/>
        <w:rPr>
          <w:rFonts w:ascii="Century Gothic" w:hAnsi="Century Gothic" w:eastAsia="Calibri" w:cs="Arial"/>
        </w:rPr>
      </w:pPr>
      <w:r w:rsidRPr="00E508DF">
        <w:rPr>
          <w:rFonts w:ascii="Century Gothic" w:hAnsi="Century Gothic" w:eastAsia="Calibri" w:cs="Arial"/>
          <w:bCs/>
          <w:lang w:val="es-ES_tradnl" w:eastAsia="es-ES_tradnl"/>
        </w:rPr>
        <w:tab/>
      </w:r>
      <w:r w:rsidRPr="00E508DF">
        <w:rPr>
          <w:rFonts w:ascii="Century Gothic" w:hAnsi="Century Gothic" w:eastAsia="Calibri" w:cs="Arial"/>
          <w:lang w:val="es-ES_tradnl" w:eastAsia="es-ES_tradnl"/>
        </w:rPr>
        <w:t xml:space="preserve">Conforme a lo expuesto en el pliego de modificaciones al proyecto de Ley, la adición del articulado en mención tiene como fin </w:t>
      </w:r>
      <w:r w:rsidRPr="00E508DF">
        <w:rPr>
          <w:rFonts w:ascii="Century Gothic" w:hAnsi="Century Gothic" w:eastAsia="Calibri" w:cs="Arial"/>
        </w:rPr>
        <w:t xml:space="preserve">“Extender la </w:t>
      </w:r>
      <w:r w:rsidRPr="00E508DF">
        <w:rPr>
          <w:rFonts w:ascii="Century Gothic" w:hAnsi="Century Gothic" w:eastAsia="Calibri" w:cs="Arial"/>
          <w:i/>
        </w:rPr>
        <w:t>obligatoriedad de la aplicación del régimen de contratación estatal y pliegos tipo, cuando se celebran convenios interadministrativos</w:t>
      </w:r>
      <w:r w:rsidRPr="00E508DF">
        <w:rPr>
          <w:rFonts w:ascii="Century Gothic" w:hAnsi="Century Gothic" w:eastAsia="Calibri" w:cs="Arial"/>
        </w:rPr>
        <w:t xml:space="preserve"> con una entidad que tiene régimen de contratación privada </w:t>
      </w:r>
      <w:r w:rsidRPr="00E508DF">
        <w:rPr>
          <w:rFonts w:ascii="Century Gothic" w:hAnsi="Century Gothic" w:eastAsia="Calibri" w:cs="Arial"/>
          <w:i/>
        </w:rPr>
        <w:t>con el fin de evitar la contratación directa con recursos del estado y proveer de mayores garantías al proceso</w:t>
      </w:r>
      <w:r w:rsidRPr="00E508DF">
        <w:rPr>
          <w:rFonts w:ascii="Century Gothic" w:hAnsi="Century Gothic" w:eastAsia="Calibri" w:cs="Arial"/>
        </w:rPr>
        <w:t>”</w:t>
      </w:r>
      <w:r w:rsidRPr="00E508DF">
        <w:rPr>
          <w:rFonts w:ascii="Century Gothic" w:hAnsi="Century Gothic" w:eastAsia="Calibri" w:cs="Arial"/>
          <w:vertAlign w:val="superscript"/>
        </w:rPr>
        <w:footnoteReference w:id="12"/>
      </w:r>
      <w:r w:rsidRPr="00E508DF">
        <w:rPr>
          <w:rFonts w:ascii="Century Gothic" w:hAnsi="Century Gothic" w:eastAsia="Calibri" w:cs="Arial"/>
        </w:rPr>
        <w:t xml:space="preserve">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rsidRPr="00E508DF" w:rsidR="00E508DF" w:rsidP="00E508DF" w:rsidRDefault="00E508DF" w14:paraId="69DB5F94" w14:textId="77777777">
      <w:pPr>
        <w:tabs>
          <w:tab w:val="left" w:pos="0"/>
        </w:tabs>
        <w:spacing w:after="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Sin embargo, para segunda ponencia del Senado</w:t>
      </w:r>
      <w:r w:rsidRPr="00E508DF">
        <w:rPr>
          <w:rFonts w:ascii="Century Gothic" w:hAnsi="Century Gothic" w:eastAsia="Calibri" w:cs="Arial"/>
          <w:bCs/>
          <w:vertAlign w:val="superscript"/>
          <w:lang w:val="es-ES_tradnl" w:eastAsia="es-ES_tradnl"/>
        </w:rPr>
        <w:footnoteReference w:id="13"/>
      </w:r>
      <w:r w:rsidRPr="00E508DF">
        <w:rPr>
          <w:rFonts w:ascii="Century Gothic" w:hAnsi="Century Gothic" w:eastAsia="Calibri" w:cs="Arial"/>
          <w:bCs/>
          <w:lang w:val="es-ES_tradnl" w:eastAsia="es-ES_tradnl"/>
        </w:rPr>
        <w:t xml:space="preserve"> se propuso eliminar el artículo en mención con motivo a la inconveniencia que podría generar en su aplicación, aceptándose su eliminación. No obstante, para Plenaria de Senado se </w:t>
      </w:r>
      <w:r w:rsidRPr="00E508DF">
        <w:rPr>
          <w:rFonts w:ascii="Century Gothic" w:hAnsi="Century Gothic" w:eastAsia="Calibri" w:cs="Arial"/>
          <w:bCs/>
          <w:lang w:val="es-ES_tradnl" w:eastAsia="es-ES_tradnl"/>
        </w:rPr>
        <w:t>propuso un nuevo artículo para su trámite ante la Cámara de Representantes, que dispone lo siguiente:</w:t>
      </w:r>
    </w:p>
    <w:p w:rsidRPr="00E508DF" w:rsidR="00E508DF" w:rsidP="00E508DF" w:rsidRDefault="00E508DF" w14:paraId="1FEE8F1A" w14:textId="77777777">
      <w:pPr>
        <w:tabs>
          <w:tab w:val="left" w:pos="0"/>
        </w:tabs>
        <w:spacing w:after="0" w:line="276" w:lineRule="auto"/>
        <w:jc w:val="both"/>
        <w:rPr>
          <w:rFonts w:ascii="Century Gothic" w:hAnsi="Century Gothic" w:eastAsia="Calibri" w:cs="Arial"/>
          <w:bCs/>
          <w:lang w:val="es-ES_tradnl" w:eastAsia="es-ES_tradnl"/>
        </w:rPr>
      </w:pPr>
    </w:p>
    <w:p w:rsidRPr="00E508DF" w:rsidR="00E508DF" w:rsidP="00E508DF" w:rsidRDefault="00E508DF" w14:paraId="1DF4A639" w14:textId="77777777">
      <w:pPr>
        <w:tabs>
          <w:tab w:val="left" w:pos="0"/>
        </w:tabs>
        <w:spacing w:after="120" w:line="240" w:lineRule="auto"/>
        <w:ind w:left="709" w:right="709"/>
        <w:jc w:val="both"/>
        <w:rPr>
          <w:rFonts w:ascii="Century Gothic" w:hAnsi="Century Gothic" w:eastAsia="Calibri" w:cs="Arial"/>
          <w:sz w:val="21"/>
          <w:szCs w:val="21"/>
        </w:rPr>
      </w:pPr>
      <w:r w:rsidRPr="00E508DF">
        <w:rPr>
          <w:rFonts w:ascii="Century Gothic" w:hAnsi="Century Gothic" w:eastAsia="Calibri"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rsidRPr="00E508DF" w:rsidR="00E508DF" w:rsidP="00E508DF" w:rsidRDefault="00E508DF" w14:paraId="4D99A103" w14:textId="77777777">
      <w:pPr>
        <w:tabs>
          <w:tab w:val="left" w:pos="0"/>
        </w:tabs>
        <w:spacing w:after="0" w:line="240" w:lineRule="auto"/>
        <w:ind w:left="709" w:right="709"/>
        <w:jc w:val="both"/>
        <w:rPr>
          <w:rFonts w:ascii="Century Gothic" w:hAnsi="Century Gothic" w:eastAsia="Calibri" w:cs="Arial"/>
          <w:bCs/>
          <w:sz w:val="21"/>
          <w:szCs w:val="21"/>
          <w:lang w:val="es-ES_tradnl" w:eastAsia="es-ES_tradnl"/>
        </w:rPr>
      </w:pPr>
      <w:r w:rsidRPr="00E508DF">
        <w:rPr>
          <w:rFonts w:ascii="Century Gothic" w:hAnsi="Century Gothic" w:eastAsia="Calibri"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E508DF">
        <w:rPr>
          <w:rFonts w:ascii="Century Gothic" w:hAnsi="Century Gothic" w:eastAsia="Calibri" w:cs="Arial"/>
          <w:sz w:val="21"/>
          <w:szCs w:val="21"/>
          <w:vertAlign w:val="superscript"/>
        </w:rPr>
        <w:footnoteReference w:id="14"/>
      </w:r>
    </w:p>
    <w:p w:rsidRPr="00E508DF" w:rsidR="00E508DF" w:rsidP="00E508DF" w:rsidRDefault="00E508DF" w14:paraId="19C2D4CC" w14:textId="77777777">
      <w:pPr>
        <w:tabs>
          <w:tab w:val="left" w:pos="0"/>
        </w:tabs>
        <w:spacing w:after="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p>
    <w:p w:rsidRPr="00E508DF" w:rsidR="00E508DF" w:rsidP="00E508DF" w:rsidRDefault="00E508DF" w14:paraId="626A4E61" w14:textId="77777777">
      <w:pPr>
        <w:tabs>
          <w:tab w:val="left" w:pos="0"/>
        </w:tabs>
        <w:spacing w:after="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lang w:val="es-ES_tradnl" w:eastAsia="es-ES_tradnl"/>
        </w:rPr>
        <w:t>La mencionada disposición pasó el debate en Cámara de Representantes con algunos ajustes en la redacción del artículo</w:t>
      </w:r>
      <w:r w:rsidRPr="00E508DF">
        <w:rPr>
          <w:rFonts w:ascii="Century Gothic" w:hAnsi="Century Gothic" w:eastAsia="Calibri" w:cs="Arial"/>
          <w:vertAlign w:val="superscript"/>
          <w:lang w:val="es-ES_tradnl" w:eastAsia="es-ES_tradnl"/>
        </w:rPr>
        <w:footnoteReference w:id="15"/>
      </w:r>
      <w:r w:rsidRPr="00E508DF">
        <w:rPr>
          <w:rFonts w:ascii="Century Gothic" w:hAnsi="Century Gothic" w:eastAsia="Calibri"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9"/>
      <w:r w:rsidRPr="00E508DF">
        <w:rPr>
          <w:rFonts w:ascii="Century Gothic" w:hAnsi="Century Gothic" w:eastAsia="Calibri" w:cs="Arial"/>
          <w:lang w:val="es-ES_tradnl" w:eastAsia="es-ES_tradnl"/>
        </w:rPr>
        <w:t xml:space="preserve">con entidades estatales exceptuadas o con régimen especial de contratación, patrimonios autónomos o particulares. Consecuentemente, fue aprobada su </w:t>
      </w:r>
      <w:r w:rsidRPr="00E508DF">
        <w:rPr>
          <w:rFonts w:ascii="Century Gothic" w:hAnsi="Century Gothic" w:eastAsia="Calibri" w:cs="Arial"/>
          <w:lang w:val="es-ES_tradnl" w:eastAsia="es-ES_tradnl"/>
        </w:rPr>
        <w:t>redacción en conciliación del texto en ambas cámaras</w:t>
      </w:r>
      <w:r w:rsidRPr="00E508DF">
        <w:rPr>
          <w:rFonts w:ascii="Century Gothic" w:hAnsi="Century Gothic" w:eastAsia="Times New Roman" w:cs="Arial"/>
          <w:vertAlign w:val="superscript"/>
          <w:lang w:val="es-ES_tradnl" w:eastAsia="es-ES_tradnl"/>
        </w:rPr>
        <w:footnoteReference w:id="16"/>
      </w:r>
      <w:r w:rsidRPr="00E508DF">
        <w:rPr>
          <w:rFonts w:ascii="Century Gothic" w:hAnsi="Century Gothic" w:eastAsia="Calibri" w:cs="Arial"/>
          <w:lang w:val="es-ES_tradnl" w:eastAsia="es-ES_tradnl"/>
        </w:rPr>
        <w:t xml:space="preserve"> prescribiendo la redacción de la norma hoy día vigente, en los siguientes términos:</w:t>
      </w:r>
      <w:r w:rsidRPr="00E508DF">
        <w:rPr>
          <w:rFonts w:ascii="Century Gothic" w:hAnsi="Century Gothic" w:eastAsia="Calibri" w:cs="Arial"/>
          <w:bCs/>
          <w:lang w:val="es-ES_tradnl" w:eastAsia="es-ES_tradnl"/>
        </w:rPr>
        <w:t xml:space="preserve"> </w:t>
      </w:r>
    </w:p>
    <w:p w:rsidRPr="00E508DF" w:rsidR="00E508DF" w:rsidP="00E508DF" w:rsidRDefault="00E508DF" w14:paraId="234DC8E4" w14:textId="77777777">
      <w:pPr>
        <w:tabs>
          <w:tab w:val="left" w:pos="0"/>
        </w:tabs>
        <w:spacing w:after="0" w:line="276" w:lineRule="auto"/>
        <w:jc w:val="both"/>
        <w:rPr>
          <w:rFonts w:ascii="Century Gothic" w:hAnsi="Century Gothic" w:eastAsia="Calibri" w:cs="Arial"/>
          <w:bCs/>
          <w:lang w:val="es-ES_tradnl" w:eastAsia="es-ES_tradnl"/>
        </w:rPr>
      </w:pPr>
    </w:p>
    <w:p w:rsidRPr="00E508DF" w:rsidR="00E508DF" w:rsidP="00E508DF" w:rsidRDefault="00E508DF" w14:paraId="7A208AA5" w14:textId="77777777">
      <w:pPr>
        <w:tabs>
          <w:tab w:val="left" w:pos="0"/>
        </w:tabs>
        <w:spacing w:after="0" w:line="240" w:lineRule="auto"/>
        <w:ind w:left="709" w:right="709"/>
        <w:contextualSpacing/>
        <w:jc w:val="both"/>
        <w:rPr>
          <w:rFonts w:ascii="Century Gothic" w:hAnsi="Century Gothic" w:eastAsia="Times New Roman" w:cs="Arial"/>
          <w:sz w:val="21"/>
          <w:szCs w:val="21"/>
          <w:lang w:val="es-ES_tradnl" w:eastAsia="es-ES_tradnl"/>
        </w:rPr>
      </w:pPr>
      <w:r w:rsidRPr="00E508DF">
        <w:rPr>
          <w:rFonts w:ascii="Century Gothic" w:hAnsi="Century Gothic" w:eastAsia="Times New Roman"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rsidRPr="00E508DF" w:rsidR="00E508DF" w:rsidP="00E508DF" w:rsidRDefault="00E508DF" w14:paraId="4D73E882" w14:textId="77777777">
      <w:pPr>
        <w:tabs>
          <w:tab w:val="left" w:pos="0"/>
        </w:tabs>
        <w:spacing w:after="0" w:line="240" w:lineRule="auto"/>
        <w:ind w:left="709" w:right="709"/>
        <w:contextualSpacing/>
        <w:jc w:val="both"/>
        <w:rPr>
          <w:rFonts w:ascii="Century Gothic" w:hAnsi="Century Gothic" w:eastAsia="Times New Roman" w:cs="Arial"/>
          <w:sz w:val="12"/>
          <w:szCs w:val="12"/>
          <w:lang w:val="es-ES_tradnl" w:eastAsia="es-ES_tradnl"/>
        </w:rPr>
      </w:pPr>
    </w:p>
    <w:p w:rsidRPr="00E508DF" w:rsidR="00E508DF" w:rsidP="00E508DF" w:rsidRDefault="00E508DF" w14:paraId="72AB93C6" w14:textId="77777777">
      <w:pPr>
        <w:tabs>
          <w:tab w:val="left" w:pos="0"/>
        </w:tabs>
        <w:spacing w:after="0" w:line="240" w:lineRule="auto"/>
        <w:ind w:left="709" w:right="709"/>
        <w:contextualSpacing/>
        <w:jc w:val="both"/>
        <w:rPr>
          <w:rFonts w:ascii="Century Gothic" w:hAnsi="Century Gothic" w:eastAsia="Times New Roman" w:cs="Arial"/>
          <w:sz w:val="21"/>
          <w:szCs w:val="21"/>
          <w:lang w:val="es-ES_tradnl" w:eastAsia="es-ES_tradnl"/>
        </w:rPr>
      </w:pPr>
      <w:r w:rsidRPr="00E508DF">
        <w:rPr>
          <w:rFonts w:ascii="Century Gothic" w:hAnsi="Century Gothic" w:eastAsia="Times New Roman"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rsidRPr="00E508DF" w:rsidR="00E508DF" w:rsidP="00E508DF" w:rsidRDefault="00E508DF" w14:paraId="3B50F6E2" w14:textId="77777777">
      <w:pPr>
        <w:tabs>
          <w:tab w:val="left" w:pos="0"/>
        </w:tabs>
        <w:spacing w:after="0" w:line="240" w:lineRule="auto"/>
        <w:ind w:left="709" w:right="709"/>
        <w:contextualSpacing/>
        <w:jc w:val="both"/>
        <w:rPr>
          <w:rFonts w:ascii="Century Gothic" w:hAnsi="Century Gothic" w:eastAsia="Times New Roman" w:cs="Arial"/>
          <w:sz w:val="12"/>
          <w:szCs w:val="12"/>
          <w:lang w:val="es-ES_tradnl" w:eastAsia="es-ES_tradnl"/>
        </w:rPr>
      </w:pPr>
    </w:p>
    <w:p w:rsidRPr="00E508DF" w:rsidR="00E508DF" w:rsidP="1CD11FF5" w:rsidRDefault="00E508DF" w14:paraId="2C1C21EE" w14:textId="77777777">
      <w:pPr>
        <w:spacing w:after="0" w:line="240" w:lineRule="auto"/>
        <w:ind w:left="709" w:right="709"/>
        <w:contextualSpacing/>
        <w:jc w:val="both"/>
        <w:rPr>
          <w:rFonts w:ascii="Century Gothic" w:hAnsi="Century Gothic" w:eastAsia="Calibri" w:cs="Arial"/>
          <w:sz w:val="21"/>
          <w:szCs w:val="21"/>
          <w:lang w:val="es-ES" w:eastAsia="es-ES"/>
        </w:rPr>
      </w:pPr>
      <w:r w:rsidRPr="1CD11FF5">
        <w:rPr>
          <w:rFonts w:ascii="Century Gothic" w:hAnsi="Century Gothic" w:eastAsia="Times New Roman" w:cs="Arial"/>
          <w:sz w:val="21"/>
          <w:szCs w:val="21"/>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rsidRPr="00E508DF" w:rsidR="00E508DF" w:rsidP="00E508DF" w:rsidRDefault="00E508DF" w14:paraId="4E4E7B88" w14:textId="77777777">
      <w:pPr>
        <w:tabs>
          <w:tab w:val="left" w:pos="0"/>
        </w:tabs>
        <w:spacing w:after="0" w:line="276" w:lineRule="auto"/>
        <w:contextualSpacing/>
        <w:jc w:val="both"/>
        <w:rPr>
          <w:rFonts w:ascii="Century Gothic" w:hAnsi="Century Gothic" w:eastAsia="Calibri" w:cs="Arial"/>
          <w:bCs/>
          <w:lang w:val="es-ES_tradnl" w:eastAsia="es-ES_tradnl"/>
        </w:rPr>
      </w:pPr>
    </w:p>
    <w:p w:rsidRPr="00E508DF" w:rsidR="00E508DF" w:rsidP="00E508DF" w:rsidRDefault="00E508DF" w14:paraId="33E5E29B"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 xml:space="preserve">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w:t>
      </w:r>
      <w:r w:rsidRPr="00E508DF">
        <w:rPr>
          <w:rFonts w:ascii="Century Gothic" w:hAnsi="Century Gothic" w:eastAsia="Calibri" w:cs="Arial"/>
          <w:bCs/>
          <w:lang w:val="es-ES_tradnl" w:eastAsia="es-ES_tradnl"/>
        </w:rPr>
        <w:t>determinar el verdadero alcance de la norma bajo estudio, a lo cual se procede a continuación.</w:t>
      </w:r>
    </w:p>
    <w:p w:rsidRPr="00E508DF" w:rsidR="00E508DF" w:rsidP="00E508DF" w:rsidRDefault="00E508DF" w14:paraId="153311C1"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rsidRPr="00E508DF" w:rsidR="00E508DF" w:rsidP="00E508DF" w:rsidRDefault="00E508DF" w14:paraId="633CCA7D" w14:textId="77777777">
      <w:pPr>
        <w:tabs>
          <w:tab w:val="left" w:pos="0"/>
        </w:tabs>
        <w:spacing w:after="120" w:line="276" w:lineRule="auto"/>
        <w:jc w:val="both"/>
        <w:rPr>
          <w:rFonts w:ascii="Century Gothic" w:hAnsi="Century Gothic" w:eastAsia="Calibri" w:cs="Arial"/>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E508DF">
        <w:rPr>
          <w:rFonts w:ascii="Century Gothic" w:hAnsi="Century Gothic" w:eastAsia="Calibri" w:cs="Arial"/>
          <w:i/>
          <w:iCs/>
          <w:lang w:val="es-ES_tradnl" w:eastAsia="es-ES_tradnl"/>
        </w:rPr>
        <w:t>ibidem</w:t>
      </w:r>
      <w:r w:rsidRPr="00E508DF">
        <w:rPr>
          <w:rFonts w:ascii="Century Gothic" w:hAnsi="Century Gothic" w:eastAsia="Calibri"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r w:rsidRPr="00E508DF">
        <w:rPr>
          <w:rFonts w:ascii="Century Gothic" w:hAnsi="Century Gothic" w:eastAsia="Calibri" w:cs="Arial"/>
          <w:bCs/>
          <w:lang w:val="es-ES_tradnl" w:eastAsia="es-ES_tradnl"/>
        </w:rPr>
        <w:t>Desde esta perspectiva, no pudiera</w:t>
      </w:r>
      <w:r w:rsidRPr="00E508DF">
        <w:rPr>
          <w:rFonts w:ascii="Century Gothic" w:hAnsi="Century Gothic" w:eastAsia="Calibri"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E508DF">
        <w:rPr>
          <w:rFonts w:ascii="Century Gothic" w:hAnsi="Century Gothic" w:eastAsia="Calibri" w:cs="Arial"/>
          <w:bCs/>
          <w:lang w:val="es-ES_tradnl" w:eastAsia="es-ES_tradnl"/>
        </w:rPr>
        <w:t xml:space="preserve"> </w:t>
      </w:r>
      <w:r w:rsidRPr="00E508DF">
        <w:rPr>
          <w:rFonts w:ascii="Century Gothic" w:hAnsi="Century Gothic" w:eastAsia="Calibri" w:cs="Arial"/>
          <w:lang w:val="es-ES_tradnl" w:eastAsia="es-ES_tradnl"/>
        </w:rPr>
        <w:t xml:space="preserve">la obligatoriedad de utilizar documentos pliego tipo </w:t>
      </w:r>
      <w:r w:rsidRPr="00E508DF">
        <w:rPr>
          <w:rFonts w:ascii="Century Gothic" w:hAnsi="Century Gothic" w:eastAsia="Calibri" w:cs="Arial"/>
          <w:bCs/>
          <w:lang w:val="es-ES_tradnl" w:eastAsia="es-ES_tradnl"/>
        </w:rPr>
        <w:t xml:space="preserve">se extiende </w:t>
      </w:r>
      <w:r w:rsidRPr="00E508DF">
        <w:rPr>
          <w:rFonts w:ascii="Century Gothic" w:hAnsi="Century Gothic" w:eastAsia="Calibri" w:cs="Arial"/>
          <w:lang w:val="es-ES_tradnl" w:eastAsia="es-ES_tradnl"/>
        </w:rPr>
        <w:t xml:space="preserve">en los convenios o contratos interadministrativos o de cualquier otra índole, </w:t>
      </w:r>
      <w:r w:rsidRPr="00E508DF">
        <w:rPr>
          <w:rFonts w:ascii="Century Gothic" w:hAnsi="Century Gothic" w:eastAsia="Calibri" w:cs="Arial"/>
          <w:bCs/>
          <w:lang w:val="es-ES_tradnl" w:eastAsia="es-ES_tradnl"/>
        </w:rPr>
        <w:t>y</w:t>
      </w:r>
      <w:r w:rsidRPr="00E508DF">
        <w:rPr>
          <w:rFonts w:ascii="Century Gothic" w:hAnsi="Century Gothic" w:eastAsia="Calibri" w:cs="Arial"/>
          <w:lang w:val="es-ES_tradnl" w:eastAsia="es-ES_tradnl"/>
        </w:rPr>
        <w:t>a las diferentes modalidades de selección de los Procesos de Contratación adelantados por entidades sometidas al EGCAP</w:t>
      </w:r>
      <w:r w:rsidRPr="00E508DF">
        <w:rPr>
          <w:rFonts w:ascii="Century Gothic" w:hAnsi="Century Gothic" w:eastAsia="Calibri" w:cs="Arial"/>
          <w:bCs/>
          <w:lang w:val="es-ES_tradnl" w:eastAsia="es-ES_tradnl"/>
        </w:rPr>
        <w:t>.</w:t>
      </w:r>
    </w:p>
    <w:p w:rsidRPr="00E508DF" w:rsidR="00E508DF" w:rsidP="00E508DF" w:rsidRDefault="00E508DF" w14:paraId="2E311226"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Antes de la expedición del artículo 56 de la Ley 2195 de 2022, ya se había establecido el mandato de aplicación obligatoria de los documentos tipo para las entidades estatales sometidas al EGCAP, atribuyendo a esta Agencia la competencia para expedirlos. Esta norma imperativa debía observarse siempre y cuando el objeto contratar esté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rsidRPr="00E508DF" w:rsidR="00E508DF" w:rsidP="00E508DF" w:rsidRDefault="00E508DF" w14:paraId="2B92157F"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lang w:val="es-ES_tradnl" w:eastAsia="es-ES_tradnl"/>
        </w:rPr>
        <w:t>Ahora,</w:t>
      </w:r>
      <w:r w:rsidRPr="00E508DF">
        <w:rPr>
          <w:rFonts w:ascii="Century Gothic" w:hAnsi="Century Gothic" w:eastAsia="Calibri"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name="_Hlk109963698" w:id="10"/>
      <w:r w:rsidRPr="00E508DF">
        <w:rPr>
          <w:rFonts w:ascii="Century Gothic" w:hAnsi="Century Gothic" w:eastAsia="Calibri"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E508DF">
        <w:rPr>
          <w:rFonts w:ascii="Century Gothic" w:hAnsi="Century Gothic" w:eastAsia="Calibri" w:cs="Arial"/>
          <w:bCs/>
          <w:strike/>
          <w:lang w:val="es-ES_tradnl" w:eastAsia="es-ES_tradnl"/>
        </w:rPr>
        <w:t xml:space="preserve"> </w:t>
      </w:r>
      <w:bookmarkEnd w:id="10"/>
    </w:p>
    <w:p w:rsidRPr="00E508DF" w:rsidR="00E508DF" w:rsidP="00E508DF" w:rsidRDefault="00E508DF" w14:paraId="1E4F6CE0" w14:textId="77777777">
      <w:pPr>
        <w:spacing w:after="120" w:line="276" w:lineRule="auto"/>
        <w:ind w:firstLine="709"/>
        <w:jc w:val="both"/>
        <w:rPr>
          <w:rFonts w:ascii="Century Gothic" w:hAnsi="Century Gothic" w:eastAsia="Calibri" w:cs="Arial"/>
          <w:lang w:val="es-ES" w:eastAsia="es-ES"/>
        </w:rPr>
      </w:pPr>
      <w:r w:rsidRPr="00E508DF">
        <w:rPr>
          <w:rFonts w:ascii="Century Gothic" w:hAnsi="Century Gothic" w:eastAsia="Calibri" w:cs="Arial"/>
        </w:rPr>
        <w:t xml:space="preserve">Esta Agencia ha considerado, como se explicó </w:t>
      </w:r>
      <w:r w:rsidRPr="00E508DF">
        <w:rPr>
          <w:rFonts w:ascii="Century Gothic" w:hAnsi="Century Gothic" w:eastAsia="Calibri" w:cs="Arial"/>
          <w:i/>
          <w:iCs/>
        </w:rPr>
        <w:t>ut supra</w:t>
      </w:r>
      <w:r w:rsidRPr="00E508DF">
        <w:rPr>
          <w:rFonts w:ascii="Century Gothic" w:hAnsi="Century Gothic" w:eastAsia="Calibri" w:cs="Arial"/>
        </w:rPr>
        <w:t xml:space="preserve">, que </w:t>
      </w:r>
      <w:r w:rsidRPr="00E508DF">
        <w:rPr>
          <w:rFonts w:ascii="Century Gothic" w:hAnsi="Century Gothic" w:eastAsia="Calibri" w:cs="Arial"/>
          <w:lang w:val="es-ES" w:eastAsia="es-ES"/>
        </w:rPr>
        <w:t xml:space="preserve">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w:t>
      </w:r>
      <w:r w:rsidRPr="00E508DF">
        <w:rPr>
          <w:rFonts w:ascii="Century Gothic" w:hAnsi="Century Gothic" w:eastAsia="Calibri" w:cs="Arial"/>
          <w:lang w:val="es-ES" w:eastAsia="es-ES"/>
        </w:rPr>
        <w:t>Ley 1150 de 2007</w:t>
      </w:r>
      <w:r w:rsidRPr="00E508DF">
        <w:rPr>
          <w:rFonts w:ascii="Century Gothic" w:hAnsi="Century Gothic" w:eastAsia="Calibri" w:cs="Arial"/>
          <w:vertAlign w:val="superscript"/>
          <w:lang w:val="es-ES" w:eastAsia="es-ES"/>
        </w:rPr>
        <w:footnoteReference w:id="17"/>
      </w:r>
      <w:r w:rsidRPr="00E508DF">
        <w:rPr>
          <w:rFonts w:ascii="Century Gothic" w:hAnsi="Century Gothic" w:eastAsia="Calibri" w:cs="Arial"/>
          <w:lang w:val="es-ES" w:eastAsia="es-ES"/>
        </w:rPr>
        <w:t xml:space="preserve">, ahora deberán tenerse en cuenta las siguientes reglas: i) </w:t>
      </w:r>
      <w:r w:rsidRPr="00E508DF">
        <w:rPr>
          <w:rFonts w:ascii="Century Gothic" w:hAnsi="Century Gothic" w:eastAsia="Calibri" w:cs="Arial"/>
          <w:i/>
          <w:lang w:val="es-ES" w:eastAsia="es-ES"/>
        </w:rPr>
        <w:t>en el caso de los convenios interadministrativos o de cualquier otra índole:</w:t>
      </w:r>
      <w:r w:rsidRPr="00E508DF">
        <w:rPr>
          <w:rFonts w:ascii="Century Gothic" w:hAnsi="Century Gothic" w:eastAsia="Calibri"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w:t>
      </w:r>
      <w:proofErr w:type="spellStart"/>
      <w:r w:rsidRPr="00E508DF">
        <w:rPr>
          <w:rFonts w:ascii="Century Gothic" w:hAnsi="Century Gothic" w:eastAsia="Calibri" w:cs="Arial"/>
          <w:lang w:val="es-ES" w:eastAsia="es-ES"/>
        </w:rPr>
        <w:t>ii</w:t>
      </w:r>
      <w:proofErr w:type="spellEnd"/>
      <w:r w:rsidRPr="00E508DF">
        <w:rPr>
          <w:rFonts w:ascii="Century Gothic" w:hAnsi="Century Gothic" w:eastAsia="Calibri" w:cs="Arial"/>
          <w:lang w:val="es-ES" w:eastAsia="es-ES"/>
        </w:rPr>
        <w:t xml:space="preserve">) </w:t>
      </w:r>
      <w:r w:rsidRPr="00E508DF">
        <w:rPr>
          <w:rFonts w:ascii="Century Gothic" w:hAnsi="Century Gothic" w:eastAsia="Calibri" w:cs="Arial"/>
          <w:i/>
          <w:lang w:val="es-ES" w:eastAsia="es-ES"/>
        </w:rPr>
        <w:t>en el caso de los contratos interadministrativos</w:t>
      </w:r>
      <w:r w:rsidRPr="00E508DF">
        <w:rPr>
          <w:rFonts w:ascii="Century Gothic" w:hAnsi="Century Gothic" w:eastAsia="Calibri" w:cs="Arial"/>
          <w:lang w:val="es-ES" w:eastAsia="es-ES"/>
        </w:rPr>
        <w:t xml:space="preserve"> </w:t>
      </w:r>
      <w:r w:rsidRPr="00E508DF">
        <w:rPr>
          <w:rFonts w:ascii="Century Gothic" w:hAnsi="Century Gothic" w:eastAsia="Calibri" w:cs="Arial"/>
          <w:i/>
          <w:lang w:val="es-ES" w:eastAsia="es-ES"/>
        </w:rPr>
        <w:t>o de cualquier otra índole</w:t>
      </w:r>
      <w:r w:rsidRPr="00E508DF">
        <w:rPr>
          <w:rFonts w:ascii="Century Gothic" w:hAnsi="Century Gothic" w:eastAsia="Calibri" w:cs="Arial"/>
          <w:lang w:val="es-ES" w:eastAsia="es-ES"/>
        </w:rPr>
        <w:t xml:space="preserve">: </w:t>
      </w:r>
      <w:r w:rsidRPr="00E508DF">
        <w:rPr>
          <w:rFonts w:ascii="Century Gothic" w:hAnsi="Century Gothic" w:eastAsia="Times New Roman"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E508DF">
        <w:rPr>
          <w:rFonts w:ascii="Century Gothic" w:hAnsi="Century Gothic" w:eastAsia="Calibri" w:cs="Arial"/>
          <w:lang w:val="es-ES" w:eastAsia="es-ES"/>
        </w:rPr>
        <w:t>entidad sometida al EGCAP.</w:t>
      </w:r>
    </w:p>
    <w:p w:rsidRPr="00E508DF" w:rsidR="00E508DF" w:rsidP="00E508DF" w:rsidRDefault="00E508DF" w14:paraId="681088A4" w14:textId="77777777">
      <w:pPr>
        <w:tabs>
          <w:tab w:val="left" w:pos="0"/>
        </w:tabs>
        <w:spacing w:after="120" w:line="276" w:lineRule="auto"/>
        <w:jc w:val="both"/>
        <w:rPr>
          <w:rFonts w:ascii="Century Gothic" w:hAnsi="Century Gothic" w:eastAsia="Calibri" w:cs="Arial"/>
          <w:bCs/>
          <w:lang w:val="es-ES_tradnl" w:eastAsia="es-ES_tradnl"/>
        </w:rPr>
      </w:pPr>
      <w:r w:rsidRPr="00E508DF">
        <w:rPr>
          <w:rFonts w:ascii="Century Gothic" w:hAnsi="Century Gothic" w:eastAsia="Calibri" w:cs="Arial"/>
          <w:bCs/>
          <w:lang w:val="es-ES_tradnl" w:eastAsia="es-ES_tradnl"/>
        </w:rPr>
        <w:tab/>
      </w:r>
      <w:r w:rsidRPr="00E508DF">
        <w:rPr>
          <w:rFonts w:ascii="Century Gothic" w:hAnsi="Century Gothic" w:eastAsia="Calibri" w:cs="Arial"/>
          <w:bCs/>
          <w:lang w:val="es-ES_tradnl" w:eastAsia="es-ES_tradnl"/>
        </w:rPr>
        <w:t xml:space="preserve"> </w:t>
      </w:r>
      <w:bookmarkStart w:name="_Hlk113023365" w:id="12"/>
      <w:r w:rsidRPr="00E508DF">
        <w:rPr>
          <w:rFonts w:ascii="Century Gothic" w:hAnsi="Century Gothic" w:eastAsia="Calibri" w:cs="Arial"/>
          <w:bCs/>
          <w:lang w:val="es-ES_tradnl" w:eastAsia="es-ES_tradnl"/>
        </w:rPr>
        <w:t xml:space="preserve">El segundo inciso de la norma bajo estudio usa la expresión </w:t>
      </w:r>
      <w:r w:rsidRPr="00E508DF">
        <w:rPr>
          <w:rFonts w:ascii="Century Gothic" w:hAnsi="Century Gothic" w:eastAsia="Calibri" w:cs="Arial"/>
          <w:lang w:val="es-ES_tradnl" w:eastAsia="es-ES_tradnl"/>
        </w:rPr>
        <w:t>“</w:t>
      </w:r>
      <w:r w:rsidRPr="00E508DF">
        <w:rPr>
          <w:rFonts w:ascii="Century Gothic" w:hAnsi="Century Gothic" w:eastAsia="Times New Roman" w:cs="Arial"/>
          <w:lang w:eastAsia="es-ES_tradnl"/>
        </w:rPr>
        <w:t>los procedimientos de selección y contratos que realicen en desarrollo de los anteriores negocios jurídicos</w:t>
      </w:r>
      <w:r w:rsidRPr="00E508DF">
        <w:rPr>
          <w:rFonts w:ascii="Century Gothic" w:hAnsi="Century Gothic" w:eastAsia="Calibri" w:cs="Arial"/>
          <w:lang w:val="es-ES_tradnl" w:eastAsia="es-ES_tradnl"/>
        </w:rPr>
        <w:t>”</w:t>
      </w:r>
      <w:r w:rsidRPr="00E508DF">
        <w:rPr>
          <w:rFonts w:ascii="Century Gothic" w:hAnsi="Century Gothic" w:eastAsia="Times New Roman"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E508DF">
        <w:rPr>
          <w:rFonts w:ascii="Century Gothic" w:hAnsi="Century Gothic" w:eastAsia="Times New Roman" w:cs="Arial"/>
          <w:i/>
          <w:iCs/>
          <w:lang w:eastAsia="es-ES_tradnl"/>
        </w:rPr>
        <w:t>desarrollar</w:t>
      </w:r>
      <w:r w:rsidRPr="00E508DF">
        <w:rPr>
          <w:rFonts w:ascii="Century Gothic" w:hAnsi="Century Gothic" w:eastAsia="Times New Roman"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rsidRPr="00E508DF" w:rsidR="00E508DF" w:rsidP="1CD11FF5" w:rsidRDefault="00E508DF" w14:paraId="5D56EF6A" w14:textId="77777777">
      <w:pPr>
        <w:spacing w:after="120" w:line="276" w:lineRule="auto"/>
        <w:jc w:val="both"/>
        <w:rPr>
          <w:rFonts w:ascii="Century Gothic" w:hAnsi="Century Gothic" w:eastAsia="Calibri" w:cs="Arial"/>
          <w:lang w:val="es-ES" w:eastAsia="es-ES"/>
        </w:rPr>
      </w:pPr>
      <w:r w:rsidRPr="00E508DF">
        <w:rPr>
          <w:rFonts w:ascii="Century Gothic" w:hAnsi="Century Gothic" w:eastAsia="Calibri" w:cs="Arial"/>
          <w:bCs/>
          <w:lang w:val="es-ES_tradnl" w:eastAsia="es-ES_tradnl"/>
        </w:rPr>
        <w:tab/>
      </w:r>
      <w:r w:rsidRPr="1CD11FF5">
        <w:rPr>
          <w:rFonts w:ascii="Century Gothic" w:hAnsi="Century Gothic" w:eastAsia="Calibri"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name="_Hlk113023433" w:id="13"/>
      <w:bookmarkEnd w:id="12"/>
      <w:r w:rsidRPr="1CD11FF5">
        <w:rPr>
          <w:rFonts w:ascii="Century Gothic" w:hAnsi="Century Gothic" w:eastAsia="Calibri" w:cs="Arial"/>
          <w:lang w:val="es-ES" w:eastAsia="es-ES"/>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rsidRPr="00E508DF" w:rsidR="00E508DF" w:rsidP="1CD11FF5" w:rsidRDefault="00E508DF" w14:paraId="6B2BAEAA" w14:textId="77777777">
      <w:pPr>
        <w:spacing w:after="0" w:line="276" w:lineRule="auto"/>
        <w:jc w:val="both"/>
        <w:rPr>
          <w:rFonts w:ascii="Century Gothic" w:hAnsi="Century Gothic" w:eastAsia="Calibri" w:cs="Arial"/>
          <w:lang w:val="es-ES" w:eastAsia="es-ES"/>
        </w:rPr>
      </w:pPr>
      <w:r w:rsidRPr="00E508DF">
        <w:rPr>
          <w:rFonts w:ascii="Century Gothic" w:hAnsi="Century Gothic" w:eastAsia="Calibri" w:cs="Arial"/>
          <w:bCs/>
          <w:lang w:val="es-ES_tradnl" w:eastAsia="es-ES_tradnl"/>
        </w:rPr>
        <w:tab/>
      </w:r>
      <w:r w:rsidRPr="1CD11FF5">
        <w:rPr>
          <w:rFonts w:ascii="Century Gothic" w:hAnsi="Century Gothic" w:eastAsia="Calibri" w:cs="Arial"/>
          <w:lang w:val="es-ES" w:eastAsia="es-ES"/>
        </w:rPr>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solo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rsidRPr="00E508DF" w:rsidR="00E508DF" w:rsidP="00E508DF" w:rsidRDefault="00E508DF" w14:paraId="05D8A4F3" w14:textId="77777777">
      <w:pPr>
        <w:spacing w:after="0" w:line="276" w:lineRule="auto"/>
        <w:contextualSpacing/>
        <w:jc w:val="both"/>
        <w:rPr>
          <w:rFonts w:ascii="Century Gothic" w:hAnsi="Century Gothic" w:eastAsia="Calibri" w:cs="Arial"/>
          <w:b/>
          <w:lang w:val="es-MX"/>
        </w:rPr>
      </w:pPr>
    </w:p>
    <w:p w:rsidRPr="00E508DF" w:rsidR="00E508DF" w:rsidP="00E508DF" w:rsidRDefault="00E508DF" w14:paraId="633CB50C" w14:textId="77777777">
      <w:pPr>
        <w:spacing w:after="0" w:line="276" w:lineRule="auto"/>
        <w:contextualSpacing/>
        <w:jc w:val="both"/>
        <w:rPr>
          <w:rFonts w:ascii="Century Gothic" w:hAnsi="Century Gothic" w:eastAsia="Calibri" w:cs="Arial"/>
          <w:b/>
          <w:lang w:val="es-MX"/>
        </w:rPr>
      </w:pPr>
      <w:r w:rsidRPr="00E508DF">
        <w:rPr>
          <w:rFonts w:ascii="Century Gothic" w:hAnsi="Century Gothic" w:eastAsia="Calibri" w:cs="Arial"/>
          <w:b/>
          <w:lang w:val="es-MX"/>
        </w:rPr>
        <w:t>2.3.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rsidRPr="00E508DF" w:rsidR="00E508DF" w:rsidP="00E508DF" w:rsidRDefault="00E508DF" w14:paraId="2AFA8519" w14:textId="77777777">
      <w:pPr>
        <w:spacing w:after="0" w:line="276" w:lineRule="auto"/>
        <w:contextualSpacing/>
        <w:jc w:val="both"/>
        <w:rPr>
          <w:rFonts w:ascii="Century Gothic" w:hAnsi="Century Gothic" w:eastAsia="Calibri" w:cs="Arial"/>
          <w:bCs/>
          <w:lang w:val="es-MX"/>
        </w:rPr>
      </w:pPr>
    </w:p>
    <w:p w:rsidRPr="00E508DF" w:rsidR="00E508DF" w:rsidP="00E508DF" w:rsidRDefault="00E508DF" w14:paraId="67D0CD99" w14:textId="77777777">
      <w:pPr>
        <w:spacing w:after="0" w:line="276" w:lineRule="auto"/>
        <w:contextualSpacing/>
        <w:jc w:val="both"/>
        <w:rPr>
          <w:rFonts w:ascii="Century Gothic" w:hAnsi="Century Gothic" w:eastAsia="Calibri" w:cs="Arial"/>
          <w:bCs/>
          <w:lang w:val="es-MX"/>
        </w:rPr>
      </w:pPr>
      <w:r w:rsidRPr="00E508DF">
        <w:rPr>
          <w:rFonts w:ascii="Century Gothic" w:hAnsi="Century Gothic" w:eastAsia="Calibri" w:cs="Arial"/>
          <w:bCs/>
          <w:lang w:val="es-MX"/>
        </w:rPr>
        <w:t xml:space="preserve">Uno de los postulados más importantes de un Estado Social y Democrático de Derecho es el </w:t>
      </w:r>
      <w:r w:rsidRPr="00E508DF">
        <w:rPr>
          <w:rFonts w:ascii="Century Gothic" w:hAnsi="Century Gothic" w:eastAsia="Calibri" w:cs="Arial"/>
          <w:bCs/>
          <w:i/>
          <w:iCs/>
          <w:lang w:val="es-MX"/>
        </w:rPr>
        <w:t>principio de publicidad</w:t>
      </w:r>
      <w:r w:rsidRPr="00E508DF">
        <w:rPr>
          <w:rFonts w:ascii="Century Gothic" w:hAnsi="Century Gothic" w:eastAsia="Calibri" w:cs="Arial"/>
          <w:bCs/>
          <w:lang w:val="es-MX"/>
        </w:rPr>
        <w:t xml:space="preserve">,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w:t>
      </w:r>
      <w:r w:rsidRPr="00E508DF">
        <w:rPr>
          <w:rFonts w:ascii="Century Gothic" w:hAnsi="Century Gothic" w:eastAsia="Calibri" w:cs="Arial"/>
          <w:bCs/>
          <w:lang w:val="es-MX"/>
        </w:rPr>
        <w:t>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E508DF" w:rsidR="00E508DF" w:rsidP="00E508DF" w:rsidRDefault="00E508DF" w14:paraId="506C454A" w14:textId="77777777">
      <w:pPr>
        <w:spacing w:after="0" w:line="276" w:lineRule="auto"/>
        <w:ind w:firstLine="709"/>
        <w:contextualSpacing/>
        <w:jc w:val="both"/>
        <w:rPr>
          <w:rFonts w:ascii="Century Gothic" w:hAnsi="Century Gothic" w:eastAsia="Calibri" w:cs="Arial"/>
          <w:bCs/>
          <w:lang w:val="es-MX"/>
        </w:rPr>
      </w:pPr>
    </w:p>
    <w:p w:rsidRPr="00E508DF" w:rsidR="00E508DF" w:rsidP="00E508DF" w:rsidRDefault="00E508DF" w14:paraId="64AB1880" w14:textId="0BA2F77D">
      <w:pPr>
        <w:tabs>
          <w:tab w:val="left" w:pos="3885"/>
        </w:tabs>
        <w:spacing w:after="0" w:line="240" w:lineRule="auto"/>
        <w:ind w:left="709" w:right="709"/>
        <w:contextualSpacing/>
        <w:jc w:val="both"/>
        <w:rPr>
          <w:rFonts w:ascii="Century Gothic" w:hAnsi="Century Gothic" w:eastAsia="Calibri" w:cs="Arial"/>
          <w:bCs/>
          <w:sz w:val="21"/>
          <w:szCs w:val="21"/>
          <w:lang w:val="es-MX"/>
        </w:rPr>
      </w:pPr>
      <m:oMath>
        <m:r>
          <m:rPr>
            <m:sty m:val="p"/>
          </m:rPr>
          <w:rPr>
            <w:rFonts w:ascii="Cambria Math" w:hAnsi="Cambria Math" w:eastAsia="Calibri" w:cs="Arial"/>
            <w:sz w:val="21"/>
            <w:szCs w:val="21"/>
            <w:lang w:val="es-MX"/>
          </w:rPr>
          <m:t>"</m:t>
        </m:r>
      </m:oMath>
      <w:r w:rsidRPr="00E508DF">
        <w:rPr>
          <w:rFonts w:ascii="Century Gothic" w:hAnsi="Century Gothic" w:eastAsia="Calibri" w:cs="Arial"/>
          <w:bCs/>
          <w:sz w:val="21"/>
          <w:szCs w:val="21"/>
          <w:lang w:val="es-MX"/>
        </w:rPr>
        <w:t xml:space="preserve">El principio de publicidad se encuentra consagrado en el artículo 209 de la Constitución Política, que señala que la función administrativa está al servicio de los intereses generales y se desarrolla con fundamento entre otros, en el </w:t>
      </w:r>
      <w:r w:rsidR="002F4B1B">
        <w:rPr>
          <w:rFonts w:ascii="Century Gothic" w:hAnsi="Century Gothic" w:eastAsia="Calibri" w:cs="Arial"/>
          <w:bCs/>
          <w:sz w:val="21"/>
          <w:szCs w:val="21"/>
          <w:lang w:val="es-MX"/>
        </w:rPr>
        <w:t>“</w:t>
      </w:r>
      <w:r w:rsidRPr="00E508DF">
        <w:rPr>
          <w:rFonts w:ascii="Century Gothic" w:hAnsi="Century Gothic" w:eastAsia="Calibri" w:cs="Arial"/>
          <w:bCs/>
          <w:sz w:val="21"/>
          <w:szCs w:val="21"/>
          <w:lang w:val="es-MX"/>
        </w:rPr>
        <w:t>principio de publicidad</w:t>
      </w:r>
      <w:r w:rsidR="002F4B1B">
        <w:rPr>
          <w:rFonts w:ascii="Century Gothic" w:hAnsi="Century Gothic" w:eastAsia="Calibri" w:cs="Arial"/>
          <w:bCs/>
          <w:sz w:val="21"/>
          <w:szCs w:val="21"/>
          <w:lang w:val="es-MX"/>
        </w:rPr>
        <w:t>”</w:t>
      </w:r>
      <w:r w:rsidRPr="00E508DF">
        <w:rPr>
          <w:rFonts w:ascii="Century Gothic" w:hAnsi="Century Gothic" w:eastAsia="Calibri" w:cs="Arial"/>
          <w:bCs/>
          <w:sz w:val="21"/>
          <w:szCs w:val="21"/>
          <w:lang w:val="es-MX"/>
        </w:rPr>
        <w:t>, el cual se evidencia en dos dimensiones.</w:t>
      </w:r>
    </w:p>
    <w:p w:rsidRPr="00E508DF" w:rsidR="00E508DF" w:rsidP="00E508DF" w:rsidRDefault="00E508DF" w14:paraId="12D7C091" w14:textId="77777777">
      <w:pPr>
        <w:tabs>
          <w:tab w:val="left" w:pos="3885"/>
        </w:tabs>
        <w:spacing w:after="0" w:line="240" w:lineRule="auto"/>
        <w:ind w:left="709" w:right="709"/>
        <w:contextualSpacing/>
        <w:jc w:val="both"/>
        <w:rPr>
          <w:rFonts w:ascii="Century Gothic" w:hAnsi="Century Gothic" w:eastAsia="Calibri" w:cs="Arial"/>
          <w:bCs/>
          <w:sz w:val="21"/>
          <w:szCs w:val="21"/>
          <w:lang w:val="es-MX"/>
        </w:rPr>
      </w:pPr>
    </w:p>
    <w:p w:rsidRPr="00E508DF" w:rsidR="00E508DF" w:rsidP="00E508DF" w:rsidRDefault="00E508DF" w14:paraId="7A033AE3" w14:textId="77777777">
      <w:pPr>
        <w:tabs>
          <w:tab w:val="left" w:pos="3885"/>
          <w:tab w:val="left" w:pos="8222"/>
        </w:tabs>
        <w:spacing w:after="0" w:line="240" w:lineRule="auto"/>
        <w:ind w:left="709" w:right="709"/>
        <w:contextualSpacing/>
        <w:jc w:val="both"/>
        <w:rPr>
          <w:rFonts w:ascii="Century Gothic" w:hAnsi="Century Gothic" w:eastAsia="Calibri" w:cs="Arial"/>
          <w:bCs/>
          <w:sz w:val="21"/>
          <w:szCs w:val="21"/>
          <w:lang w:val="es-MX"/>
        </w:rPr>
      </w:pPr>
      <w:r w:rsidRPr="00E508DF">
        <w:rPr>
          <w:rFonts w:ascii="Century Gothic" w:hAnsi="Century Gothic" w:eastAsia="Calibri" w:cs="Arial"/>
          <w:bCs/>
          <w:sz w:val="21"/>
          <w:szCs w:val="21"/>
          <w:lang w:val="es-MX"/>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E508DF">
        <w:rPr>
          <w:rFonts w:ascii="Century Gothic" w:hAnsi="Century Gothic" w:eastAsia="Calibri" w:cs="Arial"/>
          <w:bCs/>
          <w:sz w:val="21"/>
          <w:szCs w:val="21"/>
          <w:vertAlign w:val="superscript"/>
          <w:lang w:val="es-MX"/>
        </w:rPr>
        <w:footnoteReference w:id="18"/>
      </w:r>
    </w:p>
    <w:p w:rsidRPr="00E508DF" w:rsidR="00E508DF" w:rsidP="00E508DF" w:rsidRDefault="00E508DF" w14:paraId="68F709DA" w14:textId="77777777">
      <w:pPr>
        <w:spacing w:after="0" w:line="276" w:lineRule="auto"/>
        <w:ind w:firstLine="709"/>
        <w:contextualSpacing/>
        <w:jc w:val="both"/>
        <w:rPr>
          <w:rFonts w:ascii="Century Gothic" w:hAnsi="Century Gothic" w:eastAsia="Calibri" w:cs="Arial"/>
          <w:bCs/>
          <w:lang w:val="es-MX"/>
        </w:rPr>
      </w:pPr>
    </w:p>
    <w:p w:rsidRPr="00E508DF" w:rsidR="00E508DF" w:rsidP="00E508DF" w:rsidRDefault="00E508DF" w14:paraId="6841E5E8" w14:textId="77777777">
      <w:pPr>
        <w:spacing w:after="12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E508DF">
        <w:rPr>
          <w:rFonts w:ascii="Century Gothic" w:hAnsi="Century Gothic" w:eastAsia="Calibri" w:cs="Arial"/>
          <w:bCs/>
          <w:vertAlign w:val="superscript"/>
          <w:lang w:val="es-MX"/>
        </w:rPr>
        <w:footnoteReference w:id="19"/>
      </w:r>
      <w:r w:rsidRPr="00E508DF">
        <w:rPr>
          <w:rFonts w:ascii="Century Gothic" w:hAnsi="Century Gothic" w:eastAsia="Calibri" w:cs="Arial"/>
          <w:bCs/>
          <w:lang w:val="es-MX"/>
        </w:rPr>
        <w:t xml:space="preserve">. </w:t>
      </w:r>
    </w:p>
    <w:p w:rsidRPr="00E508DF" w:rsidR="00E508DF" w:rsidP="00E508DF" w:rsidRDefault="00E508DF" w14:paraId="431DDCD5" w14:textId="77777777">
      <w:pPr>
        <w:spacing w:after="120" w:line="276" w:lineRule="auto"/>
        <w:ind w:firstLine="708"/>
        <w:jc w:val="both"/>
        <w:rPr>
          <w:rFonts w:ascii="Century Gothic" w:hAnsi="Century Gothic" w:eastAsia="Calibri" w:cs="Arial"/>
          <w:bCs/>
          <w:lang w:val="es-MX"/>
        </w:rPr>
      </w:pPr>
      <w:r w:rsidRPr="00E508DF">
        <w:rPr>
          <w:rFonts w:ascii="Century Gothic" w:hAnsi="Century Gothic" w:eastAsia="Calibri" w:cs="Arial"/>
          <w:bCs/>
          <w:lang w:val="es-MX"/>
        </w:rPr>
        <w:t>De otra parte, la Ley 1712 de 2014, “</w:t>
      </w:r>
      <w:r w:rsidRPr="00E508DF">
        <w:rPr>
          <w:rFonts w:ascii="Century Gothic" w:hAnsi="Century Gothic" w:eastAsia="Calibri" w:cs="Arial"/>
        </w:rPr>
        <w:t>P</w:t>
      </w:r>
      <w:r w:rsidRPr="00E508DF">
        <w:rPr>
          <w:rFonts w:ascii="Century Gothic" w:hAnsi="Century Gothic" w:eastAsia="Times New Roman" w:cs="Arial"/>
          <w:lang w:eastAsia="es-CO"/>
        </w:rPr>
        <w:t>or medio de la cual se crea la Ley de Transparencia y del Derecho de Acceso a la Información Pública Nacional y se dictan otras disposiciones</w:t>
      </w:r>
      <w:r w:rsidRPr="00E508DF">
        <w:rPr>
          <w:rFonts w:ascii="Century Gothic" w:hAnsi="Century Gothic" w:eastAsia="Calibri"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E508DF">
        <w:rPr>
          <w:rFonts w:ascii="Century Gothic" w:hAnsi="Century Gothic" w:eastAsia="Calibri" w:cs="Arial"/>
          <w:bCs/>
          <w:i/>
          <w:iCs/>
          <w:lang w:val="es-MX"/>
        </w:rPr>
        <w:t>máxima publicidad</w:t>
      </w:r>
      <w:r w:rsidRPr="00E508DF">
        <w:rPr>
          <w:rFonts w:ascii="Century Gothic" w:hAnsi="Century Gothic" w:eastAsia="Calibri" w:cs="Arial"/>
          <w:bCs/>
          <w:lang w:val="es-MX"/>
        </w:rPr>
        <w:t xml:space="preserve"> establece que “toda información en posesión, bajo control o custodia de un sujeto obligado es pública y no podrá ser reservada o limitada sino por disposición constitucional o legal”</w:t>
      </w:r>
      <w:r w:rsidRPr="00E508DF">
        <w:rPr>
          <w:rFonts w:ascii="Century Gothic" w:hAnsi="Century Gothic" w:eastAsia="Calibri" w:cs="Arial"/>
          <w:bCs/>
          <w:vertAlign w:val="superscript"/>
          <w:lang w:val="es-MX"/>
        </w:rPr>
        <w:footnoteReference w:id="20"/>
      </w:r>
      <w:r w:rsidRPr="00E508DF">
        <w:rPr>
          <w:rFonts w:ascii="Century Gothic" w:hAnsi="Century Gothic" w:eastAsia="Calibri" w:cs="Arial"/>
          <w:bCs/>
          <w:lang w:val="es-MX"/>
        </w:rPr>
        <w:t xml:space="preserve">. El </w:t>
      </w:r>
      <w:r w:rsidRPr="00E508DF">
        <w:rPr>
          <w:rFonts w:ascii="Century Gothic" w:hAnsi="Century Gothic" w:eastAsia="Calibri" w:cs="Arial"/>
          <w:bCs/>
          <w:i/>
          <w:iCs/>
          <w:lang w:val="es-MX"/>
        </w:rPr>
        <w:t>principio de transparencia</w:t>
      </w:r>
      <w:r w:rsidRPr="00E508DF">
        <w:rPr>
          <w:rFonts w:ascii="Century Gothic" w:hAnsi="Century Gothic" w:eastAsia="Calibri" w:cs="Arial"/>
          <w:bCs/>
          <w:lang w:val="es-MX"/>
        </w:rPr>
        <w:t xml:space="preserve"> en la información alude al deber de los sujetos de proporcionar y facilitar el acceso a la misma en los términos más amplios posibles, a través de los medios y procedimientos legales</w:t>
      </w:r>
      <w:r w:rsidRPr="00E508DF">
        <w:rPr>
          <w:rFonts w:ascii="Century Gothic" w:hAnsi="Century Gothic" w:eastAsia="Times New Roman" w:cs="Arial"/>
          <w:vertAlign w:val="superscript"/>
          <w:lang w:eastAsia="es-CO"/>
        </w:rPr>
        <w:footnoteReference w:id="21"/>
      </w:r>
      <w:r w:rsidRPr="00E508DF">
        <w:rPr>
          <w:rFonts w:ascii="Century Gothic" w:hAnsi="Century Gothic" w:eastAsia="Calibri" w:cs="Arial"/>
          <w:bCs/>
          <w:lang w:val="es-MX"/>
        </w:rPr>
        <w:t xml:space="preserve">. Y el </w:t>
      </w:r>
      <w:r w:rsidRPr="00E508DF">
        <w:rPr>
          <w:rFonts w:ascii="Century Gothic" w:hAnsi="Century Gothic" w:eastAsia="Calibri" w:cs="Arial"/>
          <w:bCs/>
          <w:i/>
          <w:iCs/>
          <w:lang w:val="es-MX"/>
        </w:rPr>
        <w:t>principio de buena fe</w:t>
      </w:r>
      <w:r w:rsidRPr="00E508DF">
        <w:rPr>
          <w:rFonts w:ascii="Century Gothic" w:hAnsi="Century Gothic" w:eastAsia="Calibri"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E508DF">
        <w:rPr>
          <w:rFonts w:ascii="Century Gothic" w:hAnsi="Century Gothic" w:eastAsia="Calibri" w:cs="Arial"/>
          <w:bCs/>
          <w:vertAlign w:val="superscript"/>
          <w:lang w:val="es-MX"/>
        </w:rPr>
        <w:footnoteReference w:id="22"/>
      </w:r>
      <w:r w:rsidRPr="00E508DF">
        <w:rPr>
          <w:rFonts w:ascii="Century Gothic" w:hAnsi="Century Gothic" w:eastAsia="Calibri" w:cs="Arial"/>
          <w:bCs/>
          <w:lang w:val="es-MX"/>
        </w:rPr>
        <w:t xml:space="preserve">. </w:t>
      </w:r>
    </w:p>
    <w:p w:rsidRPr="00E508DF" w:rsidR="00E508DF" w:rsidP="00E508DF" w:rsidRDefault="00E508DF" w14:paraId="6BADB244" w14:textId="77777777">
      <w:pPr>
        <w:spacing w:after="120" w:line="276" w:lineRule="auto"/>
        <w:ind w:firstLine="709"/>
        <w:jc w:val="both"/>
        <w:rPr>
          <w:rFonts w:ascii="Century Gothic" w:hAnsi="Century Gothic" w:eastAsia="Times New Roman" w:cs="Arial"/>
          <w:lang w:eastAsia="es-CO"/>
        </w:rPr>
      </w:pPr>
      <w:r w:rsidRPr="00E508DF">
        <w:rPr>
          <w:rFonts w:ascii="Century Gothic" w:hAnsi="Century Gothic" w:eastAsia="Calibri" w:cs="Arial"/>
          <w:bCs/>
          <w:lang w:val="es-MX"/>
        </w:rPr>
        <w:t xml:space="preserve">La citada Ley establece, </w:t>
      </w:r>
      <w:bookmarkStart w:name="_Hlk112225357" w:id="15"/>
      <w:r w:rsidRPr="00E508DF">
        <w:rPr>
          <w:rFonts w:ascii="Century Gothic" w:hAnsi="Century Gothic" w:eastAsia="Calibri" w:cs="Arial"/>
          <w:bCs/>
          <w:lang w:val="es-MX"/>
        </w:rPr>
        <w:t xml:space="preserve">en el literal e) del artículo 9, que los </w:t>
      </w:r>
      <w:r w:rsidRPr="00E508DF">
        <w:rPr>
          <w:rFonts w:ascii="Century Gothic" w:hAnsi="Century Gothic" w:eastAsia="Calibri" w:cs="Arial"/>
          <w:bCs/>
          <w:i/>
          <w:iCs/>
          <w:lang w:val="es-MX"/>
        </w:rPr>
        <w:t>sujetos obligados</w:t>
      </w:r>
      <w:r w:rsidRPr="00E508DF">
        <w:rPr>
          <w:rFonts w:ascii="Century Gothic" w:hAnsi="Century Gothic" w:eastAsia="Calibri" w:cs="Arial"/>
          <w:bCs/>
          <w:lang w:val="es-MX"/>
        </w:rPr>
        <w:t xml:space="preserve"> deben publicar la información relativa a su contratación</w:t>
      </w:r>
      <w:r w:rsidRPr="00E508DF">
        <w:rPr>
          <w:rFonts w:ascii="Century Gothic" w:hAnsi="Century Gothic" w:eastAsia="Times New Roman" w:cs="Arial"/>
          <w:vertAlign w:val="superscript"/>
          <w:lang w:eastAsia="es-CO"/>
        </w:rPr>
        <w:footnoteReference w:id="23"/>
      </w:r>
      <w:r w:rsidRPr="00E508DF">
        <w:rPr>
          <w:rFonts w:ascii="Century Gothic" w:hAnsi="Century Gothic" w:eastAsia="Calibri"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E508DF">
        <w:rPr>
          <w:rFonts w:ascii="Century Gothic" w:hAnsi="Century Gothic" w:eastAsia="Arial MT" w:cs="Arial"/>
          <w:lang w:val="es-ES"/>
        </w:rPr>
        <w:t>Igualmente, establece que son sujetos obligados las empresas públicas, las empresas del Estado y las sociedades en las que el Estado tenga participación, sin que importe su monto</w:t>
      </w:r>
      <w:r w:rsidRPr="00E508DF">
        <w:rPr>
          <w:rFonts w:ascii="Century Gothic" w:hAnsi="Century Gothic" w:eastAsia="Times New Roman" w:cs="Arial"/>
          <w:vertAlign w:val="superscript"/>
          <w:lang w:eastAsia="es-CO"/>
        </w:rPr>
        <w:footnoteReference w:id="24"/>
      </w:r>
      <w:r w:rsidRPr="00E508DF">
        <w:rPr>
          <w:rFonts w:ascii="Century Gothic" w:hAnsi="Century Gothic" w:eastAsia="Arial MT" w:cs="Arial"/>
          <w:lang w:val="es-ES"/>
        </w:rPr>
        <w:t>.</w:t>
      </w:r>
      <w:r w:rsidRPr="00E508DF">
        <w:rPr>
          <w:rFonts w:ascii="Century Gothic" w:hAnsi="Century Gothic" w:eastAsia="Times New Roman"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15"/>
    <w:p w:rsidRPr="00E508DF" w:rsidR="00E508DF" w:rsidP="00E508DF" w:rsidRDefault="00E508DF" w14:paraId="019CC136" w14:textId="77777777">
      <w:pPr>
        <w:spacing w:after="120" w:line="276" w:lineRule="auto"/>
        <w:ind w:firstLine="708"/>
        <w:jc w:val="both"/>
        <w:rPr>
          <w:rFonts w:ascii="Century Gothic" w:hAnsi="Century Gothic" w:eastAsia="Calibri" w:cs="Arial"/>
          <w:bCs/>
          <w:lang w:val="es-MX"/>
        </w:rPr>
      </w:pPr>
      <w:r w:rsidRPr="00E508DF">
        <w:rPr>
          <w:rFonts w:ascii="Century Gothic" w:hAnsi="Century Gothic" w:eastAsia="Calibri" w:cs="Arial"/>
          <w:bCs/>
          <w:lang w:val="es-MX"/>
        </w:rPr>
        <w:t>Esta obligación fue desarrollada por el artículo 2.1.1.2.1.7. del Decreto Único Reglamentario 1081 de 2015</w:t>
      </w:r>
      <w:r w:rsidRPr="00E508DF">
        <w:rPr>
          <w:rFonts w:ascii="Century Gothic" w:hAnsi="Century Gothic" w:eastAsia="Calibri" w:cs="Arial"/>
          <w:bCs/>
          <w:vertAlign w:val="superscript"/>
          <w:lang w:val="es-MX"/>
        </w:rPr>
        <w:footnoteReference w:id="25"/>
      </w:r>
      <w:r w:rsidRPr="00E508DF">
        <w:rPr>
          <w:rFonts w:ascii="Century Gothic" w:hAnsi="Century Gothic" w:eastAsia="Calibri" w:cs="Arial"/>
          <w:bCs/>
          <w:lang w:val="es-MX"/>
        </w:rPr>
        <w:t xml:space="preserve">, el cual dispuso que la publicación de la información </w:t>
      </w:r>
      <w:r w:rsidRPr="00E508DF">
        <w:rPr>
          <w:rFonts w:ascii="Century Gothic" w:hAnsi="Century Gothic" w:eastAsia="Calibri" w:cs="Arial"/>
          <w:bCs/>
          <w:lang w:val="es-MX"/>
        </w:rPr>
        <w:t>contractual de los sujetos obligados, que contratan con cargo a recursos públicos, debe hacerse en el Sistema Electrónico para la Contratación Pública ─</w:t>
      </w:r>
      <w:r w:rsidRPr="00E508DF">
        <w:rPr>
          <w:rFonts w:ascii="Century Gothic" w:hAnsi="Century Gothic" w:eastAsia="Calibri" w:cs="Arial"/>
          <w:bCs/>
          <w:lang w:val="es-MX"/>
        </w:rPr>
        <w:softHyphen/>
        <w:t xml:space="preserve"> </w:t>
      </w:r>
      <w:r w:rsidRPr="00E508DF">
        <w:rPr>
          <w:rFonts w:ascii="Century Gothic" w:hAnsi="Century Gothic" w:eastAsia="Calibri" w:cs="Arial"/>
          <w:bCs/>
          <w:lang w:val="es-MX"/>
        </w:rPr>
        <w:softHyphen/>
        <w:t>SECOP–.</w:t>
      </w:r>
    </w:p>
    <w:p w:rsidRPr="00E508DF" w:rsidR="00E508DF" w:rsidP="00E508DF" w:rsidRDefault="00E508DF" w14:paraId="75ACD44F" w14:textId="77777777">
      <w:pPr>
        <w:spacing w:after="0" w:line="276" w:lineRule="auto"/>
        <w:ind w:firstLine="709"/>
        <w:contextualSpacing/>
        <w:jc w:val="both"/>
        <w:rPr>
          <w:rFonts w:ascii="Century Gothic" w:hAnsi="Century Gothic" w:eastAsia="Calibri" w:cs="Arial"/>
          <w:bCs/>
          <w:lang w:val="es-MX"/>
        </w:rPr>
      </w:pPr>
      <w:r w:rsidRPr="00E508DF">
        <w:rPr>
          <w:rFonts w:ascii="Century Gothic" w:hAnsi="Century Gothic" w:eastAsia="Calibri" w:cs="Arial"/>
          <w:bCs/>
          <w:lang w:val="es-MX"/>
        </w:rPr>
        <w:t xml:space="preserve">Las anteriores disposiciones normativas fueron complementadas con la expedición de la </w:t>
      </w:r>
      <w:bookmarkStart w:name="_Hlk109111930" w:id="16"/>
      <w:r w:rsidRPr="00E508DF">
        <w:rPr>
          <w:rFonts w:ascii="Century Gothic" w:hAnsi="Century Gothic" w:eastAsia="Calibri" w:cs="Arial"/>
          <w:bCs/>
          <w:lang w:val="es-MX"/>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16"/>
      <w:r w:rsidRPr="00E508DF">
        <w:rPr>
          <w:rFonts w:ascii="Century Gothic" w:hAnsi="Century Gothic" w:eastAsia="Calibri" w:cs="Arial"/>
          <w:bCs/>
          <w:lang w:val="es-MX"/>
        </w:rPr>
        <w:t>Al respecto, la norma citada, de manera expresa, señala:</w:t>
      </w:r>
    </w:p>
    <w:p w:rsidRPr="00E508DF" w:rsidR="00E508DF" w:rsidP="00E508DF" w:rsidRDefault="00E508DF" w14:paraId="0259D48A" w14:textId="77777777">
      <w:pPr>
        <w:spacing w:after="0" w:line="240" w:lineRule="auto"/>
        <w:ind w:firstLine="301"/>
        <w:contextualSpacing/>
        <w:rPr>
          <w:rFonts w:ascii="Century Gothic" w:hAnsi="Century Gothic" w:eastAsia="Calibri" w:cs="Arial"/>
          <w:bCs/>
          <w:lang w:val="es-MX"/>
        </w:rPr>
      </w:pPr>
    </w:p>
    <w:p w:rsidRPr="00E508DF" w:rsidR="00E508DF" w:rsidP="00E508DF" w:rsidRDefault="00E508DF" w14:paraId="4B3B581F" w14:textId="77777777">
      <w:pPr>
        <w:spacing w:after="0" w:line="240" w:lineRule="auto"/>
        <w:ind w:left="709" w:right="709"/>
        <w:contextualSpacing/>
        <w:jc w:val="both"/>
        <w:rPr>
          <w:rFonts w:ascii="Century Gothic" w:hAnsi="Century Gothic" w:eastAsia="Calibri" w:cs="Arial"/>
          <w:bCs/>
          <w:sz w:val="21"/>
          <w:szCs w:val="21"/>
          <w:lang w:val="es-MX"/>
        </w:rPr>
      </w:pPr>
      <w:r w:rsidRPr="00E508DF">
        <w:rPr>
          <w:rFonts w:ascii="Century Gothic" w:hAnsi="Century Gothic" w:eastAsia="Calibri" w:cs="Arial"/>
          <w:bCs/>
          <w:sz w:val="21"/>
          <w:szCs w:val="21"/>
          <w:lang w:val="es-MX"/>
        </w:rPr>
        <w:t>“Adiciónese los siguientes incisos al artículo 13 de la Ley 1150 de 2007, el cual quedará así:</w:t>
      </w:r>
    </w:p>
    <w:p w:rsidRPr="00E508DF" w:rsidR="00E508DF" w:rsidP="00E508DF" w:rsidRDefault="00E508DF" w14:paraId="3EB07AA0" w14:textId="77777777">
      <w:pPr>
        <w:spacing w:after="0" w:line="240" w:lineRule="auto"/>
        <w:ind w:left="709" w:right="709"/>
        <w:contextualSpacing/>
        <w:jc w:val="both"/>
        <w:rPr>
          <w:rFonts w:ascii="Century Gothic" w:hAnsi="Century Gothic" w:eastAsia="Calibri" w:cs="Arial"/>
          <w:bCs/>
          <w:sz w:val="21"/>
          <w:szCs w:val="21"/>
          <w:lang w:val="es-MX"/>
        </w:rPr>
      </w:pPr>
    </w:p>
    <w:p w:rsidRPr="00E508DF" w:rsidR="00E508DF" w:rsidP="00E508DF" w:rsidRDefault="00E508DF" w14:paraId="135D230B" w14:textId="77777777">
      <w:pPr>
        <w:spacing w:after="0" w:line="240" w:lineRule="auto"/>
        <w:ind w:left="709" w:right="709"/>
        <w:contextualSpacing/>
        <w:jc w:val="both"/>
        <w:rPr>
          <w:rFonts w:ascii="Century Gothic" w:hAnsi="Century Gothic" w:eastAsia="Calibri" w:cs="Arial"/>
          <w:bCs/>
          <w:sz w:val="21"/>
          <w:szCs w:val="21"/>
          <w:lang w:val="es-MX"/>
        </w:rPr>
      </w:pPr>
      <w:r w:rsidRPr="00E508DF">
        <w:rPr>
          <w:rFonts w:ascii="Century Gothic" w:hAnsi="Century Gothic" w:eastAsia="Calibri" w:cs="Arial"/>
          <w:bCs/>
          <w:sz w:val="21"/>
          <w:szCs w:val="21"/>
          <w:lang w:val="es-MX"/>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E508DF" w:rsidR="00E508DF" w:rsidP="00E508DF" w:rsidRDefault="00E508DF" w14:paraId="77162B71" w14:textId="77777777">
      <w:pPr>
        <w:spacing w:after="0" w:line="240" w:lineRule="auto"/>
        <w:ind w:left="709" w:right="709"/>
        <w:contextualSpacing/>
        <w:jc w:val="both"/>
        <w:rPr>
          <w:rFonts w:ascii="Century Gothic" w:hAnsi="Century Gothic" w:eastAsia="Calibri" w:cs="Arial"/>
          <w:bCs/>
          <w:sz w:val="21"/>
          <w:szCs w:val="21"/>
          <w:lang w:val="es-MX"/>
        </w:rPr>
      </w:pPr>
    </w:p>
    <w:p w:rsidRPr="00E508DF" w:rsidR="00E508DF" w:rsidP="00E508DF" w:rsidRDefault="00E508DF" w14:paraId="288D9513" w14:textId="77777777">
      <w:pPr>
        <w:spacing w:after="0" w:line="240" w:lineRule="auto"/>
        <w:ind w:left="709" w:right="709"/>
        <w:contextualSpacing/>
        <w:jc w:val="both"/>
        <w:rPr>
          <w:rFonts w:ascii="Century Gothic" w:hAnsi="Century Gothic" w:eastAsia="Calibri" w:cs="Arial"/>
          <w:bCs/>
          <w:i/>
          <w:iCs/>
          <w:sz w:val="21"/>
          <w:szCs w:val="21"/>
          <w:lang w:val="es-MX"/>
        </w:rPr>
      </w:pPr>
      <w:r w:rsidRPr="00E508DF">
        <w:rPr>
          <w:rFonts w:ascii="Century Gothic" w:hAnsi="Century Gothic" w:eastAsia="Calibri" w:cs="Arial"/>
          <w:bCs/>
          <w:i/>
          <w:iCs/>
          <w:sz w:val="21"/>
          <w:szCs w:val="21"/>
          <w:lang w:val="es-MX"/>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E508DF" w:rsidR="00E508DF" w:rsidP="00E508DF" w:rsidRDefault="00E508DF" w14:paraId="5A9CB9AA" w14:textId="77777777">
      <w:pPr>
        <w:spacing w:after="0" w:line="240" w:lineRule="auto"/>
        <w:ind w:left="709" w:right="709"/>
        <w:contextualSpacing/>
        <w:jc w:val="both"/>
        <w:rPr>
          <w:rFonts w:ascii="Century Gothic" w:hAnsi="Century Gothic" w:eastAsia="Calibri" w:cs="Arial"/>
          <w:bCs/>
          <w:sz w:val="21"/>
          <w:szCs w:val="21"/>
          <w:lang w:val="es-MX"/>
        </w:rPr>
      </w:pPr>
    </w:p>
    <w:p w:rsidRPr="00E508DF" w:rsidR="00E508DF" w:rsidP="00E508DF" w:rsidRDefault="00E508DF" w14:paraId="498B9EB3" w14:textId="77777777">
      <w:pPr>
        <w:spacing w:after="0" w:line="240" w:lineRule="auto"/>
        <w:ind w:left="709" w:right="709"/>
        <w:contextualSpacing/>
        <w:jc w:val="both"/>
        <w:rPr>
          <w:rFonts w:ascii="Century Gothic" w:hAnsi="Century Gothic" w:eastAsia="Calibri" w:cs="Arial"/>
          <w:bCs/>
          <w:sz w:val="21"/>
          <w:szCs w:val="21"/>
          <w:lang w:val="es-MX"/>
        </w:rPr>
      </w:pPr>
      <w:r w:rsidRPr="00E508DF">
        <w:rPr>
          <w:rFonts w:ascii="Century Gothic" w:hAnsi="Century Gothic" w:eastAsia="Calibri" w:cs="Arial"/>
          <w:bCs/>
          <w:sz w:val="21"/>
          <w:szCs w:val="21"/>
          <w:lang w:val="es-MX"/>
        </w:rPr>
        <w:t>A partir de la entrada en vigencia de la presente Ley, se establecerá un periodo de transición de seis (6) meses, para que las entidades den cumplimiento efectivo a lo aquí establecido”. [Énfasis fuera de texto].</w:t>
      </w:r>
    </w:p>
    <w:p w:rsidRPr="00E508DF" w:rsidR="00E508DF" w:rsidP="00E508DF" w:rsidRDefault="00E508DF" w14:paraId="0C54211B" w14:textId="77777777">
      <w:pPr>
        <w:spacing w:after="0" w:line="276" w:lineRule="auto"/>
        <w:ind w:firstLine="709"/>
        <w:contextualSpacing/>
        <w:jc w:val="both"/>
        <w:rPr>
          <w:rFonts w:ascii="Century Gothic" w:hAnsi="Century Gothic" w:eastAsia="Calibri" w:cs="Arial"/>
          <w:bCs/>
          <w:lang w:val="es-MX"/>
        </w:rPr>
      </w:pPr>
    </w:p>
    <w:p w:rsidRPr="00E508DF" w:rsidR="00E508DF" w:rsidP="00E508DF" w:rsidRDefault="00E508DF" w14:paraId="1286C7C0" w14:textId="77777777">
      <w:pPr>
        <w:spacing w:after="120" w:line="276" w:lineRule="auto"/>
        <w:ind w:firstLine="709"/>
        <w:jc w:val="both"/>
        <w:rPr>
          <w:rFonts w:ascii="Century Gothic" w:hAnsi="Century Gothic" w:eastAsia="Calibri" w:cs="Arial"/>
          <w:lang w:val="es-ES"/>
        </w:rPr>
      </w:pPr>
      <w:r w:rsidRPr="1CD11FF5">
        <w:rPr>
          <w:rFonts w:ascii="Century Gothic" w:hAnsi="Century Gothic" w:eastAsia="Calibri" w:cs="Arial"/>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rsidRPr="00E508DF" w:rsidR="00E508DF" w:rsidP="00E508DF" w:rsidRDefault="00E508DF" w14:paraId="57A9DA67" w14:textId="77777777">
      <w:pPr>
        <w:spacing w:after="12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 xml:space="preserve">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w:t>
      </w:r>
      <w:r w:rsidRPr="00E508DF">
        <w:rPr>
          <w:rFonts w:ascii="Century Gothic" w:hAnsi="Century Gothic" w:eastAsia="Calibri" w:cs="Arial"/>
          <w:bCs/>
          <w:lang w:val="es-MX"/>
        </w:rPr>
        <w:t>la gestión de la actividad contractual del Estado, garantizándose en mayor grado la transparencia y el acceso a la documentación pública.</w:t>
      </w:r>
    </w:p>
    <w:p w:rsidRPr="00E508DF" w:rsidR="00E508DF" w:rsidP="00E508DF" w:rsidRDefault="00E508DF" w14:paraId="2A2C9077" w14:textId="77777777">
      <w:pPr>
        <w:spacing w:after="120" w:line="276" w:lineRule="auto"/>
        <w:ind w:firstLine="709"/>
        <w:jc w:val="both"/>
        <w:rPr>
          <w:rFonts w:ascii="Century Gothic" w:hAnsi="Century Gothic" w:eastAsia="Calibri" w:cs="Arial"/>
          <w:bCs/>
          <w:lang w:val="es-MX"/>
        </w:rPr>
      </w:pPr>
      <w:bookmarkStart w:name="_Hlk109111956" w:id="17"/>
      <w:r w:rsidRPr="00E508DF">
        <w:rPr>
          <w:rFonts w:ascii="Century Gothic" w:hAnsi="Century Gothic" w:eastAsia="Calibri" w:cs="Arial"/>
          <w:bCs/>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E508DF">
        <w:rPr>
          <w:rFonts w:ascii="Century Gothic" w:hAnsi="Century Gothic" w:eastAsia="Calibri" w:cs="Arial"/>
          <w:bCs/>
          <w:i/>
          <w:iCs/>
          <w:lang w:val="es-MX"/>
        </w:rPr>
        <w:t>actividad contractual</w:t>
      </w:r>
      <w:r w:rsidRPr="00E508DF">
        <w:rPr>
          <w:rFonts w:ascii="Century Gothic" w:hAnsi="Century Gothic" w:eastAsia="Calibri" w:cs="Arial"/>
          <w:bCs/>
          <w:lang w:val="es-MX"/>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w:t>
      </w:r>
      <w:bookmarkEnd w:id="17"/>
      <w:r w:rsidRPr="00E508DF">
        <w:rPr>
          <w:rFonts w:ascii="Century Gothic" w:hAnsi="Century Gothic" w:eastAsia="Calibri"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rsidRPr="00E508DF" w:rsidR="00E508DF" w:rsidP="00E508DF" w:rsidRDefault="00E508DF" w14:paraId="0AAEE00E" w14:textId="77777777">
      <w:pPr>
        <w:spacing w:after="12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Sin perjuicio de lo anterior, vale la pena aclarar que el cumplimiento del deber de publicación de la documentación contractual debe armonizarse con las normas aplicables al tipo de información que estas contienen</w:t>
      </w:r>
      <w:r w:rsidRPr="00E508DF">
        <w:rPr>
          <w:rFonts w:ascii="Century Gothic" w:hAnsi="Century Gothic" w:eastAsia="Calibri" w:cs="Arial"/>
          <w:bCs/>
          <w:vertAlign w:val="superscript"/>
          <w:lang w:val="es-MX"/>
        </w:rPr>
        <w:footnoteReference w:id="26"/>
      </w:r>
      <w:r w:rsidRPr="00E508DF">
        <w:rPr>
          <w:rFonts w:ascii="Century Gothic" w:hAnsi="Century Gothic" w:eastAsia="Calibri" w:cs="Arial"/>
          <w:bCs/>
          <w:lang w:val="es-MX"/>
        </w:rPr>
        <w:t xml:space="preserve">. Lo anterior significa </w:t>
      </w:r>
      <w:r w:rsidRPr="00E508DF">
        <w:rPr>
          <w:rFonts w:ascii="Century Gothic" w:hAnsi="Century Gothic" w:eastAsia="Calibri" w:cs="Arial"/>
          <w:bCs/>
          <w:lang w:val="es-MX"/>
        </w:rPr>
        <w:t xml:space="preserve">que, respecto de datos sensibles, información sometida a reserva o de la cual proceda un tratamiento especial que impida su publicidad, las entidades deberán proceder de conformidad con el tratamiento que impongan tales normas. </w:t>
      </w:r>
    </w:p>
    <w:p w:rsidRPr="00E508DF" w:rsidR="00E508DF" w:rsidP="00E508DF" w:rsidRDefault="00E508DF" w14:paraId="71D61CC0" w14:textId="77777777">
      <w:pPr>
        <w:spacing w:after="120" w:line="276" w:lineRule="auto"/>
        <w:ind w:firstLine="709"/>
        <w:jc w:val="both"/>
        <w:rPr>
          <w:rFonts w:ascii="Century Gothic" w:hAnsi="Century Gothic" w:eastAsia="Calibri" w:cs="Arial"/>
          <w:bCs/>
          <w:lang w:val="es-MX"/>
        </w:rPr>
      </w:pPr>
      <w:bookmarkStart w:name="_Hlk109111976" w:id="18"/>
      <w:r w:rsidRPr="00E508DF">
        <w:rPr>
          <w:rFonts w:ascii="Century Gothic" w:hAnsi="Century Gothic" w:eastAsia="Calibri" w:cs="Arial"/>
          <w:bCs/>
          <w:lang w:val="es-MX"/>
        </w:rPr>
        <w:t>Por otro lado,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18"/>
      <w:r w:rsidRPr="00E508DF">
        <w:rPr>
          <w:rFonts w:ascii="Century Gothic" w:hAnsi="Century Gothic" w:eastAsia="Calibri" w:cs="Arial"/>
          <w:bCs/>
          <w:lang w:val="es-MX"/>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E508DF">
        <w:rPr>
          <w:rFonts w:ascii="Century Gothic" w:hAnsi="Century Gothic" w:eastAsia="Calibri" w:cs="Arial"/>
          <w:bCs/>
          <w:vertAlign w:val="superscript"/>
          <w:lang w:val="es-MX"/>
        </w:rPr>
        <w:footnoteReference w:id="27"/>
      </w:r>
      <w:r w:rsidRPr="00E508DF">
        <w:rPr>
          <w:rFonts w:ascii="Century Gothic" w:hAnsi="Century Gothic" w:eastAsia="Calibri" w:cs="Arial"/>
          <w:bCs/>
          <w:lang w:val="es-MX"/>
        </w:rPr>
        <w:t xml:space="preserve">. </w:t>
      </w:r>
    </w:p>
    <w:p w:rsidRPr="00E508DF" w:rsidR="00E508DF" w:rsidP="00E508DF" w:rsidRDefault="00E508DF" w14:paraId="3E19DD46" w14:textId="77777777">
      <w:pPr>
        <w:spacing w:after="12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508DF">
        <w:rPr>
          <w:rFonts w:ascii="Century Gothic" w:hAnsi="Century Gothic" w:eastAsia="Calibri" w:cs="Arial"/>
          <w:bCs/>
          <w:vertAlign w:val="superscript"/>
          <w:lang w:val="es-MX"/>
        </w:rPr>
        <w:footnoteReference w:id="28"/>
      </w:r>
      <w:r w:rsidRPr="00E508DF">
        <w:rPr>
          <w:rFonts w:ascii="Century Gothic" w:hAnsi="Century Gothic" w:eastAsia="Calibri" w:cs="Arial"/>
          <w:bCs/>
          <w:lang w:val="es-MX"/>
        </w:rPr>
        <w:t xml:space="preserve">. </w:t>
      </w:r>
    </w:p>
    <w:p w:rsidRPr="00E508DF" w:rsidR="00E508DF" w:rsidP="00E508DF" w:rsidRDefault="00E508DF" w14:paraId="014A9316" w14:textId="77777777">
      <w:pPr>
        <w:spacing w:after="12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 xml:space="preserve">De lo expuesto en los considerandos de este concepto, se concluye que las entidades públicas,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Pr="00E508DF" w:rsidR="00E508DF" w:rsidP="00E508DF" w:rsidRDefault="00E508DF" w14:paraId="24F95F80" w14:textId="77777777">
      <w:pPr>
        <w:spacing w:before="120" w:after="0" w:line="276" w:lineRule="auto"/>
        <w:ind w:firstLine="709"/>
        <w:jc w:val="both"/>
        <w:rPr>
          <w:rFonts w:ascii="Century Gothic" w:hAnsi="Century Gothic" w:eastAsia="Calibri" w:cs="Arial"/>
          <w:bCs/>
          <w:lang w:val="es-MX"/>
        </w:rPr>
      </w:pPr>
      <w:r w:rsidRPr="00E508DF">
        <w:rPr>
          <w:rFonts w:ascii="Century Gothic" w:hAnsi="Century Gothic" w:eastAsia="Calibri" w:cs="Arial"/>
          <w:bCs/>
          <w:lang w:val="es-MX"/>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 , las entidades estatales –incluidas las que se rigen generalmente por el derecho privado en materia contractual–, al ser </w:t>
      </w:r>
      <w:r w:rsidRPr="00E508DF">
        <w:rPr>
          <w:rFonts w:ascii="Century Gothic" w:hAnsi="Century Gothic" w:eastAsia="Calibri" w:cs="Arial"/>
          <w:bCs/>
          <w:i/>
          <w:iCs/>
          <w:lang w:val="es-MX"/>
        </w:rPr>
        <w:t>sujetos obligados</w:t>
      </w:r>
      <w:r w:rsidRPr="00E508DF">
        <w:rPr>
          <w:rFonts w:ascii="Century Gothic" w:hAnsi="Century Gothic" w:eastAsia="Calibri" w:cs="Arial"/>
          <w:bCs/>
          <w:lang w:val="es-MX"/>
        </w:rPr>
        <w:t xml:space="preserve"> a garantizar el derecho de acceso a la información y a los documentos públicos, deben publicar en el SECOP los documentos relacionados con su gestión contractual.</w:t>
      </w:r>
    </w:p>
    <w:p w:rsidRPr="00E508DF" w:rsidR="00E508DF" w:rsidP="00E508DF" w:rsidRDefault="00E508DF" w14:paraId="0DD1874C" w14:textId="77777777">
      <w:pPr>
        <w:shd w:val="clear" w:color="auto" w:fill="FFFFFF"/>
        <w:tabs>
          <w:tab w:val="left" w:pos="0"/>
        </w:tabs>
        <w:spacing w:after="0"/>
        <w:jc w:val="both"/>
        <w:rPr>
          <w:rFonts w:ascii="Century Gothic" w:hAnsi="Century Gothic" w:eastAsia="Calibri" w:cs="Arial"/>
          <w:b/>
          <w:color w:val="000000"/>
          <w:lang w:val="es-ES_tradnl"/>
        </w:rPr>
      </w:pPr>
    </w:p>
    <w:p w:rsidRPr="00E508DF" w:rsidR="00E508DF" w:rsidP="00E508DF" w:rsidRDefault="00E508DF" w14:paraId="3A402CC3" w14:textId="77777777">
      <w:pPr>
        <w:shd w:val="clear" w:color="auto" w:fill="FFFFFF"/>
        <w:tabs>
          <w:tab w:val="left" w:pos="0"/>
        </w:tabs>
        <w:spacing w:after="0"/>
        <w:jc w:val="both"/>
        <w:rPr>
          <w:rFonts w:ascii="Century Gothic" w:hAnsi="Century Gothic" w:eastAsia="Calibri" w:cs="Arial"/>
          <w:b/>
          <w:color w:val="000000"/>
          <w:lang w:val="es-ES_tradnl"/>
        </w:rPr>
      </w:pPr>
      <w:r w:rsidRPr="00E508DF">
        <w:rPr>
          <w:rFonts w:ascii="Century Gothic" w:hAnsi="Century Gothic" w:eastAsia="Calibri" w:cs="Arial"/>
          <w:b/>
          <w:color w:val="000000"/>
          <w:lang w:val="es-ES_tradnl"/>
        </w:rPr>
        <w:t>3. Respuesta</w:t>
      </w:r>
    </w:p>
    <w:p w:rsidRPr="00E508DF" w:rsidR="00E508DF" w:rsidP="00E508DF" w:rsidRDefault="00E508DF" w14:paraId="4B02153C" w14:textId="77777777">
      <w:pPr>
        <w:shd w:val="clear" w:color="auto" w:fill="FFFFFF"/>
        <w:spacing w:after="0" w:line="240" w:lineRule="auto"/>
        <w:ind w:right="709"/>
        <w:jc w:val="both"/>
        <w:rPr>
          <w:rFonts w:ascii="Century Gothic" w:hAnsi="Century Gothic" w:eastAsia="Calibri" w:cs="Arial"/>
          <w:color w:val="000000"/>
          <w:lang w:val="es-ES_tradnl"/>
        </w:rPr>
      </w:pPr>
    </w:p>
    <w:p w:rsidRPr="00E508DF" w:rsidR="00E508DF" w:rsidP="00E508DF" w:rsidRDefault="00E508DF" w14:paraId="29F57F9B"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E508DF">
        <w:rPr>
          <w:rFonts w:ascii="Century Gothic" w:hAnsi="Century Gothic" w:eastAsia="Calibri" w:cs="Arial"/>
          <w:color w:val="000000"/>
          <w:sz w:val="21"/>
          <w:szCs w:val="21"/>
          <w:lang w:val="es-ES_tradnl"/>
        </w:rPr>
        <w:t>“1. ¿Se puede transferir recursos de Regalías a un fondo mixto y contratar de manera directa obviándose un proceso de licitación de Obra Pública; Proyectos del Sector Agropecuario, Ciencia y Tecnología; Salud, Educación, Obras del Sector de Agua Potable y Saneamiento Básico, Obras de Infraestructura Vial; ¿Obras de Infraestructura Social (Hospitales, Colegios, Escuelas, Parques, Coliseos)?</w:t>
      </w:r>
    </w:p>
    <w:p w:rsidRPr="00E508DF" w:rsidR="00E508DF" w:rsidP="00E508DF" w:rsidRDefault="00E508DF" w14:paraId="4A2D2ADC"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E508DF">
        <w:rPr>
          <w:rFonts w:ascii="Century Gothic" w:hAnsi="Century Gothic" w:eastAsia="Calibri" w:cs="Arial"/>
          <w:color w:val="000000"/>
          <w:sz w:val="21"/>
          <w:szCs w:val="21"/>
          <w:lang w:val="es-ES_tradnl"/>
        </w:rPr>
        <w:t>2. ¿Pueden los fondos mixtos contratar sin aplicar los documentos y pliegos tipo adoptados por Colombia Compra Eficiente?; ¿y si es obligatorio que publiquen el proceso de contratación en el SECOP, y que se cumplan los términos legales del Estatuto de Contratación Pública de Colombia?</w:t>
      </w:r>
    </w:p>
    <w:p w:rsidRPr="00E508DF" w:rsidR="00E508DF" w:rsidP="1CD11FF5" w:rsidRDefault="00E508DF" w14:paraId="41D213B0"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1CD11FF5">
        <w:rPr>
          <w:rFonts w:ascii="Century Gothic" w:hAnsi="Century Gothic" w:eastAsia="Calibri" w:cs="Arial"/>
          <w:color w:val="000000" w:themeColor="text1"/>
          <w:sz w:val="21"/>
          <w:szCs w:val="21"/>
          <w:lang w:val="es-ES"/>
        </w:rPr>
        <w:t>3. ¿Cómo se deduce el costo de las Estampillas (</w:t>
      </w:r>
      <w:proofErr w:type="gramStart"/>
      <w:r w:rsidRPr="1CD11FF5">
        <w:rPr>
          <w:rFonts w:ascii="Century Gothic" w:hAnsi="Century Gothic" w:eastAsia="Calibri" w:cs="Arial"/>
          <w:color w:val="000000" w:themeColor="text1"/>
          <w:sz w:val="21"/>
          <w:szCs w:val="21"/>
          <w:lang w:val="es-ES"/>
        </w:rPr>
        <w:t>Pro Adulto</w:t>
      </w:r>
      <w:proofErr w:type="gramEnd"/>
      <w:r w:rsidRPr="1CD11FF5">
        <w:rPr>
          <w:rFonts w:ascii="Century Gothic" w:hAnsi="Century Gothic" w:eastAsia="Calibri" w:cs="Arial"/>
          <w:color w:val="000000" w:themeColor="text1"/>
          <w:sz w:val="21"/>
          <w:szCs w:val="21"/>
          <w:lang w:val="es-ES"/>
        </w:rPr>
        <w:t xml:space="preserve"> Mayor, Procultura, Pro Deporte E.T.C) de los proyectos ejecutados por los fondos mixtos con recursos girados de sistema de regalías para ejecutar obras e Interventorías?”</w:t>
      </w:r>
    </w:p>
    <w:p w:rsidRPr="00E508DF" w:rsidR="00E508DF" w:rsidP="00E508DF" w:rsidRDefault="00E508DF" w14:paraId="334A11A4" w14:textId="77777777">
      <w:pPr>
        <w:shd w:val="clear" w:color="auto" w:fill="FFFFFF"/>
        <w:spacing w:after="0" w:line="240" w:lineRule="auto"/>
        <w:ind w:right="709"/>
        <w:jc w:val="both"/>
        <w:rPr>
          <w:rFonts w:ascii="Century Gothic" w:hAnsi="Century Gothic" w:eastAsia="Calibri" w:cs="Arial"/>
          <w:color w:val="000000"/>
          <w:lang w:val="es-ES_tradnl"/>
        </w:rPr>
      </w:pPr>
    </w:p>
    <w:p w:rsidRPr="00E508DF" w:rsidR="00E508DF" w:rsidP="00E508DF" w:rsidRDefault="00E508DF" w14:paraId="3B939E17" w14:textId="77777777">
      <w:pPr>
        <w:spacing w:after="120" w:line="276" w:lineRule="auto"/>
        <w:jc w:val="both"/>
        <w:rPr>
          <w:rFonts w:ascii="Century Gothic" w:hAnsi="Century Gothic" w:eastAsia="Calibri" w:cs="Arial"/>
          <w:lang w:val="es-ES_tradnl"/>
        </w:rPr>
      </w:pPr>
      <w:r w:rsidRPr="00E508DF">
        <w:rPr>
          <w:rFonts w:ascii="Century Gothic" w:hAnsi="Century Gothic" w:eastAsia="Calibri" w:cs="Arial"/>
          <w:lang w:val="es-ES" w:eastAsia="es-ES"/>
        </w:rPr>
        <w:t>Conforme a la interpretación de las normas generales del sistema de compras públicas</w:t>
      </w:r>
      <w:r w:rsidRPr="00E508DF">
        <w:rPr>
          <w:rFonts w:ascii="Century Gothic" w:hAnsi="Century Gothic" w:eastAsia="Calibri" w:cs="Arial"/>
          <w:lang w:val="es-ES_tradnl"/>
        </w:rPr>
        <w:t xml:space="preserve">,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w:t>
      </w:r>
    </w:p>
    <w:p w:rsidRPr="00E508DF" w:rsidR="00E508DF" w:rsidP="00E508DF" w:rsidRDefault="00E508DF" w14:paraId="2924A635" w14:textId="77777777">
      <w:pPr>
        <w:spacing w:after="120" w:line="276" w:lineRule="auto"/>
        <w:ind w:firstLine="708"/>
        <w:jc w:val="both"/>
        <w:rPr>
          <w:rFonts w:ascii="Century Gothic" w:hAnsi="Century Gothic" w:eastAsia="Calibri" w:cs="Arial"/>
          <w:lang w:val="es-ES_tradnl"/>
        </w:rPr>
      </w:pPr>
      <w:r w:rsidRPr="00E508DF">
        <w:rPr>
          <w:rFonts w:ascii="Century Gothic" w:hAnsi="Century Gothic" w:eastAsia="Calibri" w:cs="Arial"/>
          <w:lang w:val="es-ES_tradnl"/>
        </w:rPr>
        <w:t xml:space="preserve">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r w:rsidRPr="00E508DF">
        <w:rPr>
          <w:rFonts w:ascii="Century Gothic" w:hAnsi="Century Gothic" w:eastAsia="Calibri" w:cs="Arial"/>
          <w:shd w:val="clear" w:color="auto" w:fill="FFFFFF"/>
          <w:lang w:val="es-ES_tradnl"/>
        </w:rPr>
        <w:t xml:space="preserve">No obstante, se encuentran exceptuadas del ámbito de aplicación de la norma </w:t>
      </w:r>
      <w:r w:rsidRPr="00E508DF">
        <w:rPr>
          <w:rFonts w:ascii="Century Gothic" w:hAnsi="Century Gothic" w:eastAsia="Calibri" w:cs="Arial"/>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E508DF">
        <w:rPr>
          <w:rFonts w:ascii="Century Gothic" w:hAnsi="Century Gothic" w:eastAsia="Calibri" w:cs="Arial"/>
          <w:shd w:val="clear" w:color="auto" w:fill="FFFFFF"/>
          <w:lang w:val="es-ES_tradnl"/>
        </w:rPr>
        <w:t xml:space="preserve">. </w:t>
      </w:r>
      <w:r w:rsidRPr="00E508DF">
        <w:rPr>
          <w:rFonts w:ascii="Century Gothic" w:hAnsi="Century Gothic" w:eastAsia="Calibri" w:cs="Arial"/>
          <w:color w:val="000000"/>
          <w:shd w:val="clear" w:color="auto" w:fill="FFFFFF"/>
          <w:lang w:val="es-ES_tradnl"/>
        </w:rPr>
        <w:t xml:space="preserve">Bajo los lineamientos descritos en el concepto, cada entidad pública debe hacer un ejercicio de subsunción a efectos de determinar si la norma en cita resulta aplicable, dada su naturaleza jurídica. </w:t>
      </w:r>
    </w:p>
    <w:p w:rsidRPr="00E508DF" w:rsidR="00E508DF" w:rsidP="00E508DF" w:rsidRDefault="00E508DF" w14:paraId="7E090E86" w14:textId="654EE426">
      <w:pPr>
        <w:widowControl w:val="0"/>
        <w:autoSpaceDE w:val="0"/>
        <w:autoSpaceDN w:val="0"/>
        <w:spacing w:after="120" w:line="276" w:lineRule="auto"/>
        <w:ind w:right="113" w:firstLine="709"/>
        <w:jc w:val="both"/>
        <w:rPr>
          <w:rFonts w:ascii="Century Gothic" w:hAnsi="Century Gothic" w:eastAsia="Calibri" w:cs="Arial"/>
          <w:color w:val="000000"/>
          <w:lang w:val="es-ES"/>
        </w:rPr>
      </w:pPr>
      <w:r w:rsidRPr="00E508DF">
        <w:rPr>
          <w:rFonts w:ascii="Century Gothic" w:hAnsi="Century Gothic" w:eastAsia="Calibri" w:cs="Arial"/>
          <w:color w:val="000000"/>
          <w:lang w:val="es-ES"/>
        </w:rPr>
        <w:t>Dentro de este marco, la entidad contratante definirá la aplicación o no de los documentos tipo en cada caso concreto. Al tratarse de un análisis que debe realizarse en el procedimiento contractual específico, la Agencia Nacional de Contratación Pública – Colombia Compra Eficiente</w:t>
      </w:r>
      <w:r w:rsidR="0010528A">
        <w:rPr>
          <w:rFonts w:ascii="Century Gothic" w:hAnsi="Century Gothic" w:eastAsia="Calibri" w:cs="Arial"/>
          <w:color w:val="000000"/>
          <w:lang w:val="es-ES"/>
        </w:rPr>
        <w:t>-</w:t>
      </w:r>
      <w:r w:rsidRPr="00E508DF">
        <w:rPr>
          <w:rFonts w:ascii="Century Gothic" w:hAnsi="Century Gothic" w:eastAsia="Calibri" w:cs="Arial"/>
          <w:color w:val="000000"/>
          <w:lang w:val="es-ES"/>
        </w:rPr>
        <w:t xml:space="preserve"> no puede definir un criterio universal y absoluto por vía consultiva, sino que brinda elementos de carácter general para que los partícipes del sistema de compras y contratación pública adopten la decisión que corresponda, lo cual es acorde con el principio de juridicidad.</w:t>
      </w:r>
    </w:p>
    <w:p w:rsidRPr="00E508DF" w:rsidR="00E508DF" w:rsidP="00E508DF" w:rsidRDefault="00E508DF" w14:paraId="3C7F31A0" w14:textId="77777777">
      <w:pPr>
        <w:spacing w:after="120" w:line="276" w:lineRule="auto"/>
        <w:ind w:firstLine="708"/>
        <w:jc w:val="both"/>
        <w:rPr>
          <w:rFonts w:ascii="Century Gothic" w:hAnsi="Century Gothic" w:eastAsia="Aptos" w:cs="Arial"/>
          <w:kern w:val="2"/>
          <w:lang w:val="es-MX"/>
          <w14:ligatures w14:val="standardContextual"/>
        </w:rPr>
      </w:pPr>
      <w:r w:rsidRPr="00E508DF">
        <w:rPr>
          <w:rFonts w:ascii="Century Gothic" w:hAnsi="Century Gothic" w:eastAsia="Aptos" w:cs="Arial"/>
          <w:kern w:val="2"/>
          <w:lang w:val="es-MX"/>
          <w14:ligatures w14:val="standardContextual"/>
        </w:rPr>
        <w:t xml:space="preserve">Por otra parte, conforme a lo expuesto, el artículo 13 de la Ley 1150 de 2007, tras la modificación introducida por el artículo 53 de la Ley 2195 de 2022, establece que las entidades estatales exceptuadas del EGCAP deben publicar su actividad contractual en el SECOP II a partir del 18 de julio de 2022. En consecuencia, tales entidades deben publicar todos los documentos que se expidan en el desarrollo </w:t>
      </w:r>
      <w:r w:rsidRPr="00E508DF">
        <w:rPr>
          <w:rFonts w:ascii="Century Gothic" w:hAnsi="Century Gothic" w:eastAsia="Aptos" w:cs="Arial"/>
          <w:kern w:val="2"/>
          <w:lang w:val="es-MX"/>
          <w14:ligatures w14:val="standardContextual"/>
        </w:rPr>
        <w:t xml:space="preserve">de los procesos de contratación que adelanten en sus respectivos regímenes especiales en la referida plataforma. </w:t>
      </w:r>
    </w:p>
    <w:p w:rsidRPr="00E508DF" w:rsidR="00E508DF" w:rsidP="00E508DF" w:rsidRDefault="00E508DF" w14:paraId="769FA635" w14:textId="77777777">
      <w:pPr>
        <w:spacing w:after="0" w:line="276" w:lineRule="auto"/>
        <w:ind w:firstLine="709"/>
        <w:jc w:val="both"/>
        <w:rPr>
          <w:rFonts w:ascii="Century Gothic" w:hAnsi="Century Gothic" w:eastAsia="Calibri" w:cs="Arial"/>
          <w:iCs/>
          <w:kern w:val="2"/>
          <w:lang w:val="es-ES" w:eastAsia="es-ES_tradnl"/>
          <w14:ligatures w14:val="standardContextual"/>
        </w:rPr>
      </w:pPr>
      <w:r w:rsidRPr="00E508DF">
        <w:rPr>
          <w:rFonts w:ascii="Century Gothic" w:hAnsi="Century Gothic" w:eastAsia="Calibri" w:cs="Arial"/>
          <w:kern w:val="2"/>
          <w:lang w:val="es-ES_tradnl"/>
          <w14:ligatures w14:val="standardContextual"/>
        </w:rPr>
        <w:t>Resulta importante señalar que, la reforma introducida por el artículo 53 de la Ley 2195 de 2022 de ninguna manera puede ser interpretada como una modificación del régimen jurídico de las entidades exceptuadas, ni como una norma que regule la forma en la que se perfeccionan los contratos de estas entidades, por lo cual se seguirán rigiendo por sus manuales de contratación. Como se ha venido señalando, e</w:t>
      </w:r>
      <w:r w:rsidRPr="00E508DF">
        <w:rPr>
          <w:rFonts w:ascii="Century Gothic" w:hAnsi="Century Gothic" w:eastAsia="Aptos" w:cs="Arial"/>
          <w:kern w:val="2"/>
          <w:lang w:val="es-MX"/>
          <w14:ligatures w14:val="standardContextual"/>
        </w:rPr>
        <w:t xml:space="preserve">l efecto de la norma objeto de estudio fue establecer la obligación de que la publicidad de su actividad contractual sujeta a régimen especial se realice a través de la plataforma SECOP II. </w:t>
      </w:r>
      <w:r w:rsidRPr="00E508DF">
        <w:rPr>
          <w:rFonts w:ascii="Century Gothic" w:hAnsi="Century Gothic" w:eastAsia="Calibri" w:cs="Arial"/>
          <w:kern w:val="2"/>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w:t>
      </w:r>
      <w:r w:rsidRPr="00E508DF">
        <w:rPr>
          <w:rFonts w:ascii="Century Gothic" w:hAnsi="Century Gothic" w:eastAsia="Calibri" w:cs="Arial"/>
          <w:iCs/>
          <w:kern w:val="2"/>
          <w:lang w:val="es-ES" w:eastAsia="es-ES_tradnl"/>
          <w14:ligatures w14:val="standardContextual"/>
        </w:rPr>
        <w:t>En consecuencia, dado que la disposición materia de estudio no definió la obligatoriedad sobre el uso transaccional del SECOP II para las entidades exceptuadas, estas podrán usarla de forma transaccional o publicitaria, pero lo importante será que publiquen su información contractual a través de la plataforma.</w:t>
      </w:r>
    </w:p>
    <w:p w:rsidRPr="00E508DF" w:rsidR="00E508DF" w:rsidP="00E508DF" w:rsidRDefault="00E508DF" w14:paraId="65B82C59" w14:textId="77777777">
      <w:pPr>
        <w:shd w:val="clear" w:color="auto" w:fill="FFFFFF"/>
        <w:spacing w:after="0" w:line="276" w:lineRule="auto"/>
        <w:jc w:val="both"/>
        <w:rPr>
          <w:rFonts w:ascii="Century Gothic" w:hAnsi="Century Gothic" w:eastAsia="Calibri" w:cs="Arial"/>
          <w:color w:val="000000"/>
          <w:lang w:eastAsia="es-MX"/>
        </w:rPr>
      </w:pPr>
    </w:p>
    <w:p w:rsidRPr="00E508DF" w:rsidR="00E508DF" w:rsidP="00E508DF" w:rsidRDefault="00E508DF" w14:paraId="658A3E27" w14:textId="77777777">
      <w:pPr>
        <w:shd w:val="clear" w:color="auto" w:fill="FFFFFF"/>
        <w:spacing w:after="0" w:line="276" w:lineRule="auto"/>
        <w:jc w:val="both"/>
        <w:rPr>
          <w:rFonts w:ascii="Century Gothic" w:hAnsi="Century Gothic" w:eastAsia="Calibri" w:cs="Arial"/>
          <w:lang w:eastAsia="es-MX"/>
        </w:rPr>
      </w:pPr>
      <w:r w:rsidRPr="00E508DF">
        <w:rPr>
          <w:rFonts w:ascii="Century Gothic" w:hAnsi="Century Gothic" w:eastAsia="Calibri"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E508DF" w:rsidR="00E508DF" w:rsidP="00E508DF" w:rsidRDefault="00E508DF" w14:paraId="037F469F" w14:textId="77777777">
      <w:pPr>
        <w:widowControl w:val="0"/>
        <w:shd w:val="clear" w:color="auto" w:fill="FFFFFF"/>
        <w:autoSpaceDE w:val="0"/>
        <w:autoSpaceDN w:val="0"/>
        <w:spacing w:after="0" w:line="276" w:lineRule="auto"/>
        <w:jc w:val="both"/>
        <w:rPr>
          <w:rFonts w:ascii="Century Gothic" w:hAnsi="Century Gothic" w:eastAsia="Calibri" w:cs="Arial"/>
          <w:color w:val="000000"/>
          <w:lang w:val="es-ES_tradnl" w:bidi="es-ES"/>
        </w:rPr>
      </w:pPr>
    </w:p>
    <w:p w:rsidRPr="00E508DF" w:rsidR="00E508DF" w:rsidP="00E508DF" w:rsidRDefault="00E508DF" w14:paraId="44C4FD2E" w14:textId="77777777">
      <w:pPr>
        <w:shd w:val="clear" w:color="auto" w:fill="FFFFFF"/>
        <w:tabs>
          <w:tab w:val="left" w:pos="426"/>
        </w:tabs>
        <w:spacing w:line="276" w:lineRule="auto"/>
        <w:jc w:val="both"/>
        <w:rPr>
          <w:rFonts w:ascii="Century Gothic" w:hAnsi="Century Gothic" w:eastAsia="Times New Roman" w:cs="Arial"/>
          <w:color w:val="000000"/>
        </w:rPr>
      </w:pPr>
      <w:r w:rsidRPr="00E508DF">
        <w:rPr>
          <w:rFonts w:ascii="Century Gothic" w:hAnsi="Century Gothic" w:eastAsia="Times New Roman" w:cs="Arial"/>
          <w:color w:val="000000"/>
        </w:rPr>
        <w:t>Atentamente,</w:t>
      </w:r>
    </w:p>
    <w:p w:rsidRPr="00E508DF" w:rsidR="00E508DF" w:rsidP="00E508DF" w:rsidRDefault="00BE0C0E" w14:paraId="5431A91F" w14:textId="6E05E1C2">
      <w:pPr>
        <w:jc w:val="center"/>
        <w:rPr>
          <w:rFonts w:ascii="Century Gothic" w:hAnsi="Century Gothic" w:eastAsia="Calibri" w:cs="Arial"/>
        </w:rPr>
      </w:pPr>
      <w:r>
        <w:rPr>
          <w:rFonts w:ascii="Arial" w:hAnsi="Arial" w:cs="Arial"/>
          <w:noProof/>
          <w:color w:val="000000"/>
          <w:lang w:val="es-ES_tradnl"/>
        </w:rPr>
        <w:drawing>
          <wp:inline distT="0" distB="0" distL="0" distR="0" wp14:anchorId="72B2B826" wp14:editId="4D4F8091">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E508DF" w:rsidR="00E508DF" w:rsidTr="0019155F" w14:paraId="52997E8F" w14:textId="77777777">
        <w:trPr>
          <w:trHeight w:val="409"/>
        </w:trPr>
        <w:tc>
          <w:tcPr>
            <w:tcW w:w="817" w:type="dxa"/>
            <w:tcBorders>
              <w:top w:val="nil"/>
              <w:left w:val="nil"/>
              <w:bottom w:val="nil"/>
              <w:right w:val="nil"/>
            </w:tcBorders>
            <w:vAlign w:val="center"/>
            <w:hideMark/>
          </w:tcPr>
          <w:p w:rsidRPr="00E508DF" w:rsidR="00E508DF" w:rsidP="00E508DF" w:rsidRDefault="00E508DF" w14:paraId="1031FB2F"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Elaboró: </w:t>
            </w:r>
          </w:p>
        </w:tc>
        <w:tc>
          <w:tcPr>
            <w:tcW w:w="4937" w:type="dxa"/>
            <w:tcBorders>
              <w:top w:val="nil"/>
              <w:left w:val="nil"/>
              <w:bottom w:val="dotted" w:color="7F7F7F" w:sz="6" w:space="0"/>
              <w:right w:val="nil"/>
            </w:tcBorders>
            <w:vAlign w:val="center"/>
            <w:hideMark/>
          </w:tcPr>
          <w:p w:rsidRPr="00E508DF" w:rsidR="00E508DF" w:rsidP="00E508DF" w:rsidRDefault="00E508DF" w14:paraId="687DE348"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Kevin Arlid Herrera Santa</w:t>
            </w:r>
          </w:p>
          <w:p w:rsidRPr="00E508DF" w:rsidR="00E508DF" w:rsidP="00E508DF" w:rsidRDefault="00E508DF" w14:paraId="40853D9D"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Contratista de la Subdirección de Gestión Contractual</w:t>
            </w:r>
          </w:p>
        </w:tc>
      </w:tr>
      <w:tr w:rsidRPr="00E508DF" w:rsidR="00E508DF" w:rsidTr="0019155F" w14:paraId="1947F5DB" w14:textId="77777777">
        <w:trPr>
          <w:trHeight w:val="409"/>
        </w:trPr>
        <w:tc>
          <w:tcPr>
            <w:tcW w:w="817" w:type="dxa"/>
            <w:tcBorders>
              <w:top w:val="nil"/>
              <w:left w:val="nil"/>
              <w:right w:val="nil"/>
            </w:tcBorders>
            <w:vAlign w:val="center"/>
          </w:tcPr>
          <w:p w:rsidRPr="00E508DF" w:rsidR="00E508DF" w:rsidP="00E508DF" w:rsidRDefault="00E508DF" w14:paraId="65991B93" w14:textId="77777777">
            <w:pPr>
              <w:shd w:val="clear" w:color="auto" w:fill="FFFFFF"/>
              <w:jc w:val="both"/>
              <w:rPr>
                <w:rFonts w:ascii="Century Gothic" w:hAnsi="Century Gothic" w:eastAsia="Calibri" w:cs="Arial"/>
                <w:sz w:val="16"/>
                <w:szCs w:val="16"/>
              </w:rPr>
            </w:pPr>
            <w:r w:rsidRPr="00E508DF">
              <w:rPr>
                <w:rFonts w:ascii="Century Gothic" w:hAnsi="Century Gothic" w:eastAsia="Calibri" w:cs="Arial"/>
                <w:sz w:val="16"/>
                <w:szCs w:val="16"/>
              </w:rPr>
              <w:t>Revisó</w:t>
            </w:r>
          </w:p>
        </w:tc>
        <w:tc>
          <w:tcPr>
            <w:tcW w:w="4937" w:type="dxa"/>
            <w:tcBorders>
              <w:top w:val="dotted" w:color="7F7F7F" w:sz="6" w:space="0"/>
              <w:left w:val="nil"/>
              <w:bottom w:val="dotted" w:color="7F7F7F" w:sz="6" w:space="0"/>
              <w:right w:val="nil"/>
            </w:tcBorders>
            <w:vAlign w:val="center"/>
          </w:tcPr>
          <w:p w:rsidRPr="00E508DF" w:rsidR="00E508DF" w:rsidP="00E508DF" w:rsidRDefault="00E508DF" w14:paraId="3DC3B842"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Martha Alicia Romero Vargas</w:t>
            </w:r>
          </w:p>
          <w:p w:rsidRPr="00E508DF" w:rsidR="00E508DF" w:rsidP="00E508DF" w:rsidRDefault="00E508DF" w14:paraId="18809E5C"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Gestor T1-15 de la Subdirección de Gestión Contractual</w:t>
            </w:r>
          </w:p>
        </w:tc>
      </w:tr>
      <w:tr w:rsidRPr="00E508DF" w:rsidR="00E508DF" w:rsidTr="0019155F" w14:paraId="1D09AE92" w14:textId="77777777">
        <w:trPr>
          <w:trHeight w:val="389"/>
        </w:trPr>
        <w:tc>
          <w:tcPr>
            <w:tcW w:w="817" w:type="dxa"/>
            <w:tcBorders>
              <w:top w:val="nil"/>
              <w:left w:val="nil"/>
              <w:bottom w:val="nil"/>
              <w:right w:val="nil"/>
            </w:tcBorders>
            <w:vAlign w:val="center"/>
            <w:hideMark/>
          </w:tcPr>
          <w:p w:rsidRPr="00E508DF" w:rsidR="00E508DF" w:rsidP="00E508DF" w:rsidRDefault="00E508DF" w14:paraId="78AFA281"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Aprobó: </w:t>
            </w:r>
          </w:p>
        </w:tc>
        <w:tc>
          <w:tcPr>
            <w:tcW w:w="4937" w:type="dxa"/>
            <w:tcBorders>
              <w:top w:val="dotted" w:color="7F7F7F" w:sz="6" w:space="0"/>
              <w:left w:val="nil"/>
              <w:bottom w:val="dotted" w:color="7F7F7F" w:sz="6" w:space="0"/>
              <w:right w:val="nil"/>
            </w:tcBorders>
            <w:vAlign w:val="center"/>
            <w:hideMark/>
          </w:tcPr>
          <w:p w:rsidRPr="00E508DF" w:rsidR="00E508DF" w:rsidP="00E508DF" w:rsidRDefault="00E508DF" w14:paraId="04FA27CD"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 xml:space="preserve">Nohelia del Carmen </w:t>
            </w:r>
            <w:proofErr w:type="spellStart"/>
            <w:r w:rsidRPr="00E508DF">
              <w:rPr>
                <w:rFonts w:ascii="Century Gothic" w:hAnsi="Century Gothic" w:eastAsia="Calibri" w:cs="Arial"/>
                <w:sz w:val="16"/>
                <w:szCs w:val="16"/>
              </w:rPr>
              <w:t>Zawady</w:t>
            </w:r>
            <w:proofErr w:type="spellEnd"/>
            <w:r w:rsidRPr="00E508DF">
              <w:rPr>
                <w:rFonts w:ascii="Century Gothic" w:hAnsi="Century Gothic" w:eastAsia="Calibri" w:cs="Arial"/>
                <w:sz w:val="16"/>
                <w:szCs w:val="16"/>
              </w:rPr>
              <w:t xml:space="preserve"> Palacio</w:t>
            </w:r>
          </w:p>
          <w:p w:rsidRPr="00E508DF" w:rsidR="00E508DF" w:rsidP="00E508DF" w:rsidRDefault="00E508DF" w14:paraId="0BD59D8C" w14:textId="77777777">
            <w:pPr>
              <w:shd w:val="clear" w:color="auto" w:fill="FFFFFF"/>
              <w:spacing w:after="0" w:line="240" w:lineRule="auto"/>
              <w:jc w:val="both"/>
              <w:rPr>
                <w:rFonts w:ascii="Century Gothic" w:hAnsi="Century Gothic" w:eastAsia="Calibri" w:cs="Arial"/>
                <w:sz w:val="16"/>
                <w:szCs w:val="16"/>
              </w:rPr>
            </w:pPr>
            <w:r w:rsidRPr="00E508DF">
              <w:rPr>
                <w:rFonts w:ascii="Century Gothic" w:hAnsi="Century Gothic" w:eastAsia="Calibri" w:cs="Arial"/>
                <w:sz w:val="16"/>
                <w:szCs w:val="16"/>
              </w:rPr>
              <w:t>Subdirectora de Gestión Contractual ANCP - CCE</w:t>
            </w:r>
          </w:p>
        </w:tc>
      </w:tr>
      <w:bookmarkEnd w:id="0"/>
      <w:bookmarkEnd w:id="3"/>
    </w:tbl>
    <w:p w:rsidR="005A6AA1" w:rsidP="00400548" w:rsidRDefault="005A6AA1" w14:paraId="7EBFAB6A" w14:textId="77777777">
      <w:pPr>
        <w:spacing w:after="0"/>
        <w:rPr>
          <w:rFonts w:ascii="Century Gothic" w:hAnsi="Century Gothic"/>
          <w:lang w:val="es-MX"/>
        </w:rPr>
      </w:pPr>
    </w:p>
    <w:sectPr w:rsidR="005A6AA1" w:rsidSect="008449FA">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4AAE" w:rsidP="004A1847" w:rsidRDefault="00F84AAE" w14:paraId="04308407" w14:textId="77777777">
      <w:pPr>
        <w:spacing w:after="0" w:line="240" w:lineRule="auto"/>
      </w:pPr>
      <w:r>
        <w:separator/>
      </w:r>
    </w:p>
  </w:endnote>
  <w:endnote w:type="continuationSeparator" w:id="0">
    <w:p w:rsidR="00F84AAE" w:rsidP="004A1847" w:rsidRDefault="00F84AAE" w14:paraId="0F744860" w14:textId="77777777">
      <w:pPr>
        <w:spacing w:after="0" w:line="240" w:lineRule="auto"/>
      </w:pPr>
      <w:r>
        <w:continuationSeparator/>
      </w:r>
    </w:p>
  </w:endnote>
  <w:endnote w:type="continuationNotice" w:id="1">
    <w:p w:rsidR="00F84AAE" w:rsidRDefault="00F84AAE" w14:paraId="2AC6EA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4AAE" w:rsidP="004A1847" w:rsidRDefault="00F84AAE" w14:paraId="46C7DB8F" w14:textId="77777777">
      <w:pPr>
        <w:spacing w:after="0" w:line="240" w:lineRule="auto"/>
      </w:pPr>
      <w:r>
        <w:separator/>
      </w:r>
    </w:p>
  </w:footnote>
  <w:footnote w:type="continuationSeparator" w:id="0">
    <w:p w:rsidR="00F84AAE" w:rsidP="004A1847" w:rsidRDefault="00F84AAE" w14:paraId="13CB1DA6" w14:textId="77777777">
      <w:pPr>
        <w:spacing w:after="0" w:line="240" w:lineRule="auto"/>
      </w:pPr>
      <w:r>
        <w:continuationSeparator/>
      </w:r>
    </w:p>
  </w:footnote>
  <w:footnote w:type="continuationNotice" w:id="1">
    <w:p w:rsidR="00F84AAE" w:rsidRDefault="00F84AAE" w14:paraId="30AAD21E" w14:textId="77777777">
      <w:pPr>
        <w:spacing w:after="0" w:line="240" w:lineRule="auto"/>
      </w:pPr>
    </w:p>
  </w:footnote>
  <w:footnote w:id="2">
    <w:p w:rsidRPr="00226746" w:rsidR="00E508DF" w:rsidP="00E508DF" w:rsidRDefault="00E508DF" w14:paraId="6DEDFD92" w14:textId="77777777">
      <w:pPr>
        <w:pStyle w:val="Textonotapie"/>
        <w:ind w:firstLine="709"/>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Estos conceptos pueden ser consultados en la Relatoría de esta Agencia en el siguiente </w:t>
      </w:r>
      <w:proofErr w:type="gramStart"/>
      <w:r w:rsidRPr="00226746">
        <w:rPr>
          <w:rFonts w:ascii="Century Gothic" w:hAnsi="Century Gothic" w:cs="Arial"/>
          <w:sz w:val="18"/>
          <w:szCs w:val="18"/>
          <w:lang w:val="es-CO"/>
        </w:rPr>
        <w:t>Link</w:t>
      </w:r>
      <w:proofErr w:type="gramEnd"/>
      <w:r w:rsidRPr="00226746">
        <w:rPr>
          <w:rFonts w:ascii="Century Gothic" w:hAnsi="Century Gothic" w:cs="Arial"/>
          <w:sz w:val="18"/>
          <w:szCs w:val="18"/>
          <w:lang w:val="es-CO"/>
        </w:rPr>
        <w:t xml:space="preserve">: </w:t>
      </w:r>
      <w:hyperlink w:history="1" r:id="rId1">
        <w:r w:rsidRPr="00226746">
          <w:rPr>
            <w:rStyle w:val="Hipervnculo"/>
            <w:rFonts w:ascii="Century Gothic" w:hAnsi="Century Gothic" w:cs="Arial"/>
            <w:sz w:val="18"/>
            <w:szCs w:val="18"/>
            <w:lang w:val="es-CO"/>
          </w:rPr>
          <w:t>https://relatoria.colombiacompra.gov.co/busqueda/conceptos</w:t>
        </w:r>
      </w:hyperlink>
      <w:r w:rsidRPr="00226746">
        <w:rPr>
          <w:rFonts w:ascii="Century Gothic" w:hAnsi="Century Gothic" w:cs="Arial"/>
          <w:sz w:val="18"/>
          <w:szCs w:val="18"/>
          <w:lang w:val="es-CO"/>
        </w:rPr>
        <w:t>.</w:t>
      </w:r>
    </w:p>
  </w:footnote>
  <w:footnote w:id="3">
    <w:p w:rsidRPr="00226746" w:rsidR="00E508DF" w:rsidP="00E508DF" w:rsidRDefault="00E508DF" w14:paraId="5E25B975" w14:textId="77777777">
      <w:pPr>
        <w:pStyle w:val="Textonotapie"/>
        <w:ind w:firstLine="709"/>
        <w:jc w:val="both"/>
        <w:rPr>
          <w:rFonts w:ascii="Century Gothic" w:hAnsi="Century Gothic" w:cs="Arial"/>
          <w:color w:val="000000"/>
          <w:sz w:val="18"/>
          <w:szCs w:val="18"/>
          <w:lang w:val="es-CO"/>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rsidRPr="00226746" w:rsidR="00E508DF" w:rsidP="00E508DF" w:rsidRDefault="00E508DF" w14:paraId="68489B3D" w14:textId="77777777">
      <w:pPr>
        <w:pStyle w:val="Textonotapie"/>
        <w:ind w:firstLine="709"/>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w:t>
      </w:r>
      <w:r w:rsidRPr="00226746">
        <w:rPr>
          <w:rFonts w:ascii="Century Gothic" w:hAnsi="Century Gothic" w:cs="Arial"/>
          <w:color w:val="000000"/>
          <w:sz w:val="18"/>
          <w:szCs w:val="18"/>
          <w:lang w:val="es-CO"/>
        </w:rPr>
        <w:t xml:space="preserve">Ley 1882 de 2018: “Artículo 4. </w:t>
      </w:r>
      <w:r w:rsidRPr="00226746">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226746" w:rsidR="00E508DF" w:rsidP="00E508DF" w:rsidRDefault="00E508DF" w14:paraId="447855EA" w14:textId="77777777">
      <w:pPr>
        <w:pStyle w:val="Textonotapie"/>
        <w:ind w:firstLine="709"/>
        <w:jc w:val="both"/>
        <w:rPr>
          <w:rFonts w:ascii="Century Gothic" w:hAnsi="Century Gothic" w:cs="Arial"/>
          <w:color w:val="000000"/>
          <w:sz w:val="18"/>
          <w:szCs w:val="18"/>
          <w:lang w:val="es-CO"/>
        </w:rPr>
      </w:pPr>
      <w:r w:rsidRPr="00226746">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rsidRPr="00226746" w:rsidR="00E508DF" w:rsidP="00E508DF" w:rsidRDefault="00E508DF" w14:paraId="5784DB48" w14:textId="77777777">
      <w:pPr>
        <w:pStyle w:val="Textonotapie"/>
        <w:ind w:firstLine="709"/>
        <w:jc w:val="both"/>
        <w:rPr>
          <w:rFonts w:ascii="Century Gothic" w:hAnsi="Century Gothic" w:cs="Arial"/>
          <w:color w:val="000000"/>
          <w:sz w:val="18"/>
          <w:szCs w:val="18"/>
          <w:lang w:val="es-CO"/>
        </w:rPr>
      </w:pPr>
      <w:r w:rsidRPr="00226746">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5">
    <w:p w:rsidRPr="00226746" w:rsidR="00E508DF" w:rsidP="00E508DF" w:rsidRDefault="00E508DF" w14:paraId="1EDD3ADD" w14:textId="77777777">
      <w:pPr>
        <w:pStyle w:val="Textonotapie"/>
        <w:ind w:firstLine="709"/>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rsidRPr="00226746" w:rsidR="00E508DF" w:rsidP="00E508DF" w:rsidRDefault="00E508DF" w14:paraId="282804BB" w14:textId="77777777">
      <w:pPr>
        <w:pStyle w:val="Textonotapie"/>
        <w:ind w:firstLine="708"/>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rsidRPr="00226746" w:rsidR="00E508DF" w:rsidP="00E508DF" w:rsidRDefault="00E508DF" w14:paraId="224A489C"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Artículo 4o. Adiciónese el siguiente parágrafo al artículo 2o de la Ley 1150 de 2007.</w:t>
      </w:r>
    </w:p>
    <w:p w:rsidRPr="00226746" w:rsidR="00E508DF" w:rsidP="00E508DF" w:rsidRDefault="00E508DF" w14:paraId="16D057E0"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26746" w:rsidR="00E508DF" w:rsidP="00E508DF" w:rsidRDefault="00E508DF" w14:paraId="51C7DFA0"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26746" w:rsidR="00E508DF" w:rsidP="00E508DF" w:rsidRDefault="00E508DF" w14:paraId="7BDAE040"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26746" w:rsidR="00E508DF" w:rsidP="00E508DF" w:rsidRDefault="00E508DF" w14:paraId="16DA035E"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226746" w:rsidR="00E508DF" w:rsidP="00E508DF" w:rsidRDefault="00E508DF" w14:paraId="44BFFA66" w14:textId="77777777">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rsidRPr="00226746" w:rsidR="00E508DF" w:rsidP="00E508DF" w:rsidRDefault="00E508DF" w14:paraId="13F5FF50" w14:textId="77777777">
      <w:pPr>
        <w:pStyle w:val="Textonotapie"/>
        <w:ind w:firstLine="709"/>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El artículo 5 dispone que “</w:t>
      </w:r>
      <w:r w:rsidRPr="00226746">
        <w:rPr>
          <w:rFonts w:ascii="Century Gothic" w:hAnsi="Century Gothic"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8">
    <w:p w:rsidRPr="00413438" w:rsidR="00E508DF" w:rsidP="00E508DF" w:rsidRDefault="00E508DF" w14:paraId="5F5054E3" w14:textId="77777777">
      <w:pPr>
        <w:pStyle w:val="Textonotapie"/>
        <w:ind w:firstLine="708"/>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 legislativa No. 1249 de 4 de noviembre de 2020 – Senado.</w:t>
      </w:r>
    </w:p>
  </w:footnote>
  <w:footnote w:id="9">
    <w:p w:rsidRPr="00226746" w:rsidR="00E508DF" w:rsidP="00E508DF" w:rsidRDefault="00E508DF" w14:paraId="27D5647B"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w:t>
      </w:r>
      <w:r w:rsidRPr="00226746">
        <w:rPr>
          <w:rFonts w:ascii="Century Gothic" w:hAnsi="Century Gothic" w:cs="Arial"/>
          <w:sz w:val="18"/>
          <w:szCs w:val="18"/>
          <w:lang w:val="es-CO"/>
        </w:rPr>
        <w:t>Gaceta legislativa No.1677 de 23 de noviembre de 2021 – Cámara de Representantes.</w:t>
      </w:r>
    </w:p>
  </w:footnote>
  <w:footnote w:id="10">
    <w:p w:rsidRPr="00226746" w:rsidR="00E508DF" w:rsidP="00E508DF" w:rsidRDefault="00E508DF" w14:paraId="407C7842" w14:textId="77777777">
      <w:pPr>
        <w:pStyle w:val="Textonotapie"/>
        <w:jc w:val="both"/>
        <w:rPr>
          <w:rFonts w:ascii="Century Gothic" w:hAnsi="Century Gothic" w:cs="Arial"/>
          <w:sz w:val="18"/>
          <w:szCs w:val="18"/>
        </w:rPr>
      </w:pPr>
    </w:p>
    <w:p w:rsidRPr="00226746" w:rsidR="00E508DF" w:rsidP="00E508DF" w:rsidRDefault="00E508DF" w14:paraId="021E50F3"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Intervención realizada por </w:t>
      </w:r>
      <w:r w:rsidRPr="00226746">
        <w:rPr>
          <w:rFonts w:ascii="Century Gothic" w:hAnsi="Century Gothic" w:eastAsia="Calibri"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226746">
        <w:rPr>
          <w:rFonts w:ascii="Century Gothic" w:hAnsi="Century Gothic" w:cs="Arial"/>
          <w:sz w:val="18"/>
          <w:szCs w:val="18"/>
        </w:rPr>
        <w:t>Senado del Congreso de la República.</w:t>
      </w:r>
    </w:p>
  </w:footnote>
  <w:footnote w:id="11">
    <w:p w:rsidRPr="00226746" w:rsidR="00E508DF" w:rsidP="00E508DF" w:rsidRDefault="00E508DF" w14:paraId="60142D01"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Ver articulado propuesto en el informe de ponencia para primer debate del </w:t>
      </w:r>
      <w:r w:rsidRPr="00226746">
        <w:rPr>
          <w:rFonts w:ascii="Century Gothic" w:hAnsi="Century Gothic" w:eastAsia="Calibri" w:cs="Arial"/>
          <w:sz w:val="18"/>
          <w:szCs w:val="18"/>
          <w:lang w:val="es-ES_tradnl" w:eastAsia="es-ES_tradnl"/>
        </w:rPr>
        <w:t>Proyecto de Ley No. 341 de 2020</w:t>
      </w:r>
      <w:r w:rsidRPr="00226746">
        <w:rPr>
          <w:rFonts w:ascii="Century Gothic" w:hAnsi="Century Gothic" w:cs="Arial"/>
          <w:sz w:val="18"/>
          <w:szCs w:val="18"/>
        </w:rPr>
        <w:t xml:space="preserve">del </w:t>
      </w:r>
      <w:r w:rsidRPr="00226746">
        <w:rPr>
          <w:rFonts w:ascii="Century Gothic" w:hAnsi="Century Gothic" w:eastAsia="Calibri" w:cs="Arial"/>
          <w:sz w:val="18"/>
          <w:szCs w:val="18"/>
          <w:lang w:val="es-ES_tradnl" w:eastAsia="es-ES_tradnl"/>
        </w:rPr>
        <w:t xml:space="preserve">gaceta legislativa No. 274 del 13 de abril de 2021 - </w:t>
      </w:r>
      <w:r w:rsidRPr="00226746">
        <w:rPr>
          <w:rFonts w:ascii="Century Gothic" w:hAnsi="Century Gothic" w:cs="Arial"/>
          <w:sz w:val="18"/>
          <w:szCs w:val="18"/>
        </w:rPr>
        <w:t>Senado del Congreso de la República.</w:t>
      </w:r>
    </w:p>
  </w:footnote>
  <w:footnote w:id="12">
    <w:p w:rsidRPr="00226746" w:rsidR="00E508DF" w:rsidP="00E508DF" w:rsidRDefault="00E508DF" w14:paraId="010F5816" w14:textId="77777777">
      <w:pPr>
        <w:pStyle w:val="Textonotapie"/>
        <w:ind w:firstLine="708"/>
        <w:jc w:val="both"/>
        <w:rPr>
          <w:rFonts w:ascii="Century Gothic" w:hAnsi="Century Gothic" w:cs="Arial"/>
          <w:sz w:val="18"/>
          <w:szCs w:val="18"/>
        </w:rPr>
      </w:pPr>
      <w:r w:rsidRPr="00226746">
        <w:rPr>
          <w:rStyle w:val="Refdenotaalpie"/>
          <w:rFonts w:ascii="Century Gothic" w:hAnsi="Century Gothic" w:cs="Arial"/>
          <w:sz w:val="18"/>
          <w:szCs w:val="18"/>
        </w:rPr>
        <w:footnoteRef/>
      </w:r>
      <w:r>
        <w:rPr>
          <w:rFonts w:ascii="Century Gothic" w:hAnsi="Century Gothic" w:cs="Arial"/>
          <w:sz w:val="18"/>
          <w:szCs w:val="18"/>
        </w:rPr>
        <w:t xml:space="preserve"> </w:t>
      </w:r>
      <w:r w:rsidRPr="00226746">
        <w:rPr>
          <w:rFonts w:ascii="Century Gothic" w:hAnsi="Century Gothic" w:cs="Arial"/>
          <w:sz w:val="18"/>
          <w:szCs w:val="18"/>
        </w:rPr>
        <w:t xml:space="preserve">Ver aparte de pliego de modificaciones en el informe de ponencia para primer debate del </w:t>
      </w:r>
      <w:r w:rsidRPr="00226746">
        <w:rPr>
          <w:rFonts w:ascii="Century Gothic" w:hAnsi="Century Gothic" w:eastAsia="Calibri" w:cs="Arial"/>
          <w:sz w:val="18"/>
          <w:szCs w:val="18"/>
          <w:lang w:val="es-ES_tradnl" w:eastAsia="es-ES_tradnl"/>
        </w:rPr>
        <w:t>Proyecto de Ley No. 341 de 2020</w:t>
      </w:r>
      <w:r w:rsidRPr="00226746">
        <w:rPr>
          <w:rFonts w:ascii="Century Gothic" w:hAnsi="Century Gothic" w:cs="Arial"/>
          <w:sz w:val="18"/>
          <w:szCs w:val="18"/>
        </w:rPr>
        <w:t xml:space="preserve">del </w:t>
      </w:r>
      <w:r w:rsidRPr="00226746">
        <w:rPr>
          <w:rFonts w:ascii="Century Gothic" w:hAnsi="Century Gothic" w:eastAsia="Calibri" w:cs="Arial"/>
          <w:sz w:val="18"/>
          <w:szCs w:val="18"/>
          <w:lang w:val="es-ES_tradnl" w:eastAsia="es-ES_tradnl"/>
        </w:rPr>
        <w:t xml:space="preserve">gaceta legislativa No. 274 del 13 de abril de 2021 - </w:t>
      </w:r>
      <w:r w:rsidRPr="00226746">
        <w:rPr>
          <w:rFonts w:ascii="Century Gothic" w:hAnsi="Century Gothic" w:cs="Arial"/>
          <w:sz w:val="18"/>
          <w:szCs w:val="18"/>
        </w:rPr>
        <w:t>Senado del Congreso de la República.</w:t>
      </w:r>
    </w:p>
    <w:p w:rsidRPr="00226746" w:rsidR="00E508DF" w:rsidP="00E508DF" w:rsidRDefault="00E508DF" w14:paraId="44B2EA81" w14:textId="77777777">
      <w:pPr>
        <w:pStyle w:val="Textonotapie"/>
        <w:ind w:firstLine="708"/>
        <w:jc w:val="both"/>
        <w:rPr>
          <w:rFonts w:ascii="Century Gothic" w:hAnsi="Century Gothic" w:cs="Arial"/>
          <w:sz w:val="18"/>
          <w:szCs w:val="18"/>
          <w:lang w:val="es-CO"/>
        </w:rPr>
      </w:pPr>
    </w:p>
  </w:footnote>
  <w:footnote w:id="13">
    <w:p w:rsidRPr="00226746" w:rsidR="00E508DF" w:rsidP="00E508DF" w:rsidRDefault="00E508DF" w14:paraId="1EDB3EA4"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 legislativa No. 1160 del 9 de septiembre de 2021</w:t>
      </w:r>
      <w:r w:rsidRPr="00226746">
        <w:rPr>
          <w:rFonts w:ascii="Century Gothic" w:hAnsi="Century Gothic" w:eastAsia="Calibri" w:cs="Arial"/>
          <w:sz w:val="18"/>
          <w:szCs w:val="18"/>
          <w:lang w:val="es-ES_tradnl" w:eastAsia="es-ES_tradnl"/>
        </w:rPr>
        <w:t xml:space="preserve">- </w:t>
      </w:r>
      <w:r w:rsidRPr="00226746">
        <w:rPr>
          <w:rFonts w:ascii="Century Gothic" w:hAnsi="Century Gothic" w:cs="Arial"/>
          <w:sz w:val="18"/>
          <w:szCs w:val="18"/>
        </w:rPr>
        <w:t>Senado.</w:t>
      </w:r>
    </w:p>
  </w:footnote>
  <w:footnote w:id="14">
    <w:p w:rsidRPr="00226746" w:rsidR="00E508DF" w:rsidP="00E508DF" w:rsidRDefault="00E508DF" w14:paraId="5BFEEE78"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w:t>
      </w:r>
      <w:r w:rsidRPr="00226746">
        <w:rPr>
          <w:rFonts w:ascii="Century Gothic" w:hAnsi="Century Gothic" w:cs="Arial"/>
          <w:sz w:val="18"/>
          <w:szCs w:val="18"/>
          <w:lang w:val="es-CO"/>
        </w:rPr>
        <w:t>Gaceta legislativa No. 1589 del 9 de noviembre de 2021 – Senado.</w:t>
      </w:r>
    </w:p>
  </w:footnote>
  <w:footnote w:id="15">
    <w:p w:rsidRPr="00226746" w:rsidR="00E508DF" w:rsidP="00E508DF" w:rsidRDefault="00E508DF" w14:paraId="5E0F6A14" w14:textId="77777777">
      <w:pPr>
        <w:pStyle w:val="Textonotapie"/>
        <w:jc w:val="both"/>
        <w:rPr>
          <w:rFonts w:ascii="Century Gothic" w:hAnsi="Century Gothic" w:cs="Arial"/>
          <w:sz w:val="18"/>
          <w:szCs w:val="18"/>
        </w:rPr>
      </w:pPr>
    </w:p>
    <w:p w:rsidRPr="00226746" w:rsidR="00E508DF" w:rsidP="00E508DF" w:rsidRDefault="00E508DF" w14:paraId="10655E1B"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16">
    <w:p w:rsidRPr="00226746" w:rsidR="00E508DF" w:rsidP="00E508DF" w:rsidRDefault="00E508DF" w14:paraId="1BD7E74F" w14:textId="77777777">
      <w:pPr>
        <w:pStyle w:val="Textonotapie"/>
        <w:ind w:firstLine="708"/>
        <w:jc w:val="both"/>
        <w:rPr>
          <w:rFonts w:ascii="Century Gothic" w:hAnsi="Century Gothic" w:cs="Arial"/>
          <w:sz w:val="18"/>
          <w:szCs w:val="18"/>
        </w:rPr>
      </w:pPr>
    </w:p>
    <w:p w:rsidRPr="00226746" w:rsidR="00E508DF" w:rsidP="00E508DF" w:rsidRDefault="00E508DF" w14:paraId="44D18FB3" w14:textId="77777777">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Gacetas</w:t>
      </w:r>
      <w:r w:rsidRPr="00226746">
        <w:rPr>
          <w:rFonts w:ascii="Century Gothic" w:hAnsi="Century Gothic" w:cs="Arial"/>
          <w:sz w:val="18"/>
          <w:szCs w:val="18"/>
          <w:lang w:val="es-CO"/>
        </w:rPr>
        <w:t xml:space="preserve"> legislativas No. 1860 y 1861 de 2021, de Cámara de Representantes y Senado, respectivamente.</w:t>
      </w:r>
    </w:p>
  </w:footnote>
  <w:footnote w:id="17">
    <w:p w:rsidRPr="00226746" w:rsidR="00E508DF" w:rsidP="00E508DF" w:rsidRDefault="00E508DF" w14:paraId="3682A33D" w14:textId="77777777">
      <w:pPr>
        <w:pStyle w:val="Textonotapie"/>
        <w:ind w:firstLine="708"/>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bookmarkStart w:name="2" w:id="11"/>
      <w:r w:rsidRPr="00226746">
        <w:rPr>
          <w:rFonts w:ascii="Century Gothic" w:hAnsi="Century Gothic" w:cs="Arial"/>
          <w:sz w:val="18"/>
          <w:szCs w:val="18"/>
        </w:rPr>
        <w:t>“Artículo 2o. De las modalidades de selección.</w:t>
      </w:r>
      <w:bookmarkEnd w:id="11"/>
      <w:r w:rsidRPr="00226746">
        <w:rPr>
          <w:rFonts w:ascii="Century Gothic" w:hAnsi="Century Gothic" w:cs="Arial"/>
          <w:sz w:val="18"/>
          <w:szCs w:val="18"/>
        </w:rPr>
        <w:t> La escogencia del contratista se efectuará con arreglo a las modalidades de selección de licitación pública, selección abreviada, concurso de méritos y contratación directa, con base en las siguientes reglas:</w:t>
      </w:r>
    </w:p>
    <w:p w:rsidRPr="00226746" w:rsidR="00E508DF" w:rsidP="00E508DF" w:rsidRDefault="00E508DF" w14:paraId="4CBD3380" w14:textId="77777777">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w:t>
      </w:r>
    </w:p>
    <w:p w:rsidRPr="00226746" w:rsidR="00E508DF" w:rsidP="00E508DF" w:rsidRDefault="00E508DF" w14:paraId="116D9543" w14:textId="77777777">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4. </w:t>
      </w:r>
      <w:r w:rsidRPr="00226746">
        <w:rPr>
          <w:rStyle w:val="baj"/>
          <w:rFonts w:ascii="Century Gothic" w:hAnsi="Century Gothic" w:cs="Arial"/>
          <w:sz w:val="18"/>
          <w:szCs w:val="18"/>
        </w:rPr>
        <w:t>Contratación directa. </w:t>
      </w:r>
      <w:r w:rsidRPr="00226746">
        <w:rPr>
          <w:rFonts w:ascii="Century Gothic" w:hAnsi="Century Gothic" w:cs="Arial"/>
          <w:sz w:val="18"/>
          <w:szCs w:val="18"/>
        </w:rPr>
        <w:t>La modalidad de selección de contratación directa solamente procederá en los siguientes casos:</w:t>
      </w:r>
    </w:p>
    <w:p w:rsidRPr="00226746" w:rsidR="00E508DF" w:rsidP="00E508DF" w:rsidRDefault="00E508DF" w14:paraId="3403E410" w14:textId="77777777">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w:t>
      </w:r>
    </w:p>
    <w:p w:rsidRPr="00226746" w:rsidR="00E508DF" w:rsidP="00E508DF" w:rsidRDefault="00E508DF" w14:paraId="1451008C" w14:textId="77777777">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C. […]</w:t>
      </w:r>
    </w:p>
    <w:p w:rsidRPr="00226746" w:rsidR="00E508DF" w:rsidP="00E508DF" w:rsidRDefault="00E508DF" w14:paraId="028EC052" w14:textId="77777777">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Inciso 2o. modificado por el artículo 95 de la Ley 1474 de 2011–</w:t>
      </w:r>
      <w:r w:rsidRPr="00226746" w:rsidDel="002C5C6D">
        <w:rPr>
          <w:rFonts w:ascii="Century Gothic" w:hAnsi="Century Gothic" w:cs="Arial"/>
          <w:sz w:val="18"/>
          <w:szCs w:val="18"/>
        </w:rPr>
        <w:t xml:space="preserve"> </w:t>
      </w:r>
      <w:r w:rsidRPr="00226746">
        <w:rPr>
          <w:rFonts w:ascii="Century Gothic" w:hAnsi="Century Gothic" w:cs="Arial"/>
          <w:sz w:val="18"/>
          <w:szCs w:val="18"/>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8">
    <w:p w:rsidRPr="00226746" w:rsidR="00E508DF" w:rsidP="00E508DF" w:rsidRDefault="00E508DF" w14:paraId="3974CBE0" w14:textId="77777777">
      <w:pPr>
        <w:pStyle w:val="Textonotapie"/>
        <w:ind w:firstLine="708"/>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Corte Constitucional. Sentencia C- 341 del 4 de junio de 2014. M. P. Mauricio González Cuervo.</w:t>
      </w:r>
    </w:p>
  </w:footnote>
  <w:footnote w:id="19">
    <w:p w:rsidRPr="00226746" w:rsidR="00E508DF" w:rsidP="00E508DF" w:rsidRDefault="00E508DF" w14:paraId="50BE3228" w14:textId="77777777">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226746" w:rsidR="00E508DF" w:rsidP="00E508DF" w:rsidRDefault="00E508DF" w14:paraId="2B971AF3" w14:textId="77777777">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Lo anterior, sin perjuicio de las publicaciones previstas en el numeral 3 del artículo 30 de la Ley 80 de 1993.</w:t>
      </w:r>
    </w:p>
    <w:p w:rsidRPr="00226746" w:rsidR="00E508DF" w:rsidP="00E508DF" w:rsidRDefault="00E508DF" w14:paraId="5EF19DC3" w14:textId="77777777">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 xml:space="preserve">Con el fin de materializar los objetivos a que se refiere el inciso anterior, el Gobierno Nacional desarrollará el Sistema Electrónico para la Contratación Pública, Secop, el cual: </w:t>
      </w:r>
    </w:p>
    <w:p w:rsidRPr="00226746" w:rsidR="00E508DF" w:rsidP="00E508DF" w:rsidRDefault="00E508DF" w14:paraId="763E3899" w14:textId="77777777">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w:t>
      </w:r>
    </w:p>
    <w:p w:rsidRPr="00226746" w:rsidR="00E508DF" w:rsidP="00E508DF" w:rsidRDefault="00E508DF" w14:paraId="4C0E41F6" w14:textId="77777777">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 xml:space="preserve">c) Contará con la información oficial de la contratación realizada con dineros públicos, para lo cual establecerá los patrones a que haya lugar y se encargará de su difusión a través de canales electrónico”. </w:t>
      </w:r>
    </w:p>
  </w:footnote>
  <w:footnote w:id="20">
    <w:p w:rsidRPr="00226746" w:rsidR="00E508DF" w:rsidP="00E508DF" w:rsidRDefault="00E508DF" w14:paraId="5A056849" w14:textId="77777777">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21">
    <w:p w:rsidRPr="00226746" w:rsidR="00E508DF" w:rsidP="00E508DF" w:rsidRDefault="00E508DF" w14:paraId="1C7EA445" w14:textId="77777777">
      <w:pPr>
        <w:pStyle w:val="Textonotapie"/>
        <w:ind w:firstLine="707"/>
        <w:contextualSpacing/>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vertAlign w:val="superscript"/>
        </w:rPr>
        <w:t xml:space="preserve"> </w:t>
      </w:r>
      <w:r w:rsidRPr="00226746">
        <w:rPr>
          <w:rFonts w:ascii="Century Gothic" w:hAnsi="Century Gothic" w:cs="Arial"/>
          <w:sz w:val="18"/>
          <w:szCs w:val="18"/>
        </w:rPr>
        <w:t xml:space="preserve">Ley 1712 de 2014: “Artículo 3. </w:t>
      </w:r>
      <w:bookmarkStart w:name="3" w:id="14"/>
      <w:r w:rsidRPr="00226746">
        <w:rPr>
          <w:rFonts w:ascii="Century Gothic" w:hAnsi="Century Gothic" w:cs="Arial"/>
          <w:sz w:val="18"/>
          <w:szCs w:val="18"/>
          <w:lang w:val="es-CO"/>
        </w:rPr>
        <w:t>Otros principios de la transparencia y acceso a la información pública.</w:t>
      </w:r>
      <w:bookmarkEnd w:id="14"/>
      <w:r w:rsidRPr="00226746">
        <w:rPr>
          <w:rFonts w:ascii="Century Gothic" w:hAnsi="Century Gothic" w:cs="Arial"/>
          <w:sz w:val="18"/>
          <w:szCs w:val="18"/>
          <w:lang w:val="es-CO"/>
        </w:rPr>
        <w:t> </w:t>
      </w:r>
    </w:p>
    <w:p w:rsidRPr="00226746" w:rsidR="00E508DF" w:rsidP="00E508DF" w:rsidRDefault="00E508DF" w14:paraId="4170A62F" w14:textId="77777777">
      <w:pPr>
        <w:pStyle w:val="Textonotapie"/>
        <w:ind w:firstLine="707"/>
        <w:contextualSpacing/>
        <w:jc w:val="both"/>
        <w:rPr>
          <w:rFonts w:ascii="Century Gothic" w:hAnsi="Century Gothic" w:cs="Arial"/>
          <w:sz w:val="18"/>
          <w:szCs w:val="18"/>
          <w:lang w:val="es-CO"/>
        </w:rPr>
      </w:pPr>
      <w:r w:rsidRPr="00226746">
        <w:rPr>
          <w:rFonts w:ascii="Century Gothic" w:hAnsi="Century Gothic" w:cs="Arial"/>
          <w:sz w:val="18"/>
          <w:szCs w:val="18"/>
          <w:lang w:val="es-CO"/>
        </w:rPr>
        <w:t>[…]</w:t>
      </w:r>
    </w:p>
    <w:p w:rsidRPr="00A90253" w:rsidR="00E508DF" w:rsidP="00E508DF" w:rsidRDefault="00E508DF" w14:paraId="19A43EFB" w14:textId="77777777">
      <w:pPr>
        <w:pStyle w:val="Textonotapie"/>
        <w:ind w:firstLine="707"/>
        <w:contextualSpacing/>
        <w:jc w:val="both"/>
        <w:rPr>
          <w:rFonts w:ascii="Century Gothic" w:hAnsi="Century Gothic" w:cs="Arial"/>
          <w:sz w:val="18"/>
          <w:szCs w:val="18"/>
        </w:rPr>
      </w:pPr>
      <w:r w:rsidRPr="00226746">
        <w:rPr>
          <w:rStyle w:val="baj"/>
          <w:rFonts w:ascii="Century Gothic" w:hAnsi="Century Gothic" w:cs="Arial"/>
          <w:sz w:val="18"/>
          <w:szCs w:val="18"/>
        </w:rPr>
        <w:t>Principio de transparencia</w:t>
      </w:r>
      <w:r w:rsidRPr="00226746">
        <w:rPr>
          <w:rFonts w:ascii="Century Gothic" w:hAnsi="Century Gothic"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22">
    <w:p w:rsidRPr="00226746" w:rsidR="00E508DF" w:rsidP="00E508DF" w:rsidRDefault="00E508DF" w14:paraId="4D10D7DC" w14:textId="77777777">
      <w:pPr>
        <w:pStyle w:val="Textonotapie"/>
        <w:ind w:firstLine="707"/>
        <w:contextualSpacing/>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vertAlign w:val="superscript"/>
        </w:rPr>
        <w:t xml:space="preserve"> </w:t>
      </w:r>
      <w:r w:rsidRPr="00226746">
        <w:rPr>
          <w:rFonts w:ascii="Century Gothic" w:hAnsi="Century Gothic" w:cs="Arial"/>
          <w:sz w:val="18"/>
          <w:szCs w:val="18"/>
        </w:rPr>
        <w:t xml:space="preserve">Ley 1712 de 2014: “Artículo 3. </w:t>
      </w:r>
      <w:r w:rsidRPr="00226746">
        <w:rPr>
          <w:rFonts w:ascii="Century Gothic" w:hAnsi="Century Gothic" w:cs="Arial"/>
          <w:sz w:val="18"/>
          <w:szCs w:val="18"/>
          <w:lang w:val="es-CO"/>
        </w:rPr>
        <w:t>Otros principios de la transparencia y acceso a la información pública. </w:t>
      </w:r>
    </w:p>
    <w:p w:rsidRPr="00226746" w:rsidR="00E508DF" w:rsidP="00E508DF" w:rsidRDefault="00E508DF" w14:paraId="1A35E100" w14:textId="77777777">
      <w:pPr>
        <w:pStyle w:val="Textonotapie"/>
        <w:ind w:firstLine="707"/>
        <w:contextualSpacing/>
        <w:jc w:val="both"/>
        <w:rPr>
          <w:rFonts w:ascii="Century Gothic" w:hAnsi="Century Gothic" w:cs="Arial"/>
          <w:sz w:val="18"/>
          <w:szCs w:val="18"/>
          <w:lang w:val="es-ES"/>
        </w:rPr>
      </w:pPr>
      <w:r w:rsidRPr="00226746">
        <w:rPr>
          <w:rFonts w:ascii="Century Gothic" w:hAnsi="Century Gothic" w:cs="Arial"/>
          <w:sz w:val="18"/>
          <w:szCs w:val="18"/>
          <w:lang w:val="es-ES"/>
        </w:rPr>
        <w:t>[…]</w:t>
      </w:r>
    </w:p>
    <w:p w:rsidRPr="00226746" w:rsidR="00E508DF" w:rsidP="00E508DF" w:rsidRDefault="00E508DF" w14:paraId="20057AD1" w14:textId="77777777">
      <w:pPr>
        <w:pStyle w:val="Textonotapie"/>
        <w:ind w:firstLine="707"/>
        <w:contextualSpacing/>
        <w:jc w:val="both"/>
        <w:rPr>
          <w:rFonts w:ascii="Century Gothic" w:hAnsi="Century Gothic" w:cs="Arial"/>
          <w:sz w:val="18"/>
          <w:szCs w:val="18"/>
          <w:lang w:val="es-ES"/>
        </w:rPr>
      </w:pPr>
      <w:r w:rsidRPr="00226746">
        <w:rPr>
          <w:rStyle w:val="baj"/>
          <w:rFonts w:ascii="Century Gothic" w:hAnsi="Century Gothic" w:cs="Arial"/>
          <w:b/>
          <w:bCs/>
          <w:sz w:val="18"/>
          <w:szCs w:val="18"/>
        </w:rPr>
        <w:t>Principio de buena fe</w:t>
      </w:r>
      <w:r w:rsidRPr="00226746">
        <w:rPr>
          <w:rFonts w:ascii="Century Gothic" w:hAnsi="Century Gothic"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23">
    <w:p w:rsidRPr="00226746" w:rsidR="00E508DF" w:rsidP="00E508DF" w:rsidRDefault="00E508DF" w14:paraId="0D457826" w14:textId="77777777">
      <w:pPr>
        <w:pStyle w:val="Textonotapie"/>
        <w:ind w:firstLine="707"/>
        <w:contextualSpacing/>
        <w:jc w:val="both"/>
        <w:rPr>
          <w:rFonts w:ascii="Century Gothic" w:hAnsi="Century Gothic" w:cs="Arial"/>
          <w:sz w:val="18"/>
          <w:szCs w:val="18"/>
          <w:shd w:val="clear" w:color="auto" w:fill="FFFFFF"/>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1712 de 2014: “Artículo 9. </w:t>
      </w:r>
      <w:r w:rsidRPr="00226746">
        <w:rPr>
          <w:rFonts w:ascii="Century Gothic" w:hAnsi="Century Gothic" w:cs="Arial"/>
          <w:sz w:val="18"/>
          <w:szCs w:val="18"/>
          <w:shd w:val="clear" w:color="auto" w:fill="FFFFFF"/>
        </w:rPr>
        <w:t> </w:t>
      </w:r>
      <w:r w:rsidRPr="00226746">
        <w:rPr>
          <w:rStyle w:val="nfasis"/>
          <w:rFonts w:ascii="Century Gothic" w:hAnsi="Century Gothic" w:cs="Arial"/>
          <w:sz w:val="18"/>
          <w:szCs w:val="18"/>
          <w:shd w:val="clear" w:color="auto" w:fill="FFFFFF"/>
        </w:rPr>
        <w:t>Información mínima obligatoria respecto a la estructura del sujeto obligado. </w:t>
      </w:r>
      <w:r w:rsidRPr="00226746">
        <w:rPr>
          <w:rFonts w:ascii="Century Gothic" w:hAnsi="Century Gothic" w:cs="Arial"/>
          <w:sz w:val="18"/>
          <w:szCs w:val="18"/>
          <w:shd w:val="clear" w:color="auto" w:fill="FFFFFF"/>
        </w:rPr>
        <w:t>Todo sujeto obligado deberá publicar la siguiente información mínima obligatoria de manera proactiva en los sistemas de información del Estado o herramientas que lo sustituyan:</w:t>
      </w:r>
    </w:p>
    <w:p w:rsidRPr="00226746" w:rsidR="00E508DF" w:rsidP="00E508DF" w:rsidRDefault="00E508DF" w14:paraId="3D1F0393" w14:textId="77777777">
      <w:pPr>
        <w:pStyle w:val="Textonotapie"/>
        <w:ind w:firstLine="707"/>
        <w:contextualSpacing/>
        <w:jc w:val="both"/>
        <w:rPr>
          <w:rFonts w:ascii="Century Gothic" w:hAnsi="Century Gothic" w:cs="Arial"/>
          <w:sz w:val="18"/>
          <w:szCs w:val="18"/>
          <w:shd w:val="clear" w:color="auto" w:fill="FFFFFF"/>
        </w:rPr>
      </w:pPr>
      <w:r w:rsidRPr="00226746">
        <w:rPr>
          <w:rFonts w:ascii="Century Gothic" w:hAnsi="Century Gothic" w:cs="Arial"/>
          <w:sz w:val="18"/>
          <w:szCs w:val="18"/>
          <w:shd w:val="clear" w:color="auto" w:fill="FFFFFF"/>
        </w:rPr>
        <w:t>[…]</w:t>
      </w:r>
    </w:p>
    <w:p w:rsidRPr="00226746" w:rsidR="00E508DF" w:rsidP="00E508DF" w:rsidRDefault="00E508DF" w14:paraId="69D8F9F6" w14:textId="77777777">
      <w:pPr>
        <w:pStyle w:val="Textonotapie"/>
        <w:ind w:firstLine="707"/>
        <w:contextualSpacing/>
        <w:jc w:val="both"/>
        <w:rPr>
          <w:rFonts w:ascii="Century Gothic" w:hAnsi="Century Gothic" w:cs="Arial"/>
          <w:sz w:val="18"/>
          <w:szCs w:val="18"/>
          <w:lang w:val="es-ES"/>
        </w:rPr>
      </w:pPr>
      <w:r w:rsidRPr="00226746">
        <w:rPr>
          <w:rFonts w:ascii="Century Gothic" w:hAnsi="Century Gothic"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226746">
        <w:rPr>
          <w:rFonts w:ascii="Century Gothic" w:hAnsi="Century Gothic" w:cs="Arial"/>
          <w:sz w:val="18"/>
          <w:szCs w:val="18"/>
        </w:rPr>
        <w:t xml:space="preserve"> </w:t>
      </w:r>
      <w:r w:rsidRPr="00226746">
        <w:rPr>
          <w:rFonts w:ascii="Century Gothic" w:hAnsi="Century Gothic"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226746">
        <w:rPr>
          <w:rFonts w:ascii="Century Gothic" w:hAnsi="Century Gothic" w:cs="Arial"/>
          <w:sz w:val="18"/>
          <w:szCs w:val="18"/>
        </w:rPr>
        <w:t>”.</w:t>
      </w:r>
    </w:p>
  </w:footnote>
  <w:footnote w:id="24">
    <w:p w:rsidRPr="00226746" w:rsidR="00E508DF" w:rsidP="00E508DF" w:rsidRDefault="00E508DF" w14:paraId="43FA5139" w14:textId="77777777">
      <w:pPr>
        <w:ind w:firstLine="707"/>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1712 de 2014: “Artículo 5. Ámbito de aplicación. Las disposiciones de esta ley serán aplicables a las siguientes personas en calidad de sujetos obligados:</w:t>
      </w:r>
    </w:p>
    <w:p w:rsidRPr="00226746" w:rsidR="00E508DF" w:rsidP="00E508DF" w:rsidRDefault="00E508DF" w14:paraId="750ABF09" w14:textId="77777777">
      <w:pPr>
        <w:ind w:firstLine="707"/>
        <w:contextualSpacing/>
        <w:jc w:val="both"/>
        <w:rPr>
          <w:rFonts w:ascii="Century Gothic" w:hAnsi="Century Gothic" w:cs="Arial"/>
          <w:sz w:val="18"/>
          <w:szCs w:val="18"/>
        </w:rPr>
      </w:pPr>
      <w:r w:rsidRPr="00226746">
        <w:rPr>
          <w:rFonts w:ascii="Century Gothic" w:hAnsi="Century Gothic"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25">
    <w:p w:rsidRPr="00226746" w:rsidR="00E508DF" w:rsidP="00E508DF" w:rsidRDefault="00E508DF" w14:paraId="384FB97A" w14:textId="77777777">
      <w:pPr>
        <w:pStyle w:val="Textonotapie"/>
        <w:ind w:firstLine="707"/>
        <w:contextualSpacing/>
        <w:jc w:val="both"/>
        <w:rPr>
          <w:rFonts w:ascii="Century Gothic" w:hAnsi="Century Gothic" w:cs="Arial"/>
          <w:color w:val="000000"/>
          <w:sz w:val="18"/>
          <w:szCs w:val="18"/>
        </w:rPr>
      </w:pPr>
      <w:r w:rsidRPr="00226746">
        <w:rPr>
          <w:rFonts w:ascii="Century Gothic" w:hAnsi="Century Gothic" w:eastAsia="Times New Roman" w:cs="Arial"/>
          <w:color w:val="000000"/>
          <w:sz w:val="18"/>
          <w:szCs w:val="18"/>
          <w:vertAlign w:val="superscript"/>
          <w:lang w:val="es-ES" w:eastAsia="es-ES"/>
        </w:rPr>
        <w:footnoteRef/>
      </w:r>
      <w:r w:rsidRPr="00226746">
        <w:rPr>
          <w:rFonts w:ascii="Century Gothic" w:hAnsi="Century Gothic" w:eastAsia="Times New Roman" w:cs="Arial"/>
          <w:color w:val="000000"/>
          <w:sz w:val="18"/>
          <w:szCs w:val="18"/>
          <w:vertAlign w:val="superscript"/>
          <w:lang w:val="es-ES" w:eastAsia="es-ES"/>
        </w:rPr>
        <w:t xml:space="preserve"> </w:t>
      </w:r>
      <w:r w:rsidRPr="00226746">
        <w:rPr>
          <w:rFonts w:ascii="Century Gothic" w:hAnsi="Century Gothic" w:eastAsia="Times New Roman" w:cs="Arial"/>
          <w:color w:val="000000"/>
          <w:sz w:val="18"/>
          <w:szCs w:val="18"/>
          <w:lang w:val="es-ES" w:eastAsia="es-ES"/>
        </w:rPr>
        <w:t>“</w:t>
      </w:r>
      <w:r w:rsidRPr="00226746">
        <w:rPr>
          <w:rFonts w:ascii="Century Gothic" w:hAnsi="Century Gothic"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226746" w:rsidR="00E508DF" w:rsidP="00E508DF" w:rsidRDefault="00E508DF" w14:paraId="658B44E0" w14:textId="77777777">
      <w:pPr>
        <w:pStyle w:val="Textonotapie"/>
        <w:ind w:firstLine="709"/>
        <w:contextualSpacing/>
        <w:jc w:val="both"/>
        <w:rPr>
          <w:rFonts w:ascii="Century Gothic" w:hAnsi="Century Gothic" w:eastAsia="Times New Roman" w:cs="Arial"/>
          <w:color w:val="000000"/>
          <w:sz w:val="18"/>
          <w:szCs w:val="18"/>
          <w:lang w:val="es-ES" w:eastAsia="es-ES"/>
        </w:rPr>
      </w:pPr>
      <w:r w:rsidRPr="00226746">
        <w:rPr>
          <w:rFonts w:ascii="Century Gothic" w:hAnsi="Century Gothic" w:cs="Arial"/>
          <w:color w:val="000000"/>
          <w:sz w:val="18"/>
          <w:szCs w:val="18"/>
        </w:rPr>
        <w:t>[…].</w:t>
      </w:r>
    </w:p>
    <w:p w:rsidRPr="00226746" w:rsidR="00E508DF" w:rsidP="00E508DF" w:rsidRDefault="00E508DF" w14:paraId="2ADE3120" w14:textId="77777777">
      <w:pPr>
        <w:pStyle w:val="Textonotapie"/>
        <w:ind w:firstLine="709"/>
        <w:contextualSpacing/>
        <w:jc w:val="both"/>
        <w:rPr>
          <w:rFonts w:ascii="Century Gothic" w:hAnsi="Century Gothic" w:eastAsia="Times New Roman" w:cs="Arial"/>
          <w:color w:val="000000"/>
          <w:sz w:val="18"/>
          <w:szCs w:val="18"/>
          <w:lang w:val="es-ES" w:eastAsia="es-ES"/>
        </w:rPr>
      </w:pPr>
      <w:r w:rsidRPr="00226746">
        <w:rPr>
          <w:rFonts w:ascii="Century Gothic" w:hAnsi="Century Gothic" w:eastAsia="Times New Roman"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226746" w:rsidR="00E508DF" w:rsidP="00E508DF" w:rsidRDefault="00E508DF" w14:paraId="290F53BF" w14:textId="77777777">
      <w:pPr>
        <w:pStyle w:val="Textonotapie"/>
        <w:ind w:firstLine="709"/>
        <w:contextualSpacing/>
        <w:jc w:val="both"/>
        <w:rPr>
          <w:rFonts w:ascii="Century Gothic" w:hAnsi="Century Gothic" w:eastAsia="Times New Roman" w:cs="Arial"/>
          <w:color w:val="000000"/>
          <w:sz w:val="18"/>
          <w:szCs w:val="18"/>
          <w:lang w:val="es-ES" w:eastAsia="es-ES"/>
        </w:rPr>
      </w:pPr>
    </w:p>
  </w:footnote>
  <w:footnote w:id="26">
    <w:p w:rsidRPr="00226746" w:rsidR="00E508DF" w:rsidP="00E508DF" w:rsidRDefault="00E508DF" w14:paraId="4C0C85ED" w14:textId="77777777">
      <w:pPr>
        <w:pStyle w:val="Textonotapie"/>
        <w:ind w:firstLine="709"/>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rsidRPr="00226746" w:rsidR="00E508DF" w:rsidP="00E508DF" w:rsidRDefault="00E508DF" w14:paraId="177AB023"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1. Los relacionados con la defensa o seguridad nacionales.  </w:t>
      </w:r>
    </w:p>
    <w:p w:rsidRPr="00226746" w:rsidR="00E508DF" w:rsidP="00E508DF" w:rsidRDefault="00E508DF" w14:paraId="58C3FCCA"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2. Las instrucciones en materia diplomática o sobre negociaciones reservadas.  </w:t>
      </w:r>
    </w:p>
    <w:p w:rsidRPr="00226746" w:rsidR="00E508DF" w:rsidP="00E508DF" w:rsidRDefault="00E508DF" w14:paraId="71C5B58F"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226746" w:rsidR="00E508DF" w:rsidP="00E508DF" w:rsidRDefault="00E508DF" w14:paraId="48D32988"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226746" w:rsidR="00E508DF" w:rsidP="00E508DF" w:rsidRDefault="00E508DF" w14:paraId="67ED268A"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5. Los datos referentes a la información financiera y comercial, en los términos de la Ley Estatutaria 1266 de 2008.  </w:t>
      </w:r>
    </w:p>
    <w:p w:rsidRPr="00226746" w:rsidR="00E508DF" w:rsidP="00E508DF" w:rsidRDefault="00E508DF" w14:paraId="0FEC57B3"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6. Los protegidos por el secreto comercial o industrial, así como los planes estratégicos de las empresas públicas de servicios públicos.  </w:t>
      </w:r>
    </w:p>
    <w:p w:rsidRPr="00226746" w:rsidR="00E508DF" w:rsidP="00E508DF" w:rsidRDefault="00E508DF" w14:paraId="78ED2027"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7. Los amparados por el secreto profesional.  </w:t>
      </w:r>
    </w:p>
    <w:p w:rsidRPr="00226746" w:rsidR="00E508DF" w:rsidP="00E508DF" w:rsidRDefault="00E508DF" w14:paraId="3BF765DD"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8. Los datos genéticos humanos.  </w:t>
      </w:r>
    </w:p>
    <w:p w:rsidRPr="00226746" w:rsidR="00E508DF" w:rsidP="00E508DF" w:rsidRDefault="00E508DF" w14:paraId="1D0BA621" w14:textId="77777777">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27">
    <w:p w:rsidRPr="00226746" w:rsidR="00E508DF" w:rsidP="00E508DF" w:rsidRDefault="00E508DF" w14:paraId="62F10778" w14:textId="77777777">
      <w:pPr>
        <w:pStyle w:val="Textonotapie"/>
        <w:ind w:firstLine="708"/>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eastAsia="Calibri"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8">
    <w:p w:rsidRPr="00226746" w:rsidR="00E508DF" w:rsidP="00E508DF" w:rsidRDefault="00E508DF" w14:paraId="53B86B5F" w14:textId="77777777">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rsidRPr="00226746" w:rsidR="00E508DF" w:rsidP="00E508DF" w:rsidRDefault="00E508DF" w14:paraId="64FC011D" w14:textId="77777777">
      <w:pPr>
        <w:pStyle w:val="Textonotapie"/>
        <w:ind w:firstLine="709"/>
        <w:contextualSpacing/>
        <w:jc w:val="both"/>
        <w:rPr>
          <w:rFonts w:ascii="Century Gothic" w:hAnsi="Century Gothic"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BD15D4" w:rsidP="005B5D8B" w:rsidRDefault="00BD15D4" w14:paraId="1593FC60" w14:textId="7702D566">
    <w:pPr>
      <w:spacing w:after="0"/>
      <w:rPr>
        <w:rFonts w:ascii="Century Gothic" w:hAnsi="Century Gothic" w:eastAsia="Geo" w:cs="Geo"/>
        <w:sz w:val="16"/>
        <w:szCs w:val="16"/>
        <w:lang w:eastAsia="es-CO"/>
      </w:rPr>
    </w:pPr>
  </w:p>
  <w:p w:rsidRPr="00C330EB" w:rsidR="00BD15D4" w:rsidP="00BD15D4" w:rsidRDefault="00BD15D4" w14:paraId="313E28CD" w14:textId="0EAE12F4">
    <w:pPr>
      <w:spacing w:after="0"/>
      <w:rPr>
        <w:rFonts w:ascii="Century Gothic" w:hAnsi="Century Gothic"/>
      </w:rPr>
    </w:pPr>
    <w:r>
      <w:tab/>
    </w:r>
  </w:p>
  <w:p w:rsidR="00BD15D4" w:rsidP="005B5D8B" w:rsidRDefault="00BD15D4" w14:paraId="42C1A9F5" w14:textId="77777777">
    <w:pPr>
      <w:spacing w:after="0"/>
      <w:rPr>
        <w:rFonts w:ascii="Century Gothic" w:hAnsi="Century Gothic" w:eastAsia="Geo" w:cs="Geo"/>
        <w:sz w:val="16"/>
        <w:szCs w:val="16"/>
        <w:lang w:eastAsia="es-CO"/>
      </w:rPr>
    </w:pP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271E9"/>
    <w:rsid w:val="0006678E"/>
    <w:rsid w:val="000A5727"/>
    <w:rsid w:val="000A683E"/>
    <w:rsid w:val="000B19B9"/>
    <w:rsid w:val="000D0334"/>
    <w:rsid w:val="000D076D"/>
    <w:rsid w:val="000E4714"/>
    <w:rsid w:val="000F6486"/>
    <w:rsid w:val="00104272"/>
    <w:rsid w:val="0010528A"/>
    <w:rsid w:val="00125105"/>
    <w:rsid w:val="00127233"/>
    <w:rsid w:val="00154745"/>
    <w:rsid w:val="001E4177"/>
    <w:rsid w:val="00257476"/>
    <w:rsid w:val="00285051"/>
    <w:rsid w:val="00292A0D"/>
    <w:rsid w:val="002951A0"/>
    <w:rsid w:val="002962BC"/>
    <w:rsid w:val="002A093D"/>
    <w:rsid w:val="002A49AC"/>
    <w:rsid w:val="002A64FD"/>
    <w:rsid w:val="002C7A84"/>
    <w:rsid w:val="002F4B1B"/>
    <w:rsid w:val="00305F19"/>
    <w:rsid w:val="003448F4"/>
    <w:rsid w:val="003556CB"/>
    <w:rsid w:val="00366069"/>
    <w:rsid w:val="00371CB9"/>
    <w:rsid w:val="003A779E"/>
    <w:rsid w:val="003D0F4D"/>
    <w:rsid w:val="003E0499"/>
    <w:rsid w:val="003F3941"/>
    <w:rsid w:val="00400548"/>
    <w:rsid w:val="004368BC"/>
    <w:rsid w:val="00473C37"/>
    <w:rsid w:val="004A1847"/>
    <w:rsid w:val="004A305D"/>
    <w:rsid w:val="004F21C4"/>
    <w:rsid w:val="004F685F"/>
    <w:rsid w:val="00533E8F"/>
    <w:rsid w:val="005566E8"/>
    <w:rsid w:val="00574867"/>
    <w:rsid w:val="005973F1"/>
    <w:rsid w:val="005A6AA1"/>
    <w:rsid w:val="005B5D8B"/>
    <w:rsid w:val="005C5CDC"/>
    <w:rsid w:val="005D476C"/>
    <w:rsid w:val="005F0E8A"/>
    <w:rsid w:val="006219F8"/>
    <w:rsid w:val="00665D70"/>
    <w:rsid w:val="006A4543"/>
    <w:rsid w:val="006E2312"/>
    <w:rsid w:val="00706C16"/>
    <w:rsid w:val="00727370"/>
    <w:rsid w:val="00756841"/>
    <w:rsid w:val="00763C80"/>
    <w:rsid w:val="007649AB"/>
    <w:rsid w:val="007833AC"/>
    <w:rsid w:val="007A3C48"/>
    <w:rsid w:val="007B7171"/>
    <w:rsid w:val="007C3DC2"/>
    <w:rsid w:val="007E5497"/>
    <w:rsid w:val="00806F5F"/>
    <w:rsid w:val="00820278"/>
    <w:rsid w:val="008449FA"/>
    <w:rsid w:val="008843B6"/>
    <w:rsid w:val="00891928"/>
    <w:rsid w:val="008A446D"/>
    <w:rsid w:val="008A626D"/>
    <w:rsid w:val="008F0EA7"/>
    <w:rsid w:val="00920F5E"/>
    <w:rsid w:val="00923EEF"/>
    <w:rsid w:val="009419F9"/>
    <w:rsid w:val="00953CD4"/>
    <w:rsid w:val="00961B09"/>
    <w:rsid w:val="00965334"/>
    <w:rsid w:val="0097093E"/>
    <w:rsid w:val="009C71FA"/>
    <w:rsid w:val="009C72E7"/>
    <w:rsid w:val="00A02272"/>
    <w:rsid w:val="00A17F13"/>
    <w:rsid w:val="00A20739"/>
    <w:rsid w:val="00A33C78"/>
    <w:rsid w:val="00A60982"/>
    <w:rsid w:val="00A8034D"/>
    <w:rsid w:val="00AB0ADB"/>
    <w:rsid w:val="00AD5E99"/>
    <w:rsid w:val="00B00F5E"/>
    <w:rsid w:val="00B72CD3"/>
    <w:rsid w:val="00B72FFF"/>
    <w:rsid w:val="00BD15D4"/>
    <w:rsid w:val="00BD2E7A"/>
    <w:rsid w:val="00BD7F72"/>
    <w:rsid w:val="00BE0C0E"/>
    <w:rsid w:val="00C04FB3"/>
    <w:rsid w:val="00C330EB"/>
    <w:rsid w:val="00C754BE"/>
    <w:rsid w:val="00C90C90"/>
    <w:rsid w:val="00CB6357"/>
    <w:rsid w:val="00CC1B26"/>
    <w:rsid w:val="00D423A2"/>
    <w:rsid w:val="00D63AC2"/>
    <w:rsid w:val="00D7383B"/>
    <w:rsid w:val="00D90AE1"/>
    <w:rsid w:val="00DA231B"/>
    <w:rsid w:val="00DE69A3"/>
    <w:rsid w:val="00E16408"/>
    <w:rsid w:val="00E20894"/>
    <w:rsid w:val="00E245AB"/>
    <w:rsid w:val="00E508DF"/>
    <w:rsid w:val="00E50AFE"/>
    <w:rsid w:val="00E771DC"/>
    <w:rsid w:val="00E8772A"/>
    <w:rsid w:val="00E90F6B"/>
    <w:rsid w:val="00E92C27"/>
    <w:rsid w:val="00EA0E3D"/>
    <w:rsid w:val="00EE1AA8"/>
    <w:rsid w:val="00EE580B"/>
    <w:rsid w:val="00F17039"/>
    <w:rsid w:val="00F204AB"/>
    <w:rsid w:val="00F31EDC"/>
    <w:rsid w:val="00F40AC6"/>
    <w:rsid w:val="00F5664F"/>
    <w:rsid w:val="00F613A2"/>
    <w:rsid w:val="00F76AFC"/>
    <w:rsid w:val="00F84AAE"/>
    <w:rsid w:val="00FA2058"/>
    <w:rsid w:val="00FB5DD1"/>
    <w:rsid w:val="00FC2B5D"/>
    <w:rsid w:val="00FF1449"/>
    <w:rsid w:val="1CD11FF5"/>
    <w:rsid w:val="4362226D"/>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1E9"/>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E508DF"/>
    <w:pPr>
      <w:spacing w:line="240" w:lineRule="exact"/>
    </w:pPr>
    <w:rPr>
      <w:vertAlign w:val="superscript"/>
    </w:rPr>
  </w:style>
  <w:style w:type="character" w:styleId="baj" w:customStyle="1">
    <w:name w:val="b_aj"/>
    <w:basedOn w:val="Fuentedeprrafopredeter"/>
    <w:rsid w:val="00E508DF"/>
  </w:style>
  <w:style w:type="character" w:styleId="nfasis">
    <w:name w:val="Emphasis"/>
    <w:basedOn w:val="Fuentedeprrafopredeter"/>
    <w:uiPriority w:val="20"/>
    <w:qFormat/>
    <w:rsid w:val="00E508DF"/>
    <w:rPr>
      <w:i/>
      <w:iCs/>
    </w:rPr>
  </w:style>
  <w:style w:type="paragraph" w:styleId="Revisin">
    <w:name w:val="Revision"/>
    <w:hidden/>
    <w:uiPriority w:val="99"/>
    <w:semiHidden/>
    <w:rsid w:val="006E2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lombiacompra.gov.co/documentos-tipo/documentos-tip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B166F3D-CB54-4CBF-9CD7-F83A57FBA7C0}"/>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6</revision>
  <lastPrinted>2023-01-10T21:18:00.0000000Z</lastPrinted>
  <dcterms:created xsi:type="dcterms:W3CDTF">2024-05-23T21:27:00.0000000Z</dcterms:created>
  <dcterms:modified xsi:type="dcterms:W3CDTF">2024-05-29T15:39:50.5712862Z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