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B7DE9" w14:textId="77777777" w:rsidR="00C63485" w:rsidRPr="000B5EEB" w:rsidRDefault="00C63485" w:rsidP="00C63485">
      <w:pPr>
        <w:spacing w:after="0" w:line="240" w:lineRule="auto"/>
        <w:jc w:val="both"/>
        <w:rPr>
          <w:rFonts w:ascii="Century Gothic" w:eastAsia="Calibri" w:hAnsi="Century Gothic" w:cs="Arial"/>
          <w:b/>
          <w:bCs/>
          <w:color w:val="000000"/>
          <w:lang w:val="es-ES_tradnl"/>
        </w:rPr>
      </w:pPr>
      <w:bookmarkStart w:id="0" w:name="_Hlk28946138"/>
      <w:bookmarkStart w:id="1" w:name="_Hlk29548183"/>
      <w:bookmarkStart w:id="2" w:name="_Hlk161388782"/>
      <w:r w:rsidRPr="000B5EEB">
        <w:rPr>
          <w:rFonts w:ascii="Century Gothic" w:eastAsia="Calibri" w:hAnsi="Century Gothic" w:cs="Arial"/>
          <w:b/>
          <w:bCs/>
          <w:color w:val="000000"/>
          <w:szCs w:val="24"/>
          <w:lang w:val="es-ES_tradnl" w:eastAsia="es-ES_tradnl"/>
        </w:rPr>
        <w:t xml:space="preserve">INHABILIDADES ― Límites a la capacidad </w:t>
      </w:r>
    </w:p>
    <w:p w14:paraId="6E3A3845" w14:textId="77777777" w:rsidR="00C63485" w:rsidRPr="000B5EEB" w:rsidRDefault="00C63485" w:rsidP="00C63485">
      <w:pPr>
        <w:spacing w:after="0" w:line="240" w:lineRule="auto"/>
        <w:jc w:val="both"/>
        <w:rPr>
          <w:rFonts w:ascii="Century Gothic" w:eastAsia="Calibri" w:hAnsi="Century Gothic" w:cs="Arial"/>
          <w:b/>
          <w:bCs/>
          <w:color w:val="000000"/>
          <w:sz w:val="20"/>
          <w:szCs w:val="20"/>
          <w:lang w:val="es-ES_tradnl" w:eastAsia="es-ES_tradnl"/>
        </w:rPr>
      </w:pPr>
    </w:p>
    <w:p w14:paraId="4A8DAD18" w14:textId="77777777" w:rsidR="00C63485" w:rsidRPr="000B5EEB" w:rsidRDefault="00C63485" w:rsidP="00C63485">
      <w:pPr>
        <w:spacing w:after="0" w:line="240" w:lineRule="auto"/>
        <w:jc w:val="both"/>
        <w:rPr>
          <w:rFonts w:ascii="Century Gothic" w:eastAsia="Calibri" w:hAnsi="Century Gothic" w:cs="Arial"/>
          <w:color w:val="000000"/>
          <w:sz w:val="20"/>
          <w:szCs w:val="20"/>
          <w:lang w:val="es-ES_tradnl" w:eastAsia="es-ES_tradnl"/>
        </w:rPr>
      </w:pPr>
      <w:r w:rsidRPr="000B5EEB">
        <w:rPr>
          <w:rFonts w:ascii="Century Gothic" w:eastAsia="Calibri" w:hAnsi="Century Gothic" w:cs="Arial"/>
          <w:color w:val="000000"/>
          <w:sz w:val="20"/>
          <w:szCs w:val="20"/>
          <w:lang w:val="es-ES_tradnl" w:eastAsia="es-ES_tradnl"/>
        </w:rPr>
        <w:t xml:space="preserve">En la contratación estatal, la </w:t>
      </w:r>
      <w:r w:rsidRPr="000B5EEB">
        <w:rPr>
          <w:rFonts w:ascii="Century Gothic" w:eastAsia="Calibri" w:hAnsi="Century Gothic" w:cs="Arial"/>
          <w:i/>
          <w:iCs/>
          <w:color w:val="000000"/>
          <w:sz w:val="20"/>
          <w:szCs w:val="20"/>
          <w:lang w:val="es-ES_tradnl" w:eastAsia="es-ES_tradnl"/>
        </w:rPr>
        <w:t>capacidad</w:t>
      </w:r>
      <w:r w:rsidRPr="000B5EEB">
        <w:rPr>
          <w:rFonts w:ascii="Century Gothic" w:eastAsia="Calibri" w:hAnsi="Century Gothic" w:cs="Arial"/>
          <w:color w:val="000000"/>
          <w:sz w:val="20"/>
          <w:szCs w:val="20"/>
          <w:lang w:val="es-ES_tradnl" w:eastAsia="es-ES_tradnl"/>
        </w:rPr>
        <w:t xml:space="preserve"> </w:t>
      </w:r>
      <w:r w:rsidRPr="000B5EEB">
        <w:rPr>
          <w:rFonts w:ascii="Century Gothic" w:eastAsia="Calibri" w:hAnsi="Century Gothic" w:cs="Arial"/>
          <w:i/>
          <w:iCs/>
          <w:color w:val="000000"/>
          <w:sz w:val="20"/>
          <w:szCs w:val="20"/>
          <w:lang w:val="es-ES_tradnl" w:eastAsia="es-ES_tradnl"/>
        </w:rPr>
        <w:t>jurídica</w:t>
      </w:r>
      <w:r w:rsidRPr="000B5EEB">
        <w:rPr>
          <w:rFonts w:ascii="Century Gothic" w:eastAsia="Calibri" w:hAnsi="Century Gothic" w:cs="Arial"/>
          <w:color w:val="000000"/>
          <w:sz w:val="20"/>
          <w:szCs w:val="20"/>
          <w:lang w:val="es-ES_tradnl" w:eastAsia="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p>
    <w:p w14:paraId="38365FA4" w14:textId="77777777" w:rsidR="00C63485" w:rsidRPr="000B5EEB" w:rsidRDefault="00C63485" w:rsidP="00C63485">
      <w:pPr>
        <w:spacing w:after="0" w:line="240" w:lineRule="auto"/>
        <w:jc w:val="both"/>
        <w:rPr>
          <w:rFonts w:ascii="Century Gothic" w:eastAsia="Calibri" w:hAnsi="Century Gothic" w:cs="Arial"/>
          <w:color w:val="000000"/>
          <w:sz w:val="20"/>
          <w:szCs w:val="20"/>
          <w:lang w:val="es-ES_tradnl" w:eastAsia="es-ES_tradnl"/>
        </w:rPr>
      </w:pPr>
    </w:p>
    <w:p w14:paraId="18FFDBF7" w14:textId="77777777" w:rsidR="00C63485" w:rsidRPr="000B5EEB" w:rsidRDefault="00C63485" w:rsidP="00C63485">
      <w:pPr>
        <w:spacing w:after="0" w:line="240" w:lineRule="auto"/>
        <w:jc w:val="both"/>
        <w:rPr>
          <w:rFonts w:ascii="Century Gothic" w:eastAsia="Calibri" w:hAnsi="Century Gothic" w:cs="Arial"/>
          <w:b/>
          <w:bCs/>
          <w:color w:val="000000"/>
          <w:lang w:val="es-ES" w:eastAsia="es-ES"/>
        </w:rPr>
      </w:pPr>
      <w:r w:rsidRPr="3208A1C4">
        <w:rPr>
          <w:rFonts w:ascii="Century Gothic" w:eastAsia="Calibri" w:hAnsi="Century Gothic" w:cs="Arial"/>
          <w:b/>
          <w:bCs/>
          <w:color w:val="000000" w:themeColor="text1"/>
          <w:lang w:val="es-ES" w:eastAsia="es-ES"/>
        </w:rPr>
        <w:t xml:space="preserve">INHABILIDADES ― Interpretación restrictiva ― Principio </w:t>
      </w:r>
      <w:r w:rsidRPr="3208A1C4">
        <w:rPr>
          <w:rFonts w:ascii="Century Gothic" w:eastAsia="Calibri" w:hAnsi="Century Gothic" w:cs="Arial"/>
          <w:b/>
          <w:bCs/>
          <w:i/>
          <w:iCs/>
          <w:color w:val="000000" w:themeColor="text1"/>
          <w:lang w:val="es-ES" w:eastAsia="es-ES"/>
        </w:rPr>
        <w:t xml:space="preserve">pro </w:t>
      </w:r>
      <w:proofErr w:type="spellStart"/>
      <w:r w:rsidRPr="3208A1C4">
        <w:rPr>
          <w:rFonts w:ascii="Century Gothic" w:eastAsia="Calibri" w:hAnsi="Century Gothic" w:cs="Arial"/>
          <w:b/>
          <w:bCs/>
          <w:i/>
          <w:iCs/>
          <w:color w:val="000000" w:themeColor="text1"/>
          <w:lang w:val="es-ES" w:eastAsia="es-ES"/>
        </w:rPr>
        <w:t>libertate</w:t>
      </w:r>
      <w:proofErr w:type="spellEnd"/>
    </w:p>
    <w:p w14:paraId="2AA64DDA" w14:textId="77777777" w:rsidR="00C63485" w:rsidRPr="000B5EEB" w:rsidRDefault="00C63485" w:rsidP="00C63485">
      <w:pPr>
        <w:spacing w:after="0" w:line="240" w:lineRule="auto"/>
        <w:jc w:val="both"/>
        <w:rPr>
          <w:rFonts w:ascii="Century Gothic" w:eastAsia="Calibri" w:hAnsi="Century Gothic" w:cs="Arial"/>
          <w:color w:val="000000"/>
          <w:sz w:val="20"/>
          <w:szCs w:val="20"/>
          <w:lang w:val="es-ES_tradnl" w:eastAsia="es-ES_tradnl"/>
        </w:rPr>
      </w:pPr>
    </w:p>
    <w:p w14:paraId="490563BC" w14:textId="77777777" w:rsidR="00C63485" w:rsidRPr="000B5EEB" w:rsidRDefault="00C63485" w:rsidP="00C63485">
      <w:pPr>
        <w:spacing w:after="0" w:line="240" w:lineRule="auto"/>
        <w:jc w:val="both"/>
        <w:rPr>
          <w:rFonts w:ascii="Century Gothic" w:eastAsia="Calibri" w:hAnsi="Century Gothic" w:cs="Arial"/>
          <w:color w:val="000000"/>
          <w:sz w:val="20"/>
          <w:szCs w:val="20"/>
          <w:lang w:val="es-ES_tradnl" w:eastAsia="es-ES_tradnl"/>
        </w:rPr>
      </w:pPr>
      <w:r w:rsidRPr="000B5EEB">
        <w:rPr>
          <w:rFonts w:ascii="Century Gothic" w:eastAsia="Calibri" w:hAnsi="Century Gothic" w:cs="Arial"/>
          <w:color w:val="000000"/>
          <w:sz w:val="20"/>
          <w:szCs w:val="20"/>
          <w:lang w:val="es-ES_tradnl" w:eastAsia="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0B5EEB">
        <w:rPr>
          <w:rFonts w:ascii="Century Gothic" w:eastAsia="Calibri" w:hAnsi="Century Gothic" w:cs="Arial"/>
          <w:i/>
          <w:iCs/>
          <w:color w:val="000000"/>
          <w:sz w:val="20"/>
          <w:szCs w:val="20"/>
          <w:lang w:val="es-ES_tradnl" w:eastAsia="es-ES_tradnl"/>
        </w:rPr>
        <w:t>restrictiva</w:t>
      </w:r>
      <w:r w:rsidRPr="000B5EEB">
        <w:rPr>
          <w:rFonts w:ascii="Century Gothic" w:eastAsia="Calibri" w:hAnsi="Century Gothic" w:cs="Arial"/>
          <w:color w:val="000000"/>
          <w:sz w:val="20"/>
          <w:szCs w:val="20"/>
          <w:lang w:val="es-ES_tradnl" w:eastAsia="es-ES_tradnl"/>
        </w:rPr>
        <w:t>.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w:t>
      </w:r>
    </w:p>
    <w:p w14:paraId="6ECFFE55" w14:textId="77777777" w:rsidR="00C63485" w:rsidRPr="000B5EEB" w:rsidRDefault="00C63485" w:rsidP="00C63485">
      <w:pPr>
        <w:spacing w:after="0" w:line="240" w:lineRule="auto"/>
        <w:jc w:val="both"/>
        <w:rPr>
          <w:rFonts w:ascii="Century Gothic" w:eastAsia="Calibri" w:hAnsi="Century Gothic" w:cs="Arial"/>
          <w:color w:val="000000"/>
          <w:sz w:val="20"/>
          <w:szCs w:val="20"/>
          <w:lang w:val="es-ES_tradnl" w:eastAsia="es-ES_tradnl"/>
        </w:rPr>
      </w:pPr>
    </w:p>
    <w:p w14:paraId="3C5CF751" w14:textId="77777777" w:rsidR="00C63485" w:rsidRPr="000B5EEB" w:rsidRDefault="00C63485" w:rsidP="00C63485">
      <w:pPr>
        <w:spacing w:after="0" w:line="240" w:lineRule="auto"/>
        <w:jc w:val="both"/>
        <w:rPr>
          <w:rFonts w:ascii="Century Gothic" w:eastAsia="Calibri" w:hAnsi="Century Gothic" w:cs="Arial"/>
          <w:color w:val="000000"/>
          <w:sz w:val="20"/>
          <w:szCs w:val="20"/>
          <w:lang w:val="es-ES" w:eastAsia="es-ES"/>
        </w:rPr>
      </w:pPr>
      <w:r w:rsidRPr="3208A1C4">
        <w:rPr>
          <w:rFonts w:ascii="Century Gothic" w:eastAsia="Calibri" w:hAnsi="Century Gothic" w:cs="Arial"/>
          <w:color w:val="000000" w:themeColor="text1"/>
          <w:sz w:val="20"/>
          <w:szCs w:val="20"/>
          <w:lang w:val="es-ES" w:eastAsia="es-ES"/>
        </w:rPr>
        <w:t xml:space="preserve">Como se aprecia, el principio </w:t>
      </w:r>
      <w:r w:rsidRPr="3208A1C4">
        <w:rPr>
          <w:rFonts w:ascii="Century Gothic" w:eastAsia="Calibri" w:hAnsi="Century Gothic" w:cs="Arial"/>
          <w:i/>
          <w:iCs/>
          <w:color w:val="000000" w:themeColor="text1"/>
          <w:sz w:val="20"/>
          <w:szCs w:val="20"/>
          <w:lang w:val="es-ES" w:eastAsia="es-ES"/>
        </w:rPr>
        <w:t xml:space="preserve">pro </w:t>
      </w:r>
      <w:proofErr w:type="spellStart"/>
      <w:r w:rsidRPr="3208A1C4">
        <w:rPr>
          <w:rFonts w:ascii="Century Gothic" w:eastAsia="Calibri" w:hAnsi="Century Gothic" w:cs="Arial"/>
          <w:i/>
          <w:iCs/>
          <w:color w:val="000000" w:themeColor="text1"/>
          <w:sz w:val="20"/>
          <w:szCs w:val="20"/>
          <w:lang w:val="es-ES" w:eastAsia="es-ES"/>
        </w:rPr>
        <w:t>libertate</w:t>
      </w:r>
      <w:proofErr w:type="spellEnd"/>
      <w:r w:rsidRPr="3208A1C4">
        <w:rPr>
          <w:rFonts w:ascii="Century Gothic" w:eastAsia="Calibri" w:hAnsi="Century Gothic" w:cs="Arial"/>
          <w:color w:val="000000" w:themeColor="text1"/>
          <w:sz w:val="20"/>
          <w:szCs w:val="20"/>
          <w:lang w:val="es-ES" w:eastAsia="es-ES"/>
        </w:rPr>
        <w:t xml:space="preserve"> es el que debe dirigir la interpretación de las disposiciones normativas que consagran restricciones de derechos, como sucede con las causales de inhabilidad e incompatibilidad en la contratación estatal. </w:t>
      </w:r>
    </w:p>
    <w:p w14:paraId="5588C2C1" w14:textId="77777777" w:rsidR="00C63485" w:rsidRPr="000B5EEB" w:rsidRDefault="00C63485" w:rsidP="00C63485">
      <w:pPr>
        <w:spacing w:after="0" w:line="276" w:lineRule="auto"/>
        <w:jc w:val="both"/>
        <w:rPr>
          <w:rFonts w:ascii="Century Gothic" w:eastAsia="Calibri" w:hAnsi="Century Gothic" w:cs="Arial"/>
          <w:sz w:val="20"/>
          <w:szCs w:val="20"/>
          <w:lang w:val="es-ES_tradnl" w:eastAsia="es-ES_tradnl"/>
        </w:rPr>
      </w:pPr>
    </w:p>
    <w:p w14:paraId="7AA44844" w14:textId="77777777" w:rsidR="00C63485" w:rsidRPr="000B5EEB" w:rsidRDefault="00C63485" w:rsidP="00C63485">
      <w:pPr>
        <w:spacing w:after="0" w:line="240" w:lineRule="auto"/>
        <w:jc w:val="both"/>
        <w:rPr>
          <w:rFonts w:ascii="Century Gothic" w:eastAsia="Calibri" w:hAnsi="Century Gothic" w:cs="Arial"/>
          <w:b/>
          <w:lang w:val="es-ES_tradnl"/>
        </w:rPr>
      </w:pPr>
      <w:r w:rsidRPr="000B5EEB">
        <w:rPr>
          <w:rFonts w:ascii="Century Gothic" w:eastAsia="Calibri" w:hAnsi="Century Gothic" w:cs="Arial"/>
          <w:b/>
          <w:szCs w:val="24"/>
          <w:lang w:val="es-ES_tradnl" w:eastAsia="es-ES_tradnl"/>
        </w:rPr>
        <w:t xml:space="preserve">CONTRATO DE PRESTACIÓN DE SERVICIOS </w:t>
      </w:r>
      <w:r w:rsidRPr="000B5EEB">
        <w:rPr>
          <w:rFonts w:ascii="Century Gothic" w:eastAsia="Calibri" w:hAnsi="Century Gothic" w:cs="Arial"/>
          <w:b/>
          <w:color w:val="000000"/>
          <w:szCs w:val="24"/>
          <w:lang w:val="es-ES_tradnl" w:eastAsia="es-ES_tradnl"/>
        </w:rPr>
        <w:t>–</w:t>
      </w:r>
      <w:r w:rsidRPr="000B5EEB">
        <w:rPr>
          <w:rFonts w:ascii="Century Gothic" w:eastAsia="Calibri" w:hAnsi="Century Gothic" w:cs="Arial"/>
          <w:b/>
          <w:szCs w:val="24"/>
          <w:lang w:val="es-ES_tradnl" w:eastAsia="es-ES_tradnl"/>
        </w:rPr>
        <w:t xml:space="preserve"> Concepto </w:t>
      </w:r>
      <w:r w:rsidRPr="000B5EEB">
        <w:rPr>
          <w:rFonts w:ascii="Century Gothic" w:eastAsia="Calibri" w:hAnsi="Century Gothic" w:cs="Arial"/>
          <w:b/>
          <w:color w:val="000000"/>
          <w:szCs w:val="24"/>
          <w:lang w:val="es-ES_tradnl" w:eastAsia="es-ES_tradnl"/>
        </w:rPr>
        <w:t>– Objeto</w:t>
      </w:r>
    </w:p>
    <w:p w14:paraId="0B7556F6" w14:textId="77777777" w:rsidR="00C63485" w:rsidRPr="000B5EEB" w:rsidRDefault="00C63485" w:rsidP="00C63485">
      <w:pPr>
        <w:spacing w:after="0" w:line="240" w:lineRule="auto"/>
        <w:jc w:val="both"/>
        <w:rPr>
          <w:rFonts w:ascii="Century Gothic" w:eastAsia="Calibri" w:hAnsi="Century Gothic" w:cs="Arial"/>
          <w:b/>
          <w:szCs w:val="24"/>
          <w:lang w:val="es-ES_tradnl" w:eastAsia="es-ES_tradnl"/>
        </w:rPr>
      </w:pPr>
    </w:p>
    <w:p w14:paraId="2F95D164" w14:textId="77777777" w:rsidR="00C63485" w:rsidRPr="000B5EEB" w:rsidRDefault="00C63485" w:rsidP="00C63485">
      <w:pPr>
        <w:spacing w:after="0" w:line="240" w:lineRule="auto"/>
        <w:jc w:val="both"/>
        <w:rPr>
          <w:rFonts w:ascii="Century Gothic" w:eastAsia="Calibri" w:hAnsi="Century Gothic" w:cs="Arial"/>
          <w:sz w:val="20"/>
          <w:szCs w:val="20"/>
          <w:lang w:val="es-ES_tradnl" w:eastAsia="es-ES_tradnl"/>
        </w:rPr>
      </w:pPr>
      <w:r w:rsidRPr="000B5EEB">
        <w:rPr>
          <w:rFonts w:ascii="Century Gothic" w:eastAsia="Calibri" w:hAnsi="Century Gothic" w:cs="Arial"/>
          <w:sz w:val="20"/>
          <w:szCs w:val="20"/>
          <w:lang w:eastAsia="es-ES_tradnl"/>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0B5EEB">
        <w:rPr>
          <w:rFonts w:ascii="Century Gothic" w:eastAsia="Calibri" w:hAnsi="Century Gothic" w:cs="Arial"/>
          <w:sz w:val="20"/>
          <w:szCs w:val="20"/>
          <w:lang w:val="es-ES_tradnl" w:eastAsia="es-ES_tradnl"/>
        </w:rPr>
        <w:t xml:space="preserve"> La celebración de dicho contrato debe efectuarse a través de la modalidad de contratación directa. </w:t>
      </w:r>
    </w:p>
    <w:p w14:paraId="218EC1BF" w14:textId="77777777" w:rsidR="00C63485" w:rsidRPr="000B5EEB" w:rsidRDefault="00C63485" w:rsidP="00C63485">
      <w:pPr>
        <w:spacing w:after="0" w:line="240" w:lineRule="auto"/>
        <w:jc w:val="both"/>
        <w:rPr>
          <w:rFonts w:ascii="Century Gothic" w:eastAsia="Calibri" w:hAnsi="Century Gothic" w:cs="Arial"/>
          <w:sz w:val="20"/>
          <w:szCs w:val="20"/>
          <w:lang w:val="es-ES_tradnl" w:eastAsia="es-ES_tradnl"/>
        </w:rPr>
      </w:pPr>
    </w:p>
    <w:p w14:paraId="7CAB7CBF" w14:textId="77777777" w:rsidR="00C63485" w:rsidRPr="000B5EEB" w:rsidRDefault="00C63485" w:rsidP="00C63485">
      <w:pPr>
        <w:spacing w:after="0" w:line="240" w:lineRule="auto"/>
        <w:jc w:val="both"/>
        <w:rPr>
          <w:rFonts w:ascii="Century Gothic" w:eastAsia="Calibri" w:hAnsi="Century Gothic" w:cs="Arial"/>
          <w:b/>
          <w:color w:val="000000"/>
          <w:lang w:val="es-ES_tradnl" w:eastAsia="es-ES_tradnl"/>
        </w:rPr>
      </w:pPr>
      <w:r w:rsidRPr="000B5EEB">
        <w:rPr>
          <w:rFonts w:ascii="Century Gothic" w:eastAsia="Calibri" w:hAnsi="Century Gothic" w:cs="Arial"/>
          <w:b/>
          <w:szCs w:val="24"/>
          <w:lang w:val="es-ES_tradnl" w:eastAsia="es-ES_tradnl"/>
        </w:rPr>
        <w:t xml:space="preserve">CONTRATO DE PRESTACIÓN DE SERVICIOS </w:t>
      </w:r>
      <w:r w:rsidRPr="000B5EEB">
        <w:rPr>
          <w:rFonts w:ascii="Century Gothic" w:eastAsia="Calibri" w:hAnsi="Century Gothic" w:cs="Arial"/>
          <w:b/>
          <w:color w:val="000000"/>
          <w:szCs w:val="24"/>
          <w:lang w:val="es-ES_tradnl" w:eastAsia="es-ES_tradnl"/>
        </w:rPr>
        <w:t xml:space="preserve">– Género – </w:t>
      </w:r>
      <w:r w:rsidRPr="000B5EEB">
        <w:rPr>
          <w:rFonts w:ascii="Century Gothic" w:eastAsia="Calibri" w:hAnsi="Century Gothic" w:cs="Arial"/>
          <w:b/>
          <w:szCs w:val="24"/>
          <w:lang w:val="es-ES_tradnl" w:eastAsia="es-ES_tradnl"/>
        </w:rPr>
        <w:t xml:space="preserve">Servicios Profesionales </w:t>
      </w:r>
      <w:r w:rsidRPr="000B5EEB">
        <w:rPr>
          <w:rFonts w:ascii="Century Gothic" w:eastAsia="Calibri" w:hAnsi="Century Gothic" w:cs="Arial"/>
          <w:b/>
          <w:color w:val="000000"/>
          <w:szCs w:val="24"/>
          <w:lang w:val="es-ES_tradnl" w:eastAsia="es-ES_tradnl"/>
        </w:rPr>
        <w:t>–</w:t>
      </w:r>
      <w:r w:rsidRPr="000B5EEB">
        <w:rPr>
          <w:rFonts w:ascii="Century Gothic" w:eastAsia="Calibri" w:hAnsi="Century Gothic" w:cs="Arial"/>
          <w:b/>
          <w:szCs w:val="24"/>
          <w:lang w:val="es-ES_tradnl" w:eastAsia="es-ES_tradnl"/>
        </w:rPr>
        <w:t xml:space="preserve">Apoyo a la gestión </w:t>
      </w:r>
      <w:r w:rsidRPr="000B5EEB">
        <w:rPr>
          <w:rFonts w:ascii="Century Gothic" w:eastAsia="Calibri" w:hAnsi="Century Gothic" w:cs="Arial"/>
          <w:b/>
          <w:color w:val="000000"/>
          <w:szCs w:val="24"/>
          <w:lang w:val="es-ES_tradnl" w:eastAsia="es-ES_tradnl"/>
        </w:rPr>
        <w:t xml:space="preserve">– Trabajos artísticos – Especie </w:t>
      </w:r>
    </w:p>
    <w:p w14:paraId="59DDACB6" w14:textId="77777777" w:rsidR="00C63485" w:rsidRPr="000B5EEB" w:rsidRDefault="00C63485" w:rsidP="00C63485">
      <w:pPr>
        <w:spacing w:after="0" w:line="240" w:lineRule="auto"/>
        <w:jc w:val="both"/>
        <w:rPr>
          <w:rFonts w:ascii="Century Gothic" w:eastAsia="Calibri" w:hAnsi="Century Gothic" w:cs="Arial"/>
          <w:b/>
          <w:bCs/>
          <w:color w:val="000000"/>
          <w:szCs w:val="24"/>
          <w:lang w:val="es-MX" w:eastAsia="es-ES_tradnl"/>
        </w:rPr>
      </w:pPr>
    </w:p>
    <w:p w14:paraId="2837AFBD" w14:textId="77777777" w:rsidR="00C63485" w:rsidRPr="000B5EEB" w:rsidRDefault="00C63485" w:rsidP="00C63485">
      <w:pPr>
        <w:spacing w:after="0" w:line="240" w:lineRule="auto"/>
        <w:jc w:val="both"/>
        <w:rPr>
          <w:rFonts w:ascii="Century Gothic" w:eastAsia="Calibri" w:hAnsi="Century Gothic" w:cs="Arial"/>
          <w:i/>
          <w:iCs/>
          <w:sz w:val="20"/>
          <w:szCs w:val="20"/>
          <w:lang w:val="es-ES_tradnl" w:eastAsia="es-ES_tradnl"/>
        </w:rPr>
      </w:pPr>
      <w:r w:rsidRPr="000B5EEB">
        <w:rPr>
          <w:rFonts w:ascii="Century Gothic" w:eastAsia="Calibri" w:hAnsi="Century Gothic" w:cs="Arial"/>
          <w:sz w:val="20"/>
          <w:szCs w:val="20"/>
          <w:lang w:eastAsia="es-ES_tradnl"/>
        </w:rPr>
        <w:t xml:space="preserve">Como especies del género </w:t>
      </w:r>
      <w:r w:rsidRPr="000B5EEB">
        <w:rPr>
          <w:rFonts w:ascii="Century Gothic" w:eastAsia="Calibri" w:hAnsi="Century Gothic" w:cs="Arial"/>
          <w:i/>
          <w:sz w:val="20"/>
          <w:szCs w:val="20"/>
          <w:lang w:eastAsia="es-ES_tradnl"/>
        </w:rPr>
        <w:t>prestación de servicios,</w:t>
      </w:r>
      <w:r w:rsidRPr="000B5EEB">
        <w:rPr>
          <w:rFonts w:ascii="Century Gothic" w:eastAsia="Calibri" w:hAnsi="Century Gothic" w:cs="Arial"/>
          <w:sz w:val="20"/>
          <w:szCs w:val="20"/>
          <w:lang w:eastAsia="es-ES_tradnl"/>
        </w:rPr>
        <w:t xml:space="preserve"> se incluyen </w:t>
      </w:r>
      <w:r w:rsidRPr="000B5EEB">
        <w:rPr>
          <w:rFonts w:ascii="Century Gothic" w:eastAsia="Calibri" w:hAnsi="Century Gothic" w:cs="Arial"/>
          <w:sz w:val="20"/>
          <w:szCs w:val="20"/>
          <w:lang w:val="es-ES_tradnl" w:eastAsia="es-ES_tradnl"/>
        </w:rPr>
        <w:t xml:space="preserve">los </w:t>
      </w:r>
      <w:r w:rsidRPr="000B5EEB">
        <w:rPr>
          <w:rFonts w:ascii="Century Gothic" w:eastAsia="Calibri" w:hAnsi="Century Gothic" w:cs="Arial"/>
          <w:i/>
          <w:iCs/>
          <w:sz w:val="20"/>
          <w:szCs w:val="20"/>
          <w:lang w:val="es-ES_tradnl" w:eastAsia="es-ES_tradnl"/>
        </w:rPr>
        <w:t>contratos de prestación de servicios profesionales, los contratos de prestación de servicios apoyo a la gestión</w:t>
      </w:r>
      <w:r w:rsidRPr="000B5EEB">
        <w:rPr>
          <w:rFonts w:ascii="Century Gothic" w:eastAsia="Calibri" w:hAnsi="Century Gothic" w:cs="Arial"/>
          <w:sz w:val="20"/>
          <w:szCs w:val="20"/>
          <w:lang w:val="es-ES_tradnl" w:eastAsia="es-ES_tradnl"/>
        </w:rPr>
        <w:t xml:space="preserve"> y los </w:t>
      </w:r>
      <w:r w:rsidRPr="000B5EEB">
        <w:rPr>
          <w:rFonts w:ascii="Century Gothic" w:eastAsia="Calibri" w:hAnsi="Century Gothic" w:cs="Arial"/>
          <w:i/>
          <w:iCs/>
          <w:sz w:val="20"/>
          <w:szCs w:val="20"/>
          <w:lang w:val="es-ES_tradnl" w:eastAsia="es-ES_tradnl"/>
        </w:rPr>
        <w:t xml:space="preserve">contratos de prestación de servicios artísticos que solo pueden encomendarse a determinadas personas naturales. […] </w:t>
      </w:r>
    </w:p>
    <w:p w14:paraId="7B5DB588" w14:textId="77777777" w:rsidR="00C63485" w:rsidRPr="000B5EEB" w:rsidRDefault="00C63485" w:rsidP="00C63485">
      <w:pPr>
        <w:spacing w:after="0" w:line="240" w:lineRule="auto"/>
        <w:jc w:val="both"/>
        <w:rPr>
          <w:rFonts w:ascii="Century Gothic" w:eastAsia="Calibri" w:hAnsi="Century Gothic" w:cs="Arial"/>
          <w:sz w:val="20"/>
          <w:szCs w:val="20"/>
          <w:lang w:val="es-ES_tradnl" w:eastAsia="es-ES_tradnl"/>
        </w:rPr>
      </w:pPr>
    </w:p>
    <w:p w14:paraId="550A145F" w14:textId="77777777" w:rsidR="00C63485" w:rsidRPr="000B5EEB" w:rsidRDefault="00C63485" w:rsidP="00C63485">
      <w:pPr>
        <w:spacing w:after="0" w:line="240" w:lineRule="auto"/>
        <w:jc w:val="both"/>
        <w:rPr>
          <w:rFonts w:ascii="Century Gothic" w:eastAsia="Calibri" w:hAnsi="Century Gothic" w:cs="Arial"/>
          <w:sz w:val="20"/>
          <w:szCs w:val="20"/>
          <w:lang w:eastAsia="es-ES_tradnl"/>
        </w:rPr>
      </w:pPr>
      <w:r w:rsidRPr="000B5EEB">
        <w:rPr>
          <w:rFonts w:ascii="Century Gothic" w:eastAsia="Calibri" w:hAnsi="Century Gothic" w:cs="Arial"/>
          <w:sz w:val="20"/>
          <w:szCs w:val="20"/>
          <w:lang w:val="es-ES_tradnl" w:eastAsia="es-ES_tradnl"/>
        </w:rPr>
        <w:t xml:space="preserve">En este sentido, el contrato de prestación de servicios </w:t>
      </w:r>
      <w:r w:rsidRPr="000B5EEB">
        <w:rPr>
          <w:rFonts w:ascii="Century Gothic" w:eastAsia="Calibri" w:hAnsi="Century Gothic" w:cs="Arial"/>
          <w:i/>
          <w:iCs/>
          <w:sz w:val="20"/>
          <w:szCs w:val="20"/>
          <w:lang w:val="es-ES_tradnl" w:eastAsia="es-ES_tradnl"/>
        </w:rPr>
        <w:t>profesionales</w:t>
      </w:r>
      <w:r w:rsidRPr="000B5EEB">
        <w:rPr>
          <w:rFonts w:ascii="Century Gothic" w:eastAsia="Calibri" w:hAnsi="Century Gothic" w:cs="Arial"/>
          <w:sz w:val="20"/>
          <w:szCs w:val="20"/>
          <w:lang w:val="es-ES_tradnl" w:eastAsia="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0B5EEB">
        <w:rPr>
          <w:rFonts w:ascii="Century Gothic" w:eastAsia="Calibri" w:hAnsi="Century Gothic" w:cs="Arial"/>
          <w:i/>
          <w:iCs/>
          <w:sz w:val="20"/>
          <w:szCs w:val="20"/>
          <w:lang w:val="es-ES_tradnl" w:eastAsia="es-ES_tradnl"/>
        </w:rPr>
        <w:t>saber intelectivo cualificado.</w:t>
      </w:r>
      <w:r w:rsidRPr="000B5EEB">
        <w:rPr>
          <w:rFonts w:ascii="Century Gothic" w:eastAsia="Calibri" w:hAnsi="Century Gothic" w:cs="Arial"/>
          <w:sz w:val="20"/>
          <w:szCs w:val="20"/>
          <w:lang w:val="es-ES_tradnl" w:eastAsia="es-ES_tradnl"/>
        </w:rPr>
        <w:t xml:space="preserve"> En cambio, los contratos de prestación de servicios de </w:t>
      </w:r>
      <w:r w:rsidRPr="000B5EEB">
        <w:rPr>
          <w:rFonts w:ascii="Century Gothic" w:eastAsia="Calibri" w:hAnsi="Century Gothic" w:cs="Arial"/>
          <w:i/>
          <w:iCs/>
          <w:sz w:val="20"/>
          <w:szCs w:val="20"/>
          <w:lang w:val="es-ES_tradnl" w:eastAsia="es-ES_tradnl"/>
        </w:rPr>
        <w:t>apoyo a la gestión</w:t>
      </w:r>
      <w:r w:rsidRPr="000B5EEB">
        <w:rPr>
          <w:rFonts w:ascii="Century Gothic" w:eastAsia="Calibri" w:hAnsi="Century Gothic" w:cs="Arial"/>
          <w:sz w:val="20"/>
          <w:szCs w:val="20"/>
          <w:lang w:val="es-ES_tradnl" w:eastAsia="es-ES_tradnl"/>
        </w:rPr>
        <w:t xml:space="preserve"> y de </w:t>
      </w:r>
      <w:r w:rsidRPr="000B5EEB">
        <w:rPr>
          <w:rFonts w:ascii="Century Gothic" w:eastAsia="Calibri" w:hAnsi="Century Gothic" w:cs="Arial"/>
          <w:i/>
          <w:iCs/>
          <w:sz w:val="20"/>
          <w:szCs w:val="20"/>
          <w:lang w:val="es-ES_tradnl" w:eastAsia="es-ES_tradnl"/>
        </w:rPr>
        <w:t>servicios artísticos</w:t>
      </w:r>
      <w:r w:rsidRPr="000B5EEB">
        <w:rPr>
          <w:rFonts w:ascii="Century Gothic" w:eastAsia="Calibri" w:hAnsi="Century Gothic" w:cs="Arial"/>
          <w:sz w:val="20"/>
          <w:szCs w:val="20"/>
          <w:lang w:val="es-ES_tradnl" w:eastAsia="es-ES_tradnl"/>
        </w:rPr>
        <w:t xml:space="preserve"> no involucran ese conocimiento profesional </w:t>
      </w:r>
      <w:r w:rsidRPr="000B5EEB">
        <w:rPr>
          <w:rFonts w:ascii="Century Gothic" w:eastAsia="Calibri" w:hAnsi="Century Gothic" w:cs="Arial"/>
          <w:sz w:val="20"/>
          <w:szCs w:val="20"/>
          <w:lang w:eastAsia="es-ES_tradnl"/>
        </w:rPr>
        <w:t xml:space="preserve">o especializados para su ejecución. En los de apoyo a la gestión </w:t>
      </w:r>
      <w:r w:rsidRPr="000B5EEB">
        <w:rPr>
          <w:rFonts w:ascii="Century Gothic" w:eastAsia="Calibri" w:hAnsi="Century Gothic" w:cs="Arial"/>
          <w:sz w:val="20"/>
          <w:szCs w:val="20"/>
          <w:lang w:val="es-ES_tradnl" w:eastAsia="es-ES_tradnl"/>
        </w:rPr>
        <w:lastRenderedPageBreak/>
        <w:t xml:space="preserve">el contratista desempeña un esfuerzo o actividad de apoyo, acompañamiento, o soporte, </w:t>
      </w:r>
      <w:r w:rsidRPr="000B5EEB">
        <w:rPr>
          <w:rFonts w:ascii="Century Gothic" w:eastAsia="Calibri" w:hAnsi="Century Gothic" w:cs="Arial"/>
          <w:sz w:val="20"/>
          <w:szCs w:val="20"/>
          <w:lang w:eastAsia="es-ES_tradnl"/>
        </w:rPr>
        <w:t xml:space="preserve">en donde </w:t>
      </w:r>
      <w:r w:rsidRPr="000B5EEB">
        <w:rPr>
          <w:rFonts w:ascii="Century Gothic" w:eastAsia="Calibri" w:hAnsi="Century Gothic" w:cs="Arial"/>
          <w:sz w:val="20"/>
          <w:szCs w:val="20"/>
          <w:lang w:val="es-ES_tradnl" w:eastAsia="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 en donde es indiferente el carácter de profesional.</w:t>
      </w:r>
    </w:p>
    <w:p w14:paraId="7EBC64FD" w14:textId="77777777" w:rsidR="00C63485" w:rsidRPr="000B5EEB" w:rsidRDefault="00C63485" w:rsidP="00C63485">
      <w:pPr>
        <w:spacing w:after="0" w:line="240" w:lineRule="auto"/>
        <w:jc w:val="both"/>
        <w:rPr>
          <w:rFonts w:ascii="Century Gothic" w:eastAsia="Calibri" w:hAnsi="Century Gothic" w:cs="Arial"/>
          <w:sz w:val="20"/>
          <w:szCs w:val="20"/>
          <w:lang w:val="es-ES_tradnl" w:eastAsia="es-ES_tradnl"/>
        </w:rPr>
      </w:pPr>
    </w:p>
    <w:p w14:paraId="1C7B2E01" w14:textId="77777777" w:rsidR="00C63485" w:rsidRPr="000B5EEB" w:rsidRDefault="00C63485" w:rsidP="00C63485">
      <w:pPr>
        <w:spacing w:after="0" w:line="240" w:lineRule="auto"/>
        <w:jc w:val="both"/>
        <w:rPr>
          <w:rFonts w:ascii="Century Gothic" w:eastAsia="Calibri" w:hAnsi="Century Gothic" w:cs="Arial"/>
          <w:b/>
          <w:bCs/>
          <w:lang w:eastAsia="es-ES_tradnl"/>
        </w:rPr>
      </w:pPr>
      <w:r w:rsidRPr="000B5EEB">
        <w:rPr>
          <w:rFonts w:ascii="Century Gothic" w:eastAsia="Calibri" w:hAnsi="Century Gothic" w:cs="Arial"/>
          <w:b/>
          <w:szCs w:val="24"/>
          <w:lang w:val="es-ES_tradnl" w:eastAsia="es-ES_tradnl"/>
        </w:rPr>
        <w:t xml:space="preserve">EDUCACACION SUPERIOR </w:t>
      </w:r>
      <w:r w:rsidRPr="000B5EEB">
        <w:rPr>
          <w:rFonts w:ascii="Century Gothic" w:eastAsia="Calibri" w:hAnsi="Century Gothic" w:cs="Arial"/>
          <w:b/>
          <w:color w:val="000000"/>
          <w:szCs w:val="24"/>
          <w:lang w:val="es-ES_tradnl" w:eastAsia="es-ES_tradnl"/>
        </w:rPr>
        <w:t xml:space="preserve">– Formación Técnica profesional – </w:t>
      </w:r>
      <w:r w:rsidRPr="000B5EEB">
        <w:rPr>
          <w:rFonts w:ascii="Century Gothic" w:eastAsia="Calibri" w:hAnsi="Century Gothic" w:cs="Arial"/>
          <w:b/>
          <w:bCs/>
          <w:lang w:val="es-ES" w:eastAsia="es-ES_tradnl"/>
        </w:rPr>
        <w:t xml:space="preserve">Formación Tecnológica </w:t>
      </w:r>
      <w:r w:rsidRPr="000B5EEB">
        <w:rPr>
          <w:rFonts w:ascii="Century Gothic" w:eastAsia="Calibri" w:hAnsi="Century Gothic" w:cs="Arial"/>
          <w:b/>
          <w:bCs/>
          <w:color w:val="000000"/>
          <w:lang w:val="es-ES_tradnl" w:eastAsia="es-ES_tradnl"/>
        </w:rPr>
        <w:t xml:space="preserve">– </w:t>
      </w:r>
      <w:r w:rsidRPr="000B5EEB">
        <w:rPr>
          <w:rFonts w:ascii="Century Gothic" w:eastAsia="Calibri" w:hAnsi="Century Gothic" w:cs="Arial"/>
          <w:b/>
          <w:bCs/>
          <w:lang w:val="es-ES" w:eastAsia="es-ES_tradnl"/>
        </w:rPr>
        <w:t>Formación Profesional</w:t>
      </w:r>
    </w:p>
    <w:p w14:paraId="3CA0AC03" w14:textId="77777777" w:rsidR="00C63485" w:rsidRPr="000B5EEB" w:rsidRDefault="00C63485" w:rsidP="00C63485">
      <w:pPr>
        <w:spacing w:after="0" w:line="240" w:lineRule="auto"/>
        <w:jc w:val="both"/>
        <w:rPr>
          <w:rFonts w:ascii="Century Gothic" w:eastAsia="Calibri" w:hAnsi="Century Gothic" w:cs="Arial"/>
          <w:sz w:val="20"/>
          <w:szCs w:val="20"/>
          <w:lang w:eastAsia="es-ES_tradnl"/>
        </w:rPr>
      </w:pPr>
    </w:p>
    <w:p w14:paraId="7AF3CC26" w14:textId="77777777" w:rsidR="00C63485" w:rsidRPr="000B5EEB" w:rsidRDefault="00C63485" w:rsidP="00C63485">
      <w:pPr>
        <w:spacing w:after="0" w:line="240" w:lineRule="auto"/>
        <w:jc w:val="both"/>
        <w:rPr>
          <w:rFonts w:ascii="Century Gothic" w:eastAsia="Calibri" w:hAnsi="Century Gothic" w:cs="Arial"/>
          <w:sz w:val="20"/>
          <w:szCs w:val="20"/>
          <w:lang w:val="es-ES" w:eastAsia="es-ES_tradnl"/>
        </w:rPr>
      </w:pPr>
      <w:r w:rsidRPr="000B5EEB">
        <w:rPr>
          <w:rFonts w:ascii="Century Gothic" w:eastAsia="Calibri" w:hAnsi="Century Gothic" w:cs="Arial"/>
          <w:sz w:val="20"/>
          <w:szCs w:val="20"/>
          <w:lang w:val="es-ES" w:eastAsia="es-ES_tradnl"/>
        </w:rPr>
        <w:t xml:space="preserve">La educación superior desarrollada por la Ley 30 de 1992, </w:t>
      </w:r>
      <w:r w:rsidRPr="000B5EEB">
        <w:rPr>
          <w:rFonts w:ascii="Century Gothic" w:eastAsia="Calibri" w:hAnsi="Century Gothic" w:cs="Arial"/>
          <w:sz w:val="20"/>
          <w:szCs w:val="20"/>
          <w:lang w:eastAsia="es-ES_tradnl"/>
        </w:rPr>
        <w:t>se realiza con posterioridad a la educación media o secundaria y, conforme al artículo 1, tiene por objeto el pleno desarrollo de los alumnos y su formación académica o profesional, y</w:t>
      </w:r>
      <w:r w:rsidRPr="000B5EEB">
        <w:rPr>
          <w:rFonts w:ascii="Century Gothic" w:eastAsia="Calibri" w:hAnsi="Century Gothic" w:cs="Arial"/>
          <w:sz w:val="20"/>
          <w:szCs w:val="20"/>
          <w:lang w:val="es-ES" w:eastAsia="es-ES_tradnl"/>
        </w:rPr>
        <w:t xml:space="preserve">consta de dos (2) niveles de formación: formación en pregrado y formación en postgrado. Conforme el artículo 9 </w:t>
      </w:r>
      <w:r w:rsidRPr="000B5EEB">
        <w:rPr>
          <w:rFonts w:ascii="Century Gothic" w:eastAsia="Calibri" w:hAnsi="Century Gothic" w:cs="Arial"/>
          <w:i/>
          <w:iCs/>
          <w:sz w:val="20"/>
          <w:szCs w:val="20"/>
          <w:lang w:val="es-ES" w:eastAsia="es-ES_tradnl"/>
        </w:rPr>
        <w:t>ibidem</w:t>
      </w:r>
      <w:r w:rsidRPr="000B5EEB">
        <w:rPr>
          <w:rFonts w:ascii="Century Gothic" w:eastAsia="Calibri" w:hAnsi="Century Gothic" w:cs="Arial"/>
          <w:sz w:val="20"/>
          <w:szCs w:val="20"/>
          <w:lang w:val="es-ES" w:eastAsia="es-ES_tradnl"/>
        </w:rPr>
        <w:t xml:space="preserve">, los programas en pregrado </w:t>
      </w:r>
      <w:r w:rsidRPr="000B5EEB">
        <w:rPr>
          <w:rFonts w:ascii="Century Gothic" w:eastAsia="Calibri" w:hAnsi="Century Gothic" w:cs="Arial"/>
          <w:sz w:val="20"/>
          <w:szCs w:val="20"/>
          <w:lang w:val="es-ES_tradnl" w:eastAsia="es-ES_tradnl"/>
        </w:rPr>
        <w:t>«</w:t>
      </w:r>
      <w:r w:rsidRPr="000B5EEB">
        <w:rPr>
          <w:rFonts w:ascii="Century Gothic" w:eastAsia="Calibri" w:hAnsi="Century Gothic" w:cs="Arial"/>
          <w:sz w:val="20"/>
          <w:szCs w:val="20"/>
          <w:lang w:eastAsia="es-ES_tradnl"/>
        </w:rPr>
        <w:t>preparan para el desempeño de ocupaciones, para el ejercicio de una profesión o disciplina determinada, de naturaleza tecnológica o científica o en el área de las humanidades, las artes y la filosofía</w:t>
      </w:r>
      <w:r w:rsidRPr="000B5EEB">
        <w:rPr>
          <w:rFonts w:ascii="Century Gothic" w:eastAsia="Calibri" w:hAnsi="Century Gothic" w:cs="Arial"/>
          <w:sz w:val="20"/>
          <w:szCs w:val="20"/>
          <w:lang w:val="es-ES_tradnl" w:eastAsia="es-ES_tradnl"/>
        </w:rPr>
        <w:t>»</w:t>
      </w:r>
      <w:r w:rsidRPr="000B5EEB">
        <w:rPr>
          <w:rFonts w:ascii="Century Gothic" w:eastAsia="Calibri" w:hAnsi="Century Gothic" w:cs="Arial"/>
          <w:sz w:val="20"/>
          <w:szCs w:val="20"/>
          <w:lang w:eastAsia="es-ES_tradnl"/>
        </w:rPr>
        <w:t>.</w:t>
      </w:r>
      <w:r w:rsidRPr="000B5EEB">
        <w:rPr>
          <w:rFonts w:ascii="Century Gothic" w:eastAsia="Calibri" w:hAnsi="Century Gothic" w:cs="Arial"/>
          <w:sz w:val="20"/>
          <w:szCs w:val="20"/>
          <w:lang w:val="es-ES" w:eastAsia="es-ES_tradnl"/>
        </w:rPr>
        <w:t xml:space="preserve"> Esta tiene tres niveles de formación, conducentes a títulos: Formación Técnica Profesional, Formación Tecnológica y Formación Profesional. A su vez la Formación en Postgrado conduce a la obtención de títulos a nivel de Especialización, Maestría y Doctorado. […]</w:t>
      </w:r>
    </w:p>
    <w:p w14:paraId="75EBBE92" w14:textId="77777777" w:rsidR="00C63485" w:rsidRPr="000B5EEB" w:rsidRDefault="00C63485" w:rsidP="00C63485">
      <w:pPr>
        <w:spacing w:after="0" w:line="240" w:lineRule="auto"/>
        <w:jc w:val="both"/>
        <w:rPr>
          <w:rFonts w:ascii="Century Gothic" w:eastAsia="Calibri" w:hAnsi="Century Gothic" w:cs="Arial"/>
          <w:sz w:val="20"/>
          <w:szCs w:val="20"/>
          <w:lang w:val="es-ES" w:eastAsia="es-ES_tradnl"/>
        </w:rPr>
      </w:pPr>
    </w:p>
    <w:p w14:paraId="6FFACF1D" w14:textId="77777777" w:rsidR="00C63485" w:rsidRPr="000B5EEB" w:rsidRDefault="00C63485" w:rsidP="00C63485">
      <w:pPr>
        <w:spacing w:after="0" w:line="240" w:lineRule="auto"/>
        <w:jc w:val="both"/>
        <w:rPr>
          <w:rFonts w:ascii="Century Gothic" w:eastAsia="Calibri" w:hAnsi="Century Gothic" w:cs="Arial"/>
          <w:sz w:val="20"/>
          <w:szCs w:val="20"/>
          <w:lang w:val="es-ES" w:eastAsia="es-ES_tradnl"/>
        </w:rPr>
      </w:pPr>
      <w:r w:rsidRPr="000B5EEB">
        <w:rPr>
          <w:rFonts w:ascii="Century Gothic" w:eastAsia="Calibri" w:hAnsi="Century Gothic" w:cs="Arial"/>
          <w:sz w:val="20"/>
          <w:szCs w:val="20"/>
          <w:lang w:eastAsia="es-ES_tradnl"/>
        </w:rPr>
        <w:t xml:space="preserve">De acuerdo con el marco normativo expuesto y el contenido de la sentencia de unificación, corresponde a las entidades públicas definir en cada caso concreto la forma de contratación de prestación de servicios aplicable a cada modalidad de título de educación superior. Lo anterior, </w:t>
      </w:r>
      <w:r w:rsidRPr="000B5EEB">
        <w:rPr>
          <w:rFonts w:ascii="Century Gothic" w:eastAsia="Calibri" w:hAnsi="Century Gothic" w:cs="Arial"/>
          <w:sz w:val="20"/>
          <w:szCs w:val="20"/>
          <w:lang w:val="es-ES" w:eastAsia="es-ES_tradnl"/>
        </w:rPr>
        <w:t>considerando que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B5EEB">
        <w:rPr>
          <w:rFonts w:ascii="Century Gothic" w:eastAsia="Calibri" w:hAnsi="Century Gothic" w:cs="Arial"/>
          <w:sz w:val="20"/>
          <w:szCs w:val="20"/>
          <w:lang w:val="es-ES_tradnl" w:eastAsia="es-ES_tradnl"/>
        </w:rPr>
        <w:t>.</w:t>
      </w:r>
    </w:p>
    <w:p w14:paraId="03E870EB" w14:textId="77777777" w:rsidR="00C63485" w:rsidRPr="000B5EEB" w:rsidRDefault="00C63485" w:rsidP="00C63485">
      <w:pPr>
        <w:spacing w:after="0" w:line="240" w:lineRule="auto"/>
        <w:jc w:val="both"/>
        <w:rPr>
          <w:rFonts w:ascii="Century Gothic" w:eastAsia="Calibri" w:hAnsi="Century Gothic" w:cs="Arial"/>
          <w:b/>
          <w:bCs/>
          <w:color w:val="000000"/>
          <w:szCs w:val="24"/>
          <w:lang w:val="es-ES_tradnl" w:eastAsia="es-ES_tradnl"/>
        </w:rPr>
      </w:pPr>
    </w:p>
    <w:p w14:paraId="074091B6" w14:textId="77777777" w:rsidR="00C63485" w:rsidRPr="000B5EEB" w:rsidRDefault="00C63485" w:rsidP="00C63485">
      <w:pPr>
        <w:spacing w:after="0" w:line="240" w:lineRule="auto"/>
        <w:jc w:val="both"/>
        <w:rPr>
          <w:rFonts w:ascii="Century Gothic" w:eastAsia="Calibri" w:hAnsi="Century Gothic" w:cs="Arial"/>
          <w:b/>
          <w:bCs/>
          <w:color w:val="000000"/>
          <w:lang w:val="es-ES_tradnl"/>
        </w:rPr>
      </w:pPr>
      <w:r w:rsidRPr="000B5EEB">
        <w:rPr>
          <w:rFonts w:ascii="Century Gothic" w:eastAsia="Calibri" w:hAnsi="Century Gothic" w:cs="Arial"/>
          <w:b/>
          <w:bCs/>
          <w:color w:val="000000"/>
          <w:szCs w:val="24"/>
          <w:lang w:val="es-ES_tradnl" w:eastAsia="es-ES_tradnl"/>
        </w:rPr>
        <w:t>INHABILIDADES ― Artículo 33 Ley 1778 de 2016 ― Alcance –</w:t>
      </w:r>
      <w:r w:rsidRPr="000B5EEB">
        <w:rPr>
          <w:rFonts w:ascii="Century Gothic" w:eastAsia="Calibri" w:hAnsi="Century Gothic" w:cs="Arial"/>
          <w:b/>
          <w:color w:val="000000"/>
          <w:szCs w:val="24"/>
          <w:lang w:val="es-ES_tradnl" w:eastAsia="es-ES_tradnl"/>
        </w:rPr>
        <w:t xml:space="preserve"> Excepción </w:t>
      </w:r>
    </w:p>
    <w:p w14:paraId="53229848" w14:textId="77777777" w:rsidR="00C63485" w:rsidRPr="000B5EEB" w:rsidRDefault="00C63485" w:rsidP="00C63485">
      <w:pPr>
        <w:spacing w:after="0" w:line="276" w:lineRule="auto"/>
        <w:jc w:val="both"/>
        <w:rPr>
          <w:rFonts w:ascii="Century Gothic" w:eastAsia="Calibri" w:hAnsi="Century Gothic" w:cs="Arial"/>
          <w:sz w:val="20"/>
          <w:szCs w:val="20"/>
          <w:lang w:val="es-MX" w:eastAsia="es-ES_tradnl"/>
        </w:rPr>
      </w:pPr>
    </w:p>
    <w:p w14:paraId="7138DF97" w14:textId="77777777" w:rsidR="00C63485" w:rsidRPr="000B5EEB" w:rsidRDefault="00C63485" w:rsidP="00C63485">
      <w:pPr>
        <w:spacing w:after="0" w:line="240" w:lineRule="auto"/>
        <w:jc w:val="both"/>
        <w:rPr>
          <w:rFonts w:ascii="Century Gothic" w:eastAsia="Calibri" w:hAnsi="Century Gothic" w:cs="Arial"/>
          <w:sz w:val="20"/>
          <w:szCs w:val="20"/>
          <w:lang w:val="es-MX" w:eastAsia="es-ES_tradnl"/>
        </w:rPr>
      </w:pPr>
      <w:r w:rsidRPr="000B5EEB">
        <w:rPr>
          <w:rFonts w:ascii="Century Gothic" w:eastAsia="Calibri" w:hAnsi="Century Gothic" w:cs="Arial"/>
          <w:sz w:val="20"/>
          <w:szCs w:val="20"/>
          <w:lang w:val="es-MX" w:eastAsia="es-ES_tradnl"/>
        </w:rPr>
        <w:t xml:space="preserve">La causal de inhabilidad </w:t>
      </w:r>
      <w:r w:rsidRPr="000B5EEB">
        <w:rPr>
          <w:rFonts w:ascii="Century Gothic" w:eastAsia="Calibri" w:hAnsi="Century Gothic" w:cs="Arial"/>
          <w:i/>
          <w:sz w:val="20"/>
          <w:szCs w:val="20"/>
          <w:lang w:val="es-MX" w:eastAsia="es-ES_tradnl"/>
        </w:rPr>
        <w:t>sub examine</w:t>
      </w:r>
      <w:r w:rsidRPr="000B5EEB">
        <w:rPr>
          <w:rFonts w:ascii="Century Gothic" w:eastAsia="Calibri" w:hAnsi="Century Gothic" w:cs="Arial"/>
          <w:sz w:val="20"/>
          <w:szCs w:val="20"/>
          <w:lang w:val="es-MX" w:eastAsia="es-ES_tradnl"/>
        </w:rPr>
        <w:t xml:space="preserve"> tiene tres reglas especiales.</w:t>
      </w:r>
      <w:r w:rsidRPr="000B5EEB">
        <w:rPr>
          <w:rFonts w:ascii="Century Gothic" w:eastAsia="Calibri" w:hAnsi="Century Gothic" w:cs="Arial"/>
          <w:i/>
          <w:sz w:val="20"/>
          <w:szCs w:val="20"/>
          <w:lang w:eastAsia="es-ES_tradnl" w:bidi="es-ES"/>
        </w:rPr>
        <w:t xml:space="preserve"> </w:t>
      </w:r>
      <w:r w:rsidRPr="000B5EEB">
        <w:rPr>
          <w:rFonts w:ascii="Century Gothic" w:eastAsia="Calibri" w:hAnsi="Century Gothic" w:cs="Arial"/>
          <w:i/>
          <w:sz w:val="20"/>
          <w:szCs w:val="20"/>
          <w:lang w:val="es-MX" w:eastAsia="es-ES_tradnl"/>
        </w:rPr>
        <w:t>Primer</w:t>
      </w:r>
      <w:r w:rsidRPr="000B5EEB">
        <w:rPr>
          <w:rFonts w:ascii="Century Gothic" w:eastAsia="Calibri" w:hAnsi="Century Gothic" w:cs="Arial"/>
          <w:sz w:val="20"/>
          <w:szCs w:val="20"/>
          <w:lang w:val="es-MX" w:eastAsia="es-ES_tradnl"/>
        </w:rPr>
        <w:t xml:space="preserve">o, en lo que respecta al ámbito de aplicación material, la misma cobija </w:t>
      </w:r>
      <w:r w:rsidRPr="000B5EEB">
        <w:rPr>
          <w:rFonts w:ascii="Century Gothic" w:eastAsia="Calibri" w:hAnsi="Century Gothic" w:cs="Arial"/>
          <w:sz w:val="20"/>
          <w:szCs w:val="20"/>
          <w:lang w:eastAsia="es-ES_tradnl"/>
        </w:rPr>
        <w:t xml:space="preserve">a las personas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 […] </w:t>
      </w:r>
      <w:r w:rsidRPr="000B5EEB">
        <w:rPr>
          <w:rFonts w:ascii="Century Gothic" w:eastAsia="Calibri" w:hAnsi="Century Gothic" w:cs="Arial"/>
          <w:i/>
          <w:sz w:val="20"/>
          <w:szCs w:val="20"/>
          <w:lang w:val="es-MX" w:eastAsia="es-ES_tradnl"/>
        </w:rPr>
        <w:t>Segundo</w:t>
      </w:r>
      <w:r w:rsidRPr="000B5EEB">
        <w:rPr>
          <w:rFonts w:ascii="Century Gothic" w:eastAsia="Calibri" w:hAnsi="Century Gothic" w:cs="Arial"/>
          <w:sz w:val="20"/>
          <w:szCs w:val="20"/>
          <w:lang w:val="es-MX" w:eastAsia="es-ES_tradnl"/>
        </w:rPr>
        <w:t xml:space="preserve">, referente el ámbito de aplicación temporal, esta inhabilidad se extiende durante todo el periodo para el cual el candidato fue elegido, esto es, por el periodo constitucional del presidente, los gobernadores y alcaldes o los congresistas. </w:t>
      </w:r>
      <w:r w:rsidRPr="000B5EEB">
        <w:rPr>
          <w:rFonts w:ascii="Century Gothic" w:eastAsia="Calibri" w:hAnsi="Century Gothic" w:cs="Arial"/>
          <w:i/>
          <w:sz w:val="20"/>
          <w:szCs w:val="20"/>
          <w:lang w:val="es-MX" w:eastAsia="es-ES_tradnl"/>
        </w:rPr>
        <w:t>Tercero</w:t>
      </w:r>
      <w:r w:rsidRPr="000B5EEB">
        <w:rPr>
          <w:rFonts w:ascii="Century Gothic" w:eastAsia="Calibri" w:hAnsi="Century Gothic" w:cs="Arial"/>
          <w:sz w:val="20"/>
          <w:szCs w:val="20"/>
          <w:lang w:val="es-MX" w:eastAsia="es-ES_tradnl"/>
        </w:rPr>
        <w:t xml:space="preserve">, en relación al ámbito subjetivo de aplicación de la causal de inhabilidad, se tiene que la causal en comento cobija al aportante a las respectivas campañas políticas, tanto a personas naturales como jurídicas […] </w:t>
      </w:r>
    </w:p>
    <w:p w14:paraId="2DE6911A" w14:textId="77777777" w:rsidR="00C63485" w:rsidRPr="000B5EEB" w:rsidRDefault="00C63485" w:rsidP="00C63485">
      <w:pPr>
        <w:spacing w:after="0" w:line="240" w:lineRule="auto"/>
        <w:jc w:val="both"/>
        <w:rPr>
          <w:rFonts w:ascii="Century Gothic" w:eastAsia="Calibri" w:hAnsi="Century Gothic" w:cs="Arial"/>
          <w:sz w:val="20"/>
          <w:szCs w:val="20"/>
          <w:lang w:val="es-MX" w:eastAsia="es-ES_tradnl"/>
        </w:rPr>
      </w:pPr>
    </w:p>
    <w:p w14:paraId="015965FF" w14:textId="77777777" w:rsidR="00C63485" w:rsidRPr="000B5EEB" w:rsidRDefault="00C63485" w:rsidP="00C63485">
      <w:pPr>
        <w:spacing w:after="0" w:line="240" w:lineRule="auto"/>
        <w:jc w:val="both"/>
        <w:rPr>
          <w:rFonts w:ascii="Century Gothic" w:eastAsia="Calibri" w:hAnsi="Century Gothic" w:cs="Arial"/>
          <w:sz w:val="20"/>
          <w:szCs w:val="20"/>
          <w:lang w:eastAsia="es-ES_tradnl"/>
        </w:rPr>
      </w:pPr>
      <w:r w:rsidRPr="000B5EEB">
        <w:rPr>
          <w:rFonts w:ascii="Century Gothic" w:eastAsia="Calibri" w:hAnsi="Century Gothic" w:cs="Arial"/>
          <w:sz w:val="20"/>
          <w:szCs w:val="20"/>
          <w:lang w:eastAsia="es-ES_tradnl"/>
        </w:rPr>
        <w:t xml:space="preserve">Adicionalmente, la aplicación de esta inhabilidad contempla una excepción: los </w:t>
      </w:r>
      <w:r w:rsidRPr="000B5EEB">
        <w:rPr>
          <w:rFonts w:ascii="Century Gothic" w:eastAsia="Calibri" w:hAnsi="Century Gothic" w:cs="Arial"/>
          <w:i/>
          <w:iCs/>
          <w:sz w:val="20"/>
          <w:szCs w:val="20"/>
          <w:lang w:eastAsia="es-ES_tradnl"/>
        </w:rPr>
        <w:t>contratos de prestación de servicios profesionales.</w:t>
      </w:r>
      <w:r w:rsidRPr="000B5EEB">
        <w:rPr>
          <w:rFonts w:ascii="Century Gothic" w:eastAsia="Calibri" w:hAnsi="Century Gothic" w:cs="Arial"/>
          <w:sz w:val="20"/>
          <w:szCs w:val="20"/>
          <w:lang w:eastAsia="es-ES_tradnl"/>
        </w:rPr>
        <w:t xml:space="preserve"> Esto significa que las personas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 no podrán contratar con las entidades públicas, incluso descentralizadas, del respectivo nivel administrativo para el cual fue elegido el candidato, salvo que se trate de </w:t>
      </w:r>
      <w:r w:rsidRPr="000B5EEB">
        <w:rPr>
          <w:rFonts w:ascii="Century Gothic" w:eastAsia="Calibri" w:hAnsi="Century Gothic" w:cs="Arial"/>
          <w:sz w:val="20"/>
          <w:szCs w:val="20"/>
          <w:lang w:eastAsia="es-ES_tradnl"/>
        </w:rPr>
        <w:lastRenderedPageBreak/>
        <w:t xml:space="preserve">un contrato de prestación de servicios profesionales. Para este tipo de contratación no se aplica la inhabilidad para las personas allí señaladas por disposición expresa de la norma. </w:t>
      </w:r>
    </w:p>
    <w:p w14:paraId="5DAA890E" w14:textId="77777777" w:rsidR="00C63485" w:rsidRPr="000B5EEB" w:rsidRDefault="00C63485" w:rsidP="00C63485">
      <w:pPr>
        <w:spacing w:after="0" w:line="240" w:lineRule="auto"/>
        <w:jc w:val="both"/>
        <w:rPr>
          <w:rFonts w:ascii="Century Gothic" w:eastAsia="Calibri" w:hAnsi="Century Gothic" w:cs="Arial"/>
          <w:b/>
          <w:bCs/>
          <w:color w:val="000000"/>
          <w:kern w:val="2"/>
          <w:lang w:val="es-ES_tradnl"/>
          <w14:ligatures w14:val="standardContextual"/>
        </w:rPr>
      </w:pPr>
    </w:p>
    <w:p w14:paraId="7258B85F" w14:textId="77777777" w:rsidR="00C63485" w:rsidRPr="000B5EEB" w:rsidRDefault="00C63485" w:rsidP="00C63485">
      <w:pPr>
        <w:spacing w:after="0" w:line="240" w:lineRule="auto"/>
        <w:jc w:val="both"/>
        <w:rPr>
          <w:rFonts w:ascii="Century Gothic" w:eastAsia="Calibri" w:hAnsi="Century Gothic" w:cs="Arial"/>
          <w:b/>
          <w:bCs/>
          <w:color w:val="000000"/>
          <w:kern w:val="2"/>
          <w:lang w:val="es-ES_tradnl"/>
          <w14:ligatures w14:val="standardContextual"/>
        </w:rPr>
      </w:pPr>
    </w:p>
    <w:p w14:paraId="50A61B75" w14:textId="77777777" w:rsidR="00C63485" w:rsidRPr="000B5EEB" w:rsidRDefault="00C63485" w:rsidP="00C63485">
      <w:pPr>
        <w:spacing w:after="0" w:line="240" w:lineRule="auto"/>
        <w:jc w:val="both"/>
        <w:rPr>
          <w:rFonts w:ascii="Century Gothic" w:eastAsia="Calibri" w:hAnsi="Century Gothic" w:cs="Arial"/>
          <w:b/>
          <w:bCs/>
          <w:color w:val="000000"/>
          <w:kern w:val="2"/>
          <w:lang w:val="es-ES_tradnl"/>
          <w14:ligatures w14:val="standardContextual"/>
        </w:rPr>
      </w:pPr>
    </w:p>
    <w:p w14:paraId="0716845B" w14:textId="77777777" w:rsidR="003C6318" w:rsidRDefault="003C6318" w:rsidP="00C63485">
      <w:pPr>
        <w:spacing w:after="0"/>
        <w:rPr>
          <w:rFonts w:ascii="Century Gothic" w:eastAsia="Aptos" w:hAnsi="Century Gothic" w:cs="Times New Roman"/>
          <w:kern w:val="2"/>
          <w14:ligatures w14:val="standardContextual"/>
        </w:rPr>
      </w:pPr>
    </w:p>
    <w:p w14:paraId="0B4FDC26" w14:textId="77777777" w:rsidR="003C6318" w:rsidRDefault="003C6318" w:rsidP="00C63485">
      <w:pPr>
        <w:spacing w:after="0"/>
        <w:rPr>
          <w:rFonts w:ascii="Century Gothic" w:eastAsia="Aptos" w:hAnsi="Century Gothic" w:cs="Times New Roman"/>
          <w:kern w:val="2"/>
          <w14:ligatures w14:val="standardContextual"/>
        </w:rPr>
      </w:pPr>
    </w:p>
    <w:p w14:paraId="26D88959" w14:textId="77777777" w:rsidR="003C6318" w:rsidRDefault="003C6318" w:rsidP="00C63485">
      <w:pPr>
        <w:spacing w:after="0"/>
        <w:rPr>
          <w:rFonts w:ascii="Century Gothic" w:eastAsia="Aptos" w:hAnsi="Century Gothic" w:cs="Times New Roman"/>
          <w:kern w:val="2"/>
          <w14:ligatures w14:val="standardContextual"/>
        </w:rPr>
      </w:pPr>
    </w:p>
    <w:p w14:paraId="6786D131" w14:textId="77777777" w:rsidR="003C6318" w:rsidRDefault="003C6318" w:rsidP="00C63485">
      <w:pPr>
        <w:spacing w:after="0"/>
        <w:rPr>
          <w:rFonts w:ascii="Century Gothic" w:eastAsia="Aptos" w:hAnsi="Century Gothic" w:cs="Times New Roman"/>
          <w:kern w:val="2"/>
          <w14:ligatures w14:val="standardContextual"/>
        </w:rPr>
      </w:pPr>
    </w:p>
    <w:p w14:paraId="36A80909" w14:textId="77777777" w:rsidR="003C6318" w:rsidRDefault="003C6318" w:rsidP="00C63485">
      <w:pPr>
        <w:spacing w:after="0"/>
        <w:rPr>
          <w:rFonts w:ascii="Century Gothic" w:eastAsia="Aptos" w:hAnsi="Century Gothic" w:cs="Times New Roman"/>
          <w:kern w:val="2"/>
          <w14:ligatures w14:val="standardContextual"/>
        </w:rPr>
      </w:pPr>
    </w:p>
    <w:p w14:paraId="3A4E5C9F" w14:textId="77777777" w:rsidR="003C6318" w:rsidRDefault="003C6318" w:rsidP="00C63485">
      <w:pPr>
        <w:spacing w:after="0"/>
        <w:rPr>
          <w:rFonts w:ascii="Century Gothic" w:eastAsia="Aptos" w:hAnsi="Century Gothic" w:cs="Times New Roman"/>
          <w:kern w:val="2"/>
          <w14:ligatures w14:val="standardContextual"/>
        </w:rPr>
      </w:pPr>
    </w:p>
    <w:p w14:paraId="2C7A92EF" w14:textId="77777777" w:rsidR="003C6318" w:rsidRDefault="003C6318" w:rsidP="00C63485">
      <w:pPr>
        <w:spacing w:after="0"/>
        <w:rPr>
          <w:rFonts w:ascii="Century Gothic" w:eastAsia="Aptos" w:hAnsi="Century Gothic" w:cs="Times New Roman"/>
          <w:kern w:val="2"/>
          <w14:ligatures w14:val="standardContextual"/>
        </w:rPr>
      </w:pPr>
    </w:p>
    <w:p w14:paraId="086AE53C" w14:textId="77777777" w:rsidR="003C6318" w:rsidRDefault="003C6318" w:rsidP="00C63485">
      <w:pPr>
        <w:spacing w:after="0"/>
        <w:rPr>
          <w:rFonts w:ascii="Century Gothic" w:eastAsia="Aptos" w:hAnsi="Century Gothic" w:cs="Times New Roman"/>
          <w:kern w:val="2"/>
          <w14:ligatures w14:val="standardContextual"/>
        </w:rPr>
      </w:pPr>
    </w:p>
    <w:p w14:paraId="0A65FE51" w14:textId="77777777" w:rsidR="003C6318" w:rsidRDefault="003C6318" w:rsidP="00C63485">
      <w:pPr>
        <w:spacing w:after="0"/>
        <w:rPr>
          <w:rFonts w:ascii="Century Gothic" w:eastAsia="Aptos" w:hAnsi="Century Gothic" w:cs="Times New Roman"/>
          <w:kern w:val="2"/>
          <w14:ligatures w14:val="standardContextual"/>
        </w:rPr>
      </w:pPr>
    </w:p>
    <w:p w14:paraId="194EF5B7" w14:textId="77777777" w:rsidR="003C6318" w:rsidRDefault="003C6318" w:rsidP="00C63485">
      <w:pPr>
        <w:spacing w:after="0"/>
        <w:rPr>
          <w:rFonts w:ascii="Century Gothic" w:eastAsia="Aptos" w:hAnsi="Century Gothic" w:cs="Times New Roman"/>
          <w:kern w:val="2"/>
          <w14:ligatures w14:val="standardContextual"/>
        </w:rPr>
      </w:pPr>
    </w:p>
    <w:p w14:paraId="6631FB27" w14:textId="77777777" w:rsidR="003C6318" w:rsidRDefault="003C6318" w:rsidP="00C63485">
      <w:pPr>
        <w:spacing w:after="0"/>
        <w:rPr>
          <w:rFonts w:ascii="Century Gothic" w:eastAsia="Aptos" w:hAnsi="Century Gothic" w:cs="Times New Roman"/>
          <w:kern w:val="2"/>
          <w14:ligatures w14:val="standardContextual"/>
        </w:rPr>
      </w:pPr>
    </w:p>
    <w:p w14:paraId="20D38FC3" w14:textId="77777777" w:rsidR="003C6318" w:rsidRDefault="003C6318" w:rsidP="00C63485">
      <w:pPr>
        <w:spacing w:after="0"/>
        <w:rPr>
          <w:rFonts w:ascii="Century Gothic" w:eastAsia="Aptos" w:hAnsi="Century Gothic" w:cs="Times New Roman"/>
          <w:kern w:val="2"/>
          <w14:ligatures w14:val="standardContextual"/>
        </w:rPr>
      </w:pPr>
    </w:p>
    <w:p w14:paraId="5BE162E3" w14:textId="77777777" w:rsidR="003C6318" w:rsidRDefault="003C6318" w:rsidP="00C63485">
      <w:pPr>
        <w:spacing w:after="0"/>
        <w:rPr>
          <w:rFonts w:ascii="Century Gothic" w:eastAsia="Aptos" w:hAnsi="Century Gothic" w:cs="Times New Roman"/>
          <w:kern w:val="2"/>
          <w14:ligatures w14:val="standardContextual"/>
        </w:rPr>
      </w:pPr>
    </w:p>
    <w:p w14:paraId="198B012E" w14:textId="77777777" w:rsidR="003C6318" w:rsidRDefault="003C6318" w:rsidP="00C63485">
      <w:pPr>
        <w:spacing w:after="0"/>
        <w:rPr>
          <w:rFonts w:ascii="Century Gothic" w:eastAsia="Aptos" w:hAnsi="Century Gothic" w:cs="Times New Roman"/>
          <w:kern w:val="2"/>
          <w14:ligatures w14:val="standardContextual"/>
        </w:rPr>
      </w:pPr>
    </w:p>
    <w:p w14:paraId="48BF6BCC" w14:textId="77777777" w:rsidR="003C6318" w:rsidRDefault="003C6318" w:rsidP="00C63485">
      <w:pPr>
        <w:spacing w:after="0"/>
        <w:rPr>
          <w:rFonts w:ascii="Century Gothic" w:eastAsia="Aptos" w:hAnsi="Century Gothic" w:cs="Times New Roman"/>
          <w:kern w:val="2"/>
          <w14:ligatures w14:val="standardContextual"/>
        </w:rPr>
      </w:pPr>
    </w:p>
    <w:p w14:paraId="2FF26BA9" w14:textId="77777777" w:rsidR="003C6318" w:rsidRDefault="003C6318" w:rsidP="00C63485">
      <w:pPr>
        <w:spacing w:after="0"/>
        <w:rPr>
          <w:rFonts w:ascii="Century Gothic" w:eastAsia="Aptos" w:hAnsi="Century Gothic" w:cs="Times New Roman"/>
          <w:kern w:val="2"/>
          <w14:ligatures w14:val="standardContextual"/>
        </w:rPr>
      </w:pPr>
    </w:p>
    <w:p w14:paraId="125F54DB" w14:textId="77777777" w:rsidR="003C6318" w:rsidRDefault="003C6318" w:rsidP="00C63485">
      <w:pPr>
        <w:spacing w:after="0"/>
        <w:rPr>
          <w:rFonts w:ascii="Century Gothic" w:eastAsia="Aptos" w:hAnsi="Century Gothic" w:cs="Times New Roman"/>
          <w:kern w:val="2"/>
          <w14:ligatures w14:val="standardContextual"/>
        </w:rPr>
      </w:pPr>
    </w:p>
    <w:p w14:paraId="38492EE4" w14:textId="77777777" w:rsidR="003C6318" w:rsidRDefault="003C6318" w:rsidP="00C63485">
      <w:pPr>
        <w:spacing w:after="0"/>
        <w:rPr>
          <w:rFonts w:ascii="Century Gothic" w:eastAsia="Aptos" w:hAnsi="Century Gothic" w:cs="Times New Roman"/>
          <w:kern w:val="2"/>
          <w14:ligatures w14:val="standardContextual"/>
        </w:rPr>
      </w:pPr>
    </w:p>
    <w:p w14:paraId="7EF092CB" w14:textId="77777777" w:rsidR="003C6318" w:rsidRDefault="003C6318" w:rsidP="00C63485">
      <w:pPr>
        <w:spacing w:after="0"/>
        <w:rPr>
          <w:rFonts w:ascii="Century Gothic" w:eastAsia="Aptos" w:hAnsi="Century Gothic" w:cs="Times New Roman"/>
          <w:kern w:val="2"/>
          <w14:ligatures w14:val="standardContextual"/>
        </w:rPr>
      </w:pPr>
    </w:p>
    <w:p w14:paraId="1D5B217F" w14:textId="77777777" w:rsidR="003C6318" w:rsidRDefault="003C6318" w:rsidP="00C63485">
      <w:pPr>
        <w:spacing w:after="0"/>
        <w:rPr>
          <w:rFonts w:ascii="Century Gothic" w:eastAsia="Aptos" w:hAnsi="Century Gothic" w:cs="Times New Roman"/>
          <w:kern w:val="2"/>
          <w14:ligatures w14:val="standardContextual"/>
        </w:rPr>
      </w:pPr>
    </w:p>
    <w:p w14:paraId="210351EE" w14:textId="77777777" w:rsidR="003C6318" w:rsidRDefault="003C6318" w:rsidP="00C63485">
      <w:pPr>
        <w:spacing w:after="0"/>
        <w:rPr>
          <w:rFonts w:ascii="Century Gothic" w:eastAsia="Aptos" w:hAnsi="Century Gothic" w:cs="Times New Roman"/>
          <w:kern w:val="2"/>
          <w14:ligatures w14:val="standardContextual"/>
        </w:rPr>
      </w:pPr>
    </w:p>
    <w:p w14:paraId="79650EEC" w14:textId="77777777" w:rsidR="003C6318" w:rsidRDefault="003C6318" w:rsidP="00C63485">
      <w:pPr>
        <w:spacing w:after="0"/>
        <w:rPr>
          <w:rFonts w:ascii="Century Gothic" w:eastAsia="Aptos" w:hAnsi="Century Gothic" w:cs="Times New Roman"/>
          <w:kern w:val="2"/>
          <w14:ligatures w14:val="standardContextual"/>
        </w:rPr>
      </w:pPr>
    </w:p>
    <w:p w14:paraId="06025E2A" w14:textId="77777777" w:rsidR="003C6318" w:rsidRDefault="003C6318" w:rsidP="00C63485">
      <w:pPr>
        <w:spacing w:after="0"/>
        <w:rPr>
          <w:rFonts w:ascii="Century Gothic" w:eastAsia="Aptos" w:hAnsi="Century Gothic" w:cs="Times New Roman"/>
          <w:kern w:val="2"/>
          <w14:ligatures w14:val="standardContextual"/>
        </w:rPr>
      </w:pPr>
    </w:p>
    <w:p w14:paraId="5BF0F2DF" w14:textId="77777777" w:rsidR="003C6318" w:rsidRDefault="003C6318" w:rsidP="00C63485">
      <w:pPr>
        <w:spacing w:after="0"/>
        <w:rPr>
          <w:rFonts w:ascii="Century Gothic" w:eastAsia="Aptos" w:hAnsi="Century Gothic" w:cs="Times New Roman"/>
          <w:kern w:val="2"/>
          <w14:ligatures w14:val="standardContextual"/>
        </w:rPr>
      </w:pPr>
    </w:p>
    <w:p w14:paraId="7E2DA1D9" w14:textId="77777777" w:rsidR="003C6318" w:rsidRDefault="003C6318" w:rsidP="00C63485">
      <w:pPr>
        <w:spacing w:after="0"/>
        <w:rPr>
          <w:rFonts w:ascii="Century Gothic" w:eastAsia="Aptos" w:hAnsi="Century Gothic" w:cs="Times New Roman"/>
          <w:kern w:val="2"/>
          <w14:ligatures w14:val="standardContextual"/>
        </w:rPr>
      </w:pPr>
    </w:p>
    <w:p w14:paraId="1E9B32B5" w14:textId="77777777" w:rsidR="003C6318" w:rsidRDefault="003C6318" w:rsidP="00C63485">
      <w:pPr>
        <w:spacing w:after="0"/>
        <w:rPr>
          <w:rFonts w:ascii="Century Gothic" w:eastAsia="Aptos" w:hAnsi="Century Gothic" w:cs="Times New Roman"/>
          <w:kern w:val="2"/>
          <w14:ligatures w14:val="standardContextual"/>
        </w:rPr>
      </w:pPr>
    </w:p>
    <w:p w14:paraId="507A7A5E" w14:textId="77777777" w:rsidR="003C6318" w:rsidRDefault="003C6318" w:rsidP="00C63485">
      <w:pPr>
        <w:spacing w:after="0"/>
        <w:rPr>
          <w:rFonts w:ascii="Century Gothic" w:eastAsia="Aptos" w:hAnsi="Century Gothic" w:cs="Times New Roman"/>
          <w:kern w:val="2"/>
          <w14:ligatures w14:val="standardContextual"/>
        </w:rPr>
      </w:pPr>
    </w:p>
    <w:p w14:paraId="13E84D26" w14:textId="77777777" w:rsidR="003C6318" w:rsidRDefault="003C6318" w:rsidP="00C63485">
      <w:pPr>
        <w:spacing w:after="0"/>
        <w:rPr>
          <w:rFonts w:ascii="Century Gothic" w:eastAsia="Aptos" w:hAnsi="Century Gothic" w:cs="Times New Roman"/>
          <w:kern w:val="2"/>
          <w14:ligatures w14:val="standardContextual"/>
        </w:rPr>
      </w:pPr>
    </w:p>
    <w:p w14:paraId="41665D4D" w14:textId="77777777" w:rsidR="003C6318" w:rsidRDefault="003C6318" w:rsidP="00C63485">
      <w:pPr>
        <w:spacing w:after="0"/>
        <w:rPr>
          <w:rFonts w:ascii="Century Gothic" w:eastAsia="Aptos" w:hAnsi="Century Gothic" w:cs="Times New Roman"/>
          <w:kern w:val="2"/>
          <w14:ligatures w14:val="standardContextual"/>
        </w:rPr>
      </w:pPr>
    </w:p>
    <w:p w14:paraId="62124A1A" w14:textId="77777777" w:rsidR="003C6318" w:rsidRDefault="003C6318" w:rsidP="00C63485">
      <w:pPr>
        <w:spacing w:after="0"/>
        <w:rPr>
          <w:rFonts w:ascii="Century Gothic" w:eastAsia="Aptos" w:hAnsi="Century Gothic" w:cs="Times New Roman"/>
          <w:kern w:val="2"/>
          <w14:ligatures w14:val="standardContextual"/>
        </w:rPr>
      </w:pPr>
    </w:p>
    <w:p w14:paraId="25EF4363" w14:textId="77777777" w:rsidR="003C6318" w:rsidRDefault="003C6318" w:rsidP="00C63485">
      <w:pPr>
        <w:spacing w:after="0"/>
        <w:rPr>
          <w:rFonts w:ascii="Century Gothic" w:eastAsia="Aptos" w:hAnsi="Century Gothic" w:cs="Times New Roman"/>
          <w:kern w:val="2"/>
          <w14:ligatures w14:val="standardContextual"/>
        </w:rPr>
      </w:pPr>
    </w:p>
    <w:p w14:paraId="79EBA57D" w14:textId="77777777" w:rsidR="003C6318" w:rsidRDefault="003C6318" w:rsidP="00C63485">
      <w:pPr>
        <w:spacing w:after="0"/>
        <w:rPr>
          <w:rFonts w:ascii="Century Gothic" w:eastAsia="Aptos" w:hAnsi="Century Gothic" w:cs="Times New Roman"/>
          <w:kern w:val="2"/>
          <w14:ligatures w14:val="standardContextual"/>
        </w:rPr>
      </w:pPr>
    </w:p>
    <w:p w14:paraId="780C62BF" w14:textId="77777777" w:rsidR="003C6318" w:rsidRDefault="003C6318" w:rsidP="00C63485">
      <w:pPr>
        <w:spacing w:after="0"/>
        <w:rPr>
          <w:rFonts w:ascii="Century Gothic" w:eastAsia="Aptos" w:hAnsi="Century Gothic" w:cs="Times New Roman"/>
          <w:kern w:val="2"/>
          <w14:ligatures w14:val="standardContextual"/>
        </w:rPr>
      </w:pPr>
    </w:p>
    <w:p w14:paraId="299ED6CF" w14:textId="77777777" w:rsidR="003C6318" w:rsidRDefault="003C6318" w:rsidP="00C63485">
      <w:pPr>
        <w:spacing w:after="0"/>
        <w:rPr>
          <w:rFonts w:ascii="Century Gothic" w:eastAsia="Aptos" w:hAnsi="Century Gothic" w:cs="Times New Roman"/>
          <w:kern w:val="2"/>
          <w14:ligatures w14:val="standardContextual"/>
        </w:rPr>
      </w:pPr>
    </w:p>
    <w:p w14:paraId="18567F9C" w14:textId="77777777" w:rsidR="003C6318" w:rsidRDefault="003C6318" w:rsidP="00C63485">
      <w:pPr>
        <w:spacing w:after="0"/>
        <w:rPr>
          <w:rFonts w:ascii="Century Gothic" w:eastAsia="Aptos" w:hAnsi="Century Gothic" w:cs="Times New Roman"/>
          <w:kern w:val="2"/>
          <w14:ligatures w14:val="standardContextual"/>
        </w:rPr>
      </w:pPr>
    </w:p>
    <w:p w14:paraId="0D14447C" w14:textId="77777777" w:rsidR="003C6318" w:rsidRDefault="003C6318" w:rsidP="00C63485">
      <w:pPr>
        <w:spacing w:after="0"/>
        <w:rPr>
          <w:rFonts w:ascii="Century Gothic" w:eastAsia="Aptos" w:hAnsi="Century Gothic" w:cs="Times New Roman"/>
          <w:kern w:val="2"/>
          <w14:ligatures w14:val="standardContextual"/>
        </w:rPr>
      </w:pPr>
    </w:p>
    <w:p w14:paraId="1392F81A" w14:textId="77777777" w:rsidR="003C6318" w:rsidRDefault="003C6318" w:rsidP="00C63485">
      <w:pPr>
        <w:spacing w:after="0"/>
        <w:rPr>
          <w:rFonts w:ascii="Century Gothic" w:eastAsia="Aptos" w:hAnsi="Century Gothic" w:cs="Times New Roman"/>
          <w:kern w:val="2"/>
          <w14:ligatures w14:val="standardContextual"/>
        </w:rPr>
      </w:pPr>
    </w:p>
    <w:p w14:paraId="4F4F7361" w14:textId="77777777" w:rsidR="003C6318" w:rsidRDefault="003C6318" w:rsidP="00C63485">
      <w:pPr>
        <w:spacing w:after="0"/>
        <w:rPr>
          <w:rFonts w:ascii="Century Gothic" w:eastAsia="Aptos" w:hAnsi="Century Gothic" w:cs="Times New Roman"/>
          <w:kern w:val="2"/>
          <w14:ligatures w14:val="standardContextual"/>
        </w:rPr>
      </w:pPr>
    </w:p>
    <w:p w14:paraId="3EFA3311" w14:textId="77777777" w:rsidR="003C6318" w:rsidRDefault="003C6318" w:rsidP="00C63485">
      <w:pPr>
        <w:spacing w:after="0"/>
        <w:rPr>
          <w:rFonts w:ascii="Century Gothic" w:eastAsia="Aptos" w:hAnsi="Century Gothic" w:cs="Times New Roman"/>
          <w:kern w:val="2"/>
          <w14:ligatures w14:val="standardContextual"/>
        </w:rPr>
      </w:pPr>
    </w:p>
    <w:p w14:paraId="706F5DC9" w14:textId="77777777" w:rsidR="003C6318" w:rsidRDefault="003C6318" w:rsidP="00C63485">
      <w:pPr>
        <w:spacing w:after="0"/>
        <w:rPr>
          <w:rFonts w:ascii="Century Gothic" w:eastAsia="Aptos" w:hAnsi="Century Gothic" w:cs="Times New Roman"/>
          <w:kern w:val="2"/>
          <w14:ligatures w14:val="standardContextual"/>
        </w:rPr>
      </w:pPr>
    </w:p>
    <w:p w14:paraId="71A3A4FE" w14:textId="1F85F0B0" w:rsidR="00C63485" w:rsidRDefault="00C63485" w:rsidP="00C63485">
      <w:pPr>
        <w:spacing w:after="0"/>
        <w:rPr>
          <w:rFonts w:ascii="Century Gothic" w:eastAsia="Aptos" w:hAnsi="Century Gothic" w:cs="Times New Roman"/>
          <w:kern w:val="2"/>
          <w14:ligatures w14:val="standardContextual"/>
        </w:rPr>
      </w:pPr>
      <w:r w:rsidRPr="000B5EEB">
        <w:rPr>
          <w:rFonts w:ascii="Century Gothic" w:eastAsia="Aptos" w:hAnsi="Century Gothic" w:cs="Times New Roman"/>
          <w:kern w:val="2"/>
          <w14:ligatures w14:val="standardContextual"/>
        </w:rPr>
        <w:lastRenderedPageBreak/>
        <w:t>Bogotá D.C., [Día] [</w:t>
      </w:r>
      <w:proofErr w:type="spellStart"/>
      <w:r w:rsidRPr="000B5EEB">
        <w:rPr>
          <w:rFonts w:ascii="Century Gothic" w:eastAsia="Aptos" w:hAnsi="Century Gothic" w:cs="Times New Roman"/>
          <w:kern w:val="2"/>
          <w14:ligatures w14:val="standardContextual"/>
        </w:rPr>
        <w:t>Mes.NombreCapitalizado</w:t>
      </w:r>
      <w:proofErr w:type="spellEnd"/>
      <w:r w:rsidRPr="000B5EEB">
        <w:rPr>
          <w:rFonts w:ascii="Century Gothic" w:eastAsia="Aptos" w:hAnsi="Century Gothic" w:cs="Times New Roman"/>
          <w:kern w:val="2"/>
          <w14:ligatures w14:val="standardContextual"/>
        </w:rPr>
        <w:t>] [Año]</w:t>
      </w:r>
    </w:p>
    <w:p w14:paraId="7FB08142" w14:textId="77777777" w:rsidR="001B50C7" w:rsidRDefault="001B50C7" w:rsidP="00C63485">
      <w:pPr>
        <w:spacing w:after="0"/>
        <w:rPr>
          <w:rFonts w:ascii="Century Gothic" w:eastAsia="Aptos" w:hAnsi="Century Gothic" w:cs="Times New Roman"/>
          <w:kern w:val="2"/>
          <w14:ligatures w14:val="standardContextual"/>
        </w:rPr>
      </w:pPr>
    </w:p>
    <w:p w14:paraId="252EF491" w14:textId="3976FB9C" w:rsidR="001B50C7" w:rsidRPr="000B5EEB" w:rsidRDefault="001B50C7" w:rsidP="001B50C7">
      <w:pPr>
        <w:spacing w:after="0"/>
        <w:jc w:val="right"/>
        <w:rPr>
          <w:rFonts w:ascii="Century Gothic" w:eastAsia="Aptos" w:hAnsi="Century Gothic" w:cs="Times New Roman"/>
          <w:kern w:val="2"/>
          <w:lang w:val="es-MX"/>
          <w14:ligatures w14:val="standardContextual"/>
        </w:rPr>
      </w:pPr>
      <w:r w:rsidRPr="001B50C7">
        <w:rPr>
          <w:rFonts w:ascii="Century Gothic" w:eastAsia="Aptos" w:hAnsi="Century Gothic" w:cs="Times New Roman"/>
          <w:kern w:val="2"/>
          <w:lang w:val="es-MX"/>
          <w14:ligatures w14:val="standardContextual"/>
        </w:rPr>
        <w:drawing>
          <wp:inline distT="0" distB="0" distL="0" distR="0" wp14:anchorId="249F50F0" wp14:editId="45696F97">
            <wp:extent cx="3781953" cy="1181265"/>
            <wp:effectExtent l="0" t="0" r="9525" b="0"/>
            <wp:docPr id="9372311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31130" name="Imagen 1" descr="Texto&#10;&#10;Descripción generada automáticamente"/>
                    <pic:cNvPicPr/>
                  </pic:nvPicPr>
                  <pic:blipFill>
                    <a:blip r:embed="rId7"/>
                    <a:stretch>
                      <a:fillRect/>
                    </a:stretch>
                  </pic:blipFill>
                  <pic:spPr>
                    <a:xfrm>
                      <a:off x="0" y="0"/>
                      <a:ext cx="3781953" cy="1181265"/>
                    </a:xfrm>
                    <a:prstGeom prst="rect">
                      <a:avLst/>
                    </a:prstGeom>
                  </pic:spPr>
                </pic:pic>
              </a:graphicData>
            </a:graphic>
          </wp:inline>
        </w:drawing>
      </w:r>
    </w:p>
    <w:p w14:paraId="2DFD93D8" w14:textId="77777777" w:rsidR="00C63485" w:rsidRPr="000B5EEB" w:rsidRDefault="00C63485" w:rsidP="00C63485">
      <w:pPr>
        <w:spacing w:after="0" w:line="276" w:lineRule="auto"/>
        <w:rPr>
          <w:rFonts w:ascii="Century Gothic" w:eastAsia="Calibri" w:hAnsi="Century Gothic" w:cs="Arial"/>
          <w:b/>
          <w:color w:val="000000"/>
          <w:sz w:val="16"/>
          <w:szCs w:val="16"/>
          <w:lang w:val="es-MX" w:eastAsia="es-ES"/>
        </w:rPr>
      </w:pPr>
    </w:p>
    <w:p w14:paraId="741D8AC6" w14:textId="77777777" w:rsidR="00C63485" w:rsidRPr="000B5EEB" w:rsidRDefault="00C63485" w:rsidP="00C63485">
      <w:pPr>
        <w:spacing w:after="0" w:line="276" w:lineRule="auto"/>
        <w:rPr>
          <w:rFonts w:ascii="Century Gothic" w:eastAsia="Calibri" w:hAnsi="Century Gothic" w:cs="Arial"/>
          <w:lang w:val="es-MX"/>
        </w:rPr>
      </w:pPr>
      <w:r w:rsidRPr="000B5EEB">
        <w:rPr>
          <w:rFonts w:ascii="Century Gothic" w:eastAsia="Calibri" w:hAnsi="Century Gothic" w:cs="Arial"/>
          <w:lang w:val="es-MX"/>
        </w:rPr>
        <w:t>Señor</w:t>
      </w:r>
    </w:p>
    <w:p w14:paraId="2C61CECF" w14:textId="77777777" w:rsidR="00C63485" w:rsidRPr="000B5EEB" w:rsidRDefault="00C63485" w:rsidP="00C63485">
      <w:pPr>
        <w:spacing w:after="0" w:line="276" w:lineRule="auto"/>
        <w:rPr>
          <w:rFonts w:ascii="Century Gothic" w:eastAsia="Calibri" w:hAnsi="Century Gothic" w:cs="Arial"/>
          <w:b/>
          <w:lang w:val="pt-BR"/>
        </w:rPr>
      </w:pPr>
      <w:r w:rsidRPr="000B5EEB">
        <w:rPr>
          <w:rFonts w:ascii="Century Gothic" w:eastAsia="Calibri" w:hAnsi="Century Gothic" w:cs="Arial"/>
          <w:b/>
          <w:lang w:val="pt-BR"/>
        </w:rPr>
        <w:t xml:space="preserve">Jhon Freddy </w:t>
      </w:r>
      <w:proofErr w:type="spellStart"/>
      <w:r w:rsidRPr="000B5EEB">
        <w:rPr>
          <w:rFonts w:ascii="Century Gothic" w:eastAsia="Calibri" w:hAnsi="Century Gothic" w:cs="Arial"/>
          <w:b/>
          <w:lang w:val="pt-BR"/>
        </w:rPr>
        <w:t>Niño</w:t>
      </w:r>
      <w:proofErr w:type="spellEnd"/>
      <w:r w:rsidRPr="000B5EEB">
        <w:rPr>
          <w:rFonts w:ascii="Century Gothic" w:eastAsia="Calibri" w:hAnsi="Century Gothic" w:cs="Arial"/>
          <w:b/>
          <w:lang w:val="pt-BR"/>
        </w:rPr>
        <w:t xml:space="preserve"> González </w:t>
      </w:r>
    </w:p>
    <w:p w14:paraId="3F479EDC" w14:textId="77777777" w:rsidR="00C63485" w:rsidRPr="000B5EEB" w:rsidRDefault="00C63485" w:rsidP="00C63485">
      <w:pPr>
        <w:spacing w:after="0" w:line="276" w:lineRule="auto"/>
        <w:rPr>
          <w:rFonts w:ascii="Century Gothic" w:eastAsia="Calibri" w:hAnsi="Century Gothic" w:cs="Arial"/>
          <w:lang w:val="pt-BR"/>
        </w:rPr>
      </w:pPr>
      <w:r w:rsidRPr="000B5EEB">
        <w:rPr>
          <w:rFonts w:ascii="Century Gothic" w:eastAsia="Calibri" w:hAnsi="Century Gothic" w:cs="Arial"/>
          <w:color w:val="000000"/>
          <w:lang w:val="pt-BR"/>
        </w:rPr>
        <w:t xml:space="preserve">Sabana de Torres, Santander </w:t>
      </w:r>
    </w:p>
    <w:p w14:paraId="39A63896" w14:textId="77777777" w:rsidR="00C63485" w:rsidRPr="000B5EEB" w:rsidRDefault="00C63485" w:rsidP="00C63485">
      <w:pPr>
        <w:spacing w:after="0" w:line="276" w:lineRule="auto"/>
        <w:rPr>
          <w:rFonts w:ascii="Century Gothic" w:eastAsia="Calibri" w:hAnsi="Century Gothic" w:cs="Arial"/>
          <w:lang w:val="pt-BR"/>
        </w:rPr>
      </w:pPr>
    </w:p>
    <w:p w14:paraId="38D5A417" w14:textId="77777777" w:rsidR="00C63485" w:rsidRPr="000B5EEB" w:rsidRDefault="00C63485" w:rsidP="00C63485">
      <w:pPr>
        <w:spacing w:after="0" w:line="276" w:lineRule="auto"/>
        <w:rPr>
          <w:rFonts w:ascii="Century Gothic" w:eastAsia="Calibri" w:hAnsi="Century Gothic" w:cs="Arial"/>
          <w:b/>
          <w:lang w:val="es-MX"/>
        </w:rPr>
      </w:pPr>
      <w:r w:rsidRPr="000B5EEB">
        <w:rPr>
          <w:rFonts w:ascii="Century Gothic" w:eastAsia="Calibri" w:hAnsi="Century Gothic" w:cs="Arial"/>
          <w:b/>
          <w:lang w:val="pt-BR"/>
        </w:rPr>
        <w:t xml:space="preserve">                                            </w:t>
      </w:r>
      <w:r w:rsidRPr="000B5EEB">
        <w:rPr>
          <w:rFonts w:ascii="Century Gothic" w:eastAsia="Calibri" w:hAnsi="Century Gothic" w:cs="Arial"/>
          <w:b/>
          <w:lang w:val="es-MX"/>
        </w:rPr>
        <w:t>Concepto C –067 de 2024</w:t>
      </w:r>
    </w:p>
    <w:p w14:paraId="7704D8C6" w14:textId="77777777" w:rsidR="00C63485" w:rsidRPr="000B5EEB" w:rsidRDefault="00C63485" w:rsidP="00C63485">
      <w:pPr>
        <w:spacing w:after="0" w:line="276" w:lineRule="auto"/>
        <w:rPr>
          <w:rFonts w:ascii="Century Gothic" w:eastAsia="Calibri" w:hAnsi="Century Gothic" w:cs="Arial"/>
          <w:b/>
          <w:color w:val="000000"/>
          <w:sz w:val="16"/>
          <w:szCs w:val="16"/>
          <w:lang w:val="es-MX" w:eastAsia="es-ES"/>
        </w:rPr>
      </w:pPr>
    </w:p>
    <w:p w14:paraId="0FFD1CA4" w14:textId="77777777" w:rsidR="00C63485" w:rsidRPr="000B5EEB" w:rsidRDefault="00C63485" w:rsidP="00C63485">
      <w:pPr>
        <w:spacing w:after="0" w:line="276" w:lineRule="auto"/>
        <w:rPr>
          <w:rFonts w:ascii="Century Gothic" w:eastAsia="Calibri" w:hAnsi="Century Gothic" w:cs="Arial"/>
          <w:b/>
          <w:color w:val="000000"/>
          <w:sz w:val="16"/>
          <w:szCs w:val="16"/>
          <w:lang w:val="es-MX" w:eastAsia="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63485" w:rsidRPr="000B5EEB" w14:paraId="017AC32D" w14:textId="77777777" w:rsidTr="00665B49">
        <w:tc>
          <w:tcPr>
            <w:tcW w:w="2689" w:type="dxa"/>
            <w:hideMark/>
          </w:tcPr>
          <w:p w14:paraId="7C408B07" w14:textId="77777777" w:rsidR="00C63485" w:rsidRPr="000B5EEB" w:rsidRDefault="00C63485" w:rsidP="00665B49">
            <w:pPr>
              <w:rPr>
                <w:rFonts w:ascii="Century Gothic" w:eastAsia="Calibri" w:hAnsi="Century Gothic" w:cs="Arial"/>
                <w:lang w:val="es-MX"/>
              </w:rPr>
            </w:pPr>
            <w:r w:rsidRPr="000B5EEB">
              <w:rPr>
                <w:rFonts w:ascii="Century Gothic" w:eastAsia="Calibri" w:hAnsi="Century Gothic" w:cs="Arial"/>
                <w:b/>
                <w:lang w:val="es-MX"/>
              </w:rPr>
              <w:t>Temas:</w:t>
            </w:r>
            <w:r w:rsidRPr="000B5EEB">
              <w:rPr>
                <w:rFonts w:ascii="Century Gothic" w:eastAsia="Calibri" w:hAnsi="Century Gothic" w:cs="Arial"/>
                <w:lang w:val="es-MX"/>
              </w:rPr>
              <w:t xml:space="preserve">           </w:t>
            </w:r>
          </w:p>
          <w:p w14:paraId="5322885F" w14:textId="77777777" w:rsidR="00C63485" w:rsidRPr="000B5EEB" w:rsidRDefault="00C63485" w:rsidP="00665B49">
            <w:pPr>
              <w:rPr>
                <w:rFonts w:ascii="Century Gothic" w:eastAsia="Calibri" w:hAnsi="Century Gothic" w:cs="Arial"/>
                <w:lang w:val="es-MX"/>
              </w:rPr>
            </w:pPr>
            <w:r w:rsidRPr="000B5EEB">
              <w:rPr>
                <w:rFonts w:ascii="Century Gothic" w:eastAsia="Calibri" w:hAnsi="Century Gothic" w:cs="Arial"/>
                <w:lang w:val="es-MX"/>
              </w:rPr>
              <w:t xml:space="preserve">                           </w:t>
            </w:r>
          </w:p>
        </w:tc>
        <w:tc>
          <w:tcPr>
            <w:tcW w:w="6237" w:type="dxa"/>
            <w:hideMark/>
          </w:tcPr>
          <w:p w14:paraId="6ED69607" w14:textId="77777777" w:rsidR="00C63485" w:rsidRPr="000B5EEB" w:rsidRDefault="00C63485" w:rsidP="00665B49">
            <w:pPr>
              <w:jc w:val="both"/>
              <w:rPr>
                <w:rFonts w:ascii="Century Gothic" w:eastAsia="Calibri" w:hAnsi="Century Gothic" w:cs="Arial"/>
                <w:b/>
                <w:bCs/>
                <w:color w:val="000000"/>
                <w:lang w:val="es-ES"/>
              </w:rPr>
            </w:pPr>
            <w:r w:rsidRPr="0A251CB2">
              <w:rPr>
                <w:rFonts w:ascii="Century Gothic" w:eastAsia="Calibri" w:hAnsi="Century Gothic" w:cs="Arial"/>
                <w:color w:val="000000" w:themeColor="text1"/>
                <w:lang w:val="es-ES"/>
              </w:rPr>
              <w:t xml:space="preserve">INHABILIDADES ― Límites a la capacidad / INHABILIDADES –Interpretación restrictiva ― Principio </w:t>
            </w:r>
            <w:r w:rsidRPr="0A251CB2">
              <w:rPr>
                <w:rFonts w:ascii="Century Gothic" w:eastAsia="Calibri" w:hAnsi="Century Gothic" w:cs="Arial"/>
                <w:i/>
                <w:iCs/>
                <w:color w:val="000000" w:themeColor="text1"/>
                <w:lang w:val="es-ES"/>
              </w:rPr>
              <w:t xml:space="preserve">pro </w:t>
            </w:r>
            <w:proofErr w:type="spellStart"/>
            <w:r w:rsidRPr="0A251CB2">
              <w:rPr>
                <w:rFonts w:ascii="Century Gothic" w:eastAsia="Calibri" w:hAnsi="Century Gothic" w:cs="Arial"/>
                <w:i/>
                <w:iCs/>
                <w:color w:val="000000" w:themeColor="text1"/>
                <w:lang w:val="es-ES"/>
              </w:rPr>
              <w:t>libertate</w:t>
            </w:r>
            <w:proofErr w:type="spellEnd"/>
            <w:r w:rsidRPr="0A251CB2">
              <w:rPr>
                <w:rFonts w:ascii="Century Gothic" w:eastAsia="Calibri" w:hAnsi="Century Gothic" w:cs="Arial"/>
                <w:color w:val="000000" w:themeColor="text1"/>
                <w:lang w:val="es-ES"/>
              </w:rPr>
              <w:t xml:space="preserve"> / CONTRATO DE PRESTACIÓN DE SERVICIOS – Concepto – Objeto / CONTRATO DE PRESTACIÓN DE SERVICIOS – Género – Servicios Profesionales –Apoyo a la gestión – Trabajos artísticos – Especie / EDUCACIÓN SUPERIOR – Formación Técnica Profesional – Formación Tecnológica – Formación Profesional / INHABILIDADES – Artículo 33 Ley 1778 de 2016 – Alcance –Excepción</w:t>
            </w:r>
            <w:r w:rsidRPr="0A251CB2">
              <w:rPr>
                <w:rFonts w:ascii="Century Gothic" w:eastAsia="Calibri" w:hAnsi="Century Gothic" w:cs="Arial"/>
                <w:b/>
                <w:bCs/>
                <w:color w:val="000000" w:themeColor="text1"/>
                <w:lang w:val="es-ES"/>
              </w:rPr>
              <w:t xml:space="preserve"> </w:t>
            </w:r>
          </w:p>
          <w:p w14:paraId="39466B80" w14:textId="77777777" w:rsidR="00C63485" w:rsidRPr="000B5EEB" w:rsidRDefault="00C63485" w:rsidP="00665B49">
            <w:pPr>
              <w:jc w:val="both"/>
              <w:rPr>
                <w:rFonts w:ascii="Century Gothic" w:eastAsia="Calibri" w:hAnsi="Century Gothic" w:cs="Arial"/>
                <w:b/>
                <w:color w:val="000000"/>
                <w:lang w:val="es-ES_tradnl"/>
              </w:rPr>
            </w:pPr>
          </w:p>
          <w:p w14:paraId="5D96E923" w14:textId="77777777" w:rsidR="00C63485" w:rsidRPr="000B5EEB" w:rsidRDefault="00C63485" w:rsidP="00665B49">
            <w:pPr>
              <w:spacing w:after="120"/>
              <w:jc w:val="both"/>
              <w:rPr>
                <w:rFonts w:ascii="Century Gothic" w:eastAsia="Calibri" w:hAnsi="Century Gothic" w:cs="Arial"/>
                <w:lang w:val="es-MX"/>
              </w:rPr>
            </w:pPr>
          </w:p>
        </w:tc>
      </w:tr>
      <w:tr w:rsidR="00C63485" w:rsidRPr="000B5EEB" w14:paraId="1D0F6A0C" w14:textId="77777777" w:rsidTr="00665B49">
        <w:tc>
          <w:tcPr>
            <w:tcW w:w="2689" w:type="dxa"/>
          </w:tcPr>
          <w:p w14:paraId="5D9E588F" w14:textId="77777777" w:rsidR="00C63485" w:rsidRPr="000B5EEB" w:rsidRDefault="00C63485" w:rsidP="00665B49">
            <w:pPr>
              <w:rPr>
                <w:rFonts w:ascii="Century Gothic" w:eastAsia="Calibri" w:hAnsi="Century Gothic" w:cs="Arial"/>
                <w:b/>
                <w:lang w:val="es-MX"/>
              </w:rPr>
            </w:pPr>
            <w:r w:rsidRPr="000B5EEB">
              <w:rPr>
                <w:rFonts w:ascii="Century Gothic" w:eastAsia="Calibri" w:hAnsi="Century Gothic" w:cs="Arial"/>
                <w:b/>
                <w:lang w:val="es-MX"/>
              </w:rPr>
              <w:t>Radicación:</w:t>
            </w:r>
            <w:r w:rsidRPr="000B5EEB">
              <w:rPr>
                <w:rFonts w:ascii="Century Gothic" w:eastAsia="Calibri" w:hAnsi="Century Gothic" w:cs="Arial"/>
                <w:lang w:val="es-MX"/>
              </w:rPr>
              <w:t xml:space="preserve">                              </w:t>
            </w:r>
          </w:p>
        </w:tc>
        <w:tc>
          <w:tcPr>
            <w:tcW w:w="6237" w:type="dxa"/>
          </w:tcPr>
          <w:p w14:paraId="1EB83D2B" w14:textId="77777777" w:rsidR="00C63485" w:rsidRPr="000B5EEB" w:rsidRDefault="00C63485" w:rsidP="00665B49">
            <w:pPr>
              <w:jc w:val="both"/>
              <w:rPr>
                <w:rFonts w:ascii="Century Gothic" w:eastAsia="Calibri" w:hAnsi="Century Gothic" w:cs="Arial"/>
                <w:lang w:val="es-MX"/>
              </w:rPr>
            </w:pPr>
            <w:r w:rsidRPr="000B5EEB">
              <w:rPr>
                <w:rFonts w:ascii="Century Gothic" w:eastAsia="Calibri" w:hAnsi="Century Gothic" w:cs="Arial"/>
                <w:lang w:val="es-MX"/>
              </w:rPr>
              <w:t>Respuesta a consulta P20240403003376</w:t>
            </w:r>
          </w:p>
        </w:tc>
      </w:tr>
    </w:tbl>
    <w:p w14:paraId="73641683" w14:textId="77777777" w:rsidR="00C63485" w:rsidRPr="000B5EEB" w:rsidRDefault="00C63485" w:rsidP="00C63485">
      <w:pPr>
        <w:spacing w:after="0" w:line="276" w:lineRule="auto"/>
        <w:rPr>
          <w:rFonts w:ascii="Century Gothic" w:eastAsia="Calibri" w:hAnsi="Century Gothic" w:cs="Arial"/>
          <w:b/>
          <w:color w:val="000000"/>
          <w:sz w:val="16"/>
          <w:szCs w:val="16"/>
          <w:lang w:val="es-MX" w:eastAsia="es-ES"/>
        </w:rPr>
      </w:pPr>
    </w:p>
    <w:p w14:paraId="61C09CB8" w14:textId="77777777" w:rsidR="00C63485" w:rsidRPr="000B5EEB" w:rsidRDefault="00C63485" w:rsidP="00C63485">
      <w:pPr>
        <w:spacing w:after="0" w:line="276" w:lineRule="auto"/>
        <w:rPr>
          <w:rFonts w:ascii="Century Gothic" w:eastAsia="Calibri" w:hAnsi="Century Gothic" w:cs="Arial"/>
          <w:lang w:val="es-MX"/>
        </w:rPr>
      </w:pPr>
      <w:bookmarkStart w:id="3" w:name="_Hlk75190162"/>
      <w:r w:rsidRPr="000B5EEB">
        <w:rPr>
          <w:rFonts w:ascii="Century Gothic" w:eastAsia="Calibri" w:hAnsi="Century Gothic" w:cs="Arial"/>
          <w:lang w:val="es-MX"/>
        </w:rPr>
        <w:t xml:space="preserve">Estimado señor </w:t>
      </w:r>
      <w:proofErr w:type="spellStart"/>
      <w:r w:rsidRPr="000B5EEB">
        <w:rPr>
          <w:rFonts w:ascii="Century Gothic" w:eastAsia="Calibri" w:hAnsi="Century Gothic" w:cs="Arial"/>
          <w:bCs/>
          <w:lang w:val="pt-BR"/>
        </w:rPr>
        <w:t>Niño</w:t>
      </w:r>
      <w:proofErr w:type="spellEnd"/>
      <w:r w:rsidRPr="000B5EEB">
        <w:rPr>
          <w:rFonts w:ascii="Century Gothic" w:eastAsia="Calibri" w:hAnsi="Century Gothic" w:cs="Arial"/>
          <w:bCs/>
          <w:lang w:val="pt-BR"/>
        </w:rPr>
        <w:t xml:space="preserve"> González</w:t>
      </w:r>
      <w:r w:rsidRPr="000B5EEB">
        <w:rPr>
          <w:rFonts w:ascii="Century Gothic" w:eastAsia="Calibri" w:hAnsi="Century Gothic" w:cs="Arial"/>
          <w:bCs/>
          <w:lang w:val="es-MX"/>
        </w:rPr>
        <w:t>:</w:t>
      </w:r>
    </w:p>
    <w:p w14:paraId="354925DF" w14:textId="77777777" w:rsidR="00C63485" w:rsidRPr="000B5EEB" w:rsidRDefault="00C63485" w:rsidP="00C63485">
      <w:pPr>
        <w:spacing w:after="0" w:line="276" w:lineRule="auto"/>
        <w:ind w:right="49"/>
        <w:jc w:val="both"/>
        <w:rPr>
          <w:rFonts w:ascii="Century Gothic" w:eastAsia="Calibri" w:hAnsi="Century Gothic" w:cs="Arial"/>
          <w:lang w:val="es-MX"/>
        </w:rPr>
      </w:pPr>
    </w:p>
    <w:p w14:paraId="523EAC7C" w14:textId="77777777" w:rsidR="00C63485" w:rsidRPr="000B5EEB" w:rsidRDefault="00C63485" w:rsidP="00C63485">
      <w:pPr>
        <w:spacing w:after="0" w:line="276" w:lineRule="auto"/>
        <w:jc w:val="both"/>
        <w:rPr>
          <w:rFonts w:ascii="Century Gothic" w:eastAsia="Calibri" w:hAnsi="Century Gothic" w:cs="Arial"/>
          <w:lang w:val="es-MX"/>
        </w:rPr>
      </w:pPr>
      <w:r w:rsidRPr="000B5EEB">
        <w:rPr>
          <w:rFonts w:ascii="Century Gothic" w:eastAsia="Calibri" w:hAnsi="Century Gothic" w:cs="Arial"/>
          <w:lang w:val="es-MX"/>
        </w:rPr>
        <w:t xml:space="preserve">En ejercicio de la competencia otorgada por los artículos 11, numeral 8º, y 3º, numeral 5º, del Decreto Ley 4170 de 2011, la Agencia Nacional de Contratación Pública − Colombia Compra Eficiente responde su consulta del 2 de abril  de 2024. La solicitud, fue remitida a esta Agencia por el Departamento Administrativo de la Función Pública – DAFP mediante radicado No. 20242040187391 del 1 de abril de 2024. </w:t>
      </w:r>
    </w:p>
    <w:p w14:paraId="496BEE08" w14:textId="77777777" w:rsidR="00C63485" w:rsidRPr="000B5EEB" w:rsidRDefault="00C63485" w:rsidP="00C63485">
      <w:pPr>
        <w:spacing w:after="0" w:line="276" w:lineRule="auto"/>
        <w:jc w:val="both"/>
        <w:rPr>
          <w:rFonts w:ascii="Century Gothic" w:eastAsia="Calibri" w:hAnsi="Century Gothic" w:cs="Arial"/>
          <w:lang w:val="es-MX"/>
        </w:rPr>
      </w:pPr>
    </w:p>
    <w:p w14:paraId="4C9792B4" w14:textId="77777777" w:rsidR="00C63485" w:rsidRPr="000B5EEB" w:rsidRDefault="00C63485" w:rsidP="00C63485">
      <w:pPr>
        <w:numPr>
          <w:ilvl w:val="0"/>
          <w:numId w:val="1"/>
        </w:numPr>
        <w:tabs>
          <w:tab w:val="left" w:pos="284"/>
        </w:tabs>
        <w:spacing w:after="0" w:line="276" w:lineRule="auto"/>
        <w:contextualSpacing/>
        <w:jc w:val="both"/>
        <w:rPr>
          <w:rFonts w:ascii="Century Gothic" w:eastAsia="Calibri" w:hAnsi="Century Gothic" w:cs="Arial"/>
          <w:b/>
          <w:lang w:val="es-MX"/>
        </w:rPr>
      </w:pPr>
      <w:r w:rsidRPr="000B5EEB">
        <w:rPr>
          <w:rFonts w:ascii="Century Gothic" w:eastAsia="Calibri" w:hAnsi="Century Gothic" w:cs="Arial"/>
          <w:b/>
          <w:lang w:val="es-MX"/>
        </w:rPr>
        <w:t xml:space="preserve">Problemas planteados </w:t>
      </w:r>
    </w:p>
    <w:bookmarkEnd w:id="3"/>
    <w:p w14:paraId="6DE3EF82" w14:textId="77777777" w:rsidR="00C63485" w:rsidRPr="000B5EEB" w:rsidRDefault="00C63485" w:rsidP="00C63485">
      <w:pPr>
        <w:autoSpaceDE w:val="0"/>
        <w:autoSpaceDN w:val="0"/>
        <w:adjustRightInd w:val="0"/>
        <w:spacing w:after="0" w:line="240" w:lineRule="auto"/>
        <w:rPr>
          <w:rFonts w:ascii="Century Gothic" w:eastAsia="Aptos" w:hAnsi="Century Gothic" w:cs="Times New Roman"/>
          <w:color w:val="000000"/>
          <w:sz w:val="24"/>
          <w:szCs w:val="24"/>
          <w14:ligatures w14:val="standardContextual"/>
        </w:rPr>
      </w:pPr>
    </w:p>
    <w:p w14:paraId="5C68528C" w14:textId="77777777" w:rsidR="00C63485" w:rsidRPr="000B5EEB" w:rsidRDefault="00C63485" w:rsidP="00C63485">
      <w:pPr>
        <w:tabs>
          <w:tab w:val="left" w:pos="426"/>
        </w:tabs>
        <w:spacing w:after="0" w:line="276" w:lineRule="auto"/>
        <w:jc w:val="both"/>
        <w:rPr>
          <w:rFonts w:ascii="Century Gothic" w:eastAsia="Aptos" w:hAnsi="Century Gothic" w:cs="Times New Roman"/>
          <w:kern w:val="2"/>
          <w14:ligatures w14:val="standardContextual"/>
        </w:rPr>
      </w:pPr>
      <w:r w:rsidRPr="000B5EEB">
        <w:rPr>
          <w:rFonts w:ascii="Century Gothic" w:eastAsia="Calibri" w:hAnsi="Century Gothic" w:cs="Arial"/>
          <w:color w:val="000000"/>
          <w:kern w:val="2"/>
          <w:lang w:eastAsia="es-MX"/>
          <w14:ligatures w14:val="standardContextual"/>
        </w:rPr>
        <w:t>Respecto de la inhabilidad del artículo 33 de la Ley 1778 de 2016, usted realiza la siguiente pregunta:</w:t>
      </w:r>
    </w:p>
    <w:p w14:paraId="2933BCAC" w14:textId="77777777" w:rsidR="00C63485" w:rsidRPr="000B5EEB" w:rsidRDefault="00C63485" w:rsidP="00C63485">
      <w:pPr>
        <w:tabs>
          <w:tab w:val="left" w:pos="426"/>
        </w:tabs>
        <w:spacing w:after="0" w:line="276" w:lineRule="auto"/>
        <w:jc w:val="both"/>
        <w:rPr>
          <w:rFonts w:ascii="Century Gothic" w:eastAsia="Aptos" w:hAnsi="Century Gothic" w:cs="Times New Roman"/>
          <w:kern w:val="2"/>
          <w14:ligatures w14:val="standardContextual"/>
        </w:rPr>
      </w:pPr>
    </w:p>
    <w:p w14:paraId="40D9D6F8" w14:textId="77777777" w:rsidR="00C63485" w:rsidRPr="000B5EEB" w:rsidRDefault="00C63485" w:rsidP="00C63485">
      <w:pPr>
        <w:autoSpaceDE w:val="0"/>
        <w:autoSpaceDN w:val="0"/>
        <w:adjustRightInd w:val="0"/>
        <w:spacing w:after="0" w:line="240" w:lineRule="auto"/>
        <w:ind w:left="709" w:right="709"/>
        <w:jc w:val="both"/>
        <w:rPr>
          <w:rFonts w:ascii="Century Gothic" w:eastAsia="Aptos" w:hAnsi="Century Gothic" w:cs="Times New Roman"/>
          <w:kern w:val="2"/>
          <w:sz w:val="21"/>
          <w:szCs w:val="21"/>
          <w14:ligatures w14:val="standardContextual"/>
        </w:rPr>
      </w:pPr>
      <w:r w:rsidRPr="000B5EEB">
        <w:rPr>
          <w:rFonts w:ascii="Century Gothic" w:eastAsia="Aptos" w:hAnsi="Century Gothic" w:cs="Arial"/>
          <w:sz w:val="21"/>
          <w:szCs w:val="21"/>
          <w14:ligatures w14:val="standardContextual"/>
        </w:rPr>
        <w:t xml:space="preserve">“(…) una persona que es Bachiller, técnico o tecnológico puede celebrar contratos de prestación de servicios con entidad </w:t>
      </w:r>
      <w:proofErr w:type="spellStart"/>
      <w:r w:rsidRPr="000B5EEB">
        <w:rPr>
          <w:rFonts w:ascii="Century Gothic" w:eastAsia="Aptos" w:hAnsi="Century Gothic" w:cs="Arial"/>
          <w:sz w:val="21"/>
          <w:szCs w:val="21"/>
          <w14:ligatures w14:val="standardContextual"/>
        </w:rPr>
        <w:t>publica</w:t>
      </w:r>
      <w:proofErr w:type="spellEnd"/>
      <w:r w:rsidRPr="000B5EEB">
        <w:rPr>
          <w:rFonts w:ascii="Century Gothic" w:eastAsia="Aptos" w:hAnsi="Century Gothic" w:cs="Arial"/>
          <w:sz w:val="21"/>
          <w:szCs w:val="21"/>
          <w14:ligatures w14:val="standardContextual"/>
        </w:rPr>
        <w:t xml:space="preserve"> (sic) habiendo </w:t>
      </w:r>
      <w:r w:rsidRPr="000B5EEB">
        <w:rPr>
          <w:rFonts w:ascii="Century Gothic" w:eastAsia="Aptos" w:hAnsi="Century Gothic" w:cs="Arial"/>
          <w:sz w:val="21"/>
          <w:szCs w:val="21"/>
          <w14:ligatures w14:val="standardContextual"/>
        </w:rPr>
        <w:lastRenderedPageBreak/>
        <w:t xml:space="preserve">realizado aportes de </w:t>
      </w:r>
      <w:proofErr w:type="spellStart"/>
      <w:r w:rsidRPr="000B5EEB">
        <w:rPr>
          <w:rFonts w:ascii="Century Gothic" w:eastAsia="Aptos" w:hAnsi="Century Gothic" w:cs="Arial"/>
          <w:sz w:val="21"/>
          <w:szCs w:val="21"/>
          <w14:ligatures w14:val="standardContextual"/>
        </w:rPr>
        <w:t>mas</w:t>
      </w:r>
      <w:proofErr w:type="spellEnd"/>
      <w:r w:rsidRPr="000B5EEB">
        <w:rPr>
          <w:rFonts w:ascii="Century Gothic" w:eastAsia="Aptos" w:hAnsi="Century Gothic" w:cs="Arial"/>
          <w:sz w:val="21"/>
          <w:szCs w:val="21"/>
          <w14:ligatures w14:val="standardContextual"/>
        </w:rPr>
        <w:t xml:space="preserve"> del 2% de lo permitido por el candidato a invertir en la campaña política para la alcaldía municipal”.</w:t>
      </w:r>
    </w:p>
    <w:p w14:paraId="0018C2B0" w14:textId="77777777" w:rsidR="00C63485" w:rsidRPr="000B5EEB" w:rsidRDefault="00C63485" w:rsidP="00C63485">
      <w:pPr>
        <w:tabs>
          <w:tab w:val="left" w:pos="426"/>
        </w:tabs>
        <w:spacing w:after="0" w:line="276" w:lineRule="auto"/>
        <w:ind w:left="284"/>
        <w:jc w:val="both"/>
        <w:rPr>
          <w:rFonts w:ascii="Century Gothic" w:eastAsia="Calibri" w:hAnsi="Century Gothic" w:cs="Arial"/>
          <w:b/>
          <w:lang w:val="es-MX"/>
        </w:rPr>
      </w:pPr>
    </w:p>
    <w:p w14:paraId="50F17E34" w14:textId="77777777" w:rsidR="00C63485" w:rsidRPr="000B5EEB" w:rsidRDefault="00C63485" w:rsidP="00C63485">
      <w:pPr>
        <w:numPr>
          <w:ilvl w:val="0"/>
          <w:numId w:val="1"/>
        </w:numPr>
        <w:tabs>
          <w:tab w:val="left" w:pos="426"/>
        </w:tabs>
        <w:spacing w:after="0" w:line="276" w:lineRule="auto"/>
        <w:ind w:left="284" w:hanging="284"/>
        <w:jc w:val="both"/>
        <w:rPr>
          <w:rFonts w:ascii="Century Gothic" w:eastAsia="Calibri" w:hAnsi="Century Gothic" w:cs="Arial"/>
          <w:b/>
          <w:lang w:val="es-MX"/>
        </w:rPr>
      </w:pPr>
      <w:r w:rsidRPr="000B5EEB">
        <w:rPr>
          <w:rFonts w:ascii="Century Gothic" w:eastAsia="Calibri" w:hAnsi="Century Gothic" w:cs="Arial"/>
          <w:b/>
          <w:lang w:val="es-MX"/>
        </w:rPr>
        <w:t>Consideraciones</w:t>
      </w:r>
    </w:p>
    <w:p w14:paraId="5B83676F" w14:textId="77777777" w:rsidR="00C63485" w:rsidRPr="000B5EEB" w:rsidRDefault="00C63485" w:rsidP="00C63485">
      <w:pPr>
        <w:tabs>
          <w:tab w:val="left" w:pos="426"/>
        </w:tabs>
        <w:spacing w:after="0" w:line="276" w:lineRule="auto"/>
        <w:jc w:val="both"/>
        <w:rPr>
          <w:rFonts w:ascii="Century Gothic" w:eastAsia="Calibri" w:hAnsi="Century Gothic" w:cs="Arial"/>
          <w:b/>
          <w:lang w:val="es-MX"/>
        </w:rPr>
      </w:pPr>
    </w:p>
    <w:p w14:paraId="5B23ECEE" w14:textId="77777777" w:rsidR="00C63485" w:rsidRPr="000B5EEB" w:rsidRDefault="00C63485" w:rsidP="00C63485">
      <w:pPr>
        <w:spacing w:after="120" w:line="276" w:lineRule="auto"/>
        <w:jc w:val="both"/>
        <w:rPr>
          <w:rFonts w:ascii="Century Gothic" w:eastAsia="Calibri" w:hAnsi="Century Gothic" w:cs="Arial"/>
          <w:lang w:val="es-ES"/>
        </w:rPr>
      </w:pPr>
      <w:bookmarkStart w:id="4" w:name="_Hlk135067441"/>
      <w:r w:rsidRPr="000B5EEB">
        <w:rPr>
          <w:rFonts w:ascii="Century Gothic" w:eastAsia="Calibri" w:hAnsi="Century Gothic" w:cs="Arial"/>
          <w:bCs/>
        </w:rPr>
        <w:t xml:space="preserve">En ejercicio de las competencias de los artículos 3.5 y 11.8 del Decreto Ley 4170 de 2011, la Agencia Nacional de Contratación Pública – Colombia Compra Eficiente resuelve consultas sobre </w:t>
      </w:r>
      <w:r w:rsidRPr="000B5EEB">
        <w:rPr>
          <w:rFonts w:ascii="Century Gothic" w:eastAsia="Calibri" w:hAnsi="Century Gothic"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0B5EEB">
        <w:rPr>
          <w:rFonts w:ascii="Century Gothic" w:eastAsia="Calibri" w:hAnsi="Century Gothic" w:cs="Arial"/>
          <w:bCs/>
        </w:rPr>
        <w:t xml:space="preserve"> de todos los partícipes de la contratación estatal.</w:t>
      </w:r>
    </w:p>
    <w:p w14:paraId="0C455DFA" w14:textId="77777777" w:rsidR="00C63485" w:rsidRPr="000B5EEB" w:rsidRDefault="00C63485" w:rsidP="00C63485">
      <w:pPr>
        <w:spacing w:after="120" w:line="276" w:lineRule="auto"/>
        <w:ind w:firstLine="708"/>
        <w:jc w:val="both"/>
        <w:rPr>
          <w:rFonts w:ascii="Century Gothic" w:eastAsia="Calibri" w:hAnsi="Century Gothic" w:cs="Arial"/>
          <w:lang w:val="es-ES"/>
        </w:rPr>
      </w:pPr>
      <w:r w:rsidRPr="000B5EEB">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B5EEB">
        <w:rPr>
          <w:rFonts w:ascii="Century Gothic" w:eastAsia="Calibri" w:hAnsi="Century Gothic" w:cs="Arial"/>
          <w:vertAlign w:val="superscript"/>
          <w:lang w:val="es-ES"/>
        </w:rPr>
        <w:footnoteReference w:id="1"/>
      </w:r>
      <w:r w:rsidRPr="000B5EEB">
        <w:rPr>
          <w:rFonts w:ascii="Century Gothic" w:eastAsia="Calibri" w:hAnsi="Century Gothic" w:cs="Arial"/>
          <w:lang w:val="es-ES"/>
        </w:rPr>
        <w:t>. Esta competencia de interpretación de normas generales, por definición, no puede extenderse a la resolución de controversias, enjuiciar la validez de la actuación de las entidades públicas o de los particulares ni, mucho menos, calificar conductas con presunta incidencia penal, fiscal o disciplinaria, especialmente, cuando existen órganos especializados para estas materias.</w:t>
      </w:r>
    </w:p>
    <w:bookmarkEnd w:id="4"/>
    <w:p w14:paraId="5C32E86E" w14:textId="77777777" w:rsidR="00C63485" w:rsidRPr="000B5EEB" w:rsidRDefault="00C63485" w:rsidP="00C63485">
      <w:pPr>
        <w:spacing w:before="120" w:line="276" w:lineRule="auto"/>
        <w:ind w:firstLine="708"/>
        <w:jc w:val="both"/>
        <w:rPr>
          <w:rFonts w:ascii="Century Gothic" w:eastAsia="Aptos" w:hAnsi="Century Gothic" w:cs="Arial"/>
          <w:kern w:val="2"/>
          <w:lang w:val="es-ES"/>
          <w14:ligatures w14:val="standardContextual"/>
        </w:rPr>
      </w:pPr>
      <w:r w:rsidRPr="000B5EEB">
        <w:rPr>
          <w:rFonts w:ascii="Century Gothic" w:eastAsia="Aptos" w:hAnsi="Century Gothic" w:cs="Arial"/>
          <w:kern w:val="2"/>
          <w:lang w:val="es-ES"/>
          <w14:ligatures w14:val="standardContextual"/>
        </w:rPr>
        <w:t xml:space="preserve">Sin perjuicio de lo anterior, la Subdirección –dentro de los límites de sus atribuciones, esto es, </w:t>
      </w:r>
      <w:bookmarkStart w:id="5" w:name="_Hlk61025408"/>
      <w:r w:rsidRPr="000B5EEB">
        <w:rPr>
          <w:rFonts w:ascii="Century Gothic" w:eastAsia="Aptos" w:hAnsi="Century Gothic" w:cs="Arial"/>
          <w:kern w:val="2"/>
          <w:lang w:val="es-ES"/>
          <w14:ligatures w14:val="standardContextual"/>
        </w:rPr>
        <w:t>haciendo abstracción del caso particular expuesto por el peticionario</w:t>
      </w:r>
      <w:bookmarkEnd w:id="5"/>
      <w:r w:rsidRPr="000B5EEB">
        <w:rPr>
          <w:rFonts w:ascii="Century Gothic" w:eastAsia="Aptos" w:hAnsi="Century Gothic" w:cs="Arial"/>
          <w:kern w:val="2"/>
          <w:lang w:val="es-ES"/>
          <w14:ligatures w14:val="standardContextual"/>
        </w:rPr>
        <w:t xml:space="preserve">– resolverá la consulta conforme a las normas generales en materia de contratación estatal. </w:t>
      </w:r>
      <w:r w:rsidRPr="000B5EEB">
        <w:rPr>
          <w:rFonts w:ascii="Century Gothic" w:eastAsia="Calibri" w:hAnsi="Century Gothic" w:cs="Arial"/>
          <w:color w:val="000000"/>
          <w:kern w:val="2"/>
          <w:lang w:val="es-ES"/>
          <w14:ligatures w14:val="standardContextual"/>
        </w:rPr>
        <w:t>Con este objetivo, p</w:t>
      </w:r>
      <w:r w:rsidRPr="000B5EEB">
        <w:rPr>
          <w:rFonts w:ascii="Century Gothic" w:eastAsia="Aptos" w:hAnsi="Century Gothic" w:cs="Arial"/>
          <w:kern w:val="2"/>
          <w14:ligatures w14:val="standardContextual"/>
        </w:rPr>
        <w:t xml:space="preserve">ara responder la consulta relacionada con el artículo 33 de la Ley 1778 de 2016 </w:t>
      </w:r>
      <w:r w:rsidRPr="000B5EEB">
        <w:rPr>
          <w:rFonts w:ascii="Century Gothic" w:eastAsia="Calibri" w:hAnsi="Century Gothic" w:cs="Arial"/>
          <w:color w:val="000000"/>
          <w:kern w:val="2"/>
          <w:lang w:val="es-ES"/>
          <w14:ligatures w14:val="standardContextual"/>
        </w:rPr>
        <w:t xml:space="preserve">se analizarán los siguientes temas: </w:t>
      </w:r>
      <w:r w:rsidRPr="000B5EEB">
        <w:rPr>
          <w:rFonts w:ascii="Century Gothic" w:eastAsia="Aptos" w:hAnsi="Century Gothic" w:cs="Arial"/>
          <w:color w:val="000000"/>
          <w:kern w:val="2"/>
          <w:lang w:val="es-ES_tradnl"/>
          <w14:ligatures w14:val="standardContextual"/>
        </w:rPr>
        <w:t>i)</w:t>
      </w:r>
      <w:r w:rsidRPr="000B5EEB">
        <w:rPr>
          <w:rFonts w:ascii="Century Gothic" w:eastAsia="Calibri" w:hAnsi="Century Gothic" w:cs="Arial"/>
          <w:color w:val="000000"/>
          <w:kern w:val="2"/>
          <w:lang w:val="es-ES_tradnl"/>
          <w14:ligatures w14:val="standardContextual"/>
        </w:rPr>
        <w:t xml:space="preserve"> el límite a la capacidad para participar en procedimientos de selección y para celebrar contratos estatales</w:t>
      </w:r>
      <w:r w:rsidRPr="000B5EEB">
        <w:rPr>
          <w:rFonts w:ascii="Century Gothic" w:eastAsia="Aptos" w:hAnsi="Century Gothic" w:cs="Arial"/>
          <w:kern w:val="2"/>
          <w14:ligatures w14:val="standardContextual"/>
        </w:rPr>
        <w:t xml:space="preserve"> y la interpretación restrictiva como criterio hermenéutico de los enunciados normativos gravosos, </w:t>
      </w:r>
      <w:r w:rsidRPr="000B5EEB">
        <w:rPr>
          <w:rFonts w:ascii="Century Gothic" w:eastAsia="Aptos" w:hAnsi="Century Gothic" w:cs="Arial"/>
          <w:color w:val="000000"/>
          <w:kern w:val="2"/>
          <w:lang w:val="es-ES_tradnl"/>
          <w14:ligatures w14:val="standardContextual"/>
        </w:rPr>
        <w:t>ii) los contratos de</w:t>
      </w:r>
      <w:r w:rsidRPr="000B5EEB">
        <w:rPr>
          <w:rFonts w:ascii="Century Gothic" w:eastAsia="Aptos" w:hAnsi="Century Gothic" w:cs="Arial"/>
          <w:color w:val="000000"/>
          <w:kern w:val="2"/>
          <w:lang w:val="es-ES"/>
          <w14:ligatures w14:val="standardContextual"/>
        </w:rPr>
        <w:t xml:space="preserve"> prestación de servicios profesionales, de apoyo a la gestión y de servicios artísticos como especies del contrato de prestación de servicios y </w:t>
      </w:r>
      <w:proofErr w:type="spellStart"/>
      <w:r w:rsidRPr="000B5EEB">
        <w:rPr>
          <w:rFonts w:ascii="Century Gothic" w:eastAsia="Aptos" w:hAnsi="Century Gothic" w:cs="Arial"/>
          <w:color w:val="000000"/>
          <w:kern w:val="2"/>
          <w:lang w:val="es-ES"/>
          <w14:ligatures w14:val="standardContextual"/>
        </w:rPr>
        <w:t>iii</w:t>
      </w:r>
      <w:proofErr w:type="spellEnd"/>
      <w:r w:rsidRPr="000B5EEB">
        <w:rPr>
          <w:rFonts w:ascii="Century Gothic" w:eastAsia="Aptos" w:hAnsi="Century Gothic" w:cs="Arial"/>
          <w:color w:val="000000"/>
          <w:kern w:val="2"/>
          <w:lang w:val="es-ES"/>
          <w14:ligatures w14:val="standardContextual"/>
        </w:rPr>
        <w:t>) el alcance</w:t>
      </w:r>
      <w:r w:rsidRPr="000B5EEB">
        <w:rPr>
          <w:rFonts w:ascii="Century Gothic" w:eastAsia="Aptos" w:hAnsi="Century Gothic" w:cs="Arial"/>
          <w:bCs/>
          <w:color w:val="000000"/>
          <w:kern w:val="2"/>
          <w14:ligatures w14:val="standardContextual"/>
        </w:rPr>
        <w:t xml:space="preserve"> de la inhabilidad establecida en  el artículo 33 de la Ley 1778 de 2016 y su excepción en los contratos de prestación de servicios profesionales. </w:t>
      </w:r>
    </w:p>
    <w:p w14:paraId="280BAF09" w14:textId="77777777" w:rsidR="00C63485" w:rsidRPr="000B5EEB" w:rsidRDefault="00C63485" w:rsidP="00C63485">
      <w:pPr>
        <w:spacing w:after="120" w:line="276" w:lineRule="auto"/>
        <w:ind w:firstLine="709"/>
        <w:jc w:val="both"/>
        <w:rPr>
          <w:rFonts w:ascii="Century Gothic" w:eastAsia="Aptos" w:hAnsi="Century Gothic" w:cs="Arial"/>
          <w:kern w:val="2"/>
          <w14:ligatures w14:val="standardContextual"/>
        </w:rPr>
      </w:pPr>
      <w:r w:rsidRPr="000B5EEB">
        <w:rPr>
          <w:rFonts w:ascii="Century Gothic" w:eastAsia="Calibri" w:hAnsi="Century Gothic" w:cs="Arial"/>
          <w:lang w:val="es-MX"/>
        </w:rPr>
        <w:t xml:space="preserve">La Agencia Nacional de Contratación Pública – Colombia Compra Eficiente, en el ejercicio de su competencia consultiva, ha estudiado la naturaleza jurídica del régimen de inhabilidades e incompatibilidades para contratar con el Estado, señalando que constituyen un límite a la capacidad contractual; además de ello, </w:t>
      </w:r>
      <w:r w:rsidRPr="000B5EEB">
        <w:rPr>
          <w:rFonts w:ascii="Century Gothic" w:eastAsia="Calibri" w:hAnsi="Century Gothic" w:cs="Arial"/>
          <w:lang w:val="es-MX"/>
        </w:rPr>
        <w:lastRenderedPageBreak/>
        <w:t xml:space="preserve">ha profundizado en la forma de interpretación de estas restricciones. Dicho estudio se puede apreciar en los conceptos con radicados 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C−402 del 26 de junio de 2020, C−365 del 30 de junio de 2020, C−386 del 24 de julio de 2020, C-585 del 14 de septiembre de 2020, C–592 del 14 de septiembre de 2020, C−551 de 24 de septiembre de 2020, C−709 del 7 de diciembre de 2020, C–721 de 14 de diciembre de 2020, C–004 del 12 de febrero de 2021, C–815 del 18 de febrero de 2021, C–047 del 8 de marzo de 2021, C–113 del 30 de marzo de 2021, C–122 del 30 de marzo de 2021, C–178 del 28 de abril de 2021, C−190 del 30 de abril de 2021, C−210 del 12 de mayo de 2021, C−275 del 11 de junio de 2021, C−293 del 28 de junio de 2021, C−321 del 2 de julio de 2021, C−410 del 7 de julio de 2021, C−491 del 14 de septiembre de 2021, C−522 del 1 de octubre de 2021, C−128 del 25 de marzo de 2022, C−252 del 3 de mayo de 2022, C−376 del 14 de junio de 2022, C−413 del 24 de junio de 2022, C−691 del 20 de octubre de 2022, C−731 del 10 de noviembre de 2022, C−928 del 26 de enero de 2023, C−126 del 24 de abril de 2023, C−175 del 4 de mayo de 2023, C−234 del 5 de julio de 2023 y C−010 del 31 de enero de 2024, entre otros. Asimismo, en el concepto C−491 del 14 de septiembre de 2024, esta Agencia analizó la restricción contenida </w:t>
      </w:r>
      <w:r w:rsidRPr="000B5EEB">
        <w:rPr>
          <w:rFonts w:ascii="Century Gothic" w:eastAsia="Aptos" w:hAnsi="Century Gothic" w:cs="Arial"/>
          <w:kern w:val="2"/>
          <w14:ligatures w14:val="standardContextual"/>
        </w:rPr>
        <w:t xml:space="preserve">en el literal k) del numeral 1 del artículo 8 de la Ley 80 de 1993. </w:t>
      </w:r>
    </w:p>
    <w:p w14:paraId="6346B566" w14:textId="77777777" w:rsidR="00C63485" w:rsidRPr="000B5EEB" w:rsidRDefault="00C63485" w:rsidP="00C63485">
      <w:pPr>
        <w:spacing w:after="0" w:line="276" w:lineRule="auto"/>
        <w:ind w:firstLine="709"/>
        <w:jc w:val="both"/>
        <w:rPr>
          <w:rFonts w:ascii="Century Gothic" w:eastAsia="Calibri" w:hAnsi="Century Gothic" w:cs="Arial"/>
          <w:color w:val="000000"/>
        </w:rPr>
      </w:pPr>
      <w:r w:rsidRPr="000B5EEB">
        <w:rPr>
          <w:rFonts w:ascii="Century Gothic" w:eastAsia="Times New Roman" w:hAnsi="Century Gothic" w:cs="Arial"/>
          <w:lang w:eastAsia="es-CO"/>
        </w:rPr>
        <w:t xml:space="preserve">Por otra parte, sobre las características de los contratos de prestación de servicios esta Agencia ha emitido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2020,C−379 del 30 de junio de 2020, C−414 del 30 de junio de 2020, C-661 del 17 de noviembre de 2020 C−685 del 18 de diciembre de 2020, C- 004 del 12 de febrero de 2021, C−106 del 7 de abril de 2021, C-181 del 07 de abril de 2022, C-214 del 22 de abril de 2022, C-491 de 01 </w:t>
      </w:r>
      <w:r w:rsidRPr="000B5EEB">
        <w:rPr>
          <w:rFonts w:ascii="Century Gothic" w:eastAsia="Times New Roman" w:hAnsi="Century Gothic" w:cs="Arial"/>
          <w:lang w:eastAsia="es-CO"/>
        </w:rPr>
        <w:lastRenderedPageBreak/>
        <w:t>de agosto de 2022, C- 936 de 19 de diciembre de 2022, C- 057 de 29 de marzo de 2023, C-102 de 5 de mayo de 2023, C-135 de 25 de mayo de 2023, C-178 de 8 de junio de 2023, C-192 de 13 de junio de 2023, C-334 de 17 de agosto de 2023, C-420 de 10 de octubre de 2023, C-443 de 21 de octubre de 2023, C−463 del 22 de noviembre de 2023 y C-472 del 11 de diciembre de 2023, entre otros</w:t>
      </w:r>
      <w:r w:rsidRPr="000B5EEB">
        <w:rPr>
          <w:rFonts w:ascii="Century Gothic" w:eastAsia="Times New Roman" w:hAnsi="Century Gothic" w:cs="Arial"/>
          <w:vertAlign w:val="superscript"/>
          <w:lang w:eastAsia="es-CO"/>
        </w:rPr>
        <w:footnoteReference w:id="2"/>
      </w:r>
      <w:r w:rsidRPr="000B5EEB">
        <w:rPr>
          <w:rFonts w:ascii="Century Gothic" w:eastAsia="Times New Roman" w:hAnsi="Century Gothic" w:cs="Arial"/>
          <w:lang w:eastAsia="es-CO"/>
        </w:rPr>
        <w:t xml:space="preserve">. </w:t>
      </w:r>
      <w:r w:rsidRPr="000B5EEB">
        <w:rPr>
          <w:rFonts w:ascii="Century Gothic" w:eastAsia="Calibri" w:hAnsi="Century Gothic" w:cs="Arial"/>
          <w:color w:val="000000"/>
        </w:rPr>
        <w:t>Las tesis expuestas en estos conceptos se reiteran y se complementan en lo pertinente para dar respuesta a su consulta.</w:t>
      </w:r>
    </w:p>
    <w:p w14:paraId="2AA9EEAF" w14:textId="77777777" w:rsidR="00C63485" w:rsidRPr="000B5EEB" w:rsidRDefault="00C63485" w:rsidP="00C63485">
      <w:pPr>
        <w:spacing w:after="0" w:line="276" w:lineRule="auto"/>
        <w:jc w:val="both"/>
        <w:rPr>
          <w:rFonts w:ascii="Century Gothic" w:eastAsia="Calibri" w:hAnsi="Century Gothic" w:cs="Arial"/>
          <w:lang w:val="es-MX"/>
        </w:rPr>
      </w:pPr>
    </w:p>
    <w:p w14:paraId="5436873D" w14:textId="77777777" w:rsidR="00C63485" w:rsidRPr="000B5EEB" w:rsidRDefault="00C63485" w:rsidP="00C63485">
      <w:pPr>
        <w:spacing w:after="0" w:line="276" w:lineRule="auto"/>
        <w:jc w:val="both"/>
        <w:rPr>
          <w:rFonts w:ascii="Century Gothic" w:eastAsia="Arial" w:hAnsi="Century Gothic" w:cs="Arial"/>
          <w:b/>
          <w:color w:val="000000"/>
          <w:lang w:val="es-ES_tradnl"/>
        </w:rPr>
      </w:pPr>
      <w:r w:rsidRPr="000B5EEB">
        <w:rPr>
          <w:rFonts w:ascii="Century Gothic" w:eastAsia="Calibri" w:hAnsi="Century Gothic" w:cs="Arial"/>
          <w:b/>
          <w:bCs/>
          <w:color w:val="000000"/>
          <w:szCs w:val="24"/>
          <w:lang w:eastAsia="en-GB"/>
        </w:rPr>
        <w:t xml:space="preserve">2.1. </w:t>
      </w:r>
      <w:r w:rsidRPr="000B5EEB">
        <w:rPr>
          <w:rFonts w:ascii="Century Gothic" w:eastAsia="Arial" w:hAnsi="Century Gothic" w:cs="Arial"/>
          <w:b/>
          <w:color w:val="000000"/>
          <w:lang w:val="es-ES_tradnl"/>
        </w:rPr>
        <w:t>Régimen de inhabilidades e incompatibilidades en la contratación estatal: un límite a la capacidad contractual. La interpretación restrictiva como criterio hermenéutico de los enunciados normativos gravosos</w:t>
      </w:r>
    </w:p>
    <w:p w14:paraId="4AEF1CEE" w14:textId="77777777" w:rsidR="00C63485" w:rsidRPr="000B5EEB" w:rsidRDefault="00C63485" w:rsidP="00C63485">
      <w:pPr>
        <w:spacing w:after="0" w:line="276" w:lineRule="auto"/>
        <w:jc w:val="both"/>
        <w:rPr>
          <w:rFonts w:ascii="Century Gothic" w:eastAsia="Arial" w:hAnsi="Century Gothic" w:cs="Arial"/>
          <w:color w:val="000000"/>
          <w:lang w:val="es-ES_tradnl"/>
        </w:rPr>
      </w:pPr>
    </w:p>
    <w:p w14:paraId="5235B445" w14:textId="77777777" w:rsidR="00C63485" w:rsidRPr="000B5EEB" w:rsidRDefault="00C63485" w:rsidP="00C63485">
      <w:pPr>
        <w:spacing w:after="0" w:line="276" w:lineRule="auto"/>
        <w:jc w:val="both"/>
        <w:rPr>
          <w:rFonts w:ascii="Century Gothic" w:eastAsia="Arial" w:hAnsi="Century Gothic" w:cs="Arial"/>
          <w:color w:val="000000"/>
          <w:lang w:val="es-ES_tradnl"/>
        </w:rPr>
      </w:pPr>
      <w:r w:rsidRPr="000B5EEB">
        <w:rPr>
          <w:rFonts w:ascii="Century Gothic" w:eastAsia="Arial" w:hAnsi="Century Gothic" w:cs="Arial"/>
          <w:color w:val="000000"/>
          <w:lang w:val="es-ES_tradnl"/>
        </w:rPr>
        <w:t xml:space="preserve">En la contratación estatal, la </w:t>
      </w:r>
      <w:r w:rsidRPr="000B5EEB">
        <w:rPr>
          <w:rFonts w:ascii="Century Gothic" w:eastAsia="Arial" w:hAnsi="Century Gothic" w:cs="Arial"/>
          <w:i/>
          <w:iCs/>
          <w:color w:val="000000"/>
          <w:lang w:val="es-ES_tradnl"/>
        </w:rPr>
        <w:t>capacidad</w:t>
      </w:r>
      <w:r w:rsidRPr="000B5EEB">
        <w:rPr>
          <w:rFonts w:ascii="Century Gothic" w:eastAsia="Arial" w:hAnsi="Century Gothic" w:cs="Arial"/>
          <w:color w:val="000000"/>
          <w:lang w:val="es-ES_tradnl"/>
        </w:rPr>
        <w:t xml:space="preserve"> </w:t>
      </w:r>
      <w:r w:rsidRPr="000B5EEB">
        <w:rPr>
          <w:rFonts w:ascii="Century Gothic" w:eastAsia="Arial" w:hAnsi="Century Gothic" w:cs="Arial"/>
          <w:i/>
          <w:iCs/>
          <w:color w:val="000000"/>
          <w:lang w:val="es-ES_tradnl"/>
        </w:rPr>
        <w:t>jurídica</w:t>
      </w:r>
      <w:r w:rsidRPr="000B5EEB">
        <w:rPr>
          <w:rFonts w:ascii="Century Gothic" w:eastAsia="Arial" w:hAnsi="Century Gothic" w:cs="Arial"/>
          <w:color w:val="000000"/>
          <w:lang w:val="es-ES_tradnl"/>
        </w:rPr>
        <w:t xml:space="preserve"> también es un requisito de validez de los contratos, tanto en el régimen de las entidades sujetas al Estatuto General de Contratación de la Administración Pública</w:t>
      </w:r>
      <w:r w:rsidRPr="000B5EEB">
        <w:rPr>
          <w:rFonts w:ascii="Century Gothic" w:eastAsia="Arial" w:hAnsi="Century Gothic" w:cs="Arial"/>
          <w:color w:val="000000"/>
          <w:vertAlign w:val="superscript"/>
          <w:lang w:val="es-ES_tradnl"/>
        </w:rPr>
        <w:footnoteReference w:id="3"/>
      </w:r>
      <w:r w:rsidRPr="000B5EEB">
        <w:rPr>
          <w:rFonts w:ascii="Century Gothic" w:eastAsia="Arial" w:hAnsi="Century Gothic" w:cs="Arial"/>
          <w:color w:val="000000"/>
          <w:lang w:val="es-ES_tradnl"/>
        </w:rPr>
        <w:t xml:space="preserve"> como en el de las entidades exceptuadas de aquel</w:t>
      </w:r>
      <w:r w:rsidRPr="000B5EEB">
        <w:rPr>
          <w:rFonts w:ascii="Century Gothic" w:eastAsia="Arial" w:hAnsi="Century Gothic" w:cs="Arial"/>
          <w:color w:val="000000"/>
          <w:vertAlign w:val="superscript"/>
          <w:lang w:val="es-ES_tradnl"/>
        </w:rPr>
        <w:footnoteReference w:id="4"/>
      </w:r>
      <w:r w:rsidRPr="000B5EEB">
        <w:rPr>
          <w:rFonts w:ascii="Century Gothic" w:eastAsia="Arial" w:hAnsi="Century Gothic" w:cs="Arial"/>
          <w:color w:val="000000"/>
          <w:lang w:val="es-ES_tradnl"/>
        </w:rPr>
        <w:t>. Si bien la regulación de la capacidad se integra por varias disposiciones y exigencias 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0B5EEB">
        <w:rPr>
          <w:rFonts w:ascii="Century Gothic" w:eastAsia="Arial" w:hAnsi="Century Gothic" w:cs="Arial"/>
          <w:color w:val="000000"/>
          <w:vertAlign w:val="superscript"/>
          <w:lang w:val="es-ES_tradnl"/>
        </w:rPr>
        <w:footnoteReference w:id="5"/>
      </w:r>
      <w:r w:rsidRPr="000B5EEB">
        <w:rPr>
          <w:rFonts w:ascii="Century Gothic" w:eastAsia="Arial" w:hAnsi="Century Gothic" w:cs="Arial"/>
          <w:color w:val="000000"/>
          <w:lang w:val="es-ES_tradnl"/>
        </w:rPr>
        <w:t>.</w:t>
      </w:r>
    </w:p>
    <w:p w14:paraId="7151A4CA" w14:textId="77777777" w:rsidR="00C63485" w:rsidRPr="000B5EEB" w:rsidRDefault="00C63485" w:rsidP="00C63485">
      <w:pPr>
        <w:spacing w:before="120" w:after="0" w:line="276" w:lineRule="auto"/>
        <w:ind w:firstLine="720"/>
        <w:jc w:val="both"/>
        <w:rPr>
          <w:rFonts w:ascii="Century Gothic" w:eastAsia="Arial" w:hAnsi="Century Gothic" w:cs="Arial"/>
          <w:color w:val="000000"/>
          <w:lang w:val="es-ES"/>
        </w:rPr>
      </w:pPr>
      <w:r w:rsidRPr="3208A1C4">
        <w:rPr>
          <w:rFonts w:ascii="Century Gothic" w:eastAsia="Arial" w:hAnsi="Century Gothic" w:cs="Arial"/>
          <w:color w:val="000000"/>
          <w:lang w:val="es-ES"/>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w:t>
      </w:r>
      <w:r w:rsidRPr="3208A1C4">
        <w:rPr>
          <w:rFonts w:ascii="Century Gothic" w:eastAsia="Arial" w:hAnsi="Century Gothic" w:cs="Arial"/>
          <w:color w:val="000000"/>
          <w:lang w:val="es-ES"/>
        </w:rPr>
        <w:lastRenderedPageBreak/>
        <w:t>contra la corrupción, adoptando paulatinamente un carácter sancionatorio o “</w:t>
      </w:r>
      <w:proofErr w:type="spellStart"/>
      <w:r w:rsidRPr="3208A1C4">
        <w:rPr>
          <w:rFonts w:ascii="Century Gothic" w:eastAsia="Arial" w:hAnsi="Century Gothic" w:cs="Arial"/>
          <w:color w:val="000000"/>
          <w:lang w:val="es-ES"/>
        </w:rPr>
        <w:t>neopunitivo</w:t>
      </w:r>
      <w:proofErr w:type="spellEnd"/>
      <w:r w:rsidRPr="3208A1C4">
        <w:rPr>
          <w:rFonts w:ascii="Century Gothic" w:eastAsia="Arial" w:hAnsi="Century Gothic" w:cs="Arial"/>
          <w:color w:val="000000"/>
          <w:lang w:val="es-ES"/>
        </w:rPr>
        <w:t>”</w:t>
      </w:r>
      <w:r w:rsidRPr="3208A1C4">
        <w:rPr>
          <w:rFonts w:ascii="Century Gothic" w:eastAsia="Arial" w:hAnsi="Century Gothic" w:cs="Arial"/>
          <w:color w:val="000000"/>
          <w:vertAlign w:val="superscript"/>
          <w:lang w:val="es-ES"/>
        </w:rPr>
        <w:footnoteReference w:id="6"/>
      </w:r>
      <w:r w:rsidRPr="3208A1C4">
        <w:rPr>
          <w:rFonts w:ascii="Century Gothic" w:eastAsia="Arial" w:hAnsi="Century Gothic" w:cs="Arial"/>
          <w:color w:val="000000"/>
          <w:lang w:val="es-ES"/>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42BBE89" w14:textId="77777777" w:rsidR="00C63485" w:rsidRPr="000B5EEB" w:rsidRDefault="00C63485" w:rsidP="00C63485">
      <w:pPr>
        <w:spacing w:before="120" w:after="0" w:line="276" w:lineRule="auto"/>
        <w:ind w:firstLine="720"/>
        <w:jc w:val="both"/>
        <w:rPr>
          <w:rFonts w:ascii="Century Gothic" w:eastAsia="Arial" w:hAnsi="Century Gothic" w:cs="Arial"/>
          <w:color w:val="000000"/>
          <w:lang w:val="es-ES_tradnl"/>
        </w:rPr>
      </w:pPr>
      <w:r w:rsidRPr="000B5EEB">
        <w:rPr>
          <w:rFonts w:ascii="Century Gothic" w:eastAsia="Arial" w:hAnsi="Century Gothic" w:cs="Arial"/>
          <w:color w:val="000000"/>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0B5EEB">
        <w:rPr>
          <w:rFonts w:ascii="Century Gothic" w:eastAsia="Arial" w:hAnsi="Century Gothic" w:cs="Arial"/>
          <w:i/>
          <w:iCs/>
          <w:color w:val="000000"/>
          <w:lang w:val="es-ES_tradnl"/>
        </w:rPr>
        <w:t>restrictiva</w:t>
      </w:r>
      <w:r w:rsidRPr="000B5EEB">
        <w:rPr>
          <w:rFonts w:ascii="Century Gothic" w:eastAsia="Arial" w:hAnsi="Century Gothic" w:cs="Arial"/>
          <w:color w:val="000000"/>
          <w:vertAlign w:val="superscript"/>
          <w:lang w:val="es-ES_tradnl"/>
        </w:rPr>
        <w:footnoteReference w:id="7"/>
      </w:r>
      <w:r w:rsidRPr="000B5EEB">
        <w:rPr>
          <w:rFonts w:ascii="Century Gothic" w:eastAsia="Arial" w:hAnsi="Century Gothic" w:cs="Arial"/>
          <w:color w:val="000000"/>
          <w:lang w:val="es-ES_tradnl"/>
        </w:rPr>
        <w:t xml:space="preserve">.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7D396FFF" w14:textId="77777777" w:rsidR="00C63485" w:rsidRPr="000B5EEB" w:rsidRDefault="00C63485" w:rsidP="00C63485">
      <w:pPr>
        <w:spacing w:before="120" w:after="0" w:line="276" w:lineRule="auto"/>
        <w:ind w:firstLine="720"/>
        <w:jc w:val="both"/>
        <w:rPr>
          <w:rFonts w:ascii="Century Gothic" w:eastAsia="Arial" w:hAnsi="Century Gothic" w:cs="Arial"/>
          <w:color w:val="000000"/>
          <w:lang w:val="es-ES_tradnl"/>
        </w:rPr>
      </w:pPr>
      <w:r w:rsidRPr="000B5EEB">
        <w:rPr>
          <w:rFonts w:ascii="Century Gothic" w:eastAsia="Arial" w:hAnsi="Century Gothic" w:cs="Arial"/>
          <w:color w:val="000000"/>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0B5EEB">
        <w:rPr>
          <w:rFonts w:ascii="Century Gothic" w:eastAsia="Arial" w:hAnsi="Century Gothic" w:cs="Arial"/>
          <w:color w:val="000000"/>
          <w:vertAlign w:val="superscript"/>
          <w:lang w:val="es-ES_tradnl"/>
        </w:rPr>
        <w:footnoteReference w:id="8"/>
      </w:r>
      <w:r w:rsidRPr="000B5EEB">
        <w:rPr>
          <w:rFonts w:ascii="Century Gothic" w:eastAsia="Arial" w:hAnsi="Century Gothic" w:cs="Arial"/>
          <w:color w:val="000000"/>
          <w:lang w:val="es-ES_tradnl"/>
        </w:rPr>
        <w:t>. Por su parte, el Consejo de Estado también ha acogido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0B5EEB">
        <w:rPr>
          <w:rFonts w:ascii="Century Gothic" w:eastAsia="Arial" w:hAnsi="Century Gothic" w:cs="Arial"/>
          <w:color w:val="000000"/>
          <w:vertAlign w:val="superscript"/>
          <w:lang w:val="es-ES_tradnl"/>
        </w:rPr>
        <w:footnoteReference w:id="9"/>
      </w:r>
      <w:r w:rsidRPr="000B5EEB">
        <w:rPr>
          <w:rFonts w:ascii="Century Gothic" w:eastAsia="Arial" w:hAnsi="Century Gothic" w:cs="Arial"/>
          <w:color w:val="000000"/>
          <w:lang w:val="es-ES_tradnl"/>
        </w:rPr>
        <w:t>. En tal sentido, la Sección Tercera ha señalado que:</w:t>
      </w:r>
    </w:p>
    <w:p w14:paraId="1F8A8EDD" w14:textId="77777777" w:rsidR="00C63485" w:rsidRPr="000B5EEB" w:rsidRDefault="00C63485" w:rsidP="00C63485">
      <w:pPr>
        <w:spacing w:before="120" w:after="0" w:line="276" w:lineRule="auto"/>
        <w:ind w:firstLine="720"/>
        <w:jc w:val="both"/>
        <w:rPr>
          <w:rFonts w:ascii="Century Gothic" w:eastAsia="Arial" w:hAnsi="Century Gothic" w:cs="Arial"/>
          <w:color w:val="000000"/>
          <w:lang w:val="es-ES_tradnl"/>
        </w:rPr>
      </w:pPr>
    </w:p>
    <w:p w14:paraId="21976644" w14:textId="77777777" w:rsidR="00C63485" w:rsidRPr="000B5EEB" w:rsidRDefault="00C63485" w:rsidP="00C63485">
      <w:pPr>
        <w:spacing w:after="120" w:line="240" w:lineRule="auto"/>
        <w:ind w:left="709" w:right="709"/>
        <w:jc w:val="both"/>
        <w:rPr>
          <w:rFonts w:ascii="Century Gothic" w:eastAsia="Arial" w:hAnsi="Century Gothic" w:cs="Arial"/>
          <w:color w:val="000000"/>
          <w:sz w:val="21"/>
          <w:szCs w:val="21"/>
          <w:lang w:val="es-ES_tradnl"/>
        </w:rPr>
      </w:pPr>
      <w:r w:rsidRPr="000B5EEB">
        <w:rPr>
          <w:rFonts w:ascii="Century Gothic" w:eastAsia="Arial" w:hAnsi="Century Gothic" w:cs="Arial"/>
          <w:color w:val="000000"/>
          <w:sz w:val="21"/>
          <w:szCs w:val="21"/>
          <w:lang w:val="es-ES_tradnl"/>
        </w:rPr>
        <w:t xml:space="preserve">[…] de conformidad con la jurisprudencia uniforme y reiterada de esta Corporación, la aplicación de las normas que contemplan inhabilidades e incompatibilidades, como en general de todas aquellas que comportan prohibiciones o limitaciones, deben responder a una </w:t>
      </w:r>
      <w:r w:rsidRPr="000B5EEB">
        <w:rPr>
          <w:rFonts w:ascii="Century Gothic" w:eastAsia="Arial" w:hAnsi="Century Gothic" w:cs="Arial"/>
          <w:color w:val="000000"/>
          <w:sz w:val="21"/>
          <w:szCs w:val="21"/>
          <w:lang w:val="es-ES_tradnl"/>
        </w:rPr>
        <w:lastRenderedPageBreak/>
        <w:t>interpretación restrictiva que no permite su extensión, por vía de la figura de la analogía, a supuestos no contemplados por el ordenamiento</w:t>
      </w:r>
      <w:r w:rsidRPr="000B5EEB">
        <w:rPr>
          <w:rFonts w:ascii="Century Gothic" w:eastAsia="Arial" w:hAnsi="Century Gothic" w:cs="Arial"/>
          <w:color w:val="000000"/>
          <w:sz w:val="21"/>
          <w:szCs w:val="21"/>
          <w:vertAlign w:val="superscript"/>
          <w:lang w:val="es-ES_tradnl"/>
        </w:rPr>
        <w:footnoteReference w:id="10"/>
      </w:r>
      <w:r w:rsidRPr="000B5EEB">
        <w:rPr>
          <w:rFonts w:ascii="Century Gothic" w:eastAsia="Arial" w:hAnsi="Century Gothic" w:cs="Arial"/>
          <w:color w:val="000000"/>
          <w:sz w:val="21"/>
          <w:szCs w:val="21"/>
          <w:lang w:val="es-ES_tradnl"/>
        </w:rPr>
        <w:t>.</w:t>
      </w:r>
    </w:p>
    <w:p w14:paraId="483AF819" w14:textId="77777777" w:rsidR="00C63485" w:rsidRPr="000B5EEB" w:rsidRDefault="00C63485" w:rsidP="00C63485">
      <w:pPr>
        <w:spacing w:after="120" w:line="276" w:lineRule="auto"/>
        <w:ind w:firstLine="720"/>
        <w:jc w:val="both"/>
        <w:rPr>
          <w:rFonts w:ascii="Century Gothic" w:eastAsia="Arial" w:hAnsi="Century Gothic" w:cs="Arial"/>
          <w:color w:val="000000"/>
          <w:lang w:val="es-ES_tradnl"/>
        </w:rPr>
      </w:pPr>
      <w:r w:rsidRPr="000B5EEB">
        <w:rPr>
          <w:rFonts w:ascii="Century Gothic" w:eastAsia="Arial" w:hAnsi="Century Gothic" w:cs="Arial"/>
          <w:color w:val="000000"/>
          <w:lang w:val="es-ES_tradnl"/>
        </w:rPr>
        <w:t>También ha dicho que:</w:t>
      </w:r>
    </w:p>
    <w:p w14:paraId="194CB62B" w14:textId="77777777" w:rsidR="00C63485" w:rsidRPr="000B5EEB" w:rsidRDefault="00C63485" w:rsidP="00C63485">
      <w:pPr>
        <w:spacing w:after="0" w:line="240" w:lineRule="auto"/>
        <w:ind w:left="709" w:right="709"/>
        <w:jc w:val="both"/>
        <w:rPr>
          <w:rFonts w:ascii="Century Gothic" w:eastAsia="Arial" w:hAnsi="Century Gothic" w:cs="Arial"/>
          <w:color w:val="000000"/>
          <w:sz w:val="21"/>
          <w:szCs w:val="21"/>
          <w:lang w:val="es-ES"/>
        </w:rPr>
      </w:pPr>
      <w:r w:rsidRPr="3208A1C4">
        <w:rPr>
          <w:rFonts w:ascii="Century Gothic" w:eastAsia="Arial" w:hAnsi="Century Gothic" w:cs="Arial"/>
          <w:color w:val="000000"/>
          <w:sz w:val="21"/>
          <w:szCs w:val="21"/>
          <w:lang w:val="es-ES"/>
        </w:rPr>
        <w:t xml:space="preserve">[…] la aplicación de estos preceptos exige una interpretación restrictiva, dado que según el principio hermenéutico pro </w:t>
      </w:r>
      <w:proofErr w:type="spellStart"/>
      <w:r w:rsidRPr="3208A1C4">
        <w:rPr>
          <w:rFonts w:ascii="Century Gothic" w:eastAsia="Arial" w:hAnsi="Century Gothic" w:cs="Arial"/>
          <w:color w:val="000000"/>
          <w:sz w:val="21"/>
          <w:szCs w:val="21"/>
          <w:lang w:val="es-ES"/>
        </w:rPr>
        <w:t>libertate</w:t>
      </w:r>
      <w:proofErr w:type="spellEnd"/>
      <w:r w:rsidRPr="3208A1C4">
        <w:rPr>
          <w:rFonts w:ascii="Century Gothic" w:eastAsia="Arial" w:hAnsi="Century Gothic" w:cs="Arial"/>
          <w:color w:val="000000"/>
          <w:sz w:val="21"/>
          <w:szCs w:val="21"/>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3208A1C4">
        <w:rPr>
          <w:rFonts w:ascii="Century Gothic" w:eastAsia="Arial" w:hAnsi="Century Gothic" w:cs="Arial"/>
          <w:color w:val="000000"/>
          <w:sz w:val="21"/>
          <w:szCs w:val="21"/>
          <w:vertAlign w:val="superscript"/>
          <w:lang w:val="es-ES"/>
        </w:rPr>
        <w:footnoteReference w:id="11"/>
      </w:r>
      <w:r w:rsidRPr="3208A1C4">
        <w:rPr>
          <w:rFonts w:ascii="Century Gothic" w:eastAsia="Arial" w:hAnsi="Century Gothic" w:cs="Arial"/>
          <w:color w:val="000000"/>
          <w:sz w:val="21"/>
          <w:szCs w:val="21"/>
          <w:lang w:val="es-ES"/>
        </w:rPr>
        <w:t>.</w:t>
      </w:r>
    </w:p>
    <w:p w14:paraId="2EF5565B" w14:textId="77777777" w:rsidR="00C63485" w:rsidRPr="000B5EEB" w:rsidRDefault="00C63485" w:rsidP="00C63485">
      <w:pPr>
        <w:spacing w:after="0" w:line="240" w:lineRule="auto"/>
        <w:ind w:left="709" w:right="709"/>
        <w:jc w:val="both"/>
        <w:rPr>
          <w:rFonts w:ascii="Century Gothic" w:eastAsia="Arial" w:hAnsi="Century Gothic" w:cs="Arial"/>
          <w:color w:val="000000"/>
          <w:sz w:val="21"/>
          <w:szCs w:val="21"/>
          <w:lang w:val="es-ES_tradnl"/>
        </w:rPr>
      </w:pPr>
    </w:p>
    <w:p w14:paraId="14FEA685" w14:textId="77777777" w:rsidR="00C63485" w:rsidRPr="000B5EEB" w:rsidRDefault="00C63485" w:rsidP="00C63485">
      <w:pPr>
        <w:spacing w:after="0" w:line="276" w:lineRule="auto"/>
        <w:ind w:firstLine="720"/>
        <w:jc w:val="both"/>
        <w:rPr>
          <w:rFonts w:ascii="Century Gothic" w:eastAsia="Calibri" w:hAnsi="Century Gothic" w:cs="Arial"/>
          <w:color w:val="000000"/>
          <w:szCs w:val="24"/>
          <w:lang w:val="es-ES"/>
        </w:rPr>
      </w:pPr>
      <w:r w:rsidRPr="000B5EEB">
        <w:rPr>
          <w:rFonts w:ascii="Century Gothic" w:eastAsia="Arial" w:hAnsi="Century Gothic" w:cs="Arial"/>
          <w:color w:val="000000"/>
          <w:lang w:val="es-ES_tradnl"/>
        </w:rPr>
        <w:t xml:space="preserve">Como se aprecia, el principio </w:t>
      </w:r>
      <w:r w:rsidRPr="000B5EEB">
        <w:rPr>
          <w:rFonts w:ascii="Century Gothic" w:eastAsia="Arial" w:hAnsi="Century Gothic" w:cs="Arial"/>
          <w:i/>
          <w:iCs/>
          <w:color w:val="000000"/>
          <w:lang w:val="es-ES_tradnl"/>
        </w:rPr>
        <w:t xml:space="preserve">pro </w:t>
      </w:r>
      <w:proofErr w:type="spellStart"/>
      <w:r w:rsidRPr="000B5EEB">
        <w:rPr>
          <w:rFonts w:ascii="Century Gothic" w:eastAsia="Arial" w:hAnsi="Century Gothic" w:cs="Arial"/>
          <w:i/>
          <w:iCs/>
          <w:color w:val="000000"/>
          <w:lang w:val="es-ES_tradnl"/>
        </w:rPr>
        <w:t>libertate</w:t>
      </w:r>
      <w:proofErr w:type="spellEnd"/>
      <w:r w:rsidRPr="000B5EEB">
        <w:rPr>
          <w:rFonts w:ascii="Century Gothic" w:eastAsia="Arial" w:hAnsi="Century Gothic"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0B5EEB">
        <w:rPr>
          <w:rFonts w:ascii="Century Gothic" w:eastAsia="Calibri" w:hAnsi="Century Gothic" w:cs="Arial"/>
          <w:color w:val="000000"/>
          <w:lang w:val="es-MX"/>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0846FE68" w14:textId="77777777" w:rsidR="00C63485" w:rsidRPr="000B5EEB" w:rsidRDefault="00C63485" w:rsidP="00C63485">
      <w:pPr>
        <w:tabs>
          <w:tab w:val="left" w:pos="1532"/>
        </w:tabs>
        <w:spacing w:after="0" w:line="276" w:lineRule="auto"/>
        <w:jc w:val="both"/>
        <w:rPr>
          <w:rFonts w:ascii="Century Gothic" w:eastAsia="Calibri" w:hAnsi="Century Gothic" w:cs="Arial"/>
          <w:color w:val="000000"/>
          <w:lang w:val="es-MX"/>
        </w:rPr>
      </w:pPr>
      <w:r w:rsidRPr="000B5EEB">
        <w:rPr>
          <w:rFonts w:ascii="Century Gothic" w:eastAsia="Calibri" w:hAnsi="Century Gothic" w:cs="Arial"/>
          <w:color w:val="000000"/>
          <w:sz w:val="24"/>
          <w:lang w:val="es-MX"/>
        </w:rPr>
        <w:tab/>
      </w:r>
    </w:p>
    <w:p w14:paraId="269A9734" w14:textId="77777777" w:rsidR="00C63485" w:rsidRPr="000B5EEB" w:rsidRDefault="00C63485" w:rsidP="00C63485">
      <w:pPr>
        <w:spacing w:after="120" w:line="240" w:lineRule="auto"/>
        <w:ind w:left="709" w:right="709"/>
        <w:jc w:val="both"/>
        <w:rPr>
          <w:rFonts w:ascii="Century Gothic" w:eastAsia="Calibri" w:hAnsi="Century Gothic" w:cs="Arial"/>
          <w:color w:val="000000"/>
          <w:sz w:val="21"/>
          <w:szCs w:val="21"/>
          <w:lang w:val="es-MX"/>
        </w:rPr>
      </w:pPr>
      <w:r w:rsidRPr="000B5EEB">
        <w:rPr>
          <w:rFonts w:ascii="Century Gothic" w:eastAsia="Calibri" w:hAnsi="Century Gothic" w:cs="Arial"/>
          <w:color w:val="000000"/>
          <w:sz w:val="21"/>
          <w:szCs w:val="21"/>
          <w:lang w:val="es-MX"/>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0B5EEB">
        <w:rPr>
          <w:rFonts w:ascii="Century Gothic" w:eastAsia="Calibri" w:hAnsi="Century Gothic" w:cs="Arial"/>
          <w:color w:val="000000"/>
          <w:sz w:val="21"/>
          <w:szCs w:val="21"/>
          <w:lang w:val="es-MX"/>
        </w:rPr>
        <w:t>libertate</w:t>
      </w:r>
      <w:proofErr w:type="spellEnd"/>
      <w:r w:rsidRPr="000B5EEB">
        <w:rPr>
          <w:rFonts w:ascii="Century Gothic" w:eastAsia="Calibri" w:hAnsi="Century Gothic" w:cs="Arial"/>
          <w:color w:val="000000"/>
          <w:sz w:val="21"/>
          <w:szCs w:val="21"/>
          <w:lang w:val="es-MX"/>
        </w:rPr>
        <w:t xml:space="preserve">, sino el de legalidad, el que ordena que la función pública debe someterse estrictamente a lo que disponga la Constitución y la ley (CP art. 6). </w:t>
      </w:r>
    </w:p>
    <w:p w14:paraId="13A75AF1" w14:textId="77777777" w:rsidR="00C63485" w:rsidRPr="000B5EEB" w:rsidRDefault="00C63485" w:rsidP="00C63485">
      <w:pPr>
        <w:spacing w:after="120" w:line="240" w:lineRule="auto"/>
        <w:ind w:left="709" w:right="709"/>
        <w:jc w:val="both"/>
        <w:rPr>
          <w:rFonts w:ascii="Century Gothic" w:eastAsia="Calibri" w:hAnsi="Century Gothic" w:cs="Arial"/>
          <w:color w:val="000000"/>
          <w:sz w:val="21"/>
          <w:szCs w:val="21"/>
          <w:lang w:val="es-MX"/>
        </w:rPr>
      </w:pPr>
      <w:r w:rsidRPr="000B5EEB">
        <w:rPr>
          <w:rFonts w:ascii="Century Gothic" w:eastAsia="Calibri" w:hAnsi="Century Gothic" w:cs="Arial"/>
          <w:color w:val="000000"/>
          <w:sz w:val="21"/>
          <w:szCs w:val="21"/>
          <w:lang w:val="es-MX"/>
        </w:rPr>
        <w:t>[…]</w:t>
      </w:r>
    </w:p>
    <w:p w14:paraId="16589A1B" w14:textId="77777777" w:rsidR="00C63485" w:rsidRPr="000B5EEB" w:rsidRDefault="00C63485" w:rsidP="00C63485">
      <w:pPr>
        <w:spacing w:after="0" w:line="240" w:lineRule="auto"/>
        <w:ind w:left="709" w:right="709"/>
        <w:jc w:val="both"/>
        <w:rPr>
          <w:rFonts w:ascii="Century Gothic" w:eastAsia="Calibri" w:hAnsi="Century Gothic" w:cs="Arial"/>
          <w:color w:val="000000"/>
          <w:sz w:val="21"/>
          <w:szCs w:val="21"/>
          <w:lang w:val="es-MX"/>
        </w:rPr>
      </w:pPr>
      <w:r w:rsidRPr="000B5EEB">
        <w:rPr>
          <w:rFonts w:ascii="Century Gothic" w:eastAsia="Calibri" w:hAnsi="Century Gothic" w:cs="Arial"/>
          <w:color w:val="000000"/>
          <w:sz w:val="21"/>
          <w:szCs w:val="21"/>
          <w:lang w:val="es-MX"/>
        </w:rPr>
        <w:t xml:space="preserve">Se comprende con facilidad que el régimen de inhabilidades e incompatibilidades, corresponde a una materia de normal y obligada </w:t>
      </w:r>
      <w:r w:rsidRPr="000B5EEB">
        <w:rPr>
          <w:rFonts w:ascii="Century Gothic" w:eastAsia="Calibri" w:hAnsi="Century Gothic" w:cs="Arial"/>
          <w:color w:val="000000"/>
          <w:sz w:val="21"/>
          <w:szCs w:val="21"/>
          <w:lang w:val="es-MX"/>
        </w:rPr>
        <w:lastRenderedPageBreak/>
        <w:t>inclusión en un estatuto contractual. El legislador, a quien se ha confiado expedir el indicado estatuto, tiene, pues, competencia para establecerlo (CP art. 150)</w:t>
      </w:r>
      <w:r w:rsidRPr="000B5EEB">
        <w:rPr>
          <w:rFonts w:ascii="Century Gothic" w:eastAsia="Calibri" w:hAnsi="Century Gothic" w:cs="Arial"/>
          <w:color w:val="000000"/>
          <w:sz w:val="21"/>
          <w:szCs w:val="21"/>
          <w:vertAlign w:val="superscript"/>
          <w:lang w:val="es-MX"/>
        </w:rPr>
        <w:footnoteReference w:id="12"/>
      </w:r>
      <w:r w:rsidRPr="000B5EEB">
        <w:rPr>
          <w:rFonts w:ascii="Century Gothic" w:eastAsia="Calibri" w:hAnsi="Century Gothic" w:cs="Arial"/>
          <w:color w:val="000000"/>
          <w:sz w:val="21"/>
          <w:szCs w:val="21"/>
          <w:lang w:val="es-MX"/>
        </w:rPr>
        <w:t>.</w:t>
      </w:r>
    </w:p>
    <w:p w14:paraId="601CCD61" w14:textId="77777777" w:rsidR="00C63485" w:rsidRPr="000B5EEB" w:rsidRDefault="00C63485" w:rsidP="00C63485">
      <w:pPr>
        <w:spacing w:after="0" w:line="276" w:lineRule="auto"/>
        <w:jc w:val="both"/>
        <w:rPr>
          <w:rFonts w:ascii="Century Gothic" w:eastAsia="Calibri" w:hAnsi="Century Gothic" w:cs="Arial"/>
          <w:color w:val="000000"/>
          <w:lang w:val="es-ES"/>
        </w:rPr>
      </w:pPr>
    </w:p>
    <w:p w14:paraId="4BFFFEB2" w14:textId="77777777" w:rsidR="00C63485" w:rsidRPr="000B5EEB" w:rsidRDefault="00C63485" w:rsidP="00C63485">
      <w:pPr>
        <w:spacing w:after="0" w:line="276" w:lineRule="auto"/>
        <w:ind w:firstLine="709"/>
        <w:jc w:val="both"/>
        <w:rPr>
          <w:rFonts w:ascii="Century Gothic" w:eastAsia="Calibri" w:hAnsi="Century Gothic" w:cs="Arial"/>
          <w:color w:val="000000"/>
        </w:rPr>
      </w:pPr>
      <w:r w:rsidRPr="000B5EEB">
        <w:rPr>
          <w:rFonts w:ascii="Century Gothic" w:eastAsia="Calibri" w:hAnsi="Century Gothic" w:cs="Arial"/>
          <w:color w:val="000000"/>
          <w:lang w:val="es-MX"/>
        </w:rPr>
        <w:t>De igual forma, conviene acudir a la distinción que se ha trazado en torno a la fuente de las inhabilidades</w:t>
      </w:r>
      <w:bookmarkStart w:id="6" w:name="_Hlk67555152"/>
      <w:r w:rsidRPr="000B5EEB">
        <w:rPr>
          <w:rFonts w:ascii="Century Gothic" w:eastAsia="Calibri" w:hAnsi="Century Gothic" w:cs="Arial"/>
          <w:color w:val="000000"/>
          <w:lang w:val="es-MX"/>
        </w:rPr>
        <w:t>, las cuales han sido clasificadas en dos grupos: i) inhabilidades-sanción y ii)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bookmarkEnd w:id="6"/>
      <w:r w:rsidRPr="000B5EEB">
        <w:rPr>
          <w:rFonts w:ascii="Century Gothic" w:eastAsia="Calibri" w:hAnsi="Century Gothic" w:cs="Arial"/>
          <w:color w:val="000000"/>
          <w:vertAlign w:val="superscript"/>
          <w:lang w:val="es-MX"/>
        </w:rPr>
        <w:footnoteReference w:id="13"/>
      </w:r>
      <w:r w:rsidRPr="000B5EEB">
        <w:rPr>
          <w:rFonts w:ascii="Century Gothic" w:eastAsia="Calibri" w:hAnsi="Century Gothic" w:cs="Arial"/>
          <w:color w:val="000000"/>
          <w:lang w:val="es-MX"/>
        </w:rPr>
        <w:t xml:space="preserve">. </w:t>
      </w:r>
    </w:p>
    <w:p w14:paraId="36DAC131" w14:textId="77777777" w:rsidR="00C63485" w:rsidRPr="000B5EEB" w:rsidRDefault="00C63485" w:rsidP="00C63485">
      <w:pPr>
        <w:spacing w:before="120" w:after="0" w:line="276" w:lineRule="auto"/>
        <w:ind w:firstLine="709"/>
        <w:jc w:val="both"/>
        <w:rPr>
          <w:rFonts w:ascii="Century Gothic" w:eastAsia="Calibri" w:hAnsi="Century Gothic" w:cs="Arial"/>
          <w:color w:val="000000"/>
          <w:lang w:val="es-ES"/>
        </w:rPr>
      </w:pPr>
      <w:r w:rsidRPr="000B5EEB">
        <w:rPr>
          <w:rFonts w:ascii="Century Gothic" w:eastAsia="Calibri" w:hAnsi="Century Gothic" w:cs="Arial"/>
          <w:color w:val="000000"/>
          <w:lang w:val="es-E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01323611" w14:textId="77777777" w:rsidR="00C63485" w:rsidRPr="000B5EEB" w:rsidRDefault="00C63485" w:rsidP="00C63485">
      <w:pPr>
        <w:spacing w:before="120" w:after="0" w:line="276" w:lineRule="auto"/>
        <w:ind w:firstLine="720"/>
        <w:jc w:val="both"/>
        <w:rPr>
          <w:rFonts w:ascii="Century Gothic" w:eastAsia="Calibri" w:hAnsi="Century Gothic" w:cs="Arial"/>
          <w:color w:val="000000"/>
          <w:lang w:val="es-ES"/>
        </w:rPr>
      </w:pPr>
      <w:r w:rsidRPr="0A251CB2">
        <w:rPr>
          <w:rFonts w:ascii="Century Gothic" w:eastAsia="Calibri" w:hAnsi="Century Gothic" w:cs="Arial"/>
          <w:color w:val="000000" w:themeColor="text1"/>
          <w:lang w:val="es-ES"/>
        </w:rPr>
        <w:t xml:space="preserve">Al margen de la clasificación mencionada,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En este sentido, la aplicación de las inhabilidades debe apegarse estrictamente a lo consagrado en la norma que la contempla, de manera que no resulta procedente su extensión a otras situaciones o condiciones diferente a las establecidas, en perjuicio de quienes aspiran a contratar con el Estado.  </w:t>
      </w:r>
    </w:p>
    <w:p w14:paraId="7E50E5AA" w14:textId="77777777" w:rsidR="00C63485" w:rsidRPr="000B5EEB" w:rsidRDefault="00C63485" w:rsidP="00C63485">
      <w:pPr>
        <w:spacing w:after="0" w:line="276" w:lineRule="auto"/>
        <w:jc w:val="both"/>
        <w:rPr>
          <w:rFonts w:ascii="Century Gothic" w:eastAsia="MS Mincho" w:hAnsi="Century Gothic" w:cs="Arial"/>
          <w:b/>
        </w:rPr>
      </w:pPr>
    </w:p>
    <w:p w14:paraId="0087B382" w14:textId="77777777" w:rsidR="00C63485" w:rsidRPr="000B5EEB" w:rsidRDefault="00C63485" w:rsidP="00C63485">
      <w:pPr>
        <w:spacing w:after="0" w:line="240" w:lineRule="auto"/>
        <w:jc w:val="both"/>
        <w:rPr>
          <w:rFonts w:ascii="Century Gothic" w:eastAsia="Calibri" w:hAnsi="Century Gothic" w:cs="Arial"/>
          <w:b/>
          <w:color w:val="000000"/>
          <w:lang w:val="es-ES" w:eastAsia="es-ES_tradnl"/>
        </w:rPr>
      </w:pPr>
      <w:r w:rsidRPr="000B5EEB">
        <w:rPr>
          <w:rFonts w:ascii="Century Gothic" w:eastAsia="Calibri" w:hAnsi="Century Gothic" w:cs="Arial"/>
          <w:b/>
          <w:color w:val="000000"/>
          <w:lang w:eastAsia="es-ES_tradnl"/>
        </w:rPr>
        <w:t>2.2.</w:t>
      </w:r>
      <w:r w:rsidRPr="000B5EEB">
        <w:rPr>
          <w:rFonts w:ascii="Century Gothic" w:eastAsia="Calibri" w:hAnsi="Century Gothic" w:cs="Arial"/>
          <w:b/>
          <w:color w:val="000000"/>
          <w:lang w:val="es-ES_tradnl" w:eastAsia="es-ES_tradnl"/>
        </w:rPr>
        <w:t xml:space="preserve"> Los contratos de</w:t>
      </w:r>
      <w:r w:rsidRPr="000B5EEB">
        <w:rPr>
          <w:rFonts w:ascii="Century Gothic" w:eastAsia="Calibri" w:hAnsi="Century Gothic" w:cs="Arial"/>
          <w:b/>
          <w:color w:val="000000"/>
          <w:lang w:val="es-ES" w:eastAsia="es-ES_tradnl"/>
        </w:rPr>
        <w:t xml:space="preserve"> prestación de servicios profesionales, de apoyo a la gestión y de servicios artísticos como especies del contrato de prestación de servicios</w:t>
      </w:r>
    </w:p>
    <w:p w14:paraId="70FE2DE8" w14:textId="77777777" w:rsidR="00C63485" w:rsidRPr="000B5EEB" w:rsidRDefault="00C63485" w:rsidP="00C63485">
      <w:pPr>
        <w:spacing w:after="0" w:line="276" w:lineRule="auto"/>
        <w:jc w:val="both"/>
        <w:rPr>
          <w:rFonts w:ascii="Century Gothic" w:eastAsia="Calibri" w:hAnsi="Century Gothic" w:cs="Arial"/>
          <w:b/>
          <w:color w:val="000000"/>
          <w:lang w:val="es-ES" w:eastAsia="es-ES_tradnl"/>
        </w:rPr>
      </w:pPr>
    </w:p>
    <w:p w14:paraId="62341983" w14:textId="77777777" w:rsidR="00C63485" w:rsidRPr="000B5EEB" w:rsidRDefault="00C63485" w:rsidP="00C63485">
      <w:pPr>
        <w:tabs>
          <w:tab w:val="left" w:pos="0"/>
        </w:tabs>
        <w:spacing w:after="0" w:line="276" w:lineRule="auto"/>
        <w:jc w:val="both"/>
        <w:rPr>
          <w:rFonts w:ascii="Century Gothic" w:eastAsia="Calibri" w:hAnsi="Century Gothic" w:cs="Arial"/>
          <w:color w:val="000000"/>
          <w:lang w:val="es-ES_tradnl"/>
        </w:rPr>
      </w:pPr>
      <w:r w:rsidRPr="000B5EEB">
        <w:rPr>
          <w:rFonts w:ascii="Century Gothic" w:eastAsia="Times New Roman" w:hAnsi="Century Gothic" w:cs="Arial"/>
          <w:color w:val="000000"/>
          <w:szCs w:val="24"/>
          <w:lang w:eastAsia="es-ES_tradnl"/>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0B5EEB">
        <w:rPr>
          <w:rFonts w:ascii="Century Gothic" w:eastAsia="Calibri" w:hAnsi="Century Gothic" w:cs="Arial"/>
          <w:color w:val="000000"/>
          <w:lang w:val="es-ES_tradnl"/>
        </w:rPr>
        <w:t xml:space="preserve"> La celebración de dicho contrato debe efectuarse a través de la modalidad de contratación directa. Así lo dispone el artículo 2, numeral 4º, literal h), de la Ley 1150 de 2007:</w:t>
      </w:r>
    </w:p>
    <w:p w14:paraId="03C3A21E" w14:textId="77777777" w:rsidR="00C63485" w:rsidRPr="000B5EEB" w:rsidRDefault="00C63485" w:rsidP="00C63485">
      <w:pPr>
        <w:spacing w:after="0" w:line="240" w:lineRule="auto"/>
        <w:ind w:right="709"/>
        <w:jc w:val="both"/>
        <w:rPr>
          <w:rFonts w:ascii="Century Gothic" w:eastAsia="Calibri" w:hAnsi="Century Gothic" w:cs="Arial"/>
          <w:color w:val="000000"/>
          <w:sz w:val="21"/>
          <w:szCs w:val="21"/>
          <w:lang w:val="es-ES_tradnl"/>
        </w:rPr>
      </w:pPr>
    </w:p>
    <w:p w14:paraId="032EFF1E" w14:textId="77777777" w:rsidR="00C63485" w:rsidRPr="000B5EEB" w:rsidRDefault="00C63485" w:rsidP="00C63485">
      <w:pPr>
        <w:spacing w:after="0" w:line="240" w:lineRule="auto"/>
        <w:ind w:left="709" w:right="758"/>
        <w:jc w:val="both"/>
        <w:rPr>
          <w:rFonts w:ascii="Century Gothic" w:eastAsia="Calibri" w:hAnsi="Century Gothic" w:cs="Arial"/>
          <w:color w:val="000000"/>
          <w:sz w:val="21"/>
          <w:szCs w:val="21"/>
          <w:lang w:val="es-MX"/>
        </w:rPr>
      </w:pPr>
      <w:r w:rsidRPr="000B5EEB">
        <w:rPr>
          <w:rFonts w:ascii="Century Gothic" w:eastAsia="Calibri" w:hAnsi="Century Gothic" w:cs="Arial"/>
          <w:color w:val="000000"/>
          <w:sz w:val="21"/>
          <w:szCs w:val="21"/>
          <w:lang w:val="es-MX"/>
        </w:rPr>
        <w:t>La escogencia del contratista se efectuará con arreglo a las modalidades de selección de licitación pública, selección abreviada, concurso de méritos y contratación directa, con base en las siguientes reglas:</w:t>
      </w:r>
    </w:p>
    <w:p w14:paraId="3CFDC770" w14:textId="77777777" w:rsidR="00C63485" w:rsidRPr="000B5EEB" w:rsidRDefault="00C63485" w:rsidP="00C63485">
      <w:pPr>
        <w:spacing w:after="120" w:line="240" w:lineRule="auto"/>
        <w:ind w:left="709" w:right="760"/>
        <w:jc w:val="both"/>
        <w:rPr>
          <w:rFonts w:ascii="Century Gothic" w:eastAsia="Calibri" w:hAnsi="Century Gothic" w:cs="Arial"/>
          <w:color w:val="000000"/>
          <w:sz w:val="21"/>
          <w:szCs w:val="21"/>
          <w:lang w:val="es-MX"/>
        </w:rPr>
      </w:pPr>
      <w:r w:rsidRPr="000B5EEB">
        <w:rPr>
          <w:rFonts w:ascii="Century Gothic" w:eastAsia="Calibri" w:hAnsi="Century Gothic" w:cs="Arial"/>
          <w:color w:val="000000"/>
          <w:sz w:val="21"/>
          <w:szCs w:val="21"/>
          <w:lang w:val="es-MX"/>
        </w:rPr>
        <w:t>[…]</w:t>
      </w:r>
    </w:p>
    <w:p w14:paraId="6ED8ED9A" w14:textId="77777777" w:rsidR="00C63485" w:rsidRPr="000B5EEB" w:rsidRDefault="00C63485" w:rsidP="00C63485">
      <w:pPr>
        <w:spacing w:after="120" w:line="240" w:lineRule="auto"/>
        <w:ind w:left="709" w:right="758"/>
        <w:jc w:val="both"/>
        <w:rPr>
          <w:rFonts w:ascii="Century Gothic" w:eastAsia="Calibri" w:hAnsi="Century Gothic" w:cs="Arial"/>
          <w:color w:val="000000"/>
          <w:sz w:val="21"/>
          <w:szCs w:val="21"/>
          <w:lang w:val="es-MX"/>
        </w:rPr>
      </w:pPr>
      <w:r w:rsidRPr="000B5EEB">
        <w:rPr>
          <w:rFonts w:ascii="Century Gothic" w:eastAsia="Calibri" w:hAnsi="Century Gothic" w:cs="Arial"/>
          <w:color w:val="000000"/>
          <w:sz w:val="21"/>
          <w:szCs w:val="21"/>
          <w:lang w:val="es-MX"/>
        </w:rPr>
        <w:t>4. Contratación directa. La modalidad de selección de contratación directa, solamente procederá en los siguientes casos:</w:t>
      </w:r>
    </w:p>
    <w:p w14:paraId="13201C97" w14:textId="77777777" w:rsidR="00C63485" w:rsidRPr="000B5EEB" w:rsidRDefault="00C63485" w:rsidP="00C63485">
      <w:pPr>
        <w:spacing w:after="120" w:line="240" w:lineRule="auto"/>
        <w:ind w:left="709" w:right="760"/>
        <w:jc w:val="both"/>
        <w:rPr>
          <w:rFonts w:ascii="Century Gothic" w:eastAsia="Calibri" w:hAnsi="Century Gothic" w:cs="Arial"/>
          <w:color w:val="000000"/>
          <w:sz w:val="21"/>
          <w:szCs w:val="21"/>
          <w:lang w:val="es-MX"/>
        </w:rPr>
      </w:pPr>
      <w:r w:rsidRPr="000B5EEB">
        <w:rPr>
          <w:rFonts w:ascii="Century Gothic" w:eastAsia="Calibri" w:hAnsi="Century Gothic" w:cs="Arial"/>
          <w:color w:val="000000"/>
          <w:sz w:val="21"/>
          <w:szCs w:val="21"/>
          <w:lang w:val="es-MX"/>
        </w:rPr>
        <w:t>[…]</w:t>
      </w:r>
    </w:p>
    <w:p w14:paraId="51F59935" w14:textId="77777777" w:rsidR="00C63485" w:rsidRPr="000B5EEB" w:rsidRDefault="00C63485" w:rsidP="00C63485">
      <w:pPr>
        <w:spacing w:after="0" w:line="240" w:lineRule="auto"/>
        <w:ind w:left="709" w:right="758"/>
        <w:jc w:val="both"/>
        <w:rPr>
          <w:rFonts w:ascii="Century Gothic" w:eastAsia="Calibri" w:hAnsi="Century Gothic" w:cs="Arial"/>
          <w:color w:val="000000"/>
          <w:sz w:val="21"/>
          <w:szCs w:val="21"/>
          <w:lang w:val="es-MX"/>
        </w:rPr>
      </w:pPr>
      <w:r w:rsidRPr="000B5EEB">
        <w:rPr>
          <w:rFonts w:ascii="Century Gothic" w:eastAsia="Calibri" w:hAnsi="Century Gothic" w:cs="Arial"/>
          <w:color w:val="000000"/>
          <w:sz w:val="21"/>
          <w:szCs w:val="21"/>
          <w:lang w:val="es-MX"/>
        </w:rPr>
        <w:t>h) Para la prestación de servicios profesionales y de apoyo a la gestión, o para la ejecución de trabajos artísticos que sólo puedan encomendarse a determinadas personas naturales.</w:t>
      </w:r>
    </w:p>
    <w:p w14:paraId="5603639D" w14:textId="77777777" w:rsidR="00C63485" w:rsidRPr="000B5EEB" w:rsidRDefault="00C63485" w:rsidP="00C63485">
      <w:pPr>
        <w:spacing w:after="0" w:line="276" w:lineRule="auto"/>
        <w:ind w:left="709" w:right="760"/>
        <w:jc w:val="both"/>
        <w:rPr>
          <w:rFonts w:ascii="Century Gothic" w:eastAsia="Calibri" w:hAnsi="Century Gothic" w:cs="Arial"/>
          <w:color w:val="000000"/>
          <w:sz w:val="21"/>
          <w:szCs w:val="21"/>
          <w:lang w:val="es-MX"/>
        </w:rPr>
      </w:pPr>
    </w:p>
    <w:p w14:paraId="5B116450" w14:textId="77777777" w:rsidR="00C63485" w:rsidRPr="000B5EEB" w:rsidRDefault="00C63485" w:rsidP="00C63485">
      <w:pPr>
        <w:tabs>
          <w:tab w:val="left" w:pos="0"/>
        </w:tabs>
        <w:spacing w:after="0" w:line="276" w:lineRule="auto"/>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ab/>
      </w:r>
      <w:r w:rsidRPr="000B5EEB">
        <w:rPr>
          <w:rFonts w:ascii="Century Gothic" w:eastAsia="Times New Roman" w:hAnsi="Century Gothic" w:cs="Arial"/>
          <w:color w:val="000000"/>
          <w:szCs w:val="24"/>
          <w:lang w:val="es-ES_tradnl" w:eastAsia="es-ES_tradnl"/>
        </w:rPr>
        <w:t>A partir de las disposiciones citadas y de los pronunciamientos judiciales más destacados sobre el tema, es posible señalar las siguientes características del contrato de prestación de servicios</w:t>
      </w:r>
      <w:r w:rsidRPr="000B5EEB">
        <w:rPr>
          <w:rFonts w:ascii="Century Gothic" w:eastAsia="Times New Roman" w:hAnsi="Century Gothic" w:cs="Arial"/>
          <w:noProof/>
          <w:szCs w:val="24"/>
          <w:lang w:val="es-ES_tradnl" w:eastAsia="es-ES_tradnl"/>
        </w:rPr>
        <w:t>:</w:t>
      </w:r>
    </w:p>
    <w:p w14:paraId="45422894" w14:textId="77777777" w:rsidR="00C63485" w:rsidRPr="000B5EEB" w:rsidRDefault="00C63485" w:rsidP="00C63485">
      <w:pPr>
        <w:spacing w:before="120" w:after="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i) Solo puede celebrarse para realizar “actividades relacionadas con la administración o funcionamiento de la entidad”, es decir, que hagan parte de su giro ordinario o quehacer cotidiano.</w:t>
      </w:r>
    </w:p>
    <w:p w14:paraId="161B959A" w14:textId="77777777" w:rsidR="00C63485" w:rsidRPr="000B5EEB" w:rsidRDefault="00C63485" w:rsidP="00C63485">
      <w:pPr>
        <w:spacing w:before="120" w:after="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ii)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3B46F4A3" w14:textId="77777777" w:rsidR="00C63485" w:rsidRPr="000B5EEB" w:rsidRDefault="00C63485" w:rsidP="00C63485">
      <w:pPr>
        <w:spacing w:before="120" w:after="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lastRenderedPageBreak/>
        <w:t>iii) Si bien se celebran para obtener la prestación personal de un servicio, se diferencian del contrato de trabajo</w:t>
      </w:r>
      <w:r w:rsidRPr="000B5EEB">
        <w:rPr>
          <w:rFonts w:ascii="Century Gothic" w:eastAsia="Times New Roman" w:hAnsi="Century Gothic" w:cs="Arial"/>
          <w:noProof/>
          <w:szCs w:val="24"/>
          <w:vertAlign w:val="superscript"/>
          <w:lang w:val="es-ES_tradnl" w:eastAsia="es-ES_tradnl"/>
        </w:rPr>
        <w:footnoteReference w:id="14"/>
      </w:r>
      <w:r w:rsidRPr="000B5EEB">
        <w:rPr>
          <w:rFonts w:ascii="Century Gothic" w:eastAsia="Times New Roman" w:hAnsi="Century Gothic" w:cs="Arial"/>
          <w:noProof/>
          <w:szCs w:val="24"/>
          <w:lang w:val="es-ES_tradnl" w:eastAsia="es-ES_tradnl"/>
        </w:rPr>
        <w:t xml:space="preserve"> en que quien celebra el contrato de prestación de servicios debe mantener autonomía e independencia en la ejecución de la labor, lo que significa que no debe existir </w:t>
      </w:r>
      <w:r w:rsidRPr="000B5EEB">
        <w:rPr>
          <w:rFonts w:ascii="Century Gothic" w:eastAsia="Times New Roman" w:hAnsi="Century Gothic" w:cs="Arial"/>
          <w:i/>
          <w:noProof/>
          <w:szCs w:val="24"/>
          <w:lang w:val="es-ES_tradnl" w:eastAsia="es-ES_tradnl"/>
        </w:rPr>
        <w:t xml:space="preserve">subordinación </w:t>
      </w:r>
      <w:r w:rsidRPr="000B5EEB">
        <w:rPr>
          <w:rFonts w:ascii="Century Gothic" w:eastAsia="Times New Roman" w:hAnsi="Century Gothic" w:cs="Arial"/>
          <w:iCs/>
          <w:noProof/>
          <w:szCs w:val="24"/>
          <w:lang w:val="es-ES_tradnl" w:eastAsia="es-ES_tradnl"/>
        </w:rPr>
        <w:t>ni</w:t>
      </w:r>
      <w:r w:rsidRPr="000B5EEB">
        <w:rPr>
          <w:rFonts w:ascii="Century Gothic" w:eastAsia="Times New Roman" w:hAnsi="Century Gothic" w:cs="Arial"/>
          <w:i/>
          <w:noProof/>
          <w:szCs w:val="24"/>
          <w:lang w:val="es-ES_tradnl" w:eastAsia="es-ES_tradnl"/>
        </w:rPr>
        <w:t xml:space="preserve"> dependencia</w:t>
      </w:r>
      <w:r w:rsidRPr="000B5EEB">
        <w:rPr>
          <w:rFonts w:ascii="Century Gothic" w:eastAsia="Times New Roman" w:hAnsi="Century Gothic" w:cs="Arial"/>
          <w:iCs/>
          <w:noProof/>
          <w:szCs w:val="24"/>
          <w:lang w:val="es-ES_tradnl" w:eastAsia="es-ES_tradnl"/>
        </w:rPr>
        <w:t>,</w:t>
      </w:r>
      <w:r w:rsidRPr="000B5EEB">
        <w:rPr>
          <w:rFonts w:ascii="Century Gothic" w:eastAsia="Times New Roman" w:hAnsi="Century Gothic" w:cs="Arial"/>
          <w:noProof/>
          <w:szCs w:val="24"/>
          <w:lang w:val="es-ES_tradnl" w:eastAsia="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0B5EEB">
        <w:rPr>
          <w:rFonts w:ascii="Century Gothic" w:eastAsia="Times New Roman" w:hAnsi="Century Gothic" w:cs="Arial"/>
          <w:i/>
          <w:noProof/>
          <w:szCs w:val="24"/>
          <w:lang w:val="es-ES_tradnl" w:eastAsia="es-ES_tradnl"/>
        </w:rPr>
        <w:t>no pueden</w:t>
      </w:r>
      <w:r w:rsidRPr="000B5EEB">
        <w:rPr>
          <w:rFonts w:ascii="Century Gothic" w:eastAsia="Times New Roman" w:hAnsi="Century Gothic" w:cs="Arial"/>
          <w:noProof/>
          <w:szCs w:val="24"/>
          <w:lang w:val="es-ES_tradnl" w:eastAsia="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0B5EEB">
        <w:rPr>
          <w:rFonts w:ascii="Century Gothic" w:eastAsia="Times New Roman" w:hAnsi="Century Gothic" w:cs="Arial"/>
          <w:noProof/>
          <w:szCs w:val="24"/>
          <w:vertAlign w:val="superscript"/>
          <w:lang w:val="es-ES_tradnl" w:eastAsia="es-ES_tradnl"/>
        </w:rPr>
        <w:footnoteReference w:id="15"/>
      </w:r>
      <w:r w:rsidRPr="000B5EEB">
        <w:rPr>
          <w:rFonts w:ascii="Century Gothic" w:eastAsia="Times New Roman" w:hAnsi="Century Gothic" w:cs="Arial"/>
          <w:noProof/>
          <w:szCs w:val="24"/>
          <w:lang w:val="es-ES_tradnl" w:eastAsia="es-ES_tradnl"/>
        </w:rPr>
        <w:t xml:space="preserve">. </w:t>
      </w:r>
    </w:p>
    <w:p w14:paraId="2C23D3D4" w14:textId="77777777" w:rsidR="00C63485" w:rsidRPr="000B5EEB" w:rsidRDefault="00C63485" w:rsidP="00C63485">
      <w:pPr>
        <w:spacing w:before="120" w:after="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 xml:space="preserve">A pesar de este mandato deontológico, es posible que en la práctica se configure una relación laboral, pues el contrato de trabajo es </w:t>
      </w:r>
      <w:r w:rsidRPr="000B5EEB">
        <w:rPr>
          <w:rFonts w:ascii="Century Gothic" w:eastAsia="Times New Roman" w:hAnsi="Century Gothic" w:cs="Arial"/>
          <w:i/>
          <w:iCs/>
          <w:noProof/>
          <w:szCs w:val="24"/>
          <w:lang w:val="es-ES_tradnl" w:eastAsia="es-ES_tradnl"/>
        </w:rPr>
        <w:t xml:space="preserve">de </w:t>
      </w:r>
      <w:r w:rsidRPr="000B5EEB">
        <w:rPr>
          <w:rFonts w:ascii="Century Gothic" w:eastAsia="Times New Roman" w:hAnsi="Century Gothic" w:cs="Arial"/>
          <w:i/>
          <w:noProof/>
          <w:szCs w:val="24"/>
          <w:lang w:val="es-ES_tradnl" w:eastAsia="es-ES_tradnl"/>
        </w:rPr>
        <w:t>realidad</w:t>
      </w:r>
      <w:r w:rsidRPr="000B5EEB">
        <w:rPr>
          <w:rFonts w:ascii="Century Gothic" w:eastAsia="Times New Roman" w:hAnsi="Century Gothic" w:cs="Arial"/>
          <w:noProof/>
          <w:szCs w:val="24"/>
          <w:lang w:val="es-ES_tradnl" w:eastAsia="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0B5EEB">
        <w:rPr>
          <w:rFonts w:ascii="Century Gothic" w:eastAsia="Times New Roman" w:hAnsi="Century Gothic" w:cs="Arial"/>
          <w:noProof/>
          <w:szCs w:val="24"/>
          <w:vertAlign w:val="superscript"/>
          <w:lang w:val="es-ES_tradnl" w:eastAsia="es-ES_tradnl"/>
        </w:rPr>
        <w:footnoteReference w:id="16"/>
      </w:r>
      <w:r w:rsidRPr="000B5EEB">
        <w:rPr>
          <w:rFonts w:ascii="Century Gothic" w:eastAsia="Times New Roman" w:hAnsi="Century Gothic" w:cs="Arial"/>
          <w:noProof/>
          <w:szCs w:val="24"/>
          <w:lang w:val="es-ES_tradnl" w:eastAsia="es-ES_tradnl"/>
        </w:rPr>
        <w:t>.</w:t>
      </w:r>
    </w:p>
    <w:p w14:paraId="758231D9" w14:textId="77777777" w:rsidR="00C63485" w:rsidRPr="000B5EEB" w:rsidRDefault="00C63485" w:rsidP="00C63485">
      <w:pPr>
        <w:spacing w:before="120" w:after="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iv) Deben ser temporales. Así lo consideró la Corte Constitucional en la misma providencia a la que se aludió antes, expresando que:</w:t>
      </w:r>
    </w:p>
    <w:p w14:paraId="1EBF36C3" w14:textId="77777777" w:rsidR="00C63485" w:rsidRPr="000B5EEB" w:rsidRDefault="00C63485" w:rsidP="00C63485">
      <w:pPr>
        <w:spacing w:after="0" w:line="276" w:lineRule="auto"/>
        <w:jc w:val="both"/>
        <w:rPr>
          <w:rFonts w:ascii="Century Gothic" w:eastAsia="Times New Roman" w:hAnsi="Century Gothic" w:cs="Arial"/>
          <w:noProof/>
          <w:szCs w:val="24"/>
          <w:lang w:val="es-ES_tradnl" w:eastAsia="es-ES_tradnl"/>
        </w:rPr>
      </w:pPr>
    </w:p>
    <w:p w14:paraId="28A4A418" w14:textId="77777777" w:rsidR="00C63485" w:rsidRPr="000B5EEB" w:rsidRDefault="00C63485" w:rsidP="00C63485">
      <w:pPr>
        <w:spacing w:after="0" w:line="240" w:lineRule="auto"/>
        <w:ind w:left="709" w:right="709"/>
        <w:jc w:val="both"/>
        <w:rPr>
          <w:rFonts w:ascii="Century Gothic" w:eastAsia="Times New Roman" w:hAnsi="Century Gothic" w:cs="Arial"/>
          <w:noProof/>
          <w:sz w:val="21"/>
          <w:szCs w:val="21"/>
          <w:lang w:val="es-ES_tradnl" w:eastAsia="es-ES_tradnl"/>
        </w:rPr>
      </w:pPr>
      <w:r w:rsidRPr="000B5EEB">
        <w:rPr>
          <w:rFonts w:ascii="Century Gothic" w:eastAsia="Times New Roman" w:hAnsi="Century Gothic" w:cs="Arial"/>
          <w:noProof/>
          <w:sz w:val="21"/>
          <w:szCs w:val="21"/>
          <w:lang w:val="es-ES_tradnl" w:eastAsia="es-ES_tradnl"/>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w:t>
      </w:r>
      <w:r w:rsidRPr="000B5EEB">
        <w:rPr>
          <w:rFonts w:ascii="Century Gothic" w:eastAsia="Times New Roman" w:hAnsi="Century Gothic" w:cs="Arial"/>
          <w:noProof/>
          <w:sz w:val="21"/>
          <w:szCs w:val="21"/>
          <w:lang w:val="es-ES_tradnl" w:eastAsia="es-ES_tradnl"/>
        </w:rPr>
        <w:lastRenderedPageBreak/>
        <w:t>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0B5EEB">
        <w:rPr>
          <w:rFonts w:ascii="Century Gothic" w:eastAsia="Times New Roman" w:hAnsi="Century Gothic" w:cs="Arial"/>
          <w:noProof/>
          <w:sz w:val="21"/>
          <w:szCs w:val="21"/>
          <w:vertAlign w:val="superscript"/>
          <w:lang w:val="es-ES_tradnl" w:eastAsia="es-ES_tradnl"/>
        </w:rPr>
        <w:footnoteReference w:id="17"/>
      </w:r>
      <w:r w:rsidRPr="000B5EEB">
        <w:rPr>
          <w:rFonts w:ascii="Century Gothic" w:eastAsia="Times New Roman" w:hAnsi="Century Gothic" w:cs="Arial"/>
          <w:noProof/>
          <w:sz w:val="21"/>
          <w:szCs w:val="21"/>
          <w:lang w:val="es-ES_tradnl" w:eastAsia="es-ES_tradnl"/>
        </w:rPr>
        <w:t>.</w:t>
      </w:r>
    </w:p>
    <w:p w14:paraId="4F37EA9C" w14:textId="77777777" w:rsidR="00C63485" w:rsidRPr="000B5EEB" w:rsidRDefault="00C63485" w:rsidP="00C63485">
      <w:pPr>
        <w:spacing w:after="0" w:line="240" w:lineRule="auto"/>
        <w:ind w:left="709" w:right="709"/>
        <w:jc w:val="both"/>
        <w:rPr>
          <w:rFonts w:ascii="Century Gothic" w:eastAsia="Times New Roman" w:hAnsi="Century Gothic" w:cs="Arial"/>
          <w:noProof/>
          <w:sz w:val="21"/>
          <w:szCs w:val="21"/>
          <w:lang w:val="es-ES_tradnl" w:eastAsia="es-ES_tradnl"/>
        </w:rPr>
      </w:pPr>
    </w:p>
    <w:p w14:paraId="2F303DDC" w14:textId="77777777" w:rsidR="00C63485" w:rsidRPr="000B5EEB" w:rsidRDefault="00C63485" w:rsidP="00C63485">
      <w:pPr>
        <w:spacing w:after="120" w:line="276" w:lineRule="auto"/>
        <w:ind w:firstLine="709"/>
        <w:jc w:val="both"/>
        <w:rPr>
          <w:rFonts w:ascii="Century Gothic" w:eastAsia="Times New Roman" w:hAnsi="Century Gothic" w:cs="Arial"/>
          <w:noProof/>
          <w:lang w:val="es-ES_tradnl" w:eastAsia="es-ES_tradnl"/>
        </w:rPr>
      </w:pPr>
      <w:r w:rsidRPr="000B5EEB">
        <w:rPr>
          <w:rFonts w:ascii="Century Gothic" w:eastAsia="Times New Roman" w:hAnsi="Century Gothic" w:cs="Arial"/>
          <w:noProof/>
          <w:szCs w:val="24"/>
          <w:lang w:val="es-ES_tradnl" w:eastAsia="es-ES_tradnl"/>
        </w:rPr>
        <w:t>v) Se celebran a través de la modalidad de contratación directa, independientemente de la cuantía y del tipo de servicio profesional, siempre que su objeto no sea la consultoría. Esto por cuanto,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sidRPr="000B5EEB">
        <w:rPr>
          <w:rFonts w:ascii="Century Gothic" w:eastAsia="Times New Roman" w:hAnsi="Century Gothic" w:cs="Arial"/>
          <w:noProof/>
          <w:szCs w:val="24"/>
          <w:vertAlign w:val="superscript"/>
          <w:lang w:val="es-ES_tradnl" w:eastAsia="es-ES_tradnl"/>
        </w:rPr>
        <w:footnoteReference w:id="18"/>
      </w:r>
      <w:r w:rsidRPr="000B5EEB">
        <w:rPr>
          <w:rFonts w:ascii="Century Gothic" w:eastAsia="Times New Roman" w:hAnsi="Century Gothic" w:cs="Arial"/>
          <w:noProof/>
          <w:szCs w:val="24"/>
          <w:lang w:val="es-ES_tradnl" w:eastAsia="es-ES_tradnl"/>
        </w:rPr>
        <w:t xml:space="preserve">. </w:t>
      </w:r>
    </w:p>
    <w:p w14:paraId="68C1FCEF" w14:textId="77777777" w:rsidR="00C63485" w:rsidRPr="000B5EEB" w:rsidRDefault="00C63485" w:rsidP="00C63485">
      <w:pPr>
        <w:spacing w:after="12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Debe aclararse que no debe suscribirse un contrato de prestación de servicios profesionales para ejecutar actividades que se enmarcan en los otros contratos tipificados en el artículo 32 de la Ley 80 de 1993, como, por ejemplo, la construcción de una obra.</w:t>
      </w:r>
    </w:p>
    <w:p w14:paraId="751138C2" w14:textId="77777777" w:rsidR="00C63485" w:rsidRPr="000B5EEB" w:rsidRDefault="00C63485" w:rsidP="00C63485">
      <w:pPr>
        <w:spacing w:after="12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vi) Para celebrarlo no se requiere expedir un acto administrativo de justificación de la contratación directa</w:t>
      </w:r>
      <w:r w:rsidRPr="000B5EEB">
        <w:rPr>
          <w:rFonts w:ascii="Century Gothic" w:eastAsia="Times New Roman" w:hAnsi="Century Gothic" w:cs="Arial"/>
          <w:noProof/>
          <w:szCs w:val="24"/>
          <w:vertAlign w:val="superscript"/>
          <w:lang w:val="es-ES_tradnl" w:eastAsia="es-ES_tradnl"/>
        </w:rPr>
        <w:footnoteReference w:id="19"/>
      </w:r>
      <w:r w:rsidRPr="000B5EEB">
        <w:rPr>
          <w:rFonts w:ascii="Century Gothic" w:eastAsia="Times New Roman" w:hAnsi="Century Gothic" w:cs="Arial"/>
          <w:noProof/>
          <w:szCs w:val="24"/>
          <w:lang w:val="es-ES_tradnl" w:eastAsia="es-ES_tradnl"/>
        </w:rPr>
        <w:t>.</w:t>
      </w:r>
    </w:p>
    <w:p w14:paraId="30BB65CF" w14:textId="77777777" w:rsidR="00C63485" w:rsidRPr="000B5EEB" w:rsidRDefault="00C63485" w:rsidP="00C63485">
      <w:pPr>
        <w:spacing w:before="120" w:after="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0B5EEB">
        <w:rPr>
          <w:rFonts w:ascii="Century Gothic" w:eastAsia="Times New Roman" w:hAnsi="Century Gothic" w:cs="Arial"/>
          <w:noProof/>
          <w:szCs w:val="24"/>
          <w:vertAlign w:val="superscript"/>
          <w:lang w:val="es-ES_tradnl" w:eastAsia="es-ES_tradnl"/>
        </w:rPr>
        <w:footnoteReference w:id="20"/>
      </w:r>
      <w:r w:rsidRPr="000B5EEB">
        <w:rPr>
          <w:rFonts w:ascii="Century Gothic" w:eastAsia="Times New Roman" w:hAnsi="Century Gothic" w:cs="Arial"/>
          <w:noProof/>
          <w:szCs w:val="24"/>
          <w:lang w:val="es-ES_tradnl" w:eastAsia="es-ES_tradnl"/>
        </w:rPr>
        <w:t>.</w:t>
      </w:r>
    </w:p>
    <w:p w14:paraId="203D8F71" w14:textId="77777777" w:rsidR="00C63485" w:rsidRPr="000B5EEB" w:rsidRDefault="00C63485" w:rsidP="00C63485">
      <w:pPr>
        <w:spacing w:before="120" w:after="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lastRenderedPageBreak/>
        <w:t>viii) No es obligatorio liquidar estos contratos, como lo establece el artículo 217 del Decreto 019 de 2012, que modificó el artículo 60 de la Ley 80 de 1993</w:t>
      </w:r>
      <w:r w:rsidRPr="000B5EEB">
        <w:rPr>
          <w:rFonts w:ascii="Century Gothic" w:eastAsia="Times New Roman" w:hAnsi="Century Gothic" w:cs="Arial"/>
          <w:noProof/>
          <w:szCs w:val="24"/>
          <w:vertAlign w:val="superscript"/>
          <w:lang w:val="es-ES_tradnl" w:eastAsia="es-ES_tradnl"/>
        </w:rPr>
        <w:footnoteReference w:id="21"/>
      </w:r>
      <w:r w:rsidRPr="000B5EEB">
        <w:rPr>
          <w:rFonts w:ascii="Century Gothic" w:eastAsia="Times New Roman" w:hAnsi="Century Gothic" w:cs="Arial"/>
          <w:noProof/>
          <w:szCs w:val="24"/>
          <w:lang w:val="es-ES_tradnl" w:eastAsia="es-ES_tradnl"/>
        </w:rPr>
        <w:t>.</w:t>
      </w:r>
    </w:p>
    <w:p w14:paraId="74B4A256" w14:textId="77777777" w:rsidR="00C63485" w:rsidRPr="000B5EEB" w:rsidRDefault="00C63485" w:rsidP="00C63485">
      <w:pPr>
        <w:spacing w:before="120" w:after="0" w:line="276" w:lineRule="auto"/>
        <w:ind w:firstLine="709"/>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ix) Para celebrarlos no se requiere estar inscrito en el Registro Único de Proponentes –RUP–, como lo señala el artículo 6 de la Ley 1150 de 2007</w:t>
      </w:r>
      <w:r w:rsidRPr="000B5EEB">
        <w:rPr>
          <w:rFonts w:ascii="Century Gothic" w:eastAsia="Times New Roman" w:hAnsi="Century Gothic" w:cs="Arial"/>
          <w:noProof/>
          <w:szCs w:val="24"/>
          <w:vertAlign w:val="superscript"/>
          <w:lang w:val="es-ES_tradnl" w:eastAsia="es-ES_tradnl"/>
        </w:rPr>
        <w:footnoteReference w:id="22"/>
      </w:r>
      <w:r w:rsidRPr="000B5EEB">
        <w:rPr>
          <w:rFonts w:ascii="Century Gothic" w:eastAsia="Times New Roman" w:hAnsi="Century Gothic" w:cs="Arial"/>
          <w:noProof/>
          <w:szCs w:val="24"/>
          <w:lang w:val="es-ES_tradnl" w:eastAsia="es-ES_tradnl"/>
        </w:rPr>
        <w:t>.</w:t>
      </w:r>
    </w:p>
    <w:p w14:paraId="50C4B799" w14:textId="77777777" w:rsidR="00C63485" w:rsidRPr="000B5EEB" w:rsidRDefault="00C63485" w:rsidP="00C63485">
      <w:pPr>
        <w:spacing w:before="120" w:after="0" w:line="276" w:lineRule="auto"/>
        <w:ind w:firstLine="708"/>
        <w:jc w:val="both"/>
        <w:rPr>
          <w:rFonts w:ascii="Century Gothic" w:eastAsia="Times New Roman" w:hAnsi="Century Gothic" w:cs="Arial"/>
          <w:noProof/>
          <w:szCs w:val="24"/>
          <w:lang w:val="es-ES_tradnl" w:eastAsia="es-ES_tradnl"/>
        </w:rPr>
      </w:pPr>
      <w:r w:rsidRPr="000B5EEB">
        <w:rPr>
          <w:rFonts w:ascii="Century Gothic" w:eastAsia="Times New Roman" w:hAnsi="Century Gothic" w:cs="Arial"/>
          <w:noProof/>
          <w:szCs w:val="24"/>
          <w:lang w:val="es-ES_tradnl" w:eastAsia="es-ES_tradnl"/>
        </w:rPr>
        <w:t>x) No es necesario que el Estado exija garantías</w:t>
      </w:r>
      <w:r w:rsidRPr="000B5EEB">
        <w:rPr>
          <w:rFonts w:ascii="Century Gothic" w:eastAsia="Times New Roman" w:hAnsi="Century Gothic" w:cs="Arial"/>
          <w:noProof/>
          <w:szCs w:val="24"/>
          <w:vertAlign w:val="superscript"/>
          <w:lang w:val="es-ES_tradnl" w:eastAsia="es-ES_tradnl"/>
        </w:rPr>
        <w:footnoteReference w:id="23"/>
      </w:r>
      <w:r w:rsidRPr="000B5EEB">
        <w:rPr>
          <w:rFonts w:ascii="Century Gothic" w:eastAsia="Times New Roman" w:hAnsi="Century Gothic" w:cs="Arial"/>
          <w:noProof/>
          <w:szCs w:val="24"/>
          <w:lang w:val="es-ES_tradnl" w:eastAsia="es-ES_tradnl"/>
        </w:rPr>
        <w:t>.</w:t>
      </w:r>
    </w:p>
    <w:p w14:paraId="25C45A40" w14:textId="77777777" w:rsidR="00C63485" w:rsidRPr="000B5EEB" w:rsidRDefault="00C63485" w:rsidP="00C63485">
      <w:pPr>
        <w:tabs>
          <w:tab w:val="left" w:pos="0"/>
        </w:tabs>
        <w:spacing w:before="120" w:after="0" w:line="276" w:lineRule="auto"/>
        <w:ind w:firstLine="709"/>
        <w:jc w:val="both"/>
        <w:rPr>
          <w:rFonts w:ascii="Century Gothic" w:eastAsia="Times New Roman" w:hAnsi="Century Gothic" w:cs="Arial"/>
          <w:color w:val="000000"/>
          <w:sz w:val="21"/>
          <w:szCs w:val="21"/>
          <w:lang w:eastAsia="es-ES_tradnl"/>
        </w:rPr>
      </w:pPr>
      <w:r w:rsidRPr="000B5EEB">
        <w:rPr>
          <w:rFonts w:ascii="Century Gothic" w:eastAsia="Times New Roman" w:hAnsi="Century Gothic" w:cs="Arial"/>
          <w:color w:val="000000"/>
          <w:szCs w:val="24"/>
          <w:lang w:eastAsia="es-ES_tradnl"/>
        </w:rPr>
        <w:t xml:space="preserve">Ahora bien, como especies del género </w:t>
      </w:r>
      <w:r w:rsidRPr="000B5EEB">
        <w:rPr>
          <w:rFonts w:ascii="Century Gothic" w:eastAsia="Times New Roman" w:hAnsi="Century Gothic" w:cs="Arial"/>
          <w:i/>
          <w:color w:val="000000"/>
          <w:szCs w:val="24"/>
          <w:lang w:eastAsia="es-ES_tradnl"/>
        </w:rPr>
        <w:t>prestación de servicios,</w:t>
      </w:r>
      <w:r w:rsidRPr="000B5EEB">
        <w:rPr>
          <w:rFonts w:ascii="Century Gothic" w:eastAsia="Times New Roman" w:hAnsi="Century Gothic" w:cs="Arial"/>
          <w:color w:val="000000"/>
          <w:szCs w:val="24"/>
          <w:lang w:eastAsia="es-ES_tradnl"/>
        </w:rPr>
        <w:t xml:space="preserve"> se incluyen </w:t>
      </w:r>
      <w:r w:rsidRPr="000B5EEB">
        <w:rPr>
          <w:rFonts w:ascii="Century Gothic" w:eastAsia="Times New Roman" w:hAnsi="Century Gothic" w:cs="Arial"/>
          <w:color w:val="000000"/>
          <w:szCs w:val="24"/>
          <w:lang w:val="es-ES_tradnl" w:eastAsia="es-ES_tradnl"/>
        </w:rPr>
        <w:t xml:space="preserve">los </w:t>
      </w:r>
      <w:r w:rsidRPr="000B5EEB">
        <w:rPr>
          <w:rFonts w:ascii="Century Gothic" w:eastAsia="Times New Roman" w:hAnsi="Century Gothic" w:cs="Arial"/>
          <w:i/>
          <w:iCs/>
          <w:color w:val="000000"/>
          <w:szCs w:val="24"/>
          <w:lang w:val="es-ES_tradnl" w:eastAsia="es-ES_tradnl"/>
        </w:rPr>
        <w:t>contratos de prestación de servicios profesionales, los contratos de prestación de servicios apoyo a la gestión</w:t>
      </w:r>
      <w:r w:rsidRPr="000B5EEB">
        <w:rPr>
          <w:rFonts w:ascii="Century Gothic" w:eastAsia="Times New Roman" w:hAnsi="Century Gothic" w:cs="Arial"/>
          <w:color w:val="000000"/>
          <w:szCs w:val="24"/>
          <w:lang w:val="es-ES_tradnl" w:eastAsia="es-ES_tradnl"/>
        </w:rPr>
        <w:t xml:space="preserve"> y los </w:t>
      </w:r>
      <w:r w:rsidRPr="000B5EEB">
        <w:rPr>
          <w:rFonts w:ascii="Century Gothic" w:eastAsia="Times New Roman" w:hAnsi="Century Gothic" w:cs="Arial"/>
          <w:i/>
          <w:iCs/>
          <w:color w:val="000000"/>
          <w:szCs w:val="24"/>
          <w:lang w:val="es-ES_tradnl" w:eastAsia="es-ES_tradnl"/>
        </w:rPr>
        <w:t>contratos de prestación de servicios artísticos que solo pueden encomendarse a determinadas personas naturales</w:t>
      </w:r>
      <w:r w:rsidRPr="000B5EEB">
        <w:rPr>
          <w:rFonts w:ascii="Century Gothic" w:eastAsia="Times New Roman" w:hAnsi="Century Gothic" w:cs="Arial"/>
          <w:color w:val="000000"/>
          <w:szCs w:val="24"/>
          <w:vertAlign w:val="superscript"/>
          <w:lang w:val="es-ES_tradnl" w:eastAsia="es-ES_tradnl"/>
        </w:rPr>
        <w:footnoteReference w:id="24"/>
      </w:r>
      <w:r w:rsidRPr="000B5EEB">
        <w:rPr>
          <w:rFonts w:ascii="Century Gothic" w:eastAsia="Times New Roman" w:hAnsi="Century Gothic" w:cs="Arial"/>
          <w:color w:val="000000"/>
          <w:szCs w:val="24"/>
          <w:lang w:eastAsia="es-ES_tradnl"/>
        </w:rPr>
        <w:t xml:space="preserve">. </w:t>
      </w:r>
      <w:r w:rsidRPr="000B5EEB">
        <w:rPr>
          <w:rFonts w:ascii="Century Gothic" w:eastAsia="Times New Roman" w:hAnsi="Century Gothic" w:cs="Arial"/>
          <w:color w:val="000000"/>
          <w:szCs w:val="24"/>
          <w:lang w:val="es-ES_tradnl" w:eastAsia="es-ES_tradnl"/>
        </w:rPr>
        <w:t xml:space="preserve">La diferencia entre el contrato de prestación de servicios </w:t>
      </w:r>
      <w:r w:rsidRPr="000B5EEB">
        <w:rPr>
          <w:rFonts w:ascii="Century Gothic" w:eastAsia="Times New Roman" w:hAnsi="Century Gothic" w:cs="Arial"/>
          <w:i/>
          <w:color w:val="000000"/>
          <w:szCs w:val="24"/>
          <w:lang w:val="es-ES_tradnl" w:eastAsia="es-ES_tradnl"/>
        </w:rPr>
        <w:t>profesionales</w:t>
      </w:r>
      <w:r w:rsidRPr="000B5EEB">
        <w:rPr>
          <w:rFonts w:ascii="Century Gothic" w:eastAsia="Times New Roman" w:hAnsi="Century Gothic" w:cs="Arial"/>
          <w:color w:val="000000"/>
          <w:szCs w:val="24"/>
          <w:lang w:val="es-ES_tradnl" w:eastAsia="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78C711C7" w14:textId="77777777" w:rsidR="00C63485" w:rsidRPr="000B5EEB" w:rsidRDefault="00C63485" w:rsidP="00C63485">
      <w:pPr>
        <w:spacing w:after="0" w:line="276" w:lineRule="auto"/>
        <w:ind w:firstLine="709"/>
        <w:jc w:val="both"/>
        <w:rPr>
          <w:rFonts w:ascii="Century Gothic" w:eastAsia="Times New Roman" w:hAnsi="Century Gothic" w:cs="Arial"/>
          <w:color w:val="000000"/>
          <w:szCs w:val="24"/>
          <w:lang w:val="es-ES_tradnl" w:eastAsia="es-ES_tradnl"/>
        </w:rPr>
      </w:pPr>
    </w:p>
    <w:p w14:paraId="0801F8E8" w14:textId="77777777" w:rsidR="00C63485" w:rsidRPr="000B5EEB" w:rsidRDefault="00C63485" w:rsidP="00C63485">
      <w:pPr>
        <w:spacing w:after="0" w:line="240" w:lineRule="auto"/>
        <w:ind w:left="709" w:right="709"/>
        <w:jc w:val="both"/>
        <w:rPr>
          <w:rFonts w:ascii="Century Gothic" w:eastAsia="Times New Roman" w:hAnsi="Century Gothic" w:cs="Arial"/>
          <w:color w:val="000000"/>
          <w:sz w:val="21"/>
          <w:szCs w:val="21"/>
          <w:lang w:val="es-ES_tradnl" w:eastAsia="es-ES_tradnl"/>
        </w:rPr>
      </w:pPr>
      <w:r w:rsidRPr="000B5EEB">
        <w:rPr>
          <w:rFonts w:ascii="Century Gothic" w:eastAsia="Times New Roman" w:hAnsi="Century Gothic" w:cs="Arial"/>
          <w:color w:val="000000"/>
          <w:sz w:val="21"/>
          <w:szCs w:val="21"/>
          <w:lang w:val="es-ES_tradnl" w:eastAsia="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w:t>
      </w:r>
      <w:r w:rsidRPr="000B5EEB">
        <w:rPr>
          <w:rFonts w:ascii="Century Gothic" w:eastAsia="Times New Roman" w:hAnsi="Century Gothic" w:cs="Arial"/>
          <w:color w:val="000000"/>
          <w:sz w:val="21"/>
          <w:szCs w:val="21"/>
          <w:lang w:val="es-ES_tradnl" w:eastAsia="es-ES_tradnl"/>
        </w:rPr>
        <w:lastRenderedPageBreak/>
        <w:t>profesionales. Se caracteriza por demandar un conocimiento intelectivo cualificado: el saber profesional</w:t>
      </w:r>
      <w:r w:rsidRPr="000B5EEB">
        <w:rPr>
          <w:rFonts w:ascii="Century Gothic" w:eastAsia="Times New Roman" w:hAnsi="Century Gothic" w:cs="Arial"/>
          <w:color w:val="000000"/>
          <w:sz w:val="21"/>
          <w:szCs w:val="21"/>
          <w:vertAlign w:val="superscript"/>
          <w:lang w:val="es-ES_tradnl" w:eastAsia="es-ES_tradnl"/>
        </w:rPr>
        <w:footnoteReference w:id="25"/>
      </w:r>
      <w:r w:rsidRPr="000B5EEB">
        <w:rPr>
          <w:rFonts w:ascii="Century Gothic" w:eastAsia="Times New Roman" w:hAnsi="Century Gothic" w:cs="Arial"/>
          <w:color w:val="000000"/>
          <w:sz w:val="21"/>
          <w:szCs w:val="21"/>
          <w:lang w:val="es-ES_tradnl" w:eastAsia="es-ES_tradnl"/>
        </w:rPr>
        <w:t>.</w:t>
      </w:r>
    </w:p>
    <w:p w14:paraId="4EB68843" w14:textId="77777777" w:rsidR="00C63485" w:rsidRPr="000B5EEB" w:rsidRDefault="00C63485" w:rsidP="00C63485">
      <w:pPr>
        <w:spacing w:after="0" w:line="276" w:lineRule="auto"/>
        <w:ind w:firstLine="709"/>
        <w:jc w:val="both"/>
        <w:rPr>
          <w:rFonts w:ascii="Century Gothic" w:eastAsia="Times New Roman" w:hAnsi="Century Gothic" w:cs="Arial"/>
          <w:color w:val="000000"/>
          <w:lang w:val="es-ES_tradnl" w:eastAsia="es-ES_tradnl"/>
        </w:rPr>
      </w:pPr>
    </w:p>
    <w:p w14:paraId="4B966415" w14:textId="77777777" w:rsidR="00C63485" w:rsidRPr="000B5EEB" w:rsidRDefault="00C63485" w:rsidP="00C63485">
      <w:pPr>
        <w:spacing w:after="0" w:line="276" w:lineRule="auto"/>
        <w:ind w:firstLine="709"/>
        <w:jc w:val="both"/>
        <w:rPr>
          <w:rFonts w:ascii="Century Gothic" w:eastAsia="Times New Roman" w:hAnsi="Century Gothic" w:cs="Arial"/>
          <w:color w:val="000000"/>
          <w:szCs w:val="24"/>
          <w:lang w:val="es-ES_tradnl" w:eastAsia="es-ES_tradnl"/>
        </w:rPr>
      </w:pPr>
      <w:r w:rsidRPr="000B5EEB">
        <w:rPr>
          <w:rFonts w:ascii="Century Gothic" w:eastAsia="Times New Roman" w:hAnsi="Century Gothic" w:cs="Arial"/>
          <w:color w:val="000000"/>
          <w:szCs w:val="24"/>
          <w:lang w:val="es-ES_tradnl" w:eastAsia="es-ES_tradnl"/>
        </w:rPr>
        <w:t xml:space="preserve">Lo expuesto, según la jurisprudencia citada, se diferencia del objeto del </w:t>
      </w:r>
      <w:r w:rsidRPr="000B5EEB">
        <w:rPr>
          <w:rFonts w:ascii="Century Gothic" w:eastAsia="Times New Roman" w:hAnsi="Century Gothic" w:cs="Arial"/>
          <w:i/>
          <w:iCs/>
          <w:color w:val="000000"/>
          <w:szCs w:val="24"/>
          <w:lang w:val="es-ES_tradnl" w:eastAsia="es-ES_tradnl"/>
        </w:rPr>
        <w:t>contrato de prestación de servicios de apoyo a la gestión</w:t>
      </w:r>
      <w:r w:rsidRPr="000B5EEB">
        <w:rPr>
          <w:rFonts w:ascii="Century Gothic" w:eastAsia="Times New Roman" w:hAnsi="Century Gothic" w:cs="Arial"/>
          <w:color w:val="000000"/>
          <w:szCs w:val="24"/>
          <w:lang w:val="es-ES_tradnl" w:eastAsia="es-ES_tradnl"/>
        </w:rPr>
        <w:t>, en los siguientes aspectos:</w:t>
      </w:r>
    </w:p>
    <w:p w14:paraId="638A4920" w14:textId="77777777" w:rsidR="00C63485" w:rsidRPr="000B5EEB" w:rsidRDefault="00C63485" w:rsidP="00C63485">
      <w:pPr>
        <w:spacing w:after="0" w:line="276" w:lineRule="auto"/>
        <w:ind w:firstLine="709"/>
        <w:jc w:val="both"/>
        <w:rPr>
          <w:rFonts w:ascii="Century Gothic" w:eastAsia="Times New Roman" w:hAnsi="Century Gothic" w:cs="Arial"/>
          <w:color w:val="000000"/>
          <w:szCs w:val="24"/>
          <w:lang w:val="es-ES_tradnl" w:eastAsia="es-ES_tradnl"/>
        </w:rPr>
      </w:pPr>
    </w:p>
    <w:p w14:paraId="4B24461D" w14:textId="77777777" w:rsidR="00C63485" w:rsidRPr="000B5EEB" w:rsidRDefault="00C63485" w:rsidP="00C63485">
      <w:pPr>
        <w:spacing w:after="120" w:line="240" w:lineRule="auto"/>
        <w:ind w:left="709" w:right="709"/>
        <w:jc w:val="both"/>
        <w:rPr>
          <w:rFonts w:ascii="Century Gothic" w:eastAsia="Times New Roman" w:hAnsi="Century Gothic" w:cs="Arial"/>
          <w:color w:val="000000"/>
          <w:sz w:val="21"/>
          <w:szCs w:val="21"/>
          <w:lang w:val="es-ES_tradnl" w:eastAsia="es-ES_tradnl"/>
        </w:rPr>
      </w:pPr>
      <w:r w:rsidRPr="000B5EEB">
        <w:rPr>
          <w:rFonts w:ascii="Century Gothic" w:eastAsia="Times New Roman" w:hAnsi="Century Gothic" w:cs="Arial"/>
          <w:color w:val="000000"/>
          <w:sz w:val="21"/>
          <w:szCs w:val="21"/>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49A2992E" w14:textId="77777777" w:rsidR="00C63485" w:rsidRPr="000B5EEB" w:rsidRDefault="00C63485" w:rsidP="00C63485">
      <w:pPr>
        <w:spacing w:after="120" w:line="240" w:lineRule="auto"/>
        <w:ind w:left="709" w:right="709"/>
        <w:jc w:val="both"/>
        <w:rPr>
          <w:rFonts w:ascii="Century Gothic" w:eastAsia="Times New Roman" w:hAnsi="Century Gothic" w:cs="Arial"/>
          <w:color w:val="000000"/>
          <w:sz w:val="21"/>
          <w:szCs w:val="21"/>
          <w:lang w:val="es-ES" w:eastAsia="es-ES"/>
        </w:rPr>
      </w:pPr>
      <w:r w:rsidRPr="0A251CB2">
        <w:rPr>
          <w:rFonts w:ascii="Century Gothic" w:eastAsia="Times New Roman" w:hAnsi="Century Gothic" w:cs="Arial"/>
          <w:color w:val="000000" w:themeColor="text1"/>
          <w:sz w:val="21"/>
          <w:szCs w:val="21"/>
          <w:lang w:val="es-ES" w:eastAsia="es-ES"/>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7DDB60F5" w14:textId="77777777" w:rsidR="00C63485" w:rsidRPr="000B5EEB" w:rsidRDefault="00C63485" w:rsidP="00C63485">
      <w:pPr>
        <w:spacing w:after="0" w:line="240" w:lineRule="auto"/>
        <w:ind w:left="709" w:right="709"/>
        <w:jc w:val="both"/>
        <w:rPr>
          <w:rFonts w:ascii="Century Gothic" w:eastAsia="Times New Roman" w:hAnsi="Century Gothic" w:cs="Arial"/>
          <w:color w:val="000000"/>
          <w:sz w:val="21"/>
          <w:szCs w:val="21"/>
          <w:lang w:val="es-ES_tradnl" w:eastAsia="es-ES_tradnl"/>
        </w:rPr>
      </w:pPr>
      <w:r w:rsidRPr="000B5EEB">
        <w:rPr>
          <w:rFonts w:ascii="Century Gothic" w:eastAsia="Times New Roman" w:hAnsi="Century Gothic" w:cs="Arial"/>
          <w:color w:val="000000"/>
          <w:sz w:val="21"/>
          <w:szCs w:val="21"/>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r w:rsidRPr="000B5EEB">
        <w:rPr>
          <w:rFonts w:ascii="Century Gothic" w:eastAsia="Times New Roman" w:hAnsi="Century Gothic" w:cs="Arial"/>
          <w:color w:val="000000"/>
          <w:sz w:val="21"/>
          <w:szCs w:val="21"/>
          <w:vertAlign w:val="superscript"/>
          <w:lang w:val="es-ES_tradnl" w:eastAsia="es-ES_tradnl"/>
        </w:rPr>
        <w:footnoteReference w:id="26"/>
      </w:r>
      <w:r w:rsidRPr="000B5EEB">
        <w:rPr>
          <w:rFonts w:ascii="Century Gothic" w:eastAsia="Times New Roman" w:hAnsi="Century Gothic" w:cs="Arial"/>
          <w:color w:val="000000"/>
          <w:sz w:val="21"/>
          <w:szCs w:val="21"/>
          <w:lang w:val="es-ES_tradnl" w:eastAsia="es-ES_tradnl"/>
        </w:rPr>
        <w:t>.</w:t>
      </w:r>
    </w:p>
    <w:p w14:paraId="6423A2BE" w14:textId="77777777" w:rsidR="00C63485" w:rsidRPr="000B5EEB" w:rsidRDefault="00C63485" w:rsidP="00C63485">
      <w:pPr>
        <w:spacing w:after="0" w:line="276" w:lineRule="auto"/>
        <w:ind w:firstLine="709"/>
        <w:jc w:val="both"/>
        <w:rPr>
          <w:rFonts w:ascii="Century Gothic" w:eastAsia="Times New Roman" w:hAnsi="Century Gothic" w:cs="Arial"/>
          <w:color w:val="000000"/>
          <w:lang w:val="es-ES_tradnl" w:eastAsia="es-ES_tradnl"/>
        </w:rPr>
      </w:pPr>
    </w:p>
    <w:p w14:paraId="46274A16" w14:textId="77777777" w:rsidR="00C63485" w:rsidRPr="000B5EEB" w:rsidRDefault="00C63485" w:rsidP="00C63485">
      <w:pPr>
        <w:spacing w:after="0" w:line="276" w:lineRule="auto"/>
        <w:ind w:firstLine="709"/>
        <w:jc w:val="both"/>
        <w:rPr>
          <w:rFonts w:ascii="Century Gothic" w:eastAsia="Times New Roman" w:hAnsi="Century Gothic" w:cs="Arial"/>
          <w:color w:val="000000"/>
          <w:szCs w:val="24"/>
          <w:lang w:val="es-ES_tradnl" w:eastAsia="es-ES_tradnl"/>
        </w:rPr>
      </w:pPr>
      <w:r w:rsidRPr="000B5EEB">
        <w:rPr>
          <w:rFonts w:ascii="Century Gothic" w:eastAsia="Times New Roman" w:hAnsi="Century Gothic" w:cs="Arial"/>
          <w:color w:val="000000"/>
          <w:szCs w:val="24"/>
          <w:lang w:val="es-ES_tradnl" w:eastAsia="es-ES_tradnl"/>
        </w:rPr>
        <w:t xml:space="preserve">En relación con el </w:t>
      </w:r>
      <w:r w:rsidRPr="000B5EEB">
        <w:rPr>
          <w:rFonts w:ascii="Century Gothic" w:eastAsia="Times New Roman" w:hAnsi="Century Gothic" w:cs="Arial"/>
          <w:i/>
          <w:iCs/>
          <w:color w:val="000000"/>
          <w:szCs w:val="24"/>
          <w:lang w:val="es-ES_tradnl" w:eastAsia="es-ES_tradnl"/>
        </w:rPr>
        <w:t>contrato de prestación de servicios artísticos que solo pueden encomendarse a determinadas personas naturales</w:t>
      </w:r>
      <w:r w:rsidRPr="000B5EEB">
        <w:rPr>
          <w:rFonts w:ascii="Century Gothic" w:eastAsia="Times New Roman" w:hAnsi="Century Gothic" w:cs="Arial"/>
          <w:color w:val="000000"/>
          <w:szCs w:val="24"/>
          <w:lang w:val="es-ES_tradnl" w:eastAsia="es-ES_tradnl"/>
        </w:rPr>
        <w:t>, señala la mencionada decisión judicial lo siguiente:</w:t>
      </w:r>
    </w:p>
    <w:p w14:paraId="6C51F984" w14:textId="77777777" w:rsidR="00C63485" w:rsidRPr="000B5EEB" w:rsidRDefault="00C63485" w:rsidP="00C63485">
      <w:pPr>
        <w:spacing w:after="0" w:line="240" w:lineRule="auto"/>
        <w:ind w:left="709" w:right="709"/>
        <w:jc w:val="both"/>
        <w:rPr>
          <w:rFonts w:ascii="Century Gothic" w:eastAsia="Times New Roman" w:hAnsi="Century Gothic" w:cs="Arial"/>
          <w:color w:val="000000"/>
          <w:sz w:val="21"/>
          <w:szCs w:val="21"/>
          <w:lang w:val="es-ES_tradnl" w:eastAsia="es-ES_tradnl"/>
        </w:rPr>
      </w:pPr>
    </w:p>
    <w:p w14:paraId="1FDE40C1" w14:textId="77777777" w:rsidR="00C63485" w:rsidRPr="000B5EEB" w:rsidRDefault="00C63485" w:rsidP="00C63485">
      <w:pPr>
        <w:spacing w:after="0" w:line="240" w:lineRule="auto"/>
        <w:ind w:left="709" w:right="709"/>
        <w:jc w:val="both"/>
        <w:rPr>
          <w:rFonts w:ascii="Century Gothic" w:eastAsia="Times New Roman" w:hAnsi="Century Gothic" w:cs="Arial"/>
          <w:color w:val="000000"/>
          <w:sz w:val="21"/>
          <w:szCs w:val="21"/>
          <w:lang w:val="es-ES_tradnl" w:eastAsia="es-ES_tradnl"/>
        </w:rPr>
      </w:pPr>
      <w:r w:rsidRPr="000B5EEB">
        <w:rPr>
          <w:rFonts w:ascii="Century Gothic" w:eastAsia="Times New Roman" w:hAnsi="Century Gothic" w:cs="Arial"/>
          <w:color w:val="000000"/>
          <w:sz w:val="21"/>
          <w:szCs w:val="21"/>
          <w:lang w:val="es-ES_tradnl" w:eastAsia="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0B5EEB">
        <w:rPr>
          <w:rFonts w:ascii="Century Gothic" w:eastAsia="Times New Roman" w:hAnsi="Century Gothic" w:cs="Arial"/>
          <w:color w:val="000000"/>
          <w:sz w:val="21"/>
          <w:szCs w:val="21"/>
          <w:vertAlign w:val="superscript"/>
          <w:lang w:val="es-ES_tradnl" w:eastAsia="es-ES_tradnl"/>
        </w:rPr>
        <w:footnoteReference w:id="27"/>
      </w:r>
      <w:r w:rsidRPr="000B5EEB">
        <w:rPr>
          <w:rFonts w:ascii="Century Gothic" w:eastAsia="Times New Roman" w:hAnsi="Century Gothic" w:cs="Arial"/>
          <w:color w:val="000000"/>
          <w:sz w:val="21"/>
          <w:szCs w:val="21"/>
          <w:lang w:val="es-ES_tradnl" w:eastAsia="es-ES_tradnl"/>
        </w:rPr>
        <w:t>.</w:t>
      </w:r>
    </w:p>
    <w:p w14:paraId="2C66F312" w14:textId="77777777" w:rsidR="00C63485" w:rsidRPr="000B5EEB" w:rsidRDefault="00C63485" w:rsidP="00C63485">
      <w:pPr>
        <w:spacing w:after="0" w:line="240" w:lineRule="auto"/>
        <w:ind w:left="709" w:right="709"/>
        <w:jc w:val="both"/>
        <w:rPr>
          <w:rFonts w:ascii="Century Gothic" w:eastAsia="Times New Roman" w:hAnsi="Century Gothic" w:cs="Arial"/>
          <w:color w:val="000000"/>
          <w:sz w:val="21"/>
          <w:szCs w:val="21"/>
          <w:lang w:val="es-ES_tradnl" w:eastAsia="es-ES_tradnl"/>
        </w:rPr>
      </w:pPr>
    </w:p>
    <w:p w14:paraId="0487D3E8" w14:textId="77777777" w:rsidR="00C63485" w:rsidRPr="000B5EEB" w:rsidRDefault="00C63485" w:rsidP="00C63485">
      <w:pPr>
        <w:spacing w:after="0" w:line="276" w:lineRule="auto"/>
        <w:ind w:firstLine="709"/>
        <w:jc w:val="both"/>
        <w:rPr>
          <w:rFonts w:ascii="Century Gothic" w:eastAsia="Times New Roman" w:hAnsi="Century Gothic" w:cs="Arial"/>
          <w:color w:val="000000"/>
          <w:szCs w:val="24"/>
          <w:lang w:eastAsia="es-ES_tradnl"/>
        </w:rPr>
      </w:pPr>
      <w:r w:rsidRPr="000B5EEB">
        <w:rPr>
          <w:rFonts w:ascii="Century Gothic" w:eastAsia="Times New Roman" w:hAnsi="Century Gothic" w:cs="Arial"/>
          <w:color w:val="000000"/>
          <w:szCs w:val="24"/>
          <w:lang w:val="es-ES_tradnl" w:eastAsia="es-ES_tradnl"/>
        </w:rPr>
        <w:t xml:space="preserve">En este sentido, el contrato de prestación de servicios </w:t>
      </w:r>
      <w:r w:rsidRPr="000B5EEB">
        <w:rPr>
          <w:rFonts w:ascii="Century Gothic" w:eastAsia="Times New Roman" w:hAnsi="Century Gothic" w:cs="Arial"/>
          <w:i/>
          <w:iCs/>
          <w:color w:val="000000"/>
          <w:szCs w:val="24"/>
          <w:lang w:val="es-ES_tradnl" w:eastAsia="es-ES_tradnl"/>
        </w:rPr>
        <w:t>profesionales</w:t>
      </w:r>
      <w:r w:rsidRPr="000B5EEB">
        <w:rPr>
          <w:rFonts w:ascii="Century Gothic" w:eastAsia="Times New Roman" w:hAnsi="Century Gothic" w:cs="Arial"/>
          <w:color w:val="000000"/>
          <w:szCs w:val="24"/>
          <w:lang w:val="es-ES_tradnl" w:eastAsia="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0B5EEB">
        <w:rPr>
          <w:rFonts w:ascii="Century Gothic" w:eastAsia="Times New Roman" w:hAnsi="Century Gothic" w:cs="Arial"/>
          <w:i/>
          <w:iCs/>
          <w:color w:val="000000"/>
          <w:szCs w:val="24"/>
          <w:lang w:val="es-ES_tradnl" w:eastAsia="es-ES_tradnl"/>
        </w:rPr>
        <w:t>saber intelectivo cualificado.</w:t>
      </w:r>
      <w:r w:rsidRPr="000B5EEB">
        <w:rPr>
          <w:rFonts w:ascii="Century Gothic" w:eastAsia="Times New Roman" w:hAnsi="Century Gothic" w:cs="Arial"/>
          <w:color w:val="000000"/>
          <w:szCs w:val="24"/>
          <w:lang w:val="es-ES_tradnl" w:eastAsia="es-ES_tradnl"/>
        </w:rPr>
        <w:t xml:space="preserve"> En cambio, los contratos de prestación de servicios de </w:t>
      </w:r>
      <w:r w:rsidRPr="000B5EEB">
        <w:rPr>
          <w:rFonts w:ascii="Century Gothic" w:eastAsia="Times New Roman" w:hAnsi="Century Gothic" w:cs="Arial"/>
          <w:i/>
          <w:iCs/>
          <w:color w:val="000000"/>
          <w:szCs w:val="24"/>
          <w:lang w:val="es-ES_tradnl" w:eastAsia="es-ES_tradnl"/>
        </w:rPr>
        <w:t>apoyo a la gestión</w:t>
      </w:r>
      <w:r w:rsidRPr="000B5EEB">
        <w:rPr>
          <w:rFonts w:ascii="Century Gothic" w:eastAsia="Times New Roman" w:hAnsi="Century Gothic" w:cs="Arial"/>
          <w:color w:val="000000"/>
          <w:szCs w:val="24"/>
          <w:lang w:val="es-ES_tradnl" w:eastAsia="es-ES_tradnl"/>
        </w:rPr>
        <w:t xml:space="preserve"> y de </w:t>
      </w:r>
      <w:r w:rsidRPr="000B5EEB">
        <w:rPr>
          <w:rFonts w:ascii="Century Gothic" w:eastAsia="Times New Roman" w:hAnsi="Century Gothic" w:cs="Arial"/>
          <w:i/>
          <w:iCs/>
          <w:color w:val="000000"/>
          <w:szCs w:val="24"/>
          <w:lang w:val="es-ES_tradnl" w:eastAsia="es-ES_tradnl"/>
        </w:rPr>
        <w:t>servicios artísticos</w:t>
      </w:r>
      <w:r w:rsidRPr="000B5EEB">
        <w:rPr>
          <w:rFonts w:ascii="Century Gothic" w:eastAsia="Times New Roman" w:hAnsi="Century Gothic" w:cs="Arial"/>
          <w:color w:val="000000"/>
          <w:szCs w:val="24"/>
          <w:lang w:val="es-ES_tradnl" w:eastAsia="es-ES_tradnl"/>
        </w:rPr>
        <w:t xml:space="preserve"> no involucran ese conocimiento profesional </w:t>
      </w:r>
      <w:r w:rsidRPr="000B5EEB">
        <w:rPr>
          <w:rFonts w:ascii="Century Gothic" w:eastAsia="Times New Roman" w:hAnsi="Century Gothic" w:cs="Arial"/>
          <w:color w:val="000000"/>
          <w:szCs w:val="24"/>
          <w:lang w:eastAsia="es-ES_tradnl"/>
        </w:rPr>
        <w:t xml:space="preserve">o especializados para su ejecución. En los de apoyo a la gestión </w:t>
      </w:r>
      <w:r w:rsidRPr="000B5EEB">
        <w:rPr>
          <w:rFonts w:ascii="Century Gothic" w:eastAsia="Times New Roman" w:hAnsi="Century Gothic" w:cs="Arial"/>
          <w:color w:val="000000"/>
          <w:szCs w:val="24"/>
          <w:lang w:val="es-ES_tradnl" w:eastAsia="es-ES_tradnl"/>
        </w:rPr>
        <w:t xml:space="preserve">el contratista desempeña un esfuerzo o actividad de apoyo, acompañamiento, o </w:t>
      </w:r>
      <w:r w:rsidRPr="000B5EEB">
        <w:rPr>
          <w:rFonts w:ascii="Century Gothic" w:eastAsia="Times New Roman" w:hAnsi="Century Gothic" w:cs="Arial"/>
          <w:color w:val="000000"/>
          <w:szCs w:val="24"/>
          <w:lang w:val="es-ES_tradnl" w:eastAsia="es-ES_tradnl"/>
        </w:rPr>
        <w:lastRenderedPageBreak/>
        <w:t xml:space="preserve">soporte, </w:t>
      </w:r>
      <w:r w:rsidRPr="000B5EEB">
        <w:rPr>
          <w:rFonts w:ascii="Century Gothic" w:eastAsia="Times New Roman" w:hAnsi="Century Gothic" w:cs="Arial"/>
          <w:color w:val="000000"/>
          <w:szCs w:val="24"/>
          <w:lang w:eastAsia="es-ES_tradnl"/>
        </w:rPr>
        <w:t xml:space="preserve">en donde </w:t>
      </w:r>
      <w:r w:rsidRPr="000B5EEB">
        <w:rPr>
          <w:rFonts w:ascii="Century Gothic" w:eastAsia="Times New Roman" w:hAnsi="Century Gothic" w:cs="Arial"/>
          <w:color w:val="000000"/>
          <w:szCs w:val="24"/>
          <w:lang w:val="es-ES_tradnl" w:eastAsia="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 en donde es indiferente el carácter de profesional.</w:t>
      </w:r>
    </w:p>
    <w:p w14:paraId="69D92101" w14:textId="77777777" w:rsidR="00C63485" w:rsidRPr="000B5EEB" w:rsidRDefault="00C63485" w:rsidP="00C63485">
      <w:pPr>
        <w:spacing w:before="120" w:after="0" w:line="276" w:lineRule="auto"/>
        <w:ind w:firstLine="709"/>
        <w:jc w:val="both"/>
        <w:rPr>
          <w:rFonts w:ascii="Century Gothic" w:eastAsia="Arial" w:hAnsi="Century Gothic" w:cs="Arial"/>
          <w:color w:val="000000"/>
          <w:lang w:val="es-ES"/>
        </w:rPr>
      </w:pPr>
      <w:r w:rsidRPr="000B5EEB">
        <w:rPr>
          <w:rFonts w:ascii="Century Gothic" w:eastAsia="MS Mincho" w:hAnsi="Century Gothic" w:cs="Arial"/>
          <w:color w:val="000000"/>
          <w:lang w:eastAsia="es-CO"/>
        </w:rPr>
        <w:t xml:space="preserve">En este contexto, también resulta pertinente referenciar el Sistema Educativo Colombiano. </w:t>
      </w:r>
      <w:r w:rsidRPr="000B5EEB">
        <w:rPr>
          <w:rFonts w:ascii="Century Gothic" w:eastAsia="Arial" w:hAnsi="Century Gothic" w:cs="Arial"/>
          <w:color w:val="000000"/>
          <w:lang w:val="es-ES"/>
        </w:rPr>
        <w:t xml:space="preserve">De conformidad con la Ley 115 de 1994, </w:t>
      </w:r>
      <w:r w:rsidRPr="000B5EEB">
        <w:rPr>
          <w:rFonts w:ascii="Century Gothic" w:eastAsia="MS Mincho" w:hAnsi="Century Gothic" w:cs="Arial"/>
          <w:color w:val="000000"/>
          <w:lang w:val="es-ES_tradnl" w:eastAsia="es-CO"/>
        </w:rPr>
        <w:t>“</w:t>
      </w:r>
      <w:r w:rsidRPr="000B5EEB">
        <w:rPr>
          <w:rFonts w:ascii="Century Gothic" w:eastAsia="Arial" w:hAnsi="Century Gothic" w:cs="Arial"/>
          <w:color w:val="000000"/>
          <w:lang w:val="es-ES"/>
        </w:rPr>
        <w:t>Por la cual se expide la Ley General de Educación</w:t>
      </w:r>
      <w:r w:rsidRPr="000B5EEB">
        <w:rPr>
          <w:rFonts w:ascii="Century Gothic" w:eastAsia="MS Mincho" w:hAnsi="Century Gothic" w:cs="Arial"/>
          <w:color w:val="000000"/>
          <w:lang w:val="es-ES_tradnl" w:eastAsia="es-CO"/>
        </w:rPr>
        <w:t>”,</w:t>
      </w:r>
      <w:r w:rsidRPr="000B5EEB">
        <w:rPr>
          <w:rFonts w:ascii="Century Gothic" w:eastAsia="MS Mincho" w:hAnsi="Century Gothic" w:cs="Arial"/>
          <w:color w:val="000000"/>
          <w:lang w:eastAsia="es-CO"/>
        </w:rPr>
        <w:t xml:space="preserve"> este sistema </w:t>
      </w:r>
      <w:r w:rsidRPr="000B5EEB">
        <w:rPr>
          <w:rFonts w:ascii="Century Gothic" w:eastAsia="Arial" w:hAnsi="Century Gothic" w:cs="Arial"/>
          <w:color w:val="000000"/>
          <w:lang w:val="es-ES"/>
        </w:rPr>
        <w:t xml:space="preserve">ostenta una estructura conformada por la </w:t>
      </w:r>
      <w:r w:rsidRPr="000B5EEB">
        <w:rPr>
          <w:rFonts w:ascii="Century Gothic" w:eastAsia="Arial" w:hAnsi="Century Gothic" w:cs="Arial"/>
          <w:i/>
          <w:iCs/>
          <w:color w:val="000000"/>
          <w:lang w:val="es-ES"/>
        </w:rPr>
        <w:t>Educación Formal</w:t>
      </w:r>
      <w:r w:rsidRPr="000B5EEB">
        <w:rPr>
          <w:rFonts w:ascii="Century Gothic" w:eastAsia="Arial" w:hAnsi="Century Gothic" w:cs="Arial"/>
          <w:color w:val="000000"/>
          <w:lang w:val="es-ES"/>
        </w:rPr>
        <w:t xml:space="preserve">, la </w:t>
      </w:r>
      <w:bookmarkStart w:id="7" w:name="_Hlk82536714"/>
      <w:r w:rsidRPr="000B5EEB">
        <w:rPr>
          <w:rFonts w:ascii="Century Gothic" w:eastAsia="Arial" w:hAnsi="Century Gothic" w:cs="Arial"/>
          <w:i/>
          <w:iCs/>
          <w:color w:val="000000"/>
          <w:lang w:val="es-ES"/>
        </w:rPr>
        <w:t>Educación para el trabajo y desarrollo humano (Educación no formal)</w:t>
      </w:r>
      <w:bookmarkEnd w:id="7"/>
      <w:r w:rsidRPr="000B5EEB">
        <w:rPr>
          <w:rFonts w:ascii="Century Gothic" w:eastAsia="Arial" w:hAnsi="Century Gothic" w:cs="Arial"/>
          <w:i/>
          <w:iCs/>
          <w:color w:val="000000"/>
          <w:vertAlign w:val="superscript"/>
          <w:lang w:val="es-ES"/>
        </w:rPr>
        <w:footnoteReference w:id="28"/>
      </w:r>
      <w:r w:rsidRPr="000B5EEB">
        <w:rPr>
          <w:rFonts w:ascii="Century Gothic" w:eastAsia="Arial" w:hAnsi="Century Gothic" w:cs="Arial"/>
          <w:color w:val="000000"/>
          <w:lang w:val="es-ES"/>
        </w:rPr>
        <w:t xml:space="preserve">, y la </w:t>
      </w:r>
      <w:r w:rsidRPr="000B5EEB">
        <w:rPr>
          <w:rFonts w:ascii="Century Gothic" w:eastAsia="Arial" w:hAnsi="Century Gothic" w:cs="Arial"/>
          <w:i/>
          <w:iCs/>
          <w:color w:val="000000"/>
          <w:lang w:val="es-ES"/>
        </w:rPr>
        <w:t>Educación Informal</w:t>
      </w:r>
      <w:r w:rsidRPr="000B5EEB">
        <w:rPr>
          <w:rFonts w:ascii="Century Gothic" w:eastAsia="Arial" w:hAnsi="Century Gothic" w:cs="Arial"/>
          <w:color w:val="000000"/>
          <w:vertAlign w:val="superscript"/>
          <w:lang w:val="es-ES"/>
        </w:rPr>
        <w:footnoteReference w:id="29"/>
      </w:r>
      <w:r w:rsidRPr="000B5EEB">
        <w:rPr>
          <w:rFonts w:ascii="Century Gothic" w:eastAsia="Arial" w:hAnsi="Century Gothic" w:cs="Arial"/>
          <w:color w:val="000000"/>
          <w:lang w:val="es-ES"/>
        </w:rPr>
        <w:t xml:space="preserve">. La </w:t>
      </w:r>
      <w:r w:rsidRPr="000B5EEB">
        <w:rPr>
          <w:rFonts w:ascii="Century Gothic" w:eastAsia="Arial" w:hAnsi="Century Gothic" w:cs="Arial"/>
          <w:i/>
          <w:iCs/>
          <w:color w:val="000000"/>
          <w:lang w:val="es-ES"/>
        </w:rPr>
        <w:t>Educación Formal</w:t>
      </w:r>
      <w:r w:rsidRPr="000B5EEB">
        <w:rPr>
          <w:rFonts w:ascii="Century Gothic" w:eastAsia="Arial" w:hAnsi="Century Gothic" w:cs="Arial"/>
          <w:color w:val="000000"/>
          <w:lang w:val="es-ES"/>
        </w:rPr>
        <w:t xml:space="preserve">  es aquella que se imparte en instituciones aprobadas por el </w:t>
      </w:r>
      <w:hyperlink r:id="rId8" w:tooltip="Estado" w:history="1">
        <w:r w:rsidRPr="000B5EEB">
          <w:rPr>
            <w:rFonts w:ascii="Century Gothic" w:eastAsia="Arial" w:hAnsi="Century Gothic" w:cs="Arial"/>
            <w:color w:val="000000"/>
            <w:lang w:val="es-ES"/>
          </w:rPr>
          <w:t>Estado</w:t>
        </w:r>
      </w:hyperlink>
      <w:r w:rsidRPr="000B5EEB">
        <w:rPr>
          <w:rFonts w:ascii="Century Gothic" w:eastAsia="Arial" w:hAnsi="Century Gothic" w:cs="Arial"/>
          <w:color w:val="000000"/>
          <w:lang w:val="es-ES"/>
        </w:rPr>
        <w:t>, en una secuencia regular de niveles, sujeta a pautas </w:t>
      </w:r>
      <w:hyperlink r:id="rId9" w:tooltip="Currículo (educación)" w:history="1">
        <w:r w:rsidRPr="000B5EEB">
          <w:rPr>
            <w:rFonts w:ascii="Century Gothic" w:eastAsia="Arial" w:hAnsi="Century Gothic" w:cs="Arial"/>
            <w:color w:val="000000"/>
            <w:lang w:val="es-ES"/>
          </w:rPr>
          <w:t>curriculares</w:t>
        </w:r>
      </w:hyperlink>
      <w:r w:rsidRPr="000B5EEB">
        <w:rPr>
          <w:rFonts w:ascii="Century Gothic" w:eastAsia="Arial" w:hAnsi="Century Gothic" w:cs="Arial"/>
          <w:color w:val="000000"/>
          <w:lang w:val="es-ES"/>
        </w:rPr>
        <w:t> progresivas, y que conduce a la obtención de </w:t>
      </w:r>
      <w:hyperlink r:id="rId10" w:tooltip="Título académico" w:history="1">
        <w:r w:rsidRPr="000B5EEB">
          <w:rPr>
            <w:rFonts w:ascii="Century Gothic" w:eastAsia="Arial" w:hAnsi="Century Gothic" w:cs="Arial"/>
            <w:color w:val="000000"/>
            <w:lang w:val="es-ES"/>
          </w:rPr>
          <w:t>títulos</w:t>
        </w:r>
      </w:hyperlink>
      <w:r w:rsidRPr="000B5EEB">
        <w:rPr>
          <w:rFonts w:ascii="Century Gothic" w:eastAsia="Arial" w:hAnsi="Century Gothic" w:cs="Arial"/>
          <w:color w:val="000000"/>
          <w:lang w:val="es-ES"/>
        </w:rPr>
        <w:t xml:space="preserve">. Tal como lo establece la Ley General de Educación, se compone de tres niveles de educación: preescolar, básica y media. </w:t>
      </w:r>
    </w:p>
    <w:p w14:paraId="49D40645" w14:textId="77777777" w:rsidR="00C63485" w:rsidRPr="000B5EEB" w:rsidRDefault="00C63485" w:rsidP="00C63485">
      <w:pPr>
        <w:spacing w:before="120" w:after="0" w:line="276" w:lineRule="auto"/>
        <w:ind w:firstLine="709"/>
        <w:jc w:val="both"/>
        <w:rPr>
          <w:rFonts w:ascii="Century Gothic" w:eastAsia="Arial" w:hAnsi="Century Gothic" w:cs="Arial"/>
          <w:color w:val="000000"/>
          <w:lang w:val="es-ES"/>
        </w:rPr>
      </w:pPr>
      <w:r w:rsidRPr="000B5EEB">
        <w:rPr>
          <w:rFonts w:ascii="Century Gothic" w:eastAsia="Arial" w:hAnsi="Century Gothic" w:cs="Arial"/>
          <w:color w:val="000000"/>
          <w:lang w:val="es-ES"/>
        </w:rPr>
        <w:t xml:space="preserve">Por su parte, la educación superior desarrollada por la Ley 30 de 1992, </w:t>
      </w:r>
      <w:r w:rsidRPr="000B5EEB">
        <w:rPr>
          <w:rFonts w:ascii="Century Gothic" w:eastAsia="Arial" w:hAnsi="Century Gothic" w:cs="Arial"/>
          <w:color w:val="000000"/>
        </w:rPr>
        <w:t xml:space="preserve">se realiza con posterioridad a la educación media o secundaria y, conforme al artículo 1, tiene por objeto el pleno desarrollo de los alumnos y su formación académica o profesional, y </w:t>
      </w:r>
      <w:r w:rsidRPr="000B5EEB">
        <w:rPr>
          <w:rFonts w:ascii="Century Gothic" w:eastAsia="Arial" w:hAnsi="Century Gothic" w:cs="Arial"/>
          <w:color w:val="000000"/>
          <w:lang w:val="es-ES"/>
        </w:rPr>
        <w:t xml:space="preserve">consta de dos (2) niveles de formación: formación en pregrado y formación en postgrado. Conforme el artículo 9 </w:t>
      </w:r>
      <w:r w:rsidRPr="000B5EEB">
        <w:rPr>
          <w:rFonts w:ascii="Century Gothic" w:eastAsia="Arial" w:hAnsi="Century Gothic" w:cs="Arial"/>
          <w:i/>
          <w:iCs/>
          <w:color w:val="000000"/>
          <w:lang w:val="es-ES"/>
        </w:rPr>
        <w:t>ibidem</w:t>
      </w:r>
      <w:r w:rsidRPr="000B5EEB">
        <w:rPr>
          <w:rFonts w:ascii="Century Gothic" w:eastAsia="Arial" w:hAnsi="Century Gothic" w:cs="Arial"/>
          <w:color w:val="000000"/>
          <w:lang w:val="es-ES"/>
        </w:rPr>
        <w:t xml:space="preserve">, los programas en pregrado </w:t>
      </w:r>
      <w:r w:rsidRPr="000B5EEB">
        <w:rPr>
          <w:rFonts w:ascii="Century Gothic" w:eastAsia="MS Mincho" w:hAnsi="Century Gothic" w:cs="Arial"/>
          <w:color w:val="000000"/>
          <w:lang w:val="es-ES_tradnl" w:eastAsia="es-CO"/>
        </w:rPr>
        <w:t>“</w:t>
      </w:r>
      <w:r w:rsidRPr="000B5EEB">
        <w:rPr>
          <w:rFonts w:ascii="Century Gothic" w:eastAsia="Arial" w:hAnsi="Century Gothic" w:cs="Arial"/>
          <w:color w:val="000000"/>
        </w:rPr>
        <w:t>preparan para el desempeño de ocupaciones, para el ejercicio de una profesión o disciplina determinada, de naturaleza tecnológica o científica o en el área de las humanidades, las artes y la filosofía</w:t>
      </w:r>
      <w:r w:rsidRPr="000B5EEB">
        <w:rPr>
          <w:rFonts w:ascii="Century Gothic" w:eastAsia="Arial" w:hAnsi="Century Gothic" w:cs="Arial"/>
          <w:color w:val="000000"/>
          <w:lang w:val="es-ES_tradnl"/>
        </w:rPr>
        <w:t>”</w:t>
      </w:r>
      <w:r w:rsidRPr="000B5EEB">
        <w:rPr>
          <w:rFonts w:ascii="Century Gothic" w:eastAsia="Arial" w:hAnsi="Century Gothic" w:cs="Arial"/>
          <w:color w:val="000000"/>
        </w:rPr>
        <w:t>.</w:t>
      </w:r>
      <w:r w:rsidRPr="000B5EEB">
        <w:rPr>
          <w:rFonts w:ascii="Century Gothic" w:eastAsia="Arial" w:hAnsi="Century Gothic" w:cs="Arial"/>
          <w:color w:val="000000"/>
          <w:lang w:val="es-ES"/>
        </w:rPr>
        <w:t xml:space="preserve"> Esta tiene tres niveles de formación, conducentes a títulos: Formación Técnica Profesional, Formación Tecnológica y Formación Profesional. A su vez la Formación en Postgrado conduce a la obtención de títulos a nivel de Especialización, Maestría y Doctorado.</w:t>
      </w:r>
    </w:p>
    <w:p w14:paraId="660155E9" w14:textId="77777777" w:rsidR="00C63485" w:rsidRPr="000B5EEB" w:rsidRDefault="00C63485" w:rsidP="00C63485">
      <w:pPr>
        <w:spacing w:before="120" w:after="0" w:line="276" w:lineRule="auto"/>
        <w:ind w:firstLine="709"/>
        <w:jc w:val="both"/>
        <w:rPr>
          <w:rFonts w:ascii="Century Gothic" w:eastAsia="Arial" w:hAnsi="Century Gothic" w:cs="Arial"/>
          <w:color w:val="000000"/>
          <w:lang w:val="es-ES_tradnl"/>
        </w:rPr>
      </w:pPr>
      <w:r w:rsidRPr="000B5EEB">
        <w:rPr>
          <w:rFonts w:ascii="Century Gothic" w:eastAsia="Arial" w:hAnsi="Century Gothic" w:cs="Arial"/>
          <w:color w:val="000000"/>
          <w:lang w:val="es-ES"/>
        </w:rPr>
        <w:t xml:space="preserve">El nivel de formación superior es prestado por las Instituciones de Educación Superior, que se encuentran constituidas por las Instituciones Técnicas Profesionales, las Instituciones Universitarias o Escuelas Tecnológicas, y las Universidades. De acuerdo con los artículos 17, 18 y 19 de la Ley 30 de 1992 se definen en los siguientes términos: </w:t>
      </w:r>
    </w:p>
    <w:p w14:paraId="5C49CB79" w14:textId="77777777" w:rsidR="00C63485" w:rsidRPr="000B5EEB" w:rsidRDefault="00C63485" w:rsidP="00C63485">
      <w:pPr>
        <w:widowControl w:val="0"/>
        <w:autoSpaceDE w:val="0"/>
        <w:autoSpaceDN w:val="0"/>
        <w:spacing w:after="0" w:line="276" w:lineRule="auto"/>
        <w:ind w:right="103"/>
        <w:jc w:val="both"/>
        <w:rPr>
          <w:rFonts w:ascii="Century Gothic" w:eastAsia="Arial" w:hAnsi="Century Gothic" w:cs="Arial"/>
          <w:color w:val="000000"/>
          <w:lang w:val="es-ES"/>
        </w:rPr>
      </w:pPr>
    </w:p>
    <w:p w14:paraId="160FB627" w14:textId="77777777" w:rsidR="00C63485" w:rsidRPr="000B5EEB" w:rsidRDefault="00C63485" w:rsidP="00C63485">
      <w:pPr>
        <w:spacing w:after="120" w:line="240" w:lineRule="auto"/>
        <w:ind w:left="709" w:right="709"/>
        <w:jc w:val="both"/>
        <w:rPr>
          <w:rFonts w:ascii="Century Gothic" w:eastAsia="Calibri" w:hAnsi="Century Gothic" w:cs="Arial"/>
          <w:sz w:val="21"/>
          <w:szCs w:val="21"/>
          <w:lang w:val="es-MX"/>
        </w:rPr>
      </w:pPr>
      <w:r w:rsidRPr="000B5EEB">
        <w:rPr>
          <w:rFonts w:ascii="Century Gothic" w:eastAsia="Calibri" w:hAnsi="Century Gothic" w:cs="Arial"/>
          <w:sz w:val="21"/>
          <w:szCs w:val="21"/>
          <w:lang w:val="es-MX"/>
        </w:rPr>
        <w:lastRenderedPageBreak/>
        <w:t>Artículo 17. Son instituciones técnicas profesionales, aquellas facultadas legalmente para ofrecer programas de formación en ocupaciones de carácter operativo e instrumental y de especialización en su respectivo campo de acción, sin perjuicio de los aspectos humanísticos propios de este nivel.</w:t>
      </w:r>
    </w:p>
    <w:p w14:paraId="73CBBDCC" w14:textId="77777777" w:rsidR="00C63485" w:rsidRPr="000B5EEB" w:rsidRDefault="00C63485" w:rsidP="00C63485">
      <w:pPr>
        <w:spacing w:after="120" w:line="240" w:lineRule="auto"/>
        <w:ind w:left="709" w:right="709"/>
        <w:jc w:val="both"/>
        <w:rPr>
          <w:rFonts w:ascii="Century Gothic" w:eastAsia="Calibri" w:hAnsi="Century Gothic" w:cs="Arial"/>
          <w:sz w:val="21"/>
          <w:szCs w:val="21"/>
          <w:lang w:val="es-MX"/>
        </w:rPr>
      </w:pPr>
      <w:r w:rsidRPr="000B5EEB">
        <w:rPr>
          <w:rFonts w:ascii="Century Gothic" w:eastAsia="Calibri" w:hAnsi="Century Gothic" w:cs="Arial"/>
          <w:sz w:val="21"/>
          <w:szCs w:val="21"/>
          <w:lang w:val="es-MX"/>
        </w:rPr>
        <w:t>Artículo 18. Son instituciones universitarias o escuelas tecnológicas, aquellas facultadas para adelantar programas de formación en ocupaciones, programas de formación académica en profesiones o disciplinas y programas de especialización.</w:t>
      </w:r>
    </w:p>
    <w:p w14:paraId="6A3D2DD3" w14:textId="77777777" w:rsidR="00C63485" w:rsidRPr="000B5EEB" w:rsidRDefault="00C63485" w:rsidP="00C63485">
      <w:pPr>
        <w:spacing w:after="0" w:line="240" w:lineRule="auto"/>
        <w:ind w:left="709" w:right="709"/>
        <w:jc w:val="both"/>
        <w:rPr>
          <w:rFonts w:ascii="Century Gothic" w:eastAsia="Calibri" w:hAnsi="Century Gothic" w:cs="Arial"/>
          <w:sz w:val="21"/>
          <w:szCs w:val="21"/>
          <w:lang w:val="es-MX"/>
        </w:rPr>
      </w:pPr>
      <w:r w:rsidRPr="000B5EEB">
        <w:rPr>
          <w:rFonts w:ascii="Century Gothic" w:eastAsia="Calibri" w:hAnsi="Century Gothic" w:cs="Arial"/>
          <w:sz w:val="21"/>
          <w:szCs w:val="21"/>
          <w:lang w:val="es-MX"/>
        </w:rPr>
        <w:t>Artículo 19. Son universidades las reconocidas actualmente como tales y las instituciones que acrediten su desempeño con criterio de universalidad en las siguientes actividades: La investigación científica o tecnológica; la formación académica en profesiones o disciplinas y la producción, desarrollo y transmisión del conocimiento y de la cultura universal y nacional.</w:t>
      </w:r>
    </w:p>
    <w:p w14:paraId="4813D516" w14:textId="77777777" w:rsidR="00C63485" w:rsidRPr="000B5EEB" w:rsidRDefault="00C63485" w:rsidP="00C63485">
      <w:pPr>
        <w:widowControl w:val="0"/>
        <w:autoSpaceDE w:val="0"/>
        <w:autoSpaceDN w:val="0"/>
        <w:spacing w:after="0" w:line="276" w:lineRule="auto"/>
        <w:ind w:right="103"/>
        <w:jc w:val="both"/>
        <w:rPr>
          <w:rFonts w:ascii="Century Gothic" w:eastAsia="Arial" w:hAnsi="Century Gothic" w:cs="Arial"/>
          <w:color w:val="000000"/>
          <w:lang w:val="es-ES"/>
        </w:rPr>
      </w:pPr>
    </w:p>
    <w:p w14:paraId="3BE29A3D" w14:textId="77777777" w:rsidR="00C63485" w:rsidRPr="000B5EEB" w:rsidRDefault="00C63485" w:rsidP="00C63485">
      <w:pPr>
        <w:widowControl w:val="0"/>
        <w:autoSpaceDE w:val="0"/>
        <w:autoSpaceDN w:val="0"/>
        <w:spacing w:after="0" w:line="276" w:lineRule="auto"/>
        <w:ind w:firstLine="708"/>
        <w:jc w:val="both"/>
        <w:rPr>
          <w:rFonts w:ascii="Century Gothic" w:eastAsia="Arial" w:hAnsi="Century Gothic" w:cs="Arial"/>
          <w:color w:val="000000"/>
        </w:rPr>
      </w:pPr>
      <w:r w:rsidRPr="000B5EEB">
        <w:rPr>
          <w:rFonts w:ascii="Century Gothic" w:eastAsia="Arial" w:hAnsi="Century Gothic" w:cs="Arial"/>
          <w:color w:val="000000"/>
          <w:lang w:val="es-ES"/>
        </w:rPr>
        <w:t xml:space="preserve">Además, son las encargadas del otorgamiento de los títulos de la educación superior, definido por el artículo 24 de la Ley 30 de 1992 como </w:t>
      </w:r>
      <w:r w:rsidRPr="000B5EEB">
        <w:rPr>
          <w:rFonts w:ascii="Century Gothic" w:eastAsia="Times New Roman" w:hAnsi="Century Gothic" w:cs="Arial"/>
          <w:color w:val="000000"/>
          <w:szCs w:val="24"/>
          <w:lang w:val="es-ES_tradnl" w:eastAsia="es-ES_tradnl"/>
        </w:rPr>
        <w:t>«</w:t>
      </w:r>
      <w:r w:rsidRPr="000B5EEB">
        <w:rPr>
          <w:rFonts w:ascii="Century Gothic" w:eastAsia="Arial" w:hAnsi="Century Gothic" w:cs="Arial"/>
          <w:color w:val="000000"/>
          <w:lang w:val="es-ES"/>
        </w:rPr>
        <w:t>e</w:t>
      </w:r>
      <w:r w:rsidRPr="000B5EEB">
        <w:rPr>
          <w:rFonts w:ascii="Century Gothic" w:eastAsia="Arial" w:hAnsi="Century Gothic" w:cs="Arial"/>
          <w:color w:val="000000"/>
        </w:rPr>
        <w:t>l reconocimiento expreso de carácter académico, otorgado a una persona natural, a la culminación de un programa, por haber adquirido un saber determinado en una Institución de Educación Superior. Tal reconocimiento se hará constar en un diploma</w:t>
      </w:r>
      <w:r w:rsidRPr="000B5EEB">
        <w:rPr>
          <w:rFonts w:ascii="Century Gothic" w:eastAsia="Arial" w:hAnsi="Century Gothic" w:cs="Arial"/>
          <w:color w:val="000000"/>
          <w:sz w:val="24"/>
          <w:szCs w:val="24"/>
          <w:lang w:val="es-ES_tradnl"/>
        </w:rPr>
        <w:t>»</w:t>
      </w:r>
      <w:r w:rsidRPr="000B5EEB">
        <w:rPr>
          <w:rFonts w:ascii="Century Gothic" w:eastAsia="Arial" w:hAnsi="Century Gothic" w:cs="Arial"/>
          <w:color w:val="000000"/>
        </w:rPr>
        <w:t xml:space="preserve">. </w:t>
      </w:r>
      <w:bookmarkStart w:id="10" w:name="25"/>
      <w:r w:rsidRPr="000B5EEB">
        <w:rPr>
          <w:rFonts w:ascii="Century Gothic" w:eastAsia="Arial" w:hAnsi="Century Gothic" w:cs="Arial"/>
          <w:color w:val="000000"/>
        </w:rPr>
        <w:t xml:space="preserve">En este sentido, los programas académicos que comprende la educación superior, particularmente en los niveles de Formación de Pregrado, tienen la siguiente nominación de acuerdo con su campo de acción: </w:t>
      </w:r>
      <w:bookmarkEnd w:id="10"/>
      <w:r w:rsidRPr="000B5EEB">
        <w:rPr>
          <w:rFonts w:ascii="Century Gothic" w:eastAsia="Arial" w:hAnsi="Century Gothic" w:cs="Arial"/>
          <w:color w:val="000000"/>
        </w:rPr>
        <w:t xml:space="preserve">cuando son ofrecidos por una Institución Técnica Profesional, conducen al título en la ocupación o área correspondiente. Al título deberá anteponerse la denominación de: </w:t>
      </w:r>
      <w:r w:rsidRPr="000B5EEB">
        <w:rPr>
          <w:rFonts w:ascii="Century Gothic" w:eastAsia="Times New Roman" w:hAnsi="Century Gothic" w:cs="Arial"/>
          <w:color w:val="000000"/>
          <w:szCs w:val="24"/>
          <w:lang w:val="es-ES_tradnl" w:eastAsia="es-ES_tradnl"/>
        </w:rPr>
        <w:t>“</w:t>
      </w:r>
      <w:r w:rsidRPr="000B5EEB">
        <w:rPr>
          <w:rFonts w:ascii="Century Gothic" w:eastAsia="Arial" w:hAnsi="Century Gothic" w:cs="Arial"/>
          <w:color w:val="000000"/>
        </w:rPr>
        <w:t>Técnico Profesional en …</w:t>
      </w:r>
      <w:r w:rsidRPr="000B5EEB">
        <w:rPr>
          <w:rFonts w:ascii="Century Gothic" w:eastAsia="Arial" w:hAnsi="Century Gothic" w:cs="Arial"/>
          <w:color w:val="000000"/>
          <w:sz w:val="24"/>
          <w:szCs w:val="24"/>
          <w:lang w:val="es-ES_tradnl"/>
        </w:rPr>
        <w:t xml:space="preserve">”; </w:t>
      </w:r>
      <w:r w:rsidRPr="000B5EEB">
        <w:rPr>
          <w:rFonts w:ascii="Century Gothic" w:eastAsia="Arial" w:hAnsi="Century Gothic" w:cs="Arial"/>
          <w:color w:val="000000"/>
        </w:rPr>
        <w:t xml:space="preserve">los ofrecidos por las instituciones universitarias o escuelas tecnológicas, o por una universidad, conducen al título en la respectiva ocupación, caso en el cual deberá anteponerse la denominación de </w:t>
      </w:r>
      <w:r w:rsidRPr="000B5EEB">
        <w:rPr>
          <w:rFonts w:ascii="Century Gothic" w:eastAsia="Times New Roman" w:hAnsi="Century Gothic" w:cs="Arial"/>
          <w:color w:val="000000"/>
          <w:szCs w:val="24"/>
          <w:lang w:val="es-ES_tradnl" w:eastAsia="es-ES_tradnl"/>
        </w:rPr>
        <w:t>“</w:t>
      </w:r>
      <w:r w:rsidRPr="000B5EEB">
        <w:rPr>
          <w:rFonts w:ascii="Century Gothic" w:eastAsia="Arial" w:hAnsi="Century Gothic" w:cs="Arial"/>
          <w:color w:val="000000"/>
        </w:rPr>
        <w:t>Técnico Profesional en....</w:t>
      </w:r>
      <w:r w:rsidRPr="000B5EEB">
        <w:rPr>
          <w:rFonts w:ascii="Century Gothic" w:eastAsia="Arial" w:hAnsi="Century Gothic" w:cs="Arial"/>
          <w:color w:val="000000"/>
          <w:sz w:val="24"/>
          <w:szCs w:val="24"/>
          <w:lang w:val="es-ES_tradnl"/>
        </w:rPr>
        <w:t>”</w:t>
      </w:r>
      <w:r w:rsidRPr="000B5EEB">
        <w:rPr>
          <w:rFonts w:ascii="Century Gothic" w:eastAsia="Arial" w:hAnsi="Century Gothic" w:cs="Arial"/>
          <w:color w:val="000000"/>
        </w:rPr>
        <w:t xml:space="preserve">. Si hacen relación a profesiones o disciplinas académicas, al título podrá anteponerse la denominación de: </w:t>
      </w:r>
      <w:r w:rsidRPr="000B5EEB">
        <w:rPr>
          <w:rFonts w:ascii="Century Gothic" w:eastAsia="Times New Roman" w:hAnsi="Century Gothic" w:cs="Arial"/>
          <w:color w:val="000000"/>
          <w:szCs w:val="24"/>
          <w:lang w:val="es-ES_tradnl" w:eastAsia="es-ES_tradnl"/>
        </w:rPr>
        <w:t>“</w:t>
      </w:r>
      <w:r w:rsidRPr="000B5EEB">
        <w:rPr>
          <w:rFonts w:ascii="Century Gothic" w:eastAsia="Arial" w:hAnsi="Century Gothic" w:cs="Arial"/>
          <w:color w:val="000000"/>
        </w:rPr>
        <w:t>Profesional en ...</w:t>
      </w:r>
      <w:r w:rsidRPr="000B5EEB">
        <w:rPr>
          <w:rFonts w:ascii="Century Gothic" w:eastAsia="Arial" w:hAnsi="Century Gothic" w:cs="Arial"/>
          <w:color w:val="000000"/>
          <w:sz w:val="24"/>
          <w:szCs w:val="24"/>
          <w:lang w:val="es-ES_tradnl"/>
        </w:rPr>
        <w:t xml:space="preserve">” </w:t>
      </w:r>
      <w:r w:rsidRPr="000B5EEB">
        <w:rPr>
          <w:rFonts w:ascii="Century Gothic" w:eastAsia="Arial" w:hAnsi="Century Gothic" w:cs="Arial"/>
          <w:color w:val="000000"/>
        </w:rPr>
        <w:t xml:space="preserve">o </w:t>
      </w:r>
      <w:r w:rsidRPr="000B5EEB">
        <w:rPr>
          <w:rFonts w:ascii="Century Gothic" w:eastAsia="Times New Roman" w:hAnsi="Century Gothic" w:cs="Arial"/>
          <w:color w:val="000000"/>
          <w:szCs w:val="24"/>
          <w:lang w:val="es-ES_tradnl" w:eastAsia="es-ES_tradnl"/>
        </w:rPr>
        <w:t>“</w:t>
      </w:r>
      <w:r w:rsidRPr="000B5EEB">
        <w:rPr>
          <w:rFonts w:ascii="Century Gothic" w:eastAsia="Arial" w:hAnsi="Century Gothic" w:cs="Arial"/>
          <w:color w:val="000000"/>
        </w:rPr>
        <w:t>Tecnólogo en....</w:t>
      </w:r>
      <w:r w:rsidRPr="000B5EEB">
        <w:rPr>
          <w:rFonts w:ascii="Century Gothic" w:eastAsia="Arial" w:hAnsi="Century Gothic" w:cs="Arial"/>
          <w:color w:val="000000"/>
          <w:sz w:val="24"/>
          <w:szCs w:val="24"/>
          <w:lang w:val="es-ES_tradnl"/>
        </w:rPr>
        <w:t>”.</w:t>
      </w:r>
    </w:p>
    <w:p w14:paraId="7F43E98D" w14:textId="77777777" w:rsidR="00C63485" w:rsidRPr="000B5EEB" w:rsidRDefault="00C63485" w:rsidP="00C63485">
      <w:pPr>
        <w:widowControl w:val="0"/>
        <w:autoSpaceDE w:val="0"/>
        <w:autoSpaceDN w:val="0"/>
        <w:spacing w:before="120" w:after="0" w:line="276" w:lineRule="auto"/>
        <w:ind w:firstLine="708"/>
        <w:jc w:val="both"/>
        <w:rPr>
          <w:rFonts w:ascii="Century Gothic" w:eastAsia="Times New Roman" w:hAnsi="Century Gothic" w:cs="Arial"/>
          <w:color w:val="000000"/>
          <w:lang w:val="es-ES_tradnl"/>
        </w:rPr>
      </w:pPr>
      <w:bookmarkStart w:id="11" w:name="_Hlk82590813"/>
      <w:r w:rsidRPr="000B5EEB">
        <w:rPr>
          <w:rFonts w:ascii="Century Gothic" w:eastAsia="Arial" w:hAnsi="Century Gothic" w:cs="Arial"/>
          <w:color w:val="000000"/>
        </w:rPr>
        <w:t xml:space="preserve">De acuerdo con el marco normativo expuesto y el contenido de la sentencia de unificación, corresponde a las entidades públicas definir en cada caso concreto la forma de contratación de prestación de servicios aplicable a cada modalidad de título de educación superior. Lo anterior, </w:t>
      </w:r>
      <w:r w:rsidRPr="000B5EEB">
        <w:rPr>
          <w:rFonts w:ascii="Century Gothic" w:eastAsia="Times New Roman" w:hAnsi="Century Gothic" w:cs="Arial"/>
          <w:szCs w:val="24"/>
          <w:lang w:val="es-ES" w:eastAsia="es-ES_tradnl"/>
        </w:rPr>
        <w:t>considerando que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B5EEB">
        <w:rPr>
          <w:rFonts w:ascii="Century Gothic" w:eastAsia="Times New Roman" w:hAnsi="Century Gothic" w:cs="Arial"/>
          <w:color w:val="000000"/>
          <w:szCs w:val="24"/>
          <w:lang w:val="es-ES_tradnl" w:eastAsia="es-ES_tradnl"/>
        </w:rPr>
        <w:t xml:space="preserve">. </w:t>
      </w:r>
      <w:bookmarkEnd w:id="11"/>
      <w:r w:rsidRPr="000B5EEB">
        <w:rPr>
          <w:rFonts w:ascii="Century Gothic" w:eastAsia="Calibri" w:hAnsi="Century Gothic" w:cs="Arial"/>
          <w:szCs w:val="24"/>
          <w:lang w:val="es-ES" w:eastAsia="es-ES_tradnl"/>
        </w:rPr>
        <w:t>Por ello, previa valoración por parte de los órganos asesores del riesgo implícito en la celebración de contratos de prestación de servicios profesionales con técnicos y tecnólogos, estos temas son competencia exclusiva de las entidades contratantes.</w:t>
      </w:r>
    </w:p>
    <w:p w14:paraId="6B63CCCB" w14:textId="77777777" w:rsidR="00C63485" w:rsidRPr="000B5EEB" w:rsidRDefault="00C63485" w:rsidP="00C63485">
      <w:pPr>
        <w:spacing w:after="0" w:line="276" w:lineRule="auto"/>
        <w:jc w:val="both"/>
        <w:rPr>
          <w:rFonts w:ascii="Century Gothic" w:eastAsia="Calibri" w:hAnsi="Century Gothic" w:cs="Arial"/>
          <w:b/>
          <w:color w:val="000000"/>
          <w:lang w:val="es-ES_tradnl" w:eastAsia="es-ES_tradnl"/>
        </w:rPr>
      </w:pPr>
    </w:p>
    <w:p w14:paraId="6EB46A46" w14:textId="77777777" w:rsidR="00C63485" w:rsidRPr="000B5EEB" w:rsidRDefault="00C63485" w:rsidP="00C63485">
      <w:pPr>
        <w:spacing w:after="0" w:line="240" w:lineRule="auto"/>
        <w:jc w:val="both"/>
        <w:rPr>
          <w:rFonts w:ascii="Century Gothic" w:eastAsia="Calibri" w:hAnsi="Century Gothic" w:cs="Arial"/>
          <w:b/>
          <w:color w:val="000000"/>
          <w:lang w:eastAsia="es-ES_tradnl"/>
        </w:rPr>
      </w:pPr>
      <w:r w:rsidRPr="000B5EEB">
        <w:rPr>
          <w:rFonts w:ascii="Century Gothic" w:eastAsia="Calibri" w:hAnsi="Century Gothic" w:cs="Arial"/>
          <w:b/>
          <w:color w:val="000000"/>
          <w:lang w:eastAsia="es-ES_tradnl"/>
        </w:rPr>
        <w:lastRenderedPageBreak/>
        <w:t xml:space="preserve">2.3 Alcance de la inhabilidad establecida en </w:t>
      </w:r>
      <w:r w:rsidRPr="000B5EEB">
        <w:rPr>
          <w:rFonts w:ascii="Century Gothic" w:eastAsia="Calibri" w:hAnsi="Century Gothic" w:cs="Arial"/>
          <w:b/>
          <w:color w:val="000000"/>
          <w:lang w:eastAsia="es-ES_tradnl" w:bidi="es-ES"/>
        </w:rPr>
        <w:t xml:space="preserve">artículo 33 de la Ley 1778 de 2016 </w:t>
      </w:r>
      <w:r w:rsidRPr="000B5EEB">
        <w:rPr>
          <w:rFonts w:ascii="Century Gothic" w:eastAsia="Calibri" w:hAnsi="Century Gothic" w:cs="Arial"/>
          <w:b/>
          <w:color w:val="000000"/>
          <w:lang w:eastAsia="es-ES_tradnl"/>
        </w:rPr>
        <w:t xml:space="preserve">y su excepción en los contratos de prestación de servicios profesionales </w:t>
      </w:r>
    </w:p>
    <w:p w14:paraId="1A5DFA3D" w14:textId="77777777" w:rsidR="00C63485" w:rsidRPr="000B5EEB" w:rsidRDefault="00C63485" w:rsidP="00C63485">
      <w:pPr>
        <w:spacing w:after="0" w:line="276" w:lineRule="auto"/>
        <w:jc w:val="both"/>
        <w:rPr>
          <w:rFonts w:ascii="Century Gothic" w:eastAsia="Calibri" w:hAnsi="Century Gothic" w:cs="Arial"/>
          <w:b/>
          <w:color w:val="000000"/>
          <w:lang w:eastAsia="es-ES_tradnl"/>
        </w:rPr>
      </w:pPr>
    </w:p>
    <w:p w14:paraId="2255C4E9" w14:textId="77777777" w:rsidR="00C63485" w:rsidRPr="000B5EEB" w:rsidRDefault="00C63485" w:rsidP="00C63485">
      <w:pPr>
        <w:widowControl w:val="0"/>
        <w:autoSpaceDE w:val="0"/>
        <w:autoSpaceDN w:val="0"/>
        <w:spacing w:after="0" w:line="276" w:lineRule="auto"/>
        <w:jc w:val="both"/>
        <w:rPr>
          <w:rFonts w:ascii="Century Gothic" w:eastAsia="Arial" w:hAnsi="Century Gothic" w:cs="Arial"/>
          <w:lang w:val="es-ES" w:eastAsia="es-ES" w:bidi="es-ES"/>
        </w:rPr>
      </w:pPr>
      <w:r w:rsidRPr="000B5EEB">
        <w:rPr>
          <w:rFonts w:ascii="Century Gothic" w:eastAsia="Arial" w:hAnsi="Century Gothic" w:cs="Arial"/>
          <w:lang w:val="es-ES" w:eastAsia="es-ES" w:bidi="es-ES"/>
        </w:rPr>
        <w:t xml:space="preserve">La Ley 80 de 1993 consagró un régimen de inhabilidades e incompatibilidades para contratar con el Estado; sin embargo, las causales o eventos vigentes no se encuentran de manera exclusiva en este cuerpo normativo sino en diferentes disposiciones que hacen parte del sistema de compra pública. Muestra de ello es el </w:t>
      </w:r>
      <w:bookmarkStart w:id="12" w:name="_Hlk80191145"/>
      <w:r w:rsidRPr="000B5EEB">
        <w:rPr>
          <w:rFonts w:ascii="Century Gothic" w:eastAsia="Arial" w:hAnsi="Century Gothic" w:cs="Arial"/>
          <w:lang w:val="es-ES" w:eastAsia="es-ES" w:bidi="es-ES"/>
        </w:rPr>
        <w:t xml:space="preserve">artículo </w:t>
      </w:r>
      <w:bookmarkStart w:id="13" w:name="_Hlk79482094"/>
      <w:r w:rsidRPr="000B5EEB">
        <w:rPr>
          <w:rFonts w:ascii="Century Gothic" w:eastAsia="Arial" w:hAnsi="Century Gothic" w:cs="Arial"/>
          <w:lang w:val="es-ES" w:eastAsia="es-ES" w:bidi="es-ES"/>
        </w:rPr>
        <w:t>33 de la Ley 1778 de 2016</w:t>
      </w:r>
      <w:bookmarkEnd w:id="12"/>
      <w:bookmarkEnd w:id="13"/>
      <w:r w:rsidRPr="000B5EEB">
        <w:rPr>
          <w:rFonts w:ascii="Century Gothic" w:eastAsia="Arial" w:hAnsi="Century Gothic" w:cs="Arial"/>
          <w:lang w:val="es-ES" w:eastAsia="es-ES" w:bidi="es-ES"/>
        </w:rPr>
        <w:t>, que establece la siguiente causal de inhabilidad:</w:t>
      </w:r>
    </w:p>
    <w:p w14:paraId="4F6FF4D0" w14:textId="77777777" w:rsidR="00C63485" w:rsidRPr="000B5EEB" w:rsidRDefault="00C63485" w:rsidP="00C63485">
      <w:pPr>
        <w:widowControl w:val="0"/>
        <w:autoSpaceDE w:val="0"/>
        <w:autoSpaceDN w:val="0"/>
        <w:spacing w:after="0" w:line="240" w:lineRule="auto"/>
        <w:ind w:right="709"/>
        <w:jc w:val="both"/>
        <w:rPr>
          <w:rFonts w:ascii="Century Gothic" w:eastAsia="Arial" w:hAnsi="Century Gothic" w:cs="Arial"/>
          <w:sz w:val="20"/>
          <w:szCs w:val="20"/>
          <w:lang w:val="es-ES" w:eastAsia="es-ES" w:bidi="es-ES"/>
        </w:rPr>
      </w:pPr>
    </w:p>
    <w:p w14:paraId="150FA50F" w14:textId="77777777" w:rsidR="00C63485" w:rsidRPr="000B5EEB" w:rsidRDefault="00C63485" w:rsidP="00C63485">
      <w:pPr>
        <w:widowControl w:val="0"/>
        <w:autoSpaceDE w:val="0"/>
        <w:autoSpaceDN w:val="0"/>
        <w:spacing w:after="120" w:line="240" w:lineRule="auto"/>
        <w:ind w:left="709" w:right="709"/>
        <w:jc w:val="both"/>
        <w:rPr>
          <w:rFonts w:ascii="Century Gothic" w:eastAsia="Arial" w:hAnsi="Century Gothic" w:cs="Arial"/>
          <w:sz w:val="21"/>
          <w:szCs w:val="21"/>
          <w:lang w:val="es-MX" w:eastAsia="es-ES" w:bidi="es-ES"/>
        </w:rPr>
      </w:pPr>
      <w:r w:rsidRPr="000B5EEB">
        <w:rPr>
          <w:rFonts w:ascii="Century Gothic" w:eastAsia="Arial" w:hAnsi="Century Gothic" w:cs="Arial"/>
          <w:sz w:val="21"/>
          <w:szCs w:val="21"/>
          <w:lang w:val="es-MX" w:eastAsia="es-ES" w:bidi="es-ES"/>
        </w:rPr>
        <w:t>Artículo 33. Inhabilidad para contratar de quienes financien campañas políticas. Modifica el Artículo 2 de la Ley 1474 de 2011. Modifíquese el artículo 2° de la Ley 1474 de 2011, el cual quedará así:</w:t>
      </w:r>
    </w:p>
    <w:p w14:paraId="143BED98" w14:textId="77777777" w:rsidR="00C63485" w:rsidRPr="000B5EEB" w:rsidRDefault="00C63485" w:rsidP="00C63485">
      <w:pPr>
        <w:widowControl w:val="0"/>
        <w:autoSpaceDE w:val="0"/>
        <w:autoSpaceDN w:val="0"/>
        <w:spacing w:after="120" w:line="240" w:lineRule="auto"/>
        <w:ind w:left="709" w:right="709"/>
        <w:jc w:val="both"/>
        <w:rPr>
          <w:rFonts w:ascii="Century Gothic" w:eastAsia="Arial" w:hAnsi="Century Gothic" w:cs="Arial"/>
          <w:sz w:val="21"/>
          <w:szCs w:val="21"/>
          <w:lang w:val="es-MX" w:eastAsia="es-ES" w:bidi="es-ES"/>
        </w:rPr>
      </w:pPr>
      <w:r w:rsidRPr="000B5EEB">
        <w:rPr>
          <w:rFonts w:ascii="Century Gothic" w:eastAsia="Arial" w:hAnsi="Century Gothic" w:cs="Arial"/>
          <w:sz w:val="21"/>
          <w:szCs w:val="21"/>
          <w:lang w:val="es-MX" w:eastAsia="es-ES" w:bidi="es-ES"/>
        </w:rPr>
        <w:t>Artículo 2°. Inhabilidad para contratar de quienes financien campañas políticas. El numeral 1 del artículo 8° de la Ley 80 de 1993 tendrá un nuevo literal k), el cual quedará así:</w:t>
      </w:r>
    </w:p>
    <w:p w14:paraId="5A169C16" w14:textId="77777777" w:rsidR="00C63485" w:rsidRPr="000B5EEB" w:rsidRDefault="00C63485" w:rsidP="00C63485">
      <w:pPr>
        <w:widowControl w:val="0"/>
        <w:autoSpaceDE w:val="0"/>
        <w:autoSpaceDN w:val="0"/>
        <w:spacing w:after="120" w:line="240" w:lineRule="auto"/>
        <w:ind w:left="709" w:right="709"/>
        <w:jc w:val="both"/>
        <w:rPr>
          <w:rFonts w:ascii="Century Gothic" w:eastAsia="Arial" w:hAnsi="Century Gothic" w:cs="Arial"/>
          <w:sz w:val="21"/>
          <w:szCs w:val="21"/>
          <w:lang w:val="es-MX" w:eastAsia="es-ES" w:bidi="es-ES"/>
        </w:rPr>
      </w:pPr>
      <w:r w:rsidRPr="000B5EEB">
        <w:rPr>
          <w:rFonts w:ascii="Century Gothic" w:eastAsia="Arial" w:hAnsi="Century Gothic" w:cs="Arial"/>
          <w:sz w:val="21"/>
          <w:szCs w:val="21"/>
          <w:lang w:val="es-MX" w:eastAsia="es-ES" w:bidi="es-ES"/>
        </w:rPr>
        <w:t>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306ED6DA" w14:textId="77777777" w:rsidR="00C63485" w:rsidRPr="000B5EEB" w:rsidRDefault="00C63485" w:rsidP="00C63485">
      <w:pPr>
        <w:widowControl w:val="0"/>
        <w:autoSpaceDE w:val="0"/>
        <w:autoSpaceDN w:val="0"/>
        <w:spacing w:after="120" w:line="240" w:lineRule="auto"/>
        <w:ind w:left="709" w:right="709"/>
        <w:jc w:val="both"/>
        <w:rPr>
          <w:rFonts w:ascii="Century Gothic" w:eastAsia="Arial" w:hAnsi="Century Gothic" w:cs="Arial"/>
          <w:sz w:val="21"/>
          <w:szCs w:val="21"/>
          <w:lang w:val="es-MX" w:eastAsia="es-ES" w:bidi="es-ES"/>
        </w:rPr>
      </w:pPr>
      <w:r w:rsidRPr="000B5EEB">
        <w:rPr>
          <w:rFonts w:ascii="Century Gothic" w:eastAsia="Arial" w:hAnsi="Century Gothic" w:cs="Arial"/>
          <w:sz w:val="21"/>
          <w:szCs w:val="21"/>
          <w:lang w:val="es-MX" w:eastAsia="es-ES" w:bidi="es-ES"/>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27354163" w14:textId="77777777" w:rsidR="00C63485" w:rsidRPr="000B5EEB" w:rsidRDefault="00C63485" w:rsidP="00C63485">
      <w:pPr>
        <w:widowControl w:val="0"/>
        <w:autoSpaceDE w:val="0"/>
        <w:autoSpaceDN w:val="0"/>
        <w:spacing w:after="120" w:line="240" w:lineRule="auto"/>
        <w:ind w:left="709" w:right="709"/>
        <w:jc w:val="both"/>
        <w:rPr>
          <w:rFonts w:ascii="Century Gothic" w:eastAsia="Arial" w:hAnsi="Century Gothic" w:cs="Arial"/>
          <w:sz w:val="21"/>
          <w:szCs w:val="21"/>
          <w:lang w:val="es-MX" w:eastAsia="es-ES" w:bidi="es-ES"/>
        </w:rPr>
      </w:pPr>
      <w:r w:rsidRPr="000B5EEB">
        <w:rPr>
          <w:rFonts w:ascii="Century Gothic" w:eastAsia="Arial" w:hAnsi="Century Gothic" w:cs="Arial"/>
          <w:sz w:val="21"/>
          <w:szCs w:val="21"/>
          <w:lang w:val="es-MX" w:eastAsia="es-ES" w:bidi="es-ES"/>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14:paraId="411A44C9" w14:textId="77777777" w:rsidR="00C63485" w:rsidRPr="000B5EEB" w:rsidRDefault="00C63485" w:rsidP="00C63485">
      <w:pPr>
        <w:widowControl w:val="0"/>
        <w:autoSpaceDE w:val="0"/>
        <w:autoSpaceDN w:val="0"/>
        <w:spacing w:after="0" w:line="240" w:lineRule="auto"/>
        <w:ind w:left="709" w:right="709"/>
        <w:jc w:val="both"/>
        <w:rPr>
          <w:rFonts w:ascii="Century Gothic" w:eastAsia="Arial" w:hAnsi="Century Gothic" w:cs="Arial"/>
          <w:sz w:val="21"/>
          <w:szCs w:val="21"/>
          <w:lang w:val="es-MX" w:eastAsia="es-ES" w:bidi="es-ES"/>
        </w:rPr>
      </w:pPr>
      <w:r w:rsidRPr="000B5EEB">
        <w:rPr>
          <w:rFonts w:ascii="Century Gothic" w:eastAsia="Arial" w:hAnsi="Century Gothic" w:cs="Arial"/>
          <w:sz w:val="21"/>
          <w:szCs w:val="21"/>
          <w:lang w:val="es-MX" w:eastAsia="es-ES" w:bidi="es-ES"/>
        </w:rPr>
        <w:t>La inhabilidad contemplada en esta norma no se aplicará respecto de los contratos de prestación de servicios profesionales.</w:t>
      </w:r>
    </w:p>
    <w:p w14:paraId="27CDBA59" w14:textId="77777777" w:rsidR="00C63485" w:rsidRPr="000B5EEB" w:rsidRDefault="00C63485" w:rsidP="00C63485">
      <w:pPr>
        <w:widowControl w:val="0"/>
        <w:autoSpaceDE w:val="0"/>
        <w:autoSpaceDN w:val="0"/>
        <w:spacing w:after="0" w:line="240" w:lineRule="auto"/>
        <w:ind w:firstLine="708"/>
        <w:jc w:val="both"/>
        <w:rPr>
          <w:rFonts w:ascii="Century Gothic" w:eastAsia="Arial" w:hAnsi="Century Gothic" w:cs="Arial"/>
          <w:lang w:val="es-ES" w:eastAsia="es-ES" w:bidi="es-ES"/>
        </w:rPr>
      </w:pPr>
    </w:p>
    <w:p w14:paraId="1A72AE51" w14:textId="77777777" w:rsidR="00C63485" w:rsidRPr="000B5EEB" w:rsidRDefault="00C63485" w:rsidP="00C63485">
      <w:pPr>
        <w:widowControl w:val="0"/>
        <w:autoSpaceDE w:val="0"/>
        <w:autoSpaceDN w:val="0"/>
        <w:spacing w:after="0" w:line="276" w:lineRule="auto"/>
        <w:ind w:firstLine="709"/>
        <w:jc w:val="both"/>
        <w:rPr>
          <w:rFonts w:ascii="Century Gothic" w:eastAsia="Arial" w:hAnsi="Century Gothic" w:cs="Arial"/>
          <w:lang w:val="es-ES" w:eastAsia="es-ES" w:bidi="es-ES"/>
        </w:rPr>
      </w:pPr>
      <w:r w:rsidRPr="000B5EEB">
        <w:rPr>
          <w:rFonts w:ascii="Century Gothic" w:eastAsia="Arial" w:hAnsi="Century Gothic" w:cs="Arial"/>
          <w:lang w:val="es-ES" w:eastAsia="es-ES" w:bidi="es-ES"/>
        </w:rPr>
        <w:t xml:space="preserve">Según se observa esta causal de inhabilidad consagra tres reglas especiales. </w:t>
      </w:r>
      <w:r w:rsidRPr="000B5EEB">
        <w:rPr>
          <w:rFonts w:ascii="Century Gothic" w:eastAsia="Arial" w:hAnsi="Century Gothic" w:cs="Arial"/>
          <w:i/>
          <w:lang w:val="es-ES" w:eastAsia="es-ES" w:bidi="es-ES"/>
        </w:rPr>
        <w:t>Primer</w:t>
      </w:r>
      <w:r w:rsidRPr="000B5EEB">
        <w:rPr>
          <w:rFonts w:ascii="Century Gothic" w:eastAsia="Arial" w:hAnsi="Century Gothic" w:cs="Arial"/>
          <w:lang w:val="es-ES" w:eastAsia="es-ES" w:bidi="es-ES"/>
        </w:rPr>
        <w:t xml:space="preserve">o, y en lo que respecta al ámbito de aplicación material, la misma cobija </w:t>
      </w:r>
      <w:r w:rsidRPr="000B5EEB">
        <w:rPr>
          <w:rFonts w:ascii="Century Gothic" w:eastAsia="Times New Roman" w:hAnsi="Century Gothic" w:cs="Arial"/>
          <w:color w:val="000000"/>
          <w:lang w:eastAsia="es-ES_tradnl"/>
        </w:rPr>
        <w:t xml:space="preserve">a las personas que </w:t>
      </w:r>
      <w:bookmarkStart w:id="14" w:name="_Hlk79483008"/>
      <w:r w:rsidRPr="000B5EEB">
        <w:rPr>
          <w:rFonts w:ascii="Century Gothic" w:eastAsia="Times New Roman" w:hAnsi="Century Gothic" w:cs="Arial"/>
          <w:color w:val="000000"/>
          <w:lang w:eastAsia="es-ES_tradnl"/>
        </w:rPr>
        <w:t xml:space="preserve">hayan financiado campañas políticas </w:t>
      </w:r>
      <w:r w:rsidRPr="000B5EEB">
        <w:rPr>
          <w:rFonts w:ascii="Century Gothic" w:eastAsia="Calibri" w:hAnsi="Century Gothic" w:cs="Arial"/>
          <w:lang w:eastAsia="es-ES_tradnl"/>
        </w:rPr>
        <w:t>a la Presidencia de la República,</w:t>
      </w:r>
      <w:r w:rsidRPr="000B5EEB">
        <w:rPr>
          <w:rFonts w:ascii="Century Gothic" w:eastAsia="Calibri" w:hAnsi="Century Gothic" w:cs="Arial"/>
          <w:sz w:val="20"/>
          <w:szCs w:val="20"/>
          <w:lang w:eastAsia="es-ES_tradnl"/>
        </w:rPr>
        <w:t xml:space="preserve"> </w:t>
      </w:r>
      <w:r w:rsidRPr="000B5EEB">
        <w:rPr>
          <w:rFonts w:ascii="Century Gothic" w:eastAsia="Calibri" w:hAnsi="Century Gothic" w:cs="Arial"/>
          <w:lang w:eastAsia="es-ES_tradnl"/>
        </w:rPr>
        <w:t>a las gobernaciones, a las alcaldías o al Congreso de la República con aportes superiores al 2.0% de las sumas máximas a invertir por los candidatos en las campañas electorales en cada circunscripción electoral</w:t>
      </w:r>
      <w:bookmarkEnd w:id="14"/>
      <w:r w:rsidRPr="000B5EEB">
        <w:rPr>
          <w:rFonts w:ascii="Century Gothic" w:eastAsia="Calibri" w:hAnsi="Century Gothic" w:cs="Arial"/>
          <w:lang w:eastAsia="es-ES_tradnl"/>
        </w:rPr>
        <w:t xml:space="preserve">. Así, </w:t>
      </w:r>
      <w:r w:rsidRPr="000B5EEB">
        <w:rPr>
          <w:rFonts w:ascii="Century Gothic" w:eastAsia="Arial" w:hAnsi="Century Gothic" w:cs="Arial"/>
          <w:lang w:val="es-ES" w:eastAsia="es-ES" w:bidi="es-ES"/>
        </w:rPr>
        <w:t xml:space="preserve">la causal únicamente opera cuando el monto de los aportes a invertir en las campañas electorales en </w:t>
      </w:r>
      <w:r w:rsidRPr="000B5EEB">
        <w:rPr>
          <w:rFonts w:ascii="Century Gothic" w:eastAsia="Arial" w:hAnsi="Century Gothic" w:cs="Arial"/>
          <w:lang w:val="es-ES" w:eastAsia="es-ES" w:bidi="es-ES"/>
        </w:rPr>
        <w:lastRenderedPageBreak/>
        <w:t>cada circunscripción electoral sea superior al 2.0%, de manera que,</w:t>
      </w:r>
      <w:r w:rsidRPr="000B5EEB">
        <w:rPr>
          <w:rFonts w:ascii="Century Gothic" w:eastAsia="Calibri" w:hAnsi="Century Gothic" w:cs="Arial"/>
          <w:lang w:eastAsia="es-ES_tradnl"/>
        </w:rPr>
        <w:t xml:space="preserve"> si los aportes son inferiores a ese porcentaje no se aplica dicha inhabilidad. </w:t>
      </w:r>
      <w:r w:rsidRPr="000B5EEB">
        <w:rPr>
          <w:rFonts w:ascii="Century Gothic" w:eastAsia="Arial" w:hAnsi="Century Gothic" w:cs="Arial"/>
          <w:lang w:val="es-ES" w:eastAsia="es-ES" w:bidi="es-ES"/>
        </w:rPr>
        <w:t xml:space="preserve">Estos límites, según lo que se deriva del artículo 24 de la Ley 1475 de 2011, “[…] serán fijados por el Consejo Nacional Electoral en el mes de enero de cada año, teniendo en cuenta los costos reales de las campañas, el correspondiente censo electoral y la apropiación presupuestal para la financiación estatal de las mismas […]”. </w:t>
      </w:r>
      <w:r w:rsidRPr="000B5EEB">
        <w:rPr>
          <w:rFonts w:ascii="Century Gothic" w:eastAsia="Arial" w:hAnsi="Century Gothic" w:cs="Arial"/>
          <w:i/>
          <w:lang w:val="es-ES" w:eastAsia="es-ES" w:bidi="es-ES"/>
        </w:rPr>
        <w:t>Segundo</w:t>
      </w:r>
      <w:r w:rsidRPr="000B5EEB">
        <w:rPr>
          <w:rFonts w:ascii="Century Gothic" w:eastAsia="Arial" w:hAnsi="Century Gothic" w:cs="Arial"/>
          <w:lang w:val="es-ES" w:eastAsia="es-ES" w:bidi="es-ES"/>
        </w:rPr>
        <w:t>, referente al ámbito de aplicación temporal, esta inhabilidad se extiende durante todo el periodo para el cual el candidato fue elegido, esto es, por el periodo constitucional del presidente, los gobernadores y alcaldes o los congresistas.</w:t>
      </w:r>
    </w:p>
    <w:p w14:paraId="3C9625EE" w14:textId="77777777" w:rsidR="00C63485" w:rsidRPr="000B5EEB" w:rsidRDefault="00C63485" w:rsidP="00C63485">
      <w:pPr>
        <w:widowControl w:val="0"/>
        <w:autoSpaceDE w:val="0"/>
        <w:autoSpaceDN w:val="0"/>
        <w:spacing w:before="120" w:after="0" w:line="276" w:lineRule="auto"/>
        <w:ind w:firstLine="709"/>
        <w:jc w:val="both"/>
        <w:rPr>
          <w:rFonts w:ascii="Century Gothic" w:eastAsia="Arial" w:hAnsi="Century Gothic" w:cs="Arial"/>
          <w:lang w:val="es-ES" w:eastAsia="es-ES" w:bidi="es-ES"/>
        </w:rPr>
      </w:pPr>
      <w:r w:rsidRPr="000B5EEB">
        <w:rPr>
          <w:rFonts w:ascii="Century Gothic" w:eastAsia="Arial" w:hAnsi="Century Gothic" w:cs="Arial"/>
          <w:i/>
          <w:lang w:val="es-ES" w:eastAsia="es-ES" w:bidi="es-ES"/>
        </w:rPr>
        <w:t>Tercero</w:t>
      </w:r>
      <w:r w:rsidRPr="000B5EEB">
        <w:rPr>
          <w:rFonts w:ascii="Century Gothic" w:eastAsia="Arial" w:hAnsi="Century Gothic" w:cs="Arial"/>
          <w:lang w:val="es-ES" w:eastAsia="es-ES" w:bidi="es-ES"/>
        </w:rPr>
        <w:t xml:space="preserve">, en relación con el ámbito subjetivo de aplicación de la causal de inhabilidad, se tiene que la causal en comento cobija al aportante a las respectivas campañas políticas, tanto a personas naturales como jurídicas; pero también se extiende: i) a las personas jurídicas en las cuales el representante legal, los miembros de junta directiva o cualquiera de sus socios controlantes, hayan financiado directamente o por interpuesta persona campañas políticas; ii) a las personas que se encuentren dentro del segundo grado de consanguinidad o segundo de afinidad, respecto de la persona que financió la campaña política; y </w:t>
      </w:r>
      <w:proofErr w:type="spellStart"/>
      <w:r w:rsidRPr="000B5EEB">
        <w:rPr>
          <w:rFonts w:ascii="Century Gothic" w:eastAsia="Arial" w:hAnsi="Century Gothic" w:cs="Arial"/>
          <w:lang w:val="es-ES" w:eastAsia="es-ES" w:bidi="es-ES"/>
        </w:rPr>
        <w:t>iii</w:t>
      </w:r>
      <w:proofErr w:type="spellEnd"/>
      <w:r w:rsidRPr="000B5EEB">
        <w:rPr>
          <w:rFonts w:ascii="Century Gothic" w:eastAsia="Arial" w:hAnsi="Century Gothic" w:cs="Arial"/>
          <w:lang w:val="es-ES" w:eastAsia="es-ES" w:bidi="es-ES"/>
        </w:rPr>
        <w:t>) a quienes se encuentren dentro del primer grado de parentesco civil con la persona que financió la campaña política.</w:t>
      </w:r>
    </w:p>
    <w:p w14:paraId="6739E065" w14:textId="77777777" w:rsidR="00C63485" w:rsidRPr="000B5EEB" w:rsidRDefault="00C63485" w:rsidP="00C63485">
      <w:pPr>
        <w:widowControl w:val="0"/>
        <w:autoSpaceDE w:val="0"/>
        <w:autoSpaceDN w:val="0"/>
        <w:spacing w:before="120" w:after="0" w:line="276" w:lineRule="auto"/>
        <w:ind w:firstLine="709"/>
        <w:jc w:val="both"/>
        <w:rPr>
          <w:rFonts w:ascii="Century Gothic" w:eastAsia="Arial" w:hAnsi="Century Gothic" w:cs="Arial"/>
          <w:lang w:eastAsia="es-ES" w:bidi="es-ES"/>
        </w:rPr>
      </w:pPr>
      <w:r w:rsidRPr="000B5EEB">
        <w:rPr>
          <w:rFonts w:ascii="Century Gothic" w:eastAsia="Arial" w:hAnsi="Century Gothic" w:cs="Arial"/>
          <w:lang w:val="es-ES" w:eastAsia="es-ES" w:bidi="es-ES"/>
        </w:rPr>
        <w:t xml:space="preserve">De acuerdo a lo dicho en el párrafo precedente, se configura la inhabilidad para contratar con el Estado para el aportante a la campaña y las personas que tengan, respecto de este, alguno de los siguientes vínculos: </w:t>
      </w:r>
      <w:r w:rsidRPr="000B5EEB">
        <w:rPr>
          <w:rFonts w:ascii="Century Gothic" w:eastAsia="Arial" w:hAnsi="Century Gothic" w:cs="Arial"/>
          <w:lang w:eastAsia="es-ES" w:bidi="es-ES"/>
        </w:rPr>
        <w:t>hasta el segundo de consanguinidad, esto es, padres, hermanos, abuelos, hijos y nietos; hasta el segundo de afinidad, es decir, padres, hermanos, abuelos, hijos y nietos del cónyuge o compañero o compañera permanente de la persona que realizó aportes a la campaña, siempre que el aporte efectuado cumplan con la primera regla mencionada y  hasta el primer grado civil, esto es, hijos o padres adoptados o adoptantes, respectivamente.</w:t>
      </w:r>
    </w:p>
    <w:p w14:paraId="326260BA" w14:textId="77777777" w:rsidR="00C63485" w:rsidRPr="000B5EEB" w:rsidRDefault="00C63485" w:rsidP="00C63485">
      <w:pPr>
        <w:widowControl w:val="0"/>
        <w:autoSpaceDE w:val="0"/>
        <w:autoSpaceDN w:val="0"/>
        <w:spacing w:before="120" w:after="0" w:line="276" w:lineRule="auto"/>
        <w:ind w:firstLine="709"/>
        <w:jc w:val="both"/>
        <w:rPr>
          <w:rFonts w:ascii="Century Gothic" w:eastAsia="Arial" w:hAnsi="Century Gothic" w:cs="Arial"/>
          <w:lang w:eastAsia="es-ES" w:bidi="es-ES"/>
        </w:rPr>
      </w:pPr>
      <w:r w:rsidRPr="000B5EEB">
        <w:rPr>
          <w:rFonts w:ascii="Century Gothic" w:eastAsia="Arial" w:hAnsi="Century Gothic" w:cs="Arial"/>
          <w:lang w:eastAsia="es-ES" w:bidi="es-ES"/>
        </w:rPr>
        <w:t xml:space="preserve">Adicionalmente, la aplicación de esta inhabilidad contempla una excepción: los </w:t>
      </w:r>
      <w:r w:rsidRPr="000B5EEB">
        <w:rPr>
          <w:rFonts w:ascii="Century Gothic" w:eastAsia="Arial" w:hAnsi="Century Gothic" w:cs="Arial"/>
          <w:i/>
          <w:iCs/>
          <w:lang w:eastAsia="es-ES" w:bidi="es-ES"/>
        </w:rPr>
        <w:t>contratos de prestación de servicios profesionales.</w:t>
      </w:r>
      <w:r w:rsidRPr="000B5EEB">
        <w:rPr>
          <w:rFonts w:ascii="Century Gothic" w:eastAsia="Arial" w:hAnsi="Century Gothic" w:cs="Arial"/>
          <w:lang w:eastAsia="es-ES" w:bidi="es-ES"/>
        </w:rPr>
        <w:t xml:space="preserve"> Esto significa que las personas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 no podrán contratar con las entidades públicas, incluso descentralizadas, del respectivo nivel administrativo para el cual fue elegido el candidato, salvo que se trate de un contrato de prestación de servicios profesionales. Para este tipo de contratación no se aplica la inhabilidad para las personas allí señaladas por disposición expresa de la norma. </w:t>
      </w:r>
    </w:p>
    <w:p w14:paraId="032597D7" w14:textId="77777777" w:rsidR="00C63485" w:rsidRPr="000B5EEB" w:rsidRDefault="00C63485" w:rsidP="00C63485">
      <w:pPr>
        <w:widowControl w:val="0"/>
        <w:autoSpaceDE w:val="0"/>
        <w:autoSpaceDN w:val="0"/>
        <w:spacing w:before="120" w:after="0" w:line="276" w:lineRule="auto"/>
        <w:ind w:firstLine="709"/>
        <w:jc w:val="both"/>
        <w:rPr>
          <w:rFonts w:ascii="Century Gothic" w:eastAsia="Arial" w:hAnsi="Century Gothic" w:cs="Arial"/>
          <w:lang w:val="es-ES_tradnl" w:eastAsia="es-ES" w:bidi="es-ES"/>
        </w:rPr>
      </w:pPr>
      <w:r w:rsidRPr="000B5EEB">
        <w:rPr>
          <w:rFonts w:ascii="Century Gothic" w:eastAsia="Arial" w:hAnsi="Century Gothic" w:cs="Arial"/>
          <w:lang w:val="es-ES" w:eastAsia="es-ES" w:bidi="es-ES"/>
        </w:rPr>
        <w:t xml:space="preserve">A este respecto, cabe recordar que las normas que regulan inhabilidades, como es el caso del artículo 33 de la Ley 1778 de 2016, son de interpretación </w:t>
      </w:r>
      <w:r w:rsidRPr="000B5EEB">
        <w:rPr>
          <w:rFonts w:ascii="Century Gothic" w:eastAsia="Arial" w:hAnsi="Century Gothic" w:cs="Arial"/>
          <w:lang w:val="es-ES" w:eastAsia="es-ES" w:bidi="es-ES"/>
        </w:rPr>
        <w:lastRenderedPageBreak/>
        <w:t xml:space="preserve">restrictiva, tal y como lo han considerado pacíficamente el Consejo de Estado y la Corte Constitucional, y como lo ha expuesto esta Subdirección en diferentes conceptos. </w:t>
      </w:r>
      <w:r w:rsidRPr="000B5EEB">
        <w:rPr>
          <w:rFonts w:ascii="Century Gothic" w:eastAsia="Arial" w:hAnsi="Century Gothic" w:cs="Arial"/>
          <w:lang w:val="es-ES_tradnl" w:eastAsia="es-ES" w:bidi="es-ES"/>
        </w:rPr>
        <w:t>De esta manera, esta inhabilidad, como todas las demás contenidas en el ordenamiento jurídico, debe</w:t>
      </w:r>
      <w:r w:rsidRPr="000B5EEB">
        <w:rPr>
          <w:rFonts w:ascii="Century Gothic" w:eastAsia="Arial" w:hAnsi="Century Gothic" w:cs="Arial"/>
          <w:color w:val="000000"/>
          <w:lang w:val="es-ES_tradnl"/>
        </w:rPr>
        <w:t xml:space="preserve"> ceñirse en la mayor medida posible al tenor literal y gramatical de los enunciados normativos</w:t>
      </w:r>
      <w:r w:rsidRPr="000B5EEB">
        <w:rPr>
          <w:rFonts w:ascii="Century Gothic" w:eastAsia="Arial" w:hAnsi="Century Gothic" w:cs="Arial"/>
          <w:lang w:val="es-ES_tradnl" w:eastAsia="es-ES" w:bidi="es-ES"/>
        </w:rPr>
        <w:t>.</w:t>
      </w:r>
    </w:p>
    <w:p w14:paraId="543EC588" w14:textId="77777777" w:rsidR="00C63485" w:rsidRPr="000B5EEB" w:rsidRDefault="00C63485" w:rsidP="00C63485">
      <w:pPr>
        <w:widowControl w:val="0"/>
        <w:autoSpaceDE w:val="0"/>
        <w:autoSpaceDN w:val="0"/>
        <w:spacing w:before="120" w:after="0" w:line="276" w:lineRule="auto"/>
        <w:ind w:firstLine="709"/>
        <w:jc w:val="both"/>
        <w:rPr>
          <w:rFonts w:ascii="Century Gothic" w:eastAsia="Arial" w:hAnsi="Century Gothic" w:cs="Arial"/>
          <w:lang w:val="es-ES_tradnl" w:eastAsia="es-ES" w:bidi="es-ES"/>
        </w:rPr>
      </w:pPr>
      <w:r w:rsidRPr="000B5EEB">
        <w:rPr>
          <w:rFonts w:ascii="Century Gothic" w:eastAsia="Arial" w:hAnsi="Century Gothic" w:cs="Arial"/>
          <w:lang w:val="es-ES_tradnl" w:eastAsia="es-ES" w:bidi="es-ES"/>
        </w:rPr>
        <w:t xml:space="preserve">En tal sentido, la excepción consagrada en el artículo </w:t>
      </w:r>
      <w:r w:rsidRPr="000B5EEB">
        <w:rPr>
          <w:rFonts w:ascii="Century Gothic" w:eastAsia="Arial" w:hAnsi="Century Gothic" w:cs="Arial"/>
          <w:lang w:val="es-ES" w:eastAsia="es-ES" w:bidi="es-ES"/>
        </w:rPr>
        <w:t xml:space="preserve">33 de la Ley 1778 de 2016 únicamente cobija al contrato de prestación de servicios profesionales y, por ende, se excluyen de este alcance las demás especies del contrato de prestación de servicios determinadas por la Ley y por la jurisprudencia, es decir, los contratos de prestación de servicios de apoyo a la gestión y los de prestación de servicios de trabajos artísticos. </w:t>
      </w:r>
    </w:p>
    <w:p w14:paraId="072CD59E" w14:textId="77777777" w:rsidR="00C63485" w:rsidRPr="000B5EEB" w:rsidRDefault="00C63485" w:rsidP="00C63485">
      <w:pPr>
        <w:widowControl w:val="0"/>
        <w:autoSpaceDE w:val="0"/>
        <w:autoSpaceDN w:val="0"/>
        <w:spacing w:before="120" w:after="0" w:line="276" w:lineRule="auto"/>
        <w:ind w:firstLine="709"/>
        <w:jc w:val="both"/>
        <w:rPr>
          <w:rFonts w:ascii="Century Gothic" w:eastAsia="Times New Roman" w:hAnsi="Century Gothic" w:cs="Arial"/>
          <w:color w:val="000000"/>
          <w:szCs w:val="24"/>
          <w:highlight w:val="yellow"/>
          <w:lang w:eastAsia="es-ES_tradnl"/>
        </w:rPr>
      </w:pPr>
      <w:r w:rsidRPr="000B5EEB">
        <w:rPr>
          <w:rFonts w:ascii="Century Gothic" w:eastAsia="Arial" w:hAnsi="Century Gothic" w:cs="Arial"/>
          <w:lang w:val="es-ES_tradnl" w:eastAsia="es-ES" w:bidi="es-ES"/>
        </w:rPr>
        <w:t xml:space="preserve">En efecto, conforme se explicó en el acápite anterior, de acuerdo con la sentencia de unificación el Consejo de Estado, </w:t>
      </w:r>
      <w:r w:rsidRPr="000B5EEB">
        <w:rPr>
          <w:rFonts w:ascii="Century Gothic" w:eastAsia="Times New Roman" w:hAnsi="Century Gothic" w:cs="Arial"/>
          <w:color w:val="000000"/>
          <w:szCs w:val="24"/>
          <w:lang w:eastAsia="es-ES_tradnl"/>
        </w:rPr>
        <w:t>tanto los contratos que tienen por objeto la prestación de servicios profesionales, como los que versan sobre el apoyo a la gestión y los trabajos artísticos, se subsumen en el género del contrato de prestación de servicios definido en la Ley 80 de 1993. Para el momento que se consagró esta causal de inhabilidad en la Ley 1474 de 2011, se encontraba vigente el Decreto Reglamentario 2474 del 2008, cuyo artículo 82 regulaba tanto los contratos de prestación de servicios profesionales como los de apoyo a la gestión,</w:t>
      </w:r>
      <w:bookmarkStart w:id="15" w:name="82"/>
      <w:r w:rsidRPr="000B5EEB">
        <w:rPr>
          <w:rFonts w:ascii="Century Gothic" w:eastAsia="Times New Roman" w:hAnsi="Century Gothic" w:cs="Arial"/>
          <w:color w:val="244700"/>
          <w:sz w:val="21"/>
          <w:szCs w:val="21"/>
          <w:lang w:eastAsia="es-ES_tradnl"/>
        </w:rPr>
        <w:t xml:space="preserve"> </w:t>
      </w:r>
      <w:r w:rsidRPr="000B5EEB">
        <w:rPr>
          <w:rFonts w:ascii="Century Gothic" w:eastAsia="Times New Roman" w:hAnsi="Century Gothic" w:cs="Arial"/>
          <w:color w:val="000000"/>
          <w:szCs w:val="24"/>
          <w:lang w:eastAsia="es-ES_tradnl"/>
        </w:rPr>
        <w:t xml:space="preserve">y los de trabajos artísticos que solo pueden encomendarse a determinadas personas </w:t>
      </w:r>
      <w:bookmarkEnd w:id="15"/>
      <w:r w:rsidRPr="000B5EEB">
        <w:rPr>
          <w:rFonts w:ascii="Century Gothic" w:eastAsia="Times New Roman" w:hAnsi="Century Gothic" w:cs="Arial"/>
          <w:color w:val="000000"/>
          <w:szCs w:val="24"/>
          <w:lang w:eastAsia="es-ES_tradnl"/>
        </w:rPr>
        <w:t xml:space="preserve">naturales. Sin embargo, el artículo 2 de la Ley 1474 de 2011, únicamente hace referencia a los contratos de prestación de servicios profesionales, dejando de lado las demás especies de contratos de prestación de servicios. Esto a su vez fue replicado en la modificación que se realizó a esta causal de inhabilidad en el artículo 33 de la Ley 1778 de 2016. De ahí se desprende que </w:t>
      </w:r>
      <w:r w:rsidRPr="000B5EEB">
        <w:rPr>
          <w:rFonts w:ascii="Century Gothic" w:eastAsia="Arial" w:hAnsi="Century Gothic" w:cs="Arial"/>
          <w:lang w:val="es-ES" w:eastAsia="es-ES" w:bidi="es-ES"/>
        </w:rPr>
        <w:t xml:space="preserve">la intención del legislador era consagrar como excepción a esta inhabilidad únicamente a los contratos de prestación de servicios profesionales, no a las demás especies del contrato de prestación de servicios. </w:t>
      </w:r>
    </w:p>
    <w:p w14:paraId="5E0BC565" w14:textId="77777777" w:rsidR="00C63485" w:rsidRPr="000B5EEB" w:rsidRDefault="00C63485" w:rsidP="00C63485">
      <w:pPr>
        <w:widowControl w:val="0"/>
        <w:autoSpaceDE w:val="0"/>
        <w:autoSpaceDN w:val="0"/>
        <w:spacing w:before="120" w:after="0" w:line="276" w:lineRule="auto"/>
        <w:ind w:firstLine="709"/>
        <w:jc w:val="both"/>
        <w:rPr>
          <w:rFonts w:ascii="Century Gothic" w:eastAsia="Times New Roman" w:hAnsi="Century Gothic" w:cs="Arial"/>
          <w:color w:val="000000"/>
          <w:szCs w:val="24"/>
          <w:lang w:eastAsia="es-ES_tradnl"/>
        </w:rPr>
      </w:pPr>
      <w:r w:rsidRPr="000B5EEB">
        <w:rPr>
          <w:rFonts w:ascii="Century Gothic" w:eastAsia="Times New Roman" w:hAnsi="Century Gothic" w:cs="Arial"/>
          <w:color w:val="000000"/>
          <w:szCs w:val="24"/>
          <w:lang w:eastAsia="es-ES_tradnl"/>
        </w:rPr>
        <w:t xml:space="preserve">Bajo este contexto, de acuerdo con lo expresamente dispuesto en el inciso final del artículo 33 de la Ley 1778 de 2016, las entidades podrán contratar a </w:t>
      </w:r>
      <w:r w:rsidRPr="000B5EEB">
        <w:rPr>
          <w:rFonts w:ascii="Century Gothic" w:eastAsia="Arial" w:hAnsi="Century Gothic" w:cs="Arial"/>
          <w:lang w:eastAsia="es-ES" w:bidi="es-ES"/>
        </w:rPr>
        <w:t xml:space="preserve">las personas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 únicamente tratándose de contratos de prestación de servicios profesionales. </w:t>
      </w:r>
    </w:p>
    <w:bookmarkEnd w:id="0"/>
    <w:bookmarkEnd w:id="1"/>
    <w:p w14:paraId="04A099F9" w14:textId="77777777" w:rsidR="00C63485" w:rsidRPr="000B5EEB" w:rsidRDefault="00C63485" w:rsidP="00C63485">
      <w:pPr>
        <w:spacing w:after="0" w:line="240" w:lineRule="auto"/>
        <w:jc w:val="both"/>
        <w:rPr>
          <w:rFonts w:ascii="Century Gothic" w:eastAsia="Calibri" w:hAnsi="Century Gothic" w:cs="Arial"/>
          <w:color w:val="000000"/>
          <w:lang w:val="es-ES_tradnl"/>
        </w:rPr>
      </w:pPr>
    </w:p>
    <w:p w14:paraId="203F969D" w14:textId="77777777" w:rsidR="00C63485" w:rsidRPr="000B5EEB" w:rsidRDefault="00C63485" w:rsidP="00C63485">
      <w:pPr>
        <w:numPr>
          <w:ilvl w:val="0"/>
          <w:numId w:val="1"/>
        </w:numPr>
        <w:tabs>
          <w:tab w:val="left" w:pos="284"/>
        </w:tabs>
        <w:spacing w:after="0" w:line="276" w:lineRule="auto"/>
        <w:jc w:val="both"/>
        <w:rPr>
          <w:rFonts w:ascii="Century Gothic" w:eastAsia="Calibri" w:hAnsi="Century Gothic" w:cs="Arial"/>
          <w:lang w:val="es-MX"/>
        </w:rPr>
      </w:pPr>
      <w:r w:rsidRPr="000B5EEB">
        <w:rPr>
          <w:rFonts w:ascii="Century Gothic" w:eastAsia="Calibri" w:hAnsi="Century Gothic" w:cs="Arial"/>
          <w:b/>
          <w:lang w:val="es-MX"/>
        </w:rPr>
        <w:t>Respuestas</w:t>
      </w:r>
    </w:p>
    <w:p w14:paraId="4281BE81" w14:textId="77777777" w:rsidR="00C63485" w:rsidRPr="000B5EEB" w:rsidRDefault="00C63485" w:rsidP="00C63485">
      <w:pPr>
        <w:spacing w:after="0" w:line="276" w:lineRule="auto"/>
        <w:jc w:val="both"/>
        <w:rPr>
          <w:rFonts w:ascii="Century Gothic" w:eastAsia="Calibri" w:hAnsi="Century Gothic" w:cs="Arial"/>
          <w:lang w:val="es-ES_tradnl"/>
        </w:rPr>
      </w:pPr>
    </w:p>
    <w:p w14:paraId="067640EB" w14:textId="77777777" w:rsidR="00C63485" w:rsidRPr="000B5EEB" w:rsidRDefault="00C63485" w:rsidP="00C63485">
      <w:pPr>
        <w:autoSpaceDE w:val="0"/>
        <w:autoSpaceDN w:val="0"/>
        <w:adjustRightInd w:val="0"/>
        <w:spacing w:after="0" w:line="240" w:lineRule="auto"/>
        <w:ind w:left="709" w:right="709"/>
        <w:jc w:val="both"/>
        <w:rPr>
          <w:rFonts w:ascii="Century Gothic" w:eastAsia="Aptos" w:hAnsi="Century Gothic" w:cs="Times New Roman"/>
          <w:kern w:val="2"/>
          <w:sz w:val="21"/>
          <w:szCs w:val="21"/>
          <w14:ligatures w14:val="standardContextual"/>
        </w:rPr>
      </w:pPr>
      <w:r w:rsidRPr="000B5EEB">
        <w:rPr>
          <w:rFonts w:ascii="Century Gothic" w:eastAsia="Aptos" w:hAnsi="Century Gothic" w:cs="Arial"/>
          <w:sz w:val="21"/>
          <w:szCs w:val="21"/>
          <w14:ligatures w14:val="standardContextual"/>
        </w:rPr>
        <w:t xml:space="preserve">“(…) una persona que es Bachiller, técnico o tecnológico puede celebrar contratos de prestación de servicios con entidad </w:t>
      </w:r>
      <w:proofErr w:type="spellStart"/>
      <w:r w:rsidRPr="000B5EEB">
        <w:rPr>
          <w:rFonts w:ascii="Century Gothic" w:eastAsia="Aptos" w:hAnsi="Century Gothic" w:cs="Arial"/>
          <w:sz w:val="21"/>
          <w:szCs w:val="21"/>
          <w14:ligatures w14:val="standardContextual"/>
        </w:rPr>
        <w:t>publica</w:t>
      </w:r>
      <w:proofErr w:type="spellEnd"/>
      <w:r w:rsidRPr="000B5EEB">
        <w:rPr>
          <w:rFonts w:ascii="Century Gothic" w:eastAsia="Aptos" w:hAnsi="Century Gothic" w:cs="Arial"/>
          <w:sz w:val="21"/>
          <w:szCs w:val="21"/>
          <w14:ligatures w14:val="standardContextual"/>
        </w:rPr>
        <w:t xml:space="preserve"> (sic) habiendo </w:t>
      </w:r>
      <w:r w:rsidRPr="000B5EEB">
        <w:rPr>
          <w:rFonts w:ascii="Century Gothic" w:eastAsia="Aptos" w:hAnsi="Century Gothic" w:cs="Arial"/>
          <w:sz w:val="21"/>
          <w:szCs w:val="21"/>
          <w14:ligatures w14:val="standardContextual"/>
        </w:rPr>
        <w:lastRenderedPageBreak/>
        <w:t xml:space="preserve">realizado aportes de </w:t>
      </w:r>
      <w:proofErr w:type="spellStart"/>
      <w:r w:rsidRPr="000B5EEB">
        <w:rPr>
          <w:rFonts w:ascii="Century Gothic" w:eastAsia="Aptos" w:hAnsi="Century Gothic" w:cs="Arial"/>
          <w:sz w:val="21"/>
          <w:szCs w:val="21"/>
          <w14:ligatures w14:val="standardContextual"/>
        </w:rPr>
        <w:t>mas</w:t>
      </w:r>
      <w:proofErr w:type="spellEnd"/>
      <w:r w:rsidRPr="000B5EEB">
        <w:rPr>
          <w:rFonts w:ascii="Century Gothic" w:eastAsia="Aptos" w:hAnsi="Century Gothic" w:cs="Arial"/>
          <w:sz w:val="21"/>
          <w:szCs w:val="21"/>
          <w14:ligatures w14:val="standardContextual"/>
        </w:rPr>
        <w:t xml:space="preserve"> del 2% de lo permitido por el candidato a invertir en la campaña política para la alcaldía municipal”.</w:t>
      </w:r>
    </w:p>
    <w:p w14:paraId="01A539FD" w14:textId="77777777" w:rsidR="00C63485" w:rsidRPr="000B5EEB" w:rsidRDefault="00C63485" w:rsidP="00C63485">
      <w:pPr>
        <w:spacing w:after="0" w:line="276" w:lineRule="auto"/>
        <w:jc w:val="both"/>
        <w:rPr>
          <w:rFonts w:ascii="Century Gothic" w:eastAsia="Aptos" w:hAnsi="Century Gothic" w:cs="Times New Roman"/>
          <w:color w:val="000000"/>
          <w:sz w:val="21"/>
          <w:szCs w:val="21"/>
          <w14:ligatures w14:val="standardContextual"/>
        </w:rPr>
      </w:pPr>
    </w:p>
    <w:p w14:paraId="3AAE3E61" w14:textId="77777777" w:rsidR="00C63485" w:rsidRPr="000B5EEB" w:rsidRDefault="00C63485" w:rsidP="00C63485">
      <w:pPr>
        <w:spacing w:after="120" w:line="276" w:lineRule="auto"/>
        <w:jc w:val="both"/>
        <w:rPr>
          <w:rFonts w:ascii="Century Gothic" w:eastAsia="Calibri" w:hAnsi="Century Gothic" w:cs="Arial"/>
          <w:szCs w:val="24"/>
          <w:lang w:val="es-MX" w:eastAsia="es-ES_tradnl" w:bidi="es-ES"/>
        </w:rPr>
      </w:pPr>
      <w:r w:rsidRPr="000B5EEB">
        <w:rPr>
          <w:rFonts w:ascii="Century Gothic" w:eastAsia="Calibri" w:hAnsi="Century Gothic" w:cs="Arial"/>
          <w:szCs w:val="24"/>
          <w:lang w:eastAsia="es-ES_tradnl"/>
        </w:rPr>
        <w:t>Conforme a la interpretación de las normas generales del sistema de compras y contratación pública, l</w:t>
      </w:r>
      <w:r w:rsidRPr="000B5EEB">
        <w:rPr>
          <w:rFonts w:ascii="Century Gothic" w:eastAsia="Calibri" w:hAnsi="Century Gothic" w:cs="Arial"/>
          <w:szCs w:val="24"/>
          <w:lang w:val="es-MX" w:eastAsia="es-ES_tradnl"/>
        </w:rPr>
        <w:t xml:space="preserve">a causal de inhabilidad </w:t>
      </w:r>
      <w:r w:rsidRPr="000B5EEB">
        <w:rPr>
          <w:rFonts w:ascii="Century Gothic" w:eastAsia="Calibri" w:hAnsi="Century Gothic" w:cs="Arial"/>
          <w:i/>
          <w:szCs w:val="24"/>
          <w:lang w:val="es-MX" w:eastAsia="es-ES_tradnl"/>
        </w:rPr>
        <w:t>sub examine</w:t>
      </w:r>
      <w:r w:rsidRPr="000B5EEB">
        <w:rPr>
          <w:rFonts w:ascii="Century Gothic" w:eastAsia="Calibri" w:hAnsi="Century Gothic" w:cs="Arial"/>
          <w:szCs w:val="24"/>
          <w:lang w:val="es-MX" w:eastAsia="es-ES_tradnl"/>
        </w:rPr>
        <w:t xml:space="preserve"> tiene tres reglas especiales.</w:t>
      </w:r>
      <w:r w:rsidRPr="000B5EEB">
        <w:rPr>
          <w:rFonts w:ascii="Century Gothic" w:eastAsia="Arial" w:hAnsi="Century Gothic" w:cs="Arial"/>
          <w:i/>
          <w:lang w:val="es-ES" w:eastAsia="es-ES" w:bidi="es-ES"/>
        </w:rPr>
        <w:t xml:space="preserve"> </w:t>
      </w:r>
      <w:r w:rsidRPr="000B5EEB">
        <w:rPr>
          <w:rFonts w:ascii="Century Gothic" w:eastAsia="Calibri" w:hAnsi="Century Gothic" w:cs="Arial"/>
          <w:i/>
          <w:szCs w:val="24"/>
          <w:lang w:val="es-MX" w:eastAsia="es-ES_tradnl" w:bidi="es-ES"/>
        </w:rPr>
        <w:t>Primer</w:t>
      </w:r>
      <w:r w:rsidRPr="000B5EEB">
        <w:rPr>
          <w:rFonts w:ascii="Century Gothic" w:eastAsia="Calibri" w:hAnsi="Century Gothic" w:cs="Arial"/>
          <w:szCs w:val="24"/>
          <w:lang w:val="es-MX" w:eastAsia="es-ES_tradnl" w:bidi="es-ES"/>
        </w:rPr>
        <w:t xml:space="preserve">o, en lo que respecta al ámbito de aplicación material, la misma cobija </w:t>
      </w:r>
      <w:r w:rsidRPr="000B5EEB">
        <w:rPr>
          <w:rFonts w:ascii="Century Gothic" w:eastAsia="Calibri" w:hAnsi="Century Gothic" w:cs="Arial"/>
          <w:szCs w:val="24"/>
          <w:lang w:eastAsia="es-ES_tradnl"/>
        </w:rPr>
        <w:t xml:space="preserve">a las personas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 Así, </w:t>
      </w:r>
      <w:r w:rsidRPr="000B5EEB">
        <w:rPr>
          <w:rFonts w:ascii="Century Gothic" w:eastAsia="Calibri" w:hAnsi="Century Gothic" w:cs="Arial"/>
          <w:szCs w:val="24"/>
          <w:lang w:val="es-MX" w:eastAsia="es-ES_tradnl" w:bidi="es-ES"/>
        </w:rPr>
        <w:t>la causal únicamente opera cuando el monto de los aportes a invertir en las campañas electorales en cada circunscripción electoral sea superior al 2.0%, de manera que,</w:t>
      </w:r>
      <w:r w:rsidRPr="000B5EEB">
        <w:rPr>
          <w:rFonts w:ascii="Century Gothic" w:eastAsia="Calibri" w:hAnsi="Century Gothic" w:cs="Arial"/>
          <w:szCs w:val="24"/>
          <w:lang w:eastAsia="es-ES_tradnl"/>
        </w:rPr>
        <w:t xml:space="preserve"> si los aportes son inferiores a ese porcentaje no se aplica dicha inhabilidad. </w:t>
      </w:r>
      <w:r w:rsidRPr="000B5EEB">
        <w:rPr>
          <w:rFonts w:ascii="Century Gothic" w:eastAsia="Calibri" w:hAnsi="Century Gothic" w:cs="Arial"/>
          <w:i/>
          <w:szCs w:val="24"/>
          <w:lang w:val="es-MX" w:eastAsia="es-ES_tradnl" w:bidi="es-ES"/>
        </w:rPr>
        <w:t>Segundo</w:t>
      </w:r>
      <w:r w:rsidRPr="000B5EEB">
        <w:rPr>
          <w:rFonts w:ascii="Century Gothic" w:eastAsia="Calibri" w:hAnsi="Century Gothic" w:cs="Arial"/>
          <w:szCs w:val="24"/>
          <w:lang w:val="es-MX" w:eastAsia="es-ES_tradnl" w:bidi="es-ES"/>
        </w:rPr>
        <w:t>, referente el ámbito de aplicación temporal, esta inhabilidad se extiende durante todo el periodo para el cual el candidato fue elegido, esto es, por el periodo constitucional del presidente, los gobernadores y alcaldes o los congresistas.</w:t>
      </w:r>
    </w:p>
    <w:p w14:paraId="499BF42B" w14:textId="77777777" w:rsidR="00C63485" w:rsidRPr="000B5EEB" w:rsidRDefault="00C63485" w:rsidP="00C63485">
      <w:pPr>
        <w:spacing w:after="120" w:line="276" w:lineRule="auto"/>
        <w:ind w:firstLine="709"/>
        <w:jc w:val="both"/>
        <w:rPr>
          <w:rFonts w:ascii="Century Gothic" w:eastAsia="Calibri" w:hAnsi="Century Gothic" w:cs="Arial"/>
          <w:szCs w:val="24"/>
          <w:lang w:val="es-MX" w:eastAsia="es-ES_tradnl" w:bidi="es-ES"/>
        </w:rPr>
      </w:pPr>
      <w:r w:rsidRPr="000B5EEB">
        <w:rPr>
          <w:rFonts w:ascii="Century Gothic" w:eastAsia="Calibri" w:hAnsi="Century Gothic" w:cs="Arial"/>
          <w:i/>
          <w:szCs w:val="24"/>
          <w:lang w:val="es-MX" w:eastAsia="es-ES_tradnl" w:bidi="es-ES"/>
        </w:rPr>
        <w:t>Tercero</w:t>
      </w:r>
      <w:r w:rsidRPr="000B5EEB">
        <w:rPr>
          <w:rFonts w:ascii="Century Gothic" w:eastAsia="Calibri" w:hAnsi="Century Gothic" w:cs="Arial"/>
          <w:szCs w:val="24"/>
          <w:lang w:val="es-MX" w:eastAsia="es-ES_tradnl" w:bidi="es-ES"/>
        </w:rPr>
        <w:t xml:space="preserve">, en relación al ámbito subjetivo de aplicación de la causal de inhabilidad, se tiene que la causal en comento cobija al aportante a las respectivas campañas políticas, tanto a personas naturales como jurídicas; pero también se extiende: i) a las personas jurídicas en las cuales el representante legal, los miembros de junta directiva o cualquiera de sus socios controlantes, hayan financiado directamente o por interpuesta persona campañas políticas; ii) a las personas que se encuentren dentro del segundo grado de consanguinidad o segundo de afinidad, respecto de la persona que financió la campaña política; y </w:t>
      </w:r>
      <w:proofErr w:type="spellStart"/>
      <w:r w:rsidRPr="000B5EEB">
        <w:rPr>
          <w:rFonts w:ascii="Century Gothic" w:eastAsia="Calibri" w:hAnsi="Century Gothic" w:cs="Arial"/>
          <w:szCs w:val="24"/>
          <w:lang w:val="es-MX" w:eastAsia="es-ES_tradnl" w:bidi="es-ES"/>
        </w:rPr>
        <w:t>iii</w:t>
      </w:r>
      <w:proofErr w:type="spellEnd"/>
      <w:r w:rsidRPr="000B5EEB">
        <w:rPr>
          <w:rFonts w:ascii="Century Gothic" w:eastAsia="Calibri" w:hAnsi="Century Gothic" w:cs="Arial"/>
          <w:szCs w:val="24"/>
          <w:lang w:val="es-MX" w:eastAsia="es-ES_tradnl" w:bidi="es-ES"/>
        </w:rPr>
        <w:t>) a quienes se encuentren dentro del primer grado de parentesco civil con la persona que financió la campaña política.</w:t>
      </w:r>
    </w:p>
    <w:p w14:paraId="7EF2EE42" w14:textId="77777777" w:rsidR="00C63485" w:rsidRPr="000B5EEB" w:rsidRDefault="00C63485" w:rsidP="00C63485">
      <w:pPr>
        <w:widowControl w:val="0"/>
        <w:autoSpaceDE w:val="0"/>
        <w:autoSpaceDN w:val="0"/>
        <w:spacing w:after="120" w:line="276" w:lineRule="auto"/>
        <w:ind w:firstLine="708"/>
        <w:jc w:val="both"/>
        <w:rPr>
          <w:rFonts w:ascii="Century Gothic" w:eastAsia="Times New Roman" w:hAnsi="Century Gothic" w:cs="Arial"/>
          <w:color w:val="000000"/>
          <w:lang w:val="es-ES_tradnl"/>
        </w:rPr>
      </w:pPr>
      <w:r w:rsidRPr="000B5EEB">
        <w:rPr>
          <w:rFonts w:ascii="Century Gothic" w:eastAsia="Arial" w:hAnsi="Century Gothic" w:cs="Arial"/>
          <w:lang w:val="es-MX" w:eastAsia="es-ES" w:bidi="es-ES"/>
        </w:rPr>
        <w:t>L</w:t>
      </w:r>
      <w:r w:rsidRPr="000B5EEB">
        <w:rPr>
          <w:rFonts w:ascii="Century Gothic" w:eastAsia="Arial" w:hAnsi="Century Gothic" w:cs="Arial"/>
          <w:lang w:eastAsia="es-ES" w:bidi="es-ES"/>
        </w:rPr>
        <w:t xml:space="preserve">a aplicación de esta inhabilidad contempla una excepción: los </w:t>
      </w:r>
      <w:r w:rsidRPr="000B5EEB">
        <w:rPr>
          <w:rFonts w:ascii="Century Gothic" w:eastAsia="Arial" w:hAnsi="Century Gothic" w:cs="Arial"/>
          <w:i/>
          <w:iCs/>
          <w:lang w:eastAsia="es-ES" w:bidi="es-ES"/>
        </w:rPr>
        <w:t xml:space="preserve">contratos de prestación de servicios profesionales. </w:t>
      </w:r>
      <w:r w:rsidRPr="000B5EEB">
        <w:rPr>
          <w:rFonts w:ascii="Century Gothic" w:eastAsia="Arial" w:hAnsi="Century Gothic" w:cs="Arial"/>
          <w:lang w:eastAsia="es-ES" w:bidi="es-ES"/>
        </w:rPr>
        <w:t xml:space="preserve">En este tipo de contratación no se aplica la inhabilidad para las personas allí señaladas por disposición expresa de la norma. Para estos efectos, </w:t>
      </w:r>
      <w:r w:rsidRPr="000B5EEB">
        <w:rPr>
          <w:rFonts w:ascii="Century Gothic" w:eastAsia="Arial" w:hAnsi="Century Gothic" w:cs="Arial"/>
          <w:color w:val="000000"/>
        </w:rPr>
        <w:t xml:space="preserve">de acuerdo con el marco normativo expuesto en el acápite 2.2 y el contenido de la sentencia de unificación, corresponde a las entidades públicas definir en cada caso concreto la forma de contratación de prestación de servicios aplicable a cada modalidad de título de educación superior. Lo anterior, </w:t>
      </w:r>
      <w:r w:rsidRPr="000B5EEB">
        <w:rPr>
          <w:rFonts w:ascii="Century Gothic" w:eastAsia="Times New Roman" w:hAnsi="Century Gothic" w:cs="Arial"/>
          <w:szCs w:val="24"/>
          <w:lang w:val="es-ES" w:eastAsia="es-ES_tradnl"/>
        </w:rPr>
        <w:t>considerando que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B5EEB">
        <w:rPr>
          <w:rFonts w:ascii="Century Gothic" w:eastAsia="Times New Roman" w:hAnsi="Century Gothic" w:cs="Arial"/>
          <w:color w:val="000000"/>
          <w:szCs w:val="24"/>
          <w:lang w:val="es-ES_tradnl" w:eastAsia="es-ES_tradnl"/>
        </w:rPr>
        <w:t xml:space="preserve">. </w:t>
      </w:r>
      <w:r w:rsidRPr="000B5EEB">
        <w:rPr>
          <w:rFonts w:ascii="Century Gothic" w:eastAsia="Calibri" w:hAnsi="Century Gothic" w:cs="Arial"/>
          <w:szCs w:val="24"/>
          <w:lang w:val="es-ES" w:eastAsia="es-ES_tradnl"/>
        </w:rPr>
        <w:t>Por ello, previa valoración por parte de los órganos asesores del riesgo implícito en la celebración de contratos de prestación de servicios profesionales con técnicos y tecnólogos, estos temas serán de competencia exclusiva de las entidades contratantes.</w:t>
      </w:r>
    </w:p>
    <w:p w14:paraId="48AB559C" w14:textId="77777777" w:rsidR="00C63485" w:rsidRPr="000B5EEB" w:rsidRDefault="00C63485" w:rsidP="00C63485">
      <w:pPr>
        <w:spacing w:after="0" w:line="276" w:lineRule="auto"/>
        <w:jc w:val="both"/>
        <w:rPr>
          <w:rFonts w:ascii="Century Gothic" w:eastAsia="Calibri" w:hAnsi="Century Gothic" w:cs="Arial"/>
          <w:lang w:val="es-MX"/>
        </w:rPr>
      </w:pPr>
      <w:r w:rsidRPr="000B5EEB">
        <w:rPr>
          <w:rFonts w:ascii="Century Gothic" w:eastAsia="Calibri" w:hAnsi="Century Gothic" w:cs="Arial"/>
          <w:lang w:val="es-MX"/>
        </w:rPr>
        <w:lastRenderedPageBreak/>
        <w:t>Este concepto tiene el alcance previsto en el artículo 28 del Código de Procedimiento Administrativo y de lo Contencioso Administrativo.</w:t>
      </w:r>
    </w:p>
    <w:p w14:paraId="7000106B" w14:textId="77777777" w:rsidR="00C63485" w:rsidRPr="000B5EEB" w:rsidRDefault="00C63485" w:rsidP="00C63485">
      <w:pPr>
        <w:spacing w:after="0" w:line="276" w:lineRule="auto"/>
        <w:rPr>
          <w:rFonts w:ascii="Century Gothic" w:eastAsia="Calibri" w:hAnsi="Century Gothic" w:cs="Arial"/>
          <w:sz w:val="24"/>
          <w:szCs w:val="20"/>
          <w:lang w:val="es-MX" w:eastAsia="es-CO"/>
        </w:rPr>
      </w:pPr>
    </w:p>
    <w:p w14:paraId="4D82D567" w14:textId="2C6C7709" w:rsidR="00C63485" w:rsidRDefault="00C63485" w:rsidP="00C63485">
      <w:pPr>
        <w:spacing w:after="0" w:line="276" w:lineRule="auto"/>
        <w:rPr>
          <w:noProof/>
          <w14:ligatures w14:val="standardContextual"/>
        </w:rPr>
      </w:pPr>
      <w:r w:rsidRPr="000B5EEB">
        <w:rPr>
          <w:rFonts w:ascii="Century Gothic" w:eastAsia="Calibri" w:hAnsi="Century Gothic" w:cs="Arial"/>
          <w:sz w:val="24"/>
          <w:szCs w:val="20"/>
          <w:lang w:val="es-MX" w:eastAsia="es-CO"/>
        </w:rPr>
        <w:t>Atentamente,</w:t>
      </w:r>
      <w:r w:rsidR="00F55F07" w:rsidRPr="00F55F07">
        <w:rPr>
          <w:noProof/>
          <w14:ligatures w14:val="standardContextual"/>
        </w:rPr>
        <w:t xml:space="preserve"> </w:t>
      </w:r>
    </w:p>
    <w:p w14:paraId="776EB882" w14:textId="77777777" w:rsidR="008F4706" w:rsidRDefault="008F4706" w:rsidP="00C63485">
      <w:pPr>
        <w:spacing w:after="0" w:line="276" w:lineRule="auto"/>
        <w:rPr>
          <w:noProof/>
          <w14:ligatures w14:val="standardContextual"/>
        </w:rPr>
      </w:pPr>
    </w:p>
    <w:p w14:paraId="2C02773C" w14:textId="75A50705" w:rsidR="008F4706" w:rsidRPr="000B5EEB" w:rsidRDefault="008F4706" w:rsidP="008F4706">
      <w:pPr>
        <w:spacing w:after="0" w:line="276" w:lineRule="auto"/>
        <w:jc w:val="center"/>
        <w:rPr>
          <w:rFonts w:ascii="Century Gothic" w:eastAsia="Calibri" w:hAnsi="Century Gothic" w:cs="Arial"/>
          <w:sz w:val="24"/>
          <w:lang w:val="es-MX" w:eastAsia="es-CO"/>
        </w:rPr>
      </w:pPr>
      <w:r>
        <w:rPr>
          <w:noProof/>
        </w:rPr>
        <w:drawing>
          <wp:inline distT="0" distB="0" distL="0" distR="0" wp14:anchorId="570B3CEE" wp14:editId="652D68E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2F41A610" w14:textId="77777777" w:rsidR="00C63485" w:rsidRPr="000B5EEB" w:rsidRDefault="00C63485" w:rsidP="00C63485">
      <w:pPr>
        <w:spacing w:after="0" w:line="240" w:lineRule="auto"/>
        <w:ind w:right="709"/>
        <w:jc w:val="both"/>
        <w:rPr>
          <w:rFonts w:ascii="Century Gothic" w:eastAsia="Calibri" w:hAnsi="Century Gothic" w:cs="Arial"/>
          <w:color w:val="000000"/>
          <w:lang w:val="es-MX"/>
        </w:rPr>
      </w:pPr>
    </w:p>
    <w:p w14:paraId="048C7EE5" w14:textId="581F59F4" w:rsidR="00C63485" w:rsidRPr="000B5EEB" w:rsidRDefault="00C63485" w:rsidP="00C63485">
      <w:pPr>
        <w:widowControl w:val="0"/>
        <w:autoSpaceDE w:val="0"/>
        <w:autoSpaceDN w:val="0"/>
        <w:spacing w:after="18"/>
        <w:jc w:val="center"/>
        <w:rPr>
          <w:rFonts w:ascii="Century Gothic" w:eastAsia="Arial" w:hAnsi="Century Gothic" w:cs="Arial"/>
          <w:kern w:val="2"/>
          <w:lang w:val="es-ES" w:eastAsia="es-CO" w:bidi="es-ES"/>
          <w14:ligatures w14:val="standardContextual"/>
        </w:rPr>
      </w:pP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C63485" w:rsidRPr="000B5EEB" w14:paraId="7AAC6958" w14:textId="77777777" w:rsidTr="00665B49">
        <w:trPr>
          <w:trHeight w:val="286"/>
        </w:trPr>
        <w:tc>
          <w:tcPr>
            <w:tcW w:w="817" w:type="dxa"/>
            <w:vAlign w:val="center"/>
            <w:hideMark/>
          </w:tcPr>
          <w:p w14:paraId="1CECCAD2" w14:textId="77777777" w:rsidR="00C63485" w:rsidRPr="000B5EEB" w:rsidRDefault="00C63485" w:rsidP="00665B49">
            <w:pPr>
              <w:rPr>
                <w:rFonts w:ascii="Century Gothic" w:eastAsia="Arial" w:hAnsi="Century Gothic" w:cs="Arial"/>
                <w:sz w:val="14"/>
                <w:szCs w:val="14"/>
                <w:lang w:val="es-ES" w:eastAsia="es-ES" w:bidi="es-ES"/>
              </w:rPr>
            </w:pPr>
            <w:bookmarkStart w:id="16" w:name="_Hlk70523608"/>
            <w:r w:rsidRPr="000B5EEB">
              <w:rPr>
                <w:rFonts w:ascii="Century Gothic" w:eastAsia="Arial" w:hAnsi="Century Gothic" w:cs="Arial"/>
                <w:sz w:val="14"/>
                <w:szCs w:val="14"/>
                <w:lang w:val="es-ES" w:eastAsia="es-ES" w:bidi="es-ES"/>
              </w:rPr>
              <w:t>Elaboró:</w:t>
            </w:r>
          </w:p>
        </w:tc>
        <w:tc>
          <w:tcPr>
            <w:tcW w:w="4003" w:type="dxa"/>
            <w:tcBorders>
              <w:top w:val="nil"/>
              <w:left w:val="nil"/>
              <w:bottom w:val="dotted" w:sz="4" w:space="0" w:color="7F7F7F"/>
              <w:right w:val="nil"/>
            </w:tcBorders>
            <w:vAlign w:val="center"/>
            <w:hideMark/>
          </w:tcPr>
          <w:p w14:paraId="432D9389" w14:textId="77777777" w:rsidR="00C63485" w:rsidRPr="000B5EEB" w:rsidRDefault="00C63485" w:rsidP="00665B49">
            <w:pPr>
              <w:rPr>
                <w:rFonts w:ascii="Century Gothic" w:eastAsia="Arial" w:hAnsi="Century Gothic" w:cs="Arial"/>
                <w:sz w:val="14"/>
                <w:szCs w:val="14"/>
                <w:lang w:eastAsia="es-ES" w:bidi="es-ES"/>
              </w:rPr>
            </w:pPr>
            <w:r w:rsidRPr="000B5EEB">
              <w:rPr>
                <w:rFonts w:ascii="Century Gothic" w:eastAsia="Arial" w:hAnsi="Century Gothic" w:cs="Arial"/>
                <w:sz w:val="14"/>
                <w:szCs w:val="14"/>
                <w:lang w:eastAsia="es-ES" w:bidi="es-ES"/>
              </w:rPr>
              <w:t xml:space="preserve">Carlos Mario </w:t>
            </w:r>
            <w:proofErr w:type="spellStart"/>
            <w:r w:rsidRPr="000B5EEB">
              <w:rPr>
                <w:rFonts w:ascii="Century Gothic" w:eastAsia="Arial" w:hAnsi="Century Gothic" w:cs="Arial"/>
                <w:sz w:val="14"/>
                <w:szCs w:val="14"/>
                <w:lang w:eastAsia="es-ES" w:bidi="es-ES"/>
              </w:rPr>
              <w:t>Castrillon</w:t>
            </w:r>
            <w:proofErr w:type="spellEnd"/>
            <w:r w:rsidRPr="000B5EEB">
              <w:rPr>
                <w:rFonts w:ascii="Century Gothic" w:eastAsia="Arial" w:hAnsi="Century Gothic" w:cs="Arial"/>
                <w:sz w:val="14"/>
                <w:szCs w:val="14"/>
                <w:lang w:eastAsia="es-ES" w:bidi="es-ES"/>
              </w:rPr>
              <w:t xml:space="preserve"> Endo</w:t>
            </w:r>
          </w:p>
          <w:p w14:paraId="4681BFEB" w14:textId="77777777" w:rsidR="00C63485" w:rsidRPr="000B5EEB" w:rsidRDefault="00C63485" w:rsidP="00665B49">
            <w:pPr>
              <w:rPr>
                <w:rFonts w:ascii="Century Gothic" w:eastAsia="Arial" w:hAnsi="Century Gothic" w:cs="Arial"/>
                <w:sz w:val="14"/>
                <w:szCs w:val="14"/>
                <w:lang w:val="es-ES" w:eastAsia="es-ES" w:bidi="es-ES"/>
              </w:rPr>
            </w:pPr>
            <w:r w:rsidRPr="000B5EEB">
              <w:rPr>
                <w:rFonts w:ascii="Century Gothic" w:eastAsia="Arial" w:hAnsi="Century Gothic" w:cs="Arial"/>
                <w:sz w:val="14"/>
                <w:szCs w:val="14"/>
                <w:lang w:val="es-ES" w:eastAsia="es-ES" w:bidi="es-ES"/>
              </w:rPr>
              <w:t>Contratista de la Subdirección de Gestión Contractual</w:t>
            </w:r>
          </w:p>
        </w:tc>
      </w:tr>
      <w:tr w:rsidR="00C63485" w:rsidRPr="000B5EEB" w14:paraId="08CD562C" w14:textId="77777777" w:rsidTr="00665B49">
        <w:trPr>
          <w:trHeight w:val="299"/>
        </w:trPr>
        <w:tc>
          <w:tcPr>
            <w:tcW w:w="817" w:type="dxa"/>
            <w:vAlign w:val="center"/>
            <w:hideMark/>
          </w:tcPr>
          <w:p w14:paraId="4352400B" w14:textId="77777777" w:rsidR="00C63485" w:rsidRPr="000B5EEB" w:rsidRDefault="00C63485" w:rsidP="00665B49">
            <w:pPr>
              <w:rPr>
                <w:rFonts w:ascii="Century Gothic" w:eastAsia="Arial" w:hAnsi="Century Gothic" w:cs="Arial"/>
                <w:sz w:val="14"/>
                <w:szCs w:val="14"/>
                <w:lang w:val="es-ES" w:eastAsia="es-ES" w:bidi="es-ES"/>
              </w:rPr>
            </w:pPr>
            <w:r w:rsidRPr="000B5EEB">
              <w:rPr>
                <w:rFonts w:ascii="Century Gothic" w:eastAsia="Arial" w:hAnsi="Century Gothic" w:cs="Arial"/>
                <w:sz w:val="14"/>
                <w:szCs w:val="14"/>
                <w:lang w:val="es-ES" w:eastAsia="es-ES" w:bidi="es-ES"/>
              </w:rPr>
              <w:t>Revisó:</w:t>
            </w:r>
          </w:p>
        </w:tc>
        <w:tc>
          <w:tcPr>
            <w:tcW w:w="4003" w:type="dxa"/>
            <w:tcBorders>
              <w:top w:val="dotted" w:sz="4" w:space="0" w:color="7F7F7F"/>
              <w:left w:val="nil"/>
              <w:bottom w:val="dotted" w:sz="4" w:space="0" w:color="7F7F7F"/>
              <w:right w:val="nil"/>
            </w:tcBorders>
            <w:vAlign w:val="center"/>
            <w:hideMark/>
          </w:tcPr>
          <w:p w14:paraId="456FAF33" w14:textId="77777777" w:rsidR="00C63485" w:rsidRPr="000B5EEB" w:rsidRDefault="00C63485" w:rsidP="00665B49">
            <w:pPr>
              <w:rPr>
                <w:rFonts w:ascii="Century Gothic" w:eastAsia="Arial" w:hAnsi="Century Gothic" w:cs="Arial"/>
                <w:sz w:val="14"/>
                <w:szCs w:val="14"/>
                <w:lang w:val="es-ES" w:eastAsia="es-ES" w:bidi="es-ES"/>
              </w:rPr>
            </w:pPr>
            <w:r w:rsidRPr="000B5EEB">
              <w:rPr>
                <w:rFonts w:ascii="Century Gothic" w:eastAsia="Arial" w:hAnsi="Century Gothic" w:cs="Arial"/>
                <w:sz w:val="14"/>
                <w:szCs w:val="14"/>
                <w:lang w:val="es-ES" w:eastAsia="es-ES" w:bidi="es-ES"/>
              </w:rPr>
              <w:t>Juan David Cárdenas Cabeza</w:t>
            </w:r>
          </w:p>
          <w:p w14:paraId="68A1231F" w14:textId="77777777" w:rsidR="00C63485" w:rsidRPr="000B5EEB" w:rsidRDefault="00C63485" w:rsidP="00665B49">
            <w:pPr>
              <w:rPr>
                <w:rFonts w:ascii="Century Gothic" w:eastAsia="Arial" w:hAnsi="Century Gothic" w:cs="Arial"/>
                <w:sz w:val="14"/>
                <w:szCs w:val="14"/>
                <w:lang w:val="es-ES" w:eastAsia="es-ES" w:bidi="es-ES"/>
              </w:rPr>
            </w:pPr>
            <w:r w:rsidRPr="000B5EEB">
              <w:rPr>
                <w:rFonts w:ascii="Century Gothic" w:eastAsia="Arial" w:hAnsi="Century Gothic" w:cs="Arial"/>
                <w:sz w:val="14"/>
                <w:szCs w:val="14"/>
                <w:lang w:val="es-ES" w:eastAsia="es-ES" w:bidi="es-ES"/>
              </w:rPr>
              <w:t>Contratista de la Subdirección de Gestión Contractual</w:t>
            </w:r>
          </w:p>
        </w:tc>
      </w:tr>
      <w:tr w:rsidR="00C63485" w:rsidRPr="000B5EEB" w14:paraId="35CA01DB" w14:textId="77777777" w:rsidTr="00665B49">
        <w:trPr>
          <w:trHeight w:val="272"/>
        </w:trPr>
        <w:tc>
          <w:tcPr>
            <w:tcW w:w="817" w:type="dxa"/>
            <w:vAlign w:val="center"/>
            <w:hideMark/>
          </w:tcPr>
          <w:p w14:paraId="486F9DC4" w14:textId="77777777" w:rsidR="00C63485" w:rsidRPr="000B5EEB" w:rsidRDefault="00C63485" w:rsidP="00665B49">
            <w:pPr>
              <w:rPr>
                <w:rFonts w:ascii="Century Gothic" w:eastAsia="Arial" w:hAnsi="Century Gothic" w:cs="Arial"/>
                <w:sz w:val="14"/>
                <w:szCs w:val="14"/>
                <w:lang w:val="es-ES" w:eastAsia="es-ES" w:bidi="es-ES"/>
              </w:rPr>
            </w:pPr>
            <w:r w:rsidRPr="000B5EEB">
              <w:rPr>
                <w:rFonts w:ascii="Century Gothic" w:eastAsia="Arial" w:hAnsi="Century Gothic" w:cs="Arial"/>
                <w:sz w:val="14"/>
                <w:szCs w:val="14"/>
                <w:lang w:val="es-ES" w:eastAsia="es-ES" w:bidi="es-ES"/>
              </w:rPr>
              <w:t>Aprobó:</w:t>
            </w:r>
          </w:p>
        </w:tc>
        <w:tc>
          <w:tcPr>
            <w:tcW w:w="4003" w:type="dxa"/>
            <w:tcBorders>
              <w:top w:val="dotted" w:sz="4" w:space="0" w:color="7F7F7F"/>
              <w:left w:val="nil"/>
              <w:bottom w:val="dotted" w:sz="4" w:space="0" w:color="7F7F7F"/>
              <w:right w:val="nil"/>
            </w:tcBorders>
            <w:vAlign w:val="center"/>
            <w:hideMark/>
          </w:tcPr>
          <w:p w14:paraId="7D04427D" w14:textId="77777777" w:rsidR="00C63485" w:rsidRPr="000B5EEB" w:rsidRDefault="00C63485" w:rsidP="00665B49">
            <w:pPr>
              <w:rPr>
                <w:rFonts w:ascii="Century Gothic" w:eastAsia="Arial" w:hAnsi="Century Gothic" w:cs="Arial"/>
                <w:sz w:val="14"/>
                <w:szCs w:val="14"/>
                <w:lang w:val="es-ES" w:eastAsia="es-ES" w:bidi="es-ES"/>
              </w:rPr>
            </w:pPr>
            <w:r w:rsidRPr="000B5EEB">
              <w:rPr>
                <w:rFonts w:ascii="Century Gothic" w:eastAsia="Arial" w:hAnsi="Century Gothic" w:cs="Arial"/>
                <w:sz w:val="14"/>
                <w:szCs w:val="14"/>
                <w:lang w:val="es-ES" w:eastAsia="es-ES" w:bidi="es-ES"/>
              </w:rPr>
              <w:t>Nohelia del Carmen Zawady Palacio</w:t>
            </w:r>
          </w:p>
          <w:p w14:paraId="2777B0E5" w14:textId="77777777" w:rsidR="00C63485" w:rsidRPr="000B5EEB" w:rsidRDefault="00C63485" w:rsidP="00665B49">
            <w:pPr>
              <w:rPr>
                <w:rFonts w:ascii="Century Gothic" w:eastAsia="Arial" w:hAnsi="Century Gothic" w:cs="Arial"/>
                <w:sz w:val="14"/>
                <w:szCs w:val="14"/>
                <w:lang w:val="es-ES" w:eastAsia="es-ES" w:bidi="es-ES"/>
              </w:rPr>
            </w:pPr>
            <w:r w:rsidRPr="000B5EEB">
              <w:rPr>
                <w:rFonts w:ascii="Century Gothic" w:eastAsia="Arial" w:hAnsi="Century Gothic" w:cs="Arial"/>
                <w:sz w:val="14"/>
                <w:szCs w:val="14"/>
                <w:lang w:val="es-ES" w:eastAsia="es-ES" w:bidi="es-ES"/>
              </w:rPr>
              <w:t>Subdirector de Gestión Contractual ANCP – CCE</w:t>
            </w:r>
          </w:p>
        </w:tc>
      </w:tr>
      <w:bookmarkEnd w:id="16"/>
    </w:tbl>
    <w:p w14:paraId="21B5FF09" w14:textId="77777777" w:rsidR="00C63485" w:rsidRPr="000B5EEB" w:rsidRDefault="00C63485" w:rsidP="00C63485">
      <w:pPr>
        <w:widowControl w:val="0"/>
        <w:autoSpaceDE w:val="0"/>
        <w:autoSpaceDN w:val="0"/>
        <w:spacing w:after="18"/>
        <w:jc w:val="center"/>
        <w:rPr>
          <w:rFonts w:ascii="Century Gothic" w:eastAsia="Arial" w:hAnsi="Century Gothic" w:cs="Arial"/>
          <w:kern w:val="2"/>
          <w:lang w:val="es-ES" w:eastAsia="es-CO" w:bidi="es-ES"/>
          <w14:ligatures w14:val="standardContextual"/>
        </w:rPr>
      </w:pPr>
    </w:p>
    <w:p w14:paraId="5E05B2E4" w14:textId="77777777" w:rsidR="00C63485" w:rsidRPr="000B5EEB" w:rsidRDefault="00C63485" w:rsidP="00C63485">
      <w:pPr>
        <w:widowControl w:val="0"/>
        <w:autoSpaceDE w:val="0"/>
        <w:autoSpaceDN w:val="0"/>
        <w:rPr>
          <w:rFonts w:ascii="Century Gothic" w:eastAsia="Arial" w:hAnsi="Century Gothic" w:cs="Arial"/>
          <w:kern w:val="2"/>
          <w:lang w:val="es-ES" w:eastAsia="es-ES" w:bidi="es-ES"/>
          <w14:ligatures w14:val="standardContextual"/>
        </w:rPr>
      </w:pPr>
    </w:p>
    <w:p w14:paraId="1BACBEA1" w14:textId="77777777" w:rsidR="00C63485" w:rsidRPr="000B5EEB" w:rsidRDefault="00C63485" w:rsidP="00C63485">
      <w:pPr>
        <w:widowControl w:val="0"/>
        <w:autoSpaceDE w:val="0"/>
        <w:autoSpaceDN w:val="0"/>
        <w:rPr>
          <w:rFonts w:ascii="Century Gothic" w:eastAsia="Arial" w:hAnsi="Century Gothic" w:cs="Arial"/>
          <w:kern w:val="2"/>
          <w:lang w:val="es-ES" w:eastAsia="es-ES" w:bidi="es-ES"/>
          <w14:ligatures w14:val="standardContextual"/>
        </w:rPr>
      </w:pPr>
    </w:p>
    <w:p w14:paraId="4D19EC3F" w14:textId="77777777" w:rsidR="00C63485" w:rsidRPr="000B5EEB" w:rsidRDefault="00C63485" w:rsidP="00C63485">
      <w:pPr>
        <w:widowControl w:val="0"/>
        <w:autoSpaceDE w:val="0"/>
        <w:autoSpaceDN w:val="0"/>
        <w:spacing w:line="276" w:lineRule="auto"/>
        <w:jc w:val="both"/>
        <w:rPr>
          <w:rFonts w:ascii="Century Gothic" w:eastAsia="Times New Roman" w:hAnsi="Century Gothic" w:cs="Arial"/>
          <w:kern w:val="2"/>
          <w:sz w:val="18"/>
          <w:szCs w:val="18"/>
          <w:lang w:val="es-ES_tradnl" w:eastAsia="es-CO" w:bidi="es-ES"/>
          <w14:ligatures w14:val="standardContextual"/>
        </w:rPr>
      </w:pPr>
    </w:p>
    <w:p w14:paraId="76890AD8" w14:textId="77777777" w:rsidR="00C63485" w:rsidRPr="000B5EEB" w:rsidRDefault="00C63485" w:rsidP="00C63485">
      <w:pPr>
        <w:widowControl w:val="0"/>
        <w:autoSpaceDE w:val="0"/>
        <w:autoSpaceDN w:val="0"/>
        <w:spacing w:line="276" w:lineRule="auto"/>
        <w:jc w:val="both"/>
        <w:rPr>
          <w:rFonts w:ascii="Century Gothic" w:eastAsia="Times New Roman" w:hAnsi="Century Gothic" w:cs="Arial"/>
          <w:kern w:val="2"/>
          <w:sz w:val="18"/>
          <w:szCs w:val="18"/>
          <w:lang w:val="es-ES_tradnl" w:eastAsia="es-CO" w:bidi="es-ES"/>
          <w14:ligatures w14:val="standardContextual"/>
        </w:rPr>
      </w:pPr>
    </w:p>
    <w:p w14:paraId="0271F822" w14:textId="77777777" w:rsidR="00C63485" w:rsidRPr="000B5EEB" w:rsidRDefault="00C63485" w:rsidP="00C63485">
      <w:pPr>
        <w:spacing w:after="0" w:line="240" w:lineRule="auto"/>
        <w:ind w:right="709"/>
        <w:jc w:val="both"/>
        <w:rPr>
          <w:rFonts w:ascii="Century Gothic" w:eastAsia="Calibri" w:hAnsi="Century Gothic" w:cs="Arial"/>
          <w:color w:val="000000"/>
          <w:lang w:val="es-MX"/>
        </w:rPr>
      </w:pPr>
    </w:p>
    <w:bookmarkEnd w:id="2"/>
    <w:p w14:paraId="6948E6F9" w14:textId="77777777" w:rsidR="00C63485" w:rsidRPr="000B5EEB" w:rsidRDefault="00C63485" w:rsidP="00C63485">
      <w:pPr>
        <w:rPr>
          <w:rFonts w:ascii="Century Gothic" w:eastAsia="Aptos" w:hAnsi="Century Gothic" w:cs="Times New Roman"/>
          <w:kern w:val="2"/>
          <w14:ligatures w14:val="standardContextual"/>
        </w:rPr>
      </w:pPr>
    </w:p>
    <w:p w14:paraId="2CD1C842" w14:textId="77777777" w:rsidR="00C63485" w:rsidRPr="000B5EEB" w:rsidRDefault="00C63485" w:rsidP="00C63485">
      <w:pPr>
        <w:rPr>
          <w:rFonts w:ascii="Century Gothic" w:eastAsia="Aptos" w:hAnsi="Century Gothic" w:cs="Times New Roman"/>
          <w:kern w:val="2"/>
          <w14:ligatures w14:val="standardContextual"/>
        </w:rPr>
      </w:pPr>
    </w:p>
    <w:p w14:paraId="06FC68BE" w14:textId="77777777" w:rsidR="00C63485" w:rsidRPr="00C44625" w:rsidRDefault="00C63485" w:rsidP="00C63485"/>
    <w:p w14:paraId="1342BA08" w14:textId="77777777" w:rsidR="007D651A" w:rsidRDefault="007D651A"/>
    <w:sectPr w:rsidR="007D65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FB842" w14:textId="77777777" w:rsidR="001B5448" w:rsidRDefault="001B5448" w:rsidP="00C63485">
      <w:pPr>
        <w:spacing w:after="0" w:line="240" w:lineRule="auto"/>
      </w:pPr>
      <w:r>
        <w:separator/>
      </w:r>
    </w:p>
  </w:endnote>
  <w:endnote w:type="continuationSeparator" w:id="0">
    <w:p w14:paraId="3D994FEC" w14:textId="77777777" w:rsidR="001B5448" w:rsidRDefault="001B5448" w:rsidP="00C6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59B4" w14:textId="77777777" w:rsidR="001B5448" w:rsidRDefault="001B5448" w:rsidP="00C63485">
      <w:pPr>
        <w:spacing w:after="0" w:line="240" w:lineRule="auto"/>
      </w:pPr>
      <w:r>
        <w:separator/>
      </w:r>
    </w:p>
  </w:footnote>
  <w:footnote w:type="continuationSeparator" w:id="0">
    <w:p w14:paraId="6F707140" w14:textId="77777777" w:rsidR="001B5448" w:rsidRDefault="001B5448" w:rsidP="00C63485">
      <w:pPr>
        <w:spacing w:after="0" w:line="240" w:lineRule="auto"/>
      </w:pPr>
      <w:r>
        <w:continuationSeparator/>
      </w:r>
    </w:p>
  </w:footnote>
  <w:footnote w:id="1">
    <w:p w14:paraId="6089B897" w14:textId="77777777" w:rsidR="00C63485" w:rsidRPr="00F16C16" w:rsidRDefault="00C63485" w:rsidP="003C6318">
      <w:pPr>
        <w:pStyle w:val="Textonotapie"/>
        <w:spacing w:after="120"/>
        <w:ind w:firstLine="708"/>
        <w:jc w:val="both"/>
        <w:rPr>
          <w:rFonts w:ascii="Century Gothic" w:hAnsi="Century Gothic" w:cs="Arial"/>
          <w:sz w:val="12"/>
          <w:szCs w:val="12"/>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La Agencia Nacional de Contratación Pública </w:t>
      </w:r>
      <w:r w:rsidRPr="00F16C16">
        <w:rPr>
          <w:rFonts w:ascii="Arial" w:hAnsi="Arial" w:cs="Arial"/>
          <w:sz w:val="12"/>
          <w:szCs w:val="12"/>
        </w:rPr>
        <w:t>‒</w:t>
      </w:r>
      <w:r w:rsidRPr="00F16C16">
        <w:rPr>
          <w:rFonts w:ascii="Century Gothic" w:hAnsi="Century Gothic" w:cs="Arial"/>
          <w:sz w:val="12"/>
          <w:szCs w:val="12"/>
        </w:rPr>
        <w:t xml:space="preserve"> Colombia Compra Eficiente fue creada por el Decreto Ley 4170 de 2011. Su objetivo es servir como ente rector de la pol</w:t>
      </w:r>
      <w:r w:rsidRPr="00F16C16">
        <w:rPr>
          <w:rFonts w:ascii="Century Gothic" w:hAnsi="Century Gothic" w:cs="Century Gothic"/>
          <w:sz w:val="12"/>
          <w:szCs w:val="12"/>
        </w:rPr>
        <w:t>í</w:t>
      </w:r>
      <w:r w:rsidRPr="00F16C16">
        <w:rPr>
          <w:rFonts w:ascii="Century Gothic" w:hAnsi="Century Gothic" w:cs="Arial"/>
          <w:sz w:val="12"/>
          <w:szCs w:val="12"/>
        </w:rPr>
        <w:t>tica de compras y contrataci</w:t>
      </w:r>
      <w:r w:rsidRPr="00F16C16">
        <w:rPr>
          <w:rFonts w:ascii="Century Gothic" w:hAnsi="Century Gothic" w:cs="Century Gothic"/>
          <w:sz w:val="12"/>
          <w:szCs w:val="12"/>
        </w:rPr>
        <w:t>ó</w:t>
      </w:r>
      <w:r w:rsidRPr="00F16C16">
        <w:rPr>
          <w:rFonts w:ascii="Century Gothic" w:hAnsi="Century Gothic" w:cs="Arial"/>
          <w:sz w:val="12"/>
          <w:szCs w:val="12"/>
        </w:rPr>
        <w:t xml:space="preserve">n del Estado. Para tales fines, como </w:t>
      </w:r>
      <w:r w:rsidRPr="00F16C16">
        <w:rPr>
          <w:rFonts w:ascii="Century Gothic" w:hAnsi="Century Gothic" w:cs="Century Gothic"/>
          <w:sz w:val="12"/>
          <w:szCs w:val="12"/>
        </w:rPr>
        <w:t>ó</w:t>
      </w:r>
      <w:r w:rsidRPr="00F16C16">
        <w:rPr>
          <w:rFonts w:ascii="Century Gothic" w:hAnsi="Century Gothic" w:cs="Arial"/>
          <w:sz w:val="12"/>
          <w:szCs w:val="12"/>
        </w:rPr>
        <w:t>rgano t</w:t>
      </w:r>
      <w:r w:rsidRPr="00F16C16">
        <w:rPr>
          <w:rFonts w:ascii="Century Gothic" w:hAnsi="Century Gothic" w:cs="Century Gothic"/>
          <w:sz w:val="12"/>
          <w:szCs w:val="12"/>
        </w:rPr>
        <w:t>é</w:t>
      </w:r>
      <w:r w:rsidRPr="00F16C16">
        <w:rPr>
          <w:rFonts w:ascii="Century Gothic" w:hAnsi="Century Gothic" w:cs="Arial"/>
          <w:sz w:val="12"/>
          <w:szCs w:val="12"/>
        </w:rPr>
        <w:t>cnico especializado, le corresponde formular pol</w:t>
      </w:r>
      <w:r w:rsidRPr="00F16C16">
        <w:rPr>
          <w:rFonts w:ascii="Century Gothic" w:hAnsi="Century Gothic" w:cs="Century Gothic"/>
          <w:sz w:val="12"/>
          <w:szCs w:val="12"/>
        </w:rPr>
        <w:t>í</w:t>
      </w:r>
      <w:r w:rsidRPr="00F16C16">
        <w:rPr>
          <w:rFonts w:ascii="Century Gothic" w:hAnsi="Century Gothic" w:cs="Arial"/>
          <w:sz w:val="12"/>
          <w:szCs w:val="12"/>
        </w:rPr>
        <w:t>ticas p</w:t>
      </w:r>
      <w:r w:rsidRPr="00F16C16">
        <w:rPr>
          <w:rFonts w:ascii="Century Gothic" w:hAnsi="Century Gothic" w:cs="Century Gothic"/>
          <w:sz w:val="12"/>
          <w:szCs w:val="12"/>
        </w:rPr>
        <w:t>ú</w:t>
      </w:r>
      <w:r w:rsidRPr="00F16C16">
        <w:rPr>
          <w:rFonts w:ascii="Century Gothic" w:hAnsi="Century Gothic" w:cs="Arial"/>
          <w:sz w:val="12"/>
          <w:szCs w:val="12"/>
        </w:rPr>
        <w:t>blicas y normas y unificar los procesos de contrataci</w:t>
      </w:r>
      <w:r w:rsidRPr="00F16C16">
        <w:rPr>
          <w:rFonts w:ascii="Century Gothic" w:hAnsi="Century Gothic" w:cs="Century Gothic"/>
          <w:sz w:val="12"/>
          <w:szCs w:val="12"/>
        </w:rPr>
        <w:t>ó</w:t>
      </w:r>
      <w:r w:rsidRPr="00F16C16">
        <w:rPr>
          <w:rFonts w:ascii="Century Gothic" w:hAnsi="Century Gothic" w:cs="Arial"/>
          <w:sz w:val="12"/>
          <w:szCs w:val="12"/>
        </w:rPr>
        <w:t>n estatal, con el fin de lograr una mayor eficiencia, transparencia y optimizaci</w:t>
      </w:r>
      <w:r w:rsidRPr="00F16C16">
        <w:rPr>
          <w:rFonts w:ascii="Century Gothic" w:hAnsi="Century Gothic" w:cs="Century Gothic"/>
          <w:sz w:val="12"/>
          <w:szCs w:val="12"/>
        </w:rPr>
        <w:t>ó</w:t>
      </w:r>
      <w:r w:rsidRPr="00F16C16">
        <w:rPr>
          <w:rFonts w:ascii="Century Gothic" w:hAnsi="Century Gothic" w:cs="Arial"/>
          <w:sz w:val="12"/>
          <w:szCs w:val="12"/>
        </w:rPr>
        <w:t>n de los recursos del Estado. El art</w:t>
      </w:r>
      <w:r w:rsidRPr="00F16C16">
        <w:rPr>
          <w:rFonts w:ascii="Century Gothic" w:hAnsi="Century Gothic" w:cs="Century Gothic"/>
          <w:sz w:val="12"/>
          <w:szCs w:val="12"/>
        </w:rPr>
        <w:t>í</w:t>
      </w:r>
      <w:r w:rsidRPr="00F16C16">
        <w:rPr>
          <w:rFonts w:ascii="Century Gothic" w:hAnsi="Century Gothic" w:cs="Arial"/>
          <w:sz w:val="12"/>
          <w:szCs w:val="12"/>
        </w:rPr>
        <w:t xml:space="preserve">culo 3 </w:t>
      </w:r>
      <w:r w:rsidRPr="00F16C16">
        <w:rPr>
          <w:rFonts w:ascii="Century Gothic" w:hAnsi="Century Gothic" w:cs="Arial"/>
          <w:i/>
          <w:iCs/>
          <w:sz w:val="12"/>
          <w:szCs w:val="12"/>
        </w:rPr>
        <w:t xml:space="preserve">ibidem </w:t>
      </w:r>
      <w:r w:rsidRPr="00F16C16">
        <w:rPr>
          <w:rFonts w:ascii="Century Gothic" w:hAnsi="Century Gothic"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E7B54B9" w14:textId="77777777" w:rsidR="00C63485" w:rsidRPr="00F16C16" w:rsidRDefault="00C63485" w:rsidP="003C6318">
      <w:pPr>
        <w:spacing w:after="120" w:line="240" w:lineRule="auto"/>
        <w:ind w:firstLine="708"/>
        <w:jc w:val="both"/>
        <w:rPr>
          <w:rFonts w:ascii="Century Gothic" w:eastAsia="Times New Roman" w:hAnsi="Century Gothic" w:cs="Arial"/>
          <w:sz w:val="12"/>
          <w:szCs w:val="12"/>
          <w:lang w:eastAsia="es-CO"/>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w:t>
      </w:r>
      <w:r w:rsidRPr="00F16C16">
        <w:rPr>
          <w:rFonts w:ascii="Century Gothic" w:eastAsia="Times New Roman" w:hAnsi="Century Gothic" w:cs="Arial"/>
          <w:sz w:val="12"/>
          <w:szCs w:val="12"/>
          <w:lang w:eastAsia="es-CO"/>
        </w:rPr>
        <w:t>Estos conceptos pueden ser consultados en la relatoría de Colombia Compra Eficiente en el siguiente enlace:</w:t>
      </w:r>
      <w:r w:rsidRPr="00F16C16">
        <w:rPr>
          <w:rFonts w:ascii="Century Gothic" w:eastAsia="Times New Roman" w:hAnsi="Century Gothic" w:cs="Arial"/>
          <w:sz w:val="12"/>
          <w:szCs w:val="12"/>
          <w:lang w:eastAsia="es-CO"/>
        </w:rPr>
        <w:br/>
      </w:r>
      <w:hyperlink r:id="rId1" w:history="1">
        <w:r w:rsidRPr="00F16C16">
          <w:rPr>
            <w:rStyle w:val="Hipervnculo"/>
            <w:rFonts w:ascii="Century Gothic" w:eastAsia="Times New Roman" w:hAnsi="Century Gothic" w:cs="Arial"/>
            <w:sz w:val="12"/>
            <w:szCs w:val="12"/>
            <w:lang w:eastAsia="es-CO"/>
          </w:rPr>
          <w:t>http://relatoria.colombiacompra.gov.co/busqueda/conceptos</w:t>
        </w:r>
      </w:hyperlink>
      <w:r w:rsidRPr="00F16C16">
        <w:rPr>
          <w:rFonts w:ascii="Century Gothic" w:eastAsia="Times New Roman" w:hAnsi="Century Gothic" w:cs="Arial"/>
          <w:sz w:val="12"/>
          <w:szCs w:val="12"/>
          <w:lang w:eastAsia="es-CO"/>
        </w:rPr>
        <w:t xml:space="preserve"> </w:t>
      </w:r>
    </w:p>
  </w:footnote>
  <w:footnote w:id="3">
    <w:p w14:paraId="7C6DFBD8" w14:textId="77777777" w:rsidR="00C63485" w:rsidRPr="00F16C16" w:rsidRDefault="00C63485" w:rsidP="003C6318">
      <w:pPr>
        <w:pStyle w:val="Textonotapie"/>
        <w:spacing w:after="120"/>
        <w:ind w:firstLine="709"/>
        <w:jc w:val="both"/>
        <w:rPr>
          <w:rFonts w:ascii="Century Gothic" w:hAnsi="Century Gothic" w:cs="Arial"/>
          <w:color w:val="000000"/>
          <w:sz w:val="12"/>
          <w:szCs w:val="12"/>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226387FB" w14:textId="77777777" w:rsidR="00C63485" w:rsidRPr="00F16C16" w:rsidRDefault="00C63485" w:rsidP="003C6318">
      <w:pPr>
        <w:pStyle w:val="Textonotapie"/>
        <w:ind w:firstLine="709"/>
        <w:jc w:val="both"/>
        <w:rPr>
          <w:rFonts w:ascii="Century Gothic" w:eastAsia="Calibri" w:hAnsi="Century Gothic" w:cs="Arial"/>
          <w:color w:val="000000"/>
          <w:sz w:val="12"/>
          <w:szCs w:val="12"/>
        </w:rPr>
      </w:pPr>
      <w:r w:rsidRPr="00F16C16">
        <w:rPr>
          <w:rFonts w:ascii="Century Gothic" w:hAnsi="Century Gothic" w:cs="Arial"/>
          <w:color w:val="000000"/>
          <w:sz w:val="12"/>
          <w:szCs w:val="12"/>
        </w:rPr>
        <w:t>“Las personas jurídicas nacionales y extranjeras deberán acreditar que su duración no será inferior a la del plazo del contrato y un año más”.</w:t>
      </w:r>
    </w:p>
    <w:p w14:paraId="5F645B0F" w14:textId="77777777" w:rsidR="00C63485" w:rsidRPr="00F16C16" w:rsidRDefault="00C63485" w:rsidP="003C6318">
      <w:pPr>
        <w:pStyle w:val="Textonotapie"/>
        <w:ind w:firstLine="709"/>
        <w:jc w:val="both"/>
        <w:rPr>
          <w:rFonts w:ascii="Century Gothic" w:hAnsi="Century Gothic" w:cs="Arial"/>
          <w:color w:val="000000"/>
          <w:sz w:val="12"/>
          <w:szCs w:val="12"/>
        </w:rPr>
      </w:pPr>
    </w:p>
  </w:footnote>
  <w:footnote w:id="4">
    <w:p w14:paraId="2806351A" w14:textId="77777777" w:rsidR="00C63485" w:rsidRPr="00F16C16" w:rsidRDefault="00C63485" w:rsidP="003C6318">
      <w:pPr>
        <w:pStyle w:val="Textonotapie"/>
        <w:spacing w:after="120"/>
        <w:ind w:firstLine="709"/>
        <w:jc w:val="both"/>
        <w:rPr>
          <w:rFonts w:ascii="Century Gothic" w:hAnsi="Century Gothic" w:cs="Arial"/>
          <w:color w:val="000000"/>
          <w:sz w:val="12"/>
          <w:szCs w:val="12"/>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El artículo 1502 del Código Civil prevé la capacidad legal como requisito para obligarse contractualmente, en los siguientes términos: «Para que una persona se obligue a otra por un acto o declaración de voluntad, es necesario:</w:t>
      </w:r>
    </w:p>
    <w:p w14:paraId="112FFA71" w14:textId="77777777" w:rsidR="00C63485" w:rsidRPr="00F16C16" w:rsidRDefault="00C63485" w:rsidP="003C6318">
      <w:pPr>
        <w:pStyle w:val="Textonotapie"/>
        <w:spacing w:after="120"/>
        <w:ind w:firstLine="709"/>
        <w:jc w:val="both"/>
        <w:rPr>
          <w:rFonts w:ascii="Century Gothic" w:hAnsi="Century Gothic" w:cs="Arial"/>
          <w:color w:val="000000"/>
          <w:sz w:val="12"/>
          <w:szCs w:val="12"/>
        </w:rPr>
      </w:pPr>
      <w:r w:rsidRPr="00F16C16">
        <w:rPr>
          <w:rFonts w:ascii="Century Gothic" w:hAnsi="Century Gothic" w:cs="Arial"/>
          <w:color w:val="000000"/>
          <w:sz w:val="12"/>
          <w:szCs w:val="12"/>
        </w:rPr>
        <w:t>“1o.) que sea legalmente capaz.</w:t>
      </w:r>
    </w:p>
    <w:p w14:paraId="78A78C47" w14:textId="77777777" w:rsidR="00C63485" w:rsidRPr="00F16C16" w:rsidRDefault="00C63485" w:rsidP="003C6318">
      <w:pPr>
        <w:pStyle w:val="Textonotapie"/>
        <w:spacing w:after="120"/>
        <w:ind w:firstLine="709"/>
        <w:jc w:val="both"/>
        <w:rPr>
          <w:rFonts w:ascii="Century Gothic" w:hAnsi="Century Gothic" w:cs="Arial"/>
          <w:color w:val="000000"/>
          <w:sz w:val="12"/>
          <w:szCs w:val="12"/>
        </w:rPr>
      </w:pPr>
      <w:r w:rsidRPr="00F16C16">
        <w:rPr>
          <w:rFonts w:ascii="Century Gothic" w:hAnsi="Century Gothic" w:cs="Arial"/>
          <w:color w:val="000000"/>
          <w:sz w:val="12"/>
          <w:szCs w:val="12"/>
        </w:rPr>
        <w:t>[…]</w:t>
      </w:r>
    </w:p>
    <w:p w14:paraId="4EBD67B8" w14:textId="77777777" w:rsidR="00C63485" w:rsidRPr="00F16C16" w:rsidRDefault="00C63485" w:rsidP="003C6318">
      <w:pPr>
        <w:pStyle w:val="Textonotapie"/>
        <w:ind w:firstLine="709"/>
        <w:jc w:val="both"/>
        <w:rPr>
          <w:rFonts w:ascii="Century Gothic" w:hAnsi="Century Gothic" w:cs="Arial"/>
          <w:color w:val="000000"/>
          <w:sz w:val="12"/>
          <w:szCs w:val="12"/>
        </w:rPr>
      </w:pPr>
      <w:r w:rsidRPr="00F16C16">
        <w:rPr>
          <w:rFonts w:ascii="Century Gothic" w:hAnsi="Century Gothic" w:cs="Arial"/>
          <w:color w:val="000000"/>
          <w:sz w:val="12"/>
          <w:szCs w:val="12"/>
        </w:rPr>
        <w:t>“La capacidad legal de una persona consiste en poderse obligar por sí misma, sin el ministerio o la autorización de otra”.</w:t>
      </w:r>
    </w:p>
    <w:p w14:paraId="5340D549" w14:textId="77777777" w:rsidR="00C63485" w:rsidRPr="00F16C16" w:rsidRDefault="00C63485" w:rsidP="003C6318">
      <w:pPr>
        <w:pStyle w:val="Textonotapie"/>
        <w:ind w:firstLine="709"/>
        <w:jc w:val="both"/>
        <w:rPr>
          <w:rFonts w:ascii="Century Gothic" w:hAnsi="Century Gothic" w:cs="Arial"/>
          <w:color w:val="000000"/>
          <w:sz w:val="12"/>
          <w:szCs w:val="12"/>
        </w:rPr>
      </w:pPr>
    </w:p>
  </w:footnote>
  <w:footnote w:id="5">
    <w:p w14:paraId="79432A62"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color w:val="000000"/>
          <w:sz w:val="12"/>
          <w:szCs w:val="12"/>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F16C16">
        <w:rPr>
          <w:rFonts w:ascii="Century Gothic" w:hAnsi="Century Gothic" w:cs="Arial"/>
          <w:i/>
          <w:iCs/>
          <w:color w:val="000000"/>
          <w:sz w:val="12"/>
          <w:szCs w:val="12"/>
          <w:lang w:val="es-ES"/>
        </w:rPr>
        <w:t>el régimen de inhabilidades e incompatibilidades</w:t>
      </w:r>
      <w:r w:rsidRPr="00F16C16">
        <w:rPr>
          <w:rFonts w:ascii="Century Gothic" w:hAnsi="Century Gothic" w:cs="Arial"/>
          <w:color w:val="000000"/>
          <w:sz w:val="12"/>
          <w:szCs w:val="12"/>
          <w:lang w:val="es-ES"/>
        </w:rPr>
        <w:t xml:space="preserve"> (1) y la obligación de ciertos proponentes de inscribirse en el </w:t>
      </w:r>
      <w:r w:rsidRPr="00F16C16">
        <w:rPr>
          <w:rFonts w:ascii="Century Gothic" w:hAnsi="Century Gothic" w:cs="Arial"/>
          <w:i/>
          <w:iCs/>
          <w:color w:val="000000"/>
          <w:sz w:val="12"/>
          <w:szCs w:val="12"/>
          <w:lang w:val="es-ES"/>
        </w:rPr>
        <w:t>registro único</w:t>
      </w:r>
      <w:r w:rsidRPr="00F16C16">
        <w:rPr>
          <w:rFonts w:ascii="Century Gothic" w:hAnsi="Century Gothic" w:cs="Arial"/>
          <w:color w:val="000000"/>
          <w:sz w:val="12"/>
          <w:szCs w:val="12"/>
          <w:lang w:val="es-ES"/>
        </w:rPr>
        <w:t xml:space="preserve"> (2)” (BENAVIDES, José Luis. El contrato estatal. Entre el Derecho público y el Derecho privado. 2ª ed. Bogotá: Universidad Externado de Colombia, 2004. p. 278). </w:t>
      </w:r>
    </w:p>
    <w:p w14:paraId="20BDDBC7"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p>
  </w:footnote>
  <w:footnote w:id="6">
    <w:p w14:paraId="2EA5239B" w14:textId="77777777" w:rsidR="00C63485" w:rsidRPr="00F16C16" w:rsidRDefault="00C63485" w:rsidP="003C6318">
      <w:pPr>
        <w:pStyle w:val="Textonotapie"/>
        <w:ind w:firstLine="709"/>
        <w:jc w:val="both"/>
        <w:rPr>
          <w:rFonts w:ascii="Century Gothic" w:hAnsi="Century Gothic" w:cs="Arial"/>
          <w:color w:val="000000"/>
          <w:sz w:val="12"/>
          <w:szCs w:val="12"/>
          <w:lang w:val="es-ES"/>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color w:val="000000"/>
          <w:sz w:val="12"/>
          <w:szCs w:val="12"/>
          <w:lang w:val="es-ES"/>
        </w:rPr>
        <w:t>BARRETO MORENO, Antonio Alejandro. Inhabilidades de la contratación estatal, efectos y neopunitivismo en el Estatuto Anticorrupción. En: ALVIAR GARCÍA, Helena (Coordinadora). Nuevas tendencias del Derecho administrativo. Bogotá: Universidad de los Andes; Temis, 2016. pp. 63-99.</w:t>
      </w:r>
    </w:p>
    <w:p w14:paraId="1053C1A3" w14:textId="77777777" w:rsidR="00C63485" w:rsidRPr="00F16C16" w:rsidRDefault="00C63485" w:rsidP="003C6318">
      <w:pPr>
        <w:pStyle w:val="Textonotapie"/>
        <w:ind w:firstLine="709"/>
        <w:jc w:val="both"/>
        <w:rPr>
          <w:rFonts w:ascii="Century Gothic" w:hAnsi="Century Gothic" w:cs="Arial"/>
          <w:color w:val="000000"/>
          <w:sz w:val="12"/>
          <w:szCs w:val="12"/>
          <w:lang w:val="es-ES"/>
        </w:rPr>
      </w:pPr>
    </w:p>
  </w:footnote>
  <w:footnote w:id="7">
    <w:p w14:paraId="783832E6" w14:textId="77777777" w:rsidR="00C63485" w:rsidRPr="00F16C16" w:rsidRDefault="00C63485" w:rsidP="003C6318">
      <w:pPr>
        <w:pStyle w:val="Textonotapie"/>
        <w:ind w:firstLine="709"/>
        <w:jc w:val="both"/>
        <w:rPr>
          <w:rFonts w:ascii="Century Gothic" w:hAnsi="Century Gothic" w:cs="Arial"/>
          <w:color w:val="000000"/>
          <w:sz w:val="12"/>
          <w:szCs w:val="12"/>
          <w:lang w:val="es-ES"/>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color w:val="000000"/>
          <w:sz w:val="12"/>
          <w:szCs w:val="12"/>
          <w:lang w:val="es-ES"/>
        </w:rPr>
        <w:t>Ibíd., p. 69.</w:t>
      </w:r>
    </w:p>
    <w:p w14:paraId="1F059399" w14:textId="77777777" w:rsidR="00C63485" w:rsidRPr="00F16C16" w:rsidRDefault="00C63485" w:rsidP="003C6318">
      <w:pPr>
        <w:pStyle w:val="Textonotapie"/>
        <w:ind w:firstLine="709"/>
        <w:jc w:val="both"/>
        <w:rPr>
          <w:rFonts w:ascii="Century Gothic" w:hAnsi="Century Gothic" w:cs="Arial"/>
          <w:color w:val="000000"/>
          <w:sz w:val="12"/>
          <w:szCs w:val="12"/>
          <w:lang w:val="es-ES"/>
        </w:rPr>
      </w:pPr>
    </w:p>
  </w:footnote>
  <w:footnote w:id="8">
    <w:p w14:paraId="33FC19BE" w14:textId="77777777" w:rsidR="00C63485" w:rsidRPr="00F16C16" w:rsidRDefault="00C63485" w:rsidP="003C6318">
      <w:pPr>
        <w:pStyle w:val="Textonotapie"/>
        <w:ind w:firstLine="709"/>
        <w:jc w:val="both"/>
        <w:rPr>
          <w:rFonts w:ascii="Century Gothic" w:hAnsi="Century Gothic" w:cs="Arial"/>
          <w:color w:val="000000"/>
          <w:sz w:val="12"/>
          <w:szCs w:val="12"/>
          <w:lang w:val="es-ES"/>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color w:val="000000"/>
          <w:sz w:val="12"/>
          <w:szCs w:val="12"/>
          <w:lang w:val="es-ES"/>
        </w:rPr>
        <w:t>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69745A99" w14:textId="77777777" w:rsidR="00C63485" w:rsidRPr="00F16C16" w:rsidRDefault="00C63485" w:rsidP="003C6318">
      <w:pPr>
        <w:pStyle w:val="Textonotapie"/>
        <w:ind w:firstLine="709"/>
        <w:jc w:val="both"/>
        <w:rPr>
          <w:rFonts w:ascii="Century Gothic" w:hAnsi="Century Gothic" w:cs="Arial"/>
          <w:color w:val="000000"/>
          <w:sz w:val="12"/>
          <w:szCs w:val="12"/>
          <w:lang w:val="es-ES"/>
        </w:rPr>
      </w:pPr>
    </w:p>
  </w:footnote>
  <w:footnote w:id="9">
    <w:p w14:paraId="2FC491D9" w14:textId="77777777" w:rsidR="00C63485" w:rsidRPr="00F16C16" w:rsidRDefault="00C63485" w:rsidP="003C6318">
      <w:pPr>
        <w:pStyle w:val="Textonotapie"/>
        <w:ind w:firstLine="709"/>
        <w:jc w:val="both"/>
        <w:rPr>
          <w:rFonts w:ascii="Century Gothic" w:hAnsi="Century Gothic" w:cs="Arial"/>
          <w:color w:val="000000"/>
          <w:sz w:val="12"/>
          <w:szCs w:val="12"/>
          <w:lang w:val="es-ES"/>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color w:val="000000"/>
          <w:sz w:val="12"/>
          <w:szCs w:val="12"/>
          <w:lang w:val="es-ES"/>
        </w:rPr>
        <w:t>Consejo de Estado. Sala de Consulta y Servicio Civil. Concepto del 30 de abril de 2015. Expediente: 2251. Consejero Ponente: Álvaro Namén Vargas.</w:t>
      </w:r>
    </w:p>
    <w:p w14:paraId="231C0BC0" w14:textId="77777777" w:rsidR="00C63485" w:rsidRPr="00F16C16" w:rsidRDefault="00C63485" w:rsidP="003C6318">
      <w:pPr>
        <w:pStyle w:val="Textonotapie"/>
        <w:ind w:firstLine="709"/>
        <w:jc w:val="both"/>
        <w:rPr>
          <w:rFonts w:ascii="Century Gothic" w:hAnsi="Century Gothic" w:cs="Arial"/>
          <w:color w:val="000000"/>
          <w:sz w:val="12"/>
          <w:szCs w:val="12"/>
          <w:lang w:val="es-ES"/>
        </w:rPr>
      </w:pPr>
    </w:p>
  </w:footnote>
  <w:footnote w:id="10">
    <w:p w14:paraId="05FB7708" w14:textId="77777777" w:rsidR="00C63485" w:rsidRPr="00F16C16" w:rsidRDefault="00C63485" w:rsidP="003C6318">
      <w:pPr>
        <w:pStyle w:val="Textonotapie"/>
        <w:ind w:firstLine="709"/>
        <w:jc w:val="both"/>
        <w:rPr>
          <w:rFonts w:ascii="Century Gothic" w:hAnsi="Century Gothic" w:cs="Arial"/>
          <w:color w:val="000000"/>
          <w:sz w:val="12"/>
          <w:szCs w:val="12"/>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Consejo de Estado. Sección Tercera. Subsección A. Sentencia del 24 de junio de 2015. Exp. 40.635. Consejero Ponente: Hernán Andrade Rincón (E).</w:t>
      </w:r>
    </w:p>
    <w:p w14:paraId="1B121CD0" w14:textId="77777777" w:rsidR="00C63485" w:rsidRPr="00F16C16" w:rsidRDefault="00C63485" w:rsidP="003C6318">
      <w:pPr>
        <w:pStyle w:val="Textonotapie"/>
        <w:ind w:firstLine="709"/>
        <w:jc w:val="both"/>
        <w:rPr>
          <w:rFonts w:ascii="Century Gothic" w:hAnsi="Century Gothic" w:cs="Arial"/>
          <w:color w:val="000000"/>
          <w:sz w:val="12"/>
          <w:szCs w:val="12"/>
          <w:lang w:val="es-ES"/>
        </w:rPr>
      </w:pPr>
    </w:p>
  </w:footnote>
  <w:footnote w:id="11">
    <w:p w14:paraId="20E8262A" w14:textId="77777777" w:rsidR="00C63485" w:rsidRPr="00F16C16" w:rsidRDefault="00C63485" w:rsidP="003C6318">
      <w:pPr>
        <w:pStyle w:val="Textonotapie"/>
        <w:spacing w:after="120"/>
        <w:ind w:firstLine="709"/>
        <w:jc w:val="both"/>
        <w:rPr>
          <w:rFonts w:ascii="Century Gothic" w:hAnsi="Century Gothic" w:cs="Arial"/>
          <w:color w:val="000000"/>
          <w:sz w:val="12"/>
          <w:szCs w:val="12"/>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Consejo de Estado. Sección Tercera. Subsección C. Sentencia del 22 de mayo de 2013. Exp. 24.057. Consejera Ponente: Olga Melida Valle De De La Hoz.</w:t>
      </w:r>
    </w:p>
    <w:p w14:paraId="050CE17E"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p>
  </w:footnote>
  <w:footnote w:id="12">
    <w:p w14:paraId="5A335625" w14:textId="77777777" w:rsidR="00C63485" w:rsidRPr="00F16C16" w:rsidRDefault="00C63485" w:rsidP="003C6318">
      <w:pPr>
        <w:pStyle w:val="Textonotapie"/>
        <w:ind w:firstLine="708"/>
        <w:jc w:val="both"/>
        <w:rPr>
          <w:rFonts w:ascii="Century Gothic" w:hAnsi="Century Gothic" w:cs="Arial"/>
          <w:color w:val="000000"/>
          <w:sz w:val="12"/>
          <w:szCs w:val="12"/>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i/>
          <w:iCs/>
          <w:color w:val="000000"/>
          <w:sz w:val="12"/>
          <w:szCs w:val="12"/>
        </w:rPr>
        <w:t>Ibid</w:t>
      </w:r>
      <w:r w:rsidRPr="00F16C16">
        <w:rPr>
          <w:rFonts w:ascii="Century Gothic" w:hAnsi="Century Gothic" w:cs="Arial"/>
          <w:color w:val="000000"/>
          <w:sz w:val="12"/>
          <w:szCs w:val="12"/>
        </w:rPr>
        <w:t xml:space="preserve">. </w:t>
      </w:r>
    </w:p>
    <w:p w14:paraId="7E7CAC32" w14:textId="77777777" w:rsidR="00C63485" w:rsidRPr="00F16C16" w:rsidRDefault="00C63485" w:rsidP="003C6318">
      <w:pPr>
        <w:pStyle w:val="Textonotapie"/>
        <w:ind w:firstLine="708"/>
        <w:jc w:val="both"/>
        <w:rPr>
          <w:rFonts w:ascii="Century Gothic" w:hAnsi="Century Gothic" w:cs="Arial"/>
          <w:color w:val="000000"/>
          <w:sz w:val="12"/>
          <w:szCs w:val="12"/>
        </w:rPr>
      </w:pPr>
    </w:p>
  </w:footnote>
  <w:footnote w:id="13">
    <w:p w14:paraId="0FE6E371" w14:textId="77777777" w:rsidR="00C63485" w:rsidRPr="00F16C16" w:rsidRDefault="00C63485" w:rsidP="003C6318">
      <w:pPr>
        <w:pStyle w:val="Textonotapie"/>
        <w:spacing w:after="120"/>
        <w:ind w:firstLine="708"/>
        <w:jc w:val="both"/>
        <w:rPr>
          <w:rFonts w:ascii="Century Gothic" w:hAnsi="Century Gothic" w:cs="Arial"/>
          <w:color w:val="000000"/>
          <w:sz w:val="12"/>
          <w:szCs w:val="12"/>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lang w:val="es-ES"/>
        </w:rPr>
        <w:t xml:space="preserve">  Cfr. Corte Constitucional. Sentencia C-780 de 2001. </w:t>
      </w:r>
      <w:r w:rsidRPr="00F16C16">
        <w:rPr>
          <w:rFonts w:ascii="Century Gothic" w:hAnsi="Century Gothic" w:cs="Arial"/>
          <w:color w:val="000000"/>
          <w:sz w:val="12"/>
          <w:szCs w:val="12"/>
        </w:rPr>
        <w:t xml:space="preserve">M.P. Jaime Córdoba Triviño. </w:t>
      </w:r>
    </w:p>
  </w:footnote>
  <w:footnote w:id="14">
    <w:p w14:paraId="27B02179"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w:t>
      </w:r>
      <w:r w:rsidRPr="00F16C16">
        <w:rPr>
          <w:rFonts w:ascii="Century Gothic" w:hAnsi="Century Gothic" w:cs="Arial"/>
          <w:sz w:val="12"/>
          <w:szCs w:val="12"/>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footnote>
  <w:footnote w:id="15">
    <w:p w14:paraId="2B00D402"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w:t>
      </w:r>
      <w:r w:rsidRPr="00F16C16">
        <w:rPr>
          <w:rFonts w:ascii="Century Gothic" w:hAnsi="Century Gothic" w:cs="Arial"/>
          <w:sz w:val="12"/>
          <w:szCs w:val="12"/>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59D21B47"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6C6D68BA"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El Gobierno nacional reglamentará el mecanismo para realizar la mensualización de que trata el presente artículo.</w:t>
      </w:r>
    </w:p>
    <w:p w14:paraId="3C57A407" w14:textId="77777777" w:rsidR="00C63485" w:rsidRPr="00F16C16" w:rsidRDefault="00C63485" w:rsidP="003C6318">
      <w:pPr>
        <w:pStyle w:val="Textonotapie"/>
        <w:spacing w:after="120"/>
        <w:ind w:firstLine="709"/>
        <w:jc w:val="both"/>
        <w:rPr>
          <w:rFonts w:ascii="Century Gothic" w:hAnsi="Century Gothic" w:cs="Arial"/>
          <w:sz w:val="12"/>
          <w:szCs w:val="12"/>
          <w:lang w:val="pt-BR"/>
        </w:rPr>
      </w:pPr>
      <w:r w:rsidRPr="00F16C16">
        <w:rPr>
          <w:rFonts w:ascii="Century Gothic" w:hAnsi="Century Gothic" w:cs="Arial"/>
          <w:sz w:val="12"/>
          <w:szCs w:val="12"/>
          <w:lang w:val="pt-BR"/>
        </w:rPr>
        <w:t>[…]”.</w:t>
      </w:r>
    </w:p>
  </w:footnote>
  <w:footnote w:id="16">
    <w:p w14:paraId="093C6F25"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Style w:val="Refdenotaalpie"/>
          <w:rFonts w:ascii="Century Gothic" w:hAnsi="Century Gothic" w:cs="Arial"/>
          <w:sz w:val="12"/>
          <w:szCs w:val="12"/>
        </w:rPr>
        <w:footnoteRef/>
      </w:r>
      <w:r w:rsidRPr="00F16C16">
        <w:rPr>
          <w:rFonts w:ascii="Century Gothic" w:hAnsi="Century Gothic" w:cs="Arial"/>
          <w:sz w:val="12"/>
          <w:szCs w:val="12"/>
          <w:lang w:val="pt-BR"/>
        </w:rPr>
        <w:t xml:space="preserve"> Corte Constitucional. Sentencia C-154 de 1997. </w:t>
      </w:r>
      <w:r w:rsidRPr="00F16C16">
        <w:rPr>
          <w:rFonts w:ascii="Century Gothic" w:hAnsi="Century Gothic" w:cs="Arial"/>
          <w:sz w:val="12"/>
          <w:szCs w:val="12"/>
          <w:lang w:val="es-ES"/>
        </w:rPr>
        <w:t>MP: Hernando Herrera Vergara.</w:t>
      </w:r>
    </w:p>
  </w:footnote>
  <w:footnote w:id="17">
    <w:p w14:paraId="6E80A6AB"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w:t>
      </w:r>
      <w:r w:rsidRPr="00F16C16">
        <w:rPr>
          <w:rFonts w:ascii="Century Gothic" w:hAnsi="Century Gothic" w:cs="Arial"/>
          <w:sz w:val="12"/>
          <w:szCs w:val="12"/>
          <w:lang w:val="es-ES"/>
        </w:rPr>
        <w:t>Ibíd.</w:t>
      </w:r>
    </w:p>
  </w:footnote>
  <w:footnote w:id="18">
    <w:p w14:paraId="5886F238"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w:t>
      </w:r>
      <w:r w:rsidRPr="00F16C16">
        <w:rPr>
          <w:rFonts w:ascii="Century Gothic" w:hAnsi="Century Gothic" w:cs="Arial"/>
          <w:sz w:val="12"/>
          <w:szCs w:val="12"/>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C07312C"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“Son también contratos de consultoría los que tienen por objeto la interventoría, asesoría, gerencia de obra o de proyectos, dirección, programación y la ejecución de diseños, planos, anteproyectos y proyectos.</w:t>
      </w:r>
    </w:p>
    <w:p w14:paraId="4AF6553A"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“Ninguna orden del interventor de una obra podrá darse verbalmente. Es obligatorio para el interventor entregar por escrito sus órdenes o sugerencias y ellas deben enmarcarse dentro de los términos del respectivo contrato”.</w:t>
      </w:r>
    </w:p>
  </w:footnote>
  <w:footnote w:id="19">
    <w:p w14:paraId="67306FA7"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w:t>
      </w:r>
      <w:r w:rsidRPr="00F16C16">
        <w:rPr>
          <w:rFonts w:ascii="Century Gothic" w:hAnsi="Century Gothic" w:cs="Arial"/>
          <w:sz w:val="12"/>
          <w:szCs w:val="12"/>
          <w:lang w:val="es-ES"/>
        </w:rPr>
        <w:t>Así lo dispone el artículo 2.2.1.2.1.4.1. del Decreto 1082 de 2015: “La Entidad Estatal debe señalar en un acto administrativo la justificación para contratar bajo la modalidad de contratación directa, el cual debe contener:</w:t>
      </w:r>
    </w:p>
    <w:p w14:paraId="483854DA"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“1. La causal que invoca para contratar directamente.</w:t>
      </w:r>
    </w:p>
    <w:p w14:paraId="341BFA59"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“2. El objeto del contrato.</w:t>
      </w:r>
    </w:p>
    <w:p w14:paraId="3060094A"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“3. El presupuesto para la contratación y las condiciones que exigirá al contratista.</w:t>
      </w:r>
    </w:p>
    <w:p w14:paraId="6F51375E"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“4. El lugar en el cual los interesados pueden consultar los estudios y documentos previos.</w:t>
      </w:r>
    </w:p>
    <w:p w14:paraId="19C60909"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20">
    <w:p w14:paraId="5D5569B9"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w:t>
      </w:r>
      <w:r w:rsidRPr="00F16C16">
        <w:rPr>
          <w:rFonts w:ascii="Century Gothic" w:hAnsi="Century Gothic" w:cs="Arial"/>
          <w:sz w:val="12"/>
          <w:szCs w:val="12"/>
          <w:lang w:val="es-ES"/>
        </w:rPr>
        <w:t xml:space="preserve">La norma expresa: “Art. 14. </w:t>
      </w:r>
      <w:r w:rsidRPr="00F16C16">
        <w:rPr>
          <w:rFonts w:ascii="Century Gothic" w:hAnsi="Century Gothic" w:cs="Arial"/>
          <w:sz w:val="12"/>
          <w:szCs w:val="12"/>
        </w:rPr>
        <w:t>P</w:t>
      </w:r>
      <w:r w:rsidRPr="00F16C16">
        <w:rPr>
          <w:rFonts w:ascii="Century Gothic" w:hAnsi="Century Gothic" w:cs="Arial"/>
          <w:sz w:val="12"/>
          <w:szCs w:val="12"/>
          <w:lang w:val="es-ES"/>
        </w:rPr>
        <w:t>ara el cumplimiento de los fines de la contratación, las entidades estatales al celebrar un contrato:</w:t>
      </w:r>
    </w:p>
    <w:p w14:paraId="30C5B4AD"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w:t>
      </w:r>
    </w:p>
    <w:p w14:paraId="2BB11BDA"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44864D37"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Las entidades estatales podrán pactar estas cláusulas en los contratos de suministro y de prestación de servicios.</w:t>
      </w:r>
    </w:p>
    <w:p w14:paraId="6F4D1AB5"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lang w:val="es-ES"/>
        </w:rPr>
        <w:t>[…]”.</w:t>
      </w:r>
    </w:p>
  </w:footnote>
  <w:footnote w:id="21">
    <w:p w14:paraId="7C0688E3"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w:t>
      </w:r>
      <w:r w:rsidRPr="00F16C16">
        <w:rPr>
          <w:rFonts w:ascii="Century Gothic" w:hAnsi="Century Gothic" w:cs="Arial"/>
          <w:sz w:val="12"/>
          <w:szCs w:val="12"/>
          <w:lang w:val="es-ES"/>
        </w:rPr>
        <w:t>La norma dispone: “La liquidación a que se refiere el presente artículo no será obligatoria en los contratos de prestación de servicios profesionales y de apoyo a la gestión”.</w:t>
      </w:r>
    </w:p>
  </w:footnote>
  <w:footnote w:id="22">
    <w:p w14:paraId="21BE657A" w14:textId="77777777" w:rsidR="00C63485" w:rsidRPr="00F16C16" w:rsidRDefault="00C63485" w:rsidP="003C6318">
      <w:pPr>
        <w:pStyle w:val="Textonotapie"/>
        <w:spacing w:after="120"/>
        <w:ind w:firstLine="709"/>
        <w:jc w:val="both"/>
        <w:rPr>
          <w:rFonts w:ascii="Century Gothic" w:hAnsi="Century Gothic" w:cs="Arial"/>
          <w:sz w:val="12"/>
          <w:szCs w:val="12"/>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047BA49" w14:textId="77777777" w:rsidR="00C63485" w:rsidRPr="00F16C16" w:rsidRDefault="00C63485" w:rsidP="003C6318">
      <w:pPr>
        <w:pStyle w:val="Textonotapie"/>
        <w:spacing w:after="120"/>
        <w:ind w:firstLine="709"/>
        <w:jc w:val="both"/>
        <w:rPr>
          <w:rFonts w:ascii="Century Gothic" w:hAnsi="Century Gothic" w:cs="Arial"/>
          <w:sz w:val="12"/>
          <w:szCs w:val="12"/>
        </w:rPr>
      </w:pPr>
      <w:r w:rsidRPr="00F16C16">
        <w:rPr>
          <w:rFonts w:ascii="Century Gothic" w:hAnsi="Century Gothic" w:cs="Arial"/>
          <w:sz w:val="12"/>
          <w:szCs w:val="12"/>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AC24880"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Fonts w:ascii="Century Gothic" w:hAnsi="Century Gothic" w:cs="Arial"/>
          <w:sz w:val="12"/>
          <w:szCs w:val="12"/>
        </w:rPr>
        <w:t>[…]”.</w:t>
      </w:r>
    </w:p>
  </w:footnote>
  <w:footnote w:id="23">
    <w:p w14:paraId="0A64495E"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r w:rsidRPr="00F16C16">
        <w:rPr>
          <w:rStyle w:val="Refdenotaalpie"/>
          <w:rFonts w:ascii="Century Gothic" w:hAnsi="Century Gothic" w:cs="Arial"/>
          <w:sz w:val="12"/>
          <w:szCs w:val="12"/>
        </w:rPr>
        <w:footnoteRef/>
      </w:r>
      <w:r w:rsidRPr="00F16C16">
        <w:rPr>
          <w:rFonts w:ascii="Century Gothic" w:hAnsi="Century Gothic" w:cs="Arial"/>
          <w:sz w:val="12"/>
          <w:szCs w:val="12"/>
        </w:rPr>
        <w:t xml:space="preserve"> </w:t>
      </w:r>
      <w:r w:rsidRPr="00F16C16">
        <w:rPr>
          <w:rFonts w:ascii="Century Gothic" w:hAnsi="Century Gothic" w:cs="Arial"/>
          <w:sz w:val="12"/>
          <w:szCs w:val="12"/>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445F6028" w14:textId="77777777" w:rsidR="00C63485" w:rsidRPr="00F16C16" w:rsidRDefault="00C63485" w:rsidP="003C6318">
      <w:pPr>
        <w:pStyle w:val="Textonotapie"/>
        <w:spacing w:after="120"/>
        <w:ind w:firstLine="709"/>
        <w:jc w:val="both"/>
        <w:rPr>
          <w:rFonts w:ascii="Century Gothic" w:hAnsi="Century Gothic" w:cs="Arial"/>
          <w:sz w:val="12"/>
          <w:szCs w:val="12"/>
          <w:lang w:val="es-ES"/>
        </w:rPr>
      </w:pPr>
    </w:p>
  </w:footnote>
  <w:footnote w:id="24">
    <w:p w14:paraId="19F8C38A"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color w:val="000000"/>
          <w:sz w:val="12"/>
          <w:szCs w:val="12"/>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77232E9"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r w:rsidRPr="00F16C16">
        <w:rPr>
          <w:rFonts w:ascii="Century Gothic" w:hAnsi="Century Gothic" w:cs="Arial"/>
          <w:color w:val="000000"/>
          <w:sz w:val="12"/>
          <w:szCs w:val="12"/>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318142B"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r w:rsidRPr="00F16C16">
        <w:rPr>
          <w:rFonts w:ascii="Century Gothic" w:hAnsi="Century Gothic" w:cs="Arial"/>
          <w:color w:val="000000"/>
          <w:sz w:val="12"/>
          <w:szCs w:val="12"/>
          <w:lang w:val="es-ES"/>
        </w:rPr>
        <w:t>“La Entidad Estatal, para la contratación de trabajos artísticos que solamente puedan en</w:t>
      </w:r>
      <w:r w:rsidRPr="00F16C16">
        <w:rPr>
          <w:rFonts w:ascii="Century Gothic" w:hAnsi="Century Gothic" w:cs="Arial"/>
          <w:color w:val="000000"/>
          <w:sz w:val="12"/>
          <w:szCs w:val="12"/>
          <w:lang w:val="es-ES"/>
        </w:rPr>
        <w:softHyphen/>
        <w:t>comendarse a determinadas personas naturales, debe justificar esta situación en los estudios y documentos previos”.</w:t>
      </w:r>
    </w:p>
  </w:footnote>
  <w:footnote w:id="25">
    <w:p w14:paraId="7DCABBD0"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color w:val="000000"/>
          <w:sz w:val="12"/>
          <w:szCs w:val="12"/>
          <w:lang w:val="es-ES"/>
        </w:rPr>
        <w:t>CONSEJO DE ESTADO. Sección Tercera. Subsección C. Sentencia de Unificación del 2 de diciembre de 2013. Exp. 41.719. C.P. Jaime Orlando Santofimio Gamboa.</w:t>
      </w:r>
    </w:p>
  </w:footnote>
  <w:footnote w:id="26">
    <w:p w14:paraId="6594270D"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i/>
          <w:iCs/>
          <w:color w:val="000000"/>
          <w:sz w:val="12"/>
          <w:szCs w:val="12"/>
          <w:lang w:val="es-ES"/>
        </w:rPr>
        <w:t>Ibíd</w:t>
      </w:r>
      <w:r w:rsidRPr="00F16C16">
        <w:rPr>
          <w:rFonts w:ascii="Century Gothic" w:hAnsi="Century Gothic" w:cs="Arial"/>
          <w:color w:val="000000"/>
          <w:sz w:val="12"/>
          <w:szCs w:val="12"/>
          <w:lang w:val="es-ES"/>
        </w:rPr>
        <w:t>.</w:t>
      </w:r>
    </w:p>
    <w:p w14:paraId="7FAB0DBD"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p>
  </w:footnote>
  <w:footnote w:id="27">
    <w:p w14:paraId="603AFAB4" w14:textId="77777777" w:rsidR="00C63485" w:rsidRPr="00F16C16" w:rsidRDefault="00C63485" w:rsidP="003C6318">
      <w:pPr>
        <w:pStyle w:val="Textonotapie"/>
        <w:spacing w:after="120"/>
        <w:ind w:firstLine="709"/>
        <w:jc w:val="both"/>
        <w:rPr>
          <w:rFonts w:ascii="Century Gothic" w:hAnsi="Century Gothic" w:cs="Arial"/>
          <w:color w:val="000000"/>
          <w:sz w:val="12"/>
          <w:szCs w:val="12"/>
          <w:lang w:val="es-ES"/>
        </w:rPr>
      </w:pPr>
      <w:r w:rsidRPr="00F16C16">
        <w:rPr>
          <w:rStyle w:val="Refdenotaalpie"/>
          <w:rFonts w:ascii="Century Gothic" w:hAnsi="Century Gothic" w:cs="Arial"/>
          <w:color w:val="000000"/>
          <w:sz w:val="12"/>
          <w:szCs w:val="12"/>
        </w:rPr>
        <w:footnoteRef/>
      </w:r>
      <w:r w:rsidRPr="00F16C16">
        <w:rPr>
          <w:rFonts w:ascii="Century Gothic" w:hAnsi="Century Gothic" w:cs="Arial"/>
          <w:color w:val="000000"/>
          <w:sz w:val="12"/>
          <w:szCs w:val="12"/>
        </w:rPr>
        <w:t xml:space="preserve"> </w:t>
      </w:r>
      <w:r w:rsidRPr="00F16C16">
        <w:rPr>
          <w:rFonts w:ascii="Century Gothic" w:hAnsi="Century Gothic" w:cs="Arial"/>
          <w:i/>
          <w:iCs/>
          <w:color w:val="000000"/>
          <w:sz w:val="12"/>
          <w:szCs w:val="12"/>
          <w:lang w:val="es-ES"/>
        </w:rPr>
        <w:t>Ibíd</w:t>
      </w:r>
      <w:r w:rsidRPr="00F16C16">
        <w:rPr>
          <w:rFonts w:ascii="Century Gothic" w:hAnsi="Century Gothic" w:cs="Arial"/>
          <w:color w:val="000000"/>
          <w:sz w:val="12"/>
          <w:szCs w:val="12"/>
          <w:lang w:val="es-ES"/>
        </w:rPr>
        <w:t>.</w:t>
      </w:r>
    </w:p>
  </w:footnote>
  <w:footnote w:id="28">
    <w:p w14:paraId="51B0ACB9" w14:textId="77777777" w:rsidR="00C63485" w:rsidRPr="00F16C16" w:rsidRDefault="00C63485" w:rsidP="003C6318">
      <w:pPr>
        <w:pStyle w:val="Textonotapie"/>
        <w:spacing w:after="120"/>
        <w:ind w:firstLine="709"/>
        <w:jc w:val="both"/>
        <w:rPr>
          <w:rFonts w:ascii="Century Gothic" w:hAnsi="Century Gothic"/>
          <w:sz w:val="12"/>
          <w:szCs w:val="12"/>
        </w:rPr>
      </w:pPr>
      <w:r w:rsidRPr="00F16C16">
        <w:rPr>
          <w:rStyle w:val="Refdenotaalpie"/>
          <w:rFonts w:ascii="Century Gothic" w:hAnsi="Century Gothic"/>
          <w:sz w:val="12"/>
          <w:szCs w:val="12"/>
        </w:rPr>
        <w:footnoteRef/>
      </w:r>
      <w:r w:rsidRPr="00F16C16">
        <w:rPr>
          <w:rFonts w:ascii="Century Gothic" w:hAnsi="Century Gothic"/>
          <w:sz w:val="12"/>
          <w:szCs w:val="12"/>
        </w:rPr>
        <w:t xml:space="preserve"> </w:t>
      </w:r>
      <w:bookmarkStart w:id="8" w:name="_Hlk82536739"/>
      <w:r w:rsidRPr="00F16C16">
        <w:rPr>
          <w:rFonts w:ascii="Century Gothic" w:hAnsi="Century Gothic" w:cs="Arial"/>
          <w:sz w:val="12"/>
          <w:szCs w:val="12"/>
        </w:rPr>
        <w:t xml:space="preserve">De conformidad con el artículo 36 de la Ley 115 de 1994 </w:t>
      </w:r>
      <w:r w:rsidRPr="00F16C16">
        <w:rPr>
          <w:rFonts w:ascii="Century Gothic" w:hAnsi="Century Gothic" w:cs="Arial"/>
          <w:color w:val="000000"/>
          <w:sz w:val="12"/>
          <w:szCs w:val="12"/>
          <w:lang w:val="es-ES_tradnl"/>
        </w:rPr>
        <w:t>“</w:t>
      </w:r>
      <w:r w:rsidRPr="00F16C16">
        <w:rPr>
          <w:rFonts w:ascii="Century Gothic" w:hAnsi="Century Gothic" w:cs="Arial"/>
          <w:sz w:val="12"/>
          <w:szCs w:val="12"/>
        </w:rPr>
        <w:t>La educación no formal es la que se ofrece con el objeto de complementar, actualizar, suplir conocimientos y formar en aspectos académicos o laborales sin sujeción al sistema de niveles y grados establecidos en el artículo 11 de esta Ley</w:t>
      </w:r>
      <w:r w:rsidRPr="00F16C16">
        <w:rPr>
          <w:rFonts w:ascii="Century Gothic" w:eastAsia="Arial" w:hAnsi="Century Gothic" w:cs="Arial"/>
          <w:color w:val="000000"/>
          <w:sz w:val="12"/>
          <w:szCs w:val="12"/>
          <w:lang w:val="es-ES_tradnl"/>
        </w:rPr>
        <w:t xml:space="preserve">”. </w:t>
      </w:r>
      <w:bookmarkEnd w:id="8"/>
    </w:p>
  </w:footnote>
  <w:footnote w:id="29">
    <w:p w14:paraId="01DF0D2D" w14:textId="77777777" w:rsidR="00C63485" w:rsidRPr="00F16C16" w:rsidRDefault="00C63485" w:rsidP="003C6318">
      <w:pPr>
        <w:pStyle w:val="Textonotapie"/>
        <w:spacing w:after="120"/>
        <w:ind w:firstLine="709"/>
        <w:jc w:val="both"/>
        <w:rPr>
          <w:rFonts w:ascii="Century Gothic" w:hAnsi="Century Gothic"/>
          <w:sz w:val="12"/>
          <w:szCs w:val="12"/>
        </w:rPr>
      </w:pPr>
      <w:r w:rsidRPr="00F16C16">
        <w:rPr>
          <w:rStyle w:val="Refdenotaalpie"/>
          <w:rFonts w:ascii="Century Gothic" w:hAnsi="Century Gothic"/>
          <w:sz w:val="12"/>
          <w:szCs w:val="12"/>
        </w:rPr>
        <w:footnoteRef/>
      </w:r>
      <w:r w:rsidRPr="00F16C16">
        <w:rPr>
          <w:rFonts w:ascii="Century Gothic" w:hAnsi="Century Gothic"/>
          <w:sz w:val="12"/>
          <w:szCs w:val="12"/>
        </w:rPr>
        <w:t xml:space="preserve"> </w:t>
      </w:r>
      <w:bookmarkStart w:id="9" w:name="_Hlk82536775"/>
      <w:r w:rsidRPr="00F16C16">
        <w:rPr>
          <w:rFonts w:ascii="Century Gothic" w:eastAsia="Arial" w:hAnsi="Century Gothic" w:cs="Arial"/>
          <w:color w:val="000000"/>
          <w:sz w:val="12"/>
          <w:szCs w:val="12"/>
          <w:lang w:val="es-ES"/>
        </w:rPr>
        <w:t>La oferta de educación informal tiene como objetivo brindar oportunidades para complementar, actualizar, perfeccionar, renovar o profundizar conocimientos, habilidades, técnicas y prácticas. Este es un conocimiento libre y espontáneo adquirido, proveniente de personas, entidades, medios de comunicación masiva, medios impresos, tradiciones, costumbres, comportamientos sociales y otros no estructurados.</w:t>
      </w:r>
      <w:bookmarkEnd w:id="9"/>
    </w:p>
    <w:p w14:paraId="65093443" w14:textId="77777777" w:rsidR="00C63485" w:rsidRPr="00F16C16" w:rsidRDefault="00C63485" w:rsidP="003C6318">
      <w:pPr>
        <w:pStyle w:val="Textonotapie"/>
        <w:spacing w:after="120"/>
        <w:ind w:firstLine="709"/>
        <w:jc w:val="both"/>
        <w:rPr>
          <w:rFonts w:ascii="Century Gothic" w:hAnsi="Century Gothic"/>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65DC3EA4"/>
    <w:lvl w:ilvl="0">
      <w:start w:val="1"/>
      <w:numFmt w:val="decimal"/>
      <w:lvlText w:val="%1."/>
      <w:lvlJc w:val="left"/>
      <w:pPr>
        <w:ind w:left="360" w:hanging="360"/>
      </w:pPr>
      <w:rPr>
        <w:b/>
        <w:color w:val="auto"/>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58757055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57"/>
    <w:rsid w:val="001B50C7"/>
    <w:rsid w:val="001B5448"/>
    <w:rsid w:val="001C76D1"/>
    <w:rsid w:val="002035A1"/>
    <w:rsid w:val="003C6318"/>
    <w:rsid w:val="0041282A"/>
    <w:rsid w:val="007D651A"/>
    <w:rsid w:val="008F3CA6"/>
    <w:rsid w:val="008F4706"/>
    <w:rsid w:val="00C63485"/>
    <w:rsid w:val="00D261C3"/>
    <w:rsid w:val="00E72A57"/>
    <w:rsid w:val="00EF7478"/>
    <w:rsid w:val="00EF796B"/>
    <w:rsid w:val="00F16C16"/>
    <w:rsid w:val="00F55F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79C1"/>
  <w15:chartTrackingRefBased/>
  <w15:docId w15:val="{21538CF3-2747-4D49-BE39-0DAB29D0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485"/>
    <w:rPr>
      <w:kern w:val="0"/>
      <w14:ligatures w14:val="none"/>
    </w:rPr>
  </w:style>
  <w:style w:type="paragraph" w:styleId="Ttulo1">
    <w:name w:val="heading 1"/>
    <w:basedOn w:val="Normal"/>
    <w:next w:val="Normal"/>
    <w:link w:val="Ttulo1Car"/>
    <w:uiPriority w:val="9"/>
    <w:qFormat/>
    <w:rsid w:val="00E72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2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2A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2A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2A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2A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2A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2A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2A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2A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2A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2A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2A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2A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2A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2A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2A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2A57"/>
    <w:rPr>
      <w:rFonts w:eastAsiaTheme="majorEastAsia" w:cstheme="majorBidi"/>
      <w:color w:val="272727" w:themeColor="text1" w:themeTint="D8"/>
    </w:rPr>
  </w:style>
  <w:style w:type="paragraph" w:styleId="Ttulo">
    <w:name w:val="Title"/>
    <w:basedOn w:val="Normal"/>
    <w:next w:val="Normal"/>
    <w:link w:val="TtuloCar"/>
    <w:uiPriority w:val="10"/>
    <w:qFormat/>
    <w:rsid w:val="00E72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2A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2A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2A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2A57"/>
    <w:pPr>
      <w:spacing w:before="160"/>
      <w:jc w:val="center"/>
    </w:pPr>
    <w:rPr>
      <w:i/>
      <w:iCs/>
      <w:color w:val="404040" w:themeColor="text1" w:themeTint="BF"/>
    </w:rPr>
  </w:style>
  <w:style w:type="character" w:customStyle="1" w:styleId="CitaCar">
    <w:name w:val="Cita Car"/>
    <w:basedOn w:val="Fuentedeprrafopredeter"/>
    <w:link w:val="Cita"/>
    <w:uiPriority w:val="29"/>
    <w:rsid w:val="00E72A57"/>
    <w:rPr>
      <w:i/>
      <w:iCs/>
      <w:color w:val="404040" w:themeColor="text1" w:themeTint="BF"/>
    </w:rPr>
  </w:style>
  <w:style w:type="paragraph" w:styleId="Prrafodelista">
    <w:name w:val="List Paragraph"/>
    <w:basedOn w:val="Normal"/>
    <w:uiPriority w:val="34"/>
    <w:qFormat/>
    <w:rsid w:val="00E72A57"/>
    <w:pPr>
      <w:ind w:left="720"/>
      <w:contextualSpacing/>
    </w:pPr>
  </w:style>
  <w:style w:type="character" w:styleId="nfasisintenso">
    <w:name w:val="Intense Emphasis"/>
    <w:basedOn w:val="Fuentedeprrafopredeter"/>
    <w:uiPriority w:val="21"/>
    <w:qFormat/>
    <w:rsid w:val="00E72A57"/>
    <w:rPr>
      <w:i/>
      <w:iCs/>
      <w:color w:val="0F4761" w:themeColor="accent1" w:themeShade="BF"/>
    </w:rPr>
  </w:style>
  <w:style w:type="paragraph" w:styleId="Citadestacada">
    <w:name w:val="Intense Quote"/>
    <w:basedOn w:val="Normal"/>
    <w:next w:val="Normal"/>
    <w:link w:val="CitadestacadaCar"/>
    <w:uiPriority w:val="30"/>
    <w:qFormat/>
    <w:rsid w:val="00E72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2A57"/>
    <w:rPr>
      <w:i/>
      <w:iCs/>
      <w:color w:val="0F4761" w:themeColor="accent1" w:themeShade="BF"/>
    </w:rPr>
  </w:style>
  <w:style w:type="character" w:styleId="Referenciaintensa">
    <w:name w:val="Intense Reference"/>
    <w:basedOn w:val="Fuentedeprrafopredeter"/>
    <w:uiPriority w:val="32"/>
    <w:qFormat/>
    <w:rsid w:val="00E72A57"/>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6348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C6348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C6348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63485"/>
    <w:rPr>
      <w:vertAlign w:val="superscript"/>
    </w:rPr>
  </w:style>
  <w:style w:type="table" w:styleId="Tablaconcuadrcula">
    <w:name w:val="Table Grid"/>
    <w:basedOn w:val="Tablanormal"/>
    <w:uiPriority w:val="39"/>
    <w:rsid w:val="00C634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63485"/>
    <w:rPr>
      <w:color w:val="0000FF"/>
      <w:u w:val="single"/>
    </w:rPr>
  </w:style>
  <w:style w:type="paragraph" w:customStyle="1" w:styleId="Appelnotedebasde">
    <w:name w:val="Appel note de bas de..."/>
    <w:basedOn w:val="Normal"/>
    <w:link w:val="Refdenotaalpie"/>
    <w:uiPriority w:val="99"/>
    <w:rsid w:val="00C63485"/>
    <w:pPr>
      <w:spacing w:line="240" w:lineRule="exact"/>
    </w:pPr>
    <w:rPr>
      <w:kern w:val="2"/>
      <w:vertAlign w:val="superscript"/>
      <w14:ligatures w14:val="standardContextual"/>
    </w:rPr>
  </w:style>
  <w:style w:type="table" w:customStyle="1" w:styleId="Tablaconcuadrcula11">
    <w:name w:val="Tabla con cuadrícula11"/>
    <w:basedOn w:val="Tablanormal"/>
    <w:next w:val="Tablaconcuadrcula"/>
    <w:uiPriority w:val="59"/>
    <w:rsid w:val="00C634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ta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es.wikipedia.org/wiki/T%C3%ADtulo_acad%C3%A9mico" TargetMode="External"/><Relationship Id="rId4" Type="http://schemas.openxmlformats.org/officeDocument/2006/relationships/webSettings" Target="webSettings.xml"/><Relationship Id="rId9" Type="http://schemas.openxmlformats.org/officeDocument/2006/relationships/hyperlink" Target="https://es.wikipedia.org/wiki/Curr%C3%ADculo_(educaci%C3%B3n)"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425EA-F50E-4E8B-8361-53F0CF2893F8}"/>
</file>

<file path=customXml/itemProps2.xml><?xml version="1.0" encoding="utf-8"?>
<ds:datastoreItem xmlns:ds="http://schemas.openxmlformats.org/officeDocument/2006/customXml" ds:itemID="{6077437D-A877-4C4A-85E0-80B0DE051741}"/>
</file>

<file path=customXml/itemProps3.xml><?xml version="1.0" encoding="utf-8"?>
<ds:datastoreItem xmlns:ds="http://schemas.openxmlformats.org/officeDocument/2006/customXml" ds:itemID="{D0EC6B26-191B-4811-81A9-14484FAFC118}"/>
</file>

<file path=docProps/app.xml><?xml version="1.0" encoding="utf-8"?>
<Properties xmlns="http://schemas.openxmlformats.org/officeDocument/2006/extended-properties" xmlns:vt="http://schemas.openxmlformats.org/officeDocument/2006/docPropsVTypes">
  <Template>Normal</Template>
  <TotalTime>6</TotalTime>
  <Pages>22</Pages>
  <Words>8100</Words>
  <Characters>44556</Characters>
  <Application>Microsoft Office Word</Application>
  <DocSecurity>0</DocSecurity>
  <Lines>371</Lines>
  <Paragraphs>105</Paragraphs>
  <ScaleCrop>false</ScaleCrop>
  <Company/>
  <LinksUpToDate>false</LinksUpToDate>
  <CharactersWithSpaces>52551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Valeska Medellín Mora</dc:creator>
  <cp:keywords/>
  <dc:description/>
  <cp:lastModifiedBy>Maria Valeska Medellín Mora</cp:lastModifiedBy>
  <cp:revision>8</cp:revision>
  <dcterms:created xsi:type="dcterms:W3CDTF">2024-05-16T22:25:00Z</dcterms:created>
  <dcterms:modified xsi:type="dcterms:W3CDTF">2024-05-17T19:54:00Z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