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7D07F" w14:textId="77777777" w:rsidR="00B22E10" w:rsidRPr="00C96FA1" w:rsidRDefault="00B22E10" w:rsidP="00B22E10">
      <w:pPr>
        <w:spacing w:after="0" w:line="240" w:lineRule="auto"/>
        <w:jc w:val="both"/>
        <w:rPr>
          <w:rFonts w:ascii="Century Gothic" w:eastAsia="Calibri" w:hAnsi="Century Gothic" w:cs="Arial"/>
          <w:b/>
          <w:lang w:val="es-ES_tradnl"/>
        </w:rPr>
      </w:pPr>
      <w:bookmarkStart w:id="0" w:name="_Hlk94281581"/>
      <w:bookmarkStart w:id="1" w:name="_Hlk102489058"/>
      <w:bookmarkStart w:id="2" w:name="_Hlk34951122"/>
    </w:p>
    <w:p w14:paraId="6E167173" w14:textId="77777777" w:rsidR="00B22E10" w:rsidRPr="00C96FA1" w:rsidRDefault="00B22E10" w:rsidP="00B22E10">
      <w:pPr>
        <w:spacing w:after="0" w:line="240" w:lineRule="auto"/>
        <w:jc w:val="both"/>
        <w:rPr>
          <w:rFonts w:ascii="Century Gothic" w:eastAsia="Calibri" w:hAnsi="Century Gothic" w:cs="Arial"/>
          <w:b/>
          <w:lang w:val="es-ES_tradnl"/>
        </w:rPr>
      </w:pPr>
      <w:r w:rsidRPr="00C96FA1">
        <w:rPr>
          <w:rFonts w:ascii="Century Gothic" w:eastAsia="Calibri" w:hAnsi="Century Gothic" w:cs="Arial"/>
          <w:b/>
          <w:lang w:val="es-ES_tradnl"/>
        </w:rPr>
        <w:t>FACTORES DE DESEMPATE – Características – Límites</w:t>
      </w:r>
    </w:p>
    <w:p w14:paraId="6E0B3665" w14:textId="77777777" w:rsidR="00B22E10" w:rsidRPr="00C96FA1" w:rsidRDefault="00B22E10" w:rsidP="00B22E10">
      <w:pPr>
        <w:spacing w:after="0" w:line="240" w:lineRule="auto"/>
        <w:jc w:val="both"/>
        <w:rPr>
          <w:rFonts w:ascii="Century Gothic" w:hAnsi="Century Gothic" w:cs="Arial"/>
          <w:noProof/>
          <w:highlight w:val="yellow"/>
          <w:lang w:val="es-ES_tradnl"/>
        </w:rPr>
      </w:pPr>
    </w:p>
    <w:p w14:paraId="3F32B701" w14:textId="77777777" w:rsidR="00B22E10" w:rsidRPr="00C96FA1" w:rsidRDefault="00B22E10" w:rsidP="00B22E10">
      <w:pPr>
        <w:spacing w:after="0" w:line="240" w:lineRule="auto"/>
        <w:jc w:val="both"/>
        <w:rPr>
          <w:rFonts w:ascii="Century Gothic" w:eastAsia="Calibri" w:hAnsi="Century Gothic" w:cs="Arial"/>
          <w:sz w:val="20"/>
          <w:szCs w:val="20"/>
          <w:lang w:val="es-ES_tradnl"/>
        </w:rPr>
      </w:pPr>
      <w:r w:rsidRPr="00C96FA1">
        <w:rPr>
          <w:rFonts w:ascii="Century Gothic" w:eastAsia="Calibri" w:hAnsi="Century Gothic" w:cs="Arial"/>
          <w:sz w:val="20"/>
          <w:szCs w:val="20"/>
          <w:lang w:val="es-ES_tradnl"/>
        </w:rPr>
        <w:t xml:space="preserve">Dado que la selección objetiva es uno de los principios medulares de la contratación estatal, la escogencia del futuro contratista no puede motivarse en razones subjetivas que afecten la imparcialidad de la entidad pública. Así lo determina el primer inciso del artículo 5 de la Ley 1150 de 2007, indicando que </w:t>
      </w:r>
      <w:r>
        <w:rPr>
          <w:rFonts w:ascii="Century Gothic" w:eastAsia="Calibri" w:hAnsi="Century Gothic" w:cs="Arial"/>
          <w:sz w:val="20"/>
          <w:szCs w:val="20"/>
          <w:lang w:val="es-ES_tradnl"/>
        </w:rPr>
        <w:t>“</w:t>
      </w:r>
      <w:r w:rsidRPr="00C96FA1">
        <w:rPr>
          <w:rFonts w:ascii="Century Gothic" w:eastAsia="Calibri" w:hAnsi="Century Gothic" w:cs="Arial"/>
          <w:sz w:val="20"/>
          <w:szCs w:val="20"/>
          <w:lang w:val="es-ES_tradnl"/>
        </w:rPr>
        <w:t>Es objetiva la selección en la cual la escogencia se haga al ofrecimiento más favorable a la entidad y a los fines que ella busca, sin tener en consideración factores de afecto o de interés y, en general, cualquier clase de motivación subjetiva</w:t>
      </w:r>
      <w:r>
        <w:rPr>
          <w:rFonts w:ascii="Century Gothic" w:eastAsia="Calibri" w:hAnsi="Century Gothic" w:cs="Arial"/>
          <w:sz w:val="20"/>
          <w:szCs w:val="20"/>
          <w:lang w:val="es-ES_tradnl"/>
        </w:rPr>
        <w:t>”</w:t>
      </w:r>
      <w:r w:rsidRPr="00C96FA1">
        <w:rPr>
          <w:rFonts w:ascii="Century Gothic" w:eastAsia="Calibri" w:hAnsi="Century Gothic" w:cs="Arial"/>
          <w:sz w:val="20"/>
          <w:szCs w:val="20"/>
          <w:lang w:val="es-ES_tradnl"/>
        </w:rPr>
        <w:t>. Además, la norma citada agrega que los factores de habilitación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17A37403" w14:textId="77777777" w:rsidR="00B22E10" w:rsidRPr="00C96FA1" w:rsidRDefault="00B22E10" w:rsidP="00B22E10">
      <w:pPr>
        <w:spacing w:after="0" w:line="240" w:lineRule="auto"/>
        <w:jc w:val="both"/>
        <w:rPr>
          <w:rFonts w:ascii="Century Gothic" w:eastAsia="Calibri" w:hAnsi="Century Gothic" w:cs="Arial"/>
          <w:b/>
          <w:highlight w:val="yellow"/>
          <w:lang w:val="es-ES_tradnl"/>
        </w:rPr>
      </w:pPr>
    </w:p>
    <w:p w14:paraId="74A657FA" w14:textId="77777777" w:rsidR="00B22E10" w:rsidRPr="00C96FA1" w:rsidRDefault="00B22E10" w:rsidP="00B22E10">
      <w:pPr>
        <w:spacing w:after="0" w:line="240" w:lineRule="auto"/>
        <w:jc w:val="both"/>
        <w:rPr>
          <w:rFonts w:ascii="Century Gothic" w:eastAsia="Calibri" w:hAnsi="Century Gothic" w:cs="Arial"/>
          <w:b/>
          <w:lang w:val="es-ES_tradnl"/>
        </w:rPr>
      </w:pPr>
      <w:r w:rsidRPr="00C96FA1">
        <w:rPr>
          <w:rFonts w:ascii="Century Gothic" w:eastAsia="Calibri" w:hAnsi="Century Gothic" w:cs="Arial"/>
          <w:b/>
          <w:lang w:val="es-ES_tradnl"/>
        </w:rPr>
        <w:t>LEY DE EMPRENDIMIENTO – Ley 2069 de 2020 – Reglamentación – Decreto 1860 de 2021 – Vigencia</w:t>
      </w:r>
    </w:p>
    <w:p w14:paraId="2C89F733" w14:textId="77777777" w:rsidR="00B22E10" w:rsidRPr="00C96FA1" w:rsidRDefault="00B22E10" w:rsidP="00B22E10">
      <w:pPr>
        <w:spacing w:after="0" w:line="240" w:lineRule="auto"/>
        <w:jc w:val="both"/>
        <w:rPr>
          <w:rFonts w:ascii="Century Gothic" w:eastAsia="Calibri" w:hAnsi="Century Gothic" w:cs="Arial"/>
          <w:b/>
          <w:highlight w:val="yellow"/>
          <w:lang w:val="es-ES_tradnl"/>
        </w:rPr>
      </w:pPr>
    </w:p>
    <w:p w14:paraId="43DD303A" w14:textId="77777777" w:rsidR="00B22E10" w:rsidRPr="00C96FA1" w:rsidRDefault="00B22E10" w:rsidP="00B22E10">
      <w:pPr>
        <w:spacing w:after="0" w:line="240" w:lineRule="auto"/>
        <w:jc w:val="both"/>
        <w:rPr>
          <w:rFonts w:ascii="Century Gothic" w:eastAsia="Calibri" w:hAnsi="Century Gothic" w:cs="Arial"/>
          <w:bCs/>
          <w:sz w:val="20"/>
          <w:szCs w:val="20"/>
          <w:lang w:val="es-ES_tradnl"/>
        </w:rPr>
      </w:pPr>
      <w:r w:rsidRPr="00C96FA1">
        <w:rPr>
          <w:rFonts w:ascii="Century Gothic" w:eastAsia="Calibri" w:hAnsi="Century Gothic" w:cs="Arial"/>
          <w:bCs/>
          <w:sz w:val="20"/>
          <w:szCs w:val="20"/>
          <w:lang w:val="es-ES_tradnl"/>
        </w:rPr>
        <w:t xml:space="preserve">[…] el pasado 24 de diciembre, el gobierno nacional expidió el Decreto 1860 de 2021, </w:t>
      </w:r>
      <w:r>
        <w:rPr>
          <w:rFonts w:ascii="Century Gothic" w:eastAsia="Calibri" w:hAnsi="Century Gothic" w:cs="Arial"/>
          <w:bCs/>
          <w:sz w:val="20"/>
          <w:szCs w:val="20"/>
          <w:lang w:val="es-ES_tradnl"/>
        </w:rPr>
        <w:t>“</w:t>
      </w:r>
      <w:r w:rsidRPr="00C96FA1">
        <w:rPr>
          <w:rFonts w:ascii="Century Gothic" w:eastAsia="Calibri" w:hAnsi="Century Gothic" w:cs="Arial"/>
          <w:bCs/>
          <w:sz w:val="20"/>
          <w:szCs w:val="20"/>
          <w:lang w:val="es-ES_tradnl"/>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w:t>
      </w:r>
      <w:r>
        <w:rPr>
          <w:rFonts w:ascii="Century Gothic" w:eastAsia="Calibri" w:hAnsi="Century Gothic" w:cs="Arial"/>
          <w:bCs/>
          <w:sz w:val="20"/>
          <w:szCs w:val="20"/>
          <w:lang w:val="es-ES_tradnl"/>
        </w:rPr>
        <w:t>”</w:t>
      </w:r>
      <w:r w:rsidRPr="00C96FA1">
        <w:rPr>
          <w:rFonts w:ascii="Century Gothic" w:eastAsia="Calibri" w:hAnsi="Century Gothic" w:cs="Arial"/>
          <w:bCs/>
          <w:sz w:val="20"/>
          <w:szCs w:val="20"/>
          <w:lang w:val="es-ES_tradnl"/>
        </w:rPr>
        <w:t>.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w:t>
      </w:r>
    </w:p>
    <w:p w14:paraId="178FEC9A" w14:textId="77777777" w:rsidR="00B22E10" w:rsidRPr="00C96FA1" w:rsidRDefault="00B22E10" w:rsidP="00B22E10">
      <w:pPr>
        <w:spacing w:after="0" w:line="240" w:lineRule="auto"/>
        <w:jc w:val="both"/>
        <w:rPr>
          <w:rFonts w:ascii="Century Gothic" w:eastAsia="Calibri" w:hAnsi="Century Gothic" w:cs="Arial"/>
          <w:b/>
          <w:lang w:val="es-ES_tradnl"/>
        </w:rPr>
      </w:pPr>
    </w:p>
    <w:p w14:paraId="07748705" w14:textId="77777777" w:rsidR="00B22E10" w:rsidRPr="00C96FA1" w:rsidRDefault="00B22E10" w:rsidP="00B22E10">
      <w:pPr>
        <w:spacing w:after="0" w:line="240" w:lineRule="auto"/>
        <w:jc w:val="both"/>
        <w:rPr>
          <w:rFonts w:ascii="Century Gothic" w:eastAsia="Calibri" w:hAnsi="Century Gothic" w:cs="Arial"/>
          <w:b/>
          <w:lang w:val="es-ES_tradnl"/>
        </w:rPr>
      </w:pPr>
      <w:r w:rsidRPr="00431154">
        <w:rPr>
          <w:rFonts w:ascii="Century Gothic" w:eastAsia="Calibri" w:hAnsi="Century Gothic" w:cs="Arial"/>
          <w:b/>
          <w:lang w:val="es-ES_tradnl"/>
        </w:rPr>
        <w:t>FACTORES DE DESEMPATE – Personas mayores – Alcance – Prepensionados – Exclusión</w:t>
      </w:r>
    </w:p>
    <w:p w14:paraId="1C6C91B3" w14:textId="77777777" w:rsidR="00B22E10" w:rsidRPr="00C96FA1" w:rsidRDefault="00B22E10" w:rsidP="00B22E10">
      <w:pPr>
        <w:spacing w:after="0" w:line="240" w:lineRule="auto"/>
        <w:jc w:val="both"/>
        <w:rPr>
          <w:rFonts w:ascii="Century Gothic" w:hAnsi="Century Gothic" w:cs="Arial"/>
          <w:highlight w:val="yellow"/>
          <w:lang w:val="es-ES_tradnl"/>
        </w:rPr>
      </w:pPr>
    </w:p>
    <w:p w14:paraId="0C1E536D" w14:textId="77777777" w:rsidR="00B22E10" w:rsidRDefault="00B22E10" w:rsidP="00B22E10">
      <w:pPr>
        <w:spacing w:after="0" w:line="240" w:lineRule="auto"/>
        <w:jc w:val="both"/>
        <w:rPr>
          <w:rFonts w:ascii="Century Gothic" w:eastAsia="Calibri" w:hAnsi="Century Gothic" w:cs="Arial"/>
          <w:sz w:val="20"/>
          <w:szCs w:val="20"/>
          <w:lang w:val="es-ES_tradnl"/>
        </w:rPr>
      </w:pPr>
      <w:r w:rsidRPr="00431154">
        <w:rPr>
          <w:rFonts w:ascii="Century Gothic" w:eastAsia="Calibri" w:hAnsi="Century Gothic" w:cs="Arial"/>
          <w:sz w:val="20"/>
          <w:szCs w:val="20"/>
          <w:lang w:val="es-ES_tradnl"/>
        </w:rPr>
        <w:t xml:space="preserve">De acuerdo con la interpretación general del artículo 34.4 de la Ley de Emprendimiento, cuando el legislador alude al concepto de “personas mayores” que no sean beneficiarias de la pensión de vejez, familiar o de sobrevivencia y que hayan cumplido la edad para obtenerla, una posible interpretación es entender que la norma se refiere al “adulto mayor”. Este concepto lo define el artículo 3 de la Ley 1251 de 2008 –“Por la cual se dictan normas tendientes a procurar la protección, promoción y defensa de los derechos de los adultos mayores”– como “[…] aquella persona que cuenta con sesenta (60) años de edad o más”, lo cual se puede acreditar con el documento de identidad correspondiente. En todo caso, también es posible entender que esta causal aplica a todas las personas que –en el rango de edad correspondiente a cada género– no han alcanzado la pensión, interpretación que está más ajustada al principio de favorabilidad y que, como se expresará, se acogió en la reglamentación realizada por el Decreto 1860 de 2021. </w:t>
      </w:r>
    </w:p>
    <w:p w14:paraId="02733672" w14:textId="77777777" w:rsidR="00B22E10" w:rsidRPr="00431154" w:rsidRDefault="00B22E10" w:rsidP="00B22E10">
      <w:pPr>
        <w:spacing w:after="0" w:line="240" w:lineRule="auto"/>
        <w:jc w:val="both"/>
        <w:rPr>
          <w:rFonts w:ascii="Century Gothic" w:eastAsia="Calibri" w:hAnsi="Century Gothic" w:cs="Arial"/>
          <w:sz w:val="20"/>
          <w:szCs w:val="20"/>
          <w:lang w:val="es-ES_tradnl"/>
        </w:rPr>
      </w:pPr>
    </w:p>
    <w:p w14:paraId="18FC6F96" w14:textId="77777777" w:rsidR="00B22E10" w:rsidRDefault="00B22E10" w:rsidP="00B22E10">
      <w:pPr>
        <w:spacing w:after="0" w:line="240" w:lineRule="auto"/>
        <w:jc w:val="both"/>
        <w:rPr>
          <w:rFonts w:ascii="Century Gothic" w:eastAsia="Calibri" w:hAnsi="Century Gothic" w:cs="Arial"/>
          <w:sz w:val="20"/>
          <w:szCs w:val="20"/>
          <w:lang w:val="es-ES_tradnl"/>
        </w:rPr>
      </w:pPr>
      <w:r w:rsidRPr="00431154">
        <w:rPr>
          <w:rFonts w:ascii="Century Gothic" w:eastAsia="Calibri" w:hAnsi="Century Gothic" w:cs="Arial"/>
          <w:sz w:val="20"/>
          <w:szCs w:val="20"/>
          <w:lang w:val="es-ES_tradnl"/>
        </w:rPr>
        <w:t xml:space="preserve">Sin embargo, de la literalidad de la norma no se desprende la aplicación de este factor de desempate a los prepensionados, por lo que no son destinatarios de este incentivo. El </w:t>
      </w:r>
      <w:r w:rsidRPr="00431154">
        <w:rPr>
          <w:rFonts w:ascii="Century Gothic" w:eastAsia="Calibri" w:hAnsi="Century Gothic" w:cs="Arial"/>
          <w:sz w:val="20"/>
          <w:szCs w:val="20"/>
          <w:lang w:val="es-ES_tradnl"/>
        </w:rPr>
        <w:lastRenderedPageBreak/>
        <w:t>numeral dice que en dicho evento la regla de desempate se aplica a favor del “[…] oferente que acredite la vinculación en mayor proporción de personas mayores que no sean beneficiarios de la pensión de vejez, familiar o de sobrevivencia y que hayan cumplido el requisito de edad de pensión establecido en la Ley”.</w:t>
      </w:r>
    </w:p>
    <w:p w14:paraId="27517B81" w14:textId="77777777" w:rsidR="00B22E10" w:rsidRPr="00431154" w:rsidRDefault="00B22E10" w:rsidP="00B22E10">
      <w:pPr>
        <w:spacing w:after="0" w:line="240" w:lineRule="auto"/>
        <w:jc w:val="both"/>
        <w:rPr>
          <w:rFonts w:ascii="Century Gothic" w:eastAsia="Calibri" w:hAnsi="Century Gothic" w:cs="Arial"/>
          <w:sz w:val="20"/>
          <w:szCs w:val="20"/>
          <w:lang w:val="es-ES_tradnl"/>
        </w:rPr>
      </w:pPr>
    </w:p>
    <w:p w14:paraId="7BFBBC35" w14:textId="77777777" w:rsidR="00B22E10" w:rsidRPr="00C96FA1" w:rsidRDefault="00B22E10" w:rsidP="00B22E10">
      <w:pPr>
        <w:spacing w:after="0" w:line="240" w:lineRule="auto"/>
        <w:jc w:val="both"/>
        <w:rPr>
          <w:rFonts w:ascii="Century Gothic" w:eastAsia="Calibri" w:hAnsi="Century Gothic" w:cs="Arial"/>
          <w:sz w:val="20"/>
          <w:szCs w:val="20"/>
          <w:lang w:val="es-ES_tradnl"/>
        </w:rPr>
      </w:pPr>
      <w:r w:rsidRPr="00431154">
        <w:rPr>
          <w:rFonts w:ascii="Century Gothic" w:eastAsia="Calibri" w:hAnsi="Century Gothic" w:cs="Arial"/>
          <w:sz w:val="20"/>
          <w:szCs w:val="20"/>
          <w:lang w:val="es-ES_tradnl"/>
        </w:rPr>
        <w:t>Del numeral 4 del artículo 2.2.1.2.4.2.17 del Decreto 1082 de 2015 tampoco se refiere a los prepensionados como sujetos del criterio de desempate. De conformidad con lo anterior, la reglamentación actual, expresamente, señala que se preferirá la propuesta del oferente que acredite la vinculación en mayor proporción de personas mayores que no sean beneficiarias de la pensión de vejez, familiar o de sobrevivencia y que hayan cumplido el requisito de edad de pensión establecido en la ley, para lo cual deberán presentar los siguientes documentos: i) un certificado mediante el cual, el representante legal de la persona jurídica o el revisor fiscal, acredite bajo gravedad de juramento las personas vinculadas a la nómina y el número de trabajadores que no son beneficiarios de la pensión de vejez, familiar o de sobrevivencia, ii) un certificado mediante el cual, cada uno de los trabajadores sujetos a la condición prevista en el numeral, acredite bajo gravedad de juramento que no es beneficiario de pensión de vejez, familiar o sobrevivencia, y que cumple la edad de pensión; y iii) además, el documento de identificación del trabajador que lo firma.</w:t>
      </w:r>
      <w:r w:rsidRPr="00C96FA1">
        <w:rPr>
          <w:rFonts w:ascii="Century Gothic" w:eastAsia="Calibri" w:hAnsi="Century Gothic" w:cs="Arial"/>
          <w:sz w:val="20"/>
          <w:szCs w:val="20"/>
          <w:lang w:val="es-ES_tradnl"/>
        </w:rPr>
        <w:t xml:space="preserve">  </w:t>
      </w:r>
    </w:p>
    <w:p w14:paraId="574E9308" w14:textId="77777777" w:rsidR="00B22E10" w:rsidRPr="00B22E10" w:rsidRDefault="00B22E10" w:rsidP="003F15AD">
      <w:pPr>
        <w:spacing w:after="0"/>
        <w:rPr>
          <w:rFonts w:ascii="Century Gothic" w:eastAsia="Geomanist Light" w:hAnsi="Century Gothic" w:cs="Arial"/>
          <w:color w:val="201F1E"/>
          <w:lang w:val="es-ES_tradnl"/>
        </w:rPr>
      </w:pPr>
    </w:p>
    <w:p w14:paraId="44CACF73" w14:textId="77777777" w:rsidR="00B22E10" w:rsidRDefault="00B22E10" w:rsidP="003F15AD">
      <w:pPr>
        <w:spacing w:after="0"/>
        <w:rPr>
          <w:rFonts w:ascii="Century Gothic" w:eastAsia="Geomanist Light" w:hAnsi="Century Gothic" w:cs="Arial"/>
          <w:color w:val="201F1E"/>
          <w:lang w:val="es-MX"/>
        </w:rPr>
      </w:pPr>
    </w:p>
    <w:p w14:paraId="1CBB1600" w14:textId="77777777" w:rsidR="00B22E10" w:rsidRDefault="00B22E10" w:rsidP="003F15AD">
      <w:pPr>
        <w:spacing w:after="0"/>
        <w:rPr>
          <w:rFonts w:ascii="Century Gothic" w:eastAsia="Geomanist Light" w:hAnsi="Century Gothic" w:cs="Arial"/>
          <w:color w:val="201F1E"/>
          <w:lang w:val="es-MX"/>
        </w:rPr>
      </w:pPr>
    </w:p>
    <w:p w14:paraId="0C739E76" w14:textId="77777777" w:rsidR="00B22E10" w:rsidRDefault="00B22E10" w:rsidP="003F15AD">
      <w:pPr>
        <w:spacing w:after="0"/>
        <w:rPr>
          <w:rFonts w:ascii="Century Gothic" w:eastAsia="Geomanist Light" w:hAnsi="Century Gothic" w:cs="Arial"/>
          <w:color w:val="201F1E"/>
          <w:lang w:val="es-MX"/>
        </w:rPr>
      </w:pPr>
    </w:p>
    <w:p w14:paraId="7F69C39E" w14:textId="77777777" w:rsidR="00B22E10" w:rsidRDefault="00B22E10" w:rsidP="003F15AD">
      <w:pPr>
        <w:spacing w:after="0"/>
        <w:rPr>
          <w:rFonts w:ascii="Century Gothic" w:eastAsia="Geomanist Light" w:hAnsi="Century Gothic" w:cs="Arial"/>
          <w:color w:val="201F1E"/>
          <w:lang w:val="es-MX"/>
        </w:rPr>
      </w:pPr>
    </w:p>
    <w:p w14:paraId="01BC0103" w14:textId="77777777" w:rsidR="00B22E10" w:rsidRDefault="00B22E10" w:rsidP="003F15AD">
      <w:pPr>
        <w:spacing w:after="0"/>
        <w:rPr>
          <w:rFonts w:ascii="Century Gothic" w:eastAsia="Geomanist Light" w:hAnsi="Century Gothic" w:cs="Arial"/>
          <w:color w:val="201F1E"/>
          <w:lang w:val="es-MX"/>
        </w:rPr>
      </w:pPr>
    </w:p>
    <w:p w14:paraId="49E74EDC" w14:textId="77777777" w:rsidR="00B22E10" w:rsidRDefault="00B22E10" w:rsidP="003F15AD">
      <w:pPr>
        <w:spacing w:after="0"/>
        <w:rPr>
          <w:rFonts w:ascii="Century Gothic" w:eastAsia="Geomanist Light" w:hAnsi="Century Gothic" w:cs="Arial"/>
          <w:color w:val="201F1E"/>
          <w:lang w:val="es-MX"/>
        </w:rPr>
      </w:pPr>
    </w:p>
    <w:p w14:paraId="45E1ABAF" w14:textId="77777777" w:rsidR="00B22E10" w:rsidRDefault="00B22E10" w:rsidP="003F15AD">
      <w:pPr>
        <w:spacing w:after="0"/>
        <w:rPr>
          <w:rFonts w:ascii="Century Gothic" w:eastAsia="Geomanist Light" w:hAnsi="Century Gothic" w:cs="Arial"/>
          <w:color w:val="201F1E"/>
          <w:lang w:val="es-MX"/>
        </w:rPr>
      </w:pPr>
    </w:p>
    <w:p w14:paraId="528C29D1" w14:textId="77777777" w:rsidR="00B22E10" w:rsidRDefault="00B22E10" w:rsidP="003F15AD">
      <w:pPr>
        <w:spacing w:after="0"/>
        <w:rPr>
          <w:rFonts w:ascii="Century Gothic" w:eastAsia="Geomanist Light" w:hAnsi="Century Gothic" w:cs="Arial"/>
          <w:color w:val="201F1E"/>
          <w:lang w:val="es-MX"/>
        </w:rPr>
      </w:pPr>
    </w:p>
    <w:p w14:paraId="6DAED56B" w14:textId="77777777" w:rsidR="00B22E10" w:rsidRDefault="00B22E10" w:rsidP="003F15AD">
      <w:pPr>
        <w:spacing w:after="0"/>
        <w:rPr>
          <w:rFonts w:ascii="Century Gothic" w:eastAsia="Geomanist Light" w:hAnsi="Century Gothic" w:cs="Arial"/>
          <w:color w:val="201F1E"/>
          <w:lang w:val="es-MX"/>
        </w:rPr>
      </w:pPr>
    </w:p>
    <w:p w14:paraId="5FDCF3A2" w14:textId="77777777" w:rsidR="00B22E10" w:rsidRDefault="00B22E10" w:rsidP="003F15AD">
      <w:pPr>
        <w:spacing w:after="0"/>
        <w:rPr>
          <w:rFonts w:ascii="Century Gothic" w:eastAsia="Geomanist Light" w:hAnsi="Century Gothic" w:cs="Arial"/>
          <w:color w:val="201F1E"/>
          <w:lang w:val="es-MX"/>
        </w:rPr>
      </w:pPr>
    </w:p>
    <w:p w14:paraId="2B1AA4EA" w14:textId="77777777" w:rsidR="00B22E10" w:rsidRDefault="00B22E10" w:rsidP="003F15AD">
      <w:pPr>
        <w:spacing w:after="0"/>
        <w:rPr>
          <w:rFonts w:ascii="Century Gothic" w:eastAsia="Geomanist Light" w:hAnsi="Century Gothic" w:cs="Arial"/>
          <w:color w:val="201F1E"/>
          <w:lang w:val="es-MX"/>
        </w:rPr>
      </w:pPr>
    </w:p>
    <w:p w14:paraId="7502D703" w14:textId="77777777" w:rsidR="00B22E10" w:rsidRDefault="00B22E10" w:rsidP="003F15AD">
      <w:pPr>
        <w:spacing w:after="0"/>
        <w:rPr>
          <w:rFonts w:ascii="Century Gothic" w:eastAsia="Geomanist Light" w:hAnsi="Century Gothic" w:cs="Arial"/>
          <w:color w:val="201F1E"/>
          <w:lang w:val="es-MX"/>
        </w:rPr>
      </w:pPr>
    </w:p>
    <w:p w14:paraId="4F110445" w14:textId="77777777" w:rsidR="00B22E10" w:rsidRDefault="00B22E10" w:rsidP="003F15AD">
      <w:pPr>
        <w:spacing w:after="0"/>
        <w:rPr>
          <w:rFonts w:ascii="Century Gothic" w:eastAsia="Geomanist Light" w:hAnsi="Century Gothic" w:cs="Arial"/>
          <w:color w:val="201F1E"/>
          <w:lang w:val="es-MX"/>
        </w:rPr>
      </w:pPr>
    </w:p>
    <w:p w14:paraId="06A42C15" w14:textId="77777777" w:rsidR="00B22E10" w:rsidRDefault="00B22E10" w:rsidP="003F15AD">
      <w:pPr>
        <w:spacing w:after="0"/>
        <w:rPr>
          <w:rFonts w:ascii="Century Gothic" w:eastAsia="Geomanist Light" w:hAnsi="Century Gothic" w:cs="Arial"/>
          <w:color w:val="201F1E"/>
          <w:lang w:val="es-MX"/>
        </w:rPr>
      </w:pPr>
    </w:p>
    <w:p w14:paraId="0A6B12F9" w14:textId="77777777" w:rsidR="00B22E10" w:rsidRDefault="00B22E10" w:rsidP="003F15AD">
      <w:pPr>
        <w:spacing w:after="0"/>
        <w:rPr>
          <w:rFonts w:ascii="Century Gothic" w:eastAsia="Geomanist Light" w:hAnsi="Century Gothic" w:cs="Arial"/>
          <w:color w:val="201F1E"/>
          <w:lang w:val="es-MX"/>
        </w:rPr>
      </w:pPr>
    </w:p>
    <w:p w14:paraId="139E5F2D" w14:textId="77777777" w:rsidR="00B22E10" w:rsidRDefault="00B22E10" w:rsidP="003F15AD">
      <w:pPr>
        <w:spacing w:after="0"/>
        <w:rPr>
          <w:rFonts w:ascii="Century Gothic" w:eastAsia="Geomanist Light" w:hAnsi="Century Gothic" w:cs="Arial"/>
          <w:color w:val="201F1E"/>
          <w:lang w:val="es-MX"/>
        </w:rPr>
      </w:pPr>
    </w:p>
    <w:p w14:paraId="0B2755AD" w14:textId="77777777" w:rsidR="00B22E10" w:rsidRDefault="00B22E10" w:rsidP="003F15AD">
      <w:pPr>
        <w:spacing w:after="0"/>
        <w:rPr>
          <w:rFonts w:ascii="Century Gothic" w:eastAsia="Geomanist Light" w:hAnsi="Century Gothic" w:cs="Arial"/>
          <w:color w:val="201F1E"/>
          <w:lang w:val="es-MX"/>
        </w:rPr>
      </w:pPr>
    </w:p>
    <w:p w14:paraId="6D8F1BC6" w14:textId="77777777" w:rsidR="00B22E10" w:rsidRDefault="00B22E10" w:rsidP="003F15AD">
      <w:pPr>
        <w:spacing w:after="0"/>
        <w:rPr>
          <w:rFonts w:ascii="Century Gothic" w:eastAsia="Geomanist Light" w:hAnsi="Century Gothic" w:cs="Arial"/>
          <w:color w:val="201F1E"/>
          <w:lang w:val="es-MX"/>
        </w:rPr>
      </w:pPr>
    </w:p>
    <w:p w14:paraId="1FB3611E" w14:textId="77777777" w:rsidR="00B22E10" w:rsidRDefault="00B22E10" w:rsidP="003F15AD">
      <w:pPr>
        <w:spacing w:after="0"/>
        <w:rPr>
          <w:rFonts w:ascii="Century Gothic" w:eastAsia="Geomanist Light" w:hAnsi="Century Gothic" w:cs="Arial"/>
          <w:color w:val="201F1E"/>
          <w:lang w:val="es-MX"/>
        </w:rPr>
      </w:pPr>
    </w:p>
    <w:p w14:paraId="34003096" w14:textId="77777777" w:rsidR="00B22E10" w:rsidRDefault="00B22E10" w:rsidP="003F15AD">
      <w:pPr>
        <w:spacing w:after="0"/>
        <w:rPr>
          <w:rFonts w:ascii="Century Gothic" w:eastAsia="Geomanist Light" w:hAnsi="Century Gothic" w:cs="Arial"/>
          <w:color w:val="201F1E"/>
          <w:lang w:val="es-MX"/>
        </w:rPr>
      </w:pPr>
    </w:p>
    <w:p w14:paraId="79288EA6" w14:textId="77777777" w:rsidR="00B22E10" w:rsidRDefault="00B22E10" w:rsidP="003F15AD">
      <w:pPr>
        <w:spacing w:after="0"/>
        <w:rPr>
          <w:rFonts w:ascii="Century Gothic" w:eastAsia="Geomanist Light" w:hAnsi="Century Gothic" w:cs="Arial"/>
          <w:color w:val="201F1E"/>
          <w:lang w:val="es-MX"/>
        </w:rPr>
      </w:pPr>
    </w:p>
    <w:p w14:paraId="189FA41F" w14:textId="77777777" w:rsidR="00B22E10" w:rsidRDefault="00B22E10" w:rsidP="003F15AD">
      <w:pPr>
        <w:spacing w:after="0"/>
        <w:rPr>
          <w:rFonts w:ascii="Century Gothic" w:eastAsia="Geomanist Light" w:hAnsi="Century Gothic" w:cs="Arial"/>
          <w:color w:val="201F1E"/>
          <w:lang w:val="es-MX"/>
        </w:rPr>
      </w:pPr>
    </w:p>
    <w:p w14:paraId="194BF1BA" w14:textId="77777777" w:rsidR="00B22E10" w:rsidRDefault="00B22E10" w:rsidP="003F15AD">
      <w:pPr>
        <w:spacing w:after="0"/>
        <w:rPr>
          <w:rFonts w:ascii="Century Gothic" w:eastAsia="Geomanist Light" w:hAnsi="Century Gothic" w:cs="Arial"/>
          <w:color w:val="201F1E"/>
          <w:lang w:val="es-MX"/>
        </w:rPr>
      </w:pPr>
    </w:p>
    <w:p w14:paraId="2F3D296D" w14:textId="781D5B7E" w:rsidR="003F15AD" w:rsidRDefault="003F15AD" w:rsidP="003F15AD">
      <w:pPr>
        <w:spacing w:after="0"/>
        <w:rPr>
          <w:rFonts w:ascii="Century Gothic" w:eastAsia="Geomanist Light" w:hAnsi="Century Gothic" w:cs="Arial"/>
          <w:color w:val="201F1E"/>
          <w:lang w:val="es-MX"/>
        </w:rPr>
      </w:pPr>
      <w:r w:rsidRPr="00035110">
        <w:rPr>
          <w:rFonts w:ascii="Century Gothic" w:eastAsia="Geomanist Light" w:hAnsi="Century Gothic" w:cs="Arial"/>
          <w:color w:val="201F1E"/>
          <w:lang w:val="es-MX"/>
        </w:rPr>
        <w:lastRenderedPageBreak/>
        <w:t xml:space="preserve">Bogotá D.C., </w:t>
      </w:r>
      <w:r w:rsidR="00F77BFC" w:rsidRPr="00F77BFC">
        <w:rPr>
          <w:rFonts w:ascii="Century Gothic" w:eastAsia="Geomanist Light" w:hAnsi="Century Gothic" w:cs="Arial"/>
          <w:color w:val="201F1E"/>
          <w:lang w:val="es-MX"/>
        </w:rPr>
        <w:t>28 de Mayo de 2024</w:t>
      </w:r>
    </w:p>
    <w:p w14:paraId="0A4FD220" w14:textId="77777777" w:rsidR="00F77BFC" w:rsidRDefault="00F77BFC" w:rsidP="003F15AD">
      <w:pPr>
        <w:spacing w:after="0"/>
        <w:rPr>
          <w:rFonts w:ascii="Century Gothic" w:eastAsia="Geomanist Light" w:hAnsi="Century Gothic" w:cs="Arial"/>
          <w:color w:val="201F1E"/>
          <w:lang w:val="es-MX"/>
        </w:rPr>
      </w:pPr>
    </w:p>
    <w:p w14:paraId="586B0813" w14:textId="1E04FD9B" w:rsidR="003F15AD" w:rsidRPr="00035110" w:rsidRDefault="00F77BFC" w:rsidP="00F77BFC">
      <w:pPr>
        <w:spacing w:after="0"/>
        <w:jc w:val="right"/>
        <w:rPr>
          <w:rFonts w:ascii="Century Gothic" w:eastAsia="Times New Roman" w:hAnsi="Century Gothic" w:cs="Arial"/>
          <w:lang w:val="es-MX" w:eastAsia="es-ES"/>
        </w:rPr>
      </w:pPr>
      <w:r>
        <w:rPr>
          <w:noProof/>
        </w:rPr>
        <w:drawing>
          <wp:inline distT="0" distB="0" distL="0" distR="0" wp14:anchorId="4081DC7B" wp14:editId="50F424DD">
            <wp:extent cx="3253476" cy="904813"/>
            <wp:effectExtent l="0" t="0" r="4445" b="0"/>
            <wp:docPr id="11757337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733705" name=""/>
                    <pic:cNvPicPr/>
                  </pic:nvPicPr>
                  <pic:blipFill>
                    <a:blip r:embed="rId10"/>
                    <a:stretch>
                      <a:fillRect/>
                    </a:stretch>
                  </pic:blipFill>
                  <pic:spPr>
                    <a:xfrm>
                      <a:off x="0" y="0"/>
                      <a:ext cx="3253476" cy="904813"/>
                    </a:xfrm>
                    <a:prstGeom prst="rect">
                      <a:avLst/>
                    </a:prstGeom>
                  </pic:spPr>
                </pic:pic>
              </a:graphicData>
            </a:graphic>
          </wp:inline>
        </w:drawing>
      </w:r>
    </w:p>
    <w:p w14:paraId="1D2193B3" w14:textId="77777777" w:rsidR="003F15AD" w:rsidRPr="00035110" w:rsidRDefault="003F15AD" w:rsidP="003F15AD">
      <w:pPr>
        <w:spacing w:after="0"/>
        <w:contextualSpacing/>
        <w:jc w:val="both"/>
        <w:rPr>
          <w:rFonts w:ascii="Century Gothic" w:eastAsia="Calibri" w:hAnsi="Century Gothic" w:cs="Arial"/>
          <w:lang w:val="es-ES_tradnl" w:eastAsia="es-ES_tradnl"/>
        </w:rPr>
      </w:pPr>
    </w:p>
    <w:p w14:paraId="2C2C08DA" w14:textId="77777777" w:rsidR="003F15AD" w:rsidRPr="00035110" w:rsidRDefault="003F15AD" w:rsidP="003F15AD">
      <w:pPr>
        <w:contextualSpacing/>
        <w:jc w:val="both"/>
        <w:rPr>
          <w:rFonts w:ascii="Century Gothic" w:eastAsia="Calibri" w:hAnsi="Century Gothic" w:cs="Arial"/>
          <w:lang w:eastAsia="es-ES_tradnl"/>
        </w:rPr>
      </w:pPr>
      <w:r w:rsidRPr="00035110">
        <w:rPr>
          <w:rFonts w:ascii="Century Gothic" w:eastAsia="Calibri" w:hAnsi="Century Gothic" w:cs="Arial"/>
          <w:lang w:eastAsia="es-ES_tradnl"/>
        </w:rPr>
        <w:t>Señor</w:t>
      </w:r>
    </w:p>
    <w:p w14:paraId="305C7055" w14:textId="77777777" w:rsidR="003F15AD" w:rsidRPr="00035110" w:rsidRDefault="003F15AD" w:rsidP="003F15AD">
      <w:pPr>
        <w:contextualSpacing/>
        <w:jc w:val="both"/>
        <w:rPr>
          <w:rFonts w:ascii="Century Gothic" w:eastAsia="Calibri" w:hAnsi="Century Gothic" w:cs="Arial"/>
          <w:b/>
          <w:lang w:eastAsia="es-ES_tradnl"/>
        </w:rPr>
      </w:pPr>
      <w:r w:rsidRPr="00716614">
        <w:rPr>
          <w:rFonts w:ascii="Century Gothic" w:eastAsia="Calibri" w:hAnsi="Century Gothic" w:cs="Arial"/>
          <w:b/>
          <w:lang w:eastAsia="es-ES_tradnl"/>
        </w:rPr>
        <w:t xml:space="preserve">Jairo Rojas Chivata </w:t>
      </w:r>
      <w:r w:rsidRPr="00035110">
        <w:rPr>
          <w:rFonts w:ascii="Century Gothic" w:eastAsia="Calibri" w:hAnsi="Century Gothic" w:cs="Arial"/>
          <w:b/>
          <w:lang w:eastAsia="es-ES_tradnl"/>
        </w:rPr>
        <w:t xml:space="preserve"> </w:t>
      </w:r>
    </w:p>
    <w:p w14:paraId="654E3E40" w14:textId="77777777" w:rsidR="003F15AD" w:rsidRPr="00035110" w:rsidRDefault="003F15AD" w:rsidP="003F15AD">
      <w:pPr>
        <w:contextualSpacing/>
        <w:jc w:val="both"/>
        <w:rPr>
          <w:rFonts w:ascii="Century Gothic" w:eastAsia="Calibri" w:hAnsi="Century Gothic" w:cs="Arial"/>
          <w:lang w:eastAsia="es-ES_tradnl"/>
        </w:rPr>
      </w:pPr>
      <w:r w:rsidRPr="00716614">
        <w:rPr>
          <w:rFonts w:ascii="Century Gothic" w:eastAsia="Calibri" w:hAnsi="Century Gothic" w:cs="Arial"/>
          <w:lang w:eastAsia="es-ES_tradnl"/>
        </w:rPr>
        <w:t>Bogotá D.C.</w:t>
      </w:r>
      <w:r w:rsidRPr="00035110">
        <w:rPr>
          <w:rFonts w:ascii="Century Gothic" w:eastAsia="Calibri" w:hAnsi="Century Gothic" w:cs="Arial"/>
          <w:lang w:eastAsia="es-ES_tradnl"/>
        </w:rPr>
        <w:t xml:space="preserve">  </w:t>
      </w:r>
    </w:p>
    <w:p w14:paraId="05B70122" w14:textId="77777777" w:rsidR="003F15AD" w:rsidRPr="00035110" w:rsidRDefault="003F15AD" w:rsidP="003F15AD">
      <w:pPr>
        <w:contextualSpacing/>
        <w:jc w:val="both"/>
        <w:rPr>
          <w:rFonts w:ascii="Century Gothic" w:eastAsia="Calibri" w:hAnsi="Century Gothic" w:cs="Arial"/>
          <w:lang w:val="es-ES_tradnl" w:eastAsia="es-ES_tradnl"/>
        </w:rPr>
      </w:pPr>
    </w:p>
    <w:p w14:paraId="58B32DB2" w14:textId="77777777" w:rsidR="003F15AD" w:rsidRPr="00035110" w:rsidRDefault="003F15AD" w:rsidP="003F15AD">
      <w:pPr>
        <w:contextualSpacing/>
        <w:rPr>
          <w:rFonts w:ascii="Century Gothic" w:eastAsia="Calibri" w:hAnsi="Century Gothic" w:cs="Arial"/>
          <w:b/>
          <w:lang w:val="es-ES_tradnl" w:eastAsia="es-ES_tradnl"/>
        </w:rPr>
      </w:pPr>
    </w:p>
    <w:p w14:paraId="6CECF647" w14:textId="467181E0" w:rsidR="003F15AD" w:rsidRPr="00035110" w:rsidRDefault="003F15AD" w:rsidP="003F15AD">
      <w:pPr>
        <w:ind w:left="2124" w:firstLine="570"/>
        <w:contextualSpacing/>
        <w:rPr>
          <w:rFonts w:ascii="Century Gothic" w:eastAsia="Calibri" w:hAnsi="Century Gothic" w:cs="Arial"/>
          <w:b/>
          <w:lang w:val="es-ES_tradnl" w:eastAsia="es-ES_tradnl"/>
        </w:rPr>
      </w:pPr>
      <w:r w:rsidRPr="00035110">
        <w:rPr>
          <w:rFonts w:ascii="Century Gothic" w:eastAsia="Calibri" w:hAnsi="Century Gothic" w:cs="Arial"/>
          <w:b/>
          <w:lang w:val="es-ES_tradnl" w:eastAsia="es-ES_tradnl"/>
        </w:rPr>
        <w:t xml:space="preserve">Concepto C – </w:t>
      </w:r>
      <w:r w:rsidR="00046D67">
        <w:rPr>
          <w:rFonts w:ascii="Century Gothic" w:eastAsia="Calibri" w:hAnsi="Century Gothic" w:cs="Arial"/>
          <w:b/>
          <w:lang w:val="es-ES_tradnl" w:eastAsia="es-ES_tradnl"/>
        </w:rPr>
        <w:t xml:space="preserve">070 </w:t>
      </w:r>
      <w:r w:rsidRPr="00035110">
        <w:rPr>
          <w:rFonts w:ascii="Century Gothic" w:eastAsia="Calibri" w:hAnsi="Century Gothic" w:cs="Arial"/>
          <w:b/>
          <w:lang w:val="es-ES_tradnl" w:eastAsia="es-ES_tradnl"/>
        </w:rPr>
        <w:t>de 2024</w:t>
      </w:r>
    </w:p>
    <w:p w14:paraId="59B10238" w14:textId="77777777" w:rsidR="003F15AD" w:rsidRPr="00035110" w:rsidRDefault="003F15AD" w:rsidP="003F15AD">
      <w:pPr>
        <w:contextualSpacing/>
        <w:jc w:val="both"/>
        <w:rPr>
          <w:rFonts w:ascii="Century Gothic" w:eastAsia="Calibri" w:hAnsi="Century Gothic"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F15AD" w:rsidRPr="00035110" w14:paraId="53856F22" w14:textId="77777777" w:rsidTr="006D3C0A">
        <w:tc>
          <w:tcPr>
            <w:tcW w:w="2689" w:type="dxa"/>
          </w:tcPr>
          <w:p w14:paraId="76AF0511" w14:textId="77777777" w:rsidR="003F15AD" w:rsidRPr="00035110" w:rsidRDefault="003F15AD" w:rsidP="006D3C0A">
            <w:pPr>
              <w:contextualSpacing/>
              <w:jc w:val="both"/>
              <w:rPr>
                <w:rFonts w:ascii="Century Gothic" w:eastAsia="Calibri" w:hAnsi="Century Gothic" w:cs="Arial"/>
                <w:lang w:val="es-ES_tradnl" w:eastAsia="es-ES_tradnl"/>
              </w:rPr>
            </w:pPr>
            <w:r w:rsidRPr="00035110">
              <w:rPr>
                <w:rFonts w:ascii="Century Gothic" w:eastAsia="Calibri" w:hAnsi="Century Gothic" w:cs="Arial"/>
                <w:b/>
                <w:lang w:val="es-ES_tradnl" w:eastAsia="es-ES_tradnl"/>
              </w:rPr>
              <w:t>Temas:</w:t>
            </w:r>
            <w:r w:rsidRPr="00035110">
              <w:rPr>
                <w:rFonts w:ascii="Century Gothic" w:eastAsia="Calibri" w:hAnsi="Century Gothic" w:cs="Arial"/>
                <w:lang w:val="es-ES_tradnl" w:eastAsia="es-ES_tradnl"/>
              </w:rPr>
              <w:t xml:space="preserve">                                      </w:t>
            </w:r>
          </w:p>
        </w:tc>
        <w:tc>
          <w:tcPr>
            <w:tcW w:w="6237" w:type="dxa"/>
          </w:tcPr>
          <w:p w14:paraId="33625E81" w14:textId="77777777" w:rsidR="003F15AD" w:rsidRPr="00035110" w:rsidRDefault="003F15AD" w:rsidP="006D3C0A">
            <w:pPr>
              <w:spacing w:after="120"/>
              <w:contextualSpacing/>
              <w:jc w:val="both"/>
              <w:rPr>
                <w:rFonts w:ascii="Century Gothic" w:eastAsia="Calibri" w:hAnsi="Century Gothic" w:cs="Arial"/>
                <w:lang w:val="es-MX" w:eastAsia="es-ES_tradnl"/>
              </w:rPr>
            </w:pPr>
            <w:r w:rsidRPr="00D974C7">
              <w:rPr>
                <w:rFonts w:ascii="Century Gothic" w:eastAsia="Calibri" w:hAnsi="Century Gothic" w:cs="Arial"/>
                <w:lang w:val="es-MX" w:eastAsia="es-ES_tradnl"/>
              </w:rPr>
              <w:t>FACTORES DE DESEMPATE – Características – Límites</w:t>
            </w:r>
            <w:r>
              <w:rPr>
                <w:rFonts w:ascii="Century Gothic" w:eastAsia="Calibri" w:hAnsi="Century Gothic" w:cs="Arial"/>
                <w:lang w:val="es-MX" w:eastAsia="es-ES_tradnl"/>
              </w:rPr>
              <w:t xml:space="preserve"> / </w:t>
            </w:r>
            <w:r w:rsidRPr="00D974C7">
              <w:rPr>
                <w:rFonts w:ascii="Century Gothic" w:eastAsia="Calibri" w:hAnsi="Century Gothic" w:cs="Arial"/>
                <w:lang w:val="es-MX" w:eastAsia="es-ES_tradnl"/>
              </w:rPr>
              <w:t>LEY DE EMPRENDIMIENTO – Ley 2069 de 2020 – Reglamentación – Decreto 1860 de 2021 – Vigencia</w:t>
            </w:r>
            <w:r>
              <w:rPr>
                <w:rFonts w:ascii="Century Gothic" w:eastAsia="Calibri" w:hAnsi="Century Gothic" w:cs="Arial"/>
                <w:lang w:val="es-MX" w:eastAsia="es-ES_tradnl"/>
              </w:rPr>
              <w:t xml:space="preserve"> / </w:t>
            </w:r>
            <w:r w:rsidRPr="00D974C7">
              <w:rPr>
                <w:rFonts w:ascii="Century Gothic" w:eastAsia="Calibri" w:hAnsi="Century Gothic" w:cs="Arial"/>
                <w:lang w:val="es-MX" w:eastAsia="es-ES_tradnl"/>
              </w:rPr>
              <w:t xml:space="preserve">FACTORES DE DESEMPATE – Personas mayores – </w:t>
            </w:r>
            <w:r>
              <w:rPr>
                <w:rFonts w:ascii="Century Gothic" w:eastAsia="Calibri" w:hAnsi="Century Gothic" w:cs="Arial"/>
                <w:lang w:val="es-MX" w:eastAsia="es-ES_tradnl"/>
              </w:rPr>
              <w:t>Alcance – Prepensionados – Exclusión</w:t>
            </w:r>
            <w:r w:rsidRPr="00035110">
              <w:rPr>
                <w:rFonts w:ascii="Century Gothic" w:eastAsia="Calibri" w:hAnsi="Century Gothic" w:cs="Arial"/>
                <w:lang w:val="es-MX" w:eastAsia="es-ES_tradnl"/>
              </w:rPr>
              <w:t xml:space="preserve">    </w:t>
            </w:r>
          </w:p>
          <w:p w14:paraId="5FD0421E" w14:textId="77777777" w:rsidR="003F15AD" w:rsidRPr="00035110" w:rsidRDefault="003F15AD" w:rsidP="006D3C0A">
            <w:pPr>
              <w:spacing w:after="120"/>
              <w:contextualSpacing/>
              <w:jc w:val="both"/>
              <w:rPr>
                <w:rFonts w:ascii="Century Gothic" w:eastAsia="Calibri" w:hAnsi="Century Gothic" w:cs="Arial"/>
                <w:sz w:val="12"/>
                <w:szCs w:val="12"/>
                <w:lang w:val="es-ES_tradnl" w:eastAsia="es-ES_tradnl"/>
              </w:rPr>
            </w:pPr>
          </w:p>
        </w:tc>
      </w:tr>
      <w:tr w:rsidR="003F15AD" w:rsidRPr="00035110" w14:paraId="102D3E25" w14:textId="77777777" w:rsidTr="006D3C0A">
        <w:trPr>
          <w:trHeight w:val="227"/>
        </w:trPr>
        <w:tc>
          <w:tcPr>
            <w:tcW w:w="2689" w:type="dxa"/>
          </w:tcPr>
          <w:p w14:paraId="41055D51" w14:textId="77777777" w:rsidR="003F15AD" w:rsidRPr="00035110" w:rsidRDefault="003F15AD" w:rsidP="006D3C0A">
            <w:pPr>
              <w:contextualSpacing/>
              <w:jc w:val="both"/>
              <w:rPr>
                <w:rFonts w:ascii="Century Gothic" w:eastAsia="Calibri" w:hAnsi="Century Gothic" w:cs="Arial"/>
                <w:b/>
                <w:lang w:val="es-ES_tradnl" w:eastAsia="es-ES_tradnl"/>
              </w:rPr>
            </w:pPr>
            <w:r w:rsidRPr="00035110">
              <w:rPr>
                <w:rFonts w:ascii="Century Gothic" w:eastAsia="Calibri" w:hAnsi="Century Gothic" w:cs="Arial"/>
                <w:b/>
                <w:lang w:val="es-ES_tradnl" w:eastAsia="es-ES_tradnl"/>
              </w:rPr>
              <w:t>Radicación:</w:t>
            </w:r>
            <w:r w:rsidRPr="00035110">
              <w:rPr>
                <w:rFonts w:ascii="Century Gothic" w:eastAsia="Calibri" w:hAnsi="Century Gothic" w:cs="Arial"/>
                <w:lang w:val="es-ES_tradnl" w:eastAsia="es-ES_tradnl"/>
              </w:rPr>
              <w:t xml:space="preserve">                             </w:t>
            </w:r>
          </w:p>
        </w:tc>
        <w:tc>
          <w:tcPr>
            <w:tcW w:w="6237" w:type="dxa"/>
          </w:tcPr>
          <w:p w14:paraId="05D9D0D5" w14:textId="77777777" w:rsidR="003F15AD" w:rsidRPr="00035110" w:rsidRDefault="003F15AD" w:rsidP="006D3C0A">
            <w:pPr>
              <w:contextualSpacing/>
              <w:jc w:val="both"/>
              <w:rPr>
                <w:rFonts w:ascii="Century Gothic" w:eastAsia="Calibri" w:hAnsi="Century Gothic" w:cs="Arial"/>
                <w:lang w:val="es-ES_tradnl" w:eastAsia="es-ES_tradnl"/>
              </w:rPr>
            </w:pPr>
            <w:r w:rsidRPr="00035110">
              <w:rPr>
                <w:rFonts w:ascii="Century Gothic" w:eastAsia="Calibri" w:hAnsi="Century Gothic" w:cs="Arial"/>
                <w:lang w:val="es-ES_tradnl" w:eastAsia="es-ES_tradnl"/>
              </w:rPr>
              <w:t xml:space="preserve">Respuesta a la consulta </w:t>
            </w:r>
            <w:r w:rsidRPr="00716614">
              <w:rPr>
                <w:rFonts w:ascii="Century Gothic" w:eastAsia="Calibri" w:hAnsi="Century Gothic" w:cs="Arial"/>
                <w:lang w:val="es-ES_tradnl" w:eastAsia="es-ES_tradnl"/>
              </w:rPr>
              <w:t>P20240412003826</w:t>
            </w:r>
          </w:p>
        </w:tc>
      </w:tr>
    </w:tbl>
    <w:p w14:paraId="32B5BED9" w14:textId="77777777" w:rsidR="003F15AD" w:rsidRPr="00035110" w:rsidRDefault="003F15AD" w:rsidP="003F15AD">
      <w:pPr>
        <w:contextualSpacing/>
        <w:jc w:val="both"/>
        <w:rPr>
          <w:rFonts w:ascii="Century Gothic" w:eastAsia="Calibri" w:hAnsi="Century Gothic" w:cs="Arial"/>
          <w:lang w:val="es-ES_tradnl" w:eastAsia="es-ES_tradnl"/>
        </w:rPr>
      </w:pPr>
    </w:p>
    <w:p w14:paraId="01676786" w14:textId="77777777" w:rsidR="003F15AD" w:rsidRPr="00035110" w:rsidRDefault="003F15AD" w:rsidP="003F15AD">
      <w:pPr>
        <w:contextualSpacing/>
        <w:jc w:val="both"/>
        <w:rPr>
          <w:rFonts w:ascii="Century Gothic" w:eastAsia="Calibri" w:hAnsi="Century Gothic" w:cs="Arial"/>
          <w:lang w:val="es-ES_tradnl" w:eastAsia="es-ES_tradnl"/>
        </w:rPr>
      </w:pPr>
    </w:p>
    <w:p w14:paraId="76FB273D" w14:textId="77777777" w:rsidR="003F15AD" w:rsidRPr="00035110" w:rsidRDefault="003F15AD" w:rsidP="003F15AD">
      <w:pPr>
        <w:contextualSpacing/>
        <w:jc w:val="both"/>
        <w:rPr>
          <w:rFonts w:ascii="Century Gothic" w:eastAsia="Calibri" w:hAnsi="Century Gothic" w:cs="Arial"/>
          <w:lang w:val="es-ES" w:eastAsia="es-ES"/>
        </w:rPr>
      </w:pPr>
      <w:r w:rsidRPr="00035110">
        <w:rPr>
          <w:rFonts w:ascii="Century Gothic" w:eastAsia="Calibri" w:hAnsi="Century Gothic" w:cs="Arial"/>
          <w:lang w:val="es-ES" w:eastAsia="es-ES"/>
        </w:rPr>
        <w:t xml:space="preserve">Respetado señor </w:t>
      </w:r>
      <w:r>
        <w:rPr>
          <w:rFonts w:ascii="Century Gothic" w:eastAsia="Times New Roman" w:hAnsi="Century Gothic" w:cs="Arial"/>
          <w:lang w:eastAsia="es-ES"/>
        </w:rPr>
        <w:t>Rojas</w:t>
      </w:r>
      <w:r w:rsidRPr="00035110">
        <w:rPr>
          <w:rFonts w:ascii="Century Gothic" w:eastAsia="Calibri" w:hAnsi="Century Gothic" w:cs="Arial"/>
          <w:lang w:val="es-ES" w:eastAsia="es-ES"/>
        </w:rPr>
        <w:t xml:space="preserve">: </w:t>
      </w:r>
    </w:p>
    <w:p w14:paraId="1C1D4BC5" w14:textId="77777777" w:rsidR="003F15AD" w:rsidRPr="00035110" w:rsidRDefault="003F15AD" w:rsidP="003F15AD">
      <w:pPr>
        <w:spacing w:line="276" w:lineRule="auto"/>
        <w:contextualSpacing/>
        <w:jc w:val="both"/>
        <w:rPr>
          <w:rFonts w:ascii="Century Gothic" w:eastAsia="Calibri" w:hAnsi="Century Gothic" w:cs="Arial"/>
          <w:szCs w:val="24"/>
          <w:lang w:val="es-ES_tradnl" w:eastAsia="es-ES_tradnl"/>
        </w:rPr>
      </w:pPr>
    </w:p>
    <w:bookmarkEnd w:id="0"/>
    <w:bookmarkEnd w:id="1"/>
    <w:p w14:paraId="2AF08648" w14:textId="77777777" w:rsidR="003F15AD" w:rsidRPr="00035110" w:rsidRDefault="003F15AD" w:rsidP="003F15AD">
      <w:pPr>
        <w:spacing w:after="0" w:line="276" w:lineRule="auto"/>
        <w:jc w:val="both"/>
        <w:rPr>
          <w:rFonts w:ascii="Century Gothic" w:eastAsia="Calibri" w:hAnsi="Century Gothic" w:cs="Arial"/>
          <w:color w:val="000000" w:themeColor="text1"/>
          <w:lang w:val="es-ES_tradnl"/>
        </w:rPr>
      </w:pPr>
      <w:r w:rsidRPr="00035110">
        <w:rPr>
          <w:rFonts w:ascii="Century Gothic" w:eastAsia="Calibri" w:hAnsi="Century Gothic" w:cs="Arial"/>
          <w:color w:val="000000" w:themeColor="text1"/>
          <w:lang w:val="es-ES_tradnl"/>
        </w:rPr>
        <w:t>En ejercicio de la competencia otorgada por el numeral 8 del artículo 11 y el numeral 5 del artículo 3 del Decreto Ley 4170 de 2011</w:t>
      </w:r>
      <w:bookmarkStart w:id="3" w:name="_Hlk99120496"/>
      <w:r w:rsidRPr="00035110">
        <w:rPr>
          <w:rFonts w:ascii="Century Gothic" w:eastAsia="Arial MT" w:hAnsi="Century Gothic" w:cs="Arial"/>
          <w:lang w:val="es-ES"/>
        </w:rPr>
        <w:t xml:space="preserve">, </w:t>
      </w:r>
      <w:bookmarkEnd w:id="3"/>
      <w:r w:rsidRPr="00035110">
        <w:rPr>
          <w:rFonts w:ascii="Century Gothic" w:eastAsia="Calibri" w:hAnsi="Century Gothic" w:cs="Arial"/>
          <w:color w:val="000000" w:themeColor="text1"/>
          <w:lang w:val="es-ES_tradnl"/>
        </w:rPr>
        <w:t xml:space="preserve">la Agencia Nacional de Contratación Pública – Colombia Compra Eficiente responde la petición radicada el </w:t>
      </w:r>
      <w:r>
        <w:rPr>
          <w:rFonts w:ascii="Century Gothic" w:eastAsia="Calibri" w:hAnsi="Century Gothic" w:cs="Arial"/>
          <w:color w:val="000000" w:themeColor="text1"/>
          <w:lang w:val="es-ES_tradnl"/>
        </w:rPr>
        <w:t>12</w:t>
      </w:r>
      <w:r w:rsidRPr="00035110">
        <w:rPr>
          <w:rFonts w:ascii="Century Gothic" w:eastAsia="Calibri" w:hAnsi="Century Gothic" w:cs="Arial"/>
          <w:color w:val="000000" w:themeColor="text1"/>
          <w:lang w:val="es-ES_tradnl"/>
        </w:rPr>
        <w:t xml:space="preserve"> de </w:t>
      </w:r>
      <w:r>
        <w:rPr>
          <w:rFonts w:ascii="Century Gothic" w:eastAsia="Calibri" w:hAnsi="Century Gothic" w:cs="Arial"/>
          <w:color w:val="000000" w:themeColor="text1"/>
          <w:lang w:val="es-ES_tradnl"/>
        </w:rPr>
        <w:t>abril</w:t>
      </w:r>
      <w:r w:rsidRPr="00035110">
        <w:rPr>
          <w:rFonts w:ascii="Century Gothic" w:eastAsia="Calibri" w:hAnsi="Century Gothic" w:cs="Arial"/>
          <w:color w:val="000000" w:themeColor="text1"/>
          <w:lang w:val="es-ES_tradnl"/>
        </w:rPr>
        <w:t xml:space="preserve"> de 2024.</w:t>
      </w:r>
    </w:p>
    <w:p w14:paraId="685C3718" w14:textId="77777777" w:rsidR="003F15AD" w:rsidRPr="00035110" w:rsidRDefault="003F15AD" w:rsidP="003F15AD">
      <w:pPr>
        <w:spacing w:after="0" w:line="276" w:lineRule="auto"/>
        <w:jc w:val="both"/>
        <w:rPr>
          <w:rFonts w:ascii="Century Gothic" w:eastAsia="Calibri" w:hAnsi="Century Gothic" w:cs="Arial"/>
          <w:b/>
          <w:color w:val="000000" w:themeColor="text1"/>
          <w:lang w:val="es-ES_tradnl"/>
        </w:rPr>
      </w:pPr>
    </w:p>
    <w:p w14:paraId="34BA83BD" w14:textId="77777777" w:rsidR="003F15AD" w:rsidRPr="00035110" w:rsidRDefault="003F15AD" w:rsidP="003F15AD">
      <w:pPr>
        <w:pStyle w:val="Prrafodelista"/>
        <w:numPr>
          <w:ilvl w:val="0"/>
          <w:numId w:val="6"/>
        </w:numPr>
        <w:tabs>
          <w:tab w:val="left" w:pos="0"/>
          <w:tab w:val="left" w:pos="142"/>
          <w:tab w:val="left" w:pos="284"/>
        </w:tabs>
        <w:spacing w:after="0" w:line="276" w:lineRule="auto"/>
        <w:ind w:left="0" w:firstLine="0"/>
        <w:jc w:val="both"/>
        <w:rPr>
          <w:rFonts w:ascii="Century Gothic" w:eastAsia="Calibri" w:hAnsi="Century Gothic" w:cs="Arial"/>
          <w:b/>
          <w:color w:val="000000" w:themeColor="text1"/>
          <w:lang w:val="es-ES_tradnl"/>
        </w:rPr>
      </w:pPr>
      <w:r w:rsidRPr="00035110">
        <w:rPr>
          <w:rFonts w:ascii="Century Gothic" w:eastAsia="Calibri" w:hAnsi="Century Gothic" w:cs="Arial"/>
          <w:b/>
          <w:color w:val="000000" w:themeColor="text1"/>
          <w:lang w:val="es-ES_tradnl"/>
        </w:rPr>
        <w:t xml:space="preserve">Problema planteado </w:t>
      </w:r>
    </w:p>
    <w:p w14:paraId="725CB256" w14:textId="77777777" w:rsidR="003F15AD" w:rsidRPr="00035110" w:rsidRDefault="003F15AD" w:rsidP="003F15AD">
      <w:pPr>
        <w:tabs>
          <w:tab w:val="left" w:pos="426"/>
        </w:tabs>
        <w:spacing w:after="0" w:line="276" w:lineRule="auto"/>
        <w:jc w:val="both"/>
        <w:rPr>
          <w:rFonts w:ascii="Century Gothic" w:eastAsia="Calibri" w:hAnsi="Century Gothic" w:cs="Arial"/>
          <w:b/>
          <w:color w:val="000000" w:themeColor="text1"/>
          <w:lang w:val="es-ES_tradnl"/>
        </w:rPr>
      </w:pPr>
    </w:p>
    <w:p w14:paraId="693294C9" w14:textId="77777777" w:rsidR="003F15AD" w:rsidRPr="00035110" w:rsidRDefault="003F15AD" w:rsidP="003F15AD">
      <w:pPr>
        <w:spacing w:after="0" w:line="276" w:lineRule="auto"/>
        <w:jc w:val="both"/>
        <w:rPr>
          <w:rFonts w:ascii="Century Gothic" w:hAnsi="Century Gothic" w:cs="Arial"/>
          <w:color w:val="000000" w:themeColor="text1"/>
          <w:lang w:val="es-ES_tradnl"/>
        </w:rPr>
      </w:pPr>
      <w:bookmarkStart w:id="4" w:name="_Hlk132728388"/>
      <w:bookmarkStart w:id="5" w:name="_Hlk142917142"/>
      <w:r w:rsidRPr="00035110">
        <w:rPr>
          <w:rFonts w:ascii="Century Gothic" w:hAnsi="Century Gothic" w:cs="Arial"/>
          <w:color w:val="000000" w:themeColor="text1"/>
          <w:lang w:val="es-ES_tradnl"/>
        </w:rPr>
        <w:t>Usted realiza la siguiente pregunta:</w:t>
      </w:r>
      <w:r>
        <w:rPr>
          <w:rFonts w:ascii="Century Gothic" w:hAnsi="Century Gothic" w:cs="Arial"/>
          <w:color w:val="000000" w:themeColor="text1"/>
          <w:lang w:val="es-ES_tradnl"/>
        </w:rPr>
        <w:t xml:space="preserve"> </w:t>
      </w:r>
      <w:bookmarkStart w:id="6" w:name="_Hlk164173853"/>
      <w:r>
        <w:rPr>
          <w:rFonts w:ascii="Century Gothic" w:hAnsi="Century Gothic" w:cs="Arial"/>
          <w:color w:val="000000" w:themeColor="text1"/>
          <w:lang w:val="es-ES_tradnl"/>
        </w:rPr>
        <w:t>“</w:t>
      </w:r>
      <w:r w:rsidRPr="00716614">
        <w:rPr>
          <w:rFonts w:ascii="Century Gothic" w:hAnsi="Century Gothic" w:cs="Arial"/>
          <w:color w:val="000000" w:themeColor="text1"/>
          <w:lang w:val="es-ES_tradnl"/>
        </w:rPr>
        <w:t xml:space="preserve">¿La expresión </w:t>
      </w:r>
      <w:r>
        <w:rPr>
          <w:rFonts w:ascii="Century Gothic" w:hAnsi="Century Gothic" w:cs="Arial"/>
          <w:color w:val="000000" w:themeColor="text1"/>
          <w:lang w:val="es-ES_tradnl"/>
        </w:rPr>
        <w:t>‘</w:t>
      </w:r>
      <w:r w:rsidRPr="00716614">
        <w:rPr>
          <w:rFonts w:ascii="Century Gothic" w:hAnsi="Century Gothic" w:cs="Arial"/>
          <w:color w:val="000000" w:themeColor="text1"/>
          <w:lang w:val="es-ES_tradnl"/>
        </w:rPr>
        <w:t>personas mayores</w:t>
      </w:r>
      <w:r>
        <w:rPr>
          <w:rFonts w:ascii="Century Gothic" w:hAnsi="Century Gothic" w:cs="Arial"/>
          <w:color w:val="000000" w:themeColor="text1"/>
          <w:lang w:val="es-ES_tradnl"/>
        </w:rPr>
        <w:t>’</w:t>
      </w:r>
      <w:r w:rsidRPr="00716614">
        <w:rPr>
          <w:rFonts w:ascii="Century Gothic" w:hAnsi="Century Gothic" w:cs="Arial"/>
          <w:color w:val="000000" w:themeColor="text1"/>
          <w:lang w:val="es-ES_tradnl"/>
        </w:rPr>
        <w:t xml:space="preserve"> dispuesta en el factor de desempate del artículo 35.</w:t>
      </w:r>
      <w:r>
        <w:rPr>
          <w:rFonts w:ascii="Century Gothic" w:hAnsi="Century Gothic" w:cs="Arial"/>
          <w:color w:val="000000" w:themeColor="text1"/>
          <w:lang w:val="es-ES_tradnl"/>
        </w:rPr>
        <w:t>4</w:t>
      </w:r>
      <w:r w:rsidRPr="00716614">
        <w:rPr>
          <w:rFonts w:ascii="Century Gothic" w:hAnsi="Century Gothic" w:cs="Arial"/>
          <w:color w:val="000000" w:themeColor="text1"/>
          <w:lang w:val="es-ES_tradnl"/>
        </w:rPr>
        <w:t xml:space="preserve"> de la ley 2069 de 2020 incluye</w:t>
      </w:r>
      <w:r>
        <w:rPr>
          <w:rFonts w:ascii="Century Gothic" w:hAnsi="Century Gothic" w:cs="Arial"/>
          <w:color w:val="000000" w:themeColor="text1"/>
          <w:lang w:val="es-ES_tradnl"/>
        </w:rPr>
        <w:t xml:space="preserve"> </w:t>
      </w:r>
      <w:r w:rsidRPr="00716614">
        <w:rPr>
          <w:rFonts w:ascii="Century Gothic" w:hAnsi="Century Gothic" w:cs="Arial"/>
          <w:color w:val="000000" w:themeColor="text1"/>
          <w:lang w:val="es-ES_tradnl"/>
        </w:rPr>
        <w:t xml:space="preserve">tanto la definición que señala el artículo 3 de la Ley 1251 de 2008, es decir, como </w:t>
      </w:r>
      <w:r>
        <w:rPr>
          <w:rFonts w:ascii="Century Gothic" w:hAnsi="Century Gothic" w:cs="Arial"/>
          <w:color w:val="000000" w:themeColor="text1"/>
          <w:lang w:val="es-ES_tradnl"/>
        </w:rPr>
        <w:t>‘</w:t>
      </w:r>
      <w:r w:rsidRPr="00716614">
        <w:rPr>
          <w:rFonts w:ascii="Century Gothic" w:hAnsi="Century Gothic" w:cs="Arial"/>
          <w:color w:val="000000" w:themeColor="text1"/>
          <w:lang w:val="es-ES_tradnl"/>
        </w:rPr>
        <w:t>(…) aquella persona que cuenta con</w:t>
      </w:r>
      <w:r>
        <w:rPr>
          <w:rFonts w:ascii="Century Gothic" w:hAnsi="Century Gothic" w:cs="Arial"/>
          <w:color w:val="000000" w:themeColor="text1"/>
          <w:lang w:val="es-ES_tradnl"/>
        </w:rPr>
        <w:t xml:space="preserve"> </w:t>
      </w:r>
      <w:r w:rsidRPr="00716614">
        <w:rPr>
          <w:rFonts w:ascii="Century Gothic" w:hAnsi="Century Gothic" w:cs="Arial"/>
          <w:color w:val="000000" w:themeColor="text1"/>
          <w:lang w:val="es-ES_tradnl"/>
        </w:rPr>
        <w:t>sesenta (60) años o más, como a las personas que en el rango de edad correspondiente a cada género no han alcanzado</w:t>
      </w:r>
      <w:r>
        <w:rPr>
          <w:rFonts w:ascii="Century Gothic" w:hAnsi="Century Gothic" w:cs="Arial"/>
          <w:color w:val="000000" w:themeColor="text1"/>
          <w:lang w:val="es-ES_tradnl"/>
        </w:rPr>
        <w:t xml:space="preserve"> </w:t>
      </w:r>
      <w:r w:rsidRPr="00716614">
        <w:rPr>
          <w:rFonts w:ascii="Century Gothic" w:hAnsi="Century Gothic" w:cs="Arial"/>
          <w:color w:val="000000" w:themeColor="text1"/>
          <w:lang w:val="es-ES_tradnl"/>
        </w:rPr>
        <w:t>la pensión (artículos 33 y 36 de Ley 100 de 1993) y/o quienes gocen de calidad de prepensionados</w:t>
      </w:r>
      <w:r>
        <w:rPr>
          <w:rFonts w:ascii="Century Gothic" w:hAnsi="Century Gothic" w:cs="Arial"/>
          <w:color w:val="000000" w:themeColor="text1"/>
          <w:lang w:val="es-ES_tradnl"/>
        </w:rPr>
        <w:t xml:space="preserve"> […]</w:t>
      </w:r>
      <w:r w:rsidRPr="00716614">
        <w:rPr>
          <w:rFonts w:ascii="Century Gothic" w:hAnsi="Century Gothic" w:cs="Arial"/>
          <w:color w:val="000000" w:themeColor="text1"/>
          <w:lang w:val="es-ES_tradnl"/>
        </w:rPr>
        <w:t>?</w:t>
      </w:r>
      <w:r>
        <w:rPr>
          <w:rFonts w:ascii="Century Gothic" w:hAnsi="Century Gothic" w:cs="Arial"/>
          <w:color w:val="000000" w:themeColor="text1"/>
          <w:lang w:val="es-ES_tradnl"/>
        </w:rPr>
        <w:t>”</w:t>
      </w:r>
      <w:bookmarkEnd w:id="6"/>
      <w:r>
        <w:rPr>
          <w:rFonts w:ascii="Century Gothic" w:hAnsi="Century Gothic" w:cs="Arial"/>
          <w:color w:val="000000" w:themeColor="text1"/>
          <w:lang w:val="es-ES_tradnl"/>
        </w:rPr>
        <w:t>.</w:t>
      </w:r>
    </w:p>
    <w:p w14:paraId="5482D37C" w14:textId="77777777" w:rsidR="003F15AD" w:rsidRPr="00C96FA1" w:rsidRDefault="003F15AD" w:rsidP="003F15AD">
      <w:pPr>
        <w:spacing w:after="0" w:line="276" w:lineRule="auto"/>
        <w:jc w:val="both"/>
        <w:rPr>
          <w:rFonts w:ascii="Century Gothic" w:hAnsi="Century Gothic" w:cs="Arial"/>
          <w:color w:val="000000" w:themeColor="text1"/>
          <w:lang w:val="es-ES_tradnl"/>
        </w:rPr>
      </w:pPr>
    </w:p>
    <w:bookmarkEnd w:id="4"/>
    <w:bookmarkEnd w:id="5"/>
    <w:p w14:paraId="39F82E8A" w14:textId="77777777" w:rsidR="003F15AD" w:rsidRPr="00C96FA1" w:rsidRDefault="003F15AD" w:rsidP="003F15AD">
      <w:pPr>
        <w:pStyle w:val="Prrafodelista"/>
        <w:numPr>
          <w:ilvl w:val="0"/>
          <w:numId w:val="6"/>
        </w:numPr>
        <w:tabs>
          <w:tab w:val="left" w:pos="0"/>
          <w:tab w:val="left" w:pos="284"/>
        </w:tabs>
        <w:spacing w:after="0" w:line="240" w:lineRule="auto"/>
        <w:ind w:left="0" w:firstLine="0"/>
        <w:jc w:val="both"/>
        <w:rPr>
          <w:rFonts w:ascii="Century Gothic" w:eastAsia="Calibri" w:hAnsi="Century Gothic" w:cs="Arial"/>
          <w:b/>
          <w:color w:val="000000" w:themeColor="text1"/>
          <w:lang w:val="es-ES_tradnl"/>
        </w:rPr>
      </w:pPr>
      <w:r w:rsidRPr="00C96FA1">
        <w:rPr>
          <w:rFonts w:ascii="Century Gothic" w:eastAsia="Calibri" w:hAnsi="Century Gothic" w:cs="Arial"/>
          <w:b/>
          <w:color w:val="000000" w:themeColor="text1"/>
          <w:lang w:val="es-ES_tradnl"/>
        </w:rPr>
        <w:t>Consideraciones</w:t>
      </w:r>
    </w:p>
    <w:p w14:paraId="011E2C98" w14:textId="77777777" w:rsidR="003F15AD" w:rsidRPr="00C96FA1" w:rsidRDefault="003F15AD" w:rsidP="003F15AD">
      <w:pPr>
        <w:spacing w:after="0" w:line="276" w:lineRule="auto"/>
        <w:jc w:val="both"/>
        <w:rPr>
          <w:rFonts w:ascii="Century Gothic" w:eastAsia="Calibri" w:hAnsi="Century Gothic" w:cs="Arial"/>
          <w:color w:val="000000" w:themeColor="text1"/>
          <w:lang w:val="es-ES"/>
        </w:rPr>
      </w:pPr>
    </w:p>
    <w:p w14:paraId="7DA16921" w14:textId="77777777" w:rsidR="003F15AD" w:rsidRPr="00C96FA1" w:rsidRDefault="003F15AD" w:rsidP="003F15AD">
      <w:pPr>
        <w:spacing w:after="120" w:line="276" w:lineRule="auto"/>
        <w:jc w:val="both"/>
        <w:rPr>
          <w:rFonts w:ascii="Century Gothic" w:eastAsia="Calibri" w:hAnsi="Century Gothic" w:cs="Arial"/>
          <w:lang w:val="es-ES_tradnl"/>
        </w:rPr>
      </w:pPr>
      <w:r w:rsidRPr="00C96FA1">
        <w:rPr>
          <w:rFonts w:ascii="Century Gothic" w:eastAsia="Calibri" w:hAnsi="Century Gothic" w:cs="Arial"/>
          <w:lang w:val="es-ES_tradnl"/>
        </w:rPr>
        <w:t>La Agencia Nacional de Contratación Pública resolverá la consulta conforme a las normas generales del sistema de compras públicas. Para estos efectos, se analizarán los siguientes temas: i) factores de desempate en la contratación estatal; ii) ámbito de aplicación, vigencia y reglamentación de la Ley 2069 de 2020; y iii) vinculación en mayor proporción de personas mayores no beneficiarias de la pensión de vejez, familiar o sobrevivencia como factor de desempate y su acreditación.</w:t>
      </w:r>
    </w:p>
    <w:p w14:paraId="344B13BF" w14:textId="77777777" w:rsidR="003F15AD" w:rsidRPr="00C96FA1" w:rsidRDefault="003F15AD" w:rsidP="003F15AD">
      <w:pPr>
        <w:spacing w:after="0" w:line="276" w:lineRule="auto"/>
        <w:ind w:firstLine="709"/>
        <w:jc w:val="both"/>
        <w:rPr>
          <w:rFonts w:ascii="Century Gothic" w:eastAsia="Calibri" w:hAnsi="Century Gothic" w:cs="Arial"/>
          <w:lang w:val="es-ES_tradnl"/>
        </w:rPr>
      </w:pPr>
      <w:r w:rsidRPr="00C96FA1">
        <w:rPr>
          <w:rFonts w:ascii="Century Gothic" w:eastAsia="Calibri" w:hAnsi="Century Gothic" w:cs="Arial"/>
          <w:lang w:val="es-ES_tradnl"/>
        </w:rPr>
        <w:t xml:space="preserve">Colombia Compra Eficiente se pronunció, en términos generales, sobre los factores de desempate en los procedimientos de contratación estatal, en los conceptos </w:t>
      </w:r>
      <w:r w:rsidRPr="00C96FA1">
        <w:rPr>
          <w:rStyle w:val="normaltextrun"/>
          <w:rFonts w:ascii="Century Gothic" w:hAnsi="Century Gothic" w:cs="Arial"/>
          <w:shd w:val="clear" w:color="auto" w:fill="FFFFFF"/>
        </w:rPr>
        <w:t>conceptos C-285 del 4 de mayo de 2020, C-481 del 27 de julio de 2020, C-514 y C-535 del 26 de agosto de 2020 y C-556 del 31 de agosto de 2020. De igual manera, estudió los factores de desempate del artículo 35 de la Ley 2069 de 2020 en los conceptos: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 C-221 del 18 de mayo de 2021, C-239 del 25 de mayo de 2021 , C-320 del 1 de julio de 2021, C-338 del 12 de julio de 2021, C-444 del 23 de julio de, 2021, C-437 del 24 de agosto de 2021,  C-518 del 20 de septiembre de 2021,   C-438 del 28 de septiembre de 2021, C-576 del 13 de octubre de 2021, C-582 del 14 de octubre de 2021, C-586 del 14 de octubre de 2021, C-617 del 6 diciembre de 2021,  C-584 del 13 de diciembre de 2021, C-689 del 5 de enero de 2022, C-741 del 1 de febrero de 2022 y C-750 del 4 de febrero de 2022 y C-322 del 20 de mayo de 2022 y C-468 del 22 de julio de 2022, entre otros</w:t>
      </w:r>
      <w:r w:rsidRPr="00C96FA1">
        <w:rPr>
          <w:rStyle w:val="Refdenotaalpie"/>
          <w:rFonts w:ascii="Century Gothic" w:eastAsia="Calibri" w:hAnsi="Century Gothic" w:cs="Arial"/>
        </w:rPr>
        <w:footnoteReference w:id="1"/>
      </w:r>
      <w:r w:rsidRPr="00C96FA1">
        <w:rPr>
          <w:rFonts w:ascii="Century Gothic" w:eastAsia="Calibri" w:hAnsi="Century Gothic" w:cs="Arial"/>
          <w:lang w:val="es-ES_tradnl"/>
        </w:rPr>
        <w:t>. Algunas de las consideraciones de estos conceptos se reiteran a continuación y se complementan en lo pertinente.</w:t>
      </w:r>
    </w:p>
    <w:p w14:paraId="3F415609" w14:textId="77777777" w:rsidR="003F15AD" w:rsidRPr="00C96FA1" w:rsidRDefault="003F15AD" w:rsidP="003F15AD">
      <w:pPr>
        <w:spacing w:after="0" w:line="276" w:lineRule="auto"/>
        <w:jc w:val="both"/>
        <w:rPr>
          <w:rFonts w:ascii="Century Gothic" w:eastAsia="Calibri" w:hAnsi="Century Gothic" w:cs="Arial"/>
          <w:lang w:val="es-ES_tradnl"/>
        </w:rPr>
      </w:pPr>
    </w:p>
    <w:p w14:paraId="488E7455" w14:textId="77777777" w:rsidR="003F15AD" w:rsidRPr="00C96FA1" w:rsidRDefault="003F15AD" w:rsidP="003F15AD">
      <w:pPr>
        <w:spacing w:after="0" w:line="276" w:lineRule="auto"/>
        <w:jc w:val="both"/>
        <w:rPr>
          <w:rFonts w:ascii="Century Gothic" w:eastAsia="Calibri" w:hAnsi="Century Gothic" w:cs="Arial"/>
          <w:b/>
          <w:bCs/>
          <w:lang w:val="es-ES_tradnl"/>
        </w:rPr>
      </w:pPr>
      <w:r w:rsidRPr="00C96FA1">
        <w:rPr>
          <w:rFonts w:ascii="Century Gothic" w:eastAsia="Calibri" w:hAnsi="Century Gothic" w:cs="Arial"/>
          <w:b/>
          <w:bCs/>
          <w:lang w:val="es-ES_tradnl"/>
        </w:rPr>
        <w:t>2.1. Factores de desempate en la contratación estatal: concepto y características</w:t>
      </w:r>
    </w:p>
    <w:p w14:paraId="1C11AB49" w14:textId="77777777" w:rsidR="003F15AD" w:rsidRPr="00C96FA1" w:rsidRDefault="003F15AD" w:rsidP="003F15AD">
      <w:pPr>
        <w:spacing w:after="0" w:line="276" w:lineRule="auto"/>
        <w:jc w:val="both"/>
        <w:rPr>
          <w:rFonts w:ascii="Century Gothic" w:eastAsia="Calibri" w:hAnsi="Century Gothic" w:cs="Arial"/>
          <w:lang w:val="es-ES_tradnl"/>
        </w:rPr>
      </w:pPr>
    </w:p>
    <w:p w14:paraId="6CE4D128" w14:textId="77777777" w:rsidR="003F15AD" w:rsidRPr="00C96FA1" w:rsidRDefault="003F15AD" w:rsidP="003F15AD">
      <w:pPr>
        <w:spacing w:after="120" w:line="276" w:lineRule="auto"/>
        <w:jc w:val="both"/>
        <w:rPr>
          <w:rFonts w:ascii="Century Gothic" w:eastAsia="Calibri" w:hAnsi="Century Gothic" w:cs="Arial"/>
          <w:lang w:val="es-ES_tradnl"/>
        </w:rPr>
      </w:pPr>
      <w:r w:rsidRPr="00C96FA1">
        <w:rPr>
          <w:rFonts w:ascii="Century Gothic" w:eastAsia="Calibri" w:hAnsi="Century Gothic" w:cs="Arial"/>
          <w:lang w:val="es-ES_tradnl"/>
        </w:rPr>
        <w:lastRenderedPageBreak/>
        <w:t xml:space="preserve">Dado que la selección objetiva es uno de los principios medulares de la contratación estatal, la escogencia del futuro contratista no puede motivarse en razones subjetivas que afecten la imparcialidad de la entidad pública. Así lo determina el primer inciso del artículo 5 de la Ley 1150 de 2007, indicando que </w:t>
      </w:r>
      <w:r>
        <w:rPr>
          <w:rFonts w:ascii="Century Gothic" w:eastAsia="Calibri" w:hAnsi="Century Gothic" w:cs="Arial"/>
          <w:lang w:val="es-ES_tradnl"/>
        </w:rPr>
        <w:t>“</w:t>
      </w:r>
      <w:r w:rsidRPr="00C96FA1">
        <w:rPr>
          <w:rFonts w:ascii="Century Gothic" w:eastAsia="Calibri" w:hAnsi="Century Gothic" w:cs="Arial"/>
          <w:lang w:val="es-ES_tradnl"/>
        </w:rPr>
        <w:t>Es objetiva la selección en la cual la escogencia se haga al ofrecimiento más favorable a la entidad y a los fines que ella busca, sin tener en consideración factores de afecto o de interés y, en general, cualquier clase de motivación subjetiva</w:t>
      </w:r>
      <w:r>
        <w:rPr>
          <w:rFonts w:ascii="Century Gothic" w:eastAsia="Calibri" w:hAnsi="Century Gothic" w:cs="Arial"/>
          <w:lang w:val="es-ES_tradnl"/>
        </w:rPr>
        <w:t>”</w:t>
      </w:r>
      <w:r w:rsidRPr="00C96FA1">
        <w:rPr>
          <w:rFonts w:ascii="Century Gothic" w:eastAsia="Calibri" w:hAnsi="Century Gothic" w:cs="Arial"/>
          <w:lang w:val="es-ES_tradnl"/>
        </w:rPr>
        <w:t>. Además, la norma citada agrega que los factores de habilitación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2138C9DE" w14:textId="77777777" w:rsidR="003F15AD" w:rsidRPr="00C96FA1" w:rsidRDefault="003F15AD" w:rsidP="758F89AC">
      <w:pPr>
        <w:spacing w:after="120" w:line="276" w:lineRule="auto"/>
        <w:ind w:firstLine="709"/>
        <w:jc w:val="both"/>
        <w:rPr>
          <w:rFonts w:ascii="Century Gothic" w:eastAsia="Calibri" w:hAnsi="Century Gothic" w:cs="Arial"/>
          <w:lang w:val="es-ES"/>
        </w:rPr>
      </w:pPr>
      <w:r w:rsidRPr="758F89AC">
        <w:rPr>
          <w:rFonts w:ascii="Century Gothic" w:eastAsia="Calibri" w:hAnsi="Century Gothic" w:cs="Arial"/>
          <w:lang w:val="es-ES"/>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los mismos.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contractual. </w:t>
      </w:r>
    </w:p>
    <w:p w14:paraId="1AA51780" w14:textId="77777777" w:rsidR="003F15AD" w:rsidRPr="00C96FA1" w:rsidRDefault="003F15AD" w:rsidP="003F15AD">
      <w:pPr>
        <w:spacing w:after="120" w:line="276" w:lineRule="auto"/>
        <w:ind w:firstLine="709"/>
        <w:jc w:val="both"/>
        <w:rPr>
          <w:rFonts w:ascii="Century Gothic" w:eastAsia="Calibri" w:hAnsi="Century Gothic" w:cs="Arial"/>
          <w:lang w:val="es-ES_tradnl"/>
        </w:rPr>
      </w:pPr>
      <w:bookmarkStart w:id="7" w:name="_Hlk81487365"/>
      <w:r w:rsidRPr="00C96FA1">
        <w:rPr>
          <w:rFonts w:ascii="Century Gothic" w:eastAsia="Calibri" w:hAnsi="Century Gothic" w:cs="Arial"/>
          <w:lang w:val="es-ES_tradnl"/>
        </w:rPr>
        <w:t xml:space="preserve">Sin embargo,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entre los que se encuentra el artículo 35 de la Ley 2069 de 2020. La jurisprudencia comparte la idea de que los criterios de desempate deben estar establecidos de </w:t>
      </w:r>
      <w:r w:rsidRPr="00C96FA1">
        <w:rPr>
          <w:rFonts w:ascii="Century Gothic" w:eastAsia="Calibri" w:hAnsi="Century Gothic" w:cs="Arial"/>
          <w:lang w:val="es-ES_tradnl"/>
        </w:rPr>
        <w:lastRenderedPageBreak/>
        <w:t>antemano y constituyen un límite a la discrecionalidad administrativa en los procedimientos de selección</w:t>
      </w:r>
      <w:r w:rsidRPr="00C96FA1">
        <w:rPr>
          <w:rStyle w:val="Refdenotaalpie"/>
          <w:rFonts w:ascii="Century Gothic" w:eastAsia="Calibri" w:hAnsi="Century Gothic" w:cs="Arial"/>
          <w:lang w:val="es-ES_tradnl"/>
        </w:rPr>
        <w:footnoteReference w:id="2"/>
      </w:r>
      <w:r w:rsidRPr="00C96FA1">
        <w:rPr>
          <w:rFonts w:ascii="Century Gothic" w:eastAsia="Calibri" w:hAnsi="Century Gothic" w:cs="Arial"/>
          <w:lang w:val="es-ES_tradnl"/>
        </w:rPr>
        <w:t xml:space="preserve">. </w:t>
      </w:r>
    </w:p>
    <w:p w14:paraId="4A8358C6" w14:textId="77777777" w:rsidR="003F15AD" w:rsidRPr="00C96FA1" w:rsidRDefault="003F15AD" w:rsidP="003F15AD">
      <w:pPr>
        <w:spacing w:after="0" w:line="276" w:lineRule="auto"/>
        <w:ind w:firstLine="709"/>
        <w:jc w:val="both"/>
        <w:rPr>
          <w:rFonts w:ascii="Century Gothic" w:eastAsia="Calibri" w:hAnsi="Century Gothic" w:cs="Arial"/>
          <w:lang w:val="es-ES_tradnl"/>
        </w:rPr>
      </w:pPr>
      <w:r w:rsidRPr="00C96FA1">
        <w:rPr>
          <w:rFonts w:ascii="Century Gothic" w:eastAsia="Calibri" w:hAnsi="Century Gothic" w:cs="Arial"/>
          <w:lang w:val="es-ES_tradnl"/>
        </w:rPr>
        <w:t>En tal sentido, la Corte Constitucional explica que cuando la ley establece factores de desempate obligatorios, las entidades estatales no pueden inaplicarlos, porque ello podría vulnerar el principio de igualdad, especialmente, cuando algunos de estos criterios surgen como acciones afirmativas para ciertos sectores de la población</w:t>
      </w:r>
      <w:r w:rsidRPr="00C96FA1">
        <w:rPr>
          <w:rStyle w:val="Refdenotaalpie"/>
          <w:rFonts w:ascii="Century Gothic" w:eastAsia="Calibri" w:hAnsi="Century Gothic" w:cs="Arial"/>
          <w:lang w:val="es-ES_tradnl"/>
        </w:rPr>
        <w:footnoteReference w:id="3"/>
      </w:r>
      <w:r w:rsidRPr="00C96FA1">
        <w:rPr>
          <w:rFonts w:ascii="Century Gothic" w:eastAsia="Calibri" w:hAnsi="Century Gothic" w:cs="Arial"/>
          <w:lang w:val="es-ES_tradnl"/>
        </w:rPr>
        <w:t xml:space="preserve">. </w:t>
      </w:r>
      <w:bookmarkEnd w:id="7"/>
      <w:r w:rsidRPr="00C96FA1">
        <w:rPr>
          <w:rFonts w:ascii="Century Gothic" w:eastAsia="Calibri" w:hAnsi="Century Gothic" w:cs="Arial"/>
          <w:lang w:val="es-ES_tradnl"/>
        </w:rPr>
        <w:t>Ahora bien, en cumplimiento de los principios de reciprocidad y de </w:t>
      </w:r>
      <w:r w:rsidRPr="00C96FA1">
        <w:rPr>
          <w:rFonts w:ascii="Century Gothic" w:eastAsia="Calibri" w:hAnsi="Century Gothic" w:cs="Arial"/>
          <w:i/>
          <w:iCs/>
          <w:lang w:val="es-ES_tradnl"/>
        </w:rPr>
        <w:t>pacta sunt servanda</w:t>
      </w:r>
      <w:r w:rsidRPr="00C96FA1">
        <w:rPr>
          <w:rFonts w:ascii="Century Gothic" w:eastAsia="Calibri" w:hAnsi="Century Gothic" w:cs="Arial"/>
          <w:lang w:val="es-ES_tradnl"/>
        </w:rPr>
        <w:t xml:space="preserve">,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w:t>
      </w:r>
      <w:r>
        <w:rPr>
          <w:rFonts w:ascii="Century Gothic" w:eastAsia="Calibri" w:hAnsi="Century Gothic" w:cs="Arial"/>
          <w:lang w:val="es-ES_tradnl"/>
        </w:rPr>
        <w:t>“</w:t>
      </w:r>
      <w:r w:rsidRPr="00C96FA1">
        <w:rPr>
          <w:rFonts w:ascii="Century Gothic" w:eastAsia="Calibri" w:hAnsi="Century Gothic" w:cs="Arial"/>
          <w:lang w:val="es-ES_tradnl"/>
        </w:rPr>
        <w:t>Manual para el manejo de los incentivos en los procesos de contratación</w:t>
      </w:r>
      <w:r>
        <w:rPr>
          <w:rFonts w:ascii="Century Gothic" w:hAnsi="Century Gothic" w:cs="Arial"/>
          <w:lang w:val="es-ES" w:eastAsia="es-CO"/>
        </w:rPr>
        <w:t>”</w:t>
      </w:r>
      <w:r w:rsidRPr="00C96FA1">
        <w:rPr>
          <w:rFonts w:ascii="Century Gothic" w:hAnsi="Century Gothic" w:cs="Arial"/>
          <w:lang w:val="es-ES" w:eastAsia="es-CO"/>
        </w:rPr>
        <w:t>.</w:t>
      </w:r>
    </w:p>
    <w:p w14:paraId="2BF18484" w14:textId="77777777" w:rsidR="003F15AD" w:rsidRPr="00C96FA1" w:rsidRDefault="003F15AD" w:rsidP="003F15AD">
      <w:pPr>
        <w:spacing w:after="0" w:line="276" w:lineRule="auto"/>
        <w:jc w:val="both"/>
        <w:rPr>
          <w:rFonts w:ascii="Century Gothic" w:eastAsia="Calibri" w:hAnsi="Century Gothic" w:cs="Arial"/>
          <w:lang w:val="es-ES_tradnl"/>
        </w:rPr>
      </w:pPr>
    </w:p>
    <w:p w14:paraId="6B757499" w14:textId="77777777" w:rsidR="003F15AD" w:rsidRPr="00C96FA1" w:rsidRDefault="003F15AD" w:rsidP="003F15AD">
      <w:pPr>
        <w:spacing w:after="0" w:line="276" w:lineRule="auto"/>
        <w:jc w:val="both"/>
        <w:rPr>
          <w:rFonts w:ascii="Century Gothic" w:eastAsia="Calibri" w:hAnsi="Century Gothic" w:cs="Arial"/>
          <w:b/>
          <w:bCs/>
          <w:lang w:val="es-ES_tradnl"/>
        </w:rPr>
      </w:pPr>
      <w:r w:rsidRPr="00C96FA1">
        <w:rPr>
          <w:rFonts w:ascii="Century Gothic" w:eastAsia="Calibri" w:hAnsi="Century Gothic" w:cs="Arial"/>
          <w:b/>
          <w:bCs/>
          <w:lang w:val="es-ES_tradnl"/>
        </w:rPr>
        <w:t xml:space="preserve">2.2. Ámbito de aplicación, vigencia y reglamentación de la Ley 2069 de 2020 </w:t>
      </w:r>
    </w:p>
    <w:p w14:paraId="1406F7B6" w14:textId="77777777" w:rsidR="003F15AD" w:rsidRPr="00C96FA1" w:rsidRDefault="003F15AD" w:rsidP="003F15AD">
      <w:pPr>
        <w:spacing w:after="0" w:line="276" w:lineRule="auto"/>
        <w:jc w:val="both"/>
        <w:rPr>
          <w:rFonts w:ascii="Century Gothic" w:eastAsia="Calibri" w:hAnsi="Century Gothic" w:cs="Arial"/>
          <w:lang w:val="es-ES_tradnl"/>
        </w:rPr>
      </w:pPr>
    </w:p>
    <w:p w14:paraId="6A59CAC5" w14:textId="77777777" w:rsidR="003F15AD" w:rsidRPr="00C96FA1" w:rsidRDefault="003F15AD" w:rsidP="003F15AD">
      <w:pPr>
        <w:spacing w:after="120" w:line="276" w:lineRule="auto"/>
        <w:jc w:val="both"/>
        <w:rPr>
          <w:rFonts w:ascii="Century Gothic" w:eastAsia="Calibri" w:hAnsi="Century Gothic" w:cs="Arial"/>
          <w:lang w:val="es-ES_tradnl"/>
        </w:rPr>
      </w:pPr>
      <w:r w:rsidRPr="00C96FA1">
        <w:rPr>
          <w:rFonts w:ascii="Century Gothic" w:eastAsia="Calibri" w:hAnsi="Century Gothic" w:cs="Arial"/>
          <w:lang w:val="es-ES_tradnl"/>
        </w:rPr>
        <w:t xml:space="preserve">El 31 de diciembre de 2020 se promulgó la Ley 2069, </w:t>
      </w:r>
      <w:r>
        <w:rPr>
          <w:rFonts w:ascii="Century Gothic" w:eastAsia="Calibri" w:hAnsi="Century Gothic" w:cs="Arial"/>
          <w:lang w:val="es-ES_tradnl"/>
        </w:rPr>
        <w:t>“</w:t>
      </w:r>
      <w:r w:rsidRPr="00C96FA1">
        <w:rPr>
          <w:rFonts w:ascii="Century Gothic" w:eastAsia="Calibri" w:hAnsi="Century Gothic" w:cs="Arial"/>
          <w:lang w:val="es-ES_tradnl"/>
        </w:rPr>
        <w:t>Por medio de la cual se impulsa el emprendimiento en Colombia</w:t>
      </w:r>
      <w:r>
        <w:rPr>
          <w:rFonts w:ascii="Century Gothic" w:eastAsia="Calibri" w:hAnsi="Century Gothic" w:cs="Arial"/>
          <w:lang w:val="es-ES_tradnl"/>
        </w:rPr>
        <w:t>”</w:t>
      </w:r>
      <w:r w:rsidRPr="00C96FA1">
        <w:rPr>
          <w:rFonts w:ascii="Century Gothic" w:eastAsia="Calibri" w:hAnsi="Century Gothic" w:cs="Arial"/>
          <w:lang w:val="es-ES_tradnl"/>
        </w:rPr>
        <w:t xml:space="preserve">. De acuerdo con el artículo 84, </w:t>
      </w:r>
      <w:r>
        <w:rPr>
          <w:rFonts w:ascii="Century Gothic" w:eastAsia="Calibri" w:hAnsi="Century Gothic" w:cs="Arial"/>
          <w:lang w:val="es-ES_tradnl"/>
        </w:rPr>
        <w:t>“</w:t>
      </w:r>
      <w:r w:rsidRPr="00C96FA1">
        <w:rPr>
          <w:rFonts w:ascii="Century Gothic" w:eastAsia="Calibri" w:hAnsi="Century Gothic" w:cs="Arial"/>
          <w:lang w:val="es-ES_tradnl"/>
        </w:rPr>
        <w:t>La presente Ley rige a partir del momento de su promulgación […]</w:t>
      </w:r>
      <w:r>
        <w:rPr>
          <w:rFonts w:ascii="Century Gothic" w:eastAsia="Calibri" w:hAnsi="Century Gothic" w:cs="Arial"/>
          <w:lang w:val="es-ES_tradnl"/>
        </w:rPr>
        <w:t>”</w:t>
      </w:r>
      <w:r w:rsidRPr="00C96FA1">
        <w:rPr>
          <w:rFonts w:ascii="Century Gothic" w:eastAsia="Calibri" w:hAnsi="Century Gothic" w:cs="Arial"/>
          <w:lang w:val="es-ES_tradnl"/>
        </w:rPr>
        <w:t>, lo que significa que es obligatoria para sus destinatarios desde esa fecha. Lo anterior, sin perjuicio de la posibilidad de que el gobierno nacional, en ejercicio de la potestad reglamentaria que le confiere el artículo 189, numeral 11, de la Constitución Política, expidiera el decreto correspondiente que permitiera la cumplida ejecución de esta Ley, tal como aconteció con el Decreto 1860 de 2021, al cual se hará referencia más adelante.</w:t>
      </w:r>
    </w:p>
    <w:p w14:paraId="11C4D69D" w14:textId="77777777" w:rsidR="003F15AD" w:rsidRPr="00C96FA1" w:rsidRDefault="003F15AD" w:rsidP="758F89AC">
      <w:pPr>
        <w:spacing w:after="120" w:line="276" w:lineRule="auto"/>
        <w:ind w:firstLine="709"/>
        <w:jc w:val="both"/>
        <w:rPr>
          <w:rFonts w:ascii="Century Gothic" w:eastAsia="Calibri" w:hAnsi="Century Gothic" w:cs="Arial"/>
          <w:lang w:val="es-ES"/>
        </w:rPr>
      </w:pPr>
      <w:r w:rsidRPr="758F89AC">
        <w:rPr>
          <w:rFonts w:ascii="Century Gothic" w:eastAsia="Calibri" w:hAnsi="Century Gothic" w:cs="Arial"/>
          <w:lang w:val="es-ES"/>
        </w:rPr>
        <w:t>En cuanto al contenido de la Ley 2069 de 2020,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r w:rsidRPr="758F89AC">
        <w:rPr>
          <w:rFonts w:ascii="Century Gothic" w:eastAsia="Calibri" w:hAnsi="Century Gothic" w:cs="Arial"/>
          <w:lang w:val="es-ES"/>
        </w:rPr>
        <w:lastRenderedPageBreak/>
        <w:t>mipymes–, mediante la racionalización y simplificación de los trámites y tarifas</w:t>
      </w:r>
      <w:r w:rsidRPr="758F89AC">
        <w:rPr>
          <w:rStyle w:val="Refdenotaalpie"/>
          <w:rFonts w:ascii="Century Gothic" w:eastAsia="Calibri" w:hAnsi="Century Gothic" w:cs="Arial"/>
          <w:lang w:val="es-ES"/>
        </w:rPr>
        <w:footnoteReference w:id="4"/>
      </w:r>
      <w:r w:rsidRPr="758F89AC">
        <w:rPr>
          <w:rFonts w:ascii="Century Gothic" w:eastAsia="Calibri" w:hAnsi="Century Gothic" w:cs="Arial"/>
          <w:lang w:val="es-ES"/>
        </w:rPr>
        <w:t>, así como incentivos a favor de aquellas dentro del sistema de compras y contratación pública</w:t>
      </w:r>
      <w:r w:rsidRPr="758F89AC">
        <w:rPr>
          <w:rStyle w:val="Refdenotaalpie"/>
          <w:rFonts w:ascii="Century Gothic" w:eastAsia="Calibri" w:hAnsi="Century Gothic" w:cs="Arial"/>
          <w:lang w:val="es-ES"/>
        </w:rPr>
        <w:footnoteReference w:id="5"/>
      </w:r>
      <w:r w:rsidRPr="758F89AC">
        <w:rPr>
          <w:rFonts w:ascii="Century Gothic" w:eastAsia="Calibri" w:hAnsi="Century Gothic" w:cs="Arial"/>
          <w:lang w:val="es-ES"/>
        </w:rPr>
        <w:t>. También se consagran mecanismos de acceso al financiamiento</w:t>
      </w:r>
      <w:r w:rsidRPr="758F89AC">
        <w:rPr>
          <w:rStyle w:val="Refdenotaalpie"/>
          <w:rFonts w:ascii="Century Gothic" w:eastAsia="Calibri" w:hAnsi="Century Gothic" w:cs="Arial"/>
          <w:lang w:val="es-ES"/>
        </w:rPr>
        <w:footnoteReference w:id="6"/>
      </w:r>
      <w:r w:rsidRPr="758F89AC">
        <w:rPr>
          <w:rFonts w:ascii="Century Gothic" w:eastAsia="Calibri" w:hAnsi="Century Gothic" w:cs="Arial"/>
          <w:lang w:val="es-ES"/>
        </w:rPr>
        <w:t>, se unifican las fuentes de emprendimiento y de desarrollo empresarial, para fortalecer y promover los distintos sectores de la economía</w:t>
      </w:r>
      <w:r w:rsidRPr="758F89AC">
        <w:rPr>
          <w:rStyle w:val="Refdenotaalpie"/>
          <w:rFonts w:ascii="Century Gothic" w:eastAsia="Calibri" w:hAnsi="Century Gothic" w:cs="Arial"/>
          <w:lang w:val="es-ES"/>
        </w:rPr>
        <w:footnoteReference w:id="7"/>
      </w:r>
      <w:r w:rsidRPr="758F89AC">
        <w:rPr>
          <w:rFonts w:ascii="Century Gothic" w:eastAsia="Calibri" w:hAnsi="Century Gothic" w:cs="Arial"/>
          <w:lang w:val="es-ES"/>
        </w:rPr>
        <w:t xml:space="preserve"> y se prevén medidas de educación para el emprendimiento y la innovación</w:t>
      </w:r>
      <w:r w:rsidRPr="758F89AC">
        <w:rPr>
          <w:rStyle w:val="Refdenotaalpie"/>
          <w:rFonts w:ascii="Century Gothic" w:eastAsia="Calibri" w:hAnsi="Century Gothic" w:cs="Arial"/>
          <w:lang w:val="es-ES"/>
        </w:rPr>
        <w:footnoteReference w:id="8"/>
      </w:r>
      <w:r w:rsidRPr="758F89AC">
        <w:rPr>
          <w:rFonts w:ascii="Century Gothic" w:eastAsia="Calibri" w:hAnsi="Century Gothic" w:cs="Arial"/>
          <w:lang w:val="es-ES"/>
        </w:rPr>
        <w:t>.</w:t>
      </w:r>
    </w:p>
    <w:p w14:paraId="4769FFDB" w14:textId="77777777" w:rsidR="003F15AD" w:rsidRPr="00C96FA1" w:rsidRDefault="003F15AD" w:rsidP="758F89AC">
      <w:pPr>
        <w:spacing w:after="120" w:line="276" w:lineRule="auto"/>
        <w:ind w:firstLine="709"/>
        <w:jc w:val="both"/>
        <w:rPr>
          <w:rFonts w:ascii="Century Gothic" w:eastAsia="Calibri" w:hAnsi="Century Gothic" w:cs="Arial"/>
          <w:lang w:val="es-ES"/>
        </w:rPr>
      </w:pPr>
      <w:r w:rsidRPr="758F89AC">
        <w:rPr>
          <w:rFonts w:ascii="Century Gothic" w:eastAsia="Calibri" w:hAnsi="Century Gothic" w:cs="Arial"/>
          <w:lang w:val="es-ES"/>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mipymes en el procedimiento de mínima cuantía, ii) criterios diferenciales para mipymes en el sistema de compras públicas, iii) criterios diferenciales para emprendimientos y empresas de mujeres en el sistema de compras públicas, iv) promoción del acceso de las mipymes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35 de la referida ley, a continuación, se estudiará el contenido y alcance de dicha norma.  </w:t>
      </w:r>
    </w:p>
    <w:p w14:paraId="48893E96" w14:textId="77777777" w:rsidR="003F15AD" w:rsidRPr="00C96FA1" w:rsidRDefault="003F15AD" w:rsidP="758F89AC">
      <w:pPr>
        <w:spacing w:after="120" w:line="276" w:lineRule="auto"/>
        <w:jc w:val="both"/>
        <w:rPr>
          <w:rFonts w:ascii="Century Gothic" w:eastAsia="Calibri" w:hAnsi="Century Gothic" w:cs="Arial"/>
          <w:lang w:val="es-ES"/>
        </w:rPr>
      </w:pPr>
      <w:r w:rsidRPr="00C96FA1">
        <w:rPr>
          <w:rFonts w:ascii="Century Gothic" w:eastAsia="Calibri" w:hAnsi="Century Gothic" w:cs="Arial"/>
          <w:lang w:val="es-ES_tradnl"/>
        </w:rPr>
        <w:tab/>
      </w:r>
      <w:r w:rsidRPr="758F89AC">
        <w:rPr>
          <w:rFonts w:ascii="Century Gothic" w:eastAsia="Calibri" w:hAnsi="Century Gothic" w:cs="Arial"/>
          <w:lang w:val="es-ES"/>
        </w:rPr>
        <w:t xml:space="preserve">El artículo 35 de la Ley 2069 de 2020 modifica la regulación de los factores de desempate en la contratación estatal. Al respecto, pese a que el parágrafo 3 dispone que el Gobierno nacional podrá regular los supuestos en que concurran dos o más factores de desempate, se considera que el artículo 35 de la Ley 2069 de 2020 goza de aplicación directa desde la fecha de su promulgación, es decir, no requería de una reglamentación previa como presupuesto para su eficacia. Esta precisión reviste de importancia, porque algunos enunciados normativos de la ley bajo análisis establecen un mandato de reglamentación, dirigido al gobierno nacional, como condición para aplicar lo dispuesto en ella. </w:t>
      </w:r>
    </w:p>
    <w:p w14:paraId="5432EC03" w14:textId="77777777" w:rsidR="003F15AD" w:rsidRPr="00C96FA1" w:rsidRDefault="003F15AD" w:rsidP="758F89AC">
      <w:pPr>
        <w:spacing w:after="120" w:line="276" w:lineRule="auto"/>
        <w:ind w:firstLine="709"/>
        <w:jc w:val="both"/>
        <w:rPr>
          <w:rFonts w:ascii="Century Gothic" w:eastAsia="Calibri" w:hAnsi="Century Gothic" w:cs="Arial"/>
          <w:lang w:val="es-ES"/>
        </w:rPr>
      </w:pPr>
      <w:r w:rsidRPr="758F89AC">
        <w:rPr>
          <w:rFonts w:ascii="Century Gothic" w:eastAsia="Calibri" w:hAnsi="Century Gothic" w:cs="Arial"/>
          <w:lang w:val="es-ES"/>
        </w:rPr>
        <w:t xml:space="preserve">Por ejemplo, en lo que a las compras públicas se refiere, el parágrafo primero del artículo 30, que alude a la participación de mipymes en procedimientos de mínima cuantía, establece que “Las particularidades del procedimiento aquí previsto, así como la posibilidad que tengan las entidades de realizar estas </w:t>
      </w:r>
      <w:r w:rsidRPr="758F89AC">
        <w:rPr>
          <w:rFonts w:ascii="Century Gothic" w:eastAsia="Calibri" w:hAnsi="Century Gothic" w:cs="Arial"/>
          <w:lang w:val="es-ES"/>
        </w:rPr>
        <w:lastRenderedPageBreak/>
        <w:t xml:space="preserve">adquisiciones a Mipymes o establecimientos que correspondan a la definición de "gran almacén" señalada por la Superintendencia de Industria y Comercio, se determinarán en el reglamento que para el efecto expida el Gobierno Nacional”. En un sentido similar, el parágrafo segundo del mismo artículo expresa que “La contratación a que se refiere el presente artículo se realizará exclusivamente con las reglas en él contempladas y en su reglamentación. […]”. </w:t>
      </w:r>
    </w:p>
    <w:p w14:paraId="40952208" w14:textId="77777777" w:rsidR="003F15AD" w:rsidRPr="00C96FA1" w:rsidRDefault="003F15AD" w:rsidP="758F89AC">
      <w:pPr>
        <w:spacing w:after="120" w:line="276" w:lineRule="auto"/>
        <w:ind w:firstLine="709"/>
        <w:jc w:val="both"/>
        <w:rPr>
          <w:rFonts w:ascii="Century Gothic" w:eastAsia="Calibri" w:hAnsi="Century Gothic" w:cs="Arial"/>
          <w:lang w:val="es-ES"/>
        </w:rPr>
      </w:pPr>
      <w:r w:rsidRPr="758F89AC">
        <w:rPr>
          <w:rFonts w:ascii="Century Gothic" w:eastAsia="Calibri" w:hAnsi="Century Gothic" w:cs="Arial"/>
          <w:lang w:val="es-ES"/>
        </w:rPr>
        <w:t xml:space="preserve">Lo mismo no sucede con el artículo 35. En efecto, </w:t>
      </w:r>
      <w:r w:rsidRPr="758F89AC">
        <w:rPr>
          <w:rFonts w:ascii="Century Gothic" w:hAnsi="Century Gothic" w:cs="Arial"/>
          <w:lang w:val="es-ES"/>
        </w:rPr>
        <w:t xml:space="preserve">si bien los factores de desempate regulados en el artículo 35 deben aplicarse “[…] 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sin perjuicio de la competencia general prevista en el artículo 189.11 de Constitución Política de 1991, este parágrafo le asigna potestad reglamentaria al gobierno nacional para definir factores que permitan desempatar las ofertas en aquellos casos en que varios oferentes reúnan al tiempo dos o más de los factores previstos en el artículo 35. </w:t>
      </w:r>
      <w:r w:rsidRPr="758F89AC">
        <w:rPr>
          <w:rFonts w:ascii="Century Gothic" w:eastAsia="Calibri" w:hAnsi="Century Gothic" w:cs="Arial"/>
          <w:lang w:val="es-ES"/>
        </w:rPr>
        <w:t xml:space="preserve">  </w:t>
      </w:r>
    </w:p>
    <w:p w14:paraId="344758CF" w14:textId="77777777" w:rsidR="003F15AD" w:rsidRPr="00C96FA1" w:rsidRDefault="003F15AD" w:rsidP="003F15AD">
      <w:pPr>
        <w:spacing w:after="120" w:line="276" w:lineRule="auto"/>
        <w:jc w:val="both"/>
        <w:rPr>
          <w:rFonts w:ascii="Century Gothic" w:eastAsia="Calibri" w:hAnsi="Century Gothic" w:cs="Arial"/>
          <w:lang w:val="es-ES_tradnl"/>
        </w:rPr>
      </w:pPr>
      <w:r w:rsidRPr="00C96FA1">
        <w:rPr>
          <w:rFonts w:ascii="Century Gothic" w:eastAsia="Calibri" w:hAnsi="Century Gothic" w:cs="Arial"/>
          <w:b/>
          <w:bCs/>
          <w:lang w:val="es-ES_tradnl"/>
        </w:rPr>
        <w:tab/>
      </w:r>
      <w:r w:rsidRPr="00C96FA1">
        <w:rPr>
          <w:rFonts w:ascii="Century Gothic" w:eastAsia="Calibri" w:hAnsi="Century Gothic" w:cs="Arial"/>
          <w:lang w:val="es-ES_tradnl"/>
        </w:rPr>
        <w:t>Lo explicado en los párrafos precedentes es importante, porque el 24 de diciembre de 2021, el gobierno nacional expidió el Decreto 1860,</w:t>
      </w:r>
      <w:r w:rsidRPr="00C96FA1">
        <w:rPr>
          <w:rFonts w:ascii="Century Gothic" w:hAnsi="Century Gothic"/>
        </w:rPr>
        <w:t xml:space="preserve"> </w:t>
      </w:r>
      <w:r>
        <w:rPr>
          <w:rFonts w:ascii="Century Gothic" w:eastAsia="Calibri" w:hAnsi="Century Gothic" w:cs="Arial"/>
          <w:lang w:val="es-ES_tradnl"/>
        </w:rPr>
        <w:t>“</w:t>
      </w:r>
      <w:r w:rsidRPr="00C96FA1">
        <w:rPr>
          <w:rFonts w:ascii="Century Gothic" w:eastAsia="Calibri" w:hAnsi="Century Gothic" w:cs="Arial"/>
          <w:lang w:val="es-ES_tradnl"/>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w:t>
      </w:r>
      <w:r>
        <w:rPr>
          <w:rFonts w:ascii="Century Gothic" w:eastAsia="Calibri" w:hAnsi="Century Gothic" w:cs="Arial"/>
          <w:lang w:val="es-ES_tradnl"/>
        </w:rPr>
        <w:t>”</w:t>
      </w:r>
      <w:r w:rsidRPr="00C96FA1">
        <w:rPr>
          <w:rFonts w:ascii="Century Gothic" w:eastAsia="Calibri" w:hAnsi="Century Gothic" w:cs="Arial"/>
          <w:lang w:val="es-ES_tradnl"/>
        </w:rPr>
        <w:t>.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w:t>
      </w:r>
      <w:r w:rsidRPr="00C96FA1">
        <w:rPr>
          <w:rStyle w:val="Refdenotaalpie"/>
          <w:rFonts w:ascii="Century Gothic" w:eastAsia="Calibri" w:hAnsi="Century Gothic" w:cs="Arial"/>
          <w:lang w:val="es-ES_tradnl"/>
        </w:rPr>
        <w:footnoteReference w:id="9"/>
      </w:r>
      <w:r w:rsidRPr="00C96FA1">
        <w:rPr>
          <w:rFonts w:ascii="Century Gothic" w:eastAsia="Calibri" w:hAnsi="Century Gothic" w:cs="Arial"/>
          <w:lang w:val="es-ES_tradnl"/>
        </w:rPr>
        <w:t xml:space="preserve">.  </w:t>
      </w:r>
    </w:p>
    <w:p w14:paraId="3026D71D" w14:textId="77777777" w:rsidR="003F15AD" w:rsidRPr="00C96FA1" w:rsidRDefault="003F15AD" w:rsidP="003F15AD">
      <w:pPr>
        <w:spacing w:after="120" w:line="276" w:lineRule="auto"/>
        <w:jc w:val="both"/>
        <w:rPr>
          <w:rFonts w:ascii="Century Gothic" w:hAnsi="Century Gothic" w:cs="Arial"/>
        </w:rPr>
      </w:pPr>
      <w:r w:rsidRPr="00C96FA1">
        <w:rPr>
          <w:rFonts w:ascii="Century Gothic" w:eastAsia="Calibri" w:hAnsi="Century Gothic" w:cs="Arial"/>
          <w:lang w:val="es-ES_tradnl"/>
        </w:rPr>
        <w:tab/>
        <w:t xml:space="preserve">En lo relativo al artículo 35 de la Ley 2069 de 2020, el artículo 3 del Decreto 1860 de 2021 adiciona el artículo 2.2.1.2.4.2.17. a la Subsección 2 de la Sección 4 </w:t>
      </w:r>
      <w:r w:rsidRPr="00C96FA1">
        <w:rPr>
          <w:rFonts w:ascii="Century Gothic" w:eastAsia="Calibri" w:hAnsi="Century Gothic" w:cs="Arial"/>
          <w:lang w:val="es-ES_tradnl"/>
        </w:rPr>
        <w:lastRenderedPageBreak/>
        <w:t>del Capítulo 2 del Título 1 de la Parte 2 del Libro 2 del Decreto 1082 de 2015</w:t>
      </w:r>
      <w:r w:rsidRPr="00C96FA1">
        <w:rPr>
          <w:rFonts w:ascii="Century Gothic" w:hAnsi="Century Gothic" w:cs="Arial"/>
          <w:lang w:eastAsia="es-CO"/>
        </w:rPr>
        <w:t xml:space="preserve">, el cual reglamenta los factores de desempate del artículo 35 </w:t>
      </w:r>
      <w:r w:rsidRPr="00C96FA1">
        <w:rPr>
          <w:rFonts w:ascii="Century Gothic" w:hAnsi="Century Gothic" w:cs="Arial"/>
          <w:i/>
          <w:iCs/>
          <w:lang w:eastAsia="es-CO"/>
        </w:rPr>
        <w:t>ibídem</w:t>
      </w:r>
      <w:r w:rsidRPr="00C96FA1">
        <w:rPr>
          <w:rFonts w:ascii="Century Gothic" w:hAnsi="Century Gothic" w:cs="Arial"/>
          <w:lang w:eastAsia="es-CO"/>
        </w:rPr>
        <w:t xml:space="preserve">, estableciendo los medios de acreditación de cada uno de los supuestos de hecho en función de los cuales operan. </w:t>
      </w:r>
      <w:r w:rsidRPr="00C96FA1">
        <w:rPr>
          <w:rFonts w:ascii="Century Gothic" w:hAnsi="Century Gothic" w:cs="Arial"/>
        </w:rPr>
        <w:t xml:space="preserve">De otra parte, el artículo 7 del Decreto recientemente expedido modificó el contenido del artículo 2.2.1.2.4.2.8 </w:t>
      </w:r>
      <w:r w:rsidRPr="00C96FA1">
        <w:rPr>
          <w:rFonts w:ascii="Century Gothic" w:hAnsi="Century Gothic" w:cs="Arial"/>
          <w:shd w:val="clear" w:color="auto" w:fill="FFFFFF"/>
        </w:rPr>
        <w:t xml:space="preserve">de la Subsección 2 de la Sección 4 del Capítulo 2 del Título 1 de la Parte 2 del Libro 2 del Decreto 1082 de 2015, alusivo al sistema de preferencias en favor de las personas con discapacidad. </w:t>
      </w:r>
      <w:r w:rsidRPr="00C96FA1">
        <w:rPr>
          <w:rFonts w:ascii="Century Gothic" w:hAnsi="Century Gothic" w:cs="Arial"/>
        </w:rPr>
        <w:t>La modificación realizada reemplazó la referencia al artículo 2.2.1.1.2.2.9 del Decreto 1082 de 2015, que anteriormente reglamentaba los factores de desempate, por una remisión al artículo 35 de la Ley 2069 de 2020 y el artículo 2.2.1.2.4.2.17 del Decreto 1082 de 2015, disposiciones por las que ahora se rigen los criterios de desempate.</w:t>
      </w:r>
    </w:p>
    <w:p w14:paraId="5D174C2D" w14:textId="77777777" w:rsidR="003F15AD" w:rsidRPr="00C96FA1" w:rsidRDefault="003F15AD" w:rsidP="003F15AD">
      <w:pPr>
        <w:spacing w:after="0" w:line="276" w:lineRule="auto"/>
        <w:jc w:val="both"/>
        <w:rPr>
          <w:rFonts w:ascii="Century Gothic" w:hAnsi="Century Gothic" w:cs="Arial"/>
          <w:lang w:eastAsia="es-CO"/>
        </w:rPr>
      </w:pPr>
      <w:r w:rsidRPr="00C96FA1">
        <w:rPr>
          <w:rFonts w:ascii="Century Gothic" w:hAnsi="Century Gothic" w:cs="Arial"/>
          <w:lang w:eastAsia="es-CO"/>
        </w:rPr>
        <w:tab/>
        <w:t xml:space="preserve">Por último, debe precisarse que la vigencia del Decreto 1860 de 2021 es regulada por su artículo 8, el cual establece que </w:t>
      </w:r>
      <w:r>
        <w:rPr>
          <w:rFonts w:ascii="Century Gothic" w:hAnsi="Century Gothic" w:cs="Arial"/>
          <w:lang w:eastAsia="es-CO"/>
        </w:rPr>
        <w:t>“</w:t>
      </w:r>
      <w:r w:rsidRPr="00C96FA1">
        <w:rPr>
          <w:rFonts w:ascii="Century Gothic" w:hAnsi="Century Gothic" w:cs="Arial"/>
          <w:lang w:eastAsia="es-CO"/>
        </w:rPr>
        <w:t>Las disposiciones contenidas en el presente Decreto se aplicarán a los procedimientos de selección cuya invitación, aviso de convocatoria o documento equivalente se publique a los tres (3) meses contados a partir de su expedición</w:t>
      </w:r>
      <w:r>
        <w:rPr>
          <w:rFonts w:ascii="Century Gothic" w:hAnsi="Century Gothic" w:cs="Arial"/>
          <w:lang w:eastAsia="es-CO"/>
        </w:rPr>
        <w:t>”</w:t>
      </w:r>
      <w:r w:rsidRPr="00C96FA1">
        <w:rPr>
          <w:rFonts w:ascii="Century Gothic" w:hAnsi="Century Gothic" w:cs="Arial"/>
          <w:lang w:eastAsia="es-CO"/>
        </w:rPr>
        <w:t>. De acuerdo con esto, habiéndose expedido el referido decreto el 24 de diciembre de 2021, la aplicación de su contenido deberá comenzar una vez transcurridos tres (3) meses contados a partir de entonces, en los procesos cuyos avisos de convocatorias, invitaciones o documentos equivalentes se publiquen con posterioridad a dicho término</w:t>
      </w:r>
      <w:r w:rsidRPr="00C96FA1">
        <w:rPr>
          <w:rStyle w:val="Refdenotaalpie"/>
          <w:rFonts w:ascii="Century Gothic" w:hAnsi="Century Gothic" w:cs="Arial"/>
          <w:lang w:eastAsia="es-CO"/>
        </w:rPr>
        <w:footnoteReference w:id="10"/>
      </w:r>
      <w:r w:rsidRPr="00C96FA1">
        <w:rPr>
          <w:rFonts w:ascii="Century Gothic" w:hAnsi="Century Gothic" w:cs="Arial"/>
          <w:lang w:eastAsia="es-CO"/>
        </w:rPr>
        <w:t xml:space="preserve">. </w:t>
      </w:r>
    </w:p>
    <w:p w14:paraId="61D22F9D" w14:textId="77777777" w:rsidR="003F15AD" w:rsidRPr="00C96FA1" w:rsidRDefault="003F15AD" w:rsidP="003F15AD">
      <w:pPr>
        <w:spacing w:after="0" w:line="276" w:lineRule="auto"/>
        <w:jc w:val="both"/>
        <w:rPr>
          <w:rFonts w:ascii="Century Gothic" w:hAnsi="Century Gothic" w:cs="Arial"/>
          <w:lang w:eastAsia="es-CO"/>
        </w:rPr>
      </w:pPr>
    </w:p>
    <w:p w14:paraId="57798EFF" w14:textId="77777777" w:rsidR="003F15AD" w:rsidRPr="00C96FA1" w:rsidRDefault="003F15AD" w:rsidP="003F15AD">
      <w:pPr>
        <w:spacing w:after="0" w:line="276" w:lineRule="auto"/>
        <w:jc w:val="both"/>
        <w:rPr>
          <w:rFonts w:ascii="Century Gothic" w:eastAsia="Calibri" w:hAnsi="Century Gothic" w:cs="Arial"/>
          <w:b/>
          <w:i/>
          <w:iCs/>
          <w:lang w:val="es-ES_tradnl"/>
        </w:rPr>
      </w:pPr>
      <w:r w:rsidRPr="00C96FA1">
        <w:rPr>
          <w:rFonts w:ascii="Century Gothic" w:eastAsia="Calibri" w:hAnsi="Century Gothic" w:cs="Arial"/>
          <w:b/>
          <w:bCs/>
          <w:lang w:val="es-ES_tradnl"/>
        </w:rPr>
        <w:t xml:space="preserve">2.3. </w:t>
      </w:r>
      <w:bookmarkStart w:id="8" w:name="_Hlk102639925"/>
      <w:r w:rsidRPr="00C96FA1">
        <w:rPr>
          <w:rFonts w:ascii="Century Gothic" w:eastAsia="Calibri" w:hAnsi="Century Gothic" w:cs="Arial"/>
          <w:b/>
          <w:bCs/>
          <w:i/>
          <w:iCs/>
          <w:lang w:val="es-ES_tradnl"/>
        </w:rPr>
        <w:t xml:space="preserve"> </w:t>
      </w:r>
      <w:bookmarkEnd w:id="8"/>
      <w:r w:rsidRPr="00C96FA1">
        <w:rPr>
          <w:rFonts w:ascii="Century Gothic" w:eastAsia="Calibri" w:hAnsi="Century Gothic" w:cs="Arial"/>
          <w:b/>
          <w:iCs/>
          <w:lang w:val="es-ES_tradnl"/>
        </w:rPr>
        <w:t>La vinculación en mayor proporción de personas mayores no beneficiarias de la pensión de vejez, familiar o sobrevivencia como factor de desempate y su acreditación</w:t>
      </w:r>
    </w:p>
    <w:p w14:paraId="6D6FBB3A" w14:textId="77777777" w:rsidR="003F15AD" w:rsidRPr="00C96FA1" w:rsidRDefault="003F15AD" w:rsidP="003F15AD">
      <w:pPr>
        <w:tabs>
          <w:tab w:val="left" w:pos="0"/>
        </w:tabs>
        <w:spacing w:after="0"/>
        <w:jc w:val="both"/>
        <w:rPr>
          <w:rFonts w:ascii="Century Gothic" w:eastAsia="Calibri" w:hAnsi="Century Gothic" w:cs="Arial"/>
          <w:b/>
          <w:i/>
          <w:iCs/>
          <w:lang w:val="es-ES_tradnl"/>
        </w:rPr>
      </w:pPr>
    </w:p>
    <w:p w14:paraId="726EA42B" w14:textId="77777777" w:rsidR="003F15AD" w:rsidRPr="00C96FA1" w:rsidRDefault="003F15AD" w:rsidP="003F15AD">
      <w:pPr>
        <w:tabs>
          <w:tab w:val="left" w:pos="6551"/>
        </w:tabs>
        <w:spacing w:after="120" w:line="276" w:lineRule="auto"/>
        <w:jc w:val="both"/>
        <w:rPr>
          <w:rFonts w:ascii="Century Gothic" w:eastAsia="Calibri" w:hAnsi="Century Gothic" w:cs="Arial"/>
          <w:color w:val="000000" w:themeColor="text1"/>
          <w:lang w:val="es-ES_tradnl"/>
        </w:rPr>
      </w:pPr>
      <w:r w:rsidRPr="00C96FA1">
        <w:rPr>
          <w:rFonts w:ascii="Century Gothic" w:eastAsia="Calibri" w:hAnsi="Century Gothic" w:cs="Arial"/>
          <w:bCs/>
          <w:lang w:val="es-ES_tradnl"/>
        </w:rPr>
        <w:t xml:space="preserve">Con respecto al numeral 4 del artículo </w:t>
      </w:r>
      <w:r w:rsidRPr="00C96FA1">
        <w:rPr>
          <w:rFonts w:ascii="Century Gothic" w:eastAsia="Calibri" w:hAnsi="Century Gothic" w:cs="Arial"/>
          <w:color w:val="000000" w:themeColor="text1"/>
          <w:lang w:val="es-ES_tradnl"/>
        </w:rPr>
        <w:t>2.2.1.2.4.2.17 del Decreto 1082 de 2015 adicionado por el</w:t>
      </w:r>
      <w:r w:rsidRPr="00C96FA1">
        <w:rPr>
          <w:rFonts w:ascii="Century Gothic" w:eastAsia="Calibri" w:hAnsi="Century Gothic" w:cs="Arial"/>
          <w:bCs/>
          <w:color w:val="000000" w:themeColor="text1"/>
          <w:lang w:val="es-ES_tradnl"/>
        </w:rPr>
        <w:t xml:space="preserve"> artículo 3 del Decreto 1860 de 2021 </w:t>
      </w:r>
      <w:r w:rsidRPr="00C96FA1">
        <w:rPr>
          <w:rFonts w:ascii="Century Gothic" w:eastAsia="Calibri" w:hAnsi="Century Gothic" w:cs="Arial"/>
          <w:color w:val="000000" w:themeColor="text1"/>
          <w:lang w:val="es-ES_tradnl"/>
        </w:rPr>
        <w:t xml:space="preserve">que reglamenta el numeral 4 </w:t>
      </w:r>
      <w:r w:rsidRPr="00C96FA1">
        <w:rPr>
          <w:rFonts w:ascii="Century Gothic" w:eastAsia="Calibri" w:hAnsi="Century Gothic" w:cs="Arial"/>
          <w:bCs/>
          <w:lang w:val="es-ES_tradnl"/>
        </w:rPr>
        <w:t>del artículo 35 de la Ley 2069 de 2020, se</w:t>
      </w:r>
      <w:r w:rsidRPr="00C96FA1">
        <w:rPr>
          <w:rFonts w:ascii="Century Gothic" w:eastAsia="Calibri" w:hAnsi="Century Gothic" w:cs="Arial"/>
          <w:bCs/>
          <w:color w:val="000000" w:themeColor="text1"/>
          <w:lang w:val="es-ES_tradnl"/>
        </w:rPr>
        <w:t xml:space="preserve"> señalarán las consideraciones que esta Agencia en su momento expresó, en relación con la acreditación de este factor de desempate, previo a la expedición del Decreto 1860 de 2021, para, posteriormente, indicar cuál es el alcance que la norma reglamentaria brinda al referido factor de desempate. </w:t>
      </w:r>
    </w:p>
    <w:p w14:paraId="199CE874" w14:textId="77777777" w:rsidR="003F15AD" w:rsidRPr="00C96FA1" w:rsidRDefault="003F15AD" w:rsidP="758F89AC">
      <w:pPr>
        <w:tabs>
          <w:tab w:val="left" w:pos="6551"/>
        </w:tabs>
        <w:spacing w:after="120" w:line="276" w:lineRule="auto"/>
        <w:ind w:firstLine="709"/>
        <w:jc w:val="both"/>
        <w:rPr>
          <w:rFonts w:ascii="Century Gothic" w:eastAsia="Calibri" w:hAnsi="Century Gothic" w:cs="Arial"/>
          <w:color w:val="000000" w:themeColor="text1"/>
          <w:lang w:val="es-ES"/>
        </w:rPr>
      </w:pPr>
      <w:bookmarkStart w:id="9" w:name="_Hlk93049677"/>
      <w:r w:rsidRPr="758F89AC">
        <w:rPr>
          <w:rFonts w:ascii="Century Gothic" w:eastAsia="Calibri" w:hAnsi="Century Gothic" w:cs="Arial"/>
          <w:color w:val="000000" w:themeColor="text1"/>
          <w:lang w:val="es-ES"/>
        </w:rPr>
        <w:t xml:space="preserve">En relación con lo previsto en el numeral </w:t>
      </w:r>
      <w:r w:rsidRPr="758F89AC">
        <w:rPr>
          <w:rFonts w:ascii="Century Gothic" w:eastAsia="Calibri" w:hAnsi="Century Gothic" w:cs="Arial"/>
          <w:i/>
          <w:iCs/>
          <w:color w:val="000000" w:themeColor="text1"/>
          <w:lang w:val="es-ES"/>
        </w:rPr>
        <w:t>ibidem</w:t>
      </w:r>
      <w:r w:rsidRPr="758F89AC">
        <w:rPr>
          <w:rFonts w:ascii="Century Gothic" w:eastAsia="Calibri" w:hAnsi="Century Gothic" w:cs="Arial"/>
          <w:color w:val="000000" w:themeColor="text1"/>
          <w:lang w:val="es-ES"/>
        </w:rPr>
        <w:t>, cuando el legislador alude al concepto de “personas mayores” que no sean beneficiarias de la pensión de vejez, familiar o de sobrevivencia y que hayan cumplido la edad para obtenerla, una posible interpretación es entender que la norma se refiere al “adulto mayor”. Este concepto lo define el artículo 3 de la Ley 1251 de 2008 –“Por la cual se dictan normas tendientes a procurar la protección, promoción y defensa de los derechos de los adultos mayores”– como “[…] aquella persona que cuenta con sesenta (60) años de edad o más”, lo cual se puede acreditar con el documento de identidad correspondiente. En todo caso, también es posible entender que esta causal aplica a todas las personas que –en el rango de edad correspondiente a cada género– no han alcanzado la pensión, interpretación que está más ajustada al principio de favorabilidad y que, como se expresará, se acogió en la reglamentación realizada por el Decreto 1860 de 2021. Sin embargo, de la literalidad de la norma no se desprende la aplicación de este factor de desempate a los prepensionados, por lo que no son destinatarios de este incentivo.</w:t>
      </w:r>
    </w:p>
    <w:p w14:paraId="338E7419" w14:textId="77777777" w:rsidR="003F15AD" w:rsidRPr="00C96FA1" w:rsidRDefault="003F15AD" w:rsidP="003F15AD">
      <w:pPr>
        <w:tabs>
          <w:tab w:val="left" w:pos="6551"/>
        </w:tabs>
        <w:spacing w:after="120" w:line="276" w:lineRule="auto"/>
        <w:ind w:firstLine="709"/>
        <w:jc w:val="both"/>
        <w:rPr>
          <w:rFonts w:ascii="Century Gothic" w:hAnsi="Century Gothic" w:cs="Arial"/>
          <w:color w:val="000000" w:themeColor="text1"/>
          <w:lang w:val="es-ES_tradnl"/>
        </w:rPr>
      </w:pPr>
      <w:r w:rsidRPr="00C96FA1">
        <w:rPr>
          <w:rFonts w:ascii="Century Gothic" w:hAnsi="Century Gothic" w:cs="Arial"/>
          <w:color w:val="000000" w:themeColor="text1"/>
          <w:lang w:val="es-ES_tradnl"/>
        </w:rPr>
        <w:t xml:space="preserve">El numeral dice que en dicho evento la regla de desempate se aplica a favor del </w:t>
      </w:r>
      <w:r>
        <w:rPr>
          <w:rFonts w:ascii="Century Gothic" w:hAnsi="Century Gothic" w:cs="Arial"/>
          <w:color w:val="000000" w:themeColor="text1"/>
          <w:lang w:val="es-ES_tradnl"/>
        </w:rPr>
        <w:t>“</w:t>
      </w:r>
      <w:r w:rsidRPr="00C96FA1">
        <w:rPr>
          <w:rFonts w:ascii="Century Gothic" w:hAnsi="Century Gothic" w:cs="Arial"/>
          <w:color w:val="000000" w:themeColor="text1"/>
          <w:lang w:val="es-ES_tradnl"/>
        </w:rPr>
        <w:t xml:space="preserve">[…] oferente que acredite la vinculación en </w:t>
      </w:r>
      <w:r w:rsidRPr="00C96FA1">
        <w:rPr>
          <w:rFonts w:ascii="Century Gothic" w:hAnsi="Century Gothic" w:cs="Arial"/>
          <w:i/>
          <w:iCs/>
          <w:color w:val="000000" w:themeColor="text1"/>
          <w:lang w:val="es-ES_tradnl"/>
        </w:rPr>
        <w:t>mayor proporción</w:t>
      </w:r>
      <w:r w:rsidRPr="00C96FA1">
        <w:rPr>
          <w:rFonts w:ascii="Century Gothic" w:hAnsi="Century Gothic" w:cs="Arial"/>
          <w:color w:val="000000" w:themeColor="text1"/>
          <w:lang w:val="es-ES_tradnl"/>
        </w:rPr>
        <w:t xml:space="preserve"> de personas mayores que no sean beneficiarios de la pensión de vejez, familiar o de sobrevivencia y que hayan cumplido el requisito de edad de pensión establecido en la Ley</w:t>
      </w:r>
      <w:r>
        <w:rPr>
          <w:rFonts w:ascii="Century Gothic" w:hAnsi="Century Gothic" w:cs="Arial"/>
          <w:color w:val="000000" w:themeColor="text1"/>
          <w:lang w:val="es-ES_tradnl"/>
        </w:rPr>
        <w:t>”</w:t>
      </w:r>
      <w:r w:rsidRPr="00C96FA1">
        <w:rPr>
          <w:rFonts w:ascii="Century Gothic" w:hAnsi="Century Gothic" w:cs="Arial"/>
          <w:color w:val="000000" w:themeColor="text1"/>
          <w:lang w:val="es-ES_tradnl"/>
        </w:rPr>
        <w:t xml:space="preserve"> (Énfasis fuera de texto). De este modo, cuando la norma se refiere a la </w:t>
      </w:r>
      <w:r>
        <w:rPr>
          <w:rFonts w:ascii="Century Gothic" w:hAnsi="Century Gothic" w:cs="Arial"/>
          <w:color w:val="000000" w:themeColor="text1"/>
          <w:lang w:val="es-ES_tradnl"/>
        </w:rPr>
        <w:t>“</w:t>
      </w:r>
      <w:r w:rsidRPr="00C96FA1">
        <w:rPr>
          <w:rFonts w:ascii="Century Gothic" w:hAnsi="Century Gothic" w:cs="Arial"/>
          <w:color w:val="000000" w:themeColor="text1"/>
          <w:lang w:val="es-ES_tradnl"/>
        </w:rPr>
        <w:t>mayor proporción</w:t>
      </w:r>
      <w:r>
        <w:rPr>
          <w:rFonts w:ascii="Century Gothic" w:hAnsi="Century Gothic" w:cs="Arial"/>
          <w:color w:val="000000" w:themeColor="text1"/>
          <w:lang w:val="es-ES_tradnl"/>
        </w:rPr>
        <w:t>”</w:t>
      </w:r>
      <w:r w:rsidRPr="00C96FA1">
        <w:rPr>
          <w:rFonts w:ascii="Century Gothic" w:hAnsi="Century Gothic" w:cs="Arial"/>
          <w:color w:val="000000" w:themeColor="text1"/>
          <w:lang w:val="es-ES_tradnl"/>
        </w:rPr>
        <w:t xml:space="preserve"> alude al número de personas vinculadas por el oferente y que además reúnan la condición de ser mayores y que </w:t>
      </w:r>
      <w:r>
        <w:rPr>
          <w:rFonts w:ascii="Century Gothic" w:hAnsi="Century Gothic" w:cs="Arial"/>
          <w:color w:val="000000" w:themeColor="text1"/>
          <w:lang w:val="es-ES_tradnl"/>
        </w:rPr>
        <w:t>“</w:t>
      </w:r>
      <w:r w:rsidRPr="00C96FA1">
        <w:rPr>
          <w:rFonts w:ascii="Century Gothic" w:hAnsi="Century Gothic" w:cs="Arial"/>
          <w:color w:val="000000" w:themeColor="text1"/>
          <w:lang w:val="es-ES_tradnl"/>
        </w:rPr>
        <w:t>no sean beneficiarios de la pensión de vejez, familiar o de sobrevivencia y que hayan cumplido el requisito de edad de pensión establecido en la Ley</w:t>
      </w:r>
      <w:bookmarkEnd w:id="9"/>
      <w:r>
        <w:rPr>
          <w:rFonts w:ascii="Century Gothic" w:hAnsi="Century Gothic" w:cs="Arial"/>
          <w:color w:val="000000" w:themeColor="text1"/>
          <w:lang w:val="es-ES_tradnl"/>
        </w:rPr>
        <w:t>”</w:t>
      </w:r>
      <w:r w:rsidRPr="00C96FA1">
        <w:rPr>
          <w:rFonts w:ascii="Century Gothic" w:hAnsi="Century Gothic" w:cs="Arial"/>
          <w:color w:val="000000" w:themeColor="text1"/>
          <w:lang w:val="es-ES_tradnl"/>
        </w:rPr>
        <w:t xml:space="preserve">. </w:t>
      </w:r>
    </w:p>
    <w:p w14:paraId="7B08A145" w14:textId="77777777" w:rsidR="003F15AD" w:rsidRPr="00C96FA1" w:rsidRDefault="003F15AD" w:rsidP="758F89AC">
      <w:pPr>
        <w:tabs>
          <w:tab w:val="left" w:pos="6551"/>
        </w:tabs>
        <w:spacing w:after="120" w:line="276" w:lineRule="auto"/>
        <w:ind w:firstLine="709"/>
        <w:jc w:val="both"/>
        <w:rPr>
          <w:rFonts w:ascii="Century Gothic" w:hAnsi="Century Gothic" w:cs="Arial"/>
          <w:color w:val="000000" w:themeColor="text1"/>
          <w:lang w:val="es-ES"/>
        </w:rPr>
      </w:pPr>
      <w:r w:rsidRPr="758F89AC">
        <w:rPr>
          <w:rFonts w:ascii="Century Gothic" w:hAnsi="Century Gothic" w:cs="Arial"/>
          <w:color w:val="000000" w:themeColor="text1"/>
          <w:lang w:val="es-ES"/>
        </w:rPr>
        <w:t xml:space="preserve">Teniendo en cuenta que el numeral no distingue tipos de oferente, dicho criterio de desempate, a juicio de la Agencia, se debía aplicar también a proponentes plurales. En este caso el proponente plural debía acreditar la proporción de personas mayores vinculadas a aquel y que además “no sean </w:t>
      </w:r>
      <w:r w:rsidRPr="758F89AC">
        <w:rPr>
          <w:rFonts w:ascii="Century Gothic" w:hAnsi="Century Gothic" w:cs="Arial"/>
          <w:color w:val="000000" w:themeColor="text1"/>
          <w:lang w:val="es-ES"/>
        </w:rPr>
        <w:lastRenderedPageBreak/>
        <w:t>beneficiarios de la pensión de vejez, familiar o de sobrevivencia y que hayan cumplido el requisito de edad de pensión establecido en la Ley”, para beneficiarse del factor de desempate. La norma guarda silencio sobre la acreditación de la condición que da lugar al factor de desempate. Por tanto, esta Agencia consideraba que, mientras el Decreto 1860 de 2021 no entrara en vigencia, existía libertad probatoria sobre el tema. En consecuencia, la entidad contratante podía determinar en el pliego de condiciones o documento equivalente cuál sería el medio para evidenciar la vinculación de las personas mayores por parte del oferente.</w:t>
      </w:r>
    </w:p>
    <w:p w14:paraId="151FCB21" w14:textId="77777777" w:rsidR="003F15AD" w:rsidRPr="00C96FA1" w:rsidRDefault="003F15AD" w:rsidP="758F89AC">
      <w:pPr>
        <w:tabs>
          <w:tab w:val="left" w:pos="6551"/>
        </w:tabs>
        <w:spacing w:after="120" w:line="276" w:lineRule="auto"/>
        <w:ind w:firstLine="709"/>
        <w:jc w:val="both"/>
        <w:rPr>
          <w:rFonts w:ascii="Century Gothic" w:hAnsi="Century Gothic" w:cs="Arial"/>
          <w:color w:val="000000" w:themeColor="text1"/>
          <w:lang w:val="es-ES"/>
        </w:rPr>
      </w:pPr>
      <w:r w:rsidRPr="758F89AC">
        <w:rPr>
          <w:rFonts w:ascii="Century Gothic" w:hAnsi="Century Gothic" w:cs="Arial"/>
          <w:color w:val="000000" w:themeColor="text1"/>
          <w:lang w:val="es-ES"/>
        </w:rPr>
        <w:t xml:space="preserve">Paralelamente, como lo indicó la Agencia en los conceptos </w:t>
      </w:r>
      <w:r w:rsidRPr="758F89AC">
        <w:rPr>
          <w:rFonts w:ascii="Century Gothic" w:eastAsia="Calibri" w:hAnsi="Century Gothic" w:cs="Arial"/>
          <w:color w:val="000000" w:themeColor="text1"/>
          <w:lang w:val="es-ES"/>
        </w:rPr>
        <w:t xml:space="preserve">C-206 del 3 de mayo de 2021 y C-487 del 3 de agosto de 2021, </w:t>
      </w:r>
      <w:r w:rsidRPr="758F89AC">
        <w:rPr>
          <w:rFonts w:ascii="Century Gothic" w:hAnsi="Century Gothic" w:cs="Arial"/>
          <w:color w:val="000000" w:themeColor="text1"/>
          <w:lang w:val="es-ES"/>
        </w:rPr>
        <w:t xml:space="preserve">el numeral 4 del artículo 35 de la Ley 2069 de 2020 exige que la vinculación de personas mayores sea de carácter laboral –es decir, a través de un contrato de trabajo–, por lo cual Colombia Compra Eficiente consideraba que no resultaría procedente, para efectos de acreditar el factor de desempate, la vinculación de dichas personas a través de otros tipos contractuales, como, por ejemplo, el contrato de prestación de servicios. Para estos efectos, la palabra “vinculación” debía entenderse en concordancia con el parágrafo 2 de la norma en comento, el cual dispone que “Para los criterios enunciados que involucren la </w:t>
      </w:r>
      <w:r w:rsidRPr="758F89AC">
        <w:rPr>
          <w:rFonts w:ascii="Century Gothic" w:hAnsi="Century Gothic" w:cs="Arial"/>
          <w:i/>
          <w:iCs/>
          <w:color w:val="000000" w:themeColor="text1"/>
          <w:lang w:val="es-ES"/>
        </w:rPr>
        <w:t>vinculación de capital humano</w:t>
      </w:r>
      <w:r w:rsidRPr="758F89AC">
        <w:rPr>
          <w:rFonts w:ascii="Century Gothic" w:hAnsi="Century Gothic" w:cs="Arial"/>
          <w:color w:val="000000" w:themeColor="text1"/>
          <w:lang w:val="es-ES"/>
        </w:rPr>
        <w:t xml:space="preserve">, el oferente deberá acreditar una antigüedad igual o mayor a un año. Para los casos de constitución inferior a un año </w:t>
      </w:r>
      <w:r w:rsidRPr="758F89AC">
        <w:rPr>
          <w:rFonts w:ascii="Century Gothic" w:hAnsi="Century Gothic" w:cs="Arial"/>
          <w:i/>
          <w:iCs/>
          <w:color w:val="000000" w:themeColor="text1"/>
          <w:lang w:val="es-ES"/>
        </w:rPr>
        <w:t>se tendrá en cuenta a aquellos trabajadores</w:t>
      </w:r>
      <w:r w:rsidRPr="758F89AC">
        <w:rPr>
          <w:rFonts w:ascii="Century Gothic" w:hAnsi="Century Gothic" w:cs="Arial"/>
          <w:color w:val="000000" w:themeColor="text1"/>
          <w:lang w:val="es-ES"/>
        </w:rPr>
        <w:t xml:space="preserve"> que hayan estado vinculados desde el momento de constitución de la misma” (Énfasis fuera de texto). Como se observa, la norma se refiere a la vinculación de trabajadores, lo cual excluye la posibilidad de acreditar el factor de desempate mediante contratistas de prestación de servicios.  </w:t>
      </w:r>
    </w:p>
    <w:p w14:paraId="7FC07C96" w14:textId="77777777" w:rsidR="003F15AD" w:rsidRPr="00C96FA1" w:rsidRDefault="003F15AD" w:rsidP="003F15AD">
      <w:pPr>
        <w:tabs>
          <w:tab w:val="left" w:pos="6551"/>
        </w:tabs>
        <w:spacing w:after="120" w:line="276" w:lineRule="auto"/>
        <w:ind w:firstLine="709"/>
        <w:jc w:val="both"/>
        <w:rPr>
          <w:rFonts w:ascii="Century Gothic" w:hAnsi="Century Gothic" w:cs="Arial"/>
          <w:color w:val="000000" w:themeColor="text1"/>
          <w:lang w:val="es-ES_tradnl"/>
        </w:rPr>
      </w:pPr>
      <w:r w:rsidRPr="00C96FA1">
        <w:rPr>
          <w:rFonts w:ascii="Century Gothic" w:hAnsi="Century Gothic" w:cs="Arial"/>
          <w:color w:val="000000" w:themeColor="text1"/>
          <w:lang w:val="es-ES_tradnl"/>
        </w:rPr>
        <w:t xml:space="preserve">Por otra parte, el parágrafo segundo del artículo 35 de la Ley 2069 de 2020 no efectúa distinción alguna acerca de la modalidad de vinculación laboral. Solo exige que el capital humano esté vinculado laboralmente al oferente con una antigüedad igual o mayor a un año, salvo que la constitución del oferente sea inferior a un año, pues en este caso los trabajadores deben estar vinculados desde dicha constitución. </w:t>
      </w:r>
    </w:p>
    <w:p w14:paraId="16789143" w14:textId="77777777" w:rsidR="003F15AD" w:rsidRPr="00C96FA1" w:rsidRDefault="003F15AD" w:rsidP="003F15AD">
      <w:pPr>
        <w:spacing w:after="120" w:line="276" w:lineRule="auto"/>
        <w:ind w:firstLine="709"/>
        <w:jc w:val="both"/>
        <w:rPr>
          <w:rFonts w:ascii="Century Gothic" w:hAnsi="Century Gothic" w:cs="Arial"/>
          <w:lang w:val="es-ES_tradnl"/>
        </w:rPr>
      </w:pPr>
      <w:r w:rsidRPr="00C96FA1">
        <w:rPr>
          <w:rFonts w:ascii="Century Gothic" w:hAnsi="Century Gothic" w:cs="Arial"/>
          <w:color w:val="000000" w:themeColor="text1"/>
          <w:lang w:val="es-ES_tradnl"/>
        </w:rPr>
        <w:t xml:space="preserve">Además, como se señaló en el concepto C-390 de 2021, </w:t>
      </w:r>
      <w:r w:rsidRPr="00C96FA1">
        <w:rPr>
          <w:rFonts w:ascii="Century Gothic" w:hAnsi="Century Gothic" w:cs="Arial"/>
          <w:lang w:val="es-ES_tradnl"/>
        </w:rPr>
        <w:t xml:space="preserve">es necesario tener en cuenta que el artículo 28 del Código Civil dispone que </w:t>
      </w:r>
      <w:r>
        <w:rPr>
          <w:rFonts w:ascii="Century Gothic" w:hAnsi="Century Gothic" w:cs="Arial"/>
          <w:lang w:val="es-ES_tradnl"/>
        </w:rPr>
        <w:t>“</w:t>
      </w:r>
      <w:r w:rsidRPr="00C96FA1">
        <w:rPr>
          <w:rFonts w:ascii="Century Gothic" w:hAnsi="Century Gothic" w:cs="Arial"/>
          <w:lang w:val="es-ES_tradnl"/>
        </w:rPr>
        <w:t>Las palabras de la ley se entenderán en su sentido natural y obvio, según el uso general de las mismas palabras; pero cuando el legislador las haya definido expresamente para ciertas materias, se les dará en éstas su significado legal</w:t>
      </w:r>
      <w:r>
        <w:rPr>
          <w:rFonts w:ascii="Century Gothic" w:hAnsi="Century Gothic" w:cs="Arial"/>
          <w:lang w:val="es-ES_tradnl"/>
        </w:rPr>
        <w:t>”</w:t>
      </w:r>
      <w:r w:rsidRPr="00C96FA1">
        <w:rPr>
          <w:rFonts w:ascii="Century Gothic" w:hAnsi="Century Gothic" w:cs="Arial"/>
          <w:lang w:val="es-ES_tradnl"/>
        </w:rPr>
        <w:t xml:space="preserve">. Igualmente, en el artículo 29 </w:t>
      </w:r>
      <w:r w:rsidRPr="00C96FA1">
        <w:rPr>
          <w:rFonts w:ascii="Century Gothic" w:hAnsi="Century Gothic" w:cs="Arial"/>
          <w:lang w:val="es-ES_tradnl"/>
        </w:rPr>
        <w:lastRenderedPageBreak/>
        <w:t xml:space="preserve">ibidem, también prescribe que </w:t>
      </w:r>
      <w:r>
        <w:rPr>
          <w:rFonts w:ascii="Century Gothic" w:hAnsi="Century Gothic" w:cs="Arial"/>
          <w:lang w:val="es-ES_tradnl"/>
        </w:rPr>
        <w:t>“</w:t>
      </w:r>
      <w:r w:rsidRPr="00C96FA1">
        <w:rPr>
          <w:rFonts w:ascii="Century Gothic" w:hAnsi="Century Gothic" w:cs="Arial"/>
          <w:lang w:val="es-ES_tradnl"/>
        </w:rPr>
        <w:t>Las palabras técnicas de toda ciencia o arte se tomarán en el sentido que les den los que profesan la misma ciencia o arte; a menos que aparezca claramente que se han formado en sentido diverso</w:t>
      </w:r>
      <w:r>
        <w:rPr>
          <w:rFonts w:ascii="Century Gothic" w:hAnsi="Century Gothic" w:cs="Arial"/>
          <w:lang w:val="es-ES_tradnl"/>
        </w:rPr>
        <w:t>”</w:t>
      </w:r>
      <w:r w:rsidRPr="00C96FA1">
        <w:rPr>
          <w:rFonts w:ascii="Century Gothic" w:hAnsi="Century Gothic" w:cs="Arial"/>
          <w:lang w:val="es-ES_tradnl"/>
        </w:rPr>
        <w:t>.</w:t>
      </w:r>
    </w:p>
    <w:p w14:paraId="2A697A1A" w14:textId="77777777" w:rsidR="003F15AD" w:rsidRPr="00C96FA1" w:rsidRDefault="003F15AD" w:rsidP="003F15AD">
      <w:pPr>
        <w:spacing w:after="120" w:line="276" w:lineRule="auto"/>
        <w:ind w:firstLine="709"/>
        <w:jc w:val="both"/>
        <w:rPr>
          <w:rFonts w:ascii="Century Gothic" w:hAnsi="Century Gothic" w:cs="Arial"/>
          <w:lang w:val="es-ES_tradnl"/>
        </w:rPr>
      </w:pPr>
      <w:r w:rsidRPr="00C96FA1">
        <w:rPr>
          <w:rFonts w:ascii="Century Gothic" w:hAnsi="Century Gothic" w:cs="Arial"/>
          <w:lang w:val="es-ES_tradnl"/>
        </w:rPr>
        <w:t xml:space="preserve">Conforme a la definición del Diccionario de la RAE, la palabra </w:t>
      </w:r>
      <w:r>
        <w:rPr>
          <w:rFonts w:ascii="Century Gothic" w:hAnsi="Century Gothic" w:cs="Arial"/>
          <w:lang w:val="es-ES_tradnl"/>
        </w:rPr>
        <w:t>“</w:t>
      </w:r>
      <w:r w:rsidRPr="00C96FA1">
        <w:rPr>
          <w:rFonts w:ascii="Century Gothic" w:hAnsi="Century Gothic" w:cs="Arial"/>
          <w:lang w:val="es-ES_tradnl"/>
        </w:rPr>
        <w:t>proporción</w:t>
      </w:r>
      <w:r>
        <w:rPr>
          <w:rFonts w:ascii="Century Gothic" w:hAnsi="Century Gothic" w:cs="Arial"/>
          <w:lang w:val="es-ES_tradnl"/>
        </w:rPr>
        <w:t>”</w:t>
      </w:r>
      <w:r w:rsidRPr="00C96FA1">
        <w:rPr>
          <w:rFonts w:ascii="Century Gothic" w:hAnsi="Century Gothic" w:cs="Arial"/>
          <w:lang w:val="es-ES_tradnl"/>
        </w:rPr>
        <w:t xml:space="preserve"> es la </w:t>
      </w:r>
      <w:r>
        <w:rPr>
          <w:rFonts w:ascii="Century Gothic" w:hAnsi="Century Gothic" w:cs="Arial"/>
          <w:lang w:val="es-ES_tradnl"/>
        </w:rPr>
        <w:t>“</w:t>
      </w:r>
      <w:r w:rsidRPr="00C96FA1">
        <w:rPr>
          <w:rFonts w:ascii="Century Gothic" w:hAnsi="Century Gothic" w:cs="Arial"/>
          <w:lang w:val="es-ES_tradnl"/>
        </w:rPr>
        <w:t>Igualdad de dos razones</w:t>
      </w:r>
      <w:r>
        <w:rPr>
          <w:rFonts w:ascii="Century Gothic" w:hAnsi="Century Gothic" w:cs="Arial"/>
          <w:lang w:val="es-ES_tradnl"/>
        </w:rPr>
        <w:t>”</w:t>
      </w:r>
      <w:r w:rsidRPr="00C96FA1">
        <w:rPr>
          <w:rFonts w:ascii="Century Gothic" w:hAnsi="Century Gothic" w:cs="Arial"/>
          <w:lang w:val="es-ES_tradnl"/>
        </w:rPr>
        <w:t xml:space="preserve">. Esta expresión tiene una definición propia en el campo de las matemáticas, pues alude a una relación o razón constante entre diferentes magnitudes que se vayan a medir. Por esta razón, la </w:t>
      </w:r>
      <w:r>
        <w:rPr>
          <w:rFonts w:ascii="Century Gothic" w:hAnsi="Century Gothic" w:cs="Arial"/>
          <w:lang w:val="es-ES_tradnl"/>
        </w:rPr>
        <w:t>“</w:t>
      </w:r>
      <w:r w:rsidRPr="00C96FA1">
        <w:rPr>
          <w:rFonts w:ascii="Century Gothic" w:hAnsi="Century Gothic" w:cs="Arial"/>
          <w:lang w:val="es-ES_tradnl"/>
        </w:rPr>
        <w:t>[…] mayor proporción de personas mayores que no sean beneficiarios de la pensión de vejez, familiar o de sobrevivencia y que hayan cumplido el requisito de edad de pensión establecido en la Ley</w:t>
      </w:r>
      <w:r>
        <w:rPr>
          <w:rFonts w:ascii="Century Gothic" w:hAnsi="Century Gothic" w:cs="Arial"/>
          <w:lang w:val="es-ES_tradnl"/>
        </w:rPr>
        <w:t>”</w:t>
      </w:r>
      <w:r w:rsidRPr="00C96FA1">
        <w:rPr>
          <w:rFonts w:ascii="Century Gothic" w:hAnsi="Century Gothic" w:cs="Arial"/>
          <w:lang w:val="es-ES_tradnl"/>
        </w:rPr>
        <w:t xml:space="preserve"> no corresponde a un valor absoluto, sino relativo.</w:t>
      </w:r>
    </w:p>
    <w:p w14:paraId="2B7E0B37" w14:textId="77777777" w:rsidR="003F15AD" w:rsidRPr="00C96FA1" w:rsidRDefault="003F15AD" w:rsidP="003F15AD">
      <w:pPr>
        <w:spacing w:after="0" w:line="276" w:lineRule="auto"/>
        <w:ind w:firstLine="709"/>
        <w:jc w:val="both"/>
        <w:rPr>
          <w:rFonts w:ascii="Century Gothic" w:hAnsi="Century Gothic" w:cs="Arial"/>
          <w:lang w:val="es-ES_tradnl"/>
        </w:rPr>
      </w:pPr>
      <w:r w:rsidRPr="00C96FA1">
        <w:rPr>
          <w:rFonts w:ascii="Century Gothic" w:hAnsi="Century Gothic" w:cs="Arial"/>
          <w:lang w:val="es-ES_tradnl"/>
        </w:rPr>
        <w:t xml:space="preserve">El factor de desempate del artículo 35.4 de la Ley 2069 de 2020 </w:t>
      </w:r>
      <w:r w:rsidRPr="00C96FA1">
        <w:rPr>
          <w:rFonts w:ascii="Century Gothic" w:hAnsi="Century Gothic" w:cs="Arial"/>
          <w:i/>
          <w:iCs/>
          <w:lang w:val="es-ES_tradnl"/>
        </w:rPr>
        <w:t>no</w:t>
      </w:r>
      <w:r w:rsidRPr="00C96FA1">
        <w:rPr>
          <w:rFonts w:ascii="Century Gothic" w:hAnsi="Century Gothic" w:cs="Arial"/>
          <w:lang w:val="es-ES_tradnl"/>
        </w:rPr>
        <w:t xml:space="preserve"> se refiere a la vinculación en </w:t>
      </w:r>
      <w:r w:rsidRPr="00C96FA1">
        <w:rPr>
          <w:rFonts w:ascii="Century Gothic" w:hAnsi="Century Gothic" w:cs="Arial"/>
          <w:i/>
          <w:iCs/>
          <w:lang w:val="es-ES_tradnl"/>
        </w:rPr>
        <w:t>mayor cantidad</w:t>
      </w:r>
      <w:r w:rsidRPr="00C96FA1">
        <w:rPr>
          <w:rFonts w:ascii="Century Gothic" w:hAnsi="Century Gothic" w:cs="Arial"/>
          <w:lang w:val="es-ES_tradnl"/>
        </w:rPr>
        <w:t xml:space="preserve"> de personas mayores. En este caso, bastaría comparar el número de personas vinculadas entre cada uno de los proponentes empatados, adjudicando el contrato a aquel que más tenga. Sin embargo, esta interpretación no es posible en la medida que la norma se refiere a la </w:t>
      </w:r>
      <w:bookmarkStart w:id="10" w:name="_Hlk72758821"/>
      <w:r>
        <w:rPr>
          <w:rFonts w:ascii="Century Gothic" w:hAnsi="Century Gothic" w:cs="Arial"/>
          <w:lang w:val="es-ES_tradnl"/>
        </w:rPr>
        <w:t>“</w:t>
      </w:r>
      <w:r w:rsidRPr="00C96FA1">
        <w:rPr>
          <w:rFonts w:ascii="Century Gothic" w:hAnsi="Century Gothic" w:cs="Arial"/>
          <w:lang w:val="es-ES_tradnl"/>
        </w:rPr>
        <w:t>vinculación en mayor proporción</w:t>
      </w:r>
      <w:r>
        <w:rPr>
          <w:rFonts w:ascii="Century Gothic" w:hAnsi="Century Gothic" w:cs="Arial"/>
          <w:lang w:val="es-ES_tradnl"/>
        </w:rPr>
        <w:t>”</w:t>
      </w:r>
      <w:bookmarkEnd w:id="10"/>
      <w:r w:rsidRPr="00C96FA1">
        <w:rPr>
          <w:rFonts w:ascii="Century Gothic" w:hAnsi="Century Gothic" w:cs="Arial"/>
          <w:lang w:val="es-ES_tradnl"/>
        </w:rPr>
        <w:t xml:space="preserve">, es decir el número de personas vinculadas en relación con la planta de personal de los oferentes. </w:t>
      </w:r>
      <w:r w:rsidRPr="00C96FA1">
        <w:rPr>
          <w:rFonts w:ascii="Century Gothic" w:eastAsia="Calibri" w:hAnsi="Century Gothic" w:cs="Arial"/>
          <w:bCs/>
          <w:color w:val="000000" w:themeColor="text1"/>
          <w:lang w:val="es-ES_tradnl"/>
        </w:rPr>
        <w:t xml:space="preserve">Lo expuesto se ratifica en el artículo 3 del Decreto reglamentario 1860 de 2021, que adicionó el artículo </w:t>
      </w:r>
      <w:r w:rsidRPr="00C96FA1">
        <w:rPr>
          <w:rFonts w:ascii="Century Gothic" w:eastAsia="Calibri" w:hAnsi="Century Gothic" w:cs="Arial"/>
          <w:color w:val="000000" w:themeColor="text1"/>
          <w:lang w:val="es-ES_tradnl"/>
        </w:rPr>
        <w:t xml:space="preserve">2.2.1.2.4.2.17 al Decreto 1082 de 2015, cuyo numeral 4 desarrolla el factor de desempate que se está analizando: </w:t>
      </w:r>
    </w:p>
    <w:p w14:paraId="1D8119AB" w14:textId="77777777" w:rsidR="003F15AD" w:rsidRPr="00C96FA1" w:rsidRDefault="003F15AD" w:rsidP="003F15AD">
      <w:pPr>
        <w:tabs>
          <w:tab w:val="left" w:pos="0"/>
        </w:tabs>
        <w:spacing w:after="0" w:line="276" w:lineRule="auto"/>
        <w:ind w:firstLine="709"/>
        <w:jc w:val="both"/>
        <w:rPr>
          <w:rFonts w:ascii="Century Gothic" w:eastAsia="Calibri" w:hAnsi="Century Gothic" w:cs="Arial"/>
          <w:bCs/>
          <w:lang w:val="es-ES_tradnl"/>
        </w:rPr>
      </w:pPr>
    </w:p>
    <w:p w14:paraId="7CC2830B" w14:textId="77777777" w:rsidR="003F15AD" w:rsidRPr="00C96FA1" w:rsidRDefault="003F15AD" w:rsidP="003F15AD">
      <w:pPr>
        <w:pStyle w:val="NormalWeb"/>
        <w:shd w:val="clear" w:color="auto" w:fill="FFFFFF"/>
        <w:spacing w:before="0" w:beforeAutospacing="0" w:after="120" w:afterAutospacing="0"/>
        <w:ind w:left="709" w:right="709"/>
        <w:jc w:val="both"/>
        <w:rPr>
          <w:rFonts w:ascii="Century Gothic" w:hAnsi="Century Gothic" w:cs="Arial"/>
          <w:sz w:val="21"/>
          <w:szCs w:val="21"/>
        </w:rPr>
      </w:pPr>
      <w:r w:rsidRPr="00C96FA1">
        <w:rPr>
          <w:rFonts w:ascii="Century Gothic" w:hAnsi="Century Gothic" w:cs="Arial"/>
          <w:sz w:val="21"/>
          <w:szCs w:val="21"/>
        </w:rPr>
        <w:t>“4. Preferir la propuesta presentada por el oferente que acredite la vinculación en mayor proporción de personas mayores que no sean beneficiarias de la pensión de vejez, familiar o de sobrevivencia y que hayan cumplido el requisito de edad de pensión establecido en la ley, para ello, la persona natural, el representante legal de la persona jurídica o el revisor fiscal, según corresponda, entregará un certificado, en el que se acredite, bajo la gravedad de juramento, las personas vinculadas en su nómina y el número de trabajadores que no son beneficiarios de la pensión de vejez, familiar o de sobrevivencia y que cumplieron el requisito de edad de pensión. Solo se tendrá en cuenta la vinculación de aquellas personas que se encuentren en las condiciones descritas y que hayan estado vinculadas con una anterioridad igual o mayor a un (1) año contado a partir de la fecha del cierre del proceso. Para los casos de constitución inferior a un (1) año, se tendrá en cuenta a aquellos que hayan estado vinculados desde el momento de la constitución de la persona jurídica.</w:t>
      </w:r>
    </w:p>
    <w:p w14:paraId="4D2A399A" w14:textId="77777777" w:rsidR="003F15AD" w:rsidRPr="00C96FA1" w:rsidRDefault="003F15AD" w:rsidP="003F15AD">
      <w:pPr>
        <w:pStyle w:val="NormalWeb"/>
        <w:shd w:val="clear" w:color="auto" w:fill="FFFFFF"/>
        <w:spacing w:before="0" w:beforeAutospacing="0" w:after="120" w:afterAutospacing="0"/>
        <w:ind w:left="709" w:right="709"/>
        <w:jc w:val="both"/>
        <w:rPr>
          <w:rFonts w:ascii="Century Gothic" w:hAnsi="Century Gothic" w:cs="Arial"/>
          <w:sz w:val="21"/>
          <w:szCs w:val="21"/>
        </w:rPr>
      </w:pPr>
      <w:r w:rsidRPr="00C96FA1">
        <w:rPr>
          <w:rFonts w:ascii="Century Gothic" w:hAnsi="Century Gothic" w:cs="Arial"/>
          <w:sz w:val="21"/>
          <w:szCs w:val="21"/>
        </w:rPr>
        <w:t xml:space="preserve">El tiempo de vinculación en la planta referida, de que trata el inciso anterior, se acreditará con el certificado de aportes a seguridad social </w:t>
      </w:r>
      <w:r w:rsidRPr="00C96FA1">
        <w:rPr>
          <w:rFonts w:ascii="Century Gothic" w:hAnsi="Century Gothic" w:cs="Arial"/>
          <w:sz w:val="21"/>
          <w:szCs w:val="21"/>
        </w:rPr>
        <w:lastRenderedPageBreak/>
        <w:t>del último año o del tiempo de constitución de la persona jurídica, cuando su conformación es inferior a un (1) año, en el que se demuestren los pagos realizados por el empleador.</w:t>
      </w:r>
    </w:p>
    <w:p w14:paraId="67F0A57B" w14:textId="77777777" w:rsidR="003F15AD" w:rsidRPr="00C96FA1" w:rsidRDefault="003F15AD" w:rsidP="003F15AD">
      <w:pPr>
        <w:pStyle w:val="NormalWeb"/>
        <w:shd w:val="clear" w:color="auto" w:fill="FFFFFF"/>
        <w:spacing w:before="0" w:beforeAutospacing="0" w:after="120" w:afterAutospacing="0"/>
        <w:ind w:left="709" w:right="709"/>
        <w:jc w:val="both"/>
        <w:rPr>
          <w:rFonts w:ascii="Century Gothic" w:hAnsi="Century Gothic" w:cs="Arial"/>
          <w:sz w:val="21"/>
          <w:szCs w:val="21"/>
        </w:rPr>
      </w:pPr>
      <w:r w:rsidRPr="00C96FA1">
        <w:rPr>
          <w:rFonts w:ascii="Century Gothic" w:hAnsi="Century Gothic" w:cs="Arial"/>
          <w:sz w:val="21"/>
          <w:szCs w:val="21"/>
        </w:rPr>
        <w:t>En el caso de los proponentes plurales, su representante legal acreditará el número de trabajadores vinculados que son personas mayores no beneficiarias de la pensión de vejez, familiar o de sobrevivencia, y que cumplieron el requisito de edad de pensión establecido en la ley, de todos los integrantes del proponente. Las personas enunciadas anteriormente podrán estar vinculadas a cualquiera de sus integrantes.</w:t>
      </w:r>
    </w:p>
    <w:p w14:paraId="1609460A" w14:textId="77777777" w:rsidR="003F15AD" w:rsidRPr="00C96FA1" w:rsidRDefault="003F15AD" w:rsidP="003F15AD">
      <w:pPr>
        <w:pStyle w:val="NormalWeb"/>
        <w:shd w:val="clear" w:color="auto" w:fill="FFFFFF"/>
        <w:spacing w:before="0" w:beforeAutospacing="0" w:after="120" w:afterAutospacing="0"/>
        <w:ind w:left="709" w:right="709"/>
        <w:jc w:val="both"/>
        <w:rPr>
          <w:rFonts w:ascii="Century Gothic" w:hAnsi="Century Gothic" w:cs="Arial"/>
          <w:sz w:val="21"/>
          <w:szCs w:val="21"/>
        </w:rPr>
      </w:pPr>
      <w:r w:rsidRPr="00C96FA1">
        <w:rPr>
          <w:rFonts w:ascii="Century Gothic" w:hAnsi="Century Gothic" w:cs="Arial"/>
          <w:sz w:val="21"/>
          <w:szCs w:val="21"/>
        </w:rPr>
        <w:t>En cualquiera de los dos supuestos anteriores, para el otorgamiento del criterio de desempate, cada uno de los trabajadores que cumpla las condiciones previstas por la ley, allegará un certificado, mediante el cual acredita, bajo la gravedad de juramento, que no es beneficiario de pensión de vejez, familiar o sobrevivencia, y cumple la edad de pensión; además, se deberá allegar el documento de identificación del trabajador que lo firma.</w:t>
      </w:r>
    </w:p>
    <w:p w14:paraId="7CD0A5C0" w14:textId="77777777" w:rsidR="003F15AD" w:rsidRPr="00C96FA1" w:rsidRDefault="003F15AD" w:rsidP="003F15AD">
      <w:pPr>
        <w:shd w:val="clear" w:color="auto" w:fill="FFFFFF"/>
        <w:spacing w:after="0" w:line="240" w:lineRule="auto"/>
        <w:ind w:left="709" w:right="709"/>
        <w:jc w:val="both"/>
        <w:rPr>
          <w:rFonts w:ascii="Century Gothic" w:eastAsia="Calibri" w:hAnsi="Century Gothic" w:cs="Arial"/>
          <w:lang w:val="es-ES_tradnl"/>
        </w:rPr>
      </w:pPr>
      <w:r w:rsidRPr="00C96FA1">
        <w:rPr>
          <w:rFonts w:ascii="Century Gothic" w:hAnsi="Century Gothic" w:cs="Arial"/>
          <w:i/>
          <w:iCs/>
          <w:sz w:val="21"/>
          <w:szCs w:val="21"/>
        </w:rPr>
        <w:t xml:space="preserve">La mayor proporción </w:t>
      </w:r>
      <w:bookmarkStart w:id="11" w:name="_Hlk102656704"/>
      <w:r w:rsidRPr="00C96FA1">
        <w:rPr>
          <w:rFonts w:ascii="Century Gothic" w:hAnsi="Century Gothic" w:cs="Arial"/>
          <w:i/>
          <w:iCs/>
          <w:sz w:val="21"/>
          <w:szCs w:val="21"/>
        </w:rPr>
        <w:t>se definirá en relación con el número total de trabajadores vinculados en la planta de personal, por lo que se preferirá al oferente que acredite un porcentaje mayor</w:t>
      </w:r>
      <w:bookmarkEnd w:id="11"/>
      <w:r w:rsidRPr="00C96FA1">
        <w:rPr>
          <w:rFonts w:ascii="Century Gothic" w:hAnsi="Century Gothic" w:cs="Arial"/>
          <w:i/>
          <w:iCs/>
          <w:sz w:val="21"/>
          <w:szCs w:val="21"/>
        </w:rPr>
        <w:t>. En el caso de proponentes plurales, la mayor proporción se definirá con la sumatoria de trabajadores vinculados en la planta de personal de cada uno de sus integrantes</w:t>
      </w:r>
      <w:r w:rsidRPr="00C96FA1">
        <w:rPr>
          <w:rFonts w:ascii="Century Gothic" w:hAnsi="Century Gothic" w:cs="Arial"/>
          <w:sz w:val="21"/>
          <w:szCs w:val="21"/>
        </w:rPr>
        <w:t>”.</w:t>
      </w:r>
      <w:r w:rsidRPr="00C96FA1">
        <w:rPr>
          <w:rFonts w:ascii="Century Gothic" w:eastAsia="Calibri" w:hAnsi="Century Gothic" w:cs="Arial"/>
          <w:lang w:val="es-ES_tradnl"/>
        </w:rPr>
        <w:t xml:space="preserve"> (Énfasis fuera de texto)</w:t>
      </w:r>
    </w:p>
    <w:p w14:paraId="6B73B8D3" w14:textId="77777777" w:rsidR="003F15AD" w:rsidRPr="00C96FA1" w:rsidRDefault="003F15AD" w:rsidP="003F15AD">
      <w:pPr>
        <w:tabs>
          <w:tab w:val="left" w:pos="0"/>
        </w:tabs>
        <w:spacing w:after="0" w:line="276" w:lineRule="auto"/>
        <w:ind w:firstLine="709"/>
        <w:jc w:val="both"/>
        <w:rPr>
          <w:rFonts w:ascii="Century Gothic" w:eastAsia="Calibri" w:hAnsi="Century Gothic" w:cs="Arial"/>
          <w:bCs/>
          <w:lang w:val="es-ES_tradnl"/>
        </w:rPr>
      </w:pPr>
    </w:p>
    <w:p w14:paraId="51865D14" w14:textId="77777777" w:rsidR="003F15AD" w:rsidRPr="00C96FA1" w:rsidRDefault="003F15AD" w:rsidP="758F89AC">
      <w:pPr>
        <w:spacing w:after="120" w:line="276" w:lineRule="auto"/>
        <w:ind w:firstLine="709"/>
        <w:jc w:val="both"/>
        <w:rPr>
          <w:rFonts w:ascii="Century Gothic" w:eastAsia="Calibri" w:hAnsi="Century Gothic" w:cs="Arial"/>
          <w:lang w:val="es-ES"/>
        </w:rPr>
      </w:pPr>
      <w:r w:rsidRPr="758F89AC">
        <w:rPr>
          <w:rFonts w:ascii="Century Gothic" w:eastAsia="Calibri" w:hAnsi="Century Gothic" w:cs="Arial"/>
          <w:lang w:val="es-ES"/>
        </w:rPr>
        <w:t>Como se observa, tampoco se refiere a los prepensionados como sujetos del criterio de desempate. De conformidad con lo anterior, la reglamentación actual, expresamente, señala que se preferirá la propuesta del oferente que acredite la vinculación en mayor proporción de personas mayores que no sean beneficiarias de la pensión de vejez, familiar o de sobrevivencia y que hayan cumplido el requisito de edad de pensión establecido en la ley, para lo cual deberán presentar los siguientes documentos: i) un certificado mediante el cual, el representante legal de la persona jurídica o el revisor fiscal, acredite bajo gravedad de juramento las personas vinculadas a la nómina y el número de trabajadores que no son beneficiarios de la pensión de vejez, familiar o de sobrevivencia, ii) un certificado mediante el cual, cada uno de los trabajadores sujetos a la condición prevista en el numeral, acredite bajo gravedad de juramento que no es beneficiario de pensión de vejez, familiar o sobrevivencia, y que cumple la edad de pensión; y iii) además, el documento de identificación del trabajador que lo firma.</w:t>
      </w:r>
    </w:p>
    <w:p w14:paraId="2AADADCC" w14:textId="77777777" w:rsidR="003F15AD" w:rsidRPr="00C96FA1" w:rsidRDefault="003F15AD" w:rsidP="003F15AD">
      <w:pPr>
        <w:tabs>
          <w:tab w:val="left" w:pos="0"/>
        </w:tabs>
        <w:spacing w:after="120" w:line="276" w:lineRule="auto"/>
        <w:ind w:firstLine="709"/>
        <w:jc w:val="both"/>
        <w:rPr>
          <w:rFonts w:ascii="Century Gothic" w:eastAsia="Calibri" w:hAnsi="Century Gothic" w:cs="Arial"/>
          <w:bCs/>
          <w:lang w:val="es-ES_tradnl"/>
        </w:rPr>
      </w:pPr>
      <w:r w:rsidRPr="00C96FA1">
        <w:rPr>
          <w:rFonts w:ascii="Century Gothic" w:eastAsia="Calibri" w:hAnsi="Century Gothic" w:cs="Arial"/>
          <w:bCs/>
          <w:lang w:val="es-ES_tradnl"/>
        </w:rPr>
        <w:t xml:space="preserve">Según la norma citada, se estipula que la vinculación de estas personas se tendrá en cuenta si han estado vinculadas con anterioridad a un año desde la </w:t>
      </w:r>
      <w:r w:rsidRPr="00C96FA1">
        <w:rPr>
          <w:rFonts w:ascii="Century Gothic" w:eastAsia="Calibri" w:hAnsi="Century Gothic" w:cs="Arial"/>
          <w:bCs/>
          <w:lang w:val="es-ES_tradnl"/>
        </w:rPr>
        <w:lastRenderedPageBreak/>
        <w:t xml:space="preserve">fecha de cierre del proceso y que para el caso de las personas jurídicas nuevas o con constitución inferior a un año, se tendrá en cuenta que hayan estado vinculadas desde el momento de constitución de la persona jurídica. De otro lado, para el caso de los proponentes plurales, se establece que las personas referenciadas podrán estar vinculadas a cualquiera de los integrantes de la estructura plural. </w:t>
      </w:r>
    </w:p>
    <w:p w14:paraId="63F1234E" w14:textId="77777777" w:rsidR="003F15AD" w:rsidRPr="00C96FA1" w:rsidRDefault="003F15AD" w:rsidP="003F15AD">
      <w:pPr>
        <w:tabs>
          <w:tab w:val="left" w:pos="0"/>
        </w:tabs>
        <w:spacing w:after="0" w:line="276" w:lineRule="auto"/>
        <w:ind w:firstLine="709"/>
        <w:jc w:val="both"/>
        <w:rPr>
          <w:rFonts w:ascii="Century Gothic" w:eastAsia="Calibri" w:hAnsi="Century Gothic" w:cs="Arial"/>
          <w:bCs/>
          <w:lang w:val="es-ES_tradnl"/>
        </w:rPr>
      </w:pPr>
      <w:r w:rsidRPr="00C96FA1">
        <w:rPr>
          <w:rFonts w:ascii="Century Gothic" w:eastAsia="Calibri" w:hAnsi="Century Gothic" w:cs="Arial"/>
          <w:bCs/>
          <w:lang w:val="es-ES_tradnl"/>
        </w:rPr>
        <w:t xml:space="preserve">Finalmente, de acuerdo con la norma, la expresión </w:t>
      </w:r>
      <w:r>
        <w:rPr>
          <w:rFonts w:ascii="Century Gothic" w:eastAsia="Calibri" w:hAnsi="Century Gothic" w:cs="Arial"/>
          <w:bCs/>
          <w:lang w:val="es-ES_tradnl"/>
        </w:rPr>
        <w:t>“</w:t>
      </w:r>
      <w:r w:rsidRPr="00C96FA1">
        <w:rPr>
          <w:rFonts w:ascii="Century Gothic" w:eastAsia="Calibri" w:hAnsi="Century Gothic" w:cs="Arial"/>
          <w:bCs/>
          <w:lang w:val="es-ES_tradnl"/>
        </w:rPr>
        <w:t>mayor proporción</w:t>
      </w:r>
      <w:r>
        <w:rPr>
          <w:rFonts w:ascii="Century Gothic" w:eastAsia="Calibri" w:hAnsi="Century Gothic" w:cs="Arial"/>
          <w:bCs/>
          <w:lang w:val="es-ES_tradnl"/>
        </w:rPr>
        <w:t>”</w:t>
      </w:r>
      <w:r w:rsidRPr="00C96FA1">
        <w:rPr>
          <w:rFonts w:ascii="Century Gothic" w:eastAsia="Calibri" w:hAnsi="Century Gothic" w:cs="Arial"/>
          <w:bCs/>
          <w:lang w:val="es-ES_tradnl"/>
        </w:rPr>
        <w:t xml:space="preserve"> alude al número de personas vinculadas por el oferente, la cual </w:t>
      </w:r>
      <w:r>
        <w:rPr>
          <w:rFonts w:ascii="Century Gothic" w:hAnsi="Century Gothic" w:cs="Arial"/>
          <w:lang w:val="es-ES_tradnl"/>
        </w:rPr>
        <w:t>“</w:t>
      </w:r>
      <w:r w:rsidRPr="00C96FA1">
        <w:rPr>
          <w:rFonts w:ascii="Century Gothic" w:eastAsia="Calibri" w:hAnsi="Century Gothic" w:cs="Arial"/>
          <w:bCs/>
          <w:lang w:val="es-ES_tradnl"/>
        </w:rPr>
        <w:t xml:space="preserve">se definirá en relación con el número total de trabajadores vinculados en la planta de personal, por lo que se preferirá al oferente que acredite un </w:t>
      </w:r>
      <w:r w:rsidRPr="00C96FA1">
        <w:rPr>
          <w:rFonts w:ascii="Century Gothic" w:eastAsia="Calibri" w:hAnsi="Century Gothic" w:cs="Arial"/>
          <w:bCs/>
          <w:i/>
          <w:iCs/>
          <w:lang w:val="es-ES_tradnl"/>
        </w:rPr>
        <w:t>porcentaje mayor</w:t>
      </w:r>
      <w:r>
        <w:rPr>
          <w:rFonts w:ascii="Century Gothic" w:hAnsi="Century Gothic" w:cs="Arial"/>
          <w:lang w:val="es-ES_tradnl"/>
        </w:rPr>
        <w:t>”</w:t>
      </w:r>
      <w:r w:rsidRPr="00C96FA1">
        <w:rPr>
          <w:rFonts w:ascii="Century Gothic" w:eastAsia="Calibri" w:hAnsi="Century Gothic" w:cs="Arial"/>
          <w:bCs/>
          <w:lang w:val="es-ES_tradnl"/>
        </w:rPr>
        <w:t xml:space="preserve"> de vinculación laboral de personas que reúnan la condición de ser mayores y que </w:t>
      </w:r>
      <w:r>
        <w:rPr>
          <w:rFonts w:ascii="Century Gothic" w:eastAsia="Calibri" w:hAnsi="Century Gothic" w:cs="Arial"/>
          <w:bCs/>
          <w:lang w:val="es-ES_tradnl"/>
        </w:rPr>
        <w:t>“</w:t>
      </w:r>
      <w:r w:rsidRPr="00C96FA1">
        <w:rPr>
          <w:rFonts w:ascii="Century Gothic" w:eastAsia="Calibri" w:hAnsi="Century Gothic" w:cs="Arial"/>
          <w:bCs/>
          <w:lang w:val="es-ES_tradnl"/>
        </w:rPr>
        <w:t>no sean beneficiarios de la pensión de vejez, familiar o de sobrevivencia y que hayan cumplido el requisito de edad de pensión establecido en la Ley</w:t>
      </w:r>
      <w:r>
        <w:rPr>
          <w:rFonts w:ascii="Century Gothic" w:eastAsia="Calibri" w:hAnsi="Century Gothic" w:cs="Arial"/>
          <w:bCs/>
          <w:lang w:val="es-ES_tradnl"/>
        </w:rPr>
        <w:t>”</w:t>
      </w:r>
      <w:r w:rsidRPr="00C96FA1">
        <w:rPr>
          <w:rFonts w:ascii="Century Gothic" w:eastAsia="Calibri" w:hAnsi="Century Gothic" w:cs="Arial"/>
          <w:bCs/>
          <w:lang w:val="es-ES_tradnl"/>
        </w:rPr>
        <w:t xml:space="preserve">. Para el caso de los proponentes plurales, </w:t>
      </w:r>
      <w:r>
        <w:rPr>
          <w:rFonts w:ascii="Century Gothic" w:hAnsi="Century Gothic" w:cs="Arial"/>
          <w:lang w:val="es-ES_tradnl"/>
        </w:rPr>
        <w:t>“</w:t>
      </w:r>
      <w:r w:rsidRPr="00C96FA1">
        <w:rPr>
          <w:rFonts w:ascii="Century Gothic" w:hAnsi="Century Gothic" w:cs="Arial"/>
          <w:lang w:val="es-ES_tradnl"/>
        </w:rPr>
        <w:t>la mayor proporción se definirá con la sumatoria de trabajadores vinculados en la planta de personal de cada uno de sus integrantes</w:t>
      </w:r>
      <w:r>
        <w:rPr>
          <w:rFonts w:ascii="Century Gothic" w:hAnsi="Century Gothic" w:cs="Arial"/>
          <w:lang w:val="es-ES_tradnl"/>
        </w:rPr>
        <w:t>”</w:t>
      </w:r>
      <w:r w:rsidRPr="00C96FA1">
        <w:rPr>
          <w:rFonts w:ascii="Century Gothic" w:hAnsi="Century Gothic" w:cs="Arial"/>
          <w:lang w:val="es-ES_tradnl"/>
        </w:rPr>
        <w:t xml:space="preserve">.  </w:t>
      </w:r>
    </w:p>
    <w:p w14:paraId="34E44A04" w14:textId="77777777" w:rsidR="003F15AD" w:rsidRPr="00C96FA1" w:rsidRDefault="003F15AD" w:rsidP="003F15AD">
      <w:pPr>
        <w:tabs>
          <w:tab w:val="left" w:pos="0"/>
        </w:tabs>
        <w:spacing w:after="0" w:line="276" w:lineRule="auto"/>
        <w:ind w:firstLine="709"/>
        <w:jc w:val="both"/>
        <w:rPr>
          <w:rFonts w:ascii="Century Gothic" w:eastAsia="Calibri" w:hAnsi="Century Gothic" w:cs="Arial"/>
          <w:bCs/>
          <w:lang w:val="es-ES_tradnl"/>
        </w:rPr>
      </w:pPr>
    </w:p>
    <w:p w14:paraId="34F85DC3" w14:textId="77777777" w:rsidR="003F15AD" w:rsidRPr="00C96FA1" w:rsidRDefault="003F15AD" w:rsidP="003F15AD">
      <w:pPr>
        <w:tabs>
          <w:tab w:val="left" w:pos="0"/>
        </w:tabs>
        <w:spacing w:after="0"/>
        <w:jc w:val="both"/>
        <w:rPr>
          <w:rFonts w:ascii="Century Gothic" w:eastAsia="Calibri" w:hAnsi="Century Gothic" w:cs="Arial"/>
          <w:b/>
          <w:color w:val="000000" w:themeColor="text1"/>
          <w:lang w:val="es-ES_tradnl"/>
        </w:rPr>
      </w:pPr>
      <w:r w:rsidRPr="00C96FA1">
        <w:rPr>
          <w:rFonts w:ascii="Century Gothic" w:eastAsia="Calibri" w:hAnsi="Century Gothic" w:cs="Arial"/>
          <w:b/>
          <w:color w:val="000000" w:themeColor="text1"/>
          <w:lang w:val="es-ES_tradnl"/>
        </w:rPr>
        <w:t>3. Respuesta</w:t>
      </w:r>
    </w:p>
    <w:p w14:paraId="3731C14E" w14:textId="77777777" w:rsidR="003F15AD" w:rsidRPr="00035110" w:rsidRDefault="003F15AD" w:rsidP="003F15AD">
      <w:pPr>
        <w:spacing w:after="0" w:line="276" w:lineRule="auto"/>
        <w:ind w:firstLine="709"/>
        <w:jc w:val="both"/>
        <w:rPr>
          <w:rFonts w:ascii="Century Gothic" w:eastAsia="Times New Roman" w:hAnsi="Century Gothic" w:cs="Arial"/>
          <w:lang w:eastAsia="es-CO"/>
        </w:rPr>
      </w:pPr>
      <w:bookmarkStart w:id="12" w:name="_Hlk131064197"/>
    </w:p>
    <w:p w14:paraId="0AD1A169" w14:textId="77777777" w:rsidR="003F15AD" w:rsidRPr="00035110" w:rsidRDefault="003F15AD" w:rsidP="758F89AC">
      <w:pPr>
        <w:spacing w:after="0" w:line="240" w:lineRule="auto"/>
        <w:ind w:left="709" w:right="709"/>
        <w:jc w:val="both"/>
        <w:rPr>
          <w:rFonts w:ascii="Century Gothic" w:hAnsi="Century Gothic" w:cs="Arial"/>
          <w:color w:val="000000" w:themeColor="text1"/>
          <w:sz w:val="21"/>
          <w:szCs w:val="21"/>
          <w:lang w:val="es-ES"/>
        </w:rPr>
      </w:pPr>
      <w:r w:rsidRPr="758F89AC">
        <w:rPr>
          <w:rFonts w:ascii="Century Gothic" w:hAnsi="Century Gothic" w:cs="Arial"/>
          <w:color w:val="000000" w:themeColor="text1"/>
          <w:sz w:val="21"/>
          <w:szCs w:val="21"/>
          <w:lang w:val="es-ES"/>
        </w:rPr>
        <w:t>“¿La expresión ‘personas mayores’ dispuesta en el factor de desempate del artículo 35.4 de la ley 2069 de 2020 incluye tanto la definición que señala el artículo 3 de la Ley 1251 de 2008, es decir, como ‘(…) aquella persona que cuenta con sesenta (60) años o más, como a las personas que en el rango de edad correspondiente a cada género no han alcanzado la pensión (artículos 33 y 36 de Ley 100 de 1993) y/o quienes gocen de calidad de prepensionados […]?”.</w:t>
      </w:r>
    </w:p>
    <w:p w14:paraId="2729E4FB" w14:textId="77777777" w:rsidR="003F15AD" w:rsidRPr="00035110" w:rsidRDefault="003F15AD" w:rsidP="003F15AD">
      <w:pPr>
        <w:spacing w:after="0" w:line="276" w:lineRule="auto"/>
        <w:jc w:val="both"/>
        <w:rPr>
          <w:rFonts w:ascii="Century Gothic" w:hAnsi="Century Gothic" w:cs="Arial"/>
          <w:color w:val="000000" w:themeColor="text1"/>
          <w:lang w:val="es-ES_tradnl"/>
        </w:rPr>
      </w:pPr>
    </w:p>
    <w:p w14:paraId="0D422EA1" w14:textId="77777777" w:rsidR="003F15AD" w:rsidRDefault="003F15AD" w:rsidP="758F89AC">
      <w:pPr>
        <w:spacing w:after="120" w:line="276" w:lineRule="auto"/>
        <w:jc w:val="both"/>
        <w:rPr>
          <w:rFonts w:ascii="Century Gothic" w:eastAsia="Calibri" w:hAnsi="Century Gothic" w:cs="Arial"/>
          <w:color w:val="000000" w:themeColor="text1"/>
          <w:lang w:val="es-ES"/>
        </w:rPr>
      </w:pPr>
      <w:bookmarkStart w:id="13" w:name="_Hlk164174895"/>
      <w:bookmarkEnd w:id="12"/>
      <w:r w:rsidRPr="758F89AC">
        <w:rPr>
          <w:rFonts w:ascii="Century Gothic" w:eastAsia="Calibri" w:hAnsi="Century Gothic" w:cs="Arial"/>
          <w:color w:val="000000" w:themeColor="text1"/>
          <w:lang w:val="es-ES"/>
        </w:rPr>
        <w:t xml:space="preserve">De acuerdo con la interpretación general del artículo 34.4 de la Ley de Emprendimiento, cuando el legislador alude al concepto de “personas mayores” que no sean beneficiarias de la pensión de vejez, familiar o de sobrevivencia y que hayan cumplido la edad para obtenerla, una posible interpretación es entender que la norma se refiere al “adulto mayor”. Este concepto lo define el artículo 3 de la Ley 1251 de 2008 –“Por la cual se dictan normas tendientes a procurar la protección, promoción y defensa de los derechos de los adultos mayores”– como “[…] aquella persona que cuenta con sesenta (60) años de edad o más”, lo cual se puede acreditar con el documento de identidad correspondiente. En todo caso, también es posible entender que esta causal aplica a todas las personas que –en el rango de edad correspondiente a cada género– no han alcanzado la pensión, </w:t>
      </w:r>
      <w:r w:rsidRPr="758F89AC">
        <w:rPr>
          <w:rFonts w:ascii="Century Gothic" w:eastAsia="Calibri" w:hAnsi="Century Gothic" w:cs="Arial"/>
          <w:color w:val="000000" w:themeColor="text1"/>
          <w:lang w:val="es-ES"/>
        </w:rPr>
        <w:lastRenderedPageBreak/>
        <w:t xml:space="preserve">interpretación que está más ajustada al principio de favorabilidad y que, como se expresará, se acogió en la reglamentación realizada por el Decreto 1860 de 2021. </w:t>
      </w:r>
    </w:p>
    <w:p w14:paraId="3F0387DE" w14:textId="77777777" w:rsidR="003F15AD" w:rsidRDefault="003F15AD" w:rsidP="758F89AC">
      <w:pPr>
        <w:spacing w:after="120" w:line="276" w:lineRule="auto"/>
        <w:ind w:firstLine="708"/>
        <w:jc w:val="both"/>
        <w:rPr>
          <w:rFonts w:ascii="Century Gothic" w:hAnsi="Century Gothic" w:cs="Arial"/>
          <w:color w:val="000000" w:themeColor="text1"/>
          <w:lang w:val="es-ES"/>
        </w:rPr>
      </w:pPr>
      <w:r w:rsidRPr="758F89AC">
        <w:rPr>
          <w:rFonts w:ascii="Century Gothic" w:eastAsia="Calibri" w:hAnsi="Century Gothic" w:cs="Arial"/>
          <w:color w:val="000000" w:themeColor="text1"/>
          <w:lang w:val="es-ES"/>
        </w:rPr>
        <w:t xml:space="preserve">Sin embargo, de la literalidad de la norma no se desprende la aplicación de este factor de desempate a los prepensionados, por lo que no son destinatarios de este incentivo. </w:t>
      </w:r>
      <w:r w:rsidRPr="758F89AC">
        <w:rPr>
          <w:rFonts w:ascii="Century Gothic" w:hAnsi="Century Gothic" w:cs="Arial"/>
          <w:color w:val="000000" w:themeColor="text1"/>
          <w:lang w:val="es-ES"/>
        </w:rPr>
        <w:t>El numeral dice que en dicho evento la regla de desempate se aplica a favor del “[…] oferente que acredite la vinculación en mayor proporción de personas mayores que no sean beneficiarios de la pensión de vejez, familiar o de sobrevivencia y que hayan cumplido el requisito de edad de pensión establecido en la Ley”.</w:t>
      </w:r>
    </w:p>
    <w:p w14:paraId="05801E07" w14:textId="77777777" w:rsidR="003F15AD" w:rsidRPr="00BE52AA" w:rsidRDefault="003F15AD" w:rsidP="758F89AC">
      <w:pPr>
        <w:spacing w:after="0" w:line="276" w:lineRule="auto"/>
        <w:ind w:firstLine="708"/>
        <w:jc w:val="both"/>
        <w:rPr>
          <w:rFonts w:ascii="Century Gothic" w:eastAsia="Times New Roman" w:hAnsi="Century Gothic" w:cs="Arial"/>
          <w:color w:val="000000"/>
          <w:lang w:val="es-ES" w:eastAsia="es-ES"/>
        </w:rPr>
      </w:pPr>
      <w:r w:rsidRPr="758F89AC">
        <w:rPr>
          <w:rFonts w:ascii="Century Gothic" w:eastAsia="Calibri" w:hAnsi="Century Gothic" w:cs="Arial"/>
          <w:lang w:val="es-ES"/>
        </w:rPr>
        <w:t xml:space="preserve">Del numeral 4 del artículo </w:t>
      </w:r>
      <w:r w:rsidRPr="758F89AC">
        <w:rPr>
          <w:rFonts w:ascii="Century Gothic" w:eastAsia="Calibri" w:hAnsi="Century Gothic" w:cs="Arial"/>
          <w:color w:val="000000" w:themeColor="text1"/>
          <w:lang w:val="es-ES"/>
        </w:rPr>
        <w:t xml:space="preserve">2.2.1.2.4.2.17 del Decreto 1082 de 2015 </w:t>
      </w:r>
      <w:r w:rsidRPr="758F89AC">
        <w:rPr>
          <w:rFonts w:ascii="Century Gothic" w:eastAsia="Calibri" w:hAnsi="Century Gothic" w:cs="Arial"/>
          <w:lang w:val="es-ES"/>
        </w:rPr>
        <w:t>tampoco se refiere a los prepensionados como sujetos del criterio de desempate. De conformidad con lo anterior, la reglamentación actual, expresamente, señala que se preferirá la propuesta del oferente que acredite la vinculación en mayor proporción de personas mayores que no sean beneficiarias de la pensión de vejez, familiar o de sobrevivencia y que hayan cumplido el requisito de edad de pensión establecido en la ley, para lo cual deberán presentar los siguientes documentos: i) un certificado mediante el cual, el representante legal de la persona jurídica o el revisor fiscal, acredite bajo gravedad de juramento las personas vinculadas a la nómina y el número de trabajadores que no son beneficiarios de la pensión de vejez, familiar o de sobrevivencia, ii) un certificado mediante el cual, cada uno de los trabajadores sujetos a la condición prevista en el numeral, acredite bajo gravedad de juramento que no es beneficiario de pensión de vejez, familiar o sobrevivencia, y que cumple la edad de pensión; y iii) además, el documento de identificación del trabajador que lo firma.</w:t>
      </w:r>
    </w:p>
    <w:bookmarkEnd w:id="13"/>
    <w:p w14:paraId="1F0CA5DF" w14:textId="77777777" w:rsidR="003F15AD" w:rsidRPr="00035110" w:rsidRDefault="003F15AD" w:rsidP="003F15AD">
      <w:pPr>
        <w:pBdr>
          <w:top w:val="nil"/>
          <w:left w:val="nil"/>
          <w:bottom w:val="nil"/>
          <w:right w:val="nil"/>
          <w:between w:val="nil"/>
        </w:pBdr>
        <w:spacing w:after="120" w:line="276" w:lineRule="auto"/>
        <w:jc w:val="both"/>
        <w:rPr>
          <w:rFonts w:ascii="Century Gothic" w:eastAsia="Arial" w:hAnsi="Century Gothic" w:cs="Arial"/>
          <w:color w:val="000000"/>
        </w:rPr>
      </w:pPr>
    </w:p>
    <w:p w14:paraId="43441FBF" w14:textId="77777777" w:rsidR="003F15AD" w:rsidRPr="00035110" w:rsidRDefault="003F15AD" w:rsidP="003F15AD">
      <w:pPr>
        <w:widowControl w:val="0"/>
        <w:autoSpaceDE w:val="0"/>
        <w:autoSpaceDN w:val="0"/>
        <w:spacing w:after="0" w:line="276" w:lineRule="auto"/>
        <w:jc w:val="both"/>
        <w:rPr>
          <w:rFonts w:ascii="Century Gothic" w:hAnsi="Century Gothic" w:cs="Arial"/>
          <w:color w:val="000000" w:themeColor="text1"/>
          <w:lang w:val="es-ES_tradnl" w:bidi="es-ES"/>
        </w:rPr>
      </w:pPr>
      <w:r w:rsidRPr="00035110">
        <w:rPr>
          <w:rFonts w:ascii="Century Gothic" w:hAnsi="Century Gothic" w:cs="Arial"/>
          <w:color w:val="000000" w:themeColor="text1"/>
          <w:lang w:val="es-ES_tradnl"/>
        </w:rPr>
        <w:t>Este concepto tiene el alcance previsto en el artículo 28 del Código de Procedimiento Administrativo y de lo Contencioso Administrativo.</w:t>
      </w:r>
      <w:r>
        <w:rPr>
          <w:rFonts w:ascii="Century Gothic" w:hAnsi="Century Gothic" w:cs="Arial"/>
          <w:color w:val="000000" w:themeColor="text1"/>
          <w:lang w:val="es-ES_tradnl"/>
        </w:rPr>
        <w:t xml:space="preserve"> </w:t>
      </w:r>
    </w:p>
    <w:p w14:paraId="2782C405" w14:textId="77777777" w:rsidR="003F15AD" w:rsidRPr="00035110" w:rsidRDefault="003F15AD" w:rsidP="003F15AD">
      <w:pPr>
        <w:widowControl w:val="0"/>
        <w:autoSpaceDE w:val="0"/>
        <w:autoSpaceDN w:val="0"/>
        <w:spacing w:after="0" w:line="276" w:lineRule="auto"/>
        <w:jc w:val="both"/>
        <w:rPr>
          <w:rFonts w:ascii="Century Gothic" w:hAnsi="Century Gothic" w:cs="Arial"/>
          <w:color w:val="000000" w:themeColor="text1"/>
          <w:lang w:val="es-ES_tradnl" w:bidi="es-ES"/>
        </w:rPr>
      </w:pPr>
    </w:p>
    <w:p w14:paraId="5EA6C14A" w14:textId="77777777" w:rsidR="003F15AD" w:rsidRPr="00035110" w:rsidRDefault="003F15AD" w:rsidP="003F15AD">
      <w:pPr>
        <w:tabs>
          <w:tab w:val="left" w:pos="426"/>
        </w:tabs>
        <w:spacing w:line="276" w:lineRule="auto"/>
        <w:jc w:val="both"/>
        <w:rPr>
          <w:rFonts w:ascii="Century Gothic" w:eastAsia="Times New Roman" w:hAnsi="Century Gothic" w:cs="Arial"/>
          <w:color w:val="000000" w:themeColor="text1"/>
        </w:rPr>
      </w:pPr>
      <w:r w:rsidRPr="00035110">
        <w:rPr>
          <w:rFonts w:ascii="Century Gothic" w:eastAsia="Times New Roman" w:hAnsi="Century Gothic" w:cs="Arial"/>
          <w:color w:val="000000" w:themeColor="text1"/>
        </w:rPr>
        <w:t>Atentamente,</w:t>
      </w:r>
    </w:p>
    <w:p w14:paraId="3E522D0B" w14:textId="3D340BA2" w:rsidR="003F15AD" w:rsidRPr="00035110" w:rsidRDefault="00AD7F58" w:rsidP="003F15AD">
      <w:pPr>
        <w:jc w:val="center"/>
        <w:rPr>
          <w:rFonts w:ascii="Century Gothic" w:eastAsia="Times New Roman" w:hAnsi="Century Gothic" w:cs="Arial"/>
          <w:lang w:eastAsia="es-CO"/>
        </w:rPr>
      </w:pPr>
      <w:r>
        <w:rPr>
          <w:noProof/>
        </w:rPr>
        <w:drawing>
          <wp:inline distT="0" distB="0" distL="0" distR="0" wp14:anchorId="10AF0B8A" wp14:editId="265A5DC3">
            <wp:extent cx="3152775" cy="1209675"/>
            <wp:effectExtent l="0" t="0" r="9525" b="9525"/>
            <wp:docPr id="136766671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666717" name="Imagen 1" descr="Texto&#10;&#10;Descripción generada automáticamente"/>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2775" cy="1209675"/>
                    </a:xfrm>
                    <a:prstGeom prst="rect">
                      <a:avLst/>
                    </a:prstGeom>
                    <a:noFill/>
                    <a:ln>
                      <a:noFill/>
                    </a:ln>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3F15AD" w:rsidRPr="00035110" w14:paraId="431979D8" w14:textId="77777777" w:rsidTr="006D3C0A">
        <w:trPr>
          <w:trHeight w:val="409"/>
        </w:trPr>
        <w:tc>
          <w:tcPr>
            <w:tcW w:w="817" w:type="dxa"/>
            <w:tcBorders>
              <w:top w:val="nil"/>
              <w:left w:val="nil"/>
              <w:bottom w:val="nil"/>
              <w:right w:val="nil"/>
            </w:tcBorders>
            <w:vAlign w:val="center"/>
            <w:hideMark/>
          </w:tcPr>
          <w:p w14:paraId="7196CDD1" w14:textId="77777777" w:rsidR="003F15AD" w:rsidRPr="00035110" w:rsidRDefault="003F15AD" w:rsidP="006D3C0A">
            <w:pPr>
              <w:spacing w:after="0" w:line="240" w:lineRule="auto"/>
              <w:jc w:val="both"/>
              <w:rPr>
                <w:rFonts w:ascii="Century Gothic" w:hAnsi="Century Gothic" w:cs="Arial"/>
                <w:sz w:val="16"/>
                <w:szCs w:val="16"/>
              </w:rPr>
            </w:pPr>
            <w:r w:rsidRPr="00035110">
              <w:rPr>
                <w:rFonts w:ascii="Century Gothic" w:hAnsi="Century Gothic" w:cs="Arial"/>
                <w:sz w:val="16"/>
                <w:szCs w:val="16"/>
              </w:rPr>
              <w:lastRenderedPageBreak/>
              <w:t>Elaboró: </w:t>
            </w:r>
          </w:p>
        </w:tc>
        <w:tc>
          <w:tcPr>
            <w:tcW w:w="4937" w:type="dxa"/>
            <w:tcBorders>
              <w:top w:val="nil"/>
              <w:left w:val="nil"/>
              <w:bottom w:val="dotted" w:sz="6" w:space="0" w:color="7F7F7F" w:themeColor="text1" w:themeTint="80"/>
              <w:right w:val="nil"/>
            </w:tcBorders>
            <w:vAlign w:val="center"/>
            <w:hideMark/>
          </w:tcPr>
          <w:p w14:paraId="4162CE6D" w14:textId="77777777" w:rsidR="003F15AD" w:rsidRPr="00035110" w:rsidRDefault="003F15AD" w:rsidP="006D3C0A">
            <w:pPr>
              <w:spacing w:after="0" w:line="240" w:lineRule="auto"/>
              <w:jc w:val="both"/>
              <w:rPr>
                <w:rFonts w:ascii="Century Gothic" w:hAnsi="Century Gothic" w:cs="Arial"/>
                <w:sz w:val="16"/>
                <w:szCs w:val="16"/>
              </w:rPr>
            </w:pPr>
            <w:r w:rsidRPr="00035110">
              <w:rPr>
                <w:rFonts w:ascii="Century Gothic" w:hAnsi="Century Gothic" w:cs="Arial"/>
                <w:sz w:val="16"/>
                <w:szCs w:val="16"/>
              </w:rPr>
              <w:t>Juan David Montoya Penagos</w:t>
            </w:r>
          </w:p>
          <w:p w14:paraId="0695FD0C" w14:textId="77777777" w:rsidR="003F15AD" w:rsidRPr="00035110" w:rsidRDefault="003F15AD" w:rsidP="006D3C0A">
            <w:pPr>
              <w:spacing w:after="0" w:line="240" w:lineRule="auto"/>
              <w:jc w:val="both"/>
              <w:rPr>
                <w:rFonts w:ascii="Century Gothic" w:hAnsi="Century Gothic" w:cs="Arial"/>
                <w:sz w:val="16"/>
                <w:szCs w:val="16"/>
              </w:rPr>
            </w:pPr>
            <w:r w:rsidRPr="00035110">
              <w:rPr>
                <w:rFonts w:ascii="Century Gothic" w:hAnsi="Century Gothic" w:cs="Arial"/>
                <w:sz w:val="16"/>
                <w:szCs w:val="16"/>
              </w:rPr>
              <w:t>Contratista de la Subdirección de Gestión Contractual</w:t>
            </w:r>
          </w:p>
        </w:tc>
      </w:tr>
      <w:tr w:rsidR="003F15AD" w:rsidRPr="00035110" w14:paraId="179FF840" w14:textId="77777777" w:rsidTr="006D3C0A">
        <w:trPr>
          <w:trHeight w:val="409"/>
        </w:trPr>
        <w:tc>
          <w:tcPr>
            <w:tcW w:w="817" w:type="dxa"/>
            <w:tcBorders>
              <w:top w:val="nil"/>
              <w:left w:val="nil"/>
              <w:right w:val="nil"/>
            </w:tcBorders>
            <w:vAlign w:val="center"/>
          </w:tcPr>
          <w:p w14:paraId="43642E0F" w14:textId="77777777" w:rsidR="003F15AD" w:rsidRPr="00035110" w:rsidRDefault="003F15AD" w:rsidP="006D3C0A">
            <w:pPr>
              <w:jc w:val="both"/>
              <w:rPr>
                <w:rFonts w:ascii="Century Gothic" w:hAnsi="Century Gothic" w:cs="Arial"/>
                <w:sz w:val="16"/>
                <w:szCs w:val="16"/>
              </w:rPr>
            </w:pPr>
            <w:r w:rsidRPr="00035110">
              <w:rPr>
                <w:rFonts w:ascii="Century Gothic" w:hAnsi="Century Gothic"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7547C013" w14:textId="77777777" w:rsidR="003F15AD" w:rsidRPr="00035110" w:rsidRDefault="003F15AD" w:rsidP="006D3C0A">
            <w:pPr>
              <w:spacing w:after="0" w:line="240" w:lineRule="auto"/>
              <w:jc w:val="both"/>
              <w:rPr>
                <w:rFonts w:ascii="Century Gothic" w:hAnsi="Century Gothic" w:cs="Arial"/>
                <w:sz w:val="16"/>
                <w:szCs w:val="16"/>
              </w:rPr>
            </w:pPr>
            <w:r w:rsidRPr="00035110">
              <w:rPr>
                <w:rFonts w:ascii="Century Gothic" w:hAnsi="Century Gothic" w:cs="Arial"/>
                <w:sz w:val="16"/>
                <w:szCs w:val="16"/>
              </w:rPr>
              <w:t xml:space="preserve">Juan David Cárdenas Cabeza </w:t>
            </w:r>
          </w:p>
          <w:p w14:paraId="5CA095CE" w14:textId="77777777" w:rsidR="003F15AD" w:rsidRPr="00035110" w:rsidRDefault="003F15AD" w:rsidP="006D3C0A">
            <w:pPr>
              <w:spacing w:after="0" w:line="240" w:lineRule="auto"/>
              <w:jc w:val="both"/>
              <w:rPr>
                <w:rFonts w:ascii="Century Gothic" w:hAnsi="Century Gothic" w:cs="Arial"/>
                <w:sz w:val="16"/>
                <w:szCs w:val="16"/>
              </w:rPr>
            </w:pPr>
            <w:r w:rsidRPr="00035110">
              <w:rPr>
                <w:rFonts w:ascii="Century Gothic" w:hAnsi="Century Gothic" w:cs="Arial"/>
                <w:sz w:val="16"/>
                <w:szCs w:val="16"/>
              </w:rPr>
              <w:t>Contratista de la Subdirección de Gestión Contractual</w:t>
            </w:r>
          </w:p>
        </w:tc>
      </w:tr>
      <w:tr w:rsidR="003F15AD" w:rsidRPr="00035110" w14:paraId="0EE3BE6F" w14:textId="77777777" w:rsidTr="006D3C0A">
        <w:trPr>
          <w:trHeight w:val="389"/>
        </w:trPr>
        <w:tc>
          <w:tcPr>
            <w:tcW w:w="817" w:type="dxa"/>
            <w:tcBorders>
              <w:top w:val="nil"/>
              <w:left w:val="nil"/>
              <w:bottom w:val="nil"/>
              <w:right w:val="nil"/>
            </w:tcBorders>
            <w:vAlign w:val="center"/>
            <w:hideMark/>
          </w:tcPr>
          <w:p w14:paraId="6F035EC1" w14:textId="77777777" w:rsidR="003F15AD" w:rsidRPr="00035110" w:rsidRDefault="003F15AD" w:rsidP="006D3C0A">
            <w:pPr>
              <w:spacing w:after="0" w:line="240" w:lineRule="auto"/>
              <w:jc w:val="both"/>
              <w:rPr>
                <w:rFonts w:ascii="Century Gothic" w:hAnsi="Century Gothic" w:cs="Arial"/>
                <w:sz w:val="16"/>
                <w:szCs w:val="16"/>
              </w:rPr>
            </w:pPr>
            <w:r w:rsidRPr="00035110">
              <w:rPr>
                <w:rFonts w:ascii="Century Gothic" w:hAnsi="Century Gothic"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6F56F218" w14:textId="77777777" w:rsidR="003F15AD" w:rsidRPr="00035110" w:rsidRDefault="003F15AD" w:rsidP="006D3C0A">
            <w:pPr>
              <w:spacing w:after="0" w:line="240" w:lineRule="auto"/>
              <w:jc w:val="both"/>
              <w:rPr>
                <w:rFonts w:ascii="Century Gothic" w:hAnsi="Century Gothic" w:cs="Arial"/>
                <w:sz w:val="16"/>
                <w:szCs w:val="16"/>
              </w:rPr>
            </w:pPr>
            <w:r w:rsidRPr="00035110">
              <w:rPr>
                <w:rFonts w:ascii="Century Gothic" w:hAnsi="Century Gothic" w:cs="Arial"/>
                <w:sz w:val="16"/>
                <w:szCs w:val="16"/>
              </w:rPr>
              <w:t>Nohelia del Carmen Zawady Palacio</w:t>
            </w:r>
          </w:p>
          <w:p w14:paraId="759276C8" w14:textId="77777777" w:rsidR="003F15AD" w:rsidRPr="00035110" w:rsidRDefault="003F15AD" w:rsidP="006D3C0A">
            <w:pPr>
              <w:spacing w:after="0" w:line="240" w:lineRule="auto"/>
              <w:jc w:val="both"/>
              <w:rPr>
                <w:rFonts w:ascii="Century Gothic" w:hAnsi="Century Gothic" w:cs="Arial"/>
                <w:sz w:val="16"/>
                <w:szCs w:val="16"/>
              </w:rPr>
            </w:pPr>
            <w:r w:rsidRPr="00035110">
              <w:rPr>
                <w:rFonts w:ascii="Century Gothic" w:hAnsi="Century Gothic" w:cs="Arial"/>
                <w:sz w:val="16"/>
                <w:szCs w:val="16"/>
              </w:rPr>
              <w:t>Subdirectora de Gestión Contractual ANCP – CCE</w:t>
            </w:r>
          </w:p>
        </w:tc>
      </w:tr>
      <w:bookmarkEnd w:id="2"/>
    </w:tbl>
    <w:p w14:paraId="520D71D4" w14:textId="77777777" w:rsidR="003F15AD" w:rsidRPr="00035110" w:rsidRDefault="003F15AD" w:rsidP="003F15AD">
      <w:pPr>
        <w:tabs>
          <w:tab w:val="left" w:pos="0"/>
        </w:tabs>
        <w:spacing w:line="276" w:lineRule="auto"/>
        <w:contextualSpacing/>
        <w:jc w:val="both"/>
        <w:rPr>
          <w:rFonts w:ascii="Century Gothic" w:hAnsi="Century Gothic" w:cs="Arial"/>
          <w:lang w:val="es-MX"/>
        </w:rPr>
      </w:pPr>
    </w:p>
    <w:p w14:paraId="68D4B31F" w14:textId="77777777" w:rsidR="003F15AD" w:rsidRPr="00035110" w:rsidRDefault="003F15AD" w:rsidP="003F15AD">
      <w:pPr>
        <w:rPr>
          <w:rFonts w:ascii="Century Gothic" w:hAnsi="Century Gothic"/>
        </w:rPr>
      </w:pPr>
      <w:r w:rsidRPr="00035110">
        <w:rPr>
          <w:rFonts w:ascii="Century Gothic" w:hAnsi="Century Gothic"/>
        </w:rPr>
        <w:t xml:space="preserve"> </w:t>
      </w:r>
    </w:p>
    <w:p w14:paraId="0F293BF4" w14:textId="4E630EB9" w:rsidR="00127233" w:rsidRPr="005571E0" w:rsidRDefault="00E245AB" w:rsidP="005571E0">
      <w:r w:rsidRPr="005571E0">
        <w:t xml:space="preserve"> </w:t>
      </w:r>
    </w:p>
    <w:sectPr w:rsidR="00127233" w:rsidRPr="005571E0" w:rsidSect="004368BC">
      <w:headerReference w:type="default" r:id="rId12"/>
      <w:footerReference w:type="default" r:id="rId13"/>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F9E6B" w14:textId="77777777" w:rsidR="009328DF" w:rsidRDefault="009328DF" w:rsidP="004A1847">
      <w:pPr>
        <w:spacing w:after="0" w:line="240" w:lineRule="auto"/>
      </w:pPr>
      <w:r>
        <w:separator/>
      </w:r>
    </w:p>
  </w:endnote>
  <w:endnote w:type="continuationSeparator" w:id="0">
    <w:p w14:paraId="3004E8B7" w14:textId="77777777" w:rsidR="009328DF" w:rsidRDefault="009328DF"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3BA5BB2D" w:rsidR="004A1847" w:rsidRDefault="009419F9">
    <w:pPr>
      <w:pStyle w:val="Piedepgina"/>
    </w:pPr>
    <w:r>
      <w:rPr>
        <w:noProof/>
        <w:lang w:eastAsia="es-CO"/>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2A942425"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F613A2">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2F9643A"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F613A2">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3EF9ACCC"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F613A2">
            <w:rPr>
              <w:rFonts w:ascii="Century Gothic" w:hAnsi="Century Gothic"/>
              <w:sz w:val="16"/>
              <w:szCs w:val="16"/>
            </w:rPr>
            <w:t>22</w:t>
          </w:r>
          <w:r w:rsidRPr="003F3941">
            <w:rPr>
              <w:rFonts w:ascii="Century Gothic" w:hAnsi="Century Gothic"/>
              <w:sz w:val="16"/>
              <w:szCs w:val="16"/>
            </w:rPr>
            <w:t xml:space="preserve"> DE </w:t>
          </w:r>
          <w:r w:rsidR="00F613A2">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27B7F278"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63A9D" w14:textId="77777777" w:rsidR="009328DF" w:rsidRDefault="009328DF" w:rsidP="004A1847">
      <w:pPr>
        <w:spacing w:after="0" w:line="240" w:lineRule="auto"/>
      </w:pPr>
      <w:r>
        <w:separator/>
      </w:r>
    </w:p>
  </w:footnote>
  <w:footnote w:type="continuationSeparator" w:id="0">
    <w:p w14:paraId="7E56F46A" w14:textId="77777777" w:rsidR="009328DF" w:rsidRDefault="009328DF" w:rsidP="004A1847">
      <w:pPr>
        <w:spacing w:after="0" w:line="240" w:lineRule="auto"/>
      </w:pPr>
      <w:r>
        <w:continuationSeparator/>
      </w:r>
    </w:p>
  </w:footnote>
  <w:footnote w:id="1">
    <w:p w14:paraId="3AEB545C" w14:textId="77777777" w:rsidR="003F15AD" w:rsidRPr="00C96FA1" w:rsidRDefault="003F15AD" w:rsidP="003F15AD">
      <w:pPr>
        <w:pStyle w:val="Textonotapie"/>
        <w:ind w:firstLine="708"/>
        <w:jc w:val="both"/>
        <w:rPr>
          <w:rFonts w:ascii="Century Gothic" w:hAnsi="Century Gothic" w:cs="Arial"/>
          <w:sz w:val="16"/>
          <w:szCs w:val="16"/>
        </w:rPr>
      </w:pPr>
      <w:r w:rsidRPr="00C96FA1">
        <w:rPr>
          <w:rStyle w:val="Refdenotaalpie"/>
          <w:rFonts w:ascii="Century Gothic" w:hAnsi="Century Gothic" w:cs="Arial"/>
          <w:sz w:val="16"/>
          <w:szCs w:val="16"/>
        </w:rPr>
        <w:footnoteRef/>
      </w:r>
      <w:r w:rsidRPr="00C96FA1">
        <w:rPr>
          <w:rFonts w:ascii="Century Gothic" w:hAnsi="Century Gothic" w:cs="Arial"/>
          <w:sz w:val="16"/>
          <w:szCs w:val="16"/>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C96FA1">
          <w:rPr>
            <w:rStyle w:val="Hipervnculo"/>
            <w:rFonts w:ascii="Century Gothic" w:hAnsi="Century Gothic" w:cs="Arial"/>
            <w:sz w:val="16"/>
            <w:szCs w:val="16"/>
          </w:rPr>
          <w:t>https://relatoria.colombiacompra.gov.co/busqueda/conceptos</w:t>
        </w:r>
      </w:hyperlink>
      <w:r w:rsidRPr="00C96FA1">
        <w:rPr>
          <w:rStyle w:val="Hipervnculo"/>
          <w:rFonts w:ascii="Century Gothic" w:hAnsi="Century Gothic" w:cs="Arial"/>
          <w:sz w:val="16"/>
          <w:szCs w:val="16"/>
        </w:rPr>
        <w:t xml:space="preserve">. </w:t>
      </w:r>
      <w:r w:rsidRPr="00C96FA1">
        <w:rPr>
          <w:rFonts w:ascii="Century Gothic" w:hAnsi="Century Gothic" w:cs="Arial"/>
          <w:sz w:val="16"/>
          <w:szCs w:val="16"/>
          <w:shd w:val="clear" w:color="auto" w:fill="E6E6E6"/>
        </w:rPr>
        <w:t xml:space="preserve"> </w:t>
      </w:r>
    </w:p>
  </w:footnote>
  <w:footnote w:id="2">
    <w:p w14:paraId="71101C8B" w14:textId="77777777" w:rsidR="003F15AD" w:rsidRPr="00C96FA1" w:rsidRDefault="003F15AD" w:rsidP="003F15AD">
      <w:pPr>
        <w:pStyle w:val="Textonotapie"/>
        <w:ind w:firstLine="709"/>
        <w:jc w:val="both"/>
        <w:rPr>
          <w:rFonts w:ascii="Century Gothic" w:hAnsi="Century Gothic" w:cs="Arial"/>
          <w:sz w:val="16"/>
          <w:szCs w:val="16"/>
        </w:rPr>
      </w:pPr>
      <w:r w:rsidRPr="00C96FA1">
        <w:rPr>
          <w:rStyle w:val="Refdenotaalpie"/>
          <w:rFonts w:ascii="Century Gothic" w:hAnsi="Century Gothic" w:cs="Arial"/>
          <w:sz w:val="16"/>
          <w:szCs w:val="16"/>
        </w:rPr>
        <w:footnoteRef/>
      </w:r>
      <w:r w:rsidRPr="00C96FA1">
        <w:rPr>
          <w:rFonts w:ascii="Century Gothic" w:hAnsi="Century Gothic" w:cs="Arial"/>
          <w:sz w:val="16"/>
          <w:szCs w:val="16"/>
        </w:rPr>
        <w:t xml:space="preserve"> </w:t>
      </w:r>
      <w:r w:rsidRPr="00C96FA1">
        <w:rPr>
          <w:rFonts w:ascii="Century Gothic" w:hAnsi="Century Gothic" w:cs="Arial"/>
          <w:sz w:val="16"/>
          <w:szCs w:val="16"/>
          <w:lang w:val="es-ES"/>
        </w:rPr>
        <w:t>Consejo de Estado. Sección Tercera. Sentencia del 29 de octubre de 2.015. Consejera Ponente: Stella Conto Díaz Del Castillo. Expediente: 31.918.</w:t>
      </w:r>
    </w:p>
  </w:footnote>
  <w:footnote w:id="3">
    <w:p w14:paraId="1223F982" w14:textId="77777777" w:rsidR="003F15AD" w:rsidRPr="00C96FA1" w:rsidRDefault="003F15AD" w:rsidP="003F15AD">
      <w:pPr>
        <w:pStyle w:val="Textonotapie"/>
        <w:ind w:firstLine="709"/>
        <w:jc w:val="both"/>
        <w:rPr>
          <w:rFonts w:ascii="Century Gothic" w:hAnsi="Century Gothic"/>
          <w:sz w:val="16"/>
          <w:szCs w:val="16"/>
        </w:rPr>
      </w:pPr>
      <w:r w:rsidRPr="00C96FA1">
        <w:rPr>
          <w:rStyle w:val="Refdenotaalpie"/>
          <w:rFonts w:ascii="Century Gothic" w:hAnsi="Century Gothic"/>
          <w:sz w:val="16"/>
          <w:szCs w:val="16"/>
        </w:rPr>
        <w:footnoteRef/>
      </w:r>
      <w:r w:rsidRPr="00C96FA1">
        <w:rPr>
          <w:rFonts w:ascii="Century Gothic" w:hAnsi="Century Gothic"/>
          <w:sz w:val="16"/>
          <w:szCs w:val="16"/>
        </w:rPr>
        <w:t xml:space="preserve"> </w:t>
      </w:r>
      <w:r w:rsidRPr="00C96FA1">
        <w:rPr>
          <w:rFonts w:ascii="Century Gothic" w:hAnsi="Century Gothic" w:cs="Arial"/>
          <w:sz w:val="16"/>
          <w:szCs w:val="16"/>
          <w:lang w:val="es-ES"/>
        </w:rPr>
        <w:t>Corte Constitucional. Sentencia T-684A del 14 de septiembre de 2011. Magistrado Ponente: Mauricio González Cuervo.</w:t>
      </w:r>
    </w:p>
  </w:footnote>
  <w:footnote w:id="4">
    <w:p w14:paraId="0927B131" w14:textId="77777777" w:rsidR="003F15AD" w:rsidRPr="00C96FA1" w:rsidRDefault="003F15AD" w:rsidP="003F15AD">
      <w:pPr>
        <w:pStyle w:val="Textonotapie"/>
        <w:ind w:firstLine="709"/>
        <w:jc w:val="both"/>
        <w:rPr>
          <w:rFonts w:ascii="Century Gothic" w:hAnsi="Century Gothic" w:cs="Arial"/>
          <w:sz w:val="16"/>
          <w:szCs w:val="16"/>
          <w:lang w:val="es-ES"/>
        </w:rPr>
      </w:pPr>
      <w:r w:rsidRPr="00C96FA1">
        <w:rPr>
          <w:rStyle w:val="Refdenotaalpie"/>
          <w:rFonts w:ascii="Century Gothic" w:hAnsi="Century Gothic" w:cs="Arial"/>
          <w:sz w:val="16"/>
          <w:szCs w:val="16"/>
        </w:rPr>
        <w:footnoteRef/>
      </w:r>
      <w:r w:rsidRPr="00C96FA1">
        <w:rPr>
          <w:rFonts w:ascii="Century Gothic" w:hAnsi="Century Gothic" w:cs="Arial"/>
          <w:sz w:val="16"/>
          <w:szCs w:val="16"/>
        </w:rPr>
        <w:t xml:space="preserve"> </w:t>
      </w:r>
      <w:r w:rsidRPr="00C96FA1">
        <w:rPr>
          <w:rFonts w:ascii="Century Gothic" w:hAnsi="Century Gothic" w:cs="Arial"/>
          <w:sz w:val="16"/>
          <w:szCs w:val="16"/>
          <w:lang w:val="es-ES"/>
        </w:rPr>
        <w:t>Artículos 2 al 29.</w:t>
      </w:r>
    </w:p>
  </w:footnote>
  <w:footnote w:id="5">
    <w:p w14:paraId="52C56AC8" w14:textId="77777777" w:rsidR="003F15AD" w:rsidRPr="00C96FA1" w:rsidRDefault="003F15AD" w:rsidP="003F15AD">
      <w:pPr>
        <w:pStyle w:val="Textonotapie"/>
        <w:ind w:firstLine="709"/>
        <w:jc w:val="both"/>
        <w:rPr>
          <w:rFonts w:ascii="Century Gothic" w:hAnsi="Century Gothic" w:cs="Arial"/>
          <w:sz w:val="16"/>
          <w:szCs w:val="16"/>
          <w:lang w:val="es-ES"/>
        </w:rPr>
      </w:pPr>
      <w:r w:rsidRPr="00C96FA1">
        <w:rPr>
          <w:rStyle w:val="Refdenotaalpie"/>
          <w:rFonts w:ascii="Century Gothic" w:hAnsi="Century Gothic" w:cs="Arial"/>
          <w:sz w:val="16"/>
          <w:szCs w:val="16"/>
        </w:rPr>
        <w:footnoteRef/>
      </w:r>
      <w:r w:rsidRPr="00C96FA1">
        <w:rPr>
          <w:rFonts w:ascii="Century Gothic" w:hAnsi="Century Gothic" w:cs="Arial"/>
          <w:sz w:val="16"/>
          <w:szCs w:val="16"/>
        </w:rPr>
        <w:t xml:space="preserve"> </w:t>
      </w:r>
      <w:r w:rsidRPr="00C96FA1">
        <w:rPr>
          <w:rFonts w:ascii="Century Gothic" w:hAnsi="Century Gothic" w:cs="Arial"/>
          <w:sz w:val="16"/>
          <w:szCs w:val="16"/>
          <w:lang w:val="es-ES"/>
        </w:rPr>
        <w:t>Artículos 30 al 36.</w:t>
      </w:r>
    </w:p>
  </w:footnote>
  <w:footnote w:id="6">
    <w:p w14:paraId="7A9E6D85" w14:textId="77777777" w:rsidR="003F15AD" w:rsidRPr="00C96FA1" w:rsidRDefault="003F15AD" w:rsidP="003F15AD">
      <w:pPr>
        <w:pStyle w:val="Textonotapie"/>
        <w:ind w:firstLine="709"/>
        <w:jc w:val="both"/>
        <w:rPr>
          <w:rFonts w:ascii="Century Gothic" w:hAnsi="Century Gothic" w:cs="Arial"/>
          <w:sz w:val="16"/>
          <w:szCs w:val="16"/>
          <w:lang w:val="es-ES"/>
        </w:rPr>
      </w:pPr>
      <w:r w:rsidRPr="00C96FA1">
        <w:rPr>
          <w:rStyle w:val="Refdenotaalpie"/>
          <w:rFonts w:ascii="Century Gothic" w:hAnsi="Century Gothic" w:cs="Arial"/>
          <w:sz w:val="16"/>
          <w:szCs w:val="16"/>
        </w:rPr>
        <w:footnoteRef/>
      </w:r>
      <w:r w:rsidRPr="00C96FA1">
        <w:rPr>
          <w:rFonts w:ascii="Century Gothic" w:hAnsi="Century Gothic" w:cs="Arial"/>
          <w:sz w:val="16"/>
          <w:szCs w:val="16"/>
        </w:rPr>
        <w:t xml:space="preserve"> </w:t>
      </w:r>
      <w:r w:rsidRPr="00C96FA1">
        <w:rPr>
          <w:rFonts w:ascii="Century Gothic" w:hAnsi="Century Gothic" w:cs="Arial"/>
          <w:sz w:val="16"/>
          <w:szCs w:val="16"/>
          <w:lang w:val="es-ES"/>
        </w:rPr>
        <w:t>Artículos 37 al 45.</w:t>
      </w:r>
    </w:p>
  </w:footnote>
  <w:footnote w:id="7">
    <w:p w14:paraId="2ADC729E" w14:textId="77777777" w:rsidR="003F15AD" w:rsidRPr="00C96FA1" w:rsidRDefault="003F15AD" w:rsidP="003F15AD">
      <w:pPr>
        <w:pStyle w:val="Textonotapie"/>
        <w:ind w:firstLine="709"/>
        <w:jc w:val="both"/>
        <w:rPr>
          <w:rFonts w:ascii="Century Gothic" w:hAnsi="Century Gothic" w:cs="Arial"/>
          <w:sz w:val="16"/>
          <w:szCs w:val="16"/>
          <w:lang w:val="es-ES"/>
        </w:rPr>
      </w:pPr>
      <w:r w:rsidRPr="00C96FA1">
        <w:rPr>
          <w:rStyle w:val="Refdenotaalpie"/>
          <w:rFonts w:ascii="Century Gothic" w:hAnsi="Century Gothic" w:cs="Arial"/>
          <w:sz w:val="16"/>
          <w:szCs w:val="16"/>
        </w:rPr>
        <w:footnoteRef/>
      </w:r>
      <w:r w:rsidRPr="00C96FA1">
        <w:rPr>
          <w:rFonts w:ascii="Century Gothic" w:hAnsi="Century Gothic" w:cs="Arial"/>
          <w:sz w:val="16"/>
          <w:szCs w:val="16"/>
        </w:rPr>
        <w:t xml:space="preserve"> </w:t>
      </w:r>
      <w:r w:rsidRPr="00C96FA1">
        <w:rPr>
          <w:rFonts w:ascii="Century Gothic" w:hAnsi="Century Gothic" w:cs="Arial"/>
          <w:sz w:val="16"/>
          <w:szCs w:val="16"/>
          <w:lang w:val="es-ES"/>
        </w:rPr>
        <w:t>Artículos 46 al 73.</w:t>
      </w:r>
    </w:p>
  </w:footnote>
  <w:footnote w:id="8">
    <w:p w14:paraId="6625CF11" w14:textId="77777777" w:rsidR="003F15AD" w:rsidRPr="00C96FA1" w:rsidRDefault="003F15AD" w:rsidP="003F15AD">
      <w:pPr>
        <w:pStyle w:val="Textonotapie"/>
        <w:ind w:firstLine="709"/>
        <w:jc w:val="both"/>
        <w:rPr>
          <w:rFonts w:ascii="Century Gothic" w:hAnsi="Century Gothic" w:cs="Arial"/>
          <w:sz w:val="16"/>
          <w:szCs w:val="16"/>
          <w:lang w:val="es-ES"/>
        </w:rPr>
      </w:pPr>
      <w:r w:rsidRPr="00C96FA1">
        <w:rPr>
          <w:rStyle w:val="Refdenotaalpie"/>
          <w:rFonts w:ascii="Century Gothic" w:hAnsi="Century Gothic" w:cs="Arial"/>
          <w:sz w:val="16"/>
          <w:szCs w:val="16"/>
        </w:rPr>
        <w:footnoteRef/>
      </w:r>
      <w:r w:rsidRPr="00C96FA1">
        <w:rPr>
          <w:rFonts w:ascii="Century Gothic" w:hAnsi="Century Gothic" w:cs="Arial"/>
          <w:sz w:val="16"/>
          <w:szCs w:val="16"/>
        </w:rPr>
        <w:t xml:space="preserve"> </w:t>
      </w:r>
      <w:r w:rsidRPr="00C96FA1">
        <w:rPr>
          <w:rFonts w:ascii="Century Gothic" w:hAnsi="Century Gothic" w:cs="Arial"/>
          <w:sz w:val="16"/>
          <w:szCs w:val="16"/>
          <w:lang w:val="es-ES"/>
        </w:rPr>
        <w:t>Artículos 74 al 83.</w:t>
      </w:r>
    </w:p>
  </w:footnote>
  <w:footnote w:id="9">
    <w:p w14:paraId="5385BDCE" w14:textId="77777777" w:rsidR="003F15AD" w:rsidRPr="00C96FA1" w:rsidRDefault="003F15AD" w:rsidP="003F15AD">
      <w:pPr>
        <w:pStyle w:val="Textonotapie"/>
        <w:ind w:firstLine="708"/>
        <w:jc w:val="both"/>
        <w:rPr>
          <w:rFonts w:ascii="Century Gothic" w:hAnsi="Century Gothic" w:cs="Arial"/>
          <w:sz w:val="16"/>
          <w:szCs w:val="16"/>
        </w:rPr>
      </w:pPr>
      <w:r w:rsidRPr="00C96FA1">
        <w:rPr>
          <w:rStyle w:val="Refdenotaalpie"/>
          <w:rFonts w:ascii="Century Gothic" w:hAnsi="Century Gothic" w:cs="Arial"/>
          <w:sz w:val="16"/>
          <w:szCs w:val="16"/>
        </w:rPr>
        <w:footnoteRef/>
      </w:r>
      <w:r w:rsidRPr="00C96FA1">
        <w:rPr>
          <w:rFonts w:ascii="Century Gothic" w:hAnsi="Century Gothic" w:cs="Arial"/>
          <w:sz w:val="16"/>
          <w:szCs w:val="16"/>
        </w:rPr>
        <w:t xml:space="preserve"> Decreto 1860 de 2021. </w:t>
      </w:r>
      <w:r>
        <w:rPr>
          <w:rFonts w:ascii="Century Gothic" w:hAnsi="Century Gothic" w:cs="Arial"/>
          <w:sz w:val="16"/>
          <w:szCs w:val="16"/>
        </w:rPr>
        <w:t>“</w:t>
      </w:r>
      <w:r w:rsidRPr="00C96FA1">
        <w:rPr>
          <w:rFonts w:ascii="Century Gothic" w:hAnsi="Century Gothic" w:cs="Arial"/>
          <w:sz w:val="16"/>
          <w:szCs w:val="16"/>
        </w:rPr>
        <w:t>Artículo 1. Objeto. El presente Decreto tiene como propósito reglamentar los artículos 30, 31, 32,34 y 35 de la Ley 2069 de 2020, en relación con: el procedimiento de mínima cuantía, incluyendo disposiciones particulares que se refieren a la contratación con Mipyme y grandes almacenes; los criterios diferenciales para Mipyme, y la definición y los criterios diferenciales para los emprendimientos y empresas de mujeres; las convocatorias limitadas a Mipyme;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r>
        <w:rPr>
          <w:rFonts w:ascii="Century Gothic" w:hAnsi="Century Gothic" w:cs="Arial"/>
          <w:sz w:val="16"/>
          <w:szCs w:val="16"/>
        </w:rPr>
        <w:t>”</w:t>
      </w:r>
      <w:r w:rsidRPr="00C96FA1">
        <w:rPr>
          <w:rFonts w:ascii="Century Gothic" w:hAnsi="Century Gothic" w:cs="Arial"/>
          <w:sz w:val="16"/>
          <w:szCs w:val="16"/>
        </w:rPr>
        <w:t>.</w:t>
      </w:r>
    </w:p>
  </w:footnote>
  <w:footnote w:id="10">
    <w:p w14:paraId="4CCF60A0" w14:textId="77777777" w:rsidR="003F15AD" w:rsidRPr="00C96FA1" w:rsidRDefault="003F15AD" w:rsidP="003F15AD">
      <w:pPr>
        <w:pStyle w:val="NormalWeb"/>
        <w:shd w:val="clear" w:color="auto" w:fill="FFFFFF"/>
        <w:spacing w:before="0" w:beforeAutospacing="0" w:after="0" w:afterAutospacing="0"/>
        <w:ind w:firstLine="709"/>
        <w:jc w:val="both"/>
        <w:rPr>
          <w:rFonts w:ascii="Century Gothic" w:hAnsi="Century Gothic" w:cs="Arial"/>
          <w:sz w:val="16"/>
          <w:szCs w:val="16"/>
        </w:rPr>
      </w:pPr>
      <w:r w:rsidRPr="00C96FA1">
        <w:rPr>
          <w:rStyle w:val="Refdenotaalpie"/>
          <w:rFonts w:ascii="Century Gothic" w:hAnsi="Century Gothic" w:cs="Arial"/>
          <w:sz w:val="16"/>
          <w:szCs w:val="16"/>
        </w:rPr>
        <w:footnoteRef/>
      </w:r>
      <w:r w:rsidRPr="00C96FA1">
        <w:rPr>
          <w:rFonts w:ascii="Century Gothic" w:hAnsi="Century Gothic" w:cs="Arial"/>
          <w:sz w:val="16"/>
          <w:szCs w:val="16"/>
        </w:rPr>
        <w:t xml:space="preserve"> Decreto 1860 de 2021. </w:t>
      </w:r>
      <w:r>
        <w:rPr>
          <w:rFonts w:ascii="Century Gothic" w:hAnsi="Century Gothic" w:cs="Arial"/>
          <w:sz w:val="16"/>
          <w:szCs w:val="16"/>
        </w:rPr>
        <w:t>“</w:t>
      </w:r>
      <w:r w:rsidRPr="00C96FA1">
        <w:rPr>
          <w:rFonts w:ascii="Century Gothic" w:hAnsi="Century Gothic" w:cs="Arial"/>
          <w:sz w:val="16"/>
          <w:szCs w:val="16"/>
        </w:rPr>
        <w:t>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 </w:t>
      </w:r>
      <w:r w:rsidRPr="00C96FA1">
        <w:rPr>
          <w:rFonts w:ascii="Century Gothic" w:eastAsiaTheme="majorEastAsia" w:hAnsi="Century Gothic" w:cs="Arial"/>
          <w:sz w:val="16"/>
          <w:szCs w:val="16"/>
        </w:rPr>
        <w:t>5 </w:t>
      </w:r>
      <w:r w:rsidRPr="00C96FA1">
        <w:rPr>
          <w:rFonts w:ascii="Century Gothic" w:hAnsi="Century Gothic" w:cs="Arial"/>
          <w:sz w:val="16"/>
          <w:szCs w:val="16"/>
        </w:rPr>
        <w:t>de la Sección 1 del Capítulo 2 del Título 1 de la Parte 2 del Libro 2, así como los artículos </w:t>
      </w:r>
      <w:r w:rsidRPr="00C96FA1">
        <w:rPr>
          <w:rFonts w:ascii="Century Gothic" w:eastAsiaTheme="majorEastAsia" w:hAnsi="Century Gothic" w:cs="Arial"/>
          <w:sz w:val="16"/>
          <w:szCs w:val="16"/>
        </w:rPr>
        <w:t>2.2.1.2.4.2.2</w:t>
      </w:r>
      <w:r w:rsidRPr="00C96FA1">
        <w:rPr>
          <w:rFonts w:ascii="Century Gothic" w:hAnsi="Century Gothic" w:cs="Arial"/>
          <w:sz w:val="16"/>
          <w:szCs w:val="16"/>
        </w:rPr>
        <w:t>., </w:t>
      </w:r>
      <w:r w:rsidRPr="00C96FA1">
        <w:rPr>
          <w:rFonts w:ascii="Century Gothic" w:eastAsiaTheme="majorEastAsia" w:hAnsi="Century Gothic" w:cs="Arial"/>
          <w:sz w:val="16"/>
          <w:szCs w:val="16"/>
        </w:rPr>
        <w:t>2.2.1.2.4.2.3</w:t>
      </w:r>
      <w:r w:rsidRPr="00C96FA1">
        <w:rPr>
          <w:rFonts w:ascii="Century Gothic" w:hAnsi="Century Gothic" w:cs="Arial"/>
          <w:sz w:val="16"/>
          <w:szCs w:val="16"/>
        </w:rPr>
        <w:t>., </w:t>
      </w:r>
      <w:r w:rsidRPr="00C96FA1">
        <w:rPr>
          <w:rFonts w:ascii="Century Gothic" w:eastAsiaTheme="majorEastAsia" w:hAnsi="Century Gothic" w:cs="Arial"/>
          <w:sz w:val="16"/>
          <w:szCs w:val="16"/>
        </w:rPr>
        <w:t>2.2.1.2.4.2.4</w:t>
      </w:r>
      <w:r w:rsidRPr="00C96FA1">
        <w:rPr>
          <w:rFonts w:ascii="Century Gothic" w:hAnsi="Century Gothic" w:cs="Arial"/>
          <w:sz w:val="16"/>
          <w:szCs w:val="16"/>
        </w:rPr>
        <w:t>., </w:t>
      </w:r>
      <w:r w:rsidRPr="00C96FA1">
        <w:rPr>
          <w:rFonts w:ascii="Century Gothic" w:eastAsiaTheme="majorEastAsia" w:hAnsi="Century Gothic" w:cs="Arial"/>
          <w:sz w:val="16"/>
          <w:szCs w:val="16"/>
        </w:rPr>
        <w:t>2.2.1.2.1.2.2</w:t>
      </w:r>
      <w:r w:rsidRPr="00C96FA1">
        <w:rPr>
          <w:rFonts w:ascii="Century Gothic" w:hAnsi="Century Gothic" w:cs="Arial"/>
          <w:sz w:val="16"/>
          <w:szCs w:val="16"/>
        </w:rPr>
        <w:t xml:space="preserve"> y </w:t>
      </w:r>
      <w:r w:rsidRPr="00C96FA1">
        <w:rPr>
          <w:rFonts w:ascii="Century Gothic" w:eastAsiaTheme="majorEastAsia" w:hAnsi="Century Gothic" w:cs="Arial"/>
          <w:sz w:val="16"/>
          <w:szCs w:val="16"/>
        </w:rPr>
        <w:t>2.2.1.2.4.2.8</w:t>
      </w:r>
      <w:r w:rsidRPr="00C96FA1">
        <w:rPr>
          <w:rFonts w:ascii="Century Gothic" w:hAnsi="Century Gothic" w:cs="Arial"/>
          <w:sz w:val="16"/>
          <w:szCs w:val="16"/>
        </w:rPr>
        <w:t>.; adiciona los artículos </w:t>
      </w:r>
      <w:r w:rsidRPr="00C96FA1">
        <w:rPr>
          <w:rFonts w:ascii="Century Gothic" w:eastAsiaTheme="majorEastAsia" w:hAnsi="Century Gothic" w:cs="Arial"/>
          <w:sz w:val="16"/>
          <w:szCs w:val="16"/>
        </w:rPr>
        <w:t>2.2.1.2.4.2.14</w:t>
      </w:r>
      <w:r w:rsidRPr="00C96FA1">
        <w:rPr>
          <w:rFonts w:ascii="Century Gothic" w:hAnsi="Century Gothic" w:cs="Arial"/>
          <w:sz w:val="16"/>
          <w:szCs w:val="16"/>
        </w:rPr>
        <w:t>., </w:t>
      </w:r>
      <w:r w:rsidRPr="00C96FA1">
        <w:rPr>
          <w:rFonts w:ascii="Century Gothic" w:eastAsiaTheme="majorEastAsia" w:hAnsi="Century Gothic" w:cs="Arial"/>
          <w:sz w:val="16"/>
          <w:szCs w:val="16"/>
        </w:rPr>
        <w:t>2.2.1.2.4.2.15</w:t>
      </w:r>
      <w:r w:rsidRPr="00C96FA1">
        <w:rPr>
          <w:rFonts w:ascii="Century Gothic" w:hAnsi="Century Gothic" w:cs="Arial"/>
          <w:sz w:val="16"/>
          <w:szCs w:val="16"/>
        </w:rPr>
        <w:t>., </w:t>
      </w:r>
      <w:r w:rsidRPr="00C96FA1">
        <w:rPr>
          <w:rFonts w:ascii="Century Gothic" w:eastAsiaTheme="majorEastAsia" w:hAnsi="Century Gothic" w:cs="Arial"/>
          <w:sz w:val="16"/>
          <w:szCs w:val="16"/>
        </w:rPr>
        <w:t>2.2.1.2.4.2.16</w:t>
      </w:r>
      <w:r w:rsidRPr="00C96FA1">
        <w:rPr>
          <w:rFonts w:ascii="Century Gothic" w:hAnsi="Century Gothic" w:cs="Arial"/>
          <w:sz w:val="16"/>
          <w:szCs w:val="16"/>
        </w:rPr>
        <w:t>., </w:t>
      </w:r>
      <w:r w:rsidRPr="00C96FA1">
        <w:rPr>
          <w:rFonts w:ascii="Century Gothic" w:eastAsiaTheme="majorEastAsia" w:hAnsi="Century Gothic" w:cs="Arial"/>
          <w:sz w:val="16"/>
          <w:szCs w:val="16"/>
        </w:rPr>
        <w:t xml:space="preserve">2.2.1.2.4.2.17. </w:t>
      </w:r>
      <w:r w:rsidRPr="00C96FA1">
        <w:rPr>
          <w:rFonts w:ascii="Century Gothic" w:hAnsi="Century Gothic" w:cs="Arial"/>
          <w:sz w:val="16"/>
          <w:szCs w:val="16"/>
        </w:rPr>
        <w:t>y </w:t>
      </w:r>
      <w:r w:rsidRPr="00C96FA1">
        <w:rPr>
          <w:rFonts w:ascii="Century Gothic" w:eastAsiaTheme="majorEastAsia" w:hAnsi="Century Gothic" w:cs="Arial"/>
          <w:sz w:val="16"/>
          <w:szCs w:val="16"/>
        </w:rPr>
        <w:t>2.2.1.2.4.2.18</w:t>
      </w:r>
      <w:r w:rsidRPr="00C96FA1">
        <w:rPr>
          <w:rFonts w:ascii="Century Gothic" w:hAnsi="Century Gothic" w:cs="Arial"/>
          <w:sz w:val="16"/>
          <w:szCs w:val="16"/>
        </w:rPr>
        <w:t>.; adiciona un </w:t>
      </w:r>
      <w:r w:rsidRPr="00C96FA1">
        <w:rPr>
          <w:rFonts w:ascii="Century Gothic" w:eastAsiaTheme="majorEastAsia" w:hAnsi="Century Gothic" w:cs="Arial"/>
          <w:sz w:val="16"/>
          <w:szCs w:val="16"/>
        </w:rPr>
        <w:t>parágrafo </w:t>
      </w:r>
      <w:r w:rsidRPr="00C96FA1">
        <w:rPr>
          <w:rFonts w:ascii="Century Gothic" w:hAnsi="Century Gothic" w:cs="Arial"/>
          <w:sz w:val="16"/>
          <w:szCs w:val="16"/>
        </w:rPr>
        <w:t>al artículo </w:t>
      </w:r>
      <w:r w:rsidRPr="00C96FA1">
        <w:rPr>
          <w:rFonts w:ascii="Century Gothic" w:eastAsiaTheme="majorEastAsia" w:hAnsi="Century Gothic" w:cs="Arial"/>
          <w:sz w:val="16"/>
          <w:szCs w:val="16"/>
        </w:rPr>
        <w:t>2.2.1.2.3.1.9</w:t>
      </w:r>
      <w:r w:rsidRPr="00C96FA1">
        <w:rPr>
          <w:rFonts w:ascii="Century Gothic" w:hAnsi="Century Gothic" w:cs="Arial"/>
          <w:sz w:val="16"/>
          <w:szCs w:val="16"/>
        </w:rPr>
        <w:t>; y deroga el artículo </w:t>
      </w:r>
      <w:r w:rsidRPr="00C96FA1">
        <w:rPr>
          <w:rFonts w:ascii="Century Gothic" w:eastAsiaTheme="majorEastAsia" w:hAnsi="Century Gothic" w:cs="Arial"/>
          <w:sz w:val="16"/>
          <w:szCs w:val="16"/>
        </w:rPr>
        <w:t>2.2.1.1.2.2.9</w:t>
      </w:r>
      <w:r w:rsidRPr="00C96FA1">
        <w:rPr>
          <w:rFonts w:ascii="Century Gothic" w:hAnsi="Century Gothic" w:cs="Arial"/>
          <w:sz w:val="16"/>
          <w:szCs w:val="16"/>
        </w:rPr>
        <w:t>. del Decreto 1082 de 2015, Único Reglamentario del Sector Administrativo de Planeación Nacional.</w:t>
      </w:r>
    </w:p>
    <w:p w14:paraId="4ABABD54" w14:textId="77777777" w:rsidR="003F15AD" w:rsidRPr="00C96FA1" w:rsidRDefault="003F15AD" w:rsidP="003F15AD">
      <w:pPr>
        <w:pStyle w:val="NormalWeb"/>
        <w:shd w:val="clear" w:color="auto" w:fill="FFFFFF"/>
        <w:spacing w:before="0" w:beforeAutospacing="0" w:after="0" w:afterAutospacing="0"/>
        <w:jc w:val="both"/>
        <w:rPr>
          <w:rFonts w:ascii="Century Gothic" w:hAnsi="Century Gothic" w:cs="Arial"/>
          <w:sz w:val="16"/>
          <w:szCs w:val="16"/>
        </w:rPr>
      </w:pPr>
      <w:r w:rsidRPr="00C96FA1">
        <w:rPr>
          <w:rFonts w:ascii="Century Gothic" w:hAnsi="Century Gothic" w:cs="Arial"/>
          <w:b/>
          <w:bCs/>
          <w:sz w:val="16"/>
          <w:szCs w:val="16"/>
        </w:rPr>
        <w:t> </w:t>
      </w:r>
      <w:r w:rsidRPr="00C96FA1">
        <w:rPr>
          <w:rFonts w:ascii="Century Gothic" w:hAnsi="Century Gothic" w:cs="Arial"/>
          <w:b/>
          <w:bCs/>
          <w:sz w:val="16"/>
          <w:szCs w:val="16"/>
        </w:rPr>
        <w:tab/>
      </w:r>
      <w:r w:rsidRPr="00C96FA1">
        <w:rPr>
          <w:rFonts w:ascii="Century Gothic" w:hAnsi="Century Gothic" w:cs="Arial"/>
          <w:sz w:val="16"/>
          <w:szCs w:val="16"/>
        </w:rPr>
        <w:t>Parágrafo.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14:paraId="78FE2C3C" w14:textId="77777777" w:rsidR="003F15AD" w:rsidRPr="00C96FA1" w:rsidRDefault="003F15AD" w:rsidP="003F15AD">
      <w:pPr>
        <w:pStyle w:val="NormalWeb"/>
        <w:shd w:val="clear" w:color="auto" w:fill="FFFFFF"/>
        <w:spacing w:before="0" w:beforeAutospacing="0" w:after="0" w:afterAutospacing="0"/>
        <w:jc w:val="both"/>
        <w:rPr>
          <w:rFonts w:ascii="Century Gothic" w:hAnsi="Century Gothic" w:cs="Arial"/>
          <w:sz w:val="16"/>
          <w:szCs w:val="16"/>
        </w:rPr>
      </w:pPr>
      <w:r w:rsidRPr="00C96FA1">
        <w:rPr>
          <w:rFonts w:ascii="Century Gothic" w:hAnsi="Century Gothic" w:cs="Arial"/>
          <w:sz w:val="16"/>
          <w:szCs w:val="16"/>
        </w:rPr>
        <w:t> </w:t>
      </w:r>
      <w:r w:rsidRPr="00C96FA1">
        <w:rPr>
          <w:rFonts w:ascii="Century Gothic" w:hAnsi="Century Gothic" w:cs="Arial"/>
          <w:sz w:val="16"/>
          <w:szCs w:val="16"/>
        </w:rPr>
        <w:tab/>
        <w:t>La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r>
        <w:rPr>
          <w:rFonts w:ascii="Century Gothic" w:hAnsi="Century Gothic" w:cs="Arial"/>
          <w:sz w:val="16"/>
          <w:szCs w:val="16"/>
        </w:rPr>
        <w:t>”</w:t>
      </w:r>
      <w:r w:rsidRPr="00C96FA1">
        <w:rPr>
          <w:rFonts w:ascii="Century Gothic" w:hAnsi="Century Gothic"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12154" w14:textId="5D0C20C7" w:rsidR="00756841" w:rsidRDefault="00BD15D4">
    <w:pPr>
      <w:pStyle w:val="Encabezado"/>
    </w:pPr>
    <w:r>
      <w:rPr>
        <w:noProof/>
        <w:lang w:eastAsia="es-CO"/>
      </w:rPr>
      <w:drawing>
        <wp:anchor distT="0" distB="0" distL="114300" distR="114300" simplePos="0" relativeHeight="251659264" behindDoc="1" locked="0" layoutInCell="1" allowOverlap="1" wp14:anchorId="748FC4A6" wp14:editId="19FCB529">
          <wp:simplePos x="0" y="0"/>
          <wp:positionH relativeFrom="margin">
            <wp:posOffset>3808040</wp:posOffset>
          </wp:positionH>
          <wp:positionV relativeFrom="margin">
            <wp:posOffset>-1521184</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lang w:eastAsia="es-CO"/>
      </w:rPr>
      <w:drawing>
        <wp:anchor distT="0" distB="0" distL="114300" distR="114300" simplePos="0" relativeHeight="251667456" behindDoc="0" locked="0" layoutInCell="1" allowOverlap="1" wp14:anchorId="7E9042C1" wp14:editId="08BF0B10">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lang w:eastAsia="es-CO"/>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lang w:eastAsia="es-CO"/>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56BAF314"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B0E5F1B" w:rsidR="004A305D" w:rsidRPr="004A305D" w:rsidRDefault="004A305D" w:rsidP="00BD15D4">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5B5D8B">
      <w:rPr>
        <w:rFonts w:ascii="Century Gothic" w:eastAsia="Geo" w:hAnsi="Century Gothic" w:cs="Geo"/>
        <w:bCs/>
        <w:color w:val="000000"/>
        <w:sz w:val="16"/>
        <w:szCs w:val="16"/>
        <w:lang w:eastAsia="es-CO"/>
      </w:rPr>
      <w:t>7</w:t>
    </w:r>
  </w:p>
  <w:p w14:paraId="3DBCDD3E" w14:textId="7F43E3EF" w:rsidR="005B5D8B" w:rsidRPr="005571E0" w:rsidRDefault="004A305D" w:rsidP="005571E0">
    <w:pPr>
      <w:spacing w:after="12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005B5D8B" w:rsidRPr="004A305D">
      <w:rPr>
        <w:rFonts w:ascii="Century Gothic" w:eastAsia="Geo" w:hAnsi="Century Gothic" w:cs="Geo"/>
        <w:sz w:val="16"/>
        <w:szCs w:val="16"/>
        <w:lang w:eastAsia="es-CO"/>
      </w:rPr>
      <w:t>0</w:t>
    </w:r>
    <w:r w:rsidR="005B5D8B">
      <w:rPr>
        <w:rFonts w:ascii="Century Gothic" w:eastAsia="Geo" w:hAnsi="Century Gothic" w:cs="Geo"/>
        <w:sz w:val="16"/>
        <w:szCs w:val="16"/>
        <w:lang w:eastAsia="es-CO"/>
      </w:rPr>
      <w:t>2</w:t>
    </w:r>
    <w:r w:rsidR="005B5D8B" w:rsidRPr="004A305D">
      <w:rPr>
        <w:rFonts w:ascii="Century Gothic" w:eastAsia="Geo" w:hAnsi="Century Gothic" w:cs="Geo"/>
        <w:sz w:val="16"/>
        <w:szCs w:val="16"/>
        <w:lang w:eastAsia="es-CO"/>
      </w:rPr>
      <w:t xml:space="preserve"> DEL </w:t>
    </w:r>
    <w:r w:rsidR="005B5D8B">
      <w:rPr>
        <w:rFonts w:ascii="Century Gothic" w:eastAsia="Geo" w:hAnsi="Century Gothic" w:cs="Geo"/>
        <w:sz w:val="16"/>
        <w:szCs w:val="16"/>
        <w:lang w:eastAsia="es-CO"/>
      </w:rPr>
      <w:t xml:space="preserve">22 </w:t>
    </w:r>
    <w:r w:rsidR="005B5D8B" w:rsidRPr="004A305D">
      <w:rPr>
        <w:rFonts w:ascii="Century Gothic" w:eastAsia="Geo" w:hAnsi="Century Gothic" w:cs="Geo"/>
        <w:sz w:val="16"/>
        <w:szCs w:val="16"/>
        <w:lang w:eastAsia="es-CO"/>
      </w:rPr>
      <w:t xml:space="preserve">DE </w:t>
    </w:r>
    <w:r w:rsidR="005B5D8B">
      <w:rPr>
        <w:rFonts w:ascii="Century Gothic" w:eastAsia="Geo" w:hAnsi="Century Gothic" w:cs="Geo"/>
        <w:sz w:val="16"/>
        <w:szCs w:val="16"/>
        <w:lang w:eastAsia="es-CO"/>
      </w:rPr>
      <w:t>AGOSTO</w:t>
    </w:r>
    <w:r w:rsidR="005B5D8B" w:rsidRPr="004A305D">
      <w:rPr>
        <w:rFonts w:ascii="Century Gothic" w:eastAsia="Geo" w:hAnsi="Century Gothic" w:cs="Geo"/>
        <w:sz w:val="16"/>
        <w:szCs w:val="16"/>
        <w:lang w:eastAsia="es-CO"/>
      </w:rPr>
      <w:t xml:space="preserve"> DE 202</w:t>
    </w:r>
    <w:r w:rsidR="005B5D8B">
      <w:rPr>
        <w:rFonts w:ascii="Century Gothic" w:eastAsia="Geo" w:hAnsi="Century Gothic" w:cs="Geo"/>
        <w:sz w:val="16"/>
        <w:szCs w:val="16"/>
        <w:lang w:eastAsia="es-CO"/>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981954">
    <w:abstractNumId w:val="3"/>
  </w:num>
  <w:num w:numId="2" w16cid:durableId="486676265">
    <w:abstractNumId w:val="1"/>
  </w:num>
  <w:num w:numId="3" w16cid:durableId="608313202">
    <w:abstractNumId w:val="2"/>
  </w:num>
  <w:num w:numId="4" w16cid:durableId="2667437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6877461">
    <w:abstractNumId w:val="1"/>
  </w:num>
  <w:num w:numId="6" w16cid:durableId="1763911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46D67"/>
    <w:rsid w:val="000A683E"/>
    <w:rsid w:val="000B19B9"/>
    <w:rsid w:val="000D0334"/>
    <w:rsid w:val="000E4714"/>
    <w:rsid w:val="000F6486"/>
    <w:rsid w:val="00125105"/>
    <w:rsid w:val="00127233"/>
    <w:rsid w:val="001E4177"/>
    <w:rsid w:val="002177D2"/>
    <w:rsid w:val="002951A0"/>
    <w:rsid w:val="002962BC"/>
    <w:rsid w:val="002A093D"/>
    <w:rsid w:val="002A49AC"/>
    <w:rsid w:val="002A64FD"/>
    <w:rsid w:val="002C7A84"/>
    <w:rsid w:val="003448F4"/>
    <w:rsid w:val="00363AF7"/>
    <w:rsid w:val="003A779E"/>
    <w:rsid w:val="003D0F4D"/>
    <w:rsid w:val="003E0499"/>
    <w:rsid w:val="003F15AD"/>
    <w:rsid w:val="003F3941"/>
    <w:rsid w:val="00400548"/>
    <w:rsid w:val="004368BC"/>
    <w:rsid w:val="004A1847"/>
    <w:rsid w:val="004A305D"/>
    <w:rsid w:val="004F21C4"/>
    <w:rsid w:val="004F685F"/>
    <w:rsid w:val="00533E8F"/>
    <w:rsid w:val="005566E8"/>
    <w:rsid w:val="005571E0"/>
    <w:rsid w:val="00574867"/>
    <w:rsid w:val="005A6AA1"/>
    <w:rsid w:val="005B5D8B"/>
    <w:rsid w:val="005C5CDC"/>
    <w:rsid w:val="005D33C9"/>
    <w:rsid w:val="005D476C"/>
    <w:rsid w:val="006219F8"/>
    <w:rsid w:val="00645D59"/>
    <w:rsid w:val="00665D70"/>
    <w:rsid w:val="00706C16"/>
    <w:rsid w:val="00727370"/>
    <w:rsid w:val="00753738"/>
    <w:rsid w:val="00756841"/>
    <w:rsid w:val="00763C80"/>
    <w:rsid w:val="007649AB"/>
    <w:rsid w:val="007833AC"/>
    <w:rsid w:val="007A6080"/>
    <w:rsid w:val="007B7171"/>
    <w:rsid w:val="007C3DC2"/>
    <w:rsid w:val="007D4E9A"/>
    <w:rsid w:val="007E5497"/>
    <w:rsid w:val="00806F5F"/>
    <w:rsid w:val="00820278"/>
    <w:rsid w:val="008843B6"/>
    <w:rsid w:val="00891928"/>
    <w:rsid w:val="008A446D"/>
    <w:rsid w:val="008F0EA7"/>
    <w:rsid w:val="00923EEF"/>
    <w:rsid w:val="009328DF"/>
    <w:rsid w:val="009419F9"/>
    <w:rsid w:val="00961B09"/>
    <w:rsid w:val="00965334"/>
    <w:rsid w:val="0097093E"/>
    <w:rsid w:val="009C71FA"/>
    <w:rsid w:val="009C72E7"/>
    <w:rsid w:val="00A17F13"/>
    <w:rsid w:val="00A20739"/>
    <w:rsid w:val="00A33C78"/>
    <w:rsid w:val="00AB0ADB"/>
    <w:rsid w:val="00AD5E99"/>
    <w:rsid w:val="00AD7F58"/>
    <w:rsid w:val="00B22E10"/>
    <w:rsid w:val="00B41C0A"/>
    <w:rsid w:val="00B72CD3"/>
    <w:rsid w:val="00B72FFF"/>
    <w:rsid w:val="00BD15D4"/>
    <w:rsid w:val="00BD2E7A"/>
    <w:rsid w:val="00BD7F72"/>
    <w:rsid w:val="00C04FB3"/>
    <w:rsid w:val="00C330EB"/>
    <w:rsid w:val="00C754BE"/>
    <w:rsid w:val="00CB6357"/>
    <w:rsid w:val="00CC1B26"/>
    <w:rsid w:val="00D423A2"/>
    <w:rsid w:val="00D63AC2"/>
    <w:rsid w:val="00D7383B"/>
    <w:rsid w:val="00DA231B"/>
    <w:rsid w:val="00E16408"/>
    <w:rsid w:val="00E20894"/>
    <w:rsid w:val="00E245AB"/>
    <w:rsid w:val="00E50AFE"/>
    <w:rsid w:val="00E771DC"/>
    <w:rsid w:val="00E8772A"/>
    <w:rsid w:val="00E90F6B"/>
    <w:rsid w:val="00E92C27"/>
    <w:rsid w:val="00EA0E3D"/>
    <w:rsid w:val="00EE1AA8"/>
    <w:rsid w:val="00F17039"/>
    <w:rsid w:val="00F204AB"/>
    <w:rsid w:val="00F31EDC"/>
    <w:rsid w:val="00F5664F"/>
    <w:rsid w:val="00F613A2"/>
    <w:rsid w:val="00F76AFC"/>
    <w:rsid w:val="00F77BFC"/>
    <w:rsid w:val="00FA0A7D"/>
    <w:rsid w:val="00FB5DD1"/>
    <w:rsid w:val="00FC2B5D"/>
    <w:rsid w:val="00FF1449"/>
    <w:rsid w:val="687B05C8"/>
    <w:rsid w:val="758F89AC"/>
    <w:rsid w:val="7996B8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Appelnotedebasde">
    <w:name w:val="Appel note de bas de..."/>
    <w:basedOn w:val="Normal"/>
    <w:link w:val="Refdenotaalpie"/>
    <w:uiPriority w:val="99"/>
    <w:rsid w:val="003F15AD"/>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3F15AD"/>
    <w:rPr>
      <w:rFonts w:ascii="Geomanist Light" w:hAnsi="Geomanist Light"/>
      <w:lang w:val="es-ES"/>
    </w:rPr>
  </w:style>
  <w:style w:type="character" w:styleId="Refdecomentario">
    <w:name w:val="annotation reference"/>
    <w:basedOn w:val="Fuentedeprrafopredeter"/>
    <w:uiPriority w:val="99"/>
    <w:semiHidden/>
    <w:unhideWhenUsed/>
    <w:rsid w:val="003F15AD"/>
    <w:rPr>
      <w:sz w:val="16"/>
      <w:szCs w:val="16"/>
    </w:rPr>
  </w:style>
  <w:style w:type="paragraph" w:styleId="Textocomentario">
    <w:name w:val="annotation text"/>
    <w:basedOn w:val="Normal"/>
    <w:link w:val="TextocomentarioCar"/>
    <w:uiPriority w:val="99"/>
    <w:unhideWhenUsed/>
    <w:rsid w:val="003F15AD"/>
    <w:pPr>
      <w:spacing w:line="240" w:lineRule="auto"/>
    </w:pPr>
    <w:rPr>
      <w:sz w:val="20"/>
      <w:szCs w:val="20"/>
    </w:rPr>
  </w:style>
  <w:style w:type="character" w:customStyle="1" w:styleId="TextocomentarioCar">
    <w:name w:val="Texto comentario Car"/>
    <w:basedOn w:val="Fuentedeprrafopredeter"/>
    <w:link w:val="Textocomentario"/>
    <w:uiPriority w:val="99"/>
    <w:rsid w:val="003F15AD"/>
    <w:rPr>
      <w:sz w:val="20"/>
      <w:szCs w:val="20"/>
    </w:rPr>
  </w:style>
  <w:style w:type="paragraph" w:styleId="NormalWeb">
    <w:name w:val="Normal (Web)"/>
    <w:basedOn w:val="Normal"/>
    <w:link w:val="NormalWebCar"/>
    <w:uiPriority w:val="99"/>
    <w:unhideWhenUsed/>
    <w:rsid w:val="003F15A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rsid w:val="003F15AD"/>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UsrMemex02</DisplayName>
        <AccountId>180</AccountId>
        <AccountType/>
      </UserInfo>
      <UserInfo>
        <DisplayName>Hernán Camilo Lozano Ochoa</DisplayName>
        <AccountId>287</AccountId>
        <AccountType/>
      </UserInfo>
      <UserInfo>
        <DisplayName>Juan David Montoya Penagos</DisplayName>
        <AccountId>697</AccountId>
        <AccountType/>
      </UserInfo>
      <UserInfo>
        <DisplayName>Juan David Cárdenas Cabeza</DisplayName>
        <AccountId>659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2.xml><?xml version="1.0" encoding="utf-8"?>
<ds:datastoreItem xmlns:ds="http://schemas.openxmlformats.org/officeDocument/2006/customXml" ds:itemID="{4A231172-915D-41F1-BECE-A724DE8E3953}"/>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5368</Words>
  <Characters>29527</Characters>
  <Application>Microsoft Office Word</Application>
  <DocSecurity>0</DocSecurity>
  <Lines>246</Lines>
  <Paragraphs>69</Paragraphs>
  <ScaleCrop>false</ScaleCrop>
  <Company/>
  <LinksUpToDate>false</LinksUpToDate>
  <CharactersWithSpaces>34826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ANCP - CCE</cp:lastModifiedBy>
  <cp:revision>5</cp:revision>
  <cp:lastPrinted>2023-01-10T21:18:00Z</cp:lastPrinted>
  <dcterms:created xsi:type="dcterms:W3CDTF">2024-05-28T14:54:00Z</dcterms:created>
  <dcterms:modified xsi:type="dcterms:W3CDTF">2024-06-04T16:13:00Z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