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77DEE" w14:textId="77777777" w:rsidR="00FE4BC0" w:rsidRPr="00FE4BC0" w:rsidRDefault="00FE4BC0" w:rsidP="00FE4BC0">
      <w:pPr>
        <w:spacing w:after="0" w:line="240" w:lineRule="auto"/>
        <w:contextualSpacing/>
        <w:jc w:val="both"/>
        <w:rPr>
          <w:rFonts w:ascii="Century Gothic" w:eastAsia="Calibri" w:hAnsi="Century Gothic" w:cs="Arial"/>
          <w:b/>
          <w:lang w:val="es-ES_tradnl" w:eastAsia="es-ES_tradnl"/>
        </w:rPr>
      </w:pPr>
      <w:bookmarkStart w:id="0" w:name="_Hlk67491171"/>
      <w:bookmarkStart w:id="1" w:name="_Hlk143780582"/>
      <w:r w:rsidRPr="00FE4BC0">
        <w:rPr>
          <w:rFonts w:ascii="Century Gothic" w:eastAsia="Calibri" w:hAnsi="Century Gothic" w:cs="Arial"/>
          <w:b/>
          <w:lang w:val="es-ES_tradnl" w:eastAsia="es-ES_tradnl"/>
        </w:rPr>
        <w:t>SELECCIÓN OBJETIVA – Contratación estatal – Concepto</w:t>
      </w:r>
    </w:p>
    <w:bookmarkEnd w:id="0"/>
    <w:p w14:paraId="6F76E940" w14:textId="77777777" w:rsidR="00FE4BC0" w:rsidRPr="00FE4BC0" w:rsidRDefault="00FE4BC0" w:rsidP="00FE4BC0">
      <w:pPr>
        <w:tabs>
          <w:tab w:val="left" w:pos="2235"/>
        </w:tabs>
        <w:spacing w:after="0" w:line="240" w:lineRule="auto"/>
        <w:contextualSpacing/>
        <w:jc w:val="both"/>
        <w:rPr>
          <w:rFonts w:ascii="Century Gothic" w:eastAsia="Calibri" w:hAnsi="Century Gothic" w:cs="Arial"/>
          <w:b/>
          <w:sz w:val="20"/>
          <w:szCs w:val="20"/>
          <w:lang w:val="es-ES_tradnl" w:eastAsia="es-ES_tradnl"/>
        </w:rPr>
      </w:pPr>
      <w:r w:rsidRPr="00FE4BC0">
        <w:rPr>
          <w:rFonts w:ascii="Century Gothic" w:eastAsia="Calibri" w:hAnsi="Century Gothic" w:cs="Arial"/>
          <w:b/>
          <w:sz w:val="20"/>
          <w:szCs w:val="20"/>
          <w:lang w:val="es-ES_tradnl" w:eastAsia="es-ES_tradnl"/>
        </w:rPr>
        <w:tab/>
      </w:r>
    </w:p>
    <w:p w14:paraId="3FDF3BA1" w14:textId="1200B891" w:rsidR="00FE4BC0" w:rsidRPr="00FE4BC0" w:rsidRDefault="007238A7" w:rsidP="00FE4BC0">
      <w:pPr>
        <w:spacing w:after="0" w:line="240" w:lineRule="auto"/>
        <w:contextualSpacing/>
        <w:jc w:val="both"/>
        <w:rPr>
          <w:rFonts w:ascii="Century Gothic" w:eastAsia="Calibri" w:hAnsi="Century Gothic" w:cs="Arial"/>
          <w:sz w:val="20"/>
          <w:szCs w:val="20"/>
          <w:lang w:val="es-ES_tradnl" w:eastAsia="es-ES_tradnl"/>
        </w:rPr>
      </w:pPr>
      <w:r w:rsidRPr="007238A7">
        <w:rPr>
          <w:rFonts w:ascii="Century Gothic" w:eastAsia="Calibri" w:hAnsi="Century Gothic" w:cs="Arial"/>
          <w:sz w:val="20"/>
          <w:szCs w:val="20"/>
          <w:lang w:val="es-ES_tradnl" w:eastAsia="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al indicar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71FF613B" w14:textId="77777777" w:rsidR="00FE4BC0" w:rsidRPr="00FE4BC0" w:rsidRDefault="00FE4BC0" w:rsidP="00FE4BC0">
      <w:pPr>
        <w:spacing w:after="0" w:line="240" w:lineRule="auto"/>
        <w:contextualSpacing/>
        <w:jc w:val="both"/>
        <w:rPr>
          <w:rFonts w:ascii="Century Gothic" w:eastAsia="Calibri" w:hAnsi="Century Gothic" w:cs="Arial"/>
          <w:b/>
          <w:sz w:val="20"/>
          <w:szCs w:val="20"/>
          <w:lang w:val="es-ES_tradnl" w:eastAsia="es-ES_tradnl"/>
        </w:rPr>
      </w:pPr>
    </w:p>
    <w:p w14:paraId="6D421B27" w14:textId="77777777" w:rsidR="00FE4BC0" w:rsidRPr="00FE4BC0" w:rsidRDefault="00FE4BC0" w:rsidP="00FE4BC0">
      <w:pPr>
        <w:spacing w:after="0" w:line="240" w:lineRule="auto"/>
        <w:contextualSpacing/>
        <w:jc w:val="both"/>
        <w:rPr>
          <w:rFonts w:ascii="Century Gothic" w:eastAsia="Calibri" w:hAnsi="Century Gothic" w:cs="Arial"/>
          <w:b/>
          <w:lang w:val="es-ES_tradnl" w:eastAsia="es-ES_tradnl"/>
        </w:rPr>
      </w:pPr>
      <w:bookmarkStart w:id="2" w:name="_Hlk67491186"/>
      <w:r w:rsidRPr="00FE4BC0">
        <w:rPr>
          <w:rFonts w:ascii="Century Gothic" w:eastAsia="Calibri" w:hAnsi="Century Gothic" w:cs="Arial"/>
          <w:b/>
          <w:lang w:val="es-ES_tradnl" w:eastAsia="es-ES_tradnl"/>
        </w:rPr>
        <w:t>EMPATE – Procedimiento de selección – Concepto</w:t>
      </w:r>
    </w:p>
    <w:bookmarkEnd w:id="2"/>
    <w:p w14:paraId="1C1897CA" w14:textId="77777777" w:rsidR="00FE4BC0" w:rsidRPr="00FE4BC0" w:rsidRDefault="00FE4BC0" w:rsidP="00FE4BC0">
      <w:pPr>
        <w:spacing w:after="0" w:line="240" w:lineRule="auto"/>
        <w:contextualSpacing/>
        <w:jc w:val="both"/>
        <w:rPr>
          <w:rFonts w:ascii="Century Gothic" w:eastAsia="Calibri" w:hAnsi="Century Gothic" w:cs="Arial"/>
          <w:b/>
          <w:sz w:val="20"/>
          <w:szCs w:val="20"/>
          <w:lang w:val="es-ES_tradnl" w:eastAsia="es-ES_tradnl"/>
        </w:rPr>
      </w:pPr>
    </w:p>
    <w:p w14:paraId="7683D428" w14:textId="340429D4" w:rsidR="00FE4BC0" w:rsidRPr="00FE4BC0" w:rsidRDefault="007238A7" w:rsidP="40E0CEC5">
      <w:pPr>
        <w:spacing w:after="0" w:line="240" w:lineRule="auto"/>
        <w:contextualSpacing/>
        <w:jc w:val="both"/>
        <w:rPr>
          <w:rFonts w:ascii="Century Gothic" w:eastAsia="Calibri" w:hAnsi="Century Gothic" w:cs="Arial"/>
          <w:sz w:val="20"/>
          <w:szCs w:val="20"/>
          <w:lang w:val="es-ES" w:eastAsia="es-ES"/>
        </w:rPr>
      </w:pPr>
      <w:r w:rsidRPr="007238A7">
        <w:rPr>
          <w:rFonts w:ascii="Century Gothic" w:eastAsia="Calibri" w:hAnsi="Century Gothic" w:cs="Arial"/>
          <w:sz w:val="20"/>
          <w:szCs w:val="20"/>
          <w:lang w:val="es-ES" w:eastAsia="es-ES"/>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3A6EF014" w14:textId="77777777" w:rsidR="00FE4BC0" w:rsidRPr="00FE4BC0" w:rsidRDefault="00FE4BC0" w:rsidP="00FE4BC0">
      <w:pPr>
        <w:spacing w:after="0" w:line="240" w:lineRule="auto"/>
        <w:contextualSpacing/>
        <w:jc w:val="both"/>
        <w:rPr>
          <w:rFonts w:ascii="Century Gothic" w:eastAsia="Times New Roman" w:hAnsi="Century Gothic" w:cs="Arial"/>
          <w:noProof/>
          <w:sz w:val="20"/>
          <w:szCs w:val="20"/>
          <w:lang w:val="es-ES_tradnl" w:eastAsia="es-ES_tradnl"/>
        </w:rPr>
      </w:pPr>
    </w:p>
    <w:p w14:paraId="4CFCF852" w14:textId="77777777" w:rsidR="00FE4BC0" w:rsidRPr="00FE4BC0" w:rsidRDefault="00FE4BC0" w:rsidP="00FE4BC0">
      <w:pPr>
        <w:spacing w:after="0" w:line="240" w:lineRule="auto"/>
        <w:contextualSpacing/>
        <w:jc w:val="both"/>
        <w:rPr>
          <w:rFonts w:ascii="Century Gothic" w:eastAsia="Calibri" w:hAnsi="Century Gothic" w:cs="Arial"/>
          <w:b/>
          <w:lang w:val="es-ES_tradnl" w:eastAsia="es-ES_tradnl"/>
        </w:rPr>
      </w:pPr>
      <w:bookmarkStart w:id="3" w:name="_Hlk67491199"/>
      <w:r w:rsidRPr="00FE4BC0">
        <w:rPr>
          <w:rFonts w:ascii="Century Gothic" w:eastAsia="Calibri" w:hAnsi="Century Gothic" w:cs="Arial"/>
          <w:b/>
          <w:lang w:val="es-ES_tradnl" w:eastAsia="es-ES_tradnl"/>
        </w:rPr>
        <w:t>FACTORES DE DESEMPATE – Características – Límites</w:t>
      </w:r>
    </w:p>
    <w:bookmarkEnd w:id="3"/>
    <w:p w14:paraId="1FCF3F74" w14:textId="77777777" w:rsidR="00FE4BC0" w:rsidRPr="00FE4BC0" w:rsidRDefault="00FE4BC0" w:rsidP="00FE4BC0">
      <w:pPr>
        <w:spacing w:after="0" w:line="240" w:lineRule="auto"/>
        <w:contextualSpacing/>
        <w:jc w:val="both"/>
        <w:rPr>
          <w:rFonts w:ascii="Century Gothic" w:eastAsia="Times New Roman" w:hAnsi="Century Gothic" w:cs="Arial"/>
          <w:noProof/>
          <w:sz w:val="20"/>
          <w:szCs w:val="20"/>
          <w:lang w:val="es-ES_tradnl" w:eastAsia="es-ES_tradnl"/>
        </w:rPr>
      </w:pPr>
    </w:p>
    <w:p w14:paraId="0D4AB9FE" w14:textId="5FF82522" w:rsidR="007238A7" w:rsidRDefault="007238A7" w:rsidP="007238A7">
      <w:pPr>
        <w:spacing w:after="0" w:line="240" w:lineRule="auto"/>
        <w:contextualSpacing/>
        <w:jc w:val="both"/>
        <w:rPr>
          <w:rFonts w:ascii="Century Gothic" w:eastAsia="Calibri" w:hAnsi="Century Gothic" w:cs="Arial"/>
          <w:sz w:val="20"/>
          <w:szCs w:val="20"/>
          <w:lang w:val="es-ES_tradnl" w:eastAsia="es-ES_tradnl"/>
        </w:rPr>
      </w:pPr>
      <w:r w:rsidRPr="007238A7">
        <w:rPr>
          <w:rFonts w:ascii="Century Gothic" w:eastAsia="Calibri" w:hAnsi="Century Gothic" w:cs="Arial"/>
          <w:sz w:val="20"/>
          <w:szCs w:val="20"/>
          <w:lang w:val="es-ES_tradnl" w:eastAsia="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encuentra el artículo 35 de la Ley 2069 de 2020. La jurisprudencia comparte la idea de que los criterios de desempate deben estar establecidos de antemano y constituyen un límite a la discrecionalidad administrativa en los procedimientos de selección. </w:t>
      </w:r>
    </w:p>
    <w:p w14:paraId="463497BC" w14:textId="77777777" w:rsidR="007238A7" w:rsidRPr="007238A7" w:rsidRDefault="007238A7" w:rsidP="007238A7">
      <w:pPr>
        <w:spacing w:after="0" w:line="240" w:lineRule="auto"/>
        <w:contextualSpacing/>
        <w:jc w:val="both"/>
        <w:rPr>
          <w:rFonts w:ascii="Century Gothic" w:eastAsia="Calibri" w:hAnsi="Century Gothic" w:cs="Arial"/>
          <w:sz w:val="20"/>
          <w:szCs w:val="20"/>
          <w:lang w:val="es-ES_tradnl" w:eastAsia="es-ES_tradnl"/>
        </w:rPr>
      </w:pPr>
    </w:p>
    <w:p w14:paraId="35B62816" w14:textId="2C80236E" w:rsidR="00FE4BC0" w:rsidRPr="00FE4BC0" w:rsidRDefault="007238A7" w:rsidP="007238A7">
      <w:pPr>
        <w:spacing w:after="0" w:line="240" w:lineRule="auto"/>
        <w:contextualSpacing/>
        <w:jc w:val="both"/>
        <w:rPr>
          <w:rFonts w:ascii="Century Gothic" w:eastAsia="Calibri" w:hAnsi="Century Gothic" w:cs="Arial"/>
          <w:sz w:val="20"/>
          <w:szCs w:val="20"/>
          <w:lang w:val="es-ES" w:eastAsia="es-ES"/>
        </w:rPr>
      </w:pPr>
      <w:r w:rsidRPr="007238A7">
        <w:rPr>
          <w:rFonts w:ascii="Century Gothic" w:eastAsia="Calibri" w:hAnsi="Century Gothic" w:cs="Arial"/>
          <w:sz w:val="20"/>
          <w:szCs w:val="20"/>
          <w:lang w:val="es-ES_tradnl" w:eastAsia="es-ES_tradnl"/>
        </w:rPr>
        <w:t xml:space="preserve">En tal sentido, la Corte Constitucional explica que cuando la ley establece factores de desempate obligatorios, las entidades estatales no pueden </w:t>
      </w:r>
      <w:proofErr w:type="spellStart"/>
      <w:r w:rsidRPr="007238A7">
        <w:rPr>
          <w:rFonts w:ascii="Century Gothic" w:eastAsia="Calibri" w:hAnsi="Century Gothic" w:cs="Arial"/>
          <w:sz w:val="20"/>
          <w:szCs w:val="20"/>
          <w:lang w:val="es-ES_tradnl" w:eastAsia="es-ES_tradnl"/>
        </w:rPr>
        <w:t>inaplicarlos</w:t>
      </w:r>
      <w:proofErr w:type="spellEnd"/>
      <w:r w:rsidRPr="007238A7">
        <w:rPr>
          <w:rFonts w:ascii="Century Gothic" w:eastAsia="Calibri" w:hAnsi="Century Gothic" w:cs="Arial"/>
          <w:sz w:val="20"/>
          <w:szCs w:val="20"/>
          <w:lang w:val="es-ES_tradnl" w:eastAsia="es-ES_tradnl"/>
        </w:rPr>
        <w:t xml:space="preserve">, porque ello podría vulnerar el principio de igualdad, especialmente, cuando algunos de estos criterios surgen </w:t>
      </w:r>
      <w:r w:rsidRPr="007238A7">
        <w:rPr>
          <w:rFonts w:ascii="Century Gothic" w:eastAsia="Calibri" w:hAnsi="Century Gothic" w:cs="Arial"/>
          <w:sz w:val="20"/>
          <w:szCs w:val="20"/>
          <w:lang w:val="es-ES_tradnl" w:eastAsia="es-ES_tradnl"/>
        </w:rPr>
        <w:lastRenderedPageBreak/>
        <w:t>como acciones afirmativas para ciertos sectores de la población. Más aún, el Consejo de Estado ha señalado que contrariar los factores de desempate genera la nulidad del contrato, conforme al artículo 44, inciso 1º de la Ley 80 de 1993.</w:t>
      </w:r>
    </w:p>
    <w:p w14:paraId="282CABF6" w14:textId="77777777" w:rsidR="00FE4BC0" w:rsidRPr="00FE4BC0" w:rsidRDefault="00FE4BC0" w:rsidP="00FE4BC0">
      <w:pPr>
        <w:spacing w:after="0" w:line="240" w:lineRule="auto"/>
        <w:contextualSpacing/>
        <w:jc w:val="both"/>
        <w:rPr>
          <w:rFonts w:ascii="Century Gothic" w:eastAsia="Calibri" w:hAnsi="Century Gothic" w:cs="Arial"/>
          <w:b/>
          <w:sz w:val="20"/>
          <w:szCs w:val="20"/>
          <w:lang w:val="es-ES_tradnl" w:eastAsia="es-ES_tradnl"/>
        </w:rPr>
      </w:pPr>
    </w:p>
    <w:p w14:paraId="54CDB948" w14:textId="77777777" w:rsidR="00FE4BC0" w:rsidRPr="00FE4BC0" w:rsidRDefault="00FE4BC0" w:rsidP="00FE4BC0">
      <w:pPr>
        <w:spacing w:after="0" w:line="240" w:lineRule="auto"/>
        <w:contextualSpacing/>
        <w:jc w:val="both"/>
        <w:rPr>
          <w:rFonts w:ascii="Century Gothic" w:eastAsia="Calibri" w:hAnsi="Century Gothic" w:cs="Arial"/>
          <w:b/>
          <w:lang w:val="es-ES_tradnl" w:eastAsia="es-ES_tradnl"/>
        </w:rPr>
      </w:pPr>
      <w:bookmarkStart w:id="4" w:name="_Hlk67491213"/>
      <w:r w:rsidRPr="00FE4BC0">
        <w:rPr>
          <w:rFonts w:ascii="Century Gothic" w:eastAsia="Calibri" w:hAnsi="Century Gothic" w:cs="Arial"/>
          <w:b/>
          <w:lang w:val="es-ES_tradnl" w:eastAsia="es-ES_tradnl"/>
        </w:rPr>
        <w:t xml:space="preserve">LEY DE EMPRENDIMIENTO – Ley 2069 de 2020 – Contenido </w:t>
      </w:r>
    </w:p>
    <w:bookmarkEnd w:id="4"/>
    <w:p w14:paraId="7349F2D8" w14:textId="77777777" w:rsidR="00FE4BC0" w:rsidRPr="00FE4BC0" w:rsidRDefault="00FE4BC0" w:rsidP="00FE4BC0">
      <w:pPr>
        <w:spacing w:after="0" w:line="240" w:lineRule="auto"/>
        <w:contextualSpacing/>
        <w:jc w:val="both"/>
        <w:rPr>
          <w:rFonts w:ascii="Century Gothic" w:eastAsia="Calibri" w:hAnsi="Century Gothic" w:cs="Arial"/>
          <w:b/>
          <w:sz w:val="20"/>
          <w:szCs w:val="20"/>
          <w:lang w:val="es-ES_tradnl" w:eastAsia="es-ES_tradnl"/>
        </w:rPr>
      </w:pPr>
    </w:p>
    <w:p w14:paraId="0D5BCCFC" w14:textId="56E10637" w:rsidR="007238A7" w:rsidRDefault="007238A7" w:rsidP="007238A7">
      <w:pPr>
        <w:spacing w:after="0" w:line="240" w:lineRule="auto"/>
        <w:contextualSpacing/>
        <w:jc w:val="both"/>
        <w:rPr>
          <w:rFonts w:ascii="Century Gothic" w:eastAsia="Calibri" w:hAnsi="Century Gothic" w:cs="Arial"/>
          <w:sz w:val="20"/>
          <w:szCs w:val="20"/>
          <w:lang w:val="es-ES_tradnl" w:eastAsia="es-ES_tradnl"/>
        </w:rPr>
      </w:pPr>
      <w:r w:rsidRPr="007238A7">
        <w:rPr>
          <w:rFonts w:ascii="Century Gothic" w:eastAsia="Calibri" w:hAnsi="Century Gothic" w:cs="Arial"/>
          <w:sz w:val="20"/>
          <w:szCs w:val="20"/>
          <w:lang w:val="es-ES_tradnl" w:eastAsia="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666F4E8B" w14:textId="77777777" w:rsidR="007238A7" w:rsidRPr="007238A7" w:rsidRDefault="007238A7" w:rsidP="007238A7">
      <w:pPr>
        <w:spacing w:after="0" w:line="240" w:lineRule="auto"/>
        <w:contextualSpacing/>
        <w:jc w:val="both"/>
        <w:rPr>
          <w:rFonts w:ascii="Century Gothic" w:eastAsia="Calibri" w:hAnsi="Century Gothic" w:cs="Arial"/>
          <w:sz w:val="20"/>
          <w:szCs w:val="20"/>
          <w:lang w:val="es-ES_tradnl" w:eastAsia="es-ES_tradnl"/>
        </w:rPr>
      </w:pPr>
    </w:p>
    <w:p w14:paraId="082DA67C" w14:textId="656E8894" w:rsidR="00FE4BC0" w:rsidRPr="00FE4BC0" w:rsidRDefault="007238A7" w:rsidP="007238A7">
      <w:pPr>
        <w:spacing w:after="0" w:line="240" w:lineRule="auto"/>
        <w:contextualSpacing/>
        <w:jc w:val="both"/>
        <w:rPr>
          <w:rFonts w:ascii="Century Gothic" w:eastAsia="Calibri" w:hAnsi="Century Gothic" w:cs="Arial"/>
          <w:sz w:val="20"/>
          <w:szCs w:val="20"/>
          <w:lang w:val="es-ES" w:eastAsia="es-ES"/>
        </w:rPr>
      </w:pPr>
      <w:r w:rsidRPr="007238A7">
        <w:rPr>
          <w:rFonts w:ascii="Century Gothic" w:eastAsia="Calibri" w:hAnsi="Century Gothic" w:cs="Arial"/>
          <w:sz w:val="20"/>
          <w:szCs w:val="20"/>
          <w:lang w:val="es-ES_tradnl" w:eastAsia="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7238A7">
        <w:rPr>
          <w:rFonts w:ascii="Century Gothic" w:eastAsia="Calibri" w:hAnsi="Century Gothic" w:cs="Arial"/>
          <w:sz w:val="20"/>
          <w:szCs w:val="20"/>
          <w:lang w:val="es-ES_tradnl" w:eastAsia="es-ES_tradnl"/>
        </w:rPr>
        <w:t>de acuerdo a</w:t>
      </w:r>
      <w:proofErr w:type="gramEnd"/>
      <w:r w:rsidRPr="007238A7">
        <w:rPr>
          <w:rFonts w:ascii="Century Gothic" w:eastAsia="Calibri" w:hAnsi="Century Gothic" w:cs="Arial"/>
          <w:sz w:val="20"/>
          <w:szCs w:val="20"/>
          <w:lang w:val="es-ES_tradnl" w:eastAsia="es-ES_tradnl"/>
        </w:rPr>
        <w:t xml:space="preserve"> las realidades socioeconómicas de cada región”. En desarrollo de esta finalidad, se establecen medidas de apoyo para las micro, pequeñas y medianas empresas –</w:t>
      </w:r>
      <w:proofErr w:type="spellStart"/>
      <w:r w:rsidRPr="007238A7">
        <w:rPr>
          <w:rFonts w:ascii="Century Gothic" w:eastAsia="Calibri" w:hAnsi="Century Gothic" w:cs="Arial"/>
          <w:sz w:val="20"/>
          <w:szCs w:val="20"/>
          <w:lang w:val="es-ES_tradnl" w:eastAsia="es-ES_tradnl"/>
        </w:rPr>
        <w:t>Mipymes</w:t>
      </w:r>
      <w:proofErr w:type="spellEnd"/>
      <w:r w:rsidRPr="007238A7">
        <w:rPr>
          <w:rFonts w:ascii="Century Gothic" w:eastAsia="Calibri" w:hAnsi="Century Gothic" w:cs="Arial"/>
          <w:sz w:val="20"/>
          <w:szCs w:val="20"/>
          <w:lang w:val="es-ES_tradnl" w:eastAsia="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A5897F2" w14:textId="77777777" w:rsidR="00FE4BC0" w:rsidRPr="00FE4BC0" w:rsidRDefault="00FE4BC0" w:rsidP="00FE4BC0">
      <w:pPr>
        <w:spacing w:after="0" w:line="240" w:lineRule="auto"/>
        <w:contextualSpacing/>
        <w:jc w:val="both"/>
        <w:rPr>
          <w:rFonts w:ascii="Century Gothic" w:eastAsia="Calibri" w:hAnsi="Century Gothic" w:cs="Arial"/>
          <w:b/>
          <w:sz w:val="20"/>
          <w:szCs w:val="20"/>
          <w:lang w:val="es-ES_tradnl" w:eastAsia="es-ES_tradnl"/>
        </w:rPr>
      </w:pPr>
    </w:p>
    <w:p w14:paraId="13CA01E6" w14:textId="77777777" w:rsidR="00FE4BC0" w:rsidRPr="00FE4BC0" w:rsidRDefault="00FE4BC0" w:rsidP="00FE4BC0">
      <w:pPr>
        <w:tabs>
          <w:tab w:val="left" w:pos="709"/>
        </w:tabs>
        <w:spacing w:after="0" w:line="240" w:lineRule="auto"/>
        <w:contextualSpacing/>
        <w:jc w:val="both"/>
        <w:rPr>
          <w:rFonts w:ascii="Century Gothic" w:eastAsia="Calibri" w:hAnsi="Century Gothic" w:cs="Arial"/>
          <w:lang w:val="es-ES_tradnl" w:eastAsia="es-ES_tradnl"/>
        </w:rPr>
      </w:pPr>
      <w:r w:rsidRPr="00FE4BC0">
        <w:rPr>
          <w:rFonts w:ascii="Century Gothic" w:eastAsia="Times New Roman" w:hAnsi="Century Gothic" w:cs="Arial"/>
          <w:b/>
          <w:bCs/>
          <w:noProof/>
          <w:lang w:val="es-ES_tradnl" w:eastAsia="es-ES_tradnl"/>
        </w:rPr>
        <w:t xml:space="preserve">FACTORES DE DESEMPATE </w:t>
      </w:r>
      <w:r w:rsidRPr="00FE4BC0">
        <w:rPr>
          <w:rFonts w:ascii="Century Gothic" w:eastAsia="Times New Roman" w:hAnsi="Century Gothic" w:cs="Arial"/>
          <w:b/>
          <w:bCs/>
          <w:noProof/>
          <w:lang w:val="es-ES_tradnl" w:eastAsia="es-ES_tradnl"/>
        </w:rPr>
        <w:softHyphen/>
        <w:t xml:space="preserve">– Ley 2069 de 2020 – Artículo 35 </w:t>
      </w:r>
    </w:p>
    <w:p w14:paraId="47B78602" w14:textId="77777777" w:rsidR="00FE4BC0" w:rsidRPr="00FE4BC0" w:rsidRDefault="00FE4BC0" w:rsidP="00FE4BC0">
      <w:pPr>
        <w:tabs>
          <w:tab w:val="left" w:pos="709"/>
        </w:tabs>
        <w:spacing w:after="0" w:line="240" w:lineRule="auto"/>
        <w:contextualSpacing/>
        <w:jc w:val="both"/>
        <w:rPr>
          <w:rFonts w:ascii="Century Gothic" w:eastAsia="Calibri" w:hAnsi="Century Gothic" w:cs="Arial"/>
          <w:sz w:val="20"/>
          <w:szCs w:val="20"/>
          <w:lang w:val="es-ES_tradnl" w:eastAsia="es-ES_tradnl"/>
        </w:rPr>
      </w:pPr>
    </w:p>
    <w:p w14:paraId="669CD011" w14:textId="2896E616" w:rsidR="00FE4BC0" w:rsidRPr="00FE4BC0" w:rsidRDefault="00810468" w:rsidP="00FE4BC0">
      <w:pPr>
        <w:tabs>
          <w:tab w:val="left" w:pos="709"/>
        </w:tabs>
        <w:spacing w:after="0" w:line="240" w:lineRule="auto"/>
        <w:contextualSpacing/>
        <w:jc w:val="both"/>
        <w:rPr>
          <w:rFonts w:ascii="Century Gothic" w:eastAsia="Calibri" w:hAnsi="Century Gothic" w:cs="Arial"/>
          <w:sz w:val="20"/>
          <w:szCs w:val="20"/>
          <w:lang w:val="es-ES_tradnl" w:eastAsia="es-ES_tradnl"/>
        </w:rPr>
      </w:pPr>
      <w:r w:rsidRPr="00810468">
        <w:rPr>
          <w:rFonts w:ascii="Century Gothic" w:eastAsia="Calibri" w:hAnsi="Century Gothic" w:cs="Arial"/>
          <w:sz w:val="20"/>
          <w:szCs w:val="20"/>
          <w:lang w:val="es-ES_tradnl" w:eastAsia="es-ES_tradnl"/>
        </w:rPr>
        <w:t>El artículo 35 de la Ley 2069 de 2020 define un nuevo marco jurídico en relación con los criterios de desempate previstos en los procesos de contratación realizados con cargo a recursos públicos, los procesos de contratación efectuados por las entidades estatales indistintamente de su régimen de contratación, así como los procesos de contratación adelantados por patrimonios autónomos constituidos por entidades estatales.</w:t>
      </w:r>
    </w:p>
    <w:p w14:paraId="28E7181C" w14:textId="77777777" w:rsidR="00FE4BC0" w:rsidRPr="00FE4BC0" w:rsidRDefault="00FE4BC0" w:rsidP="00FE4BC0">
      <w:pPr>
        <w:tabs>
          <w:tab w:val="left" w:pos="709"/>
        </w:tabs>
        <w:spacing w:after="0" w:line="240" w:lineRule="auto"/>
        <w:contextualSpacing/>
        <w:jc w:val="both"/>
        <w:rPr>
          <w:rFonts w:ascii="Century Gothic" w:eastAsia="Calibri" w:hAnsi="Century Gothic" w:cs="Arial"/>
          <w:sz w:val="20"/>
          <w:szCs w:val="20"/>
          <w:lang w:val="es-ES_tradnl" w:eastAsia="es-ES_tradnl"/>
        </w:rPr>
      </w:pPr>
    </w:p>
    <w:p w14:paraId="4494AE48" w14:textId="77777777" w:rsidR="00FE4BC0" w:rsidRPr="00FE4BC0" w:rsidRDefault="00FE4BC0" w:rsidP="00FE4BC0">
      <w:pPr>
        <w:tabs>
          <w:tab w:val="left" w:pos="709"/>
        </w:tabs>
        <w:spacing w:after="0" w:line="240" w:lineRule="auto"/>
        <w:contextualSpacing/>
        <w:jc w:val="both"/>
        <w:rPr>
          <w:rFonts w:ascii="Century Gothic" w:eastAsia="Times New Roman" w:hAnsi="Century Gothic" w:cs="Arial"/>
          <w:b/>
          <w:bCs/>
          <w:noProof/>
          <w:lang w:val="es-ES_tradnl" w:eastAsia="es-ES_tradnl"/>
        </w:rPr>
      </w:pPr>
      <w:r w:rsidRPr="00FE4BC0">
        <w:rPr>
          <w:rFonts w:ascii="Century Gothic" w:eastAsia="Times New Roman" w:hAnsi="Century Gothic" w:cs="Arial"/>
          <w:b/>
          <w:bCs/>
          <w:noProof/>
          <w:lang w:val="es-ES_tradnl" w:eastAsia="es-ES_tradnl"/>
        </w:rPr>
        <w:t xml:space="preserve">FACTORES DE DESEMPATE </w:t>
      </w:r>
      <w:r w:rsidRPr="00FE4BC0">
        <w:rPr>
          <w:rFonts w:ascii="Century Gothic" w:eastAsia="Times New Roman" w:hAnsi="Century Gothic" w:cs="Arial"/>
          <w:b/>
          <w:bCs/>
          <w:noProof/>
          <w:lang w:val="es-ES_tradnl" w:eastAsia="es-ES_tradnl"/>
        </w:rPr>
        <w:softHyphen/>
        <w:t>– Decreto 1860 de 2021</w:t>
      </w:r>
    </w:p>
    <w:p w14:paraId="16EEDE45" w14:textId="77777777" w:rsidR="00FE4BC0" w:rsidRPr="00FE4BC0" w:rsidRDefault="00FE4BC0" w:rsidP="00FE4BC0">
      <w:pPr>
        <w:tabs>
          <w:tab w:val="left" w:pos="709"/>
        </w:tabs>
        <w:spacing w:after="0" w:line="240" w:lineRule="auto"/>
        <w:contextualSpacing/>
        <w:jc w:val="both"/>
        <w:rPr>
          <w:rFonts w:ascii="Century Gothic" w:eastAsia="Calibri" w:hAnsi="Century Gothic" w:cs="Arial"/>
          <w:sz w:val="20"/>
          <w:szCs w:val="20"/>
          <w:lang w:val="es-ES_tradnl" w:eastAsia="es-ES_tradnl"/>
        </w:rPr>
      </w:pPr>
    </w:p>
    <w:p w14:paraId="64D1B5EF" w14:textId="428F2D3C" w:rsidR="00FE4BC0" w:rsidRPr="00FE4BC0" w:rsidRDefault="00810468" w:rsidP="40E0CEC5">
      <w:pPr>
        <w:spacing w:after="0" w:line="240" w:lineRule="auto"/>
        <w:contextualSpacing/>
        <w:jc w:val="both"/>
        <w:rPr>
          <w:rFonts w:ascii="Century Gothic" w:eastAsia="Calibri" w:hAnsi="Century Gothic" w:cs="Arial"/>
          <w:sz w:val="20"/>
          <w:szCs w:val="20"/>
          <w:lang w:val="es-ES" w:eastAsia="es-ES"/>
        </w:rPr>
      </w:pPr>
      <w:r w:rsidRPr="00810468">
        <w:rPr>
          <w:rFonts w:ascii="Century Gothic" w:eastAsia="Calibri" w:hAnsi="Century Gothic" w:cs="Arial"/>
          <w:sz w:val="20"/>
          <w:szCs w:val="20"/>
          <w:lang w:val="es-ES" w:eastAsia="es-ES"/>
        </w:rPr>
        <w:t xml:space="preserve">Si bien esta norma es de aplicación directa, como se mencionó en los párrafos anteriores, no establece la forma de acreditar las circunstancias a las que se refieren cada uno de sus numerales, por lo que se consideró necesario la intervención del reglamento para la debida aplicación de los factores de desempate, de manera que se estandarizara la forma en que se acreditan los mismos. En consecuencia, conforme la potestad reglamentaria asignada al gobierno nacional, el artículo 3 del Decreto 1860 de 2021, mediante el cual se adicionó el artículo 2.2.1.2.4.2.17. al Decreto 1082 de 2015, reglamentó el artículo 35 de la Ley 2069 de 2020 y determinó la forma en la cual se deben acreditar las circunstancias a las que se refieren cada uno de los numerales del citado artículo. De esta forma, a través del artículo en mención se permite la debida aplicación de los factores de desempate previstos y se </w:t>
      </w:r>
      <w:r w:rsidRPr="00810468">
        <w:rPr>
          <w:rFonts w:ascii="Century Gothic" w:eastAsia="Calibri" w:hAnsi="Century Gothic" w:cs="Arial"/>
          <w:sz w:val="20"/>
          <w:szCs w:val="20"/>
          <w:lang w:val="es-ES" w:eastAsia="es-ES"/>
        </w:rPr>
        <w:lastRenderedPageBreak/>
        <w:t>garantiza la selección objetiva de los contratistas. Esta regulación impide que la forma de acreditación de los factores de desempate dependa de la discrecionalidad administrativa, por lo que pretende una regulación uniforme de la materia conforme al alcance de cada una de las causales contenidas en el artículo 35 de la Ley 2069 de 2020.</w:t>
      </w:r>
    </w:p>
    <w:p w14:paraId="5C3D8CDB" w14:textId="77777777" w:rsidR="00FE4BC0" w:rsidRPr="00FE4BC0" w:rsidRDefault="00FE4BC0" w:rsidP="00FE4BC0">
      <w:pPr>
        <w:rPr>
          <w:rFonts w:ascii="Century Gothic" w:eastAsia="Calibri" w:hAnsi="Century Gothic" w:cs="Times New Roman"/>
        </w:rPr>
      </w:pPr>
    </w:p>
    <w:p w14:paraId="40519123" w14:textId="77777777" w:rsidR="00FE4BC0" w:rsidRPr="00FE4BC0" w:rsidRDefault="00FE4BC0" w:rsidP="00FE4BC0">
      <w:pPr>
        <w:rPr>
          <w:rFonts w:ascii="Century Gothic" w:eastAsia="Calibri" w:hAnsi="Century Gothic" w:cs="Times New Roman"/>
        </w:rPr>
      </w:pPr>
    </w:p>
    <w:p w14:paraId="1439D4EB" w14:textId="77777777" w:rsidR="00FE4BC0" w:rsidRPr="00FE4BC0" w:rsidRDefault="00FE4BC0" w:rsidP="00FE4BC0">
      <w:pPr>
        <w:rPr>
          <w:rFonts w:ascii="Century Gothic" w:eastAsia="Calibri" w:hAnsi="Century Gothic" w:cs="Times New Roman"/>
        </w:rPr>
      </w:pPr>
    </w:p>
    <w:p w14:paraId="09A9EFC0" w14:textId="77777777" w:rsidR="00FE4BC0" w:rsidRPr="00FE4BC0" w:rsidRDefault="00FE4BC0" w:rsidP="00FE4BC0">
      <w:pPr>
        <w:rPr>
          <w:rFonts w:ascii="Century Gothic" w:eastAsia="Calibri" w:hAnsi="Century Gothic" w:cs="Times New Roman"/>
        </w:rPr>
      </w:pPr>
    </w:p>
    <w:p w14:paraId="575F4AF3" w14:textId="77777777" w:rsidR="00FE4BC0" w:rsidRPr="00FE4BC0" w:rsidRDefault="00FE4BC0" w:rsidP="00FE4BC0">
      <w:pPr>
        <w:rPr>
          <w:rFonts w:ascii="Century Gothic" w:eastAsia="Calibri" w:hAnsi="Century Gothic" w:cs="Times New Roman"/>
        </w:rPr>
      </w:pPr>
    </w:p>
    <w:p w14:paraId="7DCB40F0" w14:textId="77777777" w:rsidR="00FE4BC0" w:rsidRPr="00FE4BC0" w:rsidRDefault="00FE4BC0" w:rsidP="00FE4BC0">
      <w:pPr>
        <w:rPr>
          <w:rFonts w:ascii="Century Gothic" w:eastAsia="Calibri" w:hAnsi="Century Gothic" w:cs="Times New Roman"/>
        </w:rPr>
      </w:pPr>
    </w:p>
    <w:p w14:paraId="79873045" w14:textId="77777777" w:rsidR="00FE4BC0" w:rsidRPr="00FE4BC0" w:rsidRDefault="00FE4BC0" w:rsidP="00FE4BC0">
      <w:pPr>
        <w:rPr>
          <w:rFonts w:ascii="Century Gothic" w:eastAsia="Calibri" w:hAnsi="Century Gothic" w:cs="Times New Roman"/>
        </w:rPr>
      </w:pPr>
    </w:p>
    <w:p w14:paraId="5253B549" w14:textId="77777777" w:rsidR="00FE4BC0" w:rsidRPr="00FE4BC0" w:rsidRDefault="00FE4BC0" w:rsidP="00FE4BC0">
      <w:pPr>
        <w:rPr>
          <w:rFonts w:ascii="Century Gothic" w:eastAsia="Calibri" w:hAnsi="Century Gothic" w:cs="Times New Roman"/>
        </w:rPr>
      </w:pPr>
    </w:p>
    <w:p w14:paraId="705E92D9" w14:textId="77777777" w:rsidR="00FE4BC0" w:rsidRPr="00FE4BC0" w:rsidRDefault="00FE4BC0" w:rsidP="00FE4BC0">
      <w:pPr>
        <w:rPr>
          <w:rFonts w:ascii="Century Gothic" w:eastAsia="Calibri" w:hAnsi="Century Gothic" w:cs="Times New Roman"/>
        </w:rPr>
      </w:pPr>
    </w:p>
    <w:p w14:paraId="77348D28" w14:textId="77777777" w:rsidR="00FE4BC0" w:rsidRPr="00FE4BC0" w:rsidRDefault="00FE4BC0" w:rsidP="00FE4BC0">
      <w:pPr>
        <w:rPr>
          <w:rFonts w:ascii="Century Gothic" w:eastAsia="Calibri" w:hAnsi="Century Gothic" w:cs="Times New Roman"/>
        </w:rPr>
      </w:pPr>
    </w:p>
    <w:p w14:paraId="36184153" w14:textId="77777777" w:rsidR="00FE4BC0" w:rsidRPr="00FE4BC0" w:rsidRDefault="00FE4BC0" w:rsidP="00FE4BC0">
      <w:pPr>
        <w:rPr>
          <w:rFonts w:ascii="Century Gothic" w:eastAsia="Calibri" w:hAnsi="Century Gothic" w:cs="Times New Roman"/>
        </w:rPr>
      </w:pPr>
    </w:p>
    <w:p w14:paraId="5B8EE87D" w14:textId="77777777" w:rsidR="00FE4BC0" w:rsidRPr="00FE4BC0" w:rsidRDefault="00FE4BC0" w:rsidP="00FE4BC0">
      <w:pPr>
        <w:rPr>
          <w:rFonts w:ascii="Century Gothic" w:eastAsia="Calibri" w:hAnsi="Century Gothic" w:cs="Times New Roman"/>
        </w:rPr>
      </w:pPr>
    </w:p>
    <w:p w14:paraId="1479ED5D" w14:textId="77777777" w:rsidR="00FE4BC0" w:rsidRPr="00FE4BC0" w:rsidRDefault="00FE4BC0" w:rsidP="00FE4BC0">
      <w:pPr>
        <w:rPr>
          <w:rFonts w:ascii="Century Gothic" w:eastAsia="Calibri" w:hAnsi="Century Gothic" w:cs="Times New Roman"/>
        </w:rPr>
      </w:pPr>
    </w:p>
    <w:p w14:paraId="2493B61E" w14:textId="77777777" w:rsidR="00FE4BC0" w:rsidRPr="00FE4BC0" w:rsidRDefault="00FE4BC0" w:rsidP="00FE4BC0">
      <w:pPr>
        <w:rPr>
          <w:rFonts w:ascii="Century Gothic" w:eastAsia="Calibri" w:hAnsi="Century Gothic" w:cs="Times New Roman"/>
        </w:rPr>
      </w:pPr>
    </w:p>
    <w:p w14:paraId="51BE729E" w14:textId="77777777" w:rsidR="00FE4BC0" w:rsidRPr="00FE4BC0" w:rsidRDefault="00FE4BC0" w:rsidP="00FE4BC0">
      <w:pPr>
        <w:rPr>
          <w:rFonts w:ascii="Century Gothic" w:eastAsia="Calibri" w:hAnsi="Century Gothic" w:cs="Times New Roman"/>
        </w:rPr>
      </w:pPr>
    </w:p>
    <w:p w14:paraId="123FE973" w14:textId="77777777" w:rsidR="00FE4BC0" w:rsidRPr="00FE4BC0" w:rsidRDefault="00FE4BC0" w:rsidP="00FE4BC0">
      <w:pPr>
        <w:rPr>
          <w:rFonts w:ascii="Century Gothic" w:eastAsia="Calibri" w:hAnsi="Century Gothic" w:cs="Times New Roman"/>
        </w:rPr>
      </w:pPr>
    </w:p>
    <w:p w14:paraId="38EB9048" w14:textId="77777777" w:rsidR="00FE4BC0" w:rsidRPr="00FE4BC0" w:rsidRDefault="00FE4BC0" w:rsidP="00FE4BC0">
      <w:pPr>
        <w:rPr>
          <w:rFonts w:ascii="Century Gothic" w:eastAsia="Calibri" w:hAnsi="Century Gothic" w:cs="Times New Roman"/>
        </w:rPr>
      </w:pPr>
    </w:p>
    <w:p w14:paraId="400AFA24" w14:textId="77777777" w:rsidR="00FE4BC0" w:rsidRPr="00FE4BC0" w:rsidRDefault="00FE4BC0" w:rsidP="00FE4BC0">
      <w:pPr>
        <w:rPr>
          <w:rFonts w:ascii="Century Gothic" w:eastAsia="Calibri" w:hAnsi="Century Gothic" w:cs="Times New Roman"/>
        </w:rPr>
      </w:pPr>
    </w:p>
    <w:p w14:paraId="002B04B5" w14:textId="77777777" w:rsidR="00FE4BC0" w:rsidRPr="00FE4BC0" w:rsidRDefault="00FE4BC0" w:rsidP="00FE4BC0">
      <w:pPr>
        <w:rPr>
          <w:rFonts w:ascii="Century Gothic" w:eastAsia="Calibri" w:hAnsi="Century Gothic" w:cs="Times New Roman"/>
        </w:rPr>
      </w:pPr>
    </w:p>
    <w:p w14:paraId="0D604E20" w14:textId="77777777" w:rsidR="00FE4BC0" w:rsidRDefault="00FE4BC0" w:rsidP="00FE4BC0">
      <w:pPr>
        <w:rPr>
          <w:rFonts w:ascii="Century Gothic" w:eastAsia="Calibri" w:hAnsi="Century Gothic" w:cs="Times New Roman"/>
        </w:rPr>
      </w:pPr>
    </w:p>
    <w:p w14:paraId="7B18B70F" w14:textId="77777777" w:rsidR="00FE4BC0" w:rsidRDefault="00FE4BC0" w:rsidP="00FE4BC0">
      <w:pPr>
        <w:rPr>
          <w:rFonts w:ascii="Century Gothic" w:eastAsia="Calibri" w:hAnsi="Century Gothic" w:cs="Times New Roman"/>
        </w:rPr>
      </w:pPr>
    </w:p>
    <w:p w14:paraId="21898A9F" w14:textId="77777777" w:rsidR="00FE4BC0" w:rsidRPr="00FE4BC0" w:rsidRDefault="00FE4BC0" w:rsidP="00FE4BC0">
      <w:pPr>
        <w:rPr>
          <w:rFonts w:ascii="Century Gothic" w:eastAsia="Calibri" w:hAnsi="Century Gothic" w:cs="Times New Roman"/>
        </w:rPr>
      </w:pPr>
    </w:p>
    <w:p w14:paraId="44A06B17" w14:textId="5A1251B7" w:rsidR="00FE4BC0" w:rsidRDefault="00FE4BC0" w:rsidP="00FE4BC0">
      <w:pPr>
        <w:spacing w:after="0"/>
        <w:rPr>
          <w:rFonts w:ascii="Century Gothic" w:hAnsi="Century Gothic"/>
        </w:rPr>
      </w:pPr>
      <w:r w:rsidRPr="687B05C8">
        <w:rPr>
          <w:rFonts w:ascii="Century Gothic" w:hAnsi="Century Gothic"/>
        </w:rPr>
        <w:lastRenderedPageBreak/>
        <w:t>Bogotá D.C.</w:t>
      </w:r>
    </w:p>
    <w:p w14:paraId="220AAE6B" w14:textId="293C5BA2" w:rsidR="007238A7" w:rsidRDefault="007238A7" w:rsidP="007238A7">
      <w:pPr>
        <w:spacing w:after="0"/>
        <w:jc w:val="right"/>
        <w:rPr>
          <w:rFonts w:ascii="Century Gothic" w:hAnsi="Century Gothic"/>
          <w:lang w:val="es-MX"/>
        </w:rPr>
      </w:pPr>
      <w:r>
        <w:rPr>
          <w:rFonts w:ascii="Century Gothic" w:hAnsi="Century Gothic"/>
          <w:noProof/>
          <w:lang w:val="es-MX"/>
        </w:rPr>
        <w:drawing>
          <wp:inline distT="0" distB="0" distL="0" distR="0" wp14:anchorId="0B9418D7" wp14:editId="0DC11153">
            <wp:extent cx="2917600" cy="852942"/>
            <wp:effectExtent l="0" t="0" r="0" b="4445"/>
            <wp:docPr id="744358245"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58245" name="Imagen 1" descr="Interfaz de usuario gráfica, Texto, Aplicación, Chat o mensaje de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941357" cy="859887"/>
                    </a:xfrm>
                    <a:prstGeom prst="rect">
                      <a:avLst/>
                    </a:prstGeom>
                  </pic:spPr>
                </pic:pic>
              </a:graphicData>
            </a:graphic>
          </wp:inline>
        </w:drawing>
      </w:r>
    </w:p>
    <w:p w14:paraId="50832151" w14:textId="77777777" w:rsidR="00FE4BC0" w:rsidRPr="00FE4BC0" w:rsidRDefault="00FE4BC0" w:rsidP="00FE4BC0">
      <w:pPr>
        <w:spacing w:after="0"/>
        <w:rPr>
          <w:rFonts w:ascii="Century Gothic" w:eastAsia="Calibri" w:hAnsi="Century Gothic" w:cs="Arial"/>
        </w:rPr>
      </w:pPr>
      <w:bookmarkStart w:id="5" w:name="_Hlk94281581"/>
      <w:bookmarkStart w:id="6" w:name="_Hlk102489058"/>
      <w:bookmarkStart w:id="7" w:name="_Hlk34951122"/>
      <w:r w:rsidRPr="00FE4BC0">
        <w:rPr>
          <w:rFonts w:ascii="Century Gothic" w:eastAsia="Calibri" w:hAnsi="Century Gothic" w:cs="Arial"/>
        </w:rPr>
        <w:t>Señor</w:t>
      </w:r>
    </w:p>
    <w:p w14:paraId="51A1F35F" w14:textId="77777777" w:rsidR="00FE4BC0" w:rsidRPr="00FE4BC0" w:rsidRDefault="00FE4BC0" w:rsidP="00FE4BC0">
      <w:pPr>
        <w:spacing w:after="0"/>
        <w:rPr>
          <w:rFonts w:ascii="Century Gothic" w:eastAsia="Calibri" w:hAnsi="Century Gothic" w:cs="Arial"/>
          <w:b/>
          <w:bCs/>
        </w:rPr>
      </w:pPr>
      <w:r w:rsidRPr="00FE4BC0">
        <w:rPr>
          <w:rFonts w:ascii="Century Gothic" w:eastAsia="Calibri" w:hAnsi="Century Gothic" w:cs="Arial"/>
          <w:b/>
          <w:bCs/>
        </w:rPr>
        <w:t>Roberto Andrés Suárez Martínez</w:t>
      </w:r>
    </w:p>
    <w:p w14:paraId="4D026046" w14:textId="77777777" w:rsidR="00FE4BC0" w:rsidRPr="00FE4BC0" w:rsidRDefault="00FE4BC0" w:rsidP="00FE4BC0">
      <w:pPr>
        <w:spacing w:after="0"/>
        <w:rPr>
          <w:rFonts w:ascii="Century Gothic" w:eastAsia="Calibri" w:hAnsi="Century Gothic" w:cs="Arial"/>
        </w:rPr>
      </w:pPr>
      <w:r w:rsidRPr="00FE4BC0">
        <w:rPr>
          <w:rFonts w:ascii="Century Gothic" w:eastAsia="Calibri" w:hAnsi="Century Gothic" w:cs="Arial"/>
        </w:rPr>
        <w:t>Bogotá, D.C.</w:t>
      </w:r>
    </w:p>
    <w:p w14:paraId="6F343252" w14:textId="77777777" w:rsidR="00FE4BC0" w:rsidRPr="00FE4BC0" w:rsidRDefault="00FE4BC0" w:rsidP="00FE4BC0">
      <w:pPr>
        <w:spacing w:after="0"/>
        <w:rPr>
          <w:rFonts w:ascii="Century Gothic" w:eastAsia="Calibri" w:hAnsi="Century Gothic" w:cs="Arial"/>
        </w:rPr>
      </w:pPr>
    </w:p>
    <w:p w14:paraId="407B6C46" w14:textId="77777777" w:rsidR="00FE4BC0" w:rsidRPr="00FE4BC0" w:rsidRDefault="00FE4BC0" w:rsidP="00FE4BC0">
      <w:pPr>
        <w:shd w:val="clear" w:color="auto" w:fill="FFFFFF"/>
        <w:ind w:left="2124" w:firstLine="570"/>
        <w:contextualSpacing/>
        <w:rPr>
          <w:rFonts w:ascii="Century Gothic" w:eastAsia="Calibri" w:hAnsi="Century Gothic" w:cs="Arial"/>
          <w:b/>
          <w:bCs/>
          <w:lang w:val="es-ES_tradnl" w:eastAsia="es-ES_tradnl"/>
        </w:rPr>
      </w:pPr>
      <w:r w:rsidRPr="00FE4BC0">
        <w:rPr>
          <w:rFonts w:ascii="Century Gothic" w:eastAsia="Calibri" w:hAnsi="Century Gothic" w:cs="Arial"/>
          <w:b/>
          <w:bCs/>
          <w:lang w:val="es-ES_tradnl" w:eastAsia="es-ES_tradnl"/>
        </w:rPr>
        <w:t>Concepto C – 072 de 2024</w:t>
      </w:r>
    </w:p>
    <w:p w14:paraId="59F59644" w14:textId="77777777" w:rsidR="00FE4BC0" w:rsidRPr="00FE4BC0" w:rsidRDefault="00FE4BC0" w:rsidP="00FE4BC0">
      <w:pPr>
        <w:shd w:val="clear" w:color="auto" w:fill="FFFFFF"/>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E4BC0" w:rsidRPr="00FE4BC0" w14:paraId="6C53F3CA" w14:textId="77777777" w:rsidTr="00142864">
        <w:tc>
          <w:tcPr>
            <w:tcW w:w="2689" w:type="dxa"/>
          </w:tcPr>
          <w:p w14:paraId="3D928A91" w14:textId="77777777" w:rsidR="00FE4BC0" w:rsidRPr="00FE4BC0" w:rsidRDefault="00FE4BC0" w:rsidP="00FE4BC0">
            <w:pPr>
              <w:shd w:val="clear" w:color="auto" w:fill="FFFFFF"/>
              <w:contextualSpacing/>
              <w:jc w:val="both"/>
              <w:rPr>
                <w:rFonts w:ascii="Century Gothic" w:eastAsia="Calibri" w:hAnsi="Century Gothic" w:cs="Arial"/>
                <w:lang w:val="es-ES_tradnl" w:eastAsia="es-ES_tradnl"/>
              </w:rPr>
            </w:pPr>
            <w:r w:rsidRPr="00FE4BC0">
              <w:rPr>
                <w:rFonts w:ascii="Century Gothic" w:eastAsia="Calibri" w:hAnsi="Century Gothic" w:cs="Arial"/>
                <w:b/>
                <w:lang w:val="es-ES_tradnl" w:eastAsia="es-ES_tradnl"/>
              </w:rPr>
              <w:t>Temas:</w:t>
            </w:r>
            <w:r w:rsidRPr="00FE4BC0">
              <w:rPr>
                <w:rFonts w:ascii="Century Gothic" w:eastAsia="Calibri" w:hAnsi="Century Gothic" w:cs="Arial"/>
                <w:lang w:val="es-ES_tradnl" w:eastAsia="es-ES_tradnl"/>
              </w:rPr>
              <w:t xml:space="preserve">                                      </w:t>
            </w:r>
          </w:p>
        </w:tc>
        <w:tc>
          <w:tcPr>
            <w:tcW w:w="6237" w:type="dxa"/>
          </w:tcPr>
          <w:p w14:paraId="39DAAAAD" w14:textId="77777777" w:rsidR="00FE4BC0" w:rsidRPr="00FE4BC0" w:rsidRDefault="00FE4BC0" w:rsidP="00FE4BC0">
            <w:pPr>
              <w:shd w:val="clear" w:color="auto" w:fill="FFFFFF"/>
              <w:spacing w:after="120"/>
              <w:contextualSpacing/>
              <w:jc w:val="both"/>
              <w:rPr>
                <w:rFonts w:ascii="Century Gothic" w:eastAsia="Aptos" w:hAnsi="Century Gothic" w:cs="Arial"/>
                <w:bCs/>
                <w:noProof/>
                <w:lang w:val="es-ES_tradnl"/>
              </w:rPr>
            </w:pPr>
            <w:r w:rsidRPr="00FE4BC0">
              <w:rPr>
                <w:rFonts w:ascii="Century Gothic" w:eastAsia="Calibri" w:hAnsi="Century Gothic" w:cs="Arial"/>
                <w:bCs/>
                <w:lang w:val="es-ES_tradnl"/>
              </w:rPr>
              <w:t xml:space="preserve">SELECCIÓN OBJETIVA – Contratación estatal – Concepto / EMPATE – Procedimiento de selección – Concepto / FACTORES DE DESEMPATE – Características – Límites / LEY DE EMPRENDIMIENTO – Ley 2069 de 2020 – Contenido / </w:t>
            </w:r>
            <w:r w:rsidRPr="00FE4BC0">
              <w:rPr>
                <w:rFonts w:ascii="Century Gothic" w:eastAsia="Aptos" w:hAnsi="Century Gothic" w:cs="Arial"/>
                <w:bCs/>
                <w:noProof/>
                <w:lang w:val="es-ES_tradnl"/>
              </w:rPr>
              <w:t xml:space="preserve">FACTORES DE DESEMPATE </w:t>
            </w:r>
            <w:r w:rsidRPr="00FE4BC0">
              <w:rPr>
                <w:rFonts w:ascii="Century Gothic" w:eastAsia="Aptos" w:hAnsi="Century Gothic" w:cs="Arial"/>
                <w:bCs/>
                <w:noProof/>
                <w:lang w:val="es-ES_tradnl"/>
              </w:rPr>
              <w:softHyphen/>
              <w:t xml:space="preserve">– Ley 2069 de 2020 – Artículo 35 / FACTORES DE DESEMPATE </w:t>
            </w:r>
            <w:r w:rsidRPr="00FE4BC0">
              <w:rPr>
                <w:rFonts w:ascii="Century Gothic" w:eastAsia="Aptos" w:hAnsi="Century Gothic" w:cs="Arial"/>
                <w:bCs/>
                <w:noProof/>
                <w:lang w:val="es-ES_tradnl"/>
              </w:rPr>
              <w:softHyphen/>
              <w:t xml:space="preserve">– Decreto 1860 de 2021 </w:t>
            </w:r>
          </w:p>
          <w:p w14:paraId="14D28C10" w14:textId="77777777" w:rsidR="00FE4BC0" w:rsidRPr="00FE4BC0" w:rsidRDefault="00FE4BC0" w:rsidP="00FE4BC0">
            <w:pPr>
              <w:shd w:val="clear" w:color="auto" w:fill="FFFFFF"/>
              <w:spacing w:after="120"/>
              <w:contextualSpacing/>
              <w:jc w:val="both"/>
              <w:rPr>
                <w:rFonts w:ascii="Century Gothic" w:eastAsia="Calibri" w:hAnsi="Century Gothic" w:cs="Arial"/>
                <w:bCs/>
                <w:sz w:val="16"/>
                <w:szCs w:val="16"/>
                <w:lang w:val="es-ES_tradnl" w:eastAsia="es-ES_tradnl"/>
              </w:rPr>
            </w:pPr>
          </w:p>
        </w:tc>
      </w:tr>
      <w:tr w:rsidR="00FE4BC0" w:rsidRPr="00FE4BC0" w14:paraId="6D8051CE" w14:textId="77777777" w:rsidTr="00142864">
        <w:trPr>
          <w:trHeight w:val="309"/>
        </w:trPr>
        <w:tc>
          <w:tcPr>
            <w:tcW w:w="2689" w:type="dxa"/>
          </w:tcPr>
          <w:p w14:paraId="6BBC6C24" w14:textId="77777777" w:rsidR="00FE4BC0" w:rsidRPr="00FE4BC0" w:rsidRDefault="00FE4BC0" w:rsidP="00FE4BC0">
            <w:pPr>
              <w:shd w:val="clear" w:color="auto" w:fill="FFFFFF"/>
              <w:contextualSpacing/>
              <w:jc w:val="both"/>
              <w:rPr>
                <w:rFonts w:ascii="Century Gothic" w:eastAsia="Calibri" w:hAnsi="Century Gothic" w:cs="Arial"/>
                <w:b/>
                <w:lang w:val="es-ES_tradnl" w:eastAsia="es-ES_tradnl"/>
              </w:rPr>
            </w:pPr>
            <w:r w:rsidRPr="00FE4BC0">
              <w:rPr>
                <w:rFonts w:ascii="Century Gothic" w:eastAsia="Calibri" w:hAnsi="Century Gothic" w:cs="Arial"/>
                <w:b/>
                <w:lang w:val="es-ES_tradnl" w:eastAsia="es-ES_tradnl"/>
              </w:rPr>
              <w:t>Radicación:</w:t>
            </w:r>
            <w:r w:rsidRPr="00FE4BC0">
              <w:rPr>
                <w:rFonts w:ascii="Century Gothic" w:eastAsia="Calibri" w:hAnsi="Century Gothic" w:cs="Arial"/>
                <w:lang w:val="es-ES_tradnl" w:eastAsia="es-ES_tradnl"/>
              </w:rPr>
              <w:t xml:space="preserve">                             </w:t>
            </w:r>
          </w:p>
        </w:tc>
        <w:tc>
          <w:tcPr>
            <w:tcW w:w="6237" w:type="dxa"/>
          </w:tcPr>
          <w:p w14:paraId="368D8050" w14:textId="77777777" w:rsidR="00FE4BC0" w:rsidRPr="00FE4BC0" w:rsidRDefault="00FE4BC0" w:rsidP="00FE4BC0">
            <w:pPr>
              <w:shd w:val="clear" w:color="auto" w:fill="FFFFFF"/>
              <w:contextualSpacing/>
              <w:jc w:val="both"/>
              <w:rPr>
                <w:rFonts w:ascii="Century Gothic" w:eastAsia="Calibri" w:hAnsi="Century Gothic" w:cs="Arial"/>
                <w:lang w:val="es-ES_tradnl" w:eastAsia="es-ES_tradnl"/>
              </w:rPr>
            </w:pPr>
            <w:r w:rsidRPr="00FE4BC0">
              <w:rPr>
                <w:rFonts w:ascii="Century Gothic" w:eastAsia="Calibri" w:hAnsi="Century Gothic" w:cs="Arial"/>
                <w:lang w:val="es-ES_tradnl" w:eastAsia="es-ES_tradnl"/>
              </w:rPr>
              <w:t>Respuesta a consulta P20240416003925</w:t>
            </w:r>
          </w:p>
        </w:tc>
      </w:tr>
    </w:tbl>
    <w:p w14:paraId="6ECF3662" w14:textId="77777777" w:rsidR="00FE4BC0" w:rsidRPr="00FE4BC0" w:rsidRDefault="00FE4BC0" w:rsidP="00FE4BC0">
      <w:pPr>
        <w:shd w:val="clear" w:color="auto" w:fill="FFFFFF"/>
        <w:contextualSpacing/>
        <w:jc w:val="both"/>
        <w:rPr>
          <w:rFonts w:ascii="Century Gothic" w:eastAsia="Calibri" w:hAnsi="Century Gothic" w:cs="Arial"/>
          <w:lang w:val="es-ES_tradnl" w:eastAsia="es-ES_tradnl"/>
        </w:rPr>
      </w:pPr>
    </w:p>
    <w:p w14:paraId="1E6632D5" w14:textId="77777777" w:rsidR="00FE4BC0" w:rsidRPr="00FE4BC0" w:rsidRDefault="00FE4BC0" w:rsidP="00FE4BC0">
      <w:pPr>
        <w:shd w:val="clear" w:color="auto" w:fill="FFFFFF"/>
        <w:contextualSpacing/>
        <w:jc w:val="both"/>
        <w:rPr>
          <w:rFonts w:ascii="Century Gothic" w:eastAsia="Calibri" w:hAnsi="Century Gothic" w:cs="Arial"/>
          <w:lang w:val="es-ES" w:eastAsia="es-ES"/>
        </w:rPr>
      </w:pPr>
      <w:r w:rsidRPr="00FE4BC0">
        <w:rPr>
          <w:rFonts w:ascii="Century Gothic" w:eastAsia="Calibri" w:hAnsi="Century Gothic" w:cs="Arial"/>
          <w:lang w:val="es-ES" w:eastAsia="es-ES"/>
        </w:rPr>
        <w:t xml:space="preserve">Respetado señor Suárez Martínez: </w:t>
      </w:r>
    </w:p>
    <w:p w14:paraId="51B8D824" w14:textId="77777777" w:rsidR="00FE4BC0" w:rsidRPr="00FE4BC0" w:rsidRDefault="00FE4BC0" w:rsidP="00FE4BC0">
      <w:pPr>
        <w:shd w:val="clear" w:color="auto" w:fill="FFFFFF"/>
        <w:spacing w:line="276" w:lineRule="auto"/>
        <w:contextualSpacing/>
        <w:jc w:val="both"/>
        <w:rPr>
          <w:rFonts w:ascii="Century Gothic" w:eastAsia="Calibri" w:hAnsi="Century Gothic" w:cs="Arial"/>
          <w:szCs w:val="24"/>
          <w:lang w:val="es-ES_tradnl" w:eastAsia="es-ES_tradnl"/>
        </w:rPr>
      </w:pPr>
    </w:p>
    <w:bookmarkEnd w:id="5"/>
    <w:bookmarkEnd w:id="6"/>
    <w:p w14:paraId="3B48B0D9" w14:textId="77777777" w:rsidR="00FE4BC0" w:rsidRPr="00FE4BC0" w:rsidRDefault="00FE4BC0" w:rsidP="00FE4BC0">
      <w:pPr>
        <w:shd w:val="clear" w:color="auto" w:fill="FFFFFF"/>
        <w:spacing w:after="0" w:line="276" w:lineRule="auto"/>
        <w:jc w:val="both"/>
        <w:rPr>
          <w:rFonts w:ascii="Century Gothic" w:eastAsia="Calibri" w:hAnsi="Century Gothic" w:cs="Arial"/>
          <w:color w:val="000000"/>
          <w:lang w:val="es-ES_tradnl"/>
        </w:rPr>
      </w:pPr>
      <w:r w:rsidRPr="00FE4BC0">
        <w:rPr>
          <w:rFonts w:ascii="Century Gothic" w:eastAsia="Calibri" w:hAnsi="Century Gothic" w:cs="Arial"/>
          <w:color w:val="000000"/>
          <w:lang w:val="es-ES_tradnl"/>
        </w:rPr>
        <w:t>En ejercicio de la competencia otorgada por el numeral 8 del artículo 11 y el numeral 5 del artículo 3 del Decreto Ley 4170 de 2011</w:t>
      </w:r>
      <w:bookmarkStart w:id="8" w:name="_Hlk99120496"/>
      <w:r w:rsidRPr="00FE4BC0">
        <w:rPr>
          <w:rFonts w:ascii="Century Gothic" w:eastAsia="Arial MT" w:hAnsi="Century Gothic" w:cs="Arial"/>
          <w:lang w:val="es-ES"/>
        </w:rPr>
        <w:t xml:space="preserve">, </w:t>
      </w:r>
      <w:bookmarkEnd w:id="8"/>
      <w:r w:rsidRPr="00FE4BC0">
        <w:rPr>
          <w:rFonts w:ascii="Century Gothic" w:eastAsia="Calibri" w:hAnsi="Century Gothic" w:cs="Arial"/>
          <w:color w:val="000000"/>
          <w:lang w:val="es-ES_tradnl"/>
        </w:rPr>
        <w:t>la Agencia Nacional de Contratación Pública –Colombia Compra Eficiente– responde la consulta radicada el 16 de abril de 2024.</w:t>
      </w:r>
    </w:p>
    <w:p w14:paraId="6EB55184" w14:textId="77777777" w:rsidR="00FE4BC0" w:rsidRPr="00FE4BC0" w:rsidRDefault="00FE4BC0" w:rsidP="00FE4BC0">
      <w:pPr>
        <w:shd w:val="clear" w:color="auto" w:fill="FFFFFF"/>
        <w:spacing w:after="0" w:line="276" w:lineRule="auto"/>
        <w:jc w:val="both"/>
        <w:rPr>
          <w:rFonts w:ascii="Century Gothic" w:eastAsia="Calibri" w:hAnsi="Century Gothic" w:cs="Arial"/>
          <w:b/>
          <w:color w:val="000000"/>
          <w:lang w:val="es-ES_tradnl"/>
        </w:rPr>
      </w:pPr>
    </w:p>
    <w:p w14:paraId="3D05293E" w14:textId="77777777" w:rsidR="00FE4BC0" w:rsidRPr="00FE4BC0" w:rsidRDefault="00FE4BC0" w:rsidP="00FE4BC0">
      <w:pPr>
        <w:numPr>
          <w:ilvl w:val="0"/>
          <w:numId w:val="6"/>
        </w:numPr>
        <w:shd w:val="clear" w:color="auto" w:fill="FFFFFF"/>
        <w:tabs>
          <w:tab w:val="left" w:pos="0"/>
          <w:tab w:val="left" w:pos="142"/>
          <w:tab w:val="left" w:pos="284"/>
        </w:tabs>
        <w:spacing w:after="0" w:line="276" w:lineRule="auto"/>
        <w:ind w:left="357" w:hanging="357"/>
        <w:contextualSpacing/>
        <w:rPr>
          <w:rFonts w:ascii="Century Gothic" w:eastAsia="Calibri" w:hAnsi="Century Gothic" w:cs="Arial"/>
          <w:b/>
          <w:color w:val="000000"/>
          <w:lang w:val="es-ES_tradnl"/>
        </w:rPr>
      </w:pPr>
      <w:r w:rsidRPr="00FE4BC0">
        <w:rPr>
          <w:rFonts w:ascii="Century Gothic" w:eastAsia="Calibri" w:hAnsi="Century Gothic" w:cs="Arial"/>
          <w:b/>
          <w:color w:val="000000"/>
          <w:lang w:val="es-ES_tradnl"/>
        </w:rPr>
        <w:t xml:space="preserve">Problema planteado </w:t>
      </w:r>
    </w:p>
    <w:p w14:paraId="0A0C05C5" w14:textId="77777777" w:rsidR="00FE4BC0" w:rsidRPr="00FE4BC0" w:rsidRDefault="00FE4BC0" w:rsidP="00FE4BC0">
      <w:pPr>
        <w:shd w:val="clear" w:color="auto" w:fill="FFFFFF"/>
        <w:tabs>
          <w:tab w:val="left" w:pos="426"/>
        </w:tabs>
        <w:spacing w:after="0" w:line="276" w:lineRule="auto"/>
        <w:jc w:val="both"/>
        <w:rPr>
          <w:rFonts w:ascii="Century Gothic" w:eastAsia="Calibri" w:hAnsi="Century Gothic" w:cs="Arial"/>
          <w:b/>
          <w:color w:val="000000"/>
          <w:lang w:val="es-ES_tradnl"/>
        </w:rPr>
      </w:pPr>
    </w:p>
    <w:p w14:paraId="0A460CAB" w14:textId="77777777" w:rsidR="00FE4BC0" w:rsidRPr="00FE4BC0" w:rsidRDefault="00FE4BC0" w:rsidP="00FE4BC0">
      <w:pPr>
        <w:shd w:val="clear" w:color="auto" w:fill="FFFFFF"/>
        <w:spacing w:after="0" w:line="276" w:lineRule="auto"/>
        <w:jc w:val="both"/>
        <w:rPr>
          <w:rFonts w:ascii="Century Gothic" w:eastAsia="Calibri" w:hAnsi="Century Gothic" w:cs="Arial"/>
          <w:i/>
          <w:iCs/>
          <w:color w:val="000000"/>
          <w:lang w:val="es-ES_tradnl"/>
        </w:rPr>
      </w:pPr>
      <w:r w:rsidRPr="00FE4BC0">
        <w:rPr>
          <w:rFonts w:ascii="Century Gothic" w:eastAsia="Calibri" w:hAnsi="Century Gothic" w:cs="Arial"/>
          <w:color w:val="000000"/>
          <w:lang w:val="es-ES_tradnl"/>
        </w:rPr>
        <w:t xml:space="preserve">Usted realiza la siguiente pregunta: </w:t>
      </w:r>
      <w:r w:rsidRPr="00FE4BC0">
        <w:rPr>
          <w:rFonts w:ascii="Century Gothic" w:eastAsia="Calibri" w:hAnsi="Century Gothic" w:cs="Arial"/>
          <w:i/>
          <w:iCs/>
          <w:color w:val="000000"/>
          <w:lang w:val="es-ES_tradnl"/>
        </w:rPr>
        <w:t>“[…] solicito amablemente me den un concepto sobre la aplicación de los criterios de desempate consagrados en artículo 35 Ley 2069 de 2020.”</w:t>
      </w:r>
    </w:p>
    <w:p w14:paraId="3C60B524" w14:textId="77777777" w:rsidR="00FE4BC0" w:rsidRPr="00FE4BC0" w:rsidRDefault="00FE4BC0" w:rsidP="00FE4BC0">
      <w:pPr>
        <w:shd w:val="clear" w:color="auto" w:fill="FFFFFF"/>
        <w:spacing w:after="0" w:line="240" w:lineRule="auto"/>
        <w:ind w:right="709"/>
        <w:jc w:val="both"/>
        <w:rPr>
          <w:rFonts w:ascii="Century Gothic" w:eastAsia="Calibri" w:hAnsi="Century Gothic" w:cs="Arial"/>
          <w:color w:val="000000"/>
          <w:lang w:val="es-ES_tradnl"/>
        </w:rPr>
      </w:pPr>
    </w:p>
    <w:p w14:paraId="651208AF" w14:textId="77777777" w:rsidR="00FE4BC0" w:rsidRPr="00FE4BC0" w:rsidRDefault="00FE4BC0" w:rsidP="00FE4BC0">
      <w:pPr>
        <w:numPr>
          <w:ilvl w:val="0"/>
          <w:numId w:val="6"/>
        </w:numPr>
        <w:shd w:val="clear" w:color="auto" w:fill="FFFFFF"/>
        <w:tabs>
          <w:tab w:val="left" w:pos="0"/>
          <w:tab w:val="left" w:pos="284"/>
        </w:tabs>
        <w:spacing w:after="0" w:line="278" w:lineRule="auto"/>
        <w:ind w:left="357" w:hanging="357"/>
        <w:contextualSpacing/>
        <w:jc w:val="both"/>
        <w:rPr>
          <w:rFonts w:ascii="Century Gothic" w:eastAsia="Calibri" w:hAnsi="Century Gothic" w:cs="Arial"/>
          <w:b/>
          <w:color w:val="000000"/>
          <w:lang w:val="es-ES_tradnl"/>
        </w:rPr>
      </w:pPr>
      <w:r w:rsidRPr="00FE4BC0">
        <w:rPr>
          <w:rFonts w:ascii="Century Gothic" w:eastAsia="Calibri" w:hAnsi="Century Gothic" w:cs="Arial"/>
          <w:b/>
          <w:color w:val="000000"/>
          <w:lang w:val="es-ES_tradnl"/>
        </w:rPr>
        <w:t>Consideraciones</w:t>
      </w:r>
    </w:p>
    <w:p w14:paraId="7FE3FCE9" w14:textId="77777777" w:rsidR="00FE4BC0" w:rsidRPr="00FE4BC0" w:rsidRDefault="00FE4BC0" w:rsidP="00FE4BC0">
      <w:pPr>
        <w:shd w:val="clear" w:color="auto" w:fill="FFFFFF"/>
        <w:spacing w:after="0" w:line="276" w:lineRule="auto"/>
        <w:jc w:val="both"/>
        <w:rPr>
          <w:rFonts w:ascii="Century Gothic" w:eastAsia="Calibri" w:hAnsi="Century Gothic" w:cs="Arial"/>
          <w:color w:val="000000"/>
          <w:lang w:val="es-ES"/>
        </w:rPr>
      </w:pPr>
    </w:p>
    <w:p w14:paraId="686A6097" w14:textId="77777777" w:rsidR="00FE4BC0" w:rsidRPr="00FE4BC0" w:rsidRDefault="00FE4BC0" w:rsidP="00FE4BC0">
      <w:pPr>
        <w:shd w:val="clear" w:color="auto" w:fill="FFFFFF"/>
        <w:spacing w:after="120" w:line="276" w:lineRule="auto"/>
        <w:jc w:val="both"/>
        <w:rPr>
          <w:rFonts w:ascii="Century Gothic" w:eastAsia="Calibri" w:hAnsi="Century Gothic" w:cs="Arial"/>
          <w:color w:val="000000"/>
        </w:rPr>
      </w:pPr>
      <w:r w:rsidRPr="00FE4BC0">
        <w:rPr>
          <w:rFonts w:ascii="Century Gothic" w:eastAsia="Calibri" w:hAnsi="Century Gothic" w:cs="Arial"/>
          <w:color w:val="000000"/>
        </w:rPr>
        <w:lastRenderedPageBreak/>
        <w:t>La Agencia Nacional de Contratación Pública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54087B10" w14:textId="77777777" w:rsidR="00FE4BC0" w:rsidRPr="00FE4BC0" w:rsidRDefault="00FE4BC0" w:rsidP="00FE4BC0">
      <w:pPr>
        <w:shd w:val="clear" w:color="auto" w:fill="FFFFFF"/>
        <w:spacing w:after="120" w:line="276" w:lineRule="auto"/>
        <w:ind w:firstLine="708"/>
        <w:jc w:val="both"/>
        <w:rPr>
          <w:rFonts w:ascii="Century Gothic" w:eastAsia="Calibri" w:hAnsi="Century Gothic" w:cs="Arial"/>
          <w:color w:val="000000"/>
        </w:rPr>
      </w:pPr>
      <w:r w:rsidRPr="00FE4BC0">
        <w:rPr>
          <w:rFonts w:ascii="Century Gothic" w:eastAsia="Calibri" w:hAnsi="Century Gothic"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6465F877" w14:textId="77777777" w:rsidR="00FE4BC0" w:rsidRPr="00FE4BC0" w:rsidRDefault="00FE4BC0" w:rsidP="00FE4BC0">
      <w:pPr>
        <w:spacing w:after="120" w:line="276" w:lineRule="auto"/>
        <w:jc w:val="both"/>
        <w:rPr>
          <w:rFonts w:ascii="Century Gothic" w:eastAsia="Calibri" w:hAnsi="Century Gothic" w:cs="Arial"/>
          <w:kern w:val="2"/>
          <w:lang w:val="es-ES_tradnl"/>
          <w14:ligatures w14:val="standardContextual"/>
        </w:rPr>
      </w:pPr>
      <w:r w:rsidRPr="00FE4BC0">
        <w:rPr>
          <w:rFonts w:ascii="Century Gothic" w:eastAsia="Calibri" w:hAnsi="Century Gothic" w:cs="Arial"/>
          <w:color w:val="000000"/>
        </w:rPr>
        <w:tab/>
        <w:t>En este contexto, la Subdirección de Gestión Contractual, dentro de los límites de sus atribuciones, resolverá la consulta conforme a las normas generales en materia de contratación estatal. Con este objetivo se analizarán</w:t>
      </w:r>
      <w:r w:rsidRPr="00FE4BC0">
        <w:rPr>
          <w:rFonts w:ascii="Century Gothic" w:eastAsia="Calibri" w:hAnsi="Century Gothic" w:cs="Arial"/>
          <w:color w:val="000000"/>
          <w:lang w:val="es-ES"/>
        </w:rPr>
        <w:t xml:space="preserve"> los siguientes temas: </w:t>
      </w:r>
      <w:r w:rsidRPr="00FE4BC0">
        <w:rPr>
          <w:rFonts w:ascii="Century Gothic" w:eastAsia="Calibri" w:hAnsi="Century Gothic" w:cs="Arial"/>
          <w:kern w:val="2"/>
          <w14:ligatures w14:val="standardContextual"/>
        </w:rPr>
        <w:t>i</w:t>
      </w:r>
      <w:r w:rsidRPr="00FE4BC0">
        <w:rPr>
          <w:rFonts w:ascii="Century Gothic" w:eastAsia="Calibri" w:hAnsi="Century Gothic" w:cs="Arial"/>
          <w:kern w:val="2"/>
          <w:lang w:val="es-ES_tradnl"/>
          <w14:ligatures w14:val="standardContextual"/>
        </w:rPr>
        <w:t xml:space="preserve">) definición de los criterios de desempate en la contratación estatal; </w:t>
      </w:r>
      <w:proofErr w:type="spellStart"/>
      <w:r w:rsidRPr="00FE4BC0">
        <w:rPr>
          <w:rFonts w:ascii="Century Gothic" w:eastAsia="Calibri" w:hAnsi="Century Gothic" w:cs="Arial"/>
          <w:kern w:val="2"/>
          <w:lang w:val="es-ES_tradnl"/>
          <w14:ligatures w14:val="standardContextual"/>
        </w:rPr>
        <w:t>ii</w:t>
      </w:r>
      <w:proofErr w:type="spellEnd"/>
      <w:r w:rsidRPr="00FE4BC0">
        <w:rPr>
          <w:rFonts w:ascii="Century Gothic" w:eastAsia="Calibri" w:hAnsi="Century Gothic" w:cs="Arial"/>
          <w:kern w:val="2"/>
          <w:lang w:val="es-ES_tradnl"/>
          <w14:ligatures w14:val="standardContextual"/>
        </w:rPr>
        <w:t xml:space="preserve">) ámbito de aplicación de la Ley 2069 de 2020, y </w:t>
      </w:r>
      <w:proofErr w:type="spellStart"/>
      <w:r w:rsidRPr="00FE4BC0">
        <w:rPr>
          <w:rFonts w:ascii="Century Gothic" w:eastAsia="Calibri" w:hAnsi="Century Gothic" w:cs="Arial"/>
          <w:kern w:val="2"/>
          <w:lang w:val="es-ES_tradnl"/>
          <w14:ligatures w14:val="standardContextual"/>
        </w:rPr>
        <w:t>iii</w:t>
      </w:r>
      <w:proofErr w:type="spellEnd"/>
      <w:r w:rsidRPr="00FE4BC0">
        <w:rPr>
          <w:rFonts w:ascii="Century Gothic" w:eastAsia="Calibri" w:hAnsi="Century Gothic" w:cs="Arial"/>
          <w:kern w:val="2"/>
          <w:lang w:val="es-ES_tradnl"/>
          <w14:ligatures w14:val="standardContextual"/>
        </w:rPr>
        <w:t>) los factores de desempate del artículo 35 de la Ley 2069 de 2020 y su reglamentación en el Decreto 1860 de 2021.</w:t>
      </w:r>
    </w:p>
    <w:p w14:paraId="36F9DD66" w14:textId="77777777" w:rsidR="00FE4BC0" w:rsidRPr="00FE4BC0" w:rsidRDefault="00FE4BC0" w:rsidP="00FE4BC0">
      <w:pPr>
        <w:spacing w:after="0" w:line="276" w:lineRule="auto"/>
        <w:ind w:firstLine="709"/>
        <w:contextualSpacing/>
        <w:jc w:val="both"/>
        <w:rPr>
          <w:rFonts w:ascii="Century Gothic" w:eastAsia="Calibri" w:hAnsi="Century Gothic" w:cs="Arial"/>
          <w:kern w:val="2"/>
          <w:lang w:val="es-ES_tradnl"/>
          <w14:ligatures w14:val="standardContextual"/>
        </w:rPr>
      </w:pPr>
      <w:r w:rsidRPr="00FE4BC0">
        <w:rPr>
          <w:rFonts w:ascii="Century Gothic" w:eastAsia="Calibri" w:hAnsi="Century Gothic" w:cs="Arial"/>
          <w:kern w:val="2"/>
          <w:lang w:val="es-ES_tradnl"/>
          <w14:ligatures w14:val="standardContextual"/>
        </w:rPr>
        <w:t xml:space="preserve">Es importante destacar que esta Agencia ha estudiado, en términos generales, los factores de desempate en los procedimientos de contratación estatal, en los conceptos C-285 del 4 de mayo de 2020, C-481 del 27 de julio de 2020, C-514 y C-535 del 26 de agosto de 2020, C-556 del 31 de agosto de 2020 y C-031 del 26 de marzo de 2024.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w:t>
      </w:r>
      <w:r w:rsidRPr="00FE4BC0">
        <w:rPr>
          <w:rFonts w:ascii="Century Gothic" w:eastAsia="Calibri" w:hAnsi="Century Gothic" w:cs="Arial"/>
          <w:kern w:val="2"/>
          <w:lang w:val="es-ES_tradnl"/>
          <w14:ligatures w14:val="standardContextual"/>
        </w:rPr>
        <w:lastRenderedPageBreak/>
        <w:t>de 2021, C-422 del 18 de agosto de 2021, C-437 del 24 de agosto de 2021, C-518 el 20 de septiembre de 2021, C-438 del 28 de septiembre de 2021, C-586 del 14 de octubre de 2021 y C-295 del 9 de mayo de 2022, entre otros</w:t>
      </w:r>
      <w:r w:rsidRPr="00FE4BC0">
        <w:rPr>
          <w:rFonts w:ascii="Century Gothic" w:eastAsia="Calibri" w:hAnsi="Century Gothic" w:cs="Arial"/>
          <w:kern w:val="2"/>
          <w:vertAlign w:val="superscript"/>
          <w14:ligatures w14:val="standardContextual"/>
        </w:rPr>
        <w:footnoteReference w:id="2"/>
      </w:r>
      <w:r w:rsidRPr="00FE4BC0">
        <w:rPr>
          <w:rFonts w:ascii="Century Gothic" w:eastAsia="Calibri" w:hAnsi="Century Gothic" w:cs="Arial"/>
          <w:kern w:val="2"/>
          <w:lang w:val="es-ES_tradnl"/>
          <w14:ligatures w14:val="standardContextual"/>
        </w:rPr>
        <w:t>. Algunas de las consideraciones de estos conceptos se reiteran a continuación y se complementan en lo pertinente.</w:t>
      </w:r>
    </w:p>
    <w:p w14:paraId="2AAF68AC" w14:textId="77777777" w:rsidR="00FE4BC0" w:rsidRPr="00FE4BC0" w:rsidRDefault="00FE4BC0" w:rsidP="00FE4BC0">
      <w:pPr>
        <w:shd w:val="clear" w:color="auto" w:fill="FFFFFF"/>
        <w:spacing w:after="0" w:line="276" w:lineRule="auto"/>
        <w:jc w:val="both"/>
        <w:rPr>
          <w:rFonts w:ascii="Century Gothic" w:eastAsia="Calibri" w:hAnsi="Century Gothic" w:cs="Arial"/>
          <w:bCs/>
          <w:color w:val="000000"/>
          <w:lang w:val="es-ES"/>
        </w:rPr>
      </w:pPr>
    </w:p>
    <w:p w14:paraId="264F676D" w14:textId="77777777" w:rsidR="00FE4BC0" w:rsidRPr="00FE4BC0" w:rsidRDefault="00FE4BC0" w:rsidP="00FE4BC0">
      <w:pPr>
        <w:spacing w:after="0" w:line="276" w:lineRule="auto"/>
        <w:contextualSpacing/>
        <w:jc w:val="both"/>
        <w:rPr>
          <w:rFonts w:ascii="Century Gothic" w:eastAsia="Calibri" w:hAnsi="Century Gothic" w:cs="Arial"/>
          <w:b/>
          <w:bCs/>
          <w:lang w:val="es-ES_tradnl" w:eastAsia="es-ES_tradnl"/>
        </w:rPr>
      </w:pPr>
      <w:r w:rsidRPr="00FE4BC0">
        <w:rPr>
          <w:rFonts w:ascii="Century Gothic" w:eastAsia="Calibri" w:hAnsi="Century Gothic" w:cs="Arial"/>
          <w:b/>
          <w:bCs/>
          <w:lang w:val="es-ES_tradnl" w:eastAsia="es-ES_tradnl"/>
        </w:rPr>
        <w:t>2.1. Factores de desempate en la contratación estatal: concepto y características</w:t>
      </w:r>
    </w:p>
    <w:p w14:paraId="4F3F8B60" w14:textId="77777777" w:rsidR="00FE4BC0" w:rsidRPr="00FE4BC0" w:rsidRDefault="00FE4BC0" w:rsidP="00FE4BC0">
      <w:pPr>
        <w:spacing w:after="0" w:line="276" w:lineRule="auto"/>
        <w:contextualSpacing/>
        <w:jc w:val="both"/>
        <w:rPr>
          <w:rFonts w:ascii="Century Gothic" w:eastAsia="Calibri" w:hAnsi="Century Gothic" w:cs="Arial"/>
          <w:lang w:val="es-ES_tradnl" w:eastAsia="es-ES_tradnl"/>
        </w:rPr>
      </w:pPr>
    </w:p>
    <w:p w14:paraId="53D2C65A" w14:textId="77777777" w:rsidR="00FE4BC0" w:rsidRPr="00FE4BC0" w:rsidRDefault="00FE4BC0" w:rsidP="00FE4BC0">
      <w:pPr>
        <w:spacing w:after="120" w:line="276" w:lineRule="auto"/>
        <w:jc w:val="both"/>
        <w:rPr>
          <w:rFonts w:ascii="Century Gothic" w:eastAsia="Calibri" w:hAnsi="Century Gothic" w:cs="Arial"/>
          <w:lang w:val="es-ES_tradnl" w:eastAsia="es-ES_tradnl"/>
        </w:rPr>
      </w:pPr>
      <w:bookmarkStart w:id="9" w:name="_Hlk102387982"/>
      <w:r w:rsidRPr="00FE4BC0">
        <w:rPr>
          <w:rFonts w:ascii="Century Gothic" w:eastAsia="Calibri" w:hAnsi="Century Gothic" w:cs="Arial"/>
          <w:lang w:val="es-ES_tradnl" w:eastAsia="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al indicar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58105AC9" w14:textId="77777777" w:rsidR="00FE4BC0" w:rsidRPr="00FE4BC0" w:rsidRDefault="00FE4BC0" w:rsidP="40E0CEC5">
      <w:pPr>
        <w:spacing w:before="120" w:after="120" w:line="276" w:lineRule="auto"/>
        <w:ind w:firstLine="709"/>
        <w:jc w:val="both"/>
        <w:rPr>
          <w:rFonts w:ascii="Century Gothic" w:eastAsia="Calibri" w:hAnsi="Century Gothic" w:cs="Arial"/>
          <w:lang w:val="es-ES" w:eastAsia="es-ES"/>
        </w:rPr>
      </w:pPr>
      <w:bookmarkStart w:id="10" w:name="_Hlk102387997"/>
      <w:bookmarkEnd w:id="9"/>
      <w:r w:rsidRPr="40E0CEC5">
        <w:rPr>
          <w:rFonts w:ascii="Century Gothic" w:eastAsia="Calibri" w:hAnsi="Century Gothic" w:cs="Arial"/>
          <w:lang w:val="es-ES" w:eastAsia="es-ES"/>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w:t>
      </w:r>
      <w:r w:rsidRPr="40E0CEC5">
        <w:rPr>
          <w:rFonts w:ascii="Century Gothic" w:eastAsia="Calibri" w:hAnsi="Century Gothic" w:cs="Arial"/>
          <w:lang w:val="es-ES" w:eastAsia="es-ES"/>
        </w:rPr>
        <w:lastRenderedPageBreak/>
        <w:t xml:space="preserve">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677C709" w14:textId="77777777" w:rsidR="00FE4BC0" w:rsidRPr="00FE4BC0" w:rsidRDefault="00FE4BC0" w:rsidP="00FE4BC0">
      <w:pPr>
        <w:spacing w:before="120" w:after="120" w:line="276" w:lineRule="auto"/>
        <w:ind w:firstLine="709"/>
        <w:jc w:val="both"/>
        <w:rPr>
          <w:rFonts w:ascii="Century Gothic" w:eastAsia="Calibri" w:hAnsi="Century Gothic" w:cs="Arial"/>
          <w:lang w:val="es-ES_tradnl" w:eastAsia="es-ES_tradnl"/>
        </w:rPr>
      </w:pPr>
      <w:bookmarkStart w:id="11" w:name="_Hlk102388016"/>
      <w:bookmarkStart w:id="12" w:name="_Hlk102983840"/>
      <w:bookmarkEnd w:id="10"/>
      <w:r w:rsidRPr="00FE4BC0">
        <w:rPr>
          <w:rFonts w:ascii="Century Gothic" w:eastAsia="Calibri" w:hAnsi="Century Gothic" w:cs="Arial"/>
          <w:lang w:val="es-ES_tradnl" w:eastAsia="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encuentra el artículo 35 de la Ley 2069 de 2020. La jurisprudencia comparte la idea de que los criterios de desempate deben estar establecidos de antemano y constituyen un límite a la discrecionalidad administrativa en los procedimientos de selección</w:t>
      </w:r>
      <w:r w:rsidRPr="00FE4BC0">
        <w:rPr>
          <w:rFonts w:ascii="Century Gothic" w:eastAsia="Times New Roman" w:hAnsi="Century Gothic" w:cs="Arial"/>
          <w:vertAlign w:val="superscript"/>
          <w:lang w:val="es-ES_tradnl" w:eastAsia="es-ES_tradnl"/>
        </w:rPr>
        <w:footnoteReference w:id="3"/>
      </w:r>
      <w:r w:rsidRPr="00FE4BC0">
        <w:rPr>
          <w:rFonts w:ascii="Century Gothic" w:eastAsia="Calibri" w:hAnsi="Century Gothic" w:cs="Arial"/>
          <w:lang w:val="es-ES_tradnl" w:eastAsia="es-ES_tradnl"/>
        </w:rPr>
        <w:t xml:space="preserve">. </w:t>
      </w:r>
    </w:p>
    <w:p w14:paraId="3C1B5AF8" w14:textId="77777777" w:rsidR="00FE4BC0" w:rsidRPr="00FE4BC0" w:rsidRDefault="00FE4BC0" w:rsidP="40E0CEC5">
      <w:pPr>
        <w:spacing w:before="120" w:after="120" w:line="276" w:lineRule="auto"/>
        <w:ind w:firstLine="709"/>
        <w:jc w:val="both"/>
        <w:rPr>
          <w:rFonts w:ascii="Century Gothic" w:eastAsia="Calibri" w:hAnsi="Century Gothic" w:cs="Arial"/>
          <w:lang w:val="es-ES" w:eastAsia="es-ES"/>
        </w:rPr>
      </w:pPr>
      <w:r w:rsidRPr="40E0CEC5">
        <w:rPr>
          <w:rFonts w:ascii="Century Gothic" w:eastAsia="Calibri" w:hAnsi="Century Gothic" w:cs="Arial"/>
          <w:lang w:val="es-ES" w:eastAsia="es-ES"/>
        </w:rPr>
        <w:t xml:space="preserve">En tal sentido, la Corte Constitucional explica que cuando la ley establece factores de desempate obligatorios, las entidades estatales no pueden </w:t>
      </w:r>
      <w:proofErr w:type="spellStart"/>
      <w:r w:rsidRPr="40E0CEC5">
        <w:rPr>
          <w:rFonts w:ascii="Century Gothic" w:eastAsia="Calibri" w:hAnsi="Century Gothic" w:cs="Arial"/>
          <w:lang w:val="es-ES" w:eastAsia="es-ES"/>
        </w:rPr>
        <w:t>inaplicarlos</w:t>
      </w:r>
      <w:proofErr w:type="spellEnd"/>
      <w:r w:rsidRPr="40E0CEC5">
        <w:rPr>
          <w:rFonts w:ascii="Century Gothic" w:eastAsia="Calibri" w:hAnsi="Century Gothic" w:cs="Arial"/>
          <w:lang w:val="es-ES" w:eastAsia="es-ES"/>
        </w:rPr>
        <w:t>, porque ello podría vulnerar el principio de igualdad, especialmente, cuando algunos de estos criterios surgen como acciones afirmativas para ciertos sectores de la población</w:t>
      </w:r>
      <w:r w:rsidRPr="40E0CEC5">
        <w:rPr>
          <w:rFonts w:ascii="Century Gothic" w:eastAsia="Calibri" w:hAnsi="Century Gothic" w:cs="Arial"/>
          <w:vertAlign w:val="superscript"/>
          <w:lang w:val="es-ES" w:eastAsia="es-ES"/>
        </w:rPr>
        <w:footnoteReference w:id="4"/>
      </w:r>
      <w:r w:rsidRPr="40E0CEC5">
        <w:rPr>
          <w:rFonts w:ascii="Century Gothic" w:eastAsia="Calibri" w:hAnsi="Century Gothic" w:cs="Arial"/>
          <w:lang w:val="es-ES" w:eastAsia="es-ES"/>
        </w:rPr>
        <w:t>. Más aún, el Consejo de Estado ha señalado que contrariar los factores de desempate genera la nulidad del contrato, conforme al artículo 44, inciso 1º de la Ley 80 de 1993</w:t>
      </w:r>
      <w:bookmarkEnd w:id="11"/>
      <w:r w:rsidRPr="40E0CEC5">
        <w:rPr>
          <w:rFonts w:ascii="Century Gothic" w:eastAsia="Calibri" w:hAnsi="Century Gothic" w:cs="Arial"/>
          <w:vertAlign w:val="superscript"/>
          <w:lang w:val="es-ES" w:eastAsia="es-ES"/>
        </w:rPr>
        <w:footnoteReference w:id="5"/>
      </w:r>
      <w:r w:rsidRPr="40E0CEC5">
        <w:rPr>
          <w:rFonts w:ascii="Century Gothic" w:eastAsia="Calibri" w:hAnsi="Century Gothic" w:cs="Arial"/>
          <w:lang w:val="es-ES" w:eastAsia="es-ES"/>
        </w:rPr>
        <w:t>.</w:t>
      </w:r>
    </w:p>
    <w:bookmarkEnd w:id="12"/>
    <w:p w14:paraId="007DA680" w14:textId="77777777" w:rsidR="00FE4BC0" w:rsidRPr="00FE4BC0" w:rsidRDefault="00FE4BC0" w:rsidP="40E0CEC5">
      <w:pPr>
        <w:spacing w:before="120" w:after="0" w:line="276" w:lineRule="auto"/>
        <w:ind w:firstLine="709"/>
        <w:jc w:val="both"/>
        <w:rPr>
          <w:rFonts w:ascii="Century Gothic" w:eastAsia="Calibri" w:hAnsi="Century Gothic" w:cs="Arial"/>
          <w:lang w:val="es-ES" w:eastAsia="es-ES"/>
        </w:rPr>
      </w:pPr>
      <w:r w:rsidRPr="40E0CEC5">
        <w:rPr>
          <w:rFonts w:ascii="Century Gothic" w:eastAsia="Calibri" w:hAnsi="Century Gothic" w:cs="Arial"/>
          <w:lang w:val="es-ES" w:eastAsia="es-ES"/>
        </w:rPr>
        <w:lastRenderedPageBreak/>
        <w:t xml:space="preserve">Ahora bien, en cumplimiento de los principios de reciprocidad y de </w:t>
      </w:r>
      <w:r w:rsidRPr="40E0CEC5">
        <w:rPr>
          <w:rFonts w:ascii="Century Gothic" w:eastAsia="Calibri" w:hAnsi="Century Gothic" w:cs="Arial"/>
          <w:i/>
          <w:iCs/>
          <w:lang w:val="es-ES" w:eastAsia="es-ES"/>
        </w:rPr>
        <w:t xml:space="preserve">pacta sunt </w:t>
      </w:r>
      <w:proofErr w:type="spellStart"/>
      <w:r w:rsidRPr="40E0CEC5">
        <w:rPr>
          <w:rFonts w:ascii="Century Gothic" w:eastAsia="Calibri" w:hAnsi="Century Gothic" w:cs="Arial"/>
          <w:i/>
          <w:iCs/>
          <w:lang w:val="es-ES" w:eastAsia="es-ES"/>
        </w:rPr>
        <w:t>servanda</w:t>
      </w:r>
      <w:proofErr w:type="spellEnd"/>
      <w:r w:rsidRPr="40E0CEC5">
        <w:rPr>
          <w:rFonts w:ascii="Century Gothic" w:eastAsia="Calibri" w:hAnsi="Century Gothic" w:cs="Arial"/>
          <w:lang w:val="es-ES" w:eastAsia="es-ES"/>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F693E22" w14:textId="77777777" w:rsidR="00FE4BC0" w:rsidRPr="00FE4BC0" w:rsidRDefault="00FE4BC0" w:rsidP="00FE4BC0">
      <w:pPr>
        <w:spacing w:after="0" w:line="276" w:lineRule="auto"/>
        <w:contextualSpacing/>
        <w:jc w:val="both"/>
        <w:rPr>
          <w:rFonts w:ascii="Century Gothic" w:eastAsia="Calibri" w:hAnsi="Century Gothic" w:cs="Arial"/>
          <w:b/>
          <w:bCs/>
          <w:lang w:val="es-ES_tradnl" w:eastAsia="es-ES_tradnl"/>
        </w:rPr>
      </w:pPr>
    </w:p>
    <w:p w14:paraId="3381A30D" w14:textId="77777777" w:rsidR="00FE4BC0" w:rsidRPr="00FE4BC0" w:rsidRDefault="00FE4BC0" w:rsidP="00FE4BC0">
      <w:pPr>
        <w:spacing w:after="0" w:line="276" w:lineRule="auto"/>
        <w:contextualSpacing/>
        <w:jc w:val="both"/>
        <w:rPr>
          <w:rFonts w:ascii="Century Gothic" w:eastAsia="Calibri" w:hAnsi="Century Gothic" w:cs="Arial"/>
          <w:b/>
          <w:bCs/>
          <w:lang w:val="es-ES_tradnl" w:eastAsia="es-ES_tradnl"/>
        </w:rPr>
      </w:pPr>
      <w:r w:rsidRPr="00FE4BC0">
        <w:rPr>
          <w:rFonts w:ascii="Century Gothic" w:eastAsia="Calibri" w:hAnsi="Century Gothic" w:cs="Arial"/>
          <w:b/>
          <w:bCs/>
          <w:lang w:val="es-ES_tradnl" w:eastAsia="es-ES_tradnl"/>
        </w:rPr>
        <w:t>2.2. Vigencia y ámbito de aplicación de la Ley 2069 de 2020</w:t>
      </w:r>
    </w:p>
    <w:p w14:paraId="0F59031E" w14:textId="77777777" w:rsidR="00FE4BC0" w:rsidRPr="00FE4BC0" w:rsidRDefault="00FE4BC0" w:rsidP="00FE4BC0">
      <w:pPr>
        <w:spacing w:after="0" w:line="276" w:lineRule="auto"/>
        <w:contextualSpacing/>
        <w:jc w:val="both"/>
        <w:rPr>
          <w:rFonts w:ascii="Century Gothic" w:eastAsia="Calibri" w:hAnsi="Century Gothic" w:cs="Arial"/>
          <w:lang w:val="es-ES_tradnl" w:eastAsia="es-ES_tradnl"/>
        </w:rPr>
      </w:pPr>
    </w:p>
    <w:p w14:paraId="64D93DC2" w14:textId="77777777" w:rsidR="00FE4BC0" w:rsidRPr="00FE4BC0" w:rsidRDefault="00FE4BC0" w:rsidP="00FE4BC0">
      <w:pPr>
        <w:spacing w:after="120" w:line="276" w:lineRule="auto"/>
        <w:jc w:val="both"/>
        <w:rPr>
          <w:rFonts w:ascii="Century Gothic" w:eastAsia="Calibri" w:hAnsi="Century Gothic" w:cs="Arial"/>
          <w:lang w:val="es-ES_tradnl" w:eastAsia="es-ES_tradnl"/>
        </w:rPr>
      </w:pPr>
      <w:bookmarkStart w:id="13" w:name="_Hlk102388074"/>
      <w:bookmarkStart w:id="14" w:name="_Hlk102983874"/>
      <w:r w:rsidRPr="00FE4BC0">
        <w:rPr>
          <w:rFonts w:ascii="Century Gothic" w:eastAsia="Calibri" w:hAnsi="Century Gothic" w:cs="Arial"/>
          <w:lang w:val="es-ES_tradnl" w:eastAsia="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7D232D97" w14:textId="77777777" w:rsidR="00FE4BC0" w:rsidRPr="00FE4BC0" w:rsidRDefault="00FE4BC0" w:rsidP="40E0CEC5">
      <w:pPr>
        <w:spacing w:before="120" w:after="120" w:line="276" w:lineRule="auto"/>
        <w:ind w:firstLine="709"/>
        <w:jc w:val="both"/>
        <w:rPr>
          <w:rFonts w:ascii="Century Gothic" w:eastAsia="Calibri" w:hAnsi="Century Gothic" w:cs="Arial"/>
          <w:lang w:val="es-ES" w:eastAsia="es-ES"/>
        </w:rPr>
      </w:pPr>
      <w:bookmarkStart w:id="15" w:name="_Hlk102388095"/>
      <w:bookmarkEnd w:id="13"/>
      <w:r w:rsidRPr="40E0CEC5">
        <w:rPr>
          <w:rFonts w:ascii="Century Gothic" w:eastAsia="Calibri" w:hAnsi="Century Gothic" w:cs="Arial"/>
          <w:lang w:val="es-ES" w:eastAsia="es-ES"/>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40E0CEC5">
        <w:rPr>
          <w:rFonts w:ascii="Century Gothic" w:eastAsia="Calibri" w:hAnsi="Century Gothic" w:cs="Arial"/>
          <w:lang w:val="es-ES" w:eastAsia="es-ES"/>
        </w:rPr>
        <w:t>de acuerdo a</w:t>
      </w:r>
      <w:proofErr w:type="gramEnd"/>
      <w:r w:rsidRPr="40E0CEC5">
        <w:rPr>
          <w:rFonts w:ascii="Century Gothic" w:eastAsia="Calibri" w:hAnsi="Century Gothic" w:cs="Arial"/>
          <w:lang w:val="es-ES" w:eastAsia="es-ES"/>
        </w:rPr>
        <w:t xml:space="preserve"> las realidades socioeconómicas de cada región”. En desarrollo de esta finalidad, se establecen medidas de apoyo para las micro, pequeñas y medianas empresas –</w:t>
      </w:r>
      <w:proofErr w:type="spellStart"/>
      <w:r w:rsidRPr="40E0CEC5">
        <w:rPr>
          <w:rFonts w:ascii="Century Gothic" w:eastAsia="Calibri" w:hAnsi="Century Gothic" w:cs="Arial"/>
          <w:lang w:val="es-ES" w:eastAsia="es-ES"/>
        </w:rPr>
        <w:t>Mipymes</w:t>
      </w:r>
      <w:proofErr w:type="spellEnd"/>
      <w:r w:rsidRPr="40E0CEC5">
        <w:rPr>
          <w:rFonts w:ascii="Century Gothic" w:eastAsia="Calibri" w:hAnsi="Century Gothic" w:cs="Arial"/>
          <w:lang w:val="es-ES" w:eastAsia="es-ES"/>
        </w:rPr>
        <w:t>–, mediante la racionalización y simplificación de los trámites y tarifas</w:t>
      </w:r>
      <w:r w:rsidRPr="40E0CEC5">
        <w:rPr>
          <w:rFonts w:ascii="Century Gothic" w:eastAsia="Calibri" w:hAnsi="Century Gothic" w:cs="Arial"/>
          <w:vertAlign w:val="superscript"/>
          <w:lang w:val="es-ES" w:eastAsia="es-ES"/>
        </w:rPr>
        <w:footnoteReference w:id="6"/>
      </w:r>
      <w:r w:rsidRPr="40E0CEC5">
        <w:rPr>
          <w:rFonts w:ascii="Century Gothic" w:eastAsia="Calibri" w:hAnsi="Century Gothic" w:cs="Arial"/>
          <w:lang w:val="es-ES" w:eastAsia="es-ES"/>
        </w:rPr>
        <w:t>, así como incentivos a favor de aquellas dentro del sistema de compras y contratación pública</w:t>
      </w:r>
      <w:r w:rsidRPr="40E0CEC5">
        <w:rPr>
          <w:rFonts w:ascii="Century Gothic" w:eastAsia="Calibri" w:hAnsi="Century Gothic" w:cs="Arial"/>
          <w:vertAlign w:val="superscript"/>
          <w:lang w:val="es-ES" w:eastAsia="es-ES"/>
        </w:rPr>
        <w:footnoteReference w:id="7"/>
      </w:r>
      <w:r w:rsidRPr="40E0CEC5">
        <w:rPr>
          <w:rFonts w:ascii="Century Gothic" w:eastAsia="Calibri" w:hAnsi="Century Gothic" w:cs="Arial"/>
          <w:lang w:val="es-ES" w:eastAsia="es-ES"/>
        </w:rPr>
        <w:t>. También se consagran mecanismos de acceso al financiamiento</w:t>
      </w:r>
      <w:r w:rsidRPr="40E0CEC5">
        <w:rPr>
          <w:rFonts w:ascii="Century Gothic" w:eastAsia="Calibri" w:hAnsi="Century Gothic" w:cs="Arial"/>
          <w:vertAlign w:val="superscript"/>
          <w:lang w:val="es-ES" w:eastAsia="es-ES"/>
        </w:rPr>
        <w:footnoteReference w:id="8"/>
      </w:r>
      <w:r w:rsidRPr="40E0CEC5">
        <w:rPr>
          <w:rFonts w:ascii="Century Gothic" w:eastAsia="Calibri" w:hAnsi="Century Gothic" w:cs="Arial"/>
          <w:lang w:val="es-ES" w:eastAsia="es-ES"/>
        </w:rPr>
        <w:t xml:space="preserve">, se unifican las fuentes de emprendimiento y de desarrollo empresarial, para fortalecer y promover los distintos </w:t>
      </w:r>
      <w:r w:rsidRPr="40E0CEC5">
        <w:rPr>
          <w:rFonts w:ascii="Century Gothic" w:eastAsia="Calibri" w:hAnsi="Century Gothic" w:cs="Arial"/>
          <w:lang w:val="es-ES" w:eastAsia="es-ES"/>
        </w:rPr>
        <w:lastRenderedPageBreak/>
        <w:t>sectores de la economía</w:t>
      </w:r>
      <w:r w:rsidRPr="40E0CEC5">
        <w:rPr>
          <w:rFonts w:ascii="Century Gothic" w:eastAsia="Calibri" w:hAnsi="Century Gothic" w:cs="Arial"/>
          <w:vertAlign w:val="superscript"/>
          <w:lang w:val="es-ES" w:eastAsia="es-ES"/>
        </w:rPr>
        <w:footnoteReference w:id="9"/>
      </w:r>
      <w:r w:rsidRPr="40E0CEC5">
        <w:rPr>
          <w:rFonts w:ascii="Century Gothic" w:eastAsia="Calibri" w:hAnsi="Century Gothic" w:cs="Arial"/>
          <w:lang w:val="es-ES" w:eastAsia="es-ES"/>
        </w:rPr>
        <w:t xml:space="preserve"> y se prevén medidas de educación para el emprendimiento y la innovación</w:t>
      </w:r>
      <w:bookmarkEnd w:id="14"/>
      <w:r w:rsidRPr="40E0CEC5">
        <w:rPr>
          <w:rFonts w:ascii="Century Gothic" w:eastAsia="Calibri" w:hAnsi="Century Gothic" w:cs="Arial"/>
          <w:vertAlign w:val="superscript"/>
          <w:lang w:val="es-ES" w:eastAsia="es-ES"/>
        </w:rPr>
        <w:footnoteReference w:id="10"/>
      </w:r>
      <w:r w:rsidRPr="40E0CEC5">
        <w:rPr>
          <w:rFonts w:ascii="Century Gothic" w:eastAsia="Calibri" w:hAnsi="Century Gothic" w:cs="Arial"/>
          <w:lang w:val="es-ES" w:eastAsia="es-ES"/>
        </w:rPr>
        <w:t>.</w:t>
      </w:r>
      <w:bookmarkEnd w:id="15"/>
    </w:p>
    <w:p w14:paraId="4998EC32" w14:textId="77777777" w:rsidR="00FE4BC0" w:rsidRPr="00FE4BC0" w:rsidRDefault="00FE4BC0" w:rsidP="00FE4BC0">
      <w:pPr>
        <w:spacing w:before="120" w:after="120" w:line="276" w:lineRule="auto"/>
        <w:ind w:firstLine="709"/>
        <w:jc w:val="both"/>
        <w:rPr>
          <w:rFonts w:ascii="Century Gothic" w:eastAsia="Calibri" w:hAnsi="Century Gothic" w:cs="Arial"/>
          <w:lang w:val="es-ES_tradnl" w:eastAsia="es-ES_tradnl"/>
        </w:rPr>
      </w:pPr>
      <w:bookmarkStart w:id="16" w:name="_Hlk63883948"/>
      <w:r w:rsidRPr="00FE4BC0">
        <w:rPr>
          <w:rFonts w:ascii="Century Gothic" w:eastAsia="Calibri" w:hAnsi="Century Gothic" w:cs="Arial"/>
          <w:lang w:val="es-ES_tradnl" w:eastAsia="es-ES_tradnl"/>
        </w:rPr>
        <w:t xml:space="preserve">La Ley 2069 de 2020 guarda </w:t>
      </w:r>
      <w:r w:rsidRPr="00FE4BC0">
        <w:rPr>
          <w:rFonts w:ascii="Century Gothic" w:eastAsia="Calibri" w:hAnsi="Century Gothic" w:cs="Arial"/>
          <w:bCs/>
          <w:szCs w:val="24"/>
          <w:lang w:eastAsia="es-ES_tradnl"/>
        </w:rPr>
        <w:t xml:space="preserve">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bookmarkStart w:id="17" w:name="_Hlk63692496"/>
      <w:r w:rsidRPr="00FE4BC0">
        <w:rPr>
          <w:rFonts w:ascii="Century Gothic" w:eastAsia="Calibri" w:hAnsi="Century Gothic" w:cs="Arial"/>
          <w:bCs/>
          <w:szCs w:val="24"/>
          <w:lang w:eastAsia="es-ES_tradnl"/>
        </w:rPr>
        <w:t>“Política de formalización empresarial</w:t>
      </w:r>
      <w:bookmarkEnd w:id="17"/>
      <w:r w:rsidRPr="00FE4BC0">
        <w:rPr>
          <w:rFonts w:ascii="Century Gothic" w:eastAsia="Calibri" w:hAnsi="Century Gothic" w:cs="Arial"/>
          <w:bCs/>
          <w:szCs w:val="24"/>
          <w:lang w:eastAsia="es-ES_tradnl"/>
        </w:rPr>
        <w:t>” del Documento CONPES 3956 del 8 de enero de 2019</w:t>
      </w:r>
      <w:r w:rsidRPr="00FE4BC0">
        <w:rPr>
          <w:rFonts w:ascii="Century Gothic" w:eastAsia="Calibri" w:hAnsi="Century Gothic" w:cs="Arial"/>
          <w:bCs/>
          <w:szCs w:val="24"/>
          <w:vertAlign w:val="superscript"/>
          <w:lang w:eastAsia="es-ES_tradnl"/>
        </w:rPr>
        <w:footnoteReference w:id="11"/>
      </w:r>
      <w:r w:rsidRPr="00FE4BC0">
        <w:rPr>
          <w:rFonts w:ascii="Century Gothic" w:eastAsia="Calibri" w:hAnsi="Century Gothic" w:cs="Arial"/>
          <w:bCs/>
          <w:szCs w:val="24"/>
          <w:lang w:eastAsia="es-ES_tradnl"/>
        </w:rPr>
        <w:t>.</w:t>
      </w:r>
      <w:bookmarkEnd w:id="16"/>
    </w:p>
    <w:p w14:paraId="0AAA1B33" w14:textId="77777777" w:rsidR="00FE4BC0" w:rsidRPr="00FE4BC0" w:rsidRDefault="00FE4BC0" w:rsidP="00FE4BC0">
      <w:pPr>
        <w:tabs>
          <w:tab w:val="left" w:pos="709"/>
        </w:tabs>
        <w:spacing w:before="120" w:after="120" w:line="276" w:lineRule="auto"/>
        <w:jc w:val="both"/>
        <w:rPr>
          <w:rFonts w:ascii="Century Gothic" w:eastAsia="Calibri" w:hAnsi="Century Gothic" w:cs="Arial"/>
          <w:bCs/>
          <w:szCs w:val="24"/>
          <w:lang w:eastAsia="es-ES_tradnl"/>
        </w:rPr>
      </w:pPr>
      <w:r w:rsidRPr="00FE4BC0">
        <w:rPr>
          <w:rFonts w:ascii="Century Gothic" w:eastAsia="Calibri" w:hAnsi="Century Gothic" w:cs="Arial"/>
          <w:bCs/>
          <w:szCs w:val="24"/>
          <w:lang w:eastAsia="es-ES_tradnl"/>
        </w:rPr>
        <w:tab/>
        <w:t xml:space="preserve">De esta manera, la Ley impulsa medidas para: i) reducir cargas y trámites para los emprendedores del país, </w:t>
      </w:r>
      <w:proofErr w:type="spellStart"/>
      <w:r w:rsidRPr="00FE4BC0">
        <w:rPr>
          <w:rFonts w:ascii="Century Gothic" w:eastAsia="Calibri" w:hAnsi="Century Gothic" w:cs="Arial"/>
          <w:bCs/>
          <w:szCs w:val="24"/>
          <w:lang w:eastAsia="es-ES_tradnl"/>
        </w:rPr>
        <w:t>ii</w:t>
      </w:r>
      <w:proofErr w:type="spellEnd"/>
      <w:r w:rsidRPr="00FE4BC0">
        <w:rPr>
          <w:rFonts w:ascii="Century Gothic" w:eastAsia="Calibri" w:hAnsi="Century Gothic" w:cs="Arial"/>
          <w:bCs/>
          <w:szCs w:val="24"/>
          <w:lang w:eastAsia="es-ES_tradnl"/>
        </w:rPr>
        <w:t xml:space="preserve">) facilitar su acceso al sistema de compras y contratación pública, </w:t>
      </w:r>
      <w:proofErr w:type="spellStart"/>
      <w:r w:rsidRPr="00FE4BC0">
        <w:rPr>
          <w:rFonts w:ascii="Century Gothic" w:eastAsia="Calibri" w:hAnsi="Century Gothic" w:cs="Arial"/>
          <w:bCs/>
          <w:szCs w:val="24"/>
          <w:lang w:eastAsia="es-ES_tradnl"/>
        </w:rPr>
        <w:t>iii</w:t>
      </w:r>
      <w:proofErr w:type="spellEnd"/>
      <w:r w:rsidRPr="00FE4BC0">
        <w:rPr>
          <w:rFonts w:ascii="Century Gothic" w:eastAsia="Calibri" w:hAnsi="Century Gothic" w:cs="Arial"/>
          <w:bCs/>
          <w:szCs w:val="24"/>
          <w:lang w:eastAsia="es-ES_tradnl"/>
        </w:rPr>
        <w:t xml:space="preserve">) incentivar el crecimiento económico con la llegada de más actores al ecosistema de inversión y financiación, </w:t>
      </w:r>
      <w:proofErr w:type="spellStart"/>
      <w:r w:rsidRPr="00FE4BC0">
        <w:rPr>
          <w:rFonts w:ascii="Century Gothic" w:eastAsia="Calibri" w:hAnsi="Century Gothic" w:cs="Arial"/>
          <w:bCs/>
          <w:szCs w:val="24"/>
          <w:lang w:eastAsia="es-ES_tradnl"/>
        </w:rPr>
        <w:t>iv</w:t>
      </w:r>
      <w:proofErr w:type="spellEnd"/>
      <w:r w:rsidRPr="00FE4BC0">
        <w:rPr>
          <w:rFonts w:ascii="Century Gothic" w:eastAsia="Calibri" w:hAnsi="Century Gothic" w:cs="Arial"/>
          <w:bCs/>
          <w:szCs w:val="24"/>
          <w:lang w:eastAsia="es-ES_tradnl"/>
        </w:rPr>
        <w:t xml:space="preserve">)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w:t>
      </w:r>
      <w:r w:rsidRPr="00FE4BC0">
        <w:rPr>
          <w:rFonts w:ascii="Century Gothic" w:eastAsia="Calibri" w:hAnsi="Century Gothic" w:cs="Arial"/>
          <w:bCs/>
          <w:szCs w:val="24"/>
          <w:lang w:eastAsia="es-ES_tradnl"/>
        </w:rPr>
        <w:lastRenderedPageBreak/>
        <w:t>enfoque diferencial respecto a los miembros de las poblaciones más vulnerables, que les permita avanzar en su actividad y desarrollar sus iniciativas</w:t>
      </w:r>
      <w:r w:rsidRPr="00FE4BC0">
        <w:rPr>
          <w:rFonts w:ascii="Century Gothic" w:eastAsia="Calibri" w:hAnsi="Century Gothic" w:cs="Arial"/>
          <w:bCs/>
          <w:szCs w:val="24"/>
          <w:vertAlign w:val="superscript"/>
          <w:lang w:eastAsia="es-ES_tradnl"/>
        </w:rPr>
        <w:footnoteReference w:id="12"/>
      </w:r>
      <w:r w:rsidRPr="00FE4BC0">
        <w:rPr>
          <w:rFonts w:ascii="Century Gothic" w:eastAsia="Calibri" w:hAnsi="Century Gothic" w:cs="Arial"/>
          <w:bCs/>
          <w:szCs w:val="24"/>
          <w:lang w:eastAsia="es-ES_tradnl"/>
        </w:rPr>
        <w:t>.</w:t>
      </w:r>
    </w:p>
    <w:p w14:paraId="3AE22F9F" w14:textId="77777777" w:rsidR="00FE4BC0" w:rsidRPr="00FE4BC0" w:rsidRDefault="00FE4BC0" w:rsidP="40E0CEC5">
      <w:pPr>
        <w:spacing w:before="120" w:after="0" w:line="276" w:lineRule="auto"/>
        <w:ind w:firstLine="709"/>
        <w:jc w:val="both"/>
        <w:rPr>
          <w:rFonts w:ascii="Century Gothic" w:eastAsia="Calibri" w:hAnsi="Century Gothic" w:cs="Arial"/>
          <w:lang w:val="es-ES" w:eastAsia="es-ES"/>
        </w:rPr>
      </w:pPr>
      <w:r w:rsidRPr="40E0CEC5">
        <w:rPr>
          <w:rFonts w:ascii="Century Gothic" w:eastAsia="Calibri" w:hAnsi="Century Gothic" w:cs="Arial"/>
          <w:lang w:val="es-ES" w:eastAsia="es-ES"/>
        </w:rPr>
        <w:t xml:space="preserve">Además, parte de la Ley 2069 de 2020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40E0CEC5">
        <w:rPr>
          <w:rFonts w:ascii="Century Gothic" w:eastAsia="Calibri" w:hAnsi="Century Gothic" w:cs="Arial"/>
          <w:lang w:val="es-ES" w:eastAsia="es-ES"/>
        </w:rPr>
        <w:t>Mipymes</w:t>
      </w:r>
      <w:proofErr w:type="spellEnd"/>
      <w:r w:rsidRPr="40E0CEC5">
        <w:rPr>
          <w:rFonts w:ascii="Century Gothic" w:eastAsia="Calibri" w:hAnsi="Century Gothic" w:cs="Arial"/>
          <w:lang w:val="es-ES" w:eastAsia="es-ES"/>
        </w:rPr>
        <w:t xml:space="preserve"> en el procedimiento de mínima cuantía, </w:t>
      </w:r>
      <w:proofErr w:type="spellStart"/>
      <w:r w:rsidRPr="40E0CEC5">
        <w:rPr>
          <w:rFonts w:ascii="Century Gothic" w:eastAsia="Calibri" w:hAnsi="Century Gothic" w:cs="Arial"/>
          <w:lang w:val="es-ES" w:eastAsia="es-ES"/>
        </w:rPr>
        <w:t>ii</w:t>
      </w:r>
      <w:proofErr w:type="spellEnd"/>
      <w:r w:rsidRPr="40E0CEC5">
        <w:rPr>
          <w:rFonts w:ascii="Century Gothic" w:eastAsia="Calibri" w:hAnsi="Century Gothic" w:cs="Arial"/>
          <w:lang w:val="es-ES" w:eastAsia="es-ES"/>
        </w:rPr>
        <w:t xml:space="preserve">) criterios diferenciales para </w:t>
      </w:r>
      <w:proofErr w:type="spellStart"/>
      <w:r w:rsidRPr="40E0CEC5">
        <w:rPr>
          <w:rFonts w:ascii="Century Gothic" w:eastAsia="Calibri" w:hAnsi="Century Gothic" w:cs="Arial"/>
          <w:lang w:val="es-ES" w:eastAsia="es-ES"/>
        </w:rPr>
        <w:t>Mipymes</w:t>
      </w:r>
      <w:proofErr w:type="spellEnd"/>
      <w:r w:rsidRPr="40E0CEC5">
        <w:rPr>
          <w:rFonts w:ascii="Century Gothic" w:eastAsia="Calibri" w:hAnsi="Century Gothic" w:cs="Arial"/>
          <w:lang w:val="es-ES" w:eastAsia="es-ES"/>
        </w:rPr>
        <w:t xml:space="preserve"> en el sistema de compras públicas, </w:t>
      </w:r>
      <w:proofErr w:type="spellStart"/>
      <w:r w:rsidRPr="40E0CEC5">
        <w:rPr>
          <w:rFonts w:ascii="Century Gothic" w:eastAsia="Calibri" w:hAnsi="Century Gothic" w:cs="Arial"/>
          <w:lang w:val="es-ES" w:eastAsia="es-ES"/>
        </w:rPr>
        <w:t>iii</w:t>
      </w:r>
      <w:proofErr w:type="spellEnd"/>
      <w:r w:rsidRPr="40E0CEC5">
        <w:rPr>
          <w:rFonts w:ascii="Century Gothic" w:eastAsia="Calibri" w:hAnsi="Century Gothic" w:cs="Arial"/>
          <w:lang w:val="es-ES" w:eastAsia="es-ES"/>
        </w:rPr>
        <w:t xml:space="preserve">) criterios diferenciales para emprendimientos y empresas de mujeres en el sistema de compras públicas, </w:t>
      </w:r>
      <w:proofErr w:type="spellStart"/>
      <w:r w:rsidRPr="40E0CEC5">
        <w:rPr>
          <w:rFonts w:ascii="Century Gothic" w:eastAsia="Calibri" w:hAnsi="Century Gothic" w:cs="Arial"/>
          <w:lang w:val="es-ES" w:eastAsia="es-ES"/>
        </w:rPr>
        <w:t>iv</w:t>
      </w:r>
      <w:proofErr w:type="spellEnd"/>
      <w:r w:rsidRPr="40E0CEC5">
        <w:rPr>
          <w:rFonts w:ascii="Century Gothic" w:eastAsia="Calibri" w:hAnsi="Century Gothic" w:cs="Arial"/>
          <w:lang w:val="es-ES" w:eastAsia="es-ES"/>
        </w:rPr>
        <w:t xml:space="preserve">) promoción del acceso de las </w:t>
      </w:r>
      <w:proofErr w:type="spellStart"/>
      <w:r w:rsidRPr="40E0CEC5">
        <w:rPr>
          <w:rFonts w:ascii="Century Gothic" w:eastAsia="Calibri" w:hAnsi="Century Gothic" w:cs="Arial"/>
          <w:lang w:val="es-ES" w:eastAsia="es-ES"/>
        </w:rPr>
        <w:t>Mipymes</w:t>
      </w:r>
      <w:proofErr w:type="spellEnd"/>
      <w:r w:rsidRPr="40E0CEC5">
        <w:rPr>
          <w:rFonts w:ascii="Century Gothic" w:eastAsia="Calibri" w:hAnsi="Century Gothic" w:cs="Arial"/>
          <w:lang w:val="es-ES" w:eastAsia="es-ES"/>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1249B42A" w14:textId="77777777" w:rsidR="00FE4BC0" w:rsidRPr="00FE4BC0" w:rsidRDefault="00FE4BC0" w:rsidP="00FE4BC0">
      <w:pPr>
        <w:spacing w:after="0" w:line="276" w:lineRule="auto"/>
        <w:ind w:firstLine="709"/>
        <w:contextualSpacing/>
        <w:jc w:val="both"/>
        <w:rPr>
          <w:rFonts w:ascii="Century Gothic" w:eastAsia="Calibri" w:hAnsi="Century Gothic" w:cs="Arial"/>
          <w:lang w:val="es-ES_tradnl" w:eastAsia="es-ES_tradnl"/>
        </w:rPr>
      </w:pPr>
    </w:p>
    <w:p w14:paraId="30917B16" w14:textId="77777777" w:rsidR="00FE4BC0" w:rsidRPr="00FE4BC0" w:rsidRDefault="00FE4BC0" w:rsidP="00FE4BC0">
      <w:pPr>
        <w:spacing w:after="0" w:line="276" w:lineRule="auto"/>
        <w:contextualSpacing/>
        <w:jc w:val="both"/>
        <w:rPr>
          <w:rFonts w:ascii="Century Gothic" w:eastAsia="Calibri" w:hAnsi="Century Gothic" w:cs="Arial"/>
          <w:b/>
          <w:bCs/>
          <w:lang w:val="es-ES_tradnl" w:eastAsia="es-ES_tradnl"/>
        </w:rPr>
      </w:pPr>
      <w:r w:rsidRPr="00FE4BC0">
        <w:rPr>
          <w:rFonts w:ascii="Century Gothic" w:eastAsia="Calibri" w:hAnsi="Century Gothic" w:cs="Arial"/>
          <w:b/>
          <w:bCs/>
          <w:lang w:val="es-ES_tradnl" w:eastAsia="es-ES_tradnl"/>
        </w:rPr>
        <w:t>2.3. Los factores de desempate del artículo 35 de la Ley 2069 de 2020 y su reglamentación en el Decreto 1860 de 2021</w:t>
      </w:r>
    </w:p>
    <w:p w14:paraId="582BCDF0" w14:textId="77777777" w:rsidR="00FE4BC0" w:rsidRPr="00FE4BC0" w:rsidRDefault="00FE4BC0" w:rsidP="00FE4BC0">
      <w:pPr>
        <w:spacing w:after="0" w:line="276" w:lineRule="auto"/>
        <w:contextualSpacing/>
        <w:jc w:val="both"/>
        <w:rPr>
          <w:rFonts w:ascii="Century Gothic" w:eastAsia="Calibri" w:hAnsi="Century Gothic" w:cs="Arial"/>
          <w:b/>
          <w:bCs/>
          <w:lang w:val="es-ES_tradnl" w:eastAsia="es-ES_tradnl"/>
        </w:rPr>
      </w:pPr>
    </w:p>
    <w:p w14:paraId="23884CF3" w14:textId="77777777" w:rsidR="00FE4BC0" w:rsidRPr="00FE4BC0" w:rsidRDefault="00FE4BC0" w:rsidP="00FE4BC0">
      <w:pPr>
        <w:spacing w:after="120" w:line="276" w:lineRule="auto"/>
        <w:jc w:val="both"/>
        <w:rPr>
          <w:rFonts w:ascii="Century Gothic" w:eastAsia="Calibri" w:hAnsi="Century Gothic" w:cs="Arial"/>
          <w:lang w:val="es-ES_tradnl" w:eastAsia="es-ES_tradnl"/>
        </w:rPr>
      </w:pPr>
      <w:bookmarkStart w:id="19" w:name="_Hlk102388186"/>
      <w:r w:rsidRPr="00FE4BC0">
        <w:rPr>
          <w:rFonts w:ascii="Century Gothic" w:eastAsia="Calibri" w:hAnsi="Century Gothic" w:cs="Arial"/>
          <w:lang w:val="es-ES_tradnl" w:eastAsia="es-ES_tradnl"/>
        </w:rPr>
        <w:t xml:space="preserve">El artículo 35 de la Ley 2069 de 2020 define un nuevo marco jurídico en relación con los criterios de desempate previstos en los procesos de contratación realizados con cargo a recursos públicos, los procesos de contratación efectuados por las entidades estatales indistintamente de su régimen de contratación, así como los procesos de contratación adelantados por patrimonios autónomos constituidos por entidades estatales. </w:t>
      </w:r>
      <w:bookmarkEnd w:id="19"/>
    </w:p>
    <w:p w14:paraId="3EFCDB2C" w14:textId="77777777" w:rsidR="00FE4BC0" w:rsidRPr="00FE4BC0" w:rsidRDefault="00FE4BC0" w:rsidP="40E0CEC5">
      <w:pPr>
        <w:spacing w:before="120" w:after="120" w:line="276" w:lineRule="auto"/>
        <w:ind w:firstLine="709"/>
        <w:jc w:val="both"/>
        <w:rPr>
          <w:rFonts w:ascii="Century Gothic" w:eastAsia="Calibri" w:hAnsi="Century Gothic" w:cs="Arial"/>
          <w:lang w:val="es-ES" w:eastAsia="es-ES"/>
        </w:rPr>
      </w:pPr>
      <w:r w:rsidRPr="40E0CEC5">
        <w:rPr>
          <w:rFonts w:ascii="Century Gothic" w:eastAsia="Calibri" w:hAnsi="Century Gothic" w:cs="Arial"/>
          <w:lang w:val="es-ES" w:eastAsia="es-ES"/>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requería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0570F91C" w14:textId="77777777" w:rsidR="00FE4BC0" w:rsidRPr="00FE4BC0" w:rsidRDefault="00FE4BC0" w:rsidP="40E0CEC5">
      <w:pPr>
        <w:spacing w:before="120" w:after="120" w:line="276" w:lineRule="auto"/>
        <w:ind w:firstLine="709"/>
        <w:jc w:val="both"/>
        <w:rPr>
          <w:rFonts w:ascii="Century Gothic" w:eastAsia="Calibri" w:hAnsi="Century Gothic" w:cs="Arial"/>
          <w:lang w:val="es-ES" w:eastAsia="es-ES"/>
        </w:rPr>
      </w:pPr>
      <w:r w:rsidRPr="40E0CEC5">
        <w:rPr>
          <w:rFonts w:ascii="Century Gothic" w:eastAsia="Calibri" w:hAnsi="Century Gothic" w:cs="Arial"/>
          <w:lang w:val="es-ES" w:eastAsia="es-ES"/>
        </w:rPr>
        <w:lastRenderedPageBreak/>
        <w:t xml:space="preserve">Por ejemplo, en lo que a las compras públicas se refiere, el parágrafo primero del artículo 30, que alude a la participación de </w:t>
      </w:r>
      <w:proofErr w:type="spellStart"/>
      <w:r w:rsidRPr="40E0CEC5">
        <w:rPr>
          <w:rFonts w:ascii="Century Gothic" w:eastAsia="Calibri" w:hAnsi="Century Gothic" w:cs="Arial"/>
          <w:lang w:val="es-ES" w:eastAsia="es-ES"/>
        </w:rPr>
        <w:t>Mipymes</w:t>
      </w:r>
      <w:proofErr w:type="spellEnd"/>
      <w:r w:rsidRPr="40E0CEC5">
        <w:rPr>
          <w:rFonts w:ascii="Century Gothic" w:eastAsia="Calibri" w:hAnsi="Century Gothic" w:cs="Arial"/>
          <w:lang w:val="es-ES" w:eastAsia="es-ES"/>
        </w:rPr>
        <w:t xml:space="preserve"> en procedimientos de mínima cuantía, establece que “Las particularidades del procedimiento aquí previsto, así como la posibilidad que tengan las entidades de realizar estas adquisiciones a </w:t>
      </w:r>
      <w:proofErr w:type="spellStart"/>
      <w:r w:rsidRPr="40E0CEC5">
        <w:rPr>
          <w:rFonts w:ascii="Century Gothic" w:eastAsia="Calibri" w:hAnsi="Century Gothic" w:cs="Arial"/>
          <w:lang w:val="es-ES" w:eastAsia="es-ES"/>
        </w:rPr>
        <w:t>Mipymes</w:t>
      </w:r>
      <w:proofErr w:type="spellEnd"/>
      <w:r w:rsidRPr="40E0CEC5">
        <w:rPr>
          <w:rFonts w:ascii="Century Gothic" w:eastAsia="Calibri" w:hAnsi="Century Gothic" w:cs="Arial"/>
          <w:lang w:val="es-ES" w:eastAsia="es-ES"/>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5A115DA5" w14:textId="77777777" w:rsidR="00FE4BC0" w:rsidRPr="00FE4BC0" w:rsidRDefault="00FE4BC0" w:rsidP="00FE4BC0">
      <w:pPr>
        <w:spacing w:before="120" w:after="120" w:line="276" w:lineRule="auto"/>
        <w:ind w:firstLine="709"/>
        <w:jc w:val="both"/>
        <w:rPr>
          <w:rFonts w:ascii="Century Gothic" w:eastAsia="Calibri" w:hAnsi="Century Gothic" w:cs="Arial"/>
          <w:lang w:val="es-ES_tradnl" w:eastAsia="es-ES_tradnl"/>
        </w:rPr>
      </w:pPr>
      <w:r w:rsidRPr="00FE4BC0">
        <w:rPr>
          <w:rFonts w:ascii="Century Gothic" w:eastAsia="Calibri" w:hAnsi="Century Gothic" w:cs="Arial"/>
          <w:lang w:val="es-ES_tradnl" w:eastAsia="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7425ECD" w14:textId="77777777" w:rsidR="00FE4BC0" w:rsidRPr="00FE4BC0" w:rsidRDefault="00FE4BC0" w:rsidP="40E0CEC5">
      <w:pPr>
        <w:spacing w:before="120" w:after="120" w:line="276" w:lineRule="auto"/>
        <w:ind w:firstLine="708"/>
        <w:jc w:val="both"/>
        <w:rPr>
          <w:rFonts w:ascii="Century Gothic" w:eastAsia="Calibri" w:hAnsi="Century Gothic" w:cs="Arial"/>
          <w:lang w:val="es-ES" w:eastAsia="es-ES"/>
        </w:rPr>
      </w:pPr>
      <w:r w:rsidRPr="40E0CEC5">
        <w:rPr>
          <w:rFonts w:ascii="Century Gothic" w:eastAsia="Calibri" w:hAnsi="Century Gothic" w:cs="Arial"/>
          <w:lang w:val="es-ES" w:eastAsia="es-ES"/>
        </w:rPr>
        <w:t xml:space="preserve">Lo mismo no sucede con el artículo 35. En efecto, </w:t>
      </w:r>
      <w:r w:rsidRPr="40E0CEC5">
        <w:rPr>
          <w:rFonts w:ascii="Century Gothic" w:eastAsia="Times New Roman" w:hAnsi="Century Gothic" w:cs="Arial"/>
          <w:lang w:val="es-ES" w:eastAsia="es-ES"/>
        </w:rPr>
        <w:t xml:space="preserve">si bien los factores de desempate regulados en el artículo 35 deben aplicarse “[…] 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40E0CEC5">
        <w:rPr>
          <w:rFonts w:ascii="Century Gothic" w:eastAsia="Calibri" w:hAnsi="Century Gothic" w:cs="Arial"/>
          <w:lang w:val="es-ES" w:eastAsia="es-ES"/>
        </w:rPr>
        <w:t xml:space="preserve"> </w:t>
      </w:r>
    </w:p>
    <w:p w14:paraId="783BD2D5" w14:textId="77777777" w:rsidR="00FE4BC0" w:rsidRPr="00FE4BC0" w:rsidRDefault="00FE4BC0" w:rsidP="00FE4BC0">
      <w:pPr>
        <w:spacing w:before="120" w:after="120" w:line="276" w:lineRule="auto"/>
        <w:ind w:firstLine="709"/>
        <w:jc w:val="both"/>
        <w:rPr>
          <w:rFonts w:ascii="Century Gothic" w:eastAsia="Calibri" w:hAnsi="Century Gothic" w:cs="Arial"/>
          <w:lang w:val="es-ES_tradnl" w:eastAsia="es-ES_tradnl"/>
        </w:rPr>
      </w:pPr>
      <w:r w:rsidRPr="00FE4BC0">
        <w:rPr>
          <w:rFonts w:ascii="Century Gothic" w:eastAsia="Calibri" w:hAnsi="Century Gothic" w:cs="Arial"/>
          <w:lang w:val="es-ES_tradnl" w:eastAsia="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w:t>
      </w:r>
      <w:r w:rsidRPr="00FE4BC0">
        <w:rPr>
          <w:rFonts w:ascii="Century Gothic" w:eastAsia="Calibri" w:hAnsi="Century Gothic" w:cs="Arial"/>
          <w:lang w:val="es-ES_tradnl" w:eastAsia="es-ES_tradnl"/>
        </w:rPr>
        <w:lastRenderedPageBreak/>
        <w:t xml:space="preserve">viene comentando, no para condicionar la aplicación de todo lo dispuesto en aquel, sino para indicar que “El Gobierno Nacional </w:t>
      </w:r>
      <w:r w:rsidRPr="00FE4BC0">
        <w:rPr>
          <w:rFonts w:ascii="Century Gothic" w:eastAsia="Calibri" w:hAnsi="Century Gothic" w:cs="Arial"/>
          <w:i/>
          <w:iCs/>
          <w:lang w:val="es-ES_tradnl" w:eastAsia="es-ES_tradnl"/>
        </w:rPr>
        <w:t>podrá reglamentar</w:t>
      </w:r>
      <w:r w:rsidRPr="00FE4BC0">
        <w:rPr>
          <w:rFonts w:ascii="Century Gothic" w:eastAsia="Calibri" w:hAnsi="Century Gothic" w:cs="Arial"/>
          <w:lang w:val="es-ES_tradnl" w:eastAsia="es-ES_tradnl"/>
        </w:rPr>
        <w:t xml:space="preserve"> la aplicación de factores de desempate en casos en que concurran dos o más de los factores aquí previstos” (Énfasis fuera de texto).</w:t>
      </w:r>
    </w:p>
    <w:p w14:paraId="2A1438F4" w14:textId="77777777" w:rsidR="00FE4BC0" w:rsidRPr="00FE4BC0" w:rsidRDefault="00FE4BC0" w:rsidP="40E0CEC5">
      <w:pPr>
        <w:spacing w:before="120" w:after="120" w:line="276" w:lineRule="auto"/>
        <w:ind w:firstLine="709"/>
        <w:jc w:val="both"/>
        <w:rPr>
          <w:rFonts w:ascii="Century Gothic" w:eastAsia="Calibri" w:hAnsi="Century Gothic" w:cs="Arial"/>
          <w:lang w:val="es-ES" w:eastAsia="es-ES"/>
        </w:rPr>
      </w:pPr>
      <w:bookmarkStart w:id="20" w:name="_Hlk102388229"/>
      <w:r w:rsidRPr="40E0CEC5">
        <w:rPr>
          <w:rFonts w:ascii="Century Gothic" w:eastAsia="Calibri" w:hAnsi="Century Gothic" w:cs="Arial"/>
          <w:lang w:val="es-ES" w:eastAsia="es-ES"/>
        </w:rPr>
        <w:t>Si bien esta norma es de aplicación directa, como se mencionó en los párrafos anteriores, no establece la forma de acreditar las circunstancias a las que se refieren cada uno de sus numerales, por lo que se consideró necesario la intervención del reglamento para la debida aplicación de los factores de desempate, de manera que se estandarizara la forma en que se acreditan los mismos. En consecuencia, conforme la potestad reglamentaria asignada al gobierno nacional, el artículo 3 del Decreto 1860 de 2021, mediante el cual se adicionó el artículo 2.2.1.2.4.2.17. al Decreto 1082 de 2015, reglamentó el artículo 35 de la Ley 2069 de 2020 y determinó la forma en la cual se deben acreditar las circunstancias a las que se refieren cada uno de los numerales del citado artículo. De esta forma, a través del artículo en mención se permite la debida aplicación de los factores de desempate previstos y se garantiza la selección objetiva de los contratistas. Esta regulación impide que la forma de acreditación de los factores de desempate dependa de la discrecionalidad administrativa, por lo que pretende una regulación uniforme de la materia conforme al alcance de cada una de las causales contenidas en el artículo 35 de la Ley 2069 de 2020.</w:t>
      </w:r>
    </w:p>
    <w:bookmarkEnd w:id="20"/>
    <w:p w14:paraId="64D9C0FB" w14:textId="77777777" w:rsidR="00FE4BC0" w:rsidRPr="00FE4BC0" w:rsidRDefault="00FE4BC0" w:rsidP="00FE4BC0">
      <w:pPr>
        <w:spacing w:before="120" w:after="120" w:line="276" w:lineRule="auto"/>
        <w:ind w:firstLine="709"/>
        <w:jc w:val="both"/>
        <w:rPr>
          <w:rFonts w:ascii="Century Gothic" w:eastAsia="Times New Roman" w:hAnsi="Century Gothic" w:cs="Arial"/>
          <w:lang w:val="es-ES_tradnl" w:eastAsia="es-ES_tradnl"/>
        </w:rPr>
      </w:pPr>
      <w:r w:rsidRPr="00FE4BC0">
        <w:rPr>
          <w:rFonts w:ascii="Century Gothic" w:eastAsia="Calibri" w:hAnsi="Century Gothic" w:cs="Arial"/>
          <w:lang w:val="es-ES_tradnl" w:eastAsia="es-ES_tradnl"/>
        </w:rPr>
        <w:t xml:space="preserve">El parágrafo primero del artículo 2.2.1.2.4.2.17 reitera, en línea con lo dispuesto en el artículo 35 de la Ley 2069 de 2020, que la aplicación de los factores de desempate debe darse en armonía con los Acuerdos Comerciales vigentes suscritos por Colombia y señala que </w:t>
      </w:r>
      <w:r w:rsidRPr="00FE4BC0">
        <w:rPr>
          <w:rFonts w:ascii="Century Gothic" w:eastAsia="Times New Roman" w:hAnsi="Century Gothic" w:cs="Arial"/>
          <w:lang w:val="es-ES_tradnl" w:eastAsia="es-ES_tradnl"/>
        </w:rPr>
        <w:t xml:space="preserve">en el evento en que el empate se presente entre ofertas cubiertas por un Acuerdo Comercial se aplicarán los factores de desempate que sean compatibles con los mencionados Acuerdos. Además, indica que, si el empate se presenta con un proponente, bien o servicio extranjero cuyo país de origen no tiene Acuerdo Comercial con Colombia, ni trato nacional por reciprocidad o con ocasión de la normativa comunitaria, se dará aplicación a todos los criterios de desempate previstos en el Decreto. </w:t>
      </w:r>
    </w:p>
    <w:p w14:paraId="10CD3CF2" w14:textId="77777777" w:rsidR="00FE4BC0" w:rsidRPr="00FE4BC0" w:rsidRDefault="00FE4BC0" w:rsidP="40E0CEC5">
      <w:pPr>
        <w:spacing w:before="120" w:after="0" w:line="276" w:lineRule="auto"/>
        <w:ind w:firstLine="709"/>
        <w:jc w:val="both"/>
        <w:rPr>
          <w:rFonts w:ascii="Century Gothic" w:eastAsia="Times New Roman" w:hAnsi="Century Gothic" w:cs="Arial"/>
          <w:lang w:val="es-ES" w:eastAsia="es-ES"/>
        </w:rPr>
      </w:pPr>
      <w:r w:rsidRPr="40E0CEC5">
        <w:rPr>
          <w:rFonts w:ascii="Century Gothic" w:eastAsia="Times New Roman" w:hAnsi="Century Gothic" w:cs="Arial"/>
          <w:lang w:val="es-ES" w:eastAsia="es-ES"/>
        </w:rPr>
        <w:t xml:space="preserve">Finalmente, el parágrafo tercero del artículo objeto de estudio consagra la obligación de las entidades estatales de garantizar el derecho a la reserva legal de toda la información que acredite el cumplimiento de los factores de desempate de: i) mujeres víctimas de violencia intrafamiliar; </w:t>
      </w:r>
      <w:proofErr w:type="spellStart"/>
      <w:r w:rsidRPr="40E0CEC5">
        <w:rPr>
          <w:rFonts w:ascii="Century Gothic" w:eastAsia="Times New Roman" w:hAnsi="Century Gothic" w:cs="Arial"/>
          <w:lang w:val="es-ES" w:eastAsia="es-ES"/>
        </w:rPr>
        <w:t>ii</w:t>
      </w:r>
      <w:proofErr w:type="spellEnd"/>
      <w:r w:rsidRPr="40E0CEC5">
        <w:rPr>
          <w:rFonts w:ascii="Century Gothic" w:eastAsia="Times New Roman" w:hAnsi="Century Gothic" w:cs="Arial"/>
          <w:lang w:val="es-ES" w:eastAsia="es-ES"/>
        </w:rPr>
        <w:t xml:space="preserve">) las personas en proceso de </w:t>
      </w:r>
      <w:r w:rsidRPr="40E0CEC5">
        <w:rPr>
          <w:rFonts w:ascii="Century Gothic" w:eastAsia="Times New Roman" w:hAnsi="Century Gothic" w:cs="Arial"/>
          <w:lang w:val="es-ES" w:eastAsia="es-ES"/>
        </w:rPr>
        <w:lastRenderedPageBreak/>
        <w:t xml:space="preserve">reincorporación y/o reintegración y; </w:t>
      </w:r>
      <w:proofErr w:type="spellStart"/>
      <w:r w:rsidRPr="40E0CEC5">
        <w:rPr>
          <w:rFonts w:ascii="Century Gothic" w:eastAsia="Times New Roman" w:hAnsi="Century Gothic" w:cs="Arial"/>
          <w:lang w:val="es-ES" w:eastAsia="es-ES"/>
        </w:rPr>
        <w:t>iii</w:t>
      </w:r>
      <w:proofErr w:type="spellEnd"/>
      <w:r w:rsidRPr="40E0CEC5">
        <w:rPr>
          <w:rFonts w:ascii="Century Gothic" w:eastAsia="Times New Roman" w:hAnsi="Century Gothic" w:cs="Arial"/>
          <w:lang w:val="es-ES" w:eastAsia="es-ES"/>
        </w:rPr>
        <w:t xml:space="preserve">) la población indígena, negra, afrocolombiana, raizal, palenquera, </w:t>
      </w:r>
      <w:proofErr w:type="spellStart"/>
      <w:r w:rsidRPr="40E0CEC5">
        <w:rPr>
          <w:rFonts w:ascii="Century Gothic" w:eastAsia="Times New Roman" w:hAnsi="Century Gothic" w:cs="Arial"/>
          <w:lang w:val="es-ES" w:eastAsia="es-ES"/>
        </w:rPr>
        <w:t>Rrom</w:t>
      </w:r>
      <w:proofErr w:type="spellEnd"/>
      <w:r w:rsidRPr="40E0CEC5">
        <w:rPr>
          <w:rFonts w:ascii="Century Gothic" w:eastAsia="Times New Roman" w:hAnsi="Century Gothic" w:cs="Arial"/>
          <w:lang w:val="es-ES" w:eastAsia="es-ES"/>
        </w:rPr>
        <w:t xml:space="preserve"> o gitana. En consonancia con lo anterior, dispone que en la plataforma del SECOP no se publicará para el conocimiento de terceros la información relacionada con los factores de desempate de personas en procesos de reincorporación o reintegración o mujeres víctimas de violencia intrafamiliar o la población indígena, negra, afrocolombiana, raizal, palenquera, </w:t>
      </w:r>
      <w:proofErr w:type="spellStart"/>
      <w:r w:rsidRPr="40E0CEC5">
        <w:rPr>
          <w:rFonts w:ascii="Century Gothic" w:eastAsia="Times New Roman" w:hAnsi="Century Gothic" w:cs="Arial"/>
          <w:lang w:val="es-ES" w:eastAsia="es-ES"/>
        </w:rPr>
        <w:t>Rrom</w:t>
      </w:r>
      <w:proofErr w:type="spellEnd"/>
      <w:r w:rsidRPr="40E0CEC5">
        <w:rPr>
          <w:rFonts w:ascii="Century Gothic" w:eastAsia="Times New Roman" w:hAnsi="Century Gothic" w:cs="Arial"/>
          <w:lang w:val="es-ES" w:eastAsia="es-ES"/>
        </w:rPr>
        <w:t xml:space="preserve"> o gitana, puesto que su público conocimiento puede afectar el derecho a la intimidad de los oferentes o de sus trabajadores o socios o accionistas.</w:t>
      </w:r>
    </w:p>
    <w:p w14:paraId="2CA7C8A3" w14:textId="77777777" w:rsidR="00FE4BC0" w:rsidRPr="00FE4BC0" w:rsidRDefault="00FE4BC0" w:rsidP="00FE4BC0">
      <w:pPr>
        <w:shd w:val="clear" w:color="auto" w:fill="FFFFFF"/>
        <w:tabs>
          <w:tab w:val="left" w:pos="0"/>
        </w:tabs>
        <w:spacing w:after="0"/>
        <w:jc w:val="both"/>
        <w:rPr>
          <w:rFonts w:ascii="Century Gothic" w:eastAsia="Calibri" w:hAnsi="Century Gothic" w:cs="Arial"/>
          <w:b/>
          <w:color w:val="000000"/>
          <w:lang w:val="es-ES_tradnl"/>
        </w:rPr>
      </w:pPr>
    </w:p>
    <w:p w14:paraId="3BC8DBF3" w14:textId="77777777" w:rsidR="00FE4BC0" w:rsidRPr="00FE4BC0" w:rsidRDefault="00FE4BC0" w:rsidP="00FE4BC0">
      <w:pPr>
        <w:shd w:val="clear" w:color="auto" w:fill="FFFFFF"/>
        <w:tabs>
          <w:tab w:val="left" w:pos="0"/>
        </w:tabs>
        <w:spacing w:after="0"/>
        <w:jc w:val="both"/>
        <w:rPr>
          <w:rFonts w:ascii="Century Gothic" w:eastAsia="Calibri" w:hAnsi="Century Gothic" w:cs="Arial"/>
          <w:b/>
          <w:color w:val="000000"/>
          <w:lang w:val="es-ES_tradnl"/>
        </w:rPr>
      </w:pPr>
      <w:r w:rsidRPr="00FE4BC0">
        <w:rPr>
          <w:rFonts w:ascii="Century Gothic" w:eastAsia="Calibri" w:hAnsi="Century Gothic" w:cs="Arial"/>
          <w:b/>
          <w:color w:val="000000"/>
          <w:lang w:val="es-ES_tradnl"/>
        </w:rPr>
        <w:t>3. Respuesta</w:t>
      </w:r>
    </w:p>
    <w:p w14:paraId="23AABEBD" w14:textId="77777777" w:rsidR="00FE4BC0" w:rsidRPr="00FE4BC0" w:rsidRDefault="00FE4BC0" w:rsidP="00FE4BC0">
      <w:pPr>
        <w:shd w:val="clear" w:color="auto" w:fill="FFFFFF"/>
        <w:spacing w:after="0" w:line="240" w:lineRule="auto"/>
        <w:ind w:right="709"/>
        <w:jc w:val="both"/>
        <w:rPr>
          <w:rFonts w:ascii="Century Gothic" w:eastAsia="Calibri" w:hAnsi="Century Gothic" w:cs="Arial"/>
          <w:color w:val="000000"/>
          <w:lang w:val="es-ES_tradnl"/>
        </w:rPr>
      </w:pPr>
    </w:p>
    <w:p w14:paraId="68641ABF" w14:textId="77777777" w:rsidR="00FE4BC0" w:rsidRPr="00FE4BC0" w:rsidRDefault="00FE4BC0" w:rsidP="00FE4BC0">
      <w:pPr>
        <w:shd w:val="clear" w:color="auto" w:fill="FFFFFF"/>
        <w:spacing w:after="0" w:line="240" w:lineRule="auto"/>
        <w:ind w:left="709" w:right="709"/>
        <w:jc w:val="both"/>
        <w:rPr>
          <w:rFonts w:ascii="Century Gothic" w:eastAsia="Calibri" w:hAnsi="Century Gothic" w:cs="Arial"/>
          <w:color w:val="000000"/>
          <w:sz w:val="21"/>
          <w:szCs w:val="21"/>
          <w:lang w:val="es-ES"/>
        </w:rPr>
      </w:pPr>
      <w:r w:rsidRPr="00FE4BC0">
        <w:rPr>
          <w:rFonts w:ascii="Century Gothic" w:eastAsia="Calibri" w:hAnsi="Century Gothic" w:cs="Arial"/>
          <w:color w:val="000000"/>
          <w:sz w:val="21"/>
          <w:szCs w:val="21"/>
          <w:lang w:val="es-ES_tradnl"/>
        </w:rPr>
        <w:t>“[…] solicito amablemente me den un concepto sobre la aplicación de los criterios de desempate consagrados en artículo 35 Ley 2069 de 2020.”</w:t>
      </w:r>
    </w:p>
    <w:p w14:paraId="6362F32B" w14:textId="77777777" w:rsidR="00FE4BC0" w:rsidRPr="00FE4BC0" w:rsidRDefault="00FE4BC0" w:rsidP="00FE4BC0">
      <w:pPr>
        <w:shd w:val="clear" w:color="auto" w:fill="FFFFFF"/>
        <w:spacing w:after="0" w:line="240" w:lineRule="auto"/>
        <w:ind w:left="709" w:right="709"/>
        <w:jc w:val="both"/>
        <w:rPr>
          <w:rFonts w:ascii="Century Gothic" w:eastAsia="Calibri" w:hAnsi="Century Gothic" w:cs="Arial"/>
          <w:color w:val="000000"/>
          <w:lang w:val="es-ES_tradnl"/>
        </w:rPr>
      </w:pPr>
    </w:p>
    <w:p w14:paraId="66179408" w14:textId="219630FC" w:rsidR="00FE4BC0" w:rsidRPr="00FE4BC0" w:rsidRDefault="00FE4BC0" w:rsidP="00FE4BC0">
      <w:pPr>
        <w:spacing w:after="120" w:line="276" w:lineRule="auto"/>
        <w:jc w:val="both"/>
        <w:rPr>
          <w:rFonts w:ascii="Century Gothic" w:eastAsia="Aptos" w:hAnsi="Century Gothic" w:cs="Arial"/>
          <w:kern w:val="2"/>
          <w:lang w:val="es-ES_tradnl"/>
          <w14:ligatures w14:val="standardContextual"/>
        </w:rPr>
      </w:pPr>
      <w:r w:rsidRPr="00FE4BC0">
        <w:rPr>
          <w:rFonts w:ascii="Century Gothic" w:eastAsia="Calibri" w:hAnsi="Century Gothic" w:cs="Arial"/>
          <w:kern w:val="2"/>
          <w:lang w:val="es-ES_tradnl"/>
          <w14:ligatures w14:val="standardContextual"/>
        </w:rPr>
        <w:t xml:space="preserve">Mediante el artículo 35 de la Ley 2069 de 2020 “Por medio de la cual se impulsa el emprendimiento en Colombia” se modificó el régimen de los factores de desempate en la contratación estatal. Los criterios de desempate consagrados en el citado artículo son aplicables </w:t>
      </w:r>
      <w:r w:rsidRPr="00FE4BC0">
        <w:rPr>
          <w:rFonts w:ascii="Century Gothic" w:eastAsia="Aptos" w:hAnsi="Century Gothic" w:cs="Arial"/>
          <w:kern w:val="2"/>
          <w:lang w:val="es-ES_tradnl"/>
          <w14:ligatures w14:val="standardContextual"/>
        </w:rPr>
        <w:t xml:space="preserve">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w:t>
      </w:r>
      <w:r w:rsidRPr="00FE4BC0">
        <w:rPr>
          <w:rFonts w:ascii="Century Gothic" w:eastAsia="Calibri" w:hAnsi="Century Gothic" w:cs="Arial"/>
          <w:kern w:val="2"/>
          <w:lang w:val="es-ES_tradnl"/>
          <w14:ligatures w14:val="standardContextual"/>
        </w:rPr>
        <w:t xml:space="preserve">independientemente de su régimen de contratación y </w:t>
      </w:r>
      <w:r w:rsidRPr="00FE4BC0">
        <w:rPr>
          <w:rFonts w:ascii="Century Gothic" w:eastAsia="Aptos" w:hAnsi="Century Gothic" w:cs="Arial"/>
          <w:kern w:val="2"/>
          <w:lang w:val="es-ES_tradnl"/>
          <w14:ligatures w14:val="standardContextual"/>
        </w:rPr>
        <w:t>sin distinguir entre modalidades de selección.</w:t>
      </w:r>
    </w:p>
    <w:p w14:paraId="3196E7D3" w14:textId="46F43993" w:rsidR="00FE4BC0" w:rsidRPr="00FE4BC0" w:rsidRDefault="00FE4BC0" w:rsidP="00FE4BC0">
      <w:pPr>
        <w:spacing w:before="120" w:after="120" w:line="276" w:lineRule="auto"/>
        <w:ind w:firstLine="709"/>
        <w:jc w:val="both"/>
        <w:rPr>
          <w:rFonts w:ascii="Century Gothic" w:eastAsia="Calibri" w:hAnsi="Century Gothic" w:cs="Arial"/>
          <w:lang w:val="es-ES_tradnl" w:eastAsia="es-ES_tradnl"/>
        </w:rPr>
      </w:pPr>
      <w:r w:rsidRPr="00FE4BC0">
        <w:rPr>
          <w:rFonts w:ascii="Century Gothic" w:eastAsia="Calibri" w:hAnsi="Century Gothic" w:cs="Arial"/>
          <w:kern w:val="2"/>
          <w:lang w:val="es-ES_tradnl"/>
          <w14:ligatures w14:val="standardContextual"/>
        </w:rPr>
        <w:t xml:space="preserve">El artículo 35 de la Ley 2069 de 2020 regula la institución de los factores de desempate en los </w:t>
      </w:r>
      <w:r w:rsidR="00C87288">
        <w:rPr>
          <w:rFonts w:ascii="Century Gothic" w:eastAsia="Calibri" w:hAnsi="Century Gothic" w:cs="Arial"/>
          <w:kern w:val="2"/>
          <w:lang w:val="es-ES_tradnl"/>
          <w14:ligatures w14:val="standardContextual"/>
        </w:rPr>
        <w:t>P</w:t>
      </w:r>
      <w:r w:rsidRPr="00FE4BC0">
        <w:rPr>
          <w:rFonts w:ascii="Century Gothic" w:eastAsia="Calibri" w:hAnsi="Century Gothic" w:cs="Arial"/>
          <w:kern w:val="2"/>
          <w:lang w:val="es-ES_tradnl"/>
          <w14:ligatures w14:val="standardContextual"/>
        </w:rPr>
        <w:t xml:space="preserve">rocesos de </w:t>
      </w:r>
      <w:r w:rsidR="00C87288">
        <w:rPr>
          <w:rFonts w:ascii="Century Gothic" w:eastAsia="Calibri" w:hAnsi="Century Gothic" w:cs="Arial"/>
          <w:kern w:val="2"/>
          <w:lang w:val="es-ES_tradnl"/>
          <w14:ligatures w14:val="standardContextual"/>
        </w:rPr>
        <w:t>C</w:t>
      </w:r>
      <w:r w:rsidRPr="00FE4BC0">
        <w:rPr>
          <w:rFonts w:ascii="Century Gothic" w:eastAsia="Calibri" w:hAnsi="Century Gothic" w:cs="Arial"/>
          <w:kern w:val="2"/>
          <w:lang w:val="es-ES_tradnl"/>
          <w14:ligatures w14:val="standardContextual"/>
        </w:rPr>
        <w:t xml:space="preserve">ontratación estatal de manera integral, sin hacer distinción entre las modalidades de selección. </w:t>
      </w:r>
      <w:r w:rsidRPr="00FE4BC0">
        <w:rPr>
          <w:rFonts w:ascii="Century Gothic" w:eastAsia="Calibri" w:hAnsi="Century Gothic" w:cs="Arial"/>
          <w:lang w:val="es-ES_tradnl" w:eastAsia="es-ES_tradnl"/>
        </w:rPr>
        <w:t xml:space="preserve">Asimismo, establece los factores de desempate que se deben seguir de manera sucesiva y excluyente para seleccionar al oferente favorecido, sin indicar que su eficacia dependa de lo que determine el reglamento. La única alusión que se hace al reglamento se encuentra en el parágrafo tercero del artículo en mención, no para condicionar la aplicación de todo lo dispuesto en aquel, sino para indicar que “El Gobierno Nacional </w:t>
      </w:r>
      <w:r w:rsidRPr="00FE4BC0">
        <w:rPr>
          <w:rFonts w:ascii="Century Gothic" w:eastAsia="Calibri" w:hAnsi="Century Gothic" w:cs="Arial"/>
          <w:i/>
          <w:iCs/>
          <w:lang w:val="es-ES_tradnl" w:eastAsia="es-ES_tradnl"/>
        </w:rPr>
        <w:t>podrá reglamentar</w:t>
      </w:r>
      <w:r w:rsidRPr="00FE4BC0">
        <w:rPr>
          <w:rFonts w:ascii="Century Gothic" w:eastAsia="Calibri" w:hAnsi="Century Gothic" w:cs="Arial"/>
          <w:lang w:val="es-ES_tradnl" w:eastAsia="es-ES_tradnl"/>
        </w:rPr>
        <w:t xml:space="preserve"> la aplicación de factores de desempate en casos en que concurran dos o más de los factores aquí previstos” (Énfasis fuera de texto).</w:t>
      </w:r>
    </w:p>
    <w:p w14:paraId="0548593B" w14:textId="0F8945F0" w:rsidR="00FE4BC0" w:rsidRPr="00FE4BC0" w:rsidRDefault="00FE4BC0" w:rsidP="40E0CEC5">
      <w:pPr>
        <w:spacing w:before="120" w:after="120" w:line="276" w:lineRule="auto"/>
        <w:ind w:firstLine="709"/>
        <w:jc w:val="both"/>
        <w:rPr>
          <w:rFonts w:ascii="Century Gothic" w:eastAsia="Calibri" w:hAnsi="Century Gothic" w:cs="Arial"/>
          <w:lang w:val="es-ES" w:eastAsia="es-ES"/>
        </w:rPr>
      </w:pPr>
      <w:r w:rsidRPr="40E0CEC5">
        <w:rPr>
          <w:rFonts w:ascii="Century Gothic" w:eastAsia="Calibri" w:hAnsi="Century Gothic" w:cs="Arial"/>
          <w:lang w:val="es-ES" w:eastAsia="es-ES"/>
        </w:rPr>
        <w:t xml:space="preserve">Si bien esta norma es de aplicación directa, no establece la forma de acreditar las circunstancias a las que se refieren cada uno de sus numerales, por lo </w:t>
      </w:r>
      <w:r w:rsidRPr="40E0CEC5">
        <w:rPr>
          <w:rFonts w:ascii="Century Gothic" w:eastAsia="Calibri" w:hAnsi="Century Gothic" w:cs="Arial"/>
          <w:lang w:val="es-ES" w:eastAsia="es-ES"/>
        </w:rPr>
        <w:lastRenderedPageBreak/>
        <w:t>que se consideró necesario la intervención del reglamento para la debida aplicación de los factores de desempate, de manera que se estandarizara la forma en que se acreditan los mismos. En consecuencia, conforme la potestad reglamentaria asignada al gobierno nacional, el artículo 3 del Decreto 1860 de 2021, mediante el cual se adicionó el artículo 2.2.1.2.4.2.17. al Decreto 1082 de 2015, reglamentó el artículo 35 de la Ley 2069 de 2020 y determinó la forma en la cual se deben acreditar las circunstancias a las que se refiere cada uno de los numerales del citado artículo. De esta forma, a través del artículo en mención se permite la debida aplicación de los factores de desempate previstos y se garantiza la selección objetiva de los contratistas. Esta regulación impide que la forma de acreditación de los factores de desempate dependa de la discrecionalidad administrativa, por lo que pretende una regulación uniforme de la materia conforme al alcance de cada una de las causales contenidas en el artículo 35 de la Ley 2069 de 2020.</w:t>
      </w:r>
    </w:p>
    <w:p w14:paraId="4393DC2A" w14:textId="77777777" w:rsidR="00FE4BC0" w:rsidRPr="00FE4BC0" w:rsidRDefault="00FE4BC0" w:rsidP="00FE4BC0">
      <w:pPr>
        <w:shd w:val="clear" w:color="auto" w:fill="FFFFFF"/>
        <w:spacing w:after="0" w:line="276" w:lineRule="auto"/>
        <w:jc w:val="both"/>
        <w:rPr>
          <w:rFonts w:ascii="Century Gothic" w:eastAsia="Calibri" w:hAnsi="Century Gothic" w:cs="Arial"/>
          <w:color w:val="000000"/>
          <w:lang w:eastAsia="es-MX"/>
        </w:rPr>
      </w:pPr>
    </w:p>
    <w:p w14:paraId="1A7205C9" w14:textId="77777777" w:rsidR="00FE4BC0" w:rsidRPr="00FE4BC0" w:rsidRDefault="00FE4BC0" w:rsidP="00FE4BC0">
      <w:pPr>
        <w:shd w:val="clear" w:color="auto" w:fill="FFFFFF"/>
        <w:spacing w:after="0" w:line="276" w:lineRule="auto"/>
        <w:jc w:val="both"/>
        <w:rPr>
          <w:rFonts w:ascii="Century Gothic" w:eastAsia="Calibri" w:hAnsi="Century Gothic" w:cs="Arial"/>
          <w:lang w:eastAsia="es-MX"/>
        </w:rPr>
      </w:pPr>
      <w:r w:rsidRPr="00FE4BC0">
        <w:rPr>
          <w:rFonts w:ascii="Century Gothic" w:eastAsia="Calibri" w:hAnsi="Century Gothic" w:cs="Arial"/>
          <w:color w:val="000000"/>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354B149" w14:textId="77777777" w:rsidR="00FE4BC0" w:rsidRPr="00FE4BC0" w:rsidRDefault="00FE4BC0" w:rsidP="00FE4BC0">
      <w:pPr>
        <w:widowControl w:val="0"/>
        <w:shd w:val="clear" w:color="auto" w:fill="FFFFFF"/>
        <w:autoSpaceDE w:val="0"/>
        <w:autoSpaceDN w:val="0"/>
        <w:spacing w:after="0" w:line="276" w:lineRule="auto"/>
        <w:jc w:val="both"/>
        <w:rPr>
          <w:rFonts w:ascii="Century Gothic" w:eastAsia="Calibri" w:hAnsi="Century Gothic" w:cs="Arial"/>
          <w:color w:val="000000"/>
          <w:lang w:val="es-ES_tradnl" w:bidi="es-ES"/>
        </w:rPr>
      </w:pPr>
    </w:p>
    <w:p w14:paraId="0321F904" w14:textId="77777777" w:rsidR="00FE4BC0" w:rsidRPr="00FE4BC0" w:rsidRDefault="00FE4BC0" w:rsidP="00FE4BC0">
      <w:pPr>
        <w:shd w:val="clear" w:color="auto" w:fill="FFFFFF"/>
        <w:tabs>
          <w:tab w:val="left" w:pos="426"/>
        </w:tabs>
        <w:spacing w:line="276" w:lineRule="auto"/>
        <w:jc w:val="both"/>
        <w:rPr>
          <w:rFonts w:ascii="Century Gothic" w:eastAsia="Times New Roman" w:hAnsi="Century Gothic" w:cs="Arial"/>
          <w:color w:val="000000"/>
        </w:rPr>
      </w:pPr>
      <w:r w:rsidRPr="00FE4BC0">
        <w:rPr>
          <w:rFonts w:ascii="Century Gothic" w:eastAsia="Times New Roman" w:hAnsi="Century Gothic" w:cs="Arial"/>
          <w:color w:val="000000"/>
        </w:rPr>
        <w:t>Atentamente,</w:t>
      </w:r>
    </w:p>
    <w:p w14:paraId="495ACA78" w14:textId="31A6CD05" w:rsidR="00FE4BC0" w:rsidRPr="00FE4BC0" w:rsidRDefault="00DD4598" w:rsidP="00FE4BC0">
      <w:pPr>
        <w:jc w:val="center"/>
        <w:rPr>
          <w:rFonts w:ascii="Century Gothic" w:eastAsia="Calibri" w:hAnsi="Century Gothic" w:cs="Arial"/>
        </w:rPr>
      </w:pPr>
      <w:r>
        <w:rPr>
          <w:rFonts w:ascii="Arial" w:hAnsi="Arial" w:cs="Arial"/>
          <w:noProof/>
          <w:sz w:val="18"/>
          <w:szCs w:val="18"/>
          <w:lang w:val="es-MX" w:eastAsia="es-CO"/>
        </w:rPr>
        <w:drawing>
          <wp:inline distT="0" distB="0" distL="0" distR="0" wp14:anchorId="6713F4AF" wp14:editId="039EBC70">
            <wp:extent cx="2856245" cy="1099352"/>
            <wp:effectExtent l="0" t="0" r="1270" b="5715"/>
            <wp:docPr id="149058390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2386" cy="1120960"/>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FE4BC0" w:rsidRPr="00FE4BC0" w14:paraId="3E444881" w14:textId="77777777" w:rsidTr="00142864">
        <w:trPr>
          <w:trHeight w:val="409"/>
        </w:trPr>
        <w:tc>
          <w:tcPr>
            <w:tcW w:w="817" w:type="dxa"/>
            <w:tcBorders>
              <w:top w:val="nil"/>
              <w:left w:val="nil"/>
              <w:bottom w:val="nil"/>
              <w:right w:val="nil"/>
            </w:tcBorders>
            <w:vAlign w:val="center"/>
            <w:hideMark/>
          </w:tcPr>
          <w:p w14:paraId="3B164A65" w14:textId="77777777" w:rsidR="00FE4BC0" w:rsidRPr="00FE4BC0" w:rsidRDefault="00FE4BC0" w:rsidP="00FE4BC0">
            <w:pPr>
              <w:shd w:val="clear" w:color="auto" w:fill="FFFFFF"/>
              <w:spacing w:after="0" w:line="240" w:lineRule="auto"/>
              <w:jc w:val="both"/>
              <w:rPr>
                <w:rFonts w:ascii="Century Gothic" w:eastAsia="Calibri" w:hAnsi="Century Gothic" w:cs="Arial"/>
                <w:sz w:val="16"/>
                <w:szCs w:val="16"/>
              </w:rPr>
            </w:pPr>
            <w:r w:rsidRPr="00FE4BC0">
              <w:rPr>
                <w:rFonts w:ascii="Century Gothic" w:eastAsia="Calibri" w:hAnsi="Century Gothic" w:cs="Arial"/>
                <w:sz w:val="16"/>
                <w:szCs w:val="16"/>
              </w:rPr>
              <w:t>Elaboró: </w:t>
            </w:r>
          </w:p>
        </w:tc>
        <w:tc>
          <w:tcPr>
            <w:tcW w:w="4937" w:type="dxa"/>
            <w:tcBorders>
              <w:top w:val="nil"/>
              <w:left w:val="nil"/>
              <w:bottom w:val="dotted" w:sz="6" w:space="0" w:color="7F7F7F"/>
              <w:right w:val="nil"/>
            </w:tcBorders>
            <w:vAlign w:val="center"/>
            <w:hideMark/>
          </w:tcPr>
          <w:p w14:paraId="6130C547" w14:textId="77777777" w:rsidR="00FE4BC0" w:rsidRPr="00FE4BC0" w:rsidRDefault="00FE4BC0" w:rsidP="00FE4BC0">
            <w:pPr>
              <w:shd w:val="clear" w:color="auto" w:fill="FFFFFF"/>
              <w:spacing w:after="0" w:line="240" w:lineRule="auto"/>
              <w:jc w:val="both"/>
              <w:rPr>
                <w:rFonts w:ascii="Century Gothic" w:eastAsia="Calibri" w:hAnsi="Century Gothic" w:cs="Arial"/>
                <w:sz w:val="16"/>
                <w:szCs w:val="16"/>
              </w:rPr>
            </w:pPr>
            <w:r w:rsidRPr="00FE4BC0">
              <w:rPr>
                <w:rFonts w:ascii="Century Gothic" w:eastAsia="Calibri" w:hAnsi="Century Gothic" w:cs="Arial"/>
                <w:sz w:val="16"/>
                <w:szCs w:val="16"/>
              </w:rPr>
              <w:t>Kevin Arlid Herrera Santa</w:t>
            </w:r>
          </w:p>
          <w:p w14:paraId="270D24AA" w14:textId="77777777" w:rsidR="00FE4BC0" w:rsidRPr="00FE4BC0" w:rsidRDefault="00FE4BC0" w:rsidP="00FE4BC0">
            <w:pPr>
              <w:shd w:val="clear" w:color="auto" w:fill="FFFFFF"/>
              <w:spacing w:after="0" w:line="240" w:lineRule="auto"/>
              <w:jc w:val="both"/>
              <w:rPr>
                <w:rFonts w:ascii="Century Gothic" w:eastAsia="Calibri" w:hAnsi="Century Gothic" w:cs="Arial"/>
                <w:sz w:val="16"/>
                <w:szCs w:val="16"/>
              </w:rPr>
            </w:pPr>
            <w:r w:rsidRPr="00FE4BC0">
              <w:rPr>
                <w:rFonts w:ascii="Century Gothic" w:eastAsia="Calibri" w:hAnsi="Century Gothic" w:cs="Arial"/>
                <w:sz w:val="16"/>
                <w:szCs w:val="16"/>
              </w:rPr>
              <w:t>Contratista de la Subdirección de Gestión Contractual</w:t>
            </w:r>
          </w:p>
        </w:tc>
      </w:tr>
      <w:tr w:rsidR="00FE4BC0" w:rsidRPr="00FE4BC0" w14:paraId="54BE4F79" w14:textId="77777777" w:rsidTr="00142864">
        <w:trPr>
          <w:trHeight w:val="409"/>
        </w:trPr>
        <w:tc>
          <w:tcPr>
            <w:tcW w:w="817" w:type="dxa"/>
            <w:tcBorders>
              <w:top w:val="nil"/>
              <w:left w:val="nil"/>
              <w:right w:val="nil"/>
            </w:tcBorders>
            <w:vAlign w:val="center"/>
          </w:tcPr>
          <w:p w14:paraId="5C9E3FEC" w14:textId="77777777" w:rsidR="00FE4BC0" w:rsidRPr="00FE4BC0" w:rsidRDefault="00FE4BC0" w:rsidP="00FE4BC0">
            <w:pPr>
              <w:shd w:val="clear" w:color="auto" w:fill="FFFFFF"/>
              <w:jc w:val="both"/>
              <w:rPr>
                <w:rFonts w:ascii="Century Gothic" w:eastAsia="Calibri" w:hAnsi="Century Gothic" w:cs="Arial"/>
                <w:sz w:val="16"/>
                <w:szCs w:val="16"/>
              </w:rPr>
            </w:pPr>
            <w:r w:rsidRPr="00FE4BC0">
              <w:rPr>
                <w:rFonts w:ascii="Century Gothic" w:eastAsia="Calibri" w:hAnsi="Century Gothic" w:cs="Arial"/>
                <w:sz w:val="16"/>
                <w:szCs w:val="16"/>
              </w:rPr>
              <w:t>Revisó</w:t>
            </w:r>
          </w:p>
        </w:tc>
        <w:tc>
          <w:tcPr>
            <w:tcW w:w="4937" w:type="dxa"/>
            <w:tcBorders>
              <w:top w:val="dotted" w:sz="6" w:space="0" w:color="7F7F7F"/>
              <w:left w:val="nil"/>
              <w:bottom w:val="dotted" w:sz="6" w:space="0" w:color="7F7F7F"/>
              <w:right w:val="nil"/>
            </w:tcBorders>
            <w:vAlign w:val="center"/>
          </w:tcPr>
          <w:p w14:paraId="3E073061" w14:textId="77777777" w:rsidR="00FE4BC0" w:rsidRPr="00FE4BC0" w:rsidRDefault="00FE4BC0" w:rsidP="00FE4BC0">
            <w:pPr>
              <w:shd w:val="clear" w:color="auto" w:fill="FFFFFF"/>
              <w:spacing w:after="0" w:line="240" w:lineRule="auto"/>
              <w:jc w:val="both"/>
              <w:rPr>
                <w:rFonts w:ascii="Century Gothic" w:eastAsia="Calibri" w:hAnsi="Century Gothic" w:cs="Arial"/>
                <w:sz w:val="16"/>
                <w:szCs w:val="16"/>
              </w:rPr>
            </w:pPr>
            <w:r w:rsidRPr="00FE4BC0">
              <w:rPr>
                <w:rFonts w:ascii="Century Gothic" w:eastAsia="Calibri" w:hAnsi="Century Gothic" w:cs="Arial"/>
                <w:sz w:val="16"/>
                <w:szCs w:val="16"/>
              </w:rPr>
              <w:t>Martha Alicia Romero Vargas</w:t>
            </w:r>
          </w:p>
          <w:p w14:paraId="34D7C571" w14:textId="77777777" w:rsidR="00FE4BC0" w:rsidRPr="00FE4BC0" w:rsidRDefault="00FE4BC0" w:rsidP="00FE4BC0">
            <w:pPr>
              <w:shd w:val="clear" w:color="auto" w:fill="FFFFFF"/>
              <w:spacing w:after="0" w:line="240" w:lineRule="auto"/>
              <w:jc w:val="both"/>
              <w:rPr>
                <w:rFonts w:ascii="Century Gothic" w:eastAsia="Calibri" w:hAnsi="Century Gothic" w:cs="Arial"/>
                <w:sz w:val="16"/>
                <w:szCs w:val="16"/>
              </w:rPr>
            </w:pPr>
            <w:r w:rsidRPr="00FE4BC0">
              <w:rPr>
                <w:rFonts w:ascii="Century Gothic" w:eastAsia="Calibri" w:hAnsi="Century Gothic" w:cs="Arial"/>
                <w:sz w:val="16"/>
                <w:szCs w:val="16"/>
              </w:rPr>
              <w:t>Gestor T1-15 de la Subdirección de Gestión Contractual</w:t>
            </w:r>
          </w:p>
        </w:tc>
      </w:tr>
      <w:tr w:rsidR="00FE4BC0" w:rsidRPr="00FE4BC0" w14:paraId="5B117D8C" w14:textId="77777777" w:rsidTr="00142864">
        <w:trPr>
          <w:trHeight w:val="389"/>
        </w:trPr>
        <w:tc>
          <w:tcPr>
            <w:tcW w:w="817" w:type="dxa"/>
            <w:tcBorders>
              <w:top w:val="nil"/>
              <w:left w:val="nil"/>
              <w:bottom w:val="nil"/>
              <w:right w:val="nil"/>
            </w:tcBorders>
            <w:vAlign w:val="center"/>
            <w:hideMark/>
          </w:tcPr>
          <w:p w14:paraId="23FBC37A" w14:textId="77777777" w:rsidR="00FE4BC0" w:rsidRPr="00FE4BC0" w:rsidRDefault="00FE4BC0" w:rsidP="00FE4BC0">
            <w:pPr>
              <w:shd w:val="clear" w:color="auto" w:fill="FFFFFF"/>
              <w:spacing w:after="0" w:line="240" w:lineRule="auto"/>
              <w:jc w:val="both"/>
              <w:rPr>
                <w:rFonts w:ascii="Century Gothic" w:eastAsia="Calibri" w:hAnsi="Century Gothic" w:cs="Arial"/>
                <w:sz w:val="16"/>
                <w:szCs w:val="16"/>
              </w:rPr>
            </w:pPr>
            <w:r w:rsidRPr="00FE4BC0">
              <w:rPr>
                <w:rFonts w:ascii="Century Gothic" w:eastAsia="Calibri" w:hAnsi="Century Gothic" w:cs="Arial"/>
                <w:sz w:val="16"/>
                <w:szCs w:val="16"/>
              </w:rPr>
              <w:t>Aprobó: </w:t>
            </w:r>
          </w:p>
        </w:tc>
        <w:tc>
          <w:tcPr>
            <w:tcW w:w="4937" w:type="dxa"/>
            <w:tcBorders>
              <w:top w:val="dotted" w:sz="6" w:space="0" w:color="7F7F7F"/>
              <w:left w:val="nil"/>
              <w:bottom w:val="dotted" w:sz="6" w:space="0" w:color="7F7F7F"/>
              <w:right w:val="nil"/>
            </w:tcBorders>
            <w:vAlign w:val="center"/>
            <w:hideMark/>
          </w:tcPr>
          <w:p w14:paraId="0C86F617" w14:textId="77777777" w:rsidR="00FE4BC0" w:rsidRPr="00FE4BC0" w:rsidRDefault="00FE4BC0" w:rsidP="00FE4BC0">
            <w:pPr>
              <w:shd w:val="clear" w:color="auto" w:fill="FFFFFF"/>
              <w:spacing w:after="0" w:line="240" w:lineRule="auto"/>
              <w:jc w:val="both"/>
              <w:rPr>
                <w:rFonts w:ascii="Century Gothic" w:eastAsia="Calibri" w:hAnsi="Century Gothic" w:cs="Arial"/>
                <w:sz w:val="16"/>
                <w:szCs w:val="16"/>
              </w:rPr>
            </w:pPr>
            <w:r w:rsidRPr="00FE4BC0">
              <w:rPr>
                <w:rFonts w:ascii="Century Gothic" w:eastAsia="Calibri" w:hAnsi="Century Gothic" w:cs="Arial"/>
                <w:sz w:val="16"/>
                <w:szCs w:val="16"/>
              </w:rPr>
              <w:t xml:space="preserve">Nohelia del Carmen </w:t>
            </w:r>
            <w:proofErr w:type="spellStart"/>
            <w:r w:rsidRPr="00FE4BC0">
              <w:rPr>
                <w:rFonts w:ascii="Century Gothic" w:eastAsia="Calibri" w:hAnsi="Century Gothic" w:cs="Arial"/>
                <w:sz w:val="16"/>
                <w:szCs w:val="16"/>
              </w:rPr>
              <w:t>Zawady</w:t>
            </w:r>
            <w:proofErr w:type="spellEnd"/>
            <w:r w:rsidRPr="00FE4BC0">
              <w:rPr>
                <w:rFonts w:ascii="Century Gothic" w:eastAsia="Calibri" w:hAnsi="Century Gothic" w:cs="Arial"/>
                <w:sz w:val="16"/>
                <w:szCs w:val="16"/>
              </w:rPr>
              <w:t xml:space="preserve"> Palacio</w:t>
            </w:r>
          </w:p>
          <w:p w14:paraId="309B90DF" w14:textId="77777777" w:rsidR="00FE4BC0" w:rsidRPr="00FE4BC0" w:rsidRDefault="00FE4BC0" w:rsidP="00FE4BC0">
            <w:pPr>
              <w:shd w:val="clear" w:color="auto" w:fill="FFFFFF"/>
              <w:spacing w:after="0" w:line="240" w:lineRule="auto"/>
              <w:jc w:val="both"/>
              <w:rPr>
                <w:rFonts w:ascii="Century Gothic" w:eastAsia="Calibri" w:hAnsi="Century Gothic" w:cs="Arial"/>
                <w:sz w:val="16"/>
                <w:szCs w:val="16"/>
              </w:rPr>
            </w:pPr>
            <w:r w:rsidRPr="00FE4BC0">
              <w:rPr>
                <w:rFonts w:ascii="Century Gothic" w:eastAsia="Calibri" w:hAnsi="Century Gothic" w:cs="Arial"/>
                <w:sz w:val="16"/>
                <w:szCs w:val="16"/>
              </w:rPr>
              <w:t>Subdirectora de Gestión Contractual ANCP - CCE</w:t>
            </w:r>
          </w:p>
        </w:tc>
      </w:tr>
      <w:bookmarkEnd w:id="1"/>
      <w:bookmarkEnd w:id="7"/>
    </w:tbl>
    <w:p w14:paraId="490A4916" w14:textId="77777777" w:rsidR="00FE4BC0" w:rsidRPr="00FE4BC0" w:rsidRDefault="00FE4BC0" w:rsidP="00FE4BC0">
      <w:pPr>
        <w:spacing w:line="278" w:lineRule="auto"/>
        <w:rPr>
          <w:rFonts w:ascii="Century Gothic" w:eastAsia="Aptos" w:hAnsi="Century Gothic" w:cs="Times New Roman"/>
          <w:kern w:val="2"/>
          <w:sz w:val="24"/>
          <w:szCs w:val="24"/>
          <w14:ligatures w14:val="standardContextual"/>
        </w:rPr>
      </w:pPr>
    </w:p>
    <w:p w14:paraId="7EBFAB6A" w14:textId="77777777" w:rsidR="005A6AA1" w:rsidRDefault="005A6AA1" w:rsidP="00400548">
      <w:pPr>
        <w:spacing w:after="0"/>
        <w:rPr>
          <w:rFonts w:ascii="Century Gothic" w:hAnsi="Century Gothic"/>
          <w:lang w:val="es-MX"/>
        </w:rPr>
      </w:pPr>
    </w:p>
    <w:sectPr w:rsidR="005A6AA1"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B2E5" w14:textId="77777777" w:rsidR="0080515E" w:rsidRDefault="0080515E" w:rsidP="004A1847">
      <w:pPr>
        <w:spacing w:after="0" w:line="240" w:lineRule="auto"/>
      </w:pPr>
      <w:r>
        <w:separator/>
      </w:r>
    </w:p>
  </w:endnote>
  <w:endnote w:type="continuationSeparator" w:id="0">
    <w:p w14:paraId="5F9F65A2" w14:textId="77777777" w:rsidR="0080515E" w:rsidRDefault="0080515E" w:rsidP="004A1847">
      <w:pPr>
        <w:spacing w:after="0" w:line="240" w:lineRule="auto"/>
      </w:pPr>
      <w:r>
        <w:continuationSeparator/>
      </w:r>
    </w:p>
  </w:endnote>
  <w:endnote w:type="continuationNotice" w:id="1">
    <w:p w14:paraId="19B906D8" w14:textId="77777777" w:rsidR="0080515E" w:rsidRDefault="00805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B8FA3" w14:textId="77777777" w:rsidR="0080515E" w:rsidRDefault="0080515E" w:rsidP="004A1847">
      <w:pPr>
        <w:spacing w:after="0" w:line="240" w:lineRule="auto"/>
      </w:pPr>
      <w:r>
        <w:separator/>
      </w:r>
    </w:p>
  </w:footnote>
  <w:footnote w:type="continuationSeparator" w:id="0">
    <w:p w14:paraId="131CCC14" w14:textId="77777777" w:rsidR="0080515E" w:rsidRDefault="0080515E" w:rsidP="004A1847">
      <w:pPr>
        <w:spacing w:after="0" w:line="240" w:lineRule="auto"/>
      </w:pPr>
      <w:r>
        <w:continuationSeparator/>
      </w:r>
    </w:p>
  </w:footnote>
  <w:footnote w:type="continuationNotice" w:id="1">
    <w:p w14:paraId="3D41B808" w14:textId="77777777" w:rsidR="0080515E" w:rsidRDefault="0080515E">
      <w:pPr>
        <w:spacing w:after="0" w:line="240" w:lineRule="auto"/>
      </w:pPr>
    </w:p>
  </w:footnote>
  <w:footnote w:id="2">
    <w:p w14:paraId="776CE6EA" w14:textId="77777777" w:rsidR="00FE4BC0" w:rsidRPr="00FA774E" w:rsidRDefault="00FE4BC0" w:rsidP="00FE4BC0">
      <w:pPr>
        <w:pStyle w:val="Textonotapie"/>
        <w:ind w:firstLine="708"/>
        <w:jc w:val="both"/>
        <w:rPr>
          <w:rFonts w:ascii="Century Gothic" w:hAnsi="Century Gothic" w:cs="Arial"/>
          <w:sz w:val="18"/>
          <w:szCs w:val="18"/>
          <w:lang w:val="es-CO"/>
        </w:rPr>
      </w:pPr>
      <w:r w:rsidRPr="00FA774E">
        <w:rPr>
          <w:rStyle w:val="Refdenotaalpie"/>
          <w:rFonts w:ascii="Century Gothic" w:hAnsi="Century Gothic" w:cs="Arial"/>
          <w:sz w:val="18"/>
          <w:szCs w:val="18"/>
        </w:rPr>
        <w:footnoteRef/>
      </w:r>
      <w:r w:rsidRPr="00FA774E">
        <w:rPr>
          <w:rFonts w:ascii="Century Gothic" w:hAnsi="Century Gothic" w:cs="Arial"/>
          <w:sz w:val="18"/>
          <w:szCs w:val="18"/>
        </w:rPr>
        <w:t xml:space="preserve"> </w:t>
      </w:r>
      <w:r w:rsidRPr="00FA774E">
        <w:rPr>
          <w:rFonts w:ascii="Century Gothic" w:hAnsi="Century Gothic" w:cs="Arial"/>
          <w:sz w:val="18"/>
          <w:szCs w:val="18"/>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footnote>
  <w:footnote w:id="3">
    <w:p w14:paraId="27E392EC" w14:textId="77777777" w:rsidR="00FE4BC0" w:rsidRPr="00FA774E" w:rsidRDefault="00FE4BC0" w:rsidP="00FE4BC0">
      <w:pPr>
        <w:pStyle w:val="Car1"/>
        <w:ind w:firstLine="709"/>
        <w:jc w:val="both"/>
        <w:rPr>
          <w:rFonts w:ascii="Century Gothic" w:hAnsi="Century Gothic" w:cs="Arial"/>
          <w:sz w:val="18"/>
          <w:szCs w:val="18"/>
          <w:lang w:val="es-ES"/>
        </w:rPr>
      </w:pPr>
      <w:r w:rsidRPr="00FA774E">
        <w:rPr>
          <w:rStyle w:val="Refdenotaalpie"/>
          <w:rFonts w:ascii="Century Gothic" w:hAnsi="Century Gothic" w:cs="Arial"/>
          <w:sz w:val="18"/>
          <w:szCs w:val="18"/>
        </w:rPr>
        <w:footnoteRef/>
      </w:r>
      <w:r w:rsidRPr="00FA774E">
        <w:rPr>
          <w:rFonts w:ascii="Century Gothic" w:hAnsi="Century Gothic" w:cs="Arial"/>
          <w:sz w:val="18"/>
          <w:szCs w:val="18"/>
        </w:rPr>
        <w:t xml:space="preserve"> </w:t>
      </w:r>
      <w:r w:rsidRPr="00FA774E">
        <w:rPr>
          <w:rFonts w:ascii="Century Gothic" w:hAnsi="Century Gothic" w:cs="Arial"/>
          <w:sz w:val="18"/>
          <w:szCs w:val="18"/>
          <w:lang w:val="es-ES"/>
        </w:rPr>
        <w:t>Consejo de Estado. Sección Tercera. Sentencia del 29 de octubre de 2.015. Consejera Ponente: Stella Conto Díaz Del Castillo. Expediente: 31.918.</w:t>
      </w:r>
    </w:p>
  </w:footnote>
  <w:footnote w:id="4">
    <w:p w14:paraId="60884192" w14:textId="77777777" w:rsidR="00FE4BC0" w:rsidRPr="00FA774E" w:rsidRDefault="00FE4BC0" w:rsidP="00FE4BC0">
      <w:pPr>
        <w:pStyle w:val="Car1"/>
        <w:ind w:firstLine="709"/>
        <w:jc w:val="both"/>
        <w:rPr>
          <w:rFonts w:ascii="Century Gothic" w:hAnsi="Century Gothic" w:cs="Arial"/>
          <w:sz w:val="18"/>
          <w:szCs w:val="18"/>
          <w:lang w:val="es-ES"/>
        </w:rPr>
      </w:pPr>
      <w:r w:rsidRPr="00FA774E">
        <w:rPr>
          <w:rStyle w:val="Refdenotaalpie"/>
          <w:rFonts w:ascii="Century Gothic" w:hAnsi="Century Gothic" w:cs="Arial"/>
          <w:sz w:val="18"/>
          <w:szCs w:val="18"/>
        </w:rPr>
        <w:footnoteRef/>
      </w:r>
      <w:r w:rsidRPr="00FA774E">
        <w:rPr>
          <w:rFonts w:ascii="Century Gothic" w:hAnsi="Century Gothic" w:cs="Arial"/>
          <w:sz w:val="18"/>
          <w:szCs w:val="18"/>
        </w:rPr>
        <w:t xml:space="preserve"> </w:t>
      </w:r>
      <w:r w:rsidRPr="00FA774E">
        <w:rPr>
          <w:rFonts w:ascii="Century Gothic" w:hAnsi="Century Gothic" w:cs="Arial"/>
          <w:sz w:val="18"/>
          <w:szCs w:val="18"/>
          <w:lang w:val="es-ES"/>
        </w:rPr>
        <w:t>Corte Constitucional. Sentencia T-684A del 14 de septiembre de 2011. Magistrado Ponente: Mauricio González Cuervo.</w:t>
      </w:r>
    </w:p>
  </w:footnote>
  <w:footnote w:id="5">
    <w:p w14:paraId="66487612" w14:textId="77777777" w:rsidR="00FE4BC0" w:rsidRPr="00FA774E" w:rsidRDefault="00FE4BC0" w:rsidP="00FE4BC0">
      <w:pPr>
        <w:pStyle w:val="Car1"/>
        <w:ind w:firstLine="709"/>
        <w:jc w:val="both"/>
        <w:rPr>
          <w:rFonts w:ascii="Century Gothic" w:hAnsi="Century Gothic" w:cs="Arial"/>
          <w:sz w:val="18"/>
          <w:szCs w:val="18"/>
          <w:lang w:val="es-ES"/>
        </w:rPr>
      </w:pPr>
      <w:r w:rsidRPr="00FA774E">
        <w:rPr>
          <w:rStyle w:val="Refdenotaalpie"/>
          <w:rFonts w:ascii="Century Gothic" w:hAnsi="Century Gothic" w:cs="Arial"/>
          <w:sz w:val="18"/>
          <w:szCs w:val="18"/>
        </w:rPr>
        <w:footnoteRef/>
      </w:r>
      <w:r w:rsidRPr="00FA774E">
        <w:rPr>
          <w:rFonts w:ascii="Century Gothic" w:hAnsi="Century Gothic" w:cs="Arial"/>
          <w:sz w:val="18"/>
          <w:szCs w:val="18"/>
        </w:rPr>
        <w:t xml:space="preserve"> </w:t>
      </w:r>
      <w:r w:rsidRPr="00FA774E">
        <w:rPr>
          <w:rFonts w:ascii="Century Gothic" w:hAnsi="Century Gothic" w:cs="Arial"/>
          <w:sz w:val="18"/>
          <w:szCs w:val="18"/>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6">
    <w:p w14:paraId="04E6904C" w14:textId="77777777" w:rsidR="00FE4BC0" w:rsidRPr="00FA774E" w:rsidRDefault="00FE4BC0" w:rsidP="00FE4BC0">
      <w:pPr>
        <w:pStyle w:val="Textonotapie"/>
        <w:jc w:val="both"/>
        <w:rPr>
          <w:rFonts w:ascii="Century Gothic" w:hAnsi="Century Gothic" w:cs="Arial"/>
          <w:sz w:val="18"/>
          <w:szCs w:val="18"/>
        </w:rPr>
      </w:pPr>
    </w:p>
    <w:p w14:paraId="1C3A5B79" w14:textId="77777777" w:rsidR="00FE4BC0" w:rsidRPr="00FA774E" w:rsidRDefault="00FE4BC0" w:rsidP="00FE4BC0">
      <w:pPr>
        <w:pStyle w:val="Textonotapie"/>
        <w:ind w:firstLine="709"/>
        <w:jc w:val="both"/>
        <w:rPr>
          <w:rFonts w:ascii="Century Gothic" w:hAnsi="Century Gothic" w:cs="Arial"/>
          <w:sz w:val="18"/>
          <w:szCs w:val="18"/>
          <w:lang w:val="es-ES"/>
        </w:rPr>
      </w:pPr>
      <w:r w:rsidRPr="00FA774E">
        <w:rPr>
          <w:rStyle w:val="Refdenotaalpie"/>
          <w:rFonts w:ascii="Century Gothic" w:hAnsi="Century Gothic" w:cs="Arial"/>
          <w:sz w:val="18"/>
          <w:szCs w:val="18"/>
        </w:rPr>
        <w:footnoteRef/>
      </w:r>
      <w:r w:rsidRPr="00FA774E">
        <w:rPr>
          <w:rFonts w:ascii="Century Gothic" w:hAnsi="Century Gothic" w:cs="Arial"/>
          <w:sz w:val="18"/>
          <w:szCs w:val="18"/>
        </w:rPr>
        <w:t xml:space="preserve"> </w:t>
      </w:r>
      <w:r w:rsidRPr="00FA774E">
        <w:rPr>
          <w:rFonts w:ascii="Century Gothic" w:hAnsi="Century Gothic" w:cs="Arial"/>
          <w:sz w:val="18"/>
          <w:szCs w:val="18"/>
          <w:lang w:val="es-ES"/>
        </w:rPr>
        <w:t>Artículos 2 al 29.</w:t>
      </w:r>
    </w:p>
  </w:footnote>
  <w:footnote w:id="7">
    <w:p w14:paraId="05D3FCB7" w14:textId="77777777" w:rsidR="00FE4BC0" w:rsidRPr="00FA774E" w:rsidRDefault="00FE4BC0" w:rsidP="00FE4BC0">
      <w:pPr>
        <w:pStyle w:val="Textonotapie"/>
        <w:jc w:val="both"/>
        <w:rPr>
          <w:rFonts w:ascii="Century Gothic" w:hAnsi="Century Gothic" w:cs="Arial"/>
          <w:sz w:val="18"/>
          <w:szCs w:val="18"/>
        </w:rPr>
      </w:pPr>
    </w:p>
    <w:p w14:paraId="30929E19" w14:textId="77777777" w:rsidR="00FE4BC0" w:rsidRPr="00FA774E" w:rsidRDefault="00FE4BC0" w:rsidP="00FE4BC0">
      <w:pPr>
        <w:pStyle w:val="Textonotapie"/>
        <w:ind w:firstLine="709"/>
        <w:jc w:val="both"/>
        <w:rPr>
          <w:rFonts w:ascii="Century Gothic" w:hAnsi="Century Gothic" w:cs="Arial"/>
          <w:sz w:val="18"/>
          <w:szCs w:val="18"/>
          <w:lang w:val="es-ES"/>
        </w:rPr>
      </w:pPr>
      <w:r w:rsidRPr="00FA774E">
        <w:rPr>
          <w:rStyle w:val="Refdenotaalpie"/>
          <w:rFonts w:ascii="Century Gothic" w:hAnsi="Century Gothic" w:cs="Arial"/>
          <w:sz w:val="18"/>
          <w:szCs w:val="18"/>
        </w:rPr>
        <w:footnoteRef/>
      </w:r>
      <w:r w:rsidRPr="00FA774E">
        <w:rPr>
          <w:rFonts w:ascii="Century Gothic" w:hAnsi="Century Gothic" w:cs="Arial"/>
          <w:sz w:val="18"/>
          <w:szCs w:val="18"/>
        </w:rPr>
        <w:t xml:space="preserve"> </w:t>
      </w:r>
      <w:r w:rsidRPr="00FA774E">
        <w:rPr>
          <w:rFonts w:ascii="Century Gothic" w:hAnsi="Century Gothic" w:cs="Arial"/>
          <w:sz w:val="18"/>
          <w:szCs w:val="18"/>
          <w:lang w:val="es-ES"/>
        </w:rPr>
        <w:t>Artículos 30 al 36.</w:t>
      </w:r>
    </w:p>
  </w:footnote>
  <w:footnote w:id="8">
    <w:p w14:paraId="03C7DF9B" w14:textId="77777777" w:rsidR="00FE4BC0" w:rsidRPr="00FA774E" w:rsidRDefault="00FE4BC0" w:rsidP="00FE4BC0">
      <w:pPr>
        <w:pStyle w:val="Textonotapie"/>
        <w:jc w:val="both"/>
        <w:rPr>
          <w:rFonts w:ascii="Century Gothic" w:hAnsi="Century Gothic" w:cs="Arial"/>
          <w:sz w:val="18"/>
          <w:szCs w:val="18"/>
        </w:rPr>
      </w:pPr>
    </w:p>
    <w:p w14:paraId="25D9EB77" w14:textId="77777777" w:rsidR="00FE4BC0" w:rsidRPr="00FA774E" w:rsidRDefault="00FE4BC0" w:rsidP="00FE4BC0">
      <w:pPr>
        <w:pStyle w:val="Textonotapie"/>
        <w:ind w:firstLine="709"/>
        <w:jc w:val="both"/>
        <w:rPr>
          <w:rFonts w:ascii="Century Gothic" w:hAnsi="Century Gothic" w:cs="Arial"/>
          <w:sz w:val="18"/>
          <w:szCs w:val="18"/>
          <w:lang w:val="es-ES"/>
        </w:rPr>
      </w:pPr>
      <w:r w:rsidRPr="00FA774E">
        <w:rPr>
          <w:rStyle w:val="Refdenotaalpie"/>
          <w:rFonts w:ascii="Century Gothic" w:hAnsi="Century Gothic" w:cs="Arial"/>
          <w:sz w:val="18"/>
          <w:szCs w:val="18"/>
        </w:rPr>
        <w:footnoteRef/>
      </w:r>
      <w:r w:rsidRPr="00FA774E">
        <w:rPr>
          <w:rFonts w:ascii="Century Gothic" w:hAnsi="Century Gothic" w:cs="Arial"/>
          <w:sz w:val="18"/>
          <w:szCs w:val="18"/>
        </w:rPr>
        <w:t xml:space="preserve"> </w:t>
      </w:r>
      <w:r w:rsidRPr="00FA774E">
        <w:rPr>
          <w:rFonts w:ascii="Century Gothic" w:hAnsi="Century Gothic" w:cs="Arial"/>
          <w:sz w:val="18"/>
          <w:szCs w:val="18"/>
          <w:lang w:val="es-ES"/>
        </w:rPr>
        <w:t>Artículos 37 al 45.</w:t>
      </w:r>
    </w:p>
  </w:footnote>
  <w:footnote w:id="9">
    <w:p w14:paraId="342B09E0" w14:textId="77777777" w:rsidR="00FE4BC0" w:rsidRPr="00FA774E" w:rsidRDefault="00FE4BC0" w:rsidP="00FE4BC0">
      <w:pPr>
        <w:pStyle w:val="Textonotapie"/>
        <w:ind w:firstLine="709"/>
        <w:jc w:val="both"/>
        <w:rPr>
          <w:rFonts w:ascii="Century Gothic" w:hAnsi="Century Gothic" w:cs="Arial"/>
          <w:sz w:val="18"/>
          <w:szCs w:val="18"/>
          <w:lang w:val="es-ES"/>
        </w:rPr>
      </w:pPr>
      <w:r w:rsidRPr="00FA774E">
        <w:rPr>
          <w:rStyle w:val="Refdenotaalpie"/>
          <w:rFonts w:ascii="Century Gothic" w:hAnsi="Century Gothic" w:cs="Arial"/>
          <w:sz w:val="18"/>
          <w:szCs w:val="18"/>
        </w:rPr>
        <w:footnoteRef/>
      </w:r>
      <w:r w:rsidRPr="00FA774E">
        <w:rPr>
          <w:rFonts w:ascii="Century Gothic" w:hAnsi="Century Gothic" w:cs="Arial"/>
          <w:sz w:val="18"/>
          <w:szCs w:val="18"/>
        </w:rPr>
        <w:t xml:space="preserve"> </w:t>
      </w:r>
      <w:r w:rsidRPr="00FA774E">
        <w:rPr>
          <w:rFonts w:ascii="Century Gothic" w:hAnsi="Century Gothic" w:cs="Arial"/>
          <w:sz w:val="18"/>
          <w:szCs w:val="18"/>
          <w:lang w:val="es-ES"/>
        </w:rPr>
        <w:t>Artículos 46 al 73.</w:t>
      </w:r>
    </w:p>
  </w:footnote>
  <w:footnote w:id="10">
    <w:p w14:paraId="7226A173" w14:textId="77777777" w:rsidR="00FE4BC0" w:rsidRPr="00FA774E" w:rsidRDefault="00FE4BC0" w:rsidP="00FE4BC0">
      <w:pPr>
        <w:pStyle w:val="Textonotapie"/>
        <w:ind w:firstLine="709"/>
        <w:jc w:val="both"/>
        <w:rPr>
          <w:rFonts w:ascii="Century Gothic" w:hAnsi="Century Gothic" w:cs="Arial"/>
          <w:sz w:val="18"/>
          <w:szCs w:val="18"/>
          <w:lang w:val="es-ES"/>
        </w:rPr>
      </w:pPr>
      <w:r w:rsidRPr="00FA774E">
        <w:rPr>
          <w:rStyle w:val="Refdenotaalpie"/>
          <w:rFonts w:ascii="Century Gothic" w:hAnsi="Century Gothic" w:cs="Arial"/>
          <w:sz w:val="18"/>
          <w:szCs w:val="18"/>
        </w:rPr>
        <w:footnoteRef/>
      </w:r>
      <w:r w:rsidRPr="00FA774E">
        <w:rPr>
          <w:rFonts w:ascii="Century Gothic" w:hAnsi="Century Gothic" w:cs="Arial"/>
          <w:sz w:val="18"/>
          <w:szCs w:val="18"/>
        </w:rPr>
        <w:t xml:space="preserve"> </w:t>
      </w:r>
      <w:r w:rsidRPr="00FA774E">
        <w:rPr>
          <w:rFonts w:ascii="Century Gothic" w:hAnsi="Century Gothic" w:cs="Arial"/>
          <w:sz w:val="18"/>
          <w:szCs w:val="18"/>
          <w:lang w:val="es-ES"/>
        </w:rPr>
        <w:t>Artículos 74 al 83.</w:t>
      </w:r>
    </w:p>
  </w:footnote>
  <w:footnote w:id="11">
    <w:p w14:paraId="4F0CB921" w14:textId="77777777" w:rsidR="00FE4BC0" w:rsidRPr="00FA774E" w:rsidRDefault="00FE4BC0" w:rsidP="00FE4BC0">
      <w:pPr>
        <w:pStyle w:val="Textonotapie"/>
        <w:ind w:firstLine="708"/>
        <w:jc w:val="both"/>
        <w:rPr>
          <w:rFonts w:ascii="Century Gothic" w:hAnsi="Century Gothic" w:cs="Arial"/>
          <w:bCs/>
          <w:color w:val="000000"/>
          <w:sz w:val="18"/>
          <w:szCs w:val="18"/>
        </w:rPr>
      </w:pPr>
      <w:r w:rsidRPr="00FA774E">
        <w:rPr>
          <w:rStyle w:val="Refdenotaalpie"/>
          <w:rFonts w:ascii="Century Gothic" w:hAnsi="Century Gothic" w:cs="Arial"/>
          <w:color w:val="000000"/>
          <w:sz w:val="18"/>
          <w:szCs w:val="18"/>
        </w:rPr>
        <w:footnoteRef/>
      </w:r>
      <w:r w:rsidRPr="00FA774E">
        <w:rPr>
          <w:rFonts w:ascii="Century Gothic" w:hAnsi="Century Gothic" w:cs="Arial"/>
          <w:color w:val="000000"/>
          <w:sz w:val="18"/>
          <w:szCs w:val="18"/>
        </w:rPr>
        <w:t xml:space="preserve"> </w:t>
      </w:r>
      <w:r w:rsidRPr="00FA774E">
        <w:rPr>
          <w:rFonts w:ascii="Century Gothic" w:hAnsi="Century Gothic" w:cs="Arial"/>
          <w:bCs/>
          <w:color w:val="000000"/>
          <w:sz w:val="18"/>
          <w:szCs w:val="18"/>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FA774E">
        <w:rPr>
          <w:rFonts w:ascii="Century Gothic" w:hAnsi="Century Gothic" w:cs="Arial"/>
          <w:color w:val="000000"/>
          <w:sz w:val="18"/>
          <w:szCs w:val="18"/>
        </w:rPr>
        <w:t xml:space="preserve">CONSEJO NACIONAL DE POLÍTICA ECONÓMICA Y SOCIAL. Documento 3956 del 8 de enero de 2019: “Política de formalización empresarial”. Archivo consultado el 8 de febrero de 2021 en la página web </w:t>
      </w:r>
      <w:hyperlink r:id="rId1" w:history="1">
        <w:r w:rsidRPr="00FA774E">
          <w:rPr>
            <w:rStyle w:val="Hipervnculo"/>
            <w:rFonts w:ascii="Century Gothic" w:hAnsi="Century Gothic" w:cs="Arial"/>
            <w:color w:val="000000"/>
            <w:sz w:val="18"/>
            <w:szCs w:val="18"/>
          </w:rPr>
          <w:t>https://colaboracion.dnp.gov.co/CDT/Conpes/Econ%C3%B3micos/3956.pdf</w:t>
        </w:r>
      </w:hyperlink>
      <w:r w:rsidRPr="00FA774E">
        <w:rPr>
          <w:rFonts w:ascii="Century Gothic" w:hAnsi="Century Gothic" w:cs="Arial"/>
          <w:color w:val="000000"/>
          <w:sz w:val="18"/>
          <w:szCs w:val="18"/>
        </w:rPr>
        <w:t xml:space="preserve">).  </w:t>
      </w:r>
      <w:r w:rsidRPr="00FA774E">
        <w:rPr>
          <w:rFonts w:ascii="Century Gothic" w:hAnsi="Century Gothic" w:cs="Arial"/>
          <w:bCs/>
          <w:color w:val="000000"/>
          <w:sz w:val="18"/>
          <w:szCs w:val="18"/>
        </w:rPr>
        <w:t xml:space="preserve"> </w:t>
      </w:r>
    </w:p>
  </w:footnote>
  <w:footnote w:id="12">
    <w:p w14:paraId="362706AC" w14:textId="77777777" w:rsidR="00FE4BC0" w:rsidRPr="00FA774E" w:rsidRDefault="00FE4BC0" w:rsidP="00FE4BC0">
      <w:pPr>
        <w:pStyle w:val="Textonotapie"/>
        <w:ind w:firstLine="708"/>
        <w:jc w:val="both"/>
        <w:rPr>
          <w:rFonts w:ascii="Century Gothic" w:hAnsi="Century Gothic" w:cs="Arial"/>
          <w:sz w:val="18"/>
          <w:szCs w:val="18"/>
          <w:lang w:val="es-ES"/>
        </w:rPr>
      </w:pPr>
      <w:r w:rsidRPr="00FA774E">
        <w:rPr>
          <w:rStyle w:val="Refdenotaalpie"/>
          <w:rFonts w:ascii="Century Gothic" w:hAnsi="Century Gothic" w:cs="Arial"/>
          <w:sz w:val="18"/>
          <w:szCs w:val="18"/>
        </w:rPr>
        <w:footnoteRef/>
      </w:r>
      <w:r w:rsidRPr="00FA774E">
        <w:rPr>
          <w:rFonts w:ascii="Century Gothic" w:hAnsi="Century Gothic" w:cs="Arial"/>
          <w:sz w:val="18"/>
          <w:szCs w:val="18"/>
        </w:rPr>
        <w:t xml:space="preserve"> </w:t>
      </w:r>
      <w:bookmarkStart w:id="18" w:name="_Hlk63862868"/>
      <w:r w:rsidRPr="00FA774E">
        <w:rPr>
          <w:rFonts w:ascii="Century Gothic" w:hAnsi="Century Gothic" w:cs="Arial"/>
          <w:sz w:val="18"/>
          <w:szCs w:val="18"/>
        </w:rPr>
        <w:t xml:space="preserve">CONGRESO DE LA REPÚBLICA. Gaceta No. 670 del 11 de agosto de 2020. Exposición de motivos del Proyecto de Ley No. 122 de 2020 Cámara. p. 13. </w:t>
      </w:r>
      <w:bookmarkEnd w:id="1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361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F6486"/>
    <w:rsid w:val="00125105"/>
    <w:rsid w:val="00127233"/>
    <w:rsid w:val="00142864"/>
    <w:rsid w:val="00156CF9"/>
    <w:rsid w:val="001E4177"/>
    <w:rsid w:val="0023665B"/>
    <w:rsid w:val="002820E1"/>
    <w:rsid w:val="00291D69"/>
    <w:rsid w:val="002931ED"/>
    <w:rsid w:val="002951A0"/>
    <w:rsid w:val="002962BC"/>
    <w:rsid w:val="002A093D"/>
    <w:rsid w:val="002A49AC"/>
    <w:rsid w:val="002A64FD"/>
    <w:rsid w:val="002C2059"/>
    <w:rsid w:val="002C7A84"/>
    <w:rsid w:val="002E77C4"/>
    <w:rsid w:val="003448F4"/>
    <w:rsid w:val="003A779E"/>
    <w:rsid w:val="003D0F4D"/>
    <w:rsid w:val="003E0499"/>
    <w:rsid w:val="003F3941"/>
    <w:rsid w:val="00400548"/>
    <w:rsid w:val="004368BC"/>
    <w:rsid w:val="004A1847"/>
    <w:rsid w:val="004A305D"/>
    <w:rsid w:val="004F21C4"/>
    <w:rsid w:val="004F685F"/>
    <w:rsid w:val="00502ABC"/>
    <w:rsid w:val="00507E30"/>
    <w:rsid w:val="00533E8F"/>
    <w:rsid w:val="0054779F"/>
    <w:rsid w:val="005566E8"/>
    <w:rsid w:val="00574867"/>
    <w:rsid w:val="005A6AA1"/>
    <w:rsid w:val="005B5D8B"/>
    <w:rsid w:val="005C5CDC"/>
    <w:rsid w:val="005C60EF"/>
    <w:rsid w:val="005D476C"/>
    <w:rsid w:val="006219F8"/>
    <w:rsid w:val="00663DA2"/>
    <w:rsid w:val="00665D70"/>
    <w:rsid w:val="006C528B"/>
    <w:rsid w:val="00706C16"/>
    <w:rsid w:val="00721929"/>
    <w:rsid w:val="007238A7"/>
    <w:rsid w:val="00727370"/>
    <w:rsid w:val="007506EA"/>
    <w:rsid w:val="00756841"/>
    <w:rsid w:val="00763C80"/>
    <w:rsid w:val="007649AB"/>
    <w:rsid w:val="00770FFF"/>
    <w:rsid w:val="007833AC"/>
    <w:rsid w:val="007B7171"/>
    <w:rsid w:val="007C3DC2"/>
    <w:rsid w:val="007E5497"/>
    <w:rsid w:val="007F52E0"/>
    <w:rsid w:val="0080515E"/>
    <w:rsid w:val="00806F5F"/>
    <w:rsid w:val="00810468"/>
    <w:rsid w:val="00820278"/>
    <w:rsid w:val="008843B6"/>
    <w:rsid w:val="00891928"/>
    <w:rsid w:val="008A446D"/>
    <w:rsid w:val="008C1F32"/>
    <w:rsid w:val="008F0EA7"/>
    <w:rsid w:val="00923EEF"/>
    <w:rsid w:val="009419F9"/>
    <w:rsid w:val="00961B09"/>
    <w:rsid w:val="00965334"/>
    <w:rsid w:val="0097093E"/>
    <w:rsid w:val="00984CE8"/>
    <w:rsid w:val="009C71FA"/>
    <w:rsid w:val="009C72E7"/>
    <w:rsid w:val="009D0755"/>
    <w:rsid w:val="00A17F13"/>
    <w:rsid w:val="00A20739"/>
    <w:rsid w:val="00A33C78"/>
    <w:rsid w:val="00A93D84"/>
    <w:rsid w:val="00AB0ADB"/>
    <w:rsid w:val="00AD5E99"/>
    <w:rsid w:val="00B72CD3"/>
    <w:rsid w:val="00B72FFF"/>
    <w:rsid w:val="00B86F79"/>
    <w:rsid w:val="00B942D9"/>
    <w:rsid w:val="00BD15D4"/>
    <w:rsid w:val="00BD2E7A"/>
    <w:rsid w:val="00BD7F72"/>
    <w:rsid w:val="00C04FB3"/>
    <w:rsid w:val="00C330EB"/>
    <w:rsid w:val="00C754BE"/>
    <w:rsid w:val="00C87288"/>
    <w:rsid w:val="00C97A19"/>
    <w:rsid w:val="00CB6357"/>
    <w:rsid w:val="00CC1B26"/>
    <w:rsid w:val="00D423A2"/>
    <w:rsid w:val="00D63AC2"/>
    <w:rsid w:val="00D7383B"/>
    <w:rsid w:val="00D8466E"/>
    <w:rsid w:val="00D93DD6"/>
    <w:rsid w:val="00DA231B"/>
    <w:rsid w:val="00DD4598"/>
    <w:rsid w:val="00E16408"/>
    <w:rsid w:val="00E20894"/>
    <w:rsid w:val="00E245AB"/>
    <w:rsid w:val="00E50AFE"/>
    <w:rsid w:val="00E771DC"/>
    <w:rsid w:val="00E8772A"/>
    <w:rsid w:val="00E90F6B"/>
    <w:rsid w:val="00E92C27"/>
    <w:rsid w:val="00EA0E3D"/>
    <w:rsid w:val="00EE1AA8"/>
    <w:rsid w:val="00F17039"/>
    <w:rsid w:val="00F204AB"/>
    <w:rsid w:val="00F31EDC"/>
    <w:rsid w:val="00F426E5"/>
    <w:rsid w:val="00F5664F"/>
    <w:rsid w:val="00F613A2"/>
    <w:rsid w:val="00F712A8"/>
    <w:rsid w:val="00F76AFC"/>
    <w:rsid w:val="00FB5DD1"/>
    <w:rsid w:val="00FC2B5D"/>
    <w:rsid w:val="00FE4BC0"/>
    <w:rsid w:val="00FF1449"/>
    <w:rsid w:val="40E0CEC5"/>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D905DFCA-4506-466F-9884-E5C7CB3C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FE4BC0"/>
    <w:pPr>
      <w:spacing w:line="240" w:lineRule="exact"/>
    </w:pPr>
    <w:rPr>
      <w:vertAlign w:val="superscript"/>
    </w:rPr>
  </w:style>
  <w:style w:type="paragraph" w:customStyle="1" w:styleId="Car1">
    <w:name w:val="Car1"/>
    <w:basedOn w:val="Normal"/>
    <w:next w:val="Textonotapie"/>
    <w:uiPriority w:val="99"/>
    <w:unhideWhenUsed/>
    <w:qFormat/>
    <w:rsid w:val="00FE4BC0"/>
    <w:pPr>
      <w:spacing w:after="0" w:line="240" w:lineRule="auto"/>
    </w:pPr>
    <w:rPr>
      <w:sz w:val="20"/>
      <w:szCs w:val="20"/>
      <w:lang w:val="es-MX"/>
    </w:rPr>
  </w:style>
  <w:style w:type="paragraph" w:styleId="Revisin">
    <w:name w:val="Revision"/>
    <w:hidden/>
    <w:uiPriority w:val="99"/>
    <w:semiHidden/>
    <w:rsid w:val="00502ABC"/>
    <w:pPr>
      <w:spacing w:after="0" w:line="240" w:lineRule="auto"/>
    </w:pPr>
  </w:style>
  <w:style w:type="character" w:styleId="Refdecomentario">
    <w:name w:val="annotation reference"/>
    <w:basedOn w:val="Fuentedeprrafopredeter"/>
    <w:uiPriority w:val="99"/>
    <w:semiHidden/>
    <w:unhideWhenUsed/>
    <w:rsid w:val="002931ED"/>
    <w:rPr>
      <w:sz w:val="16"/>
      <w:szCs w:val="16"/>
    </w:rPr>
  </w:style>
  <w:style w:type="paragraph" w:styleId="Textocomentario">
    <w:name w:val="annotation text"/>
    <w:basedOn w:val="Normal"/>
    <w:link w:val="TextocomentarioCar"/>
    <w:uiPriority w:val="99"/>
    <w:unhideWhenUsed/>
    <w:rsid w:val="002931ED"/>
    <w:pPr>
      <w:spacing w:line="240" w:lineRule="auto"/>
    </w:pPr>
    <w:rPr>
      <w:sz w:val="20"/>
      <w:szCs w:val="20"/>
    </w:rPr>
  </w:style>
  <w:style w:type="character" w:customStyle="1" w:styleId="TextocomentarioCar">
    <w:name w:val="Texto comentario Car"/>
    <w:basedOn w:val="Fuentedeprrafopredeter"/>
    <w:link w:val="Textocomentario"/>
    <w:uiPriority w:val="99"/>
    <w:rsid w:val="002931ED"/>
    <w:rPr>
      <w:sz w:val="20"/>
      <w:szCs w:val="20"/>
    </w:rPr>
  </w:style>
  <w:style w:type="paragraph" w:styleId="Asuntodelcomentario">
    <w:name w:val="annotation subject"/>
    <w:basedOn w:val="Textocomentario"/>
    <w:next w:val="Textocomentario"/>
    <w:link w:val="AsuntodelcomentarioCar"/>
    <w:uiPriority w:val="99"/>
    <w:semiHidden/>
    <w:unhideWhenUsed/>
    <w:rsid w:val="002931ED"/>
    <w:rPr>
      <w:b/>
      <w:bCs/>
    </w:rPr>
  </w:style>
  <w:style w:type="character" w:customStyle="1" w:styleId="AsuntodelcomentarioCar">
    <w:name w:val="Asunto del comentario Car"/>
    <w:basedOn w:val="TextocomentarioCar"/>
    <w:link w:val="Asuntodelcomentario"/>
    <w:uiPriority w:val="99"/>
    <w:semiHidden/>
    <w:rsid w:val="002931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Kevin Arlid Herrera Santa</DisplayName>
        <AccountId>221</AccountId>
        <AccountType/>
      </UserInfo>
      <UserInfo>
        <DisplayName>Martha Alicia Romero Vargas</DisplayName>
        <AccountId>215</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21EE0E4C-0CB7-4FC1-8130-B0E2253A536D}"/>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4377</Words>
  <Characters>24078</Characters>
  <Application>Microsoft Office Word</Application>
  <DocSecurity>0</DocSecurity>
  <Lines>200</Lines>
  <Paragraphs>56</Paragraphs>
  <ScaleCrop>false</ScaleCrop>
  <Company/>
  <LinksUpToDate>false</LinksUpToDate>
  <CharactersWithSpaces>28399</CharactersWithSpaces>
  <SharedDoc>false</SharedDoc>
  <HLinks>
    <vt:vector size="6" baseType="variant">
      <vt:variant>
        <vt:i4>3604589</vt:i4>
      </vt:variant>
      <vt:variant>
        <vt:i4>0</vt:i4>
      </vt:variant>
      <vt:variant>
        <vt:i4>0</vt:i4>
      </vt:variant>
      <vt:variant>
        <vt:i4>5</vt:i4>
      </vt:variant>
      <vt:variant>
        <vt:lpwstr>https://colaboracion.dnp.gov.co/CDT/Conpes/Econ%C3%B3micos/3956.pdf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5</cp:revision>
  <cp:lastPrinted>2023-01-11T03:18:00Z</cp:lastPrinted>
  <dcterms:created xsi:type="dcterms:W3CDTF">2024-06-07T16:25:00Z</dcterms:created>
  <dcterms:modified xsi:type="dcterms:W3CDTF">2024-06-07T16:31:00Z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