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49EC" w14:textId="6804632B" w:rsidR="00586F6B" w:rsidRPr="00586F6B" w:rsidRDefault="00586F6B" w:rsidP="00586F6B">
      <w:pPr>
        <w:spacing w:line="276" w:lineRule="auto"/>
        <w:jc w:val="both"/>
        <w:rPr>
          <w:rFonts w:ascii="Century Gothic" w:eastAsia="Calibri" w:hAnsi="Century Gothic" w:cs="Arial"/>
          <w:b/>
          <w:bCs/>
          <w:sz w:val="20"/>
          <w:szCs w:val="20"/>
        </w:rPr>
      </w:pPr>
      <w:r w:rsidRPr="00586F6B">
        <w:rPr>
          <w:rFonts w:ascii="Century Gothic" w:eastAsia="Calibri" w:hAnsi="Century Gothic" w:cs="Arial"/>
          <w:b/>
          <w:bCs/>
          <w:sz w:val="20"/>
          <w:szCs w:val="20"/>
        </w:rPr>
        <w:t>CONTRATO DE PRESTACIÓN DE SERVICIOS – Concepto - Objeto</w:t>
      </w:r>
    </w:p>
    <w:p w14:paraId="67FE6546" w14:textId="694037CF" w:rsidR="00586F6B" w:rsidRPr="00586F6B" w:rsidRDefault="00586F6B" w:rsidP="00586F6B">
      <w:pPr>
        <w:spacing w:line="276" w:lineRule="auto"/>
        <w:jc w:val="both"/>
        <w:rPr>
          <w:rFonts w:ascii="Century Gothic" w:eastAsia="Calibri" w:hAnsi="Century Gothic" w:cs="Arial"/>
          <w:sz w:val="20"/>
          <w:szCs w:val="20"/>
          <w:lang w:val="es-ES"/>
        </w:rPr>
      </w:pPr>
      <w:r w:rsidRPr="00586F6B">
        <w:rPr>
          <w:rFonts w:ascii="Century Gothic" w:eastAsia="Calibri" w:hAnsi="Century Gothic" w:cs="Arial"/>
          <w:sz w:val="20"/>
          <w:szCs w:val="20"/>
          <w:lang w:val="es-ES"/>
        </w:rPr>
        <w:t xml:space="preserve">El contrato de prestación de servicios es un contrato estatal típico regulado en el numeral 3 del artículo 32de la Ley 80 de 1993. Es definido como aquel que </w:t>
      </w:r>
      <w:r>
        <w:rPr>
          <w:rFonts w:ascii="Century Gothic" w:eastAsia="Calibri" w:hAnsi="Century Gothic" w:cs="Arial"/>
          <w:i/>
          <w:iCs/>
          <w:sz w:val="20"/>
          <w:szCs w:val="20"/>
          <w:lang w:val="es-ES"/>
        </w:rPr>
        <w:t>“</w:t>
      </w:r>
      <w:r w:rsidRPr="00586F6B">
        <w:rPr>
          <w:rFonts w:ascii="Century Gothic" w:eastAsia="Calibri" w:hAnsi="Century Gothic" w:cs="Arial"/>
          <w:i/>
          <w:iCs/>
          <w:sz w:val="20"/>
          <w:szCs w:val="20"/>
          <w:lang w:val="es-ES"/>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Pr>
          <w:rFonts w:ascii="Century Gothic" w:eastAsia="Calibri" w:hAnsi="Century Gothic" w:cs="Arial"/>
          <w:i/>
          <w:iCs/>
          <w:sz w:val="20"/>
          <w:szCs w:val="20"/>
          <w:lang w:val="es-ES"/>
        </w:rPr>
        <w:t>”</w:t>
      </w:r>
      <w:r w:rsidRPr="00586F6B">
        <w:rPr>
          <w:rFonts w:ascii="Century Gothic" w:eastAsia="Calibri" w:hAnsi="Century Gothic" w:cs="Arial"/>
          <w:sz w:val="20"/>
          <w:szCs w:val="20"/>
          <w:lang w:val="es-ES"/>
        </w:rPr>
        <w:t>. La celebración de dicho contrato debe efectuarse a través de la modalidad de contratación directa.</w:t>
      </w:r>
    </w:p>
    <w:p w14:paraId="2D4DF8CB" w14:textId="77777777" w:rsidR="00586F6B" w:rsidRPr="00586F6B" w:rsidRDefault="00586F6B" w:rsidP="00586F6B">
      <w:pPr>
        <w:spacing w:line="276" w:lineRule="auto"/>
        <w:jc w:val="both"/>
        <w:rPr>
          <w:rFonts w:ascii="Century Gothic" w:eastAsia="Calibri" w:hAnsi="Century Gothic" w:cs="Arial"/>
          <w:b/>
          <w:color w:val="000000" w:themeColor="text1"/>
          <w:sz w:val="20"/>
          <w:szCs w:val="20"/>
          <w:lang w:val="es-ES_tradnl"/>
        </w:rPr>
      </w:pPr>
      <w:r w:rsidRPr="00586F6B">
        <w:rPr>
          <w:rFonts w:ascii="Century Gothic" w:eastAsia="Calibri" w:hAnsi="Century Gothic" w:cs="Arial"/>
          <w:b/>
          <w:sz w:val="20"/>
          <w:szCs w:val="20"/>
          <w:lang w:val="es-ES_tradnl"/>
        </w:rPr>
        <w:t xml:space="preserve">CONTRATO DE PRESTACIÓN DE SERVICIOS PROFESIONALES Y DE APOYO A LA GESTIÓN </w:t>
      </w:r>
      <w:r w:rsidRPr="00586F6B">
        <w:rPr>
          <w:rFonts w:ascii="Century Gothic" w:eastAsia="Calibri" w:hAnsi="Century Gothic" w:cs="Arial"/>
          <w:b/>
          <w:color w:val="000000" w:themeColor="text1"/>
          <w:sz w:val="20"/>
          <w:szCs w:val="20"/>
          <w:lang w:val="es-ES_tradnl"/>
        </w:rPr>
        <w:t xml:space="preserve">– Definición </w:t>
      </w:r>
    </w:p>
    <w:p w14:paraId="0D7DB6CB" w14:textId="77777777" w:rsidR="00586F6B" w:rsidRPr="00586F6B" w:rsidRDefault="00586F6B" w:rsidP="00586F6B">
      <w:pPr>
        <w:spacing w:line="276" w:lineRule="auto"/>
        <w:jc w:val="both"/>
        <w:rPr>
          <w:rFonts w:ascii="Century Gothic" w:eastAsia="Calibri" w:hAnsi="Century Gothic" w:cs="Arial"/>
          <w:sz w:val="20"/>
          <w:szCs w:val="20"/>
          <w:lang w:val="es-ES"/>
        </w:rPr>
      </w:pPr>
      <w:r w:rsidRPr="00586F6B">
        <w:rPr>
          <w:rFonts w:ascii="Century Gothic" w:eastAsia="Calibri" w:hAnsi="Century Gothic" w:cs="Arial"/>
          <w:sz w:val="20"/>
          <w:szCs w:val="20"/>
          <w:lang w:val="es-ES"/>
        </w:rPr>
        <w:t>El contrato propiamente dicho de prestación de servicios profesionales se caracteriza por desarrollar actividades identificables e intangibles que demandan competencias y habilidades profesionales y especializadas, tendientes a satisfacer las necesidades relacionadas con la gestión administrativa o funcionamiento de la entidad. Por su parte, el contrato de prestación de servicios de simple apoyo a la gestión es aquel tendiente a desarrollar actividades en las cuales no se requiere personal profesional. Se involucra un saber técnico e implica el desempeño de un esfuerzo o actividad de apoyo, acompañamiento o soporte de carácter, entre otros, técnico, operacional, logístico, etc.</w:t>
      </w:r>
    </w:p>
    <w:p w14:paraId="10F2CAD0" w14:textId="6485619B" w:rsidR="00586F6B" w:rsidRPr="00586F6B" w:rsidRDefault="00586F6B" w:rsidP="00586F6B">
      <w:pPr>
        <w:spacing w:line="276" w:lineRule="auto"/>
        <w:jc w:val="both"/>
        <w:rPr>
          <w:rFonts w:ascii="Century Gothic" w:eastAsia="Calibri" w:hAnsi="Century Gothic" w:cs="Arial"/>
          <w:sz w:val="20"/>
          <w:szCs w:val="20"/>
          <w:lang w:val="es-ES_tradnl"/>
        </w:rPr>
      </w:pPr>
      <w:r w:rsidRPr="00586F6B">
        <w:rPr>
          <w:rFonts w:ascii="Century Gothic" w:eastAsia="Calibri" w:hAnsi="Century Gothic" w:cs="Arial"/>
          <w:sz w:val="20"/>
          <w:szCs w:val="20"/>
          <w:lang w:val="es-ES_tradnl"/>
        </w:rPr>
        <w:t xml:space="preserve">[…] mediante estos contratos se fortalece la gestión administrativa y el funcionamiento de las entidades estatales, proporcionando apoyo, acompañamiento y soporte requerido para el cumplimiento de sus funciones, cuando estas no lo pueden satisfacer por si solas o demandan conocimientos especializados, que no pueden ser prestados por los medios ordinarios. En realidad, el contrato de prestación de servicios </w:t>
      </w:r>
      <w:r w:rsidRPr="00586F6B">
        <w:rPr>
          <w:rFonts w:ascii="Century Gothic" w:eastAsia="Calibri" w:hAnsi="Century Gothic" w:cs="Arial"/>
          <w:i/>
          <w:iCs/>
          <w:sz w:val="20"/>
          <w:szCs w:val="20"/>
          <w:lang w:val="es-ES_tradnl"/>
        </w:rPr>
        <w:t>«resulta ser ante todo un contrato vital para la gestión y el funcionamiento de las entidades estatales porque suple las deficiencias de estas</w:t>
      </w:r>
      <w:r w:rsidR="00D8012C">
        <w:rPr>
          <w:rFonts w:ascii="Century Gothic" w:eastAsia="Calibri" w:hAnsi="Century Gothic" w:cs="Arial"/>
          <w:i/>
          <w:iCs/>
          <w:sz w:val="20"/>
          <w:szCs w:val="20"/>
          <w:lang w:val="es-ES_tradnl"/>
        </w:rPr>
        <w:t>”</w:t>
      </w:r>
    </w:p>
    <w:p w14:paraId="384F106F" w14:textId="77777777" w:rsidR="00586F6B" w:rsidRPr="00586F6B" w:rsidRDefault="00586F6B" w:rsidP="00586F6B">
      <w:pPr>
        <w:jc w:val="both"/>
        <w:rPr>
          <w:rFonts w:ascii="Century Gothic" w:hAnsi="Century Gothic" w:cs="Arial"/>
          <w:b/>
          <w:sz w:val="20"/>
          <w:szCs w:val="20"/>
        </w:rPr>
      </w:pPr>
      <w:r w:rsidRPr="00586F6B">
        <w:rPr>
          <w:rFonts w:ascii="Century Gothic" w:hAnsi="Century Gothic" w:cs="Arial"/>
          <w:b/>
          <w:sz w:val="20"/>
          <w:szCs w:val="20"/>
        </w:rPr>
        <w:t xml:space="preserve">CLÁUSULA DE COMISIÓN DE ÉXITO - Contrato estatal- Artículo 40 de la Ley 80 de 1993 </w:t>
      </w:r>
    </w:p>
    <w:p w14:paraId="57E15247" w14:textId="1912DC46" w:rsidR="00586F6B" w:rsidRPr="00586F6B" w:rsidRDefault="00586F6B" w:rsidP="00586F6B">
      <w:pPr>
        <w:jc w:val="both"/>
        <w:rPr>
          <w:rFonts w:ascii="Century Gothic" w:eastAsia="Calibri" w:hAnsi="Century Gothic" w:cs="Arial"/>
          <w:b/>
          <w:sz w:val="20"/>
          <w:szCs w:val="20"/>
        </w:rPr>
      </w:pPr>
      <w:r w:rsidRPr="00586F6B">
        <w:rPr>
          <w:rFonts w:ascii="Century Gothic" w:eastAsia="Calibri" w:hAnsi="Century Gothic" w:cs="Arial"/>
          <w:b/>
          <w:sz w:val="20"/>
          <w:szCs w:val="20"/>
        </w:rPr>
        <w:t xml:space="preserve"> </w:t>
      </w:r>
      <w:r w:rsidRPr="00586F6B">
        <w:rPr>
          <w:rFonts w:ascii="Century Gothic" w:eastAsia="Calibri" w:hAnsi="Century Gothic" w:cs="Arial"/>
          <w:bCs/>
          <w:sz w:val="20"/>
          <w:szCs w:val="20"/>
        </w:rPr>
        <w:t>Las cláusulas de comisión de éxito no se encuentran reguladas expresamente en el Estatuto General de Contratación de la Administración Pública. Sin embargo, su inclusión en los contratos estatales es posible en virtud del artículo 40, inciso segundo, de la Ley 80 de 1993, el cual regula el contenido del contrato estatal señalando «Las entidades podrán celebrar los contratos y acuerdos que permitan la autonomía de la voluntad y requieran el cumplimiento de los fines estatales».</w:t>
      </w:r>
    </w:p>
    <w:p w14:paraId="76EE20AD" w14:textId="65511D6F" w:rsidR="00586F6B" w:rsidRPr="00586F6B" w:rsidRDefault="00586F6B" w:rsidP="00586F6B">
      <w:pPr>
        <w:tabs>
          <w:tab w:val="left" w:pos="426"/>
        </w:tabs>
        <w:jc w:val="both"/>
        <w:rPr>
          <w:rFonts w:ascii="Century Gothic" w:eastAsia="Calibri" w:hAnsi="Century Gothic" w:cs="Arial"/>
          <w:bCs/>
          <w:sz w:val="20"/>
          <w:szCs w:val="20"/>
        </w:rPr>
      </w:pPr>
      <w:r w:rsidRPr="00586F6B">
        <w:rPr>
          <w:rFonts w:ascii="Century Gothic" w:eastAsia="Calibri" w:hAnsi="Century Gothic" w:cs="Arial"/>
          <w:bCs/>
          <w:sz w:val="20"/>
          <w:szCs w:val="20"/>
        </w:rPr>
        <w:t xml:space="preserve"> […]</w:t>
      </w:r>
    </w:p>
    <w:p w14:paraId="4BD0164D" w14:textId="77777777" w:rsidR="00586F6B" w:rsidRPr="00586F6B" w:rsidRDefault="00586F6B" w:rsidP="00586F6B">
      <w:pPr>
        <w:tabs>
          <w:tab w:val="left" w:pos="426"/>
        </w:tabs>
        <w:jc w:val="both"/>
        <w:rPr>
          <w:rFonts w:ascii="Century Gothic" w:eastAsia="Calibri" w:hAnsi="Century Gothic" w:cs="Arial"/>
          <w:bCs/>
          <w:sz w:val="20"/>
          <w:szCs w:val="20"/>
          <w:lang w:val="es-ES"/>
        </w:rPr>
      </w:pPr>
      <w:r w:rsidRPr="00586F6B">
        <w:rPr>
          <w:rFonts w:ascii="Century Gothic" w:eastAsia="Calibri" w:hAnsi="Century Gothic" w:cs="Arial"/>
          <w:bCs/>
          <w:sz w:val="20"/>
          <w:szCs w:val="20"/>
          <w:lang w:val="es-ES"/>
        </w:rPr>
        <w:lastRenderedPageBreak/>
        <w:t>En tal sentido, la cláusula de comisión de éxito puede pactarse en los contratos estatales en donde se haga necesaria y conveniente para la consecución de los fines estatales de acuerdo con la justificación que al respecto realice la entidad estatal en la etapa de planeación.  Cabe precisar que la comisión o prima de éxito se trata de una figura del derecho privado que se presenta como una manifestación del principio de la autonomía de la voluntad dentro de las cláusulas accidentales de los contratos.</w:t>
      </w:r>
    </w:p>
    <w:p w14:paraId="08F459F3" w14:textId="77777777" w:rsidR="00586F6B" w:rsidRPr="00586F6B" w:rsidRDefault="00586F6B" w:rsidP="00586F6B">
      <w:pPr>
        <w:jc w:val="both"/>
        <w:rPr>
          <w:rFonts w:ascii="Century Gothic" w:hAnsi="Century Gothic" w:cs="Arial"/>
          <w:sz w:val="20"/>
          <w:szCs w:val="20"/>
        </w:rPr>
      </w:pPr>
    </w:p>
    <w:p w14:paraId="7B1A135C" w14:textId="77777777" w:rsidR="00D83027" w:rsidRDefault="00D83027" w:rsidP="00D83027">
      <w:pPr>
        <w:jc w:val="both"/>
        <w:rPr>
          <w:rFonts w:ascii="Arial" w:hAnsi="Arial" w:cs="Arial"/>
          <w:b/>
        </w:rPr>
      </w:pPr>
    </w:p>
    <w:p w14:paraId="4EA7EB88" w14:textId="77777777" w:rsidR="00D83027" w:rsidRDefault="00D83027" w:rsidP="00D83027">
      <w:pPr>
        <w:jc w:val="both"/>
        <w:rPr>
          <w:rFonts w:ascii="Arial" w:hAnsi="Arial" w:cs="Arial"/>
          <w:b/>
        </w:rPr>
      </w:pPr>
    </w:p>
    <w:p w14:paraId="7335E095" w14:textId="77777777" w:rsidR="00D83027" w:rsidRDefault="00D83027" w:rsidP="00D83027">
      <w:pPr>
        <w:jc w:val="both"/>
        <w:rPr>
          <w:rFonts w:ascii="Arial" w:hAnsi="Arial" w:cs="Arial"/>
          <w:b/>
        </w:rPr>
      </w:pPr>
    </w:p>
    <w:p w14:paraId="10F453FA" w14:textId="77777777" w:rsidR="00D83027" w:rsidRDefault="00D83027" w:rsidP="00D83027">
      <w:pPr>
        <w:jc w:val="both"/>
        <w:rPr>
          <w:rFonts w:ascii="Arial" w:hAnsi="Arial" w:cs="Arial"/>
          <w:b/>
        </w:rPr>
      </w:pPr>
    </w:p>
    <w:p w14:paraId="0DA696E7" w14:textId="77777777" w:rsidR="00D83027" w:rsidRDefault="00D83027" w:rsidP="00D83027">
      <w:pPr>
        <w:jc w:val="both"/>
        <w:rPr>
          <w:rFonts w:ascii="Arial" w:hAnsi="Arial" w:cs="Arial"/>
          <w:b/>
        </w:rPr>
      </w:pPr>
    </w:p>
    <w:p w14:paraId="22EFC3EE" w14:textId="77777777" w:rsidR="00D83027" w:rsidRDefault="00D83027" w:rsidP="00D83027">
      <w:pPr>
        <w:jc w:val="both"/>
        <w:rPr>
          <w:rFonts w:ascii="Arial" w:hAnsi="Arial" w:cs="Arial"/>
          <w:b/>
        </w:rPr>
      </w:pPr>
    </w:p>
    <w:p w14:paraId="1AF80822" w14:textId="77777777" w:rsidR="00D83027" w:rsidRDefault="00D83027" w:rsidP="00D83027">
      <w:pPr>
        <w:jc w:val="both"/>
        <w:rPr>
          <w:rFonts w:ascii="Arial" w:hAnsi="Arial" w:cs="Arial"/>
          <w:b/>
        </w:rPr>
      </w:pPr>
    </w:p>
    <w:p w14:paraId="5A2EBDDF" w14:textId="77777777" w:rsidR="00D83027" w:rsidRDefault="00D83027" w:rsidP="00D83027">
      <w:pPr>
        <w:jc w:val="both"/>
        <w:rPr>
          <w:rFonts w:ascii="Arial" w:hAnsi="Arial" w:cs="Arial"/>
          <w:b/>
        </w:rPr>
      </w:pPr>
    </w:p>
    <w:p w14:paraId="2F8B709F" w14:textId="77777777" w:rsidR="00D83027" w:rsidRDefault="00D83027" w:rsidP="00D83027">
      <w:pPr>
        <w:jc w:val="both"/>
        <w:rPr>
          <w:rFonts w:ascii="Arial" w:hAnsi="Arial" w:cs="Arial"/>
          <w:b/>
        </w:rPr>
      </w:pPr>
    </w:p>
    <w:p w14:paraId="3F9A6B41" w14:textId="77777777" w:rsidR="00D83027" w:rsidRDefault="00D83027" w:rsidP="00D83027">
      <w:pPr>
        <w:jc w:val="both"/>
        <w:rPr>
          <w:rFonts w:ascii="Arial" w:hAnsi="Arial" w:cs="Arial"/>
          <w:b/>
        </w:rPr>
      </w:pPr>
    </w:p>
    <w:p w14:paraId="141984E2" w14:textId="77777777" w:rsidR="00D83027" w:rsidRDefault="00D83027" w:rsidP="00D83027">
      <w:pPr>
        <w:jc w:val="both"/>
        <w:rPr>
          <w:rFonts w:ascii="Arial" w:hAnsi="Arial" w:cs="Arial"/>
          <w:b/>
        </w:rPr>
      </w:pPr>
    </w:p>
    <w:p w14:paraId="007A8026" w14:textId="77777777" w:rsidR="00D83027" w:rsidRDefault="00D83027" w:rsidP="00D83027">
      <w:pPr>
        <w:jc w:val="both"/>
        <w:rPr>
          <w:rFonts w:ascii="Arial" w:hAnsi="Arial" w:cs="Arial"/>
          <w:b/>
        </w:rPr>
      </w:pPr>
    </w:p>
    <w:p w14:paraId="794DF10A" w14:textId="77777777" w:rsidR="00D83027" w:rsidRDefault="00D83027" w:rsidP="00D83027">
      <w:pPr>
        <w:jc w:val="both"/>
        <w:rPr>
          <w:rFonts w:ascii="Arial" w:hAnsi="Arial" w:cs="Arial"/>
          <w:b/>
        </w:rPr>
      </w:pPr>
    </w:p>
    <w:p w14:paraId="2AC6E964" w14:textId="77777777" w:rsidR="00D83027" w:rsidRDefault="00D83027" w:rsidP="00D83027">
      <w:pPr>
        <w:jc w:val="both"/>
        <w:rPr>
          <w:rFonts w:ascii="Arial" w:hAnsi="Arial" w:cs="Arial"/>
          <w:b/>
        </w:rPr>
      </w:pPr>
    </w:p>
    <w:p w14:paraId="5D0093F9" w14:textId="77777777" w:rsidR="00D83027" w:rsidRDefault="00D83027" w:rsidP="00D83027">
      <w:pPr>
        <w:jc w:val="both"/>
        <w:rPr>
          <w:rFonts w:ascii="Arial" w:hAnsi="Arial" w:cs="Arial"/>
          <w:b/>
        </w:rPr>
      </w:pPr>
    </w:p>
    <w:p w14:paraId="0FBE28CF" w14:textId="77777777" w:rsidR="00D83027" w:rsidRDefault="00D83027" w:rsidP="00D83027">
      <w:pPr>
        <w:jc w:val="both"/>
        <w:rPr>
          <w:rFonts w:ascii="Arial" w:hAnsi="Arial" w:cs="Arial"/>
          <w:b/>
        </w:rPr>
      </w:pPr>
    </w:p>
    <w:p w14:paraId="0E3109E7" w14:textId="77777777" w:rsidR="00D83027" w:rsidRDefault="00D83027" w:rsidP="00D83027">
      <w:pPr>
        <w:jc w:val="both"/>
        <w:rPr>
          <w:rFonts w:ascii="Arial" w:hAnsi="Arial" w:cs="Arial"/>
          <w:b/>
        </w:rPr>
      </w:pPr>
    </w:p>
    <w:p w14:paraId="13011523" w14:textId="77777777" w:rsidR="00D83027" w:rsidRDefault="00D83027" w:rsidP="00D83027">
      <w:pPr>
        <w:jc w:val="both"/>
        <w:rPr>
          <w:rFonts w:ascii="Arial" w:hAnsi="Arial" w:cs="Arial"/>
          <w:b/>
        </w:rPr>
      </w:pPr>
    </w:p>
    <w:p w14:paraId="01F5E167" w14:textId="77777777" w:rsidR="00D83027" w:rsidRDefault="00D83027" w:rsidP="00D83027">
      <w:pPr>
        <w:jc w:val="both"/>
        <w:rPr>
          <w:rFonts w:ascii="Arial" w:hAnsi="Arial" w:cs="Arial"/>
          <w:b/>
        </w:rPr>
      </w:pPr>
    </w:p>
    <w:p w14:paraId="10F76D5F" w14:textId="77777777" w:rsidR="00D83027" w:rsidRDefault="00D83027" w:rsidP="00D83027">
      <w:pPr>
        <w:jc w:val="both"/>
        <w:rPr>
          <w:rFonts w:ascii="Arial" w:hAnsi="Arial" w:cs="Arial"/>
          <w:b/>
        </w:rPr>
      </w:pPr>
    </w:p>
    <w:p w14:paraId="44A06B17" w14:textId="50D4DB8C" w:rsidR="005A6AA1" w:rsidRPr="00D83027" w:rsidRDefault="005A6AA1" w:rsidP="00D83027">
      <w:pPr>
        <w:jc w:val="both"/>
        <w:rPr>
          <w:rFonts w:ascii="Arial" w:hAnsi="Arial" w:cs="Arial"/>
          <w:sz w:val="20"/>
          <w:szCs w:val="20"/>
        </w:rPr>
      </w:pPr>
      <w:r w:rsidRPr="00DE0397">
        <w:rPr>
          <w:rFonts w:ascii="Century Gothic" w:hAnsi="Century Gothic"/>
          <w:lang w:val="es-ES"/>
        </w:rPr>
        <w:lastRenderedPageBreak/>
        <w:t xml:space="preserve">Bogotá D.C., </w:t>
      </w:r>
      <w:r w:rsidR="00EE05F3">
        <w:rPr>
          <w:rFonts w:ascii="Century Gothic" w:hAnsi="Century Gothic"/>
          <w:lang w:val="es-ES"/>
        </w:rPr>
        <w:t>15 de mayo del 2024</w:t>
      </w:r>
    </w:p>
    <w:p w14:paraId="7EBFAB6A" w14:textId="77777777" w:rsidR="005A6AA1" w:rsidRPr="00DE0397" w:rsidRDefault="005A6AA1" w:rsidP="00400548">
      <w:pPr>
        <w:spacing w:after="0"/>
        <w:rPr>
          <w:rFonts w:ascii="Century Gothic" w:hAnsi="Century Gothic"/>
          <w:lang w:val="es-ES"/>
        </w:rPr>
      </w:pPr>
    </w:p>
    <w:p w14:paraId="53DF2729" w14:textId="67DB1F8A" w:rsidR="003F7C7D" w:rsidRPr="00DE0397" w:rsidRDefault="00EE05F3" w:rsidP="00EE05F3">
      <w:pPr>
        <w:spacing w:after="0"/>
        <w:jc w:val="right"/>
        <w:rPr>
          <w:rFonts w:ascii="Century Gothic" w:hAnsi="Century Gothic"/>
          <w:lang w:val="es-ES"/>
        </w:rPr>
      </w:pPr>
      <w:r w:rsidRPr="00EE05F3">
        <w:rPr>
          <w:rFonts w:ascii="Century Gothic" w:hAnsi="Century Gothic"/>
          <w:noProof/>
          <w:lang w:val="es-ES"/>
        </w:rPr>
        <w:drawing>
          <wp:inline distT="0" distB="0" distL="0" distR="0" wp14:anchorId="5C55D888" wp14:editId="56656D86">
            <wp:extent cx="3186430" cy="944217"/>
            <wp:effectExtent l="0" t="0" r="1270" b="0"/>
            <wp:docPr id="1882949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49815" name=""/>
                    <pic:cNvPicPr/>
                  </pic:nvPicPr>
                  <pic:blipFill>
                    <a:blip r:embed="rId11"/>
                    <a:stretch>
                      <a:fillRect/>
                    </a:stretch>
                  </pic:blipFill>
                  <pic:spPr>
                    <a:xfrm>
                      <a:off x="0" y="0"/>
                      <a:ext cx="3213306" cy="952181"/>
                    </a:xfrm>
                    <a:prstGeom prst="rect">
                      <a:avLst/>
                    </a:prstGeom>
                  </pic:spPr>
                </pic:pic>
              </a:graphicData>
            </a:graphic>
          </wp:inline>
        </w:drawing>
      </w:r>
    </w:p>
    <w:p w14:paraId="3A109F52" w14:textId="77777777" w:rsidR="00240BFC" w:rsidRPr="00DE0397" w:rsidRDefault="00240BFC" w:rsidP="00400548">
      <w:pPr>
        <w:spacing w:after="0"/>
        <w:rPr>
          <w:rFonts w:ascii="Century Gothic" w:hAnsi="Century Gothic"/>
          <w:lang w:val="es-ES"/>
        </w:rPr>
      </w:pPr>
    </w:p>
    <w:p w14:paraId="4E6A0A34" w14:textId="19035994" w:rsidR="007C2E3C" w:rsidRPr="00DE0397" w:rsidRDefault="00CB56F3" w:rsidP="007C2E3C">
      <w:pPr>
        <w:spacing w:after="0"/>
        <w:rPr>
          <w:rFonts w:ascii="Century Gothic" w:hAnsi="Century Gothic"/>
          <w:lang w:val="es-ES"/>
        </w:rPr>
      </w:pPr>
      <w:r w:rsidRPr="00DE0397">
        <w:rPr>
          <w:rFonts w:ascii="Century Gothic" w:hAnsi="Century Gothic" w:cs="Arial"/>
          <w:lang w:val="es-ES"/>
        </w:rPr>
        <w:t>Señor</w:t>
      </w:r>
      <w:r w:rsidR="007C2E3C" w:rsidRPr="00DE0397">
        <w:rPr>
          <w:rFonts w:ascii="Century Gothic" w:hAnsi="Century Gothic" w:cs="Arial"/>
          <w:lang w:val="es-ES"/>
        </w:rPr>
        <w:t>:</w:t>
      </w:r>
    </w:p>
    <w:p w14:paraId="55164B73" w14:textId="14D85CB0" w:rsidR="007C2E3C" w:rsidRPr="00DE0397" w:rsidRDefault="00CB56F3" w:rsidP="007C2E3C">
      <w:pPr>
        <w:spacing w:after="0" w:line="276" w:lineRule="auto"/>
        <w:rPr>
          <w:rFonts w:ascii="Century Gothic" w:hAnsi="Century Gothic" w:cs="Arial"/>
          <w:b/>
          <w:bCs/>
          <w:lang w:val="es-ES"/>
        </w:rPr>
      </w:pPr>
      <w:r w:rsidRPr="00DE0397">
        <w:rPr>
          <w:rFonts w:ascii="Century Gothic" w:hAnsi="Century Gothic" w:cs="Arial"/>
          <w:b/>
          <w:bCs/>
          <w:lang w:val="es-ES"/>
        </w:rPr>
        <w:t>Fernando Mauricio Iglesias Gaona</w:t>
      </w:r>
    </w:p>
    <w:p w14:paraId="2DE2BECD" w14:textId="7D57E3D7" w:rsidR="00240BFC" w:rsidRPr="00DE0397" w:rsidRDefault="00436B76" w:rsidP="007C2E3C">
      <w:pPr>
        <w:spacing w:after="0" w:line="276" w:lineRule="auto"/>
        <w:rPr>
          <w:rFonts w:ascii="Century Gothic" w:hAnsi="Century Gothic" w:cs="Arial"/>
          <w:lang w:val="es-ES"/>
        </w:rPr>
      </w:pPr>
      <w:hyperlink r:id="rId12" w:history="1">
        <w:r w:rsidR="00240BFC" w:rsidRPr="00DE0397">
          <w:rPr>
            <w:rStyle w:val="Hipervnculo"/>
            <w:rFonts w:ascii="Century Gothic" w:hAnsi="Century Gothic" w:cs="Arial"/>
            <w:lang w:val="es-ES"/>
          </w:rPr>
          <w:t>frenandoiglesias@gmail.com</w:t>
        </w:r>
      </w:hyperlink>
    </w:p>
    <w:p w14:paraId="46C77207" w14:textId="72C24C05" w:rsidR="007C2E3C" w:rsidRPr="00DE0397" w:rsidRDefault="00240BFC" w:rsidP="007C2E3C">
      <w:pPr>
        <w:spacing w:after="0" w:line="276" w:lineRule="auto"/>
        <w:rPr>
          <w:rFonts w:ascii="Century Gothic" w:hAnsi="Century Gothic" w:cs="Arial"/>
          <w:lang w:val="es-ES"/>
        </w:rPr>
      </w:pPr>
      <w:r w:rsidRPr="00DE0397">
        <w:rPr>
          <w:rFonts w:ascii="Century Gothic" w:hAnsi="Century Gothic" w:cs="Arial"/>
          <w:lang w:val="es-ES"/>
        </w:rPr>
        <w:t>Neiva, Huila</w:t>
      </w:r>
    </w:p>
    <w:p w14:paraId="2A75B0D8" w14:textId="77777777" w:rsidR="00240BFC" w:rsidRPr="00DE0397" w:rsidRDefault="00240BFC" w:rsidP="007C2E3C">
      <w:pPr>
        <w:spacing w:after="0" w:line="276" w:lineRule="auto"/>
        <w:rPr>
          <w:rFonts w:ascii="Century Gothic" w:hAnsi="Century Gothic" w:cs="Arial"/>
          <w:lang w:val="es-ES"/>
        </w:rPr>
      </w:pPr>
    </w:p>
    <w:p w14:paraId="74D54DB3" w14:textId="77777777" w:rsidR="003F7C7D" w:rsidRPr="00DE0397" w:rsidRDefault="003F7C7D" w:rsidP="007C2E3C">
      <w:pPr>
        <w:spacing w:after="0" w:line="276" w:lineRule="auto"/>
        <w:rPr>
          <w:rFonts w:ascii="Century Gothic" w:hAnsi="Century Gothic" w:cs="Arial"/>
          <w:lang w:val="es-ES"/>
        </w:rPr>
      </w:pPr>
    </w:p>
    <w:p w14:paraId="5E313B3B" w14:textId="4E67A636" w:rsidR="007C2E3C" w:rsidRPr="00DE0397" w:rsidRDefault="007C2E3C" w:rsidP="007C2E3C">
      <w:pPr>
        <w:spacing w:after="0" w:line="276" w:lineRule="auto"/>
        <w:ind w:left="2832"/>
        <w:rPr>
          <w:rFonts w:ascii="Century Gothic" w:eastAsia="Calibri" w:hAnsi="Century Gothic" w:cs="Arial"/>
          <w:b/>
          <w:bCs/>
          <w:lang w:val="es-ES"/>
        </w:rPr>
      </w:pPr>
      <w:r w:rsidRPr="00DE0397">
        <w:rPr>
          <w:rFonts w:ascii="Century Gothic" w:eastAsia="Calibri" w:hAnsi="Century Gothic" w:cs="Arial"/>
          <w:b/>
          <w:lang w:val="es-ES"/>
        </w:rPr>
        <w:t>Concepto C</w:t>
      </w:r>
      <w:r w:rsidR="00631D9E">
        <w:rPr>
          <w:rFonts w:ascii="Century Gothic" w:eastAsia="Calibri" w:hAnsi="Century Gothic" w:cs="Arial"/>
          <w:b/>
          <w:lang w:val="es-ES"/>
        </w:rPr>
        <w:t>-</w:t>
      </w:r>
      <w:r w:rsidR="00CB56F3" w:rsidRPr="00DE0397">
        <w:rPr>
          <w:rFonts w:ascii="Century Gothic" w:eastAsia="Calibri" w:hAnsi="Century Gothic" w:cs="Arial"/>
          <w:b/>
          <w:bCs/>
          <w:lang w:val="es-ES"/>
        </w:rPr>
        <w:t>074</w:t>
      </w:r>
      <w:r w:rsidRPr="00DE0397">
        <w:rPr>
          <w:rFonts w:ascii="Century Gothic" w:eastAsia="Calibri" w:hAnsi="Century Gothic" w:cs="Arial"/>
          <w:b/>
          <w:bCs/>
          <w:lang w:val="es-ES"/>
        </w:rPr>
        <w:t xml:space="preserve"> </w:t>
      </w:r>
      <w:r w:rsidRPr="00DE0397">
        <w:rPr>
          <w:rFonts w:ascii="Century Gothic" w:eastAsia="Calibri" w:hAnsi="Century Gothic" w:cs="Arial"/>
          <w:b/>
          <w:lang w:val="es-ES"/>
        </w:rPr>
        <w:t>del 2024</w:t>
      </w:r>
    </w:p>
    <w:p w14:paraId="21BA2A51" w14:textId="77777777" w:rsidR="007C2E3C" w:rsidRPr="00DE0397" w:rsidRDefault="007C2E3C" w:rsidP="007C2E3C">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C2E3C" w:rsidRPr="00DE0397" w14:paraId="40386D2A" w14:textId="77777777" w:rsidTr="00017DA8">
        <w:trPr>
          <w:jc w:val="right"/>
        </w:trPr>
        <w:tc>
          <w:tcPr>
            <w:tcW w:w="1838" w:type="dxa"/>
          </w:tcPr>
          <w:p w14:paraId="7DF61DC5" w14:textId="781EDC00" w:rsidR="007C2E3C" w:rsidRPr="00DE0397" w:rsidRDefault="007C2E3C" w:rsidP="00017DA8">
            <w:pPr>
              <w:spacing w:line="276" w:lineRule="auto"/>
              <w:jc w:val="center"/>
              <w:rPr>
                <w:rFonts w:ascii="Century Gothic" w:eastAsia="Calibri" w:hAnsi="Century Gothic" w:cs="Arial"/>
                <w:lang w:val="es-ES"/>
              </w:rPr>
            </w:pPr>
            <w:r w:rsidRPr="00DE0397">
              <w:rPr>
                <w:rFonts w:ascii="Century Gothic" w:eastAsia="Calibri" w:hAnsi="Century Gothic" w:cs="Arial"/>
                <w:b/>
                <w:lang w:val="es-ES"/>
              </w:rPr>
              <w:t>Tema</w:t>
            </w:r>
            <w:r w:rsidR="00872447" w:rsidRPr="00DE0397">
              <w:rPr>
                <w:rFonts w:ascii="Century Gothic" w:eastAsia="Calibri" w:hAnsi="Century Gothic" w:cs="Arial"/>
                <w:b/>
                <w:lang w:val="es-ES"/>
              </w:rPr>
              <w:t>s</w:t>
            </w:r>
            <w:r w:rsidRPr="00DE0397">
              <w:rPr>
                <w:rFonts w:ascii="Century Gothic" w:eastAsia="Calibri" w:hAnsi="Century Gothic" w:cs="Arial"/>
                <w:b/>
                <w:lang w:val="es-ES"/>
              </w:rPr>
              <w:t>:</w:t>
            </w:r>
          </w:p>
        </w:tc>
        <w:tc>
          <w:tcPr>
            <w:tcW w:w="6237" w:type="dxa"/>
          </w:tcPr>
          <w:p w14:paraId="2DBC08BD" w14:textId="7A17FEE4" w:rsidR="007C2E3C" w:rsidRPr="00DE0397" w:rsidRDefault="001D0197" w:rsidP="00017DA8">
            <w:pPr>
              <w:spacing w:after="120"/>
              <w:contextualSpacing/>
              <w:jc w:val="both"/>
              <w:rPr>
                <w:rFonts w:ascii="Century Gothic" w:eastAsia="Calibri" w:hAnsi="Century Gothic" w:cs="Arial"/>
                <w:lang w:val="es-ES" w:eastAsia="es-ES_tradnl"/>
              </w:rPr>
            </w:pPr>
            <w:r w:rsidRPr="00DE0397">
              <w:rPr>
                <w:rFonts w:ascii="Century Gothic" w:eastAsia="Calibri" w:hAnsi="Century Gothic" w:cs="Arial"/>
                <w:lang w:val="es-ES_tradnl" w:eastAsia="es-ES_tradnl"/>
              </w:rPr>
              <w:t xml:space="preserve">CONTRATO DE PRESTACIÓN DE SERVICIOS – Concepto – Objeto </w:t>
            </w:r>
            <w:r w:rsidRPr="00DE0397">
              <w:rPr>
                <w:rFonts w:ascii="Century Gothic" w:eastAsia="Calibri" w:hAnsi="Century Gothic" w:cs="Arial"/>
                <w:bCs/>
                <w:lang w:val="es-ES" w:eastAsia="es-ES_tradnl"/>
              </w:rPr>
              <w:t xml:space="preserve">/ </w:t>
            </w:r>
            <w:r w:rsidRPr="00DE0397">
              <w:rPr>
                <w:rFonts w:ascii="Century Gothic" w:eastAsia="Calibri" w:hAnsi="Century Gothic" w:cs="Arial"/>
                <w:lang w:val="es-ES_tradnl" w:eastAsia="es-ES_tradnl"/>
              </w:rPr>
              <w:t xml:space="preserve">CONTRATO DE PRESTACIÓN DE SERVICIOS PROFESIONALES Y DE APOYO A LA GESTIÓN – Definición </w:t>
            </w:r>
            <w:r w:rsidR="0068552A" w:rsidRPr="00DE0397">
              <w:rPr>
                <w:rFonts w:ascii="Century Gothic" w:eastAsia="Calibri" w:hAnsi="Century Gothic" w:cs="Arial"/>
                <w:lang w:val="es-ES" w:eastAsia="es-ES_tradnl"/>
              </w:rPr>
              <w:t>/</w:t>
            </w:r>
            <w:r w:rsidR="00EA0D64" w:rsidRPr="00DE0397">
              <w:rPr>
                <w:rFonts w:ascii="Century Gothic" w:eastAsia="Calibri" w:hAnsi="Century Gothic" w:cs="Arial"/>
                <w:lang w:val="es-ES" w:eastAsia="es-ES_tradnl"/>
              </w:rPr>
              <w:t xml:space="preserve"> CLÁUSULA DE COMISIÓN DE ÉXITO </w:t>
            </w:r>
            <w:r w:rsidR="004F34D1" w:rsidRPr="00DE0397">
              <w:rPr>
                <w:rFonts w:ascii="Century Gothic" w:eastAsia="Calibri" w:hAnsi="Century Gothic" w:cs="Arial"/>
                <w:lang w:val="es-ES_tradnl" w:eastAsia="es-ES_tradnl"/>
              </w:rPr>
              <w:t>–</w:t>
            </w:r>
            <w:r w:rsidR="00EA0D64" w:rsidRPr="00DE0397">
              <w:rPr>
                <w:rFonts w:ascii="Century Gothic" w:eastAsia="Calibri" w:hAnsi="Century Gothic" w:cs="Arial"/>
                <w:lang w:val="es-ES" w:eastAsia="es-ES_tradnl"/>
              </w:rPr>
              <w:t xml:space="preserve"> Contrato estata</w:t>
            </w:r>
            <w:r w:rsidR="004F34D1">
              <w:rPr>
                <w:rFonts w:ascii="Century Gothic" w:eastAsia="Calibri" w:hAnsi="Century Gothic" w:cs="Arial"/>
                <w:lang w:val="es-ES" w:eastAsia="es-ES_tradnl"/>
              </w:rPr>
              <w:t xml:space="preserve">l </w:t>
            </w:r>
            <w:r w:rsidR="004F34D1" w:rsidRPr="00DE0397">
              <w:rPr>
                <w:rFonts w:ascii="Century Gothic" w:eastAsia="Calibri" w:hAnsi="Century Gothic" w:cs="Arial"/>
                <w:lang w:val="es-ES_tradnl" w:eastAsia="es-ES_tradnl"/>
              </w:rPr>
              <w:t>–</w:t>
            </w:r>
            <w:r w:rsidR="00EA0D64">
              <w:rPr>
                <w:rFonts w:ascii="Century Gothic" w:eastAsia="Calibri" w:hAnsi="Century Gothic" w:cs="Arial"/>
                <w:lang w:val="es-ES_tradnl" w:eastAsia="es-ES_tradnl"/>
              </w:rPr>
              <w:t xml:space="preserve"> </w:t>
            </w:r>
            <w:r w:rsidR="00EA0D64" w:rsidRPr="00DE0397">
              <w:rPr>
                <w:rFonts w:ascii="Century Gothic" w:eastAsia="Calibri" w:hAnsi="Century Gothic" w:cs="Arial"/>
                <w:lang w:val="es-ES" w:eastAsia="es-ES_tradnl"/>
              </w:rPr>
              <w:t>Artículo 40 de la Ley 80 de 1993</w:t>
            </w:r>
          </w:p>
          <w:p w14:paraId="03AA8838" w14:textId="626157D6" w:rsidR="0068552A" w:rsidRPr="00DE0397" w:rsidRDefault="0068552A" w:rsidP="00017DA8">
            <w:pPr>
              <w:spacing w:after="120"/>
              <w:contextualSpacing/>
              <w:jc w:val="both"/>
              <w:rPr>
                <w:rFonts w:ascii="Century Gothic" w:eastAsia="Calibri" w:hAnsi="Century Gothic" w:cs="Arial"/>
                <w:bCs/>
                <w:lang w:val="es-ES" w:eastAsia="es-ES_tradnl"/>
              </w:rPr>
            </w:pPr>
          </w:p>
        </w:tc>
      </w:tr>
      <w:tr w:rsidR="007C2E3C" w:rsidRPr="00DE0397" w14:paraId="37FFC837" w14:textId="70B58566" w:rsidTr="007C43F9">
        <w:trPr>
          <w:trHeight w:val="87"/>
          <w:jc w:val="right"/>
        </w:trPr>
        <w:tc>
          <w:tcPr>
            <w:tcW w:w="1838" w:type="dxa"/>
          </w:tcPr>
          <w:p w14:paraId="4FC0AD2A" w14:textId="1BFBF66D" w:rsidR="007C2E3C" w:rsidRPr="00DE0397" w:rsidRDefault="007C2E3C" w:rsidP="007C2E3C">
            <w:pPr>
              <w:spacing w:line="276" w:lineRule="auto"/>
              <w:jc w:val="center"/>
              <w:rPr>
                <w:rFonts w:ascii="Century Gothic" w:eastAsia="Calibri" w:hAnsi="Century Gothic" w:cs="Arial"/>
                <w:b/>
                <w:lang w:val="es-ES"/>
              </w:rPr>
            </w:pPr>
            <w:r w:rsidRPr="00DE0397">
              <w:rPr>
                <w:rFonts w:ascii="Century Gothic" w:eastAsia="Calibri" w:hAnsi="Century Gothic" w:cs="Arial"/>
                <w:b/>
                <w:lang w:val="es-ES"/>
              </w:rPr>
              <w:t>Radicado:</w:t>
            </w:r>
          </w:p>
        </w:tc>
        <w:tc>
          <w:tcPr>
            <w:tcW w:w="6237" w:type="dxa"/>
          </w:tcPr>
          <w:p w14:paraId="314BA96A" w14:textId="3D3476DB" w:rsidR="007C2E3C" w:rsidRPr="00DE0397" w:rsidRDefault="007C2E3C" w:rsidP="007C2E3C">
            <w:pPr>
              <w:spacing w:after="120"/>
              <w:contextualSpacing/>
              <w:jc w:val="both"/>
              <w:rPr>
                <w:rFonts w:ascii="Century Gothic" w:eastAsia="Calibri" w:hAnsi="Century Gothic" w:cs="Arial"/>
                <w:bCs/>
                <w:lang w:val="es-ES" w:eastAsia="es-ES_tradnl"/>
              </w:rPr>
            </w:pPr>
            <w:r w:rsidRPr="00DE0397">
              <w:rPr>
                <w:rFonts w:ascii="Century Gothic" w:eastAsia="Calibri" w:hAnsi="Century Gothic" w:cs="Arial"/>
                <w:lang w:val="es-ES" w:eastAsia="es-ES_tradnl"/>
              </w:rPr>
              <w:t xml:space="preserve">Respuesta a la consulta Nro. </w:t>
            </w:r>
            <w:r w:rsidR="00CB56F3" w:rsidRPr="00DE0397">
              <w:rPr>
                <w:rFonts w:ascii="Century Gothic" w:eastAsia="Calibri" w:hAnsi="Century Gothic" w:cs="Arial"/>
                <w:lang w:val="es-ES" w:eastAsia="es-ES_tradnl"/>
              </w:rPr>
              <w:t>P20240416003963</w:t>
            </w:r>
          </w:p>
          <w:p w14:paraId="7ECB9DED" w14:textId="77777777" w:rsidR="007C2E3C" w:rsidRPr="00DE0397" w:rsidRDefault="007C2E3C" w:rsidP="007C2E3C">
            <w:pPr>
              <w:rPr>
                <w:rFonts w:ascii="Century Gothic" w:hAnsi="Century Gothic"/>
                <w:lang w:val="es-ES"/>
              </w:rPr>
            </w:pPr>
          </w:p>
        </w:tc>
      </w:tr>
    </w:tbl>
    <w:p w14:paraId="6AB0AC43" w14:textId="77777777" w:rsidR="007C2E3C" w:rsidRPr="00DE0397" w:rsidRDefault="007C2E3C" w:rsidP="007C2E3C">
      <w:pPr>
        <w:spacing w:line="276" w:lineRule="auto"/>
        <w:jc w:val="both"/>
        <w:rPr>
          <w:rFonts w:ascii="Century Gothic" w:eastAsia="Calibri" w:hAnsi="Century Gothic" w:cs="Arial"/>
          <w:lang w:val="es-ES"/>
        </w:rPr>
      </w:pPr>
    </w:p>
    <w:p w14:paraId="16CD6EB8" w14:textId="333F2CC6" w:rsidR="007C2E3C" w:rsidRPr="00DE0397" w:rsidRDefault="007C2E3C" w:rsidP="007C2E3C">
      <w:pPr>
        <w:spacing w:line="276" w:lineRule="auto"/>
        <w:jc w:val="both"/>
        <w:rPr>
          <w:rFonts w:ascii="Century Gothic" w:eastAsia="Calibri" w:hAnsi="Century Gothic" w:cs="Arial"/>
          <w:bCs/>
          <w:lang w:val="es-ES"/>
        </w:rPr>
      </w:pPr>
      <w:r w:rsidRPr="00DE0397">
        <w:rPr>
          <w:rFonts w:ascii="Century Gothic" w:eastAsia="Calibri" w:hAnsi="Century Gothic" w:cs="Arial"/>
          <w:lang w:val="es-ES"/>
        </w:rPr>
        <w:t>Estimad</w:t>
      </w:r>
      <w:r w:rsidR="00240BFC" w:rsidRPr="00DE0397">
        <w:rPr>
          <w:rFonts w:ascii="Century Gothic" w:eastAsia="Calibri" w:hAnsi="Century Gothic" w:cs="Arial"/>
          <w:lang w:val="es-ES"/>
        </w:rPr>
        <w:t>o</w:t>
      </w:r>
      <w:r w:rsidRPr="00DE0397">
        <w:rPr>
          <w:rFonts w:ascii="Century Gothic" w:eastAsia="Calibri" w:hAnsi="Century Gothic" w:cs="Arial"/>
          <w:lang w:val="es-ES"/>
        </w:rPr>
        <w:t xml:space="preserve"> </w:t>
      </w:r>
      <w:r w:rsidR="00240BFC" w:rsidRPr="00DE0397">
        <w:rPr>
          <w:rFonts w:ascii="Century Gothic" w:eastAsia="Calibri" w:hAnsi="Century Gothic" w:cs="Arial"/>
          <w:lang w:val="es-ES"/>
        </w:rPr>
        <w:t>señor Iglesias Gaona</w:t>
      </w:r>
      <w:r w:rsidRPr="00DE0397">
        <w:rPr>
          <w:rFonts w:ascii="Century Gothic" w:hAnsi="Century Gothic" w:cs="Arial"/>
          <w:lang w:val="es-ES"/>
        </w:rPr>
        <w:t>:</w:t>
      </w:r>
    </w:p>
    <w:p w14:paraId="621D3D4B" w14:textId="69962C81" w:rsidR="007C2E3C" w:rsidRPr="00DE0397" w:rsidRDefault="007C2E3C" w:rsidP="007C2E3C">
      <w:pPr>
        <w:spacing w:after="0" w:line="276" w:lineRule="auto"/>
        <w:jc w:val="both"/>
        <w:rPr>
          <w:rFonts w:ascii="Century Gothic" w:eastAsia="Calibri" w:hAnsi="Century Gothic" w:cs="Arial"/>
          <w:lang w:val="es-ES"/>
        </w:rPr>
      </w:pPr>
      <w:r w:rsidRPr="00DE0397">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60051C" w:rsidRPr="00DE0397">
        <w:rPr>
          <w:rFonts w:ascii="Century Gothic" w:eastAsia="Calibri" w:hAnsi="Century Gothic" w:cs="Arial"/>
          <w:lang w:val="es-ES"/>
        </w:rPr>
        <w:t>16 de abril del 2024</w:t>
      </w:r>
      <w:r w:rsidRPr="00DE0397">
        <w:rPr>
          <w:rFonts w:ascii="Century Gothic" w:eastAsia="Calibri" w:hAnsi="Century Gothic" w:cs="Arial"/>
          <w:lang w:val="es-ES"/>
        </w:rPr>
        <w:t xml:space="preserve">. </w:t>
      </w:r>
    </w:p>
    <w:p w14:paraId="16C545C8" w14:textId="77777777" w:rsidR="007C2E3C" w:rsidRPr="00DE0397" w:rsidRDefault="007C2E3C" w:rsidP="007C2E3C">
      <w:pPr>
        <w:spacing w:after="0" w:line="276" w:lineRule="auto"/>
        <w:jc w:val="both"/>
        <w:rPr>
          <w:rFonts w:ascii="Century Gothic" w:eastAsia="Calibri" w:hAnsi="Century Gothic" w:cs="Arial"/>
          <w:lang w:val="es-ES"/>
        </w:rPr>
      </w:pPr>
    </w:p>
    <w:p w14:paraId="2912D3D6" w14:textId="77777777" w:rsidR="007C2E3C" w:rsidRPr="00DE0397" w:rsidRDefault="007C2E3C" w:rsidP="007C2E3C">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rPr>
      </w:pPr>
      <w:r w:rsidRPr="00DE0397">
        <w:rPr>
          <w:rFonts w:ascii="Century Gothic" w:eastAsia="Calibri" w:hAnsi="Century Gothic" w:cs="Arial"/>
          <w:b/>
        </w:rPr>
        <w:t xml:space="preserve">Problema planteado </w:t>
      </w:r>
    </w:p>
    <w:p w14:paraId="52558BD6" w14:textId="77777777" w:rsidR="007C2E3C" w:rsidRPr="00DE0397" w:rsidRDefault="007C2E3C" w:rsidP="007C2E3C">
      <w:pPr>
        <w:pStyle w:val="Prrafodelista"/>
        <w:tabs>
          <w:tab w:val="left" w:pos="0"/>
          <w:tab w:val="left" w:pos="142"/>
          <w:tab w:val="left" w:pos="284"/>
        </w:tabs>
        <w:spacing w:after="0" w:line="276" w:lineRule="auto"/>
        <w:ind w:left="0"/>
        <w:jc w:val="both"/>
        <w:rPr>
          <w:rFonts w:ascii="Century Gothic" w:eastAsia="Calibri" w:hAnsi="Century Gothic" w:cs="Arial"/>
          <w:b/>
        </w:rPr>
      </w:pPr>
    </w:p>
    <w:p w14:paraId="36E27B71" w14:textId="36448E02" w:rsidR="007C2E3C" w:rsidRPr="00DE0397" w:rsidRDefault="007C2E3C" w:rsidP="007C2E3C">
      <w:pPr>
        <w:spacing w:after="0" w:line="276" w:lineRule="auto"/>
        <w:jc w:val="both"/>
        <w:rPr>
          <w:rFonts w:ascii="Century Gothic" w:hAnsi="Century Gothic" w:cs="Arial"/>
          <w:lang w:val="es-ES"/>
        </w:rPr>
      </w:pPr>
      <w:r w:rsidRPr="00DE0397">
        <w:rPr>
          <w:rFonts w:ascii="Century Gothic" w:hAnsi="Century Gothic" w:cs="Arial"/>
          <w:lang w:val="es-ES"/>
        </w:rPr>
        <w:t xml:space="preserve">En la petición de la referencia se realiza solicitud de consulta sobre </w:t>
      </w:r>
      <w:r w:rsidR="007F0451" w:rsidRPr="00DE0397">
        <w:rPr>
          <w:rFonts w:ascii="Century Gothic" w:hAnsi="Century Gothic" w:cs="Arial"/>
          <w:lang w:val="es-ES"/>
        </w:rPr>
        <w:t>la suscripción de contratos de prestación de servicios profesionales</w:t>
      </w:r>
      <w:r w:rsidRPr="00DE0397">
        <w:rPr>
          <w:rFonts w:ascii="Century Gothic" w:hAnsi="Century Gothic" w:cs="Arial"/>
          <w:lang w:val="es-ES"/>
        </w:rPr>
        <w:t xml:space="preserve">. Al respecto usted pregunta:  </w:t>
      </w:r>
    </w:p>
    <w:p w14:paraId="29A66AB4" w14:textId="77777777" w:rsidR="007C2E3C" w:rsidRPr="00DE0397" w:rsidRDefault="007C2E3C" w:rsidP="007C2E3C">
      <w:pPr>
        <w:spacing w:after="0" w:line="240" w:lineRule="auto"/>
        <w:rPr>
          <w:rFonts w:ascii="Century Gothic" w:hAnsi="Century Gothic"/>
          <w:lang w:val="es-ES"/>
        </w:rPr>
      </w:pPr>
    </w:p>
    <w:p w14:paraId="708C8F70" w14:textId="5E31235A" w:rsidR="007C2E3C" w:rsidRPr="00DE0397" w:rsidRDefault="007C2E3C" w:rsidP="0076565D">
      <w:pPr>
        <w:spacing w:after="0" w:line="240" w:lineRule="auto"/>
        <w:ind w:left="709" w:right="709"/>
        <w:jc w:val="both"/>
        <w:rPr>
          <w:rFonts w:ascii="Century Gothic" w:hAnsi="Century Gothic"/>
          <w:sz w:val="20"/>
          <w:szCs w:val="20"/>
          <w:lang w:val="es-ES"/>
        </w:rPr>
      </w:pPr>
      <w:r w:rsidRPr="00DE0397">
        <w:rPr>
          <w:rFonts w:ascii="Century Gothic" w:hAnsi="Century Gothic"/>
          <w:sz w:val="20"/>
          <w:szCs w:val="20"/>
          <w:lang w:val="es-ES"/>
        </w:rPr>
        <w:t xml:space="preserve">“[…] </w:t>
      </w:r>
      <w:r w:rsidR="0076565D" w:rsidRPr="00DE0397">
        <w:rPr>
          <w:rFonts w:ascii="Century Gothic" w:hAnsi="Century Gothic"/>
          <w:sz w:val="20"/>
          <w:szCs w:val="20"/>
          <w:lang w:val="es-ES"/>
        </w:rPr>
        <w:t xml:space="preserve">Me permito solicitar concepto jurídico sobre la viabilidad de suscribir contratos de prestación de servicios </w:t>
      </w:r>
      <w:r w:rsidR="007450AB" w:rsidRPr="00DE0397">
        <w:rPr>
          <w:rFonts w:ascii="Century Gothic" w:hAnsi="Century Gothic"/>
          <w:sz w:val="20"/>
          <w:szCs w:val="20"/>
          <w:lang w:val="es-ES"/>
        </w:rPr>
        <w:t>profesionales</w:t>
      </w:r>
      <w:r w:rsidR="0099598F" w:rsidRPr="00DE0397">
        <w:rPr>
          <w:rFonts w:ascii="Century Gothic" w:hAnsi="Century Gothic"/>
          <w:sz w:val="20"/>
          <w:szCs w:val="20"/>
          <w:lang w:val="es-ES"/>
        </w:rPr>
        <w:t xml:space="preserve"> bajo la modalidad de </w:t>
      </w:r>
      <w:r w:rsidR="007450AB" w:rsidRPr="00DE0397">
        <w:rPr>
          <w:rFonts w:ascii="Century Gothic" w:hAnsi="Century Gothic"/>
          <w:sz w:val="20"/>
          <w:szCs w:val="20"/>
          <w:lang w:val="es-ES"/>
        </w:rPr>
        <w:t>Comisión</w:t>
      </w:r>
      <w:r w:rsidR="0099598F" w:rsidRPr="00DE0397">
        <w:rPr>
          <w:rFonts w:ascii="Century Gothic" w:hAnsi="Century Gothic"/>
          <w:sz w:val="20"/>
          <w:szCs w:val="20"/>
          <w:lang w:val="es-ES"/>
        </w:rPr>
        <w:t xml:space="preserve"> de éxito</w:t>
      </w:r>
      <w:r w:rsidR="00FD32A9" w:rsidRPr="00DE0397">
        <w:rPr>
          <w:rFonts w:ascii="Century Gothic" w:hAnsi="Century Gothic"/>
          <w:sz w:val="20"/>
          <w:szCs w:val="20"/>
          <w:lang w:val="es-ES"/>
        </w:rPr>
        <w:t xml:space="preserve"> o prima de éxito por parte de las Entidades sometidas a la Ley 80 y como es el trámite </w:t>
      </w:r>
      <w:r w:rsidR="006F7AF2" w:rsidRPr="00DE0397">
        <w:rPr>
          <w:rFonts w:ascii="Century Gothic" w:hAnsi="Century Gothic"/>
          <w:sz w:val="20"/>
          <w:szCs w:val="20"/>
          <w:lang w:val="es-ES"/>
        </w:rPr>
        <w:t>jurídico de sus disponibilidades presupuestales</w:t>
      </w:r>
      <w:r w:rsidRPr="00DE0397">
        <w:rPr>
          <w:rFonts w:ascii="Century Gothic" w:hAnsi="Century Gothic"/>
          <w:sz w:val="20"/>
          <w:szCs w:val="20"/>
          <w:lang w:val="es-ES"/>
        </w:rPr>
        <w:t>?</w:t>
      </w:r>
      <w:r w:rsidR="00BB77EE" w:rsidRPr="00DE0397">
        <w:rPr>
          <w:rFonts w:ascii="Century Gothic" w:hAnsi="Century Gothic"/>
          <w:sz w:val="20"/>
          <w:szCs w:val="20"/>
          <w:lang w:val="es-ES"/>
        </w:rPr>
        <w:t xml:space="preserve"> </w:t>
      </w:r>
      <w:r w:rsidRPr="00DE0397">
        <w:rPr>
          <w:rFonts w:ascii="Century Gothic" w:hAnsi="Century Gothic"/>
          <w:sz w:val="20"/>
          <w:szCs w:val="20"/>
          <w:lang w:val="es-ES"/>
        </w:rPr>
        <w:t>[…]”.</w:t>
      </w:r>
      <w:r w:rsidR="00116625">
        <w:rPr>
          <w:rFonts w:ascii="Century Gothic" w:hAnsi="Century Gothic"/>
          <w:sz w:val="20"/>
          <w:szCs w:val="20"/>
          <w:lang w:val="es-ES"/>
        </w:rPr>
        <w:t xml:space="preserve"> (SIC)</w:t>
      </w:r>
    </w:p>
    <w:p w14:paraId="5B67BAC4" w14:textId="77777777" w:rsidR="007C2E3C" w:rsidRPr="00DE0397" w:rsidRDefault="007C2E3C" w:rsidP="007C2E3C">
      <w:pPr>
        <w:spacing w:after="0" w:line="240" w:lineRule="auto"/>
        <w:ind w:left="709" w:right="709"/>
        <w:jc w:val="both"/>
        <w:rPr>
          <w:rFonts w:ascii="Century Gothic" w:hAnsi="Century Gothic"/>
          <w:lang w:val="es-ES"/>
        </w:rPr>
      </w:pPr>
    </w:p>
    <w:p w14:paraId="3574CD71" w14:textId="77777777" w:rsidR="007C2E3C" w:rsidRPr="00DE0397" w:rsidRDefault="007C2E3C" w:rsidP="007C2E3C">
      <w:pPr>
        <w:pStyle w:val="Prrafodelista"/>
        <w:numPr>
          <w:ilvl w:val="0"/>
          <w:numId w:val="6"/>
        </w:numPr>
        <w:tabs>
          <w:tab w:val="left" w:pos="0"/>
          <w:tab w:val="left" w:pos="284"/>
        </w:tabs>
        <w:spacing w:after="0" w:line="276" w:lineRule="auto"/>
        <w:ind w:left="360"/>
        <w:jc w:val="both"/>
        <w:rPr>
          <w:rFonts w:ascii="Century Gothic" w:eastAsia="Calibri" w:hAnsi="Century Gothic" w:cs="Arial"/>
          <w:b/>
        </w:rPr>
      </w:pPr>
      <w:r w:rsidRPr="00DE0397">
        <w:rPr>
          <w:rFonts w:ascii="Century Gothic" w:eastAsia="Calibri" w:hAnsi="Century Gothic" w:cs="Arial"/>
          <w:b/>
        </w:rPr>
        <w:t>Consideraciones</w:t>
      </w:r>
    </w:p>
    <w:p w14:paraId="5CFA3287" w14:textId="77777777" w:rsidR="007C2E3C" w:rsidRPr="00DE0397" w:rsidRDefault="007C2E3C" w:rsidP="007C2E3C">
      <w:pPr>
        <w:pStyle w:val="Prrafodelista"/>
        <w:tabs>
          <w:tab w:val="left" w:pos="0"/>
          <w:tab w:val="left" w:pos="284"/>
        </w:tabs>
        <w:spacing w:after="0" w:line="240" w:lineRule="auto"/>
        <w:ind w:left="360"/>
        <w:jc w:val="both"/>
        <w:rPr>
          <w:rFonts w:ascii="Century Gothic" w:eastAsia="Calibri" w:hAnsi="Century Gothic" w:cs="Arial"/>
          <w:b/>
        </w:rPr>
      </w:pPr>
    </w:p>
    <w:p w14:paraId="05715404" w14:textId="77777777" w:rsidR="007C2E3C" w:rsidRPr="00DE0397" w:rsidRDefault="007C2E3C" w:rsidP="007C2E3C">
      <w:pPr>
        <w:spacing w:after="120" w:line="276" w:lineRule="auto"/>
        <w:jc w:val="both"/>
        <w:rPr>
          <w:rFonts w:ascii="Century Gothic" w:hAnsi="Century Gothic" w:cs="Arial"/>
          <w:lang w:val="es-ES"/>
        </w:rPr>
      </w:pPr>
      <w:r w:rsidRPr="00DE0397">
        <w:rPr>
          <w:rFonts w:ascii="Century Gothic" w:hAnsi="Century Gothic" w:cs="Arial"/>
          <w:lang w:val="es-ES"/>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DE0397">
        <w:rPr>
          <w:rFonts w:ascii="Century Gothic" w:hAnsi="Century Gothic" w:cs="Arial"/>
          <w:lang w:val="es-ES"/>
        </w:rPr>
        <w:t xml:space="preserve">. Es necesario tener en cuenta que </w:t>
      </w:r>
      <w:bookmarkStart w:id="2" w:name="_Hlk61026958"/>
      <w:r w:rsidRPr="00DE0397">
        <w:rPr>
          <w:rFonts w:ascii="Century Gothic" w:hAnsi="Century Gothic" w:cs="Arial"/>
          <w:lang w:val="es-ES"/>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bookmarkEnd w:id="0"/>
      <w:bookmarkEnd w:id="1"/>
      <w:bookmarkEnd w:id="2"/>
    </w:p>
    <w:p w14:paraId="67B0D14D" w14:textId="77777777" w:rsidR="007C2E3C" w:rsidRPr="00DE0397" w:rsidRDefault="007C2E3C" w:rsidP="007C2E3C">
      <w:pPr>
        <w:spacing w:after="120" w:line="276" w:lineRule="auto"/>
        <w:ind w:firstLine="708"/>
        <w:jc w:val="both"/>
        <w:rPr>
          <w:rFonts w:ascii="Century Gothic" w:hAnsi="Century Gothic" w:cs="Arial"/>
          <w:lang w:val="es-ES"/>
        </w:rPr>
      </w:pPr>
      <w:r w:rsidRPr="00DE0397">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E0397">
        <w:rPr>
          <w:rFonts w:ascii="Century Gothic" w:eastAsia="Calibri" w:hAnsi="Century Gothic" w:cs="Arial"/>
          <w:vertAlign w:val="superscript"/>
          <w:lang w:val="es-ES"/>
        </w:rPr>
        <w:footnoteReference w:id="2"/>
      </w:r>
      <w:r w:rsidRPr="00DE0397">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w:t>
      </w:r>
      <w:r w:rsidRPr="00DE0397">
        <w:rPr>
          <w:rFonts w:ascii="Century Gothic" w:eastAsia="Calibri" w:hAnsi="Century Gothic" w:cs="Arial"/>
          <w:lang w:val="es-ES"/>
        </w:rPr>
        <w:lastRenderedPageBreak/>
        <w:t xml:space="preserve">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055A6B7D" w14:textId="6DD41FD3" w:rsidR="007C2E3C" w:rsidRPr="00DE0397" w:rsidRDefault="007C2E3C" w:rsidP="00630226">
      <w:pPr>
        <w:spacing w:line="276" w:lineRule="auto"/>
        <w:ind w:firstLine="708"/>
        <w:jc w:val="both"/>
        <w:rPr>
          <w:rFonts w:ascii="Century Gothic" w:eastAsia="Calibri" w:hAnsi="Century Gothic" w:cs="Arial"/>
          <w:lang w:val="es-ES" w:eastAsia="es-MX"/>
        </w:rPr>
      </w:pPr>
      <w:r w:rsidRPr="00DE0397">
        <w:rPr>
          <w:rFonts w:ascii="Century Gothic" w:eastAsia="Calibri" w:hAnsi="Century Gothic" w:cs="Arial"/>
          <w:color w:val="000000"/>
          <w:lang w:val="es-ES"/>
        </w:rPr>
        <w:t xml:space="preserve">Sin perjuicio de lo anterior, la Subdirección de Gestión Contractual –dentro de los límites de sus atribuciones, esto es, </w:t>
      </w:r>
      <w:bookmarkStart w:id="3" w:name="_Hlk61025408"/>
      <w:r w:rsidRPr="00DE0397">
        <w:rPr>
          <w:rFonts w:ascii="Century Gothic" w:eastAsia="Calibri" w:hAnsi="Century Gothic" w:cs="Arial"/>
          <w:color w:val="000000"/>
          <w:lang w:val="es-ES"/>
        </w:rPr>
        <w:t>haciendo abstracción del caso particular expuesto por el peticionari</w:t>
      </w:r>
      <w:bookmarkEnd w:id="3"/>
      <w:r w:rsidRPr="00DE0397">
        <w:rPr>
          <w:rFonts w:ascii="Century Gothic" w:eastAsia="Calibri" w:hAnsi="Century Gothic" w:cs="Arial"/>
          <w:color w:val="000000"/>
          <w:lang w:val="es-ES"/>
        </w:rPr>
        <w:t>o– resolverá la consulta conforme a las normas generales en materia de contratación estatal</w:t>
      </w:r>
      <w:r w:rsidRPr="00DE0397">
        <w:rPr>
          <w:rFonts w:ascii="Century Gothic" w:eastAsia="Calibri" w:hAnsi="Century Gothic" w:cs="Arial"/>
          <w:lang w:val="es-ES" w:eastAsia="es-MX"/>
        </w:rPr>
        <w:t xml:space="preserve">. Con este objetivo se analizarán los siguientes temas: i) </w:t>
      </w:r>
      <w:r w:rsidR="006C41EA">
        <w:rPr>
          <w:rFonts w:ascii="Century Gothic" w:eastAsia="Calibri" w:hAnsi="Century Gothic" w:cs="Arial"/>
          <w:lang w:val="es-ES" w:eastAsia="es-MX"/>
        </w:rPr>
        <w:t>c</w:t>
      </w:r>
      <w:r w:rsidR="00FB252A" w:rsidRPr="00DE0397">
        <w:rPr>
          <w:rFonts w:ascii="Century Gothic" w:eastAsia="Calibri" w:hAnsi="Century Gothic" w:cs="Arial"/>
          <w:lang w:val="es-ES" w:eastAsia="es-MX"/>
        </w:rPr>
        <w:t>oncepto y características de los contratos de prestación de servicios en el marco de la contratación estatal</w:t>
      </w:r>
      <w:r w:rsidR="001201AA" w:rsidRPr="00DE0397">
        <w:rPr>
          <w:rFonts w:ascii="Century Gothic" w:eastAsia="Calibri" w:hAnsi="Century Gothic" w:cs="Arial"/>
          <w:lang w:val="es-ES" w:eastAsia="es-MX"/>
        </w:rPr>
        <w:t>;</w:t>
      </w:r>
      <w:r w:rsidR="00630226" w:rsidRPr="00DE0397">
        <w:rPr>
          <w:rFonts w:ascii="Century Gothic" w:eastAsia="Calibri" w:hAnsi="Century Gothic" w:cs="Arial"/>
          <w:lang w:val="es-ES" w:eastAsia="es-MX"/>
        </w:rPr>
        <w:t xml:space="preserve"> </w:t>
      </w:r>
      <w:proofErr w:type="spellStart"/>
      <w:r w:rsidR="001201AA" w:rsidRPr="00DE0397">
        <w:rPr>
          <w:rFonts w:ascii="Century Gothic" w:eastAsia="Calibri" w:hAnsi="Century Gothic" w:cs="Arial"/>
          <w:lang w:val="es-ES" w:eastAsia="es-MX"/>
        </w:rPr>
        <w:t>ii</w:t>
      </w:r>
      <w:proofErr w:type="spellEnd"/>
      <w:r w:rsidR="00630226" w:rsidRPr="00DE0397">
        <w:rPr>
          <w:rFonts w:ascii="Century Gothic" w:eastAsia="Calibri" w:hAnsi="Century Gothic" w:cs="Arial"/>
          <w:lang w:val="es-ES" w:eastAsia="es-MX"/>
        </w:rPr>
        <w:t>) servicios profesionales y de apoyo a la gestión como especies del contrato de prestación de servicios</w:t>
      </w:r>
      <w:r w:rsidR="00FC49B6">
        <w:rPr>
          <w:rFonts w:ascii="Century Gothic" w:eastAsia="Calibri" w:hAnsi="Century Gothic" w:cs="Arial"/>
          <w:lang w:val="es-ES" w:eastAsia="es-MX"/>
        </w:rPr>
        <w:t>,</w:t>
      </w:r>
      <w:r w:rsidR="00630226" w:rsidRPr="00DE0397">
        <w:rPr>
          <w:rFonts w:ascii="Century Gothic" w:eastAsia="Calibri" w:hAnsi="Century Gothic" w:cs="Arial"/>
          <w:lang w:val="es-ES" w:eastAsia="es-MX"/>
        </w:rPr>
        <w:t xml:space="preserve"> y </w:t>
      </w:r>
      <w:proofErr w:type="spellStart"/>
      <w:r w:rsidR="00630226" w:rsidRPr="00DE0397">
        <w:rPr>
          <w:rFonts w:ascii="Century Gothic" w:eastAsia="Calibri" w:hAnsi="Century Gothic" w:cs="Arial"/>
          <w:lang w:val="es-ES" w:eastAsia="es-MX"/>
        </w:rPr>
        <w:t>iii</w:t>
      </w:r>
      <w:proofErr w:type="spellEnd"/>
      <w:r w:rsidR="00630226" w:rsidRPr="00DE0397">
        <w:rPr>
          <w:rFonts w:ascii="Century Gothic" w:eastAsia="Calibri" w:hAnsi="Century Gothic" w:cs="Arial"/>
          <w:lang w:val="es-ES" w:eastAsia="es-MX"/>
        </w:rPr>
        <w:t xml:space="preserve">) </w:t>
      </w:r>
      <w:r w:rsidR="00FC49B6">
        <w:rPr>
          <w:rFonts w:ascii="Century Gothic" w:eastAsia="Calibri" w:hAnsi="Century Gothic" w:cs="Arial"/>
          <w:lang w:val="es-ES_tradnl" w:eastAsia="es-MX"/>
        </w:rPr>
        <w:t>c</w:t>
      </w:r>
      <w:r w:rsidR="00454946" w:rsidRPr="00DE0397">
        <w:rPr>
          <w:rFonts w:ascii="Century Gothic" w:eastAsia="Calibri" w:hAnsi="Century Gothic" w:cs="Arial"/>
          <w:lang w:val="es-ES_tradnl" w:eastAsia="es-MX"/>
        </w:rPr>
        <w:t>láusula de comisión de éxito en los contratos estatales.</w:t>
      </w:r>
      <w:r w:rsidR="001201AA" w:rsidRPr="00DE0397">
        <w:rPr>
          <w:rFonts w:ascii="Century Gothic" w:eastAsia="Calibri" w:hAnsi="Century Gothic" w:cs="Arial"/>
          <w:lang w:val="es-ES" w:eastAsia="es-MX"/>
        </w:rPr>
        <w:t xml:space="preserve"> </w:t>
      </w:r>
    </w:p>
    <w:p w14:paraId="1F35E6F7" w14:textId="51256C59" w:rsidR="001E5C7A" w:rsidRPr="00DE0397" w:rsidRDefault="007C2E3C" w:rsidP="001E5C7A">
      <w:pPr>
        <w:spacing w:line="276" w:lineRule="auto"/>
        <w:ind w:firstLine="708"/>
        <w:jc w:val="both"/>
        <w:rPr>
          <w:rFonts w:ascii="Century Gothic" w:eastAsia="Calibri" w:hAnsi="Century Gothic" w:cs="Arial"/>
          <w:lang w:val="es-ES" w:eastAsia="es-ES_tradnl"/>
        </w:rPr>
      </w:pPr>
      <w:r w:rsidRPr="00DE0397">
        <w:rPr>
          <w:rFonts w:ascii="Century Gothic" w:eastAsia="Calibri" w:hAnsi="Century Gothic" w:cs="Arial"/>
          <w:lang w:val="es-ES"/>
        </w:rPr>
        <w:t>La Agencia Nacional de Contratación Pública – Colombia Compra Eficiente –en adelante la ANCP-CCE–</w:t>
      </w:r>
      <w:r w:rsidR="002003C1" w:rsidRPr="00DE0397">
        <w:rPr>
          <w:rFonts w:ascii="Century Gothic" w:eastAsia="Times New Roman" w:hAnsi="Century Gothic" w:cs="Arial"/>
          <w:szCs w:val="24"/>
          <w:lang w:val="es-ES" w:eastAsia="es-ES_tradnl"/>
        </w:rPr>
        <w:t xml:space="preserve">, </w:t>
      </w:r>
      <w:r w:rsidR="002003C1" w:rsidRPr="00DE0397">
        <w:rPr>
          <w:rFonts w:ascii="Century Gothic" w:eastAsia="Calibri" w:hAnsi="Century Gothic" w:cs="Arial"/>
          <w:lang w:val="es-ES"/>
        </w:rPr>
        <w:t xml:space="preserve">analizó el contrato de prestación de servicios en los conceptos C–047 del 18 de febrero de 2020, C–071 del 4 de marzo de 2020, C–188 del 13 de abril de 2020, C–005, 006, 018 y 138 del 11 de mayo de 2020, C–053, 175, 255, 282, 293 y 320 del 12 de mayo de 2020, C–288 del 27 de mayo de 2020, C–345 del 23 de junio de 2020, C–484 del 6 de agosto de 2020, C–608 del 1 de octubre de 2020, C-145 del 8 de abril del 2021, C-491 del 14 de septiembre de 2021, C-517 del 30 de septiembre de 2021, C – 654 de 22 de </w:t>
      </w:r>
      <w:r w:rsidR="00991709" w:rsidRPr="00DE0397">
        <w:rPr>
          <w:rFonts w:ascii="Century Gothic" w:eastAsia="Calibri" w:hAnsi="Century Gothic" w:cs="Arial"/>
          <w:lang w:val="es-ES"/>
        </w:rPr>
        <w:t>noviembre</w:t>
      </w:r>
      <w:r w:rsidR="002003C1" w:rsidRPr="00DE0397">
        <w:rPr>
          <w:rFonts w:ascii="Century Gothic" w:eastAsia="Calibri" w:hAnsi="Century Gothic" w:cs="Arial"/>
          <w:lang w:val="es-ES"/>
        </w:rPr>
        <w:t xml:space="preserve"> de 2021</w:t>
      </w:r>
      <w:r w:rsidR="00991709" w:rsidRPr="00DE0397">
        <w:rPr>
          <w:rFonts w:ascii="Century Gothic" w:eastAsia="Calibri" w:hAnsi="Century Gothic" w:cs="Arial"/>
          <w:lang w:val="es-ES"/>
        </w:rPr>
        <w:t xml:space="preserve">, </w:t>
      </w:r>
      <w:r w:rsidR="002003C1" w:rsidRPr="00DE0397">
        <w:rPr>
          <w:rFonts w:ascii="Century Gothic" w:eastAsia="Calibri" w:hAnsi="Century Gothic" w:cs="Arial"/>
          <w:lang w:val="es-ES"/>
        </w:rPr>
        <w:t>C-707 de 17 de enero de 2021</w:t>
      </w:r>
      <w:r w:rsidR="002122D8">
        <w:rPr>
          <w:rFonts w:ascii="Century Gothic" w:eastAsia="Calibri" w:hAnsi="Century Gothic" w:cs="Arial"/>
          <w:lang w:val="es-ES"/>
        </w:rPr>
        <w:t xml:space="preserve"> y</w:t>
      </w:r>
      <w:r w:rsidR="00C56408" w:rsidRPr="00DE0397">
        <w:rPr>
          <w:rFonts w:ascii="Century Gothic" w:eastAsia="Calibri" w:hAnsi="Century Gothic" w:cs="Arial"/>
          <w:lang w:val="es-ES"/>
        </w:rPr>
        <w:t xml:space="preserve"> C-773 del 17 de noviembre del 2022</w:t>
      </w:r>
      <w:r w:rsidR="00EF7C18" w:rsidRPr="00DE0397">
        <w:rPr>
          <w:rFonts w:ascii="Century Gothic" w:eastAsia="Calibri" w:hAnsi="Century Gothic" w:cs="Arial"/>
          <w:lang w:val="es-ES"/>
        </w:rPr>
        <w:t>.</w:t>
      </w:r>
      <w:r w:rsidR="00C56408" w:rsidRPr="00DE0397">
        <w:rPr>
          <w:rFonts w:ascii="Century Gothic" w:eastAsia="Calibri" w:hAnsi="Century Gothic" w:cs="Arial"/>
          <w:lang w:val="es-ES"/>
        </w:rPr>
        <w:t xml:space="preserve"> Igualmente, </w:t>
      </w:r>
      <w:r w:rsidR="005054CE" w:rsidRPr="00DE0397">
        <w:rPr>
          <w:rFonts w:ascii="Century Gothic" w:eastAsia="Calibri" w:hAnsi="Century Gothic" w:cs="Arial"/>
          <w:lang w:val="es-ES"/>
        </w:rPr>
        <w:t xml:space="preserve">se ha pronunciado </w:t>
      </w:r>
      <w:r w:rsidR="00507979" w:rsidRPr="00DE0397">
        <w:rPr>
          <w:rFonts w:ascii="Century Gothic" w:eastAsia="Calibri" w:hAnsi="Century Gothic" w:cs="Arial"/>
          <w:lang w:val="es-ES"/>
        </w:rPr>
        <w:t xml:space="preserve">sobre el alcance de la cláusula de comisión de éxito en </w:t>
      </w:r>
      <w:r w:rsidR="00E22346">
        <w:rPr>
          <w:rFonts w:ascii="Century Gothic" w:eastAsia="Calibri" w:hAnsi="Century Gothic" w:cs="Arial"/>
          <w:lang w:val="es-ES"/>
        </w:rPr>
        <w:t>el concepto</w:t>
      </w:r>
      <w:r w:rsidR="00507979" w:rsidRPr="00DE0397">
        <w:rPr>
          <w:rFonts w:ascii="Century Gothic" w:eastAsia="Calibri" w:hAnsi="Century Gothic" w:cs="Arial"/>
          <w:lang w:val="es-ES"/>
        </w:rPr>
        <w:t xml:space="preserve"> C-646 del 22 de noviembre del 2021</w:t>
      </w:r>
      <w:r w:rsidRPr="00DE0397">
        <w:rPr>
          <w:rStyle w:val="Refdenotaalpie"/>
          <w:rFonts w:ascii="Century Gothic" w:eastAsia="Calibri" w:hAnsi="Century Gothic" w:cs="Arial"/>
          <w:bCs/>
          <w:lang w:val="es-ES"/>
        </w:rPr>
        <w:footnoteReference w:id="3"/>
      </w:r>
      <w:r w:rsidRPr="00DE0397">
        <w:rPr>
          <w:rFonts w:ascii="Century Gothic" w:eastAsia="Calibri" w:hAnsi="Century Gothic" w:cs="Arial"/>
          <w:bCs/>
          <w:lang w:val="es-ES"/>
        </w:rPr>
        <w:t>.</w:t>
      </w:r>
      <w:r w:rsidRPr="00DE0397">
        <w:rPr>
          <w:rFonts w:ascii="Century Gothic" w:eastAsia="Calibri" w:hAnsi="Century Gothic" w:cs="Arial"/>
          <w:lang w:val="es-ES" w:eastAsia="es-ES_tradnl"/>
        </w:rPr>
        <w:t xml:space="preserve"> Algunas de las consideraciones de estos conceptos se reiteran y se complementan en lo pertinente para dar respuesta a su consulta.</w:t>
      </w:r>
    </w:p>
    <w:p w14:paraId="4A4903AF" w14:textId="77777777" w:rsidR="00BF34FA" w:rsidRPr="00DE0397" w:rsidRDefault="00BF34FA" w:rsidP="001E5C7A">
      <w:pPr>
        <w:spacing w:line="276" w:lineRule="auto"/>
        <w:ind w:firstLine="708"/>
        <w:jc w:val="both"/>
        <w:rPr>
          <w:rFonts w:ascii="Century Gothic" w:eastAsia="Calibri" w:hAnsi="Century Gothic" w:cs="Arial"/>
          <w:lang w:val="es-ES" w:eastAsia="es-ES_tradnl"/>
        </w:rPr>
      </w:pPr>
    </w:p>
    <w:p w14:paraId="7B62843D" w14:textId="77777777" w:rsidR="001E5C7A" w:rsidRPr="00DE0397" w:rsidRDefault="001E5C7A" w:rsidP="001E5C7A">
      <w:pPr>
        <w:spacing w:line="276" w:lineRule="auto"/>
        <w:jc w:val="both"/>
        <w:rPr>
          <w:rFonts w:ascii="Century Gothic" w:hAnsi="Century Gothic" w:cs="Arial"/>
          <w:b/>
          <w:bCs/>
          <w:color w:val="000000" w:themeColor="text1"/>
          <w:lang w:val="es-ES"/>
        </w:rPr>
      </w:pPr>
      <w:r w:rsidRPr="00DE0397">
        <w:rPr>
          <w:rFonts w:ascii="Century Gothic" w:hAnsi="Century Gothic" w:cs="Arial"/>
          <w:b/>
          <w:bCs/>
          <w:color w:val="000000" w:themeColor="text1"/>
          <w:lang w:val="es-ES"/>
        </w:rPr>
        <w:t>2.1. Concepto y características de los contratos de prestación de servicios en el marco de la contratación estatal</w:t>
      </w:r>
    </w:p>
    <w:p w14:paraId="54E966E8" w14:textId="4675746E" w:rsidR="001E5C7A" w:rsidRPr="00DE0397" w:rsidRDefault="001E5C7A" w:rsidP="001E5C7A">
      <w:pPr>
        <w:tabs>
          <w:tab w:val="left" w:pos="0"/>
        </w:tabs>
        <w:spacing w:line="276" w:lineRule="auto"/>
        <w:jc w:val="both"/>
        <w:rPr>
          <w:rFonts w:ascii="Century Gothic" w:hAnsi="Century Gothic" w:cs="Arial"/>
          <w:color w:val="000000" w:themeColor="text1"/>
        </w:rPr>
      </w:pPr>
      <w:r w:rsidRPr="00DE0397">
        <w:rPr>
          <w:rFonts w:ascii="Century Gothic" w:hAnsi="Century Gothic" w:cs="Arial"/>
          <w:color w:val="000000" w:themeColor="text1"/>
        </w:rPr>
        <w:lastRenderedPageBreak/>
        <w:t>El contrato de prestación de servicios es un contrato estatal típico, que se encuentra previsto en el numeral 3 del artículo 32 de la Ley 80 de 1993</w:t>
      </w:r>
      <w:r w:rsidR="00D03FA8" w:rsidRPr="00DE0397">
        <w:rPr>
          <w:rFonts w:ascii="Century Gothic" w:hAnsi="Century Gothic" w:cs="Arial"/>
          <w:color w:val="000000" w:themeColor="text1"/>
        </w:rPr>
        <w:t xml:space="preserve"> y e</w:t>
      </w:r>
      <w:r w:rsidRPr="00DE0397">
        <w:rPr>
          <w:rFonts w:ascii="Century Gothic" w:hAnsi="Century Gothic" w:cs="Arial"/>
          <w:color w:val="000000" w:themeColor="text1"/>
        </w:rPr>
        <w:t xml:space="preserve">s definido como aquel que </w:t>
      </w:r>
      <w:r w:rsidR="00B635F2" w:rsidRPr="00DE0397">
        <w:rPr>
          <w:rFonts w:ascii="Century Gothic" w:hAnsi="Century Gothic" w:cs="Arial"/>
          <w:color w:val="000000" w:themeColor="text1"/>
        </w:rPr>
        <w:t>“</w:t>
      </w:r>
      <w:r w:rsidRPr="00DE0397">
        <w:rPr>
          <w:rFonts w:ascii="Century Gothic" w:hAnsi="Century Gothic" w:cs="Arial"/>
          <w:color w:val="000000" w:themeColor="text1"/>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B635F2" w:rsidRPr="00DE0397">
        <w:rPr>
          <w:rFonts w:ascii="Century Gothic" w:hAnsi="Century Gothic" w:cs="Arial"/>
          <w:color w:val="000000" w:themeColor="text1"/>
        </w:rPr>
        <w:t>”</w:t>
      </w:r>
      <w:r w:rsidRPr="00DE0397">
        <w:rPr>
          <w:rFonts w:ascii="Century Gothic" w:hAnsi="Century Gothic" w:cs="Arial"/>
          <w:color w:val="000000" w:themeColor="text1"/>
        </w:rPr>
        <w:t>.</w:t>
      </w:r>
    </w:p>
    <w:p w14:paraId="191DC706" w14:textId="77777777" w:rsidR="001E5C7A" w:rsidRPr="00DE0397" w:rsidRDefault="001E5C7A" w:rsidP="001E5C7A">
      <w:pPr>
        <w:tabs>
          <w:tab w:val="left" w:pos="0"/>
        </w:tabs>
        <w:spacing w:before="120" w:line="276" w:lineRule="auto"/>
        <w:jc w:val="both"/>
        <w:rPr>
          <w:rFonts w:ascii="Century Gothic" w:hAnsi="Century Gothic" w:cs="Arial"/>
          <w:noProof/>
          <w:lang w:val="es-ES_tradnl"/>
        </w:rPr>
      </w:pPr>
      <w:r w:rsidRPr="00DE0397">
        <w:rPr>
          <w:rFonts w:ascii="Century Gothic" w:hAnsi="Century Gothic" w:cs="Arial"/>
          <w:noProof/>
          <w:lang w:val="es-ES_tradnl"/>
        </w:rPr>
        <w:tab/>
        <w:t>Las características de los contratos de prestación de servicios no solo están contenidas en dispisicones legales como la enunciada anteriormente, sino que han sido desarrolladas por medio de pronunciamientos judiciales. A partir de estas fuentes, es posible resaltar las siguientes características:</w:t>
      </w:r>
    </w:p>
    <w:p w14:paraId="2668E482" w14:textId="4663B45F" w:rsidR="001E5C7A" w:rsidRPr="00DE0397" w:rsidRDefault="001E5C7A" w:rsidP="001E5C7A">
      <w:pPr>
        <w:spacing w:before="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 xml:space="preserve">i) Solo puede celebrarse para realizar </w:t>
      </w:r>
      <w:r w:rsidR="00D03FA8" w:rsidRPr="00DE0397">
        <w:rPr>
          <w:rFonts w:ascii="Century Gothic" w:hAnsi="Century Gothic" w:cs="Arial"/>
          <w:noProof/>
          <w:lang w:val="es-ES_tradnl"/>
        </w:rPr>
        <w:t>“</w:t>
      </w:r>
      <w:r w:rsidRPr="00DE0397">
        <w:rPr>
          <w:rFonts w:ascii="Century Gothic" w:hAnsi="Century Gothic" w:cs="Arial"/>
          <w:noProof/>
          <w:lang w:val="es-ES_tradnl"/>
        </w:rPr>
        <w:t>actividades relacionadas con la administración o funcionamiento de la entidad</w:t>
      </w:r>
      <w:r w:rsidR="00D03FA8" w:rsidRPr="00DE0397">
        <w:rPr>
          <w:rFonts w:ascii="Century Gothic" w:hAnsi="Century Gothic" w:cs="Arial"/>
          <w:noProof/>
          <w:lang w:val="es-ES_tradnl"/>
        </w:rPr>
        <w:t>”</w:t>
      </w:r>
      <w:r w:rsidRPr="00DE0397">
        <w:rPr>
          <w:rFonts w:ascii="Century Gothic" w:hAnsi="Century Gothic" w:cs="Arial"/>
          <w:noProof/>
          <w:lang w:val="es-ES_tradnl"/>
        </w:rPr>
        <w:t>, es decir, que hagan parte de su giro ordinario o quehacer cotidiano.</w:t>
      </w:r>
    </w:p>
    <w:p w14:paraId="211312F7" w14:textId="1E0C1A17" w:rsidR="001E5C7A" w:rsidRPr="00DE0397" w:rsidRDefault="001E5C7A" w:rsidP="001E5C7A">
      <w:pPr>
        <w:spacing w:before="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 xml:space="preserve">ii) Admite que se suscriba con personas naturales o jurídicas. Sin embargo, cuando se celebre con aquellas, la </w:t>
      </w:r>
      <w:r w:rsidR="00C308C6" w:rsidRPr="00DE0397">
        <w:rPr>
          <w:rFonts w:ascii="Century Gothic" w:hAnsi="Century Gothic" w:cs="Arial"/>
          <w:noProof/>
          <w:lang w:val="es-ES_tradnl"/>
        </w:rPr>
        <w:t>E</w:t>
      </w:r>
      <w:r w:rsidRPr="00DE0397">
        <w:rPr>
          <w:rFonts w:ascii="Century Gothic" w:hAnsi="Century Gothic" w:cs="Arial"/>
          <w:noProof/>
          <w:lang w:val="es-ES_tradnl"/>
        </w:rPr>
        <w:t xml:space="preserve">ntidad </w:t>
      </w:r>
      <w:r w:rsidR="00C308C6" w:rsidRPr="00DE0397">
        <w:rPr>
          <w:rFonts w:ascii="Century Gothic" w:hAnsi="Century Gothic" w:cs="Arial"/>
          <w:noProof/>
          <w:lang w:val="es-ES_tradnl"/>
        </w:rPr>
        <w:t>E</w:t>
      </w:r>
      <w:r w:rsidRPr="00DE0397">
        <w:rPr>
          <w:rFonts w:ascii="Century Gothic" w:hAnsi="Century Gothic" w:cs="Arial"/>
          <w:noProof/>
          <w:lang w:val="es-ES_tradnl"/>
        </w:rPr>
        <w:t xml:space="preserve">statal debe justificar, en los estudios previos, que las actividades </w:t>
      </w:r>
      <w:r w:rsidR="00C308C6" w:rsidRPr="00DE0397">
        <w:rPr>
          <w:rFonts w:ascii="Century Gothic" w:hAnsi="Century Gothic" w:cs="Arial"/>
          <w:noProof/>
          <w:lang w:val="es-ES_tradnl"/>
        </w:rPr>
        <w:t>“</w:t>
      </w:r>
      <w:r w:rsidRPr="00DE0397">
        <w:rPr>
          <w:rFonts w:ascii="Century Gothic" w:hAnsi="Century Gothic" w:cs="Arial"/>
          <w:noProof/>
          <w:lang w:val="es-ES_tradnl"/>
        </w:rPr>
        <w:t>no puedan realizarse con personal de planta o requieran conocimientos especializados</w:t>
      </w:r>
      <w:r w:rsidR="00C308C6" w:rsidRPr="00DE0397">
        <w:rPr>
          <w:rFonts w:ascii="Century Gothic" w:hAnsi="Century Gothic" w:cs="Arial"/>
          <w:noProof/>
          <w:lang w:val="es-ES_tradnl"/>
        </w:rPr>
        <w:t>”</w:t>
      </w:r>
      <w:r w:rsidRPr="00DE0397">
        <w:rPr>
          <w:rFonts w:ascii="Century Gothic" w:hAnsi="Century Gothic" w:cs="Arial"/>
          <w:noProof/>
          <w:lang w:val="es-ES_tradnl"/>
        </w:rPr>
        <w:t>.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73CB48FF" w14:textId="7125B65D" w:rsidR="001E5C7A" w:rsidRPr="00DE0397" w:rsidRDefault="001E5C7A" w:rsidP="001E5C7A">
      <w:pPr>
        <w:spacing w:before="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iii) Si bien se celebran para obtener la prestación personal de un servicio, se diferencian del contrato de trabajo</w:t>
      </w:r>
      <w:r w:rsidRPr="00DE0397">
        <w:rPr>
          <w:rStyle w:val="Refdenotaalpie"/>
          <w:rFonts w:ascii="Century Gothic" w:hAnsi="Century Gothic" w:cs="Arial"/>
          <w:noProof/>
          <w:lang w:val="es-ES_tradnl"/>
        </w:rPr>
        <w:footnoteReference w:id="4"/>
      </w:r>
      <w:r w:rsidRPr="00DE0397">
        <w:rPr>
          <w:rFonts w:ascii="Century Gothic" w:hAnsi="Century Gothic" w:cs="Arial"/>
          <w:noProof/>
          <w:lang w:val="es-ES_tradnl"/>
        </w:rPr>
        <w:t xml:space="preserve"> en que quien celebra el contrato de prestación de servicios debe mantener autonomía e independencia en la ejecución de la labor, lo que significa que no debe existir </w:t>
      </w:r>
      <w:r w:rsidRPr="00DE0397">
        <w:rPr>
          <w:rFonts w:ascii="Century Gothic" w:hAnsi="Century Gothic" w:cs="Arial"/>
          <w:i/>
          <w:noProof/>
          <w:lang w:val="es-ES_tradnl"/>
        </w:rPr>
        <w:t xml:space="preserve">subordinación </w:t>
      </w:r>
      <w:r w:rsidRPr="00DE0397">
        <w:rPr>
          <w:rFonts w:ascii="Century Gothic" w:hAnsi="Century Gothic" w:cs="Arial"/>
          <w:iCs/>
          <w:noProof/>
          <w:lang w:val="es-ES_tradnl"/>
        </w:rPr>
        <w:t>ni</w:t>
      </w:r>
      <w:r w:rsidRPr="00DE0397">
        <w:rPr>
          <w:rFonts w:ascii="Century Gothic" w:hAnsi="Century Gothic" w:cs="Arial"/>
          <w:i/>
          <w:noProof/>
          <w:lang w:val="es-ES_tradnl"/>
        </w:rPr>
        <w:t xml:space="preserve"> dependencia</w:t>
      </w:r>
      <w:r w:rsidRPr="00DE0397">
        <w:rPr>
          <w:rFonts w:ascii="Century Gothic" w:hAnsi="Century Gothic" w:cs="Arial"/>
          <w:iCs/>
          <w:noProof/>
          <w:lang w:val="es-ES_tradnl"/>
        </w:rPr>
        <w:t>,</w:t>
      </w:r>
      <w:r w:rsidRPr="00DE0397">
        <w:rPr>
          <w:rFonts w:ascii="Century Gothic" w:hAnsi="Century Gothic" w:cs="Arial"/>
          <w:noProof/>
          <w:lang w:val="es-ES_tradnl"/>
        </w:rPr>
        <w:t xml:space="preserve"> que es uno de los elementos constitutivos del vínculo laboral. Por </w:t>
      </w:r>
      <w:r w:rsidRPr="00DE0397">
        <w:rPr>
          <w:rFonts w:ascii="Century Gothic" w:hAnsi="Century Gothic" w:cs="Arial"/>
          <w:noProof/>
          <w:lang w:val="es-ES_tradnl"/>
        </w:rPr>
        <w:lastRenderedPageBreak/>
        <w:t xml:space="preserve">eso, el artículo 32, numeral 3º, de la Ley 80 de 1993 establece que </w:t>
      </w:r>
      <w:r w:rsidR="00DC5464" w:rsidRPr="00DE0397">
        <w:rPr>
          <w:rFonts w:ascii="Century Gothic" w:hAnsi="Century Gothic" w:cs="Arial"/>
          <w:noProof/>
          <w:lang w:val="es-ES_tradnl"/>
        </w:rPr>
        <w:t>“</w:t>
      </w:r>
      <w:r w:rsidRPr="00DE0397">
        <w:rPr>
          <w:rFonts w:ascii="Century Gothic" w:hAnsi="Century Gothic" w:cs="Arial"/>
          <w:noProof/>
          <w:lang w:val="es-ES_tradnl"/>
        </w:rPr>
        <w:t>En ningún caso estos contratos generan relación laboral ni prestaciones sociales</w:t>
      </w:r>
      <w:r w:rsidR="00DC5464" w:rsidRPr="00DE0397">
        <w:rPr>
          <w:rFonts w:ascii="Century Gothic" w:hAnsi="Century Gothic" w:cs="Arial"/>
          <w:noProof/>
          <w:lang w:val="es-ES_tradnl"/>
        </w:rPr>
        <w:t>”</w:t>
      </w:r>
      <w:r w:rsidRPr="00DE0397">
        <w:rPr>
          <w:rFonts w:ascii="Century Gothic" w:hAnsi="Century Gothic" w:cs="Arial"/>
          <w:noProof/>
          <w:lang w:val="es-ES_tradnl"/>
        </w:rPr>
        <w:t xml:space="preserve">. Este inciso, más que un enunciado que aluda al </w:t>
      </w:r>
      <w:r w:rsidR="00DC5464" w:rsidRPr="00DE0397">
        <w:rPr>
          <w:rFonts w:ascii="Century Gothic" w:hAnsi="Century Gothic" w:cs="Arial"/>
          <w:noProof/>
          <w:lang w:val="es-ES_tradnl"/>
        </w:rPr>
        <w:t>“</w:t>
      </w:r>
      <w:r w:rsidRPr="00DE0397">
        <w:rPr>
          <w:rFonts w:ascii="Century Gothic" w:hAnsi="Century Gothic" w:cs="Arial"/>
          <w:noProof/>
          <w:lang w:val="es-ES_tradnl"/>
        </w:rPr>
        <w:t>ser</w:t>
      </w:r>
      <w:r w:rsidR="00DC5464" w:rsidRPr="00DE0397">
        <w:rPr>
          <w:rFonts w:ascii="Century Gothic" w:hAnsi="Century Gothic" w:cs="Arial"/>
          <w:noProof/>
          <w:lang w:val="es-ES_tradnl"/>
        </w:rPr>
        <w:t>”</w:t>
      </w:r>
      <w:r w:rsidRPr="00DE0397">
        <w:rPr>
          <w:rFonts w:ascii="Century Gothic" w:hAnsi="Century Gothic" w:cs="Arial"/>
          <w:noProof/>
          <w:lang w:val="es-ES_tradnl"/>
        </w:rPr>
        <w:t xml:space="preserve">, se refiere al </w:t>
      </w:r>
      <w:r w:rsidR="006D0A47" w:rsidRPr="00DE0397">
        <w:rPr>
          <w:rFonts w:ascii="Century Gothic" w:hAnsi="Century Gothic" w:cs="Arial"/>
          <w:noProof/>
          <w:lang w:val="es-ES_tradnl"/>
        </w:rPr>
        <w:t>“</w:t>
      </w:r>
      <w:r w:rsidRPr="00DE0397">
        <w:rPr>
          <w:rFonts w:ascii="Century Gothic" w:hAnsi="Century Gothic" w:cs="Arial"/>
          <w:noProof/>
          <w:lang w:val="es-ES_tradnl"/>
        </w:rPr>
        <w:t>deber ser</w:t>
      </w:r>
      <w:r w:rsidR="006D0A47" w:rsidRPr="00DE0397">
        <w:rPr>
          <w:rFonts w:ascii="Century Gothic" w:hAnsi="Century Gothic" w:cs="Arial"/>
          <w:noProof/>
          <w:lang w:val="es-ES_tradnl"/>
        </w:rPr>
        <w:t>”</w:t>
      </w:r>
      <w:r w:rsidRPr="00DE0397">
        <w:rPr>
          <w:rFonts w:ascii="Century Gothic" w:hAnsi="Century Gothic" w:cs="Arial"/>
          <w:noProof/>
          <w:lang w:val="es-ES_tradnl"/>
        </w:rPr>
        <w:t xml:space="preserve">, pues debe interpretarse en el sentido de que los contratos de prestación de servicios profesionales </w:t>
      </w:r>
      <w:r w:rsidRPr="00DE0397">
        <w:rPr>
          <w:rFonts w:ascii="Century Gothic" w:hAnsi="Century Gothic" w:cs="Arial"/>
          <w:i/>
          <w:noProof/>
          <w:lang w:val="es-ES_tradnl"/>
        </w:rPr>
        <w:t>no pueden</w:t>
      </w:r>
      <w:r w:rsidRPr="00DE0397">
        <w:rPr>
          <w:rFonts w:ascii="Century Gothic" w:hAnsi="Century Gothic" w:cs="Arial"/>
          <w:noProof/>
          <w:lang w:val="es-ES_tradnl"/>
        </w:rPr>
        <w:t xml:space="preserve"> generar relación laboral, ni dar lugar a que las </w:t>
      </w:r>
      <w:r w:rsidR="0077488D" w:rsidRPr="00DE0397">
        <w:rPr>
          <w:rFonts w:ascii="Century Gothic" w:hAnsi="Century Gothic" w:cs="Arial"/>
          <w:noProof/>
          <w:lang w:val="es-ES_tradnl"/>
        </w:rPr>
        <w:t>E</w:t>
      </w:r>
      <w:r w:rsidRPr="00DE0397">
        <w:rPr>
          <w:rFonts w:ascii="Century Gothic" w:hAnsi="Century Gothic" w:cs="Arial"/>
          <w:noProof/>
          <w:lang w:val="es-ES_tradnl"/>
        </w:rPr>
        <w:t xml:space="preserve">ntidades </w:t>
      </w:r>
      <w:r w:rsidR="0077488D" w:rsidRPr="00DE0397">
        <w:rPr>
          <w:rFonts w:ascii="Century Gothic" w:hAnsi="Century Gothic" w:cs="Arial"/>
          <w:noProof/>
          <w:lang w:val="es-ES_tradnl"/>
        </w:rPr>
        <w:t>E</w:t>
      </w:r>
      <w:r w:rsidRPr="00DE0397">
        <w:rPr>
          <w:rFonts w:ascii="Century Gothic" w:hAnsi="Century Gothic" w:cs="Arial"/>
          <w:noProof/>
          <w:lang w:val="es-ES_tradnl"/>
        </w:rPr>
        <w:t xml:space="preserve">statales paguen por su cuenta los aportes al Sistema de Seguridad Social Integral del contratista. Tal como se indicó, no puede existir subordinación y dependencia; entonces, la relación laboral está proscrita y el contratista es quien, como </w:t>
      </w:r>
      <w:r w:rsidR="0077488D" w:rsidRPr="00DE0397">
        <w:rPr>
          <w:rFonts w:ascii="Century Gothic" w:hAnsi="Century Gothic" w:cs="Arial"/>
          <w:noProof/>
          <w:lang w:val="es-ES_tradnl"/>
        </w:rPr>
        <w:t>“</w:t>
      </w:r>
      <w:r w:rsidRPr="00DE0397">
        <w:rPr>
          <w:rFonts w:ascii="Century Gothic" w:hAnsi="Century Gothic" w:cs="Arial"/>
          <w:noProof/>
          <w:lang w:val="es-ES_tradnl"/>
        </w:rPr>
        <w:t>trabajador independiente</w:t>
      </w:r>
      <w:r w:rsidR="0077488D" w:rsidRPr="00DE0397">
        <w:rPr>
          <w:rFonts w:ascii="Century Gothic" w:hAnsi="Century Gothic" w:cs="Arial"/>
          <w:noProof/>
          <w:lang w:val="es-ES_tradnl"/>
        </w:rPr>
        <w:t>”</w:t>
      </w:r>
      <w:r w:rsidRPr="00DE0397">
        <w:rPr>
          <w:rFonts w:ascii="Century Gothic" w:hAnsi="Century Gothic" w:cs="Arial"/>
          <w:noProof/>
          <w:lang w:val="es-ES_tradnl"/>
        </w:rPr>
        <w:t xml:space="preserve"> –como lo califican las normas de la seguridad social– debe cotizar por su cuenta y riesgo al Sistema de Seguridad Social Integral</w:t>
      </w:r>
      <w:r w:rsidRPr="00DE0397">
        <w:rPr>
          <w:rStyle w:val="Refdenotaalpie"/>
          <w:rFonts w:ascii="Century Gothic" w:hAnsi="Century Gothic" w:cs="Arial"/>
          <w:noProof/>
          <w:lang w:val="es-ES_tradnl"/>
        </w:rPr>
        <w:footnoteReference w:id="5"/>
      </w:r>
      <w:r w:rsidRPr="00DE0397">
        <w:rPr>
          <w:rFonts w:ascii="Century Gothic" w:hAnsi="Century Gothic" w:cs="Arial"/>
          <w:noProof/>
          <w:lang w:val="es-ES_tradnl"/>
        </w:rPr>
        <w:t xml:space="preserve">. </w:t>
      </w:r>
    </w:p>
    <w:p w14:paraId="19909B5B" w14:textId="14D0A2F9" w:rsidR="000F46D6" w:rsidRPr="00DE0397" w:rsidRDefault="001E5C7A" w:rsidP="000F46D6">
      <w:pPr>
        <w:spacing w:before="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 xml:space="preserve">A pesar de este mandato deontológico, es posible que en la práctica se configure una relación laboral, pues el contrato de trabajo es </w:t>
      </w:r>
      <w:r w:rsidRPr="00DE0397">
        <w:rPr>
          <w:rFonts w:ascii="Century Gothic" w:hAnsi="Century Gothic" w:cs="Arial"/>
          <w:i/>
          <w:iCs/>
          <w:noProof/>
          <w:lang w:val="es-ES_tradnl"/>
        </w:rPr>
        <w:t xml:space="preserve">de </w:t>
      </w:r>
      <w:r w:rsidRPr="00DE0397">
        <w:rPr>
          <w:rFonts w:ascii="Century Gothic" w:hAnsi="Century Gothic" w:cs="Arial"/>
          <w:i/>
          <w:noProof/>
          <w:lang w:val="es-ES_tradnl"/>
        </w:rPr>
        <w:t>realidad</w:t>
      </w:r>
      <w:r w:rsidRPr="00DE0397">
        <w:rPr>
          <w:rFonts w:ascii="Century Gothic" w:hAnsi="Century Gothic" w:cs="Arial"/>
          <w:noProof/>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w:t>
      </w:r>
      <w:r w:rsidR="005F3CD6" w:rsidRPr="00DE0397">
        <w:rPr>
          <w:rFonts w:ascii="Century Gothic" w:hAnsi="Century Gothic" w:cs="Arial"/>
          <w:noProof/>
          <w:lang w:val="es-ES_tradnl"/>
        </w:rPr>
        <w:t>“</w:t>
      </w:r>
      <w:r w:rsidRPr="00DE0397">
        <w:rPr>
          <w:rFonts w:ascii="Century Gothic" w:hAnsi="Century Gothic" w:cs="Arial"/>
          <w:noProof/>
          <w:lang w:val="es-ES_tradnl"/>
        </w:rPr>
        <w:t>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005F3CD6" w:rsidRPr="00DE0397">
        <w:rPr>
          <w:rFonts w:ascii="Century Gothic" w:hAnsi="Century Gothic" w:cs="Arial"/>
          <w:noProof/>
          <w:lang w:val="es-ES_tradnl"/>
        </w:rPr>
        <w:t>”</w:t>
      </w:r>
      <w:r w:rsidRPr="00DE0397">
        <w:rPr>
          <w:rStyle w:val="Refdenotaalpie"/>
          <w:rFonts w:ascii="Century Gothic" w:hAnsi="Century Gothic" w:cs="Arial"/>
          <w:noProof/>
          <w:lang w:val="es-ES_tradnl"/>
        </w:rPr>
        <w:footnoteReference w:id="6"/>
      </w:r>
      <w:r w:rsidRPr="00DE0397">
        <w:rPr>
          <w:rFonts w:ascii="Century Gothic" w:hAnsi="Century Gothic" w:cs="Arial"/>
          <w:noProof/>
          <w:lang w:val="es-ES_tradnl"/>
        </w:rPr>
        <w:t>.</w:t>
      </w:r>
    </w:p>
    <w:p w14:paraId="75C67EB8" w14:textId="748FDA1D" w:rsidR="001E5C7A" w:rsidRPr="00DE0397" w:rsidRDefault="001E5C7A" w:rsidP="000F46D6">
      <w:pPr>
        <w:spacing w:before="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iv) Deben ser temporales. Así lo consideró la Corte Constitucional en la misma providencia a la que se aludió antes, expresando que:</w:t>
      </w:r>
    </w:p>
    <w:p w14:paraId="04FB6D6B" w14:textId="0CDD90EC" w:rsidR="001E5C7A" w:rsidRPr="00DE0397" w:rsidRDefault="000F46D6" w:rsidP="000F46D6">
      <w:pPr>
        <w:spacing w:line="240" w:lineRule="auto"/>
        <w:ind w:left="709" w:right="709"/>
        <w:jc w:val="both"/>
        <w:rPr>
          <w:rFonts w:ascii="Century Gothic" w:hAnsi="Century Gothic" w:cs="Arial"/>
          <w:noProof/>
          <w:sz w:val="20"/>
          <w:szCs w:val="20"/>
          <w:lang w:val="es-ES_tradnl"/>
        </w:rPr>
      </w:pPr>
      <w:r w:rsidRPr="00DE0397">
        <w:rPr>
          <w:rFonts w:ascii="Century Gothic" w:hAnsi="Century Gothic" w:cs="Arial"/>
          <w:noProof/>
          <w:sz w:val="20"/>
          <w:szCs w:val="20"/>
          <w:lang w:val="es-ES_tradnl"/>
        </w:rPr>
        <w:lastRenderedPageBreak/>
        <w:t>“</w:t>
      </w:r>
      <w:r w:rsidR="00AD2EC6" w:rsidRPr="00DE0397">
        <w:rPr>
          <w:rFonts w:ascii="Century Gothic" w:eastAsia="Calibri" w:hAnsi="Century Gothic" w:cs="Arial"/>
          <w:sz w:val="21"/>
          <w:szCs w:val="21"/>
        </w:rPr>
        <w:t>[…]</w:t>
      </w:r>
      <w:r w:rsidR="001E5C7A" w:rsidRPr="00DE0397">
        <w:rPr>
          <w:rFonts w:ascii="Century Gothic" w:hAnsi="Century Gothic"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00AD2EC6" w:rsidRPr="00DE0397">
        <w:rPr>
          <w:rFonts w:ascii="Century Gothic" w:hAnsi="Century Gothic" w:cs="Arial"/>
          <w:noProof/>
          <w:sz w:val="20"/>
          <w:szCs w:val="20"/>
          <w:lang w:val="es-ES_tradnl"/>
        </w:rPr>
        <w:t xml:space="preserve"> </w:t>
      </w:r>
      <w:r w:rsidR="00AD2EC6" w:rsidRPr="00DE0397">
        <w:rPr>
          <w:rFonts w:ascii="Century Gothic" w:eastAsia="Calibri" w:hAnsi="Century Gothic" w:cs="Arial"/>
          <w:sz w:val="21"/>
          <w:szCs w:val="21"/>
        </w:rPr>
        <w:t>[…]</w:t>
      </w:r>
      <w:r w:rsidRPr="00DE0397">
        <w:rPr>
          <w:rFonts w:ascii="Century Gothic" w:hAnsi="Century Gothic" w:cs="Arial"/>
          <w:noProof/>
          <w:sz w:val="20"/>
          <w:szCs w:val="20"/>
          <w:lang w:val="es-ES_tradnl"/>
        </w:rPr>
        <w:t>”</w:t>
      </w:r>
      <w:r w:rsidR="001E5C7A" w:rsidRPr="00DE0397">
        <w:rPr>
          <w:rStyle w:val="Refdenotaalpie"/>
          <w:rFonts w:ascii="Century Gothic" w:hAnsi="Century Gothic" w:cs="Arial"/>
          <w:noProof/>
          <w:sz w:val="20"/>
          <w:szCs w:val="20"/>
          <w:lang w:val="es-ES_tradnl"/>
        </w:rPr>
        <w:footnoteReference w:id="7"/>
      </w:r>
      <w:r w:rsidR="001E5C7A" w:rsidRPr="00DE0397">
        <w:rPr>
          <w:rFonts w:ascii="Century Gothic" w:hAnsi="Century Gothic" w:cs="Arial"/>
          <w:noProof/>
          <w:sz w:val="20"/>
          <w:szCs w:val="20"/>
          <w:lang w:val="es-ES_tradnl"/>
        </w:rPr>
        <w:t>.</w:t>
      </w:r>
    </w:p>
    <w:p w14:paraId="3CA1665B" w14:textId="77777777" w:rsidR="001E5C7A" w:rsidRPr="00DE0397" w:rsidRDefault="001E5C7A" w:rsidP="001E5C7A">
      <w:pPr>
        <w:spacing w:after="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DE0397">
        <w:rPr>
          <w:rStyle w:val="Refdenotaalpie"/>
          <w:rFonts w:ascii="Century Gothic" w:hAnsi="Century Gothic" w:cs="Arial"/>
          <w:noProof/>
          <w:lang w:val="es-ES_tradnl"/>
        </w:rPr>
        <w:footnoteReference w:id="8"/>
      </w:r>
      <w:r w:rsidRPr="00DE0397">
        <w:rPr>
          <w:rFonts w:ascii="Century Gothic" w:hAnsi="Century Gothic" w:cs="Arial"/>
          <w:noProof/>
          <w:lang w:val="es-ES_tradnl"/>
        </w:rPr>
        <w:t xml:space="preserve">. </w:t>
      </w:r>
    </w:p>
    <w:p w14:paraId="16E08BA6" w14:textId="77777777" w:rsidR="001E5C7A" w:rsidRPr="00DE0397" w:rsidRDefault="001E5C7A" w:rsidP="001E5C7A">
      <w:pPr>
        <w:spacing w:after="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Debe aclararse que no debe suscribirse un contrato de prestación de servicios profesionales para ejecutar actividades que se enmarcan en los otros contratos tipificados en el artículo 32 de la Ley 80 de 1993, como, por ejemplo, la construcción de una obra.</w:t>
      </w:r>
    </w:p>
    <w:p w14:paraId="3F5A29EF" w14:textId="77777777" w:rsidR="001E5C7A" w:rsidRPr="00DE0397" w:rsidRDefault="001E5C7A" w:rsidP="001E5C7A">
      <w:pPr>
        <w:spacing w:after="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vi) Para celebrarlo no se requiere expedir un acto administrativo de justificación de la contratación directa</w:t>
      </w:r>
      <w:r w:rsidRPr="00DE0397">
        <w:rPr>
          <w:rStyle w:val="Refdenotaalpie"/>
          <w:rFonts w:ascii="Century Gothic" w:hAnsi="Century Gothic" w:cs="Arial"/>
          <w:noProof/>
          <w:lang w:val="es-ES_tradnl"/>
        </w:rPr>
        <w:footnoteReference w:id="9"/>
      </w:r>
      <w:r w:rsidRPr="00DE0397">
        <w:rPr>
          <w:rFonts w:ascii="Century Gothic" w:hAnsi="Century Gothic" w:cs="Arial"/>
          <w:noProof/>
          <w:lang w:val="es-ES_tradnl"/>
        </w:rPr>
        <w:t>.</w:t>
      </w:r>
    </w:p>
    <w:p w14:paraId="01078C5F" w14:textId="77777777" w:rsidR="001E5C7A" w:rsidRPr="00DE0397" w:rsidRDefault="001E5C7A" w:rsidP="001E5C7A">
      <w:pPr>
        <w:spacing w:after="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lastRenderedPageBreak/>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DE0397">
        <w:rPr>
          <w:rStyle w:val="Refdenotaalpie"/>
          <w:rFonts w:ascii="Century Gothic" w:hAnsi="Century Gothic" w:cs="Arial"/>
          <w:noProof/>
          <w:lang w:val="es-ES_tradnl"/>
        </w:rPr>
        <w:footnoteReference w:id="10"/>
      </w:r>
      <w:r w:rsidRPr="00DE0397">
        <w:rPr>
          <w:rFonts w:ascii="Century Gothic" w:hAnsi="Century Gothic" w:cs="Arial"/>
          <w:noProof/>
          <w:lang w:val="es-ES_tradnl"/>
        </w:rPr>
        <w:t>.</w:t>
      </w:r>
    </w:p>
    <w:p w14:paraId="19A0C41F" w14:textId="77777777" w:rsidR="001E5C7A" w:rsidRPr="00DE0397" w:rsidRDefault="001E5C7A" w:rsidP="001E5C7A">
      <w:pPr>
        <w:spacing w:after="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viii) No es obligatorio liquidar estos contratos, como lo establece el artículo 217 del Decreto 019 de 2012, que modificó el artículo 60 de la Ley 80 de 1993</w:t>
      </w:r>
      <w:r w:rsidRPr="00DE0397">
        <w:rPr>
          <w:rStyle w:val="Refdenotaalpie"/>
          <w:rFonts w:ascii="Century Gothic" w:hAnsi="Century Gothic" w:cs="Arial"/>
          <w:noProof/>
          <w:lang w:val="es-ES_tradnl"/>
        </w:rPr>
        <w:footnoteReference w:id="11"/>
      </w:r>
      <w:r w:rsidRPr="00DE0397">
        <w:rPr>
          <w:rFonts w:ascii="Century Gothic" w:hAnsi="Century Gothic" w:cs="Arial"/>
          <w:noProof/>
          <w:lang w:val="es-ES_tradnl"/>
        </w:rPr>
        <w:t>.</w:t>
      </w:r>
    </w:p>
    <w:p w14:paraId="4790A82A" w14:textId="77777777" w:rsidR="001E5C7A" w:rsidRPr="00DE0397" w:rsidRDefault="001E5C7A" w:rsidP="001E5C7A">
      <w:pPr>
        <w:spacing w:after="120" w:line="276" w:lineRule="auto"/>
        <w:ind w:firstLine="709"/>
        <w:jc w:val="both"/>
        <w:rPr>
          <w:rFonts w:ascii="Century Gothic" w:hAnsi="Century Gothic" w:cs="Arial"/>
          <w:noProof/>
          <w:lang w:val="es-ES_tradnl"/>
        </w:rPr>
      </w:pPr>
      <w:r w:rsidRPr="00DE0397">
        <w:rPr>
          <w:rFonts w:ascii="Century Gothic" w:hAnsi="Century Gothic" w:cs="Arial"/>
          <w:noProof/>
          <w:lang w:val="es-ES_tradnl"/>
        </w:rPr>
        <w:t>ix) Para celebrarlos no se requiere estar inscrito en el Registro Único de Proponentes –RUP–, como lo señala el artículo 6 de la Ley 1150 de 2007</w:t>
      </w:r>
      <w:r w:rsidRPr="00DE0397">
        <w:rPr>
          <w:rStyle w:val="Refdenotaalpie"/>
          <w:rFonts w:ascii="Century Gothic" w:hAnsi="Century Gothic" w:cs="Arial"/>
          <w:noProof/>
          <w:lang w:val="es-ES_tradnl"/>
        </w:rPr>
        <w:footnoteReference w:id="12"/>
      </w:r>
      <w:r w:rsidRPr="00DE0397">
        <w:rPr>
          <w:rFonts w:ascii="Century Gothic" w:hAnsi="Century Gothic" w:cs="Arial"/>
          <w:noProof/>
          <w:lang w:val="es-ES_tradnl"/>
        </w:rPr>
        <w:t>.</w:t>
      </w:r>
    </w:p>
    <w:p w14:paraId="13901C81" w14:textId="77777777" w:rsidR="001E5C7A" w:rsidRPr="00DE0397" w:rsidRDefault="001E5C7A" w:rsidP="001E5C7A">
      <w:pPr>
        <w:spacing w:after="120" w:line="276" w:lineRule="auto"/>
        <w:ind w:firstLine="708"/>
        <w:jc w:val="both"/>
        <w:rPr>
          <w:rFonts w:ascii="Century Gothic" w:hAnsi="Century Gothic" w:cs="Arial"/>
          <w:noProof/>
          <w:lang w:val="es-ES_tradnl"/>
        </w:rPr>
      </w:pPr>
      <w:r w:rsidRPr="00DE0397">
        <w:rPr>
          <w:rFonts w:ascii="Century Gothic" w:hAnsi="Century Gothic" w:cs="Arial"/>
          <w:noProof/>
          <w:lang w:val="es-ES_tradnl"/>
        </w:rPr>
        <w:lastRenderedPageBreak/>
        <w:t>x) No es necesario que el Estado exija garantías</w:t>
      </w:r>
      <w:r w:rsidRPr="00DE0397">
        <w:rPr>
          <w:rStyle w:val="Refdenotaalpie"/>
          <w:rFonts w:ascii="Century Gothic" w:hAnsi="Century Gothic" w:cs="Arial"/>
          <w:noProof/>
          <w:lang w:val="es-ES_tradnl"/>
        </w:rPr>
        <w:footnoteReference w:id="13"/>
      </w:r>
      <w:r w:rsidRPr="00DE0397">
        <w:rPr>
          <w:rFonts w:ascii="Century Gothic" w:hAnsi="Century Gothic" w:cs="Arial"/>
          <w:noProof/>
          <w:lang w:val="es-ES_tradnl"/>
        </w:rPr>
        <w:t>.</w:t>
      </w:r>
    </w:p>
    <w:p w14:paraId="5C0F3BA8" w14:textId="24EAEF31" w:rsidR="001E5C7A" w:rsidRPr="00DE0397" w:rsidRDefault="001E5C7A" w:rsidP="001E5C7A">
      <w:pPr>
        <w:spacing w:line="276" w:lineRule="auto"/>
        <w:jc w:val="both"/>
        <w:rPr>
          <w:rFonts w:ascii="Century Gothic" w:hAnsi="Century Gothic" w:cs="Arial"/>
          <w:noProof/>
          <w:lang w:val="es-ES_tradnl"/>
        </w:rPr>
      </w:pPr>
      <w:r w:rsidRPr="00DE0397">
        <w:rPr>
          <w:rFonts w:ascii="Century Gothic" w:hAnsi="Century Gothic" w:cs="Arial"/>
          <w:noProof/>
          <w:lang w:val="es-ES_tradnl"/>
        </w:rPr>
        <w:tab/>
        <w:t>Estás características son comunes a las diferentes especies de contratos de prestación de servicios, como son el de servicios profesionales y el de apoyo a la gestión, modalidades que se pasan a explicar a continuación.</w:t>
      </w:r>
    </w:p>
    <w:p w14:paraId="5980A132" w14:textId="77777777" w:rsidR="00CB16D6" w:rsidRPr="00DE0397" w:rsidRDefault="00CB16D6" w:rsidP="001E5C7A">
      <w:pPr>
        <w:spacing w:line="276" w:lineRule="auto"/>
        <w:jc w:val="both"/>
        <w:rPr>
          <w:rFonts w:ascii="Century Gothic" w:hAnsi="Century Gothic" w:cs="Arial"/>
          <w:noProof/>
          <w:lang w:val="es-ES_tradnl"/>
        </w:rPr>
      </w:pPr>
    </w:p>
    <w:p w14:paraId="2849FEFB" w14:textId="1DABF161" w:rsidR="001E5C7A" w:rsidRPr="00DE0397" w:rsidRDefault="001E5C7A" w:rsidP="00233392">
      <w:pPr>
        <w:spacing w:line="276" w:lineRule="auto"/>
        <w:jc w:val="both"/>
        <w:rPr>
          <w:rFonts w:ascii="Century Gothic" w:hAnsi="Century Gothic" w:cs="Arial"/>
          <w:b/>
          <w:bCs/>
          <w:noProof/>
          <w:lang w:val="es-ES_tradnl"/>
        </w:rPr>
      </w:pPr>
      <w:r w:rsidRPr="00DE0397">
        <w:rPr>
          <w:rFonts w:ascii="Century Gothic" w:hAnsi="Century Gothic" w:cs="Arial"/>
          <w:b/>
          <w:bCs/>
          <w:noProof/>
          <w:lang w:val="es-ES_tradnl"/>
        </w:rPr>
        <w:t xml:space="preserve">2.2. </w:t>
      </w:r>
      <w:r w:rsidRPr="00DE0397">
        <w:rPr>
          <w:rFonts w:ascii="Century Gothic" w:eastAsia="Times New Roman" w:hAnsi="Century Gothic" w:cs="Arial"/>
          <w:b/>
          <w:bCs/>
          <w:color w:val="000000" w:themeColor="text1"/>
          <w:lang w:val="es-ES" w:eastAsia="es-ES_tradnl"/>
        </w:rPr>
        <w:t>Servicios profesionales y de apoyo a la gestión como especies del contrato de prestación de servicios</w:t>
      </w:r>
    </w:p>
    <w:p w14:paraId="39C7990F" w14:textId="77777777" w:rsidR="001E5C7A" w:rsidRPr="00DE0397" w:rsidRDefault="001E5C7A" w:rsidP="001E5C7A">
      <w:pPr>
        <w:tabs>
          <w:tab w:val="left" w:pos="0"/>
        </w:tabs>
        <w:spacing w:after="120" w:line="276" w:lineRule="auto"/>
        <w:jc w:val="both"/>
        <w:rPr>
          <w:rFonts w:ascii="Century Gothic" w:hAnsi="Century Gothic" w:cs="Arial"/>
          <w:color w:val="000000" w:themeColor="text1"/>
        </w:rPr>
      </w:pPr>
      <w:r w:rsidRPr="00DE0397">
        <w:rPr>
          <w:rFonts w:ascii="Century Gothic" w:hAnsi="Century Gothic" w:cs="Arial"/>
          <w:color w:val="000000" w:themeColor="text1"/>
        </w:rPr>
        <w:t xml:space="preserve">Como especies del género </w:t>
      </w:r>
      <w:r w:rsidRPr="00DE0397">
        <w:rPr>
          <w:rFonts w:ascii="Century Gothic" w:hAnsi="Century Gothic" w:cs="Arial"/>
          <w:i/>
          <w:color w:val="000000" w:themeColor="text1"/>
        </w:rPr>
        <w:t>prestación de servicios,</w:t>
      </w:r>
      <w:r w:rsidRPr="00DE0397">
        <w:rPr>
          <w:rFonts w:ascii="Century Gothic" w:hAnsi="Century Gothic" w:cs="Arial"/>
          <w:color w:val="000000" w:themeColor="text1"/>
        </w:rPr>
        <w:t xml:space="preserve"> la jurisprudencia se ha encargado de definir los contratos de prestación de servicios profesionales y los de apoyo a la gestión. El primero, denominado </w:t>
      </w:r>
      <w:r w:rsidRPr="00DE0397">
        <w:rPr>
          <w:rFonts w:ascii="Century Gothic" w:hAnsi="Century Gothic" w:cs="Arial"/>
          <w:i/>
          <w:color w:val="000000" w:themeColor="text1"/>
        </w:rPr>
        <w:t>contrato propiamente dicho de prestación de servicios profesionales,</w:t>
      </w:r>
      <w:r w:rsidRPr="00DE0397">
        <w:rPr>
          <w:rFonts w:ascii="Century Gothic" w:hAnsi="Century Gothic" w:cs="Arial"/>
          <w:color w:val="000000" w:themeColor="text1"/>
        </w:rPr>
        <w:t xml:space="preserve"> se caracteriza por desarrollar actividades </w:t>
      </w:r>
      <w:r w:rsidRPr="00DE0397">
        <w:rPr>
          <w:rFonts w:ascii="Century Gothic" w:hAnsi="Century Gothic" w:cs="Arial"/>
          <w:i/>
          <w:color w:val="000000" w:themeColor="text1"/>
        </w:rPr>
        <w:t>identificables e intangibles</w:t>
      </w:r>
      <w:r w:rsidRPr="00DE0397">
        <w:rPr>
          <w:rFonts w:ascii="Century Gothic" w:hAnsi="Century Gothic" w:cs="Arial"/>
          <w:color w:val="000000" w:themeColor="text1"/>
        </w:rPr>
        <w:t xml:space="preserve"> que demandan competencias y habilidades profesionales y especializadas, tendientes a satisfacer las necesidades relacionadas con la gestión administrativa o funcionamiento de la entidad. Por su parte, </w:t>
      </w:r>
      <w:r w:rsidRPr="00DE0397">
        <w:rPr>
          <w:rFonts w:ascii="Century Gothic" w:hAnsi="Century Gothic" w:cs="Arial"/>
          <w:i/>
          <w:color w:val="000000" w:themeColor="text1"/>
        </w:rPr>
        <w:t>el contrato de prestación de servicios de simple apoyo a la gestión</w:t>
      </w:r>
      <w:r w:rsidRPr="00DE0397">
        <w:rPr>
          <w:rStyle w:val="Refdenotaalpie"/>
          <w:rFonts w:ascii="Century Gothic" w:hAnsi="Century Gothic" w:cs="Arial"/>
          <w:i/>
          <w:color w:val="000000" w:themeColor="text1"/>
        </w:rPr>
        <w:footnoteReference w:id="14"/>
      </w:r>
      <w:r w:rsidRPr="00DE0397">
        <w:rPr>
          <w:rFonts w:ascii="Century Gothic" w:hAnsi="Century Gothic" w:cs="Arial"/>
          <w:color w:val="000000" w:themeColor="text1"/>
        </w:rPr>
        <w:t>, es aquel tendiente a desarrollar actividades en las cuales no se requiere personal profesional. Se involucra un saber técnico e implica el desempeño de un esfuerzo o actividad de apoyo, acompañamiento o soporte de carácter, entre otros, técnico, operacional, logístico, etc.</w:t>
      </w:r>
    </w:p>
    <w:p w14:paraId="39479EEE" w14:textId="77777777" w:rsidR="001E5C7A" w:rsidRPr="00DE0397" w:rsidRDefault="001E5C7A" w:rsidP="001E5C7A">
      <w:pPr>
        <w:tabs>
          <w:tab w:val="left" w:pos="0"/>
        </w:tabs>
        <w:spacing w:before="120" w:line="276" w:lineRule="auto"/>
        <w:ind w:firstLine="709"/>
        <w:jc w:val="both"/>
        <w:rPr>
          <w:rFonts w:ascii="Century Gothic" w:hAnsi="Century Gothic" w:cs="Arial"/>
          <w:color w:val="000000" w:themeColor="text1"/>
        </w:rPr>
      </w:pPr>
      <w:r w:rsidRPr="00DE0397">
        <w:rPr>
          <w:rFonts w:ascii="Century Gothic" w:hAnsi="Century Gothic" w:cs="Arial"/>
          <w:color w:val="000000" w:themeColor="text1"/>
        </w:rPr>
        <w:t xml:space="preserve">Conforme lo dispone el artículo 2, numeral 4º, literal h), de la Ley 1150 de 2007, para la prestación de servicios profesionales y de apoyo a la gestión o para </w:t>
      </w:r>
      <w:r w:rsidRPr="00DE0397">
        <w:rPr>
          <w:rFonts w:ascii="Century Gothic" w:hAnsi="Century Gothic" w:cs="Arial"/>
          <w:color w:val="000000" w:themeColor="text1"/>
        </w:rPr>
        <w:lastRenderedPageBreak/>
        <w:t xml:space="preserve">la ejecución de trabajos artísticos que solo puedan encomendarse a determinadas personas naturales, la modalidad de selección será la de contratación directa. </w:t>
      </w:r>
    </w:p>
    <w:p w14:paraId="679C3B63" w14:textId="2CF0AF09" w:rsidR="001E5C7A" w:rsidRPr="00DE0397" w:rsidRDefault="001E5C7A" w:rsidP="00F12537">
      <w:pPr>
        <w:tabs>
          <w:tab w:val="left" w:pos="0"/>
        </w:tabs>
        <w:spacing w:before="120" w:line="276" w:lineRule="auto"/>
        <w:ind w:firstLine="709"/>
        <w:jc w:val="both"/>
        <w:rPr>
          <w:rFonts w:ascii="Century Gothic" w:hAnsi="Century Gothic" w:cs="Arial"/>
          <w:color w:val="000000" w:themeColor="text1"/>
        </w:rPr>
      </w:pPr>
      <w:r w:rsidRPr="00DE0397">
        <w:rPr>
          <w:rFonts w:ascii="Century Gothic" w:hAnsi="Century Gothic" w:cs="Arial"/>
          <w:color w:val="000000" w:themeColor="text1"/>
        </w:rPr>
        <w:t>Igual regulación prescribe el Decreto 1082 de 2015</w:t>
      </w:r>
      <w:r w:rsidR="00F52A82" w:rsidRPr="00DE0397">
        <w:rPr>
          <w:rFonts w:ascii="Century Gothic" w:hAnsi="Century Gothic" w:cs="Arial"/>
          <w:color w:val="000000" w:themeColor="text1"/>
        </w:rPr>
        <w:t xml:space="preserve"> que conforme a lo dispuesto en su</w:t>
      </w:r>
      <w:r w:rsidRPr="00DE0397">
        <w:rPr>
          <w:rFonts w:ascii="Century Gothic" w:hAnsi="Century Gothic" w:cs="Arial"/>
          <w:color w:val="000000" w:themeColor="text1"/>
        </w:rPr>
        <w:t xml:space="preserve"> artículo 2.2.1.2.1.4.9, las </w:t>
      </w:r>
      <w:r w:rsidR="00F52A82" w:rsidRPr="00DE0397">
        <w:rPr>
          <w:rFonts w:ascii="Century Gothic" w:hAnsi="Century Gothic" w:cs="Arial"/>
          <w:color w:val="000000" w:themeColor="text1"/>
        </w:rPr>
        <w:t>E</w:t>
      </w:r>
      <w:r w:rsidRPr="00DE0397">
        <w:rPr>
          <w:rFonts w:ascii="Century Gothic" w:hAnsi="Century Gothic" w:cs="Arial"/>
          <w:color w:val="000000" w:themeColor="text1"/>
        </w:rPr>
        <w:t xml:space="preserve">ntidades </w:t>
      </w:r>
      <w:r w:rsidR="00F52A82" w:rsidRPr="00DE0397">
        <w:rPr>
          <w:rFonts w:ascii="Century Gothic" w:hAnsi="Century Gothic" w:cs="Arial"/>
          <w:color w:val="000000" w:themeColor="text1"/>
        </w:rPr>
        <w:t>E</w:t>
      </w:r>
      <w:r w:rsidRPr="00DE0397">
        <w:rPr>
          <w:rFonts w:ascii="Century Gothic" w:hAnsi="Century Gothic" w:cs="Arial"/>
          <w:color w:val="000000" w:themeColor="text1"/>
        </w:rPr>
        <w:t xml:space="preserve">statales pueden contratar bajo la modalidad de contratación directa la prestación de servicios profesionales y de apoyo a la gestión. Además, desarrolla los conceptos de prestación de servicios profesionales y de apoyo a la gestión. Esta norma señala: </w:t>
      </w:r>
    </w:p>
    <w:p w14:paraId="6F9F397A" w14:textId="5ECAD30B" w:rsidR="001E5C7A" w:rsidRPr="00DE0397" w:rsidRDefault="00B24874" w:rsidP="00B24874">
      <w:pPr>
        <w:spacing w:after="0" w:line="240" w:lineRule="auto"/>
        <w:ind w:left="708" w:right="709"/>
        <w:jc w:val="both"/>
        <w:rPr>
          <w:rFonts w:ascii="Century Gothic" w:hAnsi="Century Gothic" w:cs="Arial"/>
          <w:color w:val="000000" w:themeColor="text1"/>
          <w:sz w:val="20"/>
          <w:szCs w:val="20"/>
        </w:rPr>
      </w:pPr>
      <w:r w:rsidRPr="00DE0397">
        <w:rPr>
          <w:rFonts w:ascii="Century Gothic" w:hAnsi="Century Gothic" w:cs="Arial"/>
          <w:color w:val="000000" w:themeColor="text1"/>
          <w:sz w:val="20"/>
          <w:szCs w:val="20"/>
        </w:rPr>
        <w:t>“</w:t>
      </w:r>
      <w:r w:rsidR="003A2D84" w:rsidRPr="00DE0397">
        <w:rPr>
          <w:rFonts w:ascii="Century Gothic" w:eastAsia="Calibri" w:hAnsi="Century Gothic" w:cs="Arial"/>
          <w:sz w:val="21"/>
          <w:szCs w:val="21"/>
        </w:rPr>
        <w:t>[…]</w:t>
      </w:r>
      <w:r w:rsidR="001E5C7A" w:rsidRPr="00DE0397">
        <w:rPr>
          <w:rFonts w:ascii="Century Gothic" w:hAnsi="Century Gothic" w:cs="Arial"/>
          <w:color w:val="000000" w:themeColor="text1"/>
          <w:sz w:val="20"/>
          <w:szCs w:val="20"/>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A6CE878" w14:textId="77777777" w:rsidR="001E5C7A" w:rsidRPr="00DE0397" w:rsidRDefault="001E5C7A" w:rsidP="00B24874">
      <w:pPr>
        <w:spacing w:after="0" w:line="240" w:lineRule="auto"/>
        <w:ind w:left="708" w:right="709"/>
        <w:jc w:val="both"/>
        <w:rPr>
          <w:rFonts w:ascii="Century Gothic" w:hAnsi="Century Gothic" w:cs="Arial"/>
          <w:color w:val="000000" w:themeColor="text1"/>
          <w:sz w:val="20"/>
          <w:szCs w:val="20"/>
        </w:rPr>
      </w:pPr>
    </w:p>
    <w:p w14:paraId="4F1F13B1" w14:textId="77777777" w:rsidR="001E5C7A" w:rsidRPr="00DE0397" w:rsidRDefault="001E5C7A" w:rsidP="00B24874">
      <w:pPr>
        <w:spacing w:after="0" w:line="240" w:lineRule="auto"/>
        <w:ind w:left="708" w:right="709"/>
        <w:jc w:val="both"/>
        <w:rPr>
          <w:rFonts w:ascii="Century Gothic" w:hAnsi="Century Gothic" w:cs="Arial"/>
          <w:color w:val="000000" w:themeColor="text1"/>
          <w:sz w:val="20"/>
          <w:szCs w:val="20"/>
        </w:rPr>
      </w:pPr>
      <w:r w:rsidRPr="00DE0397">
        <w:rPr>
          <w:rFonts w:ascii="Century Gothic" w:hAnsi="Century Gothic" w:cs="Arial"/>
          <w:color w:val="000000" w:themeColor="text1"/>
          <w:sz w:val="20"/>
          <w:szCs w:val="20"/>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6434DCE" w14:textId="77777777" w:rsidR="001E5C7A" w:rsidRPr="00DE0397" w:rsidRDefault="001E5C7A" w:rsidP="00B24874">
      <w:pPr>
        <w:spacing w:after="0" w:line="240" w:lineRule="auto"/>
        <w:ind w:left="708" w:right="709"/>
        <w:jc w:val="both"/>
        <w:rPr>
          <w:rFonts w:ascii="Century Gothic" w:hAnsi="Century Gothic" w:cs="Arial"/>
          <w:color w:val="000000" w:themeColor="text1"/>
          <w:sz w:val="20"/>
          <w:szCs w:val="20"/>
        </w:rPr>
      </w:pPr>
    </w:p>
    <w:p w14:paraId="0F0CD63E" w14:textId="5F565407" w:rsidR="001E5C7A" w:rsidRPr="00DE0397" w:rsidRDefault="001E5C7A" w:rsidP="00B24874">
      <w:pPr>
        <w:spacing w:after="0" w:line="240" w:lineRule="auto"/>
        <w:ind w:left="708" w:right="709"/>
        <w:jc w:val="both"/>
        <w:rPr>
          <w:rFonts w:ascii="Century Gothic" w:hAnsi="Century Gothic" w:cs="Arial"/>
          <w:color w:val="000000" w:themeColor="text1"/>
          <w:sz w:val="20"/>
          <w:szCs w:val="20"/>
        </w:rPr>
      </w:pPr>
      <w:r w:rsidRPr="00DE0397">
        <w:rPr>
          <w:rFonts w:ascii="Century Gothic" w:hAnsi="Century Gothic" w:cs="Arial"/>
          <w:color w:val="000000" w:themeColor="text1"/>
          <w:sz w:val="20"/>
          <w:szCs w:val="20"/>
        </w:rPr>
        <w:t>La Entidad Estatal, para la contratación de trabajos artísticos que solamente puedan en­comendarse a determinadas personas naturales, debe justificar esta situación en los estudios y documentos previos.</w:t>
      </w:r>
      <w:r w:rsidR="003A2D84" w:rsidRPr="00DE0397">
        <w:rPr>
          <w:rFonts w:ascii="Century Gothic" w:eastAsia="Calibri" w:hAnsi="Century Gothic" w:cs="Arial"/>
          <w:sz w:val="21"/>
          <w:szCs w:val="21"/>
        </w:rPr>
        <w:t xml:space="preserve"> […]</w:t>
      </w:r>
      <w:r w:rsidR="00B24874" w:rsidRPr="00DE0397">
        <w:rPr>
          <w:rFonts w:ascii="Century Gothic" w:hAnsi="Century Gothic" w:cs="Arial"/>
          <w:color w:val="000000" w:themeColor="text1"/>
          <w:sz w:val="20"/>
          <w:szCs w:val="20"/>
        </w:rPr>
        <w:t>”</w:t>
      </w:r>
    </w:p>
    <w:p w14:paraId="1CCDE447" w14:textId="77777777" w:rsidR="00B24874" w:rsidRPr="00DE0397" w:rsidRDefault="00B24874" w:rsidP="00B24874">
      <w:pPr>
        <w:tabs>
          <w:tab w:val="left" w:pos="0"/>
        </w:tabs>
        <w:spacing w:line="276" w:lineRule="auto"/>
        <w:jc w:val="both"/>
        <w:rPr>
          <w:rFonts w:ascii="Century Gothic" w:hAnsi="Century Gothic" w:cs="Arial"/>
          <w:color w:val="000000" w:themeColor="text1"/>
        </w:rPr>
      </w:pPr>
    </w:p>
    <w:p w14:paraId="519228D2" w14:textId="58683F56" w:rsidR="001E5C7A" w:rsidRPr="00DE0397" w:rsidRDefault="00B24874" w:rsidP="009F7EC8">
      <w:pPr>
        <w:tabs>
          <w:tab w:val="left" w:pos="0"/>
        </w:tabs>
        <w:spacing w:line="276" w:lineRule="auto"/>
        <w:jc w:val="both"/>
        <w:rPr>
          <w:rFonts w:ascii="Century Gothic" w:hAnsi="Century Gothic" w:cs="Arial"/>
          <w:color w:val="000000" w:themeColor="text1"/>
        </w:rPr>
      </w:pPr>
      <w:r w:rsidRPr="00DE0397">
        <w:rPr>
          <w:rFonts w:ascii="Century Gothic" w:hAnsi="Century Gothic" w:cs="Arial"/>
          <w:color w:val="000000" w:themeColor="text1"/>
        </w:rPr>
        <w:tab/>
      </w:r>
      <w:r w:rsidR="001E5C7A" w:rsidRPr="00DE0397">
        <w:rPr>
          <w:rFonts w:ascii="Century Gothic" w:hAnsi="Century Gothic" w:cs="Arial"/>
          <w:color w:val="000000" w:themeColor="text1"/>
        </w:rPr>
        <w:t>De acuerdo con este marco regulatorio, tanto los contratos que tienen por objeto la prestación de servicios profesionales, como los que versan sobre el apoyo a la gestión, se subsumen en el género del contrato de prestación de servicios regulado en la Ley 80 de 1993. Es decir, son especies de aquel. El Consejo de Estado se pronunció sobre este asunto en Sentencia de Unificación, en los siguientes términos</w:t>
      </w:r>
      <w:r w:rsidR="001E5C7A" w:rsidRPr="00DE0397">
        <w:rPr>
          <w:rStyle w:val="Refdenotaalpie"/>
          <w:rFonts w:ascii="Century Gothic" w:hAnsi="Century Gothic" w:cs="Arial"/>
          <w:color w:val="000000" w:themeColor="text1"/>
        </w:rPr>
        <w:footnoteReference w:id="15"/>
      </w:r>
      <w:r w:rsidR="001E5C7A" w:rsidRPr="00DE0397">
        <w:rPr>
          <w:rFonts w:ascii="Century Gothic" w:hAnsi="Century Gothic" w:cs="Arial"/>
          <w:color w:val="000000" w:themeColor="text1"/>
        </w:rPr>
        <w:t>:</w:t>
      </w:r>
    </w:p>
    <w:p w14:paraId="58BDDFE0" w14:textId="1C2B8064" w:rsidR="001E5C7A" w:rsidRPr="00DE0397" w:rsidRDefault="009F7EC8" w:rsidP="009F7EC8">
      <w:pPr>
        <w:spacing w:after="0" w:line="240" w:lineRule="auto"/>
        <w:ind w:left="708" w:right="709"/>
        <w:jc w:val="both"/>
        <w:rPr>
          <w:rFonts w:ascii="Century Gothic" w:hAnsi="Century Gothic" w:cs="Arial"/>
          <w:color w:val="000000" w:themeColor="text1"/>
          <w:sz w:val="20"/>
          <w:szCs w:val="20"/>
        </w:rPr>
      </w:pPr>
      <w:r w:rsidRPr="00DE0397">
        <w:rPr>
          <w:rFonts w:ascii="Century Gothic" w:hAnsi="Century Gothic" w:cs="Arial"/>
          <w:color w:val="000000" w:themeColor="text1"/>
          <w:sz w:val="20"/>
          <w:szCs w:val="20"/>
        </w:rPr>
        <w:t>“</w:t>
      </w:r>
      <w:r w:rsidR="003A2D84" w:rsidRPr="00DE0397">
        <w:rPr>
          <w:rFonts w:ascii="Century Gothic" w:eastAsia="Calibri" w:hAnsi="Century Gothic" w:cs="Arial"/>
          <w:sz w:val="21"/>
          <w:szCs w:val="21"/>
        </w:rPr>
        <w:t>[…]</w:t>
      </w:r>
      <w:r w:rsidR="001E5C7A" w:rsidRPr="00DE0397">
        <w:rPr>
          <w:rFonts w:ascii="Century Gothic" w:hAnsi="Century Gothic" w:cs="Arial"/>
          <w:color w:val="000000" w:themeColor="text1"/>
          <w:sz w:val="20"/>
          <w:szCs w:val="20"/>
        </w:rPr>
        <w:t xml:space="preserve">Se puede afirmar, sin lugar a mayor  dubitación, que la realidad material de las expresiones legales </w:t>
      </w:r>
      <w:r w:rsidRPr="00DE0397">
        <w:rPr>
          <w:rFonts w:ascii="Century Gothic" w:hAnsi="Century Gothic" w:cs="Arial"/>
          <w:color w:val="000000" w:themeColor="text1"/>
          <w:sz w:val="20"/>
          <w:szCs w:val="20"/>
        </w:rPr>
        <w:t>“</w:t>
      </w:r>
      <w:r w:rsidR="001E5C7A" w:rsidRPr="00DE0397">
        <w:rPr>
          <w:rFonts w:ascii="Century Gothic" w:hAnsi="Century Gothic" w:cs="Arial"/>
          <w:color w:val="000000" w:themeColor="text1"/>
          <w:sz w:val="20"/>
          <w:szCs w:val="20"/>
        </w:rPr>
        <w:t>…para la prestación de servicios profesionales y de apoyo a la gestión…</w:t>
      </w:r>
      <w:r w:rsidRPr="00DE0397">
        <w:rPr>
          <w:rFonts w:ascii="Century Gothic" w:hAnsi="Century Gothic" w:cs="Arial"/>
          <w:color w:val="000000" w:themeColor="text1"/>
          <w:sz w:val="20"/>
          <w:szCs w:val="20"/>
        </w:rPr>
        <w:t xml:space="preserve">” </w:t>
      </w:r>
      <w:r w:rsidR="001E5C7A" w:rsidRPr="00DE0397">
        <w:rPr>
          <w:rFonts w:ascii="Century Gothic" w:hAnsi="Century Gothic" w:cs="Arial"/>
          <w:color w:val="000000" w:themeColor="text1"/>
          <w:sz w:val="20"/>
          <w:szCs w:val="20"/>
        </w:rPr>
        <w:t xml:space="preserve">engloba necesariamente una misma sustancia </w:t>
      </w:r>
      <w:r w:rsidR="001E5C7A" w:rsidRPr="00DE0397">
        <w:rPr>
          <w:rFonts w:ascii="Century Gothic" w:hAnsi="Century Gothic" w:cs="Arial"/>
          <w:color w:val="000000" w:themeColor="text1"/>
          <w:sz w:val="20"/>
          <w:szCs w:val="20"/>
        </w:rPr>
        <w:lastRenderedPageBreak/>
        <w:t>jurídica: la del contrato de prestación de servicios definido en el artículo 32 No 3 de la ley 80 de 1993 y que no es otro que aquel que tiene por objeto apoyar la gestión de la entidad requirente en relación con su funcionamiento o el desarrollo de actividades relacionadas con la administración de la misma, que en esencia no implican en manera alguna el ejercicio de funciones públicas administrativas.</w:t>
      </w:r>
      <w:r w:rsidR="003A2D84" w:rsidRPr="00DE0397">
        <w:rPr>
          <w:rFonts w:ascii="Century Gothic" w:eastAsia="Calibri" w:hAnsi="Century Gothic" w:cs="Arial"/>
          <w:sz w:val="21"/>
          <w:szCs w:val="21"/>
        </w:rPr>
        <w:t xml:space="preserve"> […]</w:t>
      </w:r>
      <w:r w:rsidRPr="00DE0397">
        <w:rPr>
          <w:rFonts w:ascii="Century Gothic" w:hAnsi="Century Gothic" w:cs="Arial"/>
          <w:color w:val="000000" w:themeColor="text1"/>
          <w:sz w:val="20"/>
          <w:szCs w:val="20"/>
        </w:rPr>
        <w:t>”</w:t>
      </w:r>
    </w:p>
    <w:p w14:paraId="07428080" w14:textId="2792F47E" w:rsidR="001E5C7A" w:rsidRPr="00DE0397" w:rsidRDefault="001E5C7A" w:rsidP="001E5C7A">
      <w:pPr>
        <w:tabs>
          <w:tab w:val="left" w:pos="0"/>
        </w:tabs>
        <w:spacing w:before="120" w:line="276" w:lineRule="auto"/>
        <w:ind w:firstLine="709"/>
        <w:jc w:val="both"/>
        <w:rPr>
          <w:rFonts w:ascii="Century Gothic" w:hAnsi="Century Gothic" w:cs="Arial"/>
          <w:color w:val="000000" w:themeColor="text1"/>
        </w:rPr>
      </w:pPr>
      <w:r w:rsidRPr="00DE0397">
        <w:rPr>
          <w:rFonts w:ascii="Century Gothic" w:hAnsi="Century Gothic" w:cs="Arial"/>
          <w:color w:val="000000" w:themeColor="text1"/>
        </w:rPr>
        <w:t xml:space="preserve">De esta manera, mediante estos contratos se fortalece la gestión administrativa y el funcionamiento de las entidades estatales, proporcionando apoyo, acompañamiento y soporte requerido para el cumplimiento de sus funciones, cuando estas no lo pueden satisfacer por si solas o demandan conocimientos especializados, que no pueden ser prestados por los medios ordinarios. En realidad, el contrato de prestación de servicios </w:t>
      </w:r>
      <w:r w:rsidR="00EE481A" w:rsidRPr="00DE0397">
        <w:rPr>
          <w:rFonts w:ascii="Century Gothic" w:hAnsi="Century Gothic" w:cs="Arial"/>
          <w:color w:val="000000" w:themeColor="text1"/>
        </w:rPr>
        <w:t>“</w:t>
      </w:r>
      <w:r w:rsidRPr="00DE0397">
        <w:rPr>
          <w:rFonts w:ascii="Century Gothic" w:hAnsi="Century Gothic" w:cs="Arial"/>
          <w:color w:val="000000" w:themeColor="text1"/>
        </w:rPr>
        <w:t>resulta ser ante todo un contrato vital para la gestión y el funcionamiento de las entidades estatales porque suple las deficiencias de estas</w:t>
      </w:r>
      <w:r w:rsidRPr="00DE0397">
        <w:rPr>
          <w:rStyle w:val="Refdenotaalpie"/>
          <w:rFonts w:ascii="Century Gothic" w:hAnsi="Century Gothic" w:cs="Arial"/>
          <w:color w:val="000000" w:themeColor="text1"/>
        </w:rPr>
        <w:footnoteReference w:id="16"/>
      </w:r>
      <w:r w:rsidR="00EE481A" w:rsidRPr="00DE0397">
        <w:rPr>
          <w:rFonts w:ascii="Century Gothic" w:hAnsi="Century Gothic" w:cs="Arial"/>
          <w:color w:val="000000" w:themeColor="text1"/>
        </w:rPr>
        <w:t>”</w:t>
      </w:r>
      <w:r w:rsidRPr="00DE0397">
        <w:rPr>
          <w:rFonts w:ascii="Century Gothic" w:hAnsi="Century Gothic" w:cs="Arial"/>
          <w:color w:val="000000" w:themeColor="text1"/>
        </w:rPr>
        <w:t>.</w:t>
      </w:r>
    </w:p>
    <w:p w14:paraId="6D925044" w14:textId="2D59DF67" w:rsidR="00A22A1B" w:rsidRPr="00DE0397" w:rsidRDefault="00EE53F0" w:rsidP="000843C3">
      <w:pPr>
        <w:tabs>
          <w:tab w:val="left" w:pos="0"/>
        </w:tabs>
        <w:spacing w:before="120" w:line="276" w:lineRule="auto"/>
        <w:ind w:firstLine="709"/>
        <w:jc w:val="both"/>
        <w:rPr>
          <w:rFonts w:ascii="Century Gothic" w:hAnsi="Century Gothic" w:cs="Arial"/>
          <w:color w:val="000000" w:themeColor="text1"/>
          <w:lang w:val="es-ES"/>
        </w:rPr>
      </w:pPr>
      <w:r w:rsidRPr="00DE0397">
        <w:rPr>
          <w:rFonts w:ascii="Century Gothic" w:hAnsi="Century Gothic" w:cs="Arial"/>
          <w:color w:val="000000" w:themeColor="text1"/>
        </w:rPr>
        <w:t xml:space="preserve">Descritas las </w:t>
      </w:r>
      <w:r w:rsidRPr="00DE0397">
        <w:rPr>
          <w:rFonts w:ascii="Century Gothic" w:hAnsi="Century Gothic" w:cs="Arial"/>
          <w:color w:val="000000" w:themeColor="text1"/>
          <w:lang w:val="es-ES"/>
        </w:rPr>
        <w:t>características</w:t>
      </w:r>
      <w:r w:rsidR="00A22A1B" w:rsidRPr="00DE0397">
        <w:rPr>
          <w:rFonts w:ascii="Century Gothic" w:hAnsi="Century Gothic" w:cs="Arial"/>
          <w:color w:val="000000" w:themeColor="text1"/>
          <w:lang w:val="es-ES"/>
        </w:rPr>
        <w:t xml:space="preserve"> y nociones generales</w:t>
      </w:r>
      <w:r w:rsidRPr="00DE0397">
        <w:rPr>
          <w:rFonts w:ascii="Century Gothic" w:hAnsi="Century Gothic" w:cs="Arial"/>
          <w:color w:val="000000" w:themeColor="text1"/>
          <w:lang w:val="es-ES"/>
        </w:rPr>
        <w:t xml:space="preserve"> de los contratos de prestación de servicios y </w:t>
      </w:r>
      <w:r w:rsidR="00A22A1B" w:rsidRPr="00DE0397">
        <w:rPr>
          <w:rFonts w:ascii="Century Gothic" w:hAnsi="Century Gothic" w:cs="Arial"/>
          <w:color w:val="000000" w:themeColor="text1"/>
          <w:lang w:val="es-ES"/>
        </w:rPr>
        <w:t xml:space="preserve">expuestas </w:t>
      </w:r>
      <w:r w:rsidR="004C4B67">
        <w:rPr>
          <w:rFonts w:ascii="Century Gothic" w:hAnsi="Century Gothic" w:cs="Arial"/>
          <w:color w:val="000000" w:themeColor="text1"/>
          <w:lang w:val="es-ES"/>
        </w:rPr>
        <w:t>algunas</w:t>
      </w:r>
      <w:r w:rsidR="00A22A1B" w:rsidRPr="00DE0397">
        <w:rPr>
          <w:rFonts w:ascii="Century Gothic" w:hAnsi="Century Gothic" w:cs="Arial"/>
          <w:color w:val="000000" w:themeColor="text1"/>
          <w:lang w:val="es-ES"/>
        </w:rPr>
        <w:t xml:space="preserve"> especies </w:t>
      </w:r>
      <w:r w:rsidR="000E6C8A" w:rsidRPr="00DE0397">
        <w:rPr>
          <w:rFonts w:ascii="Century Gothic" w:hAnsi="Century Gothic" w:cs="Arial"/>
          <w:color w:val="000000" w:themeColor="text1"/>
          <w:lang w:val="es-ES"/>
        </w:rPr>
        <w:t>de estos negocios jurídicos</w:t>
      </w:r>
      <w:r w:rsidR="009D25B8">
        <w:rPr>
          <w:rFonts w:ascii="Century Gothic" w:hAnsi="Century Gothic" w:cs="Arial"/>
          <w:color w:val="000000" w:themeColor="text1"/>
          <w:lang w:val="es-ES"/>
        </w:rPr>
        <w:t>;</w:t>
      </w:r>
      <w:r w:rsidR="000E6C8A" w:rsidRPr="00DE0397">
        <w:rPr>
          <w:rFonts w:ascii="Century Gothic" w:hAnsi="Century Gothic" w:cs="Arial"/>
          <w:color w:val="000000" w:themeColor="text1"/>
          <w:lang w:val="es-ES"/>
        </w:rPr>
        <w:t xml:space="preserve"> en </w:t>
      </w:r>
      <w:r w:rsidR="007276F6" w:rsidRPr="00DE0397">
        <w:rPr>
          <w:rFonts w:ascii="Century Gothic" w:hAnsi="Century Gothic" w:cs="Arial"/>
          <w:color w:val="000000" w:themeColor="text1"/>
          <w:lang w:val="es-ES"/>
        </w:rPr>
        <w:t>particular</w:t>
      </w:r>
      <w:r w:rsidR="000E6C8A" w:rsidRPr="00DE0397">
        <w:rPr>
          <w:rFonts w:ascii="Century Gothic" w:hAnsi="Century Gothic" w:cs="Arial"/>
          <w:color w:val="000000" w:themeColor="text1"/>
          <w:lang w:val="es-ES"/>
        </w:rPr>
        <w:t xml:space="preserve"> en lo que respecta a</w:t>
      </w:r>
      <w:r w:rsidR="000843C3" w:rsidRPr="00DE0397">
        <w:rPr>
          <w:rFonts w:ascii="Century Gothic" w:hAnsi="Century Gothic" w:cs="Arial"/>
          <w:color w:val="000000" w:themeColor="text1"/>
          <w:lang w:val="es-ES"/>
        </w:rPr>
        <w:t xml:space="preserve"> la definición de los </w:t>
      </w:r>
      <w:r w:rsidR="000843C3" w:rsidRPr="00DE0397">
        <w:rPr>
          <w:rFonts w:ascii="Century Gothic" w:hAnsi="Century Gothic" w:cs="Arial"/>
          <w:color w:val="000000" w:themeColor="text1"/>
        </w:rPr>
        <w:t>contratos de prestación de servicios profesionales</w:t>
      </w:r>
      <w:r w:rsidR="000843C3" w:rsidRPr="00DE0397">
        <w:rPr>
          <w:rFonts w:ascii="Century Gothic" w:hAnsi="Century Gothic" w:cs="Arial"/>
          <w:color w:val="000000" w:themeColor="text1"/>
          <w:lang w:val="es-ES"/>
        </w:rPr>
        <w:t xml:space="preserve">, resulta necesario </w:t>
      </w:r>
      <w:r w:rsidR="000621BA" w:rsidRPr="00DE0397">
        <w:rPr>
          <w:rFonts w:ascii="Century Gothic" w:hAnsi="Century Gothic" w:cs="Arial"/>
          <w:color w:val="000000" w:themeColor="text1"/>
          <w:lang w:val="es-ES"/>
        </w:rPr>
        <w:t xml:space="preserve">para dar respuesta a la consulta elevada realizar algunas precisiones sobre la cláusula de comisión de éxito en los contratos estatales. </w:t>
      </w:r>
      <w:r w:rsidR="000843C3" w:rsidRPr="00DE0397">
        <w:rPr>
          <w:rFonts w:ascii="Century Gothic" w:hAnsi="Century Gothic" w:cs="Arial"/>
          <w:color w:val="000000" w:themeColor="text1"/>
          <w:lang w:val="es-ES"/>
        </w:rPr>
        <w:t xml:space="preserve"> </w:t>
      </w:r>
    </w:p>
    <w:p w14:paraId="7D5FB982" w14:textId="77777777" w:rsidR="00750863" w:rsidRPr="00DE0397" w:rsidRDefault="00750863" w:rsidP="000843C3">
      <w:pPr>
        <w:tabs>
          <w:tab w:val="left" w:pos="0"/>
        </w:tabs>
        <w:spacing w:before="120" w:line="276" w:lineRule="auto"/>
        <w:ind w:firstLine="709"/>
        <w:jc w:val="both"/>
        <w:rPr>
          <w:rFonts w:ascii="Century Gothic" w:hAnsi="Century Gothic" w:cs="Arial"/>
          <w:color w:val="000000" w:themeColor="text1"/>
          <w:lang w:val="es-ES"/>
        </w:rPr>
      </w:pPr>
    </w:p>
    <w:p w14:paraId="5E4CFF10" w14:textId="04A65683" w:rsidR="00426624" w:rsidRPr="00DE0397" w:rsidRDefault="00426624" w:rsidP="00426624">
      <w:pPr>
        <w:rPr>
          <w:rFonts w:ascii="Century Gothic" w:eastAsia="Calibri" w:hAnsi="Century Gothic" w:cs="Arial"/>
          <w:b/>
          <w:noProof/>
          <w:lang w:val="es-ES_tradnl"/>
        </w:rPr>
      </w:pPr>
      <w:r w:rsidRPr="00DE0397">
        <w:rPr>
          <w:rFonts w:ascii="Century Gothic" w:eastAsia="Calibri" w:hAnsi="Century Gothic" w:cs="Arial"/>
          <w:b/>
          <w:noProof/>
          <w:lang w:val="es-ES_tradnl"/>
        </w:rPr>
        <w:t>2.3. Cláusula de comisión de éxito en los contratos estatales</w:t>
      </w:r>
    </w:p>
    <w:p w14:paraId="5B19604A" w14:textId="593069DC" w:rsidR="00426624" w:rsidRPr="00DE0397" w:rsidRDefault="00426624" w:rsidP="00426624">
      <w:pPr>
        <w:spacing w:after="120" w:line="276" w:lineRule="auto"/>
        <w:jc w:val="both"/>
        <w:rPr>
          <w:rFonts w:ascii="Century Gothic" w:hAnsi="Century Gothic" w:cs="Arial"/>
          <w:bCs/>
          <w:color w:val="000000" w:themeColor="text1"/>
          <w:lang w:val="es-ES"/>
        </w:rPr>
      </w:pPr>
      <w:r w:rsidRPr="00DE0397">
        <w:rPr>
          <w:rFonts w:ascii="Century Gothic" w:eastAsia="Times New Roman" w:hAnsi="Century Gothic" w:cs="Arial"/>
          <w:lang w:eastAsia="es-MX"/>
        </w:rPr>
        <w:t xml:space="preserve">Las cláusulas de comisión de éxito no se encuentran reguladas expresamente en el Estatuto General de Contratación de la Administración Pública. Sin embargo, </w:t>
      </w:r>
      <w:r w:rsidRPr="00DE0397">
        <w:rPr>
          <w:rFonts w:ascii="Century Gothic" w:hAnsi="Century Gothic" w:cs="Arial"/>
          <w:lang w:val="es-ES"/>
        </w:rPr>
        <w:t xml:space="preserve">su inclusión en los contratos estatales es posible en virtud del artículo 40, inciso segundo, de la Ley 80 de 1993, el cual </w:t>
      </w:r>
      <w:r w:rsidRPr="00DE0397">
        <w:rPr>
          <w:rFonts w:ascii="Century Gothic" w:hAnsi="Century Gothic" w:cs="Arial"/>
          <w:bCs/>
          <w:color w:val="000000" w:themeColor="text1"/>
          <w:lang w:val="es-ES"/>
        </w:rPr>
        <w:t xml:space="preserve">regula el contenido del contrato estatal señalando </w:t>
      </w:r>
      <w:r w:rsidR="00251DCE" w:rsidRPr="00DE0397">
        <w:rPr>
          <w:rFonts w:ascii="Century Gothic" w:hAnsi="Century Gothic" w:cs="Arial"/>
          <w:bCs/>
          <w:color w:val="000000" w:themeColor="text1"/>
          <w:lang w:val="es-ES"/>
        </w:rPr>
        <w:t>“</w:t>
      </w:r>
      <w:r w:rsidRPr="00DE0397">
        <w:rPr>
          <w:rFonts w:ascii="Century Gothic" w:hAnsi="Century Gothic" w:cs="Arial"/>
          <w:bCs/>
          <w:color w:val="000000" w:themeColor="text1"/>
          <w:lang w:val="es-ES"/>
        </w:rPr>
        <w:t>Las entidades podrán celebrar los contratos y acuerdos que permitan la autonomía de la voluntad y requieran el cumplimiento de los fines estatales</w:t>
      </w:r>
      <w:r w:rsidR="00251DCE" w:rsidRPr="00DE0397">
        <w:rPr>
          <w:rFonts w:ascii="Century Gothic" w:hAnsi="Century Gothic" w:cs="Arial"/>
          <w:bCs/>
          <w:color w:val="000000" w:themeColor="text1"/>
          <w:lang w:val="es-ES"/>
        </w:rPr>
        <w:t>”</w:t>
      </w:r>
      <w:r w:rsidRPr="00DE0397">
        <w:rPr>
          <w:rFonts w:ascii="Century Gothic" w:hAnsi="Century Gothic" w:cs="Arial"/>
          <w:bCs/>
          <w:color w:val="000000" w:themeColor="text1"/>
          <w:lang w:val="es-ES"/>
        </w:rPr>
        <w:t xml:space="preserve">. </w:t>
      </w:r>
    </w:p>
    <w:p w14:paraId="778FE0AE" w14:textId="55B9173F" w:rsidR="00426624" w:rsidRPr="00DE0397" w:rsidRDefault="00426624" w:rsidP="00426624">
      <w:pPr>
        <w:spacing w:after="120" w:line="276" w:lineRule="auto"/>
        <w:ind w:firstLine="708"/>
        <w:jc w:val="both"/>
        <w:rPr>
          <w:rFonts w:ascii="Century Gothic" w:hAnsi="Century Gothic" w:cs="Arial"/>
          <w:bCs/>
          <w:color w:val="000000" w:themeColor="text1"/>
          <w:lang w:val="es-ES"/>
        </w:rPr>
      </w:pPr>
      <w:r w:rsidRPr="00DE0397">
        <w:rPr>
          <w:rFonts w:ascii="Century Gothic" w:hAnsi="Century Gothic" w:cs="Arial"/>
          <w:bCs/>
          <w:color w:val="000000" w:themeColor="text1"/>
          <w:lang w:val="es-ES"/>
        </w:rPr>
        <w:t xml:space="preserve">Además, el inciso tercero </w:t>
      </w:r>
      <w:r w:rsidRPr="00DE0397">
        <w:rPr>
          <w:rFonts w:ascii="Century Gothic" w:hAnsi="Century Gothic" w:cs="Arial"/>
          <w:bCs/>
          <w:i/>
          <w:iCs/>
          <w:color w:val="000000" w:themeColor="text1"/>
          <w:lang w:val="es-ES"/>
        </w:rPr>
        <w:t>ibidem</w:t>
      </w:r>
      <w:r w:rsidRPr="00DE0397">
        <w:rPr>
          <w:rFonts w:ascii="Century Gothic" w:hAnsi="Century Gothic" w:cs="Arial"/>
          <w:bCs/>
          <w:color w:val="000000" w:themeColor="text1"/>
          <w:lang w:val="es-ES"/>
        </w:rPr>
        <w:t xml:space="preserve"> señala que en los contratos que celebren las </w:t>
      </w:r>
      <w:r w:rsidR="00251DCE" w:rsidRPr="00DE0397">
        <w:rPr>
          <w:rFonts w:ascii="Century Gothic" w:hAnsi="Century Gothic" w:cs="Arial"/>
          <w:bCs/>
          <w:color w:val="000000" w:themeColor="text1"/>
          <w:lang w:val="es-ES"/>
        </w:rPr>
        <w:t>E</w:t>
      </w:r>
      <w:r w:rsidRPr="00DE0397">
        <w:rPr>
          <w:rFonts w:ascii="Century Gothic" w:hAnsi="Century Gothic" w:cs="Arial"/>
          <w:bCs/>
          <w:color w:val="000000" w:themeColor="text1"/>
          <w:lang w:val="es-ES"/>
        </w:rPr>
        <w:t xml:space="preserve">ntidades </w:t>
      </w:r>
      <w:r w:rsidR="00251DCE" w:rsidRPr="00DE0397">
        <w:rPr>
          <w:rFonts w:ascii="Century Gothic" w:hAnsi="Century Gothic" w:cs="Arial"/>
          <w:bCs/>
          <w:color w:val="000000" w:themeColor="text1"/>
          <w:lang w:val="es-ES"/>
        </w:rPr>
        <w:t>E</w:t>
      </w:r>
      <w:r w:rsidRPr="00DE0397">
        <w:rPr>
          <w:rFonts w:ascii="Century Gothic" w:hAnsi="Century Gothic" w:cs="Arial"/>
          <w:bCs/>
          <w:color w:val="000000" w:themeColor="text1"/>
          <w:lang w:val="es-ES"/>
        </w:rPr>
        <w:t xml:space="preserve">statales podrán incluirse las </w:t>
      </w:r>
      <w:r w:rsidRPr="00DE0397">
        <w:rPr>
          <w:rFonts w:ascii="Century Gothic" w:hAnsi="Century Gothic" w:cs="Arial"/>
          <w:bCs/>
          <w:i/>
          <w:color w:val="000000" w:themeColor="text1"/>
          <w:lang w:val="es-ES"/>
        </w:rPr>
        <w:t>modalidades</w:t>
      </w:r>
      <w:r w:rsidRPr="00DE0397">
        <w:rPr>
          <w:rFonts w:ascii="Century Gothic" w:hAnsi="Century Gothic" w:cs="Arial"/>
          <w:bCs/>
          <w:color w:val="000000" w:themeColor="text1"/>
          <w:lang w:val="es-ES"/>
        </w:rPr>
        <w:t xml:space="preserve">, </w:t>
      </w:r>
      <w:r w:rsidRPr="00DE0397">
        <w:rPr>
          <w:rFonts w:ascii="Century Gothic" w:hAnsi="Century Gothic" w:cs="Arial"/>
          <w:bCs/>
          <w:i/>
          <w:color w:val="000000" w:themeColor="text1"/>
          <w:lang w:val="es-ES"/>
        </w:rPr>
        <w:t>condiciones</w:t>
      </w:r>
      <w:r w:rsidRPr="00DE0397">
        <w:rPr>
          <w:rFonts w:ascii="Century Gothic" w:hAnsi="Century Gothic" w:cs="Arial"/>
          <w:bCs/>
          <w:color w:val="000000" w:themeColor="text1"/>
          <w:lang w:val="es-ES"/>
        </w:rPr>
        <w:t xml:space="preserve"> y, en general, las </w:t>
      </w:r>
      <w:r w:rsidRPr="00DE0397">
        <w:rPr>
          <w:rFonts w:ascii="Century Gothic" w:hAnsi="Century Gothic" w:cs="Arial"/>
          <w:bCs/>
          <w:i/>
          <w:color w:val="000000" w:themeColor="text1"/>
          <w:lang w:val="es-ES"/>
        </w:rPr>
        <w:t xml:space="preserve">cláusulas </w:t>
      </w:r>
      <w:r w:rsidRPr="00DE0397">
        <w:rPr>
          <w:rFonts w:ascii="Century Gothic" w:hAnsi="Century Gothic" w:cs="Arial"/>
          <w:bCs/>
          <w:color w:val="000000" w:themeColor="text1"/>
          <w:lang w:val="es-ES"/>
        </w:rPr>
        <w:t xml:space="preserve">o </w:t>
      </w:r>
      <w:r w:rsidRPr="00DE0397">
        <w:rPr>
          <w:rFonts w:ascii="Century Gothic" w:hAnsi="Century Gothic" w:cs="Arial"/>
          <w:bCs/>
          <w:i/>
          <w:color w:val="000000" w:themeColor="text1"/>
          <w:lang w:val="es-ES"/>
        </w:rPr>
        <w:t xml:space="preserve">estipulaciones </w:t>
      </w:r>
      <w:r w:rsidRPr="00DE0397">
        <w:rPr>
          <w:rFonts w:ascii="Century Gothic" w:hAnsi="Century Gothic" w:cs="Arial"/>
          <w:bCs/>
          <w:color w:val="000000" w:themeColor="text1"/>
          <w:lang w:val="es-ES"/>
        </w:rPr>
        <w:t xml:space="preserve">que las partes consideren </w:t>
      </w:r>
      <w:r w:rsidRPr="00DE0397">
        <w:rPr>
          <w:rFonts w:ascii="Century Gothic" w:hAnsi="Century Gothic" w:cs="Arial"/>
          <w:bCs/>
          <w:i/>
          <w:color w:val="000000" w:themeColor="text1"/>
          <w:lang w:val="es-ES"/>
        </w:rPr>
        <w:t xml:space="preserve">necesarias </w:t>
      </w:r>
      <w:r w:rsidRPr="00DE0397">
        <w:rPr>
          <w:rFonts w:ascii="Century Gothic" w:hAnsi="Century Gothic" w:cs="Arial"/>
          <w:bCs/>
          <w:color w:val="000000" w:themeColor="text1"/>
          <w:lang w:val="es-ES"/>
        </w:rPr>
        <w:t xml:space="preserve">y </w:t>
      </w:r>
      <w:r w:rsidRPr="00DE0397">
        <w:rPr>
          <w:rFonts w:ascii="Century Gothic" w:hAnsi="Century Gothic" w:cs="Arial"/>
          <w:bCs/>
          <w:i/>
          <w:color w:val="000000" w:themeColor="text1"/>
          <w:lang w:val="es-ES"/>
        </w:rPr>
        <w:t>conveniente</w:t>
      </w:r>
      <w:r w:rsidRPr="00DE0397">
        <w:rPr>
          <w:rFonts w:ascii="Century Gothic" w:hAnsi="Century Gothic" w:cs="Arial"/>
          <w:bCs/>
          <w:color w:val="000000" w:themeColor="text1"/>
          <w:lang w:val="es-ES"/>
        </w:rPr>
        <w:t xml:space="preserve">s, siempre que no sean contrarias a la Constitución, la ley, el orden público y a los </w:t>
      </w:r>
      <w:r w:rsidRPr="00DE0397">
        <w:rPr>
          <w:rFonts w:ascii="Century Gothic" w:hAnsi="Century Gothic" w:cs="Arial"/>
          <w:bCs/>
          <w:color w:val="000000" w:themeColor="text1"/>
          <w:lang w:val="es-ES"/>
        </w:rPr>
        <w:lastRenderedPageBreak/>
        <w:t xml:space="preserve">principios y finalidades del Estatuto General de Contratación de la Administración Pública y a los de la buena administración. Lo anterior significa que la ley otorga libertad a las </w:t>
      </w:r>
      <w:r w:rsidR="00251DCE" w:rsidRPr="00DE0397">
        <w:rPr>
          <w:rFonts w:ascii="Century Gothic" w:hAnsi="Century Gothic" w:cs="Arial"/>
          <w:bCs/>
          <w:color w:val="000000" w:themeColor="text1"/>
          <w:lang w:val="es-ES"/>
        </w:rPr>
        <w:t>E</w:t>
      </w:r>
      <w:r w:rsidRPr="00DE0397">
        <w:rPr>
          <w:rFonts w:ascii="Century Gothic" w:hAnsi="Century Gothic" w:cs="Arial"/>
          <w:bCs/>
          <w:color w:val="000000" w:themeColor="text1"/>
          <w:lang w:val="es-ES"/>
        </w:rPr>
        <w:t xml:space="preserve">ntidades </w:t>
      </w:r>
      <w:r w:rsidR="00251DCE" w:rsidRPr="00DE0397">
        <w:rPr>
          <w:rFonts w:ascii="Century Gothic" w:hAnsi="Century Gothic" w:cs="Arial"/>
          <w:bCs/>
          <w:color w:val="000000" w:themeColor="text1"/>
          <w:lang w:val="es-ES"/>
        </w:rPr>
        <w:t>E</w:t>
      </w:r>
      <w:r w:rsidRPr="00DE0397">
        <w:rPr>
          <w:rFonts w:ascii="Century Gothic" w:hAnsi="Century Gothic" w:cs="Arial"/>
          <w:bCs/>
          <w:color w:val="000000" w:themeColor="text1"/>
          <w:lang w:val="es-ES"/>
        </w:rPr>
        <w:t>statales para incluir las cláusulas, modalidades y condiciones en los contratos que celebren, siempre y cuando cumplan con exigencias relacionadas con la necesidad y conveniencia para el cumplimiento de los fines estatales y con el respeto del ordenamiento jurídico.</w:t>
      </w:r>
    </w:p>
    <w:p w14:paraId="65AB5F55" w14:textId="6BDC3FE4" w:rsidR="00426624" w:rsidRPr="00DE0397" w:rsidRDefault="00426624" w:rsidP="00426624">
      <w:pPr>
        <w:spacing w:before="120" w:after="120" w:line="276" w:lineRule="auto"/>
        <w:ind w:firstLine="708"/>
        <w:jc w:val="both"/>
        <w:rPr>
          <w:rFonts w:ascii="Century Gothic" w:eastAsia="Calibri" w:hAnsi="Century Gothic" w:cs="Arial"/>
          <w:sz w:val="21"/>
          <w:szCs w:val="21"/>
        </w:rPr>
      </w:pPr>
      <w:r w:rsidRPr="00DE0397">
        <w:rPr>
          <w:rFonts w:ascii="Century Gothic" w:eastAsia="Times New Roman" w:hAnsi="Century Gothic" w:cs="Arial"/>
          <w:lang w:eastAsia="es-MX"/>
        </w:rPr>
        <w:t xml:space="preserve">En tal sentido, la cláusula de comisión de éxito puede pactarse en los contratos estatales en donde se haga necesaria y conveniente para la consecución de los fines estatales de acuerdo con la justificación que al respecto realice la </w:t>
      </w:r>
      <w:r w:rsidR="0081523A" w:rsidRPr="00DE0397">
        <w:rPr>
          <w:rFonts w:ascii="Century Gothic" w:eastAsia="Times New Roman" w:hAnsi="Century Gothic" w:cs="Arial"/>
          <w:lang w:eastAsia="es-MX"/>
        </w:rPr>
        <w:t>E</w:t>
      </w:r>
      <w:r w:rsidRPr="00DE0397">
        <w:rPr>
          <w:rFonts w:ascii="Century Gothic" w:eastAsia="Times New Roman" w:hAnsi="Century Gothic" w:cs="Arial"/>
          <w:lang w:eastAsia="es-MX"/>
        </w:rPr>
        <w:t xml:space="preserve">ntidad </w:t>
      </w:r>
      <w:r w:rsidR="0081523A" w:rsidRPr="00DE0397">
        <w:rPr>
          <w:rFonts w:ascii="Century Gothic" w:eastAsia="Times New Roman" w:hAnsi="Century Gothic" w:cs="Arial"/>
          <w:lang w:eastAsia="es-MX"/>
        </w:rPr>
        <w:t>E</w:t>
      </w:r>
      <w:r w:rsidRPr="00DE0397">
        <w:rPr>
          <w:rFonts w:ascii="Century Gothic" w:eastAsia="Times New Roman" w:hAnsi="Century Gothic" w:cs="Arial"/>
          <w:lang w:eastAsia="es-MX"/>
        </w:rPr>
        <w:t>statal en la etapa de planeación. Cabe precisar que la comisión o prima de éxito se trata de una figura del derecho privado que se presenta como una manifestación del principio de la autonomía de la voluntad dentro de las cláusulas accidentales de los contratos.</w:t>
      </w:r>
    </w:p>
    <w:p w14:paraId="7A097245" w14:textId="7B8C06FC" w:rsidR="00426624" w:rsidRPr="00DE0397" w:rsidRDefault="00426624" w:rsidP="0081523A">
      <w:pPr>
        <w:spacing w:before="120" w:line="276" w:lineRule="auto"/>
        <w:ind w:firstLine="708"/>
        <w:jc w:val="both"/>
        <w:rPr>
          <w:rFonts w:ascii="Century Gothic" w:hAnsi="Century Gothic" w:cs="Arial"/>
          <w:lang w:val="es-ES"/>
        </w:rPr>
      </w:pPr>
      <w:r w:rsidRPr="00DE0397">
        <w:rPr>
          <w:rFonts w:ascii="Century Gothic" w:hAnsi="Century Gothic" w:cs="Arial"/>
          <w:lang w:val="es-ES"/>
        </w:rPr>
        <w:t>Además de tratarse de cláusulas accidentales y de su carácter de obligaciones condicionales, conviene destacar que las comisiones de éxito deben someterse a las reglas que por vía jurisprudencial han fijado su inclusión y ejecución en los contratos estatales. Particularmente, el Consejo de Estado ha establecido las reglas que rigen las comisiones de éxito en los contratos de prestación de servicios, tipología donde es más frecuente su utilización:</w:t>
      </w:r>
    </w:p>
    <w:p w14:paraId="41E807A0" w14:textId="3E4A4E1E" w:rsidR="00426624" w:rsidRPr="00DE0397" w:rsidRDefault="00B36CE2" w:rsidP="000A265E">
      <w:pPr>
        <w:spacing w:line="240" w:lineRule="auto"/>
        <w:ind w:left="709" w:right="709"/>
        <w:jc w:val="both"/>
        <w:rPr>
          <w:rFonts w:ascii="Century Gothic" w:eastAsia="Calibri" w:hAnsi="Century Gothic" w:cs="Arial"/>
          <w:b/>
          <w:sz w:val="21"/>
          <w:szCs w:val="21"/>
        </w:rPr>
      </w:pPr>
      <w:r w:rsidRPr="00DE0397">
        <w:rPr>
          <w:rFonts w:ascii="Century Gothic" w:eastAsia="Calibri" w:hAnsi="Century Gothic" w:cs="Arial"/>
          <w:sz w:val="21"/>
          <w:szCs w:val="21"/>
        </w:rPr>
        <w:t>“</w:t>
      </w:r>
      <w:r w:rsidR="00426624" w:rsidRPr="00DE0397">
        <w:rPr>
          <w:rFonts w:ascii="Century Gothic" w:eastAsia="Calibri" w:hAnsi="Century Gothic" w:cs="Arial"/>
          <w:sz w:val="21"/>
          <w:szCs w:val="21"/>
        </w:rPr>
        <w:t xml:space="preserve">[…] la Sala considera que la estipulación de la comisión de éxito por virtud del principio de conmutatividad exige que se pacte por el Estado y los contratistas con base en referentes objetivos que se aproximen a un real equilibrio económico, sin sujetarse solamente a supuestos convencionales, bajo las siguientes reglas </w:t>
      </w:r>
      <w:r w:rsidR="00426624" w:rsidRPr="00DE0397">
        <w:rPr>
          <w:rFonts w:ascii="Century Gothic" w:eastAsia="Calibri" w:hAnsi="Century Gothic" w:cs="Arial"/>
          <w:b/>
          <w:sz w:val="21"/>
          <w:szCs w:val="21"/>
        </w:rPr>
        <w:t>fundadas en el principio de conmutatividad</w:t>
      </w:r>
      <w:r w:rsidR="00426624" w:rsidRPr="00DE0397">
        <w:rPr>
          <w:rFonts w:ascii="Century Gothic" w:eastAsia="Calibri" w:hAnsi="Century Gothic" w:cs="Arial"/>
          <w:sz w:val="21"/>
          <w:szCs w:val="21"/>
        </w:rPr>
        <w:t>: (1) por virtud del principio de planeación</w:t>
      </w:r>
      <w:r w:rsidR="00426624" w:rsidRPr="00DE0397">
        <w:rPr>
          <w:rStyle w:val="Refdenotaalpie"/>
          <w:rFonts w:ascii="Century Gothic" w:eastAsia="Calibri" w:hAnsi="Century Gothic" w:cs="Arial"/>
          <w:sz w:val="21"/>
          <w:szCs w:val="21"/>
        </w:rPr>
        <w:footnoteReference w:id="17"/>
      </w:r>
      <w:r w:rsidR="00426624" w:rsidRPr="00DE0397">
        <w:rPr>
          <w:rFonts w:ascii="Century Gothic" w:eastAsia="Calibri" w:hAnsi="Century Gothic" w:cs="Arial"/>
          <w:sz w:val="21"/>
          <w:szCs w:val="21"/>
        </w:rPr>
        <w:t xml:space="preserve"> para la </w:t>
      </w:r>
      <w:r w:rsidR="00426624" w:rsidRPr="00DE0397">
        <w:rPr>
          <w:rFonts w:ascii="Century Gothic" w:eastAsia="Calibri" w:hAnsi="Century Gothic" w:cs="Arial"/>
          <w:sz w:val="21"/>
          <w:szCs w:val="21"/>
        </w:rPr>
        <w:lastRenderedPageBreak/>
        <w:t xml:space="preserve">fijación de una comisión de éxito en los contratos de prestación de servicios que suscriba una entidad pública se debe </w:t>
      </w:r>
      <w:r w:rsidR="00426624" w:rsidRPr="00DE0397">
        <w:rPr>
          <w:rFonts w:ascii="Century Gothic" w:eastAsia="Calibri" w:hAnsi="Century Gothic" w:cs="Arial"/>
          <w:b/>
          <w:sz w:val="21"/>
          <w:szCs w:val="21"/>
        </w:rPr>
        <w:t>establecer en los estudios previos la metodología y la escala de límites razonables para determinar la cuantía de la misma con el objeto de responder al principio de conmutatividad; (2) así mismo, se debe contar</w:t>
      </w:r>
      <w:r w:rsidR="00426624" w:rsidRPr="00DE0397">
        <w:rPr>
          <w:rFonts w:ascii="Century Gothic" w:eastAsia="Calibri" w:hAnsi="Century Gothic" w:cs="Arial"/>
          <w:sz w:val="21"/>
          <w:szCs w:val="21"/>
        </w:rPr>
        <w:t xml:space="preserve"> con los estudios financieros, </w:t>
      </w:r>
      <w:r w:rsidR="00426624" w:rsidRPr="00DE0397">
        <w:rPr>
          <w:rFonts w:ascii="Century Gothic" w:eastAsia="Calibri" w:hAnsi="Century Gothic" w:cs="Arial"/>
          <w:b/>
          <w:sz w:val="21"/>
          <w:szCs w:val="21"/>
        </w:rPr>
        <w:t>económicos y</w:t>
      </w:r>
      <w:r w:rsidR="00426624" w:rsidRPr="00DE0397">
        <w:rPr>
          <w:rFonts w:ascii="Century Gothic" w:eastAsia="Calibri" w:hAnsi="Century Gothic" w:cs="Arial"/>
          <w:sz w:val="21"/>
          <w:szCs w:val="21"/>
        </w:rPr>
        <w:t xml:space="preserve"> presupuestales, </w:t>
      </w:r>
      <w:r w:rsidR="00426624" w:rsidRPr="00DE0397">
        <w:rPr>
          <w:rFonts w:ascii="Century Gothic" w:eastAsia="Calibri" w:hAnsi="Century Gothic" w:cs="Arial"/>
          <w:b/>
          <w:sz w:val="21"/>
          <w:szCs w:val="21"/>
        </w:rPr>
        <w:t xml:space="preserve">que permitan sustentar y </w:t>
      </w:r>
      <w:r w:rsidR="00426624" w:rsidRPr="00DE0397">
        <w:rPr>
          <w:rFonts w:ascii="Century Gothic" w:eastAsia="Calibri" w:hAnsi="Century Gothic" w:cs="Arial"/>
          <w:sz w:val="21"/>
          <w:szCs w:val="21"/>
        </w:rPr>
        <w:t xml:space="preserve">determinar su proyección en tiempo y cuantía, </w:t>
      </w:r>
      <w:r w:rsidR="00426624" w:rsidRPr="00DE0397">
        <w:rPr>
          <w:rFonts w:ascii="Century Gothic" w:eastAsia="Calibri" w:hAnsi="Century Gothic" w:cs="Arial"/>
          <w:b/>
          <w:sz w:val="21"/>
          <w:szCs w:val="21"/>
        </w:rPr>
        <w:t>lo que debe quedar incorporado</w:t>
      </w:r>
      <w:r w:rsidR="00426624" w:rsidRPr="00DE0397">
        <w:rPr>
          <w:rFonts w:ascii="Century Gothic" w:eastAsia="Calibri" w:hAnsi="Century Gothic" w:cs="Arial"/>
          <w:sz w:val="21"/>
          <w:szCs w:val="21"/>
        </w:rPr>
        <w:t xml:space="preserve"> en los pliegos de condiciones y en el contrato, de manera que no se convierta en una obligación indeterminada, no motivada e irrazonable</w:t>
      </w:r>
      <w:r w:rsidR="00426624" w:rsidRPr="00DE0397">
        <w:rPr>
          <w:rStyle w:val="Refdenotaalpie"/>
          <w:rFonts w:ascii="Century Gothic" w:eastAsia="Calibri" w:hAnsi="Century Gothic" w:cs="Arial"/>
          <w:sz w:val="21"/>
          <w:szCs w:val="21"/>
        </w:rPr>
        <w:footnoteReference w:id="18"/>
      </w:r>
      <w:r w:rsidR="00426624" w:rsidRPr="00DE0397">
        <w:rPr>
          <w:rFonts w:ascii="Century Gothic" w:eastAsia="Calibri" w:hAnsi="Century Gothic" w:cs="Arial"/>
          <w:sz w:val="21"/>
          <w:szCs w:val="21"/>
        </w:rPr>
        <w:t>, que pueda afectar el interés público o general</w:t>
      </w:r>
      <w:r w:rsidR="00426624" w:rsidRPr="00DE0397">
        <w:rPr>
          <w:rStyle w:val="Refdenotaalpie"/>
          <w:rFonts w:ascii="Century Gothic" w:eastAsia="Calibri" w:hAnsi="Century Gothic" w:cs="Arial"/>
          <w:sz w:val="21"/>
          <w:szCs w:val="21"/>
        </w:rPr>
        <w:footnoteReference w:id="19"/>
      </w:r>
      <w:r w:rsidR="00426624" w:rsidRPr="00DE0397">
        <w:rPr>
          <w:rFonts w:ascii="Century Gothic" w:eastAsia="Calibri" w:hAnsi="Century Gothic" w:cs="Arial"/>
          <w:sz w:val="21"/>
          <w:szCs w:val="21"/>
        </w:rPr>
        <w:t xml:space="preserve">, </w:t>
      </w:r>
      <w:r w:rsidR="00426624" w:rsidRPr="00DE0397">
        <w:rPr>
          <w:rFonts w:ascii="Century Gothic" w:eastAsia="Calibri" w:hAnsi="Century Gothic" w:cs="Arial"/>
          <w:b/>
          <w:sz w:val="21"/>
          <w:szCs w:val="21"/>
        </w:rPr>
        <w:t>y vulnerar el principio de conmutatividad; (3)</w:t>
      </w:r>
      <w:r w:rsidR="00426624" w:rsidRPr="00DE0397">
        <w:rPr>
          <w:rFonts w:ascii="Century Gothic" w:eastAsia="Calibri" w:hAnsi="Century Gothic" w:cs="Arial"/>
          <w:sz w:val="21"/>
          <w:szCs w:val="21"/>
        </w:rPr>
        <w:t xml:space="preserve"> para el reconocimiento y la cuantificación de toda comisión de éxito en los contratos de prestación de servicios debe contarse con </w:t>
      </w:r>
      <w:r w:rsidR="00426624" w:rsidRPr="00DE0397">
        <w:rPr>
          <w:rFonts w:ascii="Century Gothic" w:eastAsia="Calibri" w:hAnsi="Century Gothic" w:cs="Arial"/>
          <w:b/>
          <w:sz w:val="21"/>
          <w:szCs w:val="21"/>
        </w:rPr>
        <w:t>los estudios económicos, financieros y</w:t>
      </w:r>
      <w:r w:rsidR="00426624" w:rsidRPr="00DE0397">
        <w:rPr>
          <w:rFonts w:ascii="Century Gothic" w:eastAsia="Calibri" w:hAnsi="Century Gothic" w:cs="Arial"/>
          <w:sz w:val="21"/>
          <w:szCs w:val="21"/>
        </w:rPr>
        <w:t xml:space="preserve"> de mercado que permitan establecer el valor que pueda representar el resultado </w:t>
      </w:r>
      <w:r w:rsidR="00426624" w:rsidRPr="00DE0397">
        <w:rPr>
          <w:rFonts w:ascii="Century Gothic" w:eastAsia="Calibri" w:hAnsi="Century Gothic" w:cs="Arial"/>
          <w:b/>
          <w:sz w:val="21"/>
          <w:szCs w:val="21"/>
        </w:rPr>
        <w:t>o éxito</w:t>
      </w:r>
      <w:r w:rsidR="00426624" w:rsidRPr="00DE0397">
        <w:rPr>
          <w:rFonts w:ascii="Century Gothic" w:eastAsia="Calibri" w:hAnsi="Century Gothic" w:cs="Arial"/>
          <w:sz w:val="21"/>
          <w:szCs w:val="21"/>
        </w:rPr>
        <w:t xml:space="preserve"> efectivamente logrado con el objeto contratado; </w:t>
      </w:r>
      <w:r w:rsidR="00426624" w:rsidRPr="00DE0397">
        <w:rPr>
          <w:rFonts w:ascii="Century Gothic" w:eastAsia="Calibri" w:hAnsi="Century Gothic" w:cs="Arial"/>
          <w:b/>
          <w:sz w:val="21"/>
          <w:szCs w:val="21"/>
        </w:rPr>
        <w:t>(4)</w:t>
      </w:r>
      <w:r w:rsidR="00426624" w:rsidRPr="00DE0397">
        <w:rPr>
          <w:rFonts w:ascii="Century Gothic" w:eastAsia="Calibri" w:hAnsi="Century Gothic" w:cs="Arial"/>
          <w:sz w:val="21"/>
          <w:szCs w:val="21"/>
        </w:rPr>
        <w:t xml:space="preserve"> el valor de la comisión de éxito comprende tanto el IVA, como los demás impuestos a que haya lugar a cargo del contratista; </w:t>
      </w:r>
      <w:r w:rsidR="00426624" w:rsidRPr="00DE0397">
        <w:rPr>
          <w:rFonts w:ascii="Century Gothic" w:eastAsia="Calibri" w:hAnsi="Century Gothic" w:cs="Arial"/>
          <w:b/>
          <w:sz w:val="21"/>
          <w:szCs w:val="21"/>
        </w:rPr>
        <w:t>(5)</w:t>
      </w:r>
      <w:r w:rsidR="00426624" w:rsidRPr="00DE0397">
        <w:rPr>
          <w:rFonts w:ascii="Century Gothic" w:eastAsia="Calibri" w:hAnsi="Century Gothic" w:cs="Arial"/>
          <w:sz w:val="21"/>
          <w:szCs w:val="21"/>
        </w:rPr>
        <w:t xml:space="preserve"> en los contratos de prestación de servicios sólo se reconocerá la comisión de éxito siempre que efectivamente se logre beneficio [s] </w:t>
      </w:r>
      <w:r w:rsidR="00426624" w:rsidRPr="00DE0397">
        <w:rPr>
          <w:rFonts w:ascii="Century Gothic" w:eastAsia="Calibri" w:hAnsi="Century Gothic" w:cs="Arial"/>
          <w:b/>
          <w:sz w:val="21"/>
          <w:szCs w:val="21"/>
        </w:rPr>
        <w:t>o éxito objetivamente identificado en los estudios previos</w:t>
      </w:r>
      <w:r w:rsidR="00426624" w:rsidRPr="00DE0397">
        <w:rPr>
          <w:rFonts w:ascii="Century Gothic" w:eastAsia="Calibri" w:hAnsi="Century Gothic" w:cs="Arial"/>
          <w:sz w:val="21"/>
          <w:szCs w:val="21"/>
        </w:rPr>
        <w:t xml:space="preserve">, para el patrimonio público o el interés general; </w:t>
      </w:r>
      <w:r w:rsidR="00426624" w:rsidRPr="00DE0397">
        <w:rPr>
          <w:rFonts w:ascii="Century Gothic" w:eastAsia="Calibri" w:hAnsi="Century Gothic" w:cs="Arial"/>
          <w:b/>
          <w:sz w:val="21"/>
          <w:szCs w:val="21"/>
        </w:rPr>
        <w:t>(6)</w:t>
      </w:r>
      <w:r w:rsidR="00426624" w:rsidRPr="00DE0397">
        <w:rPr>
          <w:rFonts w:ascii="Century Gothic" w:eastAsia="Calibri" w:hAnsi="Century Gothic" w:cs="Arial"/>
          <w:sz w:val="21"/>
          <w:szCs w:val="21"/>
        </w:rPr>
        <w:t xml:space="preserve"> en ningún caso podrá percibirse comisión de éxito por la simple ejecución del contrato cuando no se ha logrado o verificado efectivamente el beneficio o provecho para el patrimonio público; </w:t>
      </w:r>
      <w:r w:rsidR="00426624" w:rsidRPr="00DE0397">
        <w:rPr>
          <w:rFonts w:ascii="Century Gothic" w:eastAsia="Calibri" w:hAnsi="Century Gothic" w:cs="Arial"/>
          <w:b/>
          <w:sz w:val="21"/>
          <w:szCs w:val="21"/>
        </w:rPr>
        <w:t xml:space="preserve">(7) </w:t>
      </w:r>
      <w:r w:rsidR="00426624" w:rsidRPr="00DE0397">
        <w:rPr>
          <w:rFonts w:ascii="Century Gothic" w:eastAsia="Calibri" w:hAnsi="Century Gothic" w:cs="Arial"/>
          <w:sz w:val="21"/>
          <w:szCs w:val="21"/>
        </w:rPr>
        <w:t xml:space="preserve">no </w:t>
      </w:r>
      <w:r w:rsidR="00426624" w:rsidRPr="00DE0397">
        <w:rPr>
          <w:rFonts w:ascii="Century Gothic" w:eastAsia="Calibri" w:hAnsi="Century Gothic" w:cs="Arial"/>
          <w:sz w:val="21"/>
          <w:szCs w:val="21"/>
        </w:rPr>
        <w:lastRenderedPageBreak/>
        <w:t xml:space="preserve">se puede pagar comisión de éxito por fuera de lo estipulado contractualmente; y, </w:t>
      </w:r>
      <w:r w:rsidR="00426624" w:rsidRPr="00DE0397">
        <w:rPr>
          <w:rFonts w:ascii="Century Gothic" w:eastAsia="Calibri" w:hAnsi="Century Gothic" w:cs="Arial"/>
          <w:b/>
          <w:sz w:val="21"/>
          <w:szCs w:val="21"/>
        </w:rPr>
        <w:t>(8)</w:t>
      </w:r>
      <w:r w:rsidR="00426624" w:rsidRPr="00DE0397">
        <w:rPr>
          <w:rFonts w:ascii="Century Gothic" w:eastAsia="Calibri" w:hAnsi="Century Gothic" w:cs="Arial"/>
          <w:sz w:val="21"/>
          <w:szCs w:val="21"/>
        </w:rPr>
        <w:t xml:space="preserve"> presupuestalmente debe estar respaldado el pago de la comisión de éxito para su pago, </w:t>
      </w:r>
      <w:r w:rsidR="00426624" w:rsidRPr="00DE0397">
        <w:rPr>
          <w:rFonts w:ascii="Century Gothic" w:eastAsia="Calibri" w:hAnsi="Century Gothic" w:cs="Arial"/>
          <w:b/>
          <w:sz w:val="21"/>
          <w:szCs w:val="21"/>
        </w:rPr>
        <w:t>de acuerdo con las normas y reglamentos, y en cumplimiento de la estricta legalidad de las disposiciones presupuestales aplicables por cada entidad pública</w:t>
      </w:r>
      <w:r w:rsidR="00426624" w:rsidRPr="00DE0397">
        <w:rPr>
          <w:rStyle w:val="Refdenotaalpie"/>
          <w:rFonts w:ascii="Century Gothic" w:hAnsi="Century Gothic" w:cs="Arial"/>
          <w:lang w:val="es-ES"/>
        </w:rPr>
        <w:footnoteReference w:id="20"/>
      </w:r>
      <w:r w:rsidR="00426624" w:rsidRPr="00DE0397">
        <w:rPr>
          <w:rFonts w:ascii="Century Gothic" w:eastAsia="Calibri" w:hAnsi="Century Gothic" w:cs="Arial"/>
          <w:bCs/>
          <w:sz w:val="21"/>
          <w:szCs w:val="21"/>
        </w:rPr>
        <w:t>. (Énfasis dentro del texto)</w:t>
      </w:r>
      <w:r w:rsidRPr="00DE0397">
        <w:rPr>
          <w:rFonts w:ascii="Century Gothic" w:eastAsia="Calibri" w:hAnsi="Century Gothic" w:cs="Arial"/>
          <w:bCs/>
          <w:sz w:val="21"/>
          <w:szCs w:val="21"/>
        </w:rPr>
        <w:t xml:space="preserve"> </w:t>
      </w:r>
      <w:r w:rsidRPr="00DE0397">
        <w:rPr>
          <w:rFonts w:ascii="Century Gothic" w:eastAsia="Calibri" w:hAnsi="Century Gothic" w:cs="Arial"/>
          <w:sz w:val="21"/>
          <w:szCs w:val="21"/>
        </w:rPr>
        <w:t>[…]”</w:t>
      </w:r>
    </w:p>
    <w:p w14:paraId="7D795273" w14:textId="5F477760" w:rsidR="00426624" w:rsidRPr="00DE0397" w:rsidRDefault="00426624" w:rsidP="00426624">
      <w:pPr>
        <w:spacing w:line="276" w:lineRule="auto"/>
        <w:ind w:firstLine="708"/>
        <w:jc w:val="both"/>
        <w:rPr>
          <w:rFonts w:ascii="Century Gothic" w:hAnsi="Century Gothic" w:cs="Arial"/>
          <w:color w:val="000000" w:themeColor="text1"/>
          <w:lang w:val="es-ES"/>
        </w:rPr>
      </w:pPr>
      <w:r w:rsidRPr="00DE0397">
        <w:rPr>
          <w:rFonts w:ascii="Century Gothic" w:hAnsi="Century Gothic" w:cs="Arial"/>
          <w:color w:val="000000" w:themeColor="text1"/>
          <w:lang w:val="es-ES"/>
        </w:rPr>
        <w:t xml:space="preserve">Estos criterios son aplicables </w:t>
      </w:r>
      <w:r w:rsidR="001C49A1">
        <w:rPr>
          <w:rFonts w:ascii="Century Gothic" w:hAnsi="Century Gothic" w:cs="Arial"/>
          <w:color w:val="000000" w:themeColor="text1"/>
          <w:lang w:val="es-ES"/>
        </w:rPr>
        <w:t>a</w:t>
      </w:r>
      <w:r w:rsidRPr="00DE0397">
        <w:rPr>
          <w:rFonts w:ascii="Century Gothic" w:hAnsi="Century Gothic" w:cs="Arial"/>
          <w:color w:val="000000" w:themeColor="text1"/>
          <w:lang w:val="es-ES"/>
        </w:rPr>
        <w:t xml:space="preserve"> los contratos estatales en </w:t>
      </w:r>
      <w:r w:rsidR="001C49A1">
        <w:rPr>
          <w:rFonts w:ascii="Century Gothic" w:hAnsi="Century Gothic" w:cs="Arial"/>
          <w:color w:val="000000" w:themeColor="text1"/>
          <w:lang w:val="es-ES"/>
        </w:rPr>
        <w:t>los</w:t>
      </w:r>
      <w:r w:rsidRPr="00DE0397">
        <w:rPr>
          <w:rFonts w:ascii="Century Gothic" w:hAnsi="Century Gothic" w:cs="Arial"/>
          <w:color w:val="000000" w:themeColor="text1"/>
          <w:lang w:val="es-ES"/>
        </w:rPr>
        <w:t xml:space="preserve"> que las entidades decidan incluir comisiones o primas de éxito en ejercicio de la autonomía de la voluntad, pues será necesario que justifiquen con criterios objetivos en el estudio previo la necesidad y conveniencia de incluir</w:t>
      </w:r>
      <w:r w:rsidR="00720254">
        <w:rPr>
          <w:rFonts w:ascii="Century Gothic" w:hAnsi="Century Gothic" w:cs="Arial"/>
          <w:color w:val="000000" w:themeColor="text1"/>
          <w:lang w:val="es-ES"/>
        </w:rPr>
        <w:t xml:space="preserve"> esto</w:t>
      </w:r>
      <w:r w:rsidRPr="00DE0397">
        <w:rPr>
          <w:rFonts w:ascii="Century Gothic" w:hAnsi="Century Gothic" w:cs="Arial"/>
          <w:color w:val="000000" w:themeColor="text1"/>
          <w:lang w:val="es-ES"/>
        </w:rPr>
        <w:t xml:space="preserve"> para la satisfacción del interés público. Lo anterior teniendo en cuenta, además, la esencia y naturaleza del contrato a celebrar como garantía de los principios de planeación y transparencia.  De igual manera, deberán fijar su cuantía de manera razonable y debidamente sustentada en estudios financieros, económicos y presupuestales, y para su reconocimiento es necesario constatar que se ha ejecutado el contrato y se ha logrado el beneficio para el patrimonio público que fue identificado en el estudio previo.</w:t>
      </w:r>
    </w:p>
    <w:p w14:paraId="14B91AF3" w14:textId="77777777" w:rsidR="007F32DC" w:rsidRPr="00DE0397" w:rsidRDefault="007F32DC" w:rsidP="007F32DC">
      <w:pPr>
        <w:tabs>
          <w:tab w:val="left" w:pos="0"/>
        </w:tabs>
        <w:spacing w:after="0" w:line="276" w:lineRule="auto"/>
        <w:contextualSpacing/>
        <w:jc w:val="both"/>
        <w:rPr>
          <w:rFonts w:ascii="Century Gothic" w:eastAsia="Calibri" w:hAnsi="Century Gothic" w:cs="Arial"/>
          <w:b/>
          <w:szCs w:val="24"/>
          <w:lang w:val="es-ES_tradnl" w:eastAsia="es-ES_tradnl"/>
          <w14:ligatures w14:val="standardContextual"/>
        </w:rPr>
      </w:pPr>
      <w:r w:rsidRPr="00DE0397">
        <w:rPr>
          <w:rFonts w:ascii="Century Gothic" w:eastAsia="Calibri" w:hAnsi="Century Gothic" w:cs="Arial"/>
          <w:b/>
          <w:szCs w:val="24"/>
          <w:lang w:val="es-ES_tradnl" w:eastAsia="es-ES_tradnl"/>
          <w14:ligatures w14:val="standardContextual"/>
        </w:rPr>
        <w:t>3. Respuesta</w:t>
      </w:r>
    </w:p>
    <w:p w14:paraId="1C4B92D4" w14:textId="77777777" w:rsidR="007F32DC" w:rsidRPr="00DE0397" w:rsidRDefault="007F32DC" w:rsidP="007F32DC">
      <w:pPr>
        <w:autoSpaceDE w:val="0"/>
        <w:autoSpaceDN w:val="0"/>
        <w:adjustRightInd w:val="0"/>
        <w:spacing w:after="0" w:line="276" w:lineRule="auto"/>
        <w:ind w:left="709" w:right="709"/>
        <w:contextualSpacing/>
        <w:jc w:val="both"/>
        <w:rPr>
          <w:rFonts w:ascii="Century Gothic" w:hAnsi="Century Gothic" w:cs="Arial"/>
          <w:sz w:val="21"/>
          <w:szCs w:val="21"/>
          <w:lang w:val="es-ES"/>
          <w14:ligatures w14:val="standardContextual"/>
        </w:rPr>
      </w:pPr>
    </w:p>
    <w:p w14:paraId="668A04D4" w14:textId="77777777" w:rsidR="00B36CE2" w:rsidRPr="00DE0397" w:rsidRDefault="00B36CE2" w:rsidP="00B36CE2">
      <w:pPr>
        <w:spacing w:after="0" w:line="240" w:lineRule="auto"/>
        <w:ind w:left="709" w:right="709"/>
        <w:jc w:val="both"/>
        <w:rPr>
          <w:rFonts w:ascii="Century Gothic" w:hAnsi="Century Gothic"/>
          <w:sz w:val="20"/>
          <w:szCs w:val="20"/>
          <w:lang w:val="es-ES"/>
        </w:rPr>
      </w:pPr>
      <w:r w:rsidRPr="00DE0397">
        <w:rPr>
          <w:rFonts w:ascii="Century Gothic" w:hAnsi="Century Gothic"/>
          <w:sz w:val="20"/>
          <w:szCs w:val="20"/>
          <w:lang w:val="es-ES"/>
        </w:rPr>
        <w:t>“[…] Me permito solicitar concepto jurídico sobre la viabilidad de suscribir contratos de prestación de servicios profesionales bajo la modalidad de Comisión de éxito o prima de éxito por parte de las Entidades sometidas a la Ley 80 y como es el trámite jurídico de sus disponibilidades presupuestales? […]”.</w:t>
      </w:r>
    </w:p>
    <w:p w14:paraId="058FDDEE" w14:textId="77777777" w:rsidR="007F32DC" w:rsidRPr="00DE0397" w:rsidRDefault="007F32DC" w:rsidP="007F32DC">
      <w:pPr>
        <w:spacing w:after="0" w:line="240" w:lineRule="auto"/>
        <w:ind w:left="709" w:right="709"/>
        <w:jc w:val="both"/>
        <w:rPr>
          <w:rFonts w:ascii="Century Gothic" w:hAnsi="Century Gothic"/>
          <w:sz w:val="20"/>
          <w:szCs w:val="20"/>
          <w:lang w:val="es-ES_tradnl"/>
        </w:rPr>
      </w:pPr>
    </w:p>
    <w:p w14:paraId="09161282" w14:textId="347B505A" w:rsidR="002D478F" w:rsidRPr="00DE0397" w:rsidRDefault="002D478F" w:rsidP="006E548D">
      <w:pPr>
        <w:spacing w:line="276" w:lineRule="auto"/>
        <w:jc w:val="both"/>
        <w:rPr>
          <w:rFonts w:ascii="Century Gothic" w:hAnsi="Century Gothic"/>
          <w:lang w:val="es-ES"/>
        </w:rPr>
      </w:pPr>
      <w:r w:rsidRPr="00DE0397">
        <w:rPr>
          <w:rFonts w:ascii="Century Gothic" w:hAnsi="Century Gothic"/>
          <w:lang w:val="es-ES"/>
        </w:rPr>
        <w:t xml:space="preserve">De lo expuesto, y para proceder a brindar respuesta a la consulta elevada, es preciso indicar que es viable pactar en los contratos estatales cláusulas de comisión de éxito, en este sentido es importante tener en cuenta que el artículo 32 de la </w:t>
      </w:r>
      <w:r w:rsidR="00B23811">
        <w:rPr>
          <w:rFonts w:ascii="Century Gothic" w:hAnsi="Century Gothic"/>
          <w:lang w:val="es-ES"/>
        </w:rPr>
        <w:t>L</w:t>
      </w:r>
      <w:r w:rsidRPr="00DE0397">
        <w:rPr>
          <w:rFonts w:ascii="Century Gothic" w:hAnsi="Century Gothic"/>
          <w:lang w:val="es-ES"/>
        </w:rPr>
        <w:t>ey 80 de 1993 establece de manera clara y precisa que los contratos estatales son actos jurídicos generadores de obligaciones</w:t>
      </w:r>
      <w:r w:rsidR="00663EC4">
        <w:rPr>
          <w:rFonts w:ascii="Century Gothic" w:hAnsi="Century Gothic"/>
          <w:lang w:val="es-ES"/>
        </w:rPr>
        <w:t>;</w:t>
      </w:r>
      <w:r w:rsidRPr="00DE0397">
        <w:rPr>
          <w:rFonts w:ascii="Century Gothic" w:hAnsi="Century Gothic"/>
          <w:lang w:val="es-ES"/>
        </w:rPr>
        <w:t xml:space="preserve"> previstos </w:t>
      </w:r>
      <w:r w:rsidR="00CE68B5">
        <w:rPr>
          <w:rFonts w:ascii="Century Gothic" w:hAnsi="Century Gothic"/>
          <w:lang w:val="es-ES"/>
        </w:rPr>
        <w:t>allí, o</w:t>
      </w:r>
      <w:r w:rsidRPr="00DE0397">
        <w:rPr>
          <w:rFonts w:ascii="Century Gothic" w:hAnsi="Century Gothic"/>
          <w:lang w:val="es-ES"/>
        </w:rPr>
        <w:t xml:space="preserve"> en el derecho privado o en disposiciones especiales</w:t>
      </w:r>
      <w:r w:rsidR="00CE68B5">
        <w:rPr>
          <w:rFonts w:ascii="Century Gothic" w:hAnsi="Century Gothic"/>
          <w:lang w:val="es-ES"/>
        </w:rPr>
        <w:t>;</w:t>
      </w:r>
      <w:r w:rsidRPr="00DE0397">
        <w:rPr>
          <w:rFonts w:ascii="Century Gothic" w:hAnsi="Century Gothic"/>
          <w:lang w:val="es-ES"/>
        </w:rPr>
        <w:t xml:space="preserve"> o derivados de la autonomía de la voluntad. </w:t>
      </w:r>
    </w:p>
    <w:p w14:paraId="2ED0C2BE" w14:textId="79C66389" w:rsidR="002D478F" w:rsidRPr="00DE0397" w:rsidRDefault="002D478F" w:rsidP="006E548D">
      <w:pPr>
        <w:shd w:val="clear" w:color="auto" w:fill="FFFFFF"/>
        <w:spacing w:before="120" w:after="0" w:line="276" w:lineRule="auto"/>
        <w:ind w:firstLine="709"/>
        <w:jc w:val="both"/>
        <w:rPr>
          <w:rFonts w:ascii="Century Gothic" w:eastAsia="Times New Roman" w:hAnsi="Century Gothic" w:cs="Arial"/>
          <w:lang w:val="es-ES" w:eastAsia="es-MX"/>
        </w:rPr>
      </w:pPr>
      <w:r w:rsidRPr="00DE0397">
        <w:rPr>
          <w:rFonts w:ascii="Century Gothic" w:hAnsi="Century Gothic"/>
          <w:lang w:val="es-ES"/>
        </w:rPr>
        <w:t xml:space="preserve">Bajo este contexto, y con fundamento en el principio de autonomía de la voluntad que rige los contratos estatales por expresa remisión de los artículos 13 y </w:t>
      </w:r>
      <w:r w:rsidRPr="00DE0397">
        <w:rPr>
          <w:rFonts w:ascii="Century Gothic" w:hAnsi="Century Gothic"/>
          <w:lang w:val="es-ES"/>
        </w:rPr>
        <w:lastRenderedPageBreak/>
        <w:t>40 de la Ley 80 de 1993, las Entidades podrán incluir las cláusulas que determine</w:t>
      </w:r>
      <w:r w:rsidR="00663EC4">
        <w:rPr>
          <w:rFonts w:ascii="Century Gothic" w:hAnsi="Century Gothic"/>
          <w:lang w:val="es-ES"/>
        </w:rPr>
        <w:t>n</w:t>
      </w:r>
      <w:r w:rsidRPr="00DE0397">
        <w:rPr>
          <w:rFonts w:ascii="Century Gothic" w:hAnsi="Century Gothic"/>
          <w:lang w:val="es-ES"/>
        </w:rPr>
        <w:t xml:space="preserve"> pertinentes siempre que guarden relación con el objeto del contrato y la necesidad que se pretende satisfacer. Esto quiere decir que</w:t>
      </w:r>
      <w:r w:rsidR="00663EC4">
        <w:rPr>
          <w:rFonts w:ascii="Century Gothic" w:hAnsi="Century Gothic"/>
          <w:lang w:val="es-ES"/>
        </w:rPr>
        <w:t>,</w:t>
      </w:r>
      <w:r w:rsidRPr="00DE0397">
        <w:rPr>
          <w:rFonts w:ascii="Century Gothic" w:hAnsi="Century Gothic"/>
          <w:lang w:val="es-ES"/>
        </w:rPr>
        <w:t xml:space="preserve"> las Entidades de acuerdo con la evaluación de Riesgos y las condiciones de cada proceso de contratación y en virtud del principio de la autonomía de la voluntad, podrán incluir en los contratos estatales, entre estos, el de prestación de servicios profesionales, la </w:t>
      </w:r>
      <w:r w:rsidRPr="00DE0397">
        <w:rPr>
          <w:rFonts w:ascii="Century Gothic" w:eastAsia="Times New Roman" w:hAnsi="Century Gothic" w:cs="Arial"/>
          <w:lang w:val="es-ES" w:eastAsia="es-MX"/>
        </w:rPr>
        <w:t>cláusula de comisión de éxito.</w:t>
      </w:r>
    </w:p>
    <w:p w14:paraId="07C4EE63" w14:textId="77777777" w:rsidR="00C47EC5" w:rsidRPr="00DE0397" w:rsidRDefault="002D478F" w:rsidP="006E548D">
      <w:pPr>
        <w:shd w:val="clear" w:color="auto" w:fill="FFFFFF"/>
        <w:spacing w:before="120" w:after="0" w:line="276" w:lineRule="auto"/>
        <w:ind w:firstLine="709"/>
        <w:jc w:val="both"/>
        <w:rPr>
          <w:rFonts w:ascii="Century Gothic" w:eastAsia="Calibri" w:hAnsi="Century Gothic" w:cs="Arial"/>
        </w:rPr>
      </w:pPr>
      <w:r w:rsidRPr="00DE0397">
        <w:rPr>
          <w:rFonts w:ascii="Century Gothic" w:eastAsia="Times New Roman" w:hAnsi="Century Gothic" w:cs="Arial"/>
          <w:lang w:val="es-ES" w:eastAsia="es-MX"/>
        </w:rPr>
        <w:t xml:space="preserve">Ahora bien, en el evento de incluir la cláusula de comisión de éxito en un contrato de prestación de servicios, las Entidades deberán seguir las pautas establecidas por el Consejo de Estado, estas son: i) establecer en los estudios previos la metodología y la escala de límites razonables para determinar la cuantía de la misma con el objeto de responder al principio de conmutatividad; </w:t>
      </w:r>
      <w:proofErr w:type="spellStart"/>
      <w:r w:rsidRPr="00DE0397">
        <w:rPr>
          <w:rFonts w:ascii="Century Gothic" w:eastAsia="Times New Roman" w:hAnsi="Century Gothic" w:cs="Arial"/>
          <w:lang w:val="es-ES" w:eastAsia="es-MX"/>
        </w:rPr>
        <w:t>ii</w:t>
      </w:r>
      <w:proofErr w:type="spellEnd"/>
      <w:r w:rsidRPr="00DE0397">
        <w:rPr>
          <w:rFonts w:ascii="Century Gothic" w:eastAsia="Times New Roman" w:hAnsi="Century Gothic" w:cs="Arial"/>
          <w:lang w:val="es-ES" w:eastAsia="es-MX"/>
        </w:rPr>
        <w:t xml:space="preserve">) contar con estudios financieros, económicos y presupuestales, que permitan sustentar y determinar su proyecto en tiempo y cuantía; </w:t>
      </w:r>
      <w:proofErr w:type="spellStart"/>
      <w:r w:rsidRPr="00DE0397">
        <w:rPr>
          <w:rFonts w:ascii="Century Gothic" w:eastAsia="Times New Roman" w:hAnsi="Century Gothic" w:cs="Arial"/>
          <w:lang w:val="es-ES" w:eastAsia="es-MX"/>
        </w:rPr>
        <w:t>iii</w:t>
      </w:r>
      <w:proofErr w:type="spellEnd"/>
      <w:r w:rsidRPr="00DE0397">
        <w:rPr>
          <w:rFonts w:ascii="Century Gothic" w:eastAsia="Times New Roman" w:hAnsi="Century Gothic" w:cs="Arial"/>
          <w:lang w:val="es-ES" w:eastAsia="es-MX"/>
        </w:rPr>
        <w:t xml:space="preserve">) para la cuantificación de toda comisión de éxito </w:t>
      </w:r>
      <w:r w:rsidRPr="00DE0397">
        <w:rPr>
          <w:rFonts w:ascii="Century Gothic" w:eastAsia="Times New Roman" w:hAnsi="Century Gothic" w:cs="Arial"/>
          <w:lang w:eastAsia="es-MX"/>
        </w:rPr>
        <w:t xml:space="preserve">debe contarse con los estudios económicos, financieros y de mercado que permitan establecer el valor que pueda representar el resultado o éxito efectivamente logrado con el objeto contratado; </w:t>
      </w:r>
      <w:proofErr w:type="spellStart"/>
      <w:r w:rsidRPr="00DE0397">
        <w:rPr>
          <w:rFonts w:ascii="Century Gothic" w:eastAsia="Times New Roman" w:hAnsi="Century Gothic" w:cs="Arial"/>
          <w:lang w:eastAsia="es-MX"/>
        </w:rPr>
        <w:t>iv</w:t>
      </w:r>
      <w:proofErr w:type="spellEnd"/>
      <w:r w:rsidRPr="00DE0397">
        <w:rPr>
          <w:rFonts w:ascii="Century Gothic" w:eastAsia="Times New Roman" w:hAnsi="Century Gothic" w:cs="Arial"/>
          <w:lang w:eastAsia="es-MX"/>
        </w:rPr>
        <w:t xml:space="preserve">) el valor de la comisión de éxito comprende tanto el IVA, como los demás impuestos a que haya lugar a cargo del contratista; v) en los contratos de prestación de servicios sólo se reconocerá la comisión de éxito siempre que efectivamente se logre beneficio o éxito objetivamente identificado en los estudios previos, para el patrimonio público o el interés general; vi) </w:t>
      </w:r>
      <w:r w:rsidRPr="00DE0397">
        <w:rPr>
          <w:rFonts w:ascii="Century Gothic" w:eastAsia="Calibri" w:hAnsi="Century Gothic" w:cs="Arial"/>
        </w:rPr>
        <w:t xml:space="preserve">en ningún caso podrá percibirse comisión de éxito por la simple ejecución del contrato cuando no se ha logrado o verificado efectivamente el beneficio o provecho para el patrimonio público; </w:t>
      </w:r>
      <w:proofErr w:type="spellStart"/>
      <w:r w:rsidRPr="00DE0397">
        <w:rPr>
          <w:rFonts w:ascii="Century Gothic" w:eastAsia="Calibri" w:hAnsi="Century Gothic" w:cs="Arial"/>
        </w:rPr>
        <w:t>vii</w:t>
      </w:r>
      <w:proofErr w:type="spellEnd"/>
      <w:r w:rsidRPr="00DE0397">
        <w:rPr>
          <w:rFonts w:ascii="Century Gothic" w:eastAsia="Calibri" w:hAnsi="Century Gothic" w:cs="Arial"/>
        </w:rPr>
        <w:t xml:space="preserve">) no se puede pagar comisión de éxito por fuera de lo estipulado contractualmente; y, </w:t>
      </w:r>
      <w:proofErr w:type="spellStart"/>
      <w:r w:rsidRPr="00DE0397">
        <w:rPr>
          <w:rFonts w:ascii="Century Gothic" w:eastAsia="Calibri" w:hAnsi="Century Gothic" w:cs="Arial"/>
        </w:rPr>
        <w:t>viii</w:t>
      </w:r>
      <w:proofErr w:type="spellEnd"/>
      <w:r w:rsidRPr="00DE0397">
        <w:rPr>
          <w:rFonts w:ascii="Century Gothic" w:eastAsia="Calibri" w:hAnsi="Century Gothic" w:cs="Arial"/>
        </w:rPr>
        <w:t>) presupuestalmente debe estar respaldado el pago de la comisión de éxito para su pago, de acuerdo con las normas y reglamentos, y en cumplimiento de la estricta legalidad de las disposiciones presupuestales aplicables por cada entidad pública</w:t>
      </w:r>
    </w:p>
    <w:p w14:paraId="7F32EE8F" w14:textId="5E84A7D0" w:rsidR="009F3A0E" w:rsidRPr="00DE0397" w:rsidRDefault="00E669F7" w:rsidP="006E548D">
      <w:pPr>
        <w:shd w:val="clear" w:color="auto" w:fill="FFFFFF"/>
        <w:spacing w:before="120" w:after="0" w:line="276" w:lineRule="auto"/>
        <w:ind w:firstLine="709"/>
        <w:jc w:val="both"/>
        <w:rPr>
          <w:rFonts w:ascii="Century Gothic" w:eastAsia="Times New Roman" w:hAnsi="Century Gothic" w:cs="Arial"/>
          <w:bCs/>
          <w:lang w:val="es-ES_tradnl" w:eastAsia="es-MX"/>
        </w:rPr>
      </w:pPr>
      <w:r w:rsidRPr="00DE0397">
        <w:rPr>
          <w:rFonts w:ascii="Century Gothic" w:hAnsi="Century Gothic" w:cs="Arial"/>
          <w:lang w:val="es-ES"/>
        </w:rPr>
        <w:t>Frente</w:t>
      </w:r>
      <w:r w:rsidR="00C47EC5" w:rsidRPr="00DE0397">
        <w:rPr>
          <w:rFonts w:ascii="Century Gothic" w:hAnsi="Century Gothic" w:cs="Arial"/>
          <w:lang w:val="es-ES"/>
        </w:rPr>
        <w:t xml:space="preserve"> al trámite</w:t>
      </w:r>
      <w:r w:rsidR="00545BD1" w:rsidRPr="00DE0397">
        <w:rPr>
          <w:rFonts w:ascii="Century Gothic" w:hAnsi="Century Gothic" w:cs="Arial"/>
          <w:lang w:val="es-ES"/>
        </w:rPr>
        <w:t xml:space="preserve"> jurídico</w:t>
      </w:r>
      <w:r w:rsidR="00C47EC5" w:rsidRPr="00DE0397">
        <w:rPr>
          <w:rFonts w:ascii="Century Gothic" w:hAnsi="Century Gothic" w:cs="Arial"/>
          <w:lang w:val="es-ES"/>
        </w:rPr>
        <w:t xml:space="preserve"> </w:t>
      </w:r>
      <w:r w:rsidR="00545BD1" w:rsidRPr="00DE0397">
        <w:rPr>
          <w:rFonts w:ascii="Century Gothic" w:hAnsi="Century Gothic" w:cs="Arial"/>
          <w:lang w:val="es-ES"/>
        </w:rPr>
        <w:t xml:space="preserve">de las disponibilidades presupuestales para la </w:t>
      </w:r>
      <w:r w:rsidR="00F85318" w:rsidRPr="00DE0397">
        <w:rPr>
          <w:rFonts w:ascii="Century Gothic" w:hAnsi="Century Gothic" w:cs="Arial"/>
          <w:lang w:val="es-ES"/>
        </w:rPr>
        <w:t xml:space="preserve">suscripción de contratos de prestación de servicios profesionales en </w:t>
      </w:r>
      <w:r w:rsidR="00623925" w:rsidRPr="00DE0397">
        <w:rPr>
          <w:rFonts w:ascii="Century Gothic" w:hAnsi="Century Gothic" w:cs="Arial"/>
          <w:lang w:val="es-ES"/>
        </w:rPr>
        <w:t>los que</w:t>
      </w:r>
      <w:r w:rsidR="00F85318" w:rsidRPr="00DE0397">
        <w:rPr>
          <w:rFonts w:ascii="Century Gothic" w:hAnsi="Century Gothic" w:cs="Arial"/>
          <w:lang w:val="es-ES"/>
        </w:rPr>
        <w:t xml:space="preserve"> se incluya la cláusula de comisión de éxito</w:t>
      </w:r>
      <w:r w:rsidR="00CE05E3" w:rsidRPr="00DE0397">
        <w:rPr>
          <w:rFonts w:ascii="Century Gothic" w:hAnsi="Century Gothic" w:cs="Arial"/>
          <w:lang w:val="es-ES"/>
        </w:rPr>
        <w:t>, es pertinente indicar que</w:t>
      </w:r>
      <w:r w:rsidR="00E55E66" w:rsidRPr="00DE0397">
        <w:rPr>
          <w:rFonts w:ascii="Century Gothic" w:hAnsi="Century Gothic" w:cs="Arial"/>
          <w:lang w:val="es-ES"/>
        </w:rPr>
        <w:t xml:space="preserve"> </w:t>
      </w:r>
      <w:r w:rsidR="004630C4" w:rsidRPr="00DE0397">
        <w:rPr>
          <w:rFonts w:ascii="Century Gothic" w:hAnsi="Century Gothic" w:cs="Arial"/>
          <w:lang w:val="es-ES"/>
        </w:rPr>
        <w:t xml:space="preserve">cada Entidad en la etapa de planeación </w:t>
      </w:r>
      <w:r w:rsidR="00761F21" w:rsidRPr="00DE0397">
        <w:rPr>
          <w:rFonts w:ascii="Century Gothic" w:hAnsi="Century Gothic" w:cs="Arial"/>
          <w:lang w:val="es-ES"/>
        </w:rPr>
        <w:t>y conforme a los parámetros establecidos por el Consejo de Estado</w:t>
      </w:r>
      <w:r w:rsidR="00570D95" w:rsidRPr="00DE0397">
        <w:rPr>
          <w:rFonts w:ascii="Century Gothic" w:hAnsi="Century Gothic" w:cs="Arial"/>
          <w:lang w:val="es-ES"/>
        </w:rPr>
        <w:t xml:space="preserve">, deberá </w:t>
      </w:r>
      <w:r w:rsidR="00570D95" w:rsidRPr="00DE0397">
        <w:rPr>
          <w:rFonts w:ascii="Century Gothic" w:eastAsia="Times New Roman" w:hAnsi="Century Gothic" w:cs="Arial"/>
          <w:lang w:val="es-ES" w:eastAsia="es-MX"/>
        </w:rPr>
        <w:t xml:space="preserve">contar con estudios financieros, económicos y </w:t>
      </w:r>
      <w:r w:rsidR="00570D95" w:rsidRPr="00DE0397">
        <w:rPr>
          <w:rFonts w:ascii="Century Gothic" w:eastAsia="Times New Roman" w:hAnsi="Century Gothic" w:cs="Arial"/>
          <w:b/>
          <w:bCs/>
          <w:lang w:val="es-ES" w:eastAsia="es-MX"/>
        </w:rPr>
        <w:t>presupuestales</w:t>
      </w:r>
      <w:r w:rsidR="00006BB5" w:rsidRPr="00DE0397">
        <w:rPr>
          <w:rFonts w:ascii="Century Gothic" w:eastAsia="Times New Roman" w:hAnsi="Century Gothic" w:cs="Arial"/>
          <w:lang w:val="es-ES" w:eastAsia="es-MX"/>
        </w:rPr>
        <w:t xml:space="preserve"> </w:t>
      </w:r>
      <w:r w:rsidR="00085D6A" w:rsidRPr="00DE0397">
        <w:rPr>
          <w:rFonts w:ascii="Century Gothic" w:eastAsia="Times New Roman" w:hAnsi="Century Gothic" w:cs="Arial"/>
          <w:lang w:eastAsia="es-MX"/>
        </w:rPr>
        <w:t xml:space="preserve">que permitan </w:t>
      </w:r>
      <w:r w:rsidR="00FC2503" w:rsidRPr="00DE0397">
        <w:rPr>
          <w:rFonts w:ascii="Century Gothic" w:eastAsia="Times New Roman" w:hAnsi="Century Gothic" w:cs="Arial"/>
          <w:lang w:eastAsia="es-MX"/>
        </w:rPr>
        <w:t>incluir</w:t>
      </w:r>
      <w:r w:rsidR="00085D6A" w:rsidRPr="00DE0397">
        <w:rPr>
          <w:rFonts w:ascii="Century Gothic" w:eastAsia="Times New Roman" w:hAnsi="Century Gothic" w:cs="Arial"/>
          <w:lang w:eastAsia="es-MX"/>
        </w:rPr>
        <w:t xml:space="preserve"> </w:t>
      </w:r>
      <w:r w:rsidR="00FE0763" w:rsidRPr="00DE0397">
        <w:rPr>
          <w:rFonts w:ascii="Century Gothic" w:eastAsia="Times New Roman" w:hAnsi="Century Gothic" w:cs="Arial"/>
          <w:lang w:eastAsia="es-MX"/>
        </w:rPr>
        <w:t>estas cláusulas</w:t>
      </w:r>
      <w:r w:rsidR="00FC2503" w:rsidRPr="00DE0397">
        <w:rPr>
          <w:rFonts w:ascii="Century Gothic" w:eastAsia="Times New Roman" w:hAnsi="Century Gothic" w:cs="Arial"/>
          <w:lang w:eastAsia="es-MX"/>
        </w:rPr>
        <w:t xml:space="preserve"> accidentales</w:t>
      </w:r>
      <w:r w:rsidR="004D1B5E" w:rsidRPr="00DE0397">
        <w:rPr>
          <w:rFonts w:ascii="Century Gothic" w:eastAsia="Times New Roman" w:hAnsi="Century Gothic" w:cs="Arial"/>
          <w:lang w:eastAsia="es-MX"/>
        </w:rPr>
        <w:t xml:space="preserve">. </w:t>
      </w:r>
      <w:r w:rsidR="005C48CC" w:rsidRPr="00DE0397">
        <w:rPr>
          <w:rFonts w:ascii="Century Gothic" w:eastAsia="Times New Roman" w:hAnsi="Century Gothic" w:cs="Arial"/>
          <w:lang w:eastAsia="es-MX"/>
        </w:rPr>
        <w:t>Igualmente</w:t>
      </w:r>
      <w:r w:rsidR="004D1B5E" w:rsidRPr="00DE0397">
        <w:rPr>
          <w:rFonts w:ascii="Century Gothic" w:eastAsia="Times New Roman" w:hAnsi="Century Gothic" w:cs="Arial"/>
          <w:lang w:eastAsia="es-MX"/>
        </w:rPr>
        <w:t xml:space="preserve">, es pertinente aclarar </w:t>
      </w:r>
      <w:r w:rsidR="004D1B5E" w:rsidRPr="00DE0397">
        <w:rPr>
          <w:rFonts w:ascii="Century Gothic" w:eastAsia="Times New Roman" w:hAnsi="Century Gothic" w:cs="Arial"/>
          <w:lang w:eastAsia="es-MX"/>
        </w:rPr>
        <w:lastRenderedPageBreak/>
        <w:t xml:space="preserve">que </w:t>
      </w:r>
      <w:r w:rsidR="00160015" w:rsidRPr="00DE0397">
        <w:rPr>
          <w:rFonts w:ascii="Century Gothic" w:eastAsia="Times New Roman" w:hAnsi="Century Gothic" w:cs="Arial"/>
          <w:lang w:eastAsia="es-MX"/>
        </w:rPr>
        <w:t xml:space="preserve">esta etapa del proceso de </w:t>
      </w:r>
      <w:r w:rsidR="00303E74" w:rsidRPr="00DE0397">
        <w:rPr>
          <w:rFonts w:ascii="Century Gothic" w:eastAsia="Times New Roman" w:hAnsi="Century Gothic" w:cs="Arial"/>
          <w:lang w:eastAsia="es-MX"/>
        </w:rPr>
        <w:t>contratación</w:t>
      </w:r>
      <w:r w:rsidR="00160015" w:rsidRPr="00DE0397">
        <w:rPr>
          <w:rFonts w:ascii="Century Gothic" w:eastAsia="Times New Roman" w:hAnsi="Century Gothic" w:cs="Arial"/>
          <w:lang w:eastAsia="es-MX"/>
        </w:rPr>
        <w:t xml:space="preserve"> no cuenta con </w:t>
      </w:r>
      <w:r w:rsidR="001640BA" w:rsidRPr="00DE0397">
        <w:rPr>
          <w:rFonts w:ascii="Century Gothic" w:eastAsia="Times New Roman" w:hAnsi="Century Gothic" w:cs="Arial"/>
          <w:lang w:eastAsia="es-MX"/>
        </w:rPr>
        <w:t xml:space="preserve">un procedimiento </w:t>
      </w:r>
      <w:r w:rsidR="009C1BC0" w:rsidRPr="00DE0397">
        <w:rPr>
          <w:rFonts w:ascii="Century Gothic" w:eastAsia="Times New Roman" w:hAnsi="Century Gothic" w:cs="Arial"/>
          <w:bCs/>
          <w:lang w:val="es-ES_tradnl" w:eastAsia="es-MX"/>
        </w:rPr>
        <w:t>específico</w:t>
      </w:r>
      <w:r w:rsidR="001640BA" w:rsidRPr="00DE0397">
        <w:rPr>
          <w:rFonts w:ascii="Century Gothic" w:eastAsia="Times New Roman" w:hAnsi="Century Gothic" w:cs="Arial"/>
          <w:bCs/>
          <w:lang w:val="es-ES_tradnl" w:eastAsia="es-MX"/>
        </w:rPr>
        <w:t>, lo que significa que</w:t>
      </w:r>
      <w:r w:rsidR="009C1BC0" w:rsidRPr="00DE0397">
        <w:rPr>
          <w:rFonts w:ascii="Century Gothic" w:eastAsia="Times New Roman" w:hAnsi="Century Gothic" w:cs="Arial"/>
          <w:bCs/>
          <w:lang w:val="es-ES_tradnl" w:eastAsia="es-MX"/>
        </w:rPr>
        <w:t xml:space="preserve"> las Entidades </w:t>
      </w:r>
      <w:r w:rsidR="009C1BC0" w:rsidRPr="00DE0397">
        <w:rPr>
          <w:rFonts w:ascii="Century Gothic" w:eastAsia="Times New Roman" w:hAnsi="Century Gothic" w:cs="Arial"/>
          <w:lang w:eastAsia="es-MX"/>
        </w:rPr>
        <w:t>son autónomas para estructurarlo</w:t>
      </w:r>
      <w:r w:rsidR="001640BA" w:rsidRPr="00DE0397">
        <w:rPr>
          <w:rFonts w:ascii="Century Gothic" w:eastAsia="Times New Roman" w:hAnsi="Century Gothic" w:cs="Arial"/>
          <w:lang w:eastAsia="es-MX"/>
        </w:rPr>
        <w:t>.</w:t>
      </w:r>
    </w:p>
    <w:p w14:paraId="7F9D97DB" w14:textId="492A00F0" w:rsidR="00934276" w:rsidRPr="00DE0397" w:rsidRDefault="00E669F7" w:rsidP="006E548D">
      <w:pPr>
        <w:shd w:val="clear" w:color="auto" w:fill="FFFFFF"/>
        <w:spacing w:before="120" w:after="0" w:line="276" w:lineRule="auto"/>
        <w:ind w:firstLine="709"/>
        <w:jc w:val="both"/>
        <w:rPr>
          <w:rFonts w:ascii="Century Gothic" w:eastAsia="Calibri" w:hAnsi="Century Gothic" w:cs="Arial"/>
          <w:bCs/>
          <w:color w:val="000000" w:themeColor="text1"/>
          <w:lang w:val="es-ES_tradnl"/>
        </w:rPr>
      </w:pPr>
      <w:r w:rsidRPr="00DE0397">
        <w:rPr>
          <w:rFonts w:ascii="Century Gothic" w:eastAsia="Times New Roman" w:hAnsi="Century Gothic" w:cs="Arial"/>
          <w:lang w:eastAsia="es-MX"/>
        </w:rPr>
        <w:t>Finalmente</w:t>
      </w:r>
      <w:r w:rsidR="009F3A0E" w:rsidRPr="00DE0397">
        <w:rPr>
          <w:rFonts w:ascii="Century Gothic" w:eastAsia="Times New Roman" w:hAnsi="Century Gothic" w:cs="Arial"/>
          <w:lang w:eastAsia="es-MX"/>
        </w:rPr>
        <w:t xml:space="preserve">, se reitera que </w:t>
      </w:r>
      <w:r w:rsidR="00CE05E3" w:rsidRPr="00DE0397">
        <w:rPr>
          <w:rFonts w:ascii="Century Gothic" w:hAnsi="Century Gothic" w:cs="Arial"/>
          <w:color w:val="000000" w:themeColor="text1"/>
          <w:lang w:val="es-ES"/>
        </w:rPr>
        <w:t xml:space="preserve">esta Agencia brinda </w:t>
      </w:r>
      <w:r w:rsidR="00DE4918" w:rsidRPr="00DE0397">
        <w:rPr>
          <w:rFonts w:ascii="Century Gothic" w:eastAsia="Calibri" w:hAnsi="Century Gothic" w:cs="Arial"/>
          <w:bCs/>
          <w:color w:val="000000" w:themeColor="text1"/>
          <w:lang w:val="es-ES_tradnl"/>
        </w:rPr>
        <w:t xml:space="preserve">elementos hermenéuticos de carácter general para que los partícipes del sistema de compras y contratación pública adopten la decisión que corresponda, lo cual es acorde con el principio de juridicidad. Por lo anterior, previo concepto de sus órganos asesores, la solución de temas </w:t>
      </w:r>
      <w:r w:rsidR="001C69E8" w:rsidRPr="00DE0397">
        <w:rPr>
          <w:rFonts w:ascii="Century Gothic" w:eastAsia="Calibri" w:hAnsi="Century Gothic" w:cs="Arial"/>
          <w:bCs/>
          <w:color w:val="000000" w:themeColor="text1"/>
          <w:lang w:val="es-ES_tradnl"/>
        </w:rPr>
        <w:t xml:space="preserve">específicos </w:t>
      </w:r>
      <w:r w:rsidR="00322901" w:rsidRPr="00DE0397">
        <w:rPr>
          <w:rFonts w:ascii="Century Gothic" w:eastAsia="Calibri" w:hAnsi="Century Gothic" w:cs="Arial"/>
          <w:bCs/>
          <w:color w:val="000000" w:themeColor="text1"/>
          <w:lang w:val="es-ES_tradnl"/>
        </w:rPr>
        <w:t>corresponde</w:t>
      </w:r>
      <w:r w:rsidR="00322901">
        <w:rPr>
          <w:rFonts w:ascii="Century Gothic" w:eastAsia="Calibri" w:hAnsi="Century Gothic" w:cs="Arial"/>
          <w:bCs/>
          <w:color w:val="000000" w:themeColor="text1"/>
          <w:lang w:val="es-ES_tradnl"/>
        </w:rPr>
        <w:t>rá</w:t>
      </w:r>
      <w:r w:rsidR="00DE4918" w:rsidRPr="00DE0397">
        <w:rPr>
          <w:rFonts w:ascii="Century Gothic" w:eastAsia="Calibri" w:hAnsi="Century Gothic" w:cs="Arial"/>
          <w:bCs/>
          <w:color w:val="000000" w:themeColor="text1"/>
          <w:lang w:val="es-ES_tradnl"/>
        </w:rPr>
        <w:t xml:space="preserve"> a la entidad</w:t>
      </w:r>
      <w:r w:rsidR="00522AEB" w:rsidRPr="00DE0397">
        <w:rPr>
          <w:rFonts w:ascii="Century Gothic" w:eastAsia="Calibri" w:hAnsi="Century Gothic" w:cs="Arial"/>
          <w:bCs/>
          <w:color w:val="000000" w:themeColor="text1"/>
          <w:lang w:val="es-ES_tradnl"/>
        </w:rPr>
        <w:t xml:space="preserve"> </w:t>
      </w:r>
      <w:r w:rsidR="00DE4918" w:rsidRPr="00DE0397">
        <w:rPr>
          <w:rFonts w:ascii="Century Gothic" w:eastAsia="Calibri" w:hAnsi="Century Gothic" w:cs="Arial"/>
          <w:bCs/>
          <w:color w:val="000000" w:themeColor="text1"/>
          <w:lang w:val="es-ES_tradnl"/>
        </w:rPr>
        <w:t xml:space="preserve">adoptar la decisión correspondiente y, en caso de conflicto, a las autoridades judiciales, fiscales y disciplinarias. De esta manera, corresponderá a cada contratante definir la viabilidad </w:t>
      </w:r>
      <w:r w:rsidR="0087061C" w:rsidRPr="00DE0397">
        <w:rPr>
          <w:rFonts w:ascii="Century Gothic" w:eastAsia="Calibri" w:hAnsi="Century Gothic" w:cs="Arial"/>
          <w:bCs/>
          <w:color w:val="000000" w:themeColor="text1"/>
          <w:lang w:val="es-ES_tradnl"/>
        </w:rPr>
        <w:t>presupuestal para la suscripción de contratos de prestación de servicios con la cláusula de comisión de éxito</w:t>
      </w:r>
      <w:r w:rsidR="008B4614" w:rsidRPr="00DE0397">
        <w:rPr>
          <w:rFonts w:ascii="Century Gothic" w:eastAsia="Calibri" w:hAnsi="Century Gothic" w:cs="Arial"/>
          <w:bCs/>
          <w:color w:val="000000" w:themeColor="text1"/>
          <w:lang w:val="es-ES_tradnl"/>
        </w:rPr>
        <w:t>.</w:t>
      </w:r>
    </w:p>
    <w:p w14:paraId="7A6219B9" w14:textId="77777777" w:rsidR="00934276" w:rsidRPr="00DE0397" w:rsidRDefault="00934276" w:rsidP="006E548D">
      <w:pPr>
        <w:widowControl w:val="0"/>
        <w:autoSpaceDE w:val="0"/>
        <w:autoSpaceDN w:val="0"/>
        <w:spacing w:after="0" w:line="276" w:lineRule="auto"/>
        <w:jc w:val="both"/>
        <w:rPr>
          <w:rFonts w:ascii="Century Gothic" w:hAnsi="Century Gothic" w:cs="Arial"/>
          <w:color w:val="000000" w:themeColor="text1"/>
          <w:lang w:val="es-ES_tradnl"/>
        </w:rPr>
      </w:pPr>
    </w:p>
    <w:p w14:paraId="0CD3F440" w14:textId="5BA528E9" w:rsidR="00DC20A2" w:rsidRPr="00DE0397" w:rsidRDefault="00DC20A2" w:rsidP="006E548D">
      <w:pPr>
        <w:widowControl w:val="0"/>
        <w:autoSpaceDE w:val="0"/>
        <w:autoSpaceDN w:val="0"/>
        <w:spacing w:after="0" w:line="276" w:lineRule="auto"/>
        <w:jc w:val="both"/>
        <w:rPr>
          <w:rFonts w:ascii="Century Gothic" w:eastAsia="Times New Roman" w:hAnsi="Century Gothic" w:cs="Arial"/>
          <w:lang w:val="es-ES_tradnl" w:eastAsia="es-ES_tradnl"/>
          <w14:ligatures w14:val="standardContextual"/>
        </w:rPr>
      </w:pPr>
      <w:r w:rsidRPr="00DE0397">
        <w:rPr>
          <w:rFonts w:ascii="Century Gothic" w:eastAsia="Times New Roman" w:hAnsi="Century Gothic" w:cs="Arial"/>
          <w:lang w:eastAsia="es-ES_tradnl"/>
          <w14:ligatures w14:val="standardContextual"/>
        </w:rPr>
        <w:t xml:space="preserve">Este concepto tiene el alcance previsto en el artículo 28 del Código de Procedimiento Administrativo y de lo Contencioso Administrativo </w:t>
      </w:r>
      <w:r w:rsidRPr="00DE0397">
        <w:rPr>
          <w:rFonts w:ascii="Century Gothic" w:eastAsia="Times New Roman" w:hAnsi="Century Gothic" w:cs="Arial"/>
          <w:lang w:val="es-ES_tradnl" w:eastAsia="es-ES_tradnl"/>
          <w14:ligatures w14:val="standardContextual"/>
        </w:rPr>
        <w:t xml:space="preserve">y las expresiones aquí utilizadas con mayúscula inicial deben ser entendidas con el significado que les otorga el artículo 2.2.1.1.1.3.1. del Decreto 1082 de 2015. </w:t>
      </w:r>
    </w:p>
    <w:p w14:paraId="3A4DEA15" w14:textId="77777777" w:rsidR="00DC20A2" w:rsidRPr="00DE0397" w:rsidRDefault="00DC20A2" w:rsidP="00DC20A2">
      <w:pPr>
        <w:pStyle w:val="NormalWeb"/>
        <w:spacing w:after="0" w:line="276" w:lineRule="auto"/>
        <w:rPr>
          <w:rFonts w:ascii="Century Gothic" w:hAnsi="Century Gothic" w:cs="Arial"/>
          <w:sz w:val="22"/>
          <w:szCs w:val="22"/>
          <w:lang w:val="es-ES_tradnl"/>
        </w:rPr>
      </w:pPr>
    </w:p>
    <w:p w14:paraId="2FFCA9B1" w14:textId="6D33A339" w:rsidR="00DC20A2" w:rsidRPr="00DE0397" w:rsidRDefault="00DC20A2" w:rsidP="00F65780">
      <w:pPr>
        <w:pStyle w:val="NormalWeb"/>
        <w:spacing w:after="0" w:line="276" w:lineRule="auto"/>
        <w:rPr>
          <w:rFonts w:ascii="Century Gothic" w:hAnsi="Century Gothic" w:cs="Arial"/>
          <w:sz w:val="22"/>
          <w:szCs w:val="22"/>
          <w:lang w:val="es-ES_tradnl"/>
        </w:rPr>
      </w:pPr>
      <w:r w:rsidRPr="00DE0397">
        <w:rPr>
          <w:rFonts w:ascii="Century Gothic" w:hAnsi="Century Gothic" w:cs="Arial"/>
          <w:sz w:val="22"/>
          <w:szCs w:val="22"/>
          <w:lang w:val="es-ES_tradnl"/>
        </w:rPr>
        <w:t>Atentamente,</w:t>
      </w:r>
    </w:p>
    <w:p w14:paraId="193EBCD0" w14:textId="6F9B0E5E" w:rsidR="00F65780" w:rsidRPr="00DE0397" w:rsidRDefault="00EE05F3" w:rsidP="002B3757">
      <w:pPr>
        <w:pStyle w:val="NormalWeb"/>
        <w:spacing w:after="0" w:line="276" w:lineRule="auto"/>
        <w:jc w:val="center"/>
        <w:rPr>
          <w:rFonts w:ascii="Century Gothic" w:hAnsi="Century Gothic" w:cs="Arial"/>
          <w:sz w:val="14"/>
          <w:szCs w:val="14"/>
          <w:lang w:val="es-ES_tradnl"/>
        </w:rPr>
      </w:pPr>
      <w:r>
        <w:rPr>
          <w:noProof/>
        </w:rPr>
        <w:drawing>
          <wp:inline distT="0" distB="0" distL="0" distR="0" wp14:anchorId="2A831041" wp14:editId="01135ADE">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14:paraId="08AC0AFE" w14:textId="77777777" w:rsidR="009C36F1" w:rsidRPr="00DE0397" w:rsidRDefault="009C36F1" w:rsidP="002B3757">
      <w:pPr>
        <w:pStyle w:val="NormalWeb"/>
        <w:spacing w:after="0" w:line="276" w:lineRule="auto"/>
        <w:jc w:val="center"/>
        <w:rPr>
          <w:rFonts w:ascii="Century Gothic" w:hAnsi="Century Gothic" w:cs="Arial"/>
          <w:sz w:val="14"/>
          <w:szCs w:val="14"/>
          <w:lang w:val="es-ES_tradnl"/>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DC20A2" w:rsidRPr="00DE0397" w14:paraId="2834476F" w14:textId="77777777" w:rsidTr="00BE093D">
        <w:trPr>
          <w:trHeight w:val="291"/>
        </w:trPr>
        <w:tc>
          <w:tcPr>
            <w:tcW w:w="1266" w:type="dxa"/>
            <w:vAlign w:val="center"/>
            <w:hideMark/>
          </w:tcPr>
          <w:p w14:paraId="1E4CE1AD"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eastAsia="Times New Roman" w:hAnsi="Century Gothic" w:cs="Arial"/>
                <w:sz w:val="14"/>
                <w:szCs w:val="14"/>
                <w:lang w:eastAsia="es-ES"/>
              </w:rPr>
              <w:t>Elaboró:</w:t>
            </w:r>
          </w:p>
        </w:tc>
        <w:tc>
          <w:tcPr>
            <w:tcW w:w="5276" w:type="dxa"/>
            <w:tcBorders>
              <w:top w:val="nil"/>
              <w:left w:val="nil"/>
              <w:bottom w:val="dotted" w:sz="4" w:space="0" w:color="7F7F7F"/>
              <w:right w:val="nil"/>
            </w:tcBorders>
            <w:vAlign w:val="center"/>
            <w:hideMark/>
          </w:tcPr>
          <w:p w14:paraId="067A5B01"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eastAsia="Times New Roman" w:hAnsi="Century Gothic" w:cs="Arial"/>
                <w:sz w:val="14"/>
                <w:szCs w:val="14"/>
                <w:lang w:eastAsia="es-ES"/>
              </w:rPr>
              <w:t>Ana María Ortiz Ballesteros</w:t>
            </w:r>
          </w:p>
          <w:p w14:paraId="1F01EED6"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eastAsia="Times New Roman" w:hAnsi="Century Gothic" w:cs="Arial"/>
                <w:sz w:val="14"/>
                <w:szCs w:val="14"/>
                <w:lang w:eastAsia="es-ES"/>
              </w:rPr>
              <w:t>Contratista de la Subdirección de Gestión Contractual</w:t>
            </w:r>
          </w:p>
        </w:tc>
      </w:tr>
      <w:tr w:rsidR="00DC20A2" w:rsidRPr="00DE0397" w14:paraId="723550A3" w14:textId="77777777" w:rsidTr="00BE093D">
        <w:trPr>
          <w:trHeight w:val="304"/>
        </w:trPr>
        <w:tc>
          <w:tcPr>
            <w:tcW w:w="1266" w:type="dxa"/>
            <w:vAlign w:val="center"/>
          </w:tcPr>
          <w:p w14:paraId="78A52FEF"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eastAsia="Times New Roman" w:hAnsi="Century Gothic" w:cs="Arial"/>
                <w:sz w:val="14"/>
                <w:szCs w:val="14"/>
                <w:lang w:eastAsia="es-ES"/>
              </w:rPr>
              <w:t>Revisó:</w:t>
            </w:r>
          </w:p>
        </w:tc>
        <w:tc>
          <w:tcPr>
            <w:tcW w:w="5276" w:type="dxa"/>
            <w:tcBorders>
              <w:top w:val="dotted" w:sz="4" w:space="0" w:color="7F7F7F"/>
              <w:left w:val="nil"/>
              <w:bottom w:val="dotted" w:sz="4" w:space="0" w:color="7F7F7F"/>
              <w:right w:val="nil"/>
            </w:tcBorders>
            <w:vAlign w:val="center"/>
          </w:tcPr>
          <w:p w14:paraId="742CD005" w14:textId="77777777" w:rsidR="00DC20A2" w:rsidRPr="00DE0397" w:rsidRDefault="00DC20A2" w:rsidP="00BE093D">
            <w:pPr>
              <w:rPr>
                <w:rFonts w:ascii="Century Gothic" w:hAnsi="Century Gothic" w:cs="Arial"/>
                <w:sz w:val="14"/>
                <w:szCs w:val="14"/>
                <w:lang w:val="es-ES_tradnl" w:eastAsia="es-ES"/>
              </w:rPr>
            </w:pPr>
            <w:r w:rsidRPr="00DE0397">
              <w:rPr>
                <w:rFonts w:ascii="Century Gothic" w:hAnsi="Century Gothic" w:cs="Arial"/>
                <w:sz w:val="14"/>
                <w:szCs w:val="14"/>
                <w:lang w:val="es-ES_tradnl" w:eastAsia="es-ES"/>
              </w:rPr>
              <w:t>Ximena Ríos López</w:t>
            </w:r>
          </w:p>
          <w:p w14:paraId="763534BE"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hAnsi="Century Gothic" w:cs="Arial"/>
                <w:sz w:val="14"/>
                <w:szCs w:val="14"/>
                <w:lang w:val="es-ES_tradnl" w:eastAsia="es-ES"/>
              </w:rPr>
              <w:t xml:space="preserve">Gestor código T1 Grado 11 </w:t>
            </w:r>
            <w:r w:rsidRPr="00DE0397">
              <w:rPr>
                <w:rFonts w:ascii="Century Gothic" w:hAnsi="Century Gothic" w:cs="Arial"/>
                <w:sz w:val="14"/>
                <w:szCs w:val="14"/>
                <w:lang w:val="es-MX" w:eastAsia="es-ES"/>
              </w:rPr>
              <w:t xml:space="preserve">de la </w:t>
            </w:r>
            <w:r w:rsidRPr="00DE0397">
              <w:rPr>
                <w:rFonts w:ascii="Century Gothic" w:hAnsi="Century Gothic" w:cs="Arial"/>
                <w:sz w:val="14"/>
                <w:szCs w:val="14"/>
                <w:lang w:eastAsia="es-ES"/>
              </w:rPr>
              <w:t>Subdirección de Gestión Contractual</w:t>
            </w:r>
          </w:p>
        </w:tc>
      </w:tr>
      <w:tr w:rsidR="00DC20A2" w:rsidRPr="00DE0397" w14:paraId="22AD3C28" w14:textId="77777777" w:rsidTr="00BE093D">
        <w:trPr>
          <w:trHeight w:val="277"/>
        </w:trPr>
        <w:tc>
          <w:tcPr>
            <w:tcW w:w="1266" w:type="dxa"/>
            <w:vAlign w:val="center"/>
            <w:hideMark/>
          </w:tcPr>
          <w:p w14:paraId="0263618C"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eastAsia="Times New Roman" w:hAnsi="Century Gothic" w:cs="Arial"/>
                <w:sz w:val="14"/>
                <w:szCs w:val="14"/>
                <w:lang w:eastAsia="es-ES"/>
              </w:rPr>
              <w:t>Aprobó:</w:t>
            </w:r>
          </w:p>
        </w:tc>
        <w:tc>
          <w:tcPr>
            <w:tcW w:w="5276" w:type="dxa"/>
            <w:tcBorders>
              <w:top w:val="dotted" w:sz="4" w:space="0" w:color="7F7F7F"/>
              <w:left w:val="nil"/>
              <w:bottom w:val="dotted" w:sz="4" w:space="0" w:color="7F7F7F"/>
              <w:right w:val="nil"/>
            </w:tcBorders>
            <w:vAlign w:val="center"/>
            <w:hideMark/>
          </w:tcPr>
          <w:p w14:paraId="39A1F3BA"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eastAsia="Times New Roman" w:hAnsi="Century Gothic" w:cs="Arial"/>
                <w:sz w:val="14"/>
                <w:szCs w:val="14"/>
                <w:lang w:eastAsia="es-ES"/>
              </w:rPr>
              <w:t xml:space="preserve">Nohelia del Carmen </w:t>
            </w:r>
            <w:proofErr w:type="spellStart"/>
            <w:r w:rsidRPr="00DE0397">
              <w:rPr>
                <w:rFonts w:ascii="Century Gothic" w:eastAsia="Times New Roman" w:hAnsi="Century Gothic" w:cs="Arial"/>
                <w:sz w:val="14"/>
                <w:szCs w:val="14"/>
                <w:lang w:eastAsia="es-ES"/>
              </w:rPr>
              <w:t>Zawady</w:t>
            </w:r>
            <w:proofErr w:type="spellEnd"/>
            <w:r w:rsidRPr="00DE0397">
              <w:rPr>
                <w:rFonts w:ascii="Century Gothic" w:eastAsia="Times New Roman" w:hAnsi="Century Gothic" w:cs="Arial"/>
                <w:sz w:val="14"/>
                <w:szCs w:val="14"/>
                <w:lang w:eastAsia="es-ES"/>
              </w:rPr>
              <w:t xml:space="preserve"> Palacio</w:t>
            </w:r>
          </w:p>
          <w:p w14:paraId="1510056F" w14:textId="77777777" w:rsidR="00DC20A2" w:rsidRPr="00DE0397" w:rsidRDefault="00DC20A2" w:rsidP="00BE093D">
            <w:pPr>
              <w:rPr>
                <w:rFonts w:ascii="Century Gothic" w:eastAsia="Times New Roman" w:hAnsi="Century Gothic" w:cs="Arial"/>
                <w:sz w:val="14"/>
                <w:szCs w:val="14"/>
                <w:lang w:eastAsia="es-ES"/>
              </w:rPr>
            </w:pPr>
            <w:r w:rsidRPr="00DE0397">
              <w:rPr>
                <w:rFonts w:ascii="Century Gothic" w:eastAsia="Times New Roman" w:hAnsi="Century Gothic" w:cs="Arial"/>
                <w:sz w:val="14"/>
                <w:szCs w:val="14"/>
                <w:lang w:eastAsia="es-ES"/>
              </w:rPr>
              <w:t>Subdirectora de Gestión Contractual ANCP – CCE</w:t>
            </w:r>
          </w:p>
        </w:tc>
      </w:tr>
    </w:tbl>
    <w:p w14:paraId="6AE99349" w14:textId="77777777" w:rsidR="00DC20A2" w:rsidRPr="00DE0397" w:rsidRDefault="00DC20A2" w:rsidP="00DC20A2">
      <w:pPr>
        <w:spacing w:after="0" w:line="240" w:lineRule="auto"/>
        <w:rPr>
          <w:rFonts w:ascii="Century Gothic" w:hAnsi="Century Gothic" w:cs="Arial"/>
          <w:sz w:val="14"/>
          <w:szCs w:val="14"/>
        </w:rPr>
      </w:pPr>
    </w:p>
    <w:p w14:paraId="1DC43FAC" w14:textId="77777777" w:rsidR="00DC20A2" w:rsidRPr="00DE0397" w:rsidRDefault="00DC20A2" w:rsidP="00DC20A2">
      <w:pPr>
        <w:spacing w:after="0" w:line="240" w:lineRule="auto"/>
        <w:rPr>
          <w:rFonts w:ascii="Century Gothic" w:hAnsi="Century Gothic" w:cs="Arial"/>
          <w:b/>
          <w:sz w:val="14"/>
          <w:szCs w:val="14"/>
        </w:rPr>
      </w:pPr>
    </w:p>
    <w:p w14:paraId="0CCB6F65" w14:textId="77777777" w:rsidR="00DC20A2" w:rsidRPr="00DE0397" w:rsidRDefault="00DC20A2" w:rsidP="00DC20A2">
      <w:pPr>
        <w:spacing w:after="0" w:line="240" w:lineRule="auto"/>
        <w:rPr>
          <w:rFonts w:ascii="Century Gothic" w:hAnsi="Century Gothic" w:cs="Arial"/>
          <w:b/>
          <w:sz w:val="14"/>
          <w:szCs w:val="14"/>
          <w:lang w:val="es-ES"/>
        </w:rPr>
      </w:pPr>
    </w:p>
    <w:p w14:paraId="737D3B39" w14:textId="77777777" w:rsidR="00DC20A2" w:rsidRPr="00DE0397" w:rsidRDefault="00DC20A2" w:rsidP="00DC20A2">
      <w:pPr>
        <w:spacing w:after="0" w:line="240" w:lineRule="auto"/>
        <w:rPr>
          <w:rFonts w:ascii="Century Gothic" w:hAnsi="Century Gothic" w:cs="Arial"/>
          <w:b/>
          <w:sz w:val="14"/>
          <w:szCs w:val="14"/>
          <w:lang w:val="es-ES"/>
        </w:rPr>
      </w:pPr>
    </w:p>
    <w:p w14:paraId="2655E921" w14:textId="77777777" w:rsidR="00DC20A2" w:rsidRPr="00DE0397" w:rsidRDefault="00DC20A2" w:rsidP="00DC20A2">
      <w:pPr>
        <w:spacing w:after="0" w:line="240" w:lineRule="auto"/>
        <w:rPr>
          <w:rFonts w:ascii="Century Gothic" w:hAnsi="Century Gothic"/>
          <w:b/>
          <w:sz w:val="14"/>
          <w:szCs w:val="14"/>
          <w:lang w:val="es-ES"/>
        </w:rPr>
      </w:pPr>
    </w:p>
    <w:p w14:paraId="0F293BF4" w14:textId="0FE1A393" w:rsidR="00127233" w:rsidRPr="00DE0397" w:rsidRDefault="00127233" w:rsidP="00426624">
      <w:pPr>
        <w:tabs>
          <w:tab w:val="left" w:pos="0"/>
        </w:tabs>
        <w:spacing w:line="276" w:lineRule="auto"/>
        <w:ind w:firstLine="709"/>
        <w:jc w:val="both"/>
        <w:rPr>
          <w:rFonts w:ascii="Century Gothic" w:hAnsi="Century Gothic" w:cs="Arial"/>
          <w:color w:val="000000" w:themeColor="text1"/>
          <w:lang w:val="es-ES"/>
        </w:rPr>
      </w:pPr>
    </w:p>
    <w:sectPr w:rsidR="00127233" w:rsidRPr="00DE0397" w:rsidSect="00CC0B53">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D92DC" w14:textId="77777777" w:rsidR="003028C2" w:rsidRDefault="003028C2" w:rsidP="004A1847">
      <w:pPr>
        <w:spacing w:after="0" w:line="240" w:lineRule="auto"/>
      </w:pPr>
      <w:r>
        <w:separator/>
      </w:r>
    </w:p>
  </w:endnote>
  <w:endnote w:type="continuationSeparator" w:id="0">
    <w:p w14:paraId="18645721" w14:textId="77777777" w:rsidR="003028C2" w:rsidRDefault="003028C2" w:rsidP="004A1847">
      <w:pPr>
        <w:spacing w:after="0" w:line="240" w:lineRule="auto"/>
      </w:pPr>
      <w:r>
        <w:continuationSeparator/>
      </w:r>
    </w:p>
  </w:endnote>
  <w:endnote w:type="continuationNotice" w:id="1">
    <w:p w14:paraId="366A1FFA" w14:textId="77777777" w:rsidR="003028C2" w:rsidRDefault="00302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5BBB" w14:textId="77777777" w:rsidR="003028C2" w:rsidRDefault="003028C2" w:rsidP="004A1847">
      <w:pPr>
        <w:spacing w:after="0" w:line="240" w:lineRule="auto"/>
      </w:pPr>
      <w:r>
        <w:separator/>
      </w:r>
    </w:p>
  </w:footnote>
  <w:footnote w:type="continuationSeparator" w:id="0">
    <w:p w14:paraId="234A0D86" w14:textId="77777777" w:rsidR="003028C2" w:rsidRDefault="003028C2" w:rsidP="004A1847">
      <w:pPr>
        <w:spacing w:after="0" w:line="240" w:lineRule="auto"/>
      </w:pPr>
      <w:r>
        <w:continuationSeparator/>
      </w:r>
    </w:p>
  </w:footnote>
  <w:footnote w:type="continuationNotice" w:id="1">
    <w:p w14:paraId="6CCF4EFF" w14:textId="77777777" w:rsidR="003028C2" w:rsidRDefault="003028C2">
      <w:pPr>
        <w:spacing w:after="0" w:line="240" w:lineRule="auto"/>
      </w:pPr>
    </w:p>
  </w:footnote>
  <w:footnote w:id="2">
    <w:p w14:paraId="6C82D143" w14:textId="77777777" w:rsidR="007C2E3C" w:rsidRPr="008818C2" w:rsidRDefault="007C2E3C" w:rsidP="007C2E3C">
      <w:pPr>
        <w:pStyle w:val="Textonotapie"/>
        <w:ind w:firstLine="708"/>
        <w:jc w:val="both"/>
        <w:rPr>
          <w:rFonts w:ascii="Century Gothic" w:hAnsi="Century Gothic" w:cs="Arial"/>
          <w:sz w:val="16"/>
          <w:szCs w:val="16"/>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La Agencia Nacional de Contratación Pública </w:t>
      </w:r>
      <w:r w:rsidRPr="008818C2">
        <w:rPr>
          <w:rFonts w:ascii="Arial" w:hAnsi="Arial" w:cs="Arial"/>
          <w:sz w:val="16"/>
          <w:szCs w:val="16"/>
        </w:rPr>
        <w:t>‒</w:t>
      </w:r>
      <w:r w:rsidRPr="008818C2">
        <w:rPr>
          <w:rFonts w:ascii="Century Gothic" w:hAnsi="Century Gothic" w:cs="Arial"/>
          <w:sz w:val="16"/>
          <w:szCs w:val="16"/>
        </w:rPr>
        <w:t xml:space="preserve"> Colombia Compra Eficiente fue creada por el Decreto Ley 4170 de 2011. Su objetivo es servir como ente rector de la pol</w:t>
      </w:r>
      <w:r w:rsidRPr="008818C2">
        <w:rPr>
          <w:rFonts w:ascii="Century Gothic" w:hAnsi="Century Gothic" w:cs="Century Gothic"/>
          <w:sz w:val="16"/>
          <w:szCs w:val="16"/>
        </w:rPr>
        <w:t>í</w:t>
      </w:r>
      <w:r w:rsidRPr="008818C2">
        <w:rPr>
          <w:rFonts w:ascii="Century Gothic" w:hAnsi="Century Gothic" w:cs="Arial"/>
          <w:sz w:val="16"/>
          <w:szCs w:val="16"/>
        </w:rPr>
        <w:t>tica de compras y contrataci</w:t>
      </w:r>
      <w:r w:rsidRPr="008818C2">
        <w:rPr>
          <w:rFonts w:ascii="Century Gothic" w:hAnsi="Century Gothic" w:cs="Century Gothic"/>
          <w:sz w:val="16"/>
          <w:szCs w:val="16"/>
        </w:rPr>
        <w:t>ó</w:t>
      </w:r>
      <w:r w:rsidRPr="008818C2">
        <w:rPr>
          <w:rFonts w:ascii="Century Gothic" w:hAnsi="Century Gothic" w:cs="Arial"/>
          <w:sz w:val="16"/>
          <w:szCs w:val="16"/>
        </w:rPr>
        <w:t xml:space="preserve">n del Estado. Para tales fines, como </w:t>
      </w:r>
      <w:r w:rsidRPr="008818C2">
        <w:rPr>
          <w:rFonts w:ascii="Century Gothic" w:hAnsi="Century Gothic" w:cs="Century Gothic"/>
          <w:sz w:val="16"/>
          <w:szCs w:val="16"/>
        </w:rPr>
        <w:t>ó</w:t>
      </w:r>
      <w:r w:rsidRPr="008818C2">
        <w:rPr>
          <w:rFonts w:ascii="Century Gothic" w:hAnsi="Century Gothic" w:cs="Arial"/>
          <w:sz w:val="16"/>
          <w:szCs w:val="16"/>
        </w:rPr>
        <w:t>rgano t</w:t>
      </w:r>
      <w:r w:rsidRPr="008818C2">
        <w:rPr>
          <w:rFonts w:ascii="Century Gothic" w:hAnsi="Century Gothic" w:cs="Century Gothic"/>
          <w:sz w:val="16"/>
          <w:szCs w:val="16"/>
        </w:rPr>
        <w:t>é</w:t>
      </w:r>
      <w:r w:rsidRPr="008818C2">
        <w:rPr>
          <w:rFonts w:ascii="Century Gothic" w:hAnsi="Century Gothic" w:cs="Arial"/>
          <w:sz w:val="16"/>
          <w:szCs w:val="16"/>
        </w:rPr>
        <w:t>cnico especializado, le corresponde formular pol</w:t>
      </w:r>
      <w:r w:rsidRPr="008818C2">
        <w:rPr>
          <w:rFonts w:ascii="Century Gothic" w:hAnsi="Century Gothic" w:cs="Century Gothic"/>
          <w:sz w:val="16"/>
          <w:szCs w:val="16"/>
        </w:rPr>
        <w:t>í</w:t>
      </w:r>
      <w:r w:rsidRPr="008818C2">
        <w:rPr>
          <w:rFonts w:ascii="Century Gothic" w:hAnsi="Century Gothic" w:cs="Arial"/>
          <w:sz w:val="16"/>
          <w:szCs w:val="16"/>
        </w:rPr>
        <w:t>ticas p</w:t>
      </w:r>
      <w:r w:rsidRPr="008818C2">
        <w:rPr>
          <w:rFonts w:ascii="Century Gothic" w:hAnsi="Century Gothic" w:cs="Century Gothic"/>
          <w:sz w:val="16"/>
          <w:szCs w:val="16"/>
        </w:rPr>
        <w:t>ú</w:t>
      </w:r>
      <w:r w:rsidRPr="008818C2">
        <w:rPr>
          <w:rFonts w:ascii="Century Gothic" w:hAnsi="Century Gothic" w:cs="Arial"/>
          <w:sz w:val="16"/>
          <w:szCs w:val="16"/>
        </w:rPr>
        <w:t>blicas y normas y unificar los procesos de contrataci</w:t>
      </w:r>
      <w:r w:rsidRPr="008818C2">
        <w:rPr>
          <w:rFonts w:ascii="Century Gothic" w:hAnsi="Century Gothic" w:cs="Century Gothic"/>
          <w:sz w:val="16"/>
          <w:szCs w:val="16"/>
        </w:rPr>
        <w:t>ó</w:t>
      </w:r>
      <w:r w:rsidRPr="008818C2">
        <w:rPr>
          <w:rFonts w:ascii="Century Gothic" w:hAnsi="Century Gothic" w:cs="Arial"/>
          <w:sz w:val="16"/>
          <w:szCs w:val="16"/>
        </w:rPr>
        <w:t>n estatal, con el fin de lograr una mayor eficiencia, transparencia y optimizaci</w:t>
      </w:r>
      <w:r w:rsidRPr="008818C2">
        <w:rPr>
          <w:rFonts w:ascii="Century Gothic" w:hAnsi="Century Gothic" w:cs="Century Gothic"/>
          <w:sz w:val="16"/>
          <w:szCs w:val="16"/>
        </w:rPr>
        <w:t>ó</w:t>
      </w:r>
      <w:r w:rsidRPr="008818C2">
        <w:rPr>
          <w:rFonts w:ascii="Century Gothic" w:hAnsi="Century Gothic" w:cs="Arial"/>
          <w:sz w:val="16"/>
          <w:szCs w:val="16"/>
        </w:rPr>
        <w:t>n de los recursos del Estado. El art</w:t>
      </w:r>
      <w:r w:rsidRPr="008818C2">
        <w:rPr>
          <w:rFonts w:ascii="Century Gothic" w:hAnsi="Century Gothic" w:cs="Century Gothic"/>
          <w:sz w:val="16"/>
          <w:szCs w:val="16"/>
        </w:rPr>
        <w:t>í</w:t>
      </w:r>
      <w:r w:rsidRPr="008818C2">
        <w:rPr>
          <w:rFonts w:ascii="Century Gothic" w:hAnsi="Century Gothic" w:cs="Arial"/>
          <w:sz w:val="16"/>
          <w:szCs w:val="16"/>
        </w:rPr>
        <w:t xml:space="preserve">culo 3 </w:t>
      </w:r>
      <w:r w:rsidRPr="008818C2">
        <w:rPr>
          <w:rFonts w:ascii="Century Gothic" w:hAnsi="Century Gothic" w:cs="Arial"/>
          <w:i/>
          <w:iCs/>
          <w:sz w:val="16"/>
          <w:szCs w:val="16"/>
        </w:rPr>
        <w:t xml:space="preserve">ibidem </w:t>
      </w:r>
      <w:r w:rsidRPr="008818C2">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71A2D7EB" w14:textId="77777777" w:rsidR="007C2E3C" w:rsidRPr="008818C2" w:rsidRDefault="007C2E3C" w:rsidP="007C2E3C">
      <w:pPr>
        <w:pStyle w:val="Textonotapie"/>
        <w:ind w:firstLine="708"/>
        <w:jc w:val="both"/>
        <w:rPr>
          <w:rFonts w:ascii="Century Gothic" w:hAnsi="Century Gothic" w:cs="Arial"/>
          <w:sz w:val="16"/>
          <w:szCs w:val="16"/>
        </w:rPr>
      </w:pPr>
    </w:p>
  </w:footnote>
  <w:footnote w:id="3">
    <w:p w14:paraId="0F4257D2" w14:textId="77777777" w:rsidR="007C2E3C" w:rsidRPr="008818C2" w:rsidRDefault="007C2E3C" w:rsidP="007C2E3C">
      <w:pPr>
        <w:pStyle w:val="Textonotapie"/>
        <w:ind w:firstLine="708"/>
        <w:jc w:val="both"/>
        <w:rPr>
          <w:rFonts w:ascii="Century Gothic" w:hAnsi="Century Gothic" w:cs="Arial"/>
          <w:sz w:val="16"/>
          <w:szCs w:val="16"/>
          <w:shd w:val="clear" w:color="auto" w:fill="E6E6E6"/>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8818C2">
          <w:rPr>
            <w:rStyle w:val="Hipervnculo"/>
            <w:rFonts w:ascii="Century Gothic" w:hAnsi="Century Gothic" w:cs="Arial"/>
            <w:color w:val="auto"/>
            <w:sz w:val="16"/>
            <w:szCs w:val="16"/>
          </w:rPr>
          <w:t>https://relatoria.colombiacompra.gov.co/busqueda/conceptos</w:t>
        </w:r>
      </w:hyperlink>
      <w:r w:rsidRPr="008818C2">
        <w:rPr>
          <w:rStyle w:val="Hipervnculo"/>
          <w:rFonts w:ascii="Century Gothic" w:hAnsi="Century Gothic" w:cs="Arial"/>
          <w:color w:val="auto"/>
          <w:sz w:val="16"/>
          <w:szCs w:val="16"/>
        </w:rPr>
        <w:t xml:space="preserve">. </w:t>
      </w:r>
      <w:r w:rsidRPr="008818C2">
        <w:rPr>
          <w:rFonts w:ascii="Century Gothic" w:hAnsi="Century Gothic" w:cs="Arial"/>
          <w:sz w:val="16"/>
          <w:szCs w:val="16"/>
          <w:shd w:val="clear" w:color="auto" w:fill="E6E6E6"/>
        </w:rPr>
        <w:t xml:space="preserve">  </w:t>
      </w:r>
    </w:p>
    <w:p w14:paraId="7F2FDA18" w14:textId="77777777" w:rsidR="007C2E3C" w:rsidRPr="008818C2" w:rsidRDefault="007C2E3C" w:rsidP="007C2E3C">
      <w:pPr>
        <w:pStyle w:val="Textonotapie"/>
        <w:ind w:firstLine="708"/>
        <w:jc w:val="both"/>
        <w:rPr>
          <w:rFonts w:ascii="Century Gothic" w:hAnsi="Century Gothic" w:cs="Arial"/>
          <w:sz w:val="16"/>
          <w:szCs w:val="16"/>
          <w:shd w:val="clear" w:color="auto" w:fill="E6E6E6"/>
        </w:rPr>
      </w:pPr>
    </w:p>
  </w:footnote>
  <w:footnote w:id="4">
    <w:p w14:paraId="7D819E60" w14:textId="416CB8AC"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 xml:space="preserve">El artículo 22 del Código Sustantivo del Trabajo establece: </w:t>
      </w:r>
      <w:r w:rsidR="00F034E3" w:rsidRPr="008818C2">
        <w:rPr>
          <w:rFonts w:ascii="Century Gothic" w:hAnsi="Century Gothic" w:cs="Arial"/>
          <w:sz w:val="16"/>
          <w:szCs w:val="16"/>
          <w:lang w:val="es-ES"/>
        </w:rPr>
        <w:t>“</w:t>
      </w:r>
      <w:r w:rsidRPr="008818C2">
        <w:rPr>
          <w:rFonts w:ascii="Century Gothic" w:hAnsi="Century Gothic" w:cs="Arial"/>
          <w:sz w:val="16"/>
          <w:szCs w:val="16"/>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sidR="00F034E3" w:rsidRPr="008818C2">
        <w:rPr>
          <w:rFonts w:ascii="Century Gothic" w:hAnsi="Century Gothic" w:cs="Arial"/>
          <w:sz w:val="16"/>
          <w:szCs w:val="16"/>
          <w:lang w:val="es-ES"/>
        </w:rPr>
        <w:t>”</w:t>
      </w:r>
      <w:r w:rsidRPr="008818C2">
        <w:rPr>
          <w:rFonts w:ascii="Century Gothic" w:hAnsi="Century Gothic" w:cs="Arial"/>
          <w:sz w:val="16"/>
          <w:szCs w:val="16"/>
          <w:lang w:val="es-ES"/>
        </w:rPr>
        <w:t>.</w:t>
      </w:r>
    </w:p>
    <w:p w14:paraId="70A5CC26" w14:textId="77777777" w:rsidR="001E5C7A" w:rsidRPr="008818C2" w:rsidRDefault="001E5C7A" w:rsidP="001E5C7A">
      <w:pPr>
        <w:pStyle w:val="Textonotapie"/>
        <w:ind w:firstLine="709"/>
        <w:jc w:val="both"/>
        <w:rPr>
          <w:rFonts w:ascii="Arial" w:hAnsi="Arial" w:cs="Arial"/>
          <w:sz w:val="16"/>
          <w:szCs w:val="16"/>
          <w:lang w:val="es-ES"/>
        </w:rPr>
      </w:pPr>
    </w:p>
  </w:footnote>
  <w:footnote w:id="5">
    <w:p w14:paraId="2395B0A3" w14:textId="464AD206"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 xml:space="preserve">En efecto, el artículo 244 de la Ley 1955 de 2015 dispone, en lo pertinente: </w:t>
      </w:r>
      <w:r w:rsidR="00E63622" w:rsidRPr="008818C2">
        <w:rPr>
          <w:rFonts w:ascii="Century Gothic" w:hAnsi="Century Gothic" w:cs="Arial"/>
          <w:sz w:val="16"/>
          <w:szCs w:val="16"/>
          <w:lang w:val="es-ES"/>
        </w:rPr>
        <w:t>“</w:t>
      </w:r>
      <w:r w:rsidRPr="008818C2">
        <w:rPr>
          <w:rFonts w:ascii="Century Gothic" w:hAnsi="Century Gothic" w:cs="Arial"/>
          <w:sz w:val="16"/>
          <w:szCs w:val="16"/>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40A6272B" w14:textId="77777777" w:rsidR="001E5C7A" w:rsidRPr="008818C2" w:rsidRDefault="001E5C7A"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561D6C0B" w14:textId="7B68430B" w:rsidR="001E5C7A" w:rsidRPr="008818C2" w:rsidRDefault="001E5C7A" w:rsidP="0027183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 xml:space="preserve">El Gobierno nacional reglamentará el mecanismo para realizar la mensualización de que trata el presente </w:t>
      </w:r>
      <w:r w:rsidR="0027183A" w:rsidRPr="008818C2">
        <w:rPr>
          <w:rFonts w:ascii="Century Gothic" w:hAnsi="Century Gothic" w:cs="Arial"/>
          <w:sz w:val="16"/>
          <w:szCs w:val="16"/>
          <w:lang w:val="es-ES"/>
        </w:rPr>
        <w:t>artículo. [</w:t>
      </w:r>
      <w:r w:rsidRPr="008818C2">
        <w:rPr>
          <w:rFonts w:ascii="Century Gothic" w:hAnsi="Century Gothic" w:cs="Arial"/>
          <w:sz w:val="16"/>
          <w:szCs w:val="16"/>
          <w:lang w:val="es-ES"/>
        </w:rPr>
        <w:t>…]</w:t>
      </w:r>
      <w:r w:rsidR="00E63622" w:rsidRPr="008818C2">
        <w:rPr>
          <w:rFonts w:ascii="Century Gothic" w:hAnsi="Century Gothic" w:cs="Arial"/>
          <w:sz w:val="16"/>
          <w:szCs w:val="16"/>
          <w:lang w:val="es-ES"/>
        </w:rPr>
        <w:t>”</w:t>
      </w:r>
      <w:r w:rsidRPr="008818C2">
        <w:rPr>
          <w:rFonts w:ascii="Century Gothic" w:hAnsi="Century Gothic" w:cs="Arial"/>
          <w:sz w:val="16"/>
          <w:szCs w:val="16"/>
          <w:lang w:val="es-ES"/>
        </w:rPr>
        <w:t>.</w:t>
      </w:r>
    </w:p>
    <w:p w14:paraId="77E29952" w14:textId="77777777" w:rsidR="0027183A" w:rsidRPr="008818C2" w:rsidRDefault="0027183A" w:rsidP="0027183A">
      <w:pPr>
        <w:pStyle w:val="Textonotapie"/>
        <w:ind w:firstLine="709"/>
        <w:jc w:val="both"/>
        <w:rPr>
          <w:rFonts w:ascii="Century Gothic" w:hAnsi="Century Gothic" w:cs="Arial"/>
          <w:sz w:val="16"/>
          <w:szCs w:val="16"/>
          <w:lang w:val="es-ES"/>
        </w:rPr>
      </w:pPr>
    </w:p>
  </w:footnote>
  <w:footnote w:id="6">
    <w:p w14:paraId="41C6D3E3" w14:textId="77777777"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Corte Constitucional. Sentencia C-154 de 1997. MP: Hernando Herrera Vergara.</w:t>
      </w:r>
    </w:p>
    <w:p w14:paraId="03BB88E8" w14:textId="77777777" w:rsidR="001E5C7A" w:rsidRPr="008818C2" w:rsidRDefault="001E5C7A" w:rsidP="001E5C7A">
      <w:pPr>
        <w:pStyle w:val="Textonotapie"/>
        <w:ind w:firstLine="709"/>
        <w:jc w:val="both"/>
        <w:rPr>
          <w:rFonts w:ascii="Arial" w:hAnsi="Arial" w:cs="Arial"/>
          <w:sz w:val="16"/>
          <w:szCs w:val="16"/>
          <w:lang w:val="es-ES"/>
        </w:rPr>
      </w:pPr>
    </w:p>
  </w:footnote>
  <w:footnote w:id="7">
    <w:p w14:paraId="4C7FCCCD" w14:textId="60C3167C"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00CC2800" w:rsidRPr="008818C2">
        <w:rPr>
          <w:rFonts w:ascii="Century Gothic" w:hAnsi="Century Gothic" w:cs="Arial"/>
          <w:sz w:val="16"/>
          <w:szCs w:val="16"/>
          <w:lang w:val="es-ES"/>
        </w:rPr>
        <w:t>Ibid</w:t>
      </w:r>
      <w:r w:rsidRPr="008818C2">
        <w:rPr>
          <w:rFonts w:ascii="Century Gothic" w:hAnsi="Century Gothic" w:cs="Arial"/>
          <w:sz w:val="16"/>
          <w:szCs w:val="16"/>
          <w:lang w:val="es-ES"/>
        </w:rPr>
        <w:t>.</w:t>
      </w:r>
    </w:p>
    <w:p w14:paraId="75B522E2" w14:textId="77777777" w:rsidR="00CC2800" w:rsidRPr="008818C2" w:rsidRDefault="00CC2800" w:rsidP="001E5C7A">
      <w:pPr>
        <w:pStyle w:val="Textonotapie"/>
        <w:ind w:firstLine="709"/>
        <w:jc w:val="both"/>
        <w:rPr>
          <w:rFonts w:ascii="Century Gothic" w:hAnsi="Century Gothic" w:cs="Arial"/>
          <w:sz w:val="16"/>
          <w:szCs w:val="16"/>
          <w:lang w:val="es-ES"/>
        </w:rPr>
      </w:pPr>
    </w:p>
  </w:footnote>
  <w:footnote w:id="8">
    <w:p w14:paraId="5DE0A7DE" w14:textId="58005D6A"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00CC2800" w:rsidRPr="008818C2">
        <w:rPr>
          <w:rFonts w:ascii="Century Gothic" w:hAnsi="Century Gothic" w:cs="Arial"/>
          <w:sz w:val="16"/>
          <w:szCs w:val="16"/>
          <w:lang w:val="es-ES"/>
        </w:rPr>
        <w:t>Ibid.</w:t>
      </w:r>
      <w:r w:rsidRPr="008818C2">
        <w:rPr>
          <w:rFonts w:ascii="Century Gothic" w:hAnsi="Century Gothic" w:cs="Arial"/>
          <w:sz w:val="16"/>
          <w:szCs w:val="16"/>
          <w:lang w:val="es-ES"/>
        </w:rPr>
        <w:t xml:space="preserve"> En efecto, el numeral 2º del artículo 32 de la Ley 80 de 1993 define el contrato de consultoría así: </w:t>
      </w:r>
      <w:r w:rsidR="00CC2800" w:rsidRPr="008818C2">
        <w:rPr>
          <w:rFonts w:ascii="Century Gothic" w:hAnsi="Century Gothic" w:cs="Arial"/>
          <w:sz w:val="16"/>
          <w:szCs w:val="16"/>
          <w:lang w:val="es-ES"/>
        </w:rPr>
        <w:t>“</w:t>
      </w:r>
      <w:r w:rsidRPr="008818C2">
        <w:rPr>
          <w:rFonts w:ascii="Century Gothic" w:hAnsi="Century Gothic" w:cs="Arial"/>
          <w:sz w:val="16"/>
          <w:szCs w:val="16"/>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E94CFDC" w14:textId="4C27D7F1" w:rsidR="001E5C7A" w:rsidRPr="008818C2" w:rsidRDefault="00CC2800"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7DF6E716" w14:textId="28D15244" w:rsidR="001E5C7A" w:rsidRPr="008818C2" w:rsidRDefault="00CC2800"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 xml:space="preserve">Ninguna orden del interventor de una obra podrá darse verbalmente. Es obligatorio para el interventor entregar por escrito sus órdenes o sugerencias y ellas deben </w:t>
      </w:r>
      <w:proofErr w:type="gramStart"/>
      <w:r w:rsidR="001E5C7A" w:rsidRPr="008818C2">
        <w:rPr>
          <w:rFonts w:ascii="Century Gothic" w:hAnsi="Century Gothic" w:cs="Arial"/>
          <w:sz w:val="16"/>
          <w:szCs w:val="16"/>
          <w:lang w:val="es-ES"/>
        </w:rPr>
        <w:t>enmarcarse dentro de</w:t>
      </w:r>
      <w:proofErr w:type="gramEnd"/>
      <w:r w:rsidR="001E5C7A" w:rsidRPr="008818C2">
        <w:rPr>
          <w:rFonts w:ascii="Century Gothic" w:hAnsi="Century Gothic" w:cs="Arial"/>
          <w:sz w:val="16"/>
          <w:szCs w:val="16"/>
          <w:lang w:val="es-ES"/>
        </w:rPr>
        <w:t xml:space="preserve"> los términos del respectivo contrato</w:t>
      </w: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w:t>
      </w:r>
    </w:p>
    <w:p w14:paraId="5977CA0A" w14:textId="77777777" w:rsidR="00CC2800" w:rsidRPr="008818C2" w:rsidRDefault="00CC2800" w:rsidP="001E5C7A">
      <w:pPr>
        <w:pStyle w:val="Textonotapie"/>
        <w:ind w:firstLine="709"/>
        <w:jc w:val="both"/>
        <w:rPr>
          <w:rFonts w:ascii="Century Gothic" w:hAnsi="Century Gothic" w:cs="Arial"/>
          <w:sz w:val="16"/>
          <w:szCs w:val="16"/>
          <w:lang w:val="es-ES"/>
        </w:rPr>
      </w:pPr>
    </w:p>
  </w:footnote>
  <w:footnote w:id="9">
    <w:p w14:paraId="040C31BB" w14:textId="1420E973"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 xml:space="preserve">Así lo dispone el artículo 2.2.1.2.1.4.1. del Decreto 1082 de 2015: </w:t>
      </w:r>
      <w:r w:rsidR="00CC2800" w:rsidRPr="008818C2">
        <w:rPr>
          <w:rFonts w:ascii="Century Gothic" w:hAnsi="Century Gothic" w:cs="Arial"/>
          <w:sz w:val="16"/>
          <w:szCs w:val="16"/>
          <w:lang w:val="es-ES"/>
        </w:rPr>
        <w:t>“</w:t>
      </w:r>
      <w:r w:rsidRPr="008818C2">
        <w:rPr>
          <w:rFonts w:ascii="Century Gothic" w:hAnsi="Century Gothic" w:cs="Arial"/>
          <w:sz w:val="16"/>
          <w:szCs w:val="16"/>
          <w:lang w:val="es-ES"/>
        </w:rPr>
        <w:t>La Entidad Estatal debe señalar en un acto administrativo la justificación para contratar bajo la modalidad de contratación directa, el cual debe contener:</w:t>
      </w:r>
    </w:p>
    <w:p w14:paraId="62DC7446" w14:textId="5AC498BD" w:rsidR="001E5C7A" w:rsidRPr="008818C2" w:rsidRDefault="00CC2800"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1. La causal que invoca para contratar directamente.</w:t>
      </w:r>
    </w:p>
    <w:p w14:paraId="3E659B1D" w14:textId="244E2C84" w:rsidR="001E5C7A" w:rsidRPr="008818C2" w:rsidRDefault="00CC2800"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2. El objeto del contrato.</w:t>
      </w:r>
    </w:p>
    <w:p w14:paraId="5AFC80C6" w14:textId="62F40C02" w:rsidR="001E5C7A" w:rsidRPr="008818C2" w:rsidRDefault="009D7592"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3. El presupuesto para la contratación y las condiciones que exigirá al contratista.</w:t>
      </w:r>
    </w:p>
    <w:p w14:paraId="23E51295" w14:textId="7BFDBB79" w:rsidR="001E5C7A" w:rsidRPr="008818C2" w:rsidRDefault="009D7592"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4. El lugar en el cual los interesados pueden consultar los estudios y documentos previos.</w:t>
      </w:r>
    </w:p>
    <w:p w14:paraId="2606B220" w14:textId="3C9724A2" w:rsidR="001E5C7A" w:rsidRPr="008818C2" w:rsidRDefault="009D7592"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r w:rsidRPr="008818C2">
        <w:rPr>
          <w:rFonts w:ascii="Century Gothic" w:hAnsi="Century Gothic" w:cs="Arial"/>
          <w:sz w:val="16"/>
          <w:szCs w:val="16"/>
          <w:lang w:val="es-ES"/>
        </w:rPr>
        <w:t>”</w:t>
      </w:r>
      <w:r w:rsidR="001E5C7A" w:rsidRPr="008818C2">
        <w:rPr>
          <w:rFonts w:ascii="Century Gothic" w:hAnsi="Century Gothic" w:cs="Arial"/>
          <w:sz w:val="16"/>
          <w:szCs w:val="16"/>
          <w:lang w:val="es-ES"/>
        </w:rPr>
        <w:t>.</w:t>
      </w:r>
    </w:p>
  </w:footnote>
  <w:footnote w:id="10">
    <w:p w14:paraId="69EC40DA" w14:textId="77777777" w:rsidR="001E5C7A" w:rsidRPr="008818C2" w:rsidRDefault="001E5C7A" w:rsidP="001E5C7A">
      <w:pPr>
        <w:pStyle w:val="Textonotapie"/>
        <w:jc w:val="both"/>
        <w:rPr>
          <w:rFonts w:ascii="Century Gothic" w:hAnsi="Century Gothic" w:cs="Arial"/>
          <w:sz w:val="16"/>
          <w:szCs w:val="16"/>
        </w:rPr>
      </w:pPr>
    </w:p>
    <w:p w14:paraId="5239D5CA" w14:textId="77777777" w:rsidR="00F12537" w:rsidRPr="008818C2" w:rsidRDefault="001E5C7A" w:rsidP="00F12537">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 xml:space="preserve">La norma expresa: </w:t>
      </w:r>
      <w:r w:rsidR="009D7592" w:rsidRPr="008818C2">
        <w:rPr>
          <w:rFonts w:ascii="Century Gothic" w:hAnsi="Century Gothic" w:cs="Arial"/>
          <w:sz w:val="16"/>
          <w:szCs w:val="16"/>
          <w:lang w:val="es-ES"/>
        </w:rPr>
        <w:t>“</w:t>
      </w:r>
      <w:r w:rsidRPr="008818C2">
        <w:rPr>
          <w:rFonts w:ascii="Century Gothic" w:hAnsi="Century Gothic" w:cs="Arial"/>
          <w:sz w:val="16"/>
          <w:szCs w:val="16"/>
          <w:lang w:val="es-ES"/>
        </w:rPr>
        <w:t xml:space="preserve">Art. 14. </w:t>
      </w:r>
      <w:r w:rsidRPr="008818C2">
        <w:rPr>
          <w:rFonts w:ascii="Century Gothic" w:hAnsi="Century Gothic" w:cs="Arial"/>
          <w:sz w:val="16"/>
          <w:szCs w:val="16"/>
        </w:rPr>
        <w:t>P</w:t>
      </w:r>
      <w:r w:rsidRPr="008818C2">
        <w:rPr>
          <w:rFonts w:ascii="Century Gothic" w:hAnsi="Century Gothic" w:cs="Arial"/>
          <w:sz w:val="16"/>
          <w:szCs w:val="16"/>
          <w:lang w:val="es-ES"/>
        </w:rPr>
        <w:t>ara el cumplimiento de los fines de la contratación, las entidades estatales al celebrar un contrato:</w:t>
      </w:r>
      <w:r w:rsidR="00F12537" w:rsidRPr="008818C2">
        <w:rPr>
          <w:rFonts w:ascii="Century Gothic" w:hAnsi="Century Gothic" w:cs="Arial"/>
          <w:sz w:val="16"/>
          <w:szCs w:val="16"/>
          <w:lang w:val="es-ES"/>
        </w:rPr>
        <w:t xml:space="preserve"> </w:t>
      </w:r>
    </w:p>
    <w:p w14:paraId="143023A2" w14:textId="24B86CFC" w:rsidR="001E5C7A" w:rsidRPr="008818C2" w:rsidRDefault="001E5C7A" w:rsidP="00F12537">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w:t>
      </w:r>
    </w:p>
    <w:p w14:paraId="15D3A963" w14:textId="77777777" w:rsidR="001E5C7A" w:rsidRPr="008818C2" w:rsidRDefault="001E5C7A" w:rsidP="001E5C7A">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0B79F36C" w14:textId="4F68A5E4" w:rsidR="001E5C7A" w:rsidRPr="008818C2" w:rsidRDefault="001E5C7A" w:rsidP="00F12537">
      <w:pPr>
        <w:pStyle w:val="Textonotapie"/>
        <w:ind w:firstLine="709"/>
        <w:jc w:val="both"/>
        <w:rPr>
          <w:rFonts w:ascii="Century Gothic" w:hAnsi="Century Gothic" w:cs="Arial"/>
          <w:sz w:val="16"/>
          <w:szCs w:val="16"/>
          <w:lang w:val="es-ES"/>
        </w:rPr>
      </w:pPr>
      <w:r w:rsidRPr="008818C2">
        <w:rPr>
          <w:rFonts w:ascii="Century Gothic" w:hAnsi="Century Gothic" w:cs="Arial"/>
          <w:sz w:val="16"/>
          <w:szCs w:val="16"/>
          <w:lang w:val="es-ES"/>
        </w:rPr>
        <w:t>Las entidades estatales podrán pactar estas cláusulas en los contratos de suministro y de prestación de servicios.</w:t>
      </w:r>
      <w:r w:rsidR="00F12537" w:rsidRPr="008818C2">
        <w:rPr>
          <w:rFonts w:ascii="Century Gothic" w:hAnsi="Century Gothic" w:cs="Arial"/>
          <w:sz w:val="16"/>
          <w:szCs w:val="16"/>
          <w:lang w:val="es-ES"/>
        </w:rPr>
        <w:t xml:space="preserve"> </w:t>
      </w:r>
      <w:r w:rsidRPr="008818C2">
        <w:rPr>
          <w:rFonts w:ascii="Century Gothic" w:hAnsi="Century Gothic" w:cs="Arial"/>
          <w:sz w:val="16"/>
          <w:szCs w:val="16"/>
          <w:lang w:val="es-ES"/>
        </w:rPr>
        <w:t>[…]</w:t>
      </w:r>
      <w:r w:rsidR="009D7592" w:rsidRPr="008818C2">
        <w:rPr>
          <w:rFonts w:ascii="Century Gothic" w:hAnsi="Century Gothic" w:cs="Arial"/>
          <w:sz w:val="16"/>
          <w:szCs w:val="16"/>
          <w:lang w:val="es-ES"/>
        </w:rPr>
        <w:t>”</w:t>
      </w:r>
      <w:r w:rsidRPr="008818C2">
        <w:rPr>
          <w:rFonts w:ascii="Century Gothic" w:hAnsi="Century Gothic" w:cs="Arial"/>
          <w:sz w:val="16"/>
          <w:szCs w:val="16"/>
          <w:lang w:val="es-ES"/>
        </w:rPr>
        <w:t>.</w:t>
      </w:r>
    </w:p>
    <w:p w14:paraId="2D7C9F65" w14:textId="77777777" w:rsidR="00F12537" w:rsidRPr="008818C2" w:rsidRDefault="00F12537" w:rsidP="00F12537">
      <w:pPr>
        <w:pStyle w:val="Textonotapie"/>
        <w:ind w:firstLine="709"/>
        <w:jc w:val="both"/>
        <w:rPr>
          <w:rFonts w:ascii="Century Gothic" w:hAnsi="Century Gothic" w:cs="Arial"/>
          <w:sz w:val="16"/>
          <w:szCs w:val="16"/>
          <w:lang w:val="es-ES"/>
        </w:rPr>
      </w:pPr>
    </w:p>
  </w:footnote>
  <w:footnote w:id="11">
    <w:p w14:paraId="607C1CD2" w14:textId="7DA8C326"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 xml:space="preserve">La norma dispone: </w:t>
      </w:r>
      <w:r w:rsidR="009D7592" w:rsidRPr="008818C2">
        <w:rPr>
          <w:rFonts w:ascii="Century Gothic" w:hAnsi="Century Gothic" w:cs="Arial"/>
          <w:sz w:val="16"/>
          <w:szCs w:val="16"/>
          <w:lang w:val="es-ES"/>
        </w:rPr>
        <w:t>“</w:t>
      </w:r>
      <w:r w:rsidRPr="008818C2">
        <w:rPr>
          <w:rFonts w:ascii="Century Gothic" w:hAnsi="Century Gothic" w:cs="Arial"/>
          <w:sz w:val="16"/>
          <w:szCs w:val="16"/>
          <w:lang w:val="es-ES"/>
        </w:rPr>
        <w:t>La liquidación a que se refiere el presente artículo no será obligatoria en los contratos de prestación de servicios profesionales y de apoyo a la gestión</w:t>
      </w:r>
      <w:r w:rsidR="009D7592" w:rsidRPr="008818C2">
        <w:rPr>
          <w:rFonts w:ascii="Century Gothic" w:hAnsi="Century Gothic" w:cs="Arial"/>
          <w:sz w:val="16"/>
          <w:szCs w:val="16"/>
          <w:lang w:val="es-ES"/>
        </w:rPr>
        <w:t>”</w:t>
      </w:r>
      <w:r w:rsidRPr="008818C2">
        <w:rPr>
          <w:rFonts w:ascii="Century Gothic" w:hAnsi="Century Gothic" w:cs="Arial"/>
          <w:sz w:val="16"/>
          <w:szCs w:val="16"/>
          <w:lang w:val="es-ES"/>
        </w:rPr>
        <w:t>.</w:t>
      </w:r>
    </w:p>
    <w:p w14:paraId="0A306C0A" w14:textId="77777777" w:rsidR="00233392" w:rsidRPr="008818C2" w:rsidRDefault="00233392" w:rsidP="001E5C7A">
      <w:pPr>
        <w:pStyle w:val="Textonotapie"/>
        <w:ind w:firstLine="709"/>
        <w:jc w:val="both"/>
        <w:rPr>
          <w:rFonts w:ascii="Century Gothic" w:hAnsi="Century Gothic" w:cs="Arial"/>
          <w:sz w:val="16"/>
          <w:szCs w:val="16"/>
          <w:lang w:val="es-ES"/>
        </w:rPr>
      </w:pPr>
    </w:p>
  </w:footnote>
  <w:footnote w:id="12">
    <w:p w14:paraId="146A9309" w14:textId="27B9FC69" w:rsidR="001E5C7A" w:rsidRPr="008818C2" w:rsidRDefault="001E5C7A" w:rsidP="001E5C7A">
      <w:pPr>
        <w:pStyle w:val="Textonotapie"/>
        <w:ind w:firstLine="709"/>
        <w:jc w:val="both"/>
        <w:rPr>
          <w:rFonts w:ascii="Century Gothic" w:hAnsi="Century Gothic" w:cs="Arial"/>
          <w:sz w:val="16"/>
          <w:szCs w:val="16"/>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Según dicho artículo: </w:t>
      </w:r>
      <w:r w:rsidR="009D7592" w:rsidRPr="008818C2">
        <w:rPr>
          <w:rFonts w:ascii="Century Gothic" w:hAnsi="Century Gothic" w:cs="Arial"/>
          <w:sz w:val="16"/>
          <w:szCs w:val="16"/>
        </w:rPr>
        <w:t>“</w:t>
      </w:r>
      <w:r w:rsidRPr="008818C2">
        <w:rPr>
          <w:rFonts w:ascii="Century Gothic" w:hAnsi="Century Gothic" w:cs="Arial"/>
          <w:sz w:val="16"/>
          <w:szCs w:val="16"/>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AEC5947" w14:textId="34F9EAFA" w:rsidR="001E5C7A" w:rsidRPr="008818C2" w:rsidRDefault="001E5C7A" w:rsidP="00233392">
      <w:pPr>
        <w:pStyle w:val="Textonotapie"/>
        <w:ind w:firstLine="709"/>
        <w:jc w:val="both"/>
        <w:rPr>
          <w:rFonts w:ascii="Century Gothic" w:hAnsi="Century Gothic" w:cs="Arial"/>
          <w:sz w:val="16"/>
          <w:szCs w:val="16"/>
        </w:rPr>
      </w:pPr>
      <w:r w:rsidRPr="008818C2">
        <w:rPr>
          <w:rFonts w:ascii="Century Gothic" w:hAnsi="Century Gothic" w:cs="Arial"/>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233392" w:rsidRPr="008818C2">
        <w:rPr>
          <w:rFonts w:ascii="Century Gothic" w:hAnsi="Century Gothic" w:cs="Arial"/>
          <w:sz w:val="16"/>
          <w:szCs w:val="16"/>
        </w:rPr>
        <w:t xml:space="preserve"> </w:t>
      </w:r>
      <w:r w:rsidRPr="008818C2">
        <w:rPr>
          <w:rFonts w:ascii="Century Gothic" w:hAnsi="Century Gothic" w:cs="Arial"/>
          <w:sz w:val="16"/>
          <w:szCs w:val="16"/>
        </w:rPr>
        <w:t>[…]</w:t>
      </w:r>
      <w:r w:rsidR="00233392" w:rsidRPr="008818C2">
        <w:rPr>
          <w:rFonts w:ascii="Century Gothic" w:hAnsi="Century Gothic" w:cs="Arial"/>
          <w:sz w:val="16"/>
          <w:szCs w:val="16"/>
        </w:rPr>
        <w:t>”</w:t>
      </w:r>
      <w:r w:rsidRPr="008818C2">
        <w:rPr>
          <w:rFonts w:ascii="Century Gothic" w:hAnsi="Century Gothic" w:cs="Arial"/>
          <w:sz w:val="16"/>
          <w:szCs w:val="16"/>
        </w:rPr>
        <w:t>.</w:t>
      </w:r>
    </w:p>
    <w:p w14:paraId="3594734D" w14:textId="77777777" w:rsidR="00233392" w:rsidRPr="008818C2" w:rsidRDefault="00233392" w:rsidP="001E5C7A">
      <w:pPr>
        <w:pStyle w:val="Textonotapie"/>
        <w:ind w:firstLine="709"/>
        <w:jc w:val="both"/>
        <w:rPr>
          <w:rFonts w:ascii="Century Gothic" w:hAnsi="Century Gothic" w:cs="Arial"/>
          <w:sz w:val="16"/>
          <w:szCs w:val="16"/>
          <w:lang w:val="es-ES"/>
        </w:rPr>
      </w:pPr>
    </w:p>
  </w:footnote>
  <w:footnote w:id="13">
    <w:p w14:paraId="0829E2D2" w14:textId="631682B0" w:rsidR="001E5C7A" w:rsidRPr="008818C2" w:rsidRDefault="001E5C7A" w:rsidP="001E5C7A">
      <w:pPr>
        <w:pStyle w:val="Textonotapie"/>
        <w:ind w:firstLine="709"/>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 xml:space="preserve">Así lo establece el Decreto 1082 de 2015: </w:t>
      </w:r>
      <w:r w:rsidR="00233392" w:rsidRPr="008818C2">
        <w:rPr>
          <w:rFonts w:ascii="Century Gothic" w:hAnsi="Century Gothic" w:cs="Arial"/>
          <w:sz w:val="16"/>
          <w:szCs w:val="16"/>
          <w:lang w:val="es-ES"/>
        </w:rPr>
        <w:t>“</w:t>
      </w:r>
      <w:r w:rsidRPr="008818C2">
        <w:rPr>
          <w:rFonts w:ascii="Century Gothic" w:hAnsi="Century Gothic" w:cs="Arial"/>
          <w:sz w:val="16"/>
          <w:szCs w:val="16"/>
          <w:lang w:val="es-ES"/>
        </w:rPr>
        <w:t>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r w:rsidR="00233392" w:rsidRPr="008818C2">
        <w:rPr>
          <w:rFonts w:ascii="Century Gothic" w:hAnsi="Century Gothic" w:cs="Arial"/>
          <w:sz w:val="16"/>
          <w:szCs w:val="16"/>
          <w:lang w:val="es-ES"/>
        </w:rPr>
        <w:t>”</w:t>
      </w:r>
      <w:r w:rsidRPr="008818C2">
        <w:rPr>
          <w:rFonts w:ascii="Century Gothic" w:hAnsi="Century Gothic" w:cs="Arial"/>
          <w:sz w:val="16"/>
          <w:szCs w:val="16"/>
          <w:lang w:val="es-ES"/>
        </w:rPr>
        <w:t>.</w:t>
      </w:r>
    </w:p>
    <w:p w14:paraId="49EF46AA" w14:textId="77777777" w:rsidR="001E5C7A" w:rsidRPr="008818C2" w:rsidRDefault="001E5C7A" w:rsidP="001E5C7A">
      <w:pPr>
        <w:pStyle w:val="Textonotapie"/>
        <w:ind w:firstLine="709"/>
        <w:jc w:val="both"/>
        <w:rPr>
          <w:rFonts w:ascii="Century Gothic" w:hAnsi="Century Gothic" w:cs="Arial"/>
          <w:sz w:val="16"/>
          <w:szCs w:val="16"/>
          <w:lang w:val="es-ES"/>
        </w:rPr>
      </w:pPr>
    </w:p>
  </w:footnote>
  <w:footnote w:id="14">
    <w:p w14:paraId="7B76C052" w14:textId="7930DCC4" w:rsidR="001E5C7A" w:rsidRPr="008818C2" w:rsidRDefault="001E5C7A" w:rsidP="001E5C7A">
      <w:pPr>
        <w:pStyle w:val="Textonotapie"/>
        <w:ind w:firstLine="709"/>
        <w:jc w:val="both"/>
        <w:rPr>
          <w:rFonts w:ascii="Arial" w:hAnsi="Arial" w:cs="Arial"/>
          <w:sz w:val="16"/>
          <w:szCs w:val="16"/>
          <w:lang w:val="es-CO"/>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Sobre este contrato, conviene resaltar lo señalado por la sentencia de unificación del Consejo de Estado señaló: </w:t>
      </w:r>
      <w:r w:rsidR="00233392" w:rsidRPr="008818C2">
        <w:rPr>
          <w:rFonts w:ascii="Century Gothic" w:hAnsi="Century Gothic" w:cs="Arial"/>
          <w:sz w:val="16"/>
          <w:szCs w:val="16"/>
        </w:rPr>
        <w:t>“</w:t>
      </w:r>
      <w:r w:rsidRPr="008818C2">
        <w:rPr>
          <w:rFonts w:ascii="Century Gothic" w:hAnsi="Century Gothic" w:cs="Arial"/>
          <w:sz w:val="16"/>
          <w:szCs w:val="16"/>
        </w:rPr>
        <w:t>Así las cosas, conviene, para mayor claridad expositiva, precisar que en el marco del contrato de simple prestación de servicios de apoyo a la gestión, las necesidades que pretenden ser satisfechas por la Administración no comprometen, en modo alguno las actividades que son propias de conocimientos profesionales o especializados; aun así, ello no excluye que dentro de esta categoría conceptual se enmarquen actividades de carácter técnico las cuales, requiriendo un despliegue intelectivo, no recaen dentro del concepto de lo profesional, así como otras necesidades en donde, según las circunstancias, el objeto contractual demanda la ejecución de acciones preponderantemente físicas o mecánicas; es decir, se trata de una dualidad de actividades dentro del concepto “de simple apoyo a la gestión”; unas con acento intelectivo y otras dominadas por ejecuciones físicas o mecánicas. Lo distintivo, en todo caso, es que no requiere que sean cumplidas con personal profesional</w:t>
      </w:r>
      <w:r w:rsidR="00233392" w:rsidRPr="008818C2">
        <w:rPr>
          <w:rFonts w:ascii="Century Gothic" w:hAnsi="Century Gothic" w:cs="Arial"/>
          <w:sz w:val="16"/>
          <w:szCs w:val="16"/>
        </w:rPr>
        <w:t>”</w:t>
      </w:r>
      <w:r w:rsidRPr="008818C2">
        <w:rPr>
          <w:rFonts w:ascii="Century Gothic" w:hAnsi="Century Gothic" w:cs="Arial"/>
          <w:sz w:val="16"/>
          <w:szCs w:val="16"/>
        </w:rPr>
        <w:t>.</w:t>
      </w:r>
    </w:p>
  </w:footnote>
  <w:footnote w:id="15">
    <w:p w14:paraId="15BCFE75" w14:textId="77777777" w:rsidR="001E5C7A" w:rsidRPr="008818C2" w:rsidRDefault="001E5C7A" w:rsidP="0081523A">
      <w:pPr>
        <w:pStyle w:val="Textonotapie"/>
        <w:ind w:firstLine="709"/>
        <w:jc w:val="both"/>
        <w:rPr>
          <w:rFonts w:ascii="Century Gothic" w:hAnsi="Century Gothic" w:cs="Arial"/>
          <w:color w:val="000000" w:themeColor="text1"/>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color w:val="000000" w:themeColor="text1"/>
          <w:sz w:val="16"/>
          <w:szCs w:val="16"/>
          <w:lang w:val="es-ES"/>
        </w:rPr>
        <w:t xml:space="preserve">CONSEJO DE ESTADO. Sección Tercera. Subsección C. Sentencia del 2 de diciembre de 2013. </w:t>
      </w:r>
      <w:proofErr w:type="spellStart"/>
      <w:r w:rsidRPr="008818C2">
        <w:rPr>
          <w:rFonts w:ascii="Century Gothic" w:hAnsi="Century Gothic" w:cs="Arial"/>
          <w:color w:val="000000" w:themeColor="text1"/>
          <w:sz w:val="16"/>
          <w:szCs w:val="16"/>
          <w:lang w:val="es-ES"/>
        </w:rPr>
        <w:t>Exp</w:t>
      </w:r>
      <w:proofErr w:type="spellEnd"/>
      <w:r w:rsidRPr="008818C2">
        <w:rPr>
          <w:rFonts w:ascii="Century Gothic" w:hAnsi="Century Gothic" w:cs="Arial"/>
          <w:color w:val="000000" w:themeColor="text1"/>
          <w:sz w:val="16"/>
          <w:szCs w:val="16"/>
          <w:lang w:val="es-ES"/>
        </w:rPr>
        <w:t>. 41719. C.P: Jaime Orlando Santofimio Gamboa.</w:t>
      </w:r>
    </w:p>
    <w:p w14:paraId="7D650365" w14:textId="77777777" w:rsidR="00EE481A" w:rsidRPr="008818C2" w:rsidRDefault="00EE481A" w:rsidP="001E5C7A">
      <w:pPr>
        <w:pStyle w:val="Textonotapie"/>
        <w:ind w:firstLine="709"/>
        <w:rPr>
          <w:rFonts w:ascii="Century Gothic" w:hAnsi="Century Gothic" w:cs="Arial"/>
          <w:color w:val="000000" w:themeColor="text1"/>
          <w:sz w:val="16"/>
          <w:szCs w:val="16"/>
          <w:lang w:val="es-ES"/>
        </w:rPr>
      </w:pPr>
    </w:p>
  </w:footnote>
  <w:footnote w:id="16">
    <w:p w14:paraId="0E7A7AF1" w14:textId="628D1F4E" w:rsidR="001E5C7A" w:rsidRPr="008818C2" w:rsidRDefault="001E5C7A" w:rsidP="001E5C7A">
      <w:pPr>
        <w:pStyle w:val="Textonotapie"/>
        <w:ind w:firstLine="709"/>
        <w:rPr>
          <w:rFonts w:ascii="Arial" w:hAnsi="Arial" w:cs="Arial"/>
          <w:sz w:val="16"/>
          <w:szCs w:val="16"/>
          <w:lang w:val="es-CO"/>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00EE481A" w:rsidRPr="008818C2">
        <w:rPr>
          <w:rFonts w:ascii="Century Gothic" w:hAnsi="Century Gothic" w:cs="Arial"/>
          <w:color w:val="000000" w:themeColor="text1"/>
          <w:sz w:val="16"/>
          <w:szCs w:val="16"/>
          <w:lang w:val="es-ES"/>
        </w:rPr>
        <w:t>Ibidem</w:t>
      </w:r>
      <w:r w:rsidRPr="008818C2">
        <w:rPr>
          <w:rFonts w:ascii="Arial" w:hAnsi="Arial" w:cs="Arial"/>
          <w:color w:val="000000" w:themeColor="text1"/>
          <w:sz w:val="16"/>
          <w:szCs w:val="16"/>
          <w:lang w:val="es-ES"/>
        </w:rPr>
        <w:t xml:space="preserve"> </w:t>
      </w:r>
    </w:p>
  </w:footnote>
  <w:footnote w:id="17">
    <w:p w14:paraId="325CF100" w14:textId="77777777" w:rsidR="00426624" w:rsidRPr="008818C2" w:rsidRDefault="00426624" w:rsidP="00426624">
      <w:pPr>
        <w:pStyle w:val="Textonotapie"/>
        <w:ind w:firstLine="708"/>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SANTOFIMIO GAMBOA, Jaime Orlando, “El carácter conmutativo y por regla general sinalagmático del contrato estatal y sus efectos respecto de la previsibilidad del riesgo y del mantenimiento de su equilibrio económico”, ob., cit., p.26. La sujeción al principio de planeación implica que los elementos del concepto del contrato estatal “no resultan lógicos ni entendibles, ni mucho menos acertados, dentro del esquema de la configuración objetiva de la conmutatividad y todo lo que ella implica, al igual que en la construcción, regulación o extinción de relaciones jurídicas patrimoniales, si no corresponden a un negocio debidamente estructurado, pensado, diseñado conforme a las necesidades y prioridades que demanda el interés público; esto es, si el negocio no se ajusta al desarrollo y la aplicación adecuados y cabales del denominado principio de planeación o de planificación aplicada a los procesos de contratación y a las actuaciones relacionadas con los contratos del Estado; en otras palabras, se busca por el ordenamiento jurídico que el contrato estatal no sea el producto de la improvisación o de la mediocridad. La ausencia de planeación ataca la esencia misma del interés general, con consecuencias gravosas y muchas veces nefastas, no sólo para la realización efectiva de los objetos pactados, sino también para el patrimonio público, que en últimas es el que siempre está involucrado en todo contrato estatal.</w:t>
      </w:r>
    </w:p>
  </w:footnote>
  <w:footnote w:id="18">
    <w:p w14:paraId="32966425" w14:textId="77777777" w:rsidR="00426624" w:rsidRPr="008818C2" w:rsidRDefault="00426624" w:rsidP="00426624">
      <w:pPr>
        <w:pStyle w:val="Textonotapie"/>
        <w:jc w:val="both"/>
        <w:rPr>
          <w:rFonts w:ascii="Arial" w:hAnsi="Arial" w:cs="Arial"/>
          <w:sz w:val="16"/>
          <w:szCs w:val="16"/>
        </w:rPr>
      </w:pPr>
    </w:p>
    <w:p w14:paraId="4E8C9C6F" w14:textId="77777777" w:rsidR="00426624" w:rsidRPr="008818C2" w:rsidRDefault="00426624" w:rsidP="00426624">
      <w:pPr>
        <w:pStyle w:val="Textonotapie"/>
        <w:ind w:firstLine="708"/>
        <w:jc w:val="both"/>
        <w:rPr>
          <w:rFonts w:ascii="Century Gothic" w:hAnsi="Century Gothic" w:cs="Arial"/>
          <w:sz w:val="16"/>
          <w:szCs w:val="16"/>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SANTOFIMIO GAMBOA, Jaime Orlando, “El carácter conmutativo y pro regla general sinalagmático del contrato estatal y sus efectos respecto de la previsibilidad del riesgo y del mantenimiento de su equilibrio económico”, ob., cit., p.29. “El legislador está radicando en cabeza de las autoridades responsables de la contratación pública una relativa libertad de estimación para adoptar las soluciones de configuración y contenido del contrato que consideren mejores y más apropiadas para atender los intereses públicos. Estas decisiones, para deslindarlas radicalmente de cualquier aproximación a la arbitrariedad, necesariamente deben ser motivadas, y se deben expresar las razones que sirven de fundamento a las decisiones contractuales adoptadas y objetivamente justificadas, esto es, conforme a las exigencias doctrinales, respaldadas y justificadas en los datos y pruebas objetivas que de manera concreta justifican la medida o decisión acogida”. Puede verse también: FERNÁNDEZ, Tomás Ramón, De la arbitrariedad de la administración; Civitas, Madrid, 1994, pp.82 a 89.</w:t>
      </w:r>
    </w:p>
  </w:footnote>
  <w:footnote w:id="19">
    <w:p w14:paraId="035A229F" w14:textId="77777777" w:rsidR="00426624" w:rsidRPr="008818C2" w:rsidRDefault="00426624" w:rsidP="00426624">
      <w:pPr>
        <w:pStyle w:val="Textonotapie"/>
        <w:jc w:val="both"/>
        <w:rPr>
          <w:rFonts w:ascii="Arial" w:hAnsi="Arial" w:cs="Arial"/>
          <w:sz w:val="16"/>
          <w:szCs w:val="16"/>
        </w:rPr>
      </w:pPr>
    </w:p>
    <w:p w14:paraId="33EEEE80" w14:textId="77777777" w:rsidR="00426624" w:rsidRPr="008818C2" w:rsidRDefault="00426624" w:rsidP="00426624">
      <w:pPr>
        <w:pStyle w:val="Textonotapie"/>
        <w:ind w:firstLine="708"/>
        <w:jc w:val="both"/>
        <w:rPr>
          <w:rFonts w:ascii="Century Gothic" w:hAnsi="Century Gothic" w:cs="Arial"/>
          <w:sz w:val="16"/>
          <w:szCs w:val="16"/>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SANTOFIMIO GAMBOA, Jaime Orlando, “El carácter conmutativo y por regla general sinalagmático del contrato estatal y sus efectos respecto de la previsibilidad del riesgo y del mantenimiento de su equilibrio económico”, ob., cit., p.23. “El principio del interés general constituye el punto de partida y la columna vertebral de carácter material de la totalidad de los aspectos vinculados a las relaciones contractuales del Estado, incluso se puede considerar el motor sustancial de la totalidad de principios públicos del Estado. Configura elemento y a su vez requisito básico esencial para que realmente se caracterice la actividad contractual del Estado. No puede entenderse ni admitirse como válido un procedimiento contractual, un contrato o cualquier operación relacionada con éste, que no se inspire o tenga como propósito el cumplimiento o la satisfacción de los intereses generales. Desde esta perspectiva, el concepto de interés general se consolida como el más importante y precioso de los sustentos y justificaciones de todo lo relacionado con el contrato en materia estatal”.</w:t>
      </w:r>
    </w:p>
    <w:p w14:paraId="16C946AF" w14:textId="77777777" w:rsidR="000A265E" w:rsidRPr="008818C2" w:rsidRDefault="000A265E" w:rsidP="00426624">
      <w:pPr>
        <w:pStyle w:val="Textonotapie"/>
        <w:ind w:firstLine="708"/>
        <w:jc w:val="both"/>
        <w:rPr>
          <w:rFonts w:ascii="Century Gothic" w:hAnsi="Century Gothic" w:cs="Arial"/>
          <w:sz w:val="16"/>
          <w:szCs w:val="16"/>
          <w:lang w:val="es-ES"/>
        </w:rPr>
      </w:pPr>
    </w:p>
  </w:footnote>
  <w:footnote w:id="20">
    <w:p w14:paraId="70407BF0" w14:textId="77777777" w:rsidR="00426624" w:rsidRPr="000A265E" w:rsidRDefault="00426624" w:rsidP="00426624">
      <w:pPr>
        <w:pStyle w:val="Textonotapie"/>
        <w:ind w:firstLine="708"/>
        <w:jc w:val="both"/>
        <w:rPr>
          <w:rFonts w:ascii="Century Gothic" w:hAnsi="Century Gothic" w:cs="Arial"/>
          <w:sz w:val="18"/>
          <w:szCs w:val="18"/>
          <w:lang w:val="es-ES"/>
        </w:rPr>
      </w:pPr>
      <w:r w:rsidRPr="008818C2">
        <w:rPr>
          <w:rStyle w:val="Refdenotaalpie"/>
          <w:rFonts w:ascii="Century Gothic" w:hAnsi="Century Gothic" w:cs="Arial"/>
          <w:sz w:val="16"/>
          <w:szCs w:val="16"/>
        </w:rPr>
        <w:footnoteRef/>
      </w:r>
      <w:r w:rsidRPr="008818C2">
        <w:rPr>
          <w:rFonts w:ascii="Century Gothic" w:hAnsi="Century Gothic" w:cs="Arial"/>
          <w:sz w:val="16"/>
          <w:szCs w:val="16"/>
        </w:rPr>
        <w:t xml:space="preserve"> </w:t>
      </w:r>
      <w:r w:rsidRPr="008818C2">
        <w:rPr>
          <w:rFonts w:ascii="Century Gothic" w:hAnsi="Century Gothic" w:cs="Arial"/>
          <w:sz w:val="16"/>
          <w:szCs w:val="16"/>
          <w:lang w:val="es-ES"/>
        </w:rPr>
        <w:t>Consejo de Estado. Sala de lo Contencioso Administrativo. Sección Tercera. Sentencia del 06 de mayo de 2015, Expediente 35268. C.P.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20069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6BB5"/>
    <w:rsid w:val="00044783"/>
    <w:rsid w:val="00060E53"/>
    <w:rsid w:val="000621BA"/>
    <w:rsid w:val="000843C3"/>
    <w:rsid w:val="00085D6A"/>
    <w:rsid w:val="000A265E"/>
    <w:rsid w:val="000A683E"/>
    <w:rsid w:val="000B19B9"/>
    <w:rsid w:val="000D0334"/>
    <w:rsid w:val="000E4714"/>
    <w:rsid w:val="000E6C8A"/>
    <w:rsid w:val="000E7D0B"/>
    <w:rsid w:val="000F46D6"/>
    <w:rsid w:val="000F6486"/>
    <w:rsid w:val="00112335"/>
    <w:rsid w:val="00116625"/>
    <w:rsid w:val="001201AA"/>
    <w:rsid w:val="00125105"/>
    <w:rsid w:val="00127233"/>
    <w:rsid w:val="00160015"/>
    <w:rsid w:val="00161180"/>
    <w:rsid w:val="001640BA"/>
    <w:rsid w:val="00194009"/>
    <w:rsid w:val="001A0DA8"/>
    <w:rsid w:val="001C0C6A"/>
    <w:rsid w:val="001C49A1"/>
    <w:rsid w:val="001C69E8"/>
    <w:rsid w:val="001D0197"/>
    <w:rsid w:val="001D7F0A"/>
    <w:rsid w:val="001E4177"/>
    <w:rsid w:val="001E5C7A"/>
    <w:rsid w:val="002003C1"/>
    <w:rsid w:val="002122D8"/>
    <w:rsid w:val="00233392"/>
    <w:rsid w:val="00240BFC"/>
    <w:rsid w:val="00250AA4"/>
    <w:rsid w:val="00251DCE"/>
    <w:rsid w:val="0027183A"/>
    <w:rsid w:val="002951A0"/>
    <w:rsid w:val="002962BC"/>
    <w:rsid w:val="002A093D"/>
    <w:rsid w:val="002A49AC"/>
    <w:rsid w:val="002A64FD"/>
    <w:rsid w:val="002B3757"/>
    <w:rsid w:val="002C7A84"/>
    <w:rsid w:val="002D478F"/>
    <w:rsid w:val="002D584C"/>
    <w:rsid w:val="003028C2"/>
    <w:rsid w:val="00303E74"/>
    <w:rsid w:val="00322901"/>
    <w:rsid w:val="003448F4"/>
    <w:rsid w:val="003766AE"/>
    <w:rsid w:val="003914B7"/>
    <w:rsid w:val="003A2D84"/>
    <w:rsid w:val="003A5D3E"/>
    <w:rsid w:val="003A779E"/>
    <w:rsid w:val="003C2F05"/>
    <w:rsid w:val="003D0F4D"/>
    <w:rsid w:val="003E0499"/>
    <w:rsid w:val="003F3941"/>
    <w:rsid w:val="003F7C7D"/>
    <w:rsid w:val="00400548"/>
    <w:rsid w:val="00426624"/>
    <w:rsid w:val="004368BC"/>
    <w:rsid w:val="00436B76"/>
    <w:rsid w:val="00454946"/>
    <w:rsid w:val="004630C4"/>
    <w:rsid w:val="00474C8A"/>
    <w:rsid w:val="00480C0C"/>
    <w:rsid w:val="00497E72"/>
    <w:rsid w:val="004A1847"/>
    <w:rsid w:val="004A305D"/>
    <w:rsid w:val="004A3ACB"/>
    <w:rsid w:val="004A4E37"/>
    <w:rsid w:val="004C3961"/>
    <w:rsid w:val="004C4B67"/>
    <w:rsid w:val="004D1B5E"/>
    <w:rsid w:val="004E2745"/>
    <w:rsid w:val="004F21C4"/>
    <w:rsid w:val="004F34D1"/>
    <w:rsid w:val="004F3E08"/>
    <w:rsid w:val="004F685F"/>
    <w:rsid w:val="005053F6"/>
    <w:rsid w:val="005054CE"/>
    <w:rsid w:val="00506C97"/>
    <w:rsid w:val="00507979"/>
    <w:rsid w:val="00522AEB"/>
    <w:rsid w:val="00533E8F"/>
    <w:rsid w:val="00545BD1"/>
    <w:rsid w:val="0055155A"/>
    <w:rsid w:val="005566E8"/>
    <w:rsid w:val="00570D95"/>
    <w:rsid w:val="00574867"/>
    <w:rsid w:val="00581C53"/>
    <w:rsid w:val="00586F6B"/>
    <w:rsid w:val="005A6AA1"/>
    <w:rsid w:val="005B5D8B"/>
    <w:rsid w:val="005B6DCF"/>
    <w:rsid w:val="005B7505"/>
    <w:rsid w:val="005C48CC"/>
    <w:rsid w:val="005C5CDC"/>
    <w:rsid w:val="005D476C"/>
    <w:rsid w:val="005E6461"/>
    <w:rsid w:val="005F3574"/>
    <w:rsid w:val="005F3CD6"/>
    <w:rsid w:val="0060051C"/>
    <w:rsid w:val="006129B6"/>
    <w:rsid w:val="006219F8"/>
    <w:rsid w:val="00623925"/>
    <w:rsid w:val="00630226"/>
    <w:rsid w:val="00631D9E"/>
    <w:rsid w:val="00651A1B"/>
    <w:rsid w:val="00663EC4"/>
    <w:rsid w:val="00665D70"/>
    <w:rsid w:val="00675703"/>
    <w:rsid w:val="0068552A"/>
    <w:rsid w:val="006A221B"/>
    <w:rsid w:val="006C41EA"/>
    <w:rsid w:val="006D0A47"/>
    <w:rsid w:val="006E548D"/>
    <w:rsid w:val="006F7AF2"/>
    <w:rsid w:val="0070341B"/>
    <w:rsid w:val="00706C16"/>
    <w:rsid w:val="00720254"/>
    <w:rsid w:val="00727370"/>
    <w:rsid w:val="007276F6"/>
    <w:rsid w:val="007450AB"/>
    <w:rsid w:val="00750863"/>
    <w:rsid w:val="00756841"/>
    <w:rsid w:val="00761F21"/>
    <w:rsid w:val="00763C80"/>
    <w:rsid w:val="007649AB"/>
    <w:rsid w:val="0076565D"/>
    <w:rsid w:val="0077488D"/>
    <w:rsid w:val="007833AC"/>
    <w:rsid w:val="007870CC"/>
    <w:rsid w:val="007B603F"/>
    <w:rsid w:val="007B70A1"/>
    <w:rsid w:val="007B7171"/>
    <w:rsid w:val="007C2E3C"/>
    <w:rsid w:val="007C3DC2"/>
    <w:rsid w:val="007E5497"/>
    <w:rsid w:val="007F0451"/>
    <w:rsid w:val="007F32DC"/>
    <w:rsid w:val="00806F5F"/>
    <w:rsid w:val="0081523A"/>
    <w:rsid w:val="00820278"/>
    <w:rsid w:val="0087061C"/>
    <w:rsid w:val="00872447"/>
    <w:rsid w:val="008818C2"/>
    <w:rsid w:val="008843B6"/>
    <w:rsid w:val="00891928"/>
    <w:rsid w:val="008A446D"/>
    <w:rsid w:val="008B4614"/>
    <w:rsid w:val="008C1987"/>
    <w:rsid w:val="008E55F6"/>
    <w:rsid w:val="008F0EA7"/>
    <w:rsid w:val="008F55CB"/>
    <w:rsid w:val="00916272"/>
    <w:rsid w:val="00922028"/>
    <w:rsid w:val="00923EEF"/>
    <w:rsid w:val="00934276"/>
    <w:rsid w:val="009419F9"/>
    <w:rsid w:val="00961B09"/>
    <w:rsid w:val="009647EC"/>
    <w:rsid w:val="00965334"/>
    <w:rsid w:val="009653C5"/>
    <w:rsid w:val="0097093E"/>
    <w:rsid w:val="00991709"/>
    <w:rsid w:val="009918B5"/>
    <w:rsid w:val="0099598F"/>
    <w:rsid w:val="009B7ECF"/>
    <w:rsid w:val="009C1BC0"/>
    <w:rsid w:val="009C36F1"/>
    <w:rsid w:val="009C71FA"/>
    <w:rsid w:val="009C72E7"/>
    <w:rsid w:val="009D25B8"/>
    <w:rsid w:val="009D7592"/>
    <w:rsid w:val="009E11B9"/>
    <w:rsid w:val="009F3A0E"/>
    <w:rsid w:val="009F7EC8"/>
    <w:rsid w:val="00A17F13"/>
    <w:rsid w:val="00A20739"/>
    <w:rsid w:val="00A22A1B"/>
    <w:rsid w:val="00A33C78"/>
    <w:rsid w:val="00A626F9"/>
    <w:rsid w:val="00A65AC1"/>
    <w:rsid w:val="00A84D2A"/>
    <w:rsid w:val="00A8652E"/>
    <w:rsid w:val="00AB0ADB"/>
    <w:rsid w:val="00AC041B"/>
    <w:rsid w:val="00AC270C"/>
    <w:rsid w:val="00AD1D5B"/>
    <w:rsid w:val="00AD2EC6"/>
    <w:rsid w:val="00AD5E99"/>
    <w:rsid w:val="00AE410C"/>
    <w:rsid w:val="00B23811"/>
    <w:rsid w:val="00B24874"/>
    <w:rsid w:val="00B36CE2"/>
    <w:rsid w:val="00B635F2"/>
    <w:rsid w:val="00B64A2B"/>
    <w:rsid w:val="00B72CD3"/>
    <w:rsid w:val="00B72FFF"/>
    <w:rsid w:val="00B853EF"/>
    <w:rsid w:val="00BB77EE"/>
    <w:rsid w:val="00BC23E3"/>
    <w:rsid w:val="00BD15D4"/>
    <w:rsid w:val="00BD2E7A"/>
    <w:rsid w:val="00BD7F72"/>
    <w:rsid w:val="00BE1627"/>
    <w:rsid w:val="00BE3257"/>
    <w:rsid w:val="00BF34FA"/>
    <w:rsid w:val="00C04FB3"/>
    <w:rsid w:val="00C308C6"/>
    <w:rsid w:val="00C3221B"/>
    <w:rsid w:val="00C330EB"/>
    <w:rsid w:val="00C46923"/>
    <w:rsid w:val="00C47EC5"/>
    <w:rsid w:val="00C56408"/>
    <w:rsid w:val="00C57891"/>
    <w:rsid w:val="00C754BE"/>
    <w:rsid w:val="00C97868"/>
    <w:rsid w:val="00CB16D6"/>
    <w:rsid w:val="00CB3CAA"/>
    <w:rsid w:val="00CB56F3"/>
    <w:rsid w:val="00CB6357"/>
    <w:rsid w:val="00CC0B53"/>
    <w:rsid w:val="00CC1B26"/>
    <w:rsid w:val="00CC2800"/>
    <w:rsid w:val="00CD4B7E"/>
    <w:rsid w:val="00CE05E3"/>
    <w:rsid w:val="00CE68B5"/>
    <w:rsid w:val="00D03FA8"/>
    <w:rsid w:val="00D13A62"/>
    <w:rsid w:val="00D36412"/>
    <w:rsid w:val="00D423A2"/>
    <w:rsid w:val="00D63AC2"/>
    <w:rsid w:val="00D7383B"/>
    <w:rsid w:val="00D8012C"/>
    <w:rsid w:val="00D83027"/>
    <w:rsid w:val="00D86321"/>
    <w:rsid w:val="00DA231B"/>
    <w:rsid w:val="00DC20A2"/>
    <w:rsid w:val="00DC5464"/>
    <w:rsid w:val="00DE0397"/>
    <w:rsid w:val="00DE4918"/>
    <w:rsid w:val="00E1114A"/>
    <w:rsid w:val="00E16408"/>
    <w:rsid w:val="00E20894"/>
    <w:rsid w:val="00E22346"/>
    <w:rsid w:val="00E245AB"/>
    <w:rsid w:val="00E50AFE"/>
    <w:rsid w:val="00E55E66"/>
    <w:rsid w:val="00E63622"/>
    <w:rsid w:val="00E669F7"/>
    <w:rsid w:val="00E722FC"/>
    <w:rsid w:val="00E771DC"/>
    <w:rsid w:val="00E8772A"/>
    <w:rsid w:val="00E90F6B"/>
    <w:rsid w:val="00E92C27"/>
    <w:rsid w:val="00EA0D64"/>
    <w:rsid w:val="00EA0E3D"/>
    <w:rsid w:val="00EE05F3"/>
    <w:rsid w:val="00EE1AA8"/>
    <w:rsid w:val="00EE481A"/>
    <w:rsid w:val="00EE53F0"/>
    <w:rsid w:val="00EF7C18"/>
    <w:rsid w:val="00F034E3"/>
    <w:rsid w:val="00F12537"/>
    <w:rsid w:val="00F17039"/>
    <w:rsid w:val="00F204AB"/>
    <w:rsid w:val="00F31EDC"/>
    <w:rsid w:val="00F34346"/>
    <w:rsid w:val="00F52A82"/>
    <w:rsid w:val="00F5664F"/>
    <w:rsid w:val="00F613A2"/>
    <w:rsid w:val="00F635DA"/>
    <w:rsid w:val="00F65780"/>
    <w:rsid w:val="00F75C61"/>
    <w:rsid w:val="00F76AFC"/>
    <w:rsid w:val="00F85078"/>
    <w:rsid w:val="00F85318"/>
    <w:rsid w:val="00F9017B"/>
    <w:rsid w:val="00FB252A"/>
    <w:rsid w:val="00FB4611"/>
    <w:rsid w:val="00FB5DD1"/>
    <w:rsid w:val="00FC2503"/>
    <w:rsid w:val="00FC2B5D"/>
    <w:rsid w:val="00FC49B6"/>
    <w:rsid w:val="00FD0979"/>
    <w:rsid w:val="00FD32A9"/>
    <w:rsid w:val="00FE0763"/>
    <w:rsid w:val="00FF136E"/>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C2E3C"/>
    <w:rPr>
      <w:rFonts w:ascii="Geomanist Light" w:hAnsi="Geomanist Light"/>
      <w:lang w:val="es-ES"/>
    </w:rPr>
  </w:style>
  <w:style w:type="paragraph" w:customStyle="1" w:styleId="Appelnotedebasde">
    <w:name w:val="Appel note de bas de..."/>
    <w:basedOn w:val="Normal"/>
    <w:link w:val="Refdenotaalpie"/>
    <w:uiPriority w:val="99"/>
    <w:rsid w:val="007C2E3C"/>
    <w:pPr>
      <w:spacing w:line="240" w:lineRule="exact"/>
    </w:pPr>
    <w:rPr>
      <w:vertAlign w:val="superscript"/>
    </w:rPr>
  </w:style>
  <w:style w:type="character" w:styleId="Mencinsinresolver">
    <w:name w:val="Unresolved Mention"/>
    <w:basedOn w:val="Fuentedeprrafopredeter"/>
    <w:uiPriority w:val="99"/>
    <w:semiHidden/>
    <w:unhideWhenUsed/>
    <w:rsid w:val="00240BFC"/>
    <w:rPr>
      <w:color w:val="605E5C"/>
      <w:shd w:val="clear" w:color="auto" w:fill="E1DFDD"/>
    </w:rPr>
  </w:style>
  <w:style w:type="paragraph" w:styleId="NormalWeb">
    <w:name w:val="Normal (Web)"/>
    <w:basedOn w:val="Normal"/>
    <w:link w:val="NormalWebCar"/>
    <w:uiPriority w:val="99"/>
    <w:unhideWhenUsed/>
    <w:rsid w:val="00DC20A2"/>
    <w:pPr>
      <w:spacing w:line="256" w:lineRule="auto"/>
    </w:pPr>
    <w:rPr>
      <w:rFonts w:ascii="Times New Roman" w:hAnsi="Times New Roman" w:cs="Times New Roman"/>
      <w:sz w:val="24"/>
      <w:szCs w:val="24"/>
    </w:rPr>
  </w:style>
  <w:style w:type="character" w:customStyle="1" w:styleId="NormalWebCar">
    <w:name w:val="Normal (Web) Car"/>
    <w:link w:val="NormalWeb"/>
    <w:uiPriority w:val="99"/>
    <w:rsid w:val="00DC20A2"/>
    <w:rPr>
      <w:rFonts w:ascii="Times New Roman" w:hAnsi="Times New Roman" w:cs="Times New Roman"/>
      <w:sz w:val="24"/>
      <w:szCs w:val="24"/>
    </w:rPr>
  </w:style>
  <w:style w:type="table" w:customStyle="1" w:styleId="Tablaconcuadrcula11">
    <w:name w:val="Tabla con cuadrícula11"/>
    <w:basedOn w:val="Tablanormal"/>
    <w:next w:val="Tablaconcuadrcula"/>
    <w:uiPriority w:val="59"/>
    <w:rsid w:val="00DC20A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87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80289">
      <w:bodyDiv w:val="1"/>
      <w:marLeft w:val="0"/>
      <w:marRight w:val="0"/>
      <w:marTop w:val="0"/>
      <w:marBottom w:val="0"/>
      <w:divBdr>
        <w:top w:val="none" w:sz="0" w:space="0" w:color="auto"/>
        <w:left w:val="none" w:sz="0" w:space="0" w:color="auto"/>
        <w:bottom w:val="none" w:sz="0" w:space="0" w:color="auto"/>
        <w:right w:val="none" w:sz="0" w:space="0" w:color="auto"/>
      </w:divBdr>
      <w:divsChild>
        <w:div w:id="409621843">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enandoiglesia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Ana Maria Ortiz Ballesteros</DisplayName>
        <AccountId>645</AccountId>
        <AccountType/>
      </UserInfo>
      <UserInfo>
        <DisplayName>Ximena Ríos López</DisplayName>
        <AccountId>48</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F3300-28E7-0A4E-B036-FEF1EDEBCD55}">
  <ds:schemaRefs>
    <ds:schemaRef ds:uri="http://schemas.openxmlformats.org/officeDocument/2006/bibliography"/>
  </ds:schemaRefs>
</ds:datastoreItem>
</file>

<file path=customXml/itemProps2.xml><?xml version="1.0" encoding="utf-8"?>
<ds:datastoreItem xmlns:ds="http://schemas.openxmlformats.org/officeDocument/2006/customXml" ds:itemID="{763878A1-2962-4916-8B6D-6F35DC6C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4543</Words>
  <Characters>24989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2024-06-05T13:53:00Z</dcterms:created>
  <dcterms:modified xsi:type="dcterms:W3CDTF">2024-06-05T13:53:00Z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y fmtid="{D5CDD505-2E9C-101B-9397-08002B2CF9AE}" pid="4" name="MSIP_Label_79c9bbd4-2155-4c05-a8cb-143fc41f09a9_Enabled">
    <vt:lpwstr>true</vt:lpwstr>
  </property>
  <property fmtid="{D5CDD505-2E9C-101B-9397-08002B2CF9AE}" pid="5" name="MSIP_Label_79c9bbd4-2155-4c05-a8cb-143fc41f09a9_SetDate">
    <vt:lpwstr>2024-05-15T23:29:54Z</vt:lpwstr>
  </property>
  <property fmtid="{D5CDD505-2E9C-101B-9397-08002B2CF9AE}" pid="6" name="MSIP_Label_79c9bbd4-2155-4c05-a8cb-143fc41f09a9_Method">
    <vt:lpwstr>Standard</vt:lpwstr>
  </property>
  <property fmtid="{D5CDD505-2E9C-101B-9397-08002B2CF9AE}" pid="7" name="MSIP_Label_79c9bbd4-2155-4c05-a8cb-143fc41f09a9_Name">
    <vt:lpwstr>defa4170-0d19-0005-0004-bc88714345d2</vt:lpwstr>
  </property>
  <property fmtid="{D5CDD505-2E9C-101B-9397-08002B2CF9AE}" pid="8" name="MSIP_Label_79c9bbd4-2155-4c05-a8cb-143fc41f09a9_SiteId">
    <vt:lpwstr>33fa6907-21c6-4126-aa66-bcbed95361bb</vt:lpwstr>
  </property>
  <property fmtid="{D5CDD505-2E9C-101B-9397-08002B2CF9AE}" pid="9" name="MSIP_Label_79c9bbd4-2155-4c05-a8cb-143fc41f09a9_ActionId">
    <vt:lpwstr>4f0becd8-ecac-4e91-9264-a6617065baa8</vt:lpwstr>
  </property>
  <property fmtid="{D5CDD505-2E9C-101B-9397-08002B2CF9AE}" pid="10" name="MSIP_Label_79c9bbd4-2155-4c05-a8cb-143fc41f09a9_ContentBits">
    <vt:lpwstr>0</vt:lpwstr>
  </property>
</Properties>
</file>