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DDD7" w14:textId="77777777" w:rsidR="00EE5024" w:rsidRPr="00EE5024" w:rsidRDefault="00EE5024" w:rsidP="00EE5024">
      <w:pPr>
        <w:spacing w:line="240" w:lineRule="auto"/>
        <w:jc w:val="both"/>
        <w:rPr>
          <w:rFonts w:ascii="Century Gothic" w:eastAsia="Calibri" w:hAnsi="Century Gothic" w:cs="Arial"/>
          <w:b/>
          <w:bCs/>
          <w:sz w:val="20"/>
          <w:szCs w:val="20"/>
          <w:lang w:val="es-ES"/>
        </w:rPr>
      </w:pPr>
      <w:r w:rsidRPr="00EE5024">
        <w:rPr>
          <w:rFonts w:ascii="Century Gothic" w:eastAsia="Calibri" w:hAnsi="Century Gothic" w:cs="Arial"/>
          <w:b/>
          <w:bCs/>
          <w:sz w:val="20"/>
          <w:szCs w:val="20"/>
          <w:lang w:val="es-ES"/>
        </w:rPr>
        <w:t>SISTEMA GENERAL DE REGALÍAS – Fundamento normativo – Acto Legislativo 01 de 2019</w:t>
      </w:r>
    </w:p>
    <w:p w14:paraId="35954E99" w14:textId="3A7812F1" w:rsidR="00EE5024" w:rsidRDefault="00EE5024" w:rsidP="00EE5024">
      <w:pPr>
        <w:tabs>
          <w:tab w:val="left" w:pos="426"/>
        </w:tabs>
        <w:spacing w:line="240" w:lineRule="auto"/>
        <w:jc w:val="both"/>
        <w:rPr>
          <w:rFonts w:ascii="Century Gothic" w:eastAsia="Calibri" w:hAnsi="Century Gothic" w:cs="Arial"/>
          <w:color w:val="000000" w:themeColor="text1"/>
          <w:sz w:val="20"/>
          <w:szCs w:val="20"/>
          <w:lang w:val="es-ES_tradnl"/>
        </w:rPr>
      </w:pPr>
      <w:r w:rsidRPr="00EE5024">
        <w:rPr>
          <w:rFonts w:ascii="Century Gothic" w:eastAsia="Calibri" w:hAnsi="Century Gothic" w:cs="Arial"/>
          <w:color w:val="000000" w:themeColor="text1"/>
          <w:sz w:val="20"/>
          <w:szCs w:val="20"/>
          <w:lang w:val="es-ES_tradnl"/>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 </w:t>
      </w:r>
      <w:r>
        <w:rPr>
          <w:rFonts w:ascii="Century Gothic" w:hAnsi="Century Gothic" w:cs="Arial"/>
          <w:noProof/>
          <w:sz w:val="20"/>
          <w:szCs w:val="20"/>
          <w:lang w:val="es-ES_tradnl"/>
        </w:rPr>
        <w:t>“</w:t>
      </w:r>
      <w:r w:rsidRPr="00EE5024">
        <w:rPr>
          <w:rFonts w:ascii="Century Gothic" w:eastAsia="Calibri" w:hAnsi="Century Gothic" w:cs="Arial"/>
          <w:sz w:val="20"/>
          <w:szCs w:val="20"/>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r w:rsidRPr="00EE5024">
        <w:rPr>
          <w:rFonts w:ascii="Century Gothic" w:eastAsia="Calibri" w:hAnsi="Century Gothic" w:cs="Arial"/>
          <w:color w:val="000000" w:themeColor="text1"/>
          <w:sz w:val="20"/>
          <w:szCs w:val="20"/>
          <w:lang w:val="es-ES_tradnl"/>
        </w:rPr>
        <w:t xml:space="preserve"> </w:t>
      </w:r>
      <w:r w:rsidRPr="00EE5024">
        <w:rPr>
          <w:rFonts w:ascii="Century Gothic" w:eastAsia="Calibri" w:hAnsi="Century Gothic" w:cs="Arial"/>
          <w:sz w:val="20"/>
          <w:szCs w:val="20"/>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Pr>
          <w:rFonts w:ascii="Century Gothic" w:hAnsi="Century Gothic" w:cs="Arial"/>
          <w:noProof/>
          <w:sz w:val="20"/>
          <w:szCs w:val="20"/>
          <w:lang w:val="es-ES_tradnl"/>
        </w:rPr>
        <w:t>”</w:t>
      </w:r>
      <w:r w:rsidRPr="00EE5024">
        <w:rPr>
          <w:rFonts w:ascii="Century Gothic" w:eastAsia="Calibri" w:hAnsi="Century Gothic" w:cs="Arial"/>
          <w:sz w:val="20"/>
          <w:szCs w:val="20"/>
          <w:lang w:val="es-ES_tradnl"/>
        </w:rPr>
        <w:t>.</w:t>
      </w:r>
    </w:p>
    <w:p w14:paraId="456D7438" w14:textId="332F3872" w:rsidR="00EE5024" w:rsidRPr="00EE5024" w:rsidRDefault="00EE5024" w:rsidP="00EE5024">
      <w:pPr>
        <w:tabs>
          <w:tab w:val="left" w:pos="426"/>
        </w:tabs>
        <w:spacing w:line="240" w:lineRule="auto"/>
        <w:jc w:val="both"/>
        <w:rPr>
          <w:rFonts w:ascii="Century Gothic" w:eastAsia="Calibri" w:hAnsi="Century Gothic" w:cs="Arial"/>
          <w:color w:val="000000" w:themeColor="text1"/>
          <w:sz w:val="20"/>
          <w:szCs w:val="20"/>
          <w:lang w:val="es-ES_tradnl"/>
        </w:rPr>
      </w:pPr>
      <w:r w:rsidRPr="00EE5024">
        <w:rPr>
          <w:rFonts w:ascii="Century Gothic" w:hAnsi="Century Gothic" w:cs="Arial"/>
          <w:noProof/>
          <w:sz w:val="20"/>
          <w:szCs w:val="20"/>
          <w:lang w:val="es-ES_tradnl"/>
        </w:rPr>
        <w:t xml:space="preserve">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 </w:t>
      </w:r>
    </w:p>
    <w:p w14:paraId="13105A9E" w14:textId="77777777" w:rsidR="00EE5024" w:rsidRPr="00EE5024" w:rsidRDefault="00EE5024" w:rsidP="00EE5024">
      <w:pPr>
        <w:spacing w:line="240" w:lineRule="auto"/>
        <w:jc w:val="both"/>
        <w:rPr>
          <w:rFonts w:ascii="Century Gothic" w:hAnsi="Century Gothic" w:cs="Arial"/>
          <w:noProof/>
          <w:sz w:val="20"/>
          <w:szCs w:val="20"/>
          <w:lang w:val="es-ES_tradnl"/>
        </w:rPr>
      </w:pPr>
    </w:p>
    <w:p w14:paraId="757123CE" w14:textId="77777777" w:rsidR="00EE5024" w:rsidRPr="00EE5024" w:rsidRDefault="00EE5024" w:rsidP="00EE5024">
      <w:pPr>
        <w:spacing w:line="240" w:lineRule="auto"/>
        <w:jc w:val="both"/>
        <w:rPr>
          <w:rFonts w:ascii="Century Gothic" w:eastAsia="Calibri" w:hAnsi="Century Gothic" w:cs="Arial"/>
          <w:b/>
          <w:bCs/>
          <w:sz w:val="20"/>
          <w:szCs w:val="20"/>
          <w:lang w:val="es-MX"/>
        </w:rPr>
      </w:pPr>
      <w:r w:rsidRPr="00EE5024">
        <w:rPr>
          <w:rFonts w:ascii="Century Gothic" w:eastAsia="Calibri" w:hAnsi="Century Gothic" w:cs="Arial"/>
          <w:b/>
          <w:bCs/>
          <w:sz w:val="20"/>
          <w:szCs w:val="20"/>
          <w:lang w:val="es-MX"/>
        </w:rPr>
        <w:t xml:space="preserve">SISTEMA GENERAL DE REGALÍAS – Ley 2056 de 2020 – Finalidad – Objeto </w:t>
      </w:r>
    </w:p>
    <w:p w14:paraId="55D53A0A" w14:textId="77777777" w:rsidR="00EE5024" w:rsidRPr="00EE5024" w:rsidRDefault="00EE5024" w:rsidP="00EE5024">
      <w:pPr>
        <w:spacing w:line="240" w:lineRule="auto"/>
        <w:jc w:val="both"/>
        <w:rPr>
          <w:rFonts w:ascii="Century Gothic" w:hAnsi="Century Gothic" w:cs="Arial"/>
          <w:sz w:val="20"/>
          <w:szCs w:val="20"/>
        </w:rPr>
      </w:pPr>
      <w:r w:rsidRPr="00EE5024">
        <w:rPr>
          <w:rFonts w:ascii="Century Gothic" w:hAnsi="Century Gothic" w:cs="Arial"/>
          <w:noProof/>
          <w:sz w:val="20"/>
          <w:szCs w:val="20"/>
          <w:lang w:val="es-ES_tradnl"/>
        </w:rPr>
        <w:t xml:space="preserve">Con fundamento en los artículos 360 y 361 de la Constitución Política, se expidió la Ley 2056 de 2020, por medio de la cual se deroga, entre otras, la Ley 1530 de 2012, y </w:t>
      </w:r>
      <w:r w:rsidRPr="00EE5024">
        <w:rPr>
          <w:rFonts w:ascii="Century Gothic" w:hAnsi="Century Gothic" w:cs="Arial"/>
          <w:bCs/>
          <w:sz w:val="20"/>
          <w:szCs w:val="20"/>
          <w:lang w:val="es-ES_tradnl"/>
        </w:rPr>
        <w:t>«</w:t>
      </w:r>
      <w:r w:rsidRPr="00EE5024">
        <w:rPr>
          <w:rFonts w:ascii="Century Gothic" w:hAnsi="Century Gothic" w:cs="Arial"/>
          <w:sz w:val="20"/>
          <w:szCs w:val="20"/>
        </w:rPr>
        <w:t>Por la cual se regula la organización y el funcionamiento del Sistema General de Regalías</w:t>
      </w:r>
      <w:r w:rsidRPr="00EE5024">
        <w:rPr>
          <w:rFonts w:ascii="Century Gothic" w:hAnsi="Century Gothic" w:cs="Arial"/>
          <w:noProof/>
          <w:sz w:val="20"/>
          <w:szCs w:val="20"/>
          <w:lang w:val="es-ES_tradnl"/>
        </w:rPr>
        <w:t>»</w:t>
      </w:r>
      <w:r w:rsidRPr="00EE5024">
        <w:rPr>
          <w:rFonts w:ascii="Century Gothic" w:hAnsi="Century Gothic" w:cs="Arial"/>
          <w:sz w:val="20"/>
          <w:szCs w:val="20"/>
        </w:rPr>
        <w:t xml:space="preserve">. En este sentido, la exposición de motivos de esta Ley expresó que: 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 Incentivar en el territorio nacional el desarrollo de actividades de exploración y explotación de recursos naturales no renovables, en el marco de la normativa vigente. -Fomentar la estructuración y aprobación de proyectos de inversión que permitan la implementación del Acuerdo Final para la Terminación del Conflicto y la Construcción de una Paz Estable y Duradera, en los términos establecidos en las normas vigentes. </w:t>
      </w:r>
      <w:r w:rsidRPr="00EE5024">
        <w:rPr>
          <w:rFonts w:ascii="Century Gothic" w:hAnsi="Century Gothic" w:cs="Arial"/>
          <w:noProof/>
          <w:sz w:val="20"/>
          <w:szCs w:val="20"/>
          <w:lang w:val="es-ES_tradnl"/>
        </w:rPr>
        <w:t xml:space="preserve">En concordancia con los artículos 360 y 361 constitucionales, dicha ley tiene como objeto determinar la distribución, objetivos, fines, administración, ejecución, control del uso eficiente y la destinación de los ingresos que se encuadren dentro del concepto de regalías, </w:t>
      </w:r>
      <w:r w:rsidRPr="00EE5024">
        <w:rPr>
          <w:rFonts w:ascii="Century Gothic" w:hAnsi="Century Gothic" w:cs="Arial"/>
          <w:noProof/>
          <w:sz w:val="20"/>
          <w:szCs w:val="20"/>
          <w:lang w:val="es-ES_tradnl"/>
        </w:rPr>
        <w:lastRenderedPageBreak/>
        <w:t xml:space="preserve">precisando las condiciones para la participación de los beneficiarios o destinatarios de los mismos. </w:t>
      </w:r>
    </w:p>
    <w:p w14:paraId="702067CC" w14:textId="77777777" w:rsidR="00EE5024" w:rsidRPr="00EE5024" w:rsidRDefault="00EE5024" w:rsidP="00EE5024">
      <w:pPr>
        <w:spacing w:line="240" w:lineRule="auto"/>
        <w:jc w:val="both"/>
        <w:rPr>
          <w:rFonts w:ascii="Century Gothic" w:eastAsia="Calibri" w:hAnsi="Century Gothic" w:cs="Arial"/>
          <w:sz w:val="20"/>
          <w:szCs w:val="20"/>
          <w:highlight w:val="yellow"/>
          <w:lang w:val="es-MX"/>
        </w:rPr>
      </w:pPr>
    </w:p>
    <w:p w14:paraId="263AF8F8" w14:textId="77777777" w:rsidR="00EE5024" w:rsidRPr="00EE5024" w:rsidRDefault="00EE5024" w:rsidP="00EE5024">
      <w:pPr>
        <w:tabs>
          <w:tab w:val="left" w:pos="709"/>
        </w:tabs>
        <w:spacing w:line="240" w:lineRule="auto"/>
        <w:jc w:val="both"/>
        <w:rPr>
          <w:rFonts w:ascii="Century Gothic" w:eastAsia="Calibri" w:hAnsi="Century Gothic" w:cs="Arial"/>
          <w:b/>
          <w:sz w:val="20"/>
          <w:szCs w:val="20"/>
          <w:lang w:val="es-MX"/>
        </w:rPr>
      </w:pPr>
      <w:r w:rsidRPr="00EE5024">
        <w:rPr>
          <w:rFonts w:ascii="Century Gothic" w:eastAsia="Calibri" w:hAnsi="Century Gothic" w:cs="Arial"/>
          <w:b/>
          <w:sz w:val="20"/>
          <w:szCs w:val="20"/>
          <w:lang w:val="es-MX"/>
        </w:rPr>
        <w:t xml:space="preserve">SISTEMA GENERAL DE GARANTÍAS – Régimen contractual – Entidades ejecutoras – Aplicación del Estatuto General de Contratación de la Administración Pública </w:t>
      </w:r>
    </w:p>
    <w:p w14:paraId="79E862E5" w14:textId="77777777" w:rsidR="00EE5024" w:rsidRPr="00EE5024" w:rsidRDefault="00EE5024" w:rsidP="00EE5024">
      <w:pPr>
        <w:spacing w:line="240" w:lineRule="auto"/>
        <w:jc w:val="both"/>
        <w:rPr>
          <w:rFonts w:ascii="Century Gothic" w:hAnsi="Century Gothic" w:cs="Arial"/>
          <w:sz w:val="20"/>
          <w:szCs w:val="20"/>
        </w:rPr>
      </w:pPr>
      <w:r w:rsidRPr="00EE5024">
        <w:rPr>
          <w:rFonts w:ascii="Century Gothic" w:hAnsi="Century Gothic" w:cs="Arial"/>
          <w:sz w:val="20"/>
          <w:szCs w:val="20"/>
        </w:rPr>
        <w:t xml:space="preserve">El artículo 37 de la Ley 2056 de 2020 dispone que los proyectos de inversión que se financien con cargo al Sistema General de Regalías serán ejecutados por quien designe las entidades u órganos de que tratan los artículos 35 y 36 </w:t>
      </w:r>
      <w:r w:rsidRPr="00EE5024">
        <w:rPr>
          <w:rFonts w:ascii="Century Gothic" w:hAnsi="Century Gothic" w:cs="Arial"/>
          <w:i/>
          <w:iCs/>
          <w:sz w:val="20"/>
          <w:szCs w:val="20"/>
        </w:rPr>
        <w:t>ibidem</w:t>
      </w:r>
      <w:r w:rsidRPr="00EE5024">
        <w:rPr>
          <w:rFonts w:ascii="Century Gothic" w:hAnsi="Century Gothic" w:cs="Arial"/>
          <w:sz w:val="20"/>
          <w:szCs w:val="20"/>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6743D1E2" w14:textId="31E9381F" w:rsidR="00EE5024" w:rsidRPr="00EE5024" w:rsidRDefault="00EE5024" w:rsidP="00EE5024">
      <w:pPr>
        <w:spacing w:line="240" w:lineRule="auto"/>
        <w:jc w:val="both"/>
        <w:rPr>
          <w:rFonts w:ascii="Century Gothic" w:hAnsi="Century Gothic" w:cs="Arial"/>
          <w:noProof/>
          <w:sz w:val="20"/>
          <w:szCs w:val="20"/>
        </w:rPr>
      </w:pPr>
      <w:r w:rsidRPr="00EE5024">
        <w:rPr>
          <w:rFonts w:ascii="Century Gothic" w:hAnsi="Century Gothic" w:cs="Arial"/>
          <w:sz w:val="20"/>
          <w:szCs w:val="20"/>
        </w:rPr>
        <w:t xml:space="preserve">En esta línea, el parágrafo primero del artículo 37 dispone: </w:t>
      </w:r>
      <w:r w:rsidR="009410A8">
        <w:rPr>
          <w:rFonts w:ascii="Century Gothic" w:hAnsi="Century Gothic" w:cs="Arial"/>
          <w:sz w:val="20"/>
          <w:szCs w:val="20"/>
        </w:rPr>
        <w:t>“</w:t>
      </w:r>
      <w:r w:rsidRPr="00EE5024">
        <w:rPr>
          <w:rFonts w:ascii="Century Gothic" w:hAnsi="Century Gothic" w:cs="Arial"/>
          <w:sz w:val="20"/>
          <w:szCs w:val="20"/>
        </w:rPr>
        <w:t xml:space="preserve">La ejecución de proyectos de </w:t>
      </w:r>
      <w:r w:rsidR="009410A8" w:rsidRPr="00EE5024">
        <w:rPr>
          <w:rFonts w:ascii="Century Gothic" w:hAnsi="Century Gothic" w:cs="Arial"/>
          <w:sz w:val="20"/>
          <w:szCs w:val="20"/>
        </w:rPr>
        <w:t>qué</w:t>
      </w:r>
      <w:r w:rsidRPr="00EE5024">
        <w:rPr>
          <w:rFonts w:ascii="Century Gothic" w:hAnsi="Century Gothic" w:cs="Arial"/>
          <w:sz w:val="20"/>
          <w:szCs w:val="20"/>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r w:rsidRPr="00EE5024">
        <w:rPr>
          <w:rFonts w:ascii="Century Gothic" w:hAnsi="Century Gothic" w:cs="Arial"/>
          <w:noProof/>
          <w:sz w:val="20"/>
          <w:szCs w:val="20"/>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72C90B9E" w14:textId="77777777" w:rsidR="000E46D6" w:rsidRDefault="00EE5024" w:rsidP="000E46D6">
      <w:pPr>
        <w:spacing w:line="240" w:lineRule="auto"/>
        <w:jc w:val="both"/>
        <w:rPr>
          <w:rFonts w:ascii="Century Gothic" w:hAnsi="Century Gothic" w:cs="Arial"/>
          <w:sz w:val="20"/>
          <w:szCs w:val="20"/>
        </w:rPr>
      </w:pPr>
      <w:r w:rsidRPr="00EE5024">
        <w:rPr>
          <w:rFonts w:ascii="Century Gothic" w:eastAsia="Calibri" w:hAnsi="Century Gothic" w:cs="Arial"/>
          <w:color w:val="000000" w:themeColor="text1"/>
          <w:sz w:val="20"/>
          <w:szCs w:val="20"/>
          <w:lang w:val="es-ES_tradnl"/>
        </w:rPr>
        <w:t xml:space="preserve">Igualmente, es importante referenciar lo prescrito en los artículos 85, 99 y 109 de la Ley 2056 de 2020 sobre los recursos del Sistema General de Regalías. En efecto, </w:t>
      </w:r>
      <w:r w:rsidRPr="00EE5024">
        <w:rPr>
          <w:rFonts w:ascii="Century Gothic" w:hAnsi="Century Gothic" w:cs="Arial"/>
          <w:sz w:val="20"/>
          <w:szCs w:val="20"/>
        </w:rPr>
        <w:t xml:space="preserve">conforme a los preceptos citados, cuando dichos recursos sean para proyectos de inversión en i) pueblos y comunidades indígenas, </w:t>
      </w:r>
      <w:proofErr w:type="spellStart"/>
      <w:r w:rsidRPr="00EE5024">
        <w:rPr>
          <w:rFonts w:ascii="Century Gothic" w:hAnsi="Century Gothic" w:cs="Arial"/>
          <w:sz w:val="20"/>
          <w:szCs w:val="20"/>
        </w:rPr>
        <w:t>ii</w:t>
      </w:r>
      <w:proofErr w:type="spellEnd"/>
      <w:r w:rsidRPr="00EE5024">
        <w:rPr>
          <w:rFonts w:ascii="Century Gothic" w:hAnsi="Century Gothic" w:cs="Arial"/>
          <w:sz w:val="20"/>
          <w:szCs w:val="20"/>
        </w:rPr>
        <w:t>)</w:t>
      </w:r>
      <w:r w:rsidRPr="00EE5024">
        <w:rPr>
          <w:rFonts w:ascii="Century Gothic" w:hAnsi="Century Gothic" w:cs="Arial"/>
          <w:sz w:val="20"/>
          <w:szCs w:val="20"/>
          <w:lang w:val="es-MX"/>
        </w:rPr>
        <w:t xml:space="preserve"> </w:t>
      </w:r>
      <w:r w:rsidRPr="00EE5024">
        <w:rPr>
          <w:rFonts w:ascii="Century Gothic" w:hAnsi="Century Gothic" w:cs="Arial"/>
          <w:sz w:val="20"/>
          <w:szCs w:val="20"/>
        </w:rPr>
        <w:t xml:space="preserve">comunidades negras, afrocolombiana, raizales y palenqueras y </w:t>
      </w:r>
      <w:proofErr w:type="spellStart"/>
      <w:r w:rsidRPr="00EE5024">
        <w:rPr>
          <w:rFonts w:ascii="Century Gothic" w:hAnsi="Century Gothic" w:cs="Arial"/>
          <w:sz w:val="20"/>
          <w:szCs w:val="20"/>
        </w:rPr>
        <w:t>iii</w:t>
      </w:r>
      <w:proofErr w:type="spellEnd"/>
      <w:r w:rsidRPr="00EE5024">
        <w:rPr>
          <w:rFonts w:ascii="Century Gothic" w:hAnsi="Century Gothic" w:cs="Arial"/>
          <w:sz w:val="20"/>
          <w:szCs w:val="20"/>
        </w:rPr>
        <w:t xml:space="preserve">) el pueblo </w:t>
      </w:r>
      <w:proofErr w:type="spellStart"/>
      <w:r w:rsidRPr="00EE5024">
        <w:rPr>
          <w:rFonts w:ascii="Century Gothic" w:hAnsi="Century Gothic" w:cs="Arial"/>
          <w:sz w:val="20"/>
          <w:szCs w:val="20"/>
        </w:rPr>
        <w:t>Rrom</w:t>
      </w:r>
      <w:proofErr w:type="spellEnd"/>
      <w:r w:rsidRPr="00EE5024">
        <w:rPr>
          <w:rFonts w:ascii="Century Gothic" w:hAnsi="Century Gothic" w:cs="Arial"/>
          <w:sz w:val="20"/>
          <w:szCs w:val="20"/>
        </w:rPr>
        <w:t xml:space="preserve"> o gitano, </w:t>
      </w:r>
      <w:r w:rsidR="009410A8">
        <w:rPr>
          <w:rFonts w:ascii="Century Gothic" w:hAnsi="Century Gothic" w:cs="Arial"/>
          <w:sz w:val="20"/>
          <w:szCs w:val="20"/>
        </w:rPr>
        <w:t>“l</w:t>
      </w:r>
      <w:r w:rsidRPr="00EE5024">
        <w:rPr>
          <w:rFonts w:ascii="Century Gothic" w:hAnsi="Century Gothic" w:cs="Arial"/>
          <w:sz w:val="20"/>
          <w:szCs w:val="20"/>
        </w:rPr>
        <w:t>os actos o contratos que expidan o celebren los ejecutores</w:t>
      </w:r>
      <w:r w:rsidRPr="00EE5024">
        <w:rPr>
          <w:rFonts w:ascii="Century Gothic" w:hAnsi="Century Gothic" w:cs="Arial"/>
          <w:sz w:val="20"/>
          <w:szCs w:val="20"/>
          <w:lang w:val="es-MX"/>
        </w:rPr>
        <w:t xml:space="preserve"> </w:t>
      </w:r>
      <w:r w:rsidRPr="00EE5024">
        <w:rPr>
          <w:rFonts w:ascii="Century Gothic" w:hAnsi="Century Gothic" w:cs="Arial"/>
          <w:sz w:val="20"/>
          <w:szCs w:val="20"/>
        </w:rPr>
        <w:t>se regirán por las normas presupuestales contenidas en la presente ley, el Estatuto de Contratación Estatal, las normas contables que para este efecto defina la Contaduría General de la Nación y las demás disposiciones complementarias</w:t>
      </w:r>
      <w:r w:rsidR="009410A8">
        <w:rPr>
          <w:rFonts w:ascii="Century Gothic" w:hAnsi="Century Gothic" w:cs="Arial"/>
          <w:sz w:val="20"/>
          <w:szCs w:val="20"/>
        </w:rPr>
        <w:t>”</w:t>
      </w:r>
      <w:r w:rsidRPr="00EE5024">
        <w:rPr>
          <w:rFonts w:ascii="Century Gothic" w:hAnsi="Century Gothic" w:cs="Arial"/>
          <w:sz w:val="20"/>
          <w:szCs w:val="20"/>
        </w:rPr>
        <w:t xml:space="preserve">. Por su parte, los artículos 83, 98 y 108 de la Ley 2056 de 2020 determinan que la designación del ejecutor de los recursos corresponde tanto a las instancias de decisión de las comunidades indígenas, negras, afrocolombiana, raizales y palenqueras como la Comisión Nacional de Diálogo del Pueblo </w:t>
      </w:r>
      <w:proofErr w:type="spellStart"/>
      <w:r w:rsidRPr="00EE5024">
        <w:rPr>
          <w:rFonts w:ascii="Century Gothic" w:hAnsi="Century Gothic" w:cs="Arial"/>
          <w:sz w:val="20"/>
          <w:szCs w:val="20"/>
        </w:rPr>
        <w:t>Rrom</w:t>
      </w:r>
      <w:proofErr w:type="spellEnd"/>
      <w:r w:rsidRPr="00EE5024">
        <w:rPr>
          <w:rFonts w:ascii="Century Gothic" w:hAnsi="Century Gothic" w:cs="Arial"/>
          <w:sz w:val="20"/>
          <w:szCs w:val="20"/>
        </w:rPr>
        <w:t xml:space="preserve"> o Gitano. </w:t>
      </w:r>
      <w:r w:rsidRPr="00EE5024">
        <w:rPr>
          <w:rFonts w:ascii="Century Gothic" w:eastAsia="Calibri" w:hAnsi="Century Gothic" w:cs="Arial"/>
          <w:color w:val="000000" w:themeColor="text1"/>
          <w:sz w:val="20"/>
          <w:szCs w:val="20"/>
        </w:rPr>
        <w:t xml:space="preserve">Esto, sin </w:t>
      </w:r>
      <w:r w:rsidRPr="00EE5024">
        <w:rPr>
          <w:rFonts w:ascii="Century Gothic" w:hAnsi="Century Gothic" w:cs="Arial"/>
          <w:sz w:val="20"/>
          <w:szCs w:val="20"/>
        </w:rPr>
        <w:t>perjuicio de lo previsto en los artículos 87 y 101 de la Ley 2056 de 2020 para los proyectos financiables con recursos de la asignación directa, es relevante resaltar que los actos o contratos que celebren los ejecutores están sometidos a la Ley 80 de 1993.</w:t>
      </w:r>
    </w:p>
    <w:p w14:paraId="7EBFAB6A" w14:textId="5FDDDC45" w:rsidR="005A6AA1" w:rsidRPr="00BE26B0" w:rsidRDefault="005A6AA1" w:rsidP="00BE26B0">
      <w:pPr>
        <w:spacing w:line="240" w:lineRule="auto"/>
        <w:jc w:val="both"/>
        <w:rPr>
          <w:rFonts w:ascii="Century Gothic" w:hAnsi="Century Gothic" w:cs="Arial"/>
          <w:sz w:val="20"/>
          <w:szCs w:val="20"/>
        </w:rPr>
      </w:pPr>
      <w:r w:rsidRPr="687B05C8">
        <w:rPr>
          <w:rFonts w:ascii="Century Gothic" w:hAnsi="Century Gothic"/>
        </w:rPr>
        <w:lastRenderedPageBreak/>
        <w:t xml:space="preserve">Bogotá D.C., </w:t>
      </w:r>
      <w:r w:rsidR="00790073">
        <w:rPr>
          <w:rFonts w:ascii="Century Gothic" w:hAnsi="Century Gothic"/>
        </w:rPr>
        <w:t>04 de junio del 2024</w:t>
      </w:r>
    </w:p>
    <w:p w14:paraId="2AB8C625" w14:textId="537E1D19" w:rsidR="000E46D6" w:rsidRDefault="00BE26B0" w:rsidP="000E46D6">
      <w:pPr>
        <w:spacing w:after="0"/>
        <w:jc w:val="right"/>
        <w:rPr>
          <w:rFonts w:ascii="Century Gothic" w:hAnsi="Century Gothic"/>
          <w:lang w:val="es-MX"/>
        </w:rPr>
      </w:pPr>
      <w:r w:rsidRPr="00BE26B0">
        <w:rPr>
          <w:rFonts w:ascii="Century Gothic" w:hAnsi="Century Gothic"/>
          <w:lang w:val="es-MX"/>
        </w:rPr>
        <w:drawing>
          <wp:inline distT="0" distB="0" distL="0" distR="0" wp14:anchorId="282F21A0" wp14:editId="3261754D">
            <wp:extent cx="2891790" cy="787651"/>
            <wp:effectExtent l="0" t="0" r="3810" b="0"/>
            <wp:docPr id="90600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0604" name=""/>
                    <pic:cNvPicPr/>
                  </pic:nvPicPr>
                  <pic:blipFill>
                    <a:blip r:embed="rId11"/>
                    <a:stretch>
                      <a:fillRect/>
                    </a:stretch>
                  </pic:blipFill>
                  <pic:spPr>
                    <a:xfrm>
                      <a:off x="0" y="0"/>
                      <a:ext cx="2917876" cy="794756"/>
                    </a:xfrm>
                    <a:prstGeom prst="rect">
                      <a:avLst/>
                    </a:prstGeom>
                  </pic:spPr>
                </pic:pic>
              </a:graphicData>
            </a:graphic>
          </wp:inline>
        </w:drawing>
      </w:r>
    </w:p>
    <w:p w14:paraId="4D783BB0" w14:textId="133D33BE" w:rsidR="00CD5762" w:rsidRPr="003721BB" w:rsidRDefault="005A0FD8" w:rsidP="00CD5762">
      <w:pPr>
        <w:spacing w:after="0"/>
        <w:rPr>
          <w:rFonts w:ascii="Century Gothic" w:hAnsi="Century Gothic"/>
        </w:rPr>
      </w:pPr>
      <w:r w:rsidRPr="003721BB">
        <w:rPr>
          <w:rFonts w:ascii="Century Gothic" w:hAnsi="Century Gothic" w:cs="Arial"/>
          <w:lang w:val="es-MX"/>
        </w:rPr>
        <w:t>Señor</w:t>
      </w:r>
      <w:r w:rsidR="00CD5762" w:rsidRPr="003721BB">
        <w:rPr>
          <w:rFonts w:ascii="Century Gothic" w:hAnsi="Century Gothic" w:cs="Arial"/>
          <w:lang w:val="es-MX"/>
        </w:rPr>
        <w:t>:</w:t>
      </w:r>
    </w:p>
    <w:p w14:paraId="1896A4F5" w14:textId="7A04518C" w:rsidR="00CD5762" w:rsidRPr="003721BB" w:rsidRDefault="003721BB" w:rsidP="00CD5762">
      <w:pPr>
        <w:spacing w:after="0" w:line="276" w:lineRule="auto"/>
        <w:rPr>
          <w:rFonts w:ascii="Century Gothic" w:hAnsi="Century Gothic" w:cs="Arial"/>
          <w:b/>
          <w:bCs/>
          <w:lang w:val="es-MX"/>
        </w:rPr>
      </w:pPr>
      <w:r w:rsidRPr="003721BB">
        <w:rPr>
          <w:rFonts w:ascii="Century Gothic" w:hAnsi="Century Gothic" w:cs="Arial"/>
          <w:b/>
          <w:bCs/>
          <w:lang w:val="es-MX"/>
        </w:rPr>
        <w:t>Guillermo Llano Palacios</w:t>
      </w:r>
    </w:p>
    <w:p w14:paraId="457CF6F5" w14:textId="00521E92" w:rsidR="003721BB" w:rsidRPr="003721BB" w:rsidRDefault="00000000" w:rsidP="00CD5762">
      <w:pPr>
        <w:spacing w:after="0" w:line="276" w:lineRule="auto"/>
        <w:rPr>
          <w:rFonts w:ascii="Century Gothic" w:hAnsi="Century Gothic" w:cs="Arial"/>
          <w:lang w:val="es-MX"/>
        </w:rPr>
      </w:pPr>
      <w:hyperlink r:id="rId12" w:history="1">
        <w:r w:rsidR="003721BB" w:rsidRPr="003721BB">
          <w:rPr>
            <w:rStyle w:val="Hyperlink"/>
            <w:rFonts w:ascii="Century Gothic" w:hAnsi="Century Gothic" w:cs="Arial"/>
            <w:lang w:val="es-MX"/>
          </w:rPr>
          <w:t>admedciocsas@gmail.com</w:t>
        </w:r>
      </w:hyperlink>
    </w:p>
    <w:p w14:paraId="4CCB0525" w14:textId="0A82582A" w:rsidR="00CD5762" w:rsidRPr="003721BB" w:rsidRDefault="00CD5762" w:rsidP="00CD5762">
      <w:pPr>
        <w:spacing w:after="0" w:line="276" w:lineRule="auto"/>
        <w:rPr>
          <w:rFonts w:ascii="Century Gothic" w:hAnsi="Century Gothic" w:cs="Arial"/>
          <w:lang w:val="es-MX"/>
        </w:rPr>
      </w:pPr>
      <w:r w:rsidRPr="003721BB">
        <w:rPr>
          <w:rFonts w:ascii="Century Gothic" w:hAnsi="Century Gothic" w:cs="Arial"/>
          <w:lang w:val="es-MX"/>
        </w:rPr>
        <w:t>Bogotá D.C.</w:t>
      </w:r>
    </w:p>
    <w:p w14:paraId="23914259" w14:textId="77777777" w:rsidR="00CD5762" w:rsidRPr="00CD5762" w:rsidRDefault="00CD5762" w:rsidP="00CD5762">
      <w:pPr>
        <w:spacing w:after="0" w:line="276" w:lineRule="auto"/>
        <w:rPr>
          <w:rFonts w:ascii="Century Gothic" w:hAnsi="Century Gothic" w:cs="Arial"/>
          <w:highlight w:val="cyan"/>
          <w:lang w:val="es-MX"/>
        </w:rPr>
      </w:pPr>
    </w:p>
    <w:p w14:paraId="16AB0502" w14:textId="6E9808FD" w:rsidR="00CD5762" w:rsidRPr="00812A11" w:rsidRDefault="00CD5762" w:rsidP="00CD5762">
      <w:pPr>
        <w:spacing w:after="0" w:line="276" w:lineRule="auto"/>
        <w:ind w:left="2832"/>
        <w:rPr>
          <w:rFonts w:ascii="Century Gothic" w:eastAsia="Calibri" w:hAnsi="Century Gothic" w:cs="Arial"/>
          <w:b/>
          <w:bCs/>
          <w:lang w:val="es-ES"/>
        </w:rPr>
      </w:pPr>
      <w:r w:rsidRPr="00812A11">
        <w:rPr>
          <w:rFonts w:ascii="Century Gothic" w:eastAsia="Calibri" w:hAnsi="Century Gothic" w:cs="Arial"/>
          <w:b/>
          <w:lang w:val="es-ES"/>
        </w:rPr>
        <w:t>Concepto C</w:t>
      </w:r>
      <w:r w:rsidR="00812A11" w:rsidRPr="00812A11">
        <w:rPr>
          <w:rFonts w:ascii="Century Gothic" w:eastAsia="Calibri" w:hAnsi="Century Gothic" w:cs="Arial"/>
          <w:b/>
          <w:bCs/>
          <w:lang w:val="es-ES"/>
        </w:rPr>
        <w:t>-082</w:t>
      </w:r>
      <w:r w:rsidRPr="00812A11">
        <w:rPr>
          <w:rFonts w:ascii="Century Gothic" w:eastAsia="Calibri" w:hAnsi="Century Gothic" w:cs="Arial"/>
          <w:b/>
          <w:bCs/>
          <w:lang w:val="es-ES"/>
        </w:rPr>
        <w:t xml:space="preserve"> </w:t>
      </w:r>
      <w:r w:rsidRPr="00812A11">
        <w:rPr>
          <w:rFonts w:ascii="Century Gothic" w:eastAsia="Calibri" w:hAnsi="Century Gothic" w:cs="Arial"/>
          <w:b/>
          <w:lang w:val="es-ES"/>
        </w:rPr>
        <w:t>del 2024</w:t>
      </w:r>
    </w:p>
    <w:p w14:paraId="39EBEBCD" w14:textId="77777777" w:rsidR="00CD5762" w:rsidRPr="00CD5762" w:rsidRDefault="00CD5762" w:rsidP="00CD5762">
      <w:pPr>
        <w:spacing w:after="0" w:line="276" w:lineRule="auto"/>
        <w:jc w:val="both"/>
        <w:rPr>
          <w:rFonts w:ascii="Century Gothic" w:eastAsia="Calibri" w:hAnsi="Century Gothic" w:cs="Arial"/>
          <w:highlight w:val="cyan"/>
          <w:lang w:val="es-ES"/>
        </w:rPr>
      </w:pPr>
    </w:p>
    <w:tbl>
      <w:tblPr>
        <w:tblStyle w:val="TableGrid"/>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D5762" w:rsidRPr="00CD5762" w14:paraId="1C90AE39" w14:textId="77777777" w:rsidTr="009558E2">
        <w:trPr>
          <w:jc w:val="right"/>
        </w:trPr>
        <w:tc>
          <w:tcPr>
            <w:tcW w:w="1838" w:type="dxa"/>
          </w:tcPr>
          <w:p w14:paraId="2AC1FBA7" w14:textId="675E22E9" w:rsidR="00CD5762" w:rsidRPr="00064DE1" w:rsidRDefault="00CD5762" w:rsidP="009558E2">
            <w:pPr>
              <w:spacing w:line="276" w:lineRule="auto"/>
              <w:jc w:val="center"/>
              <w:rPr>
                <w:rFonts w:ascii="Century Gothic" w:eastAsia="Calibri" w:hAnsi="Century Gothic" w:cs="Arial"/>
                <w:lang w:val="es-ES_tradnl"/>
              </w:rPr>
            </w:pPr>
            <w:r w:rsidRPr="00064DE1">
              <w:rPr>
                <w:rFonts w:ascii="Century Gothic" w:eastAsia="Calibri" w:hAnsi="Century Gothic" w:cs="Arial"/>
                <w:b/>
                <w:lang w:val="es-ES_tradnl"/>
              </w:rPr>
              <w:t>Tema</w:t>
            </w:r>
            <w:r w:rsidR="00867111" w:rsidRPr="00064DE1">
              <w:rPr>
                <w:rFonts w:ascii="Century Gothic" w:eastAsia="Calibri" w:hAnsi="Century Gothic" w:cs="Arial"/>
                <w:b/>
                <w:lang w:val="es-ES_tradnl"/>
              </w:rPr>
              <w:t>:</w:t>
            </w:r>
          </w:p>
        </w:tc>
        <w:tc>
          <w:tcPr>
            <w:tcW w:w="6237" w:type="dxa"/>
          </w:tcPr>
          <w:p w14:paraId="44B60A36" w14:textId="324ED2AF" w:rsidR="004504C2" w:rsidRPr="004504C2" w:rsidRDefault="004504C2" w:rsidP="008B29B3">
            <w:pPr>
              <w:spacing w:after="120" w:line="276" w:lineRule="auto"/>
              <w:contextualSpacing/>
              <w:jc w:val="both"/>
              <w:rPr>
                <w:rFonts w:ascii="Century Gothic" w:eastAsia="Calibri" w:hAnsi="Century Gothic" w:cs="Arial"/>
                <w:lang w:val="es-MX" w:eastAsia="es-ES_tradnl"/>
              </w:rPr>
            </w:pPr>
            <w:r w:rsidRPr="004504C2">
              <w:rPr>
                <w:rFonts w:ascii="Century Gothic" w:eastAsia="Calibri" w:hAnsi="Century Gothic" w:cs="Arial"/>
                <w:lang w:val="es-MX" w:eastAsia="es-ES_tradnl"/>
              </w:rPr>
              <w:t xml:space="preserve">SISTEMA GENERAL DE REGALÍAS – Fundamento normativo </w:t>
            </w:r>
            <w:r w:rsidR="00F72B0B">
              <w:rPr>
                <w:rFonts w:ascii="Century Gothic" w:eastAsia="Calibri" w:hAnsi="Century Gothic" w:cs="Arial"/>
                <w:lang w:val="es-MX" w:eastAsia="es-ES_tradnl"/>
              </w:rPr>
              <w:t>-</w:t>
            </w:r>
            <w:r w:rsidRPr="004504C2">
              <w:rPr>
                <w:rFonts w:ascii="Century Gothic" w:eastAsia="Calibri" w:hAnsi="Century Gothic" w:cs="Arial"/>
                <w:lang w:val="es-MX" w:eastAsia="es-ES_tradnl"/>
              </w:rPr>
              <w:t>Acto Legislativo 01 de 2019 / SISTEMA GENERAL DE</w:t>
            </w:r>
            <w:r>
              <w:rPr>
                <w:rFonts w:ascii="Century Gothic" w:eastAsia="Calibri" w:hAnsi="Century Gothic" w:cs="Arial"/>
                <w:lang w:val="es-MX" w:eastAsia="es-ES_tradnl"/>
              </w:rPr>
              <w:t xml:space="preserve"> </w:t>
            </w:r>
            <w:r w:rsidRPr="004504C2">
              <w:rPr>
                <w:rFonts w:ascii="Century Gothic" w:eastAsia="Calibri" w:hAnsi="Century Gothic" w:cs="Arial"/>
                <w:lang w:val="es-MX" w:eastAsia="es-ES_tradnl"/>
              </w:rPr>
              <w:t>REGALÍAS – Ley 2056 de 2020 – Finalidad – Objeto / SISTEMA</w:t>
            </w:r>
          </w:p>
          <w:p w14:paraId="23E8299A" w14:textId="0EC0A382" w:rsidR="00CD5762" w:rsidRPr="006466E5" w:rsidRDefault="004504C2" w:rsidP="008B29B3">
            <w:pPr>
              <w:spacing w:after="120" w:line="276" w:lineRule="auto"/>
              <w:contextualSpacing/>
              <w:jc w:val="both"/>
              <w:rPr>
                <w:rFonts w:ascii="Century Gothic" w:eastAsia="Calibri" w:hAnsi="Century Gothic" w:cs="Arial"/>
                <w:bCs/>
                <w:lang w:val="es-MX" w:eastAsia="es-ES_tradnl"/>
              </w:rPr>
            </w:pPr>
            <w:r w:rsidRPr="004504C2">
              <w:rPr>
                <w:rFonts w:ascii="Century Gothic" w:eastAsia="Calibri" w:hAnsi="Century Gothic" w:cs="Arial"/>
                <w:lang w:val="es-MX" w:eastAsia="es-ES_tradnl"/>
              </w:rPr>
              <w:t xml:space="preserve">GENERAL DE GARANTÍAS – Régimen </w:t>
            </w:r>
            <w:r w:rsidR="00852B4E" w:rsidRPr="004504C2">
              <w:rPr>
                <w:rFonts w:ascii="Century Gothic" w:eastAsia="Calibri" w:hAnsi="Century Gothic" w:cs="Arial"/>
                <w:lang w:val="es-MX" w:eastAsia="es-ES_tradnl"/>
              </w:rPr>
              <w:t xml:space="preserve">contractual </w:t>
            </w:r>
            <w:r w:rsidR="00852B4E">
              <w:rPr>
                <w:rFonts w:ascii="Century Gothic" w:eastAsia="Calibri" w:hAnsi="Century Gothic" w:cs="Arial"/>
                <w:lang w:val="es-MX" w:eastAsia="es-ES_tradnl"/>
              </w:rPr>
              <w:t xml:space="preserve">- </w:t>
            </w:r>
            <w:r w:rsidRPr="004504C2">
              <w:rPr>
                <w:rFonts w:ascii="Century Gothic" w:eastAsia="Calibri" w:hAnsi="Century Gothic" w:cs="Arial"/>
                <w:lang w:val="es-MX" w:eastAsia="es-ES_tradnl"/>
              </w:rPr>
              <w:t>Entidades</w:t>
            </w:r>
            <w:r>
              <w:rPr>
                <w:rFonts w:ascii="Century Gothic" w:eastAsia="Calibri" w:hAnsi="Century Gothic" w:cs="Arial"/>
                <w:lang w:val="es-MX" w:eastAsia="es-ES_tradnl"/>
              </w:rPr>
              <w:t xml:space="preserve"> </w:t>
            </w:r>
            <w:r w:rsidRPr="004504C2">
              <w:rPr>
                <w:rFonts w:ascii="Century Gothic" w:eastAsia="Calibri" w:hAnsi="Century Gothic" w:cs="Arial"/>
                <w:lang w:val="es-MX" w:eastAsia="es-ES_tradnl"/>
              </w:rPr>
              <w:t>ejecutoras – Aplicación del Estatuto General de Contratación de</w:t>
            </w:r>
            <w:r w:rsidR="00852B4E">
              <w:rPr>
                <w:rFonts w:ascii="Century Gothic" w:eastAsia="Calibri" w:hAnsi="Century Gothic" w:cs="Arial"/>
                <w:lang w:val="es-MX" w:eastAsia="es-ES_tradnl"/>
              </w:rPr>
              <w:t xml:space="preserve"> </w:t>
            </w:r>
            <w:r w:rsidRPr="004504C2">
              <w:rPr>
                <w:rFonts w:ascii="Century Gothic" w:eastAsia="Calibri" w:hAnsi="Century Gothic" w:cs="Arial"/>
                <w:lang w:val="es-MX" w:eastAsia="es-ES_tradnl"/>
              </w:rPr>
              <w:t xml:space="preserve">la Administración Pública </w:t>
            </w:r>
          </w:p>
        </w:tc>
      </w:tr>
    </w:tbl>
    <w:p w14:paraId="0F293BF4" w14:textId="46768FD2" w:rsidR="00127233" w:rsidRPr="00CD5762" w:rsidRDefault="00127233" w:rsidP="00CD5762">
      <w:pPr>
        <w:spacing w:after="0"/>
        <w:rPr>
          <w:rFonts w:ascii="Century Gothic" w:hAnsi="Century Gothic"/>
          <w:highlight w:val="cyan"/>
        </w:rPr>
      </w:pPr>
    </w:p>
    <w:tbl>
      <w:tblPr>
        <w:tblStyle w:val="TableGrid"/>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CD5762" w:rsidRPr="00A65B02" w14:paraId="4F93C35C" w14:textId="77777777" w:rsidTr="009558E2">
        <w:trPr>
          <w:jc w:val="right"/>
        </w:trPr>
        <w:tc>
          <w:tcPr>
            <w:tcW w:w="1838" w:type="dxa"/>
          </w:tcPr>
          <w:p w14:paraId="1AB7FF13" w14:textId="216E45C0" w:rsidR="00CD5762" w:rsidRPr="00CD5762" w:rsidRDefault="003408EF" w:rsidP="009558E2">
            <w:pPr>
              <w:spacing w:line="276" w:lineRule="auto"/>
              <w:jc w:val="center"/>
              <w:rPr>
                <w:rFonts w:ascii="Century Gothic" w:eastAsia="Calibri" w:hAnsi="Century Gothic" w:cs="Arial"/>
                <w:highlight w:val="cyan"/>
                <w:lang w:val="es-ES_tradnl"/>
              </w:rPr>
            </w:pPr>
            <w:r w:rsidRPr="003408EF">
              <w:rPr>
                <w:rFonts w:ascii="Century Gothic" w:eastAsia="Calibri" w:hAnsi="Century Gothic" w:cs="Arial"/>
                <w:b/>
                <w:lang w:val="es-ES_tradnl"/>
              </w:rPr>
              <w:t>Radicado</w:t>
            </w:r>
            <w:r w:rsidR="00867111">
              <w:rPr>
                <w:rFonts w:ascii="Century Gothic" w:eastAsia="Calibri" w:hAnsi="Century Gothic" w:cs="Arial"/>
                <w:b/>
                <w:lang w:val="es-ES_tradnl"/>
              </w:rPr>
              <w:t>:</w:t>
            </w:r>
          </w:p>
        </w:tc>
        <w:tc>
          <w:tcPr>
            <w:tcW w:w="6237" w:type="dxa"/>
          </w:tcPr>
          <w:p w14:paraId="1FC14675" w14:textId="23E933EC" w:rsidR="00CD5762" w:rsidRPr="007C2182" w:rsidRDefault="003408EF" w:rsidP="009558E2">
            <w:pPr>
              <w:spacing w:after="120"/>
              <w:contextualSpacing/>
              <w:jc w:val="both"/>
              <w:rPr>
                <w:rFonts w:ascii="Century Gothic" w:eastAsia="Calibri" w:hAnsi="Century Gothic" w:cs="Arial"/>
                <w:bCs/>
                <w:lang w:val="es-MX" w:eastAsia="es-ES_tradnl"/>
              </w:rPr>
            </w:pPr>
            <w:r>
              <w:rPr>
                <w:rFonts w:ascii="Century Gothic" w:eastAsia="Calibri" w:hAnsi="Century Gothic" w:cs="Arial"/>
                <w:lang w:val="es-MX" w:eastAsia="es-ES_tradnl"/>
              </w:rPr>
              <w:t xml:space="preserve">Respuesta a consulta Nro. </w:t>
            </w:r>
            <w:r w:rsidR="005C01BB" w:rsidRPr="005C01BB">
              <w:rPr>
                <w:rFonts w:ascii="Century Gothic" w:eastAsia="Calibri" w:hAnsi="Century Gothic" w:cs="Arial"/>
                <w:lang w:val="es-MX" w:eastAsia="es-ES_tradnl"/>
              </w:rPr>
              <w:t>P20240425004319</w:t>
            </w:r>
          </w:p>
          <w:p w14:paraId="54B8C614" w14:textId="77777777" w:rsidR="00CD5762" w:rsidRPr="00A65B02" w:rsidRDefault="00CD5762" w:rsidP="009558E2">
            <w:pPr>
              <w:spacing w:after="120"/>
              <w:contextualSpacing/>
              <w:jc w:val="both"/>
              <w:rPr>
                <w:rFonts w:ascii="Century Gothic" w:eastAsia="Calibri" w:hAnsi="Century Gothic" w:cs="Arial"/>
                <w:bCs/>
                <w:lang w:val="es-MX" w:eastAsia="es-ES_tradnl"/>
              </w:rPr>
            </w:pPr>
          </w:p>
        </w:tc>
      </w:tr>
    </w:tbl>
    <w:p w14:paraId="5C717B53" w14:textId="77777777" w:rsidR="00886EE9" w:rsidRDefault="00886EE9" w:rsidP="00886EE9">
      <w:pPr>
        <w:spacing w:line="276" w:lineRule="auto"/>
        <w:jc w:val="both"/>
        <w:rPr>
          <w:rFonts w:ascii="Century Gothic" w:eastAsia="Calibri" w:hAnsi="Century Gothic" w:cs="Arial"/>
          <w:highlight w:val="cyan"/>
          <w:lang w:val="es-ES_tradnl"/>
        </w:rPr>
      </w:pPr>
    </w:p>
    <w:p w14:paraId="539923BD" w14:textId="5D43FF33" w:rsidR="00886EE9" w:rsidRPr="00886EE9" w:rsidRDefault="00886EE9" w:rsidP="00886EE9">
      <w:pPr>
        <w:spacing w:line="276" w:lineRule="auto"/>
        <w:jc w:val="both"/>
        <w:rPr>
          <w:rFonts w:ascii="Century Gothic" w:eastAsia="Calibri" w:hAnsi="Century Gothic" w:cs="Arial"/>
          <w:bCs/>
          <w:lang w:val="es-MX"/>
        </w:rPr>
      </w:pPr>
      <w:r w:rsidRPr="00886EE9">
        <w:rPr>
          <w:rFonts w:ascii="Century Gothic" w:eastAsia="Calibri" w:hAnsi="Century Gothic" w:cs="Arial"/>
          <w:lang w:val="es-ES_tradnl"/>
        </w:rPr>
        <w:t xml:space="preserve">Estimado señor </w:t>
      </w:r>
      <w:r w:rsidRPr="00886EE9">
        <w:rPr>
          <w:rFonts w:ascii="Century Gothic" w:hAnsi="Century Gothic" w:cs="Arial"/>
          <w:lang w:val="es-MX"/>
        </w:rPr>
        <w:t>Guillermo Llano Palacios:</w:t>
      </w:r>
    </w:p>
    <w:p w14:paraId="34FCFE66" w14:textId="2D4B1075" w:rsidR="00886EE9" w:rsidRPr="00C55A2E" w:rsidRDefault="00886EE9" w:rsidP="00886EE9">
      <w:pPr>
        <w:spacing w:after="0" w:line="276" w:lineRule="auto"/>
        <w:jc w:val="both"/>
        <w:rPr>
          <w:rFonts w:ascii="Century Gothic" w:eastAsia="Calibri" w:hAnsi="Century Gothic" w:cs="Arial"/>
          <w:lang w:val="es-ES"/>
        </w:rPr>
      </w:pPr>
      <w:r w:rsidRPr="00C55A2E">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B51435" w:rsidRPr="00C55A2E">
        <w:rPr>
          <w:rFonts w:ascii="Century Gothic" w:eastAsia="Calibri" w:hAnsi="Century Gothic" w:cs="Arial"/>
          <w:lang w:val="es-ES"/>
        </w:rPr>
        <w:t xml:space="preserve">17 de abril del 2024 trasladada por la </w:t>
      </w:r>
      <w:r w:rsidR="00C55A2E" w:rsidRPr="00C55A2E">
        <w:rPr>
          <w:rFonts w:ascii="Century Gothic" w:eastAsia="Calibri" w:hAnsi="Century Gothic" w:cs="Arial"/>
          <w:lang w:val="es-ES"/>
        </w:rPr>
        <w:t xml:space="preserve">Procuraduría General de la Nación el </w:t>
      </w:r>
      <w:r w:rsidR="007A5D42">
        <w:rPr>
          <w:rFonts w:ascii="Century Gothic" w:eastAsia="Calibri" w:hAnsi="Century Gothic" w:cs="Arial"/>
          <w:lang w:val="es-ES"/>
        </w:rPr>
        <w:t>24 de abril del 2024</w:t>
      </w:r>
      <w:r w:rsidR="00486E27">
        <w:rPr>
          <w:rFonts w:ascii="Century Gothic" w:eastAsia="Calibri" w:hAnsi="Century Gothic" w:cs="Arial"/>
          <w:lang w:val="es-ES"/>
        </w:rPr>
        <w:t xml:space="preserve">. </w:t>
      </w:r>
      <w:r w:rsidR="007A5D42">
        <w:rPr>
          <w:rFonts w:ascii="Century Gothic" w:eastAsia="Calibri" w:hAnsi="Century Gothic" w:cs="Arial"/>
          <w:lang w:val="es-ES"/>
        </w:rPr>
        <w:t xml:space="preserve"> </w:t>
      </w:r>
    </w:p>
    <w:p w14:paraId="68B868BE" w14:textId="77777777" w:rsidR="00886EE9" w:rsidRPr="00886EE9" w:rsidRDefault="00886EE9" w:rsidP="00886EE9">
      <w:pPr>
        <w:spacing w:after="0" w:line="276" w:lineRule="auto"/>
        <w:jc w:val="both"/>
        <w:rPr>
          <w:rFonts w:ascii="Century Gothic" w:eastAsia="Calibri" w:hAnsi="Century Gothic" w:cs="Arial"/>
          <w:highlight w:val="cyan"/>
          <w:lang w:val="es-ES"/>
        </w:rPr>
      </w:pPr>
    </w:p>
    <w:p w14:paraId="05972B20" w14:textId="77777777" w:rsidR="00886EE9" w:rsidRPr="00C36E9C" w:rsidRDefault="00886EE9" w:rsidP="00886EE9">
      <w:pPr>
        <w:pStyle w:val="ListParagraph"/>
        <w:numPr>
          <w:ilvl w:val="0"/>
          <w:numId w:val="6"/>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C36E9C">
        <w:rPr>
          <w:rFonts w:ascii="Century Gothic" w:eastAsia="Calibri" w:hAnsi="Century Gothic" w:cs="Arial"/>
          <w:b/>
          <w:lang w:val="es-ES_tradnl"/>
        </w:rPr>
        <w:t xml:space="preserve">Problema planteado </w:t>
      </w:r>
    </w:p>
    <w:p w14:paraId="135E25E5" w14:textId="77777777" w:rsidR="00886EE9" w:rsidRPr="00C36E9C" w:rsidRDefault="00886EE9" w:rsidP="00886EE9">
      <w:pPr>
        <w:pStyle w:val="ListParagraph"/>
        <w:tabs>
          <w:tab w:val="left" w:pos="0"/>
          <w:tab w:val="left" w:pos="142"/>
          <w:tab w:val="left" w:pos="284"/>
        </w:tabs>
        <w:spacing w:after="0" w:line="276" w:lineRule="auto"/>
        <w:ind w:left="0"/>
        <w:jc w:val="both"/>
        <w:rPr>
          <w:rFonts w:ascii="Century Gothic" w:eastAsia="Calibri" w:hAnsi="Century Gothic" w:cs="Arial"/>
          <w:b/>
          <w:lang w:val="es-ES_tradnl"/>
        </w:rPr>
      </w:pPr>
    </w:p>
    <w:p w14:paraId="1DE08FAB" w14:textId="1150224B" w:rsidR="00886EE9" w:rsidRPr="006957BC" w:rsidRDefault="00886EE9" w:rsidP="00886EE9">
      <w:pPr>
        <w:spacing w:after="0" w:line="276" w:lineRule="auto"/>
        <w:jc w:val="both"/>
        <w:rPr>
          <w:rFonts w:ascii="Century Gothic" w:hAnsi="Century Gothic" w:cs="Arial"/>
        </w:rPr>
      </w:pPr>
      <w:r w:rsidRPr="00C36E9C">
        <w:rPr>
          <w:rFonts w:ascii="Century Gothic" w:hAnsi="Century Gothic" w:cs="Arial"/>
          <w:lang w:val="es-ES_tradnl"/>
        </w:rPr>
        <w:t>En la petición de la referencia se realiza solicitud de consulta sobre</w:t>
      </w:r>
      <w:r w:rsidR="00E83C0D" w:rsidRPr="00C36E9C">
        <w:rPr>
          <w:rFonts w:ascii="Century Gothic" w:hAnsi="Century Gothic" w:cs="Arial"/>
          <w:lang w:val="es-ES_tradnl"/>
        </w:rPr>
        <w:t xml:space="preserve"> la </w:t>
      </w:r>
      <w:r w:rsidR="00834F45" w:rsidRPr="00C36E9C">
        <w:rPr>
          <w:rFonts w:ascii="Century Gothic" w:hAnsi="Century Gothic" w:cs="Arial"/>
          <w:lang w:val="es-ES_tradnl"/>
        </w:rPr>
        <w:t>ley 2056 de 2020 “</w:t>
      </w:r>
      <w:r w:rsidR="00837965" w:rsidRPr="00C36E9C">
        <w:rPr>
          <w:rFonts w:ascii="Century Gothic" w:hAnsi="Century Gothic" w:cs="Arial"/>
          <w:i/>
        </w:rPr>
        <w:t>P</w:t>
      </w:r>
      <w:r w:rsidR="006957BC" w:rsidRPr="00C36E9C">
        <w:rPr>
          <w:rFonts w:ascii="Century Gothic" w:hAnsi="Century Gothic" w:cs="Arial"/>
          <w:i/>
        </w:rPr>
        <w:t>or la cual se regula la organización y el funcionamiento del Sistema General de Regalías</w:t>
      </w:r>
      <w:r w:rsidR="006957BC" w:rsidRPr="00C36E9C">
        <w:rPr>
          <w:rFonts w:ascii="Century Gothic" w:hAnsi="Century Gothic" w:cs="Arial"/>
          <w:b/>
        </w:rPr>
        <w:t>”</w:t>
      </w:r>
      <w:r w:rsidRPr="00C36E9C">
        <w:rPr>
          <w:rFonts w:ascii="Century Gothic" w:hAnsi="Century Gothic" w:cs="Arial"/>
          <w:lang w:val="es-ES_tradnl"/>
        </w:rPr>
        <w:t>. Al respecto usted pregunta:</w:t>
      </w:r>
      <w:r w:rsidRPr="001A0A60">
        <w:rPr>
          <w:rFonts w:ascii="Century Gothic" w:hAnsi="Century Gothic" w:cs="Arial"/>
          <w:lang w:val="es-ES_tradnl"/>
        </w:rPr>
        <w:t xml:space="preserve">  </w:t>
      </w:r>
    </w:p>
    <w:p w14:paraId="4AF465EB" w14:textId="77777777" w:rsidR="00886EE9" w:rsidRPr="00A65B02" w:rsidRDefault="00886EE9" w:rsidP="00886EE9">
      <w:pPr>
        <w:spacing w:after="0" w:line="240" w:lineRule="auto"/>
        <w:rPr>
          <w:rFonts w:ascii="Century Gothic" w:hAnsi="Century Gothic"/>
        </w:rPr>
      </w:pPr>
    </w:p>
    <w:p w14:paraId="573AFA26" w14:textId="7AE6DDCD" w:rsidR="0081195A" w:rsidRPr="00C36E9C" w:rsidRDefault="0081195A" w:rsidP="0081195A">
      <w:pPr>
        <w:spacing w:after="0" w:line="240" w:lineRule="auto"/>
        <w:ind w:left="709" w:right="709"/>
        <w:jc w:val="both"/>
        <w:rPr>
          <w:rFonts w:ascii="Century Gothic" w:hAnsi="Century Gothic"/>
          <w:sz w:val="20"/>
          <w:szCs w:val="20"/>
        </w:rPr>
      </w:pPr>
      <w:r w:rsidRPr="00C36E9C">
        <w:rPr>
          <w:rFonts w:ascii="Century Gothic" w:hAnsi="Century Gothic"/>
          <w:sz w:val="20"/>
          <w:szCs w:val="20"/>
        </w:rPr>
        <w:t xml:space="preserve">“[…] 1. </w:t>
      </w:r>
      <w:r w:rsidR="00C36E9C" w:rsidRPr="00C36E9C">
        <w:rPr>
          <w:rFonts w:ascii="Century Gothic" w:hAnsi="Century Gothic"/>
          <w:sz w:val="20"/>
          <w:szCs w:val="20"/>
        </w:rPr>
        <w:t>Es procedente o no la designación como ENTIDAD EJECUTORA de una organización étnica afrodescendiente debidamente inscrita en el registro único del Ministerio del Interior, para que realice la ejecución de un proyecto aprobado por la Instancia de Decisión</w:t>
      </w:r>
      <w:r w:rsidR="0056548C">
        <w:rPr>
          <w:rFonts w:ascii="Century Gothic" w:hAnsi="Century Gothic"/>
          <w:sz w:val="20"/>
          <w:szCs w:val="20"/>
        </w:rPr>
        <w:t xml:space="preserve"> de Pueblos y Comunidades Indígenas -IDPCI- </w:t>
      </w:r>
      <w:r w:rsidR="00DB43A1">
        <w:rPr>
          <w:rFonts w:ascii="Century Gothic" w:hAnsi="Century Gothic"/>
          <w:sz w:val="20"/>
          <w:szCs w:val="20"/>
        </w:rPr>
        <w:t>con fuente de financiación de la bolsa ASIGNACION PARA LA INVERSION LOCAL GRUPOS ETNICOS – PUEBLOS Y COMUNIDADES INDÍGENAS</w:t>
      </w:r>
      <w:r w:rsidR="00001B5C">
        <w:rPr>
          <w:rFonts w:ascii="Century Gothic" w:hAnsi="Century Gothic"/>
          <w:sz w:val="20"/>
          <w:szCs w:val="20"/>
        </w:rPr>
        <w:t xml:space="preserve">, considerando lo dispuesto en la ley 2056 de 2020 y sus Decretos reglamentarios. […] </w:t>
      </w:r>
    </w:p>
    <w:p w14:paraId="0C9B746D" w14:textId="77777777" w:rsidR="0081195A" w:rsidRPr="0081195A" w:rsidRDefault="0081195A" w:rsidP="0081195A">
      <w:pPr>
        <w:spacing w:after="0" w:line="240" w:lineRule="auto"/>
        <w:ind w:left="709" w:right="709"/>
        <w:jc w:val="both"/>
        <w:rPr>
          <w:rFonts w:ascii="Century Gothic" w:hAnsi="Century Gothic"/>
          <w:sz w:val="20"/>
          <w:szCs w:val="20"/>
          <w:highlight w:val="cyan"/>
        </w:rPr>
      </w:pPr>
    </w:p>
    <w:p w14:paraId="42CE2D4C" w14:textId="38FE6B29" w:rsidR="0081195A" w:rsidRPr="00874EAA" w:rsidRDefault="0081195A" w:rsidP="0081195A">
      <w:pPr>
        <w:spacing w:after="0" w:line="240" w:lineRule="auto"/>
        <w:ind w:left="709" w:right="709"/>
        <w:jc w:val="both"/>
        <w:rPr>
          <w:rFonts w:ascii="Century Gothic" w:hAnsi="Century Gothic"/>
          <w:sz w:val="20"/>
          <w:szCs w:val="20"/>
        </w:rPr>
      </w:pPr>
      <w:r w:rsidRPr="00231EC1">
        <w:rPr>
          <w:rFonts w:ascii="Century Gothic" w:hAnsi="Century Gothic"/>
          <w:sz w:val="20"/>
          <w:szCs w:val="20"/>
        </w:rPr>
        <w:t>2</w:t>
      </w:r>
      <w:r w:rsidR="00231EC1">
        <w:rPr>
          <w:rFonts w:ascii="Century Gothic" w:hAnsi="Century Gothic"/>
          <w:sz w:val="20"/>
          <w:szCs w:val="20"/>
        </w:rPr>
        <w:t>.</w:t>
      </w:r>
      <w:r w:rsidRPr="00231EC1">
        <w:rPr>
          <w:rFonts w:ascii="Century Gothic" w:hAnsi="Century Gothic"/>
          <w:sz w:val="20"/>
          <w:szCs w:val="20"/>
        </w:rPr>
        <w:t xml:space="preserve"> </w:t>
      </w:r>
      <w:r w:rsidR="008F01C0" w:rsidRPr="00231EC1">
        <w:rPr>
          <w:rFonts w:ascii="Century Gothic" w:hAnsi="Century Gothic"/>
          <w:sz w:val="20"/>
          <w:szCs w:val="20"/>
        </w:rPr>
        <w:t>Que régimen de contratación se debe aplicar en la ejecución de un proyecto aprobado con fuente de financiación del Sistema General de Regalías</w:t>
      </w:r>
      <w:r w:rsidR="00054CD8" w:rsidRPr="00231EC1">
        <w:rPr>
          <w:rFonts w:ascii="Century Gothic" w:hAnsi="Century Gothic"/>
          <w:sz w:val="20"/>
          <w:szCs w:val="20"/>
        </w:rPr>
        <w:t>, considerando que la Entidad Ejecutoria designada corresponde a una organización étnica indígena, cuya naturaleza se define como una institución de Derecho Público de carácter Especial indígena sin ánimo de lucro</w:t>
      </w:r>
      <w:r w:rsidR="00231EC1" w:rsidRPr="00231EC1">
        <w:rPr>
          <w:rFonts w:ascii="Century Gothic" w:hAnsi="Century Gothic"/>
          <w:sz w:val="20"/>
          <w:szCs w:val="20"/>
        </w:rPr>
        <w:t xml:space="preserve">. </w:t>
      </w:r>
      <w:r w:rsidRPr="00231EC1">
        <w:rPr>
          <w:rFonts w:ascii="Century Gothic" w:hAnsi="Century Gothic"/>
          <w:sz w:val="20"/>
          <w:szCs w:val="20"/>
        </w:rPr>
        <w:t>[…]”.</w:t>
      </w:r>
    </w:p>
    <w:p w14:paraId="0F1B05BE" w14:textId="77777777" w:rsidR="00CD5762" w:rsidRDefault="00CD5762" w:rsidP="00CD5762">
      <w:pPr>
        <w:spacing w:after="0"/>
        <w:rPr>
          <w:rFonts w:ascii="Century Gothic" w:hAnsi="Century Gothic"/>
        </w:rPr>
      </w:pPr>
    </w:p>
    <w:p w14:paraId="4D8BA212" w14:textId="77777777" w:rsidR="00445798" w:rsidRPr="00A65B02" w:rsidRDefault="00445798" w:rsidP="00445798">
      <w:pPr>
        <w:pStyle w:val="ListParagraph"/>
        <w:numPr>
          <w:ilvl w:val="0"/>
          <w:numId w:val="6"/>
        </w:numPr>
        <w:tabs>
          <w:tab w:val="left" w:pos="0"/>
          <w:tab w:val="left" w:pos="284"/>
        </w:tabs>
        <w:spacing w:after="0" w:line="276" w:lineRule="auto"/>
        <w:ind w:left="360"/>
        <w:jc w:val="both"/>
        <w:rPr>
          <w:rFonts w:ascii="Century Gothic" w:eastAsia="Calibri" w:hAnsi="Century Gothic" w:cs="Arial"/>
          <w:b/>
          <w:lang w:val="es-ES_tradnl"/>
        </w:rPr>
      </w:pPr>
      <w:r w:rsidRPr="00A65B02">
        <w:rPr>
          <w:rFonts w:ascii="Century Gothic" w:eastAsia="Calibri" w:hAnsi="Century Gothic" w:cs="Arial"/>
          <w:b/>
          <w:lang w:val="es-ES_tradnl"/>
        </w:rPr>
        <w:t>Consideraciones</w:t>
      </w:r>
    </w:p>
    <w:p w14:paraId="00D5688E" w14:textId="77777777" w:rsidR="00445798" w:rsidRPr="00A65B02" w:rsidRDefault="00445798" w:rsidP="00445798">
      <w:pPr>
        <w:pStyle w:val="ListParagraph"/>
        <w:tabs>
          <w:tab w:val="left" w:pos="0"/>
          <w:tab w:val="left" w:pos="284"/>
        </w:tabs>
        <w:spacing w:after="0" w:line="240" w:lineRule="auto"/>
        <w:ind w:left="360"/>
        <w:jc w:val="both"/>
        <w:rPr>
          <w:rFonts w:ascii="Century Gothic" w:eastAsia="Calibri" w:hAnsi="Century Gothic" w:cs="Arial"/>
          <w:b/>
          <w:lang w:val="es-ES_tradnl"/>
        </w:rPr>
      </w:pPr>
    </w:p>
    <w:p w14:paraId="1618C52A" w14:textId="77777777" w:rsidR="00445798" w:rsidRPr="00A65B02" w:rsidRDefault="00445798" w:rsidP="00445798">
      <w:pPr>
        <w:spacing w:after="120" w:line="276" w:lineRule="auto"/>
        <w:jc w:val="both"/>
        <w:rPr>
          <w:rFonts w:ascii="Century Gothic" w:hAnsi="Century Gothic" w:cs="Arial"/>
          <w:lang w:val="es-ES"/>
        </w:rPr>
      </w:pPr>
      <w:r w:rsidRPr="00A65B02">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A65B02">
        <w:rPr>
          <w:rFonts w:ascii="Century Gothic" w:hAnsi="Century Gothic" w:cs="Arial"/>
        </w:rPr>
        <w:t xml:space="preserve">. </w:t>
      </w:r>
      <w:r w:rsidRPr="00A65B02">
        <w:rPr>
          <w:rFonts w:ascii="Century Gothic" w:hAnsi="Century Gothic" w:cs="Arial"/>
          <w:lang w:val="es-ES"/>
        </w:rPr>
        <w:t xml:space="preserve">Es necesario tener en cuenta que </w:t>
      </w:r>
      <w:bookmarkStart w:id="2" w:name="_Hlk61026958"/>
      <w:r w:rsidRPr="00A65B02">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65B02">
        <w:rPr>
          <w:rFonts w:ascii="Century Gothic" w:hAnsi="Century Gothic" w:cs="Arial"/>
        </w:rPr>
        <w:t xml:space="preserve"> de todos los partícipes de la contratación estatal.</w:t>
      </w:r>
      <w:r w:rsidRPr="00A65B02">
        <w:rPr>
          <w:rFonts w:ascii="Century Gothic" w:hAnsi="Century Gothic" w:cs="Arial"/>
          <w:lang w:val="es-ES"/>
        </w:rPr>
        <w:t xml:space="preserve"> </w:t>
      </w:r>
      <w:bookmarkEnd w:id="0"/>
      <w:bookmarkEnd w:id="1"/>
      <w:bookmarkEnd w:id="2"/>
    </w:p>
    <w:p w14:paraId="4F508ADD" w14:textId="77777777" w:rsidR="00445798" w:rsidRPr="00A65B02" w:rsidRDefault="00445798" w:rsidP="00445798">
      <w:pPr>
        <w:spacing w:after="120" w:line="276" w:lineRule="auto"/>
        <w:ind w:firstLine="708"/>
        <w:jc w:val="both"/>
        <w:rPr>
          <w:rFonts w:ascii="Century Gothic" w:hAnsi="Century Gothic" w:cs="Arial"/>
          <w:lang w:val="es-ES"/>
        </w:rPr>
      </w:pPr>
      <w:r w:rsidRPr="00A65B02">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65B02">
        <w:rPr>
          <w:rFonts w:ascii="Century Gothic" w:eastAsia="Calibri" w:hAnsi="Century Gothic" w:cs="Arial"/>
          <w:vertAlign w:val="superscript"/>
          <w:lang w:val="es-ES"/>
        </w:rPr>
        <w:footnoteReference w:id="2"/>
      </w:r>
      <w:r w:rsidRPr="00A65B02">
        <w:rPr>
          <w:rFonts w:ascii="Century Gothic" w:eastAsia="Calibri" w:hAnsi="Century Gothic" w:cs="Arial"/>
          <w:lang w:val="es-ES"/>
        </w:rPr>
        <w:t xml:space="preserve">. Esta competencia de interpretación de normas generales, </w:t>
      </w:r>
      <w:r w:rsidRPr="00A65B02">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5FEC24E0" w14:textId="18FF793B" w:rsidR="00445798" w:rsidRDefault="00445798" w:rsidP="00445798">
      <w:pPr>
        <w:spacing w:line="276" w:lineRule="auto"/>
        <w:ind w:firstLine="708"/>
        <w:jc w:val="both"/>
        <w:rPr>
          <w:rFonts w:ascii="Century Gothic" w:eastAsia="Calibri" w:hAnsi="Century Gothic" w:cs="Arial"/>
          <w:color w:val="000000"/>
        </w:rPr>
      </w:pPr>
      <w:r w:rsidRPr="00EF464B">
        <w:rPr>
          <w:rFonts w:ascii="Century Gothic" w:eastAsia="Calibri" w:hAnsi="Century Gothic" w:cs="Arial"/>
          <w:color w:val="000000"/>
          <w:lang w:val="es-MX"/>
        </w:rPr>
        <w:t xml:space="preserve">Sin perjuicio de lo anterior, </w:t>
      </w:r>
      <w:r w:rsidRPr="00EF464B">
        <w:rPr>
          <w:rFonts w:ascii="Century Gothic" w:eastAsia="Calibri" w:hAnsi="Century Gothic" w:cs="Arial"/>
          <w:color w:val="000000"/>
          <w:lang w:val="es-ES"/>
        </w:rPr>
        <w:t xml:space="preserve">la Subdirección de Gestión Contractual –dentro de los límites de sus atribuciones, esto es, </w:t>
      </w:r>
      <w:bookmarkStart w:id="3" w:name="_Hlk61025408"/>
      <w:r w:rsidRPr="00EF464B">
        <w:rPr>
          <w:rFonts w:ascii="Century Gothic" w:eastAsia="Calibri" w:hAnsi="Century Gothic" w:cs="Arial"/>
          <w:color w:val="000000"/>
          <w:lang w:val="es-ES"/>
        </w:rPr>
        <w:t>haciendo abstracción del caso particular expuesto por el peticionari</w:t>
      </w:r>
      <w:bookmarkEnd w:id="3"/>
      <w:r w:rsidRPr="00EF464B">
        <w:rPr>
          <w:rFonts w:ascii="Century Gothic" w:eastAsia="Calibri" w:hAnsi="Century Gothic" w:cs="Arial"/>
          <w:color w:val="000000"/>
          <w:lang w:val="es-ES"/>
        </w:rPr>
        <w:t>o– resolverá la consulta conforme a las normas generales en materia de contratación estatal</w:t>
      </w:r>
      <w:r w:rsidRPr="00EF464B">
        <w:rPr>
          <w:rFonts w:ascii="Century Gothic" w:eastAsia="Calibri" w:hAnsi="Century Gothic" w:cs="Arial"/>
          <w:lang w:val="es-ES_tradnl" w:eastAsia="es-MX"/>
        </w:rPr>
        <w:t xml:space="preserve">. Con este objetivo se analizarán los siguientes temas: </w:t>
      </w:r>
      <w:r w:rsidR="00EF464B" w:rsidRPr="00EF464B">
        <w:rPr>
          <w:rFonts w:ascii="Century Gothic" w:eastAsia="Calibri" w:hAnsi="Century Gothic" w:cs="Arial"/>
          <w:lang w:val="es-ES_tradnl" w:eastAsia="es-MX"/>
        </w:rPr>
        <w:t>i) contexto y finalidad de la Ley 2056 de 2020</w:t>
      </w:r>
      <w:r w:rsidR="006909E1">
        <w:rPr>
          <w:rFonts w:ascii="Century Gothic" w:eastAsia="Calibri" w:hAnsi="Century Gothic" w:cs="Arial"/>
          <w:lang w:val="es-ES_tradnl" w:eastAsia="es-MX"/>
        </w:rPr>
        <w:t>;</w:t>
      </w:r>
      <w:r w:rsidR="00EF464B" w:rsidRPr="00EF464B">
        <w:rPr>
          <w:rFonts w:ascii="Century Gothic" w:eastAsia="Calibri" w:hAnsi="Century Gothic" w:cs="Arial"/>
          <w:lang w:val="es-ES_tradnl" w:eastAsia="es-MX"/>
        </w:rPr>
        <w:t xml:space="preserve"> y </w:t>
      </w:r>
      <w:proofErr w:type="spellStart"/>
      <w:r w:rsidR="00EF464B" w:rsidRPr="00EF464B">
        <w:rPr>
          <w:rFonts w:ascii="Century Gothic" w:eastAsia="Calibri" w:hAnsi="Century Gothic" w:cs="Arial"/>
          <w:lang w:val="es-ES_tradnl" w:eastAsia="es-MX"/>
        </w:rPr>
        <w:t>ii</w:t>
      </w:r>
      <w:proofErr w:type="spellEnd"/>
      <w:r w:rsidR="00EF464B" w:rsidRPr="00EF464B">
        <w:rPr>
          <w:rFonts w:ascii="Century Gothic" w:eastAsia="Calibri" w:hAnsi="Century Gothic" w:cs="Arial"/>
          <w:lang w:val="es-ES_tradnl" w:eastAsia="es-MX"/>
        </w:rPr>
        <w:t xml:space="preserve">) régimen contractual de </w:t>
      </w:r>
      <w:r w:rsidR="00E70339">
        <w:rPr>
          <w:rFonts w:ascii="Century Gothic" w:eastAsia="Calibri" w:hAnsi="Century Gothic" w:cs="Arial"/>
          <w:lang w:val="es-ES_tradnl" w:eastAsia="es-MX"/>
        </w:rPr>
        <w:t xml:space="preserve">la ejecución de </w:t>
      </w:r>
      <w:r w:rsidR="00E70339" w:rsidRPr="00E70339">
        <w:rPr>
          <w:rFonts w:ascii="Century Gothic" w:eastAsia="Calibri" w:hAnsi="Century Gothic" w:cs="Arial"/>
          <w:lang w:val="es-ES_tradnl" w:eastAsia="es-MX"/>
        </w:rPr>
        <w:t xml:space="preserve">proyectos </w:t>
      </w:r>
      <w:r w:rsidR="00E70339">
        <w:rPr>
          <w:rFonts w:ascii="Century Gothic" w:eastAsia="Calibri" w:hAnsi="Century Gothic" w:cs="Arial"/>
          <w:lang w:val="es-ES_tradnl" w:eastAsia="es-MX"/>
        </w:rPr>
        <w:t>d</w:t>
      </w:r>
      <w:r w:rsidR="00E70339" w:rsidRPr="00E70339">
        <w:rPr>
          <w:rFonts w:ascii="Century Gothic" w:eastAsia="Calibri" w:hAnsi="Century Gothic" w:cs="Arial"/>
          <w:lang w:val="es-ES_tradnl" w:eastAsia="es-MX"/>
        </w:rPr>
        <w:t>el Sistema General de Regalías y capacidad contractual de los entes representativos de la población negra, afrodescendiente, raizal y palenquera</w:t>
      </w:r>
      <w:r w:rsidR="00E70339">
        <w:rPr>
          <w:rFonts w:ascii="Century Gothic" w:eastAsia="Calibri" w:hAnsi="Century Gothic" w:cs="Arial"/>
          <w:lang w:val="es-ES_tradnl" w:eastAsia="es-MX"/>
        </w:rPr>
        <w:t>.</w:t>
      </w:r>
      <w:r w:rsidR="00E70339" w:rsidRPr="00E70339" w:rsidDel="00E70339">
        <w:rPr>
          <w:rFonts w:ascii="Century Gothic" w:eastAsia="Calibri" w:hAnsi="Century Gothic" w:cs="Arial"/>
          <w:lang w:val="es-ES_tradnl" w:eastAsia="es-MX"/>
        </w:rPr>
        <w:t xml:space="preserve"> </w:t>
      </w:r>
    </w:p>
    <w:p w14:paraId="014F8CC8" w14:textId="4152C669" w:rsidR="00445798" w:rsidRPr="00A65B02" w:rsidRDefault="00565A22" w:rsidP="004D0212">
      <w:pPr>
        <w:spacing w:line="276" w:lineRule="auto"/>
        <w:ind w:firstLine="708"/>
        <w:jc w:val="both"/>
        <w:rPr>
          <w:rFonts w:ascii="Century Gothic" w:eastAsia="Calibri" w:hAnsi="Century Gothic" w:cs="Arial"/>
          <w:lang w:val="es-ES_tradnl"/>
        </w:rPr>
      </w:pPr>
      <w:r w:rsidRPr="005362B6">
        <w:rPr>
          <w:rFonts w:ascii="Century Gothic" w:eastAsia="Calibri" w:hAnsi="Century Gothic" w:cs="Arial"/>
          <w:lang w:val="es-ES_tradnl"/>
        </w:rPr>
        <w:t xml:space="preserve">Es importante destacar que la </w:t>
      </w:r>
      <w:r w:rsidR="00445798" w:rsidRPr="005362B6">
        <w:rPr>
          <w:rFonts w:ascii="Century Gothic" w:eastAsia="Calibri" w:hAnsi="Century Gothic" w:cs="Arial"/>
        </w:rPr>
        <w:t xml:space="preserve">Agencia Nacional de Contratación Pública – Colombia Compra Eficiente –en adelante la ANCP-CCE–se ha pronunciado </w:t>
      </w:r>
      <w:r w:rsidR="00445798" w:rsidRPr="005362B6">
        <w:rPr>
          <w:rFonts w:ascii="Century Gothic" w:eastAsia="Calibri" w:hAnsi="Century Gothic" w:cs="Arial"/>
          <w:lang w:val="es-ES_tradnl"/>
        </w:rPr>
        <w:t xml:space="preserve">sobre </w:t>
      </w:r>
      <w:r w:rsidR="003E147D" w:rsidRPr="005362B6">
        <w:rPr>
          <w:rFonts w:ascii="Century Gothic" w:eastAsia="Calibri" w:hAnsi="Century Gothic" w:cs="Arial"/>
          <w:lang w:val="es-ES_tradnl"/>
        </w:rPr>
        <w:t>el Sistema General de Regalías, su régimen de contratación y demás particularidades, por lo que se resaltan los conceptos C- 370 del 28 de julio de 2021, C-604 del 09 de septiembre de 2020, C-095 del 22 de marzo de 2022</w:t>
      </w:r>
      <w:r w:rsidR="009B4957" w:rsidRPr="005362B6">
        <w:rPr>
          <w:rFonts w:ascii="Century Gothic" w:eastAsia="Calibri" w:hAnsi="Century Gothic" w:cs="Arial"/>
          <w:lang w:val="es-ES_tradnl"/>
        </w:rPr>
        <w:t xml:space="preserve">, </w:t>
      </w:r>
      <w:r w:rsidR="007128AF" w:rsidRPr="005362B6">
        <w:rPr>
          <w:rFonts w:ascii="Century Gothic" w:eastAsia="Calibri" w:hAnsi="Century Gothic" w:cs="Arial"/>
          <w:lang w:val="es-ES_tradnl"/>
        </w:rPr>
        <w:t>C-</w:t>
      </w:r>
      <w:r w:rsidR="00AD2760" w:rsidRPr="005362B6">
        <w:rPr>
          <w:rFonts w:ascii="Century Gothic" w:eastAsia="Calibri" w:hAnsi="Century Gothic" w:cs="Arial"/>
          <w:lang w:val="es-ES_tradnl"/>
        </w:rPr>
        <w:t>353 del 02 de junio del 2022, C-</w:t>
      </w:r>
      <w:r w:rsidR="004D0212" w:rsidRPr="005362B6">
        <w:rPr>
          <w:rFonts w:ascii="Century Gothic" w:eastAsia="Calibri" w:hAnsi="Century Gothic" w:cs="Arial"/>
          <w:lang w:val="es-ES_tradnl"/>
        </w:rPr>
        <w:t>489 del 01 de agosto del 2022</w:t>
      </w:r>
      <w:r w:rsidR="00445798" w:rsidRPr="005362B6">
        <w:rPr>
          <w:rStyle w:val="FootnoteReference"/>
          <w:rFonts w:ascii="Century Gothic" w:eastAsia="Calibri" w:hAnsi="Century Gothic" w:cs="Arial"/>
          <w:bCs/>
          <w:lang w:val="es-MX"/>
        </w:rPr>
        <w:footnoteReference w:id="3"/>
      </w:r>
      <w:r w:rsidR="00445798" w:rsidRPr="005362B6">
        <w:rPr>
          <w:rFonts w:ascii="Century Gothic" w:eastAsia="Calibri" w:hAnsi="Century Gothic" w:cs="Arial"/>
          <w:bCs/>
          <w:lang w:val="es-MX"/>
        </w:rPr>
        <w:t>.</w:t>
      </w:r>
      <w:r w:rsidR="00445798" w:rsidRPr="005362B6">
        <w:rPr>
          <w:rFonts w:ascii="Century Gothic" w:eastAsia="Calibri" w:hAnsi="Century Gothic" w:cs="Arial"/>
          <w:lang w:val="es-MX" w:eastAsia="es-ES_tradnl"/>
        </w:rPr>
        <w:t xml:space="preserve"> </w:t>
      </w:r>
      <w:r w:rsidR="00E70339">
        <w:rPr>
          <w:rFonts w:ascii="Century Gothic" w:eastAsia="Calibri" w:hAnsi="Century Gothic" w:cs="Arial"/>
          <w:lang w:val="es-MX" w:eastAsia="es-ES_tradnl"/>
        </w:rPr>
        <w:t xml:space="preserve">De otra parte, en </w:t>
      </w:r>
      <w:r w:rsidR="00D24239">
        <w:rPr>
          <w:rFonts w:ascii="Century Gothic" w:eastAsia="Calibri" w:hAnsi="Century Gothic" w:cs="Arial"/>
          <w:lang w:val="es-MX" w:eastAsia="es-ES_tradnl"/>
        </w:rPr>
        <w:t xml:space="preserve">los conceptos C-731 del 26 de enero de 2022, C-052 de 21 de abril de 2023 y C-025 del </w:t>
      </w:r>
      <w:r w:rsidR="001C277A">
        <w:rPr>
          <w:rFonts w:ascii="Century Gothic" w:eastAsia="Calibri" w:hAnsi="Century Gothic" w:cs="Arial"/>
          <w:lang w:val="es-MX" w:eastAsia="es-ES_tradnl"/>
        </w:rPr>
        <w:t xml:space="preserve">21 de febrero de 2024. </w:t>
      </w:r>
      <w:r w:rsidR="00445798" w:rsidRPr="005362B6">
        <w:rPr>
          <w:rFonts w:ascii="Century Gothic" w:eastAsia="Calibri" w:hAnsi="Century Gothic" w:cs="Arial"/>
          <w:lang w:val="es-ES_tradnl" w:eastAsia="es-ES_tradnl"/>
        </w:rPr>
        <w:t>Algunas de las consideraciones de estos conceptos se reiteran y se complementan en lo pertinente para dar respuesta a su consulta.</w:t>
      </w:r>
    </w:p>
    <w:p w14:paraId="1D716F8E" w14:textId="77777777" w:rsidR="00A82319" w:rsidRPr="005346D4" w:rsidRDefault="00A82319" w:rsidP="00A82319">
      <w:pPr>
        <w:spacing w:line="276" w:lineRule="auto"/>
        <w:jc w:val="both"/>
        <w:rPr>
          <w:rFonts w:ascii="Century Gothic" w:hAnsi="Century Gothic" w:cs="Arial"/>
          <w:b/>
        </w:rPr>
      </w:pPr>
      <w:r w:rsidRPr="005346D4">
        <w:rPr>
          <w:rFonts w:ascii="Century Gothic" w:hAnsi="Century Gothic" w:cs="Arial"/>
          <w:b/>
        </w:rPr>
        <w:t>2.1. Fundamento normativo del Sistema General de Regalías: contexto y finalidad de la Ley 2056 de 2020</w:t>
      </w:r>
    </w:p>
    <w:p w14:paraId="36932ADE" w14:textId="4F69C9B6" w:rsidR="00A82319" w:rsidRPr="005346D4" w:rsidRDefault="00A82319" w:rsidP="00414A7D">
      <w:pPr>
        <w:tabs>
          <w:tab w:val="left" w:pos="426"/>
        </w:tabs>
        <w:spacing w:line="276" w:lineRule="auto"/>
        <w:jc w:val="both"/>
        <w:rPr>
          <w:rFonts w:ascii="Century Gothic" w:eastAsia="Calibri" w:hAnsi="Century Gothic" w:cs="Arial"/>
          <w:color w:val="000000" w:themeColor="text1"/>
          <w:lang w:val="es-ES_tradnl"/>
        </w:rPr>
      </w:pPr>
      <w:r w:rsidRPr="005346D4">
        <w:rPr>
          <w:rFonts w:ascii="Century Gothic" w:eastAsia="Calibri" w:hAnsi="Century Gothic" w:cs="Arial"/>
          <w:color w:val="000000" w:themeColor="text1"/>
          <w:lang w:val="es-ES_tradnl"/>
        </w:rPr>
        <w:lastRenderedPageBreak/>
        <w:t>El artículo 360 de la Constitución Política, modificado por el artículo 1 del Acto Legislativo 5 de 2011, define las regalías como una contraprestación económica a favor del Estado, que es causada por la explotación de un recurso natural no renovable. Al respecto, el precitado artículo prescribe:</w:t>
      </w:r>
    </w:p>
    <w:p w14:paraId="46E0632F" w14:textId="5276BBB6" w:rsidR="00A82319" w:rsidRPr="005346D4" w:rsidRDefault="00414A7D" w:rsidP="00F6346D">
      <w:pPr>
        <w:spacing w:after="120" w:line="240" w:lineRule="auto"/>
        <w:ind w:left="709" w:right="709"/>
        <w:jc w:val="both"/>
        <w:rPr>
          <w:rFonts w:ascii="Century Gothic" w:eastAsia="Calibri" w:hAnsi="Century Gothic" w:cs="Arial"/>
          <w:sz w:val="21"/>
          <w:szCs w:val="21"/>
          <w:lang w:val="es-ES_tradnl"/>
        </w:rPr>
      </w:pPr>
      <w:r>
        <w:rPr>
          <w:rFonts w:ascii="Century Gothic" w:eastAsia="Calibri" w:hAnsi="Century Gothic" w:cs="Arial"/>
          <w:sz w:val="21"/>
          <w:szCs w:val="21"/>
          <w:lang w:val="es-ES_tradnl"/>
        </w:rPr>
        <w:t>“</w:t>
      </w:r>
      <w:r w:rsidR="00A82319" w:rsidRPr="005346D4">
        <w:rPr>
          <w:rFonts w:ascii="Century Gothic" w:eastAsia="Calibri" w:hAnsi="Century Gothic" w:cs="Arial"/>
          <w:sz w:val="21"/>
          <w:szCs w:val="21"/>
          <w:lang w:val="es-ES_tradnl"/>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13667C16" w14:textId="722114FB" w:rsidR="00A82319" w:rsidRPr="00414A7D" w:rsidRDefault="00A82319" w:rsidP="00F6346D">
      <w:pPr>
        <w:spacing w:line="240" w:lineRule="auto"/>
        <w:ind w:left="709" w:right="709"/>
        <w:jc w:val="both"/>
        <w:rPr>
          <w:rFonts w:ascii="Century Gothic" w:eastAsia="Calibri" w:hAnsi="Century Gothic" w:cs="Arial"/>
          <w:sz w:val="21"/>
          <w:szCs w:val="21"/>
          <w:lang w:val="es-ES_tradnl"/>
        </w:rPr>
      </w:pPr>
      <w:r w:rsidRPr="005346D4">
        <w:rPr>
          <w:rFonts w:ascii="Century Gothic" w:eastAsia="Calibri" w:hAnsi="Century Gothic" w:cs="Arial"/>
          <w:sz w:val="21"/>
          <w:szCs w:val="21"/>
          <w:lang w:val="es-ES_tradnl"/>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414A7D">
        <w:rPr>
          <w:rFonts w:ascii="Century Gothic" w:eastAsia="Calibri" w:hAnsi="Century Gothic" w:cs="Arial"/>
          <w:sz w:val="21"/>
          <w:szCs w:val="21"/>
          <w:lang w:val="es-ES_tradnl"/>
        </w:rPr>
        <w:t>”</w:t>
      </w:r>
    </w:p>
    <w:p w14:paraId="5DB30D57" w14:textId="77777777" w:rsidR="00A82319" w:rsidRPr="005346D4" w:rsidRDefault="00A82319" w:rsidP="00A82319">
      <w:pPr>
        <w:spacing w:line="276" w:lineRule="auto"/>
        <w:ind w:firstLine="709"/>
        <w:jc w:val="both"/>
        <w:rPr>
          <w:rFonts w:ascii="Century Gothic" w:hAnsi="Century Gothic" w:cs="Arial"/>
          <w:noProof/>
          <w:lang w:val="es-ES_tradnl"/>
        </w:rPr>
      </w:pPr>
      <w:r w:rsidRPr="005346D4">
        <w:rPr>
          <w:rFonts w:ascii="Century Gothic" w:hAnsi="Century Gothic" w:cs="Arial"/>
          <w:noProof/>
          <w:lang w:val="es-ES_tradnl"/>
        </w:rPr>
        <w:t>En el inciso segundo, el mismo artículo define al Sistema General de Regalías como el conjunto de ingresos, asignaciones, órganos, procedimientos y regulaciones que deberán establecerse y definirse mediante la ley que, por iniciativa previa del Gobierno Nacional, se expida a fin de determinar la distribución, objetivos, fines, administración, ejecución, control, el uso eficiente y la destinación de los ingresos provenientes de la explotación de los recursos naturales no renovables, precisando las condiciones de participación de sus beneficiarios. En ese sentido, la Corte Constitucional define las regalías como una contraprestación recibida a cambio de la concesión de derechos a particulares para la exploración de recursos naturales, diferenciándolas de otros ingresos nacionales como los impuestos, dado que estas carecen del carácter impositivo de los tributos</w:t>
      </w:r>
      <w:r w:rsidRPr="005346D4">
        <w:rPr>
          <w:rFonts w:ascii="Century Gothic" w:hAnsi="Century Gothic" w:cs="Arial"/>
          <w:noProof/>
          <w:vertAlign w:val="superscript"/>
          <w:lang w:val="es-ES_tradnl"/>
        </w:rPr>
        <w:footnoteReference w:id="4"/>
      </w:r>
      <w:r w:rsidRPr="005346D4">
        <w:rPr>
          <w:rFonts w:ascii="Century Gothic" w:hAnsi="Century Gothic" w:cs="Arial"/>
          <w:noProof/>
          <w:lang w:val="es-ES_tradnl"/>
        </w:rPr>
        <w:t xml:space="preserve">. </w:t>
      </w:r>
    </w:p>
    <w:p w14:paraId="3913A908" w14:textId="34546918" w:rsidR="00A82319" w:rsidRPr="005346D4" w:rsidRDefault="00A82319" w:rsidP="00A82319">
      <w:pPr>
        <w:spacing w:before="120" w:line="276" w:lineRule="auto"/>
        <w:ind w:firstLine="709"/>
        <w:jc w:val="both"/>
        <w:rPr>
          <w:rFonts w:ascii="Century Gothic" w:hAnsi="Century Gothic" w:cs="Arial"/>
          <w:noProof/>
          <w:lang w:val="es-ES_tradnl"/>
        </w:rPr>
      </w:pPr>
      <w:r w:rsidRPr="005346D4">
        <w:rPr>
          <w:rFonts w:ascii="Century Gothic" w:hAnsi="Century Gothic" w:cs="Arial"/>
          <w:noProof/>
          <w:lang w:val="es-ES_tradnl"/>
        </w:rPr>
        <w:lastRenderedPageBreak/>
        <w:t xml:space="preserve">El artículo 1 del Acto Legislativo 05 de 2019 modificó el artículo 361 de la Constitución, disponiendo que </w:t>
      </w:r>
      <w:r w:rsidR="004D5C8C">
        <w:rPr>
          <w:rFonts w:ascii="Century Gothic" w:hAnsi="Century Gothic" w:cs="Arial"/>
          <w:noProof/>
          <w:lang w:val="es-ES_tradnl"/>
        </w:rPr>
        <w:t>“</w:t>
      </w:r>
      <w:r w:rsidRPr="005346D4">
        <w:rPr>
          <w:rFonts w:ascii="Century Gothic" w:hAnsi="Century Gothic" w:cs="Arial"/>
          <w:noProof/>
          <w:lang w:val="es-ES_tradnl"/>
        </w:rPr>
        <w:t>los ingresos corrientes del Sistema General de Regalías se destinarán a la financiación de proyectos de inversión que contribuyan al desarrollo social, económico y ambiental de las entidades territoriales</w:t>
      </w:r>
      <w:r w:rsidR="004D5C8C">
        <w:rPr>
          <w:rFonts w:ascii="Century Gothic" w:hAnsi="Century Gothic" w:cs="Arial"/>
          <w:noProof/>
          <w:lang w:val="es-ES_tradnl"/>
        </w:rPr>
        <w:t>”</w:t>
      </w:r>
      <w:r w:rsidRPr="005346D4">
        <w:rPr>
          <w:rFonts w:ascii="Century Gothic" w:hAnsi="Century Gothic" w:cs="Arial"/>
          <w:noProof/>
          <w:lang w:val="es-ES_tradnl"/>
        </w:rPr>
        <w:t xml:space="preserve">. </w:t>
      </w:r>
    </w:p>
    <w:p w14:paraId="71FE0A03" w14:textId="320A7542" w:rsidR="00A82319" w:rsidRPr="005346D4" w:rsidRDefault="00A82319" w:rsidP="004D5C8C">
      <w:pPr>
        <w:spacing w:before="120" w:line="276" w:lineRule="auto"/>
        <w:ind w:firstLine="709"/>
        <w:jc w:val="both"/>
        <w:rPr>
          <w:rFonts w:ascii="Century Gothic" w:hAnsi="Century Gothic" w:cs="Arial"/>
        </w:rPr>
      </w:pPr>
      <w:r w:rsidRPr="005346D4">
        <w:rPr>
          <w:rFonts w:ascii="Century Gothic" w:hAnsi="Century Gothic" w:cs="Arial"/>
          <w:noProof/>
          <w:lang w:val="es-ES_tradnl"/>
        </w:rPr>
        <w:t xml:space="preserve">Con fundamento en los artículos 360 y 361 de la Constitución Política, se expidió la Ley 2056 de 2020, por medio de la cual se deroga, entre otras, la Ley 1530 de 2012, y </w:t>
      </w:r>
      <w:r w:rsidR="00181C58">
        <w:rPr>
          <w:rFonts w:ascii="Century Gothic" w:hAnsi="Century Gothic" w:cs="Arial"/>
          <w:bCs/>
          <w:lang w:val="es-ES_tradnl"/>
        </w:rPr>
        <w:t>“</w:t>
      </w:r>
      <w:r w:rsidRPr="005346D4">
        <w:rPr>
          <w:rFonts w:ascii="Century Gothic" w:hAnsi="Century Gothic" w:cs="Arial"/>
        </w:rPr>
        <w:t>Por la cual se regula la organización y el funcionamiento del Sistema General de Regalías</w:t>
      </w:r>
      <w:r w:rsidR="00181C58">
        <w:rPr>
          <w:rFonts w:ascii="Century Gothic" w:hAnsi="Century Gothic" w:cs="Arial"/>
          <w:noProof/>
          <w:lang w:val="es-ES_tradnl"/>
        </w:rPr>
        <w:t>”</w:t>
      </w:r>
      <w:r w:rsidRPr="005346D4">
        <w:rPr>
          <w:rFonts w:ascii="Century Gothic" w:hAnsi="Century Gothic" w:cs="Arial"/>
        </w:rPr>
        <w:t xml:space="preserve">. En este sentido, la exposición de motivos de esta Ley expresó que: </w:t>
      </w:r>
    </w:p>
    <w:p w14:paraId="39D2FBE4" w14:textId="20A72065" w:rsidR="00A82319" w:rsidRPr="005346D4" w:rsidRDefault="0011674F" w:rsidP="004D5C8C">
      <w:pPr>
        <w:spacing w:line="240" w:lineRule="auto"/>
        <w:ind w:left="709" w:right="709"/>
        <w:jc w:val="both"/>
        <w:rPr>
          <w:rFonts w:ascii="Century Gothic" w:hAnsi="Century Gothic" w:cs="Arial"/>
          <w:sz w:val="21"/>
          <w:szCs w:val="21"/>
        </w:rPr>
      </w:pPr>
      <w:r>
        <w:rPr>
          <w:rFonts w:ascii="Century Gothic" w:hAnsi="Century Gothic" w:cs="Arial"/>
          <w:sz w:val="21"/>
          <w:szCs w:val="21"/>
        </w:rPr>
        <w:t>“</w:t>
      </w:r>
      <w:r w:rsidR="00A82319" w:rsidRPr="005346D4">
        <w:rPr>
          <w:rFonts w:ascii="Century Gothic" w:hAnsi="Century Gothic" w:cs="Arial"/>
          <w:sz w:val="21"/>
          <w:szCs w:val="21"/>
        </w:rPr>
        <w:t xml:space="preserve">Para adecuar el funcionamiento del SGR a las disposiciones del Acto Legislativo 01 de 2019, el Título I del proyecto de ley introduce nuevas disposiciones, como las siguientes, en relación con los objetivos y fines del Sistema, adicionales a las que originariamente se hallaban previas en el clausulado de la Ley 1530 de 2012: </w:t>
      </w:r>
    </w:p>
    <w:p w14:paraId="6E163BC2" w14:textId="77777777" w:rsidR="00A82319" w:rsidRPr="005346D4" w:rsidRDefault="00A82319" w:rsidP="004D5C8C">
      <w:pPr>
        <w:pStyle w:val="ListParagraph"/>
        <w:numPr>
          <w:ilvl w:val="0"/>
          <w:numId w:val="7"/>
        </w:numPr>
        <w:spacing w:before="120" w:after="0" w:line="240" w:lineRule="auto"/>
        <w:ind w:left="709" w:right="709" w:firstLine="0"/>
        <w:jc w:val="both"/>
        <w:rPr>
          <w:rFonts w:ascii="Century Gothic" w:hAnsi="Century Gothic" w:cs="Arial"/>
          <w:sz w:val="21"/>
          <w:szCs w:val="21"/>
        </w:rPr>
      </w:pPr>
      <w:r w:rsidRPr="005346D4">
        <w:rPr>
          <w:rFonts w:ascii="Century Gothic" w:hAnsi="Century Gothic" w:cs="Arial"/>
          <w:sz w:val="21"/>
          <w:szCs w:val="21"/>
        </w:rPr>
        <w:t xml:space="preserve">Incentivar en el territorio nacional el desarrollo de actividades de exploración y explotación de recursos naturales no renovables, en el marco de la normativa vigente. </w:t>
      </w:r>
    </w:p>
    <w:p w14:paraId="65FF6AD3" w14:textId="77777777" w:rsidR="00A82319" w:rsidRPr="005346D4" w:rsidRDefault="00A82319" w:rsidP="004D5C8C">
      <w:pPr>
        <w:pStyle w:val="ListParagraph"/>
        <w:spacing w:before="120" w:line="240" w:lineRule="auto"/>
        <w:ind w:left="709" w:right="709"/>
        <w:jc w:val="both"/>
        <w:rPr>
          <w:rFonts w:ascii="Century Gothic" w:hAnsi="Century Gothic" w:cs="Arial"/>
          <w:sz w:val="21"/>
          <w:szCs w:val="21"/>
        </w:rPr>
      </w:pPr>
    </w:p>
    <w:p w14:paraId="12B20955" w14:textId="1BDA9557" w:rsidR="00A82319" w:rsidRPr="005346D4" w:rsidRDefault="00A82319" w:rsidP="004D5C8C">
      <w:pPr>
        <w:pStyle w:val="ListParagraph"/>
        <w:numPr>
          <w:ilvl w:val="0"/>
          <w:numId w:val="7"/>
        </w:numPr>
        <w:spacing w:before="120" w:after="0" w:line="240" w:lineRule="auto"/>
        <w:ind w:left="709" w:right="709" w:firstLine="0"/>
        <w:jc w:val="both"/>
        <w:rPr>
          <w:rFonts w:ascii="Century Gothic" w:hAnsi="Century Gothic" w:cs="Arial"/>
          <w:sz w:val="21"/>
          <w:szCs w:val="21"/>
        </w:rPr>
      </w:pPr>
      <w:r w:rsidRPr="005346D4">
        <w:rPr>
          <w:rFonts w:ascii="Century Gothic" w:hAnsi="Century Gothic" w:cs="Arial"/>
          <w:sz w:val="21"/>
          <w:szCs w:val="21"/>
        </w:rPr>
        <w:t>Fomentar la estructuración y aprobación de proyectos de inversión que permitan la implementación del Acuerdo Final para la Terminación del Conflicto y la Construcción de una Paz Estable y Duradera, en los términos establecidos en las normas vigentes</w:t>
      </w:r>
      <w:r w:rsidR="00A86E65">
        <w:rPr>
          <w:rFonts w:ascii="Century Gothic" w:hAnsi="Century Gothic" w:cs="Arial"/>
          <w:sz w:val="21"/>
          <w:szCs w:val="21"/>
        </w:rPr>
        <w:t>”</w:t>
      </w:r>
      <w:r w:rsidRPr="005346D4">
        <w:rPr>
          <w:rStyle w:val="FootnoteReference"/>
          <w:rFonts w:ascii="Century Gothic" w:hAnsi="Century Gothic" w:cs="Arial"/>
          <w:sz w:val="21"/>
          <w:szCs w:val="21"/>
        </w:rPr>
        <w:footnoteReference w:id="5"/>
      </w:r>
      <w:r w:rsidRPr="005346D4">
        <w:rPr>
          <w:rFonts w:ascii="Century Gothic" w:hAnsi="Century Gothic" w:cs="Arial"/>
          <w:sz w:val="21"/>
          <w:szCs w:val="21"/>
        </w:rPr>
        <w:t>.</w:t>
      </w:r>
    </w:p>
    <w:p w14:paraId="531CABD7" w14:textId="77777777" w:rsidR="00A82319" w:rsidRPr="005346D4" w:rsidRDefault="00A82319" w:rsidP="00A82319">
      <w:pPr>
        <w:pStyle w:val="ListParagraph"/>
        <w:spacing w:before="120" w:line="276" w:lineRule="auto"/>
        <w:ind w:left="709" w:right="709"/>
        <w:jc w:val="both"/>
        <w:rPr>
          <w:rFonts w:ascii="Century Gothic" w:hAnsi="Century Gothic" w:cs="Arial"/>
        </w:rPr>
      </w:pPr>
    </w:p>
    <w:p w14:paraId="0DF92628" w14:textId="77777777" w:rsidR="00A82319" w:rsidRPr="005346D4" w:rsidRDefault="00A82319" w:rsidP="00A82319">
      <w:pPr>
        <w:spacing w:line="276" w:lineRule="auto"/>
        <w:ind w:firstLine="709"/>
        <w:jc w:val="both"/>
        <w:rPr>
          <w:rFonts w:ascii="Century Gothic" w:hAnsi="Century Gothic" w:cs="Arial"/>
          <w:noProof/>
          <w:lang w:val="es-ES_tradnl"/>
        </w:rPr>
      </w:pPr>
      <w:r w:rsidRPr="005346D4">
        <w:rPr>
          <w:rFonts w:ascii="Century Gothic" w:hAnsi="Century Gothic" w:cs="Arial"/>
          <w:noProof/>
          <w:lang w:val="es-ES_tradnl"/>
        </w:rPr>
        <w:t xml:space="preserve">En concordancia con los artículos 360 y 361 constitucionales, dicha ley tiene como objeto determinar la distribución, objetivos, fines, administración, ejecución, control del uso eficiente y la destinación de los ingresos que se encuadren dentro del concepto de regalías, precisando las condiciones para la participación de los </w:t>
      </w:r>
      <w:r w:rsidRPr="005346D4">
        <w:rPr>
          <w:rFonts w:ascii="Century Gothic" w:hAnsi="Century Gothic" w:cs="Arial"/>
          <w:noProof/>
          <w:lang w:val="es-ES_tradnl"/>
        </w:rPr>
        <w:lastRenderedPageBreak/>
        <w:t>beneficiarios o destinatarios de los mismos</w:t>
      </w:r>
      <w:r w:rsidRPr="005346D4">
        <w:rPr>
          <w:rFonts w:ascii="Century Gothic" w:hAnsi="Century Gothic" w:cs="Arial"/>
          <w:noProof/>
          <w:vertAlign w:val="superscript"/>
          <w:lang w:val="es-ES_tradnl"/>
        </w:rPr>
        <w:footnoteReference w:id="6"/>
      </w:r>
      <w:r w:rsidRPr="005346D4">
        <w:rPr>
          <w:rFonts w:ascii="Century Gothic" w:hAnsi="Century Gothic" w:cs="Arial"/>
          <w:noProof/>
          <w:lang w:val="es-ES_tradnl"/>
        </w:rPr>
        <w:t xml:space="preserve">. El artículo 3 establece los organos del Estado que hacen parte del SGR, como son </w:t>
      </w:r>
      <w:r w:rsidRPr="005346D4">
        <w:rPr>
          <w:rFonts w:ascii="Century Gothic" w:hAnsi="Century Gothic" w:cs="Arial"/>
        </w:rPr>
        <w:t>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w:t>
      </w:r>
      <w:r w:rsidRPr="005346D4">
        <w:rPr>
          <w:rFonts w:ascii="Century Gothic" w:hAnsi="Century Gothic" w:cs="Arial"/>
          <w:noProof/>
          <w:lang w:val="es-ES_tradnl"/>
        </w:rPr>
        <w:t xml:space="preserve"> incluyendo dentro de los mismos al Ministerio de Ciencia, Tenoclogía e Innovación</w:t>
      </w:r>
      <w:r w:rsidRPr="005346D4">
        <w:rPr>
          <w:rFonts w:ascii="Century Gothic" w:hAnsi="Century Gothic" w:cs="Arial"/>
          <w:noProof/>
          <w:vertAlign w:val="superscript"/>
          <w:lang w:val="es-ES_tradnl"/>
        </w:rPr>
        <w:footnoteReference w:id="7"/>
      </w:r>
      <w:r w:rsidRPr="005346D4">
        <w:rPr>
          <w:rFonts w:ascii="Century Gothic" w:hAnsi="Century Gothic" w:cs="Arial"/>
          <w:noProof/>
          <w:lang w:val="es-ES_tradnl"/>
        </w:rPr>
        <w:t xml:space="preserve">. Estas entidades deben ejercer sus competencias, de acuerdo a lo prescrito en dicha ley y los lineamientos que expida la Comisión Rectora. </w:t>
      </w:r>
    </w:p>
    <w:p w14:paraId="2A399836" w14:textId="40F4BD40" w:rsidR="00A82319" w:rsidRPr="005346D4" w:rsidRDefault="00A82319" w:rsidP="00A82319">
      <w:pPr>
        <w:spacing w:before="120" w:line="276" w:lineRule="auto"/>
        <w:ind w:firstLine="709"/>
        <w:jc w:val="both"/>
        <w:rPr>
          <w:rFonts w:ascii="Century Gothic" w:hAnsi="Century Gothic" w:cs="Arial"/>
          <w:noProof/>
          <w:lang w:val="es-ES_tradnl"/>
        </w:rPr>
      </w:pPr>
      <w:r w:rsidRPr="005346D4">
        <w:rPr>
          <w:rFonts w:ascii="Century Gothic" w:hAnsi="Century Gothic" w:cs="Arial"/>
          <w:noProof/>
        </w:rPr>
        <w:t>E</w:t>
      </w:r>
      <w:r w:rsidRPr="005346D4">
        <w:rPr>
          <w:rFonts w:ascii="Century Gothic" w:hAnsi="Century Gothic" w:cs="Arial"/>
          <w:noProof/>
          <w:lang w:val="es-ES_tradnl"/>
        </w:rPr>
        <w:t xml:space="preserve">n el marco de la Ley 2056 de 2020, tambien se expidió el Decreto 1821 de 2020, </w:t>
      </w:r>
      <w:r w:rsidR="007639DD" w:rsidRPr="008B29B3">
        <w:rPr>
          <w:rFonts w:ascii="Century Gothic" w:hAnsi="Century Gothic" w:cs="Arial"/>
          <w:i/>
          <w:lang w:val="es-ES_tradnl"/>
        </w:rPr>
        <w:t>“</w:t>
      </w:r>
      <w:r w:rsidRPr="008B29B3">
        <w:rPr>
          <w:rStyle w:val="Strong"/>
          <w:rFonts w:ascii="Century Gothic" w:hAnsi="Century Gothic" w:cs="Arial"/>
          <w:b w:val="0"/>
          <w:i/>
          <w:shd w:val="clear" w:color="auto" w:fill="FFFFFF"/>
        </w:rPr>
        <w:t>Por el cual se expide el Decreto Único Reglamentario del Sistema General de Regalías</w:t>
      </w:r>
      <w:r w:rsidR="007639DD" w:rsidRPr="008B29B3">
        <w:rPr>
          <w:rFonts w:ascii="Century Gothic" w:hAnsi="Century Gothic" w:cs="Arial"/>
          <w:i/>
          <w:lang w:val="es-ES_tradnl"/>
        </w:rPr>
        <w:t>”</w:t>
      </w:r>
      <w:r w:rsidRPr="008B29B3">
        <w:rPr>
          <w:rFonts w:ascii="Century Gothic" w:hAnsi="Century Gothic" w:cs="Arial"/>
          <w:b/>
          <w:i/>
          <w:lang w:val="es-ES_tradnl"/>
        </w:rPr>
        <w:t xml:space="preserve">, </w:t>
      </w:r>
      <w:r w:rsidRPr="005346D4">
        <w:rPr>
          <w:rFonts w:ascii="Century Gothic" w:hAnsi="Century Gothic" w:cs="Arial"/>
          <w:noProof/>
          <w:lang w:val="es-ES_tradnl"/>
        </w:rPr>
        <w:t xml:space="preserve">reglamento que regula la ejecución de los proyectos. A partir de lo expuesto, se analizará el régimen de contratación aplicable de las entidades públicas ejecutoras en el Sistema General de Regalías. </w:t>
      </w:r>
    </w:p>
    <w:p w14:paraId="1ED12321" w14:textId="2B9FFA55" w:rsidR="00A82319" w:rsidRPr="005346D4" w:rsidRDefault="00A82319" w:rsidP="00A82319">
      <w:pPr>
        <w:spacing w:line="276" w:lineRule="auto"/>
        <w:jc w:val="both"/>
        <w:rPr>
          <w:rFonts w:ascii="Century Gothic" w:eastAsia="Calibri" w:hAnsi="Century Gothic" w:cs="Arial"/>
          <w:color w:val="000000" w:themeColor="text1"/>
          <w:lang w:val="es-ES_tradnl"/>
        </w:rPr>
      </w:pPr>
      <w:r w:rsidRPr="005346D4">
        <w:rPr>
          <w:rFonts w:ascii="Century Gothic" w:hAnsi="Century Gothic" w:cs="Arial"/>
          <w:b/>
        </w:rPr>
        <w:t>2.2.</w:t>
      </w:r>
      <w:r w:rsidRPr="005346D4">
        <w:rPr>
          <w:rFonts w:ascii="Century Gothic" w:hAnsi="Century Gothic"/>
        </w:rPr>
        <w:t xml:space="preserve"> </w:t>
      </w:r>
      <w:r w:rsidRPr="005346D4">
        <w:rPr>
          <w:rFonts w:ascii="Century Gothic" w:eastAsia="Calibri" w:hAnsi="Century Gothic" w:cs="Arial"/>
          <w:b/>
          <w:color w:val="000000" w:themeColor="text1"/>
          <w:lang w:val="es-ES_tradnl"/>
        </w:rPr>
        <w:t>Régimen contractual del ejecutor de los proyectos en el Sistema General de Regalías</w:t>
      </w:r>
      <w:r w:rsidR="008013CE">
        <w:rPr>
          <w:rFonts w:ascii="Century Gothic" w:eastAsia="Calibri" w:hAnsi="Century Gothic" w:cs="Arial"/>
          <w:b/>
          <w:color w:val="000000" w:themeColor="text1"/>
          <w:lang w:val="es-ES_tradnl"/>
        </w:rPr>
        <w:t xml:space="preserve"> y capac</w:t>
      </w:r>
      <w:r w:rsidR="00D23304">
        <w:rPr>
          <w:rFonts w:ascii="Century Gothic" w:eastAsia="Calibri" w:hAnsi="Century Gothic" w:cs="Arial"/>
          <w:b/>
          <w:color w:val="000000" w:themeColor="text1"/>
          <w:lang w:val="es-ES_tradnl"/>
        </w:rPr>
        <w:t>idad contractual de los entes representativos de</w:t>
      </w:r>
      <w:r w:rsidR="00E70339">
        <w:rPr>
          <w:rFonts w:ascii="Century Gothic" w:eastAsia="Calibri" w:hAnsi="Century Gothic" w:cs="Arial"/>
          <w:b/>
          <w:color w:val="000000" w:themeColor="text1"/>
          <w:lang w:val="es-ES_tradnl"/>
        </w:rPr>
        <w:t xml:space="preserve"> la población negra, afrodescendiente, raizal y palenquera</w:t>
      </w:r>
    </w:p>
    <w:p w14:paraId="49F65A84" w14:textId="77777777" w:rsidR="00A82319" w:rsidRPr="005346D4" w:rsidRDefault="00A82319" w:rsidP="001055D9">
      <w:pPr>
        <w:spacing w:line="276" w:lineRule="auto"/>
        <w:jc w:val="both"/>
        <w:rPr>
          <w:rFonts w:ascii="Century Gothic" w:hAnsi="Century Gothic" w:cs="Arial"/>
          <w:noProof/>
        </w:rPr>
      </w:pPr>
      <w:r w:rsidRPr="005346D4">
        <w:rPr>
          <w:rFonts w:ascii="Century Gothic" w:hAnsi="Century Gothic" w:cs="Arial"/>
          <w:noProof/>
          <w:lang w:val="es-ES_tradnl"/>
        </w:rPr>
        <w:t xml:space="preserve">En </w:t>
      </w:r>
      <w:r w:rsidRPr="005346D4">
        <w:rPr>
          <w:rFonts w:ascii="Century Gothic" w:hAnsi="Century Gothic" w:cs="Arial"/>
          <w:noProof/>
        </w:rPr>
        <w:t xml:space="preserve">el Título IV, Capítulo I, la Ley 2056 de 2020 establece las reglas generales para los proyectos de inversión en el Sistema General de Regalías. En esta línea, regula la destinación de los proyectos del Sistema General de Regalías –artículo 28–, las características de los proyectos de inversión –artículo 29–, los ejercicios de planeación –artículo 30–, el ciclo de los proyectos de inversión –artículo 31–, el registro de proyectos –artículo 32–, formulación y presentación de los proyectos de inversión –artículo 33–, viabilidad de los proyectos de inversión–artículo 34–, </w:t>
      </w:r>
      <w:r w:rsidRPr="005346D4">
        <w:rPr>
          <w:rFonts w:ascii="Century Gothic" w:hAnsi="Century Gothic" w:cs="Arial"/>
          <w:noProof/>
        </w:rPr>
        <w:lastRenderedPageBreak/>
        <w:t xml:space="preserve">priorización y aprobación de los proyectos de inversión de la asignación para la inversión regional –artículo 35–, priorización y aprobación de proyectos de inversión para las asignaciones directas y asignación para la inversión local –artículo 36–, así como la ejecución de proyectos de inversión –artículo 37–. De esta manera, se destacan algunos artículos que regulan aspectos importantes en la materia: </w:t>
      </w:r>
    </w:p>
    <w:p w14:paraId="0AFB59A4" w14:textId="77777777" w:rsidR="00A82319" w:rsidRPr="005346D4" w:rsidRDefault="00A82319" w:rsidP="00A82319">
      <w:pPr>
        <w:spacing w:before="120" w:line="276" w:lineRule="auto"/>
        <w:ind w:firstLine="708"/>
        <w:jc w:val="both"/>
        <w:rPr>
          <w:rFonts w:ascii="Century Gothic" w:hAnsi="Century Gothic" w:cs="Arial"/>
          <w:noProof/>
        </w:rPr>
      </w:pPr>
      <w:r w:rsidRPr="005346D4">
        <w:rPr>
          <w:rFonts w:ascii="Century Gothic" w:hAnsi="Century Gothic" w:cs="Arial"/>
          <w:noProof/>
        </w:rPr>
        <w:t>i) E</w:t>
      </w:r>
      <w:r w:rsidRPr="005346D4">
        <w:rPr>
          <w:rFonts w:ascii="Century Gothic" w:hAnsi="Century Gothic" w:cs="Arial"/>
          <w:noProof/>
          <w:lang w:val="es-ES_tradnl"/>
        </w:rPr>
        <w:t>l artículo 28 dispone que con este tipo de recursos se financian proyectos de inversión en sus diferentes etapas, con la condición que estén en el horizonte de realización. Asimismo, pueden financiarse estudios y diseños como parte de los proyectos de inversión y sus obras complementarias. Estos proyectos deben basarse en la metodología dispuesta por el Departamento Nacional de Planeación y a su vez, se dispone que estos recursos no podrán financiar gastos permanentes: una vez finalizada la etapa de inversión, la prestación del servicio debe ser sostenible y financiada por recursos diferentes al Sistema General de Regalías</w:t>
      </w:r>
      <w:r w:rsidRPr="005346D4">
        <w:rPr>
          <w:rStyle w:val="FootnoteReference"/>
          <w:rFonts w:ascii="Century Gothic" w:hAnsi="Century Gothic" w:cs="Arial"/>
          <w:noProof/>
          <w:lang w:val="es-ES_tradnl"/>
        </w:rPr>
        <w:footnoteReference w:id="8"/>
      </w:r>
      <w:r w:rsidRPr="005346D4">
        <w:rPr>
          <w:rFonts w:ascii="Century Gothic" w:hAnsi="Century Gothic" w:cs="Arial"/>
          <w:noProof/>
          <w:lang w:val="es-ES_tradnl"/>
        </w:rPr>
        <w:t>.</w:t>
      </w:r>
      <w:r w:rsidRPr="005346D4">
        <w:rPr>
          <w:rFonts w:ascii="Century Gothic" w:hAnsi="Century Gothic" w:cs="Arial"/>
          <w:noProof/>
        </w:rPr>
        <w:t xml:space="preserve"> </w:t>
      </w:r>
    </w:p>
    <w:p w14:paraId="67AA9A54" w14:textId="77777777" w:rsidR="00A82319" w:rsidRPr="005346D4" w:rsidRDefault="00A82319" w:rsidP="00A82319">
      <w:pPr>
        <w:spacing w:before="120" w:after="120" w:line="276" w:lineRule="auto"/>
        <w:ind w:firstLine="709"/>
        <w:jc w:val="both"/>
        <w:rPr>
          <w:rFonts w:ascii="Century Gothic" w:hAnsi="Century Gothic" w:cs="Arial"/>
          <w:noProof/>
        </w:rPr>
      </w:pPr>
      <w:r w:rsidRPr="005346D4">
        <w:rPr>
          <w:rFonts w:ascii="Century Gothic" w:hAnsi="Century Gothic" w:cs="Arial"/>
          <w:noProof/>
        </w:rPr>
        <w:t>ii) El artículo 35, parágrafo 2, dispone que los Departamentos y Órganos Colegiados de Administración y Decisión Regionales que trata el artículo citado, en el marco de sus competencia, deben designar una</w:t>
      </w:r>
      <w:r w:rsidRPr="005346D4" w:rsidDel="003822CF">
        <w:rPr>
          <w:rFonts w:ascii="Century Gothic" w:hAnsi="Century Gothic" w:cs="Arial"/>
          <w:noProof/>
        </w:rPr>
        <w:t xml:space="preserve"> </w:t>
      </w:r>
      <w:r w:rsidRPr="005346D4">
        <w:rPr>
          <w:rFonts w:ascii="Century Gothic" w:hAnsi="Century Gothic" w:cs="Arial"/>
          <w:noProof/>
        </w:rPr>
        <w:t>entidad ejecutora de naturaleza pública, que además debe estar a cargo de la contratación de la interventoría, de acuerdo a lo regulado en dicha ley</w:t>
      </w:r>
      <w:r w:rsidRPr="005346D4">
        <w:rPr>
          <w:rStyle w:val="FootnoteReference"/>
          <w:rFonts w:ascii="Century Gothic" w:hAnsi="Century Gothic" w:cs="Arial"/>
          <w:noProof/>
        </w:rPr>
        <w:footnoteReference w:id="9"/>
      </w:r>
      <w:r w:rsidRPr="005346D4">
        <w:rPr>
          <w:rFonts w:ascii="Century Gothic" w:hAnsi="Century Gothic" w:cs="Arial"/>
          <w:noProof/>
        </w:rPr>
        <w:t xml:space="preserve">. </w:t>
      </w:r>
    </w:p>
    <w:p w14:paraId="16EF79BC" w14:textId="77777777" w:rsidR="00A82319" w:rsidRPr="005346D4" w:rsidRDefault="00A82319" w:rsidP="00A82319">
      <w:pPr>
        <w:spacing w:after="120" w:line="276" w:lineRule="auto"/>
        <w:ind w:firstLine="709"/>
        <w:jc w:val="both"/>
        <w:rPr>
          <w:rFonts w:ascii="Century Gothic" w:hAnsi="Century Gothic" w:cs="Arial"/>
        </w:rPr>
      </w:pPr>
      <w:r w:rsidRPr="005346D4">
        <w:rPr>
          <w:rFonts w:ascii="Century Gothic" w:hAnsi="Century Gothic" w:cs="Arial"/>
          <w:noProof/>
        </w:rPr>
        <w:lastRenderedPageBreak/>
        <w:t xml:space="preserve">iii) El artículo 36 dispone, entre otras cosas, que las entidades territoriales receptoras de asignaciones directas y de la asignación para la inversión local, son las encargadas de priorizar y aprobar los proyectos de inversión que se financian con los recursos del Sistema General de Regalías, </w:t>
      </w:r>
      <w:r w:rsidRPr="005346D4">
        <w:rPr>
          <w:rFonts w:ascii="Century Gothic" w:hAnsi="Century Gothic" w:cs="Arial"/>
        </w:rPr>
        <w:t>así como de verificar su disponibilidad, conforme con la metodología del Departamento Nacional de Planeación</w:t>
      </w:r>
      <w:r w:rsidRPr="005346D4">
        <w:rPr>
          <w:rStyle w:val="FootnoteReference"/>
          <w:rFonts w:ascii="Century Gothic" w:hAnsi="Century Gothic" w:cs="Arial"/>
        </w:rPr>
        <w:footnoteReference w:id="10"/>
      </w:r>
      <w:r w:rsidRPr="005346D4">
        <w:rPr>
          <w:rFonts w:ascii="Century Gothic" w:hAnsi="Century Gothic" w:cs="Arial"/>
        </w:rPr>
        <w:t>.</w:t>
      </w:r>
    </w:p>
    <w:p w14:paraId="7C1DE661" w14:textId="77777777" w:rsidR="00A82319" w:rsidRPr="005346D4" w:rsidRDefault="00A82319" w:rsidP="00A82319">
      <w:pPr>
        <w:spacing w:after="120" w:line="276" w:lineRule="auto"/>
        <w:ind w:firstLine="709"/>
        <w:jc w:val="both"/>
        <w:rPr>
          <w:rFonts w:ascii="Century Gothic" w:hAnsi="Century Gothic" w:cs="Arial"/>
        </w:rPr>
      </w:pPr>
      <w:proofErr w:type="spellStart"/>
      <w:r w:rsidRPr="005346D4">
        <w:rPr>
          <w:rFonts w:ascii="Century Gothic" w:hAnsi="Century Gothic" w:cs="Arial"/>
        </w:rPr>
        <w:t>iv</w:t>
      </w:r>
      <w:proofErr w:type="spellEnd"/>
      <w:r w:rsidRPr="005346D4">
        <w:rPr>
          <w:rFonts w:ascii="Century Gothic" w:hAnsi="Century Gothic" w:cs="Arial"/>
        </w:rPr>
        <w:t xml:space="preserve">) El artículo 37 de la Ley 2056 de 2020 dispone que los proyectos de inversión que se financien con cargo al Sistema General de Regalías serán ejecutados por quien designe las entidades u órganos de que tratan los artículos 35 y 36 </w:t>
      </w:r>
      <w:r w:rsidRPr="005346D4">
        <w:rPr>
          <w:rFonts w:ascii="Century Gothic" w:hAnsi="Century Gothic" w:cs="Arial"/>
          <w:i/>
          <w:iCs/>
        </w:rPr>
        <w:t>ibidem</w:t>
      </w:r>
      <w:r w:rsidRPr="005346D4">
        <w:rPr>
          <w:rFonts w:ascii="Century Gothic" w:hAnsi="Century Gothic" w:cs="Arial"/>
        </w:rPr>
        <w:t xml:space="preserve">. También agrega que la entidad pública ejecutora tiene el deber de adelantar la contratación de la interventoría, de conformidad con lo previsto en la presente ley. Las entidades ejecutoras de recursos del Sistema son responsables de suministrar de forma veraz, oportuna e idónea, la información de la gestión de los proyectos que se requiera e implementar las actuaciones pertinentes para encauzar el desempeño de los proyectos de inversión y decidir, de manera motivada, sobre la continuidad de los mismos, sin perjuicio de las acciones de control a las que haya lugar. </w:t>
      </w:r>
    </w:p>
    <w:p w14:paraId="221C0336" w14:textId="48D284B0" w:rsidR="00A82319" w:rsidRPr="005346D4" w:rsidRDefault="00A82319" w:rsidP="00A82319">
      <w:pPr>
        <w:spacing w:line="276" w:lineRule="auto"/>
        <w:ind w:firstLine="708"/>
        <w:jc w:val="both"/>
        <w:rPr>
          <w:rFonts w:ascii="Century Gothic" w:hAnsi="Century Gothic" w:cs="Arial"/>
          <w:noProof/>
        </w:rPr>
      </w:pPr>
      <w:r w:rsidRPr="005346D4">
        <w:rPr>
          <w:rFonts w:ascii="Century Gothic" w:hAnsi="Century Gothic" w:cs="Arial"/>
        </w:rPr>
        <w:t xml:space="preserve">En esta línea, el parágrafo primero del artículo 37 dispone: </w:t>
      </w:r>
      <w:r w:rsidR="0007312C">
        <w:rPr>
          <w:rFonts w:ascii="Century Gothic" w:hAnsi="Century Gothic" w:cs="Arial"/>
        </w:rPr>
        <w:t>“</w:t>
      </w:r>
      <w:r w:rsidRPr="005346D4">
        <w:rPr>
          <w:rFonts w:ascii="Century Gothic" w:hAnsi="Century Gothic" w:cs="Arial"/>
        </w:rPr>
        <w:t xml:space="preserve">La ejecución de proyectos de </w:t>
      </w:r>
      <w:r w:rsidR="0007312C" w:rsidRPr="005346D4">
        <w:rPr>
          <w:rFonts w:ascii="Century Gothic" w:hAnsi="Century Gothic" w:cs="Arial"/>
        </w:rPr>
        <w:t>qué</w:t>
      </w:r>
      <w:r w:rsidRPr="005346D4">
        <w:rPr>
          <w:rFonts w:ascii="Century Gothic" w:hAnsi="Century Gothic" w:cs="Arial"/>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w:t>
      </w:r>
      <w:r w:rsidRPr="005346D4">
        <w:rPr>
          <w:rFonts w:ascii="Century Gothic" w:hAnsi="Century Gothic" w:cs="Arial"/>
        </w:rPr>
        <w:lastRenderedPageBreak/>
        <w:t>información requerida por el sistema de seguimiento, evaluación y control</w:t>
      </w:r>
      <w:r w:rsidR="0007312C">
        <w:rPr>
          <w:rFonts w:ascii="Century Gothic" w:hAnsi="Century Gothic" w:cs="Arial"/>
        </w:rPr>
        <w:t>”</w:t>
      </w:r>
      <w:r w:rsidRPr="005346D4">
        <w:rPr>
          <w:rStyle w:val="FootnoteReference"/>
          <w:rFonts w:ascii="Century Gothic" w:hAnsi="Century Gothic" w:cs="Arial"/>
        </w:rPr>
        <w:footnoteReference w:id="11"/>
      </w:r>
      <w:r w:rsidRPr="005346D4">
        <w:rPr>
          <w:rFonts w:ascii="Century Gothic" w:hAnsi="Century Gothic" w:cs="Arial"/>
        </w:rPr>
        <w:t>.</w:t>
      </w:r>
      <w:r w:rsidRPr="005346D4">
        <w:rPr>
          <w:rFonts w:ascii="Century Gothic" w:hAnsi="Century Gothic" w:cs="Arial"/>
          <w:noProof/>
        </w:rPr>
        <w:t xml:space="preserve"> A partir de esta norma, el ejercutor de los proyectos de inversion en el SGR debe sujetarse a las reglas de contratación pública, es decir, a las prescripciones establecidas en el Estatuto General de Contratación Pública, así como las normas que lo modifiquen, sustituyan o reglamenten. En efecto, el ejecutor debe someterse a las reglas generales de la contratación pública cuando desarrolle proyectos en el marco del Sistema General de Regalías. </w:t>
      </w:r>
    </w:p>
    <w:p w14:paraId="27B3FEB8" w14:textId="78909D98" w:rsidR="00A82319" w:rsidRPr="005346D4" w:rsidRDefault="00A82319" w:rsidP="00A82319">
      <w:pPr>
        <w:spacing w:before="120" w:line="276" w:lineRule="auto"/>
        <w:ind w:firstLine="709"/>
        <w:jc w:val="both"/>
        <w:rPr>
          <w:rFonts w:ascii="Century Gothic" w:hAnsi="Century Gothic" w:cs="Arial"/>
        </w:rPr>
      </w:pPr>
      <w:r w:rsidRPr="005346D4">
        <w:rPr>
          <w:rFonts w:ascii="Century Gothic" w:eastAsia="Calibri" w:hAnsi="Century Gothic" w:cs="Arial"/>
          <w:color w:val="000000" w:themeColor="text1"/>
          <w:lang w:val="es-ES_tradnl"/>
        </w:rPr>
        <w:t xml:space="preserve">Igualmente, es importante referenciar lo prescrito en los artículos 85, 99 y 109 de la Ley 2056 de 2020 sobre los recursos del Sistema General de Regalías. </w:t>
      </w:r>
      <w:bookmarkStart w:id="7" w:name="_Hlk66438231"/>
      <w:r w:rsidRPr="005346D4">
        <w:rPr>
          <w:rFonts w:ascii="Century Gothic" w:eastAsia="Calibri" w:hAnsi="Century Gothic" w:cs="Arial"/>
          <w:color w:val="000000" w:themeColor="text1"/>
          <w:lang w:val="es-ES_tradnl"/>
        </w:rPr>
        <w:t xml:space="preserve">En efecto, </w:t>
      </w:r>
      <w:r w:rsidRPr="005346D4">
        <w:rPr>
          <w:rFonts w:ascii="Century Gothic" w:hAnsi="Century Gothic" w:cs="Arial"/>
        </w:rPr>
        <w:t xml:space="preserve">conforme a los preceptos citados, </w:t>
      </w:r>
      <w:bookmarkStart w:id="8" w:name="_Hlk71740241"/>
      <w:r w:rsidRPr="005346D4">
        <w:rPr>
          <w:rFonts w:ascii="Century Gothic" w:hAnsi="Century Gothic" w:cs="Arial"/>
        </w:rPr>
        <w:t xml:space="preserve">cuando dichos recursos sean para proyectos de inversión en i) pueblos y </w:t>
      </w:r>
      <w:bookmarkStart w:id="9" w:name="_Hlk66435016"/>
      <w:r w:rsidRPr="005346D4">
        <w:rPr>
          <w:rFonts w:ascii="Century Gothic" w:hAnsi="Century Gothic" w:cs="Arial"/>
        </w:rPr>
        <w:t>comunidades indígenas</w:t>
      </w:r>
      <w:bookmarkEnd w:id="9"/>
      <w:r w:rsidRPr="005346D4">
        <w:rPr>
          <w:rFonts w:ascii="Century Gothic" w:hAnsi="Century Gothic" w:cs="Arial"/>
        </w:rPr>
        <w:t xml:space="preserve">, </w:t>
      </w:r>
      <w:proofErr w:type="spellStart"/>
      <w:r w:rsidRPr="005346D4">
        <w:rPr>
          <w:rFonts w:ascii="Century Gothic" w:hAnsi="Century Gothic" w:cs="Arial"/>
        </w:rPr>
        <w:t>ii</w:t>
      </w:r>
      <w:proofErr w:type="spellEnd"/>
      <w:r w:rsidRPr="005346D4">
        <w:rPr>
          <w:rFonts w:ascii="Century Gothic" w:hAnsi="Century Gothic" w:cs="Arial"/>
        </w:rPr>
        <w:t>)</w:t>
      </w:r>
      <w:r w:rsidRPr="005346D4">
        <w:rPr>
          <w:rFonts w:ascii="Century Gothic" w:hAnsi="Century Gothic" w:cs="Arial"/>
          <w:lang w:val="es-MX"/>
        </w:rPr>
        <w:t xml:space="preserve"> </w:t>
      </w:r>
      <w:r w:rsidRPr="005346D4">
        <w:rPr>
          <w:rFonts w:ascii="Century Gothic" w:hAnsi="Century Gothic" w:cs="Arial"/>
        </w:rPr>
        <w:t xml:space="preserve">comunidades negras, afrocolombiana, raizales y palenqueras y </w:t>
      </w:r>
      <w:proofErr w:type="spellStart"/>
      <w:r w:rsidRPr="005346D4">
        <w:rPr>
          <w:rFonts w:ascii="Century Gothic" w:hAnsi="Century Gothic" w:cs="Arial"/>
        </w:rPr>
        <w:t>iii</w:t>
      </w:r>
      <w:proofErr w:type="spellEnd"/>
      <w:r w:rsidRPr="005346D4">
        <w:rPr>
          <w:rFonts w:ascii="Century Gothic" w:hAnsi="Century Gothic" w:cs="Arial"/>
        </w:rPr>
        <w:t xml:space="preserve">) el pueblo </w:t>
      </w:r>
      <w:proofErr w:type="spellStart"/>
      <w:r w:rsidRPr="005346D4">
        <w:rPr>
          <w:rFonts w:ascii="Century Gothic" w:hAnsi="Century Gothic" w:cs="Arial"/>
        </w:rPr>
        <w:t>Rrom</w:t>
      </w:r>
      <w:proofErr w:type="spellEnd"/>
      <w:r w:rsidRPr="005346D4">
        <w:rPr>
          <w:rFonts w:ascii="Century Gothic" w:hAnsi="Century Gothic" w:cs="Arial"/>
        </w:rPr>
        <w:t xml:space="preserve"> o gitano, </w:t>
      </w:r>
      <w:r w:rsidR="00F175CF">
        <w:rPr>
          <w:rFonts w:ascii="Century Gothic" w:hAnsi="Century Gothic" w:cs="Arial"/>
        </w:rPr>
        <w:t>“L</w:t>
      </w:r>
      <w:r w:rsidRPr="005346D4">
        <w:rPr>
          <w:rFonts w:ascii="Century Gothic" w:hAnsi="Century Gothic" w:cs="Arial"/>
        </w:rPr>
        <w:t>os actos o contratos que expidan o celebren los ejecutores</w:t>
      </w:r>
      <w:r w:rsidRPr="005346D4">
        <w:rPr>
          <w:rFonts w:ascii="Century Gothic" w:hAnsi="Century Gothic" w:cs="Arial"/>
          <w:lang w:val="es-MX"/>
        </w:rPr>
        <w:t xml:space="preserve"> </w:t>
      </w:r>
      <w:r w:rsidRPr="005346D4">
        <w:rPr>
          <w:rFonts w:ascii="Century Gothic" w:hAnsi="Century Gothic" w:cs="Arial"/>
        </w:rPr>
        <w:t>se regirán por las normas presupuestales contenidas en la presente ley, el Estatuto de Contratación Estatal, las normas contables que para este efecto defina la Contaduría General de la Nación y las demás disposiciones complementarias</w:t>
      </w:r>
      <w:r w:rsidR="00B100DB">
        <w:rPr>
          <w:rFonts w:ascii="Century Gothic" w:hAnsi="Century Gothic" w:cs="Arial"/>
        </w:rPr>
        <w:t>”</w:t>
      </w:r>
      <w:r w:rsidRPr="005346D4">
        <w:rPr>
          <w:rFonts w:ascii="Century Gothic" w:hAnsi="Century Gothic" w:cs="Arial"/>
        </w:rPr>
        <w:t>.</w:t>
      </w:r>
      <w:bookmarkEnd w:id="7"/>
      <w:r w:rsidRPr="005346D4">
        <w:rPr>
          <w:rFonts w:ascii="Century Gothic" w:hAnsi="Century Gothic" w:cs="Arial"/>
        </w:rPr>
        <w:t xml:space="preserve"> </w:t>
      </w:r>
      <w:bookmarkEnd w:id="8"/>
      <w:r w:rsidRPr="005346D4">
        <w:rPr>
          <w:rFonts w:ascii="Century Gothic" w:hAnsi="Century Gothic" w:cs="Arial"/>
        </w:rPr>
        <w:t xml:space="preserve">Por su parte, los artículos 83, 98 y 108 de la Ley 2056 de 2020 determinan que la designación del ejecutor de los </w:t>
      </w:r>
      <w:r w:rsidRPr="005346D4">
        <w:rPr>
          <w:rFonts w:ascii="Century Gothic" w:hAnsi="Century Gothic" w:cs="Arial"/>
        </w:rPr>
        <w:lastRenderedPageBreak/>
        <w:t xml:space="preserve">recursos corresponde tanto a las instancias de decisión de las comunidades indígenas, negras, afrocolombiana, raizales y palenqueras como la Comisión Nacional de Diálogo del Pueblo </w:t>
      </w:r>
      <w:proofErr w:type="spellStart"/>
      <w:r w:rsidRPr="005346D4">
        <w:rPr>
          <w:rFonts w:ascii="Century Gothic" w:hAnsi="Century Gothic" w:cs="Arial"/>
        </w:rPr>
        <w:t>Rrom</w:t>
      </w:r>
      <w:proofErr w:type="spellEnd"/>
      <w:r w:rsidRPr="005346D4">
        <w:rPr>
          <w:rFonts w:ascii="Century Gothic" w:hAnsi="Century Gothic" w:cs="Arial"/>
        </w:rPr>
        <w:t xml:space="preserve"> o Gitano. </w:t>
      </w:r>
      <w:r w:rsidRPr="005346D4">
        <w:rPr>
          <w:rFonts w:ascii="Century Gothic" w:eastAsia="Calibri" w:hAnsi="Century Gothic" w:cs="Arial"/>
          <w:color w:val="000000" w:themeColor="text1"/>
        </w:rPr>
        <w:t xml:space="preserve">Esto, sin </w:t>
      </w:r>
      <w:r w:rsidRPr="005346D4">
        <w:rPr>
          <w:rFonts w:ascii="Century Gothic" w:hAnsi="Century Gothic" w:cs="Arial"/>
        </w:rPr>
        <w:t xml:space="preserve">perjuicio de lo previsto en los artículos 87 y 101 de la Ley 2056 de 2020 para los proyectos financiables con recursos de la asignación directa, es relevante resaltar que los actos o contratos que celebren los ejecutores están sometidos a la Ley 80 de 1993. </w:t>
      </w:r>
    </w:p>
    <w:p w14:paraId="492DD504" w14:textId="352B8824" w:rsidR="0013338B" w:rsidRDefault="00A82319" w:rsidP="008B29B3">
      <w:pPr>
        <w:spacing w:before="120" w:after="0" w:line="276" w:lineRule="auto"/>
        <w:ind w:firstLine="709"/>
        <w:jc w:val="both"/>
        <w:rPr>
          <w:rFonts w:ascii="Century Gothic" w:hAnsi="Century Gothic" w:cs="Arial"/>
          <w:color w:val="000000"/>
          <w:bdr w:val="none" w:sz="0" w:space="0" w:color="auto" w:frame="1"/>
          <w:lang w:val="es-MX"/>
        </w:rPr>
      </w:pPr>
      <w:r w:rsidRPr="00F63173">
        <w:rPr>
          <w:rFonts w:ascii="Century Gothic" w:hAnsi="Century Gothic" w:cs="Arial"/>
        </w:rPr>
        <w:t xml:space="preserve">Por tanto, </w:t>
      </w:r>
      <w:r w:rsidR="00D22EE2">
        <w:rPr>
          <w:rFonts w:ascii="Century Gothic" w:hAnsi="Century Gothic" w:cs="Arial"/>
        </w:rPr>
        <w:t>la ejecución de</w:t>
      </w:r>
      <w:r w:rsidRPr="00F63173">
        <w:rPr>
          <w:rFonts w:ascii="Century Gothic" w:hAnsi="Century Gothic" w:cs="Arial"/>
        </w:rPr>
        <w:t xml:space="preserve"> proyectos de inversión en el marco del Sistema General de Garantías, </w:t>
      </w:r>
      <w:r w:rsidR="00A9744A">
        <w:rPr>
          <w:rFonts w:ascii="Century Gothic" w:hAnsi="Century Gothic" w:cs="Arial"/>
        </w:rPr>
        <w:t xml:space="preserve">de ser realizada por </w:t>
      </w:r>
      <w:r w:rsidRPr="00F63173">
        <w:rPr>
          <w:rFonts w:ascii="Century Gothic" w:hAnsi="Century Gothic" w:cs="Arial"/>
        </w:rPr>
        <w:t xml:space="preserve">los ejecutores designados </w:t>
      </w:r>
      <w:r w:rsidR="00A9744A">
        <w:rPr>
          <w:rFonts w:ascii="Century Gothic" w:hAnsi="Century Gothic" w:cs="Arial"/>
        </w:rPr>
        <w:t xml:space="preserve">con </w:t>
      </w:r>
      <w:r w:rsidRPr="00F63173">
        <w:rPr>
          <w:rFonts w:ascii="Century Gothic" w:hAnsi="Century Gothic" w:cs="Arial"/>
        </w:rPr>
        <w:t>suje</w:t>
      </w:r>
      <w:r w:rsidR="00A9744A">
        <w:rPr>
          <w:rFonts w:ascii="Century Gothic" w:hAnsi="Century Gothic" w:cs="Arial"/>
        </w:rPr>
        <w:t>ción</w:t>
      </w:r>
      <w:r w:rsidRPr="00F63173">
        <w:rPr>
          <w:rFonts w:ascii="Century Gothic" w:hAnsi="Century Gothic" w:cs="Arial"/>
        </w:rPr>
        <w:t xml:space="preserve"> al Estatuto General de Contratación de la Administración Pública</w:t>
      </w:r>
      <w:r w:rsidRPr="00F63173">
        <w:rPr>
          <w:rFonts w:ascii="Century Gothic" w:eastAsia="Calibri" w:hAnsi="Century Gothic" w:cs="Arial"/>
          <w:lang w:val="es-MX"/>
        </w:rPr>
        <w:t>.</w:t>
      </w:r>
      <w:r w:rsidRPr="00F63173">
        <w:rPr>
          <w:rFonts w:ascii="Century Gothic" w:hAnsi="Century Gothic" w:cs="Arial"/>
        </w:rPr>
        <w:t xml:space="preserve"> </w:t>
      </w:r>
      <w:r w:rsidR="00EA336A">
        <w:rPr>
          <w:rFonts w:ascii="Century Gothic" w:hAnsi="Century Gothic" w:cs="Arial"/>
          <w:color w:val="000000"/>
          <w:bdr w:val="none" w:sz="0" w:space="0" w:color="auto" w:frame="1"/>
        </w:rPr>
        <w:t>De igual forma, en</w:t>
      </w:r>
      <w:r w:rsidRPr="00F63173">
        <w:rPr>
          <w:rFonts w:ascii="Century Gothic" w:hAnsi="Century Gothic" w:cs="Arial"/>
          <w:color w:val="000000"/>
          <w:bdr w:val="none" w:sz="0" w:space="0" w:color="auto" w:frame="1"/>
        </w:rPr>
        <w:t xml:space="preserve"> </w:t>
      </w:r>
      <w:r w:rsidRPr="00F63173">
        <w:rPr>
          <w:rFonts w:ascii="Century Gothic" w:hAnsi="Century Gothic" w:cs="Arial"/>
          <w:color w:val="000000"/>
          <w:bdr w:val="none" w:sz="0" w:space="0" w:color="auto" w:frame="1"/>
          <w:lang w:val="es-MX"/>
        </w:rPr>
        <w:t xml:space="preserve">el evento en que determinados asuntos estén sometidos por norma especial al Estatuto General de Contratación Pública, la ejecución de los contratos deberá realizarse conforme a este régimen. </w:t>
      </w:r>
    </w:p>
    <w:p w14:paraId="5D017696" w14:textId="477A0305" w:rsidR="0090464B" w:rsidRPr="008B29B3" w:rsidRDefault="0090464B" w:rsidP="008B29B3">
      <w:pPr>
        <w:spacing w:after="0" w:line="276" w:lineRule="auto"/>
        <w:jc w:val="both"/>
        <w:rPr>
          <w:rFonts w:ascii="Century Gothic" w:hAnsi="Century Gothic" w:cs="Arial"/>
          <w:color w:val="000000"/>
          <w:bdr w:val="none" w:sz="0" w:space="0" w:color="auto" w:frame="1"/>
          <w:lang w:val="es-ES"/>
        </w:rPr>
      </w:pPr>
    </w:p>
    <w:p w14:paraId="18252826" w14:textId="77777777" w:rsidR="00834A63" w:rsidRPr="00834A63" w:rsidRDefault="00834A63" w:rsidP="00834A63">
      <w:pPr>
        <w:tabs>
          <w:tab w:val="left" w:pos="0"/>
        </w:tabs>
        <w:spacing w:after="0"/>
        <w:jc w:val="both"/>
        <w:rPr>
          <w:rFonts w:ascii="Century Gothic" w:eastAsia="Calibri" w:hAnsi="Century Gothic" w:cs="Arial"/>
          <w:b/>
          <w:color w:val="000000" w:themeColor="text1"/>
          <w:lang w:val="es-ES_tradnl"/>
        </w:rPr>
      </w:pPr>
      <w:r w:rsidRPr="00834A63">
        <w:rPr>
          <w:rFonts w:ascii="Century Gothic" w:eastAsia="Calibri" w:hAnsi="Century Gothic" w:cs="Arial"/>
          <w:b/>
          <w:color w:val="000000" w:themeColor="text1"/>
          <w:lang w:val="es-ES_tradnl"/>
        </w:rPr>
        <w:t>3. Respuesta</w:t>
      </w:r>
    </w:p>
    <w:p w14:paraId="6481E81C" w14:textId="77777777" w:rsidR="00834A63" w:rsidRPr="00834A63" w:rsidRDefault="00834A63" w:rsidP="00834A63">
      <w:pPr>
        <w:spacing w:after="0" w:line="276" w:lineRule="auto"/>
        <w:ind w:firstLine="709"/>
        <w:jc w:val="both"/>
        <w:rPr>
          <w:rFonts w:ascii="Century Gothic" w:eastAsia="Calibri" w:hAnsi="Century Gothic" w:cs="Arial"/>
          <w:lang w:val="es-ES_tradnl"/>
        </w:rPr>
      </w:pPr>
    </w:p>
    <w:p w14:paraId="5D996BC0" w14:textId="534D2EEB" w:rsidR="001D0D3A" w:rsidRDefault="001D0D3A" w:rsidP="001D0D3A">
      <w:pPr>
        <w:spacing w:after="0" w:line="240" w:lineRule="auto"/>
        <w:ind w:left="709" w:right="709"/>
        <w:jc w:val="both"/>
        <w:rPr>
          <w:rFonts w:ascii="Century Gothic" w:hAnsi="Century Gothic"/>
          <w:sz w:val="20"/>
          <w:szCs w:val="20"/>
        </w:rPr>
      </w:pPr>
      <w:r w:rsidRPr="001D0D3A">
        <w:rPr>
          <w:rFonts w:ascii="Century Gothic" w:hAnsi="Century Gothic"/>
          <w:sz w:val="20"/>
          <w:szCs w:val="20"/>
        </w:rPr>
        <w:t xml:space="preserve">“[…] 1. Es procedente o no la designación como ENTIDAD EJECUTORA de una organización étnica afrodescendiente debidamente inscrita en el registro único del Ministerio del Interior, para que realice la ejecución de un proyecto aprobado por la Instancia de Decisión de Pueblos y Comunidades Indígenas -IDPCI- con fuente de financiación de la bolsa ASIGNACION PARA LA INVERSION LOCAL GRUPOS ETNICOS – PUEBLOS Y COMUNIDADES INDÍGENAS, considerando lo dispuesto en la ley 2056 de 2020 y sus Decretos reglamentarios. […] </w:t>
      </w:r>
    </w:p>
    <w:p w14:paraId="52B47B79" w14:textId="77777777" w:rsidR="006E2FF1" w:rsidRDefault="006E2FF1" w:rsidP="001D0D3A">
      <w:pPr>
        <w:spacing w:after="0" w:line="240" w:lineRule="auto"/>
        <w:ind w:left="709" w:right="709"/>
        <w:jc w:val="both"/>
        <w:rPr>
          <w:rFonts w:ascii="Century Gothic" w:hAnsi="Century Gothic"/>
          <w:sz w:val="20"/>
          <w:szCs w:val="20"/>
        </w:rPr>
      </w:pPr>
    </w:p>
    <w:p w14:paraId="2ED5E9BE" w14:textId="7040D834" w:rsidR="004A3526" w:rsidRPr="00DD62C5" w:rsidRDefault="004A3526" w:rsidP="004A3526">
      <w:pPr>
        <w:spacing w:after="120" w:line="276" w:lineRule="auto"/>
        <w:jc w:val="both"/>
        <w:rPr>
          <w:rFonts w:ascii="Century Gothic" w:eastAsia="Calibri" w:hAnsi="Century Gothic" w:cs="Arial"/>
          <w:lang w:val="es-ES" w:eastAsia="es-ES"/>
        </w:rPr>
      </w:pPr>
      <w:r w:rsidRPr="00DD62C5">
        <w:rPr>
          <w:rFonts w:ascii="Century Gothic" w:eastAsia="Calibri" w:hAnsi="Century Gothic"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w:t>
      </w:r>
      <w:r w:rsidRPr="00DD62C5">
        <w:rPr>
          <w:rFonts w:ascii="Century Gothic" w:eastAsia="Calibri" w:hAnsi="Century Gothic" w:cs="Arial"/>
          <w:lang w:val="es-ES" w:eastAsia="es-ES"/>
        </w:rPr>
        <w:lastRenderedPageBreak/>
        <w:t>controversias, ni a brindar asesorías sobre casos puntuales</w:t>
      </w:r>
      <w:r w:rsidR="00F335FC" w:rsidRPr="008B29B3">
        <w:rPr>
          <w:rFonts w:ascii="Century Gothic" w:eastAsia="Calibri" w:hAnsi="Century Gothic" w:cs="Arial"/>
          <w:lang w:val="es-ES" w:eastAsia="es-ES"/>
        </w:rPr>
        <w:t xml:space="preserve"> relacionados con la aplicación de las normas del Sistema General de Regalías</w:t>
      </w:r>
      <w:r w:rsidRPr="00DD62C5">
        <w:rPr>
          <w:rFonts w:ascii="Century Gothic" w:eastAsia="Calibri" w:hAnsi="Century Gothic" w:cs="Arial"/>
          <w:lang w:val="es-ES" w:eastAsia="es-ES"/>
        </w:rPr>
        <w:t xml:space="preserve">. </w:t>
      </w:r>
      <w:r w:rsidRPr="00DD62C5">
        <w:rPr>
          <w:rFonts w:ascii="Century Gothic" w:eastAsia="Calibri" w:hAnsi="Century Gothic" w:cs="Arial"/>
          <w:lang w:val="es-ES_tradnl" w:eastAsia="es-ES_tradnl"/>
        </w:rPr>
        <w:tab/>
      </w:r>
    </w:p>
    <w:p w14:paraId="61C79285" w14:textId="18A489F7" w:rsidR="001D0D3A" w:rsidRDefault="004A3526" w:rsidP="008B29B3">
      <w:pPr>
        <w:spacing w:line="276" w:lineRule="auto"/>
        <w:ind w:firstLine="708"/>
        <w:jc w:val="both"/>
        <w:rPr>
          <w:rFonts w:ascii="Century Gothic" w:hAnsi="Century Gothic" w:cs="Arial"/>
          <w:color w:val="000000"/>
          <w:bdr w:val="none" w:sz="0" w:space="0" w:color="auto" w:frame="1"/>
        </w:rPr>
      </w:pPr>
      <w:r w:rsidRPr="00DD62C5">
        <w:rPr>
          <w:rFonts w:ascii="Century Gothic" w:eastAsia="Calibri" w:hAnsi="Century Gothic" w:cs="Arial"/>
          <w:lang w:val="es-ES" w:eastAsia="es-ES"/>
        </w:rPr>
        <w:t>Sin perjuicio de lo anterior,</w:t>
      </w:r>
      <w:r w:rsidR="00F335FC" w:rsidRPr="008B29B3">
        <w:rPr>
          <w:rFonts w:ascii="Century Gothic" w:eastAsia="Calibri" w:hAnsi="Century Gothic" w:cs="Arial"/>
          <w:lang w:val="es-ES" w:eastAsia="es-ES"/>
        </w:rPr>
        <w:t xml:space="preserve"> dentro de los limites de la </w:t>
      </w:r>
      <w:r w:rsidR="00627961" w:rsidRPr="008B29B3">
        <w:rPr>
          <w:rFonts w:ascii="Century Gothic" w:eastAsia="Calibri" w:hAnsi="Century Gothic" w:cs="Arial"/>
          <w:lang w:val="es-ES" w:eastAsia="es-ES"/>
        </w:rPr>
        <w:t>referida función consultiva</w:t>
      </w:r>
      <w:r w:rsidR="00B97D3D" w:rsidRPr="008B29B3">
        <w:rPr>
          <w:rFonts w:ascii="Century Gothic" w:eastAsia="Calibri" w:hAnsi="Century Gothic" w:cs="Arial"/>
          <w:lang w:val="es-ES" w:eastAsia="es-ES"/>
        </w:rPr>
        <w:t>–</w:t>
      </w:r>
      <w:r w:rsidR="001D3D91" w:rsidRPr="008B29B3">
        <w:rPr>
          <w:rFonts w:ascii="Century Gothic" w:eastAsia="Calibri" w:hAnsi="Century Gothic" w:cs="Arial"/>
          <w:lang w:val="es-ES" w:eastAsia="es-ES"/>
        </w:rPr>
        <w:t>esto es,</w:t>
      </w:r>
      <w:r w:rsidRPr="00DD62C5">
        <w:rPr>
          <w:rFonts w:ascii="Century Gothic" w:eastAsia="Calibri" w:hAnsi="Century Gothic" w:cs="Arial"/>
          <w:lang w:val="es-ES" w:eastAsia="es-ES"/>
        </w:rPr>
        <w:t xml:space="preserve"> </w:t>
      </w:r>
      <w:r w:rsidR="00F335FC" w:rsidRPr="00DD62C5">
        <w:rPr>
          <w:rFonts w:ascii="Century Gothic" w:eastAsia="Calibri" w:hAnsi="Century Gothic" w:cs="Arial"/>
          <w:lang w:val="es-ES" w:eastAsia="es-ES"/>
        </w:rPr>
        <w:t xml:space="preserve">haciendo </w:t>
      </w:r>
      <w:r w:rsidR="00627961" w:rsidRPr="00DD62C5">
        <w:rPr>
          <w:rFonts w:ascii="Century Gothic" w:eastAsia="Calibri" w:hAnsi="Century Gothic" w:cs="Arial"/>
          <w:lang w:val="es-ES" w:eastAsia="es-ES"/>
        </w:rPr>
        <w:t>abstracción</w:t>
      </w:r>
      <w:r w:rsidR="001D3D91" w:rsidRPr="00DD62C5">
        <w:rPr>
          <w:rFonts w:ascii="Century Gothic" w:eastAsia="Calibri" w:hAnsi="Century Gothic" w:cs="Arial"/>
          <w:lang w:val="es-ES" w:eastAsia="es-ES"/>
        </w:rPr>
        <w:t xml:space="preserve"> de las cuestiones particulares puestas de presente y conforme al marco normativo explicado</w:t>
      </w:r>
      <w:r w:rsidR="00B97D3D" w:rsidRPr="00DD62C5">
        <w:rPr>
          <w:rFonts w:ascii="Century Gothic" w:eastAsia="Calibri" w:hAnsi="Century Gothic" w:cs="Arial"/>
          <w:lang w:val="es-ES" w:eastAsia="es-ES"/>
        </w:rPr>
        <w:t>–</w:t>
      </w:r>
      <w:r w:rsidR="001D3D91" w:rsidRPr="00DD62C5">
        <w:rPr>
          <w:rFonts w:ascii="Century Gothic" w:eastAsia="Calibri" w:hAnsi="Century Gothic" w:cs="Arial"/>
          <w:lang w:val="es-ES" w:eastAsia="es-ES"/>
        </w:rPr>
        <w:t>, resulta posible afirmar que</w:t>
      </w:r>
      <w:r w:rsidR="00B97D3D" w:rsidRPr="00DD62C5">
        <w:rPr>
          <w:rFonts w:ascii="Century Gothic" w:hAnsi="Century Gothic" w:cs="Arial"/>
          <w:color w:val="000000"/>
          <w:bdr w:val="none" w:sz="0" w:space="0" w:color="auto" w:frame="1"/>
        </w:rPr>
        <w:t xml:space="preserve">, </w:t>
      </w:r>
      <w:r w:rsidR="000A7AAF" w:rsidRPr="00DD62C5">
        <w:rPr>
          <w:rFonts w:ascii="Century Gothic" w:hAnsi="Century Gothic" w:cs="Arial"/>
          <w:color w:val="000000"/>
          <w:bdr w:val="none" w:sz="0" w:space="0" w:color="auto" w:frame="1"/>
        </w:rPr>
        <w:t xml:space="preserve">la </w:t>
      </w:r>
      <w:r w:rsidR="00FD5B3F" w:rsidRPr="00DD62C5">
        <w:rPr>
          <w:rFonts w:ascii="Century Gothic" w:hAnsi="Century Gothic" w:cs="Arial"/>
          <w:color w:val="000000"/>
          <w:bdr w:val="none" w:sz="0" w:space="0" w:color="auto" w:frame="1"/>
        </w:rPr>
        <w:t>L</w:t>
      </w:r>
      <w:r w:rsidR="000A7AAF" w:rsidRPr="00DD62C5">
        <w:rPr>
          <w:rFonts w:ascii="Century Gothic" w:hAnsi="Century Gothic" w:cs="Arial"/>
          <w:color w:val="000000"/>
          <w:bdr w:val="none" w:sz="0" w:space="0" w:color="auto" w:frame="1"/>
        </w:rPr>
        <w:t>ey 2056 del 30 de sept</w:t>
      </w:r>
      <w:r w:rsidR="00CD186C" w:rsidRPr="00DD62C5">
        <w:rPr>
          <w:rFonts w:ascii="Century Gothic" w:hAnsi="Century Gothic" w:cs="Arial"/>
          <w:color w:val="000000"/>
          <w:bdr w:val="none" w:sz="0" w:space="0" w:color="auto" w:frame="1"/>
        </w:rPr>
        <w:t>iembre del 2020 “</w:t>
      </w:r>
      <w:r w:rsidR="00CD186C" w:rsidRPr="00DD62C5">
        <w:rPr>
          <w:rFonts w:ascii="Century Gothic" w:hAnsi="Century Gothic" w:cs="Arial"/>
          <w:i/>
          <w:iCs/>
          <w:color w:val="000000"/>
          <w:bdr w:val="none" w:sz="0" w:space="0" w:color="auto" w:frame="1"/>
        </w:rPr>
        <w:t>Por la cual se regula la organización y el funcionamiento del Sistema General de Regalías</w:t>
      </w:r>
      <w:r w:rsidR="00D315E6" w:rsidRPr="00DD62C5">
        <w:rPr>
          <w:rFonts w:ascii="Century Gothic" w:hAnsi="Century Gothic" w:cs="Arial"/>
          <w:color w:val="000000"/>
          <w:bdr w:val="none" w:sz="0" w:space="0" w:color="auto" w:frame="1"/>
        </w:rPr>
        <w:t xml:space="preserve">” </w:t>
      </w:r>
      <w:r w:rsidR="00C63B86" w:rsidRPr="00DD62C5">
        <w:rPr>
          <w:rFonts w:ascii="Century Gothic" w:hAnsi="Century Gothic" w:cs="Arial"/>
          <w:color w:val="000000"/>
          <w:bdr w:val="none" w:sz="0" w:space="0" w:color="auto" w:frame="1"/>
        </w:rPr>
        <w:t>establece</w:t>
      </w:r>
      <w:r w:rsidR="00C97880" w:rsidRPr="00DD62C5">
        <w:rPr>
          <w:rFonts w:ascii="Century Gothic" w:hAnsi="Century Gothic" w:cs="Arial"/>
          <w:color w:val="000000"/>
          <w:bdr w:val="none" w:sz="0" w:space="0" w:color="auto" w:frame="1"/>
        </w:rPr>
        <w:t>:</w:t>
      </w:r>
      <w:r w:rsidR="00C63B86" w:rsidRPr="00DD62C5">
        <w:rPr>
          <w:rFonts w:ascii="Century Gothic" w:hAnsi="Century Gothic" w:cs="Arial"/>
          <w:color w:val="000000"/>
          <w:bdr w:val="none" w:sz="0" w:space="0" w:color="auto" w:frame="1"/>
        </w:rPr>
        <w:t xml:space="preserve"> </w:t>
      </w:r>
      <w:r w:rsidR="00C97880" w:rsidRPr="00DD62C5">
        <w:rPr>
          <w:rFonts w:ascii="Century Gothic" w:hAnsi="Century Gothic" w:cs="Arial"/>
          <w:color w:val="000000"/>
          <w:bdr w:val="none" w:sz="0" w:space="0" w:color="auto" w:frame="1"/>
        </w:rPr>
        <w:t xml:space="preserve">i) </w:t>
      </w:r>
      <w:r w:rsidR="002C0C32" w:rsidRPr="00DD62C5">
        <w:rPr>
          <w:rFonts w:ascii="Century Gothic" w:hAnsi="Century Gothic" w:cs="Arial"/>
          <w:color w:val="000000"/>
          <w:bdr w:val="none" w:sz="0" w:space="0" w:color="auto" w:frame="1"/>
        </w:rPr>
        <w:t>entre los</w:t>
      </w:r>
      <w:r w:rsidR="00C63B86" w:rsidRPr="00DD62C5">
        <w:rPr>
          <w:rFonts w:ascii="Century Gothic" w:hAnsi="Century Gothic" w:cs="Arial"/>
          <w:color w:val="000000"/>
          <w:bdr w:val="none" w:sz="0" w:space="0" w:color="auto" w:frame="1"/>
        </w:rPr>
        <w:t xml:space="preserve"> artículo</w:t>
      </w:r>
      <w:r w:rsidR="002C0C32" w:rsidRPr="00DD62C5">
        <w:rPr>
          <w:rFonts w:ascii="Century Gothic" w:hAnsi="Century Gothic" w:cs="Arial"/>
          <w:color w:val="000000"/>
          <w:bdr w:val="none" w:sz="0" w:space="0" w:color="auto" w:frame="1"/>
        </w:rPr>
        <w:t>s</w:t>
      </w:r>
      <w:r w:rsidR="00C63B86" w:rsidRPr="00DD62C5">
        <w:rPr>
          <w:rFonts w:ascii="Century Gothic" w:hAnsi="Century Gothic" w:cs="Arial"/>
          <w:color w:val="000000"/>
          <w:bdr w:val="none" w:sz="0" w:space="0" w:color="auto" w:frame="1"/>
        </w:rPr>
        <w:t xml:space="preserve"> 73 y</w:t>
      </w:r>
      <w:r w:rsidR="00C97880" w:rsidRPr="00DD62C5">
        <w:rPr>
          <w:rFonts w:ascii="Century Gothic" w:hAnsi="Century Gothic" w:cs="Arial"/>
          <w:color w:val="000000"/>
          <w:bdr w:val="none" w:sz="0" w:space="0" w:color="auto" w:frame="1"/>
        </w:rPr>
        <w:t xml:space="preserve"> 87</w:t>
      </w:r>
      <w:r w:rsidR="00C63B86" w:rsidRPr="00DD62C5">
        <w:rPr>
          <w:rFonts w:ascii="Century Gothic" w:hAnsi="Century Gothic" w:cs="Arial"/>
          <w:color w:val="000000"/>
          <w:bdr w:val="none" w:sz="0" w:space="0" w:color="auto" w:frame="1"/>
        </w:rPr>
        <w:t xml:space="preserve">  </w:t>
      </w:r>
      <w:r w:rsidR="00B15EC9" w:rsidRPr="00DD62C5">
        <w:rPr>
          <w:rFonts w:ascii="Century Gothic" w:hAnsi="Century Gothic" w:cs="Arial"/>
          <w:color w:val="000000"/>
          <w:bdr w:val="none" w:sz="0" w:space="0" w:color="auto" w:frame="1"/>
        </w:rPr>
        <w:t xml:space="preserve">las disposiciones </w:t>
      </w:r>
      <w:r w:rsidR="00B4360C" w:rsidRPr="00DD62C5">
        <w:rPr>
          <w:rFonts w:ascii="Century Gothic" w:hAnsi="Century Gothic" w:cs="Arial"/>
          <w:color w:val="000000"/>
          <w:bdr w:val="none" w:sz="0" w:space="0" w:color="auto" w:frame="1"/>
        </w:rPr>
        <w:t>generales</w:t>
      </w:r>
      <w:r w:rsidR="003F7E8C" w:rsidRPr="00DD62C5">
        <w:rPr>
          <w:rFonts w:ascii="Century Gothic" w:hAnsi="Century Gothic" w:cs="Arial"/>
          <w:color w:val="000000"/>
          <w:bdr w:val="none" w:sz="0" w:space="0" w:color="auto" w:frame="1"/>
        </w:rPr>
        <w:t xml:space="preserve"> </w:t>
      </w:r>
      <w:r w:rsidR="00C874F4" w:rsidRPr="00DD62C5">
        <w:rPr>
          <w:rFonts w:ascii="Century Gothic" w:hAnsi="Century Gothic" w:cs="Arial"/>
          <w:color w:val="000000"/>
          <w:bdr w:val="none" w:sz="0" w:space="0" w:color="auto" w:frame="1"/>
        </w:rPr>
        <w:t>para la</w:t>
      </w:r>
      <w:r w:rsidR="003F7E8C" w:rsidRPr="00DD62C5">
        <w:rPr>
          <w:rFonts w:ascii="Century Gothic" w:hAnsi="Century Gothic" w:cs="Arial"/>
          <w:color w:val="000000"/>
          <w:bdr w:val="none" w:sz="0" w:space="0" w:color="auto" w:frame="1"/>
        </w:rPr>
        <w:t xml:space="preserve"> inversión</w:t>
      </w:r>
      <w:r w:rsidR="003F7E8C">
        <w:rPr>
          <w:rFonts w:ascii="Century Gothic" w:hAnsi="Century Gothic" w:cs="Arial"/>
          <w:color w:val="000000"/>
          <w:bdr w:val="none" w:sz="0" w:space="0" w:color="auto" w:frame="1"/>
        </w:rPr>
        <w:t xml:space="preserve"> de los </w:t>
      </w:r>
      <w:r w:rsidR="003F7E8C" w:rsidRPr="003F7E8C">
        <w:rPr>
          <w:rFonts w:ascii="Century Gothic" w:hAnsi="Century Gothic" w:cs="Arial"/>
          <w:color w:val="000000"/>
          <w:bdr w:val="none" w:sz="0" w:space="0" w:color="auto" w:frame="1"/>
        </w:rPr>
        <w:t>Recursos del Sistema General de Regalías para Pueblos y Comunidades Indígenas</w:t>
      </w:r>
      <w:r w:rsidR="003F7E8C">
        <w:rPr>
          <w:rFonts w:ascii="Century Gothic" w:hAnsi="Century Gothic" w:cs="Arial"/>
          <w:color w:val="000000"/>
          <w:bdr w:val="none" w:sz="0" w:space="0" w:color="auto" w:frame="1"/>
        </w:rPr>
        <w:t xml:space="preserve">, </w:t>
      </w:r>
      <w:proofErr w:type="spellStart"/>
      <w:r w:rsidR="00C97880">
        <w:rPr>
          <w:rFonts w:ascii="Century Gothic" w:hAnsi="Century Gothic" w:cs="Arial"/>
          <w:color w:val="000000"/>
          <w:bdr w:val="none" w:sz="0" w:space="0" w:color="auto" w:frame="1"/>
        </w:rPr>
        <w:t>ii</w:t>
      </w:r>
      <w:proofErr w:type="spellEnd"/>
      <w:r w:rsidR="00C97880">
        <w:rPr>
          <w:rFonts w:ascii="Century Gothic" w:hAnsi="Century Gothic" w:cs="Arial"/>
          <w:color w:val="000000"/>
          <w:bdr w:val="none" w:sz="0" w:space="0" w:color="auto" w:frame="1"/>
        </w:rPr>
        <w:t xml:space="preserve">) mientras que entre  los </w:t>
      </w:r>
      <w:r w:rsidR="004E688C">
        <w:rPr>
          <w:rFonts w:ascii="Century Gothic" w:hAnsi="Century Gothic" w:cs="Arial"/>
          <w:color w:val="000000"/>
          <w:bdr w:val="none" w:sz="0" w:space="0" w:color="auto" w:frame="1"/>
        </w:rPr>
        <w:t>artículo</w:t>
      </w:r>
      <w:r w:rsidR="00C97880">
        <w:rPr>
          <w:rFonts w:ascii="Century Gothic" w:hAnsi="Century Gothic" w:cs="Arial"/>
          <w:color w:val="000000"/>
          <w:bdr w:val="none" w:sz="0" w:space="0" w:color="auto" w:frame="1"/>
        </w:rPr>
        <w:t>s</w:t>
      </w:r>
      <w:r w:rsidR="004E688C">
        <w:rPr>
          <w:rFonts w:ascii="Century Gothic" w:hAnsi="Century Gothic" w:cs="Arial"/>
          <w:color w:val="000000"/>
          <w:bdr w:val="none" w:sz="0" w:space="0" w:color="auto" w:frame="1"/>
        </w:rPr>
        <w:t xml:space="preserve"> 88 y </w:t>
      </w:r>
      <w:r w:rsidR="00C97880">
        <w:rPr>
          <w:rFonts w:ascii="Century Gothic" w:hAnsi="Century Gothic" w:cs="Arial"/>
          <w:color w:val="000000"/>
          <w:bdr w:val="none" w:sz="0" w:space="0" w:color="auto" w:frame="1"/>
        </w:rPr>
        <w:t>101</w:t>
      </w:r>
      <w:r w:rsidR="004E688C">
        <w:rPr>
          <w:rFonts w:ascii="Century Gothic" w:hAnsi="Century Gothic" w:cs="Arial"/>
          <w:color w:val="000000"/>
          <w:bdr w:val="none" w:sz="0" w:space="0" w:color="auto" w:frame="1"/>
        </w:rPr>
        <w:t>,</w:t>
      </w:r>
      <w:r w:rsidR="00046C54">
        <w:rPr>
          <w:rFonts w:ascii="Century Gothic" w:hAnsi="Century Gothic" w:cs="Arial"/>
          <w:color w:val="000000"/>
          <w:bdr w:val="none" w:sz="0" w:space="0" w:color="auto" w:frame="1"/>
        </w:rPr>
        <w:t xml:space="preserve"> </w:t>
      </w:r>
      <w:r w:rsidR="00C97880">
        <w:rPr>
          <w:rFonts w:ascii="Century Gothic" w:hAnsi="Century Gothic" w:cs="Arial"/>
          <w:color w:val="000000"/>
          <w:bdr w:val="none" w:sz="0" w:space="0" w:color="auto" w:frame="1"/>
        </w:rPr>
        <w:t xml:space="preserve">lo relativo a </w:t>
      </w:r>
      <w:r w:rsidR="00046C54">
        <w:rPr>
          <w:rFonts w:ascii="Century Gothic" w:hAnsi="Century Gothic" w:cs="Arial"/>
          <w:color w:val="000000"/>
          <w:bdr w:val="none" w:sz="0" w:space="0" w:color="auto" w:frame="1"/>
        </w:rPr>
        <w:t>la</w:t>
      </w:r>
      <w:r w:rsidR="004E688C">
        <w:rPr>
          <w:rFonts w:ascii="Century Gothic" w:hAnsi="Century Gothic" w:cs="Arial"/>
          <w:color w:val="000000"/>
          <w:bdr w:val="none" w:sz="0" w:space="0" w:color="auto" w:frame="1"/>
        </w:rPr>
        <w:t xml:space="preserve"> </w:t>
      </w:r>
      <w:r w:rsidR="00046C54">
        <w:rPr>
          <w:rFonts w:ascii="Century Gothic" w:hAnsi="Century Gothic" w:cs="Arial"/>
          <w:color w:val="000000"/>
          <w:bdr w:val="none" w:sz="0" w:space="0" w:color="auto" w:frame="1"/>
        </w:rPr>
        <w:t>i</w:t>
      </w:r>
      <w:r w:rsidR="006E0632" w:rsidRPr="006E0632">
        <w:rPr>
          <w:rFonts w:ascii="Century Gothic" w:hAnsi="Century Gothic" w:cs="Arial"/>
          <w:color w:val="000000"/>
          <w:bdr w:val="none" w:sz="0" w:space="0" w:color="auto" w:frame="1"/>
        </w:rPr>
        <w:t xml:space="preserve">nversión de los Recursos del Sistema General de Regalías para comunidades Negras, Afrocolombianas Raizales y Palenqueras  </w:t>
      </w:r>
      <w:r w:rsidR="006E0632">
        <w:rPr>
          <w:rFonts w:ascii="Century Gothic" w:hAnsi="Century Gothic" w:cs="Arial"/>
          <w:color w:val="000000"/>
          <w:bdr w:val="none" w:sz="0" w:space="0" w:color="auto" w:frame="1"/>
        </w:rPr>
        <w:t xml:space="preserve">y </w:t>
      </w:r>
      <w:proofErr w:type="spellStart"/>
      <w:r w:rsidR="00C97880">
        <w:rPr>
          <w:rFonts w:ascii="Century Gothic" w:hAnsi="Century Gothic" w:cs="Arial"/>
          <w:color w:val="000000"/>
          <w:bdr w:val="none" w:sz="0" w:space="0" w:color="auto" w:frame="1"/>
        </w:rPr>
        <w:t>iii</w:t>
      </w:r>
      <w:proofErr w:type="spellEnd"/>
      <w:r w:rsidR="00C97880">
        <w:rPr>
          <w:rFonts w:ascii="Century Gothic" w:hAnsi="Century Gothic" w:cs="Arial"/>
          <w:color w:val="000000"/>
          <w:bdr w:val="none" w:sz="0" w:space="0" w:color="auto" w:frame="1"/>
        </w:rPr>
        <w:t xml:space="preserve">) entre los </w:t>
      </w:r>
      <w:r w:rsidR="00046C54">
        <w:rPr>
          <w:rFonts w:ascii="Century Gothic" w:hAnsi="Century Gothic" w:cs="Arial"/>
          <w:color w:val="000000"/>
          <w:bdr w:val="none" w:sz="0" w:space="0" w:color="auto" w:frame="1"/>
        </w:rPr>
        <w:t>artículo 102 y</w:t>
      </w:r>
      <w:r w:rsidR="00C97880">
        <w:rPr>
          <w:rFonts w:ascii="Century Gothic" w:hAnsi="Century Gothic" w:cs="Arial"/>
          <w:color w:val="000000"/>
          <w:bdr w:val="none" w:sz="0" w:space="0" w:color="auto" w:frame="1"/>
        </w:rPr>
        <w:t xml:space="preserve"> 110</w:t>
      </w:r>
      <w:r w:rsidR="003D30E5">
        <w:rPr>
          <w:rFonts w:ascii="Century Gothic" w:hAnsi="Century Gothic" w:cs="Arial"/>
          <w:color w:val="000000"/>
          <w:bdr w:val="none" w:sz="0" w:space="0" w:color="auto" w:frame="1"/>
        </w:rPr>
        <w:t>, la i</w:t>
      </w:r>
      <w:r w:rsidR="003D30E5" w:rsidRPr="003D30E5">
        <w:rPr>
          <w:rFonts w:ascii="Century Gothic" w:hAnsi="Century Gothic" w:cs="Arial"/>
          <w:color w:val="000000"/>
          <w:bdr w:val="none" w:sz="0" w:space="0" w:color="auto" w:frame="1"/>
        </w:rPr>
        <w:t xml:space="preserve">nversión de los Recursos del Sistema General de Regalías para el Pueblo </w:t>
      </w:r>
      <w:proofErr w:type="spellStart"/>
      <w:r w:rsidR="003D30E5" w:rsidRPr="003D30E5">
        <w:rPr>
          <w:rFonts w:ascii="Century Gothic" w:hAnsi="Century Gothic" w:cs="Arial"/>
          <w:color w:val="000000"/>
          <w:bdr w:val="none" w:sz="0" w:space="0" w:color="auto" w:frame="1"/>
        </w:rPr>
        <w:t>Rrom</w:t>
      </w:r>
      <w:proofErr w:type="spellEnd"/>
      <w:r w:rsidR="003D30E5" w:rsidRPr="003D30E5">
        <w:rPr>
          <w:rFonts w:ascii="Century Gothic" w:hAnsi="Century Gothic" w:cs="Arial"/>
          <w:color w:val="000000"/>
          <w:bdr w:val="none" w:sz="0" w:space="0" w:color="auto" w:frame="1"/>
        </w:rPr>
        <w:t xml:space="preserve"> o Gitan</w:t>
      </w:r>
      <w:r w:rsidR="003D30E5">
        <w:rPr>
          <w:rFonts w:ascii="Century Gothic" w:hAnsi="Century Gothic" w:cs="Arial"/>
          <w:color w:val="000000"/>
          <w:bdr w:val="none" w:sz="0" w:space="0" w:color="auto" w:frame="1"/>
        </w:rPr>
        <w:t xml:space="preserve">o. </w:t>
      </w:r>
    </w:p>
    <w:p w14:paraId="3929AC88" w14:textId="7582521D" w:rsidR="003D30E5" w:rsidRPr="00116885" w:rsidRDefault="003D30E5" w:rsidP="008B29B3">
      <w:pPr>
        <w:spacing w:line="276" w:lineRule="auto"/>
        <w:jc w:val="both"/>
        <w:rPr>
          <w:rFonts w:ascii="Century Gothic" w:hAnsi="Century Gothic" w:cs="Arial"/>
          <w:color w:val="000000"/>
          <w:bdr w:val="none" w:sz="0" w:space="0" w:color="auto" w:frame="1"/>
        </w:rPr>
      </w:pPr>
      <w:r w:rsidRPr="00116885">
        <w:rPr>
          <w:rFonts w:ascii="Century Gothic" w:hAnsi="Century Gothic" w:cs="Arial"/>
          <w:color w:val="000000"/>
          <w:bdr w:val="none" w:sz="0" w:space="0" w:color="auto" w:frame="1"/>
        </w:rPr>
        <w:tab/>
      </w:r>
      <w:r w:rsidR="006E73C6" w:rsidRPr="00116885">
        <w:rPr>
          <w:rFonts w:ascii="Century Gothic" w:hAnsi="Century Gothic" w:cs="Arial"/>
          <w:color w:val="000000"/>
          <w:bdr w:val="none" w:sz="0" w:space="0" w:color="auto" w:frame="1"/>
        </w:rPr>
        <w:t xml:space="preserve">Bajo este contexto, y en lo que respecta </w:t>
      </w:r>
      <w:r w:rsidR="00075F34" w:rsidRPr="00116885">
        <w:rPr>
          <w:rFonts w:ascii="Century Gothic" w:hAnsi="Century Gothic" w:cs="Arial"/>
          <w:color w:val="000000"/>
          <w:bdr w:val="none" w:sz="0" w:space="0" w:color="auto" w:frame="1"/>
        </w:rPr>
        <w:t xml:space="preserve">a los recursos de la Asignación para la Inversión local </w:t>
      </w:r>
      <w:r w:rsidR="00824757" w:rsidRPr="00116885">
        <w:rPr>
          <w:rFonts w:ascii="Century Gothic" w:hAnsi="Century Gothic" w:cs="Arial"/>
          <w:color w:val="000000"/>
          <w:bdr w:val="none" w:sz="0" w:space="0" w:color="auto" w:frame="1"/>
        </w:rPr>
        <w:t>de los Pueblos indígenas</w:t>
      </w:r>
      <w:r w:rsidR="006E007F" w:rsidRPr="00116885">
        <w:rPr>
          <w:rFonts w:ascii="Century Gothic" w:hAnsi="Century Gothic" w:cs="Arial"/>
          <w:color w:val="000000"/>
          <w:bdr w:val="none" w:sz="0" w:space="0" w:color="auto" w:frame="1"/>
        </w:rPr>
        <w:t xml:space="preserve">, </w:t>
      </w:r>
      <w:r w:rsidR="00C956C0">
        <w:rPr>
          <w:rFonts w:ascii="Century Gothic" w:hAnsi="Century Gothic" w:cs="Arial"/>
          <w:color w:val="000000"/>
          <w:bdr w:val="none" w:sz="0" w:space="0" w:color="auto" w:frame="1"/>
        </w:rPr>
        <w:t xml:space="preserve">de conformidad </w:t>
      </w:r>
      <w:r w:rsidR="00466008">
        <w:rPr>
          <w:rFonts w:ascii="Century Gothic" w:hAnsi="Century Gothic" w:cs="Arial"/>
          <w:color w:val="000000"/>
          <w:bdr w:val="none" w:sz="0" w:space="0" w:color="auto" w:frame="1"/>
        </w:rPr>
        <w:t>c</w:t>
      </w:r>
      <w:r w:rsidR="00C956C0">
        <w:rPr>
          <w:rFonts w:ascii="Century Gothic" w:hAnsi="Century Gothic" w:cs="Arial"/>
          <w:color w:val="000000"/>
          <w:bdr w:val="none" w:sz="0" w:space="0" w:color="auto" w:frame="1"/>
        </w:rPr>
        <w:t>on el artículo 73 de la Ley</w:t>
      </w:r>
      <w:r w:rsidR="00466008">
        <w:rPr>
          <w:rFonts w:ascii="Century Gothic" w:hAnsi="Century Gothic" w:cs="Arial"/>
          <w:color w:val="000000"/>
          <w:bdr w:val="none" w:sz="0" w:space="0" w:color="auto" w:frame="1"/>
        </w:rPr>
        <w:t xml:space="preserve"> 2056 de </w:t>
      </w:r>
      <w:r w:rsidR="00621201">
        <w:rPr>
          <w:rFonts w:ascii="Century Gothic" w:hAnsi="Century Gothic" w:cs="Arial"/>
          <w:color w:val="000000"/>
          <w:bdr w:val="none" w:sz="0" w:space="0" w:color="auto" w:frame="1"/>
        </w:rPr>
        <w:t>2020 corresponderá</w:t>
      </w:r>
      <w:r w:rsidR="0025194E" w:rsidRPr="00116885">
        <w:rPr>
          <w:rFonts w:ascii="Century Gothic" w:hAnsi="Century Gothic" w:cs="Arial"/>
          <w:color w:val="000000"/>
          <w:bdr w:val="none" w:sz="0" w:space="0" w:color="auto" w:frame="1"/>
        </w:rPr>
        <w:t xml:space="preserve"> </w:t>
      </w:r>
      <w:r w:rsidR="00C956C0">
        <w:rPr>
          <w:rFonts w:ascii="Century Gothic" w:hAnsi="Century Gothic" w:cs="Arial"/>
          <w:color w:val="000000"/>
          <w:bdr w:val="none" w:sz="0" w:space="0" w:color="auto" w:frame="1"/>
        </w:rPr>
        <w:t>a la I</w:t>
      </w:r>
      <w:r w:rsidR="00C956C0" w:rsidRPr="00C956C0">
        <w:rPr>
          <w:rFonts w:ascii="Century Gothic" w:hAnsi="Century Gothic" w:cs="Arial"/>
          <w:color w:val="000000"/>
          <w:bdr w:val="none" w:sz="0" w:space="0" w:color="auto" w:frame="1"/>
        </w:rPr>
        <w:t>nstancia de Decisión de los Pueblos y Comunidades Indígenas</w:t>
      </w:r>
      <w:r w:rsidR="00627B4C" w:rsidRPr="00627B4C">
        <w:rPr>
          <w:rFonts w:ascii="Century Gothic" w:hAnsi="Century Gothic" w:cs="Arial"/>
          <w:color w:val="000000"/>
          <w:bdr w:val="none" w:sz="0" w:space="0" w:color="auto" w:frame="1"/>
        </w:rPr>
        <w:t>, prioriza y aprobar</w:t>
      </w:r>
      <w:r w:rsidR="00627B4C">
        <w:rPr>
          <w:rFonts w:ascii="Century Gothic" w:hAnsi="Century Gothic" w:cs="Arial"/>
          <w:color w:val="000000"/>
          <w:bdr w:val="none" w:sz="0" w:space="0" w:color="auto" w:frame="1"/>
        </w:rPr>
        <w:t xml:space="preserve"> </w:t>
      </w:r>
      <w:r w:rsidR="00627B4C" w:rsidRPr="00627B4C">
        <w:rPr>
          <w:rFonts w:ascii="Century Gothic" w:hAnsi="Century Gothic" w:cs="Arial"/>
          <w:color w:val="000000"/>
          <w:bdr w:val="none" w:sz="0" w:space="0" w:color="auto" w:frame="1"/>
        </w:rPr>
        <w:t>los proyectos de inversión</w:t>
      </w:r>
      <w:r w:rsidR="00627B4C">
        <w:rPr>
          <w:rFonts w:ascii="Century Gothic" w:hAnsi="Century Gothic" w:cs="Arial"/>
          <w:color w:val="000000"/>
          <w:bdr w:val="none" w:sz="0" w:space="0" w:color="auto" w:frame="1"/>
        </w:rPr>
        <w:t xml:space="preserve"> financiables con dicho recursos</w:t>
      </w:r>
      <w:r w:rsidR="00627B4C" w:rsidRPr="00627B4C">
        <w:rPr>
          <w:rFonts w:ascii="Century Gothic" w:hAnsi="Century Gothic" w:cs="Arial"/>
          <w:color w:val="000000"/>
          <w:bdr w:val="none" w:sz="0" w:space="0" w:color="auto" w:frame="1"/>
        </w:rPr>
        <w:t xml:space="preserve"> y designa la entidad ejecutora</w:t>
      </w:r>
      <w:r w:rsidR="00577F8A">
        <w:rPr>
          <w:rFonts w:ascii="Century Gothic" w:hAnsi="Century Gothic" w:cs="Arial"/>
          <w:color w:val="000000"/>
          <w:bdr w:val="none" w:sz="0" w:space="0" w:color="auto" w:frame="1"/>
        </w:rPr>
        <w:t>.</w:t>
      </w:r>
      <w:r w:rsidR="00627B4C" w:rsidRPr="00627B4C">
        <w:rPr>
          <w:rFonts w:ascii="Century Gothic" w:hAnsi="Century Gothic" w:cs="Arial"/>
          <w:color w:val="000000"/>
          <w:bdr w:val="none" w:sz="0" w:space="0" w:color="auto" w:frame="1"/>
        </w:rPr>
        <w:t xml:space="preserve"> </w:t>
      </w:r>
      <w:r w:rsidR="00577F8A">
        <w:rPr>
          <w:rFonts w:ascii="Century Gothic" w:hAnsi="Century Gothic" w:cs="Arial"/>
          <w:color w:val="000000"/>
          <w:bdr w:val="none" w:sz="0" w:space="0" w:color="auto" w:frame="1"/>
        </w:rPr>
        <w:t>De acuerdo con</w:t>
      </w:r>
      <w:r w:rsidR="0087110A" w:rsidRPr="00116885">
        <w:rPr>
          <w:rFonts w:ascii="Century Gothic" w:hAnsi="Century Gothic" w:cs="Arial"/>
          <w:color w:val="000000"/>
          <w:bdr w:val="none" w:sz="0" w:space="0" w:color="auto" w:frame="1"/>
        </w:rPr>
        <w:t xml:space="preserve"> el parágrafo 1º del artículo 84 </w:t>
      </w:r>
      <w:r w:rsidR="00577F8A">
        <w:rPr>
          <w:rFonts w:ascii="Century Gothic" w:hAnsi="Century Gothic" w:cs="Arial"/>
          <w:color w:val="000000"/>
          <w:bdr w:val="none" w:sz="0" w:space="0" w:color="auto" w:frame="1"/>
        </w:rPr>
        <w:t xml:space="preserve">pueden </w:t>
      </w:r>
      <w:r w:rsidR="00C30461" w:rsidRPr="00116885">
        <w:rPr>
          <w:rFonts w:ascii="Century Gothic" w:hAnsi="Century Gothic" w:cs="Arial"/>
          <w:color w:val="000000"/>
          <w:bdr w:val="none" w:sz="0" w:space="0" w:color="auto" w:frame="1"/>
        </w:rPr>
        <w:t>se</w:t>
      </w:r>
      <w:r w:rsidR="00577F8A">
        <w:rPr>
          <w:rFonts w:ascii="Century Gothic" w:hAnsi="Century Gothic" w:cs="Arial"/>
          <w:color w:val="000000"/>
          <w:bdr w:val="none" w:sz="0" w:space="0" w:color="auto" w:frame="1"/>
        </w:rPr>
        <w:t>r</w:t>
      </w:r>
      <w:r w:rsidR="00C30461" w:rsidRPr="00116885">
        <w:rPr>
          <w:rFonts w:ascii="Century Gothic" w:hAnsi="Century Gothic" w:cs="Arial"/>
          <w:color w:val="000000"/>
          <w:bdr w:val="none" w:sz="0" w:space="0" w:color="auto" w:frame="1"/>
        </w:rPr>
        <w:t xml:space="preserve"> designada</w:t>
      </w:r>
      <w:r w:rsidR="00CC4496">
        <w:rPr>
          <w:rFonts w:ascii="Century Gothic" w:hAnsi="Century Gothic" w:cs="Arial"/>
          <w:color w:val="000000"/>
          <w:bdr w:val="none" w:sz="0" w:space="0" w:color="auto" w:frame="1"/>
        </w:rPr>
        <w:t>s</w:t>
      </w:r>
      <w:r w:rsidR="00C30461" w:rsidRPr="00116885">
        <w:rPr>
          <w:rFonts w:ascii="Century Gothic" w:hAnsi="Century Gothic" w:cs="Arial"/>
          <w:color w:val="000000"/>
          <w:bdr w:val="none" w:sz="0" w:space="0" w:color="auto" w:frame="1"/>
        </w:rPr>
        <w:t xml:space="preserve"> como </w:t>
      </w:r>
      <w:r w:rsidR="00577F8A" w:rsidRPr="00116885">
        <w:rPr>
          <w:rFonts w:ascii="Century Gothic" w:hAnsi="Century Gothic" w:cs="Arial"/>
          <w:color w:val="000000"/>
          <w:bdr w:val="none" w:sz="0" w:space="0" w:color="auto" w:frame="1"/>
        </w:rPr>
        <w:t>ejecutora</w:t>
      </w:r>
      <w:r w:rsidR="00577F8A">
        <w:rPr>
          <w:rFonts w:ascii="Century Gothic" w:hAnsi="Century Gothic" w:cs="Arial"/>
          <w:color w:val="000000"/>
          <w:bdr w:val="none" w:sz="0" w:space="0" w:color="auto" w:frame="1"/>
        </w:rPr>
        <w:t>s</w:t>
      </w:r>
      <w:r w:rsidR="00CC4496">
        <w:rPr>
          <w:rFonts w:ascii="Century Gothic" w:hAnsi="Century Gothic" w:cs="Arial"/>
          <w:color w:val="000000"/>
          <w:bdr w:val="none" w:sz="0" w:space="0" w:color="auto" w:frame="1"/>
        </w:rPr>
        <w:t xml:space="preserve"> de estos proyectos </w:t>
      </w:r>
      <w:r w:rsidR="0021734B">
        <w:rPr>
          <w:rFonts w:ascii="Century Gothic" w:hAnsi="Century Gothic" w:cs="Arial"/>
          <w:color w:val="000000"/>
          <w:bdr w:val="none" w:sz="0" w:space="0" w:color="auto" w:frame="1"/>
        </w:rPr>
        <w:t xml:space="preserve">las </w:t>
      </w:r>
      <w:r w:rsidR="00C30461" w:rsidRPr="00116885">
        <w:rPr>
          <w:rFonts w:ascii="Century Gothic" w:hAnsi="Century Gothic" w:cs="Arial"/>
          <w:color w:val="000000"/>
          <w:bdr w:val="none" w:sz="0" w:space="0" w:color="auto" w:frame="1"/>
        </w:rPr>
        <w:t>formas de organización indígenas</w:t>
      </w:r>
      <w:r w:rsidR="00577F8A">
        <w:rPr>
          <w:rFonts w:ascii="Century Gothic" w:hAnsi="Century Gothic" w:cs="Arial"/>
          <w:color w:val="000000"/>
          <w:bdr w:val="none" w:sz="0" w:space="0" w:color="auto" w:frame="1"/>
        </w:rPr>
        <w:t xml:space="preserve"> como</w:t>
      </w:r>
      <w:r w:rsidR="00A413A0" w:rsidRPr="00116885">
        <w:rPr>
          <w:rFonts w:ascii="Century Gothic" w:hAnsi="Century Gothic" w:cs="Arial"/>
          <w:color w:val="000000"/>
          <w:bdr w:val="none" w:sz="0" w:space="0" w:color="auto" w:frame="1"/>
        </w:rPr>
        <w:t xml:space="preserve"> los resguardos y asociaciones de resguardos, las asociaciones de cabildos y las asociaciones de autoridades tradicionales indígenas u otras formas de organización debidamente inscritas en el Registro Único del Ministerio del Interior y las organizaciones indígenas a que se refiere el Decreto 252 de 2020 o el que lo modifique o sustituya.</w:t>
      </w:r>
      <w:r w:rsidR="00C30461" w:rsidRPr="00116885">
        <w:rPr>
          <w:rFonts w:ascii="Century Gothic" w:hAnsi="Century Gothic" w:cs="Arial"/>
          <w:color w:val="000000"/>
          <w:bdr w:val="none" w:sz="0" w:space="0" w:color="auto" w:frame="1"/>
        </w:rPr>
        <w:t xml:space="preserve"> </w:t>
      </w:r>
    </w:p>
    <w:p w14:paraId="455BF85F" w14:textId="3CF2E631" w:rsidR="008A0267" w:rsidRDefault="002F4E23" w:rsidP="0054468E">
      <w:pPr>
        <w:spacing w:after="0" w:line="240" w:lineRule="auto"/>
        <w:ind w:left="709" w:right="709"/>
        <w:jc w:val="both"/>
        <w:rPr>
          <w:rFonts w:ascii="Century Gothic" w:hAnsi="Century Gothic"/>
          <w:sz w:val="20"/>
          <w:szCs w:val="20"/>
        </w:rPr>
      </w:pPr>
      <w:r>
        <w:rPr>
          <w:rFonts w:ascii="Century Gothic" w:hAnsi="Century Gothic"/>
          <w:sz w:val="20"/>
          <w:szCs w:val="20"/>
        </w:rPr>
        <w:t>“</w:t>
      </w:r>
      <w:r w:rsidR="001D0D3A" w:rsidRPr="001D0D3A">
        <w:rPr>
          <w:rFonts w:ascii="Century Gothic" w:hAnsi="Century Gothic"/>
          <w:sz w:val="20"/>
          <w:szCs w:val="20"/>
        </w:rPr>
        <w:t>2. Que régimen de contratación se debe aplicar en la ejecución de un proyecto aprobado con fuente de financiación del Sistema General de Regalías, considerando que la Entidad Ejecutoria designada corresponde a una organización étnica indígena, cuya naturaleza se define como una institución de Derecho Público de carácter Especial indígena sin ánimo de lucro. […]”.</w:t>
      </w:r>
    </w:p>
    <w:p w14:paraId="4B0ED571" w14:textId="77777777" w:rsidR="0054468E" w:rsidRPr="00A27DF0" w:rsidRDefault="0054468E" w:rsidP="0054468E">
      <w:pPr>
        <w:spacing w:after="0" w:line="240" w:lineRule="auto"/>
        <w:ind w:left="709" w:right="709"/>
        <w:jc w:val="both"/>
        <w:rPr>
          <w:rFonts w:ascii="Century Gothic" w:hAnsi="Century Gothic"/>
          <w:sz w:val="20"/>
          <w:szCs w:val="20"/>
        </w:rPr>
      </w:pPr>
    </w:p>
    <w:p w14:paraId="5945AC6C" w14:textId="6AE737E6" w:rsidR="00316EB5" w:rsidRPr="00A27DF0" w:rsidRDefault="0054468E" w:rsidP="008B29B3">
      <w:pPr>
        <w:spacing w:line="276" w:lineRule="auto"/>
        <w:ind w:firstLine="708"/>
        <w:jc w:val="both"/>
        <w:rPr>
          <w:rFonts w:ascii="Century Gothic" w:hAnsi="Century Gothic" w:cs="Arial"/>
          <w:noProof/>
        </w:rPr>
      </w:pPr>
      <w:r w:rsidRPr="00A27DF0">
        <w:rPr>
          <w:rFonts w:ascii="Century Gothic" w:hAnsi="Century Gothic" w:cs="Arial"/>
          <w:color w:val="000000"/>
          <w:bdr w:val="none" w:sz="0" w:space="0" w:color="auto" w:frame="1"/>
        </w:rPr>
        <w:t>En lo que respecta</w:t>
      </w:r>
      <w:r w:rsidR="00316EB5" w:rsidRPr="00A27DF0">
        <w:rPr>
          <w:rFonts w:ascii="Century Gothic" w:hAnsi="Century Gothic" w:cs="Arial"/>
          <w:color w:val="000000"/>
          <w:bdr w:val="none" w:sz="0" w:space="0" w:color="auto" w:frame="1"/>
        </w:rPr>
        <w:t xml:space="preserve"> a su segundo interrogante </w:t>
      </w:r>
      <w:r w:rsidR="00847222" w:rsidRPr="00A27DF0">
        <w:rPr>
          <w:rFonts w:ascii="Century Gothic" w:hAnsi="Century Gothic" w:cs="Arial"/>
          <w:color w:val="000000"/>
          <w:bdr w:val="none" w:sz="0" w:space="0" w:color="auto" w:frame="1"/>
        </w:rPr>
        <w:t>resulta preciso indicar</w:t>
      </w:r>
      <w:r w:rsidR="00316EB5" w:rsidRPr="00A27DF0">
        <w:rPr>
          <w:rFonts w:ascii="Century Gothic" w:hAnsi="Century Gothic" w:cs="Arial"/>
          <w:color w:val="000000"/>
          <w:bdr w:val="none" w:sz="0" w:space="0" w:color="auto" w:frame="1"/>
        </w:rPr>
        <w:t xml:space="preserve"> que </w:t>
      </w:r>
      <w:r w:rsidR="00316EB5" w:rsidRPr="00A27DF0">
        <w:rPr>
          <w:rFonts w:ascii="Century Gothic" w:hAnsi="Century Gothic" w:cs="Arial"/>
          <w:noProof/>
        </w:rPr>
        <w:t>el ejercutor de los proyectos de inversion en el Sistema General de Regal</w:t>
      </w:r>
      <w:r w:rsidR="00200C0E" w:rsidRPr="00A27DF0">
        <w:rPr>
          <w:rFonts w:ascii="Century Gothic" w:hAnsi="Century Gothic" w:cs="Arial"/>
          <w:noProof/>
        </w:rPr>
        <w:t>í</w:t>
      </w:r>
      <w:r w:rsidR="00316EB5" w:rsidRPr="00A27DF0">
        <w:rPr>
          <w:rFonts w:ascii="Century Gothic" w:hAnsi="Century Gothic" w:cs="Arial"/>
          <w:noProof/>
        </w:rPr>
        <w:t xml:space="preserve">as debe sujetarse a las reglas de contratación pública, es decir, a las prescripciones establecidas en el Estatuto General de Contratación Pública, así como las normas </w:t>
      </w:r>
      <w:r w:rsidR="00316EB5" w:rsidRPr="00A27DF0">
        <w:rPr>
          <w:rFonts w:ascii="Century Gothic" w:hAnsi="Century Gothic" w:cs="Arial"/>
          <w:noProof/>
        </w:rPr>
        <w:lastRenderedPageBreak/>
        <w:t xml:space="preserve">que lo modifiquen, sustituyan o reglamenten. </w:t>
      </w:r>
      <w:r w:rsidR="00435F89" w:rsidRPr="00A27DF0">
        <w:rPr>
          <w:rFonts w:ascii="Century Gothic" w:hAnsi="Century Gothic" w:cs="Arial"/>
          <w:noProof/>
        </w:rPr>
        <w:t>En tal sentido</w:t>
      </w:r>
      <w:r w:rsidR="00316EB5" w:rsidRPr="00A27DF0">
        <w:rPr>
          <w:rFonts w:ascii="Century Gothic" w:hAnsi="Century Gothic" w:cs="Arial"/>
          <w:noProof/>
        </w:rPr>
        <w:t xml:space="preserve">, el ejecutor debe someterse a las reglas generales de la contratación pública cuando desarrolle proyectos en el marco del Sistema General de Regalías. </w:t>
      </w:r>
    </w:p>
    <w:p w14:paraId="76B6BDAF" w14:textId="239510AF" w:rsidR="009A0332" w:rsidRPr="00800C4D" w:rsidRDefault="0035446B" w:rsidP="00800C4D">
      <w:pPr>
        <w:spacing w:line="276" w:lineRule="auto"/>
        <w:jc w:val="both"/>
        <w:rPr>
          <w:rFonts w:ascii="Century Gothic" w:hAnsi="Century Gothic" w:cs="Arial"/>
          <w:color w:val="000000"/>
          <w:bdr w:val="none" w:sz="0" w:space="0" w:color="auto" w:frame="1"/>
        </w:rPr>
      </w:pPr>
      <w:r w:rsidRPr="00A27DF0">
        <w:rPr>
          <w:rFonts w:ascii="Century Gothic" w:hAnsi="Century Gothic" w:cs="Arial"/>
          <w:noProof/>
        </w:rPr>
        <w:tab/>
      </w:r>
      <w:r w:rsidR="00577F8A">
        <w:rPr>
          <w:rFonts w:ascii="Century Gothic" w:hAnsi="Century Gothic" w:cs="Arial"/>
          <w:noProof/>
        </w:rPr>
        <w:t>De esta manera,</w:t>
      </w:r>
      <w:r w:rsidRPr="00A27DF0">
        <w:rPr>
          <w:rFonts w:ascii="Century Gothic" w:hAnsi="Century Gothic" w:cs="Arial"/>
          <w:noProof/>
        </w:rPr>
        <w:t xml:space="preserve"> cuando los re</w:t>
      </w:r>
      <w:r w:rsidR="00EF47A5">
        <w:rPr>
          <w:rFonts w:ascii="Century Gothic" w:hAnsi="Century Gothic" w:cs="Arial"/>
          <w:noProof/>
        </w:rPr>
        <w:t xml:space="preserve">cursos </w:t>
      </w:r>
      <w:r w:rsidR="00285848">
        <w:rPr>
          <w:rFonts w:ascii="Century Gothic" w:hAnsi="Century Gothic" w:cs="Arial"/>
          <w:noProof/>
        </w:rPr>
        <w:t>del S</w:t>
      </w:r>
      <w:r w:rsidR="00577F8A">
        <w:rPr>
          <w:rFonts w:ascii="Century Gothic" w:hAnsi="Century Gothic" w:cs="Arial"/>
          <w:noProof/>
        </w:rPr>
        <w:t xml:space="preserve">istema </w:t>
      </w:r>
      <w:r w:rsidR="00285848">
        <w:rPr>
          <w:rFonts w:ascii="Century Gothic" w:hAnsi="Century Gothic" w:cs="Arial"/>
          <w:noProof/>
        </w:rPr>
        <w:t>G</w:t>
      </w:r>
      <w:r w:rsidR="00577F8A">
        <w:rPr>
          <w:rFonts w:ascii="Century Gothic" w:hAnsi="Century Gothic" w:cs="Arial"/>
          <w:noProof/>
        </w:rPr>
        <w:t xml:space="preserve">eneral de </w:t>
      </w:r>
      <w:r w:rsidR="00285848">
        <w:rPr>
          <w:rFonts w:ascii="Century Gothic" w:hAnsi="Century Gothic" w:cs="Arial"/>
          <w:noProof/>
        </w:rPr>
        <w:t>R</w:t>
      </w:r>
      <w:r w:rsidR="00577F8A">
        <w:rPr>
          <w:rFonts w:ascii="Century Gothic" w:hAnsi="Century Gothic" w:cs="Arial"/>
          <w:noProof/>
        </w:rPr>
        <w:t>egalías</w:t>
      </w:r>
      <w:r w:rsidR="00285848">
        <w:rPr>
          <w:rFonts w:ascii="Century Gothic" w:hAnsi="Century Gothic" w:cs="Arial"/>
          <w:noProof/>
        </w:rPr>
        <w:t xml:space="preserve"> </w:t>
      </w:r>
      <w:r w:rsidR="00EF47A5">
        <w:rPr>
          <w:rFonts w:ascii="Century Gothic" w:hAnsi="Century Gothic" w:cs="Arial"/>
          <w:noProof/>
        </w:rPr>
        <w:t>sean</w:t>
      </w:r>
      <w:r w:rsidR="0069409C">
        <w:rPr>
          <w:rFonts w:ascii="Century Gothic" w:hAnsi="Century Gothic" w:cs="Arial"/>
          <w:noProof/>
        </w:rPr>
        <w:t xml:space="preserve"> destinados</w:t>
      </w:r>
      <w:r w:rsidR="00EF47A5">
        <w:rPr>
          <w:rFonts w:ascii="Century Gothic" w:hAnsi="Century Gothic" w:cs="Arial"/>
          <w:noProof/>
        </w:rPr>
        <w:t xml:space="preserve"> </w:t>
      </w:r>
      <w:r w:rsidR="0069409C">
        <w:rPr>
          <w:rFonts w:ascii="Century Gothic" w:hAnsi="Century Gothic" w:cs="Arial"/>
          <w:noProof/>
        </w:rPr>
        <w:t>a</w:t>
      </w:r>
      <w:r w:rsidR="00EF47A5">
        <w:rPr>
          <w:rFonts w:ascii="Century Gothic" w:hAnsi="Century Gothic" w:cs="Arial"/>
          <w:noProof/>
        </w:rPr>
        <w:t xml:space="preserve"> proyectos de inversión </w:t>
      </w:r>
      <w:r w:rsidR="005C7F6F">
        <w:rPr>
          <w:rFonts w:ascii="Century Gothic" w:hAnsi="Century Gothic" w:cs="Arial"/>
          <w:noProof/>
        </w:rPr>
        <w:t>en pueblos o comunidades étnica</w:t>
      </w:r>
      <w:r w:rsidR="00CE3DCD">
        <w:rPr>
          <w:rFonts w:ascii="Century Gothic" w:hAnsi="Century Gothic" w:cs="Arial"/>
          <w:noProof/>
        </w:rPr>
        <w:t xml:space="preserve">s, </w:t>
      </w:r>
      <w:r w:rsidR="00FD6C50">
        <w:rPr>
          <w:rFonts w:ascii="Century Gothic" w:hAnsi="Century Gothic" w:cs="Arial"/>
          <w:noProof/>
        </w:rPr>
        <w:t xml:space="preserve">debe entenderse que </w:t>
      </w:r>
      <w:r w:rsidR="00285848">
        <w:rPr>
          <w:rFonts w:ascii="Century Gothic" w:hAnsi="Century Gothic" w:cs="Arial"/>
          <w:noProof/>
        </w:rPr>
        <w:t xml:space="preserve">todos los actos y contratos que expidan o celebren los </w:t>
      </w:r>
      <w:r w:rsidR="001E522C">
        <w:rPr>
          <w:rFonts w:ascii="Century Gothic" w:hAnsi="Century Gothic" w:cs="Arial"/>
          <w:noProof/>
        </w:rPr>
        <w:t>ejecutores</w:t>
      </w:r>
      <w:r w:rsidR="00285848">
        <w:rPr>
          <w:rFonts w:ascii="Century Gothic" w:hAnsi="Century Gothic" w:cs="Arial"/>
          <w:noProof/>
        </w:rPr>
        <w:t xml:space="preserve"> se regiran por las normas </w:t>
      </w:r>
      <w:r w:rsidR="002F704F">
        <w:rPr>
          <w:rFonts w:ascii="Century Gothic" w:hAnsi="Century Gothic" w:cs="Arial"/>
          <w:noProof/>
        </w:rPr>
        <w:t>contenidas en el Estatuto de Contratación Estatal</w:t>
      </w:r>
      <w:r w:rsidR="00D67AA0">
        <w:rPr>
          <w:rFonts w:ascii="Century Gothic" w:hAnsi="Century Gothic" w:cs="Arial"/>
          <w:noProof/>
        </w:rPr>
        <w:t xml:space="preserve">. </w:t>
      </w:r>
      <w:r w:rsidR="009A0332" w:rsidRPr="00F63173">
        <w:rPr>
          <w:rFonts w:ascii="Century Gothic" w:hAnsi="Century Gothic" w:cs="Arial"/>
        </w:rPr>
        <w:t>Por tanto, en caso de que se realicen proyectos de inversión en el marco del Sistema General de Garantías, como también aquellos proyectos especiales, los ejecutores designados para desarrollarlos deben sujetarse al Estatuto General de Contratación de la Administración Pública</w:t>
      </w:r>
      <w:r w:rsidR="009A0332" w:rsidRPr="00F63173">
        <w:rPr>
          <w:rFonts w:ascii="Century Gothic" w:eastAsia="Calibri" w:hAnsi="Century Gothic" w:cs="Arial"/>
          <w:lang w:val="es-MX"/>
        </w:rPr>
        <w:t>.</w:t>
      </w:r>
      <w:r w:rsidR="009A0332" w:rsidRPr="00F63173">
        <w:rPr>
          <w:rFonts w:ascii="Century Gothic" w:hAnsi="Century Gothic" w:cs="Arial"/>
        </w:rPr>
        <w:t xml:space="preserve"> </w:t>
      </w:r>
    </w:p>
    <w:p w14:paraId="1D943956" w14:textId="77777777" w:rsidR="00D911EC" w:rsidRPr="00D911EC" w:rsidRDefault="00D911EC" w:rsidP="00D911EC">
      <w:pPr>
        <w:spacing w:after="0" w:line="276" w:lineRule="auto"/>
        <w:jc w:val="both"/>
        <w:rPr>
          <w:rFonts w:ascii="Century Gothic" w:hAnsi="Century Gothic" w:cs="Arial"/>
          <w:bCs/>
          <w:lang w:val="es-ES"/>
        </w:rPr>
      </w:pPr>
      <w:r w:rsidRPr="00800C4D">
        <w:rPr>
          <w:rFonts w:ascii="Century Gothic" w:eastAsia="Calibri" w:hAnsi="Century Gothic"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A686B69" w14:textId="77777777" w:rsidR="00D911EC" w:rsidRPr="00D911EC" w:rsidRDefault="00D911EC" w:rsidP="00D911EC">
      <w:pPr>
        <w:spacing w:after="0" w:line="276" w:lineRule="auto"/>
        <w:jc w:val="both"/>
        <w:rPr>
          <w:rFonts w:ascii="Century Gothic" w:eastAsia="Calibri" w:hAnsi="Century Gothic" w:cs="Arial"/>
        </w:rPr>
      </w:pPr>
    </w:p>
    <w:p w14:paraId="1E3FD018" w14:textId="5EE558CC" w:rsidR="00D911EC" w:rsidRPr="00D911EC" w:rsidRDefault="00D911EC" w:rsidP="00B7759E">
      <w:pPr>
        <w:spacing w:after="0" w:line="276" w:lineRule="auto"/>
        <w:contextualSpacing/>
        <w:jc w:val="both"/>
        <w:textAlignment w:val="baseline"/>
        <w:rPr>
          <w:rFonts w:ascii="Century Gothic" w:eastAsia="Times New Roman" w:hAnsi="Century Gothic" w:cs="Arial"/>
          <w:lang w:eastAsia="es-CO"/>
        </w:rPr>
      </w:pPr>
      <w:r w:rsidRPr="00D911EC">
        <w:rPr>
          <w:rFonts w:ascii="Century Gothic" w:hAnsi="Century Gothic" w:cs="Arial"/>
          <w:lang w:val="es-ES"/>
        </w:rPr>
        <w:t>Atentamente</w:t>
      </w:r>
      <w:r w:rsidRPr="00D911EC">
        <w:rPr>
          <w:rFonts w:ascii="Century Gothic" w:eastAsia="Times New Roman" w:hAnsi="Century Gothic" w:cs="Arial"/>
          <w:lang w:val="es-MX" w:eastAsia="es-CO"/>
        </w:rPr>
        <w:t>,</w:t>
      </w:r>
      <w:r w:rsidRPr="00D911EC">
        <w:rPr>
          <w:rFonts w:ascii="Century Gothic" w:eastAsia="Times New Roman" w:hAnsi="Century Gothic" w:cs="Arial"/>
          <w:lang w:eastAsia="es-CO"/>
        </w:rPr>
        <w:t> </w:t>
      </w:r>
    </w:p>
    <w:p w14:paraId="6CB50500" w14:textId="7123E78F" w:rsidR="00D911EC" w:rsidRDefault="008F4349" w:rsidP="00B7759E">
      <w:pPr>
        <w:spacing w:after="0" w:line="276" w:lineRule="auto"/>
        <w:jc w:val="center"/>
        <w:textAlignment w:val="baseline"/>
        <w:rPr>
          <w:rFonts w:ascii="Century Gothic" w:eastAsia="Times New Roman" w:hAnsi="Century Gothic" w:cs="Arial"/>
          <w:lang w:eastAsia="es-CO"/>
        </w:rPr>
      </w:pPr>
      <w:r>
        <w:rPr>
          <w:rFonts w:ascii="Segoe UI" w:hAnsi="Segoe UI" w:cs="Segoe UI"/>
          <w:noProof/>
          <w:color w:val="000000"/>
          <w:sz w:val="18"/>
          <w:szCs w:val="18"/>
          <w:shd w:val="clear" w:color="auto" w:fill="FFFFFF"/>
        </w:rPr>
        <w:drawing>
          <wp:inline distT="0" distB="0" distL="0" distR="0" wp14:anchorId="097751F6" wp14:editId="41900B55">
            <wp:extent cx="2593340" cy="958361"/>
            <wp:effectExtent l="0" t="0" r="0" b="0"/>
            <wp:docPr id="1464694833" name="Picture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7413" cy="963562"/>
                    </a:xfrm>
                    <a:prstGeom prst="rect">
                      <a:avLst/>
                    </a:prstGeom>
                    <a:noFill/>
                    <a:ln>
                      <a:noFill/>
                    </a:ln>
                  </pic:spPr>
                </pic:pic>
              </a:graphicData>
            </a:graphic>
          </wp:inline>
        </w:drawing>
      </w:r>
    </w:p>
    <w:p w14:paraId="388C0A90" w14:textId="77777777" w:rsidR="00B7759E" w:rsidRPr="00D911EC" w:rsidRDefault="00B7759E" w:rsidP="00B7759E">
      <w:pPr>
        <w:spacing w:after="0" w:line="276" w:lineRule="auto"/>
        <w:jc w:val="center"/>
        <w:textAlignment w:val="baseline"/>
        <w:rPr>
          <w:rFonts w:ascii="Century Gothic" w:eastAsia="Times New Roman" w:hAnsi="Century Gothic"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D911EC" w:rsidRPr="003938D5" w14:paraId="1446A164" w14:textId="77777777" w:rsidTr="636127C0">
        <w:trPr>
          <w:trHeight w:val="315"/>
        </w:trPr>
        <w:tc>
          <w:tcPr>
            <w:tcW w:w="810" w:type="dxa"/>
            <w:tcBorders>
              <w:top w:val="nil"/>
              <w:left w:val="nil"/>
              <w:bottom w:val="nil"/>
              <w:right w:val="nil"/>
            </w:tcBorders>
            <w:vAlign w:val="center"/>
            <w:hideMark/>
          </w:tcPr>
          <w:p w14:paraId="778DBBC5" w14:textId="77777777" w:rsidR="00D911EC" w:rsidRPr="003938D5" w:rsidRDefault="00D911EC" w:rsidP="00B75128">
            <w:pPr>
              <w:spacing w:after="0" w:line="276"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MX" w:eastAsia="es-CO"/>
              </w:rPr>
              <w:t>Elaboró:</w:t>
            </w:r>
            <w:r w:rsidRPr="003938D5">
              <w:rPr>
                <w:rFonts w:ascii="Century Gothic" w:eastAsia="Times New Roman" w:hAnsi="Century Gothic"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13696EA1" w14:textId="77777777" w:rsidR="00D911EC" w:rsidRPr="003938D5" w:rsidRDefault="00D911EC" w:rsidP="00B75128">
            <w:pPr>
              <w:spacing w:after="0" w:line="240" w:lineRule="auto"/>
              <w:textAlignment w:val="baseline"/>
              <w:rPr>
                <w:rFonts w:ascii="Century Gothic" w:eastAsia="Times New Roman" w:hAnsi="Century Gothic" w:cs="Arial"/>
                <w:sz w:val="16"/>
                <w:szCs w:val="16"/>
                <w:lang w:val="es-MX" w:eastAsia="es-CO"/>
              </w:rPr>
            </w:pPr>
            <w:r w:rsidRPr="003938D5">
              <w:rPr>
                <w:rFonts w:ascii="Century Gothic" w:eastAsia="Times New Roman" w:hAnsi="Century Gothic" w:cs="Arial"/>
                <w:sz w:val="16"/>
                <w:szCs w:val="16"/>
                <w:lang w:val="es-MX" w:eastAsia="es-CO"/>
              </w:rPr>
              <w:t>Ana María Ortiz Ballesteros</w:t>
            </w:r>
          </w:p>
          <w:p w14:paraId="4EC5C5EB" w14:textId="77777777" w:rsidR="00D911EC" w:rsidRPr="003938D5" w:rsidRDefault="00D911EC" w:rsidP="00B75128">
            <w:pPr>
              <w:spacing w:after="0" w:line="240"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MX" w:eastAsia="es-CO"/>
              </w:rPr>
              <w:t xml:space="preserve">Contratista de la </w:t>
            </w:r>
            <w:r w:rsidRPr="003938D5">
              <w:rPr>
                <w:rFonts w:ascii="Century Gothic" w:eastAsia="Times New Roman" w:hAnsi="Century Gothic" w:cs="Arial"/>
                <w:sz w:val="16"/>
                <w:szCs w:val="16"/>
                <w:lang w:eastAsia="es-CO"/>
              </w:rPr>
              <w:t>Subdirección de Gestión Contractual</w:t>
            </w:r>
          </w:p>
        </w:tc>
      </w:tr>
      <w:tr w:rsidR="00D911EC" w:rsidRPr="003938D5" w14:paraId="421EF577" w14:textId="77777777" w:rsidTr="636127C0">
        <w:trPr>
          <w:trHeight w:val="315"/>
        </w:trPr>
        <w:tc>
          <w:tcPr>
            <w:tcW w:w="810" w:type="dxa"/>
            <w:tcBorders>
              <w:top w:val="nil"/>
              <w:left w:val="nil"/>
              <w:bottom w:val="nil"/>
              <w:right w:val="nil"/>
            </w:tcBorders>
            <w:vAlign w:val="center"/>
            <w:hideMark/>
          </w:tcPr>
          <w:p w14:paraId="74AA24B5" w14:textId="77777777" w:rsidR="00D911EC" w:rsidRPr="003938D5" w:rsidRDefault="00D911EC" w:rsidP="00B75128">
            <w:pPr>
              <w:spacing w:after="0" w:line="276"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MX" w:eastAsia="es-CO"/>
              </w:rPr>
              <w:t>Revisó:</w:t>
            </w:r>
            <w:r w:rsidRPr="003938D5">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60B2AFF3" w14:textId="77777777" w:rsidR="00871AF4" w:rsidRPr="003938D5" w:rsidRDefault="00871AF4" w:rsidP="00B75128">
            <w:pPr>
              <w:spacing w:after="0" w:line="240" w:lineRule="auto"/>
              <w:textAlignment w:val="baseline"/>
              <w:rPr>
                <w:rFonts w:ascii="Century Gothic" w:eastAsia="Times New Roman" w:hAnsi="Century Gothic" w:cs="Arial"/>
                <w:sz w:val="16"/>
                <w:szCs w:val="16"/>
                <w:lang w:val="es-ES_tradnl" w:eastAsia="es-CO"/>
              </w:rPr>
            </w:pPr>
            <w:r w:rsidRPr="003938D5">
              <w:rPr>
                <w:rFonts w:ascii="Century Gothic" w:eastAsia="Times New Roman" w:hAnsi="Century Gothic" w:cs="Arial"/>
                <w:sz w:val="16"/>
                <w:szCs w:val="16"/>
                <w:lang w:val="es-ES_tradnl" w:eastAsia="es-CO"/>
              </w:rPr>
              <w:t xml:space="preserve">Alejandro Sarmiento Cantillo </w:t>
            </w:r>
          </w:p>
          <w:p w14:paraId="00832494" w14:textId="2C4BAC9F" w:rsidR="00D911EC" w:rsidRPr="003938D5" w:rsidRDefault="00871AF4" w:rsidP="00B75128">
            <w:pPr>
              <w:spacing w:after="0" w:line="240"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ES_tradnl" w:eastAsia="es-CO"/>
              </w:rPr>
              <w:t>Gestor T1</w:t>
            </w:r>
            <w:r w:rsidR="00577F8A">
              <w:rPr>
                <w:rFonts w:ascii="Century Gothic" w:eastAsia="Times New Roman" w:hAnsi="Century Gothic" w:cs="Arial"/>
                <w:sz w:val="16"/>
                <w:szCs w:val="16"/>
                <w:lang w:val="es-ES_tradnl" w:eastAsia="es-CO"/>
              </w:rPr>
              <w:t>-</w:t>
            </w:r>
            <w:r w:rsidRPr="003938D5">
              <w:rPr>
                <w:rFonts w:ascii="Century Gothic" w:eastAsia="Times New Roman" w:hAnsi="Century Gothic" w:cs="Arial"/>
                <w:sz w:val="16"/>
                <w:szCs w:val="16"/>
                <w:lang w:val="es-ES_tradnl" w:eastAsia="es-CO"/>
              </w:rPr>
              <w:t>15</w:t>
            </w:r>
            <w:r w:rsidR="00577F8A">
              <w:rPr>
                <w:rFonts w:ascii="Century Gothic" w:eastAsia="Times New Roman" w:hAnsi="Century Gothic" w:cs="Arial"/>
                <w:sz w:val="16"/>
                <w:szCs w:val="16"/>
                <w:lang w:val="es-ES_tradnl" w:eastAsia="es-CO"/>
              </w:rPr>
              <w:t xml:space="preserve"> de la Subdirección de Gestión Contractual</w:t>
            </w:r>
          </w:p>
        </w:tc>
      </w:tr>
      <w:tr w:rsidR="00D911EC" w:rsidRPr="003938D5" w14:paraId="22FE47B2" w14:textId="77777777" w:rsidTr="636127C0">
        <w:trPr>
          <w:trHeight w:val="300"/>
        </w:trPr>
        <w:tc>
          <w:tcPr>
            <w:tcW w:w="810" w:type="dxa"/>
            <w:tcBorders>
              <w:top w:val="nil"/>
              <w:left w:val="nil"/>
              <w:bottom w:val="nil"/>
              <w:right w:val="nil"/>
            </w:tcBorders>
            <w:vAlign w:val="center"/>
            <w:hideMark/>
          </w:tcPr>
          <w:p w14:paraId="38BBBCCF" w14:textId="77777777" w:rsidR="00D911EC" w:rsidRPr="003938D5" w:rsidRDefault="00D911EC" w:rsidP="00B75128">
            <w:pPr>
              <w:spacing w:after="0" w:line="276"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MX" w:eastAsia="es-CO"/>
              </w:rPr>
              <w:t>Aprobó:</w:t>
            </w:r>
            <w:r w:rsidRPr="003938D5">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54729B1" w14:textId="77777777" w:rsidR="00D911EC" w:rsidRPr="003938D5" w:rsidRDefault="00D911EC" w:rsidP="636127C0">
            <w:pPr>
              <w:spacing w:after="0" w:line="240" w:lineRule="auto"/>
              <w:textAlignment w:val="baseline"/>
              <w:rPr>
                <w:rFonts w:ascii="Century Gothic" w:eastAsia="Times New Roman" w:hAnsi="Century Gothic" w:cs="Arial"/>
                <w:sz w:val="16"/>
                <w:szCs w:val="16"/>
                <w:lang w:val="es-ES" w:eastAsia="es-CO"/>
              </w:rPr>
            </w:pPr>
            <w:r w:rsidRPr="636127C0">
              <w:rPr>
                <w:rFonts w:ascii="Century Gothic" w:eastAsia="Times New Roman" w:hAnsi="Century Gothic" w:cs="Arial"/>
                <w:sz w:val="16"/>
                <w:szCs w:val="16"/>
                <w:lang w:val="es-ES" w:eastAsia="es-CO"/>
              </w:rPr>
              <w:t>Nohelia del Carmen Zawady Palacio</w:t>
            </w:r>
          </w:p>
          <w:p w14:paraId="661732A1" w14:textId="77777777" w:rsidR="00D911EC" w:rsidRPr="003938D5" w:rsidRDefault="00D911EC" w:rsidP="00B75128">
            <w:pPr>
              <w:spacing w:after="0" w:line="240" w:lineRule="auto"/>
              <w:textAlignment w:val="baseline"/>
              <w:rPr>
                <w:rFonts w:ascii="Century Gothic" w:eastAsia="Times New Roman" w:hAnsi="Century Gothic" w:cs="Arial"/>
                <w:sz w:val="16"/>
                <w:szCs w:val="16"/>
                <w:lang w:eastAsia="es-CO"/>
              </w:rPr>
            </w:pPr>
            <w:r w:rsidRPr="003938D5">
              <w:rPr>
                <w:rFonts w:ascii="Century Gothic" w:eastAsia="Times New Roman" w:hAnsi="Century Gothic" w:cs="Arial"/>
                <w:sz w:val="16"/>
                <w:szCs w:val="16"/>
                <w:lang w:val="es-ES_tradnl" w:eastAsia="es-CO"/>
              </w:rPr>
              <w:t>Subdirectora de Gestión Contractual ANCP-CCE</w:t>
            </w:r>
          </w:p>
        </w:tc>
      </w:tr>
    </w:tbl>
    <w:p w14:paraId="7B49C214" w14:textId="77777777" w:rsidR="00445798" w:rsidRPr="005346D4" w:rsidRDefault="00445798" w:rsidP="00CD5762">
      <w:pPr>
        <w:spacing w:after="0"/>
        <w:rPr>
          <w:rFonts w:ascii="Century Gothic" w:hAnsi="Century Gothic"/>
          <w:lang w:val="es-MX"/>
        </w:rPr>
      </w:pPr>
    </w:p>
    <w:sectPr w:rsidR="00445798" w:rsidRPr="005346D4"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521A" w14:textId="77777777" w:rsidR="006B5F68" w:rsidRDefault="006B5F68" w:rsidP="004A1847">
      <w:pPr>
        <w:spacing w:after="0" w:line="240" w:lineRule="auto"/>
      </w:pPr>
      <w:r>
        <w:separator/>
      </w:r>
    </w:p>
  </w:endnote>
  <w:endnote w:type="continuationSeparator" w:id="0">
    <w:p w14:paraId="3DD0A562" w14:textId="77777777" w:rsidR="006B5F68" w:rsidRDefault="006B5F68" w:rsidP="004A1847">
      <w:pPr>
        <w:spacing w:after="0" w:line="240" w:lineRule="auto"/>
      </w:pPr>
      <w:r>
        <w:continuationSeparator/>
      </w:r>
    </w:p>
  </w:endnote>
  <w:endnote w:type="continuationNotice" w:id="1">
    <w:p w14:paraId="383C710B" w14:textId="77777777" w:rsidR="006B5F68" w:rsidRDefault="006B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Footer"/>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Footer"/>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Footer"/>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EFC5" w14:textId="77777777" w:rsidR="006B5F68" w:rsidRDefault="006B5F68" w:rsidP="004A1847">
      <w:pPr>
        <w:spacing w:after="0" w:line="240" w:lineRule="auto"/>
      </w:pPr>
      <w:r>
        <w:separator/>
      </w:r>
    </w:p>
  </w:footnote>
  <w:footnote w:type="continuationSeparator" w:id="0">
    <w:p w14:paraId="3C55A319" w14:textId="77777777" w:rsidR="006B5F68" w:rsidRDefault="006B5F68" w:rsidP="004A1847">
      <w:pPr>
        <w:spacing w:after="0" w:line="240" w:lineRule="auto"/>
      </w:pPr>
      <w:r>
        <w:continuationSeparator/>
      </w:r>
    </w:p>
  </w:footnote>
  <w:footnote w:type="continuationNotice" w:id="1">
    <w:p w14:paraId="1CBD1E03" w14:textId="77777777" w:rsidR="006B5F68" w:rsidRDefault="006B5F68">
      <w:pPr>
        <w:spacing w:after="0" w:line="240" w:lineRule="auto"/>
      </w:pPr>
    </w:p>
  </w:footnote>
  <w:footnote w:id="2">
    <w:p w14:paraId="63D87B3E" w14:textId="77777777" w:rsidR="00445798" w:rsidRPr="002F4E23" w:rsidRDefault="00445798" w:rsidP="00445798">
      <w:pPr>
        <w:pStyle w:val="FootnoteText"/>
        <w:ind w:firstLine="708"/>
        <w:jc w:val="both"/>
        <w:rPr>
          <w:rFonts w:ascii="Century Gothic" w:hAnsi="Century Gothic" w:cs="Arial"/>
          <w:sz w:val="14"/>
          <w:szCs w:val="14"/>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La Agencia Nacional de Contratación Pública </w:t>
      </w:r>
      <w:r w:rsidRPr="002F4E23">
        <w:rPr>
          <w:rFonts w:ascii="Arial" w:hAnsi="Arial" w:cs="Arial"/>
          <w:sz w:val="14"/>
          <w:szCs w:val="14"/>
        </w:rPr>
        <w:t>‒</w:t>
      </w:r>
      <w:r w:rsidRPr="002F4E23">
        <w:rPr>
          <w:rFonts w:ascii="Century Gothic" w:hAnsi="Century Gothic" w:cs="Arial"/>
          <w:sz w:val="14"/>
          <w:szCs w:val="14"/>
        </w:rPr>
        <w:t xml:space="preserve"> Colombia Compra Eficiente fue creada por el Decreto Ley 4170 de 2011. Su objetivo es servir como ente rector de la pol</w:t>
      </w:r>
      <w:r w:rsidRPr="002F4E23">
        <w:rPr>
          <w:rFonts w:ascii="Century Gothic" w:hAnsi="Century Gothic" w:cs="Century Gothic"/>
          <w:sz w:val="14"/>
          <w:szCs w:val="14"/>
        </w:rPr>
        <w:t>í</w:t>
      </w:r>
      <w:r w:rsidRPr="002F4E23">
        <w:rPr>
          <w:rFonts w:ascii="Century Gothic" w:hAnsi="Century Gothic" w:cs="Arial"/>
          <w:sz w:val="14"/>
          <w:szCs w:val="14"/>
        </w:rPr>
        <w:t>tica de compras y contrataci</w:t>
      </w:r>
      <w:r w:rsidRPr="002F4E23">
        <w:rPr>
          <w:rFonts w:ascii="Century Gothic" w:hAnsi="Century Gothic" w:cs="Century Gothic"/>
          <w:sz w:val="14"/>
          <w:szCs w:val="14"/>
        </w:rPr>
        <w:t>ó</w:t>
      </w:r>
      <w:r w:rsidRPr="002F4E23">
        <w:rPr>
          <w:rFonts w:ascii="Century Gothic" w:hAnsi="Century Gothic" w:cs="Arial"/>
          <w:sz w:val="14"/>
          <w:szCs w:val="14"/>
        </w:rPr>
        <w:t xml:space="preserve">n del Estado. Para tales fines, como </w:t>
      </w:r>
      <w:r w:rsidRPr="002F4E23">
        <w:rPr>
          <w:rFonts w:ascii="Century Gothic" w:hAnsi="Century Gothic" w:cs="Century Gothic"/>
          <w:sz w:val="14"/>
          <w:szCs w:val="14"/>
        </w:rPr>
        <w:t>ó</w:t>
      </w:r>
      <w:r w:rsidRPr="002F4E23">
        <w:rPr>
          <w:rFonts w:ascii="Century Gothic" w:hAnsi="Century Gothic" w:cs="Arial"/>
          <w:sz w:val="14"/>
          <w:szCs w:val="14"/>
        </w:rPr>
        <w:t>rgano t</w:t>
      </w:r>
      <w:r w:rsidRPr="002F4E23">
        <w:rPr>
          <w:rFonts w:ascii="Century Gothic" w:hAnsi="Century Gothic" w:cs="Century Gothic"/>
          <w:sz w:val="14"/>
          <w:szCs w:val="14"/>
        </w:rPr>
        <w:t>é</w:t>
      </w:r>
      <w:r w:rsidRPr="002F4E23">
        <w:rPr>
          <w:rFonts w:ascii="Century Gothic" w:hAnsi="Century Gothic" w:cs="Arial"/>
          <w:sz w:val="14"/>
          <w:szCs w:val="14"/>
        </w:rPr>
        <w:t>cnico especializado, le corresponde formular pol</w:t>
      </w:r>
      <w:r w:rsidRPr="002F4E23">
        <w:rPr>
          <w:rFonts w:ascii="Century Gothic" w:hAnsi="Century Gothic" w:cs="Century Gothic"/>
          <w:sz w:val="14"/>
          <w:szCs w:val="14"/>
        </w:rPr>
        <w:t>í</w:t>
      </w:r>
      <w:r w:rsidRPr="002F4E23">
        <w:rPr>
          <w:rFonts w:ascii="Century Gothic" w:hAnsi="Century Gothic" w:cs="Arial"/>
          <w:sz w:val="14"/>
          <w:szCs w:val="14"/>
        </w:rPr>
        <w:t>ticas p</w:t>
      </w:r>
      <w:r w:rsidRPr="002F4E23">
        <w:rPr>
          <w:rFonts w:ascii="Century Gothic" w:hAnsi="Century Gothic" w:cs="Century Gothic"/>
          <w:sz w:val="14"/>
          <w:szCs w:val="14"/>
        </w:rPr>
        <w:t>ú</w:t>
      </w:r>
      <w:r w:rsidRPr="002F4E23">
        <w:rPr>
          <w:rFonts w:ascii="Century Gothic" w:hAnsi="Century Gothic" w:cs="Arial"/>
          <w:sz w:val="14"/>
          <w:szCs w:val="14"/>
        </w:rPr>
        <w:t>blicas y normas y unificar los procesos de contrataci</w:t>
      </w:r>
      <w:r w:rsidRPr="002F4E23">
        <w:rPr>
          <w:rFonts w:ascii="Century Gothic" w:hAnsi="Century Gothic" w:cs="Century Gothic"/>
          <w:sz w:val="14"/>
          <w:szCs w:val="14"/>
        </w:rPr>
        <w:t>ó</w:t>
      </w:r>
      <w:r w:rsidRPr="002F4E23">
        <w:rPr>
          <w:rFonts w:ascii="Century Gothic" w:hAnsi="Century Gothic" w:cs="Arial"/>
          <w:sz w:val="14"/>
          <w:szCs w:val="14"/>
        </w:rPr>
        <w:t>n estatal, con el fin de lograr una mayor eficiencia, transparencia y optimizaci</w:t>
      </w:r>
      <w:r w:rsidRPr="002F4E23">
        <w:rPr>
          <w:rFonts w:ascii="Century Gothic" w:hAnsi="Century Gothic" w:cs="Century Gothic"/>
          <w:sz w:val="14"/>
          <w:szCs w:val="14"/>
        </w:rPr>
        <w:t>ó</w:t>
      </w:r>
      <w:r w:rsidRPr="002F4E23">
        <w:rPr>
          <w:rFonts w:ascii="Century Gothic" w:hAnsi="Century Gothic" w:cs="Arial"/>
          <w:sz w:val="14"/>
          <w:szCs w:val="14"/>
        </w:rPr>
        <w:t>n de los recursos del Estado. El art</w:t>
      </w:r>
      <w:r w:rsidRPr="002F4E23">
        <w:rPr>
          <w:rFonts w:ascii="Century Gothic" w:hAnsi="Century Gothic" w:cs="Century Gothic"/>
          <w:sz w:val="14"/>
          <w:szCs w:val="14"/>
        </w:rPr>
        <w:t>í</w:t>
      </w:r>
      <w:r w:rsidRPr="002F4E23">
        <w:rPr>
          <w:rFonts w:ascii="Century Gothic" w:hAnsi="Century Gothic" w:cs="Arial"/>
          <w:sz w:val="14"/>
          <w:szCs w:val="14"/>
        </w:rPr>
        <w:t xml:space="preserve">culo 3 </w:t>
      </w:r>
      <w:r w:rsidRPr="002F4E23">
        <w:rPr>
          <w:rFonts w:ascii="Century Gothic" w:hAnsi="Century Gothic" w:cs="Arial"/>
          <w:i/>
          <w:sz w:val="14"/>
          <w:szCs w:val="14"/>
        </w:rPr>
        <w:t xml:space="preserve">ibidem </w:t>
      </w:r>
      <w:r w:rsidRPr="002F4E23">
        <w:rPr>
          <w:rFonts w:ascii="Century Gothic" w:hAnsi="Century Gothic" w:cs="Arial"/>
          <w:sz w:val="14"/>
          <w:szCs w:val="14"/>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2FCE846" w14:textId="77777777" w:rsidR="00445798" w:rsidRPr="002F4E23" w:rsidRDefault="00445798" w:rsidP="00445798">
      <w:pPr>
        <w:pStyle w:val="FootnoteText"/>
        <w:ind w:firstLine="708"/>
        <w:jc w:val="both"/>
        <w:rPr>
          <w:rFonts w:ascii="Century Gothic" w:hAnsi="Century Gothic" w:cs="Arial"/>
          <w:sz w:val="14"/>
          <w:szCs w:val="14"/>
        </w:rPr>
      </w:pPr>
    </w:p>
  </w:footnote>
  <w:footnote w:id="3">
    <w:p w14:paraId="3B676FD7" w14:textId="77777777" w:rsidR="00445798" w:rsidRPr="002F4E23" w:rsidRDefault="00445798" w:rsidP="00445798">
      <w:pPr>
        <w:pStyle w:val="FootnoteText"/>
        <w:ind w:firstLine="708"/>
        <w:jc w:val="both"/>
        <w:rPr>
          <w:rFonts w:ascii="Century Gothic" w:hAnsi="Century Gothic" w:cs="Arial"/>
          <w:sz w:val="14"/>
          <w:szCs w:val="14"/>
          <w:shd w:val="clear" w:color="auto" w:fill="E6E6E6"/>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F4E23">
          <w:rPr>
            <w:rStyle w:val="Hyperlink"/>
            <w:rFonts w:ascii="Century Gothic" w:hAnsi="Century Gothic" w:cs="Arial"/>
            <w:color w:val="auto"/>
            <w:sz w:val="14"/>
            <w:szCs w:val="14"/>
          </w:rPr>
          <w:t>https://relatoria.colombiacompra.gov.co/busqueda/conceptos</w:t>
        </w:r>
      </w:hyperlink>
      <w:r w:rsidRPr="002F4E23">
        <w:rPr>
          <w:rStyle w:val="Hyperlink"/>
          <w:rFonts w:ascii="Century Gothic" w:hAnsi="Century Gothic" w:cs="Arial"/>
          <w:color w:val="auto"/>
          <w:sz w:val="14"/>
          <w:szCs w:val="14"/>
        </w:rPr>
        <w:t xml:space="preserve">. </w:t>
      </w:r>
      <w:r w:rsidRPr="002F4E23">
        <w:rPr>
          <w:rFonts w:ascii="Century Gothic" w:hAnsi="Century Gothic" w:cs="Arial"/>
          <w:sz w:val="14"/>
          <w:szCs w:val="14"/>
          <w:shd w:val="clear" w:color="auto" w:fill="E6E6E6"/>
        </w:rPr>
        <w:t xml:space="preserve">  </w:t>
      </w:r>
    </w:p>
    <w:p w14:paraId="0A3A5D9C" w14:textId="77777777" w:rsidR="00445798" w:rsidRPr="002F4E23" w:rsidRDefault="00445798" w:rsidP="00445798">
      <w:pPr>
        <w:pStyle w:val="FootnoteText"/>
        <w:ind w:firstLine="708"/>
        <w:jc w:val="both"/>
        <w:rPr>
          <w:rFonts w:ascii="Century Gothic" w:hAnsi="Century Gothic" w:cs="Arial"/>
          <w:sz w:val="14"/>
          <w:szCs w:val="14"/>
          <w:shd w:val="clear" w:color="auto" w:fill="E6E6E6"/>
        </w:rPr>
      </w:pPr>
    </w:p>
  </w:footnote>
  <w:footnote w:id="4">
    <w:p w14:paraId="04F6CBF4" w14:textId="63B6291B" w:rsidR="00A82319" w:rsidRPr="002F4E23" w:rsidRDefault="00A82319" w:rsidP="00A82319">
      <w:pPr>
        <w:pStyle w:val="FootnoteText"/>
        <w:ind w:firstLine="708"/>
        <w:jc w:val="both"/>
        <w:rPr>
          <w:rFonts w:ascii="Century Gothic" w:hAnsi="Century Gothic" w:cs="Arial"/>
          <w:sz w:val="14"/>
          <w:szCs w:val="14"/>
          <w:shd w:val="clear" w:color="auto" w:fill="FFFFFF"/>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Al respecto, la Corte indicó: </w:t>
      </w:r>
      <w:r w:rsidR="00D2121C" w:rsidRPr="002F4E23">
        <w:rPr>
          <w:rFonts w:ascii="Century Gothic" w:hAnsi="Century Gothic" w:cs="Arial"/>
          <w:sz w:val="14"/>
          <w:szCs w:val="14"/>
        </w:rPr>
        <w:t>“</w:t>
      </w:r>
      <w:r w:rsidRPr="002F4E23">
        <w:rPr>
          <w:rFonts w:ascii="Century Gothic" w:hAnsi="Century Gothic" w:cs="Arial"/>
          <w:sz w:val="14"/>
          <w:szCs w:val="14"/>
          <w:shd w:val="clear" w:color="auto" w:fill="FFFFFF"/>
        </w:rPr>
        <w:t>Las regalías son comprendidas por el derecho constitucional como una </w:t>
      </w:r>
      <w:r w:rsidRPr="002F4E23">
        <w:rPr>
          <w:rFonts w:ascii="Century Gothic" w:hAnsi="Century Gothic" w:cs="Arial"/>
          <w:i/>
          <w:sz w:val="14"/>
          <w:szCs w:val="14"/>
          <w:shd w:val="clear" w:color="auto" w:fill="FFFFFF"/>
        </w:rPr>
        <w:t>contraprestación económica </w:t>
      </w:r>
      <w:r w:rsidRPr="002F4E23">
        <w:rPr>
          <w:rFonts w:ascii="Century Gothic" w:hAnsi="Century Gothic" w:cs="Arial"/>
          <w:sz w:val="14"/>
          <w:szCs w:val="14"/>
          <w:shd w:val="clear" w:color="auto" w:fill="FFFFFF"/>
        </w:rPr>
        <w:t>que recibe el Estado, en razón de la extracción de recursos naturales no renovables existentes en el subsuelo.  Como lo ha explicado la jurisprudencia reiterada, este concepto refiere a la </w:t>
      </w:r>
      <w:r w:rsidRPr="002F4E23">
        <w:rPr>
          <w:rFonts w:ascii="Century Gothic" w:hAnsi="Century Gothic" w:cs="Arial"/>
          <w:i/>
          <w:sz w:val="14"/>
          <w:szCs w:val="14"/>
          <w:shd w:val="clear" w:color="auto" w:fill="FFFFFF"/>
        </w:rPr>
        <w:t>“c</w:t>
      </w:r>
      <w:r w:rsidRPr="002F4E23">
        <w:rPr>
          <w:rFonts w:ascii="Century Gothic" w:hAnsi="Century Gothic" w:cs="Arial"/>
          <w:i/>
          <w:spacing w:val="-3"/>
          <w:sz w:val="14"/>
          <w:szCs w:val="14"/>
          <w:shd w:val="clear" w:color="auto" w:fill="FFFFFF"/>
        </w:rPr>
        <w:t>ontraprestación económica que percibe el Estado de las personas a quienes se les concede el derecho a explotar los recursos naturales no renovables en determinado porcentaje sobre el producto bruto explotado.</w:t>
      </w:r>
      <w:r w:rsidRPr="002F4E23">
        <w:rPr>
          <w:rFonts w:ascii="Century Gothic" w:hAnsi="Century Gothic" w:cs="Arial"/>
          <w:spacing w:val="-3"/>
          <w:sz w:val="14"/>
          <w:szCs w:val="14"/>
          <w:shd w:val="clear" w:color="auto" w:fill="FFFFFF"/>
        </w:rPr>
        <w:t xml:space="preserve"> A su vez, de acuerdo con el mismo precedente, en lo que respecta al derecho a las compensaciones, este </w:t>
      </w:r>
      <w:r w:rsidRPr="002F4E23">
        <w:rPr>
          <w:rFonts w:ascii="Century Gothic" w:hAnsi="Century Gothic" w:cs="Arial"/>
          <w:sz w:val="14"/>
          <w:szCs w:val="14"/>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0AFB1387" w14:textId="716E3F9E" w:rsidR="00A82319" w:rsidRPr="002F4E23" w:rsidRDefault="00195845" w:rsidP="00A82319">
      <w:pPr>
        <w:pStyle w:val="FootnoteText"/>
        <w:ind w:firstLine="708"/>
        <w:jc w:val="both"/>
        <w:rPr>
          <w:rFonts w:ascii="Century Gothic" w:hAnsi="Century Gothic" w:cs="Arial"/>
          <w:sz w:val="14"/>
          <w:szCs w:val="14"/>
          <w:lang w:val="es-CO"/>
        </w:rPr>
      </w:pPr>
      <w:r w:rsidRPr="002F4E23">
        <w:rPr>
          <w:rFonts w:ascii="Century Gothic" w:hAnsi="Century Gothic" w:cs="Arial"/>
          <w:sz w:val="14"/>
          <w:szCs w:val="14"/>
          <w:shd w:val="clear" w:color="auto" w:fill="FFFFFF"/>
        </w:rPr>
        <w:t>“</w:t>
      </w:r>
      <w:r w:rsidR="00A82319" w:rsidRPr="002F4E23">
        <w:rPr>
          <w:rFonts w:ascii="Century Gothic" w:hAnsi="Century Gothic" w:cs="Arial"/>
          <w:sz w:val="14"/>
          <w:szCs w:val="14"/>
          <w:shd w:val="clear" w:color="auto" w:fill="FFFFFF"/>
        </w:rPr>
        <w:t>Así lo ha explicado la Corte al prever que las regalías carecen de naturaleza tributaria, ya que </w:t>
      </w:r>
      <w:r w:rsidR="00A82319" w:rsidRPr="002F4E23">
        <w:rPr>
          <w:rFonts w:ascii="Century Gothic" w:hAnsi="Century Gothic" w:cs="Arial"/>
          <w:i/>
          <w:sz w:val="14"/>
          <w:szCs w:val="14"/>
          <w:shd w:val="clear" w:color="auto" w:fill="FFFFFF"/>
        </w:rPr>
        <w:t>“</w:t>
      </w:r>
      <w:r w:rsidR="00A82319" w:rsidRPr="002F4E23">
        <w:rPr>
          <w:rFonts w:ascii="Century Gothic" w:hAnsi="Century Gothic" w:cs="Arial"/>
          <w:sz w:val="14"/>
          <w:szCs w:val="14"/>
          <w:shd w:val="clear" w:color="auto" w:fill="FFFFFF"/>
        </w:rPr>
        <w:t>[a]</w:t>
      </w:r>
      <w:r w:rsidR="00A82319" w:rsidRPr="002F4E23">
        <w:rPr>
          <w:rFonts w:ascii="Century Gothic" w:hAnsi="Century Gothic" w:cs="Arial"/>
          <w:i/>
          <w:sz w:val="14"/>
          <w:szCs w:val="14"/>
          <w:shd w:val="clear" w:color="auto" w:fill="FFFFFF"/>
        </w:rPr>
        <w:t>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w:t>
      </w:r>
      <w:r w:rsidR="002D305D" w:rsidRPr="002F4E23">
        <w:rPr>
          <w:rFonts w:ascii="Century Gothic" w:hAnsi="Century Gothic" w:cs="Arial"/>
          <w:i/>
          <w:sz w:val="14"/>
          <w:szCs w:val="14"/>
          <w:shd w:val="clear" w:color="auto" w:fill="FFFFFF"/>
        </w:rPr>
        <w:t>”</w:t>
      </w:r>
      <w:r w:rsidR="00A82319" w:rsidRPr="002F4E23">
        <w:rPr>
          <w:rFonts w:ascii="Century Gothic" w:hAnsi="Century Gothic" w:cs="Arial"/>
          <w:i/>
          <w:sz w:val="14"/>
          <w:szCs w:val="14"/>
          <w:shd w:val="clear" w:color="auto" w:fill="FFFFFF"/>
        </w:rPr>
        <w:t xml:space="preserve">. </w:t>
      </w:r>
      <w:r w:rsidR="00A82319" w:rsidRPr="002F4E23">
        <w:rPr>
          <w:rFonts w:ascii="Century Gothic" w:hAnsi="Century Gothic" w:cs="Arial"/>
          <w:sz w:val="14"/>
          <w:szCs w:val="14"/>
          <w:lang w:val="es-CO"/>
        </w:rPr>
        <w:t>Corte Constitucional. Sentencias C-748 de 2012 y C-010 de 2013. M.P. Luis Ernesto Vargas Silva</w:t>
      </w:r>
    </w:p>
    <w:p w14:paraId="3A6A2306" w14:textId="77777777" w:rsidR="002D305D" w:rsidRPr="002F4E23" w:rsidRDefault="002D305D" w:rsidP="00A82319">
      <w:pPr>
        <w:pStyle w:val="FootnoteText"/>
        <w:ind w:firstLine="708"/>
        <w:jc w:val="both"/>
        <w:rPr>
          <w:rFonts w:ascii="Century Gothic" w:hAnsi="Century Gothic" w:cs="Arial"/>
          <w:sz w:val="14"/>
          <w:szCs w:val="14"/>
          <w:shd w:val="clear" w:color="auto" w:fill="FFFFFF"/>
        </w:rPr>
      </w:pPr>
    </w:p>
  </w:footnote>
  <w:footnote w:id="5">
    <w:p w14:paraId="5D28EB3F" w14:textId="77777777" w:rsidR="00A82319" w:rsidRPr="002F4E23" w:rsidRDefault="00A82319" w:rsidP="00A82319">
      <w:pPr>
        <w:pStyle w:val="FootnoteText"/>
        <w:ind w:firstLine="708"/>
        <w:jc w:val="both"/>
        <w:rPr>
          <w:rFonts w:ascii="Century Gothic" w:hAnsi="Century Gothic" w:cs="Arial"/>
          <w:sz w:val="14"/>
          <w:szCs w:val="14"/>
          <w:lang w:val="es-CO"/>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CÁMARA DE REPRESENTANTES. Exposición de motivos del Proyecto de Ley No 311 de 2020. Gaceta No 638 de 2020. </w:t>
      </w:r>
    </w:p>
  </w:footnote>
  <w:footnote w:id="6">
    <w:p w14:paraId="5C7D720D" w14:textId="77777777" w:rsidR="00691182" w:rsidRPr="002F4E23" w:rsidRDefault="00A82319" w:rsidP="00A82319">
      <w:pPr>
        <w:pStyle w:val="FootnoteText"/>
        <w:ind w:firstLine="708"/>
        <w:jc w:val="both"/>
        <w:rPr>
          <w:rFonts w:ascii="Century Gothic" w:hAnsi="Century Gothic" w:cs="Arial"/>
          <w:sz w:val="14"/>
          <w:szCs w:val="14"/>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w:t>
      </w:r>
      <w:r w:rsidR="00691182" w:rsidRPr="002F4E23">
        <w:rPr>
          <w:rFonts w:ascii="Century Gothic" w:hAnsi="Century Gothic" w:cs="Arial"/>
          <w:sz w:val="14"/>
          <w:szCs w:val="14"/>
        </w:rPr>
        <w:t>“</w:t>
      </w:r>
      <w:r w:rsidRPr="002F4E23">
        <w:rPr>
          <w:rFonts w:ascii="Century Gothic" w:hAnsi="Century Gothic" w:cs="Arial"/>
          <w:sz w:val="14"/>
          <w:szCs w:val="14"/>
        </w:rPr>
        <w:t>Artículo 1°. Objeto. Conforme con lo dispuesto por el artículo 360 y 361 de la Constitución Política, la presente ley tiene por objeto determinar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00691182" w:rsidRPr="002F4E23">
        <w:rPr>
          <w:rFonts w:ascii="Century Gothic" w:hAnsi="Century Gothic" w:cs="Arial"/>
          <w:sz w:val="14"/>
          <w:szCs w:val="14"/>
        </w:rPr>
        <w:t>”</w:t>
      </w:r>
      <w:r w:rsidRPr="002F4E23">
        <w:rPr>
          <w:rFonts w:ascii="Century Gothic" w:hAnsi="Century Gothic" w:cs="Arial"/>
          <w:sz w:val="14"/>
          <w:szCs w:val="14"/>
        </w:rPr>
        <w:t>.</w:t>
      </w:r>
    </w:p>
    <w:p w14:paraId="05D5BB7D" w14:textId="1ECA9331" w:rsidR="00A82319" w:rsidRPr="002F4E23" w:rsidRDefault="00A82319" w:rsidP="00A82319">
      <w:pPr>
        <w:pStyle w:val="FootnoteText"/>
        <w:ind w:firstLine="708"/>
        <w:jc w:val="both"/>
        <w:rPr>
          <w:rFonts w:ascii="Century Gothic" w:hAnsi="Century Gothic" w:cs="Arial"/>
          <w:sz w:val="14"/>
          <w:szCs w:val="14"/>
        </w:rPr>
      </w:pPr>
      <w:r w:rsidRPr="002F4E23">
        <w:rPr>
          <w:rFonts w:ascii="Century Gothic" w:hAnsi="Century Gothic" w:cs="Arial"/>
          <w:sz w:val="14"/>
          <w:szCs w:val="14"/>
        </w:rPr>
        <w:t xml:space="preserve">  </w:t>
      </w:r>
    </w:p>
  </w:footnote>
  <w:footnote w:id="7">
    <w:p w14:paraId="73865797" w14:textId="029790ED" w:rsidR="00A82319" w:rsidRPr="002F4E23" w:rsidRDefault="00A82319" w:rsidP="00A82319">
      <w:pPr>
        <w:pStyle w:val="FootnoteText"/>
        <w:ind w:firstLine="708"/>
        <w:jc w:val="both"/>
        <w:rPr>
          <w:rFonts w:ascii="Century Gothic" w:hAnsi="Century Gothic" w:cs="Arial"/>
          <w:sz w:val="14"/>
          <w:szCs w:val="14"/>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w:t>
      </w:r>
      <w:r w:rsidR="00691182" w:rsidRPr="002F4E23">
        <w:rPr>
          <w:rFonts w:ascii="Century Gothic" w:hAnsi="Century Gothic" w:cs="Arial"/>
          <w:sz w:val="14"/>
          <w:szCs w:val="14"/>
        </w:rPr>
        <w:t>“</w:t>
      </w:r>
      <w:r w:rsidRPr="002F4E23">
        <w:rPr>
          <w:rFonts w:ascii="Century Gothic" w:hAnsi="Century Gothic" w:cs="Arial"/>
          <w:sz w:val="14"/>
          <w:szCs w:val="14"/>
        </w:rPr>
        <w:t>Artículo 3. Órganos. Son órganos del Sistema General de Regalías, la Comisión Rectora, el Departamento Nacional de Planeación, el Ministerio de Minas y Energía, así como sus entidades adscritas y vinculadas que cumplan funciones en el ciclo de las regalías, el Ministerio de Hacienda y Crédito Público, el Ministerio de Ciencia, Tecnología e Innovación, el Ministerio de Ambiente y Desarrollo Sostenible y los Órganos Colegiados de Administración y Decisión Paz, de Inversión Regional y de Ciencia, Tecnología e Innovación, los cuales ejercerán sus atribuciones y competencias conforme con lo dispuesto por la presente Ley y demás lineamientos que expida la Comisión Rectora para el funcionamiento del Sistema General de Regalías</w:t>
      </w:r>
      <w:r w:rsidR="00691182" w:rsidRPr="002F4E23">
        <w:rPr>
          <w:rFonts w:ascii="Century Gothic" w:hAnsi="Century Gothic" w:cs="Arial"/>
          <w:sz w:val="14"/>
          <w:szCs w:val="14"/>
        </w:rPr>
        <w:t>”</w:t>
      </w:r>
      <w:r w:rsidRPr="002F4E23">
        <w:rPr>
          <w:rFonts w:ascii="Century Gothic" w:hAnsi="Century Gothic" w:cs="Arial"/>
          <w:sz w:val="14"/>
          <w:szCs w:val="14"/>
        </w:rPr>
        <w:t xml:space="preserve">. </w:t>
      </w:r>
    </w:p>
  </w:footnote>
  <w:footnote w:id="8">
    <w:p w14:paraId="03DB2A01" w14:textId="666C06A3" w:rsidR="00A82319" w:rsidRPr="002F4E23" w:rsidRDefault="00A82319" w:rsidP="00A82319">
      <w:pPr>
        <w:pStyle w:val="NormalWeb"/>
        <w:spacing w:before="0" w:beforeAutospacing="0" w:after="0" w:afterAutospacing="0"/>
        <w:ind w:firstLine="708"/>
        <w:jc w:val="both"/>
        <w:rPr>
          <w:rFonts w:ascii="Century Gothic" w:hAnsi="Century Gothic" w:cs="Arial"/>
          <w:sz w:val="14"/>
          <w:szCs w:val="14"/>
          <w:lang w:eastAsia="en-US"/>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w:t>
      </w:r>
      <w:r w:rsidR="00F63173" w:rsidRPr="002F4E23">
        <w:rPr>
          <w:rFonts w:ascii="Century Gothic" w:hAnsi="Century Gothic" w:cs="Arial"/>
          <w:color w:val="000000" w:themeColor="text1"/>
          <w:sz w:val="14"/>
          <w:szCs w:val="14"/>
          <w:lang w:val="es-ES_tradnl"/>
        </w:rPr>
        <w:t>“</w:t>
      </w:r>
      <w:r w:rsidRPr="002F4E23">
        <w:rPr>
          <w:rFonts w:ascii="Century Gothic" w:hAnsi="Century Gothic" w:cs="Arial"/>
          <w:sz w:val="14"/>
          <w:szCs w:val="14"/>
        </w:rPr>
        <w:t>Artículo 28. Destinación. Con los recursos del Sistema General de Regalías se financiarán proyectos de inversión en sus diferentes etapas, siempre y cuando esté definido en los mismos el horizonte de realización.</w:t>
      </w:r>
    </w:p>
    <w:p w14:paraId="09E71C4B" w14:textId="72DC9E48" w:rsidR="00A82319" w:rsidRPr="002F4E23" w:rsidRDefault="00F6317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color w:val="000000" w:themeColor="text1"/>
          <w:sz w:val="14"/>
          <w:szCs w:val="14"/>
          <w:lang w:val="es-ES_tradnl"/>
        </w:rPr>
        <w:t>“</w:t>
      </w:r>
      <w:r w:rsidR="00A82319" w:rsidRPr="002F4E23">
        <w:rPr>
          <w:rFonts w:ascii="Century Gothic" w:hAnsi="Century Gothic" w:cs="Arial"/>
          <w:sz w:val="14"/>
          <w:szCs w:val="14"/>
        </w:rPr>
        <w:t>Igualmente, se podrán financiar estudios y diseños como parte de los proyectos de inversión, que deberán contener la estimación de los costos del proyecto en cada una de sus fases subsiguientes, con el fin de que se pueda garantizar la financiación de estas. Así mismo, se podrán financiar las obras complementarias que permitan la puesta en marcha de un proyecto de inversión.</w:t>
      </w:r>
    </w:p>
    <w:p w14:paraId="02351801" w14:textId="21E5EAC8" w:rsidR="00A82319" w:rsidRPr="002F4E23" w:rsidRDefault="00F6317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color w:val="000000" w:themeColor="text1"/>
          <w:sz w:val="14"/>
          <w:szCs w:val="14"/>
          <w:lang w:val="es-ES_tradnl"/>
        </w:rPr>
        <w:t>“</w:t>
      </w:r>
      <w:r w:rsidR="00A82319" w:rsidRPr="002F4E23">
        <w:rPr>
          <w:rFonts w:ascii="Century Gothic" w:hAnsi="Century Gothic" w:cs="Arial"/>
          <w:sz w:val="14"/>
          <w:szCs w:val="14"/>
        </w:rPr>
        <w:t>Lo anterior de conformidad con la metodología para la formulación de los proyectos de inversión establecida por el Departamento Nacional de Planeación.</w:t>
      </w:r>
    </w:p>
    <w:p w14:paraId="49E69F07" w14:textId="04CEF1DC" w:rsidR="00A82319" w:rsidRPr="002F4E23" w:rsidRDefault="00F6317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color w:val="000000" w:themeColor="text1"/>
          <w:sz w:val="14"/>
          <w:szCs w:val="14"/>
          <w:lang w:val="es-ES_tradnl"/>
        </w:rPr>
        <w:t>“</w:t>
      </w:r>
      <w:r w:rsidR="00A82319" w:rsidRPr="002F4E23">
        <w:rPr>
          <w:rFonts w:ascii="Century Gothic" w:hAnsi="Century Gothic" w:cs="Arial"/>
          <w:sz w:val="14"/>
          <w:szCs w:val="14"/>
        </w:rPr>
        <w:t>En todo caso, no podrán financiarse gastos permanentes y, una vez terminada la etapa de inversión, la prestación del servicio debe ser sostenible y financiada por recursos diferentes al Sistema General de Regalías.</w:t>
      </w:r>
    </w:p>
    <w:p w14:paraId="2F6FA005" w14:textId="0AF7A79B" w:rsidR="00A82319" w:rsidRPr="002F4E23" w:rsidRDefault="00F63173" w:rsidP="00A82319">
      <w:pPr>
        <w:pStyle w:val="NormalWeb"/>
        <w:spacing w:before="0" w:beforeAutospacing="0" w:after="0" w:afterAutospacing="0"/>
        <w:ind w:firstLine="708"/>
        <w:jc w:val="both"/>
        <w:rPr>
          <w:rFonts w:ascii="Century Gothic" w:hAnsi="Century Gothic"/>
          <w:sz w:val="14"/>
          <w:szCs w:val="14"/>
        </w:rPr>
      </w:pPr>
      <w:r w:rsidRPr="002F4E23">
        <w:rPr>
          <w:rFonts w:ascii="Century Gothic" w:hAnsi="Century Gothic" w:cs="Arial"/>
          <w:color w:val="000000" w:themeColor="text1"/>
          <w:sz w:val="14"/>
          <w:szCs w:val="14"/>
          <w:lang w:val="es-ES_tradnl"/>
        </w:rPr>
        <w:t>“</w:t>
      </w:r>
      <w:r w:rsidR="00A82319" w:rsidRPr="002F4E23">
        <w:rPr>
          <w:rStyle w:val="baj"/>
          <w:rFonts w:ascii="Century Gothic" w:hAnsi="Century Gothic" w:cs="Arial"/>
          <w:sz w:val="14"/>
          <w:szCs w:val="14"/>
        </w:rPr>
        <w:t>Parágrafo.</w:t>
      </w:r>
      <w:r w:rsidR="00A82319" w:rsidRPr="002F4E23">
        <w:rPr>
          <w:rFonts w:ascii="Century Gothic" w:hAnsi="Century Gothic" w:cs="Arial"/>
          <w:sz w:val="14"/>
          <w:szCs w:val="14"/>
        </w:rPr>
        <w:t> Los recursos de que trata este artículo podrán ser usados para financiar parte del Programa de Alimentación Escolar (PAE) y del programa de transporte escolar</w:t>
      </w:r>
      <w:r w:rsidRPr="002F4E23">
        <w:rPr>
          <w:rFonts w:ascii="Century Gothic" w:hAnsi="Century Gothic" w:cs="Arial"/>
          <w:color w:val="000000" w:themeColor="text1"/>
          <w:sz w:val="14"/>
          <w:szCs w:val="14"/>
          <w:lang w:val="es-ES_tradnl"/>
        </w:rPr>
        <w:t>”</w:t>
      </w:r>
      <w:r w:rsidR="00A82319" w:rsidRPr="002F4E23">
        <w:rPr>
          <w:rFonts w:ascii="Century Gothic" w:hAnsi="Century Gothic" w:cs="Arial"/>
          <w:sz w:val="14"/>
          <w:szCs w:val="14"/>
        </w:rPr>
        <w:t>.</w:t>
      </w:r>
    </w:p>
  </w:footnote>
  <w:footnote w:id="9">
    <w:p w14:paraId="685AAD71" w14:textId="5E37FC5C" w:rsidR="00A82319" w:rsidRPr="002F4E23" w:rsidRDefault="00A82319" w:rsidP="00A82319">
      <w:pPr>
        <w:pStyle w:val="NormalWeb"/>
        <w:spacing w:before="0" w:beforeAutospacing="0" w:after="0" w:afterAutospacing="0"/>
        <w:ind w:firstLine="708"/>
        <w:jc w:val="both"/>
        <w:rPr>
          <w:rFonts w:ascii="Century Gothic" w:hAnsi="Century Gothic" w:cs="Arial"/>
          <w:sz w:val="14"/>
          <w:szCs w:val="14"/>
          <w:lang w:eastAsia="en-US"/>
        </w:rPr>
      </w:pPr>
      <w:r w:rsidRPr="002F4E23">
        <w:rPr>
          <w:rStyle w:val="FootnoteReference"/>
          <w:rFonts w:ascii="Century Gothic" w:hAnsi="Century Gothic" w:cs="Arial"/>
          <w:sz w:val="14"/>
          <w:szCs w:val="14"/>
        </w:rPr>
        <w:footnoteRef/>
      </w:r>
      <w:r w:rsidRPr="002F4E23">
        <w:rPr>
          <w:rFonts w:ascii="Century Gothic" w:hAnsi="Century Gothic" w:cs="Arial"/>
          <w:sz w:val="14"/>
          <w:szCs w:val="14"/>
        </w:rPr>
        <w:t xml:space="preserve"> </w:t>
      </w:r>
      <w:bookmarkStart w:id="4" w:name="35"/>
      <w:r w:rsidR="00A26B93" w:rsidRPr="002F4E23">
        <w:rPr>
          <w:rFonts w:ascii="Century Gothic" w:hAnsi="Century Gothic" w:cs="Arial"/>
          <w:sz w:val="14"/>
          <w:szCs w:val="14"/>
        </w:rPr>
        <w:t>“</w:t>
      </w:r>
      <w:r w:rsidRPr="002F4E23">
        <w:rPr>
          <w:rFonts w:ascii="Century Gothic" w:hAnsi="Century Gothic" w:cs="Arial"/>
          <w:sz w:val="14"/>
          <w:szCs w:val="14"/>
        </w:rPr>
        <w:t>Artículo 35. Priorización y aprobación de los proyectos de inversión de la asignación para la inversión regional.</w:t>
      </w:r>
      <w:bookmarkEnd w:id="4"/>
      <w:r w:rsidRPr="002F4E23">
        <w:rPr>
          <w:rFonts w:ascii="Century Gothic" w:hAnsi="Century Gothic" w:cs="Arial"/>
          <w:sz w:val="14"/>
          <w:szCs w:val="14"/>
        </w:rPr>
        <w:t> La priorización y aprobación de los proyectos de inversión de la Asignación para la Inversión Regional en cabeza de los departamentos estará a cargo de los respectivos departamentos.</w:t>
      </w:r>
    </w:p>
    <w:p w14:paraId="79BCA8C8" w14:textId="5A3626AB" w:rsidR="00A82319" w:rsidRPr="002F4E23" w:rsidRDefault="00A26B9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La aprobación de los proyectos de inversión de la Asignación para la Inversión Regional en cabeza de las regiones se realizará por parte de los Órganos Colegiados de Administración y Decisión Regionales, previa priorización del proyecto, proceso que estará a cargo del Departamento Nacional de Planeación y un miembro de la entidad territorial designado por el OCAD, de conformidad con la reglamentación que se expida para el efecto.</w:t>
      </w:r>
    </w:p>
    <w:p w14:paraId="55A3ED9A" w14:textId="77777777" w:rsidR="00A82319" w:rsidRPr="002F4E23" w:rsidRDefault="00A82319" w:rsidP="00A82319">
      <w:pPr>
        <w:pStyle w:val="NormalWeb"/>
        <w:spacing w:before="0" w:beforeAutospacing="0" w:after="0" w:afterAutospacing="0"/>
        <w:jc w:val="both"/>
        <w:rPr>
          <w:rFonts w:ascii="Century Gothic" w:hAnsi="Century Gothic" w:cs="Arial"/>
          <w:sz w:val="14"/>
          <w:szCs w:val="14"/>
        </w:rPr>
      </w:pPr>
      <w:r w:rsidRPr="002F4E23">
        <w:rPr>
          <w:rFonts w:ascii="Century Gothic" w:hAnsi="Century Gothic" w:cs="Arial"/>
          <w:sz w:val="14"/>
          <w:szCs w:val="14"/>
        </w:rPr>
        <w:t>[…]</w:t>
      </w:r>
    </w:p>
    <w:p w14:paraId="0CDF0AD5" w14:textId="220B0FB8" w:rsidR="00A82319" w:rsidRPr="002F4E23" w:rsidRDefault="00A26B9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Style w:val="baj"/>
          <w:rFonts w:ascii="Century Gothic" w:hAnsi="Century Gothic" w:cs="Arial"/>
          <w:sz w:val="14"/>
          <w:szCs w:val="14"/>
        </w:rPr>
        <w:t>Parágrafo 1o.</w:t>
      </w:r>
      <w:r w:rsidR="00A82319" w:rsidRPr="002F4E23">
        <w:rPr>
          <w:rFonts w:ascii="Century Gothic" w:hAnsi="Century Gothic" w:cs="Arial"/>
          <w:sz w:val="14"/>
          <w:szCs w:val="14"/>
        </w:rPr>
        <w:t> En las zonas no interconectadas del país, tendrán especial consideración los proyectos de energización, conectividad e infraestructura vial.</w:t>
      </w:r>
    </w:p>
    <w:p w14:paraId="58C49BC9" w14:textId="1B45177B" w:rsidR="00A82319" w:rsidRPr="002F4E23" w:rsidRDefault="00A26B93" w:rsidP="008B29B3">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Style w:val="baj"/>
          <w:rFonts w:ascii="Century Gothic" w:hAnsi="Century Gothic" w:cs="Arial"/>
          <w:sz w:val="14"/>
          <w:szCs w:val="14"/>
        </w:rPr>
        <w:t>Parágrafo 2o.</w:t>
      </w:r>
      <w:r w:rsidR="00A82319" w:rsidRPr="002F4E23">
        <w:rPr>
          <w:rFonts w:ascii="Century Gothic" w:hAnsi="Century Gothic" w:cs="Arial"/>
          <w:sz w:val="14"/>
          <w:szCs w:val="14"/>
        </w:rPr>
        <w:t> Los Departamentos y Órganos Colegiados de Administración y Decisión Regionales de que trata el presente artículo, en el marco de sus competencias, designarán al ejecutor el cual deberá ser de naturaleza pública; quien además estará a cargo de la contratación de la interventoría, de conformidad con lo previsto en la presente ley</w:t>
      </w:r>
      <w:r w:rsidR="002F4E23">
        <w:rPr>
          <w:rFonts w:ascii="Century Gothic" w:hAnsi="Century Gothic" w:cs="Arial"/>
          <w:sz w:val="14"/>
          <w:szCs w:val="14"/>
          <w:lang w:val="es-ES"/>
        </w:rPr>
        <w:t>”</w:t>
      </w:r>
      <w:r w:rsidR="00A82319" w:rsidRPr="002F4E23">
        <w:rPr>
          <w:rFonts w:ascii="Century Gothic" w:hAnsi="Century Gothic" w:cs="Arial"/>
          <w:sz w:val="14"/>
          <w:szCs w:val="14"/>
        </w:rPr>
        <w:t>.</w:t>
      </w:r>
      <w:r w:rsidR="002F4E23">
        <w:rPr>
          <w:rFonts w:ascii="Century Gothic" w:hAnsi="Century Gothic" w:cs="Arial"/>
          <w:sz w:val="14"/>
          <w:szCs w:val="14"/>
        </w:rPr>
        <w:t xml:space="preserve"> </w:t>
      </w:r>
      <w:r w:rsidR="00A82319" w:rsidRPr="003904FC">
        <w:rPr>
          <w:rFonts w:ascii="Arial" w:hAnsi="Arial" w:cs="Arial"/>
          <w:sz w:val="18"/>
          <w:szCs w:val="18"/>
        </w:rPr>
        <w:t>[…]</w:t>
      </w:r>
    </w:p>
    <w:p w14:paraId="219FD236" w14:textId="77777777" w:rsidR="00A82319" w:rsidRPr="002F4E23" w:rsidRDefault="00A82319" w:rsidP="008B29B3">
      <w:pPr>
        <w:pStyle w:val="FootnoteText"/>
        <w:jc w:val="both"/>
        <w:rPr>
          <w:rFonts w:ascii="Century Gothic" w:hAnsi="Century Gothic"/>
          <w:sz w:val="14"/>
          <w:szCs w:val="14"/>
          <w:lang w:val="es-CO"/>
        </w:rPr>
      </w:pPr>
    </w:p>
  </w:footnote>
  <w:footnote w:id="10">
    <w:p w14:paraId="0999507B" w14:textId="501154C6" w:rsidR="00A82319" w:rsidRPr="002F4E23" w:rsidRDefault="00A82319" w:rsidP="00A82319">
      <w:pPr>
        <w:pStyle w:val="NormalWeb"/>
        <w:spacing w:before="0" w:beforeAutospacing="0" w:after="0" w:afterAutospacing="0"/>
        <w:ind w:firstLine="708"/>
        <w:jc w:val="both"/>
        <w:rPr>
          <w:rFonts w:ascii="Century Gothic" w:hAnsi="Century Gothic" w:cs="Arial"/>
          <w:sz w:val="14"/>
          <w:szCs w:val="14"/>
          <w:lang w:eastAsia="en-US"/>
        </w:rPr>
      </w:pPr>
      <w:r w:rsidRPr="002F4E23">
        <w:rPr>
          <w:rStyle w:val="FootnoteReference"/>
          <w:rFonts w:ascii="Century Gothic" w:hAnsi="Century Gothic" w:cs="Arial"/>
          <w:sz w:val="14"/>
          <w:szCs w:val="14"/>
        </w:rPr>
        <w:footnoteRef/>
      </w:r>
      <w:bookmarkStart w:id="5" w:name="36"/>
      <w:r w:rsidR="00A26B93" w:rsidRPr="002F4E23">
        <w:rPr>
          <w:rFonts w:ascii="Century Gothic" w:hAnsi="Century Gothic" w:cs="Arial"/>
          <w:sz w:val="14"/>
          <w:szCs w:val="14"/>
        </w:rPr>
        <w:t>“</w:t>
      </w:r>
      <w:r w:rsidRPr="002F4E23">
        <w:rPr>
          <w:rFonts w:ascii="Century Gothic" w:hAnsi="Century Gothic" w:cs="Arial"/>
          <w:sz w:val="14"/>
          <w:szCs w:val="14"/>
        </w:rPr>
        <w:t>Artículo 36. Priorización y aprobación de proyectos de inversión para las asignaciones directas y asignación para la inversión local.</w:t>
      </w:r>
      <w:bookmarkEnd w:id="5"/>
      <w:r w:rsidRPr="002F4E23">
        <w:rPr>
          <w:rFonts w:ascii="Century Gothic" w:hAnsi="Century Gothic" w:cs="Arial"/>
          <w:sz w:val="14"/>
          <w:szCs w:val="14"/>
        </w:rPr>
        <w:t xml:space="preserve"> Las entidades territoriales receptoras de Asignaciones Directas y de la Asignación para la Inversión Local, serán las encargadas de priorizar y aprobar los proyectos de inversión que se financiarán con cargo a los recursos que le sean asignados por el Sistema General de Regalías, así como de verificar su disponibilidad, conforme con la metodología del Departamento Nacional de Planeación.</w:t>
      </w:r>
    </w:p>
    <w:p w14:paraId="59B125B8" w14:textId="06B2FEB0" w:rsidR="00A82319" w:rsidRPr="002F4E23" w:rsidRDefault="00A26B9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Style w:val="baj"/>
          <w:rFonts w:ascii="Century Gothic" w:hAnsi="Century Gothic" w:cs="Arial"/>
          <w:sz w:val="14"/>
          <w:szCs w:val="14"/>
        </w:rPr>
        <w:t>Parágrafo.</w:t>
      </w:r>
      <w:r w:rsidR="00A82319" w:rsidRPr="002F4E23">
        <w:rPr>
          <w:rFonts w:ascii="Century Gothic" w:hAnsi="Century Gothic" w:cs="Arial"/>
          <w:sz w:val="14"/>
          <w:szCs w:val="14"/>
        </w:rPr>
        <w:t xml:space="preserve"> Las entidades territoriales receptoras de la Asignación para la Inversión Local deberán priorizar la inversión de los recursos de esta asignación en sectores que contribuyan y produzcan mayores cambios positivos al cierre de brechas territoriales de desarrollo económico, social, ambiental, agropecuario y para la infraestructura vial.</w:t>
      </w:r>
    </w:p>
    <w:p w14:paraId="7C00F608" w14:textId="494307EF" w:rsidR="00A82319" w:rsidRPr="002F4E23" w:rsidRDefault="00A26B93"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Para tal efecto, el Departamento Nacional de Planeación establecerá la metodología para la priorización de sectores de inversión para el cierre de brechas de desarrollo económico, social, ambiental, agropecuario y para la infraestructura vial, entre otros, la cual podrá incluir una estrategia de implementación dirigida a las entidades territoriales.</w:t>
      </w:r>
    </w:p>
    <w:p w14:paraId="4BEB8A37" w14:textId="14A4F199" w:rsidR="00A82319" w:rsidRPr="002F4E23" w:rsidRDefault="00ED0AC0" w:rsidP="00A82319">
      <w:pPr>
        <w:pStyle w:val="NormalWeb"/>
        <w:spacing w:before="0" w:beforeAutospacing="0" w:after="0" w:afterAutospacing="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Cuando las entidades territoriales hayan reducido las brechas de desarrollo económico, social, ambiental, agropecuario y para la infraestructura vial en el rango de porcentaje o nivel establecido por la metodología de la que trata el inciso anterior, podrán invertir los recursos en otros sectores.</w:t>
      </w:r>
    </w:p>
    <w:p w14:paraId="26223CD2" w14:textId="114B1E91" w:rsidR="00A82319" w:rsidRPr="002F4E23" w:rsidRDefault="00653919" w:rsidP="008B29B3">
      <w:pPr>
        <w:pStyle w:val="FootnoteText"/>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Style w:val="baj"/>
          <w:rFonts w:ascii="Century Gothic" w:hAnsi="Century Gothic" w:cs="Arial"/>
          <w:sz w:val="14"/>
          <w:szCs w:val="14"/>
        </w:rPr>
        <w:t>Parágrafo transitorio.</w:t>
      </w:r>
      <w:r w:rsidR="00A82319" w:rsidRPr="002F4E23">
        <w:rPr>
          <w:rFonts w:ascii="Century Gothic" w:hAnsi="Century Gothic" w:cs="Arial"/>
          <w:sz w:val="14"/>
          <w:szCs w:val="14"/>
        </w:rPr>
        <w:t> Para el año 2021 no aplicará la metodología de cierre de brechas de que trata el parágrafo anterior dirigida a las entidades territoriales receptoras de la Asignación para la Inversión Local</w:t>
      </w:r>
      <w:r w:rsidRPr="002F4E23">
        <w:rPr>
          <w:rFonts w:ascii="Century Gothic" w:hAnsi="Century Gothic" w:cs="Arial"/>
          <w:sz w:val="14"/>
          <w:szCs w:val="14"/>
          <w:lang w:val="es-ES"/>
        </w:rPr>
        <w:t>”</w:t>
      </w:r>
      <w:r w:rsidR="00A82319" w:rsidRPr="002F4E23">
        <w:rPr>
          <w:rFonts w:ascii="Century Gothic" w:hAnsi="Century Gothic" w:cs="Arial"/>
          <w:sz w:val="14"/>
          <w:szCs w:val="14"/>
        </w:rPr>
        <w:t>.</w:t>
      </w:r>
    </w:p>
    <w:p w14:paraId="58FA6B29" w14:textId="77777777" w:rsidR="00653919" w:rsidRPr="002F4E23" w:rsidRDefault="00653919" w:rsidP="008B29B3">
      <w:pPr>
        <w:pStyle w:val="FootnoteText"/>
        <w:ind w:firstLine="708"/>
        <w:jc w:val="both"/>
        <w:rPr>
          <w:rFonts w:ascii="Century Gothic" w:hAnsi="Century Gothic"/>
          <w:sz w:val="14"/>
          <w:szCs w:val="14"/>
          <w:lang w:val="es-CO"/>
        </w:rPr>
      </w:pPr>
    </w:p>
  </w:footnote>
  <w:footnote w:id="11">
    <w:p w14:paraId="0A83F9CB" w14:textId="7D33A7CF" w:rsidR="00A82319" w:rsidRPr="002F4E23" w:rsidRDefault="00A82319" w:rsidP="008B29B3">
      <w:pPr>
        <w:spacing w:after="0"/>
        <w:ind w:firstLine="708"/>
        <w:jc w:val="both"/>
        <w:rPr>
          <w:rFonts w:ascii="Century Gothic" w:hAnsi="Century Gothic" w:cs="Arial"/>
          <w:sz w:val="14"/>
          <w:szCs w:val="14"/>
        </w:rPr>
      </w:pPr>
      <w:r w:rsidRPr="002F4E23">
        <w:rPr>
          <w:rStyle w:val="FootnoteReference"/>
          <w:rFonts w:ascii="Century Gothic" w:hAnsi="Century Gothic" w:cs="Arial"/>
          <w:sz w:val="14"/>
          <w:szCs w:val="14"/>
        </w:rPr>
        <w:footnoteRef/>
      </w:r>
      <w:bookmarkStart w:id="6" w:name="37"/>
      <w:r w:rsidR="00653919" w:rsidRPr="002F4E23">
        <w:rPr>
          <w:rFonts w:ascii="Century Gothic" w:hAnsi="Century Gothic" w:cs="Arial"/>
          <w:sz w:val="14"/>
          <w:szCs w:val="14"/>
        </w:rPr>
        <w:t>“</w:t>
      </w:r>
      <w:r w:rsidRPr="002F4E23">
        <w:rPr>
          <w:rFonts w:ascii="Century Gothic" w:hAnsi="Century Gothic" w:cs="Arial"/>
          <w:sz w:val="14"/>
          <w:szCs w:val="14"/>
        </w:rPr>
        <w:t>Artículo 37. ejecución de proyectos de inversión.</w:t>
      </w:r>
      <w:bookmarkEnd w:id="6"/>
      <w:r w:rsidRPr="002F4E23">
        <w:rPr>
          <w:rFonts w:ascii="Century Gothic" w:hAnsi="Century Gothic" w:cs="Arial"/>
          <w:sz w:val="14"/>
          <w:szCs w:val="14"/>
        </w:rPr>
        <w:t> los proyectos de inversión que se financien con cargo al sistema general de regalías serán ejecutados por quien designe las entidades u órganos de que tratan los artículos </w:t>
      </w:r>
      <w:hyperlink r:id="rId2" w:anchor="35" w:history="1">
        <w:r w:rsidRPr="002F4E23">
          <w:rPr>
            <w:rFonts w:ascii="Century Gothic" w:hAnsi="Century Gothic" w:cs="Arial"/>
            <w:sz w:val="14"/>
            <w:szCs w:val="14"/>
          </w:rPr>
          <w:t>35</w:t>
        </w:r>
      </w:hyperlink>
      <w:r w:rsidRPr="002F4E23">
        <w:rPr>
          <w:rFonts w:ascii="Century Gothic" w:hAnsi="Century Gothic" w:cs="Arial"/>
          <w:sz w:val="14"/>
          <w:szCs w:val="14"/>
        </w:rPr>
        <w:t> y </w:t>
      </w:r>
      <w:hyperlink r:id="rId3" w:anchor="36" w:history="1">
        <w:r w:rsidRPr="002F4E23">
          <w:rPr>
            <w:rFonts w:ascii="Century Gothic" w:hAnsi="Century Gothic" w:cs="Arial"/>
            <w:sz w:val="14"/>
            <w:szCs w:val="14"/>
          </w:rPr>
          <w:t>36</w:t>
        </w:r>
      </w:hyperlink>
      <w:r w:rsidRPr="002F4E23">
        <w:rPr>
          <w:rFonts w:ascii="Century Gothic" w:hAnsi="Century Gothic" w:cs="Arial"/>
          <w:sz w:val="14"/>
          <w:szCs w:val="14"/>
        </w:rPr>
        <w:t> de la presente ley. así mismo, la entidad ejecutora estará a cargo de la contratación de la interventoría, de conformidad con lo previsto en la presente ley.</w:t>
      </w:r>
    </w:p>
    <w:p w14:paraId="04128863" w14:textId="6264A0AE" w:rsidR="00A82319" w:rsidRPr="002F4E23" w:rsidRDefault="00653919" w:rsidP="008B29B3">
      <w:pPr>
        <w:spacing w:after="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00A82319" w:rsidRPr="002F4E23">
        <w:rPr>
          <w:rFonts w:ascii="Century Gothic" w:hAnsi="Century Gothic" w:cs="Arial"/>
          <w:sz w:val="14"/>
          <w:szCs w:val="14"/>
        </w:rPr>
        <w:t>los mismos</w:t>
      </w:r>
      <w:proofErr w:type="gramEnd"/>
      <w:r w:rsidR="00A82319" w:rsidRPr="002F4E23">
        <w:rPr>
          <w:rFonts w:ascii="Century Gothic" w:hAnsi="Century Gothic" w:cs="Arial"/>
          <w:sz w:val="14"/>
          <w:szCs w:val="14"/>
        </w:rPr>
        <w:t>, sin perjuicio de las acciones de control a las que haya lugar.</w:t>
      </w:r>
    </w:p>
    <w:p w14:paraId="5606F4D0" w14:textId="4D139989" w:rsidR="00A82319" w:rsidRPr="002F4E23" w:rsidRDefault="00653919" w:rsidP="008B29B3">
      <w:pPr>
        <w:spacing w:after="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 xml:space="preserve">Parágrafo 1o. La ejecución de proyectos de </w:t>
      </w:r>
      <w:r w:rsidRPr="002F4E23">
        <w:rPr>
          <w:rFonts w:ascii="Century Gothic" w:hAnsi="Century Gothic" w:cs="Arial"/>
          <w:sz w:val="14"/>
          <w:szCs w:val="14"/>
        </w:rPr>
        <w:t>qué</w:t>
      </w:r>
      <w:r w:rsidR="00A82319" w:rsidRPr="002F4E23">
        <w:rPr>
          <w:rFonts w:ascii="Century Gothic" w:hAnsi="Century Gothic" w:cs="Arial"/>
          <w:sz w:val="14"/>
          <w:szCs w:val="14"/>
        </w:rPr>
        <w:t xml:space="preserve"> trata este artículo, se adelantará, con estricta sujeción al régimen presupuestal definido en esta ley, al de contratación pública y las demás normas legales vigentes. el ejecutor garantizará la correcta ejecución de los recursos asignados al proyecto de inversión, así como el suministro y registro de la información requerida por el sistema de seguimiento, evaluación y control.</w:t>
      </w:r>
    </w:p>
    <w:p w14:paraId="63EAA7E7" w14:textId="0D5E85B6" w:rsidR="00A82319" w:rsidRPr="002F4E23" w:rsidRDefault="00653919" w:rsidP="008B29B3">
      <w:pPr>
        <w:spacing w:after="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Parágrafo 2o. Las entidades territoriales beneficiarias de asignaciones directas, la asignación para la inversión local y del 60% de la asignación para la inversión regional en cabeza de los departamentos podrán ejecutar directamente estos recursos o la entidad ejecutora que designe.</w:t>
      </w:r>
    </w:p>
    <w:p w14:paraId="3C3828AD" w14:textId="6631C190" w:rsidR="00A82319" w:rsidRPr="002F4E23" w:rsidRDefault="009558E2" w:rsidP="008B29B3">
      <w:pPr>
        <w:spacing w:after="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 xml:space="preserve">Parágrafo 3o. La entidad designada ejecutora por las entidades u órganos de que tratan los artículos </w:t>
      </w:r>
      <w:hyperlink r:id="rId4" w:anchor="35" w:history="1">
        <w:r w:rsidR="00A82319" w:rsidRPr="002F4E23">
          <w:rPr>
            <w:rFonts w:ascii="Century Gothic" w:hAnsi="Century Gothic" w:cs="Arial"/>
            <w:sz w:val="14"/>
            <w:szCs w:val="14"/>
          </w:rPr>
          <w:t>35</w:t>
        </w:r>
      </w:hyperlink>
      <w:r w:rsidR="00A82319" w:rsidRPr="002F4E23">
        <w:rPr>
          <w:rFonts w:ascii="Century Gothic" w:hAnsi="Century Gothic" w:cs="Arial"/>
          <w:sz w:val="14"/>
          <w:szCs w:val="14"/>
        </w:rPr>
        <w:t xml:space="preserve"> y </w:t>
      </w:r>
      <w:hyperlink r:id="rId5" w:anchor="36" w:history="1">
        <w:r w:rsidR="00A82319" w:rsidRPr="002F4E23">
          <w:rPr>
            <w:rFonts w:ascii="Century Gothic" w:hAnsi="Century Gothic" w:cs="Arial"/>
            <w:sz w:val="14"/>
            <w:szCs w:val="14"/>
          </w:rPr>
          <w:t>36</w:t>
        </w:r>
      </w:hyperlink>
      <w:r w:rsidR="00A82319" w:rsidRPr="002F4E23">
        <w:rPr>
          <w:rFonts w:ascii="Century Gothic" w:hAnsi="Century Gothic" w:cs="Arial"/>
          <w:sz w:val="14"/>
          <w:szCs w:val="14"/>
        </w:rPr>
        <w:t>, deberá expedir el acto administrativo que ordena la apertura del proceso de selección o acto administrativo unilateral que decreta el gasto con cargo a los recursos asignados, a más tardar dentro de los seis (6) meses contados a partir de la publicación del acuerdo de aprobación del proyecto de inversión que emita la entidad o instancia, según corresponda, y será la responsable de verificar el cumplimiento de los requisitos legales para el inicio de la ejecución del proyecto de inversión.</w:t>
      </w:r>
    </w:p>
    <w:p w14:paraId="517D53EE" w14:textId="0487D7B6" w:rsidR="00A82319" w:rsidRPr="002F4E23" w:rsidRDefault="003C2DB9" w:rsidP="008B29B3">
      <w:pPr>
        <w:spacing w:after="0"/>
        <w:ind w:firstLine="708"/>
        <w:jc w:val="both"/>
        <w:rPr>
          <w:rFonts w:ascii="Century Gothic" w:hAnsi="Century Gothic" w:cs="Arial"/>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En caso de no cumplirse lo anterior, las entidades u órganos liberarán automáticamente los recursos para la aprobación de nuevos proyectos de inversión y reportarán estos casos al sistema de seguimiento, evaluación y control para que se tengan en cuenta en la medición del desempeño en la gestión de los recursos del sistema general de regalías y a los órganos de control.</w:t>
      </w:r>
    </w:p>
    <w:p w14:paraId="5009BE8E" w14:textId="37943391" w:rsidR="00A82319" w:rsidRPr="008B29B3" w:rsidRDefault="003C2DB9" w:rsidP="008B29B3">
      <w:pPr>
        <w:spacing w:after="0"/>
        <w:ind w:firstLine="708"/>
        <w:jc w:val="both"/>
        <w:rPr>
          <w:rFonts w:ascii="Century Gothic" w:hAnsi="Century Gothic"/>
          <w:sz w:val="14"/>
          <w:szCs w:val="14"/>
        </w:rPr>
      </w:pPr>
      <w:r w:rsidRPr="002F4E23">
        <w:rPr>
          <w:rFonts w:ascii="Century Gothic" w:hAnsi="Century Gothic" w:cs="Arial"/>
          <w:sz w:val="14"/>
          <w:szCs w:val="14"/>
          <w:lang w:val="es-ES"/>
        </w:rPr>
        <w:t>“</w:t>
      </w:r>
      <w:r w:rsidR="00A82319" w:rsidRPr="002F4E23">
        <w:rPr>
          <w:rFonts w:ascii="Century Gothic" w:hAnsi="Century Gothic" w:cs="Arial"/>
          <w:sz w:val="14"/>
          <w:szCs w:val="14"/>
        </w:rPr>
        <w:t>Se exceptúan los casos en los que por causas no atribuibles a la entidad designada como ejecutora no se logre expedir el acto administrativo que ordena la apertura del proceso de selección o acto administrativo unilateral que decreta el gasto con cargo a los recursos asignados en los seis (6) meses, caso en el cual las entidades u órganos podrán prorrogar hasta por doce (12) meses más lo estipulado en este parágrafo. la comisión rectora del sistema general de regalías reglamentará estos casos</w:t>
      </w:r>
      <w:r w:rsidRPr="002F4E23">
        <w:rPr>
          <w:rFonts w:ascii="Century Gothic" w:hAnsi="Century Gothic" w:cs="Arial"/>
          <w:sz w:val="14"/>
          <w:szCs w:val="14"/>
          <w:lang w:val="es-ES"/>
        </w:rPr>
        <w:t>”</w:t>
      </w:r>
      <w:r w:rsidR="00A82319" w:rsidRPr="002F4E23">
        <w:rPr>
          <w:rFonts w:ascii="Century Gothic" w:hAnsi="Century Gothic"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Header"/>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Header"/>
    </w:pPr>
  </w:p>
  <w:p w14:paraId="1BE2B9AE" w14:textId="4B94DB3B" w:rsidR="00756841" w:rsidRDefault="00756841">
    <w:pPr>
      <w:pStyle w:val="Header"/>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801457A"/>
    <w:multiLevelType w:val="hybridMultilevel"/>
    <w:tmpl w:val="38A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4"/>
  </w:num>
  <w:num w:numId="2" w16cid:durableId="486676265">
    <w:abstractNumId w:val="1"/>
  </w:num>
  <w:num w:numId="3" w16cid:durableId="608313202">
    <w:abstractNumId w:val="3"/>
  </w:num>
  <w:num w:numId="4" w16cid:durableId="266743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200699721">
    <w:abstractNumId w:val="0"/>
  </w:num>
  <w:num w:numId="7" w16cid:durableId="56545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1B5C"/>
    <w:rsid w:val="00010FB6"/>
    <w:rsid w:val="00033AA8"/>
    <w:rsid w:val="00035B77"/>
    <w:rsid w:val="000418F7"/>
    <w:rsid w:val="00046C54"/>
    <w:rsid w:val="00054B01"/>
    <w:rsid w:val="00054CD8"/>
    <w:rsid w:val="000571AF"/>
    <w:rsid w:val="00064DE1"/>
    <w:rsid w:val="0007312C"/>
    <w:rsid w:val="00075F34"/>
    <w:rsid w:val="000A683E"/>
    <w:rsid w:val="000A7AAF"/>
    <w:rsid w:val="000B19B9"/>
    <w:rsid w:val="000C69B3"/>
    <w:rsid w:val="000D0334"/>
    <w:rsid w:val="000E46D6"/>
    <w:rsid w:val="000E4714"/>
    <w:rsid w:val="000F6486"/>
    <w:rsid w:val="001055D9"/>
    <w:rsid w:val="0011143A"/>
    <w:rsid w:val="0011674F"/>
    <w:rsid w:val="00116885"/>
    <w:rsid w:val="00124C00"/>
    <w:rsid w:val="00125105"/>
    <w:rsid w:val="00127233"/>
    <w:rsid w:val="0013338B"/>
    <w:rsid w:val="00147B3D"/>
    <w:rsid w:val="00154E10"/>
    <w:rsid w:val="001629A2"/>
    <w:rsid w:val="00173E95"/>
    <w:rsid w:val="00181419"/>
    <w:rsid w:val="00181C58"/>
    <w:rsid w:val="0018391D"/>
    <w:rsid w:val="0019195C"/>
    <w:rsid w:val="00195845"/>
    <w:rsid w:val="001B7204"/>
    <w:rsid w:val="001C277A"/>
    <w:rsid w:val="001D0D3A"/>
    <w:rsid w:val="001D3A52"/>
    <w:rsid w:val="001D3D91"/>
    <w:rsid w:val="001E4177"/>
    <w:rsid w:val="001E522C"/>
    <w:rsid w:val="00200C0E"/>
    <w:rsid w:val="00216829"/>
    <w:rsid w:val="0021734B"/>
    <w:rsid w:val="00231EC1"/>
    <w:rsid w:val="00232CDE"/>
    <w:rsid w:val="00242EB4"/>
    <w:rsid w:val="0025194E"/>
    <w:rsid w:val="00273F39"/>
    <w:rsid w:val="00277097"/>
    <w:rsid w:val="00283C78"/>
    <w:rsid w:val="00285848"/>
    <w:rsid w:val="00292CA5"/>
    <w:rsid w:val="002951A0"/>
    <w:rsid w:val="002962BC"/>
    <w:rsid w:val="002A093D"/>
    <w:rsid w:val="002A49AC"/>
    <w:rsid w:val="002A64FD"/>
    <w:rsid w:val="002C0C32"/>
    <w:rsid w:val="002C1332"/>
    <w:rsid w:val="002C7A84"/>
    <w:rsid w:val="002D305D"/>
    <w:rsid w:val="002E0530"/>
    <w:rsid w:val="002F4E23"/>
    <w:rsid w:val="002F704F"/>
    <w:rsid w:val="00300CD3"/>
    <w:rsid w:val="003039E4"/>
    <w:rsid w:val="00316EB5"/>
    <w:rsid w:val="003408EF"/>
    <w:rsid w:val="003448F4"/>
    <w:rsid w:val="0035446B"/>
    <w:rsid w:val="00357BD7"/>
    <w:rsid w:val="003721BB"/>
    <w:rsid w:val="00375537"/>
    <w:rsid w:val="003813CC"/>
    <w:rsid w:val="003938D5"/>
    <w:rsid w:val="003A779E"/>
    <w:rsid w:val="003C2DB9"/>
    <w:rsid w:val="003D0F4D"/>
    <w:rsid w:val="003D30E5"/>
    <w:rsid w:val="003E0499"/>
    <w:rsid w:val="003E147D"/>
    <w:rsid w:val="003F3700"/>
    <w:rsid w:val="003F3941"/>
    <w:rsid w:val="003F7E8C"/>
    <w:rsid w:val="00400548"/>
    <w:rsid w:val="00404297"/>
    <w:rsid w:val="00411FB6"/>
    <w:rsid w:val="00414A7D"/>
    <w:rsid w:val="00421257"/>
    <w:rsid w:val="00425A21"/>
    <w:rsid w:val="0043508A"/>
    <w:rsid w:val="00435F89"/>
    <w:rsid w:val="004368BC"/>
    <w:rsid w:val="00445798"/>
    <w:rsid w:val="004504C2"/>
    <w:rsid w:val="00454780"/>
    <w:rsid w:val="00463486"/>
    <w:rsid w:val="00466008"/>
    <w:rsid w:val="00471448"/>
    <w:rsid w:val="00486E27"/>
    <w:rsid w:val="004A1847"/>
    <w:rsid w:val="004A305D"/>
    <w:rsid w:val="004A3526"/>
    <w:rsid w:val="004C10CE"/>
    <w:rsid w:val="004D0212"/>
    <w:rsid w:val="004D5C8C"/>
    <w:rsid w:val="004D6F4F"/>
    <w:rsid w:val="004E5E15"/>
    <w:rsid w:val="004E688C"/>
    <w:rsid w:val="004F21C4"/>
    <w:rsid w:val="004F685F"/>
    <w:rsid w:val="00531BA8"/>
    <w:rsid w:val="00533E8F"/>
    <w:rsid w:val="005346D4"/>
    <w:rsid w:val="005362B6"/>
    <w:rsid w:val="0054468E"/>
    <w:rsid w:val="005515E0"/>
    <w:rsid w:val="005566E8"/>
    <w:rsid w:val="0055726C"/>
    <w:rsid w:val="0056548C"/>
    <w:rsid w:val="00565A22"/>
    <w:rsid w:val="00574867"/>
    <w:rsid w:val="00577F8A"/>
    <w:rsid w:val="00582500"/>
    <w:rsid w:val="00595067"/>
    <w:rsid w:val="005A0FD8"/>
    <w:rsid w:val="005A40A6"/>
    <w:rsid w:val="005A6AA1"/>
    <w:rsid w:val="005B5D8B"/>
    <w:rsid w:val="005C01BB"/>
    <w:rsid w:val="005C5CDC"/>
    <w:rsid w:val="005C7F6F"/>
    <w:rsid w:val="005D476C"/>
    <w:rsid w:val="005E4ADD"/>
    <w:rsid w:val="00621201"/>
    <w:rsid w:val="006219F8"/>
    <w:rsid w:val="00627961"/>
    <w:rsid w:val="00627B4C"/>
    <w:rsid w:val="00632544"/>
    <w:rsid w:val="00643CB4"/>
    <w:rsid w:val="006466E5"/>
    <w:rsid w:val="00653919"/>
    <w:rsid w:val="00655A35"/>
    <w:rsid w:val="006633F1"/>
    <w:rsid w:val="00665D70"/>
    <w:rsid w:val="006836E3"/>
    <w:rsid w:val="006909E1"/>
    <w:rsid w:val="00691182"/>
    <w:rsid w:val="0069409C"/>
    <w:rsid w:val="006957BC"/>
    <w:rsid w:val="006B5F68"/>
    <w:rsid w:val="006E007F"/>
    <w:rsid w:val="006E0632"/>
    <w:rsid w:val="006E2FF1"/>
    <w:rsid w:val="006E73C6"/>
    <w:rsid w:val="006F1CA8"/>
    <w:rsid w:val="006F64FA"/>
    <w:rsid w:val="00706C16"/>
    <w:rsid w:val="007128AF"/>
    <w:rsid w:val="0072507D"/>
    <w:rsid w:val="00727370"/>
    <w:rsid w:val="00756841"/>
    <w:rsid w:val="007639DD"/>
    <w:rsid w:val="00763C80"/>
    <w:rsid w:val="007649AB"/>
    <w:rsid w:val="0077726E"/>
    <w:rsid w:val="0078282D"/>
    <w:rsid w:val="007833AC"/>
    <w:rsid w:val="0078608A"/>
    <w:rsid w:val="007867AA"/>
    <w:rsid w:val="00790073"/>
    <w:rsid w:val="007A4C3D"/>
    <w:rsid w:val="007A5D42"/>
    <w:rsid w:val="007A7798"/>
    <w:rsid w:val="007B7171"/>
    <w:rsid w:val="007C3DC2"/>
    <w:rsid w:val="007C7402"/>
    <w:rsid w:val="007D7F89"/>
    <w:rsid w:val="007E5497"/>
    <w:rsid w:val="007F5353"/>
    <w:rsid w:val="00800C4D"/>
    <w:rsid w:val="008013CE"/>
    <w:rsid w:val="0080141E"/>
    <w:rsid w:val="00806F5F"/>
    <w:rsid w:val="0081195A"/>
    <w:rsid w:val="00812A11"/>
    <w:rsid w:val="00817E85"/>
    <w:rsid w:val="00820278"/>
    <w:rsid w:val="00824757"/>
    <w:rsid w:val="008326A2"/>
    <w:rsid w:val="00834A17"/>
    <w:rsid w:val="00834A63"/>
    <w:rsid w:val="00834F45"/>
    <w:rsid w:val="00837965"/>
    <w:rsid w:val="00847222"/>
    <w:rsid w:val="00852B4E"/>
    <w:rsid w:val="00867111"/>
    <w:rsid w:val="0087110A"/>
    <w:rsid w:val="00871AF4"/>
    <w:rsid w:val="00883B65"/>
    <w:rsid w:val="008843B6"/>
    <w:rsid w:val="00886EE9"/>
    <w:rsid w:val="00891928"/>
    <w:rsid w:val="00895BCE"/>
    <w:rsid w:val="008A0267"/>
    <w:rsid w:val="008A446D"/>
    <w:rsid w:val="008A625E"/>
    <w:rsid w:val="008B29B3"/>
    <w:rsid w:val="008C64FE"/>
    <w:rsid w:val="008C756C"/>
    <w:rsid w:val="008E4C5E"/>
    <w:rsid w:val="008F01C0"/>
    <w:rsid w:val="008F0EA7"/>
    <w:rsid w:val="008F2E80"/>
    <w:rsid w:val="008F4349"/>
    <w:rsid w:val="0090464B"/>
    <w:rsid w:val="00907344"/>
    <w:rsid w:val="00923EEF"/>
    <w:rsid w:val="0092776C"/>
    <w:rsid w:val="009379F0"/>
    <w:rsid w:val="009410A8"/>
    <w:rsid w:val="009419F9"/>
    <w:rsid w:val="00946397"/>
    <w:rsid w:val="009558E2"/>
    <w:rsid w:val="00961B09"/>
    <w:rsid w:val="00965334"/>
    <w:rsid w:val="00965A2B"/>
    <w:rsid w:val="0097093E"/>
    <w:rsid w:val="00980FC8"/>
    <w:rsid w:val="00997046"/>
    <w:rsid w:val="009A0332"/>
    <w:rsid w:val="009B1B3B"/>
    <w:rsid w:val="009B4957"/>
    <w:rsid w:val="009C71FA"/>
    <w:rsid w:val="009C72E7"/>
    <w:rsid w:val="009E1971"/>
    <w:rsid w:val="00A00BE7"/>
    <w:rsid w:val="00A03122"/>
    <w:rsid w:val="00A1296C"/>
    <w:rsid w:val="00A17F13"/>
    <w:rsid w:val="00A20739"/>
    <w:rsid w:val="00A26B93"/>
    <w:rsid w:val="00A27DF0"/>
    <w:rsid w:val="00A3076E"/>
    <w:rsid w:val="00A33C78"/>
    <w:rsid w:val="00A360AB"/>
    <w:rsid w:val="00A413A0"/>
    <w:rsid w:val="00A82319"/>
    <w:rsid w:val="00A86E65"/>
    <w:rsid w:val="00A909A4"/>
    <w:rsid w:val="00A9744A"/>
    <w:rsid w:val="00AB0ADB"/>
    <w:rsid w:val="00AB6B68"/>
    <w:rsid w:val="00AC5149"/>
    <w:rsid w:val="00AD2760"/>
    <w:rsid w:val="00AD5E99"/>
    <w:rsid w:val="00AE62DA"/>
    <w:rsid w:val="00B100DB"/>
    <w:rsid w:val="00B114E6"/>
    <w:rsid w:val="00B15EC9"/>
    <w:rsid w:val="00B224AD"/>
    <w:rsid w:val="00B4360C"/>
    <w:rsid w:val="00B51435"/>
    <w:rsid w:val="00B72CD3"/>
    <w:rsid w:val="00B72FFF"/>
    <w:rsid w:val="00B7759E"/>
    <w:rsid w:val="00B90125"/>
    <w:rsid w:val="00B97D3D"/>
    <w:rsid w:val="00BD15D4"/>
    <w:rsid w:val="00BD2E7A"/>
    <w:rsid w:val="00BD7F72"/>
    <w:rsid w:val="00BE26B0"/>
    <w:rsid w:val="00C04FB3"/>
    <w:rsid w:val="00C179D5"/>
    <w:rsid w:val="00C24421"/>
    <w:rsid w:val="00C30461"/>
    <w:rsid w:val="00C330EB"/>
    <w:rsid w:val="00C36E9C"/>
    <w:rsid w:val="00C55A2E"/>
    <w:rsid w:val="00C63B86"/>
    <w:rsid w:val="00C73383"/>
    <w:rsid w:val="00C754BE"/>
    <w:rsid w:val="00C874F4"/>
    <w:rsid w:val="00C956C0"/>
    <w:rsid w:val="00C97880"/>
    <w:rsid w:val="00CB28B8"/>
    <w:rsid w:val="00CB6357"/>
    <w:rsid w:val="00CC1B26"/>
    <w:rsid w:val="00CC4496"/>
    <w:rsid w:val="00CD186C"/>
    <w:rsid w:val="00CD5762"/>
    <w:rsid w:val="00CD7B90"/>
    <w:rsid w:val="00CE3DCD"/>
    <w:rsid w:val="00CF726C"/>
    <w:rsid w:val="00D21025"/>
    <w:rsid w:val="00D2121C"/>
    <w:rsid w:val="00D22EE2"/>
    <w:rsid w:val="00D23304"/>
    <w:rsid w:val="00D24239"/>
    <w:rsid w:val="00D2718F"/>
    <w:rsid w:val="00D3028B"/>
    <w:rsid w:val="00D315E6"/>
    <w:rsid w:val="00D423A2"/>
    <w:rsid w:val="00D576CD"/>
    <w:rsid w:val="00D63AC2"/>
    <w:rsid w:val="00D67AA0"/>
    <w:rsid w:val="00D7383B"/>
    <w:rsid w:val="00D809AE"/>
    <w:rsid w:val="00D862BD"/>
    <w:rsid w:val="00D911EC"/>
    <w:rsid w:val="00D969E3"/>
    <w:rsid w:val="00D97B0B"/>
    <w:rsid w:val="00DA231B"/>
    <w:rsid w:val="00DB43A1"/>
    <w:rsid w:val="00DC5208"/>
    <w:rsid w:val="00DD499B"/>
    <w:rsid w:val="00DD62C5"/>
    <w:rsid w:val="00DF2C43"/>
    <w:rsid w:val="00DF640C"/>
    <w:rsid w:val="00E16408"/>
    <w:rsid w:val="00E20894"/>
    <w:rsid w:val="00E245AB"/>
    <w:rsid w:val="00E40DB5"/>
    <w:rsid w:val="00E4225B"/>
    <w:rsid w:val="00E43266"/>
    <w:rsid w:val="00E50AFE"/>
    <w:rsid w:val="00E70339"/>
    <w:rsid w:val="00E74040"/>
    <w:rsid w:val="00E771DC"/>
    <w:rsid w:val="00E83C0D"/>
    <w:rsid w:val="00E8772A"/>
    <w:rsid w:val="00E90F6B"/>
    <w:rsid w:val="00E92C27"/>
    <w:rsid w:val="00EA0E3D"/>
    <w:rsid w:val="00EA336A"/>
    <w:rsid w:val="00EA3E5C"/>
    <w:rsid w:val="00ED0AC0"/>
    <w:rsid w:val="00EE1AA8"/>
    <w:rsid w:val="00EE5024"/>
    <w:rsid w:val="00EF1BA4"/>
    <w:rsid w:val="00EF464B"/>
    <w:rsid w:val="00EF47A5"/>
    <w:rsid w:val="00F058A0"/>
    <w:rsid w:val="00F12737"/>
    <w:rsid w:val="00F17039"/>
    <w:rsid w:val="00F175CF"/>
    <w:rsid w:val="00F204AB"/>
    <w:rsid w:val="00F30F44"/>
    <w:rsid w:val="00F31EDC"/>
    <w:rsid w:val="00F335FC"/>
    <w:rsid w:val="00F47576"/>
    <w:rsid w:val="00F5664F"/>
    <w:rsid w:val="00F613A2"/>
    <w:rsid w:val="00F63173"/>
    <w:rsid w:val="00F6346D"/>
    <w:rsid w:val="00F665A4"/>
    <w:rsid w:val="00F72B0B"/>
    <w:rsid w:val="00F75CFB"/>
    <w:rsid w:val="00F76AFC"/>
    <w:rsid w:val="00FB5DD1"/>
    <w:rsid w:val="00FC2B5D"/>
    <w:rsid w:val="00FD5B3F"/>
    <w:rsid w:val="00FD6C50"/>
    <w:rsid w:val="00FE7B84"/>
    <w:rsid w:val="00FF1449"/>
    <w:rsid w:val="636127C0"/>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0A9BFC66-D8B8-48AD-8622-1BB3BB0A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1"/>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character" w:styleId="UnresolvedMention">
    <w:name w:val="Unresolved Mention"/>
    <w:basedOn w:val="DefaultParagraphFont"/>
    <w:uiPriority w:val="99"/>
    <w:semiHidden/>
    <w:unhideWhenUsed/>
    <w:rsid w:val="003721BB"/>
    <w:rPr>
      <w:color w:val="605E5C"/>
      <w:shd w:val="clear" w:color="auto" w:fill="E1DFDD"/>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886EE9"/>
    <w:rPr>
      <w:rFonts w:ascii="Geomanist Light" w:hAnsi="Geomanist Light"/>
      <w:lang w:val="es-ES"/>
    </w:rPr>
  </w:style>
  <w:style w:type="paragraph" w:customStyle="1" w:styleId="Appelnotedebasde">
    <w:name w:val="Appel note de bas de..."/>
    <w:basedOn w:val="Normal"/>
    <w:link w:val="FootnoteReference"/>
    <w:uiPriority w:val="99"/>
    <w:rsid w:val="00445798"/>
    <w:pPr>
      <w:spacing w:line="240" w:lineRule="exact"/>
    </w:pPr>
    <w:rPr>
      <w:vertAlign w:val="superscript"/>
    </w:rPr>
  </w:style>
  <w:style w:type="paragraph" w:styleId="NormalWeb">
    <w:name w:val="Normal (Web)"/>
    <w:basedOn w:val="Normal"/>
    <w:link w:val="NormalWebChar"/>
    <w:uiPriority w:val="99"/>
    <w:unhideWhenUsed/>
    <w:rsid w:val="00A823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A82319"/>
    <w:rPr>
      <w:b/>
      <w:bCs/>
    </w:rPr>
  </w:style>
  <w:style w:type="character" w:customStyle="1" w:styleId="NormalWebChar">
    <w:name w:val="Normal (Web) Char"/>
    <w:link w:val="NormalWeb"/>
    <w:uiPriority w:val="99"/>
    <w:rsid w:val="00A82319"/>
    <w:rPr>
      <w:rFonts w:ascii="Times New Roman" w:eastAsia="Times New Roman" w:hAnsi="Times New Roman" w:cs="Times New Roman"/>
      <w:sz w:val="24"/>
      <w:szCs w:val="24"/>
      <w:lang w:eastAsia="es-CO"/>
    </w:rPr>
  </w:style>
  <w:style w:type="character" w:customStyle="1" w:styleId="baj">
    <w:name w:val="b_aj"/>
    <w:basedOn w:val="DefaultParagraphFont"/>
    <w:rsid w:val="00A82319"/>
  </w:style>
  <w:style w:type="paragraph" w:styleId="Revision">
    <w:name w:val="Revision"/>
    <w:hidden/>
    <w:uiPriority w:val="99"/>
    <w:semiHidden/>
    <w:rsid w:val="001055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003">
      <w:bodyDiv w:val="1"/>
      <w:marLeft w:val="0"/>
      <w:marRight w:val="0"/>
      <w:marTop w:val="0"/>
      <w:marBottom w:val="0"/>
      <w:divBdr>
        <w:top w:val="none" w:sz="0" w:space="0" w:color="auto"/>
        <w:left w:val="none" w:sz="0" w:space="0" w:color="auto"/>
        <w:bottom w:val="none" w:sz="0" w:space="0" w:color="auto"/>
        <w:right w:val="none" w:sz="0" w:space="0" w:color="auto"/>
      </w:divBdr>
      <w:divsChild>
        <w:div w:id="799805282">
          <w:marLeft w:val="0"/>
          <w:marRight w:val="0"/>
          <w:marTop w:val="0"/>
          <w:marBottom w:val="0"/>
          <w:divBdr>
            <w:top w:val="none" w:sz="0" w:space="0" w:color="auto"/>
            <w:left w:val="none" w:sz="0" w:space="0" w:color="auto"/>
            <w:bottom w:val="none" w:sz="0" w:space="0" w:color="auto"/>
            <w:right w:val="none" w:sz="0" w:space="0" w:color="auto"/>
          </w:divBdr>
          <w:divsChild>
            <w:div w:id="19069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2761">
      <w:bodyDiv w:val="1"/>
      <w:marLeft w:val="0"/>
      <w:marRight w:val="0"/>
      <w:marTop w:val="0"/>
      <w:marBottom w:val="0"/>
      <w:divBdr>
        <w:top w:val="none" w:sz="0" w:space="0" w:color="auto"/>
        <w:left w:val="none" w:sz="0" w:space="0" w:color="auto"/>
        <w:bottom w:val="none" w:sz="0" w:space="0" w:color="auto"/>
        <w:right w:val="none" w:sz="0" w:space="0" w:color="auto"/>
      </w:divBdr>
    </w:div>
    <w:div w:id="802651446">
      <w:bodyDiv w:val="1"/>
      <w:marLeft w:val="0"/>
      <w:marRight w:val="0"/>
      <w:marTop w:val="0"/>
      <w:marBottom w:val="0"/>
      <w:divBdr>
        <w:top w:val="none" w:sz="0" w:space="0" w:color="auto"/>
        <w:left w:val="none" w:sz="0" w:space="0" w:color="auto"/>
        <w:bottom w:val="none" w:sz="0" w:space="0" w:color="auto"/>
        <w:right w:val="none" w:sz="0" w:space="0" w:color="auto"/>
      </w:divBdr>
    </w:div>
    <w:div w:id="869224660">
      <w:bodyDiv w:val="1"/>
      <w:marLeft w:val="0"/>
      <w:marRight w:val="0"/>
      <w:marTop w:val="0"/>
      <w:marBottom w:val="0"/>
      <w:divBdr>
        <w:top w:val="none" w:sz="0" w:space="0" w:color="auto"/>
        <w:left w:val="none" w:sz="0" w:space="0" w:color="auto"/>
        <w:bottom w:val="none" w:sz="0" w:space="0" w:color="auto"/>
        <w:right w:val="none" w:sz="0" w:space="0" w:color="auto"/>
      </w:divBdr>
      <w:divsChild>
        <w:div w:id="258831493">
          <w:marLeft w:val="0"/>
          <w:marRight w:val="0"/>
          <w:marTop w:val="0"/>
          <w:marBottom w:val="0"/>
          <w:divBdr>
            <w:top w:val="none" w:sz="0" w:space="0" w:color="auto"/>
            <w:left w:val="none" w:sz="0" w:space="0" w:color="auto"/>
            <w:bottom w:val="none" w:sz="0" w:space="0" w:color="auto"/>
            <w:right w:val="none" w:sz="0" w:space="0" w:color="auto"/>
          </w:divBdr>
          <w:divsChild>
            <w:div w:id="7937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78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edciocsa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56_2020.html" TargetMode="External"/><Relationship Id="rId2" Type="http://schemas.openxmlformats.org/officeDocument/2006/relationships/hyperlink" Target="http://www.secretariasenado.gov.co/senado/basedoc/ley_2056_2020.html" TargetMode="External"/><Relationship Id="rId1" Type="http://schemas.openxmlformats.org/officeDocument/2006/relationships/hyperlink" Target="https://relatoria.colombiacompra.gov.co/busqueda/conceptos%20" TargetMode="External"/><Relationship Id="rId5" Type="http://schemas.openxmlformats.org/officeDocument/2006/relationships/hyperlink" Target="http://www.secretariasenado.gov.co/senado/basedoc/ley_2056_2020.html" TargetMode="External"/><Relationship Id="rId4" Type="http://schemas.openxmlformats.org/officeDocument/2006/relationships/hyperlink" Target="http://www.secretariasenado.gov.co/senado/basedoc/ley_2056_2020.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Ana Maria Ortiz Ballesteros</DisplayName>
        <AccountId>645</AccountId>
        <AccountType/>
      </UserInfo>
      <UserInfo>
        <DisplayName>Alejandro Sarmiento</DisplayName>
        <AccountId>119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F48F03D-A3FB-426D-A17D-9DDE6CCFDB44}"/>
</file>

<file path=customXml/itemProps4.xml><?xml version="1.0" encoding="utf-8"?>
<ds:datastoreItem xmlns:ds="http://schemas.openxmlformats.org/officeDocument/2006/customXml" ds:itemID="{385BA8D1-922C-7140-83A6-D18AB27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4185</Words>
  <Characters>23858</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27988</CharactersWithSpaces>
  <SharedDoc>false</SharedDoc>
  <HLinks>
    <vt:vector size="36" baseType="variant">
      <vt:variant>
        <vt:i4>6553678</vt:i4>
      </vt:variant>
      <vt:variant>
        <vt:i4>0</vt:i4>
      </vt:variant>
      <vt:variant>
        <vt:i4>0</vt:i4>
      </vt:variant>
      <vt:variant>
        <vt:i4>5</vt:i4>
      </vt:variant>
      <vt:variant>
        <vt:lpwstr>mailto:admedciocsas@gmail.com</vt:lpwstr>
      </vt:variant>
      <vt:variant>
        <vt:lpwstr/>
      </vt:variant>
      <vt:variant>
        <vt:i4>65552</vt:i4>
      </vt:variant>
      <vt:variant>
        <vt:i4>12</vt:i4>
      </vt:variant>
      <vt:variant>
        <vt:i4>0</vt:i4>
      </vt:variant>
      <vt:variant>
        <vt:i4>5</vt:i4>
      </vt:variant>
      <vt:variant>
        <vt:lpwstr>http://www.secretariasenado.gov.co/senado/basedoc/ley_2056_2020.html</vt:lpwstr>
      </vt:variant>
      <vt:variant>
        <vt:lpwstr>36</vt:lpwstr>
      </vt:variant>
      <vt:variant>
        <vt:i4>131088</vt:i4>
      </vt:variant>
      <vt:variant>
        <vt:i4>9</vt:i4>
      </vt:variant>
      <vt:variant>
        <vt:i4>0</vt:i4>
      </vt:variant>
      <vt:variant>
        <vt:i4>5</vt:i4>
      </vt:variant>
      <vt:variant>
        <vt:lpwstr>http://www.secretariasenado.gov.co/senado/basedoc/ley_2056_2020.html</vt:lpwstr>
      </vt:variant>
      <vt:variant>
        <vt:lpwstr>35</vt:lpwstr>
      </vt:variant>
      <vt:variant>
        <vt:i4>65552</vt:i4>
      </vt:variant>
      <vt:variant>
        <vt:i4>6</vt:i4>
      </vt:variant>
      <vt:variant>
        <vt:i4>0</vt:i4>
      </vt:variant>
      <vt:variant>
        <vt:i4>5</vt:i4>
      </vt:variant>
      <vt:variant>
        <vt:lpwstr>http://www.secretariasenado.gov.co/senado/basedoc/ley_2056_2020.html</vt:lpwstr>
      </vt:variant>
      <vt:variant>
        <vt:lpwstr>36</vt:lpwstr>
      </vt:variant>
      <vt:variant>
        <vt:i4>131088</vt:i4>
      </vt:variant>
      <vt:variant>
        <vt:i4>3</vt:i4>
      </vt:variant>
      <vt:variant>
        <vt:i4>0</vt:i4>
      </vt:variant>
      <vt:variant>
        <vt:i4>5</vt:i4>
      </vt:variant>
      <vt:variant>
        <vt:lpwstr>http://www.secretariasenado.gov.co/senado/basedoc/ley_2056_2020.html</vt:lpwstr>
      </vt:variant>
      <vt:variant>
        <vt:lpwstr>35</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71</cp:revision>
  <cp:lastPrinted>2023-01-11T00:18:00Z</cp:lastPrinted>
  <dcterms:created xsi:type="dcterms:W3CDTF">2024-05-31T21:58:00Z</dcterms:created>
  <dcterms:modified xsi:type="dcterms:W3CDTF">2024-06-04T20:54:00Z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