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7461A" w14:textId="77777777" w:rsidR="00423593" w:rsidRPr="00423593" w:rsidRDefault="00423593" w:rsidP="00423593">
      <w:pPr>
        <w:jc w:val="both"/>
        <w:rPr>
          <w:rFonts w:ascii="Century Gothic" w:hAnsi="Century Gothic" w:cs="Arial"/>
          <w:b/>
          <w:bCs/>
        </w:rPr>
      </w:pPr>
      <w:bookmarkStart w:id="0" w:name="_Hlk143780582"/>
      <w:r w:rsidRPr="00423593">
        <w:rPr>
          <w:rFonts w:ascii="Century Gothic" w:hAnsi="Century Gothic" w:cs="Arial"/>
          <w:b/>
          <w:bCs/>
        </w:rPr>
        <w:t xml:space="preserve">EXPERIENCIA </w:t>
      </w:r>
      <w:bookmarkStart w:id="1" w:name="_Hlk39676694"/>
      <w:r w:rsidRPr="00423593">
        <w:rPr>
          <w:rFonts w:ascii="Century Gothic" w:eastAsia="Calibri" w:hAnsi="Century Gothic" w:cs="Arial"/>
          <w:b/>
        </w:rPr>
        <w:t>–</w:t>
      </w:r>
      <w:bookmarkEnd w:id="1"/>
      <w:r w:rsidRPr="00423593">
        <w:rPr>
          <w:rFonts w:ascii="Century Gothic" w:eastAsia="Calibri" w:hAnsi="Century Gothic" w:cs="Arial"/>
          <w:b/>
        </w:rPr>
        <w:t xml:space="preserve"> Concepto </w:t>
      </w:r>
    </w:p>
    <w:p w14:paraId="1E752731" w14:textId="77777777" w:rsidR="00B74893" w:rsidRDefault="00423593" w:rsidP="00B74893">
      <w:pPr>
        <w:spacing w:after="0" w:line="240" w:lineRule="auto"/>
        <w:jc w:val="both"/>
        <w:rPr>
          <w:rFonts w:ascii="Century Gothic" w:hAnsi="Century Gothic" w:cs="Arial"/>
          <w:sz w:val="20"/>
          <w:szCs w:val="20"/>
          <w:lang w:eastAsia="es-ES"/>
        </w:rPr>
      </w:pPr>
      <w:r w:rsidRPr="00423593">
        <w:rPr>
          <w:rFonts w:ascii="Century Gothic" w:hAnsi="Century Gothic" w:cs="Arial"/>
          <w:sz w:val="20"/>
          <w:szCs w:val="20"/>
          <w:lang w:eastAsia="es-ES"/>
        </w:rPr>
        <w:t xml:space="preserve">[…], </w:t>
      </w:r>
      <w:r w:rsidR="00B74893" w:rsidRPr="00B74893">
        <w:rPr>
          <w:rFonts w:ascii="Century Gothic" w:hAnsi="Century Gothic" w:cs="Arial"/>
          <w:sz w:val="20"/>
          <w:szCs w:val="20"/>
          <w:lang w:eastAsia="es-ES"/>
        </w:rPr>
        <w:t xml:space="preserve">se pueden extraer cuatro conclusiones relevantes respecto de la experiencia, para evaluar a continuación las figuras y reformas estatutarias de las sociedades comerciales: </w:t>
      </w:r>
    </w:p>
    <w:p w14:paraId="46B4DAF3" w14:textId="77777777" w:rsidR="00B74893" w:rsidRPr="00B74893" w:rsidRDefault="00B74893" w:rsidP="00B74893">
      <w:pPr>
        <w:spacing w:after="0" w:line="240" w:lineRule="auto"/>
        <w:jc w:val="both"/>
        <w:rPr>
          <w:rFonts w:ascii="Century Gothic" w:hAnsi="Century Gothic" w:cs="Arial"/>
          <w:sz w:val="20"/>
          <w:szCs w:val="20"/>
          <w:lang w:eastAsia="es-ES"/>
        </w:rPr>
      </w:pPr>
    </w:p>
    <w:p w14:paraId="0F6D560D" w14:textId="77777777" w:rsidR="00B74893" w:rsidRDefault="00B74893" w:rsidP="00B74893">
      <w:pPr>
        <w:spacing w:after="0" w:line="240" w:lineRule="auto"/>
        <w:jc w:val="both"/>
        <w:rPr>
          <w:rFonts w:ascii="Century Gothic" w:hAnsi="Century Gothic" w:cs="Arial"/>
          <w:sz w:val="20"/>
          <w:szCs w:val="20"/>
          <w:lang w:eastAsia="es-ES"/>
        </w:rPr>
      </w:pPr>
      <w:r w:rsidRPr="00B74893">
        <w:rPr>
          <w:rFonts w:ascii="Century Gothic" w:hAnsi="Century Gothic" w:cs="Arial"/>
          <w:sz w:val="20"/>
          <w:szCs w:val="20"/>
          <w:lang w:eastAsia="es-ES"/>
        </w:rPr>
        <w:t>i) La experiencia es personal, esto es, se adquiere participando, directa o indirectamente, sin que sea posible no hacerlo y tener experiencia.</w:t>
      </w:r>
    </w:p>
    <w:p w14:paraId="78E6A6C0" w14:textId="77777777" w:rsidR="00B74893" w:rsidRPr="00B74893" w:rsidRDefault="00B74893" w:rsidP="00B74893">
      <w:pPr>
        <w:spacing w:after="0" w:line="240" w:lineRule="auto"/>
        <w:jc w:val="both"/>
        <w:rPr>
          <w:rFonts w:ascii="Century Gothic" w:hAnsi="Century Gothic" w:cs="Arial"/>
          <w:sz w:val="20"/>
          <w:szCs w:val="20"/>
          <w:lang w:eastAsia="es-ES"/>
        </w:rPr>
      </w:pPr>
    </w:p>
    <w:p w14:paraId="708ADCA1" w14:textId="77777777" w:rsidR="00B74893" w:rsidRDefault="00B74893" w:rsidP="00B74893">
      <w:pPr>
        <w:spacing w:after="0" w:line="240" w:lineRule="auto"/>
        <w:jc w:val="both"/>
        <w:rPr>
          <w:rFonts w:ascii="Century Gothic" w:hAnsi="Century Gothic" w:cs="Arial"/>
          <w:sz w:val="20"/>
          <w:szCs w:val="20"/>
          <w:lang w:eastAsia="es-ES"/>
        </w:rPr>
      </w:pPr>
      <w:proofErr w:type="spellStart"/>
      <w:r w:rsidRPr="00B74893">
        <w:rPr>
          <w:rFonts w:ascii="Century Gothic" w:hAnsi="Century Gothic" w:cs="Arial"/>
          <w:sz w:val="20"/>
          <w:szCs w:val="20"/>
          <w:lang w:eastAsia="es-ES"/>
        </w:rPr>
        <w:t>ii</w:t>
      </w:r>
      <w:proofErr w:type="spellEnd"/>
      <w:r w:rsidRPr="00B74893">
        <w:rPr>
          <w:rFonts w:ascii="Century Gothic" w:hAnsi="Century Gothic" w:cs="Arial"/>
          <w:sz w:val="20"/>
          <w:szCs w:val="20"/>
          <w:lang w:eastAsia="es-ES"/>
        </w:rPr>
        <w:t>) La experiencia se puede compartir, sin que implique que la compartida a una persona se entienda suya, ya que dentro del procedimiento contractual se reflejará que esa persona tiene la experiencia de otra, como es el caso de las figuras asociativas –consorcios y uniones temporales– que se verificará en el documento privado de constitución.</w:t>
      </w:r>
    </w:p>
    <w:p w14:paraId="7695A621" w14:textId="77777777" w:rsidR="00B74893" w:rsidRPr="00B74893" w:rsidRDefault="00B74893" w:rsidP="00B74893">
      <w:pPr>
        <w:spacing w:after="0" w:line="240" w:lineRule="auto"/>
        <w:jc w:val="both"/>
        <w:rPr>
          <w:rFonts w:ascii="Century Gothic" w:hAnsi="Century Gothic" w:cs="Arial"/>
          <w:sz w:val="20"/>
          <w:szCs w:val="20"/>
          <w:lang w:eastAsia="es-ES"/>
        </w:rPr>
      </w:pPr>
    </w:p>
    <w:p w14:paraId="1A3EF744" w14:textId="77777777" w:rsidR="00B74893" w:rsidRDefault="00B74893" w:rsidP="00B74893">
      <w:pPr>
        <w:spacing w:after="0" w:line="240" w:lineRule="auto"/>
        <w:jc w:val="both"/>
        <w:rPr>
          <w:rFonts w:ascii="Century Gothic" w:hAnsi="Century Gothic" w:cs="Arial"/>
          <w:sz w:val="20"/>
          <w:szCs w:val="20"/>
          <w:lang w:eastAsia="es-ES"/>
        </w:rPr>
      </w:pPr>
      <w:proofErr w:type="spellStart"/>
      <w:r w:rsidRPr="00B74893">
        <w:rPr>
          <w:rFonts w:ascii="Century Gothic" w:hAnsi="Century Gothic" w:cs="Arial"/>
          <w:sz w:val="20"/>
          <w:szCs w:val="20"/>
          <w:lang w:eastAsia="es-ES"/>
        </w:rPr>
        <w:t>iii</w:t>
      </w:r>
      <w:proofErr w:type="spellEnd"/>
      <w:r w:rsidRPr="00B74893">
        <w:rPr>
          <w:rFonts w:ascii="Century Gothic" w:hAnsi="Century Gothic" w:cs="Arial"/>
          <w:sz w:val="20"/>
          <w:szCs w:val="20"/>
          <w:lang w:eastAsia="es-ES"/>
        </w:rPr>
        <w:t>) 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el numeral 2.2. de este concepto.</w:t>
      </w:r>
    </w:p>
    <w:p w14:paraId="295AED34" w14:textId="77777777" w:rsidR="00B74893" w:rsidRPr="00B74893" w:rsidRDefault="00B74893" w:rsidP="00B74893">
      <w:pPr>
        <w:spacing w:after="0" w:line="240" w:lineRule="auto"/>
        <w:jc w:val="both"/>
        <w:rPr>
          <w:rFonts w:ascii="Century Gothic" w:hAnsi="Century Gothic" w:cs="Arial"/>
          <w:sz w:val="20"/>
          <w:szCs w:val="20"/>
          <w:lang w:eastAsia="es-ES"/>
        </w:rPr>
      </w:pPr>
    </w:p>
    <w:p w14:paraId="0DD68566" w14:textId="7CA09908" w:rsidR="00423593" w:rsidRPr="00423593" w:rsidRDefault="00B74893" w:rsidP="00B74893">
      <w:pPr>
        <w:spacing w:after="0" w:line="240" w:lineRule="auto"/>
        <w:jc w:val="both"/>
        <w:rPr>
          <w:rFonts w:ascii="Century Gothic" w:hAnsi="Century Gothic" w:cs="Arial"/>
          <w:sz w:val="20"/>
          <w:szCs w:val="20"/>
          <w:lang w:eastAsia="es-ES"/>
        </w:rPr>
      </w:pPr>
      <w:proofErr w:type="spellStart"/>
      <w:r w:rsidRPr="00B74893">
        <w:rPr>
          <w:rFonts w:ascii="Century Gothic" w:hAnsi="Century Gothic" w:cs="Arial"/>
          <w:sz w:val="20"/>
          <w:szCs w:val="20"/>
          <w:lang w:eastAsia="es-ES"/>
        </w:rPr>
        <w:t>iv</w:t>
      </w:r>
      <w:proofErr w:type="spellEnd"/>
      <w:r w:rsidRPr="00B74893">
        <w:rPr>
          <w:rFonts w:ascii="Century Gothic" w:hAnsi="Century Gothic" w:cs="Arial"/>
          <w:sz w:val="20"/>
          <w:szCs w:val="20"/>
          <w:lang w:eastAsia="es-ES"/>
        </w:rPr>
        <w:t>) Cuando la persona que adquirió la experiencia desaparece o se liquida, no es posible que comparta o transfiera su experiencia, puesto que, al ser esta personal, sigue la suerte de quien la adquirió.</w:t>
      </w:r>
    </w:p>
    <w:p w14:paraId="79C85AF0" w14:textId="77777777" w:rsidR="00423593" w:rsidRPr="00423593" w:rsidRDefault="00423593" w:rsidP="00423593">
      <w:pPr>
        <w:spacing w:after="0"/>
        <w:jc w:val="both"/>
        <w:rPr>
          <w:rFonts w:ascii="Century Gothic" w:hAnsi="Century Gothic" w:cs="Arial"/>
          <w:b/>
          <w:bCs/>
          <w:highlight w:val="yellow"/>
          <w:lang w:eastAsia="es-ES"/>
        </w:rPr>
      </w:pPr>
    </w:p>
    <w:p w14:paraId="1655B4EE" w14:textId="77777777" w:rsidR="00423593" w:rsidRPr="00423593" w:rsidRDefault="00423593" w:rsidP="00423593">
      <w:pPr>
        <w:spacing w:after="0"/>
        <w:jc w:val="both"/>
        <w:rPr>
          <w:rFonts w:ascii="Century Gothic" w:eastAsia="Calibri" w:hAnsi="Century Gothic" w:cs="Arial"/>
          <w:b/>
          <w:bCs/>
          <w:lang w:eastAsia="es-ES"/>
        </w:rPr>
      </w:pPr>
      <w:r w:rsidRPr="00423593">
        <w:rPr>
          <w:rFonts w:ascii="Century Gothic" w:hAnsi="Century Gothic" w:cs="Arial"/>
          <w:b/>
          <w:bCs/>
          <w:lang w:eastAsia="es-ES"/>
        </w:rPr>
        <w:t xml:space="preserve">EXPERIENCIA </w:t>
      </w:r>
      <w:r w:rsidRPr="00423593">
        <w:rPr>
          <w:rFonts w:ascii="Century Gothic" w:eastAsia="Calibri" w:hAnsi="Century Gothic" w:cs="Arial"/>
          <w:b/>
          <w:bCs/>
          <w:lang w:eastAsia="es-ES"/>
        </w:rPr>
        <w:t>– Transformación</w:t>
      </w:r>
    </w:p>
    <w:p w14:paraId="710ADF28" w14:textId="77777777" w:rsidR="00423593" w:rsidRPr="00423593" w:rsidRDefault="00423593" w:rsidP="00423593">
      <w:pPr>
        <w:spacing w:after="0"/>
        <w:jc w:val="both"/>
        <w:rPr>
          <w:rFonts w:ascii="Century Gothic" w:hAnsi="Century Gothic" w:cs="Arial"/>
          <w:b/>
          <w:bCs/>
          <w:lang w:eastAsia="es-ES"/>
        </w:rPr>
      </w:pPr>
    </w:p>
    <w:p w14:paraId="69CA53AB" w14:textId="650DBF7F" w:rsidR="00423593" w:rsidRDefault="005F2171" w:rsidP="005F2171">
      <w:pPr>
        <w:autoSpaceDE w:val="0"/>
        <w:autoSpaceDN w:val="0"/>
        <w:adjustRightInd w:val="0"/>
        <w:spacing w:after="0" w:line="240" w:lineRule="auto"/>
        <w:jc w:val="both"/>
        <w:rPr>
          <w:rFonts w:ascii="Century Gothic" w:hAnsi="Century Gothic" w:cs="Arial"/>
          <w:sz w:val="20"/>
          <w:szCs w:val="20"/>
          <w:lang w:eastAsia="es-ES"/>
        </w:rPr>
      </w:pPr>
      <w:r w:rsidRPr="005F2171">
        <w:rPr>
          <w:rFonts w:ascii="Century Gothic" w:hAnsi="Century Gothic" w:cs="Arial"/>
          <w:sz w:val="20"/>
          <w:szCs w:val="20"/>
          <w:lang w:eastAsia="es-ES"/>
        </w:rPr>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 de acuerdo con el artículo 222 del Código de Comercio, para “liquidarse” necesita estar “disuelta”. De esta manera, solo cambia el tipo societario que había adoptado en su constitución, es decir, no sufre modificaciones o alteraciones y por eso puede continuar adquiriendo experiencia y compartirla, pero no puede trasladarla, porque para ello tendría que “disolverse” –o conformar un consorcio–, como se verá en la fusión y en una de las modalidades de escisión.  </w:t>
      </w:r>
    </w:p>
    <w:p w14:paraId="0AFDBF4C" w14:textId="77777777" w:rsidR="005F2171" w:rsidRPr="005F2171" w:rsidRDefault="005F2171" w:rsidP="00423593">
      <w:pPr>
        <w:autoSpaceDE w:val="0"/>
        <w:autoSpaceDN w:val="0"/>
        <w:adjustRightInd w:val="0"/>
        <w:spacing w:after="0"/>
        <w:jc w:val="both"/>
        <w:rPr>
          <w:rFonts w:ascii="Century Gothic" w:hAnsi="Century Gothic" w:cs="Arial"/>
          <w:lang w:eastAsia="es-ES"/>
        </w:rPr>
      </w:pPr>
    </w:p>
    <w:p w14:paraId="11F8B45F" w14:textId="77777777" w:rsidR="00423593" w:rsidRDefault="00423593" w:rsidP="00E9745F">
      <w:pPr>
        <w:spacing w:after="0"/>
        <w:jc w:val="both"/>
        <w:rPr>
          <w:rFonts w:ascii="Century Gothic" w:eastAsia="Calibri" w:hAnsi="Century Gothic" w:cs="Arial"/>
          <w:b/>
        </w:rPr>
      </w:pPr>
      <w:r w:rsidRPr="00423593">
        <w:rPr>
          <w:rFonts w:ascii="Century Gothic" w:hAnsi="Century Gothic" w:cs="Arial"/>
          <w:b/>
          <w:bCs/>
        </w:rPr>
        <w:t xml:space="preserve">EXPERIENCIA </w:t>
      </w:r>
      <w:r w:rsidRPr="00423593">
        <w:rPr>
          <w:rFonts w:ascii="Century Gothic" w:eastAsia="Calibri" w:hAnsi="Century Gothic" w:cs="Arial"/>
          <w:b/>
        </w:rPr>
        <w:t>– Escisión</w:t>
      </w:r>
    </w:p>
    <w:p w14:paraId="1C10FC80" w14:textId="77777777" w:rsidR="00E9745F" w:rsidRPr="00423593" w:rsidRDefault="00E9745F" w:rsidP="00E9745F">
      <w:pPr>
        <w:spacing w:after="0"/>
        <w:jc w:val="both"/>
        <w:rPr>
          <w:rFonts w:ascii="Century Gothic" w:hAnsi="Century Gothic" w:cs="Arial"/>
          <w:b/>
          <w:bCs/>
        </w:rPr>
      </w:pPr>
    </w:p>
    <w:p w14:paraId="038CAC0E" w14:textId="18F503D7" w:rsidR="00E9745F" w:rsidRDefault="00E9745F" w:rsidP="00E9745F">
      <w:pPr>
        <w:spacing w:after="0" w:line="240" w:lineRule="auto"/>
        <w:jc w:val="both"/>
        <w:rPr>
          <w:rFonts w:ascii="Century Gothic" w:hAnsi="Century Gothic" w:cs="Arial"/>
          <w:sz w:val="20"/>
          <w:szCs w:val="20"/>
          <w:lang w:eastAsia="es-ES"/>
        </w:rPr>
      </w:pPr>
      <w:r w:rsidRPr="00E9745F">
        <w:rPr>
          <w:rFonts w:ascii="Century Gothic" w:hAnsi="Century Gothic" w:cs="Arial"/>
          <w:sz w:val="20"/>
          <w:szCs w:val="20"/>
          <w:lang w:eastAsia="es-ES"/>
        </w:rPr>
        <w:t xml:space="preserve">Para la primera modalidad de escisión, teniendo en cuenta que la sociedad continúa sin alteraciones, esta puede compartir la experiencia a través de esquemas asociativos, pero no la transfiere, porque para ello tendría que “disolverse” sin “liquidarse”, puesto que la </w:t>
      </w:r>
      <w:r w:rsidRPr="00E9745F">
        <w:rPr>
          <w:rFonts w:ascii="Century Gothic" w:hAnsi="Century Gothic" w:cs="Arial"/>
          <w:sz w:val="20"/>
          <w:szCs w:val="20"/>
          <w:lang w:eastAsia="es-ES"/>
        </w:rPr>
        <w:lastRenderedPageBreak/>
        <w:t xml:space="preserve">“liquidación” implicaría que desaparece la persona y así su experiencia. Para explicarlo, hay que retomar la definición de “disolución”, donde la persona jurídica no desaparece y solo puede hacer trámites para “liquidarse”. Sin embargo, hay una excepción a esa regla y es, precisamente, la de las figuras y reformas estatutarias que aquí se explican, particularmente la fusión, ya que por esa excepción la persona tiene continuidad en otra persona, y sigue siendo quien era, lo cual no es el caso de la escisión, ya que en la primera modalidad no existe “disolución”. Esto significa que la persona continúa por sí misma y puede adquirir experiencia, pero no puede transferirla porque le pertenece, al ser quien la adquirió. </w:t>
      </w:r>
    </w:p>
    <w:p w14:paraId="4AD3875E" w14:textId="77777777" w:rsidR="00E9745F" w:rsidRPr="00E9745F" w:rsidRDefault="00E9745F" w:rsidP="00E9745F">
      <w:pPr>
        <w:spacing w:after="0" w:line="240" w:lineRule="auto"/>
        <w:jc w:val="both"/>
        <w:rPr>
          <w:rFonts w:ascii="Century Gothic" w:hAnsi="Century Gothic" w:cs="Arial"/>
          <w:sz w:val="20"/>
          <w:szCs w:val="20"/>
          <w:lang w:eastAsia="es-ES"/>
        </w:rPr>
      </w:pPr>
    </w:p>
    <w:p w14:paraId="77A7ADB3" w14:textId="46B1403F" w:rsidR="00423593" w:rsidRPr="00423593" w:rsidRDefault="00E9745F" w:rsidP="00E9745F">
      <w:pPr>
        <w:spacing w:after="0" w:line="240" w:lineRule="auto"/>
        <w:jc w:val="both"/>
        <w:rPr>
          <w:rFonts w:ascii="Century Gothic" w:hAnsi="Century Gothic" w:cs="Arial"/>
          <w:sz w:val="20"/>
          <w:szCs w:val="20"/>
        </w:rPr>
      </w:pPr>
      <w:r w:rsidRPr="00E9745F">
        <w:rPr>
          <w:rFonts w:ascii="Century Gothic" w:hAnsi="Century Gothic" w:cs="Arial"/>
          <w:sz w:val="20"/>
          <w:szCs w:val="20"/>
          <w:lang w:eastAsia="es-ES"/>
        </w:rPr>
        <w:t>Por otro lado, a pesar de que en la segunda modalidad existe “disolución”, no hay transferencia de la experiencia porque la persona jurídica fraccionada deja de ser quien es y desaparece, quedando dividida en varias sociedades nuevas o existentes que reciben su patrimonio, sin que sea posible determinar cuál de todas las sociedades que recibieron parte del patrimonio de la sociedad escindida tiene la experiencia.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w:t>
      </w:r>
    </w:p>
    <w:p w14:paraId="76BFB4EB" w14:textId="77777777" w:rsidR="00423593" w:rsidRPr="00E9745F" w:rsidRDefault="00423593" w:rsidP="00423593">
      <w:pPr>
        <w:spacing w:after="0" w:line="276" w:lineRule="auto"/>
        <w:jc w:val="both"/>
        <w:rPr>
          <w:rFonts w:ascii="Century Gothic" w:hAnsi="Century Gothic" w:cs="Arial"/>
          <w:noProof/>
          <w:color w:val="000000" w:themeColor="text1"/>
          <w:sz w:val="21"/>
          <w:szCs w:val="21"/>
          <w:lang w:val="es-ES_tradnl"/>
        </w:rPr>
      </w:pPr>
    </w:p>
    <w:p w14:paraId="338C962E" w14:textId="77777777" w:rsidR="00423593" w:rsidRPr="00423593" w:rsidRDefault="00423593" w:rsidP="00423593">
      <w:pPr>
        <w:spacing w:after="0"/>
        <w:jc w:val="both"/>
        <w:rPr>
          <w:rFonts w:ascii="Century Gothic" w:eastAsia="Calibri" w:hAnsi="Century Gothic" w:cs="Arial"/>
          <w:b/>
          <w:bCs/>
          <w:lang w:val="es-MX"/>
        </w:rPr>
      </w:pPr>
      <w:r w:rsidRPr="00423593">
        <w:rPr>
          <w:rFonts w:ascii="Century Gothic" w:eastAsia="Calibri" w:hAnsi="Century Gothic" w:cs="Arial"/>
          <w:b/>
          <w:bCs/>
          <w:lang w:val="es-MX"/>
        </w:rPr>
        <w:t>EXPERIENCIA – Conservación – Sociedades – Menor a 3 años de constitución</w:t>
      </w:r>
    </w:p>
    <w:p w14:paraId="336A3176" w14:textId="77777777" w:rsidR="00423593" w:rsidRPr="00423593" w:rsidRDefault="00423593" w:rsidP="00423593">
      <w:pPr>
        <w:spacing w:after="0"/>
        <w:jc w:val="both"/>
        <w:rPr>
          <w:rFonts w:ascii="Century Gothic" w:eastAsia="Calibri" w:hAnsi="Century Gothic" w:cs="Arial"/>
          <w:b/>
          <w:bCs/>
          <w:lang w:val="es-MX"/>
        </w:rPr>
      </w:pPr>
      <w:r w:rsidRPr="00423593">
        <w:rPr>
          <w:rFonts w:ascii="Century Gothic" w:eastAsia="Calibri" w:hAnsi="Century Gothic" w:cs="Arial"/>
          <w:b/>
          <w:bCs/>
          <w:lang w:val="es-MX"/>
        </w:rPr>
        <w:t> </w:t>
      </w:r>
    </w:p>
    <w:p w14:paraId="793C5DE7" w14:textId="4756AB1F" w:rsidR="00024462" w:rsidRDefault="00024462" w:rsidP="00024462">
      <w:pPr>
        <w:spacing w:after="0" w:line="240" w:lineRule="auto"/>
        <w:jc w:val="both"/>
        <w:textAlignment w:val="baseline"/>
        <w:rPr>
          <w:rFonts w:ascii="Century Gothic" w:eastAsia="Calibri" w:hAnsi="Century Gothic" w:cs="Arial"/>
          <w:sz w:val="20"/>
          <w:szCs w:val="20"/>
          <w:lang w:val="es-MX"/>
        </w:rPr>
      </w:pPr>
      <w:r w:rsidRPr="00024462">
        <w:rPr>
          <w:rFonts w:ascii="Century Gothic" w:eastAsia="Calibri" w:hAnsi="Century Gothic" w:cs="Arial"/>
          <w:sz w:val="20"/>
          <w:szCs w:val="20"/>
          <w:lang w:val="es-MX"/>
        </w:rPr>
        <w:t>En otras palabras, si la persona jurídica con menos de tres (3) años de constituida registra la experiencia de sus socios, accionistas o constituyentes en el RUP, y éste es renovado, puede continuar utilizando la experiencia inscrita mientras no cesen los efectos del RUP. Por el contrario, si no se renueva y la persona jurídica supera los tres (3) años de constituida, la experiencia que registró de sus socios, accionistas o constituyentes no puede ser inscrita nuevamente, puesto que el RUP ha cesado sus efectos y la Cámara de Comercio tiene que hacer nuevamente la verificación documental de la información presentada al momento de inscribirse en el registro.</w:t>
      </w:r>
    </w:p>
    <w:p w14:paraId="1B945403" w14:textId="77777777" w:rsidR="00024462" w:rsidRPr="00024462" w:rsidRDefault="00024462" w:rsidP="00024462">
      <w:pPr>
        <w:spacing w:after="0" w:line="240" w:lineRule="auto"/>
        <w:jc w:val="both"/>
        <w:textAlignment w:val="baseline"/>
        <w:rPr>
          <w:rFonts w:ascii="Century Gothic" w:eastAsia="Calibri" w:hAnsi="Century Gothic" w:cs="Arial"/>
          <w:sz w:val="20"/>
          <w:szCs w:val="20"/>
          <w:lang w:val="es-MX"/>
        </w:rPr>
      </w:pPr>
    </w:p>
    <w:p w14:paraId="0BF8520A" w14:textId="1BEB5511" w:rsidR="00423593" w:rsidRPr="00423593" w:rsidRDefault="00024462" w:rsidP="00024462">
      <w:pPr>
        <w:spacing w:after="0" w:line="240" w:lineRule="auto"/>
        <w:jc w:val="both"/>
        <w:textAlignment w:val="baseline"/>
        <w:rPr>
          <w:rFonts w:ascii="Century Gothic" w:eastAsia="Calibri" w:hAnsi="Century Gothic" w:cs="Arial"/>
          <w:sz w:val="20"/>
          <w:szCs w:val="20"/>
          <w:lang w:val="es-MX"/>
        </w:rPr>
      </w:pPr>
      <w:r w:rsidRPr="00024462">
        <w:rPr>
          <w:rFonts w:ascii="Century Gothic" w:eastAsia="Calibri" w:hAnsi="Century Gothic" w:cs="Arial"/>
          <w:sz w:val="20"/>
          <w:szCs w:val="20"/>
          <w:lang w:val="es-MX"/>
        </w:rPr>
        <w:t xml:space="preserve">Sin embargo, debe aclararse que el Decreto 1082 de 2015 sólo permite que una sociedad acredite la experiencia de quienes tienen la calidad de accionistas, socios o constituyentes durante los primeros tres (3) años de su constitución. Por tanto, si se pierden estas calidades, como sucedería cuando un socio se retira por venta o cesión de su participación y pierde su calidad de socio, ya no sería aceptable que la sociedad acredite la experiencia aportada por dicha persona. Esta interpretación, además, se impone en atención al fin de evitar prácticas corruptas o que atenten contra la transparencia en la contratación estatal, por lo que la experiencia aportada por quien se retira no deberá tenerse en cuenta por las </w:t>
      </w:r>
      <w:r w:rsidRPr="00024462">
        <w:rPr>
          <w:rFonts w:ascii="Century Gothic" w:eastAsia="Calibri" w:hAnsi="Century Gothic" w:cs="Arial"/>
          <w:sz w:val="20"/>
          <w:szCs w:val="20"/>
          <w:lang w:val="es-MX"/>
        </w:rPr>
        <w:lastRenderedPageBreak/>
        <w:t>Entidades Estatales, y no debería ser utilizada por el proponente en procesos de contratación, ya que es inherente a la persona que la ha obtenido.</w:t>
      </w:r>
    </w:p>
    <w:p w14:paraId="506FF8C3" w14:textId="77777777" w:rsidR="00423593" w:rsidRPr="00423593" w:rsidRDefault="00423593" w:rsidP="00423593">
      <w:pPr>
        <w:spacing w:after="0" w:line="276" w:lineRule="auto"/>
        <w:jc w:val="both"/>
        <w:rPr>
          <w:rFonts w:ascii="Arial" w:hAnsi="Arial" w:cs="Arial"/>
          <w:noProof/>
          <w:color w:val="000000" w:themeColor="text1"/>
          <w:sz w:val="20"/>
          <w:szCs w:val="20"/>
          <w:lang w:val="es-ES_tradnl"/>
        </w:rPr>
      </w:pPr>
    </w:p>
    <w:p w14:paraId="72A73458" w14:textId="77777777" w:rsidR="00423593" w:rsidRPr="00423593" w:rsidRDefault="00423593" w:rsidP="00423593">
      <w:pPr>
        <w:jc w:val="both"/>
        <w:rPr>
          <w:rFonts w:ascii="Arial" w:eastAsia="Calibri" w:hAnsi="Arial" w:cs="Arial"/>
          <w:color w:val="000000" w:themeColor="text1"/>
          <w:lang w:val="es-ES_tradnl"/>
        </w:rPr>
      </w:pPr>
    </w:p>
    <w:p w14:paraId="138FF634" w14:textId="77777777" w:rsidR="00423593" w:rsidRPr="00423593" w:rsidRDefault="00423593" w:rsidP="00423593">
      <w:pPr>
        <w:spacing w:after="0"/>
        <w:rPr>
          <w:rFonts w:ascii="Century Gothic" w:hAnsi="Century Gothic"/>
        </w:rPr>
      </w:pPr>
    </w:p>
    <w:p w14:paraId="14E4E177" w14:textId="77777777" w:rsidR="00423593" w:rsidRPr="00423593" w:rsidRDefault="00423593" w:rsidP="00423593">
      <w:pPr>
        <w:spacing w:after="0"/>
        <w:rPr>
          <w:rFonts w:ascii="Century Gothic" w:hAnsi="Century Gothic"/>
        </w:rPr>
      </w:pPr>
    </w:p>
    <w:p w14:paraId="2BAA4B07" w14:textId="77777777" w:rsidR="00423593" w:rsidRPr="00423593" w:rsidRDefault="00423593" w:rsidP="00423593">
      <w:pPr>
        <w:spacing w:after="0"/>
        <w:rPr>
          <w:rFonts w:ascii="Century Gothic" w:hAnsi="Century Gothic"/>
        </w:rPr>
      </w:pPr>
    </w:p>
    <w:p w14:paraId="3F0D193E" w14:textId="77777777" w:rsidR="00423593" w:rsidRPr="00423593" w:rsidRDefault="00423593" w:rsidP="00423593">
      <w:pPr>
        <w:spacing w:after="0"/>
        <w:rPr>
          <w:rFonts w:ascii="Century Gothic" w:hAnsi="Century Gothic"/>
        </w:rPr>
      </w:pPr>
    </w:p>
    <w:p w14:paraId="748E4739" w14:textId="77777777" w:rsidR="00423593" w:rsidRPr="00423593" w:rsidRDefault="00423593" w:rsidP="00423593">
      <w:pPr>
        <w:spacing w:after="0"/>
        <w:rPr>
          <w:rFonts w:ascii="Century Gothic" w:hAnsi="Century Gothic"/>
        </w:rPr>
      </w:pPr>
    </w:p>
    <w:p w14:paraId="114F3E89" w14:textId="77777777" w:rsidR="00423593" w:rsidRPr="00423593" w:rsidRDefault="00423593" w:rsidP="00423593">
      <w:pPr>
        <w:spacing w:after="0"/>
        <w:rPr>
          <w:rFonts w:ascii="Century Gothic" w:hAnsi="Century Gothic"/>
        </w:rPr>
      </w:pPr>
    </w:p>
    <w:p w14:paraId="281EC5BE" w14:textId="77777777" w:rsidR="00423593" w:rsidRDefault="00423593" w:rsidP="00423593">
      <w:pPr>
        <w:spacing w:after="0"/>
        <w:rPr>
          <w:rFonts w:ascii="Century Gothic" w:hAnsi="Century Gothic"/>
        </w:rPr>
      </w:pPr>
    </w:p>
    <w:p w14:paraId="380A2E38" w14:textId="77777777" w:rsidR="00024462" w:rsidRDefault="00024462" w:rsidP="00423593">
      <w:pPr>
        <w:spacing w:after="0"/>
        <w:rPr>
          <w:rFonts w:ascii="Century Gothic" w:hAnsi="Century Gothic"/>
        </w:rPr>
      </w:pPr>
    </w:p>
    <w:p w14:paraId="6E4428A2" w14:textId="77777777" w:rsidR="00024462" w:rsidRDefault="00024462" w:rsidP="00423593">
      <w:pPr>
        <w:spacing w:after="0"/>
        <w:rPr>
          <w:rFonts w:ascii="Century Gothic" w:hAnsi="Century Gothic"/>
        </w:rPr>
      </w:pPr>
    </w:p>
    <w:p w14:paraId="3A8E7C18" w14:textId="77777777" w:rsidR="00024462" w:rsidRDefault="00024462" w:rsidP="00423593">
      <w:pPr>
        <w:spacing w:after="0"/>
        <w:rPr>
          <w:rFonts w:ascii="Century Gothic" w:hAnsi="Century Gothic"/>
        </w:rPr>
      </w:pPr>
    </w:p>
    <w:p w14:paraId="12365152" w14:textId="77777777" w:rsidR="00024462" w:rsidRDefault="00024462" w:rsidP="00423593">
      <w:pPr>
        <w:spacing w:after="0"/>
        <w:rPr>
          <w:rFonts w:ascii="Century Gothic" w:hAnsi="Century Gothic"/>
        </w:rPr>
      </w:pPr>
    </w:p>
    <w:p w14:paraId="7EE09C39" w14:textId="77777777" w:rsidR="00024462" w:rsidRDefault="00024462" w:rsidP="00423593">
      <w:pPr>
        <w:spacing w:after="0"/>
        <w:rPr>
          <w:rFonts w:ascii="Century Gothic" w:hAnsi="Century Gothic"/>
        </w:rPr>
      </w:pPr>
    </w:p>
    <w:p w14:paraId="7B4A2BB3" w14:textId="77777777" w:rsidR="00024462" w:rsidRDefault="00024462" w:rsidP="00423593">
      <w:pPr>
        <w:spacing w:after="0"/>
        <w:rPr>
          <w:rFonts w:ascii="Century Gothic" w:hAnsi="Century Gothic"/>
        </w:rPr>
      </w:pPr>
    </w:p>
    <w:p w14:paraId="04FCBD38" w14:textId="77777777" w:rsidR="00024462" w:rsidRDefault="00024462" w:rsidP="00423593">
      <w:pPr>
        <w:spacing w:after="0"/>
        <w:rPr>
          <w:rFonts w:ascii="Century Gothic" w:hAnsi="Century Gothic"/>
        </w:rPr>
      </w:pPr>
    </w:p>
    <w:p w14:paraId="160E42EC" w14:textId="77777777" w:rsidR="00024462" w:rsidRDefault="00024462" w:rsidP="00423593">
      <w:pPr>
        <w:spacing w:after="0"/>
        <w:rPr>
          <w:rFonts w:ascii="Century Gothic" w:hAnsi="Century Gothic"/>
        </w:rPr>
      </w:pPr>
    </w:p>
    <w:p w14:paraId="38247870" w14:textId="77777777" w:rsidR="00024462" w:rsidRDefault="00024462" w:rsidP="00423593">
      <w:pPr>
        <w:spacing w:after="0"/>
        <w:rPr>
          <w:rFonts w:ascii="Century Gothic" w:hAnsi="Century Gothic"/>
        </w:rPr>
      </w:pPr>
    </w:p>
    <w:p w14:paraId="658F8EAD" w14:textId="77777777" w:rsidR="00024462" w:rsidRPr="00423593" w:rsidRDefault="00024462" w:rsidP="00423593">
      <w:pPr>
        <w:spacing w:after="0"/>
        <w:rPr>
          <w:rFonts w:ascii="Century Gothic" w:hAnsi="Century Gothic"/>
        </w:rPr>
      </w:pPr>
    </w:p>
    <w:p w14:paraId="31F2217A" w14:textId="77777777" w:rsidR="00785A55" w:rsidRDefault="00785A55" w:rsidP="00423593">
      <w:pPr>
        <w:rPr>
          <w:rFonts w:ascii="Century Gothic" w:hAnsi="Century Gothic"/>
        </w:rPr>
      </w:pPr>
    </w:p>
    <w:p w14:paraId="2C408112" w14:textId="77777777" w:rsidR="00785A55" w:rsidRDefault="00785A55" w:rsidP="00423593">
      <w:pPr>
        <w:rPr>
          <w:rFonts w:ascii="Century Gothic" w:hAnsi="Century Gothic"/>
        </w:rPr>
      </w:pPr>
    </w:p>
    <w:p w14:paraId="56EDB3A4" w14:textId="77777777" w:rsidR="00785A55" w:rsidRDefault="00785A55" w:rsidP="00423593">
      <w:pPr>
        <w:rPr>
          <w:rFonts w:ascii="Century Gothic" w:hAnsi="Century Gothic"/>
        </w:rPr>
      </w:pPr>
    </w:p>
    <w:p w14:paraId="506CC163" w14:textId="77777777" w:rsidR="00785A55" w:rsidRDefault="00785A55" w:rsidP="00423593">
      <w:pPr>
        <w:rPr>
          <w:rFonts w:ascii="Century Gothic" w:hAnsi="Century Gothic"/>
        </w:rPr>
      </w:pPr>
    </w:p>
    <w:p w14:paraId="011A353C" w14:textId="77777777" w:rsidR="00785A55" w:rsidRDefault="00785A55" w:rsidP="00423593">
      <w:pPr>
        <w:rPr>
          <w:rFonts w:ascii="Century Gothic" w:hAnsi="Century Gothic"/>
        </w:rPr>
      </w:pPr>
    </w:p>
    <w:p w14:paraId="69F94FDD" w14:textId="77777777" w:rsidR="00785A55" w:rsidRDefault="00785A55" w:rsidP="00423593">
      <w:pPr>
        <w:rPr>
          <w:rFonts w:ascii="Century Gothic" w:hAnsi="Century Gothic"/>
        </w:rPr>
      </w:pPr>
    </w:p>
    <w:p w14:paraId="03C34F7F" w14:textId="77777777" w:rsidR="00785A55" w:rsidRDefault="00785A55" w:rsidP="00423593">
      <w:pPr>
        <w:rPr>
          <w:rFonts w:ascii="Century Gothic" w:hAnsi="Century Gothic"/>
        </w:rPr>
      </w:pPr>
    </w:p>
    <w:p w14:paraId="4421974D" w14:textId="77777777" w:rsidR="00785A55" w:rsidRDefault="00785A55" w:rsidP="00423593">
      <w:pPr>
        <w:rPr>
          <w:rFonts w:ascii="Century Gothic" w:hAnsi="Century Gothic"/>
        </w:rPr>
      </w:pPr>
    </w:p>
    <w:p w14:paraId="02F9A13E" w14:textId="77777777" w:rsidR="00785A55" w:rsidRDefault="00785A55" w:rsidP="00423593">
      <w:pPr>
        <w:rPr>
          <w:rFonts w:ascii="Century Gothic" w:hAnsi="Century Gothic"/>
        </w:rPr>
      </w:pPr>
    </w:p>
    <w:p w14:paraId="7616469F" w14:textId="77777777" w:rsidR="00785A55" w:rsidRDefault="00785A55" w:rsidP="00423593">
      <w:pPr>
        <w:rPr>
          <w:rFonts w:ascii="Century Gothic" w:hAnsi="Century Gothic"/>
        </w:rPr>
      </w:pPr>
    </w:p>
    <w:p w14:paraId="6788CEB7" w14:textId="770C56B9" w:rsidR="00423593" w:rsidRPr="00423593" w:rsidRDefault="00423593" w:rsidP="00423593">
      <w:pPr>
        <w:rPr>
          <w:rFonts w:ascii="Arial" w:eastAsia="Calibri" w:hAnsi="Arial" w:cs="Arial"/>
          <w:color w:val="000000" w:themeColor="text1"/>
        </w:rPr>
      </w:pPr>
      <w:r w:rsidRPr="687B05C8">
        <w:rPr>
          <w:rFonts w:ascii="Century Gothic" w:hAnsi="Century Gothic"/>
        </w:rPr>
        <w:lastRenderedPageBreak/>
        <w:t>Bogotá D.C</w:t>
      </w:r>
      <w:r w:rsidR="000F3CCF">
        <w:rPr>
          <w:rFonts w:ascii="Century Gothic" w:hAnsi="Century Gothic"/>
        </w:rPr>
        <w:t>.</w:t>
      </w:r>
    </w:p>
    <w:p w14:paraId="066F20D2" w14:textId="0D1162A9" w:rsidR="00423593" w:rsidRPr="00423593" w:rsidRDefault="000673B5" w:rsidP="000673B5">
      <w:pPr>
        <w:spacing w:after="0"/>
        <w:jc w:val="right"/>
        <w:rPr>
          <w:rFonts w:ascii="Century Gothic" w:hAnsi="Century Gothic"/>
        </w:rPr>
      </w:pPr>
      <w:r>
        <w:rPr>
          <w:rFonts w:ascii="Century Gothic" w:hAnsi="Century Gothic"/>
          <w:noProof/>
        </w:rPr>
        <w:drawing>
          <wp:inline distT="0" distB="0" distL="0" distR="0" wp14:anchorId="6F0298A0" wp14:editId="2AC6E4F3">
            <wp:extent cx="2983397" cy="863490"/>
            <wp:effectExtent l="0" t="0" r="1270" b="635"/>
            <wp:docPr id="8447039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703940" name="Imagen 84470394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1462" cy="871613"/>
                    </a:xfrm>
                    <a:prstGeom prst="rect">
                      <a:avLst/>
                    </a:prstGeom>
                  </pic:spPr>
                </pic:pic>
              </a:graphicData>
            </a:graphic>
          </wp:inline>
        </w:drawing>
      </w:r>
    </w:p>
    <w:bookmarkEnd w:id="0"/>
    <w:p w14:paraId="704ABFB3" w14:textId="77777777" w:rsidR="00423593" w:rsidRPr="00423593" w:rsidRDefault="00423593" w:rsidP="00423593">
      <w:pPr>
        <w:contextualSpacing/>
        <w:jc w:val="both"/>
        <w:rPr>
          <w:rFonts w:ascii="Century Gothic" w:eastAsia="Calibri" w:hAnsi="Century Gothic" w:cs="Arial"/>
          <w:lang w:val="es-ES_tradnl" w:eastAsia="es-ES_tradnl"/>
        </w:rPr>
      </w:pPr>
      <w:r w:rsidRPr="00423593">
        <w:rPr>
          <w:rFonts w:ascii="Century Gothic" w:eastAsia="Calibri" w:hAnsi="Century Gothic" w:cs="Arial"/>
          <w:lang w:val="es-ES_tradnl" w:eastAsia="es-ES_tradnl"/>
        </w:rPr>
        <w:t>Señor</w:t>
      </w:r>
    </w:p>
    <w:p w14:paraId="7EA924B1" w14:textId="77777777" w:rsidR="00423593" w:rsidRPr="00423593" w:rsidRDefault="00423593" w:rsidP="00423593">
      <w:pPr>
        <w:contextualSpacing/>
        <w:jc w:val="both"/>
        <w:rPr>
          <w:rFonts w:ascii="Century Gothic" w:eastAsia="Calibri" w:hAnsi="Century Gothic" w:cs="Arial"/>
          <w:b/>
          <w:lang w:val="es-ES_tradnl" w:eastAsia="es-ES_tradnl"/>
        </w:rPr>
      </w:pPr>
      <w:r w:rsidRPr="00423593">
        <w:rPr>
          <w:rFonts w:ascii="Century Gothic" w:eastAsia="Calibri" w:hAnsi="Century Gothic" w:cs="Arial"/>
          <w:b/>
          <w:lang w:val="es-ES_tradnl" w:eastAsia="es-ES_tradnl"/>
        </w:rPr>
        <w:t>Santiago Hoyos Delgado</w:t>
      </w:r>
    </w:p>
    <w:p w14:paraId="39F1A571" w14:textId="77777777" w:rsidR="00423593" w:rsidRPr="00423593" w:rsidRDefault="00423593" w:rsidP="00423593">
      <w:pPr>
        <w:contextualSpacing/>
        <w:jc w:val="both"/>
        <w:rPr>
          <w:rFonts w:ascii="Century Gothic" w:eastAsia="Calibri" w:hAnsi="Century Gothic" w:cs="Arial"/>
          <w:lang w:val="es-ES_tradnl" w:eastAsia="es-ES_tradnl"/>
        </w:rPr>
      </w:pPr>
      <w:r w:rsidRPr="00423593">
        <w:rPr>
          <w:rFonts w:ascii="Century Gothic" w:eastAsia="Calibri" w:hAnsi="Century Gothic" w:cs="Arial"/>
          <w:lang w:val="es-ES_tradnl" w:eastAsia="es-ES_tradnl"/>
        </w:rPr>
        <w:t>Bogotá, D.C.</w:t>
      </w:r>
    </w:p>
    <w:p w14:paraId="0664C5BB" w14:textId="77777777" w:rsidR="00423593" w:rsidRPr="00423593" w:rsidRDefault="00423593" w:rsidP="00423593">
      <w:pPr>
        <w:contextualSpacing/>
        <w:rPr>
          <w:rFonts w:ascii="Century Gothic" w:eastAsia="Calibri" w:hAnsi="Century Gothic" w:cs="Arial"/>
          <w:lang w:val="es-ES_tradnl" w:eastAsia="es-ES_tradnl"/>
        </w:rPr>
      </w:pPr>
    </w:p>
    <w:p w14:paraId="63025D11" w14:textId="77777777" w:rsidR="00423593" w:rsidRPr="00423593" w:rsidRDefault="00423593" w:rsidP="00423593">
      <w:pPr>
        <w:contextualSpacing/>
        <w:rPr>
          <w:rFonts w:ascii="Century Gothic" w:eastAsia="Calibri" w:hAnsi="Century Gothic" w:cs="Arial"/>
          <w:lang w:val="es-ES_tradnl" w:eastAsia="es-ES_tradnl"/>
        </w:rPr>
      </w:pPr>
    </w:p>
    <w:p w14:paraId="6CB92F9D" w14:textId="77777777" w:rsidR="00423593" w:rsidRPr="00423593" w:rsidRDefault="00423593" w:rsidP="00423593">
      <w:pPr>
        <w:contextualSpacing/>
        <w:rPr>
          <w:rFonts w:ascii="Century Gothic" w:eastAsia="Calibri" w:hAnsi="Century Gothic" w:cs="Arial"/>
          <w:b/>
          <w:bCs/>
          <w:lang w:val="es-ES_tradnl" w:eastAsia="es-ES_tradnl"/>
        </w:rPr>
      </w:pPr>
      <w:r w:rsidRPr="00423593">
        <w:rPr>
          <w:rFonts w:ascii="Century Gothic" w:eastAsia="Calibri" w:hAnsi="Century Gothic" w:cs="Arial"/>
          <w:lang w:val="es-ES_tradnl" w:eastAsia="es-ES_tradnl"/>
        </w:rPr>
        <w:t xml:space="preserve">                                            </w:t>
      </w:r>
      <w:r w:rsidRPr="00423593">
        <w:rPr>
          <w:rFonts w:ascii="Century Gothic" w:eastAsia="Calibri" w:hAnsi="Century Gothic" w:cs="Arial"/>
          <w:b/>
          <w:bCs/>
          <w:lang w:val="es-ES_tradnl" w:eastAsia="es-ES_tradnl"/>
        </w:rPr>
        <w:t xml:space="preserve">Concepto C </w:t>
      </w:r>
      <w:r w:rsidRPr="00423593">
        <w:rPr>
          <w:rFonts w:ascii="Arial" w:eastAsia="Calibri" w:hAnsi="Arial" w:cs="Arial"/>
          <w:b/>
          <w:bCs/>
          <w:lang w:val="es-ES_tradnl" w:eastAsia="es-ES_tradnl"/>
        </w:rPr>
        <w:t>‒</w:t>
      </w:r>
      <w:r w:rsidRPr="00423593">
        <w:rPr>
          <w:rFonts w:ascii="Century Gothic" w:eastAsia="Calibri" w:hAnsi="Century Gothic" w:cs="Arial"/>
          <w:b/>
          <w:bCs/>
          <w:lang w:val="es-ES_tradnl" w:eastAsia="es-ES_tradnl"/>
        </w:rPr>
        <w:t xml:space="preserve"> 088 de 2024</w:t>
      </w:r>
    </w:p>
    <w:p w14:paraId="17647D18" w14:textId="77777777" w:rsidR="00423593" w:rsidRPr="00423593" w:rsidRDefault="00423593" w:rsidP="00423593">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23593" w:rsidRPr="00423593" w14:paraId="3981DBB3" w14:textId="77777777" w:rsidTr="00AE3025">
        <w:tc>
          <w:tcPr>
            <w:tcW w:w="2689" w:type="dxa"/>
          </w:tcPr>
          <w:p w14:paraId="051FBA4B" w14:textId="77777777" w:rsidR="00423593" w:rsidRPr="00423593" w:rsidRDefault="00423593" w:rsidP="00423593">
            <w:pPr>
              <w:jc w:val="both"/>
              <w:rPr>
                <w:rFonts w:ascii="Century Gothic" w:eastAsia="Calibri" w:hAnsi="Century Gothic" w:cs="Arial"/>
                <w:color w:val="000000" w:themeColor="text1"/>
                <w:lang w:val="es-ES_tradnl"/>
              </w:rPr>
            </w:pPr>
            <w:r w:rsidRPr="00423593">
              <w:rPr>
                <w:rFonts w:ascii="Century Gothic" w:eastAsia="Calibri" w:hAnsi="Century Gothic" w:cs="Arial"/>
                <w:b/>
                <w:color w:val="000000" w:themeColor="text1"/>
                <w:lang w:val="es-ES_tradnl"/>
              </w:rPr>
              <w:t>Temas:</w:t>
            </w:r>
            <w:r w:rsidRPr="00423593">
              <w:rPr>
                <w:rFonts w:ascii="Century Gothic" w:eastAsia="Calibri" w:hAnsi="Century Gothic" w:cs="Arial"/>
                <w:color w:val="000000" w:themeColor="text1"/>
                <w:lang w:val="es-ES_tradnl"/>
              </w:rPr>
              <w:t xml:space="preserve">                   </w:t>
            </w:r>
          </w:p>
        </w:tc>
        <w:tc>
          <w:tcPr>
            <w:tcW w:w="6237" w:type="dxa"/>
            <w:shd w:val="clear" w:color="auto" w:fill="auto"/>
          </w:tcPr>
          <w:p w14:paraId="2D3A880B" w14:textId="77777777" w:rsidR="00423593" w:rsidRPr="00423593" w:rsidRDefault="00423593" w:rsidP="00423593">
            <w:pPr>
              <w:widowControl w:val="0"/>
              <w:autoSpaceDE w:val="0"/>
              <w:autoSpaceDN w:val="0"/>
              <w:ind w:right="102"/>
              <w:jc w:val="both"/>
              <w:rPr>
                <w:rFonts w:ascii="Century Gothic" w:eastAsia="Arial" w:hAnsi="Century Gothic" w:cs="Arial"/>
                <w:b/>
                <w:bCs/>
                <w:lang w:val="es-MX"/>
              </w:rPr>
            </w:pPr>
            <w:r w:rsidRPr="00423593">
              <w:rPr>
                <w:rFonts w:ascii="Century Gothic" w:eastAsia="Calibri" w:hAnsi="Century Gothic" w:cs="Arial"/>
                <w:bCs/>
                <w:lang w:val="es-MX"/>
              </w:rPr>
              <w:t xml:space="preserve">EXPERIENCIA – Concepto / EXPERIENCIA – Transformación / EXPERIENCIA – Escisión </w:t>
            </w:r>
            <w:r w:rsidRPr="00423593">
              <w:rPr>
                <w:rFonts w:ascii="Century Gothic" w:eastAsia="Calibri" w:hAnsi="Century Gothic" w:cs="Arial"/>
                <w:bCs/>
              </w:rPr>
              <w:t xml:space="preserve">/ </w:t>
            </w:r>
            <w:r w:rsidRPr="00423593">
              <w:rPr>
                <w:rFonts w:ascii="Century Gothic" w:eastAsia="Arial" w:hAnsi="Century Gothic" w:cs="Arial"/>
                <w:bCs/>
              </w:rPr>
              <w:t>SOCIEDADES NUEVAS – Acreditación – Experiencia – Socios – Menos de 3 años de constitución</w:t>
            </w:r>
          </w:p>
        </w:tc>
      </w:tr>
      <w:tr w:rsidR="00423593" w:rsidRPr="00423593" w14:paraId="79ED31EE" w14:textId="77777777" w:rsidTr="00AE3025">
        <w:trPr>
          <w:trHeight w:val="301"/>
        </w:trPr>
        <w:tc>
          <w:tcPr>
            <w:tcW w:w="2689" w:type="dxa"/>
          </w:tcPr>
          <w:p w14:paraId="45D6235D" w14:textId="77777777" w:rsidR="00423593" w:rsidRPr="00423593" w:rsidRDefault="00423593" w:rsidP="00423593">
            <w:pPr>
              <w:spacing w:before="120"/>
              <w:jc w:val="both"/>
              <w:rPr>
                <w:rFonts w:ascii="Century Gothic" w:eastAsia="Calibri" w:hAnsi="Century Gothic" w:cs="Arial"/>
                <w:b/>
                <w:color w:val="000000" w:themeColor="text1"/>
                <w:lang w:val="es-ES_tradnl"/>
              </w:rPr>
            </w:pPr>
            <w:r w:rsidRPr="00423593">
              <w:rPr>
                <w:rFonts w:ascii="Century Gothic" w:eastAsia="Calibri" w:hAnsi="Century Gothic" w:cs="Arial"/>
                <w:b/>
                <w:color w:val="000000" w:themeColor="text1"/>
                <w:lang w:val="es-ES_tradnl"/>
              </w:rPr>
              <w:t>Radicación:</w:t>
            </w:r>
            <w:r w:rsidRPr="00423593">
              <w:rPr>
                <w:rFonts w:ascii="Century Gothic" w:eastAsia="Calibri" w:hAnsi="Century Gothic" w:cs="Arial"/>
                <w:color w:val="000000" w:themeColor="text1"/>
                <w:lang w:val="es-ES_tradnl"/>
              </w:rPr>
              <w:t xml:space="preserve">               </w:t>
            </w:r>
          </w:p>
        </w:tc>
        <w:tc>
          <w:tcPr>
            <w:tcW w:w="6237" w:type="dxa"/>
          </w:tcPr>
          <w:p w14:paraId="43178F9C" w14:textId="77777777" w:rsidR="00423593" w:rsidRPr="00423593" w:rsidRDefault="00423593" w:rsidP="00423593">
            <w:pPr>
              <w:spacing w:before="120"/>
              <w:jc w:val="both"/>
              <w:rPr>
                <w:rFonts w:ascii="Century Gothic" w:eastAsia="Calibri" w:hAnsi="Century Gothic" w:cs="Arial"/>
                <w:color w:val="000000" w:themeColor="text1"/>
                <w:lang w:val="es-ES_tradnl"/>
              </w:rPr>
            </w:pPr>
            <w:r w:rsidRPr="00423593">
              <w:rPr>
                <w:rFonts w:ascii="Century Gothic" w:eastAsia="Calibri" w:hAnsi="Century Gothic" w:cs="Arial"/>
                <w:color w:val="000000" w:themeColor="text1"/>
                <w:lang w:val="es-ES_tradnl"/>
              </w:rPr>
              <w:t>Respuesta a petición No. P20240429004444</w:t>
            </w:r>
          </w:p>
        </w:tc>
      </w:tr>
    </w:tbl>
    <w:p w14:paraId="1BA164A2" w14:textId="77777777" w:rsidR="00423593" w:rsidRPr="00423593" w:rsidRDefault="00423593" w:rsidP="00423593">
      <w:pPr>
        <w:contextualSpacing/>
        <w:jc w:val="both"/>
        <w:rPr>
          <w:rFonts w:ascii="Century Gothic" w:eastAsia="Calibri" w:hAnsi="Century Gothic" w:cs="Arial"/>
          <w:lang w:val="es-ES_tradnl" w:eastAsia="es-ES_tradnl"/>
        </w:rPr>
      </w:pPr>
    </w:p>
    <w:p w14:paraId="199E675B" w14:textId="77777777" w:rsidR="00423593" w:rsidRPr="00423593" w:rsidRDefault="00423593" w:rsidP="00423593">
      <w:pPr>
        <w:contextualSpacing/>
        <w:jc w:val="both"/>
        <w:rPr>
          <w:rFonts w:ascii="Century Gothic" w:eastAsia="Calibri" w:hAnsi="Century Gothic" w:cs="Arial"/>
          <w:lang w:val="es-ES_tradnl" w:eastAsia="es-ES_tradnl"/>
        </w:rPr>
      </w:pPr>
    </w:p>
    <w:p w14:paraId="6CEFD2FD" w14:textId="77777777" w:rsidR="00423593" w:rsidRPr="00423593" w:rsidRDefault="00423593" w:rsidP="00423593">
      <w:pPr>
        <w:contextualSpacing/>
        <w:jc w:val="both"/>
        <w:rPr>
          <w:rFonts w:ascii="Century Gothic" w:eastAsia="Calibri" w:hAnsi="Century Gothic" w:cs="Arial"/>
          <w:lang w:val="es-ES_tradnl" w:eastAsia="es-ES_tradnl"/>
        </w:rPr>
      </w:pPr>
      <w:r w:rsidRPr="00423593">
        <w:rPr>
          <w:rFonts w:ascii="Century Gothic" w:eastAsia="Calibri" w:hAnsi="Century Gothic" w:cs="Arial"/>
          <w:lang w:val="es-ES_tradnl" w:eastAsia="es-ES_tradnl"/>
        </w:rPr>
        <w:t>Estimado señor Hoyos Delgado:</w:t>
      </w:r>
    </w:p>
    <w:p w14:paraId="477E384F" w14:textId="77777777" w:rsidR="00423593" w:rsidRPr="00423593" w:rsidRDefault="00423593" w:rsidP="00423593">
      <w:pPr>
        <w:spacing w:line="276" w:lineRule="auto"/>
        <w:contextualSpacing/>
        <w:jc w:val="both"/>
        <w:rPr>
          <w:rFonts w:ascii="Century Gothic" w:eastAsia="Calibri" w:hAnsi="Century Gothic" w:cs="Arial"/>
          <w:lang w:val="es-ES_tradnl" w:eastAsia="es-ES_tradnl"/>
        </w:rPr>
      </w:pPr>
    </w:p>
    <w:p w14:paraId="5043070A" w14:textId="77777777" w:rsidR="00423593" w:rsidRPr="00423593" w:rsidRDefault="00423593" w:rsidP="00423593">
      <w:pPr>
        <w:spacing w:line="276" w:lineRule="auto"/>
        <w:contextualSpacing/>
        <w:jc w:val="both"/>
        <w:rPr>
          <w:rFonts w:ascii="Century Gothic" w:eastAsia="Calibri" w:hAnsi="Century Gothic" w:cs="Arial"/>
          <w:lang w:val="es-ES_tradnl" w:eastAsia="es-ES_tradnl"/>
        </w:rPr>
      </w:pPr>
      <w:r w:rsidRPr="00423593">
        <w:rPr>
          <w:rFonts w:ascii="Century Gothic" w:eastAsia="Calibri" w:hAnsi="Century Gothic" w:cs="Arial"/>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29 de abril de 2024. </w:t>
      </w:r>
    </w:p>
    <w:p w14:paraId="3671EA64" w14:textId="77777777" w:rsidR="00423593" w:rsidRPr="00423593" w:rsidRDefault="00423593" w:rsidP="00423593">
      <w:pPr>
        <w:spacing w:line="276" w:lineRule="auto"/>
        <w:contextualSpacing/>
        <w:jc w:val="both"/>
        <w:rPr>
          <w:rFonts w:ascii="Century Gothic" w:eastAsia="Calibri" w:hAnsi="Century Gothic" w:cs="Arial"/>
          <w:b/>
          <w:lang w:val="es-ES_tradnl" w:eastAsia="es-ES_tradnl"/>
        </w:rPr>
      </w:pPr>
    </w:p>
    <w:p w14:paraId="4B39DD69" w14:textId="77777777" w:rsidR="00423593" w:rsidRPr="00423593" w:rsidRDefault="00423593" w:rsidP="00423593">
      <w:pPr>
        <w:numPr>
          <w:ilvl w:val="0"/>
          <w:numId w:val="6"/>
        </w:numPr>
        <w:tabs>
          <w:tab w:val="left" w:pos="0"/>
          <w:tab w:val="left" w:pos="142"/>
          <w:tab w:val="left" w:pos="284"/>
        </w:tabs>
        <w:spacing w:after="0" w:line="240" w:lineRule="auto"/>
        <w:ind w:left="360"/>
        <w:contextualSpacing/>
        <w:jc w:val="both"/>
        <w:rPr>
          <w:rFonts w:ascii="Century Gothic" w:eastAsia="Calibri" w:hAnsi="Century Gothic" w:cs="Arial"/>
          <w:b/>
          <w:lang w:val="es-ES_tradnl"/>
        </w:rPr>
      </w:pPr>
      <w:r w:rsidRPr="00423593">
        <w:rPr>
          <w:rFonts w:ascii="Century Gothic" w:eastAsia="Calibri" w:hAnsi="Century Gothic" w:cs="Arial"/>
          <w:b/>
          <w:lang w:val="es-ES_tradnl"/>
        </w:rPr>
        <w:t xml:space="preserve">Problema planteado </w:t>
      </w:r>
    </w:p>
    <w:p w14:paraId="05EFF23E" w14:textId="77777777" w:rsidR="00423593" w:rsidRPr="00423593" w:rsidRDefault="00423593" w:rsidP="00423593">
      <w:pPr>
        <w:tabs>
          <w:tab w:val="left" w:pos="0"/>
          <w:tab w:val="left" w:pos="142"/>
          <w:tab w:val="left" w:pos="284"/>
        </w:tabs>
        <w:ind w:left="360"/>
        <w:contextualSpacing/>
        <w:jc w:val="both"/>
        <w:rPr>
          <w:rFonts w:ascii="Century Gothic" w:eastAsia="Calibri" w:hAnsi="Century Gothic" w:cs="Arial"/>
          <w:b/>
          <w:lang w:val="es-ES_tradnl"/>
        </w:rPr>
      </w:pPr>
    </w:p>
    <w:p w14:paraId="612CF9FB" w14:textId="77777777" w:rsidR="00423593" w:rsidRPr="00423593" w:rsidRDefault="00423593" w:rsidP="00423593">
      <w:pPr>
        <w:tabs>
          <w:tab w:val="left" w:pos="0"/>
          <w:tab w:val="left" w:pos="142"/>
          <w:tab w:val="left" w:pos="284"/>
        </w:tabs>
        <w:contextualSpacing/>
        <w:jc w:val="both"/>
        <w:rPr>
          <w:rFonts w:ascii="Century Gothic" w:eastAsia="Calibri" w:hAnsi="Century Gothic" w:cs="Arial"/>
          <w:lang w:val="es-ES_tradnl"/>
        </w:rPr>
      </w:pPr>
      <w:r w:rsidRPr="00423593">
        <w:rPr>
          <w:rFonts w:ascii="Century Gothic" w:eastAsia="Calibri" w:hAnsi="Century Gothic" w:cs="Arial"/>
          <w:lang w:val="es-ES_tradnl"/>
        </w:rPr>
        <w:t>Usted realiza las siguientes preguntas:</w:t>
      </w:r>
    </w:p>
    <w:p w14:paraId="157EFAA3" w14:textId="77777777" w:rsidR="00423593" w:rsidRPr="00423593" w:rsidRDefault="00423593" w:rsidP="00423593">
      <w:pPr>
        <w:spacing w:after="0" w:line="276" w:lineRule="auto"/>
        <w:contextualSpacing/>
        <w:jc w:val="both"/>
        <w:rPr>
          <w:rFonts w:ascii="Century Gothic" w:eastAsia="Times New Roman" w:hAnsi="Century Gothic" w:cs="Arial"/>
          <w:color w:val="FF0000"/>
          <w:lang w:val="es-ES_tradnl" w:eastAsia="es-ES_tradnl"/>
        </w:rPr>
      </w:pPr>
    </w:p>
    <w:p w14:paraId="4361FAA2" w14:textId="77777777" w:rsidR="00423593" w:rsidRPr="00423593" w:rsidRDefault="00423593" w:rsidP="00423593">
      <w:pPr>
        <w:spacing w:after="0" w:line="240" w:lineRule="auto"/>
        <w:ind w:left="709" w:right="709"/>
        <w:jc w:val="both"/>
        <w:rPr>
          <w:rFonts w:ascii="Century Gothic" w:hAnsi="Century Gothic"/>
          <w:sz w:val="21"/>
          <w:szCs w:val="21"/>
        </w:rPr>
      </w:pPr>
      <w:r w:rsidRPr="00423593">
        <w:rPr>
          <w:rFonts w:ascii="Century Gothic" w:eastAsia="Times New Roman" w:hAnsi="Century Gothic" w:cs="Arial"/>
          <w:sz w:val="21"/>
          <w:szCs w:val="21"/>
          <w:lang w:val="es-ES_tradnl" w:eastAsia="es-ES_tradnl"/>
        </w:rPr>
        <w:t>“</w:t>
      </w:r>
      <w:r w:rsidRPr="00423593">
        <w:rPr>
          <w:rFonts w:ascii="Century Gothic" w:hAnsi="Century Gothic"/>
          <w:sz w:val="21"/>
          <w:szCs w:val="21"/>
        </w:rPr>
        <w:t>PRIMERO: Para los efectos de la contratación estatal ¿la experiencia de una sociedad comercial legalmente constituida en Colombia puede ser transferida a otra sociedad?</w:t>
      </w:r>
    </w:p>
    <w:p w14:paraId="20D8F444" w14:textId="77777777" w:rsidR="00423593" w:rsidRPr="00423593" w:rsidRDefault="00423593" w:rsidP="00423593">
      <w:pPr>
        <w:spacing w:after="0" w:line="240" w:lineRule="auto"/>
        <w:ind w:left="709" w:right="709"/>
        <w:jc w:val="both"/>
        <w:rPr>
          <w:rFonts w:ascii="Century Gothic" w:hAnsi="Century Gothic"/>
          <w:sz w:val="21"/>
          <w:szCs w:val="21"/>
        </w:rPr>
      </w:pPr>
    </w:p>
    <w:p w14:paraId="3E1F9F42" w14:textId="77777777" w:rsidR="00423593" w:rsidRPr="00423593" w:rsidRDefault="00423593" w:rsidP="00423593">
      <w:pPr>
        <w:spacing w:after="0" w:line="240" w:lineRule="auto"/>
        <w:ind w:left="709" w:right="709"/>
        <w:jc w:val="both"/>
        <w:rPr>
          <w:rFonts w:ascii="Century Gothic" w:hAnsi="Century Gothic"/>
          <w:sz w:val="21"/>
          <w:szCs w:val="21"/>
        </w:rPr>
      </w:pPr>
      <w:r w:rsidRPr="00423593">
        <w:rPr>
          <w:rFonts w:ascii="Century Gothic" w:hAnsi="Century Gothic"/>
          <w:sz w:val="21"/>
          <w:szCs w:val="21"/>
        </w:rPr>
        <w:lastRenderedPageBreak/>
        <w:t>SEGUNDO: Conforme lo anterior ¿dentro de un trámite de escisión parcial y por creación, la sociedad escindente puede transferir total o parcialmente su experiencia a la sociedad beneficiaria?</w:t>
      </w:r>
    </w:p>
    <w:p w14:paraId="5E2D768D" w14:textId="77777777" w:rsidR="00423593" w:rsidRPr="00423593" w:rsidRDefault="00423593" w:rsidP="00423593">
      <w:pPr>
        <w:spacing w:after="0" w:line="240" w:lineRule="auto"/>
        <w:ind w:left="709" w:right="709"/>
        <w:jc w:val="both"/>
        <w:rPr>
          <w:rFonts w:ascii="Century Gothic" w:hAnsi="Century Gothic"/>
          <w:sz w:val="21"/>
          <w:szCs w:val="21"/>
        </w:rPr>
      </w:pPr>
    </w:p>
    <w:p w14:paraId="1129D552" w14:textId="77777777" w:rsidR="00423593" w:rsidRPr="00423593" w:rsidRDefault="00423593" w:rsidP="00423593">
      <w:pPr>
        <w:spacing w:after="0" w:line="240" w:lineRule="auto"/>
        <w:ind w:left="709" w:right="709"/>
        <w:jc w:val="both"/>
        <w:rPr>
          <w:rFonts w:ascii="Century Gothic" w:hAnsi="Century Gothic"/>
          <w:sz w:val="21"/>
          <w:szCs w:val="21"/>
        </w:rPr>
      </w:pPr>
      <w:r w:rsidRPr="00423593">
        <w:rPr>
          <w:rFonts w:ascii="Century Gothic" w:hAnsi="Century Gothic"/>
          <w:sz w:val="21"/>
          <w:szCs w:val="21"/>
        </w:rPr>
        <w:t>TERCERO: Para los efectos de la contratación estatal, en el evento en que se esté ejecutando un contrato. ¿resultaría válida la experiencia que la beneficiaria ha adquirido por medio de un trámite de escisión para que sea esta quien funja como cesionaria en una relación contractual existente?</w:t>
      </w:r>
    </w:p>
    <w:p w14:paraId="0CE952F4" w14:textId="77777777" w:rsidR="00423593" w:rsidRPr="00423593" w:rsidRDefault="00423593" w:rsidP="00423593">
      <w:pPr>
        <w:spacing w:after="0" w:line="240" w:lineRule="auto"/>
        <w:ind w:left="709" w:right="709"/>
        <w:jc w:val="both"/>
        <w:rPr>
          <w:rFonts w:ascii="Century Gothic" w:hAnsi="Century Gothic"/>
          <w:sz w:val="21"/>
          <w:szCs w:val="21"/>
        </w:rPr>
      </w:pPr>
    </w:p>
    <w:p w14:paraId="6E201BE7" w14:textId="77777777" w:rsidR="00423593" w:rsidRPr="00423593" w:rsidRDefault="00423593" w:rsidP="00423593">
      <w:pPr>
        <w:spacing w:after="0" w:line="240" w:lineRule="auto"/>
        <w:ind w:left="709" w:right="709"/>
        <w:jc w:val="both"/>
        <w:rPr>
          <w:rFonts w:ascii="Century Gothic" w:hAnsi="Century Gothic"/>
          <w:sz w:val="21"/>
          <w:szCs w:val="21"/>
        </w:rPr>
      </w:pPr>
      <w:r w:rsidRPr="00423593">
        <w:rPr>
          <w:rFonts w:ascii="Century Gothic" w:hAnsi="Century Gothic"/>
          <w:sz w:val="21"/>
          <w:szCs w:val="21"/>
        </w:rPr>
        <w:t>CUARTO: De ser posible la transferencia de la experiencia entre dos personas jurídicas con ocasión de un proceso de escisión ¿la experiencia objeto de transferencia se considera como un activo?</w:t>
      </w:r>
    </w:p>
    <w:p w14:paraId="60DB4EC6" w14:textId="77777777" w:rsidR="00423593" w:rsidRPr="00423593" w:rsidRDefault="00423593" w:rsidP="00423593">
      <w:pPr>
        <w:spacing w:after="0"/>
        <w:ind w:left="709" w:right="709"/>
        <w:jc w:val="both"/>
        <w:rPr>
          <w:rFonts w:ascii="Century Gothic" w:eastAsia="Times New Roman" w:hAnsi="Century Gothic" w:cs="Arial"/>
          <w:lang w:val="es-ES_tradnl" w:eastAsia="es-ES_tradnl"/>
        </w:rPr>
      </w:pPr>
    </w:p>
    <w:p w14:paraId="5869E476" w14:textId="77777777" w:rsidR="00423593" w:rsidRPr="00423593" w:rsidRDefault="00423593" w:rsidP="00423593">
      <w:pPr>
        <w:numPr>
          <w:ilvl w:val="0"/>
          <w:numId w:val="6"/>
        </w:numPr>
        <w:tabs>
          <w:tab w:val="left" w:pos="0"/>
          <w:tab w:val="left" w:pos="284"/>
        </w:tabs>
        <w:spacing w:after="0" w:line="276" w:lineRule="auto"/>
        <w:ind w:left="360"/>
        <w:contextualSpacing/>
        <w:jc w:val="both"/>
        <w:rPr>
          <w:rFonts w:ascii="Century Gothic" w:eastAsia="Calibri" w:hAnsi="Century Gothic" w:cs="Arial"/>
          <w:b/>
          <w:lang w:val="es-ES_tradnl"/>
        </w:rPr>
      </w:pPr>
      <w:r w:rsidRPr="00423593">
        <w:rPr>
          <w:rFonts w:ascii="Century Gothic" w:eastAsia="Calibri" w:hAnsi="Century Gothic" w:cs="Arial"/>
          <w:b/>
          <w:lang w:val="es-ES_tradnl"/>
        </w:rPr>
        <w:t>Consideraciones</w:t>
      </w:r>
    </w:p>
    <w:p w14:paraId="716E573C" w14:textId="77777777" w:rsidR="00423593" w:rsidRPr="00423593" w:rsidRDefault="00423593" w:rsidP="00423593">
      <w:pPr>
        <w:spacing w:line="276" w:lineRule="auto"/>
        <w:contextualSpacing/>
        <w:jc w:val="both"/>
        <w:rPr>
          <w:rFonts w:ascii="Century Gothic" w:eastAsia="Calibri" w:hAnsi="Century Gothic" w:cs="Arial"/>
          <w:lang w:val="es-ES_tradnl" w:eastAsia="es-ES_tradnl"/>
        </w:rPr>
      </w:pPr>
    </w:p>
    <w:p w14:paraId="311586DE" w14:textId="77777777" w:rsidR="00423593" w:rsidRPr="00423593" w:rsidRDefault="00423593" w:rsidP="00423593">
      <w:pPr>
        <w:spacing w:after="120" w:line="276" w:lineRule="auto"/>
        <w:jc w:val="both"/>
        <w:rPr>
          <w:rFonts w:ascii="Century Gothic" w:hAnsi="Century Gothic" w:cs="Arial"/>
          <w:lang w:val="es-ES"/>
        </w:rPr>
      </w:pPr>
      <w:r w:rsidRPr="00423593">
        <w:rPr>
          <w:rFonts w:ascii="Century Gothic" w:hAnsi="Century Gothic"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423593">
        <w:rPr>
          <w:rFonts w:ascii="Century Gothic" w:hAnsi="Century Gothic" w:cs="Arial"/>
        </w:rPr>
        <w:t xml:space="preserve">. </w:t>
      </w:r>
      <w:r w:rsidRPr="00423593">
        <w:rPr>
          <w:rFonts w:ascii="Century Gothic" w:hAnsi="Century Gothic" w:cs="Arial"/>
          <w:lang w:val="es-ES"/>
        </w:rPr>
        <w:t xml:space="preserve">Es necesario tener en cuenta que </w:t>
      </w:r>
      <w:bookmarkStart w:id="4" w:name="_Hlk61026958"/>
      <w:r w:rsidRPr="00423593">
        <w:rPr>
          <w:rFonts w:ascii="Century Gothic"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23593">
        <w:rPr>
          <w:rFonts w:ascii="Century Gothic" w:hAnsi="Century Gothic" w:cs="Arial"/>
        </w:rPr>
        <w:t xml:space="preserve"> de todos los partícipes de la contratación estatal.</w:t>
      </w:r>
      <w:r w:rsidRPr="00423593">
        <w:rPr>
          <w:rFonts w:ascii="Century Gothic" w:hAnsi="Century Gothic" w:cs="Arial"/>
          <w:lang w:val="es-ES"/>
        </w:rPr>
        <w:t xml:space="preserve"> </w:t>
      </w:r>
      <w:bookmarkEnd w:id="2"/>
      <w:bookmarkEnd w:id="3"/>
      <w:bookmarkEnd w:id="4"/>
    </w:p>
    <w:p w14:paraId="21E3C60C" w14:textId="77777777" w:rsidR="00423593" w:rsidRPr="00423593" w:rsidRDefault="00423593" w:rsidP="00423593">
      <w:pPr>
        <w:spacing w:after="120" w:line="276" w:lineRule="auto"/>
        <w:ind w:firstLine="708"/>
        <w:jc w:val="both"/>
        <w:rPr>
          <w:rFonts w:ascii="Century Gothic" w:hAnsi="Century Gothic" w:cs="Arial"/>
          <w:lang w:val="es-ES"/>
        </w:rPr>
      </w:pPr>
      <w:r w:rsidRPr="00423593">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23593">
        <w:rPr>
          <w:rFonts w:ascii="Century Gothic" w:eastAsia="Calibri" w:hAnsi="Century Gothic" w:cs="Arial"/>
          <w:vertAlign w:val="superscript"/>
          <w:lang w:val="es-ES"/>
        </w:rPr>
        <w:footnoteReference w:id="2"/>
      </w:r>
      <w:r w:rsidRPr="00423593">
        <w:rPr>
          <w:rFonts w:ascii="Century Gothic" w:eastAsia="Calibri" w:hAnsi="Century Gothic" w:cs="Arial"/>
          <w:lang w:val="es-ES"/>
        </w:rPr>
        <w:t xml:space="preserve">. Esta competencia de interpretación de normas generales, </w:t>
      </w:r>
      <w:r w:rsidRPr="00423593">
        <w:rPr>
          <w:rFonts w:ascii="Century Gothic" w:eastAsia="Calibri" w:hAnsi="Century Gothic" w:cs="Arial"/>
          <w:lang w:val="es-ES"/>
        </w:rPr>
        <w:lastRenderedPageBreak/>
        <w:t xml:space="preserve">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3A317434" w14:textId="77777777" w:rsidR="00423593" w:rsidRPr="00423593" w:rsidRDefault="00423593" w:rsidP="00423593">
      <w:pPr>
        <w:spacing w:after="120" w:line="276" w:lineRule="auto"/>
        <w:ind w:firstLine="708"/>
        <w:jc w:val="both"/>
        <w:rPr>
          <w:rFonts w:ascii="Century Gothic" w:hAnsi="Century Gothic" w:cs="Arial"/>
          <w:lang w:val="es-ES"/>
        </w:rPr>
      </w:pPr>
      <w:r w:rsidRPr="00423593">
        <w:rPr>
          <w:rFonts w:ascii="Century Gothic" w:eastAsia="Calibri" w:hAnsi="Century Gothic" w:cs="Arial"/>
          <w:color w:val="000000"/>
        </w:rPr>
        <w:t xml:space="preserve">Sin perjuicio de lo anterior, </w:t>
      </w:r>
      <w:r w:rsidRPr="00423593">
        <w:rPr>
          <w:rFonts w:ascii="Century Gothic" w:eastAsia="Calibri" w:hAnsi="Century Gothic" w:cs="Arial"/>
          <w:color w:val="000000"/>
          <w:lang w:val="es-ES"/>
        </w:rPr>
        <w:t>la Subdirección de Gestión Contractual dentro de los límites de sus atribuciones, resolverá la consulta conforme a las normas generales en materia de contratación estatal</w:t>
      </w:r>
      <w:r w:rsidRPr="00423593">
        <w:rPr>
          <w:rFonts w:ascii="Century Gothic" w:eastAsia="Calibri" w:hAnsi="Century Gothic" w:cs="Arial"/>
          <w:lang w:val="es-ES_tradnl" w:eastAsia="es-MX"/>
        </w:rPr>
        <w:t xml:space="preserve">. Con este objetivo, se analizarán los siguientes </w:t>
      </w:r>
      <w:r w:rsidRPr="00423593">
        <w:rPr>
          <w:rFonts w:ascii="Century Gothic" w:eastAsia="Calibri" w:hAnsi="Century Gothic" w:cs="Arial"/>
          <w:color w:val="000000"/>
          <w:lang w:val="es-ES"/>
        </w:rPr>
        <w:t>temas: i</w:t>
      </w:r>
      <w:r w:rsidRPr="00423593">
        <w:rPr>
          <w:rFonts w:ascii="Century Gothic" w:eastAsia="Calibri" w:hAnsi="Century Gothic" w:cs="Arial"/>
          <w:lang w:val="es-ES_tradnl" w:eastAsia="es-MX"/>
        </w:rPr>
        <w:t xml:space="preserve">) noción de experiencia; </w:t>
      </w:r>
      <w:proofErr w:type="spellStart"/>
      <w:r w:rsidRPr="00423593">
        <w:rPr>
          <w:rFonts w:ascii="Century Gothic" w:eastAsia="Calibri" w:hAnsi="Century Gothic" w:cs="Arial"/>
          <w:lang w:val="es-ES_tradnl" w:eastAsia="es-MX"/>
        </w:rPr>
        <w:t>ii</w:t>
      </w:r>
      <w:proofErr w:type="spellEnd"/>
      <w:r w:rsidRPr="00423593">
        <w:rPr>
          <w:rFonts w:ascii="Century Gothic" w:eastAsia="Calibri" w:hAnsi="Century Gothic" w:cs="Arial"/>
          <w:lang w:val="es-ES_tradnl" w:eastAsia="es-MX"/>
        </w:rPr>
        <w:t xml:space="preserve">) figuras y reformas estatutarias, y efectos sobre la experiencia de las sociedades comerciales, y </w:t>
      </w:r>
      <w:proofErr w:type="spellStart"/>
      <w:r w:rsidRPr="00423593">
        <w:rPr>
          <w:rFonts w:ascii="Century Gothic" w:eastAsia="Calibri" w:hAnsi="Century Gothic" w:cs="Arial"/>
          <w:lang w:val="es-ES_tradnl" w:eastAsia="es-MX"/>
        </w:rPr>
        <w:t>iii</w:t>
      </w:r>
      <w:proofErr w:type="spellEnd"/>
      <w:r w:rsidRPr="00423593">
        <w:rPr>
          <w:rFonts w:ascii="Century Gothic" w:eastAsia="Calibri" w:hAnsi="Century Gothic" w:cs="Arial"/>
          <w:lang w:val="es-ES_tradnl" w:eastAsia="es-MX"/>
        </w:rPr>
        <w:t>) acreditación de experiencia de socios por parte de sociedades con menos de tres (3) años de constitución.</w:t>
      </w:r>
      <w:r w:rsidRPr="00423593">
        <w:rPr>
          <w:rFonts w:ascii="Century Gothic" w:eastAsia="Calibri" w:hAnsi="Century Gothic" w:cs="Arial"/>
          <w:color w:val="000000"/>
          <w:lang w:val="es-ES"/>
        </w:rPr>
        <w:t xml:space="preserve"> </w:t>
      </w:r>
    </w:p>
    <w:p w14:paraId="1643D16D" w14:textId="77777777" w:rsidR="00423593" w:rsidRPr="00423593" w:rsidRDefault="00423593" w:rsidP="00423593">
      <w:pPr>
        <w:spacing w:after="120" w:line="276" w:lineRule="auto"/>
        <w:ind w:firstLine="708"/>
        <w:jc w:val="both"/>
        <w:rPr>
          <w:rFonts w:ascii="Century Gothic" w:eastAsia="Calibri" w:hAnsi="Century Gothic" w:cs="Arial"/>
          <w:color w:val="000000"/>
          <w:szCs w:val="24"/>
          <w:lang w:val="es-ES"/>
        </w:rPr>
      </w:pPr>
      <w:r w:rsidRPr="00423593">
        <w:rPr>
          <w:rFonts w:ascii="Century Gothic" w:eastAsia="Calibri" w:hAnsi="Century Gothic" w:cs="Arial"/>
          <w:color w:val="000000"/>
          <w:szCs w:val="24"/>
          <w:lang w:val="es-ES"/>
        </w:rPr>
        <w:t xml:space="preserve">La Agencia Nacional de Contratación Pública </w:t>
      </w:r>
      <w:r w:rsidRPr="00423593">
        <w:rPr>
          <w:rFonts w:ascii="Arial" w:eastAsia="Calibri" w:hAnsi="Arial" w:cs="Arial"/>
          <w:color w:val="000000"/>
          <w:szCs w:val="24"/>
          <w:lang w:val="es-ES"/>
        </w:rPr>
        <w:t>‒</w:t>
      </w:r>
      <w:r w:rsidRPr="00423593">
        <w:rPr>
          <w:rFonts w:ascii="Century Gothic" w:eastAsia="Calibri" w:hAnsi="Century Gothic" w:cs="Arial"/>
          <w:color w:val="000000"/>
          <w:szCs w:val="24"/>
          <w:lang w:val="es-ES"/>
        </w:rPr>
        <w:t xml:space="preserve"> Colombia Compra Eficiente, estudi</w:t>
      </w:r>
      <w:r w:rsidRPr="00423593">
        <w:rPr>
          <w:rFonts w:ascii="Century Gothic" w:eastAsia="Calibri" w:hAnsi="Century Gothic" w:cs="Century Gothic"/>
          <w:color w:val="000000"/>
          <w:szCs w:val="24"/>
          <w:lang w:val="es-ES"/>
        </w:rPr>
        <w:t>ó</w:t>
      </w:r>
      <w:r w:rsidRPr="00423593">
        <w:rPr>
          <w:rFonts w:ascii="Century Gothic" w:eastAsia="Calibri" w:hAnsi="Century Gothic" w:cs="Arial"/>
          <w:color w:val="000000"/>
          <w:szCs w:val="24"/>
          <w:lang w:val="es-ES"/>
        </w:rPr>
        <w:t xml:space="preserve"> el tema de experiencia y su noci</w:t>
      </w:r>
      <w:r w:rsidRPr="00423593">
        <w:rPr>
          <w:rFonts w:ascii="Century Gothic" w:eastAsia="Calibri" w:hAnsi="Century Gothic" w:cs="Century Gothic"/>
          <w:color w:val="000000"/>
          <w:szCs w:val="24"/>
          <w:lang w:val="es-ES"/>
        </w:rPr>
        <w:t>ó</w:t>
      </w:r>
      <w:r w:rsidRPr="00423593">
        <w:rPr>
          <w:rFonts w:ascii="Century Gothic" w:eastAsia="Calibri" w:hAnsi="Century Gothic" w:cs="Arial"/>
          <w:color w:val="000000"/>
          <w:szCs w:val="24"/>
          <w:lang w:val="es-ES"/>
        </w:rPr>
        <w:t>n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 C-140 del 9 de abril del 2021, C-230 del 25 de mayo de 2021, C-316 del 29 de junio de 2021, C-318 del 29 de junio de 2021, C-326 del 2 de julio de 2021, C-725 del 25 de enero de 2022, C-084 del 16 de marzo de 2022 y C-517 del 11 de agosto de 2022, C-569 del 13 de septiembre de 2022, C-820 del 29 de noviembre de 2022 y C-121 de 12 de mayo de 2023, ente otros.</w:t>
      </w:r>
    </w:p>
    <w:p w14:paraId="42C5F09B" w14:textId="77777777" w:rsidR="00423593" w:rsidRPr="00423593" w:rsidRDefault="00423593" w:rsidP="00423593">
      <w:pPr>
        <w:tabs>
          <w:tab w:val="left" w:pos="426"/>
        </w:tabs>
        <w:spacing w:after="0" w:line="276" w:lineRule="auto"/>
        <w:ind w:right="49" w:firstLine="567"/>
        <w:jc w:val="both"/>
        <w:rPr>
          <w:rFonts w:ascii="Century Gothic" w:eastAsia="Calibri" w:hAnsi="Century Gothic" w:cs="Arial"/>
          <w:color w:val="000000"/>
          <w:szCs w:val="24"/>
          <w:lang w:val="es-ES"/>
        </w:rPr>
      </w:pPr>
      <w:r w:rsidRPr="00423593">
        <w:rPr>
          <w:rFonts w:ascii="Century Gothic" w:eastAsia="Calibri" w:hAnsi="Century Gothic" w:cs="Arial"/>
          <w:color w:val="000000"/>
          <w:szCs w:val="24"/>
          <w:lang w:val="es-ES"/>
        </w:rPr>
        <w:t>Por su parte, la Agencia Nacional de Contratación Pública – Colombia Compra Eficiente, en los conceptos 4201913000006797 del 19 de noviembre de 2019, C-025 del 16 de marzo de 2020, C-051 del 2 de marzo de 2020, C-113 del 25 de marzo de 2020, C-165 del 1 de abril de 2020, C-233 del 16 de abril de 2020, C-</w:t>
      </w:r>
      <w:r w:rsidRPr="00423593">
        <w:rPr>
          <w:rFonts w:ascii="Century Gothic" w:eastAsia="Calibri" w:hAnsi="Century Gothic" w:cs="Arial"/>
          <w:color w:val="000000"/>
          <w:szCs w:val="24"/>
          <w:lang w:val="es-ES"/>
        </w:rPr>
        <w:lastRenderedPageBreak/>
        <w:t>350 del 1° de junio de 2020, C-407 de 12 de junio de 2020, C-398 de 30 de junio de 2020, C-470 del 14 de julio de 2020 C-584 de 31 de agosto 2020, C-619 de 21 de septiembre 2020, C-662 del 9 de noviembre de 2020, C-710 del 9 de diciembre de 2020, C-717 del 10 de diciembre de 2020, C-729 del del 11 de diciembre de 2020, C-008 del 15 de febrero de 2021, C-103 del 24 de marzo de 2021, C-230 del 25 de mayo de 2021, C-316 del 29 de junio de 2021, C-318 del 29 de junio de 2021, C-474 del 6 de septiembre de 2021, C-589 del 19 de octubre de 2021, C-608 del 29 de octubre de 2021, C-696 del 31 de diciembre de 2021, C-725 del 25 de enero de 2022, C-034 del 2 de marzo de 2022, C-144 del 1° de abril de 2022, C-239 del 26 de julio de 2022, C-324 del 19 de mayo de 2022, C-447 del 19 de julio de 2022, C-456 del 15 de julio de 2022, C-592 del 20 de septiembre de 2022, C-623 del 29 de septiembre de 2022, C-837 del 6 de diciembre de 2022, C-841 del 6 de diciembre de 2022, C-929 del 30 de diciembre de 2022, C-128 del 18 de mayo de 2023 y C-450 de 3 de noviembre de 2023, entre otros, analizó la acreditación de experiencia de socios por parte de sociedades con menos de tres años de constitución.</w:t>
      </w:r>
      <w:r w:rsidRPr="00423593">
        <w:rPr>
          <w:rFonts w:ascii="Century Gothic" w:eastAsia="Calibri" w:hAnsi="Century Gothic" w:cs="Arial"/>
          <w:color w:val="000000"/>
          <w:szCs w:val="24"/>
          <w:vertAlign w:val="superscript"/>
          <w:lang w:val="es-ES"/>
        </w:rPr>
        <w:footnoteReference w:id="3"/>
      </w:r>
      <w:r w:rsidRPr="00423593">
        <w:rPr>
          <w:rFonts w:ascii="Century Gothic" w:eastAsia="Calibri" w:hAnsi="Century Gothic" w:cs="Arial"/>
          <w:color w:val="000000"/>
          <w:szCs w:val="24"/>
          <w:lang w:val="es-ES"/>
        </w:rPr>
        <w:t xml:space="preserve"> Las tesis propuestas en estos conceptos se reiteran a continuación y se complementan en lo pertinente.</w:t>
      </w:r>
    </w:p>
    <w:p w14:paraId="3EAC3204" w14:textId="77777777" w:rsidR="00423593" w:rsidRPr="00423593" w:rsidRDefault="00423593" w:rsidP="00423593">
      <w:pPr>
        <w:spacing w:after="0" w:line="276" w:lineRule="auto"/>
        <w:ind w:firstLine="708"/>
        <w:jc w:val="both"/>
        <w:rPr>
          <w:rFonts w:ascii="Century Gothic" w:eastAsia="Calibri" w:hAnsi="Century Gothic" w:cs="Arial"/>
          <w:color w:val="000000"/>
          <w:szCs w:val="24"/>
          <w:lang w:val="es-ES_tradnl"/>
        </w:rPr>
      </w:pPr>
    </w:p>
    <w:p w14:paraId="6F0796C5" w14:textId="77777777" w:rsidR="00423593" w:rsidRPr="00423593" w:rsidRDefault="00423593" w:rsidP="00423593">
      <w:pPr>
        <w:spacing w:after="0" w:line="276" w:lineRule="auto"/>
        <w:jc w:val="both"/>
        <w:rPr>
          <w:rFonts w:ascii="Century Gothic" w:eastAsia="Calibri" w:hAnsi="Century Gothic" w:cs="Arial"/>
          <w:b/>
        </w:rPr>
      </w:pPr>
      <w:r w:rsidRPr="00423593">
        <w:rPr>
          <w:rFonts w:ascii="Century Gothic" w:eastAsia="Calibri" w:hAnsi="Century Gothic" w:cs="Arial"/>
          <w:b/>
          <w:bCs/>
          <w:color w:val="000000" w:themeColor="text1"/>
          <w:lang w:val="es-ES_tradnl"/>
        </w:rPr>
        <w:t xml:space="preserve">2.1 </w:t>
      </w:r>
      <w:r w:rsidRPr="00423593">
        <w:rPr>
          <w:rFonts w:ascii="Century Gothic" w:eastAsia="Calibri" w:hAnsi="Century Gothic" w:cs="Arial"/>
          <w:b/>
        </w:rPr>
        <w:t>Aproximación general al concepto de experiencia en la contratación pública</w:t>
      </w:r>
    </w:p>
    <w:p w14:paraId="1130032C" w14:textId="77777777" w:rsidR="00423593" w:rsidRPr="00423593" w:rsidRDefault="00423593" w:rsidP="00423593">
      <w:pPr>
        <w:spacing w:after="0" w:line="276" w:lineRule="auto"/>
        <w:jc w:val="both"/>
        <w:rPr>
          <w:rFonts w:ascii="Century Gothic" w:eastAsia="Calibri" w:hAnsi="Century Gothic" w:cs="Arial"/>
          <w:b/>
        </w:rPr>
      </w:pPr>
    </w:p>
    <w:p w14:paraId="79F66F58" w14:textId="77777777" w:rsidR="00423593" w:rsidRPr="00423593" w:rsidRDefault="00423593" w:rsidP="00423593">
      <w:pPr>
        <w:spacing w:after="120" w:line="276" w:lineRule="auto"/>
        <w:jc w:val="both"/>
        <w:rPr>
          <w:rFonts w:ascii="Century Gothic" w:eastAsia="Calibri" w:hAnsi="Century Gothic" w:cs="Arial"/>
          <w:highlight w:val="yellow"/>
        </w:rPr>
      </w:pPr>
      <w:bookmarkStart w:id="5" w:name="_Hlk113212496"/>
      <w:r w:rsidRPr="00423593">
        <w:rPr>
          <w:rFonts w:ascii="Century Gothic" w:eastAsia="Calibri" w:hAnsi="Century Gothic" w:cs="Arial"/>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423593">
        <w:rPr>
          <w:rFonts w:ascii="Century Gothic" w:eastAsia="Calibri" w:hAnsi="Century Gothic" w:cs="Arial"/>
          <w:vertAlign w:val="superscript"/>
        </w:rPr>
        <w:footnoteReference w:id="4"/>
      </w:r>
      <w:r w:rsidRPr="00423593">
        <w:rPr>
          <w:rFonts w:ascii="Century Gothic" w:eastAsia="Calibri" w:hAnsi="Century Gothic" w:cs="Arial"/>
        </w:rPr>
        <w:t xml:space="preserve">. En ese sentido, la entidad, como responsable de la </w:t>
      </w:r>
      <w:r w:rsidRPr="00423593">
        <w:rPr>
          <w:rFonts w:ascii="Century Gothic" w:eastAsia="Calibri" w:hAnsi="Century Gothic" w:cs="Arial"/>
        </w:rPr>
        <w:lastRenderedPageBreak/>
        <w:t>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así como el mercado y precio del bien, obra o servicio a contratar</w:t>
      </w:r>
      <w:r w:rsidRPr="00423593">
        <w:rPr>
          <w:rFonts w:ascii="Century Gothic" w:eastAsia="Calibri" w:hAnsi="Century Gothic" w:cs="Arial"/>
          <w:vertAlign w:val="superscript"/>
        </w:rPr>
        <w:footnoteReference w:id="5"/>
      </w:r>
      <w:r w:rsidRPr="00423593">
        <w:rPr>
          <w:rFonts w:ascii="Century Gothic" w:eastAsia="Calibri" w:hAnsi="Century Gothic" w:cs="Arial"/>
        </w:rPr>
        <w:t>.</w:t>
      </w:r>
    </w:p>
    <w:p w14:paraId="7E1A844B" w14:textId="77777777" w:rsidR="00423593" w:rsidRPr="00423593" w:rsidRDefault="00423593" w:rsidP="00423593">
      <w:pPr>
        <w:spacing w:before="120" w:after="120" w:line="276" w:lineRule="auto"/>
        <w:ind w:firstLine="708"/>
        <w:jc w:val="both"/>
        <w:rPr>
          <w:rFonts w:ascii="Century Gothic" w:eastAsia="Calibri" w:hAnsi="Century Gothic" w:cs="Arial"/>
        </w:rPr>
      </w:pPr>
      <w:r w:rsidRPr="00423593">
        <w:rPr>
          <w:rFonts w:ascii="Century Gothic" w:eastAsia="Calibri" w:hAnsi="Century Gothic" w:cs="Arial"/>
        </w:rPr>
        <w:t>La experiencia que se deriva de los contratos que el proponente ha celebrado y ejecutado con diferentes contratantes, sin importar la naturaleza de estos, se verifica con el Registro Único de Proponentes – RUP</w:t>
      </w:r>
      <w:r w:rsidRPr="00423593">
        <w:rPr>
          <w:rFonts w:ascii="Century Gothic" w:eastAsia="Calibri" w:hAnsi="Century Gothic" w:cs="Arial"/>
          <w:vertAlign w:val="superscript"/>
        </w:rPr>
        <w:footnoteReference w:id="6"/>
      </w:r>
      <w:r w:rsidRPr="00423593">
        <w:rPr>
          <w:rFonts w:ascii="Century Gothic" w:eastAsia="Calibri" w:hAnsi="Century Gothic" w:cs="Arial"/>
        </w:rPr>
        <w:t>, cuando este certificado sea exigible de acuerdo con la ley. En el RUP constan los requisitos habilitantes que se evalúan exclusivamente con este documento, que es su plena prueba, sin que la entidad o el proponente puedan solicitar o aportar otra documentación</w:t>
      </w:r>
      <w:r w:rsidRPr="00423593">
        <w:rPr>
          <w:rFonts w:ascii="Century Gothic" w:eastAsia="Calibri" w:hAnsi="Century Gothic" w:cs="Arial"/>
          <w:vertAlign w:val="superscript"/>
        </w:rPr>
        <w:footnoteReference w:id="7"/>
      </w:r>
      <w:r w:rsidRPr="00423593">
        <w:rPr>
          <w:rFonts w:ascii="Century Gothic" w:eastAsia="Calibri" w:hAnsi="Century Gothic" w:cs="Arial"/>
        </w:rPr>
        <w:t>.</w:t>
      </w:r>
    </w:p>
    <w:p w14:paraId="5A521EDD" w14:textId="77777777" w:rsidR="00423593" w:rsidRPr="00423593" w:rsidRDefault="00423593" w:rsidP="00423593">
      <w:pPr>
        <w:spacing w:after="120" w:line="276" w:lineRule="auto"/>
        <w:ind w:firstLine="708"/>
        <w:jc w:val="both"/>
        <w:rPr>
          <w:rFonts w:ascii="Century Gothic" w:eastAsia="Calibri" w:hAnsi="Century Gothic" w:cs="Arial"/>
        </w:rPr>
      </w:pPr>
      <w:r w:rsidRPr="00423593">
        <w:rPr>
          <w:rFonts w:ascii="Century Gothic" w:eastAsia="Calibri" w:hAnsi="Century Gothic" w:cs="Arial"/>
        </w:rPr>
        <w:lastRenderedPageBreak/>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Tales documentos deben codificarse con el clasificador de bienes y servicios en el tercer nivel</w:t>
      </w:r>
      <w:r w:rsidRPr="00423593">
        <w:rPr>
          <w:rFonts w:ascii="Century Gothic" w:eastAsia="Calibri" w:hAnsi="Century Gothic" w:cs="Arial"/>
          <w:vertAlign w:val="superscript"/>
        </w:rPr>
        <w:footnoteReference w:id="8"/>
      </w:r>
      <w:r w:rsidRPr="00423593">
        <w:rPr>
          <w:rFonts w:ascii="Century Gothic" w:eastAsia="Calibri" w:hAnsi="Century Gothic" w:cs="Arial"/>
        </w:rPr>
        <w:t>.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Por lo anterior, 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de esta forma.</w:t>
      </w:r>
    </w:p>
    <w:p w14:paraId="1B76FA99" w14:textId="77777777" w:rsidR="00423593" w:rsidRPr="00423593" w:rsidRDefault="00423593" w:rsidP="00423593">
      <w:pPr>
        <w:spacing w:before="120" w:after="120" w:line="276" w:lineRule="auto"/>
        <w:ind w:firstLine="709"/>
        <w:jc w:val="both"/>
        <w:rPr>
          <w:rFonts w:ascii="Century Gothic" w:eastAsia="Calibri" w:hAnsi="Century Gothic" w:cs="Arial"/>
        </w:rPr>
      </w:pPr>
      <w:r w:rsidRPr="00423593">
        <w:rPr>
          <w:rFonts w:ascii="Century Gothic" w:eastAsia="Calibri" w:hAnsi="Century Gothic" w:cs="Arial"/>
        </w:rPr>
        <w:t xml:space="preserve">La Agencia Nacional de Contratación Pública - Colombia Compra Eficiente puso a disposición de los interesados del Sistema de Compra Pública el </w:t>
      </w:r>
      <w:r w:rsidRPr="00423593">
        <w:rPr>
          <w:rFonts w:ascii="Century Gothic" w:eastAsia="Calibri" w:hAnsi="Century Gothic" w:cs="Arial"/>
          <w:i/>
          <w:iCs/>
        </w:rPr>
        <w:t>Manual para determinar y verificar requisitos habilitantes en los procesos de contratación</w:t>
      </w:r>
      <w:r w:rsidRPr="00423593">
        <w:rPr>
          <w:rFonts w:ascii="Century Gothic" w:eastAsia="Calibri" w:hAnsi="Century Gothic" w:cs="Arial"/>
          <w:i/>
          <w:iCs/>
          <w:vertAlign w:val="superscript"/>
        </w:rPr>
        <w:footnoteReference w:id="9"/>
      </w:r>
      <w:r w:rsidRPr="00423593">
        <w:rPr>
          <w:rFonts w:ascii="Century Gothic" w:eastAsia="Calibri" w:hAnsi="Century Gothic" w:cs="Arial"/>
        </w:rPr>
        <w:t xml:space="preserve">. En dicho Manual se establecen las definiciones de cada requisito habilitante y se </w:t>
      </w:r>
      <w:r w:rsidRPr="00423593">
        <w:rPr>
          <w:rFonts w:ascii="Century Gothic" w:eastAsia="Calibri" w:hAnsi="Century Gothic" w:cs="Arial"/>
        </w:rPr>
        <w:lastRenderedPageBreak/>
        <w:t>dan lineamientos orientadores sobre lo que las entidades pueden hacer para configurarlos. Sobre el particular, para la experiencia como requisito habilitante el Manual se centra en una de sus cualidades y es que es personal, lo cual significa que quien tiene la experiencia lo hace en razón de su participación, con anterioridad, en actividades que le permitieron conocer cómo ejecutar el objeto contractual que la entidad pretende satisfacer ahora</w:t>
      </w:r>
      <w:r w:rsidRPr="00423593">
        <w:rPr>
          <w:rFonts w:ascii="Century Gothic" w:eastAsia="Calibri" w:hAnsi="Century Gothic" w:cs="Arial"/>
          <w:vertAlign w:val="superscript"/>
        </w:rPr>
        <w:footnoteReference w:id="10"/>
      </w:r>
      <w:r w:rsidRPr="00423593">
        <w:rPr>
          <w:rFonts w:ascii="Century Gothic" w:eastAsia="Calibri" w:hAnsi="Century Gothic" w:cs="Arial"/>
        </w:rPr>
        <w:t>.</w:t>
      </w:r>
    </w:p>
    <w:p w14:paraId="3E789227" w14:textId="77777777" w:rsidR="00423593" w:rsidRPr="00423593" w:rsidRDefault="00423593" w:rsidP="00423593">
      <w:pPr>
        <w:spacing w:before="120" w:after="120" w:line="276" w:lineRule="auto"/>
        <w:ind w:firstLine="708"/>
        <w:jc w:val="both"/>
        <w:rPr>
          <w:rFonts w:ascii="Century Gothic" w:eastAsia="Calibri" w:hAnsi="Century Gothic" w:cs="Arial"/>
        </w:rPr>
      </w:pPr>
      <w:r w:rsidRPr="00423593">
        <w:rPr>
          <w:rFonts w:ascii="Century Gothic" w:eastAsia="Calibri" w:hAnsi="Century Gothic" w:cs="Arial"/>
        </w:rPr>
        <w:t xml:space="preserve">Lo anterior es determinante, porque no es posible tener experiencia si en la práctica no se han ejecutado actividades similares previas. Precisamente, de la experiencia se deriva el conocimiento del proponente, y para la contratación pública es importante, ya que garantiza que no habrá improvisación ni mayores costos por errores o dificultades originadas en realizar una actividad por primera vez. </w:t>
      </w:r>
      <w:bookmarkStart w:id="8" w:name="_Hlk113212591"/>
      <w:r w:rsidRPr="00423593">
        <w:rPr>
          <w:rFonts w:ascii="Century Gothic" w:eastAsia="Calibri" w:hAnsi="Century Gothic" w:cs="Arial"/>
        </w:rPr>
        <w:t xml:space="preserve">Al respecto, la jurisprudencia ha señalado que la experiencia acreditable </w:t>
      </w:r>
      <w:r w:rsidRPr="00423593">
        <w:rPr>
          <w:rFonts w:ascii="Century Gothic" w:hAnsi="Century Gothic" w:cs="Arial"/>
        </w:rPr>
        <w:t>“</w:t>
      </w:r>
      <w:r w:rsidRPr="00423593">
        <w:rPr>
          <w:rFonts w:ascii="Century Gothic" w:eastAsia="Calibri" w:hAnsi="Century Gothic" w:cs="Arial"/>
        </w:rPr>
        <w:t>no es más que un valor agregado para el contratista en consideración al registro documentado del hecho de haberlo ejecutado, es decir de haber cumplido las consideraciones pactadas, asunto que alude a un estado adquirido por el contratante en función de la real ejecución que han hecho del contrato. La experiencia predicada de un sujeto comprende unas competencias o habilidades que este obtuvo, como consecuencia de la ejecución del contrato […]</w:t>
      </w:r>
      <w:r w:rsidRPr="00423593">
        <w:rPr>
          <w:rFonts w:ascii="Century Gothic" w:hAnsi="Century Gothic" w:cs="Arial"/>
        </w:rPr>
        <w:t>”</w:t>
      </w:r>
      <w:r w:rsidRPr="00423593">
        <w:rPr>
          <w:rFonts w:ascii="Century Gothic" w:hAnsi="Century Gothic" w:cs="Arial"/>
          <w:vertAlign w:val="superscript"/>
        </w:rPr>
        <w:footnoteReference w:id="11"/>
      </w:r>
      <w:r w:rsidRPr="00423593">
        <w:rPr>
          <w:rFonts w:ascii="Century Gothic" w:hAnsi="Century Gothic" w:cs="Arial"/>
        </w:rPr>
        <w:t xml:space="preserve">. En tal sentido, la ejecución del contrato “se revela como un aspecto inherente a la </w:t>
      </w:r>
      <w:r w:rsidRPr="00423593">
        <w:rPr>
          <w:rFonts w:ascii="Century Gothic" w:hAnsi="Century Gothic" w:cs="Arial"/>
        </w:rPr>
        <w:lastRenderedPageBreak/>
        <w:t xml:space="preserve">persona que lo ejecutó”, por lo que es en virtud de dicha ejecución que se obtiene las habilidades y competencias que califican al proponente. </w:t>
      </w:r>
    </w:p>
    <w:bookmarkEnd w:id="8"/>
    <w:p w14:paraId="328BC274" w14:textId="77777777" w:rsidR="00423593" w:rsidRPr="00423593" w:rsidRDefault="00423593" w:rsidP="00423593">
      <w:pPr>
        <w:spacing w:before="120" w:after="120" w:line="276" w:lineRule="auto"/>
        <w:ind w:firstLine="708"/>
        <w:jc w:val="both"/>
        <w:rPr>
          <w:rFonts w:ascii="Century Gothic" w:eastAsia="Calibri" w:hAnsi="Century Gothic" w:cs="Arial"/>
        </w:rPr>
      </w:pPr>
      <w:r w:rsidRPr="00423593">
        <w:rPr>
          <w:rFonts w:ascii="Century Gothic" w:eastAsia="Calibri" w:hAnsi="Century Gothic" w:cs="Arial"/>
        </w:rPr>
        <w:t xml:space="preserve">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evento en el cual,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w:t>
      </w:r>
    </w:p>
    <w:p w14:paraId="36AF9F47" w14:textId="77777777" w:rsidR="00423593" w:rsidRPr="00423593" w:rsidRDefault="00423593" w:rsidP="00423593">
      <w:pPr>
        <w:spacing w:before="120" w:after="120" w:line="276" w:lineRule="auto"/>
        <w:ind w:firstLine="708"/>
        <w:jc w:val="both"/>
        <w:rPr>
          <w:rFonts w:ascii="Century Gothic" w:eastAsia="Calibri" w:hAnsi="Century Gothic" w:cs="Arial"/>
        </w:rPr>
      </w:pPr>
      <w:bookmarkStart w:id="9" w:name="_Hlk113212612"/>
      <w:r w:rsidRPr="00423593">
        <w:rPr>
          <w:rFonts w:ascii="Century Gothic" w:eastAsia="Calibri" w:hAnsi="Century Gothic" w:cs="Arial"/>
        </w:rPr>
        <w:t>De lo anteriormente expuesto</w:t>
      </w:r>
      <w:bookmarkEnd w:id="9"/>
      <w:r w:rsidRPr="00423593">
        <w:rPr>
          <w:rFonts w:ascii="Century Gothic" w:eastAsia="Calibri" w:hAnsi="Century Gothic" w:cs="Arial"/>
        </w:rPr>
        <w:t xml:space="preserve">, se pueden extraer cuatro conclusiones relevantes respecto de la experiencia, para evaluar a continuación las figuras y reformas estatutarias de las sociedades comerciales: </w:t>
      </w:r>
    </w:p>
    <w:p w14:paraId="0A7E370B" w14:textId="77777777" w:rsidR="00423593" w:rsidRPr="00423593" w:rsidRDefault="00423593" w:rsidP="00423593">
      <w:pPr>
        <w:spacing w:before="120" w:after="120" w:line="276" w:lineRule="auto"/>
        <w:ind w:firstLine="708"/>
        <w:jc w:val="both"/>
        <w:rPr>
          <w:rFonts w:ascii="Century Gothic" w:eastAsia="Calibri" w:hAnsi="Century Gothic" w:cs="Arial"/>
        </w:rPr>
      </w:pPr>
      <w:r w:rsidRPr="00423593">
        <w:rPr>
          <w:rFonts w:ascii="Century Gothic" w:eastAsia="Calibri" w:hAnsi="Century Gothic" w:cs="Arial"/>
        </w:rPr>
        <w:t>i) La experiencia es personal, esto es, se adquiere participando, directa o indirectamente, sin que sea posible no hacerlo y tener experiencia.</w:t>
      </w:r>
    </w:p>
    <w:p w14:paraId="27126914" w14:textId="77777777" w:rsidR="00423593" w:rsidRPr="00423593" w:rsidRDefault="00423593" w:rsidP="00423593">
      <w:pPr>
        <w:spacing w:before="120" w:after="120" w:line="276" w:lineRule="auto"/>
        <w:ind w:firstLine="708"/>
        <w:jc w:val="both"/>
        <w:rPr>
          <w:rFonts w:ascii="Century Gothic" w:eastAsia="Calibri" w:hAnsi="Century Gothic" w:cs="Arial"/>
        </w:rPr>
      </w:pPr>
      <w:proofErr w:type="spellStart"/>
      <w:r w:rsidRPr="00423593">
        <w:rPr>
          <w:rFonts w:ascii="Century Gothic" w:eastAsia="Calibri" w:hAnsi="Century Gothic" w:cs="Arial"/>
        </w:rPr>
        <w:t>ii</w:t>
      </w:r>
      <w:proofErr w:type="spellEnd"/>
      <w:r w:rsidRPr="00423593">
        <w:rPr>
          <w:rFonts w:ascii="Century Gothic" w:eastAsia="Calibri" w:hAnsi="Century Gothic" w:cs="Arial"/>
        </w:rPr>
        <w:t>) La experiencia se puede compartir, sin que implique que la compartida a una persona se entienda suya, ya que dentro del procedimiento contractual se reflejará que esa persona tiene la experiencia de otra, como es el caso de las figuras asociativas –consorcios y uniones temporales– que se verificará en el documento privado de constitución.</w:t>
      </w:r>
    </w:p>
    <w:p w14:paraId="0855F411" w14:textId="77777777" w:rsidR="00423593" w:rsidRPr="00423593" w:rsidRDefault="00423593" w:rsidP="00423593">
      <w:pPr>
        <w:spacing w:before="120" w:after="120" w:line="276" w:lineRule="auto"/>
        <w:ind w:firstLine="708"/>
        <w:jc w:val="both"/>
        <w:rPr>
          <w:rFonts w:ascii="Century Gothic" w:eastAsia="Calibri" w:hAnsi="Century Gothic" w:cs="Arial"/>
        </w:rPr>
      </w:pPr>
      <w:proofErr w:type="spellStart"/>
      <w:r w:rsidRPr="00423593">
        <w:rPr>
          <w:rFonts w:ascii="Century Gothic" w:eastAsia="Calibri" w:hAnsi="Century Gothic" w:cs="Arial"/>
        </w:rPr>
        <w:t>iii</w:t>
      </w:r>
      <w:proofErr w:type="spellEnd"/>
      <w:r w:rsidRPr="00423593">
        <w:rPr>
          <w:rFonts w:ascii="Century Gothic" w:eastAsia="Calibri" w:hAnsi="Century Gothic" w:cs="Arial"/>
        </w:rPr>
        <w:t>) 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el numeral 2.2. de este concepto.</w:t>
      </w:r>
    </w:p>
    <w:p w14:paraId="6480F4CF" w14:textId="77777777" w:rsidR="00423593" w:rsidRPr="00423593" w:rsidRDefault="00423593" w:rsidP="00423593">
      <w:pPr>
        <w:spacing w:after="120" w:line="276" w:lineRule="auto"/>
        <w:ind w:firstLine="708"/>
        <w:jc w:val="both"/>
        <w:rPr>
          <w:rFonts w:ascii="Century Gothic" w:eastAsia="Calibri" w:hAnsi="Century Gothic" w:cs="Arial"/>
        </w:rPr>
      </w:pPr>
      <w:proofErr w:type="spellStart"/>
      <w:r w:rsidRPr="00423593">
        <w:rPr>
          <w:rFonts w:ascii="Century Gothic" w:eastAsia="Calibri" w:hAnsi="Century Gothic" w:cs="Arial"/>
        </w:rPr>
        <w:t>iv</w:t>
      </w:r>
      <w:proofErr w:type="spellEnd"/>
      <w:r w:rsidRPr="00423593">
        <w:rPr>
          <w:rFonts w:ascii="Century Gothic" w:eastAsia="Calibri" w:hAnsi="Century Gothic" w:cs="Arial"/>
        </w:rPr>
        <w:t xml:space="preserve">) Cuando </w:t>
      </w:r>
      <w:bookmarkStart w:id="10" w:name="_Hlk113212638"/>
      <w:r w:rsidRPr="00423593">
        <w:rPr>
          <w:rFonts w:ascii="Century Gothic" w:eastAsia="Calibri" w:hAnsi="Century Gothic" w:cs="Arial"/>
        </w:rPr>
        <w:t>la persona que adquirió la experiencia desaparece o se liquida, no es posible que comparta o transfiera su experiencia, puesto que, al ser esta personal, sigue la suerte de quien la adquirió</w:t>
      </w:r>
      <w:bookmarkEnd w:id="10"/>
      <w:r w:rsidRPr="00423593">
        <w:rPr>
          <w:rFonts w:ascii="Century Gothic" w:eastAsia="Calibri" w:hAnsi="Century Gothic" w:cs="Arial"/>
        </w:rPr>
        <w:t>.</w:t>
      </w:r>
    </w:p>
    <w:p w14:paraId="423C91B9" w14:textId="77777777" w:rsidR="00423593" w:rsidRPr="00423593" w:rsidRDefault="00423593" w:rsidP="00423593">
      <w:pPr>
        <w:spacing w:before="120" w:after="120" w:line="276" w:lineRule="auto"/>
        <w:ind w:firstLine="708"/>
        <w:jc w:val="both"/>
        <w:rPr>
          <w:rFonts w:ascii="Century Gothic" w:eastAsia="Calibri" w:hAnsi="Century Gothic" w:cs="Arial"/>
        </w:rPr>
      </w:pPr>
      <w:r w:rsidRPr="00423593">
        <w:rPr>
          <w:rFonts w:ascii="Century Gothic" w:eastAsia="Calibri" w:hAnsi="Century Gothic" w:cs="Arial"/>
        </w:rPr>
        <w:t xml:space="preserve">De lo anterior se desprende que, por regla general, en la actividad contractual regulada por el Estatuto General de Contratación de la Administración </w:t>
      </w:r>
      <w:r w:rsidRPr="00423593">
        <w:rPr>
          <w:rFonts w:ascii="Century Gothic" w:eastAsia="Calibri" w:hAnsi="Century Gothic" w:cs="Arial"/>
        </w:rPr>
        <w:lastRenderedPageBreak/>
        <w:t>Pública la experiencia es personal e intransferible, salvo algunas excepciones. Una primera excepción a la regla anteriormente descrita se encuentra consagrada en el numeral 2.5. del artículo 2.2.1.1.1.5.2. del Decreto 1082 de 2015, con arreglo al cual si bien para la inscripción, renovación o actualización del Registro Único de Proponentes (RUP) la persona jurídica interesada debe presentar ante la cámara de comercio respectiva los certificados de los bienes, obras o servicios cuya experiencia requiere acreditar, “Si la constitución del interesado es menor a tres (3) años, puede acreditar la experiencia de sus accionistas, socios o constituyentes”.</w:t>
      </w:r>
    </w:p>
    <w:p w14:paraId="28AF4EF5" w14:textId="77777777" w:rsidR="00423593" w:rsidRPr="00423593" w:rsidRDefault="00423593" w:rsidP="00423593">
      <w:pPr>
        <w:spacing w:after="0" w:line="276" w:lineRule="auto"/>
        <w:ind w:firstLine="709"/>
        <w:jc w:val="both"/>
        <w:rPr>
          <w:rFonts w:ascii="Century Gothic" w:eastAsia="Calibri" w:hAnsi="Century Gothic" w:cs="Arial"/>
        </w:rPr>
      </w:pPr>
      <w:r w:rsidRPr="00423593">
        <w:rPr>
          <w:rFonts w:ascii="Century Gothic" w:eastAsia="Calibri" w:hAnsi="Century Gothic" w:cs="Arial"/>
        </w:rPr>
        <w:t xml:space="preserve">Como segunda excepción al carácter intransferible de la experiencia puede mencionarse el caso de algunas reformas estatutarias de las personas jurídicas o de reorganización empresarial, en las que la persona jurídica no se liquida y por lo tanto puede transferir su experiencia a la persona jurídica resultante. En efecto, la Subdirección de Gestión Contractual, en el concepto C-002 del 20 de febrero de 2020, reiterado en los conceptos C-491 del 27 de julio de 2020, C-350 del 1 de junio de 2020, C-584 del 31 de agosto de 2020, C-002 del 9 de febrero de 2021, C-115 del 29 de marzo de 2021, C-343 del 13 de julio de 2021 y C-342 del 13 de julio de 2021, modificó la tesis que hasta ese momento había sostenido la Subdirección, en virtud de la cual se afirmaba que en las reformas estatutarias que implicaban una escisión o una fusión de las personas jurídicas no era posible la transferencia de la experiencia, ya que esta era personal e intransferible, según una interpretación del artículo 2.2.1.1.1.5.3. del Decreto 1082 de 2015, que establece que </w:t>
      </w:r>
      <w:bookmarkStart w:id="11" w:name="_Hlk113212671"/>
      <w:r w:rsidRPr="00423593">
        <w:rPr>
          <w:rFonts w:ascii="Century Gothic" w:eastAsia="Calibri" w:hAnsi="Century Gothic" w:cs="Arial"/>
        </w:rPr>
        <w:t xml:space="preserve">se debe verificar la experiencia de </w:t>
      </w:r>
      <w:bookmarkEnd w:id="11"/>
      <w:r w:rsidRPr="00423593">
        <w:rPr>
          <w:rFonts w:ascii="Century Gothic" w:eastAsia="Calibri" w:hAnsi="Century Gothic" w:cs="Arial"/>
        </w:rPr>
        <w:t>“los contratos celebrados por el interesado para cada uno de los bienes, obras y servicios que ofrecerá a las Entidades Estatales, identificados con el Clasificador de Bienes y Servicios en el tercer nivel y su valor expresado en SMMLV […]”. En el concepto C-002 de 2020, como se dijo, la Subdirección de Gestión Contractual modificó razonablemente dicho argumento, por considerar que de conformidad con la regulación aplicable y teniendo en cuenta los conceptos de “disolución” y “liquidación” del Código de Comercio, es viable la transferencia de experiencia en la transformación y en la fusión, pero no en la escisión,</w:t>
      </w:r>
      <w:bookmarkStart w:id="12" w:name="_Hlk113212692"/>
      <w:r w:rsidRPr="00423593">
        <w:rPr>
          <w:rFonts w:ascii="Century Gothic" w:eastAsia="Calibri" w:hAnsi="Century Gothic" w:cs="Arial"/>
        </w:rPr>
        <w:t xml:space="preserve"> tesis que se reitera en este concepto como a continuación se expone.</w:t>
      </w:r>
      <w:bookmarkEnd w:id="12"/>
    </w:p>
    <w:bookmarkEnd w:id="5"/>
    <w:p w14:paraId="6874E44B" w14:textId="77777777" w:rsidR="00423593" w:rsidRPr="00423593" w:rsidRDefault="00423593" w:rsidP="00423593">
      <w:pPr>
        <w:spacing w:after="0"/>
        <w:rPr>
          <w:rFonts w:ascii="Century Gothic" w:hAnsi="Century Gothic"/>
        </w:rPr>
      </w:pPr>
    </w:p>
    <w:p w14:paraId="67670289" w14:textId="77777777" w:rsidR="00423593" w:rsidRPr="00423593" w:rsidRDefault="00423593" w:rsidP="00423593">
      <w:pPr>
        <w:spacing w:after="0" w:line="276" w:lineRule="auto"/>
        <w:jc w:val="both"/>
        <w:rPr>
          <w:rFonts w:ascii="Century Gothic" w:eastAsia="Calibri" w:hAnsi="Century Gothic" w:cs="Arial"/>
          <w:b/>
        </w:rPr>
      </w:pPr>
      <w:r w:rsidRPr="00423593">
        <w:rPr>
          <w:rFonts w:ascii="Century Gothic" w:eastAsia="Calibri" w:hAnsi="Century Gothic" w:cs="Arial"/>
          <w:b/>
        </w:rPr>
        <w:t>2.2. Figuras y reformas estatutarias, y efectos sobre la experiencia de las sociedades comerciales</w:t>
      </w:r>
    </w:p>
    <w:p w14:paraId="75D9342F" w14:textId="77777777" w:rsidR="00423593" w:rsidRPr="00423593" w:rsidRDefault="00423593" w:rsidP="00423593">
      <w:pPr>
        <w:spacing w:after="0" w:line="276" w:lineRule="auto"/>
        <w:jc w:val="both"/>
        <w:rPr>
          <w:rFonts w:ascii="Century Gothic" w:eastAsia="Calibri" w:hAnsi="Century Gothic" w:cs="Arial"/>
          <w:b/>
        </w:rPr>
      </w:pPr>
    </w:p>
    <w:p w14:paraId="28B3D6ED" w14:textId="77777777" w:rsidR="00423593" w:rsidRPr="00423593" w:rsidRDefault="00423593" w:rsidP="00423593">
      <w:pPr>
        <w:spacing w:after="120" w:line="276" w:lineRule="auto"/>
        <w:jc w:val="both"/>
        <w:rPr>
          <w:rFonts w:ascii="Century Gothic" w:eastAsia="Calibri" w:hAnsi="Century Gothic" w:cs="Arial"/>
          <w:bCs/>
        </w:rPr>
      </w:pPr>
      <w:r w:rsidRPr="00423593">
        <w:rPr>
          <w:rFonts w:ascii="Century Gothic" w:eastAsia="Calibri" w:hAnsi="Century Gothic" w:cs="Arial"/>
          <w:bCs/>
        </w:rPr>
        <w:t xml:space="preserve">Antes de analizar las figuras y reformas estatutarias, es necesario aclarar dos conceptos respecto de las sociedades comerciales: i) “disolución” y </w:t>
      </w:r>
      <w:proofErr w:type="spellStart"/>
      <w:r w:rsidRPr="00423593">
        <w:rPr>
          <w:rFonts w:ascii="Century Gothic" w:eastAsia="Calibri" w:hAnsi="Century Gothic" w:cs="Arial"/>
          <w:bCs/>
        </w:rPr>
        <w:t>ii</w:t>
      </w:r>
      <w:proofErr w:type="spellEnd"/>
      <w:r w:rsidRPr="00423593">
        <w:rPr>
          <w:rFonts w:ascii="Century Gothic" w:eastAsia="Calibri" w:hAnsi="Century Gothic" w:cs="Arial"/>
          <w:bCs/>
        </w:rPr>
        <w:t xml:space="preserve">) “liquidación”, ya que se aplican a las figuras y reformas estatutarias, y tienen incidencia en la posibilidad de transferir o no la experiencia de una sociedad. </w:t>
      </w:r>
    </w:p>
    <w:p w14:paraId="164912A6" w14:textId="77777777" w:rsidR="00423593" w:rsidRPr="00423593" w:rsidRDefault="00423593" w:rsidP="00423593">
      <w:pPr>
        <w:spacing w:after="0" w:line="276" w:lineRule="auto"/>
        <w:ind w:firstLine="708"/>
        <w:jc w:val="both"/>
        <w:rPr>
          <w:rFonts w:ascii="Century Gothic" w:eastAsia="Calibri" w:hAnsi="Century Gothic" w:cs="Arial"/>
          <w:bCs/>
        </w:rPr>
      </w:pPr>
      <w:r w:rsidRPr="00423593">
        <w:rPr>
          <w:rFonts w:ascii="Century Gothic" w:eastAsia="Calibri" w:hAnsi="Century Gothic" w:cs="Arial"/>
          <w:bCs/>
        </w:rPr>
        <w:t>En primer lugar, el Código de Comercio señala, como efecto de la “disolución”, que la persona jurídica no desaparece, sino que conserva su capacidad jurídica, únicamente para “liquidarse” y para las operaciones o actos autorizados por la ley</w:t>
      </w:r>
      <w:r w:rsidRPr="00423593">
        <w:rPr>
          <w:rFonts w:ascii="Century Gothic" w:eastAsia="Calibri" w:hAnsi="Century Gothic" w:cs="Arial"/>
          <w:bCs/>
          <w:vertAlign w:val="superscript"/>
        </w:rPr>
        <w:footnoteReference w:id="12"/>
      </w:r>
      <w:r w:rsidRPr="00423593">
        <w:rPr>
          <w:rFonts w:ascii="Century Gothic" w:eastAsia="Calibri" w:hAnsi="Century Gothic" w:cs="Arial"/>
          <w:bCs/>
        </w:rPr>
        <w:t>, como las figuras y reformas estatutarias que se verán a continuación. Con esto se anticipa que, si la persona jurídica no desaparece, su experiencia se conserva y puede transferirse. Por el contrario, respecto de la “liquidación” de las sociedades comerciales, el Código de Comercio señala el procedimiento para realizar el inventario y distribución del patrimonio social, de lo cual se infiere que termina la persona jurídica</w:t>
      </w:r>
      <w:r w:rsidRPr="00423593">
        <w:rPr>
          <w:rFonts w:ascii="Century Gothic" w:eastAsia="Calibri" w:hAnsi="Century Gothic" w:cs="Arial"/>
          <w:bCs/>
          <w:vertAlign w:val="superscript"/>
        </w:rPr>
        <w:footnoteReference w:id="13"/>
      </w:r>
      <w:r w:rsidRPr="00423593">
        <w:rPr>
          <w:rFonts w:ascii="Century Gothic" w:eastAsia="Calibri" w:hAnsi="Century Gothic" w:cs="Arial"/>
          <w:bCs/>
        </w:rPr>
        <w:t xml:space="preserve"> y la experiencia desaparece junto con la sociedad que la adquirió.</w:t>
      </w:r>
    </w:p>
    <w:p w14:paraId="0C5D27E6" w14:textId="77777777" w:rsidR="00423593" w:rsidRPr="00423593" w:rsidRDefault="00423593" w:rsidP="00423593">
      <w:pPr>
        <w:spacing w:after="0" w:line="276" w:lineRule="auto"/>
        <w:jc w:val="both"/>
        <w:rPr>
          <w:rFonts w:ascii="Century Gothic" w:eastAsia="Calibri" w:hAnsi="Century Gothic" w:cs="Arial"/>
        </w:rPr>
      </w:pPr>
    </w:p>
    <w:p w14:paraId="6CD061DE" w14:textId="77777777" w:rsidR="00423593" w:rsidRPr="00423593" w:rsidRDefault="00423593" w:rsidP="00423593">
      <w:pPr>
        <w:spacing w:after="0" w:line="276" w:lineRule="auto"/>
        <w:jc w:val="both"/>
        <w:rPr>
          <w:rFonts w:ascii="Century Gothic" w:eastAsia="Calibri" w:hAnsi="Century Gothic" w:cs="Arial"/>
          <w:b/>
          <w:bCs/>
        </w:rPr>
      </w:pPr>
      <w:r w:rsidRPr="00423593">
        <w:rPr>
          <w:rFonts w:ascii="Century Gothic" w:eastAsia="Calibri" w:hAnsi="Century Gothic" w:cs="Arial"/>
          <w:b/>
          <w:bCs/>
        </w:rPr>
        <w:t>a) Transformación</w:t>
      </w:r>
    </w:p>
    <w:p w14:paraId="11476E26" w14:textId="77777777" w:rsidR="00423593" w:rsidRPr="00423593" w:rsidRDefault="00423593" w:rsidP="00423593">
      <w:pPr>
        <w:spacing w:after="0" w:line="276" w:lineRule="auto"/>
        <w:jc w:val="both"/>
        <w:rPr>
          <w:rFonts w:ascii="Century Gothic" w:eastAsia="Calibri" w:hAnsi="Century Gothic" w:cs="Arial"/>
          <w:b/>
          <w:bCs/>
        </w:rPr>
      </w:pPr>
    </w:p>
    <w:p w14:paraId="7C595BE0" w14:textId="77777777" w:rsidR="00423593" w:rsidRPr="00423593" w:rsidRDefault="00423593" w:rsidP="00423593">
      <w:pPr>
        <w:spacing w:after="120" w:line="276" w:lineRule="auto"/>
        <w:jc w:val="both"/>
        <w:rPr>
          <w:rFonts w:ascii="Century Gothic" w:eastAsia="Calibri" w:hAnsi="Century Gothic" w:cs="Arial"/>
        </w:rPr>
      </w:pPr>
      <w:r w:rsidRPr="00423593">
        <w:rPr>
          <w:rFonts w:ascii="Century Gothic" w:eastAsia="Calibri" w:hAnsi="Century Gothic" w:cs="Arial"/>
        </w:rPr>
        <w:t xml:space="preserve">Es una reforma a los estatutos de una sociedad comercial, en la cual se detalla la naturaleza jurídica, composición, estructura, capital, entre otros, con el propósito de transformar o cambiar la forma o tipo societario que adoptó, como sociedad anónima, limitada, en comandita, etc. Es decir, si una sociedad se crea como sociedad de responsabilidad limitada y, sin “disolverse”, decide adoptar la figura de sociedad anónima, lo podrá hacer mediante una reforma estatutaria, sin que </w:t>
      </w:r>
      <w:r w:rsidRPr="00423593">
        <w:rPr>
          <w:rFonts w:ascii="Century Gothic" w:eastAsia="Calibri" w:hAnsi="Century Gothic" w:cs="Arial"/>
        </w:rPr>
        <w:lastRenderedPageBreak/>
        <w:t>se interrumpa la continuidad de la sociedad comercial o persona jurídica</w:t>
      </w:r>
      <w:r w:rsidRPr="00423593">
        <w:rPr>
          <w:rFonts w:ascii="Century Gothic" w:eastAsia="Calibri" w:hAnsi="Century Gothic" w:cs="Arial"/>
          <w:vertAlign w:val="superscript"/>
        </w:rPr>
        <w:footnoteReference w:id="14"/>
      </w:r>
      <w:r w:rsidRPr="00423593">
        <w:rPr>
          <w:rFonts w:ascii="Century Gothic" w:eastAsia="Calibri" w:hAnsi="Century Gothic" w:cs="Arial"/>
        </w:rPr>
        <w:t>. Es importante destacar que en esta reforma estatutaria solo participa la sociedad involucrada, y no existen otras sociedades que se relacionen o intervengan, lo cual diferencia la transformación de otras reformas o figuras.</w:t>
      </w:r>
    </w:p>
    <w:p w14:paraId="0B26A9CC" w14:textId="77777777" w:rsidR="00423593" w:rsidRPr="00423593" w:rsidRDefault="00423593" w:rsidP="00423593">
      <w:pPr>
        <w:spacing w:after="0" w:line="276" w:lineRule="auto"/>
        <w:ind w:firstLine="708"/>
        <w:jc w:val="both"/>
        <w:rPr>
          <w:rFonts w:ascii="Century Gothic" w:eastAsia="Calibri" w:hAnsi="Century Gothic" w:cs="Arial"/>
        </w:rPr>
      </w:pPr>
      <w:r w:rsidRPr="00423593">
        <w:rPr>
          <w:rFonts w:ascii="Century Gothic" w:eastAsia="Calibri" w:hAnsi="Century Gothic" w:cs="Arial"/>
        </w:rPr>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 de acuerdo con el artículo 222 del Código de Comercio, para “liquidarse” necesita estar “disuelta”. De esta manera, solo cambia el tipo societario que había adoptado en su constitución, es decir, no sufre modificaciones o alteraciones y por eso puede continuar adquiriendo experiencia y compartirla, pero no puede trasladarla, porque para ello tendría que “disolverse” –o conformar un consorcio–, como se verá en la fusión y en una de las modalidades de escisión.  </w:t>
      </w:r>
    </w:p>
    <w:p w14:paraId="654CAFAE" w14:textId="77777777" w:rsidR="00423593" w:rsidRPr="00423593" w:rsidRDefault="00423593" w:rsidP="00423593">
      <w:pPr>
        <w:spacing w:after="0" w:line="276" w:lineRule="auto"/>
        <w:jc w:val="both"/>
        <w:rPr>
          <w:rFonts w:ascii="Century Gothic" w:eastAsia="Calibri" w:hAnsi="Century Gothic" w:cs="Arial"/>
          <w:b/>
          <w:bCs/>
        </w:rPr>
      </w:pPr>
    </w:p>
    <w:p w14:paraId="49FC855F" w14:textId="77777777" w:rsidR="00423593" w:rsidRPr="00423593" w:rsidRDefault="00423593" w:rsidP="00423593">
      <w:pPr>
        <w:spacing w:after="0" w:line="276" w:lineRule="auto"/>
        <w:jc w:val="both"/>
        <w:rPr>
          <w:rFonts w:ascii="Century Gothic" w:eastAsia="Calibri" w:hAnsi="Century Gothic" w:cs="Arial"/>
          <w:b/>
          <w:bCs/>
        </w:rPr>
      </w:pPr>
      <w:r w:rsidRPr="00423593">
        <w:rPr>
          <w:rFonts w:ascii="Century Gothic" w:eastAsia="Calibri" w:hAnsi="Century Gothic" w:cs="Arial"/>
          <w:b/>
          <w:bCs/>
        </w:rPr>
        <w:t>b) Escisión</w:t>
      </w:r>
    </w:p>
    <w:p w14:paraId="77955B36" w14:textId="77777777" w:rsidR="00423593" w:rsidRPr="00423593" w:rsidRDefault="00423593" w:rsidP="00423593">
      <w:pPr>
        <w:spacing w:after="0" w:line="276" w:lineRule="auto"/>
        <w:jc w:val="both"/>
        <w:rPr>
          <w:rFonts w:ascii="Century Gothic" w:eastAsia="Calibri" w:hAnsi="Century Gothic" w:cs="Arial"/>
          <w:b/>
          <w:bCs/>
        </w:rPr>
      </w:pPr>
    </w:p>
    <w:p w14:paraId="37D90E52" w14:textId="77777777" w:rsidR="00423593" w:rsidRPr="00423593" w:rsidRDefault="00423593" w:rsidP="00423593">
      <w:pPr>
        <w:spacing w:after="120" w:line="276" w:lineRule="auto"/>
        <w:jc w:val="both"/>
        <w:rPr>
          <w:rFonts w:ascii="Century Gothic" w:eastAsia="Calibri" w:hAnsi="Century Gothic" w:cs="Arial"/>
        </w:rPr>
      </w:pPr>
      <w:r w:rsidRPr="00423593">
        <w:rPr>
          <w:rFonts w:ascii="Century Gothic" w:eastAsia="Calibri" w:hAnsi="Century Gothic" w:cs="Arial"/>
        </w:rPr>
        <w:t xml:space="preserve">Es una figura con dos modalidades reguladas por la Ley 222 de 1995. La primera se refiere a una sociedad que no se “disuelve” ni se “liquida”, es decir, permanece sin modificaciones ni reformas, pero fracciona su patrimonio para transferir una o varias partes, a una o varias sociedades existentes o por crearse. En este caso, la escisión se refiere al patrimonio de la sociedad sin incluir ningún otro aspecto, lo cual significa que la sociedad continúa con un patrimonio reducido debido al fraccionamiento, pero no existe ninguna otra implicación para la persona jurídica, como su desaparición por “disolverse” o “liquidarse”, de acuerdo con lo mencionado sobre estos conceptos. En ese sentido, esta Subdirección considera </w:t>
      </w:r>
      <w:r w:rsidRPr="00423593">
        <w:rPr>
          <w:rFonts w:ascii="Century Gothic" w:eastAsia="Calibri" w:hAnsi="Century Gothic" w:cs="Arial"/>
        </w:rPr>
        <w:lastRenderedPageBreak/>
        <w:t xml:space="preserve">que las sociedades que reciben una parte del patrimonio de una sociedad que continúa existiendo, no reciben su experiencia, ya que no es posible que varias sociedades tengan la misma experiencia, duplicándola tantas veces se haya fraccionado el patrimonio, porque la experiencia pertenece a quien la adquirió ejecutando los contratos a su cargo. </w:t>
      </w:r>
    </w:p>
    <w:p w14:paraId="1D072241" w14:textId="77777777" w:rsidR="00423593" w:rsidRPr="00423593" w:rsidRDefault="00423593" w:rsidP="00423593">
      <w:pPr>
        <w:spacing w:after="120" w:line="276" w:lineRule="auto"/>
        <w:ind w:firstLine="708"/>
        <w:jc w:val="both"/>
        <w:rPr>
          <w:rFonts w:ascii="Century Gothic" w:eastAsia="Calibri" w:hAnsi="Century Gothic" w:cs="Arial"/>
        </w:rPr>
      </w:pPr>
      <w:r w:rsidRPr="00423593">
        <w:rPr>
          <w:rFonts w:ascii="Century Gothic" w:eastAsia="Calibri" w:hAnsi="Century Gothic" w:cs="Arial"/>
        </w:rPr>
        <w:t>La segunda modalidad se trata de una sociedad que se “disuelve” sin “liquidarse”, esto es, que implica una reforma social, lo cual no ocurre con la primera modalidad, y también existe fraccionamiento del patrimonio con el mismo fin</w:t>
      </w:r>
      <w:r w:rsidRPr="00423593">
        <w:rPr>
          <w:rFonts w:ascii="Century Gothic" w:eastAsia="Calibri" w:hAnsi="Century Gothic" w:cs="Arial"/>
          <w:vertAlign w:val="superscript"/>
        </w:rPr>
        <w:footnoteReference w:id="15"/>
      </w:r>
      <w:r w:rsidRPr="00423593">
        <w:rPr>
          <w:rFonts w:ascii="Century Gothic" w:eastAsia="Calibri" w:hAnsi="Century Gothic" w:cs="Arial"/>
        </w:rPr>
        <w:t xml:space="preserve">. Como se observa, participa una sociedad y otra, u otras, que reciben la transferencia del patrimonio en bloque. </w:t>
      </w:r>
    </w:p>
    <w:p w14:paraId="35B9CF83" w14:textId="77777777" w:rsidR="00423593" w:rsidRPr="00423593" w:rsidRDefault="00423593" w:rsidP="00423593">
      <w:pPr>
        <w:spacing w:before="120" w:after="120" w:line="276" w:lineRule="auto"/>
        <w:ind w:firstLine="708"/>
        <w:jc w:val="both"/>
        <w:rPr>
          <w:rFonts w:ascii="Century Gothic" w:eastAsia="Calibri" w:hAnsi="Century Gothic" w:cs="Arial"/>
        </w:rPr>
      </w:pPr>
      <w:r w:rsidRPr="00423593">
        <w:rPr>
          <w:rFonts w:ascii="Century Gothic" w:eastAsia="Calibri" w:hAnsi="Century Gothic" w:cs="Arial"/>
        </w:rPr>
        <w:t xml:space="preserve">Para la primera modalidad de escisión, teniendo en cuenta que la sociedad continúa sin alteraciones, esta puede compartir la experiencia a través de esquemas asociativos, pero no la transfiere, porque para ello tendría que “disolverse” sin “liquidarse”, puesto que la “liquidación” implicaría que desaparece la persona y así su experiencia. Para explicarlo, hay que retomar la definición de “disolución”, donde la persona jurídica no desaparece y solo puede hacer trámites para “liquidarse”. Sin embargo, hay una excepción a esa regla y es, precisamente, la de las figuras y reformas estatutarias que aquí se explican, particularmente la fusión, ya que por esa excepción la persona tiene continuidad en otra persona, y sigue siendo quien era, lo cual no es el caso de la escisión, ya que en la primera modalidad no existe “disolución”. Esto significa que la persona continúa por sí misma y puede adquirir experiencia, pero no puede transferirla porque le pertenece, al ser quien la adquirió. </w:t>
      </w:r>
    </w:p>
    <w:p w14:paraId="345A9B66" w14:textId="77777777" w:rsidR="00423593" w:rsidRPr="00423593" w:rsidRDefault="00423593" w:rsidP="00423593">
      <w:pPr>
        <w:spacing w:before="120" w:after="120" w:line="276" w:lineRule="auto"/>
        <w:ind w:firstLine="708"/>
        <w:jc w:val="both"/>
        <w:rPr>
          <w:rFonts w:ascii="Century Gothic" w:eastAsia="Calibri" w:hAnsi="Century Gothic" w:cs="Arial"/>
        </w:rPr>
      </w:pPr>
      <w:r w:rsidRPr="00423593">
        <w:rPr>
          <w:rFonts w:ascii="Century Gothic" w:eastAsia="Calibri" w:hAnsi="Century Gothic" w:cs="Arial"/>
        </w:rPr>
        <w:t xml:space="preserve">Por otro lado, a pesar de que en la segunda modalidad existe “disolución”, no hay transferencia de la experiencia porque la persona jurídica fraccionada deja de ser quien es y desaparece, quedando dividida en varias sociedades nuevas o </w:t>
      </w:r>
      <w:r w:rsidRPr="00423593">
        <w:rPr>
          <w:rFonts w:ascii="Century Gothic" w:eastAsia="Calibri" w:hAnsi="Century Gothic" w:cs="Arial"/>
        </w:rPr>
        <w:lastRenderedPageBreak/>
        <w:t xml:space="preserve">existentes que reciben su patrimonio, sin que sea posible determinar cuál de todas las sociedades que recibieron parte del patrimonio de la sociedad escindida tiene la experiencia.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 </w:t>
      </w:r>
    </w:p>
    <w:p w14:paraId="1308647C" w14:textId="77777777" w:rsidR="00423593" w:rsidRPr="00423593" w:rsidRDefault="00423593" w:rsidP="00423593">
      <w:pPr>
        <w:spacing w:after="0" w:line="276" w:lineRule="auto"/>
        <w:ind w:firstLine="709"/>
        <w:jc w:val="both"/>
        <w:rPr>
          <w:rFonts w:ascii="Century Gothic" w:eastAsia="Calibri" w:hAnsi="Century Gothic" w:cs="Arial"/>
        </w:rPr>
      </w:pPr>
      <w:r w:rsidRPr="00423593">
        <w:rPr>
          <w:rFonts w:ascii="Century Gothic" w:eastAsia="Calibri" w:hAnsi="Century Gothic" w:cs="Arial"/>
        </w:rPr>
        <w:t>Pero en la fusión, como se verá, a pesar de que la sociedad está “disuelta” y debería “liquidarse” para desaparecer, la ley permite que no desaparezca y tenga continuidad convertida en otra sociedad, por lo que, por expresa disposición legal, la sociedad puede no “liquidarse”, sino continuar a través de otra sociedad, porque así lo dispuso el legislador. Esto implica que se traslada la experiencia y no se comparte, porque compartir implica que siga existiendo como una persona individualmente considerada, pero como continúa a través de otra, lo que sucede es la transferencia de la experiencia.</w:t>
      </w:r>
    </w:p>
    <w:p w14:paraId="4403A703" w14:textId="77777777" w:rsidR="00423593" w:rsidRPr="00423593" w:rsidRDefault="00423593" w:rsidP="00423593">
      <w:pPr>
        <w:spacing w:after="0" w:line="276" w:lineRule="auto"/>
        <w:jc w:val="both"/>
        <w:rPr>
          <w:rFonts w:ascii="Century Gothic" w:eastAsia="Calibri" w:hAnsi="Century Gothic" w:cs="Arial"/>
        </w:rPr>
      </w:pPr>
    </w:p>
    <w:p w14:paraId="5B2B003F" w14:textId="77777777" w:rsidR="00423593" w:rsidRPr="00423593" w:rsidRDefault="00423593" w:rsidP="00423593">
      <w:pPr>
        <w:spacing w:after="0" w:line="276" w:lineRule="auto"/>
        <w:jc w:val="both"/>
        <w:rPr>
          <w:rFonts w:ascii="Century Gothic" w:eastAsia="Calibri" w:hAnsi="Century Gothic" w:cs="Arial"/>
          <w:b/>
          <w:bCs/>
        </w:rPr>
      </w:pPr>
      <w:r w:rsidRPr="00423593">
        <w:rPr>
          <w:rFonts w:ascii="Century Gothic" w:eastAsia="Calibri" w:hAnsi="Century Gothic" w:cs="Arial"/>
          <w:b/>
          <w:bCs/>
        </w:rPr>
        <w:t>c) Fusión</w:t>
      </w:r>
    </w:p>
    <w:p w14:paraId="1BB548C8" w14:textId="77777777" w:rsidR="00423593" w:rsidRPr="00423593" w:rsidRDefault="00423593" w:rsidP="00423593">
      <w:pPr>
        <w:spacing w:after="0" w:line="276" w:lineRule="auto"/>
        <w:jc w:val="both"/>
        <w:rPr>
          <w:rFonts w:ascii="Century Gothic" w:eastAsia="Calibri" w:hAnsi="Century Gothic" w:cs="Arial"/>
          <w:b/>
          <w:bCs/>
        </w:rPr>
      </w:pPr>
    </w:p>
    <w:p w14:paraId="14B5D69C" w14:textId="77777777" w:rsidR="00423593" w:rsidRPr="00423593" w:rsidRDefault="00423593" w:rsidP="00423593">
      <w:pPr>
        <w:spacing w:after="0" w:line="276" w:lineRule="auto"/>
        <w:jc w:val="both"/>
        <w:rPr>
          <w:rFonts w:ascii="Century Gothic" w:eastAsia="Calibri" w:hAnsi="Century Gothic" w:cs="Arial"/>
        </w:rPr>
      </w:pPr>
      <w:r w:rsidRPr="00423593">
        <w:rPr>
          <w:rFonts w:ascii="Century Gothic" w:eastAsia="Calibri" w:hAnsi="Century Gothic" w:cs="Arial"/>
        </w:rPr>
        <w:t xml:space="preserve">Es una figura con 4 tipologías: i) por absorción: una o más sociedades se “disuelven” sin “liquidarse” para ser absorbidas por otra existente; </w:t>
      </w:r>
      <w:proofErr w:type="spellStart"/>
      <w:r w:rsidRPr="00423593">
        <w:rPr>
          <w:rFonts w:ascii="Century Gothic" w:eastAsia="Calibri" w:hAnsi="Century Gothic" w:cs="Arial"/>
        </w:rPr>
        <w:t>ii</w:t>
      </w:r>
      <w:proofErr w:type="spellEnd"/>
      <w:r w:rsidRPr="00423593">
        <w:rPr>
          <w:rFonts w:ascii="Century Gothic" w:eastAsia="Calibri" w:hAnsi="Century Gothic" w:cs="Arial"/>
        </w:rPr>
        <w:t>) por creación: una o más sociedades se “disuelven” sin “liquidarse” para ser absorbidas por otra nueva</w:t>
      </w:r>
      <w:r w:rsidRPr="00423593">
        <w:rPr>
          <w:rFonts w:ascii="Century Gothic" w:eastAsia="Calibri" w:hAnsi="Century Gothic" w:cs="Arial"/>
          <w:vertAlign w:val="superscript"/>
        </w:rPr>
        <w:footnoteReference w:id="16"/>
      </w:r>
      <w:r w:rsidRPr="00423593">
        <w:rPr>
          <w:rFonts w:ascii="Century Gothic" w:eastAsia="Calibri" w:hAnsi="Century Gothic" w:cs="Arial"/>
        </w:rPr>
        <w:t xml:space="preserve">; </w:t>
      </w:r>
      <w:proofErr w:type="spellStart"/>
      <w:r w:rsidRPr="00423593">
        <w:rPr>
          <w:rFonts w:ascii="Century Gothic" w:eastAsia="Calibri" w:hAnsi="Century Gothic" w:cs="Arial"/>
        </w:rPr>
        <w:t>iii</w:t>
      </w:r>
      <w:proofErr w:type="spellEnd"/>
      <w:r w:rsidRPr="00423593">
        <w:rPr>
          <w:rFonts w:ascii="Century Gothic" w:eastAsia="Calibri" w:hAnsi="Century Gothic" w:cs="Arial"/>
        </w:rPr>
        <w:t>) impropia: una sociedad se “disuelve” sin el propósito de realizar una fusión sino de “liquidarse” y antes de la liquidación se toma la decisión de crear una sociedad</w:t>
      </w:r>
      <w:r w:rsidRPr="00423593">
        <w:rPr>
          <w:rFonts w:ascii="Century Gothic" w:eastAsia="Calibri" w:hAnsi="Century Gothic" w:cs="Arial"/>
          <w:vertAlign w:val="superscript"/>
        </w:rPr>
        <w:footnoteReference w:id="17"/>
      </w:r>
      <w:r w:rsidRPr="00423593">
        <w:rPr>
          <w:rFonts w:ascii="Century Gothic" w:eastAsia="Calibri" w:hAnsi="Century Gothic" w:cs="Arial"/>
        </w:rPr>
        <w:t xml:space="preserve">; </w:t>
      </w:r>
      <w:proofErr w:type="spellStart"/>
      <w:r w:rsidRPr="00423593">
        <w:rPr>
          <w:rFonts w:ascii="Century Gothic" w:eastAsia="Calibri" w:hAnsi="Century Gothic" w:cs="Arial"/>
        </w:rPr>
        <w:t>iv</w:t>
      </w:r>
      <w:proofErr w:type="spellEnd"/>
      <w:r w:rsidRPr="00423593">
        <w:rPr>
          <w:rFonts w:ascii="Century Gothic" w:eastAsia="Calibri" w:hAnsi="Century Gothic" w:cs="Arial"/>
        </w:rPr>
        <w:t xml:space="preserve">) abreviada: solo aplica cuando una Sociedad por Acciones Simplificada (S.A.S.) </w:t>
      </w:r>
      <w:r w:rsidRPr="00423593">
        <w:rPr>
          <w:rFonts w:ascii="Century Gothic" w:eastAsia="Calibri" w:hAnsi="Century Gothic" w:cs="Arial"/>
        </w:rPr>
        <w:lastRenderedPageBreak/>
        <w:t>pertenece a otra sociedad en más del 90% de sus acciones, y es posible que esa sociedad controlante absorba a la S.A.S, es decir, que ocurra una fusión por absorción</w:t>
      </w:r>
      <w:r w:rsidRPr="00423593">
        <w:rPr>
          <w:rFonts w:ascii="Century Gothic" w:eastAsia="Calibri" w:hAnsi="Century Gothic" w:cs="Arial"/>
          <w:vertAlign w:val="superscript"/>
        </w:rPr>
        <w:footnoteReference w:id="18"/>
      </w:r>
      <w:r w:rsidRPr="00423593">
        <w:rPr>
          <w:rFonts w:ascii="Century Gothic" w:eastAsia="Calibri" w:hAnsi="Century Gothic" w:cs="Arial"/>
        </w:rPr>
        <w:t>. La norma no se refiere a la “disolución de la S.A.S”, lo cual no implica que no exista fusión, sino que es abreviada porque no se requiere configurar el estado de “disolución” de la sociedad.</w:t>
      </w:r>
    </w:p>
    <w:p w14:paraId="1EF6C9C2" w14:textId="77777777" w:rsidR="00423593" w:rsidRPr="00423593" w:rsidRDefault="00423593" w:rsidP="00423593">
      <w:pPr>
        <w:spacing w:before="120" w:after="120" w:line="276" w:lineRule="auto"/>
        <w:ind w:firstLine="709"/>
        <w:jc w:val="both"/>
        <w:rPr>
          <w:rFonts w:ascii="Century Gothic" w:eastAsia="Calibri" w:hAnsi="Century Gothic" w:cs="Arial"/>
          <w:bCs/>
        </w:rPr>
      </w:pPr>
      <w:bookmarkStart w:id="13" w:name="_Hlk77271644"/>
      <w:r w:rsidRPr="00423593">
        <w:rPr>
          <w:rFonts w:ascii="Century Gothic" w:eastAsia="Calibri" w:hAnsi="Century Gothic" w:cs="Arial"/>
          <w:bCs/>
        </w:rPr>
        <w:t xml:space="preserve">Para analizar la fusión y sus efectos respecto de la experiencia de la sociedad que se </w:t>
      </w:r>
      <w:r w:rsidRPr="00423593">
        <w:rPr>
          <w:rFonts w:ascii="Century Gothic" w:eastAsia="Calibri" w:hAnsi="Century Gothic" w:cs="Arial"/>
        </w:rPr>
        <w:t>“</w:t>
      </w:r>
      <w:r w:rsidRPr="00423593">
        <w:rPr>
          <w:rFonts w:ascii="Century Gothic" w:eastAsia="Calibri" w:hAnsi="Century Gothic" w:cs="Arial"/>
          <w:bCs/>
        </w:rPr>
        <w:t xml:space="preserve">disuelve” pero no se </w:t>
      </w:r>
      <w:r w:rsidRPr="00423593">
        <w:rPr>
          <w:rFonts w:ascii="Century Gothic" w:eastAsia="Calibri" w:hAnsi="Century Gothic" w:cs="Arial"/>
        </w:rPr>
        <w:t>“l</w:t>
      </w:r>
      <w:r w:rsidRPr="00423593">
        <w:rPr>
          <w:rFonts w:ascii="Century Gothic" w:eastAsia="Calibri" w:hAnsi="Century Gothic" w:cs="Arial"/>
          <w:bCs/>
        </w:rPr>
        <w:t xml:space="preserve">iquida”, es necesario reiterar la explicación dada respecto de la segunda modalidad de escisión, y es que siempre que la sociedad no se liquide, es decir, que no desaparezca, la experiencia puede ser trasladada y no compartida. Lo anterior, toda vez que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La experiencia no se comparte, porque para esto la sociedad debería continuar individualmente considerada, pero en este evento continúa a través de otra, a quien le </w:t>
      </w:r>
      <w:r w:rsidRPr="00423593">
        <w:rPr>
          <w:rFonts w:ascii="Century Gothic" w:eastAsia="Calibri" w:hAnsi="Century Gothic" w:cs="Arial"/>
          <w:bCs/>
          <w:i/>
          <w:iCs/>
        </w:rPr>
        <w:t>transfiere</w:t>
      </w:r>
      <w:r w:rsidRPr="00423593">
        <w:rPr>
          <w:rFonts w:ascii="Century Gothic" w:eastAsia="Calibri" w:hAnsi="Century Gothic" w:cs="Arial"/>
          <w:bCs/>
        </w:rPr>
        <w:t xml:space="preserve"> su experiencia y todos sus derechos y obligaciones, de conformidad con el artículo 172 y siguientes del Código de Comercio.</w:t>
      </w:r>
    </w:p>
    <w:bookmarkEnd w:id="13"/>
    <w:p w14:paraId="7CA6DBF5" w14:textId="77777777" w:rsidR="00423593" w:rsidRPr="00423593" w:rsidRDefault="00423593" w:rsidP="00423593">
      <w:pPr>
        <w:spacing w:before="120" w:after="120" w:line="276" w:lineRule="auto"/>
        <w:ind w:firstLine="709"/>
        <w:jc w:val="both"/>
        <w:rPr>
          <w:rFonts w:ascii="Century Gothic" w:eastAsia="Calibri" w:hAnsi="Century Gothic" w:cs="Arial"/>
          <w:bCs/>
        </w:rPr>
      </w:pPr>
      <w:r w:rsidRPr="00423593">
        <w:rPr>
          <w:rFonts w:ascii="Century Gothic" w:eastAsia="Calibri" w:hAnsi="Century Gothic" w:cs="Arial"/>
          <w:bCs/>
        </w:rPr>
        <w:t xml:space="preserve">La anterior conclusión es coherente con lo establecido en la Guía de Asuntos Corporativos en los Procesos de Contratación, expedida por la Agencia Nacional de Contratación Pública – Colombia Compra Eficiente, pues en ella se dice que “La experiencia de las personas jurídicas es de carácter personal y en principio es intransferible. Por lo tanto, no es posible trasladar la experiencia de un proponente a otro en eventos de escisión o liquidación de una persona jurídica, ni que la experiencia sea enajenada por una persona jurídica en favor de otra persona jurídica o natural”. Obsérvese que la Guía no establece que la experiencia es </w:t>
      </w:r>
      <w:r w:rsidRPr="00423593">
        <w:rPr>
          <w:rFonts w:ascii="Century Gothic" w:eastAsia="Calibri" w:hAnsi="Century Gothic" w:cs="Arial"/>
          <w:bCs/>
        </w:rPr>
        <w:lastRenderedPageBreak/>
        <w:t xml:space="preserve">“siempre” intransferible, sino que sostiene que ello es así “en principio”. Además, precisa que no es posible transferir la experiencia en la escisión y en la liquidación, justamente porque en esos casos la persona jurídica desaparece, lo que no sucede en la fusión. Es decir que en este supuesto sí es posible la transferencia de la experiencia de la sociedad fusionada a la resultante. </w:t>
      </w:r>
    </w:p>
    <w:p w14:paraId="285146F5" w14:textId="77777777" w:rsidR="00423593" w:rsidRPr="00423593" w:rsidRDefault="00423593" w:rsidP="00423593">
      <w:pPr>
        <w:spacing w:after="0" w:line="276" w:lineRule="auto"/>
        <w:ind w:firstLine="708"/>
        <w:jc w:val="both"/>
        <w:rPr>
          <w:rFonts w:ascii="Century Gothic" w:eastAsia="Calibri" w:hAnsi="Century Gothic" w:cs="Arial"/>
          <w:bCs/>
        </w:rPr>
      </w:pPr>
      <w:r w:rsidRPr="00423593">
        <w:rPr>
          <w:rFonts w:ascii="Century Gothic" w:eastAsia="Calibri" w:hAnsi="Century Gothic" w:cs="Arial"/>
          <w:bCs/>
        </w:rPr>
        <w:t>Esta postura en torno a la validez de la transferencia de experiencia de la sociedad absorbida a la absorbente es compartida por la Superintendencia de Sociedades. Dicha entidad, en ejercicio de la función consultiva, ha manifestado que en esta figura es adecuada que la sociedad absorbida transfiera a la segunda sus atributos en lo relacionado con la experiencia</w:t>
      </w:r>
      <w:r w:rsidRPr="00423593">
        <w:rPr>
          <w:rFonts w:ascii="Century Gothic" w:eastAsia="Calibri" w:hAnsi="Century Gothic" w:cs="Arial"/>
          <w:bCs/>
          <w:vertAlign w:val="superscript"/>
        </w:rPr>
        <w:footnoteReference w:id="19"/>
      </w:r>
      <w:r w:rsidRPr="00423593">
        <w:rPr>
          <w:rFonts w:ascii="Century Gothic" w:eastAsia="Calibri" w:hAnsi="Century Gothic" w:cs="Arial"/>
          <w:bCs/>
        </w:rPr>
        <w:t xml:space="preserve">. Al respecto se ha manifestado: </w:t>
      </w:r>
    </w:p>
    <w:p w14:paraId="511BEFB5" w14:textId="77777777" w:rsidR="00423593" w:rsidRPr="00423593" w:rsidRDefault="00423593" w:rsidP="00423593">
      <w:pPr>
        <w:spacing w:after="0"/>
        <w:ind w:right="709"/>
        <w:jc w:val="both"/>
        <w:rPr>
          <w:rFonts w:ascii="Century Gothic" w:hAnsi="Century Gothic" w:cs="Arial"/>
        </w:rPr>
      </w:pPr>
    </w:p>
    <w:p w14:paraId="37C7D044" w14:textId="77777777" w:rsidR="00423593" w:rsidRPr="00423593" w:rsidRDefault="00423593" w:rsidP="00423593">
      <w:pPr>
        <w:spacing w:after="0" w:line="240" w:lineRule="auto"/>
        <w:ind w:left="709" w:right="709"/>
        <w:jc w:val="both"/>
        <w:rPr>
          <w:rFonts w:ascii="Century Gothic" w:hAnsi="Century Gothic" w:cs="Arial"/>
          <w:sz w:val="21"/>
          <w:szCs w:val="21"/>
        </w:rPr>
      </w:pPr>
      <w:r w:rsidRPr="00423593">
        <w:rPr>
          <w:rFonts w:ascii="Century Gothic" w:hAnsi="Century Gothic" w:cs="Arial"/>
          <w:sz w:val="21"/>
          <w:szCs w:val="21"/>
        </w:rPr>
        <w:t xml:space="preserve">La fusión surge como el mecanismo pertinente para que los atributos de las compañías absorbidas, sean aprovechados por la compañía que las absorbe, entre éstos, la experiencia derivada de las obras cumplidas, bienes suministrados o servicios prestados durante la vigencia de la absorbida.  Por supuesto, frente a la normatividad alusiva a la contratación estatal, considera este despacho que resulta discrecional para la entidad estatal contratante coincidir, o no, con esta oficina en el sentido anotado y habilitar como proponente, para considerar su propuesta, a aquellos quienes, en virtud de su calidad de absorbentes, aprovechan todos los recursos que le fueron transmitidos por las absorbidas, incluidos intangibles como su experiencia, </w:t>
      </w:r>
      <w:proofErr w:type="spellStart"/>
      <w:r w:rsidRPr="00423593">
        <w:rPr>
          <w:rFonts w:ascii="Century Gothic" w:hAnsi="Century Gothic" w:cs="Arial"/>
          <w:sz w:val="21"/>
          <w:szCs w:val="21"/>
        </w:rPr>
        <w:t>Know</w:t>
      </w:r>
      <w:proofErr w:type="spellEnd"/>
      <w:r w:rsidRPr="00423593">
        <w:rPr>
          <w:rFonts w:ascii="Century Gothic" w:hAnsi="Century Gothic" w:cs="Arial"/>
          <w:sz w:val="21"/>
          <w:szCs w:val="21"/>
        </w:rPr>
        <w:t xml:space="preserve"> </w:t>
      </w:r>
      <w:proofErr w:type="spellStart"/>
      <w:r w:rsidRPr="00423593">
        <w:rPr>
          <w:rFonts w:ascii="Century Gothic" w:hAnsi="Century Gothic" w:cs="Arial"/>
          <w:sz w:val="21"/>
          <w:szCs w:val="21"/>
        </w:rPr>
        <w:t>How</w:t>
      </w:r>
      <w:proofErr w:type="spellEnd"/>
      <w:r w:rsidRPr="00423593">
        <w:rPr>
          <w:rFonts w:ascii="Century Gothic" w:hAnsi="Century Gothic" w:cs="Arial"/>
          <w:sz w:val="21"/>
          <w:szCs w:val="21"/>
        </w:rPr>
        <w:t>, entre otros.</w:t>
      </w:r>
    </w:p>
    <w:p w14:paraId="078D8E8F" w14:textId="77777777" w:rsidR="00423593" w:rsidRPr="00423593" w:rsidRDefault="00423593" w:rsidP="00423593">
      <w:pPr>
        <w:spacing w:after="0" w:line="240" w:lineRule="auto"/>
        <w:ind w:left="709" w:right="709"/>
        <w:jc w:val="both"/>
        <w:rPr>
          <w:rFonts w:ascii="Century Gothic" w:hAnsi="Century Gothic" w:cs="Arial"/>
          <w:sz w:val="21"/>
          <w:szCs w:val="21"/>
        </w:rPr>
      </w:pPr>
      <w:r w:rsidRPr="00423593">
        <w:rPr>
          <w:rFonts w:ascii="Century Gothic" w:hAnsi="Century Gothic" w:cs="Arial"/>
          <w:sz w:val="21"/>
          <w:szCs w:val="21"/>
        </w:rPr>
        <w:t>[…]</w:t>
      </w:r>
    </w:p>
    <w:p w14:paraId="5CA2ACDC" w14:textId="77777777" w:rsidR="00423593" w:rsidRPr="00423593" w:rsidRDefault="00423593" w:rsidP="00423593">
      <w:pPr>
        <w:spacing w:after="0" w:line="240" w:lineRule="auto"/>
        <w:ind w:left="709" w:right="709"/>
        <w:jc w:val="both"/>
        <w:rPr>
          <w:rFonts w:ascii="Century Gothic" w:hAnsi="Century Gothic" w:cs="Arial"/>
          <w:sz w:val="21"/>
          <w:szCs w:val="21"/>
        </w:rPr>
      </w:pPr>
      <w:r w:rsidRPr="00423593">
        <w:rPr>
          <w:rFonts w:ascii="Century Gothic" w:hAnsi="Century Gothic" w:cs="Arial"/>
          <w:sz w:val="21"/>
          <w:szCs w:val="21"/>
        </w:rPr>
        <w:t xml:space="preserve">En cuanto refiere a </w:t>
      </w:r>
      <w:r w:rsidRPr="00423593">
        <w:rPr>
          <w:rFonts w:ascii="Century Gothic" w:hAnsi="Century Gothic" w:cs="Arial"/>
          <w:i/>
          <w:iCs/>
          <w:sz w:val="21"/>
          <w:szCs w:val="21"/>
          <w:u w:val="single"/>
        </w:rPr>
        <w:t xml:space="preserve">la certificación que sobre la experiencia de un proponente, expiden las cámaras de comercio a través del Registro Único de Proponentes que administran, esta oficina considera que la normativa a que se ha venido aludiendo no reguló, pero tampoco prohibió, otras situaciones de transferencia de experiencia como la que se presenta con la fusión, </w:t>
      </w:r>
      <w:r w:rsidRPr="00423593">
        <w:rPr>
          <w:rFonts w:ascii="Century Gothic" w:hAnsi="Century Gothic" w:cs="Arial"/>
          <w:sz w:val="21"/>
          <w:szCs w:val="21"/>
        </w:rPr>
        <w:t>por lo que la considera válida para efecto de ser invocada por la absorbente, a través del certificado que le expida la cámara de comercio con base en la información depositada en el Registro Único de Proponentes, RUP</w:t>
      </w:r>
      <w:r w:rsidRPr="00423593">
        <w:rPr>
          <w:rFonts w:ascii="Century Gothic" w:hAnsi="Century Gothic" w:cs="Arial"/>
          <w:sz w:val="21"/>
          <w:szCs w:val="21"/>
          <w:vertAlign w:val="superscript"/>
        </w:rPr>
        <w:footnoteReference w:id="20"/>
      </w:r>
      <w:r w:rsidRPr="00423593">
        <w:rPr>
          <w:rFonts w:ascii="Century Gothic" w:hAnsi="Century Gothic" w:cs="Arial"/>
          <w:sz w:val="21"/>
          <w:szCs w:val="21"/>
        </w:rPr>
        <w:t>. (Énfasis fuera de texto).</w:t>
      </w:r>
    </w:p>
    <w:p w14:paraId="67CE5481" w14:textId="77777777" w:rsidR="00423593" w:rsidRPr="00423593" w:rsidRDefault="00423593" w:rsidP="00423593">
      <w:pPr>
        <w:spacing w:after="0" w:line="276" w:lineRule="auto"/>
        <w:ind w:left="709" w:right="709"/>
        <w:jc w:val="both"/>
        <w:rPr>
          <w:rFonts w:ascii="Century Gothic" w:hAnsi="Century Gothic" w:cs="Arial"/>
        </w:rPr>
      </w:pPr>
    </w:p>
    <w:p w14:paraId="718CB7DF" w14:textId="77777777" w:rsidR="00423593" w:rsidRPr="00423593" w:rsidRDefault="00423593" w:rsidP="00423593">
      <w:pPr>
        <w:spacing w:after="120" w:line="276" w:lineRule="auto"/>
        <w:ind w:firstLine="709"/>
        <w:jc w:val="both"/>
        <w:rPr>
          <w:rFonts w:ascii="Century Gothic" w:hAnsi="Century Gothic" w:cs="Arial"/>
          <w:color w:val="000000"/>
        </w:rPr>
      </w:pPr>
      <w:r w:rsidRPr="00423593">
        <w:rPr>
          <w:rFonts w:ascii="Century Gothic" w:eastAsia="Calibri" w:hAnsi="Century Gothic" w:cs="Arial"/>
          <w:bCs/>
        </w:rPr>
        <w:lastRenderedPageBreak/>
        <w:t>En efecto, el artículo 2.2.1.1.1.5.3 del Decreto 1082 de 2015 hace referencia a que las cámaras de comercio deberán registrar la experiencia certificada con base en los “</w:t>
      </w:r>
      <w:r w:rsidRPr="00423593">
        <w:rPr>
          <w:rFonts w:ascii="Century Gothic" w:hAnsi="Century Gothic" w:cs="Arial"/>
          <w:color w:val="000000"/>
        </w:rPr>
        <w:t xml:space="preserve">Los contratos celebrados por el interesado” y “Los contratos celebrados por consorcios, uniones temporales y sociedades en las cuales el interesado tenga o haya tenido participación”, sin hacer alusión a las diferentes reformas estatutarias que podrían amparar la transferencia de experiencia conforme a lo explicado </w:t>
      </w:r>
      <w:r w:rsidRPr="00423593">
        <w:rPr>
          <w:rFonts w:ascii="Century Gothic" w:hAnsi="Century Gothic" w:cs="Arial"/>
          <w:i/>
          <w:iCs/>
          <w:color w:val="000000"/>
        </w:rPr>
        <w:t>supra</w:t>
      </w:r>
      <w:r w:rsidRPr="00423593">
        <w:rPr>
          <w:rFonts w:ascii="Century Gothic" w:hAnsi="Century Gothic" w:cs="Arial"/>
          <w:i/>
          <w:iCs/>
          <w:color w:val="000000"/>
          <w:vertAlign w:val="superscript"/>
        </w:rPr>
        <w:footnoteReference w:id="21"/>
      </w:r>
      <w:r w:rsidRPr="00423593">
        <w:rPr>
          <w:rFonts w:ascii="Century Gothic" w:hAnsi="Century Gothic" w:cs="Arial"/>
          <w:color w:val="000000"/>
        </w:rPr>
        <w:t xml:space="preserve">. Caso contario ocurre con la posibilidad de que una sociedad, durante los primeros tres (3) años de su constitución–e incluso después– pueda acreditar como suya la experiencia de socios, supuesto regulado por el numeral 2.5 del artículo 2.2.1.1.1.5.2 del Decreto 1082 de 2015. </w:t>
      </w:r>
    </w:p>
    <w:p w14:paraId="3E76CC24" w14:textId="77777777" w:rsidR="00423593" w:rsidRPr="00423593" w:rsidRDefault="00423593" w:rsidP="00423593">
      <w:pPr>
        <w:spacing w:after="0" w:line="276" w:lineRule="auto"/>
        <w:ind w:firstLine="708"/>
        <w:jc w:val="both"/>
        <w:rPr>
          <w:rFonts w:ascii="Century Gothic" w:hAnsi="Century Gothic" w:cs="Arial"/>
          <w:color w:val="000000"/>
        </w:rPr>
      </w:pPr>
      <w:r w:rsidRPr="00423593">
        <w:rPr>
          <w:rFonts w:ascii="Century Gothic" w:hAnsi="Century Gothic" w:cs="Arial"/>
          <w:color w:val="000000"/>
        </w:rPr>
        <w:t xml:space="preserve">En ese sentido, considerando que el RUP es el documento que constituye plena prueba de la experiencia adquirida por el proponente, es necesario que la experiencia de la sociedad absorbida quede incorporada en el RUP de la absorbente para que esta pueda acreditarla. Esto implica que la sociedad absorbente haya adelantado el respectivo trámite de actualización o renovación del RUP, en el marco del cual se haya consolidado la transferencia de experiencia. </w:t>
      </w:r>
      <w:r w:rsidRPr="00423593">
        <w:rPr>
          <w:rFonts w:ascii="Century Gothic" w:hAnsi="Century Gothic" w:cs="Arial"/>
          <w:bCs/>
          <w:color w:val="000000"/>
        </w:rPr>
        <w:t xml:space="preserve">Para estos efectos, el proponente debe realizar el trámite pertinente ante la cámara de comercio </w:t>
      </w:r>
      <w:r w:rsidRPr="00423593">
        <w:rPr>
          <w:rFonts w:ascii="Century Gothic" w:hAnsi="Century Gothic" w:cs="Arial"/>
          <w:color w:val="000000"/>
        </w:rPr>
        <w:t xml:space="preserve">con copia de los contratos o con certificados de los contratos celebrados con diferentes contratantes y los demás documentos requeridos por dicha entidad. Tales contratos deben codificarse con el clasificador de bienes y servicios en el tercer nivel, como se explicó anteriormente. </w:t>
      </w:r>
    </w:p>
    <w:p w14:paraId="6E824ABB" w14:textId="77777777" w:rsidR="00423593" w:rsidRPr="00423593" w:rsidRDefault="00423593" w:rsidP="00423593">
      <w:pPr>
        <w:spacing w:after="0" w:line="276" w:lineRule="auto"/>
        <w:ind w:firstLine="708"/>
        <w:jc w:val="both"/>
        <w:rPr>
          <w:rFonts w:ascii="Century Gothic" w:hAnsi="Century Gothic" w:cs="Arial"/>
          <w:color w:val="000000"/>
        </w:rPr>
      </w:pPr>
    </w:p>
    <w:p w14:paraId="1779D6FB" w14:textId="12220A51" w:rsidR="00423593" w:rsidRPr="00423593" w:rsidRDefault="00423593" w:rsidP="00423593">
      <w:pPr>
        <w:spacing w:after="0" w:line="276" w:lineRule="auto"/>
        <w:jc w:val="both"/>
        <w:rPr>
          <w:rFonts w:ascii="Century Gothic" w:hAnsi="Century Gothic" w:cs="Arial"/>
          <w:b/>
          <w:color w:val="000000"/>
        </w:rPr>
      </w:pPr>
      <w:r w:rsidRPr="00423593">
        <w:rPr>
          <w:rFonts w:ascii="Century Gothic" w:hAnsi="Century Gothic" w:cs="Arial"/>
          <w:b/>
          <w:color w:val="000000"/>
        </w:rPr>
        <w:t>2.3. Acreditación de experiencia de socios por parte de sociedades con menos de tres (3) años de constitución</w:t>
      </w:r>
      <w:r w:rsidR="0077752A">
        <w:rPr>
          <w:rFonts w:ascii="Century Gothic" w:hAnsi="Century Gothic" w:cs="Arial"/>
          <w:b/>
          <w:color w:val="000000"/>
        </w:rPr>
        <w:t xml:space="preserve">. Reiteración de línea </w:t>
      </w:r>
    </w:p>
    <w:p w14:paraId="38391627" w14:textId="77777777" w:rsidR="00423593" w:rsidRPr="00423593" w:rsidRDefault="00423593" w:rsidP="00423593">
      <w:pPr>
        <w:spacing w:after="0" w:line="276" w:lineRule="auto"/>
        <w:jc w:val="both"/>
        <w:rPr>
          <w:rFonts w:ascii="Century Gothic" w:hAnsi="Century Gothic" w:cs="Arial"/>
          <w:b/>
          <w:color w:val="000000"/>
        </w:rPr>
      </w:pPr>
    </w:p>
    <w:p w14:paraId="7BCDF915" w14:textId="77777777" w:rsidR="0077752A" w:rsidRPr="004C305D" w:rsidRDefault="0077752A" w:rsidP="0077752A">
      <w:pPr>
        <w:spacing w:after="0" w:line="276" w:lineRule="auto"/>
        <w:jc w:val="both"/>
        <w:rPr>
          <w:rFonts w:ascii="Century Gothic" w:eastAsia="Arial" w:hAnsi="Century Gothic" w:cs="Arial"/>
        </w:rPr>
      </w:pPr>
      <w:r w:rsidRPr="004C305D">
        <w:rPr>
          <w:rFonts w:ascii="Century Gothic" w:eastAsia="Arial" w:hAnsi="Century Gothic" w:cs="Arial"/>
        </w:rPr>
        <w:t xml:space="preserve">El artículo 5 de la Ley 1150 de 2007 dispone que la capacidad jurídica y las condiciones de experiencia, capacidad financiera y organización de los </w:t>
      </w:r>
      <w:r w:rsidRPr="004C305D">
        <w:rPr>
          <w:rFonts w:ascii="Century Gothic" w:eastAsia="Arial" w:hAnsi="Century Gothic" w:cs="Arial"/>
        </w:rPr>
        <w:lastRenderedPageBreak/>
        <w:t xml:space="preserve">proponentes serán objeto de verificación por parte de las Entidades Estatales como requisitos habilitantes para participar en los procesos de selección y no otorgarán puntaje. Lo anterior con excepción de la selección de consultores mediante un concurso de méritos, donde es posible otorgan puntaje al criterio de experiencia. </w:t>
      </w:r>
    </w:p>
    <w:p w14:paraId="27D99237" w14:textId="77777777" w:rsidR="0077752A" w:rsidRPr="004C305D" w:rsidRDefault="0077752A" w:rsidP="0077752A">
      <w:pPr>
        <w:spacing w:before="120" w:after="0" w:line="276" w:lineRule="auto"/>
        <w:jc w:val="both"/>
        <w:rPr>
          <w:rFonts w:ascii="Century Gothic" w:eastAsia="Arial" w:hAnsi="Century Gothic" w:cs="Arial"/>
        </w:rPr>
      </w:pPr>
      <w:r w:rsidRPr="004C305D">
        <w:rPr>
          <w:rFonts w:ascii="Century Gothic" w:eastAsia="Arial" w:hAnsi="Century Gothic" w:cs="Arial"/>
        </w:rPr>
        <w:tab/>
        <w:t>Por su parte, conforme lo expuesto en el numeral anterior de este concepto, el artículo 6 de la Ley 1150 de 2007 señala que todas las personas naturales o jurídicas, nacionales o extranjeras, domiciliadas o con sucursal en Colombia, que aspiren celebrar contratos con las Entidades deberán estar inscritas en el RUP.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60CB1DEC" w14:textId="77777777" w:rsidR="0077752A" w:rsidRPr="004C305D" w:rsidRDefault="0077752A" w:rsidP="0077752A">
      <w:pPr>
        <w:spacing w:before="120" w:after="120" w:line="276" w:lineRule="auto"/>
        <w:ind w:firstLine="709"/>
        <w:jc w:val="both"/>
        <w:rPr>
          <w:rFonts w:ascii="Century Gothic" w:eastAsia="Calibri" w:hAnsi="Century Gothic" w:cs="Arial"/>
          <w:color w:val="000000" w:themeColor="text1"/>
        </w:rPr>
      </w:pPr>
      <w:r w:rsidRPr="004C305D">
        <w:rPr>
          <w:rFonts w:ascii="Century Gothic" w:eastAsia="Calibri" w:hAnsi="Century Gothic" w:cs="Arial"/>
          <w:color w:val="000000" w:themeColor="text1"/>
        </w:rPr>
        <w:t>El numeral 2.1 del artículo 2.2.1.1.1.5.2 del Decreto 1082 de 2015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4C305D">
        <w:rPr>
          <w:rFonts w:ascii="Century Gothic" w:eastAsia="Calibri" w:hAnsi="Century Gothic" w:cs="Arial"/>
          <w:color w:val="000000" w:themeColor="text1"/>
          <w:vertAlign w:val="superscript"/>
        </w:rPr>
        <w:footnoteReference w:id="22"/>
      </w:r>
      <w:r w:rsidRPr="004C305D">
        <w:rPr>
          <w:rFonts w:ascii="Century Gothic" w:eastAsia="Calibri" w:hAnsi="Century Gothic" w:cs="Arial"/>
          <w:color w:val="000000" w:themeColor="text1"/>
        </w:rPr>
        <w:t>. De la misma forma, el numeral 2.5. ibidem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w:t>
      </w:r>
      <w:r w:rsidRPr="004C305D">
        <w:rPr>
          <w:rFonts w:ascii="Century Gothic" w:eastAsia="Calibri" w:hAnsi="Century Gothic" w:cs="Arial"/>
          <w:color w:val="000000" w:themeColor="text1"/>
          <w:vertAlign w:val="superscript"/>
        </w:rPr>
        <w:footnoteReference w:id="23"/>
      </w:r>
      <w:r w:rsidRPr="004C305D">
        <w:rPr>
          <w:rFonts w:ascii="Century Gothic" w:eastAsia="Calibri" w:hAnsi="Century Gothic" w:cs="Arial"/>
          <w:color w:val="000000" w:themeColor="text1"/>
        </w:rPr>
        <w:t>.</w:t>
      </w:r>
    </w:p>
    <w:p w14:paraId="6B47CDAF" w14:textId="77777777" w:rsidR="0077752A" w:rsidRPr="004C305D" w:rsidRDefault="0077752A" w:rsidP="0077752A">
      <w:pPr>
        <w:spacing w:before="120" w:after="120" w:line="276" w:lineRule="auto"/>
        <w:ind w:firstLine="709"/>
        <w:jc w:val="both"/>
        <w:rPr>
          <w:rFonts w:ascii="Century Gothic" w:eastAsia="Calibri" w:hAnsi="Century Gothic" w:cs="Arial"/>
          <w:color w:val="000000" w:themeColor="text1"/>
        </w:rPr>
      </w:pPr>
      <w:r w:rsidRPr="004C305D">
        <w:rPr>
          <w:rFonts w:ascii="Century Gothic" w:eastAsia="Calibri" w:hAnsi="Century Gothic" w:cs="Arial"/>
          <w:color w:val="000000" w:themeColor="text1"/>
        </w:rPr>
        <w:lastRenderedPageBreak/>
        <w:t>El interesado debe indicar en cada certificado, o en cada copia de los contratos, los bienes, obras y servicios a los cuales corresponde la experiencia que pretende acreditar, identificándolos con el Clasificador de Bienes y Servicios, en el tercer nivel. La parte final de ese numeral 2.5. indica que “Si la constitución del interesado es menor a tres (3) años, puede acreditar la experiencia de sus accionistas, socios o constituyentes”. De este modo, se evidencia que, la parte final del numeral 2.5 del artículo citado incluye una medida diferenciada para las personas jurídicas cuya constitución sea menor a tres (3) años al momento del registro. Esta prerrogativa, que puede entenderse como una medida de fomento a la participación de pequeños oferentes en la contratación estatal, permite que las sociedades relativamente nuevas ─con menos de tres (3) años de constitución─ puedan acreditar como experiencia en el RUP la de sus accionistas, socios o constituyentes.</w:t>
      </w:r>
    </w:p>
    <w:p w14:paraId="3CAAA271" w14:textId="77777777" w:rsidR="0077752A" w:rsidRPr="004C305D" w:rsidRDefault="0077752A" w:rsidP="0077752A">
      <w:pPr>
        <w:spacing w:before="120" w:after="120" w:line="276" w:lineRule="auto"/>
        <w:ind w:firstLine="709"/>
        <w:jc w:val="both"/>
        <w:rPr>
          <w:rFonts w:ascii="Century Gothic" w:eastAsia="Calibri" w:hAnsi="Century Gothic" w:cs="Arial"/>
          <w:color w:val="000000" w:themeColor="text1"/>
        </w:rPr>
      </w:pPr>
      <w:r w:rsidRPr="004C305D">
        <w:rPr>
          <w:rFonts w:ascii="Century Gothic" w:eastAsia="Calibri" w:hAnsi="Century Gothic" w:cs="Arial"/>
          <w:color w:val="000000" w:themeColor="text1"/>
        </w:rPr>
        <w:t xml:space="preserve">A pesar de que la experiencia es inherente a la persona que la ha obtenido, razón por la cual es, en principio, intransferible en virtud de su carácter personalísimo, por disposición legal o reglamentaria, casos excepcionales, como el descrito en el artículo mencionado, se aplica de otra manera. 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puntuales que establezcan las Entidades Estatales en sus procesos de contratación, y de esta </w:t>
      </w:r>
      <w:r w:rsidRPr="004C305D">
        <w:rPr>
          <w:rFonts w:ascii="Century Gothic" w:eastAsia="Calibri" w:hAnsi="Century Gothic" w:cs="Arial"/>
          <w:color w:val="000000" w:themeColor="text1"/>
        </w:rPr>
        <w:lastRenderedPageBreak/>
        <w:t>forma promover el desarrollo de la empresa y la pluralidad de oferentes en la contratación pública.</w:t>
      </w:r>
    </w:p>
    <w:p w14:paraId="7926AA3B" w14:textId="77777777" w:rsidR="0077752A" w:rsidRPr="004C305D" w:rsidRDefault="0077752A" w:rsidP="0077752A">
      <w:pPr>
        <w:spacing w:before="120" w:after="120" w:line="276" w:lineRule="auto"/>
        <w:ind w:firstLine="708"/>
        <w:jc w:val="both"/>
        <w:rPr>
          <w:rFonts w:ascii="Century Gothic" w:eastAsia="Times New Roman" w:hAnsi="Century Gothic" w:cs="Arial"/>
          <w:lang w:val="es-MX" w:eastAsia="es-ES_tradnl"/>
        </w:rPr>
      </w:pPr>
      <w:r w:rsidRPr="004C305D">
        <w:rPr>
          <w:rFonts w:ascii="Century Gothic" w:eastAsia="Times New Roman" w:hAnsi="Century Gothic" w:cs="Arial"/>
          <w:lang w:val="es-MX" w:eastAsia="es-ES_tradnl"/>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tres (3) años de su constitución? ¿puede seguir siendo beneficiaria de la prerrogativa del numeral 2.5 del artículo 2.2.1.1.1.5.2 del Decreto 1082 de 2015? Estos interrogantes han sido planteados a la Subdirección de Gestión Contractual de esta Agencia y se han desarrollado, en torno a dos posiciones, que se plantean a continuación: </w:t>
      </w:r>
    </w:p>
    <w:p w14:paraId="5B5D89D3" w14:textId="77777777" w:rsidR="0077752A" w:rsidRPr="004C305D" w:rsidRDefault="0077752A" w:rsidP="0077752A">
      <w:pPr>
        <w:spacing w:before="120" w:after="120" w:line="276" w:lineRule="auto"/>
        <w:ind w:firstLine="708"/>
        <w:jc w:val="both"/>
        <w:rPr>
          <w:rFonts w:ascii="Century Gothic" w:eastAsia="Times New Roman" w:hAnsi="Century Gothic" w:cs="Arial"/>
          <w:lang w:val="es-MX" w:eastAsia="es-ES"/>
        </w:rPr>
      </w:pPr>
      <w:r w:rsidRPr="004C305D">
        <w:rPr>
          <w:rFonts w:ascii="Century Gothic" w:eastAsia="Times New Roman" w:hAnsi="Century Gothic" w:cs="Arial"/>
          <w:lang w:val="es-MX" w:eastAsia="es-ES"/>
        </w:rPr>
        <w:t xml:space="preserve">En el concepto identificado con radicado No. 4201814000001418 del 3 de abril de 2018, donde frente a la misma pregunta esta Subdirección respondió que después de cumplidos los tres (3) años contados desde la constitución de la sociedad, las Entidades Estatales no deberían tener como válida la experiencia acreditada por los socios, accionistas o constituyentes. Como fundamento de esta posición, la Subdirección consideró lo siguiente: </w:t>
      </w:r>
    </w:p>
    <w:p w14:paraId="2E7D4F2D" w14:textId="77777777" w:rsidR="0077752A" w:rsidRPr="004C305D" w:rsidRDefault="0077752A" w:rsidP="0077752A">
      <w:pPr>
        <w:spacing w:before="120" w:after="120" w:line="276" w:lineRule="auto"/>
        <w:ind w:firstLine="708"/>
        <w:jc w:val="both"/>
        <w:rPr>
          <w:rFonts w:ascii="Century Gothic" w:eastAsia="Times New Roman" w:hAnsi="Century Gothic" w:cs="Arial"/>
          <w:lang w:val="es-MX" w:eastAsia="es-ES"/>
        </w:rPr>
      </w:pPr>
      <w:r w:rsidRPr="004C305D">
        <w:rPr>
          <w:rFonts w:ascii="Century Gothic" w:eastAsia="Times New Roman" w:hAnsi="Century Gothic" w:cs="Arial"/>
          <w:lang w:val="es-MX" w:eastAsia="es-ES"/>
        </w:rPr>
        <w:t xml:space="preserve">i) La posición de la Agencia Nacional de Contratación Pública – Colombia Compra Eficiente respecto a la validez de la experiencia de los accionistas, socios o constituyentes, acreditada en el RUP por una sociedad nueva, cuando ésta ya superó los tres (3) años de constituida, ha variado. </w:t>
      </w:r>
    </w:p>
    <w:p w14:paraId="18533DED" w14:textId="77777777" w:rsidR="0077752A" w:rsidRPr="004C305D" w:rsidRDefault="0077752A" w:rsidP="0077752A">
      <w:pPr>
        <w:spacing w:before="120" w:after="120" w:line="276" w:lineRule="auto"/>
        <w:ind w:firstLine="708"/>
        <w:jc w:val="both"/>
        <w:rPr>
          <w:rFonts w:ascii="Century Gothic" w:eastAsia="Times New Roman" w:hAnsi="Century Gothic" w:cs="Arial"/>
          <w:lang w:val="es-MX" w:eastAsia="es-ES_tradnl"/>
        </w:rPr>
      </w:pPr>
      <w:r w:rsidRPr="004C305D">
        <w:rPr>
          <w:rFonts w:ascii="Century Gothic" w:eastAsia="Times New Roman" w:hAnsi="Century Gothic" w:cs="Arial"/>
          <w:lang w:val="es-MX" w:eastAsia="es-ES_tradnl"/>
        </w:rPr>
        <w:t xml:space="preserve">ii) El Decreto 1082 de 2015 establece que, para la inscripción en el RUP de una persona jurídica si su constitución es menor a tres (3) años, puede acreditar la experiencia de sus accionistas, socios o constituyentes. </w:t>
      </w:r>
    </w:p>
    <w:p w14:paraId="4C7B7900" w14:textId="77777777" w:rsidR="0077752A" w:rsidRPr="004C305D" w:rsidRDefault="0077752A" w:rsidP="0077752A">
      <w:pPr>
        <w:spacing w:before="120" w:after="120" w:line="276" w:lineRule="auto"/>
        <w:ind w:firstLine="708"/>
        <w:jc w:val="both"/>
        <w:rPr>
          <w:rFonts w:ascii="Century Gothic" w:eastAsia="Times New Roman" w:hAnsi="Century Gothic" w:cs="Arial"/>
          <w:lang w:val="es-MX" w:eastAsia="es-ES_tradnl"/>
        </w:rPr>
      </w:pPr>
      <w:r w:rsidRPr="004C305D">
        <w:rPr>
          <w:rFonts w:ascii="Century Gothic" w:eastAsia="Times New Roman" w:hAnsi="Century Gothic" w:cs="Arial"/>
          <w:lang w:val="es-MX" w:eastAsia="es-ES_tradnl"/>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37DDCEEA" w14:textId="77777777" w:rsidR="0077752A" w:rsidRPr="004C305D" w:rsidRDefault="0077752A" w:rsidP="0077752A">
      <w:pPr>
        <w:spacing w:before="120" w:after="120" w:line="276" w:lineRule="auto"/>
        <w:ind w:firstLine="708"/>
        <w:jc w:val="both"/>
        <w:rPr>
          <w:rFonts w:ascii="Century Gothic" w:eastAsia="Times New Roman" w:hAnsi="Century Gothic" w:cs="Arial"/>
          <w:lang w:val="es-MX" w:eastAsia="es-ES_tradnl"/>
        </w:rPr>
      </w:pPr>
      <w:r w:rsidRPr="004C305D">
        <w:rPr>
          <w:rFonts w:ascii="Century Gothic" w:eastAsia="Times New Roman" w:hAnsi="Century Gothic" w:cs="Arial"/>
          <w:lang w:val="es-MX" w:eastAsia="es-ES_tradnl"/>
        </w:rPr>
        <w:t xml:space="preserve">iv) En consecuencia, la persona jurídica cuya constitución es menor a tres (3) años puede registrar la experiencia de sus socios en el RUP, la cual no podrá ser tenida en cuenta por la Entidad Estatal como experiencia de la sociedad una vez cumplidos los tres (3) años de constituida la persona jurídica a los que hace </w:t>
      </w:r>
      <w:r w:rsidRPr="004C305D">
        <w:rPr>
          <w:rFonts w:ascii="Century Gothic" w:eastAsia="Times New Roman" w:hAnsi="Century Gothic" w:cs="Arial"/>
          <w:lang w:val="es-MX" w:eastAsia="es-ES_tradnl"/>
        </w:rPr>
        <w:lastRenderedPageBreak/>
        <w:t xml:space="preserve">referencia la norma, pues no se cumple con el presupuesto normativo para acceder al beneficio que contempla el Decreto 1082 de 2015. </w:t>
      </w:r>
    </w:p>
    <w:p w14:paraId="5357BFA6" w14:textId="77777777" w:rsidR="0077752A" w:rsidRPr="004C305D" w:rsidRDefault="0077752A" w:rsidP="0077752A">
      <w:pPr>
        <w:spacing w:before="120" w:after="120" w:line="276" w:lineRule="auto"/>
        <w:ind w:firstLine="708"/>
        <w:jc w:val="both"/>
        <w:rPr>
          <w:rFonts w:ascii="Century Gothic" w:eastAsia="Times New Roman" w:hAnsi="Century Gothic" w:cs="Arial"/>
          <w:lang w:val="es-MX" w:eastAsia="es-ES_tradnl"/>
        </w:rPr>
      </w:pPr>
      <w:r w:rsidRPr="004C305D">
        <w:rPr>
          <w:rFonts w:ascii="Century Gothic" w:eastAsia="Times New Roman" w:hAnsi="Century Gothic" w:cs="Arial"/>
          <w:lang w:val="es-MX" w:eastAsia="es-ES_tradnl"/>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4C305D">
        <w:rPr>
          <w:rFonts w:ascii="Century Gothic" w:eastAsia="Calibri" w:hAnsi="Century Gothic" w:cs="Arial"/>
          <w:lang w:val="es-MX" w:eastAsia="es-ES_tradnl"/>
        </w:rPr>
        <w:t>―</w:t>
      </w:r>
      <w:r w:rsidRPr="004C305D">
        <w:rPr>
          <w:rFonts w:ascii="Century Gothic" w:eastAsia="Times New Roman" w:hAnsi="Century Gothic" w:cs="Arial"/>
          <w:lang w:val="es-MX" w:eastAsia="es-ES_tradnl"/>
        </w:rPr>
        <w:t>únicamente para la capacidad jurídica y experiencia</w:t>
      </w:r>
      <w:r w:rsidRPr="004C305D">
        <w:rPr>
          <w:rFonts w:ascii="Century Gothic" w:eastAsia="Calibri" w:hAnsi="Century Gothic" w:cs="Arial"/>
          <w:lang w:val="es-MX" w:eastAsia="es-ES_tradnl"/>
        </w:rPr>
        <w:t>―</w:t>
      </w:r>
      <w:r w:rsidRPr="004C305D">
        <w:rPr>
          <w:rFonts w:ascii="Century Gothic" w:eastAsia="Times New Roman" w:hAnsi="Century Gothic" w:cs="Arial"/>
          <w:lang w:val="es-MX" w:eastAsia="es-ES_tradnl"/>
        </w:rPr>
        <w:t xml:space="preserve"> y debe ser verificada junto con sus soportes por la Cámara de Comercio correspondiente. </w:t>
      </w:r>
    </w:p>
    <w:p w14:paraId="68601892" w14:textId="77777777" w:rsidR="0077752A" w:rsidRPr="004C305D" w:rsidRDefault="0077752A" w:rsidP="0077752A">
      <w:pPr>
        <w:spacing w:before="120" w:after="120" w:line="276" w:lineRule="auto"/>
        <w:ind w:firstLine="708"/>
        <w:jc w:val="both"/>
        <w:rPr>
          <w:rFonts w:ascii="Century Gothic" w:eastAsia="Times New Roman" w:hAnsi="Century Gothic" w:cs="Arial"/>
          <w:lang w:val="es-MX" w:eastAsia="es-ES_tradnl"/>
        </w:rPr>
      </w:pPr>
      <w:r w:rsidRPr="004C305D">
        <w:rPr>
          <w:rFonts w:ascii="Century Gothic" w:eastAsia="Times New Roman" w:hAnsi="Century Gothic" w:cs="Arial"/>
          <w:lang w:val="es-MX" w:eastAsia="es-ES_tradnl"/>
        </w:rPr>
        <w:t>La posición anterior, en relación con la posibilidad de que las sociedades nuevas puedan seguir acreditando la experiencia de sus socios, accionistas o constituyentes, incluso después de cumplidos tres (3) años de constitución de la persona jurídica, fue superada y se ratificó por esta Subdirección la tesis que ya había sido desarrollada en el concepto del 7 de febrero de 2018</w:t>
      </w:r>
      <w:r w:rsidRPr="004C305D">
        <w:rPr>
          <w:rFonts w:ascii="Century Gothic" w:eastAsia="Times New Roman" w:hAnsi="Century Gothic" w:cs="Arial"/>
          <w:vertAlign w:val="superscript"/>
          <w:lang w:val="es-MX" w:eastAsia="es-ES_tradnl"/>
        </w:rPr>
        <w:footnoteReference w:id="24"/>
      </w:r>
      <w:r w:rsidRPr="004C305D">
        <w:rPr>
          <w:rFonts w:ascii="Century Gothic" w:eastAsia="Times New Roman" w:hAnsi="Century Gothic" w:cs="Arial"/>
          <w:lang w:val="es-MX" w:eastAsia="es-ES_tradnl"/>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tres (3) años desde la constitución de la sociedad, siempre que se renovara constantemente el RUP.  </w:t>
      </w:r>
    </w:p>
    <w:p w14:paraId="499B8E00" w14:textId="77777777" w:rsidR="0077752A" w:rsidRPr="004C305D" w:rsidRDefault="0077752A" w:rsidP="0077752A">
      <w:pPr>
        <w:spacing w:line="276" w:lineRule="auto"/>
        <w:ind w:firstLine="708"/>
        <w:jc w:val="both"/>
        <w:rPr>
          <w:rFonts w:ascii="Century Gothic" w:eastAsia="Times New Roman" w:hAnsi="Century Gothic" w:cs="Arial"/>
          <w:lang w:val="es-MX" w:eastAsia="es-ES_tradnl"/>
        </w:rPr>
      </w:pPr>
      <w:r w:rsidRPr="004C305D">
        <w:rPr>
          <w:rFonts w:ascii="Century Gothic" w:eastAsia="Times New Roman" w:hAnsi="Century Gothic" w:cs="Arial"/>
          <w:lang w:val="es-MX" w:eastAsia="es-ES_tradnl"/>
        </w:rPr>
        <w:t xml:space="preserve">En otras palabras, </w:t>
      </w:r>
      <w:bookmarkStart w:id="14" w:name="_Hlk67498604"/>
      <w:r w:rsidRPr="004C305D">
        <w:rPr>
          <w:rFonts w:ascii="Century Gothic" w:eastAsia="Times New Roman" w:hAnsi="Century Gothic" w:cs="Arial"/>
          <w:lang w:val="es-MX" w:eastAsia="es-ES_tradnl"/>
        </w:rPr>
        <w:t>si la persona jurídica con menos de tres (3) años de constituida registra la experiencia de sus socios, accionistas o constituyentes en el RUP, y éste es renovado, puede continuar utilizando la experiencia inscrita mientras no cesen los efectos del RUP. Por el contrario, si no se renueva y la persona jurídica supera los tres (3) años de constituida, la experiencia que registró de sus socios, accionistas o constituyentes no puede ser inscrita nuevamente, puesto que el RUP ha cesado sus efectos y la Cámara de Comercio tiene que hacer nuevamente la verificación documental de la información presentada al momento de inscribirse en el registro.</w:t>
      </w:r>
      <w:bookmarkEnd w:id="14"/>
    </w:p>
    <w:p w14:paraId="6FA38497" w14:textId="0A73C5D3" w:rsidR="0077752A" w:rsidRPr="004C305D" w:rsidRDefault="0077752A" w:rsidP="0077752A">
      <w:pPr>
        <w:spacing w:line="276" w:lineRule="auto"/>
        <w:ind w:firstLine="708"/>
        <w:jc w:val="both"/>
        <w:rPr>
          <w:rFonts w:ascii="Century Gothic" w:eastAsia="Times New Roman" w:hAnsi="Century Gothic" w:cs="Arial"/>
          <w:lang w:val="es-MX" w:eastAsia="es-ES_tradnl"/>
        </w:rPr>
      </w:pPr>
      <w:r w:rsidRPr="004C305D">
        <w:rPr>
          <w:rFonts w:ascii="Century Gothic" w:eastAsia="Times New Roman" w:hAnsi="Century Gothic" w:cs="Arial"/>
          <w:lang w:val="es-MX" w:eastAsia="es-ES_tradnl"/>
        </w:rPr>
        <w:t>Sin embargo, debe aclararse que el Decreto 1082 de 2015 s</w:t>
      </w:r>
      <w:r w:rsidR="00DB2DCF">
        <w:rPr>
          <w:rFonts w:ascii="Century Gothic" w:eastAsia="Times New Roman" w:hAnsi="Century Gothic" w:cs="Arial"/>
          <w:lang w:val="es-MX" w:eastAsia="es-ES_tradnl"/>
        </w:rPr>
        <w:t>o</w:t>
      </w:r>
      <w:r w:rsidRPr="004C305D">
        <w:rPr>
          <w:rFonts w:ascii="Century Gothic" w:eastAsia="Times New Roman" w:hAnsi="Century Gothic" w:cs="Arial"/>
          <w:lang w:val="es-MX" w:eastAsia="es-ES_tradnl"/>
        </w:rPr>
        <w:t xml:space="preserve">lo permite que una sociedad acredite la experiencia de quienes tienen la calidad de accionistas, socios o constituyentes durante los primeros tres (3) años de su constitución. Por tanto, si se pierden estas calidades, como sucedería cuando un socio se retira por </w:t>
      </w:r>
      <w:r w:rsidRPr="004C305D">
        <w:rPr>
          <w:rFonts w:ascii="Century Gothic" w:eastAsia="Times New Roman" w:hAnsi="Century Gothic" w:cs="Arial"/>
          <w:lang w:val="es-MX" w:eastAsia="es-ES_tradnl"/>
        </w:rPr>
        <w:lastRenderedPageBreak/>
        <w:t>venta o cesión de su participación y pierde su calidad de socio, ya no sería aceptable que la sociedad acredite la experiencia aportada por dicha persona. Esta interpretación, además, se impone en atención al fin de evitar prácticas corruptas o que atenten contra la transparencia en la contratación estatal, por lo que la experiencia aportada por quien se retira no deberá tenerse en cuenta por las Entidades Estatales, y no debería ser utilizada por el proponente en procesos de contratación, ya que es inherente a la persona que la ha obtenido.</w:t>
      </w:r>
    </w:p>
    <w:p w14:paraId="6F2298F4" w14:textId="77777777" w:rsidR="0077752A" w:rsidRPr="004C305D" w:rsidRDefault="0077752A" w:rsidP="0077752A">
      <w:pPr>
        <w:spacing w:after="0" w:line="276" w:lineRule="auto"/>
        <w:ind w:firstLine="708"/>
        <w:jc w:val="both"/>
        <w:rPr>
          <w:rFonts w:ascii="Century Gothic" w:eastAsia="Calibri" w:hAnsi="Century Gothic" w:cs="Arial"/>
          <w:lang w:val="es-ES_tradnl"/>
        </w:rPr>
      </w:pPr>
      <w:r w:rsidRPr="004C305D">
        <w:rPr>
          <w:rFonts w:ascii="Century Gothic" w:eastAsia="Times New Roman" w:hAnsi="Century Gothic" w:cs="Arial"/>
          <w:lang w:val="es-MX" w:eastAsia="es-ES_tradnl"/>
        </w:rPr>
        <w:t>En ese contexto, si el socio se retira de la sociedad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el proceso de contratación.</w:t>
      </w:r>
    </w:p>
    <w:p w14:paraId="4C5123F9" w14:textId="77777777" w:rsidR="00423593" w:rsidRPr="00423593" w:rsidRDefault="00423593" w:rsidP="00423593">
      <w:pPr>
        <w:spacing w:after="0" w:line="276" w:lineRule="auto"/>
        <w:contextualSpacing/>
        <w:jc w:val="both"/>
        <w:rPr>
          <w:rFonts w:ascii="Century Gothic" w:eastAsia="Calibri" w:hAnsi="Century Gothic" w:cs="Arial"/>
          <w:bCs/>
        </w:rPr>
      </w:pPr>
    </w:p>
    <w:p w14:paraId="5FDDF573" w14:textId="77777777" w:rsidR="00423593" w:rsidRPr="00423593" w:rsidRDefault="00423593" w:rsidP="00423593">
      <w:pPr>
        <w:tabs>
          <w:tab w:val="left" w:pos="284"/>
        </w:tabs>
        <w:spacing w:after="0" w:line="276" w:lineRule="auto"/>
        <w:contextualSpacing/>
        <w:jc w:val="both"/>
        <w:rPr>
          <w:rFonts w:ascii="Century Gothic" w:eastAsia="Calibri" w:hAnsi="Century Gothic" w:cs="Arial"/>
          <w:b/>
        </w:rPr>
      </w:pPr>
      <w:r w:rsidRPr="00423593">
        <w:rPr>
          <w:rFonts w:ascii="Century Gothic" w:eastAsia="Calibri" w:hAnsi="Century Gothic" w:cs="Arial"/>
          <w:b/>
        </w:rPr>
        <w:t>3. Respuestas</w:t>
      </w:r>
    </w:p>
    <w:p w14:paraId="611E2F7E" w14:textId="77777777" w:rsidR="00423593" w:rsidRPr="00423593" w:rsidRDefault="00423593" w:rsidP="00423593">
      <w:pPr>
        <w:spacing w:after="0" w:line="276" w:lineRule="auto"/>
        <w:contextualSpacing/>
        <w:jc w:val="both"/>
        <w:rPr>
          <w:rFonts w:ascii="Century Gothic" w:eastAsia="Calibri" w:hAnsi="Century Gothic" w:cs="Arial"/>
          <w:lang w:val="es-ES_tradnl"/>
        </w:rPr>
      </w:pPr>
    </w:p>
    <w:p w14:paraId="5E10D222" w14:textId="77777777" w:rsidR="00423593" w:rsidRPr="00423593" w:rsidRDefault="00423593" w:rsidP="00423593">
      <w:pPr>
        <w:spacing w:after="0" w:line="240" w:lineRule="auto"/>
        <w:ind w:left="709" w:right="709"/>
        <w:jc w:val="both"/>
        <w:rPr>
          <w:rFonts w:ascii="Century Gothic" w:hAnsi="Century Gothic"/>
          <w:sz w:val="21"/>
          <w:szCs w:val="21"/>
        </w:rPr>
      </w:pPr>
      <w:r w:rsidRPr="00423593">
        <w:rPr>
          <w:rFonts w:ascii="Century Gothic" w:eastAsia="Times New Roman" w:hAnsi="Century Gothic" w:cs="Arial"/>
          <w:sz w:val="21"/>
          <w:szCs w:val="21"/>
          <w:lang w:val="es-ES_tradnl" w:eastAsia="es-ES_tradnl"/>
        </w:rPr>
        <w:t>“</w:t>
      </w:r>
      <w:r w:rsidRPr="00423593">
        <w:rPr>
          <w:rFonts w:ascii="Century Gothic" w:hAnsi="Century Gothic"/>
          <w:sz w:val="21"/>
          <w:szCs w:val="21"/>
        </w:rPr>
        <w:t>PRIMERO: Para los efectos de la contratación estatal ¿la experiencia de una sociedad comercial legalmente constituida en Colombia puede ser transferida a otra sociedad?</w:t>
      </w:r>
    </w:p>
    <w:p w14:paraId="465A48A1" w14:textId="77777777" w:rsidR="00423593" w:rsidRPr="00423593" w:rsidRDefault="00423593" w:rsidP="00423593">
      <w:pPr>
        <w:spacing w:after="0" w:line="240" w:lineRule="auto"/>
        <w:ind w:left="709" w:right="709"/>
        <w:jc w:val="both"/>
        <w:rPr>
          <w:rFonts w:ascii="Century Gothic" w:hAnsi="Century Gothic"/>
          <w:sz w:val="21"/>
          <w:szCs w:val="21"/>
        </w:rPr>
      </w:pPr>
    </w:p>
    <w:p w14:paraId="10A12002" w14:textId="77777777" w:rsidR="00423593" w:rsidRPr="00423593" w:rsidRDefault="00423593" w:rsidP="00423593">
      <w:pPr>
        <w:spacing w:after="0" w:line="240" w:lineRule="auto"/>
        <w:ind w:left="709" w:right="709"/>
        <w:jc w:val="both"/>
        <w:rPr>
          <w:rFonts w:ascii="Century Gothic" w:hAnsi="Century Gothic"/>
          <w:sz w:val="21"/>
          <w:szCs w:val="21"/>
        </w:rPr>
      </w:pPr>
      <w:r w:rsidRPr="00423593">
        <w:rPr>
          <w:rFonts w:ascii="Century Gothic" w:hAnsi="Century Gothic"/>
          <w:sz w:val="21"/>
          <w:szCs w:val="21"/>
        </w:rPr>
        <w:t>SEGUNDO: Conforme lo anterior ¿dentro de un trámite de escisión parcial y por creación, la sociedad escindente puede transferir total o parcialmente su experiencia a la sociedad beneficiaria?</w:t>
      </w:r>
    </w:p>
    <w:p w14:paraId="1055A633" w14:textId="77777777" w:rsidR="00423593" w:rsidRPr="00423593" w:rsidRDefault="00423593" w:rsidP="00423593">
      <w:pPr>
        <w:spacing w:after="0" w:line="240" w:lineRule="auto"/>
        <w:ind w:left="709" w:right="709"/>
        <w:jc w:val="both"/>
        <w:rPr>
          <w:rFonts w:ascii="Century Gothic" w:hAnsi="Century Gothic"/>
          <w:sz w:val="21"/>
          <w:szCs w:val="21"/>
        </w:rPr>
      </w:pPr>
    </w:p>
    <w:p w14:paraId="40D5B237" w14:textId="77777777" w:rsidR="00423593" w:rsidRPr="00423593" w:rsidRDefault="00423593" w:rsidP="00423593">
      <w:pPr>
        <w:spacing w:after="0" w:line="240" w:lineRule="auto"/>
        <w:ind w:left="709" w:right="709"/>
        <w:jc w:val="both"/>
        <w:rPr>
          <w:rFonts w:ascii="Century Gothic" w:hAnsi="Century Gothic"/>
          <w:sz w:val="21"/>
          <w:szCs w:val="21"/>
        </w:rPr>
      </w:pPr>
      <w:r w:rsidRPr="00423593">
        <w:rPr>
          <w:rFonts w:ascii="Century Gothic" w:hAnsi="Century Gothic"/>
          <w:sz w:val="21"/>
          <w:szCs w:val="21"/>
        </w:rPr>
        <w:t>TERCERO: Para los efectos de la contratación estatal, en el evento en que se esté ejecutando un contrato. ¿resultaría válida la experiencia que la beneficiaria ha adquirido por medio de un trámite de escisión para que sea esta quien funja como cesionaria en una relación contractual existente?</w:t>
      </w:r>
    </w:p>
    <w:p w14:paraId="6122D0F4" w14:textId="77777777" w:rsidR="00423593" w:rsidRPr="00423593" w:rsidRDefault="00423593" w:rsidP="00423593">
      <w:pPr>
        <w:spacing w:after="0" w:line="240" w:lineRule="auto"/>
        <w:ind w:left="709" w:right="709"/>
        <w:jc w:val="both"/>
        <w:rPr>
          <w:rFonts w:ascii="Century Gothic" w:hAnsi="Century Gothic"/>
          <w:sz w:val="21"/>
          <w:szCs w:val="21"/>
        </w:rPr>
      </w:pPr>
    </w:p>
    <w:p w14:paraId="0FB70CD7" w14:textId="77777777" w:rsidR="00423593" w:rsidRPr="00423593" w:rsidRDefault="00423593" w:rsidP="00423593">
      <w:pPr>
        <w:spacing w:after="0" w:line="240" w:lineRule="auto"/>
        <w:ind w:left="709" w:right="709"/>
        <w:jc w:val="both"/>
        <w:rPr>
          <w:rFonts w:ascii="Century Gothic" w:hAnsi="Century Gothic"/>
          <w:sz w:val="21"/>
          <w:szCs w:val="21"/>
        </w:rPr>
      </w:pPr>
      <w:r w:rsidRPr="00423593">
        <w:rPr>
          <w:rFonts w:ascii="Century Gothic" w:hAnsi="Century Gothic"/>
          <w:sz w:val="21"/>
          <w:szCs w:val="21"/>
        </w:rPr>
        <w:t>CUARTO: De ser posible la transferencia de la experiencia entre dos personas jurídicas con ocasión de un proceso de escisión ¿la experiencia objeto de transferencia se considera como un activo?</w:t>
      </w:r>
    </w:p>
    <w:p w14:paraId="7C7452AB" w14:textId="77777777" w:rsidR="00423593" w:rsidRPr="00423593" w:rsidRDefault="00423593" w:rsidP="00423593">
      <w:pPr>
        <w:spacing w:after="0"/>
        <w:ind w:left="709" w:right="709"/>
        <w:jc w:val="both"/>
        <w:rPr>
          <w:rFonts w:ascii="Century Gothic" w:hAnsi="Century Gothic"/>
        </w:rPr>
      </w:pPr>
    </w:p>
    <w:p w14:paraId="15945DAA" w14:textId="77777777" w:rsidR="00423593" w:rsidRPr="00423593" w:rsidRDefault="00423593" w:rsidP="00423593">
      <w:pPr>
        <w:spacing w:after="0" w:line="276" w:lineRule="auto"/>
        <w:jc w:val="both"/>
        <w:rPr>
          <w:rFonts w:ascii="Century Gothic" w:hAnsi="Century Gothic" w:cs="Arial"/>
          <w:bCs/>
          <w:color w:val="000000"/>
        </w:rPr>
      </w:pPr>
      <w:r w:rsidRPr="00423593">
        <w:rPr>
          <w:rFonts w:ascii="Century Gothic" w:hAnsi="Century Gothic" w:cs="Arial"/>
          <w:bCs/>
          <w:color w:val="000000"/>
        </w:rPr>
        <w:t xml:space="preserve">Con fundamento en las consideraciones realizadas, es importante señalar que, si bien en principio la experiencia de las personas jurídicas es intransferible en la contratación estatal regulada por el Estatuto General de Contratación de la Administración Pública, dicha regla general tiene excepciones. Una de ellas se </w:t>
      </w:r>
      <w:r w:rsidRPr="00423593">
        <w:rPr>
          <w:rFonts w:ascii="Century Gothic" w:hAnsi="Century Gothic" w:cs="Arial"/>
          <w:bCs/>
          <w:color w:val="000000"/>
        </w:rPr>
        <w:lastRenderedPageBreak/>
        <w:t xml:space="preserve">presenta en la fusión, pues, al disolverse la persona jurídica, sin liquidarse, puede transferirle la experiencia a la sociedad resultante. En efecto, en la fusión por absorción y en la que da lugar a la creación de una nueva sociedad, la experiencia es transferible en la medida en que la sociedad se disuelve y no se liquida, es decir, no desaparece, sino que continúa a través de otra. En este sentido, la trasferencia de la experiencia ocurre porque la persona jurídica continúa a través de otra, esto es, deja de ser </w:t>
      </w:r>
      <w:proofErr w:type="spellStart"/>
      <w:r w:rsidRPr="00423593">
        <w:rPr>
          <w:rFonts w:ascii="Century Gothic" w:hAnsi="Century Gothic" w:cs="Arial"/>
          <w:bCs/>
          <w:color w:val="000000"/>
        </w:rPr>
        <w:t>quien es</w:t>
      </w:r>
      <w:proofErr w:type="spellEnd"/>
      <w:r w:rsidRPr="00423593">
        <w:rPr>
          <w:rFonts w:ascii="Century Gothic" w:hAnsi="Century Gothic" w:cs="Arial"/>
          <w:bCs/>
          <w:color w:val="000000"/>
        </w:rPr>
        <w:t xml:space="preserve"> pero no desaparece porque otra sociedad se convierte en ella, ya sea una sociedad nueva cuando es fusión por creación, o una sociedad existente en la fusión por absorción. </w:t>
      </w:r>
    </w:p>
    <w:p w14:paraId="77D9F9D4" w14:textId="77777777" w:rsidR="00423593" w:rsidRPr="00423593" w:rsidRDefault="00423593" w:rsidP="00423593">
      <w:pPr>
        <w:spacing w:before="120" w:line="276" w:lineRule="auto"/>
        <w:ind w:firstLine="709"/>
        <w:jc w:val="both"/>
        <w:rPr>
          <w:rFonts w:ascii="Century Gothic" w:hAnsi="Century Gothic" w:cs="Arial"/>
          <w:bCs/>
          <w:color w:val="000000"/>
        </w:rPr>
      </w:pPr>
      <w:r w:rsidRPr="00423593">
        <w:rPr>
          <w:rFonts w:ascii="Century Gothic" w:hAnsi="Century Gothic" w:cs="Arial"/>
          <w:bCs/>
          <w:color w:val="000000"/>
        </w:rPr>
        <w:t xml:space="preserve">Por otra parte, en lo que respecta a la </w:t>
      </w:r>
      <w:r w:rsidRPr="00423593">
        <w:rPr>
          <w:rFonts w:ascii="Century Gothic" w:eastAsia="Calibri" w:hAnsi="Century Gothic" w:cs="Arial"/>
        </w:rPr>
        <w:t xml:space="preserve">escisión, esta tiene dos modalidades. La primera, se refiere al patrimonio de la sociedad sin incluir ningún otro aspecto, lo cual significa que la sociedad continúa con un patrimonio reducido debido al fraccionamiento, pero no existe ninguna otra implicación para la persona jurídica, como su desaparición por “disolverse” o “liquidarse”, de acuerdo con lo mencionado sobre estos conceptos. En ese sentido, esta Subdirección considera que las sociedades que reciben una parte del patrimonio de una sociedad que continúa existiendo, no reciben su experiencia, ya que no es posible que varias sociedades tengan la misma experiencia, duplicándola tantas veces se haya fraccionado el patrimonio, porque la experiencia pertenece a quien la adquirió ejecutando los contratos a su cargo. </w:t>
      </w:r>
    </w:p>
    <w:p w14:paraId="00522744" w14:textId="77777777" w:rsidR="00423593" w:rsidRPr="00423593" w:rsidRDefault="00423593" w:rsidP="00423593">
      <w:pPr>
        <w:spacing w:after="120" w:line="276" w:lineRule="auto"/>
        <w:ind w:firstLine="708"/>
        <w:jc w:val="both"/>
        <w:rPr>
          <w:rFonts w:ascii="Century Gothic" w:eastAsia="Calibri" w:hAnsi="Century Gothic" w:cs="Arial"/>
        </w:rPr>
      </w:pPr>
      <w:r w:rsidRPr="00423593">
        <w:rPr>
          <w:rFonts w:ascii="Century Gothic" w:eastAsia="Calibri" w:hAnsi="Century Gothic" w:cs="Arial"/>
        </w:rPr>
        <w:t xml:space="preserve">La segunda modalidad se trata de una sociedad que se “disuelve” sin “liquidarse”, esto es, que implica una reforma social, lo cual no ocurre con la primera modalidad, y también existe fraccionamiento del patrimonio con el mismo fin. Como se observa, participa una sociedad y otra, u otras, que reciben la transferencia del patrimonio en bloque. </w:t>
      </w:r>
    </w:p>
    <w:p w14:paraId="6AB908E2" w14:textId="77777777" w:rsidR="00423593" w:rsidRPr="00423593" w:rsidRDefault="00423593" w:rsidP="00423593">
      <w:pPr>
        <w:spacing w:before="120" w:after="120" w:line="276" w:lineRule="auto"/>
        <w:ind w:firstLine="708"/>
        <w:jc w:val="both"/>
        <w:rPr>
          <w:rFonts w:ascii="Century Gothic" w:eastAsia="Calibri" w:hAnsi="Century Gothic" w:cs="Arial"/>
        </w:rPr>
      </w:pPr>
      <w:r w:rsidRPr="00423593">
        <w:rPr>
          <w:rFonts w:ascii="Century Gothic" w:eastAsia="Calibri" w:hAnsi="Century Gothic" w:cs="Arial"/>
        </w:rPr>
        <w:t xml:space="preserve">Para la primera modalidad de escisión, teniendo en cuenta que la sociedad continúa sin alteraciones, esta puede compartir la experiencia a través de esquemas asociativos, pero no la transfiere, porque para ello tendría que “disolverse” sin “liquidarse”, puesto que la “liquidación” implicaría que desaparece la persona y así su experiencia. Para explicarlo, hay que retomar la definición de “disolución”, donde la persona jurídica no desaparece y solo puede hacer trámites para “liquidarse”. Sin embargo, hay una excepción a esa regla y es, precisamente, la de las figuras y reformas estatutarias que aquí se explican, particularmente la </w:t>
      </w:r>
      <w:r w:rsidRPr="00423593">
        <w:rPr>
          <w:rFonts w:ascii="Century Gothic" w:eastAsia="Calibri" w:hAnsi="Century Gothic" w:cs="Arial"/>
        </w:rPr>
        <w:lastRenderedPageBreak/>
        <w:t xml:space="preserve">fusión, ya que por esa excepción la persona tiene continuidad en otra persona, y sigue siendo quien era, lo cual no es el caso de la escisión, ya que en la primera modalidad no existe “disolución”. Esto significa que la persona continúa por sí misma y puede adquirir experiencia, pero no puede transferirla porque le pertenece, al ser quien la adquirió. </w:t>
      </w:r>
    </w:p>
    <w:p w14:paraId="7E53E7A7" w14:textId="77777777" w:rsidR="0018514B" w:rsidRDefault="00423593" w:rsidP="0018514B">
      <w:pPr>
        <w:spacing w:after="120" w:line="276" w:lineRule="auto"/>
        <w:ind w:firstLine="709"/>
        <w:jc w:val="both"/>
        <w:rPr>
          <w:rFonts w:ascii="Century Gothic" w:hAnsi="Century Gothic" w:cs="Arial"/>
        </w:rPr>
      </w:pPr>
      <w:r w:rsidRPr="00423593">
        <w:rPr>
          <w:rFonts w:ascii="Century Gothic" w:eastAsia="Calibri" w:hAnsi="Century Gothic" w:cs="Arial"/>
        </w:rPr>
        <w:t xml:space="preserve">Por otro lado, a pesar de que en la segunda modalidad existe “disolución”, no hay transferencia de la experiencia porque la persona jurídica fraccionada deja de ser quien es y desaparece, quedando dividida en varias sociedades nuevas o existentes que reciben su patrimonio, sin que sea posible determinar cuál de todas las sociedades que recibieron parte del patrimonio de la sociedad escindida tiene la experiencia.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 </w:t>
      </w:r>
    </w:p>
    <w:p w14:paraId="6113C824" w14:textId="35259863" w:rsidR="00A95513" w:rsidRPr="0018514B" w:rsidRDefault="00A95513" w:rsidP="0018514B">
      <w:pPr>
        <w:spacing w:after="120" w:line="276" w:lineRule="auto"/>
        <w:ind w:firstLine="709"/>
        <w:jc w:val="both"/>
        <w:rPr>
          <w:rFonts w:ascii="Century Gothic" w:hAnsi="Century Gothic" w:cs="Arial"/>
        </w:rPr>
      </w:pPr>
      <w:r w:rsidRPr="004C305D">
        <w:rPr>
          <w:rFonts w:ascii="Century Gothic" w:eastAsia="Times New Roman" w:hAnsi="Century Gothic" w:cs="Arial"/>
          <w:lang w:val="es-MX" w:eastAsia="es-ES_tradnl"/>
        </w:rPr>
        <w:t>Como se indicó en el considerando, el Decreto 1082 de 2015 sólo permite que una sociedad acredite la experiencia de quienes tienen la calidad de accionistas, socios o constituyentes durante los primeros tres (3) años de su constitución. Por tanto, si se pierden estas calidades, como sucedería cuando un socio se retira por venta o cesión de su participación y pierde su calidad de socio, ya no sería aceptable que la sociedad acredite la experiencia aportada por dicha persona. Esta interpretación, además, se impone en atención al fin de evitar prácticas corruptas o que atenten contra la transparencia en la contratación estatal, por lo que la experiencia aportada por quien se retira no deberá tenerse en cuenta por las Entidades Estatales, y no debería ser utilizada por el proponente en procesos de contratación, ya que es inherente a la persona que la ha obtenido.</w:t>
      </w:r>
    </w:p>
    <w:p w14:paraId="4B8DBD90" w14:textId="28C2BACC" w:rsidR="00423593" w:rsidRPr="0018514B" w:rsidRDefault="00A95513" w:rsidP="0018514B">
      <w:pPr>
        <w:spacing w:after="0" w:line="276" w:lineRule="auto"/>
        <w:ind w:firstLine="708"/>
        <w:jc w:val="both"/>
        <w:rPr>
          <w:rFonts w:ascii="Century Gothic" w:eastAsia="Calibri" w:hAnsi="Century Gothic" w:cs="Arial"/>
          <w:lang w:val="es-ES_tradnl"/>
        </w:rPr>
      </w:pPr>
      <w:r w:rsidRPr="004C305D">
        <w:rPr>
          <w:rFonts w:ascii="Century Gothic" w:eastAsia="Times New Roman" w:hAnsi="Century Gothic" w:cs="Arial"/>
          <w:lang w:val="es-MX" w:eastAsia="es-ES_tradnl"/>
        </w:rPr>
        <w:t>Así pues, si el socio se retira de la sociedad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el proceso de contratación.</w:t>
      </w:r>
    </w:p>
    <w:p w14:paraId="17AE0DA3" w14:textId="77777777" w:rsidR="00423593" w:rsidRPr="00423593" w:rsidRDefault="00423593" w:rsidP="00423593">
      <w:pPr>
        <w:spacing w:after="0" w:line="276" w:lineRule="auto"/>
        <w:ind w:firstLine="709"/>
        <w:jc w:val="both"/>
        <w:rPr>
          <w:rFonts w:ascii="Century Gothic" w:hAnsi="Century Gothic" w:cs="Arial"/>
        </w:rPr>
      </w:pPr>
    </w:p>
    <w:p w14:paraId="0B4DF545" w14:textId="77777777" w:rsidR="00423593" w:rsidRPr="00423593" w:rsidRDefault="00423593" w:rsidP="00423593">
      <w:pPr>
        <w:spacing w:after="0" w:line="276" w:lineRule="auto"/>
        <w:jc w:val="both"/>
        <w:rPr>
          <w:rFonts w:ascii="Century Gothic" w:hAnsi="Century Gothic" w:cs="Arial"/>
        </w:rPr>
      </w:pPr>
      <w:r w:rsidRPr="00423593">
        <w:rPr>
          <w:rFonts w:ascii="Century Gothic" w:hAnsi="Century Gothic" w:cs="Aria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48C6FD61" w14:textId="77777777" w:rsidR="00423593" w:rsidRPr="00423593" w:rsidRDefault="00423593" w:rsidP="00423593">
      <w:pPr>
        <w:spacing w:after="0"/>
        <w:jc w:val="both"/>
        <w:rPr>
          <w:rFonts w:ascii="Century Gothic" w:hAnsi="Century Gothic" w:cs="Arial"/>
        </w:rPr>
      </w:pPr>
    </w:p>
    <w:p w14:paraId="14F35D9D" w14:textId="77777777" w:rsidR="00423593" w:rsidRPr="00423593" w:rsidRDefault="00423593" w:rsidP="00423593">
      <w:pPr>
        <w:spacing w:after="0" w:line="276" w:lineRule="auto"/>
        <w:jc w:val="both"/>
        <w:rPr>
          <w:rFonts w:ascii="Century Gothic" w:hAnsi="Century Gothic" w:cs="Arial"/>
        </w:rPr>
      </w:pPr>
      <w:r w:rsidRPr="00423593">
        <w:rPr>
          <w:rFonts w:ascii="Century Gothic" w:hAnsi="Century Gothic" w:cs="Arial"/>
          <w:lang w:val="es-ES"/>
        </w:rPr>
        <w:t>Atentamente,</w:t>
      </w:r>
    </w:p>
    <w:p w14:paraId="575B0EAD" w14:textId="6BB479C2" w:rsidR="00423593" w:rsidRPr="00423593" w:rsidRDefault="00037553" w:rsidP="00423593">
      <w:pPr>
        <w:widowControl w:val="0"/>
        <w:autoSpaceDE w:val="0"/>
        <w:autoSpaceDN w:val="0"/>
        <w:spacing w:after="18"/>
        <w:jc w:val="center"/>
        <w:rPr>
          <w:rFonts w:ascii="Century Gothic" w:eastAsia="Arial" w:hAnsi="Century Gothic" w:cs="Arial"/>
          <w:lang w:val="es-ES" w:eastAsia="es-CO" w:bidi="es-ES"/>
        </w:rPr>
      </w:pPr>
      <w:r>
        <w:rPr>
          <w:rFonts w:ascii="Arial" w:hAnsi="Arial" w:cs="Arial"/>
          <w:noProof/>
          <w:color w:val="000000"/>
          <w:lang w:val="es-ES_tradnl"/>
        </w:rPr>
        <w:drawing>
          <wp:inline distT="0" distB="0" distL="0" distR="0" wp14:anchorId="05AFF121" wp14:editId="3DCDA345">
            <wp:extent cx="2934287" cy="1123341"/>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2142" cy="1126348"/>
                    </a:xfrm>
                    <a:prstGeom prst="rect">
                      <a:avLst/>
                    </a:prstGeom>
                    <a:noFill/>
                    <a:ln>
                      <a:noFill/>
                    </a:ln>
                  </pic:spPr>
                </pic:pic>
              </a:graphicData>
            </a:graphic>
          </wp:inline>
        </w:drawing>
      </w:r>
    </w:p>
    <w:tbl>
      <w:tblPr>
        <w:tblStyle w:val="Tablaconcuadrcula11"/>
        <w:tblpPr w:leftFromText="141" w:rightFromText="141"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674"/>
      </w:tblGrid>
      <w:tr w:rsidR="00423593" w:rsidRPr="00423593" w14:paraId="65893BB3" w14:textId="77777777" w:rsidTr="00AE3025">
        <w:trPr>
          <w:trHeight w:val="286"/>
        </w:trPr>
        <w:tc>
          <w:tcPr>
            <w:tcW w:w="855" w:type="dxa"/>
            <w:vAlign w:val="center"/>
            <w:hideMark/>
          </w:tcPr>
          <w:p w14:paraId="5B4ED6FE" w14:textId="77777777" w:rsidR="00423593" w:rsidRPr="00423593" w:rsidRDefault="00423593" w:rsidP="00423593">
            <w:pPr>
              <w:rPr>
                <w:rFonts w:ascii="Century Gothic" w:eastAsia="Arial" w:hAnsi="Century Gothic" w:cs="Arial"/>
                <w:sz w:val="16"/>
                <w:szCs w:val="16"/>
                <w:lang w:val="es-ES" w:eastAsia="es-ES" w:bidi="es-ES"/>
              </w:rPr>
            </w:pPr>
            <w:bookmarkStart w:id="15" w:name="_Hlk70523608"/>
            <w:r w:rsidRPr="00423593">
              <w:rPr>
                <w:rFonts w:ascii="Century Gothic" w:eastAsia="Arial" w:hAnsi="Century Gothic" w:cs="Arial"/>
                <w:sz w:val="16"/>
                <w:szCs w:val="16"/>
                <w:lang w:val="es-ES" w:eastAsia="es-ES" w:bidi="es-ES"/>
              </w:rPr>
              <w:t>Elaboró:</w:t>
            </w:r>
          </w:p>
        </w:tc>
        <w:tc>
          <w:tcPr>
            <w:tcW w:w="4674" w:type="dxa"/>
            <w:tcBorders>
              <w:top w:val="nil"/>
              <w:left w:val="nil"/>
              <w:bottom w:val="dotted" w:sz="4" w:space="0" w:color="7F7F7F" w:themeColor="text1" w:themeTint="80"/>
              <w:right w:val="nil"/>
            </w:tcBorders>
            <w:vAlign w:val="center"/>
            <w:hideMark/>
          </w:tcPr>
          <w:p w14:paraId="7A9AA76F" w14:textId="77777777" w:rsidR="00423593" w:rsidRPr="00423593" w:rsidRDefault="00423593" w:rsidP="00423593">
            <w:pPr>
              <w:rPr>
                <w:rFonts w:ascii="Century Gothic" w:eastAsia="Arial" w:hAnsi="Century Gothic" w:cs="Arial"/>
                <w:sz w:val="16"/>
                <w:szCs w:val="16"/>
                <w:lang w:val="es-ES" w:eastAsia="es-ES" w:bidi="es-ES"/>
              </w:rPr>
            </w:pPr>
            <w:r w:rsidRPr="00423593">
              <w:rPr>
                <w:rFonts w:ascii="Century Gothic" w:eastAsia="Arial" w:hAnsi="Century Gothic" w:cs="Arial"/>
                <w:sz w:val="16"/>
                <w:szCs w:val="16"/>
                <w:lang w:val="es-ES" w:eastAsia="es-ES" w:bidi="es-ES"/>
              </w:rPr>
              <w:t>Kevin Arlid Herrera Santa</w:t>
            </w:r>
          </w:p>
          <w:p w14:paraId="1A165360" w14:textId="77777777" w:rsidR="00423593" w:rsidRPr="00423593" w:rsidRDefault="00423593" w:rsidP="00423593">
            <w:pPr>
              <w:rPr>
                <w:rFonts w:ascii="Century Gothic" w:eastAsia="Arial" w:hAnsi="Century Gothic" w:cs="Arial"/>
                <w:sz w:val="16"/>
                <w:szCs w:val="16"/>
                <w:lang w:val="es-ES" w:eastAsia="es-ES" w:bidi="es-ES"/>
              </w:rPr>
            </w:pPr>
            <w:r w:rsidRPr="00423593">
              <w:rPr>
                <w:rFonts w:ascii="Century Gothic" w:eastAsia="Arial" w:hAnsi="Century Gothic" w:cs="Arial"/>
                <w:sz w:val="16"/>
                <w:szCs w:val="16"/>
                <w:lang w:val="es-ES" w:eastAsia="es-ES" w:bidi="es-ES"/>
              </w:rPr>
              <w:t>Contratista de la Subdirección de Gestión Contractual</w:t>
            </w:r>
          </w:p>
        </w:tc>
      </w:tr>
      <w:tr w:rsidR="00423593" w:rsidRPr="00423593" w14:paraId="737C1934" w14:textId="77777777" w:rsidTr="00AE3025">
        <w:trPr>
          <w:trHeight w:val="299"/>
        </w:trPr>
        <w:tc>
          <w:tcPr>
            <w:tcW w:w="855" w:type="dxa"/>
            <w:vAlign w:val="center"/>
            <w:hideMark/>
          </w:tcPr>
          <w:p w14:paraId="5CC43A36" w14:textId="77777777" w:rsidR="00423593" w:rsidRPr="00423593" w:rsidRDefault="00423593" w:rsidP="00423593">
            <w:pPr>
              <w:rPr>
                <w:rFonts w:ascii="Century Gothic" w:eastAsia="Arial" w:hAnsi="Century Gothic" w:cs="Arial"/>
                <w:sz w:val="16"/>
                <w:szCs w:val="16"/>
                <w:lang w:val="es-ES" w:eastAsia="es-ES" w:bidi="es-ES"/>
              </w:rPr>
            </w:pPr>
            <w:r w:rsidRPr="00423593">
              <w:rPr>
                <w:rFonts w:ascii="Century Gothic" w:eastAsia="Arial" w:hAnsi="Century Gothic" w:cs="Arial"/>
                <w:sz w:val="16"/>
                <w:szCs w:val="16"/>
                <w:lang w:val="es-ES" w:eastAsia="es-ES" w:bidi="es-ES"/>
              </w:rPr>
              <w:t>Revisó:</w:t>
            </w:r>
          </w:p>
        </w:tc>
        <w:tc>
          <w:tcPr>
            <w:tcW w:w="4674" w:type="dxa"/>
            <w:tcBorders>
              <w:top w:val="dotted" w:sz="4" w:space="0" w:color="7F7F7F" w:themeColor="text1" w:themeTint="80"/>
              <w:left w:val="nil"/>
              <w:bottom w:val="dotted" w:sz="4" w:space="0" w:color="7F7F7F" w:themeColor="text1" w:themeTint="80"/>
              <w:right w:val="nil"/>
            </w:tcBorders>
            <w:vAlign w:val="center"/>
            <w:hideMark/>
          </w:tcPr>
          <w:p w14:paraId="6EFA10F1" w14:textId="77777777" w:rsidR="00423593" w:rsidRPr="00423593" w:rsidRDefault="00423593" w:rsidP="00423593">
            <w:pPr>
              <w:rPr>
                <w:rFonts w:ascii="Century Gothic" w:eastAsia="Arial" w:hAnsi="Century Gothic" w:cs="Arial"/>
                <w:sz w:val="16"/>
                <w:szCs w:val="16"/>
                <w:lang w:val="es-ES" w:eastAsia="es-ES" w:bidi="es-ES"/>
              </w:rPr>
            </w:pPr>
            <w:r w:rsidRPr="00423593">
              <w:rPr>
                <w:rFonts w:ascii="Century Gothic" w:eastAsia="Arial" w:hAnsi="Century Gothic" w:cs="Arial"/>
                <w:sz w:val="16"/>
                <w:szCs w:val="16"/>
                <w:lang w:val="es-ES" w:eastAsia="es-ES" w:bidi="es-ES"/>
              </w:rPr>
              <w:t xml:space="preserve">Adriana </w:t>
            </w:r>
            <w:proofErr w:type="spellStart"/>
            <w:r w:rsidRPr="00423593">
              <w:rPr>
                <w:rFonts w:ascii="Century Gothic" w:eastAsia="Arial" w:hAnsi="Century Gothic" w:cs="Arial"/>
                <w:sz w:val="16"/>
                <w:szCs w:val="16"/>
                <w:lang w:val="es-ES" w:eastAsia="es-ES" w:bidi="es-ES"/>
              </w:rPr>
              <w:t>Katerine</w:t>
            </w:r>
            <w:proofErr w:type="spellEnd"/>
            <w:r w:rsidRPr="00423593">
              <w:rPr>
                <w:rFonts w:ascii="Century Gothic" w:eastAsia="Arial" w:hAnsi="Century Gothic" w:cs="Arial"/>
                <w:sz w:val="16"/>
                <w:szCs w:val="16"/>
                <w:lang w:val="es-ES" w:eastAsia="es-ES" w:bidi="es-ES"/>
              </w:rPr>
              <w:t xml:space="preserve"> López Rodríguez</w:t>
            </w:r>
          </w:p>
          <w:p w14:paraId="0A68D9E7" w14:textId="77777777" w:rsidR="00423593" w:rsidRPr="00423593" w:rsidRDefault="00423593" w:rsidP="00423593">
            <w:pPr>
              <w:rPr>
                <w:rFonts w:ascii="Century Gothic" w:eastAsia="Arial" w:hAnsi="Century Gothic" w:cs="Arial"/>
                <w:sz w:val="16"/>
                <w:szCs w:val="16"/>
                <w:lang w:val="es-ES" w:eastAsia="es-ES" w:bidi="es-ES"/>
              </w:rPr>
            </w:pPr>
            <w:r w:rsidRPr="00423593">
              <w:rPr>
                <w:rFonts w:ascii="Century Gothic" w:eastAsia="Arial" w:hAnsi="Century Gothic" w:cs="Arial"/>
                <w:sz w:val="16"/>
                <w:szCs w:val="16"/>
                <w:lang w:val="es-ES" w:eastAsia="es-ES" w:bidi="es-ES"/>
              </w:rPr>
              <w:t xml:space="preserve">Contratista de la Subdirección de Gestión Contractual  </w:t>
            </w:r>
          </w:p>
        </w:tc>
      </w:tr>
      <w:tr w:rsidR="00423593" w:rsidRPr="00423593" w14:paraId="213DECF1" w14:textId="77777777" w:rsidTr="00AE3025">
        <w:trPr>
          <w:trHeight w:val="272"/>
        </w:trPr>
        <w:tc>
          <w:tcPr>
            <w:tcW w:w="855" w:type="dxa"/>
            <w:vAlign w:val="center"/>
            <w:hideMark/>
          </w:tcPr>
          <w:p w14:paraId="7ADFD91F" w14:textId="77777777" w:rsidR="00423593" w:rsidRPr="00423593" w:rsidRDefault="00423593" w:rsidP="00423593">
            <w:pPr>
              <w:rPr>
                <w:rFonts w:ascii="Century Gothic" w:eastAsia="Arial" w:hAnsi="Century Gothic" w:cs="Arial"/>
                <w:sz w:val="16"/>
                <w:szCs w:val="16"/>
                <w:lang w:val="es-ES" w:eastAsia="es-ES" w:bidi="es-ES"/>
              </w:rPr>
            </w:pPr>
            <w:r w:rsidRPr="00423593">
              <w:rPr>
                <w:rFonts w:ascii="Century Gothic" w:eastAsia="Arial" w:hAnsi="Century Gothic" w:cs="Arial"/>
                <w:sz w:val="16"/>
                <w:szCs w:val="16"/>
                <w:lang w:val="es-ES" w:eastAsia="es-ES" w:bidi="es-ES"/>
              </w:rPr>
              <w:t>Aprobó:</w:t>
            </w:r>
          </w:p>
        </w:tc>
        <w:tc>
          <w:tcPr>
            <w:tcW w:w="4674" w:type="dxa"/>
            <w:tcBorders>
              <w:top w:val="dotted" w:sz="4" w:space="0" w:color="7F7F7F" w:themeColor="text1" w:themeTint="80"/>
              <w:left w:val="nil"/>
              <w:bottom w:val="dotted" w:sz="4" w:space="0" w:color="7F7F7F" w:themeColor="text1" w:themeTint="80"/>
              <w:right w:val="nil"/>
            </w:tcBorders>
            <w:vAlign w:val="center"/>
            <w:hideMark/>
          </w:tcPr>
          <w:p w14:paraId="78997691" w14:textId="77777777" w:rsidR="00423593" w:rsidRPr="00423593" w:rsidRDefault="00423593" w:rsidP="00423593">
            <w:pPr>
              <w:rPr>
                <w:rFonts w:ascii="Century Gothic" w:eastAsia="Arial" w:hAnsi="Century Gothic" w:cs="Arial"/>
                <w:sz w:val="16"/>
                <w:szCs w:val="16"/>
                <w:lang w:val="es-ES" w:eastAsia="es-ES" w:bidi="es-ES"/>
              </w:rPr>
            </w:pPr>
            <w:r w:rsidRPr="00423593">
              <w:rPr>
                <w:rFonts w:ascii="Century Gothic" w:eastAsia="Arial" w:hAnsi="Century Gothic" w:cs="Arial"/>
                <w:sz w:val="16"/>
                <w:szCs w:val="16"/>
                <w:lang w:val="es-ES" w:eastAsia="es-ES" w:bidi="es-ES"/>
              </w:rPr>
              <w:t xml:space="preserve">Nohelia del Carmen </w:t>
            </w:r>
            <w:proofErr w:type="spellStart"/>
            <w:r w:rsidRPr="00423593">
              <w:rPr>
                <w:rFonts w:ascii="Century Gothic" w:eastAsia="Arial" w:hAnsi="Century Gothic" w:cs="Arial"/>
                <w:sz w:val="16"/>
                <w:szCs w:val="16"/>
                <w:lang w:val="es-ES" w:eastAsia="es-ES" w:bidi="es-ES"/>
              </w:rPr>
              <w:t>Zawady</w:t>
            </w:r>
            <w:proofErr w:type="spellEnd"/>
            <w:r w:rsidRPr="00423593">
              <w:rPr>
                <w:rFonts w:ascii="Century Gothic" w:eastAsia="Arial" w:hAnsi="Century Gothic" w:cs="Arial"/>
                <w:sz w:val="16"/>
                <w:szCs w:val="16"/>
                <w:lang w:val="es-ES" w:eastAsia="es-ES" w:bidi="es-ES"/>
              </w:rPr>
              <w:t xml:space="preserve"> Palacio</w:t>
            </w:r>
          </w:p>
          <w:p w14:paraId="32667FB4" w14:textId="77777777" w:rsidR="00423593" w:rsidRPr="00423593" w:rsidRDefault="00423593" w:rsidP="00423593">
            <w:pPr>
              <w:rPr>
                <w:rFonts w:ascii="Century Gothic" w:eastAsia="Arial" w:hAnsi="Century Gothic" w:cs="Arial"/>
                <w:sz w:val="16"/>
                <w:szCs w:val="16"/>
                <w:lang w:val="es-ES" w:eastAsia="es-ES" w:bidi="es-ES"/>
              </w:rPr>
            </w:pPr>
            <w:r w:rsidRPr="00423593">
              <w:rPr>
                <w:rFonts w:ascii="Century Gothic" w:eastAsia="Arial" w:hAnsi="Century Gothic" w:cs="Arial"/>
                <w:sz w:val="16"/>
                <w:szCs w:val="16"/>
                <w:lang w:val="es-ES" w:eastAsia="es-ES" w:bidi="es-ES"/>
              </w:rPr>
              <w:t>Subdirectora de Gestión Contractual ANCP – CCE</w:t>
            </w:r>
          </w:p>
        </w:tc>
      </w:tr>
      <w:bookmarkEnd w:id="15"/>
    </w:tbl>
    <w:p w14:paraId="5FB79724" w14:textId="77777777" w:rsidR="00423593" w:rsidRPr="00423593" w:rsidRDefault="00423593" w:rsidP="00423593">
      <w:pPr>
        <w:widowControl w:val="0"/>
        <w:autoSpaceDE w:val="0"/>
        <w:autoSpaceDN w:val="0"/>
        <w:spacing w:after="18"/>
        <w:jc w:val="center"/>
        <w:rPr>
          <w:rFonts w:ascii="Century Gothic" w:eastAsia="Arial" w:hAnsi="Century Gothic" w:cs="Arial"/>
          <w:lang w:val="es-ES" w:eastAsia="es-CO" w:bidi="es-ES"/>
        </w:rPr>
      </w:pPr>
    </w:p>
    <w:p w14:paraId="212E25C2" w14:textId="77777777" w:rsidR="00423593" w:rsidRPr="00423593" w:rsidRDefault="00423593" w:rsidP="00423593">
      <w:pPr>
        <w:widowControl w:val="0"/>
        <w:autoSpaceDE w:val="0"/>
        <w:autoSpaceDN w:val="0"/>
        <w:rPr>
          <w:rFonts w:ascii="Century Gothic" w:eastAsia="Arial" w:hAnsi="Century Gothic" w:cs="Arial"/>
          <w:lang w:val="es-ES" w:eastAsia="es-ES" w:bidi="es-ES"/>
        </w:rPr>
      </w:pPr>
    </w:p>
    <w:p w14:paraId="026B499D" w14:textId="77777777" w:rsidR="00423593" w:rsidRPr="00423593" w:rsidRDefault="00423593" w:rsidP="00423593">
      <w:pPr>
        <w:widowControl w:val="0"/>
        <w:autoSpaceDE w:val="0"/>
        <w:autoSpaceDN w:val="0"/>
        <w:rPr>
          <w:rFonts w:ascii="Century Gothic" w:eastAsia="Arial" w:hAnsi="Century Gothic" w:cs="Arial"/>
          <w:lang w:val="es-ES" w:eastAsia="es-ES" w:bidi="es-ES"/>
        </w:rPr>
      </w:pPr>
    </w:p>
    <w:p w14:paraId="68F3C01C" w14:textId="77777777" w:rsidR="00423593" w:rsidRPr="00423593" w:rsidRDefault="00423593" w:rsidP="00423593">
      <w:pPr>
        <w:widowControl w:val="0"/>
        <w:autoSpaceDE w:val="0"/>
        <w:autoSpaceDN w:val="0"/>
        <w:spacing w:line="276" w:lineRule="auto"/>
        <w:jc w:val="both"/>
        <w:rPr>
          <w:rFonts w:ascii="Century Gothic" w:eastAsia="Times New Roman" w:hAnsi="Century Gothic" w:cs="Arial"/>
          <w:sz w:val="18"/>
          <w:szCs w:val="18"/>
          <w:lang w:val="es-ES_tradnl" w:eastAsia="es-CO" w:bidi="es-ES"/>
        </w:rPr>
      </w:pPr>
    </w:p>
    <w:p w14:paraId="6A1DD53A" w14:textId="77777777" w:rsidR="00423593" w:rsidRPr="00423593" w:rsidRDefault="00423593" w:rsidP="00423593">
      <w:pPr>
        <w:widowControl w:val="0"/>
        <w:autoSpaceDE w:val="0"/>
        <w:autoSpaceDN w:val="0"/>
        <w:spacing w:line="276" w:lineRule="auto"/>
        <w:jc w:val="both"/>
        <w:rPr>
          <w:rFonts w:ascii="Century Gothic" w:eastAsia="Times New Roman" w:hAnsi="Century Gothic" w:cs="Arial"/>
          <w:sz w:val="18"/>
          <w:szCs w:val="18"/>
          <w:lang w:val="es-ES_tradnl" w:eastAsia="es-CO" w:bidi="es-ES"/>
        </w:rPr>
      </w:pPr>
    </w:p>
    <w:p w14:paraId="158A07DC" w14:textId="77777777" w:rsidR="00423593" w:rsidRPr="00423593" w:rsidRDefault="00423593" w:rsidP="00423593">
      <w:pPr>
        <w:spacing w:line="276" w:lineRule="auto"/>
        <w:jc w:val="both"/>
        <w:rPr>
          <w:rFonts w:ascii="Century Gothic" w:eastAsia="Times New Roman" w:hAnsi="Century Gothic" w:cs="Arial"/>
          <w:sz w:val="16"/>
          <w:szCs w:val="16"/>
          <w:lang w:eastAsia="es-ES"/>
        </w:rPr>
      </w:pPr>
    </w:p>
    <w:p w14:paraId="6B5C4B13" w14:textId="77777777" w:rsidR="00423593" w:rsidRPr="00423593" w:rsidRDefault="00423593" w:rsidP="00423593">
      <w:pPr>
        <w:rPr>
          <w:rFonts w:ascii="Century Gothic" w:hAnsi="Century Gothic"/>
        </w:rPr>
      </w:pPr>
    </w:p>
    <w:p w14:paraId="4EB91508" w14:textId="77777777" w:rsidR="00423593" w:rsidRPr="00423593" w:rsidRDefault="00423593" w:rsidP="00423593">
      <w:pPr>
        <w:contextualSpacing/>
        <w:jc w:val="both"/>
        <w:rPr>
          <w:rFonts w:ascii="Century Gothic" w:hAnsi="Century Gothic" w:cs="Arial"/>
          <w:color w:val="000000"/>
        </w:rPr>
      </w:pPr>
    </w:p>
    <w:p w14:paraId="2D68BAEF" w14:textId="77777777" w:rsidR="00423593" w:rsidRPr="00423593" w:rsidRDefault="00423593" w:rsidP="00423593">
      <w:pPr>
        <w:spacing w:after="0"/>
        <w:rPr>
          <w:rFonts w:ascii="Century Gothic" w:hAnsi="Century Gothic"/>
        </w:rPr>
      </w:pPr>
    </w:p>
    <w:p w14:paraId="7EBFAB6A" w14:textId="77777777" w:rsidR="005A6AA1" w:rsidRDefault="005A6AA1" w:rsidP="00400548">
      <w:pPr>
        <w:spacing w:after="0"/>
        <w:rPr>
          <w:rFonts w:ascii="Century Gothic" w:hAnsi="Century Gothic"/>
          <w:lang w:val="es-MX"/>
        </w:rPr>
      </w:pPr>
    </w:p>
    <w:sectPr w:rsidR="005A6AA1" w:rsidSect="004368BC">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4F14" w14:textId="77777777" w:rsidR="005E3EAE" w:rsidRDefault="005E3EAE" w:rsidP="004A1847">
      <w:pPr>
        <w:spacing w:after="0" w:line="240" w:lineRule="auto"/>
      </w:pPr>
      <w:r>
        <w:separator/>
      </w:r>
    </w:p>
  </w:endnote>
  <w:endnote w:type="continuationSeparator" w:id="0">
    <w:p w14:paraId="1BAF7948" w14:textId="77777777" w:rsidR="005E3EAE" w:rsidRDefault="005E3EAE" w:rsidP="004A1847">
      <w:pPr>
        <w:spacing w:after="0" w:line="240" w:lineRule="auto"/>
      </w:pPr>
      <w:r>
        <w:continuationSeparator/>
      </w:r>
    </w:p>
  </w:endnote>
  <w:endnote w:type="continuationNotice" w:id="1">
    <w:p w14:paraId="00B8129F" w14:textId="77777777" w:rsidR="005E3EAE" w:rsidRDefault="005E3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F8136" w14:textId="77777777" w:rsidR="005E3EAE" w:rsidRDefault="005E3EAE" w:rsidP="004A1847">
      <w:pPr>
        <w:spacing w:after="0" w:line="240" w:lineRule="auto"/>
      </w:pPr>
      <w:r>
        <w:separator/>
      </w:r>
    </w:p>
  </w:footnote>
  <w:footnote w:type="continuationSeparator" w:id="0">
    <w:p w14:paraId="30F57281" w14:textId="77777777" w:rsidR="005E3EAE" w:rsidRDefault="005E3EAE" w:rsidP="004A1847">
      <w:pPr>
        <w:spacing w:after="0" w:line="240" w:lineRule="auto"/>
      </w:pPr>
      <w:r>
        <w:continuationSeparator/>
      </w:r>
    </w:p>
  </w:footnote>
  <w:footnote w:type="continuationNotice" w:id="1">
    <w:p w14:paraId="701A083C" w14:textId="77777777" w:rsidR="005E3EAE" w:rsidRDefault="005E3EAE">
      <w:pPr>
        <w:spacing w:after="0" w:line="240" w:lineRule="auto"/>
      </w:pPr>
    </w:p>
  </w:footnote>
  <w:footnote w:id="2">
    <w:p w14:paraId="6DD9FC04" w14:textId="77777777" w:rsidR="00423593" w:rsidRPr="00B3208F" w:rsidRDefault="00423593" w:rsidP="00423593">
      <w:pPr>
        <w:pStyle w:val="Textonotapie"/>
        <w:ind w:firstLine="708"/>
        <w:jc w:val="both"/>
        <w:rPr>
          <w:rFonts w:ascii="Century Gothic" w:hAnsi="Century Gothic" w:cs="Arial"/>
          <w:sz w:val="16"/>
          <w:szCs w:val="16"/>
        </w:rPr>
      </w:pPr>
      <w:r w:rsidRPr="00B3208F">
        <w:rPr>
          <w:rStyle w:val="Refdenotaalpie"/>
          <w:rFonts w:ascii="Century Gothic" w:hAnsi="Century Gothic" w:cs="Arial"/>
          <w:sz w:val="16"/>
          <w:szCs w:val="16"/>
        </w:rPr>
        <w:footnoteRef/>
      </w:r>
      <w:r w:rsidRPr="00B3208F">
        <w:rPr>
          <w:rFonts w:ascii="Century Gothic" w:hAnsi="Century Gothic" w:cs="Arial"/>
          <w:sz w:val="16"/>
          <w:szCs w:val="16"/>
        </w:rPr>
        <w:t xml:space="preserve"> La Agencia Nacional de Contratación Pública </w:t>
      </w:r>
      <w:r w:rsidRPr="00B3208F">
        <w:rPr>
          <w:rFonts w:ascii="Arial" w:hAnsi="Arial" w:cs="Arial"/>
          <w:sz w:val="16"/>
          <w:szCs w:val="16"/>
        </w:rPr>
        <w:t>‒</w:t>
      </w:r>
      <w:r w:rsidRPr="00B3208F">
        <w:rPr>
          <w:rFonts w:ascii="Century Gothic" w:hAnsi="Century Gothic" w:cs="Arial"/>
          <w:sz w:val="16"/>
          <w:szCs w:val="16"/>
        </w:rPr>
        <w:t xml:space="preserve"> Colombia Compra Eficiente fue creada por el Decreto Ley 4170 de 2011. Su objetivo es servir como ente rector de la pol</w:t>
      </w:r>
      <w:r w:rsidRPr="00B3208F">
        <w:rPr>
          <w:rFonts w:ascii="Century Gothic" w:hAnsi="Century Gothic" w:cs="Century Gothic"/>
          <w:sz w:val="16"/>
          <w:szCs w:val="16"/>
        </w:rPr>
        <w:t>í</w:t>
      </w:r>
      <w:r w:rsidRPr="00B3208F">
        <w:rPr>
          <w:rFonts w:ascii="Century Gothic" w:hAnsi="Century Gothic" w:cs="Arial"/>
          <w:sz w:val="16"/>
          <w:szCs w:val="16"/>
        </w:rPr>
        <w:t>tica de compras y contrataci</w:t>
      </w:r>
      <w:r w:rsidRPr="00B3208F">
        <w:rPr>
          <w:rFonts w:ascii="Century Gothic" w:hAnsi="Century Gothic" w:cs="Century Gothic"/>
          <w:sz w:val="16"/>
          <w:szCs w:val="16"/>
        </w:rPr>
        <w:t>ó</w:t>
      </w:r>
      <w:r w:rsidRPr="00B3208F">
        <w:rPr>
          <w:rFonts w:ascii="Century Gothic" w:hAnsi="Century Gothic" w:cs="Arial"/>
          <w:sz w:val="16"/>
          <w:szCs w:val="16"/>
        </w:rPr>
        <w:t xml:space="preserve">n del Estado. Para tales fines, como </w:t>
      </w:r>
      <w:r w:rsidRPr="00B3208F">
        <w:rPr>
          <w:rFonts w:ascii="Century Gothic" w:hAnsi="Century Gothic" w:cs="Century Gothic"/>
          <w:sz w:val="16"/>
          <w:szCs w:val="16"/>
        </w:rPr>
        <w:t>ó</w:t>
      </w:r>
      <w:r w:rsidRPr="00B3208F">
        <w:rPr>
          <w:rFonts w:ascii="Century Gothic" w:hAnsi="Century Gothic" w:cs="Arial"/>
          <w:sz w:val="16"/>
          <w:szCs w:val="16"/>
        </w:rPr>
        <w:t>rgano t</w:t>
      </w:r>
      <w:r w:rsidRPr="00B3208F">
        <w:rPr>
          <w:rFonts w:ascii="Century Gothic" w:hAnsi="Century Gothic" w:cs="Century Gothic"/>
          <w:sz w:val="16"/>
          <w:szCs w:val="16"/>
        </w:rPr>
        <w:t>é</w:t>
      </w:r>
      <w:r w:rsidRPr="00B3208F">
        <w:rPr>
          <w:rFonts w:ascii="Century Gothic" w:hAnsi="Century Gothic" w:cs="Arial"/>
          <w:sz w:val="16"/>
          <w:szCs w:val="16"/>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B3208F">
        <w:rPr>
          <w:rFonts w:ascii="Century Gothic" w:hAnsi="Century Gothic" w:cs="Arial"/>
          <w:i/>
          <w:iCs/>
          <w:sz w:val="16"/>
          <w:szCs w:val="16"/>
        </w:rPr>
        <w:t xml:space="preserve">ibidem </w:t>
      </w:r>
      <w:r w:rsidRPr="00B3208F">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5EA61193" w14:textId="77777777" w:rsidR="00423593" w:rsidRPr="00B3208F" w:rsidRDefault="00423593" w:rsidP="00423593">
      <w:pPr>
        <w:pStyle w:val="Textonotapie"/>
        <w:ind w:firstLine="708"/>
        <w:jc w:val="both"/>
        <w:rPr>
          <w:rFonts w:ascii="Century Gothic" w:hAnsi="Century Gothic" w:cs="Arial"/>
          <w:sz w:val="16"/>
          <w:szCs w:val="16"/>
          <w:lang w:val="es-ES"/>
        </w:rPr>
      </w:pPr>
    </w:p>
  </w:footnote>
  <w:footnote w:id="3">
    <w:p w14:paraId="23FD1270" w14:textId="77777777" w:rsidR="00423593" w:rsidRPr="00B3208F" w:rsidRDefault="00423593" w:rsidP="00423593">
      <w:pPr>
        <w:pStyle w:val="Textonotapie"/>
        <w:ind w:firstLine="709"/>
        <w:jc w:val="both"/>
        <w:rPr>
          <w:rFonts w:ascii="Century Gothic" w:hAnsi="Century Gothic"/>
          <w:sz w:val="16"/>
          <w:szCs w:val="16"/>
        </w:rPr>
      </w:pPr>
      <w:r w:rsidRPr="00B3208F">
        <w:rPr>
          <w:rStyle w:val="Refdenotaalpie"/>
          <w:rFonts w:ascii="Century Gothic" w:hAnsi="Century Gothic"/>
          <w:sz w:val="16"/>
          <w:szCs w:val="16"/>
        </w:rPr>
        <w:footnoteRef/>
      </w:r>
      <w:r w:rsidRPr="00B3208F">
        <w:rPr>
          <w:rFonts w:ascii="Century Gothic" w:hAnsi="Century Gothic"/>
          <w:sz w:val="16"/>
          <w:szCs w:val="16"/>
        </w:rPr>
        <w:t xml:space="preserve"> </w:t>
      </w:r>
      <w:r w:rsidRPr="00B3208F">
        <w:rPr>
          <w:rFonts w:ascii="Century Gothic" w:hAnsi="Century Gothic" w:cs="Arial"/>
          <w:sz w:val="16"/>
          <w:szCs w:val="16"/>
        </w:rPr>
        <w:t xml:space="preserve">Los conceptos referenciados, así como otros expedidos por la Subdirección se encuentran disponibles para consulta pública en el portal de relatoría de la Agencia, al cual se puede acceder a través del siguiente enlace: </w:t>
      </w:r>
      <w:r w:rsidR="00000000">
        <w:fldChar w:fldCharType="begin"/>
      </w:r>
      <w:r w:rsidR="00000000">
        <w:instrText>HYPERLINK "https://relatoria.colombiacompra.gov.co/busqueda/conceptos"</w:instrText>
      </w:r>
      <w:r w:rsidR="00000000">
        <w:fldChar w:fldCharType="separate"/>
      </w:r>
      <w:r w:rsidRPr="00B3208F">
        <w:rPr>
          <w:rStyle w:val="Hipervnculo"/>
          <w:rFonts w:ascii="Century Gothic" w:hAnsi="Century Gothic" w:cs="Arial"/>
          <w:sz w:val="16"/>
          <w:szCs w:val="16"/>
        </w:rPr>
        <w:t>https://relatoria.colombiacompra.gov.co/busqueda/conceptos</w:t>
      </w:r>
      <w:r w:rsidR="00000000">
        <w:rPr>
          <w:rStyle w:val="Hipervnculo"/>
          <w:rFonts w:ascii="Century Gothic" w:hAnsi="Century Gothic" w:cs="Arial"/>
          <w:sz w:val="16"/>
          <w:szCs w:val="16"/>
        </w:rPr>
        <w:fldChar w:fldCharType="end"/>
      </w:r>
      <w:r w:rsidRPr="00B3208F">
        <w:rPr>
          <w:rStyle w:val="Hipervnculo"/>
          <w:rFonts w:ascii="Century Gothic" w:hAnsi="Century Gothic" w:cs="Arial"/>
          <w:sz w:val="16"/>
          <w:szCs w:val="16"/>
        </w:rPr>
        <w:t xml:space="preserve">. </w:t>
      </w:r>
      <w:r w:rsidRPr="00B3208F">
        <w:rPr>
          <w:rFonts w:ascii="Century Gothic" w:hAnsi="Century Gothic" w:cs="Arial"/>
          <w:sz w:val="16"/>
          <w:szCs w:val="16"/>
          <w:shd w:val="clear" w:color="auto" w:fill="E6E6E6"/>
        </w:rPr>
        <w:t xml:space="preserve"> </w:t>
      </w:r>
    </w:p>
  </w:footnote>
  <w:footnote w:id="4">
    <w:p w14:paraId="3EB92AF4" w14:textId="77777777" w:rsidR="00423593" w:rsidRPr="00B3208F" w:rsidRDefault="00423593" w:rsidP="00423593">
      <w:pPr>
        <w:pStyle w:val="Textonotapie"/>
        <w:ind w:firstLine="708"/>
        <w:jc w:val="both"/>
        <w:rPr>
          <w:rFonts w:ascii="Century Gothic" w:hAnsi="Century Gothic" w:cs="Arial"/>
          <w:sz w:val="16"/>
          <w:szCs w:val="16"/>
        </w:rPr>
      </w:pPr>
      <w:r w:rsidRPr="00B3208F">
        <w:rPr>
          <w:rStyle w:val="Refdenotaalpie"/>
          <w:rFonts w:ascii="Century Gothic" w:hAnsi="Century Gothic" w:cs="Arial"/>
          <w:sz w:val="16"/>
          <w:szCs w:val="16"/>
        </w:rPr>
        <w:footnoteRef/>
      </w:r>
      <w:r w:rsidRPr="00B3208F">
        <w:rPr>
          <w:rFonts w:ascii="Century Gothic" w:hAnsi="Century Gothic" w:cs="Arial"/>
          <w:sz w:val="16"/>
          <w:szCs w:val="16"/>
        </w:rPr>
        <w:t xml:space="preserve"> </w:t>
      </w:r>
      <w:r w:rsidRPr="00B3208F">
        <w:rPr>
          <w:rFonts w:ascii="Century Gothic" w:hAnsi="Century Gothic" w:cs="Arial"/>
          <w:sz w:val="16"/>
          <w:szCs w:val="16"/>
        </w:rPr>
        <w:t xml:space="preserve">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w:t>
      </w:r>
      <w:r w:rsidRPr="00B3208F">
        <w:rPr>
          <w:rFonts w:ascii="Century Gothic" w:hAnsi="Century Gothic" w:cs="Arial"/>
          <w:sz w:val="16"/>
          <w:szCs w:val="16"/>
        </w:rPr>
        <w:t>En consecuencia, los factores de escogencia y calificación que establezcan las entidades en los pliegos de condiciones o sus equivalentes, tendrán en cuenta los siguientes criterios:</w:t>
      </w:r>
    </w:p>
    <w:p w14:paraId="60B1AB6E" w14:textId="77777777" w:rsidR="00423593" w:rsidRPr="0015036C"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footnote>
  <w:footnote w:id="5">
    <w:p w14:paraId="1B0A7E2B" w14:textId="77777777" w:rsidR="00423593" w:rsidRPr="00B3208F" w:rsidRDefault="00423593" w:rsidP="00423593">
      <w:pPr>
        <w:pStyle w:val="Textonotapie"/>
        <w:ind w:firstLine="708"/>
        <w:jc w:val="both"/>
        <w:rPr>
          <w:rFonts w:ascii="Century Gothic" w:hAnsi="Century Gothic" w:cs="Arial"/>
          <w:sz w:val="16"/>
          <w:szCs w:val="16"/>
        </w:rPr>
      </w:pPr>
      <w:r w:rsidRPr="00B3208F">
        <w:rPr>
          <w:rStyle w:val="Refdenotaalpie"/>
          <w:rFonts w:ascii="Century Gothic" w:hAnsi="Century Gothic" w:cs="Arial"/>
          <w:sz w:val="16"/>
          <w:szCs w:val="16"/>
        </w:rPr>
        <w:footnoteRef/>
      </w:r>
      <w:r w:rsidRPr="00B3208F">
        <w:rPr>
          <w:rFonts w:ascii="Century Gothic" w:hAnsi="Century Gothic" w:cs="Arial"/>
          <w:sz w:val="16"/>
          <w:szCs w:val="16"/>
        </w:rPr>
        <w:t xml:space="preserve"> </w:t>
      </w:r>
      <w:r w:rsidRPr="00B3208F">
        <w:rPr>
          <w:rFonts w:ascii="Century Gothic" w:hAnsi="Century Gothic" w:cs="Arial"/>
          <w:sz w:val="16"/>
          <w:szCs w:val="16"/>
        </w:rPr>
        <w:t>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7C96FDFA" w14:textId="77777777" w:rsidR="00423593" w:rsidRPr="00B3208F" w:rsidRDefault="00423593" w:rsidP="00423593">
      <w:pPr>
        <w:pStyle w:val="Textonotapie"/>
        <w:ind w:firstLine="708"/>
        <w:jc w:val="both"/>
        <w:rPr>
          <w:rFonts w:ascii="Century Gothic" w:hAnsi="Century Gothic" w:cs="Arial"/>
          <w:sz w:val="16"/>
          <w:szCs w:val="16"/>
          <w:lang w:val="es-ES"/>
        </w:rPr>
      </w:pPr>
    </w:p>
  </w:footnote>
  <w:footnote w:id="6">
    <w:p w14:paraId="479A4F2A" w14:textId="77777777" w:rsidR="00423593" w:rsidRPr="00B3208F" w:rsidRDefault="00423593" w:rsidP="00423593">
      <w:pPr>
        <w:pStyle w:val="Textonotapie"/>
        <w:ind w:firstLine="708"/>
        <w:jc w:val="both"/>
        <w:rPr>
          <w:rFonts w:ascii="Century Gothic" w:hAnsi="Century Gothic" w:cs="Arial"/>
          <w:sz w:val="16"/>
          <w:szCs w:val="16"/>
        </w:rPr>
      </w:pPr>
      <w:r w:rsidRPr="00B3208F">
        <w:rPr>
          <w:rStyle w:val="Refdenotaalpie"/>
          <w:rFonts w:ascii="Century Gothic" w:hAnsi="Century Gothic" w:cs="Arial"/>
          <w:sz w:val="16"/>
          <w:szCs w:val="16"/>
        </w:rPr>
        <w:footnoteRef/>
      </w:r>
      <w:r w:rsidRPr="00B3208F">
        <w:rPr>
          <w:rFonts w:ascii="Century Gothic" w:hAnsi="Century Gothic" w:cs="Arial"/>
          <w:sz w:val="16"/>
          <w:szCs w:val="16"/>
        </w:rPr>
        <w:t xml:space="preserve"> </w:t>
      </w:r>
      <w:r w:rsidRPr="00B3208F">
        <w:rPr>
          <w:rFonts w:ascii="Century Gothic" w:hAnsi="Century Gothic" w:cs="Arial"/>
          <w:sz w:val="16"/>
          <w:szCs w:val="16"/>
        </w:rPr>
        <w:t>Decreto 1082 de 2015: “Artículo 2.2.1.1.1.5.3. Requisitos habilitantes contenidos en el RUP. Las cámaras de comercio, con base en la información a la que hace referencia el artículo anterior, deben verificar y certificar los siguientes requisitos habilitantes:</w:t>
      </w:r>
    </w:p>
    <w:p w14:paraId="05DBD51B"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1. Experiencia – Los contratos celebrados por el interesado para cada uno de los bienes, obras y servicios que ofrecerá a las Entidades Estatales, identificados con el Clasificador de Bienes y Servicios en el tercer nivel y su valor expresado en SMMLV.</w:t>
      </w:r>
    </w:p>
    <w:p w14:paraId="5D8B0DED"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w:t>
      </w:r>
    </w:p>
    <w:p w14:paraId="3AA221E0" w14:textId="77777777" w:rsidR="00423593" w:rsidRPr="00B3208F" w:rsidRDefault="00423593" w:rsidP="00423593">
      <w:pPr>
        <w:pStyle w:val="Textonotapie"/>
        <w:ind w:firstLine="708"/>
        <w:jc w:val="both"/>
        <w:rPr>
          <w:rFonts w:ascii="Century Gothic" w:hAnsi="Century Gothic" w:cs="Arial"/>
          <w:sz w:val="16"/>
          <w:szCs w:val="16"/>
          <w:lang w:val="es-ES"/>
        </w:rPr>
      </w:pPr>
    </w:p>
  </w:footnote>
  <w:footnote w:id="7">
    <w:p w14:paraId="78FA73FA" w14:textId="77777777" w:rsidR="00423593" w:rsidRPr="00B3208F" w:rsidRDefault="00423593" w:rsidP="00423593">
      <w:pPr>
        <w:pStyle w:val="Textonotapie"/>
        <w:ind w:firstLine="708"/>
        <w:jc w:val="both"/>
        <w:rPr>
          <w:rFonts w:ascii="Century Gothic" w:hAnsi="Century Gothic" w:cs="Arial"/>
          <w:sz w:val="16"/>
          <w:szCs w:val="16"/>
        </w:rPr>
      </w:pPr>
      <w:r w:rsidRPr="00B3208F">
        <w:rPr>
          <w:rStyle w:val="Refdenotaalpie"/>
          <w:rFonts w:ascii="Century Gothic" w:hAnsi="Century Gothic" w:cs="Arial"/>
          <w:sz w:val="16"/>
          <w:szCs w:val="16"/>
        </w:rPr>
        <w:footnoteRef/>
      </w:r>
      <w:r w:rsidRPr="00B3208F">
        <w:rPr>
          <w:rFonts w:ascii="Century Gothic" w:hAnsi="Century Gothic" w:cs="Arial"/>
          <w:sz w:val="16"/>
          <w:szCs w:val="16"/>
        </w:rPr>
        <w:t xml:space="preserve"> </w:t>
      </w:r>
      <w:r w:rsidRPr="00B3208F">
        <w:rPr>
          <w:rFonts w:ascii="Century Gothic" w:hAnsi="Century Gothic" w:cs="Arial"/>
          <w:sz w:val="16"/>
          <w:szCs w:val="16"/>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B402359"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w:t>
      </w:r>
    </w:p>
    <w:p w14:paraId="2698EBF8"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3A14C61"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6DFC036C" w14:textId="77777777" w:rsidR="00423593" w:rsidRPr="00B3208F" w:rsidRDefault="00423593" w:rsidP="00423593">
      <w:pPr>
        <w:pStyle w:val="Textonotapie"/>
        <w:jc w:val="both"/>
        <w:rPr>
          <w:rFonts w:ascii="Century Gothic" w:hAnsi="Century Gothic" w:cs="Arial"/>
          <w:sz w:val="16"/>
          <w:szCs w:val="16"/>
          <w:lang w:val="es-ES"/>
        </w:rPr>
      </w:pPr>
    </w:p>
  </w:footnote>
  <w:footnote w:id="8">
    <w:p w14:paraId="781C2C6F" w14:textId="77777777" w:rsidR="00423593" w:rsidRPr="00B3208F" w:rsidRDefault="00423593" w:rsidP="00423593">
      <w:pPr>
        <w:pStyle w:val="Textonotapie"/>
        <w:ind w:firstLine="708"/>
        <w:jc w:val="both"/>
        <w:rPr>
          <w:rFonts w:ascii="Century Gothic" w:hAnsi="Century Gothic" w:cs="Arial"/>
          <w:sz w:val="16"/>
          <w:szCs w:val="16"/>
        </w:rPr>
      </w:pPr>
      <w:r w:rsidRPr="00B3208F">
        <w:rPr>
          <w:rStyle w:val="Refdenotaalpie"/>
          <w:rFonts w:ascii="Century Gothic" w:hAnsi="Century Gothic" w:cs="Arial"/>
          <w:sz w:val="16"/>
          <w:szCs w:val="16"/>
        </w:rPr>
        <w:footnoteRef/>
      </w:r>
      <w:r w:rsidRPr="00B3208F">
        <w:rPr>
          <w:rFonts w:ascii="Century Gothic" w:hAnsi="Century Gothic" w:cs="Arial"/>
          <w:sz w:val="16"/>
          <w:szCs w:val="16"/>
        </w:rPr>
        <w:t xml:space="preserve"> </w:t>
      </w:r>
      <w:r w:rsidRPr="00B3208F">
        <w:rPr>
          <w:rFonts w:ascii="Century Gothic" w:hAnsi="Century Gothic" w:cs="Arial"/>
          <w:sz w:val="16"/>
          <w:szCs w:val="16"/>
        </w:rPr>
        <w:t>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BE1953C"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1.    Si es una persona natural:</w:t>
      </w:r>
    </w:p>
    <w:p w14:paraId="482702D3"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1.1. Bienes, obras y servicios que ofrecerá a las Entidades Estatales, identificados con el Clasificador de Bienes y Servicios en el tercer nivel.</w:t>
      </w:r>
    </w:p>
    <w:p w14:paraId="1BA44560"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08063CDC" w14:textId="77777777" w:rsidR="00423593" w:rsidRPr="00B3208F" w:rsidRDefault="00423593" w:rsidP="00423593">
      <w:pPr>
        <w:pStyle w:val="Textonotapie"/>
        <w:ind w:firstLine="708"/>
        <w:jc w:val="both"/>
        <w:rPr>
          <w:rFonts w:ascii="Century Gothic" w:hAnsi="Century Gothic" w:cs="Arial"/>
          <w:sz w:val="16"/>
          <w:szCs w:val="16"/>
          <w:lang w:val="es-ES"/>
        </w:rPr>
      </w:pPr>
    </w:p>
  </w:footnote>
  <w:footnote w:id="9">
    <w:p w14:paraId="7259743F" w14:textId="77777777" w:rsidR="00423593" w:rsidRPr="00B3208F" w:rsidRDefault="00423593" w:rsidP="00423593">
      <w:pPr>
        <w:pStyle w:val="Textonotapie"/>
        <w:ind w:firstLine="709"/>
        <w:jc w:val="both"/>
        <w:rPr>
          <w:rFonts w:ascii="Century Gothic" w:hAnsi="Century Gothic" w:cs="Arial"/>
          <w:sz w:val="16"/>
          <w:szCs w:val="16"/>
        </w:rPr>
      </w:pPr>
      <w:r w:rsidRPr="00B3208F">
        <w:rPr>
          <w:rStyle w:val="Refdenotaalpie"/>
          <w:rFonts w:ascii="Century Gothic" w:hAnsi="Century Gothic"/>
          <w:sz w:val="16"/>
          <w:szCs w:val="16"/>
        </w:rPr>
        <w:footnoteRef/>
      </w:r>
      <w:r w:rsidRPr="00B3208F">
        <w:rPr>
          <w:rFonts w:ascii="Century Gothic" w:hAnsi="Century Gothic"/>
          <w:sz w:val="16"/>
          <w:szCs w:val="16"/>
        </w:rPr>
        <w:t xml:space="preserve"> </w:t>
      </w:r>
      <w:bookmarkStart w:id="6" w:name="_Hlk110954603"/>
      <w:r w:rsidRPr="00B3208F">
        <w:rPr>
          <w:rFonts w:ascii="Century Gothic" w:hAnsi="Century Gothic" w:cs="Arial"/>
          <w:sz w:val="16"/>
          <w:szCs w:val="16"/>
        </w:rPr>
        <w:t xml:space="preserve">La versión actualizada puede ser consultada en: </w:t>
      </w:r>
      <w:hyperlink r:id="rId1" w:history="1">
        <w:r w:rsidRPr="00B3208F">
          <w:rPr>
            <w:rStyle w:val="Hipervnculo"/>
            <w:rFonts w:ascii="Century Gothic" w:hAnsi="Century Gothic" w:cs="Arial"/>
            <w:sz w:val="16"/>
            <w:szCs w:val="16"/>
          </w:rPr>
          <w:t>https://www.colombiacompra.gov.co/sites/cce_public/files/files_2020/cce-eicp-ma-04._manual_requisitos_habilitantes_v.02.pdf</w:t>
        </w:r>
      </w:hyperlink>
      <w:r w:rsidRPr="00B3208F">
        <w:rPr>
          <w:rFonts w:ascii="Century Gothic" w:hAnsi="Century Gothic" w:cs="Arial"/>
          <w:sz w:val="16"/>
          <w:szCs w:val="16"/>
          <w:u w:val="single"/>
        </w:rPr>
        <w:t>.</w:t>
      </w:r>
    </w:p>
    <w:bookmarkEnd w:id="6"/>
    <w:p w14:paraId="6CCD9B28" w14:textId="77777777" w:rsidR="00423593" w:rsidRPr="00B3208F" w:rsidRDefault="00423593" w:rsidP="00423593">
      <w:pPr>
        <w:pStyle w:val="Textonotapie"/>
        <w:jc w:val="both"/>
        <w:rPr>
          <w:rFonts w:ascii="Century Gothic" w:hAnsi="Century Gothic"/>
          <w:sz w:val="16"/>
          <w:szCs w:val="16"/>
          <w:lang w:val="es-CO"/>
        </w:rPr>
      </w:pPr>
    </w:p>
  </w:footnote>
  <w:footnote w:id="10">
    <w:p w14:paraId="26C63A8E" w14:textId="77777777" w:rsidR="00423593" w:rsidRPr="00B3208F" w:rsidRDefault="00423593" w:rsidP="00423593">
      <w:pPr>
        <w:pStyle w:val="Textonotapie"/>
        <w:ind w:firstLine="708"/>
        <w:jc w:val="both"/>
        <w:rPr>
          <w:rFonts w:ascii="Century Gothic" w:hAnsi="Century Gothic" w:cs="Arial"/>
          <w:sz w:val="16"/>
          <w:szCs w:val="16"/>
        </w:rPr>
      </w:pPr>
      <w:r w:rsidRPr="00B3208F">
        <w:rPr>
          <w:rStyle w:val="Refdenotaalpie"/>
          <w:rFonts w:ascii="Century Gothic" w:hAnsi="Century Gothic" w:cs="Arial"/>
          <w:sz w:val="16"/>
          <w:szCs w:val="16"/>
        </w:rPr>
        <w:footnoteRef/>
      </w:r>
      <w:r w:rsidRPr="00B3208F">
        <w:rPr>
          <w:rFonts w:ascii="Century Gothic" w:hAnsi="Century Gothic" w:cs="Arial"/>
          <w:sz w:val="16"/>
          <w:szCs w:val="16"/>
        </w:rPr>
        <w:t xml:space="preserve"> Colombia Compra Eficiente, Manual para determinar y verificar requisitos habilitantes en los procesos de contratación V2: </w:t>
      </w:r>
      <w:bookmarkStart w:id="7" w:name="_Hlk110954624"/>
      <w:r w:rsidRPr="00B3208F">
        <w:rPr>
          <w:rFonts w:ascii="Century Gothic" w:hAnsi="Century Gothic" w:cs="Arial"/>
          <w:sz w:val="16"/>
          <w:szCs w:val="16"/>
        </w:rPr>
        <w:t>“</w:t>
      </w:r>
      <w:r w:rsidRPr="00B3208F">
        <w:rPr>
          <w:rFonts w:ascii="Century Gothic" w:hAnsi="Century Gothic" w:cs="Arial"/>
          <w:sz w:val="16"/>
          <w:szCs w:val="16"/>
          <w:lang w:val="es-CO"/>
        </w:rPr>
        <w:t>Dentro de los requisitos habilitantes establecidos por el artículo 5 de la Ley 1150 de 2007 se destaca la experiencia, la cual debe ser entendida como el conocimiento del proponente derivado de su participación previa en actividades iguales o similares a las previstas en el objeto del contrato con contratantes públicos, privados, nacionales o extranjeros, ya sea directamente o en asocio con otra persona, como es el caso de los proponentes plurales, en cuyo evento la experiencia no deja de ser personal, sino que es proporcional a la participación como miembro de un consorcio o unión temporal, evento en el cual, por tratarse de esquemas asociativos, la experiencia es compartida</w:t>
      </w:r>
      <w:r w:rsidRPr="00B3208F">
        <w:rPr>
          <w:rFonts w:ascii="Century Gothic" w:hAnsi="Century Gothic" w:cs="Arial"/>
          <w:sz w:val="16"/>
          <w:szCs w:val="16"/>
        </w:rPr>
        <w:t>.</w:t>
      </w:r>
    </w:p>
    <w:p w14:paraId="1DC11827"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w:t>
      </w:r>
    </w:p>
    <w:p w14:paraId="13C85D59" w14:textId="77777777" w:rsidR="00423593" w:rsidRPr="00B3208F" w:rsidRDefault="00423593" w:rsidP="00423593">
      <w:pPr>
        <w:pStyle w:val="Textonotapie"/>
        <w:ind w:firstLine="708"/>
        <w:jc w:val="both"/>
        <w:rPr>
          <w:rFonts w:ascii="Century Gothic" w:hAnsi="Century Gothic" w:cs="Arial"/>
          <w:sz w:val="16"/>
          <w:szCs w:val="16"/>
          <w:lang w:val="es-CO"/>
        </w:rPr>
      </w:pPr>
      <w:r w:rsidRPr="00B3208F">
        <w:rPr>
          <w:rFonts w:ascii="Century Gothic" w:hAnsi="Century Gothic" w:cs="Arial"/>
          <w:sz w:val="16"/>
          <w:szCs w:val="16"/>
          <w:lang w:val="es-CO"/>
        </w:rPr>
        <w:t xml:space="preserve">Así mismo, la experiencia requerida en un Proceso de Contratación debe ser adecuada y proporcional a la naturaleza del contrato, su valor, complejidad y Riesgo. Es adecuada cuando es afín al tipo de actividades previstas en el objeto del negocio a celebrar. Por ejemplo, si es para prestar un servicio de aseo general, el proponente debe tener experiencia en tal servicio, sin que sea relevante el lugar en el cual lo haya ejecutado o quién fue el contratante. </w:t>
      </w:r>
    </w:p>
    <w:p w14:paraId="08B1D642"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lang w:val="es-CO"/>
        </w:rPr>
        <w:t xml:space="preserve">Es proporcional cuando tiene relación con el alcance, la cuantía, Riesgo y la complejidad del negocio a celebrar. Por ejemplo, en una obra pública con un presupuesto oficial de 100 SMMLV, la experiencia exigida es proporcional si se exige que los proponentes hayan participado en Procesos de Contratación entre 90 y 100 SMMLV del mismo tipo de obra. </w:t>
      </w:r>
    </w:p>
    <w:p w14:paraId="29755AEC"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w:t>
      </w:r>
    </w:p>
    <w:bookmarkEnd w:id="7"/>
  </w:footnote>
  <w:footnote w:id="11">
    <w:p w14:paraId="162DEB60" w14:textId="77777777" w:rsidR="00423593" w:rsidRPr="00B3208F" w:rsidRDefault="00423593" w:rsidP="00423593">
      <w:pPr>
        <w:pStyle w:val="Textonotapie"/>
        <w:ind w:firstLine="709"/>
        <w:jc w:val="both"/>
        <w:rPr>
          <w:rFonts w:ascii="Century Gothic" w:hAnsi="Century Gothic"/>
          <w:sz w:val="16"/>
          <w:szCs w:val="16"/>
          <w:lang w:val="es-CO"/>
        </w:rPr>
      </w:pPr>
      <w:r w:rsidRPr="00B3208F">
        <w:rPr>
          <w:rStyle w:val="Refdenotaalpie"/>
          <w:rFonts w:ascii="Century Gothic" w:hAnsi="Century Gothic"/>
          <w:sz w:val="16"/>
          <w:szCs w:val="16"/>
        </w:rPr>
        <w:footnoteRef/>
      </w:r>
      <w:r w:rsidRPr="00B3208F">
        <w:rPr>
          <w:rFonts w:ascii="Century Gothic" w:hAnsi="Century Gothic"/>
          <w:sz w:val="16"/>
          <w:szCs w:val="16"/>
        </w:rPr>
        <w:t xml:space="preserve"> </w:t>
      </w:r>
      <w:r w:rsidRPr="00B3208F">
        <w:rPr>
          <w:rFonts w:ascii="Century Gothic" w:hAnsi="Century Gothic" w:cs="Arial"/>
          <w:sz w:val="16"/>
          <w:szCs w:val="16"/>
          <w:lang w:val="es-CO"/>
        </w:rPr>
        <w:t>Consejo de Estado. Sección Tercera. Sentencia del 20 de abril del 2022. Radicación Nro. 54482. C.P.: Jaime Enrique Rodríguez Navas.</w:t>
      </w:r>
    </w:p>
  </w:footnote>
  <w:footnote w:id="12">
    <w:p w14:paraId="7AAB7AF8" w14:textId="77777777" w:rsidR="00423593" w:rsidRPr="00B3208F" w:rsidRDefault="00423593" w:rsidP="00423593">
      <w:pPr>
        <w:pStyle w:val="Textonotapie"/>
        <w:ind w:firstLine="708"/>
        <w:jc w:val="both"/>
        <w:rPr>
          <w:rFonts w:ascii="Century Gothic" w:hAnsi="Century Gothic" w:cs="Arial"/>
          <w:sz w:val="16"/>
          <w:szCs w:val="16"/>
        </w:rPr>
      </w:pPr>
      <w:r w:rsidRPr="00B3208F">
        <w:rPr>
          <w:rStyle w:val="Refdenotaalpie"/>
          <w:rFonts w:ascii="Century Gothic" w:hAnsi="Century Gothic" w:cs="Arial"/>
          <w:sz w:val="16"/>
          <w:szCs w:val="16"/>
        </w:rPr>
        <w:footnoteRef/>
      </w:r>
      <w:r w:rsidRPr="00B3208F">
        <w:rPr>
          <w:rFonts w:ascii="Century Gothic" w:hAnsi="Century Gothic" w:cs="Arial"/>
          <w:sz w:val="16"/>
          <w:szCs w:val="16"/>
        </w:rPr>
        <w:t xml:space="preserve"> Código de Comercio: “Artículo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14:paraId="1F9965AC"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El nombre de la sociedad disuelta deberá adicionarse siempre con la expresión ‘en liquidación’. Los encargados de realizarla responderán de los daños y perjuicios que se deriven por dicha omisión”.</w:t>
      </w:r>
    </w:p>
    <w:p w14:paraId="5ADE2869" w14:textId="77777777" w:rsidR="00423593" w:rsidRPr="00B3208F" w:rsidRDefault="00423593" w:rsidP="00423593">
      <w:pPr>
        <w:pStyle w:val="Textonotapie"/>
        <w:jc w:val="both"/>
        <w:rPr>
          <w:rFonts w:ascii="Century Gothic" w:hAnsi="Century Gothic" w:cs="Arial"/>
          <w:sz w:val="16"/>
          <w:szCs w:val="16"/>
          <w:lang w:val="es-CO"/>
        </w:rPr>
      </w:pPr>
    </w:p>
  </w:footnote>
  <w:footnote w:id="13">
    <w:p w14:paraId="17C13570" w14:textId="77777777" w:rsidR="00423593" w:rsidRPr="00B3208F" w:rsidRDefault="00423593" w:rsidP="00423593">
      <w:pPr>
        <w:pStyle w:val="Textonotapie"/>
        <w:ind w:firstLine="708"/>
        <w:jc w:val="both"/>
        <w:rPr>
          <w:rFonts w:ascii="Century Gothic" w:hAnsi="Century Gothic" w:cs="Arial"/>
          <w:sz w:val="16"/>
          <w:szCs w:val="16"/>
        </w:rPr>
      </w:pPr>
      <w:r w:rsidRPr="00B3208F">
        <w:rPr>
          <w:rStyle w:val="Refdenotaalpie"/>
          <w:rFonts w:ascii="Century Gothic" w:hAnsi="Century Gothic" w:cs="Arial"/>
          <w:sz w:val="16"/>
          <w:szCs w:val="16"/>
        </w:rPr>
        <w:footnoteRef/>
      </w:r>
      <w:r w:rsidRPr="00B3208F">
        <w:rPr>
          <w:rFonts w:ascii="Century Gothic" w:hAnsi="Century Gothic" w:cs="Arial"/>
          <w:sz w:val="16"/>
          <w:szCs w:val="16"/>
        </w:rPr>
        <w:t xml:space="preserve"> Ver artículos 225 y ss. del Código de Comercio.</w:t>
      </w:r>
    </w:p>
    <w:p w14:paraId="6A2BD5BD" w14:textId="77777777" w:rsidR="00423593" w:rsidRPr="00B3208F" w:rsidRDefault="00423593" w:rsidP="00423593">
      <w:pPr>
        <w:pStyle w:val="Textonotapie"/>
        <w:ind w:firstLine="708"/>
        <w:jc w:val="both"/>
        <w:rPr>
          <w:rFonts w:ascii="Century Gothic" w:hAnsi="Century Gothic" w:cs="Arial"/>
          <w:sz w:val="16"/>
          <w:szCs w:val="16"/>
          <w:lang w:val="es-CO"/>
        </w:rPr>
      </w:pPr>
      <w:r w:rsidRPr="00B3208F">
        <w:rPr>
          <w:rFonts w:ascii="Century Gothic" w:hAnsi="Century Gothic" w:cs="Arial"/>
          <w:sz w:val="16"/>
          <w:szCs w:val="16"/>
        </w:rPr>
        <w:t xml:space="preserve"> </w:t>
      </w:r>
    </w:p>
  </w:footnote>
  <w:footnote w:id="14">
    <w:p w14:paraId="2EB39B83" w14:textId="77777777" w:rsidR="00423593" w:rsidRPr="00B3208F" w:rsidRDefault="00423593" w:rsidP="00423593">
      <w:pPr>
        <w:pStyle w:val="Textonotapie"/>
        <w:ind w:firstLine="708"/>
        <w:jc w:val="both"/>
        <w:rPr>
          <w:rFonts w:ascii="Century Gothic" w:hAnsi="Century Gothic" w:cs="Arial"/>
          <w:sz w:val="16"/>
          <w:szCs w:val="16"/>
        </w:rPr>
      </w:pPr>
      <w:r w:rsidRPr="00B3208F">
        <w:rPr>
          <w:rStyle w:val="Refdenotaalpie"/>
          <w:rFonts w:ascii="Century Gothic" w:hAnsi="Century Gothic" w:cs="Arial"/>
          <w:sz w:val="16"/>
          <w:szCs w:val="16"/>
        </w:rPr>
        <w:footnoteRef/>
      </w:r>
      <w:r w:rsidRPr="00B3208F">
        <w:rPr>
          <w:rFonts w:ascii="Century Gothic" w:hAnsi="Century Gothic" w:cs="Arial"/>
          <w:sz w:val="16"/>
          <w:szCs w:val="16"/>
        </w:rPr>
        <w:t xml:space="preserve"> Código de Comercio: “Artículo 167. Reforma de contrato social por transformación de sociedad. Una sociedad podrá, antes de su disolución, adoptar cualquiera otra de las formas de la sociedad comercial reguladas en este Código, mediante una reforma del contrato social.</w:t>
      </w:r>
    </w:p>
    <w:p w14:paraId="3B61C0FD"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La transformación no producirá solución de continuidad en la existencia de la sociedad como persona jurídica, ni en sus actividades ni en su patrimonio”.</w:t>
      </w:r>
    </w:p>
    <w:p w14:paraId="30357FEE" w14:textId="77777777" w:rsidR="00423593" w:rsidRPr="00B3208F" w:rsidRDefault="00423593" w:rsidP="00423593">
      <w:pPr>
        <w:pStyle w:val="Textonotapie"/>
        <w:ind w:firstLine="708"/>
        <w:jc w:val="both"/>
        <w:rPr>
          <w:rFonts w:ascii="Century Gothic" w:hAnsi="Century Gothic" w:cs="Arial"/>
          <w:sz w:val="16"/>
          <w:szCs w:val="16"/>
        </w:rPr>
      </w:pPr>
    </w:p>
  </w:footnote>
  <w:footnote w:id="15">
    <w:p w14:paraId="0F799505" w14:textId="77777777" w:rsidR="00423593" w:rsidRPr="00B3208F" w:rsidRDefault="00423593" w:rsidP="00423593">
      <w:pPr>
        <w:pStyle w:val="Textonotapie"/>
        <w:ind w:firstLine="708"/>
        <w:jc w:val="both"/>
        <w:rPr>
          <w:rFonts w:ascii="Century Gothic" w:hAnsi="Century Gothic" w:cs="Arial"/>
          <w:sz w:val="16"/>
          <w:szCs w:val="16"/>
        </w:rPr>
      </w:pPr>
      <w:r w:rsidRPr="00B3208F">
        <w:rPr>
          <w:rStyle w:val="Refdenotaalpie"/>
          <w:rFonts w:ascii="Century Gothic" w:hAnsi="Century Gothic" w:cs="Arial"/>
          <w:sz w:val="16"/>
          <w:szCs w:val="16"/>
        </w:rPr>
        <w:footnoteRef/>
      </w:r>
      <w:r w:rsidRPr="00B3208F">
        <w:rPr>
          <w:rFonts w:ascii="Century Gothic" w:hAnsi="Century Gothic" w:cs="Arial"/>
          <w:sz w:val="16"/>
          <w:szCs w:val="16"/>
        </w:rPr>
        <w:t xml:space="preserve"> Ley 222 de 1995: “Artículo 3. Modalidades. Habrá escisión cuando:</w:t>
      </w:r>
    </w:p>
    <w:p w14:paraId="4656A633"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1. Una sociedad sin disolverse, transfiere en bloque una o varias partes de su patrimonio a una o más sociedades existentes o las destina a la creación de una o varias sociedades.</w:t>
      </w:r>
    </w:p>
    <w:p w14:paraId="0532D403"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2. Una sociedad se disuelve sin liquidarse, dividiendo su patrimonio en dos o más partes, que se transfieren a varias sociedades existentes o se destinan a la creación de nuevas sociedades.</w:t>
      </w:r>
    </w:p>
    <w:p w14:paraId="09FC36A2"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La sociedad o sociedades destinatarias de las transferencias resultantes de la escisión, se denominarán sociedades beneficiarias.</w:t>
      </w:r>
    </w:p>
    <w:p w14:paraId="2BC89987" w14:textId="77777777" w:rsidR="00423593" w:rsidRPr="00B3208F" w:rsidRDefault="00423593" w:rsidP="00423593">
      <w:pPr>
        <w:pStyle w:val="Textonotapie"/>
        <w:ind w:firstLine="708"/>
        <w:jc w:val="both"/>
        <w:rPr>
          <w:rFonts w:ascii="Century Gothic" w:hAnsi="Century Gothic" w:cs="Arial"/>
          <w:sz w:val="16"/>
          <w:szCs w:val="16"/>
          <w:lang w:val="es-CO"/>
        </w:rPr>
      </w:pPr>
      <w:r w:rsidRPr="00B3208F">
        <w:rPr>
          <w:rFonts w:ascii="Century Gothic" w:hAnsi="Century Gothic" w:cs="Arial"/>
          <w:sz w:val="16"/>
          <w:szCs w:val="16"/>
        </w:rPr>
        <w:t>Los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p>
  </w:footnote>
  <w:footnote w:id="16">
    <w:p w14:paraId="49B69E1E" w14:textId="77777777" w:rsidR="00423593" w:rsidRPr="00B3208F" w:rsidRDefault="00423593" w:rsidP="00423593">
      <w:pPr>
        <w:pStyle w:val="Textonotapie"/>
        <w:ind w:firstLine="708"/>
        <w:jc w:val="both"/>
        <w:rPr>
          <w:rFonts w:ascii="Century Gothic" w:hAnsi="Century Gothic" w:cs="Arial"/>
          <w:sz w:val="16"/>
          <w:szCs w:val="16"/>
        </w:rPr>
      </w:pPr>
      <w:r w:rsidRPr="00B3208F">
        <w:rPr>
          <w:rStyle w:val="Refdenotaalpie"/>
          <w:rFonts w:ascii="Century Gothic" w:hAnsi="Century Gothic" w:cs="Arial"/>
          <w:sz w:val="16"/>
          <w:szCs w:val="16"/>
        </w:rPr>
        <w:footnoteRef/>
      </w:r>
      <w:r w:rsidRPr="00B3208F">
        <w:rPr>
          <w:rFonts w:ascii="Century Gothic" w:hAnsi="Century Gothic" w:cs="Arial"/>
          <w:sz w:val="16"/>
          <w:szCs w:val="16"/>
        </w:rPr>
        <w:t xml:space="preserve"> Código de Comercio: “Artículo 172. Fusión de la sociedad-concepto. Habrá fusión cuando una o más sociedades se disuelvan, sin liquidarse, para ser absorbidas por otra o para crear una nueva.</w:t>
      </w:r>
    </w:p>
    <w:p w14:paraId="7DDCC913"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La absorbente o la nueva compañía adquirirá los derechos y obligaciones de la sociedad o sociedades disueltas al formalizarse el acuerdo de fusión”.</w:t>
      </w:r>
    </w:p>
    <w:p w14:paraId="1A1AD87D" w14:textId="77777777" w:rsidR="00423593" w:rsidRPr="00B3208F" w:rsidRDefault="00423593" w:rsidP="00423593">
      <w:pPr>
        <w:pStyle w:val="Textonotapie"/>
        <w:jc w:val="both"/>
        <w:rPr>
          <w:rFonts w:ascii="Century Gothic" w:hAnsi="Century Gothic" w:cs="Arial"/>
          <w:sz w:val="16"/>
          <w:szCs w:val="16"/>
          <w:lang w:val="es-CO"/>
        </w:rPr>
      </w:pPr>
    </w:p>
  </w:footnote>
  <w:footnote w:id="17">
    <w:p w14:paraId="12EFED2F" w14:textId="77777777" w:rsidR="00423593" w:rsidRPr="00B3208F" w:rsidRDefault="00423593" w:rsidP="00423593">
      <w:pPr>
        <w:pStyle w:val="Textonotapie"/>
        <w:ind w:firstLine="708"/>
        <w:jc w:val="both"/>
        <w:rPr>
          <w:rFonts w:ascii="Century Gothic" w:hAnsi="Century Gothic" w:cs="Arial"/>
          <w:sz w:val="16"/>
          <w:szCs w:val="16"/>
        </w:rPr>
      </w:pPr>
      <w:r w:rsidRPr="00B3208F">
        <w:rPr>
          <w:rStyle w:val="Refdenotaalpie"/>
          <w:rFonts w:ascii="Century Gothic" w:hAnsi="Century Gothic" w:cs="Arial"/>
          <w:sz w:val="16"/>
          <w:szCs w:val="16"/>
        </w:rPr>
        <w:footnoteRef/>
      </w:r>
      <w:r w:rsidRPr="00B3208F">
        <w:rPr>
          <w:rFonts w:ascii="Century Gothic" w:hAnsi="Century Gothic" w:cs="Arial"/>
          <w:sz w:val="16"/>
          <w:szCs w:val="16"/>
        </w:rPr>
        <w:t xml:space="preserve"> Código de Comercio: “Artículo 180. Formación de nueva sociedad que continua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p w14:paraId="196AD947" w14:textId="77777777" w:rsidR="00423593" w:rsidRPr="00B3208F" w:rsidRDefault="00423593" w:rsidP="00423593">
      <w:pPr>
        <w:pStyle w:val="Textonotapie"/>
        <w:ind w:firstLine="708"/>
        <w:jc w:val="both"/>
        <w:rPr>
          <w:rFonts w:ascii="Century Gothic" w:hAnsi="Century Gothic" w:cs="Arial"/>
          <w:sz w:val="16"/>
          <w:szCs w:val="16"/>
          <w:lang w:val="es-CO"/>
        </w:rPr>
      </w:pPr>
    </w:p>
  </w:footnote>
  <w:footnote w:id="18">
    <w:p w14:paraId="331E2AEC" w14:textId="77777777" w:rsidR="00423593" w:rsidRPr="00B3208F" w:rsidRDefault="00423593" w:rsidP="00423593">
      <w:pPr>
        <w:pStyle w:val="Textonotapie"/>
        <w:ind w:firstLine="708"/>
        <w:jc w:val="both"/>
        <w:rPr>
          <w:rFonts w:ascii="Century Gothic" w:hAnsi="Century Gothic" w:cs="Arial"/>
          <w:sz w:val="16"/>
          <w:szCs w:val="16"/>
        </w:rPr>
      </w:pPr>
      <w:r w:rsidRPr="00B3208F">
        <w:rPr>
          <w:rStyle w:val="Refdenotaalpie"/>
          <w:rFonts w:ascii="Century Gothic" w:hAnsi="Century Gothic" w:cs="Arial"/>
          <w:sz w:val="16"/>
          <w:szCs w:val="16"/>
        </w:rPr>
        <w:footnoteRef/>
      </w:r>
      <w:r w:rsidRPr="00B3208F">
        <w:rPr>
          <w:rFonts w:ascii="Century Gothic" w:hAnsi="Century Gothic" w:cs="Arial"/>
          <w:sz w:val="16"/>
          <w:szCs w:val="16"/>
        </w:rPr>
        <w:t xml:space="preserve"> Ley 1258 de 2008: “Artículo 33. Fusión abreviada. En aquellos casos en que una sociedad detente más del noventa (90%) de las acciones de una sociedad por acciones simplificada, aquella podrá absorber a esta, mediante determinación adoptada por los representantes legales o por</w:t>
      </w:r>
    </w:p>
    <w:p w14:paraId="27616711"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 xml:space="preserve"> las juntas directivas de las sociedades participantes en el proceso de fusión.</w:t>
      </w:r>
    </w:p>
    <w:p w14:paraId="5EBBCE04"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El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 Comercio.</w:t>
      </w:r>
    </w:p>
    <w:p w14:paraId="65DB5D4C" w14:textId="77777777" w:rsidR="00423593" w:rsidRPr="00B3208F" w:rsidRDefault="00423593" w:rsidP="00423593">
      <w:pPr>
        <w:pStyle w:val="Textonotapie"/>
        <w:ind w:firstLine="708"/>
        <w:jc w:val="both"/>
        <w:rPr>
          <w:rFonts w:ascii="Century Gothic" w:hAnsi="Century Gothic" w:cs="Arial"/>
          <w:sz w:val="16"/>
          <w:szCs w:val="16"/>
        </w:rPr>
      </w:pPr>
      <w:r w:rsidRPr="00B3208F">
        <w:rPr>
          <w:rFonts w:ascii="Century Gothic" w:hAnsi="Century Gothic" w:cs="Arial"/>
          <w:sz w:val="16"/>
          <w:szCs w:val="16"/>
        </w:rPr>
        <w:t>El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p>
    <w:p w14:paraId="2B971164" w14:textId="77777777" w:rsidR="00423593" w:rsidRPr="00B3208F" w:rsidRDefault="00423593" w:rsidP="00423593">
      <w:pPr>
        <w:pStyle w:val="Textonotapie"/>
        <w:ind w:firstLine="708"/>
        <w:jc w:val="both"/>
        <w:rPr>
          <w:rFonts w:ascii="Century Gothic" w:hAnsi="Century Gothic" w:cs="Arial"/>
          <w:sz w:val="16"/>
          <w:szCs w:val="16"/>
          <w:lang w:val="es-CO"/>
        </w:rPr>
      </w:pPr>
    </w:p>
  </w:footnote>
  <w:footnote w:id="19">
    <w:p w14:paraId="5D82E891" w14:textId="77777777" w:rsidR="00423593" w:rsidRPr="00B3208F" w:rsidRDefault="00423593" w:rsidP="00423593">
      <w:pPr>
        <w:pStyle w:val="Textonotapie"/>
        <w:ind w:firstLine="708"/>
        <w:jc w:val="both"/>
        <w:rPr>
          <w:rFonts w:ascii="Century Gothic" w:hAnsi="Century Gothic" w:cs="Arial"/>
          <w:sz w:val="16"/>
          <w:szCs w:val="16"/>
        </w:rPr>
      </w:pPr>
      <w:r w:rsidRPr="00B3208F">
        <w:rPr>
          <w:rStyle w:val="Refdenotaalpie"/>
          <w:rFonts w:ascii="Century Gothic" w:hAnsi="Century Gothic" w:cs="Arial"/>
          <w:sz w:val="16"/>
          <w:szCs w:val="16"/>
        </w:rPr>
        <w:footnoteRef/>
      </w:r>
      <w:r w:rsidRPr="00B3208F">
        <w:rPr>
          <w:rFonts w:ascii="Century Gothic" w:hAnsi="Century Gothic" w:cs="Arial"/>
          <w:sz w:val="16"/>
          <w:szCs w:val="16"/>
        </w:rPr>
        <w:t xml:space="preserve"> Superintendencia de Sociedades. Oficios 220-072759 del 14 de mayo de 2014, 220-100613 del 14 de julio de 2015, 220-079814 del 31 de agosto de 2015,220-142284 del 15 de julio de 2016, 095721 del 16 de junio de 2020.</w:t>
      </w:r>
    </w:p>
    <w:p w14:paraId="0220E835" w14:textId="77777777" w:rsidR="00423593" w:rsidRPr="00B3208F" w:rsidRDefault="00423593" w:rsidP="00423593">
      <w:pPr>
        <w:pStyle w:val="Textonotapie"/>
        <w:ind w:firstLine="708"/>
        <w:jc w:val="both"/>
        <w:rPr>
          <w:rFonts w:ascii="Century Gothic" w:hAnsi="Century Gothic" w:cs="Arial"/>
          <w:sz w:val="16"/>
          <w:szCs w:val="16"/>
          <w:lang w:val="es-CO"/>
        </w:rPr>
      </w:pPr>
    </w:p>
  </w:footnote>
  <w:footnote w:id="20">
    <w:p w14:paraId="4378F173" w14:textId="77777777" w:rsidR="00423593" w:rsidRPr="00B3208F" w:rsidRDefault="00423593" w:rsidP="00423593">
      <w:pPr>
        <w:pStyle w:val="Textonotapie"/>
        <w:ind w:firstLine="708"/>
        <w:rPr>
          <w:rFonts w:ascii="Century Gothic" w:hAnsi="Century Gothic"/>
          <w:sz w:val="16"/>
          <w:szCs w:val="16"/>
          <w:lang w:val="es-CO"/>
        </w:rPr>
      </w:pPr>
      <w:r w:rsidRPr="00B3208F">
        <w:rPr>
          <w:rStyle w:val="Refdenotaalpie"/>
          <w:rFonts w:ascii="Century Gothic" w:hAnsi="Century Gothic" w:cs="Arial"/>
          <w:sz w:val="16"/>
          <w:szCs w:val="16"/>
        </w:rPr>
        <w:footnoteRef/>
      </w:r>
      <w:r w:rsidRPr="00B3208F">
        <w:rPr>
          <w:rFonts w:ascii="Century Gothic" w:hAnsi="Century Gothic" w:cs="Arial"/>
          <w:sz w:val="16"/>
          <w:szCs w:val="16"/>
        </w:rPr>
        <w:t xml:space="preserve"> Superintendencia de Sociedades. Oficio 220- 063311 del 6 de abril de 2020.</w:t>
      </w:r>
    </w:p>
  </w:footnote>
  <w:footnote w:id="21">
    <w:p w14:paraId="11D3AB77" w14:textId="77777777" w:rsidR="00423593" w:rsidRPr="00B3208F" w:rsidRDefault="00423593" w:rsidP="00423593">
      <w:pPr>
        <w:pStyle w:val="Textonotapie"/>
        <w:ind w:firstLine="708"/>
        <w:jc w:val="both"/>
        <w:rPr>
          <w:rFonts w:ascii="Century Gothic" w:hAnsi="Century Gothic" w:cs="Arial"/>
          <w:sz w:val="16"/>
          <w:szCs w:val="16"/>
          <w:lang w:val="es-CO"/>
        </w:rPr>
      </w:pPr>
      <w:r w:rsidRPr="00B3208F">
        <w:rPr>
          <w:rStyle w:val="Refdenotaalpie"/>
          <w:rFonts w:ascii="Century Gothic" w:hAnsi="Century Gothic" w:cs="Arial"/>
          <w:sz w:val="16"/>
          <w:szCs w:val="16"/>
        </w:rPr>
        <w:footnoteRef/>
      </w:r>
      <w:r w:rsidRPr="00B3208F">
        <w:rPr>
          <w:rFonts w:ascii="Century Gothic" w:hAnsi="Century Gothic" w:cs="Arial"/>
          <w:sz w:val="16"/>
          <w:szCs w:val="16"/>
        </w:rPr>
        <w:t xml:space="preserve"> </w:t>
      </w:r>
      <w:r w:rsidRPr="00B3208F">
        <w:rPr>
          <w:rFonts w:ascii="Century Gothic" w:hAnsi="Century Gothic" w:cs="Arial"/>
          <w:sz w:val="16"/>
          <w:szCs w:val="16"/>
          <w:lang w:val="es-CO"/>
        </w:rPr>
        <w:t xml:space="preserve">Decreto 1082 de 2015: “Artículo 2.2.1.1.1.5.3. Requisitos habilitantes contenidos en el RUP. Las cámaras de comercio, con base en la información a la que hace referencia el artículo anterior, deben verificar y certificar los siguientes requisitos habilitantes: </w:t>
      </w:r>
    </w:p>
    <w:p w14:paraId="0065A0D1" w14:textId="77777777" w:rsidR="00423593" w:rsidRPr="00B3208F" w:rsidRDefault="00423593" w:rsidP="00423593">
      <w:pPr>
        <w:pStyle w:val="Textonotapie"/>
        <w:ind w:firstLine="708"/>
        <w:jc w:val="both"/>
        <w:rPr>
          <w:rFonts w:ascii="Century Gothic" w:hAnsi="Century Gothic" w:cs="Arial"/>
          <w:sz w:val="16"/>
          <w:szCs w:val="16"/>
          <w:lang w:val="es-CO"/>
        </w:rPr>
      </w:pPr>
      <w:r w:rsidRPr="00B3208F">
        <w:rPr>
          <w:rFonts w:ascii="Century Gothic" w:hAnsi="Century Gothic" w:cs="Arial"/>
          <w:sz w:val="16"/>
          <w:szCs w:val="16"/>
          <w:lang w:val="es-CO"/>
        </w:rPr>
        <w:t xml:space="preserve">1. Experiencia – Los contratos celebrados por el interesado para cada uno de los bienes, obras y servicios que ofrecerá a las Entidades Estatales, identificados con el Clasificador de Bienes y Servicios en el tercer nivel y su valor expresado en </w:t>
      </w:r>
      <w:proofErr w:type="spellStart"/>
      <w:r w:rsidRPr="00B3208F">
        <w:rPr>
          <w:rFonts w:ascii="Century Gothic" w:hAnsi="Century Gothic" w:cs="Arial"/>
          <w:sz w:val="16"/>
          <w:szCs w:val="16"/>
          <w:lang w:val="es-CO"/>
        </w:rPr>
        <w:t>smmlv</w:t>
      </w:r>
      <w:proofErr w:type="spellEnd"/>
      <w:r w:rsidRPr="00B3208F">
        <w:rPr>
          <w:rFonts w:ascii="Century Gothic" w:hAnsi="Century Gothic" w:cs="Arial"/>
          <w:sz w:val="16"/>
          <w:szCs w:val="16"/>
          <w:lang w:val="es-CO"/>
        </w:rPr>
        <w:t xml:space="preserve">. </w:t>
      </w:r>
    </w:p>
    <w:p w14:paraId="55D72853" w14:textId="77777777" w:rsidR="00423593" w:rsidRPr="00B3208F" w:rsidRDefault="00423593" w:rsidP="00423593">
      <w:pPr>
        <w:pStyle w:val="Textonotapie"/>
        <w:ind w:firstLine="708"/>
        <w:jc w:val="both"/>
        <w:rPr>
          <w:rFonts w:ascii="Century Gothic" w:hAnsi="Century Gothic"/>
          <w:sz w:val="16"/>
          <w:szCs w:val="16"/>
          <w:lang w:val="es-CO"/>
        </w:rPr>
      </w:pPr>
      <w:r w:rsidRPr="00B3208F">
        <w:rPr>
          <w:rFonts w:ascii="Century Gothic" w:hAnsi="Century Gothic" w:cs="Arial"/>
          <w:sz w:val="16"/>
          <w:szCs w:val="16"/>
          <w:lang w:val="es-CO"/>
        </w:rPr>
        <w:t xml:space="preserve">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w:t>
      </w:r>
      <w:proofErr w:type="spellStart"/>
      <w:r w:rsidRPr="00B3208F">
        <w:rPr>
          <w:rFonts w:ascii="Century Gothic" w:hAnsi="Century Gothic" w:cs="Arial"/>
          <w:sz w:val="16"/>
          <w:szCs w:val="16"/>
          <w:lang w:val="es-CO"/>
        </w:rPr>
        <w:t>smmlv</w:t>
      </w:r>
      <w:proofErr w:type="spellEnd"/>
      <w:r w:rsidRPr="00B3208F">
        <w:rPr>
          <w:rFonts w:ascii="Century Gothic" w:hAnsi="Century Gothic" w:cs="Arial"/>
          <w:sz w:val="16"/>
          <w:szCs w:val="16"/>
          <w:lang w:val="es-CO"/>
        </w:rPr>
        <w:t xml:space="preserve"> […]”.</w:t>
      </w:r>
    </w:p>
  </w:footnote>
  <w:footnote w:id="22">
    <w:p w14:paraId="1D52AB79" w14:textId="77777777" w:rsidR="0077752A" w:rsidRPr="00BA6AAF" w:rsidRDefault="0077752A" w:rsidP="0077752A">
      <w:pPr>
        <w:pStyle w:val="Textonotapie"/>
        <w:ind w:firstLine="708"/>
        <w:jc w:val="both"/>
        <w:rPr>
          <w:rFonts w:ascii="Century Gothic" w:hAnsi="Century Gothic" w:cs="Arial"/>
          <w:sz w:val="18"/>
          <w:szCs w:val="18"/>
        </w:rPr>
      </w:pPr>
      <w:r w:rsidRPr="00BA6AAF">
        <w:rPr>
          <w:rStyle w:val="Refdenotaalpie"/>
          <w:rFonts w:ascii="Century Gothic" w:hAnsi="Century Gothic" w:cs="Arial"/>
          <w:sz w:val="18"/>
          <w:szCs w:val="18"/>
        </w:rPr>
        <w:footnoteRef/>
      </w:r>
      <w:r w:rsidRPr="00BA6AAF">
        <w:rPr>
          <w:rFonts w:ascii="Century Gothic" w:hAnsi="Century Gothic"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07890AEA" w14:textId="77777777" w:rsidR="0077752A" w:rsidRPr="00BA6AAF" w:rsidRDefault="0077752A" w:rsidP="0077752A">
      <w:pPr>
        <w:pStyle w:val="Textonotapie"/>
        <w:ind w:firstLine="708"/>
        <w:jc w:val="both"/>
        <w:rPr>
          <w:rFonts w:ascii="Century Gothic" w:hAnsi="Century Gothic" w:cs="Arial"/>
          <w:sz w:val="18"/>
          <w:szCs w:val="18"/>
        </w:rPr>
      </w:pPr>
      <w:r w:rsidRPr="00BA6AAF">
        <w:rPr>
          <w:rFonts w:ascii="Century Gothic" w:hAnsi="Century Gothic" w:cs="Arial"/>
          <w:sz w:val="18"/>
          <w:szCs w:val="18"/>
        </w:rPr>
        <w:t xml:space="preserve">[…] </w:t>
      </w:r>
    </w:p>
    <w:p w14:paraId="2F747133" w14:textId="77777777" w:rsidR="0077752A" w:rsidRPr="00BA6AAF" w:rsidRDefault="0077752A" w:rsidP="0077752A">
      <w:pPr>
        <w:pStyle w:val="Textonotapie"/>
        <w:ind w:firstLine="708"/>
        <w:jc w:val="both"/>
        <w:rPr>
          <w:rFonts w:ascii="Century Gothic" w:hAnsi="Century Gothic" w:cs="Arial"/>
          <w:sz w:val="18"/>
          <w:szCs w:val="18"/>
        </w:rPr>
      </w:pPr>
      <w:r w:rsidRPr="00BA6AAF">
        <w:rPr>
          <w:rFonts w:ascii="Century Gothic" w:hAnsi="Century Gothic" w:cs="Arial"/>
          <w:sz w:val="18"/>
          <w:szCs w:val="18"/>
        </w:rPr>
        <w:t>2.1. Bienes, obras y servicios que ofrecerá a las Entidades Estatales, identificados con el Clasificador de Bienes y Servicios en el tercer nivel”.</w:t>
      </w:r>
    </w:p>
  </w:footnote>
  <w:footnote w:id="23">
    <w:p w14:paraId="2127823A" w14:textId="77777777" w:rsidR="0077752A" w:rsidRDefault="0077752A" w:rsidP="0077752A">
      <w:pPr>
        <w:pStyle w:val="Textonotapie"/>
        <w:ind w:firstLine="708"/>
        <w:jc w:val="both"/>
        <w:rPr>
          <w:rFonts w:ascii="Century Gothic" w:hAnsi="Century Gothic" w:cs="Arial"/>
          <w:sz w:val="18"/>
          <w:szCs w:val="18"/>
        </w:rPr>
      </w:pPr>
    </w:p>
    <w:p w14:paraId="03BBB69A" w14:textId="77777777" w:rsidR="0077752A" w:rsidRPr="00BA6AAF" w:rsidRDefault="0077752A" w:rsidP="0077752A">
      <w:pPr>
        <w:pStyle w:val="Textonotapie"/>
        <w:ind w:firstLine="708"/>
        <w:jc w:val="both"/>
        <w:rPr>
          <w:rFonts w:ascii="Century Gothic" w:hAnsi="Century Gothic" w:cs="Arial"/>
          <w:sz w:val="18"/>
          <w:szCs w:val="18"/>
        </w:rPr>
      </w:pPr>
      <w:r w:rsidRPr="00BA6AAF">
        <w:rPr>
          <w:rStyle w:val="Refdenotaalpie"/>
          <w:rFonts w:ascii="Century Gothic" w:hAnsi="Century Gothic" w:cs="Arial"/>
          <w:sz w:val="18"/>
          <w:szCs w:val="18"/>
        </w:rPr>
        <w:footnoteRef/>
      </w:r>
      <w:r w:rsidRPr="00BA6AAF">
        <w:rPr>
          <w:rFonts w:ascii="Century Gothic" w:hAnsi="Century Gothic"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358E904" w14:textId="77777777" w:rsidR="0077752A" w:rsidRPr="00BA6AAF" w:rsidRDefault="0077752A" w:rsidP="0077752A">
      <w:pPr>
        <w:pStyle w:val="Textonotapie"/>
        <w:ind w:firstLine="708"/>
        <w:jc w:val="both"/>
        <w:rPr>
          <w:rFonts w:ascii="Century Gothic" w:hAnsi="Century Gothic" w:cs="Arial"/>
          <w:sz w:val="18"/>
          <w:szCs w:val="18"/>
        </w:rPr>
      </w:pPr>
      <w:r w:rsidRPr="00BA6AAF">
        <w:rPr>
          <w:rFonts w:ascii="Century Gothic" w:hAnsi="Century Gothic" w:cs="Arial"/>
          <w:sz w:val="18"/>
          <w:szCs w:val="18"/>
        </w:rPr>
        <w:t xml:space="preserve">[…] </w:t>
      </w:r>
    </w:p>
    <w:p w14:paraId="14F02BB4" w14:textId="77777777" w:rsidR="0077752A" w:rsidRPr="00BA6AAF" w:rsidRDefault="0077752A" w:rsidP="0077752A">
      <w:pPr>
        <w:pStyle w:val="Textonotapie"/>
        <w:ind w:firstLine="708"/>
        <w:jc w:val="both"/>
        <w:rPr>
          <w:rFonts w:ascii="Century Gothic" w:hAnsi="Century Gothic" w:cs="Arial"/>
          <w:sz w:val="18"/>
          <w:szCs w:val="18"/>
          <w:lang w:val="es-CO"/>
        </w:rPr>
      </w:pPr>
      <w:r w:rsidRPr="00BA6AAF">
        <w:rPr>
          <w:rFonts w:ascii="Century Gothic" w:hAnsi="Century Gothic" w:cs="Arial"/>
          <w:sz w:val="18"/>
          <w:szCs w:val="18"/>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footnote>
  <w:footnote w:id="24">
    <w:p w14:paraId="5CC9456C" w14:textId="77777777" w:rsidR="0077752A" w:rsidRPr="00BA6AAF" w:rsidRDefault="0077752A" w:rsidP="0077752A">
      <w:pPr>
        <w:pStyle w:val="Textonotapie"/>
        <w:ind w:left="708" w:firstLine="1"/>
        <w:contextualSpacing/>
        <w:jc w:val="both"/>
        <w:rPr>
          <w:rFonts w:ascii="Century Gothic" w:hAnsi="Century Gothic" w:cs="Arial"/>
          <w:sz w:val="18"/>
          <w:szCs w:val="18"/>
        </w:rPr>
      </w:pPr>
      <w:r w:rsidRPr="00BA6AAF">
        <w:rPr>
          <w:rStyle w:val="Refdenotaalpie"/>
          <w:rFonts w:ascii="Century Gothic" w:hAnsi="Century Gothic" w:cs="Arial"/>
          <w:sz w:val="18"/>
          <w:szCs w:val="18"/>
        </w:rPr>
        <w:footnoteRef/>
      </w:r>
      <w:r w:rsidRPr="00BA6AAF">
        <w:rPr>
          <w:rFonts w:ascii="Century Gothic" w:hAnsi="Century Gothic" w:cs="Arial"/>
          <w:sz w:val="18"/>
          <w:szCs w:val="18"/>
        </w:rPr>
        <w:t xml:space="preserve"> Colombia Compra Eficiente. Concepto del 7 de febrero de 2018, Rad. 2201813000000954.</w:t>
      </w:r>
    </w:p>
    <w:p w14:paraId="30792072" w14:textId="77777777" w:rsidR="0077752A" w:rsidRPr="00BA6AAF" w:rsidRDefault="0077752A" w:rsidP="0077752A">
      <w:pPr>
        <w:pStyle w:val="Textonotapie"/>
        <w:ind w:left="708" w:firstLine="1"/>
        <w:contextualSpacing/>
        <w:jc w:val="both"/>
        <w:rPr>
          <w:rFonts w:ascii="Century Gothic" w:hAnsi="Century Gothic"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0466215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431126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24462"/>
    <w:rsid w:val="00037553"/>
    <w:rsid w:val="000673B5"/>
    <w:rsid w:val="000A683E"/>
    <w:rsid w:val="000B19B9"/>
    <w:rsid w:val="000D0334"/>
    <w:rsid w:val="000E4714"/>
    <w:rsid w:val="000F3CCF"/>
    <w:rsid w:val="000F6486"/>
    <w:rsid w:val="001204FC"/>
    <w:rsid w:val="00125105"/>
    <w:rsid w:val="00127233"/>
    <w:rsid w:val="00135E3C"/>
    <w:rsid w:val="0018514B"/>
    <w:rsid w:val="001E4177"/>
    <w:rsid w:val="002951A0"/>
    <w:rsid w:val="002962BC"/>
    <w:rsid w:val="002A093D"/>
    <w:rsid w:val="002A49AC"/>
    <w:rsid w:val="002A64FD"/>
    <w:rsid w:val="002C7A84"/>
    <w:rsid w:val="003448F4"/>
    <w:rsid w:val="003565A5"/>
    <w:rsid w:val="003A779E"/>
    <w:rsid w:val="003D0F4D"/>
    <w:rsid w:val="003E0499"/>
    <w:rsid w:val="003F3941"/>
    <w:rsid w:val="00400548"/>
    <w:rsid w:val="00423593"/>
    <w:rsid w:val="00427572"/>
    <w:rsid w:val="004368BC"/>
    <w:rsid w:val="004A1847"/>
    <w:rsid w:val="004A305D"/>
    <w:rsid w:val="004F21C4"/>
    <w:rsid w:val="004F685F"/>
    <w:rsid w:val="00533E8F"/>
    <w:rsid w:val="005566E8"/>
    <w:rsid w:val="00574867"/>
    <w:rsid w:val="005A6AA1"/>
    <w:rsid w:val="005B5D8B"/>
    <w:rsid w:val="005C5CDC"/>
    <w:rsid w:val="005D476C"/>
    <w:rsid w:val="005E3EAE"/>
    <w:rsid w:val="005F2171"/>
    <w:rsid w:val="005F7079"/>
    <w:rsid w:val="006219F8"/>
    <w:rsid w:val="00665D70"/>
    <w:rsid w:val="00706C16"/>
    <w:rsid w:val="00727370"/>
    <w:rsid w:val="00756841"/>
    <w:rsid w:val="00763C80"/>
    <w:rsid w:val="007649AB"/>
    <w:rsid w:val="00772D11"/>
    <w:rsid w:val="0077752A"/>
    <w:rsid w:val="007833AC"/>
    <w:rsid w:val="00785A55"/>
    <w:rsid w:val="007B7171"/>
    <w:rsid w:val="007C3DC2"/>
    <w:rsid w:val="007E5497"/>
    <w:rsid w:val="00806F5F"/>
    <w:rsid w:val="00820278"/>
    <w:rsid w:val="008843B6"/>
    <w:rsid w:val="00891928"/>
    <w:rsid w:val="008A446D"/>
    <w:rsid w:val="008C5854"/>
    <w:rsid w:val="008F0EA7"/>
    <w:rsid w:val="00923EEF"/>
    <w:rsid w:val="009419F9"/>
    <w:rsid w:val="00961B09"/>
    <w:rsid w:val="00965334"/>
    <w:rsid w:val="0097093E"/>
    <w:rsid w:val="009804E8"/>
    <w:rsid w:val="009C71FA"/>
    <w:rsid w:val="009C72E7"/>
    <w:rsid w:val="00A17F13"/>
    <w:rsid w:val="00A20739"/>
    <w:rsid w:val="00A33C78"/>
    <w:rsid w:val="00A95513"/>
    <w:rsid w:val="00AA4759"/>
    <w:rsid w:val="00AB0ADB"/>
    <w:rsid w:val="00AD5E99"/>
    <w:rsid w:val="00B72C17"/>
    <w:rsid w:val="00B72CD3"/>
    <w:rsid w:val="00B72FFF"/>
    <w:rsid w:val="00B74893"/>
    <w:rsid w:val="00BD15D4"/>
    <w:rsid w:val="00BD2E7A"/>
    <w:rsid w:val="00BD7F72"/>
    <w:rsid w:val="00C04FB3"/>
    <w:rsid w:val="00C330EB"/>
    <w:rsid w:val="00C350B2"/>
    <w:rsid w:val="00C754BE"/>
    <w:rsid w:val="00CB6357"/>
    <w:rsid w:val="00CC1B26"/>
    <w:rsid w:val="00D423A2"/>
    <w:rsid w:val="00D63AC2"/>
    <w:rsid w:val="00D7383B"/>
    <w:rsid w:val="00DA231B"/>
    <w:rsid w:val="00DB2DCF"/>
    <w:rsid w:val="00E15978"/>
    <w:rsid w:val="00E16408"/>
    <w:rsid w:val="00E20894"/>
    <w:rsid w:val="00E245AB"/>
    <w:rsid w:val="00E50AFE"/>
    <w:rsid w:val="00E771DC"/>
    <w:rsid w:val="00E8464A"/>
    <w:rsid w:val="00E8772A"/>
    <w:rsid w:val="00E90F6B"/>
    <w:rsid w:val="00E92C27"/>
    <w:rsid w:val="00E9745F"/>
    <w:rsid w:val="00EA0E3D"/>
    <w:rsid w:val="00EC721E"/>
    <w:rsid w:val="00EE1AA8"/>
    <w:rsid w:val="00F17039"/>
    <w:rsid w:val="00F204AB"/>
    <w:rsid w:val="00F31EDC"/>
    <w:rsid w:val="00F5664F"/>
    <w:rsid w:val="00F613A2"/>
    <w:rsid w:val="00F76AFC"/>
    <w:rsid w:val="00FB5DD1"/>
    <w:rsid w:val="00FC2B5D"/>
    <w:rsid w:val="00FF1449"/>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Textocomentario">
    <w:name w:val="annotation text"/>
    <w:basedOn w:val="Normal"/>
    <w:link w:val="TextocomentarioCar"/>
    <w:uiPriority w:val="99"/>
    <w:semiHidden/>
    <w:unhideWhenUsed/>
    <w:rsid w:val="004235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3593"/>
    <w:rPr>
      <w:sz w:val="20"/>
      <w:szCs w:val="20"/>
    </w:rPr>
  </w:style>
  <w:style w:type="paragraph" w:customStyle="1" w:styleId="Appelnotedebasde">
    <w:name w:val="Appel note de bas de..."/>
    <w:basedOn w:val="Normal"/>
    <w:link w:val="Refdenotaalpie"/>
    <w:uiPriority w:val="99"/>
    <w:rsid w:val="00423593"/>
    <w:pPr>
      <w:spacing w:after="0" w:line="240" w:lineRule="exact"/>
    </w:pPr>
    <w:rPr>
      <w:vertAlign w:val="superscript"/>
    </w:rPr>
  </w:style>
  <w:style w:type="table" w:customStyle="1" w:styleId="Tablaconcuadrcula11">
    <w:name w:val="Tabla con cuadrícula11"/>
    <w:basedOn w:val="Tablanormal"/>
    <w:next w:val="Tablaconcuadrcula"/>
    <w:uiPriority w:val="59"/>
    <w:rsid w:val="0042359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565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files_2020/cce-eicp-ma-04._manual_requisitos_habilitantes_v.0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Kevin Arlid Herrera Santa</DisplayName>
        <AccountId>221</AccountId>
        <AccountType/>
      </UserInfo>
      <UserInfo>
        <DisplayName>Adriana Katerine Lopez Rodriguez</DisplayName>
        <AccountId>807</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341BA1A0-3C49-4686-A8AE-10B878A0AAF3}"/>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7890</Words>
  <Characters>43400</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4</cp:revision>
  <cp:lastPrinted>2023-01-10T21:18:00Z</cp:lastPrinted>
  <dcterms:created xsi:type="dcterms:W3CDTF">2024-06-20T02:57:00Z</dcterms:created>
  <dcterms:modified xsi:type="dcterms:W3CDTF">2024-06-20T03:02:00Z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