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16DA2" w14:textId="77777777" w:rsidR="002B4784" w:rsidRPr="002B4784" w:rsidRDefault="002B4784" w:rsidP="002B4784">
      <w:pPr>
        <w:spacing w:after="0" w:line="240" w:lineRule="auto"/>
        <w:jc w:val="both"/>
        <w:rPr>
          <w:rFonts w:ascii="Century Gothic" w:eastAsia="Calibri" w:hAnsi="Century Gothic" w:cs="Arial"/>
          <w:b/>
          <w:bCs/>
        </w:rPr>
      </w:pPr>
      <w:r w:rsidRPr="002B4784">
        <w:rPr>
          <w:rFonts w:ascii="Century Gothic" w:eastAsia="Calibri" w:hAnsi="Century Gothic" w:cs="Arial"/>
          <w:b/>
          <w:bCs/>
        </w:rPr>
        <w:t>CONVENIOS Y CONTRATOS INTERADMINISTRATIVOS – Régimen jurídico – Noción – Diferencias</w:t>
      </w:r>
    </w:p>
    <w:p w14:paraId="33A79DBE" w14:textId="77777777" w:rsidR="002B4784" w:rsidRPr="002B4784" w:rsidRDefault="002B4784" w:rsidP="002B4784">
      <w:pPr>
        <w:spacing w:after="0" w:line="240" w:lineRule="auto"/>
        <w:jc w:val="both"/>
        <w:rPr>
          <w:rFonts w:ascii="Arial" w:eastAsia="Calibri" w:hAnsi="Arial" w:cs="Arial"/>
        </w:rPr>
      </w:pPr>
    </w:p>
    <w:p w14:paraId="405B5D36" w14:textId="77777777" w:rsidR="002B4784" w:rsidRPr="002B4784" w:rsidRDefault="002B4784" w:rsidP="002B4784">
      <w:pPr>
        <w:tabs>
          <w:tab w:val="left" w:pos="709"/>
        </w:tabs>
        <w:spacing w:after="0" w:line="240" w:lineRule="auto"/>
        <w:jc w:val="both"/>
        <w:rPr>
          <w:rFonts w:ascii="Century Gothic" w:eastAsia="Aptos" w:hAnsi="Century Gothic" w:cs="Arial"/>
          <w:sz w:val="20"/>
          <w:szCs w:val="20"/>
        </w:rPr>
      </w:pPr>
      <w:r w:rsidRPr="002B4784">
        <w:rPr>
          <w:rFonts w:ascii="Century Gothic" w:eastAsia="Aptos" w:hAnsi="Century Gothic" w:cs="Arial"/>
          <w:sz w:val="20"/>
          <w:szCs w:val="20"/>
        </w:rPr>
        <w:t>La tipología del contrato o convenio interadministrativo fue creada en la Ley 80 de 1993, y el Decreto 1082 de 2015 la califica como aquella contratación entre Entidades Estatales</w:t>
      </w:r>
      <w:r w:rsidRPr="002B4784">
        <w:rPr>
          <w:rFonts w:ascii="Century Gothic" w:eastAsia="Times New Roman" w:hAnsi="Century Gothic" w:cs="Arial"/>
          <w:sz w:val="20"/>
          <w:szCs w:val="20"/>
          <w:lang w:eastAsia="es-CO"/>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0C13BCA2" w14:textId="77777777" w:rsidR="002B4784" w:rsidRPr="002B4784" w:rsidRDefault="002B4784" w:rsidP="002B4784">
      <w:pPr>
        <w:spacing w:after="0" w:line="240" w:lineRule="auto"/>
        <w:jc w:val="both"/>
        <w:rPr>
          <w:rFonts w:ascii="Century Gothic" w:eastAsia="Calibri" w:hAnsi="Century Gothic" w:cs="Arial"/>
          <w:sz w:val="20"/>
          <w:szCs w:val="20"/>
        </w:rPr>
      </w:pPr>
      <w:r w:rsidRPr="002B4784">
        <w:rPr>
          <w:rFonts w:ascii="Century Gothic" w:eastAsia="Calibri" w:hAnsi="Century Gothic" w:cs="Arial"/>
          <w:sz w:val="20"/>
          <w:szCs w:val="20"/>
        </w:rPr>
        <w:t>[…]</w:t>
      </w:r>
    </w:p>
    <w:p w14:paraId="6C38486C" w14:textId="77777777" w:rsidR="002B4784" w:rsidRPr="002B4784" w:rsidRDefault="002B4784" w:rsidP="002B4784">
      <w:pPr>
        <w:spacing w:after="0" w:line="240" w:lineRule="auto"/>
        <w:jc w:val="both"/>
        <w:rPr>
          <w:rFonts w:ascii="Century Gothic" w:eastAsia="Calibri" w:hAnsi="Century Gothic" w:cs="Arial"/>
          <w:sz w:val="20"/>
          <w:szCs w:val="20"/>
        </w:rPr>
      </w:pPr>
      <w:r w:rsidRPr="002B4784">
        <w:rPr>
          <w:rFonts w:ascii="Century Gothic" w:eastAsia="Calibri" w:hAnsi="Century Gothic" w:cs="Arial"/>
          <w:sz w:val="20"/>
          <w:szCs w:val="20"/>
        </w:rPr>
        <w:t>[…]si bien tanto los contratos como convenios comparten características comunes explicadas en los párrafos precedentes, difieren en cuanto a ciertos aspectos esenciales. Así, mientras que el contrato interadministrativo se caracteriza por su naturaleza onerosa, patrimonial y se conforma por intereses básicamente contrapuestos, los convenios interadministrativos, por su parte, tienen una finalidad asociativa perseguida por las partes suscriptoras cuyos intereses se encaminan en la misma dirección y persiguen los mismos objetivos, de conformidad con el ejercicio de las funciones y competencias que les son propias y propendiendo por la cooperación interinstitucional.</w:t>
      </w:r>
    </w:p>
    <w:p w14:paraId="463F5291" w14:textId="77777777" w:rsidR="002B4784" w:rsidRPr="002B4784" w:rsidRDefault="002B4784" w:rsidP="002B4784">
      <w:pPr>
        <w:spacing w:after="0" w:line="240" w:lineRule="auto"/>
        <w:jc w:val="both"/>
        <w:rPr>
          <w:rFonts w:ascii="Century Gothic" w:eastAsia="Calibri" w:hAnsi="Century Gothic" w:cs="Arial"/>
          <w:sz w:val="20"/>
          <w:szCs w:val="20"/>
        </w:rPr>
      </w:pPr>
    </w:p>
    <w:p w14:paraId="064F5DEB" w14:textId="77777777" w:rsidR="002B4784" w:rsidRPr="002B4784" w:rsidRDefault="002B4784" w:rsidP="002B4784">
      <w:pPr>
        <w:spacing w:after="0"/>
        <w:rPr>
          <w:rFonts w:ascii="Century Gothic" w:eastAsia="Aptos" w:hAnsi="Century Gothic" w:cs="Times New Roman"/>
          <w:b/>
          <w:bCs/>
        </w:rPr>
      </w:pPr>
      <w:r w:rsidRPr="002B4784">
        <w:rPr>
          <w:rFonts w:ascii="Century Gothic" w:eastAsia="Aptos" w:hAnsi="Century Gothic" w:cs="Times New Roman"/>
          <w:b/>
          <w:bCs/>
        </w:rPr>
        <w:t xml:space="preserve">IMPUESTO DE ESTAMPILLAS – Noción – Artículo 23 de la ley 2126 de 2021 – Hecho generador – Contratos estatales </w:t>
      </w:r>
    </w:p>
    <w:p w14:paraId="2DD2C0A9" w14:textId="77777777" w:rsidR="002B4784" w:rsidRPr="002B4784" w:rsidRDefault="002B4784" w:rsidP="002B4784">
      <w:pPr>
        <w:spacing w:after="0"/>
        <w:rPr>
          <w:rFonts w:ascii="Century Gothic" w:eastAsia="Aptos" w:hAnsi="Century Gothic" w:cs="Times New Roman"/>
        </w:rPr>
      </w:pPr>
    </w:p>
    <w:p w14:paraId="0935E765" w14:textId="77777777" w:rsidR="002B4784" w:rsidRPr="002B4784" w:rsidRDefault="002B4784" w:rsidP="002B4784">
      <w:pPr>
        <w:spacing w:after="0" w:line="240" w:lineRule="auto"/>
        <w:jc w:val="both"/>
        <w:rPr>
          <w:rFonts w:ascii="Century Gothic" w:eastAsia="Aptos" w:hAnsi="Century Gothic" w:cs="Times New Roman"/>
          <w:sz w:val="20"/>
          <w:szCs w:val="20"/>
        </w:rPr>
      </w:pPr>
      <w:r w:rsidRPr="002B4784">
        <w:rPr>
          <w:rFonts w:ascii="Century Gothic" w:eastAsia="Aptos" w:hAnsi="Century Gothic" w:cs="Times New Roman"/>
          <w:sz w:val="20"/>
          <w:szCs w:val="20"/>
        </w:rPr>
        <w:t xml:space="preserve">La incorporación en nuestro ordenamiento jurídico de las denominadas “estampillas” tan sólo puede darse por disposición legal o por disposición expresa de ordenanzas departamentales o acuerdos distritales o municipales, en las que se debe indicar a detalle las condiciones de su emisión o pago o adherencia, y si dicha estampilla, se concibe como una tasa parafiscal, o como impuesto con destinación específica. Sobre el tema, es importante indicar que tanto la naturaleza de cada estampilla, como las condiciones que se deben tener en cuenta para su recaudo, así como su causación y objetivos pueden diferir en función de las decisiones que en su configuración adoptó el Legislador y, de manera complementaria, de aquellas que aprueben los órganos colegiados de las autoridades territoriales en ejercicio de sus competencias en la estructuración de cuerpos normativos que contienen política fiscal. </w:t>
      </w:r>
    </w:p>
    <w:p w14:paraId="73FAB28E" w14:textId="77777777" w:rsidR="002B4784" w:rsidRPr="002B4784" w:rsidRDefault="002B4784" w:rsidP="002B4784">
      <w:pPr>
        <w:spacing w:after="0"/>
        <w:jc w:val="both"/>
        <w:rPr>
          <w:rFonts w:ascii="Century Gothic" w:eastAsia="Aptos" w:hAnsi="Century Gothic" w:cs="Times New Roman"/>
          <w:sz w:val="20"/>
          <w:szCs w:val="20"/>
        </w:rPr>
      </w:pPr>
    </w:p>
    <w:p w14:paraId="73A0D982" w14:textId="77777777" w:rsidR="002B4784" w:rsidRPr="002B4784" w:rsidRDefault="002B4784" w:rsidP="002B4784">
      <w:pPr>
        <w:spacing w:after="0" w:line="240" w:lineRule="auto"/>
        <w:jc w:val="both"/>
        <w:rPr>
          <w:rFonts w:ascii="Century Gothic" w:eastAsia="Aptos" w:hAnsi="Century Gothic" w:cs="Times New Roman"/>
        </w:rPr>
      </w:pPr>
      <w:r w:rsidRPr="002B4784">
        <w:rPr>
          <w:rFonts w:ascii="Century Gothic" w:eastAsia="Aptos" w:hAnsi="Century Gothic" w:cs="Times New Roman"/>
          <w:sz w:val="20"/>
          <w:szCs w:val="20"/>
        </w:rPr>
        <w:t>[…] cuando en su pregunta solicita a la Agencia analizar la procedencia y aplicación de la estampilla prevista en el artículo 23 de la Ley 2126 de 2021 a los contratos y/o convenios interadministrativos, cuyo hecho generador está constituido por los contratos y las adiciones a los mismos, suscritos, con las entidades que conforman el presupuesto anual del Departamento, Municipio y Distrito, esta Subdirección encuentra pertinente indicar que, bajo nuestra perspectiva interpretativa, dicha norma se está refiriendo a todos los contratos estatales suscritos por dichas entidades.</w:t>
      </w:r>
    </w:p>
    <w:p w14:paraId="7CC54E07" w14:textId="77777777" w:rsidR="002B4784" w:rsidRPr="002B4784" w:rsidRDefault="002B4784" w:rsidP="002B4784">
      <w:pPr>
        <w:spacing w:after="0"/>
        <w:rPr>
          <w:rFonts w:ascii="Century Gothic" w:eastAsia="Aptos" w:hAnsi="Century Gothic" w:cs="Times New Roman"/>
        </w:rPr>
      </w:pPr>
    </w:p>
    <w:p w14:paraId="384F61D9" w14:textId="77777777" w:rsidR="002B4784" w:rsidRPr="002B4784" w:rsidRDefault="002B4784" w:rsidP="002B4784">
      <w:pPr>
        <w:spacing w:after="0"/>
        <w:rPr>
          <w:rFonts w:ascii="Century Gothic" w:eastAsia="Aptos" w:hAnsi="Century Gothic" w:cs="Times New Roman"/>
        </w:rPr>
      </w:pPr>
    </w:p>
    <w:p w14:paraId="58698CAF" w14:textId="77777777" w:rsidR="002B4784" w:rsidRPr="002B4784" w:rsidRDefault="002B4784" w:rsidP="002B4784">
      <w:pPr>
        <w:spacing w:after="0"/>
        <w:rPr>
          <w:rFonts w:ascii="Century Gothic" w:eastAsia="Aptos" w:hAnsi="Century Gothic" w:cs="Times New Roman"/>
        </w:rPr>
      </w:pPr>
    </w:p>
    <w:p w14:paraId="64470105" w14:textId="77777777" w:rsidR="002B4784" w:rsidRPr="002B4784" w:rsidRDefault="002B4784" w:rsidP="002B4784">
      <w:pPr>
        <w:rPr>
          <w:rFonts w:ascii="Century Gothic" w:eastAsia="Aptos" w:hAnsi="Century Gothic" w:cs="Times New Roman"/>
          <w:sz w:val="23"/>
          <w:szCs w:val="23"/>
          <w:shd w:val="clear" w:color="auto" w:fill="FFFFFF"/>
        </w:rPr>
      </w:pPr>
      <w:bookmarkStart w:id="0" w:name="_Hlk34951122"/>
      <w:r w:rsidRPr="002B4784">
        <w:rPr>
          <w:rFonts w:ascii="Century Gothic" w:eastAsia="Aptos" w:hAnsi="Century Gothic" w:cs="Times New Roman"/>
          <w:sz w:val="23"/>
          <w:szCs w:val="23"/>
          <w:shd w:val="clear" w:color="auto" w:fill="FFFFFF"/>
          <w:lang w:val="es-MX"/>
        </w:rPr>
        <w:lastRenderedPageBreak/>
        <w:t>Bogotá D.C.,</w:t>
      </w:r>
      <w:r w:rsidRPr="002B4784">
        <w:rPr>
          <w:rFonts w:ascii="Arial" w:eastAsia="Aptos" w:hAnsi="Arial" w:cs="Arial"/>
          <w:sz w:val="23"/>
          <w:szCs w:val="23"/>
          <w:shd w:val="clear" w:color="auto" w:fill="FFFFFF"/>
          <w:lang w:val="es-MX"/>
        </w:rPr>
        <w:t> </w:t>
      </w:r>
      <w:r w:rsidRPr="002B4784">
        <w:rPr>
          <w:rFonts w:ascii="Century Gothic" w:eastAsia="Aptos" w:hAnsi="Century Gothic" w:cs="Times New Roman"/>
          <w:sz w:val="23"/>
          <w:szCs w:val="23"/>
          <w:shd w:val="clear" w:color="auto" w:fill="FFFFFF"/>
          <w:lang w:val="es-MX"/>
        </w:rPr>
        <w:t>[Día] de [Mes.NombreCapitalizado] de [Año]</w:t>
      </w:r>
      <w:r w:rsidRPr="002B4784">
        <w:rPr>
          <w:rFonts w:ascii="Century Gothic" w:eastAsia="Aptos" w:hAnsi="Century Gothic" w:cs="Times New Roman"/>
          <w:sz w:val="23"/>
          <w:szCs w:val="23"/>
          <w:shd w:val="clear" w:color="auto" w:fill="FFFFFF"/>
        </w:rPr>
        <w:t> </w:t>
      </w:r>
    </w:p>
    <w:p w14:paraId="12FF08CB" w14:textId="77777777" w:rsidR="002B4784" w:rsidRDefault="002B4784" w:rsidP="002B4784">
      <w:pPr>
        <w:spacing w:after="0"/>
        <w:jc w:val="right"/>
        <w:rPr>
          <w:rFonts w:ascii="Century Gothic" w:eastAsia="Aptos" w:hAnsi="Century Gothic" w:cs="Times New Roman"/>
          <w:sz w:val="23"/>
          <w:szCs w:val="23"/>
          <w:shd w:val="clear" w:color="auto" w:fill="FFFFFF"/>
        </w:rPr>
      </w:pPr>
    </w:p>
    <w:p w14:paraId="10E9F2F8" w14:textId="27281AE8" w:rsidR="004530E7" w:rsidRPr="002B4784" w:rsidRDefault="004530E7" w:rsidP="002B4784">
      <w:pPr>
        <w:spacing w:after="0"/>
        <w:jc w:val="right"/>
        <w:rPr>
          <w:rFonts w:ascii="Century Gothic" w:eastAsia="Aptos" w:hAnsi="Century Gothic" w:cs="Times New Roman"/>
          <w:sz w:val="23"/>
          <w:szCs w:val="23"/>
          <w:shd w:val="clear" w:color="auto" w:fill="FFFFFF"/>
        </w:rPr>
      </w:pPr>
      <w:r>
        <w:rPr>
          <w:noProof/>
          <w14:ligatures w14:val="standardContextual"/>
        </w:rPr>
        <w:drawing>
          <wp:inline distT="0" distB="0" distL="0" distR="0" wp14:anchorId="489D021C" wp14:editId="4A66BF1E">
            <wp:extent cx="3333750" cy="1009650"/>
            <wp:effectExtent l="0" t="0" r="0" b="0"/>
            <wp:docPr id="8637362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36258" name=""/>
                    <pic:cNvPicPr/>
                  </pic:nvPicPr>
                  <pic:blipFill>
                    <a:blip r:embed="rId11"/>
                    <a:stretch>
                      <a:fillRect/>
                    </a:stretch>
                  </pic:blipFill>
                  <pic:spPr>
                    <a:xfrm>
                      <a:off x="0" y="0"/>
                      <a:ext cx="3333750" cy="1009650"/>
                    </a:xfrm>
                    <a:prstGeom prst="rect">
                      <a:avLst/>
                    </a:prstGeom>
                  </pic:spPr>
                </pic:pic>
              </a:graphicData>
            </a:graphic>
          </wp:inline>
        </w:drawing>
      </w:r>
    </w:p>
    <w:p w14:paraId="5D00FD68" w14:textId="77777777" w:rsidR="002B4784" w:rsidRPr="002B4784" w:rsidRDefault="002B4784" w:rsidP="002B4784">
      <w:pPr>
        <w:spacing w:after="0"/>
        <w:rPr>
          <w:rFonts w:ascii="Century Gothic" w:eastAsia="Aptos" w:hAnsi="Century Gothic" w:cs="Times New Roman"/>
          <w:sz w:val="23"/>
          <w:szCs w:val="23"/>
          <w:shd w:val="clear" w:color="auto" w:fill="FFFFFF"/>
        </w:rPr>
      </w:pPr>
    </w:p>
    <w:p w14:paraId="0A065853" w14:textId="77777777" w:rsidR="002B4784" w:rsidRPr="002B4784" w:rsidRDefault="002B4784" w:rsidP="002B4784">
      <w:pPr>
        <w:spacing w:after="0"/>
        <w:rPr>
          <w:rFonts w:ascii="Century Gothic" w:eastAsia="Geomanist Light" w:hAnsi="Century Gothic" w:cs="Arial"/>
          <w:lang w:val="es-MX"/>
        </w:rPr>
      </w:pPr>
      <w:r w:rsidRPr="002B4784">
        <w:rPr>
          <w:rFonts w:ascii="Century Gothic" w:eastAsia="Aptos" w:hAnsi="Century Gothic" w:cs="Arial"/>
          <w:lang w:val="es-MX"/>
        </w:rPr>
        <w:t>Señora</w:t>
      </w:r>
    </w:p>
    <w:p w14:paraId="30771DF4" w14:textId="77777777" w:rsidR="002B4784" w:rsidRPr="002B4784" w:rsidRDefault="002B4784" w:rsidP="002B4784">
      <w:pPr>
        <w:spacing w:after="0" w:line="276" w:lineRule="auto"/>
        <w:rPr>
          <w:rFonts w:ascii="Century Gothic" w:eastAsia="Aptos" w:hAnsi="Century Gothic" w:cs="Arial"/>
          <w:b/>
          <w:bCs/>
          <w:lang w:val="es-MX"/>
        </w:rPr>
      </w:pPr>
      <w:bookmarkStart w:id="1" w:name="_Hlk137493281"/>
      <w:r w:rsidRPr="002B4784">
        <w:rPr>
          <w:rFonts w:ascii="Century Gothic" w:eastAsia="Aptos" w:hAnsi="Century Gothic" w:cs="Arial"/>
          <w:b/>
          <w:bCs/>
          <w:lang w:val="es-MX"/>
        </w:rPr>
        <w:t>Ingrid Liset Caicedo Granja</w:t>
      </w:r>
    </w:p>
    <w:bookmarkEnd w:id="1"/>
    <w:p w14:paraId="64C4DD26" w14:textId="77777777" w:rsidR="002B4784" w:rsidRPr="002B4784" w:rsidRDefault="002B4784" w:rsidP="002B4784">
      <w:pPr>
        <w:spacing w:after="0" w:line="276" w:lineRule="auto"/>
        <w:rPr>
          <w:rFonts w:ascii="Century Gothic" w:eastAsia="Aptos" w:hAnsi="Century Gothic" w:cs="Arial"/>
          <w:lang w:val="es-MX"/>
        </w:rPr>
      </w:pPr>
      <w:r w:rsidRPr="002B4784">
        <w:rPr>
          <w:rFonts w:ascii="Century Gothic" w:eastAsia="Aptos" w:hAnsi="Century Gothic" w:cs="Arial"/>
          <w:lang w:val="es-MX"/>
        </w:rPr>
        <w:t>Restrepo, Valle del Cauca</w:t>
      </w:r>
    </w:p>
    <w:p w14:paraId="6F64EDE4" w14:textId="77777777" w:rsidR="002B4784" w:rsidRPr="002B4784" w:rsidRDefault="002B4784" w:rsidP="002B4784">
      <w:pPr>
        <w:spacing w:after="0" w:line="276" w:lineRule="auto"/>
        <w:rPr>
          <w:rFonts w:ascii="Century Gothic" w:eastAsia="Aptos" w:hAnsi="Century Gothic" w:cs="Arial"/>
          <w:lang w:val="es-MX"/>
        </w:rPr>
      </w:pPr>
    </w:p>
    <w:p w14:paraId="0E074409" w14:textId="77777777" w:rsidR="002B4784" w:rsidRPr="002B4784" w:rsidRDefault="002B4784" w:rsidP="002B4784">
      <w:pPr>
        <w:spacing w:after="0" w:line="276" w:lineRule="auto"/>
        <w:rPr>
          <w:rFonts w:ascii="Century Gothic" w:eastAsia="Aptos" w:hAnsi="Century Gothic" w:cs="Arial"/>
          <w:lang w:val="es-MX"/>
        </w:rPr>
      </w:pPr>
    </w:p>
    <w:p w14:paraId="47C9B8A7" w14:textId="77777777" w:rsidR="002B4784" w:rsidRPr="002B4784" w:rsidRDefault="002B4784" w:rsidP="002B4784">
      <w:pPr>
        <w:spacing w:after="0" w:line="276" w:lineRule="auto"/>
        <w:ind w:left="2832"/>
        <w:rPr>
          <w:rFonts w:ascii="Century Gothic" w:eastAsia="Calibri" w:hAnsi="Century Gothic" w:cs="Arial"/>
          <w:b/>
          <w:bCs/>
          <w:lang w:val="es-ES"/>
        </w:rPr>
      </w:pPr>
      <w:r w:rsidRPr="002B4784">
        <w:rPr>
          <w:rFonts w:ascii="Century Gothic" w:eastAsia="Calibri" w:hAnsi="Century Gothic" w:cs="Arial"/>
          <w:b/>
          <w:bCs/>
          <w:lang w:val="es-ES"/>
        </w:rPr>
        <w:t>Concepto C-091 de 2024</w:t>
      </w:r>
    </w:p>
    <w:p w14:paraId="20BDBF07" w14:textId="77777777" w:rsidR="002B4784" w:rsidRPr="002B4784" w:rsidRDefault="002B4784" w:rsidP="002B4784">
      <w:pPr>
        <w:spacing w:after="0" w:line="276" w:lineRule="auto"/>
        <w:ind w:left="2832"/>
        <w:rPr>
          <w:rFonts w:ascii="Century Gothic" w:eastAsia="Calibri" w:hAnsi="Century Gothic" w:cs="Arial"/>
          <w:b/>
          <w:bCs/>
          <w:lang w:val="es-ES"/>
        </w:rPr>
      </w:pPr>
    </w:p>
    <w:tbl>
      <w:tblPr>
        <w:tblStyle w:val="Tablaconcuadrcula"/>
        <w:tblpPr w:leftFromText="141" w:rightFromText="141" w:vertAnchor="text" w:horzAnchor="margin" w:tblpY="158"/>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2B4784" w:rsidRPr="002B4784" w14:paraId="725D6FEE" w14:textId="77777777" w:rsidTr="004E3144">
        <w:tc>
          <w:tcPr>
            <w:tcW w:w="1838" w:type="dxa"/>
          </w:tcPr>
          <w:p w14:paraId="2A5639A6" w14:textId="77777777" w:rsidR="002B4784" w:rsidRPr="002B4784" w:rsidRDefault="002B4784" w:rsidP="002B4784">
            <w:pPr>
              <w:spacing w:line="276" w:lineRule="auto"/>
              <w:rPr>
                <w:rFonts w:ascii="Century Gothic" w:eastAsia="Calibri" w:hAnsi="Century Gothic" w:cs="Arial"/>
                <w:lang w:val="es-ES_tradnl"/>
              </w:rPr>
            </w:pPr>
            <w:r w:rsidRPr="002B4784">
              <w:rPr>
                <w:rFonts w:ascii="Century Gothic" w:eastAsia="Calibri" w:hAnsi="Century Gothic" w:cs="Arial"/>
                <w:b/>
                <w:lang w:val="es-ES_tradnl"/>
              </w:rPr>
              <w:t>Temas:</w:t>
            </w:r>
          </w:p>
        </w:tc>
        <w:tc>
          <w:tcPr>
            <w:tcW w:w="6237" w:type="dxa"/>
          </w:tcPr>
          <w:p w14:paraId="48EE616E" w14:textId="77777777" w:rsidR="002B4784" w:rsidRPr="002B4784" w:rsidRDefault="002B4784" w:rsidP="002B4784">
            <w:pPr>
              <w:spacing w:line="240" w:lineRule="auto"/>
              <w:jc w:val="both"/>
              <w:rPr>
                <w:rFonts w:ascii="Century Gothic" w:eastAsia="Calibri" w:hAnsi="Century Gothic" w:cs="Arial"/>
                <w:bCs/>
                <w:lang w:val="es-ES_tradnl" w:eastAsia="es-ES_tradnl"/>
              </w:rPr>
            </w:pPr>
            <w:r w:rsidRPr="002B4784">
              <w:rPr>
                <w:rFonts w:ascii="Century Gothic" w:eastAsia="Calibri" w:hAnsi="Century Gothic" w:cs="Arial"/>
                <w:bCs/>
                <w:lang w:val="es-ES_tradnl" w:eastAsia="es-ES_tradnl"/>
              </w:rPr>
              <w:t>CONVENIOS Y CONTRATOS INTERADMINISTRATIVOS – Régimen jurídico – Noción – Diferencias /</w:t>
            </w:r>
            <w:r w:rsidRPr="002B4784">
              <w:rPr>
                <w:rFonts w:ascii="Aptos" w:eastAsia="Aptos" w:hAnsi="Aptos" w:cs="Times New Roman"/>
              </w:rPr>
              <w:t xml:space="preserve"> </w:t>
            </w:r>
            <w:r w:rsidRPr="002B4784">
              <w:rPr>
                <w:rFonts w:ascii="Century Gothic" w:eastAsia="Calibri" w:hAnsi="Century Gothic" w:cs="Arial"/>
                <w:bCs/>
                <w:lang w:val="es-ES_tradnl" w:eastAsia="es-ES_tradnl"/>
              </w:rPr>
              <w:t>IMPUESTO DE ESTAMPILLAS – Noción – Artículo 23 de la ley 2126 de 2021 – Hecho generador – Contratos estatales</w:t>
            </w:r>
          </w:p>
          <w:p w14:paraId="7C1CA7C7" w14:textId="77777777" w:rsidR="002B4784" w:rsidRPr="002B4784" w:rsidRDefault="002B4784" w:rsidP="002B4784">
            <w:pPr>
              <w:spacing w:line="240" w:lineRule="auto"/>
              <w:jc w:val="both"/>
              <w:rPr>
                <w:rFonts w:ascii="Century Gothic" w:eastAsia="Aptos" w:hAnsi="Century Gothic" w:cs="Segoe UI"/>
                <w:lang w:eastAsia="es-CO"/>
              </w:rPr>
            </w:pPr>
          </w:p>
        </w:tc>
      </w:tr>
      <w:tr w:rsidR="002B4784" w:rsidRPr="002B4784" w14:paraId="45A7FADF" w14:textId="77777777" w:rsidTr="004E3144">
        <w:tc>
          <w:tcPr>
            <w:tcW w:w="1838" w:type="dxa"/>
          </w:tcPr>
          <w:p w14:paraId="059BFA5F" w14:textId="77777777" w:rsidR="002B4784" w:rsidRPr="002B4784" w:rsidRDefault="002B4784" w:rsidP="002B4784">
            <w:pPr>
              <w:spacing w:line="276" w:lineRule="auto"/>
              <w:rPr>
                <w:rFonts w:ascii="Century Gothic" w:eastAsia="Calibri" w:hAnsi="Century Gothic" w:cs="Arial"/>
                <w:b/>
                <w:lang w:val="es-ES"/>
              </w:rPr>
            </w:pPr>
            <w:r w:rsidRPr="002B4784">
              <w:rPr>
                <w:rFonts w:ascii="Century Gothic" w:eastAsia="Calibri" w:hAnsi="Century Gothic" w:cs="Arial"/>
                <w:b/>
                <w:lang w:val="es-ES"/>
              </w:rPr>
              <w:t>Radicación:</w:t>
            </w:r>
          </w:p>
        </w:tc>
        <w:tc>
          <w:tcPr>
            <w:tcW w:w="6237" w:type="dxa"/>
          </w:tcPr>
          <w:p w14:paraId="4BE0BA32" w14:textId="77777777" w:rsidR="002B4784" w:rsidRPr="002B4784" w:rsidRDefault="002B4784" w:rsidP="002B4784">
            <w:pPr>
              <w:spacing w:line="276" w:lineRule="auto"/>
              <w:jc w:val="both"/>
              <w:rPr>
                <w:rFonts w:ascii="Century Gothic" w:eastAsia="Calibri" w:hAnsi="Century Gothic" w:cs="Arial"/>
                <w:lang w:val="es-ES"/>
              </w:rPr>
            </w:pPr>
            <w:r w:rsidRPr="002B4784">
              <w:rPr>
                <w:rFonts w:ascii="Century Gothic" w:eastAsia="Calibri" w:hAnsi="Century Gothic" w:cs="Arial"/>
                <w:lang w:val="es-ES"/>
              </w:rPr>
              <w:t xml:space="preserve">Respuesta a consulta No. </w:t>
            </w:r>
            <w:r w:rsidRPr="002B4784">
              <w:rPr>
                <w:rFonts w:ascii="Aptos" w:eastAsia="Aptos" w:hAnsi="Aptos" w:cs="Times New Roman"/>
              </w:rPr>
              <w:t xml:space="preserve"> </w:t>
            </w:r>
            <w:r w:rsidRPr="002B4784">
              <w:rPr>
                <w:rFonts w:ascii="Century Gothic" w:eastAsia="Calibri" w:hAnsi="Century Gothic" w:cs="Arial"/>
                <w:lang w:val="es-ES"/>
              </w:rPr>
              <w:t>P20240502004577</w:t>
            </w:r>
          </w:p>
          <w:p w14:paraId="0753E609" w14:textId="77777777" w:rsidR="002B4784" w:rsidRPr="002B4784" w:rsidRDefault="002B4784" w:rsidP="002B4784">
            <w:pPr>
              <w:spacing w:line="276" w:lineRule="auto"/>
              <w:jc w:val="both"/>
              <w:rPr>
                <w:rFonts w:ascii="Century Gothic" w:eastAsia="Calibri" w:hAnsi="Century Gothic" w:cs="Arial"/>
                <w:lang w:val="es-ES"/>
              </w:rPr>
            </w:pPr>
          </w:p>
          <w:p w14:paraId="38ACA0E4" w14:textId="77777777" w:rsidR="002B4784" w:rsidRPr="002B4784" w:rsidRDefault="002B4784" w:rsidP="002B4784">
            <w:pPr>
              <w:spacing w:line="276" w:lineRule="auto"/>
              <w:jc w:val="both"/>
              <w:rPr>
                <w:rFonts w:ascii="Century Gothic" w:eastAsia="Calibri" w:hAnsi="Century Gothic" w:cs="Arial"/>
                <w:lang w:val="es-ES"/>
              </w:rPr>
            </w:pPr>
          </w:p>
          <w:p w14:paraId="51A51874" w14:textId="77777777" w:rsidR="002B4784" w:rsidRPr="002B4784" w:rsidRDefault="002B4784" w:rsidP="002B4784">
            <w:pPr>
              <w:spacing w:line="276" w:lineRule="auto"/>
              <w:jc w:val="both"/>
              <w:rPr>
                <w:rFonts w:ascii="Century Gothic" w:eastAsia="Calibri" w:hAnsi="Century Gothic" w:cs="Arial"/>
                <w:lang w:val="es-ES"/>
              </w:rPr>
            </w:pPr>
          </w:p>
        </w:tc>
      </w:tr>
    </w:tbl>
    <w:p w14:paraId="585029F5" w14:textId="77777777" w:rsidR="002B4784" w:rsidRPr="002B4784" w:rsidRDefault="002B4784" w:rsidP="002B4784">
      <w:pPr>
        <w:spacing w:after="0" w:line="276" w:lineRule="auto"/>
        <w:jc w:val="both"/>
        <w:rPr>
          <w:rFonts w:ascii="Century Gothic" w:eastAsia="Calibri" w:hAnsi="Century Gothic" w:cs="Arial"/>
          <w:lang w:val="es-ES"/>
        </w:rPr>
      </w:pPr>
    </w:p>
    <w:p w14:paraId="166679E4" w14:textId="77777777" w:rsidR="002B4784" w:rsidRPr="002B4784" w:rsidRDefault="002B4784" w:rsidP="002B4784">
      <w:pPr>
        <w:spacing w:line="276" w:lineRule="auto"/>
        <w:jc w:val="both"/>
        <w:rPr>
          <w:rFonts w:ascii="Century Gothic" w:eastAsia="Calibri" w:hAnsi="Century Gothic" w:cs="Arial"/>
          <w:lang w:val="es-ES_tradnl"/>
        </w:rPr>
      </w:pPr>
    </w:p>
    <w:p w14:paraId="745EEA27" w14:textId="77777777" w:rsidR="002B4784" w:rsidRPr="002B4784" w:rsidRDefault="002B4784" w:rsidP="002B4784">
      <w:pPr>
        <w:spacing w:after="0" w:line="276" w:lineRule="auto"/>
        <w:jc w:val="both"/>
        <w:rPr>
          <w:rFonts w:ascii="Century Gothic" w:eastAsia="Calibri" w:hAnsi="Century Gothic" w:cs="Arial"/>
          <w:lang w:val="es-ES_tradnl"/>
        </w:rPr>
      </w:pPr>
    </w:p>
    <w:p w14:paraId="7849E18F" w14:textId="77777777" w:rsidR="002B4784" w:rsidRPr="002B4784" w:rsidRDefault="002B4784" w:rsidP="002B4784">
      <w:pPr>
        <w:spacing w:after="0" w:line="276" w:lineRule="auto"/>
        <w:jc w:val="both"/>
        <w:rPr>
          <w:rFonts w:ascii="Century Gothic" w:eastAsia="Calibri" w:hAnsi="Century Gothic" w:cs="Arial"/>
          <w:lang w:val="es-ES_tradnl"/>
        </w:rPr>
      </w:pPr>
    </w:p>
    <w:p w14:paraId="455F33D8" w14:textId="77777777" w:rsidR="002B4784" w:rsidRPr="002B4784" w:rsidRDefault="002B4784" w:rsidP="002B4784">
      <w:pPr>
        <w:spacing w:after="0" w:line="276" w:lineRule="auto"/>
        <w:jc w:val="both"/>
        <w:rPr>
          <w:rFonts w:ascii="Century Gothic" w:eastAsia="Calibri" w:hAnsi="Century Gothic" w:cs="Arial"/>
          <w:bCs/>
          <w:lang w:val="es-ES_tradnl"/>
        </w:rPr>
      </w:pPr>
      <w:r w:rsidRPr="002B4784">
        <w:rPr>
          <w:rFonts w:ascii="Century Gothic" w:eastAsia="Calibri" w:hAnsi="Century Gothic" w:cs="Arial"/>
          <w:lang w:val="es-ES_tradnl"/>
        </w:rPr>
        <w:t>Estimada señora Caicedo:</w:t>
      </w:r>
    </w:p>
    <w:p w14:paraId="7054B9E9" w14:textId="77777777" w:rsidR="002B4784" w:rsidRPr="002B4784" w:rsidRDefault="002B4784" w:rsidP="002B4784">
      <w:pPr>
        <w:spacing w:after="0" w:line="276" w:lineRule="auto"/>
        <w:jc w:val="both"/>
        <w:rPr>
          <w:rFonts w:ascii="Century Gothic" w:eastAsia="Calibri" w:hAnsi="Century Gothic" w:cs="Arial"/>
          <w:lang w:val="es-ES"/>
        </w:rPr>
      </w:pPr>
    </w:p>
    <w:p w14:paraId="7D6D14AE" w14:textId="77777777" w:rsidR="002B4784" w:rsidRPr="002B4784" w:rsidRDefault="002B4784" w:rsidP="002B4784">
      <w:pPr>
        <w:spacing w:after="0" w:line="276" w:lineRule="auto"/>
        <w:jc w:val="both"/>
        <w:rPr>
          <w:rFonts w:ascii="Century Gothic" w:eastAsia="Calibri" w:hAnsi="Century Gothic" w:cs="Arial"/>
          <w:lang w:val="es-ES"/>
        </w:rPr>
      </w:pPr>
      <w:r w:rsidRPr="002B4784">
        <w:rPr>
          <w:rFonts w:ascii="Century Gothic" w:eastAsia="Calibri" w:hAnsi="Century Gothic" w:cs="Arial"/>
          <w:lang w:val="es-ES"/>
        </w:rPr>
        <w:t>En ejercicio de la competencia otorgada por el numeral 8° del artículo 11 y el numeral 5° del artículo 3 del Decreto Ley 4170 de 2011, la Agencia Nacional de Contratación Pública ― Colombia Compra Eficiente responde su consulta del 02 de mayo de 2024, que fue remitida por el Departamento Nacional de Planeación mediante oficio con radicado No. 20246630644952 del mismo mes y año.</w:t>
      </w:r>
    </w:p>
    <w:p w14:paraId="5CBF4CEC" w14:textId="77777777" w:rsidR="002B4784" w:rsidRPr="002B4784" w:rsidRDefault="002B4784" w:rsidP="002B4784">
      <w:pPr>
        <w:spacing w:after="0" w:line="276" w:lineRule="auto"/>
        <w:jc w:val="both"/>
        <w:rPr>
          <w:rFonts w:ascii="Century Gothic" w:eastAsia="Calibri" w:hAnsi="Century Gothic" w:cs="Arial"/>
          <w:lang w:val="es-ES"/>
        </w:rPr>
      </w:pPr>
    </w:p>
    <w:p w14:paraId="31F6E15D" w14:textId="77777777" w:rsidR="002B4784" w:rsidRPr="002B4784" w:rsidRDefault="002B4784" w:rsidP="002B4784">
      <w:pPr>
        <w:numPr>
          <w:ilvl w:val="0"/>
          <w:numId w:val="1"/>
        </w:numPr>
        <w:tabs>
          <w:tab w:val="left" w:pos="0"/>
          <w:tab w:val="left" w:pos="142"/>
          <w:tab w:val="left" w:pos="284"/>
        </w:tabs>
        <w:spacing w:after="0" w:line="276" w:lineRule="auto"/>
        <w:contextualSpacing/>
        <w:jc w:val="both"/>
        <w:rPr>
          <w:rFonts w:ascii="Century Gothic" w:eastAsia="Calibri" w:hAnsi="Century Gothic" w:cs="Arial"/>
          <w:b/>
          <w:lang w:val="es-ES_tradnl"/>
        </w:rPr>
      </w:pPr>
      <w:r w:rsidRPr="002B4784">
        <w:rPr>
          <w:rFonts w:ascii="Century Gothic" w:eastAsia="Calibri" w:hAnsi="Century Gothic" w:cs="Arial"/>
          <w:b/>
          <w:lang w:val="es-ES_tradnl"/>
        </w:rPr>
        <w:t xml:space="preserve">Problema planteado </w:t>
      </w:r>
    </w:p>
    <w:p w14:paraId="67306847" w14:textId="77777777" w:rsidR="002B4784" w:rsidRPr="002B4784" w:rsidRDefault="002B4784" w:rsidP="002B4784">
      <w:pPr>
        <w:tabs>
          <w:tab w:val="left" w:pos="0"/>
          <w:tab w:val="left" w:pos="142"/>
          <w:tab w:val="left" w:pos="284"/>
        </w:tabs>
        <w:spacing w:after="0" w:line="276" w:lineRule="auto"/>
        <w:contextualSpacing/>
        <w:jc w:val="both"/>
        <w:rPr>
          <w:rFonts w:ascii="Century Gothic" w:eastAsia="Calibri" w:hAnsi="Century Gothic" w:cs="Arial"/>
          <w:b/>
          <w:lang w:val="es-ES_tradnl"/>
        </w:rPr>
      </w:pPr>
    </w:p>
    <w:p w14:paraId="471D4E2C" w14:textId="77777777" w:rsidR="002B4784" w:rsidRPr="002B4784" w:rsidRDefault="002B4784" w:rsidP="002B4784">
      <w:pPr>
        <w:spacing w:after="0" w:line="276" w:lineRule="auto"/>
        <w:jc w:val="both"/>
        <w:rPr>
          <w:rFonts w:ascii="Century Gothic" w:eastAsia="Aptos" w:hAnsi="Century Gothic" w:cs="Arial"/>
          <w:lang w:val="es-ES_tradnl"/>
        </w:rPr>
      </w:pPr>
      <w:r w:rsidRPr="002B4784">
        <w:rPr>
          <w:rFonts w:ascii="Century Gothic" w:eastAsia="Aptos" w:hAnsi="Century Gothic" w:cs="Arial"/>
          <w:lang w:val="es-ES_tradnl"/>
        </w:rPr>
        <w:t xml:space="preserve">De acuerdo con lo indicado en el artículo 23 de la Ley 2126 de 2021, usted realiza la siguiente consulta: </w:t>
      </w:r>
      <w:r w:rsidRPr="002B4784">
        <w:rPr>
          <w:rFonts w:ascii="Century Gothic" w:eastAsia="Aptos" w:hAnsi="Century Gothic" w:cs="Arial"/>
          <w:i/>
          <w:lang w:val="es-ES_tradnl"/>
        </w:rPr>
        <w:t xml:space="preserve">“[…] los contratos y convenios interadministrativos deben ser considerados dentro de la aplicación de la estampilla, debido a que forman parte </w:t>
      </w:r>
      <w:r w:rsidRPr="002B4784">
        <w:rPr>
          <w:rFonts w:ascii="Century Gothic" w:eastAsia="Aptos" w:hAnsi="Century Gothic" w:cs="Arial"/>
          <w:i/>
          <w:lang w:val="es-ES_tradnl"/>
        </w:rPr>
        <w:lastRenderedPageBreak/>
        <w:t>de la contratación estatal y no están expresamente mencionados en la Ley 2126 de 2.021 como excluidos como hechos generadores del cobro de tal estampilla”.</w:t>
      </w:r>
      <w:r w:rsidRPr="002B4784">
        <w:rPr>
          <w:rFonts w:ascii="Century Gothic" w:eastAsia="Aptos" w:hAnsi="Century Gothic" w:cs="Arial"/>
          <w:lang w:val="es-ES_tradnl"/>
        </w:rPr>
        <w:t xml:space="preserve"> [sic]</w:t>
      </w:r>
    </w:p>
    <w:p w14:paraId="4A4CDAC8" w14:textId="77777777" w:rsidR="002B4784" w:rsidRPr="002B4784" w:rsidRDefault="002B4784" w:rsidP="002B4784">
      <w:pPr>
        <w:spacing w:after="0" w:line="240" w:lineRule="auto"/>
        <w:ind w:left="708" w:right="709"/>
        <w:jc w:val="both"/>
        <w:rPr>
          <w:rFonts w:ascii="Century Gothic" w:eastAsia="Aptos" w:hAnsi="Century Gothic" w:cs="Arial"/>
          <w:sz w:val="21"/>
          <w:szCs w:val="21"/>
          <w:lang w:val="es-ES_tradnl"/>
        </w:rPr>
      </w:pPr>
    </w:p>
    <w:p w14:paraId="0171FA9C" w14:textId="77777777" w:rsidR="002B4784" w:rsidRPr="002B4784" w:rsidRDefault="002B4784" w:rsidP="002B4784">
      <w:pPr>
        <w:numPr>
          <w:ilvl w:val="0"/>
          <w:numId w:val="1"/>
        </w:numPr>
        <w:tabs>
          <w:tab w:val="left" w:pos="0"/>
          <w:tab w:val="left" w:pos="284"/>
        </w:tabs>
        <w:spacing w:after="0" w:line="276" w:lineRule="auto"/>
        <w:jc w:val="both"/>
        <w:rPr>
          <w:rFonts w:ascii="Century Gothic" w:eastAsia="Calibri" w:hAnsi="Century Gothic" w:cs="Arial"/>
          <w:b/>
          <w:lang w:val="es-ES_tradnl"/>
        </w:rPr>
      </w:pPr>
      <w:r w:rsidRPr="002B4784">
        <w:rPr>
          <w:rFonts w:ascii="Century Gothic" w:eastAsia="Calibri" w:hAnsi="Century Gothic" w:cs="Arial"/>
          <w:b/>
          <w:lang w:val="es-ES_tradnl"/>
        </w:rPr>
        <w:t>Consideraciones</w:t>
      </w:r>
    </w:p>
    <w:p w14:paraId="0CA7DEE2" w14:textId="77777777" w:rsidR="002B4784" w:rsidRPr="002B4784" w:rsidRDefault="002B4784" w:rsidP="002B4784">
      <w:pPr>
        <w:tabs>
          <w:tab w:val="left" w:pos="0"/>
          <w:tab w:val="left" w:pos="284"/>
        </w:tabs>
        <w:spacing w:after="0" w:line="276" w:lineRule="auto"/>
        <w:jc w:val="both"/>
        <w:rPr>
          <w:rFonts w:ascii="Century Gothic" w:eastAsia="Calibri" w:hAnsi="Century Gothic" w:cs="Arial"/>
          <w:b/>
          <w:lang w:val="es-ES_tradnl"/>
        </w:rPr>
      </w:pPr>
    </w:p>
    <w:p w14:paraId="1F1E3E06" w14:textId="77777777" w:rsidR="002B4784" w:rsidRPr="002B4784" w:rsidRDefault="002B4784" w:rsidP="002B4784">
      <w:pPr>
        <w:spacing w:after="120" w:line="276" w:lineRule="auto"/>
        <w:jc w:val="both"/>
        <w:rPr>
          <w:rFonts w:ascii="Century Gothic" w:eastAsia="Aptos" w:hAnsi="Century Gothic" w:cs="Arial"/>
          <w:lang w:val="es-ES"/>
        </w:rPr>
      </w:pPr>
      <w:r w:rsidRPr="002B4784">
        <w:rPr>
          <w:rFonts w:ascii="Century Gothic" w:eastAsia="Aptos" w:hAnsi="Century Gothic" w:cs="Aria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2" w:name="_Hlk61701014"/>
      <w:bookmarkStart w:id="3" w:name="_Hlk62136649"/>
      <w:r w:rsidRPr="002B4784">
        <w:rPr>
          <w:rFonts w:ascii="Century Gothic" w:eastAsia="Aptos" w:hAnsi="Century Gothic" w:cs="Arial"/>
        </w:rPr>
        <w:t xml:space="preserve">. </w:t>
      </w:r>
      <w:r w:rsidRPr="002B4784">
        <w:rPr>
          <w:rFonts w:ascii="Century Gothic" w:eastAsia="Aptos" w:hAnsi="Century Gothic" w:cs="Arial"/>
          <w:lang w:val="es-ES"/>
        </w:rPr>
        <w:t xml:space="preserve">Es necesario tener en cuenta que </w:t>
      </w:r>
      <w:bookmarkStart w:id="4" w:name="_Hlk61026958"/>
      <w:r w:rsidRPr="002B4784">
        <w:rPr>
          <w:rFonts w:ascii="Century Gothic" w:eastAsia="Aptos" w:hAnsi="Century Gothic" w:cs="Arial"/>
          <w:lang w:val="es-ES"/>
        </w:rPr>
        <w:t xml:space="preserve">esta Entidad </w:t>
      </w:r>
      <w:bookmarkStart w:id="5" w:name="_Hlk160033005"/>
      <w:r w:rsidRPr="002B4784">
        <w:rPr>
          <w:rFonts w:ascii="Century Gothic" w:eastAsia="Aptos" w:hAnsi="Century Gothic" w:cs="Arial"/>
          <w:lang w:val="es-ES"/>
        </w:rPr>
        <w:t>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2B4784">
        <w:rPr>
          <w:rFonts w:ascii="Century Gothic" w:eastAsia="Aptos" w:hAnsi="Century Gothic" w:cs="Arial"/>
        </w:rPr>
        <w:t xml:space="preserve"> de todos los partícipes de la contratación estatal.</w:t>
      </w:r>
      <w:r w:rsidRPr="002B4784">
        <w:rPr>
          <w:rFonts w:ascii="Century Gothic" w:eastAsia="Aptos" w:hAnsi="Century Gothic" w:cs="Arial"/>
          <w:lang w:val="es-ES"/>
        </w:rPr>
        <w:t xml:space="preserve"> </w:t>
      </w:r>
      <w:bookmarkEnd w:id="2"/>
      <w:bookmarkEnd w:id="3"/>
      <w:bookmarkEnd w:id="4"/>
      <w:bookmarkEnd w:id="5"/>
    </w:p>
    <w:p w14:paraId="663E3AD1" w14:textId="77777777" w:rsidR="002B4784" w:rsidRPr="002B4784" w:rsidRDefault="002B4784" w:rsidP="002B4784">
      <w:pPr>
        <w:spacing w:after="0" w:line="276" w:lineRule="auto"/>
        <w:ind w:firstLine="708"/>
        <w:jc w:val="both"/>
        <w:rPr>
          <w:rFonts w:ascii="Century Gothic" w:eastAsia="Aptos" w:hAnsi="Century Gothic" w:cs="Arial"/>
          <w:lang w:val="es-ES"/>
        </w:rPr>
      </w:pPr>
      <w:r w:rsidRPr="002B4784">
        <w:rPr>
          <w:rFonts w:ascii="Century Gothic" w:eastAsia="Calibri" w:hAnsi="Century Gothic"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2B4784">
        <w:rPr>
          <w:rFonts w:ascii="Century Gothic" w:eastAsia="Calibri" w:hAnsi="Century Gothic" w:cs="Arial"/>
          <w:vertAlign w:val="superscript"/>
          <w:lang w:val="es-ES"/>
        </w:rPr>
        <w:footnoteReference w:id="1"/>
      </w:r>
      <w:r w:rsidRPr="002B4784">
        <w:rPr>
          <w:rFonts w:ascii="Century Gothic" w:eastAsia="Calibri" w:hAnsi="Century Gothic" w:cs="Arial"/>
          <w:lang w:val="es-ES"/>
        </w:rPr>
        <w:t xml:space="preserve">.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contractuales de donde surge la inquietud. </w:t>
      </w:r>
    </w:p>
    <w:p w14:paraId="7C6342D2" w14:textId="77777777" w:rsidR="002B4784" w:rsidRPr="002B4784" w:rsidRDefault="002B4784" w:rsidP="002B4784">
      <w:pPr>
        <w:spacing w:before="120" w:after="120" w:line="276" w:lineRule="auto"/>
        <w:ind w:firstLine="708"/>
        <w:jc w:val="both"/>
        <w:rPr>
          <w:rFonts w:ascii="Century Gothic" w:eastAsia="Calibri" w:hAnsi="Century Gothic" w:cs="Arial"/>
          <w:lang w:val="es-ES"/>
        </w:rPr>
      </w:pPr>
      <w:r w:rsidRPr="002B4784">
        <w:rPr>
          <w:rFonts w:ascii="Century Gothic" w:eastAsia="Calibri" w:hAnsi="Century Gothic" w:cs="Arial"/>
          <w:lang w:val="es-MX"/>
        </w:rPr>
        <w:t xml:space="preserve">Sin perjuicio de lo anterior, </w:t>
      </w:r>
      <w:r w:rsidRPr="002B4784">
        <w:rPr>
          <w:rFonts w:ascii="Century Gothic" w:eastAsia="Calibri" w:hAnsi="Century Gothic" w:cs="Arial"/>
          <w:lang w:val="es-ES"/>
        </w:rPr>
        <w:t xml:space="preserve">la Subdirección de Gestión Contractual de esta Agencia, dentro de los límites de sus atribuciones resolverá la consulta conforme a </w:t>
      </w:r>
      <w:r w:rsidRPr="002B4784">
        <w:rPr>
          <w:rFonts w:ascii="Century Gothic" w:eastAsia="Calibri" w:hAnsi="Century Gothic" w:cs="Arial"/>
          <w:lang w:val="es-ES"/>
        </w:rPr>
        <w:lastRenderedPageBreak/>
        <w:t>las normas generales en materia de contratación estatal</w:t>
      </w:r>
      <w:r w:rsidRPr="002B4784">
        <w:rPr>
          <w:rFonts w:ascii="Century Gothic" w:eastAsia="Calibri" w:hAnsi="Century Gothic" w:cs="Arial"/>
          <w:lang w:val="es-ES_tradnl" w:eastAsia="es-MX"/>
        </w:rPr>
        <w:t>, luego de analizar i) régimen jurídico de los convenios y/o contratos interadministrativos; y ii)</w:t>
      </w:r>
      <w:r w:rsidRPr="002B4784">
        <w:rPr>
          <w:rFonts w:ascii="Century Gothic" w:eastAsia="Calibri" w:hAnsi="Century Gothic" w:cs="Times New Roman"/>
        </w:rPr>
        <w:t xml:space="preserve"> </w:t>
      </w:r>
      <w:r w:rsidRPr="002B4784">
        <w:rPr>
          <w:rFonts w:ascii="Century Gothic" w:eastAsia="Aptos" w:hAnsi="Century Gothic" w:cs="Arial"/>
          <w:lang w:val="es-ES"/>
        </w:rPr>
        <w:t>noción general sobre estampillas cuyo hecho generador sea la celebración de contratos estatales.</w:t>
      </w:r>
    </w:p>
    <w:p w14:paraId="07076130" w14:textId="77777777" w:rsidR="002B4784" w:rsidRPr="002B4784" w:rsidRDefault="002B4784" w:rsidP="002B4784">
      <w:pPr>
        <w:widowControl w:val="0"/>
        <w:autoSpaceDE w:val="0"/>
        <w:autoSpaceDN w:val="0"/>
        <w:spacing w:after="0" w:line="276" w:lineRule="auto"/>
        <w:ind w:firstLine="709"/>
        <w:jc w:val="both"/>
        <w:rPr>
          <w:rFonts w:ascii="Century Gothic" w:eastAsia="Aptos" w:hAnsi="Century Gothic" w:cs="Arial"/>
        </w:rPr>
      </w:pPr>
      <w:r w:rsidRPr="002B4784">
        <w:rPr>
          <w:rFonts w:ascii="Century Gothic" w:eastAsia="Aptos" w:hAnsi="Century Gothic" w:cs="Arial"/>
          <w:shd w:val="clear" w:color="auto" w:fill="FFFFFF"/>
        </w:rPr>
        <w:t>La Agencia Nacional de Contratación Pública – Colombia Compra Eficiente, analizó el régimen de jurídico de los convenios y/o contratos interadministrativos, entre otros, en los conceptos</w:t>
      </w:r>
      <w:r w:rsidRPr="002B4784">
        <w:rPr>
          <w:rFonts w:ascii="Aptos" w:eastAsia="Aptos" w:hAnsi="Aptos" w:cs="Times New Roman"/>
        </w:rPr>
        <w:t xml:space="preserve"> </w:t>
      </w:r>
      <w:r w:rsidRPr="002B4784">
        <w:rPr>
          <w:rFonts w:ascii="Century Gothic" w:eastAsia="Aptos" w:hAnsi="Century Gothic" w:cs="Arial"/>
          <w:shd w:val="clear" w:color="auto" w:fill="FFFFFF"/>
        </w:rPr>
        <w:t>C-562 del 7 de septiembre del 2022, C-738 de 4 de noviembre de 2022, C-021 del 24 de febrero de 2023, C-182 del 29 de junio de 2023, C-187 del 15 de junio de 2023, C-360 del 12 de septiembre de 2023, C-379 del 19 de octubre de 2023, C-427 del 27 de noviembre de 2023.</w:t>
      </w:r>
      <w:r w:rsidRPr="002B4784">
        <w:rPr>
          <w:rFonts w:ascii="Century Gothic" w:eastAsia="Aptos" w:hAnsi="Century Gothic" w:cs="Arial"/>
        </w:rPr>
        <w:t xml:space="preserve"> De igual forma, esta Agencia, en el concepto C-022 del 11 de marzo de 2023</w:t>
      </w:r>
      <w:r w:rsidRPr="002B4784">
        <w:rPr>
          <w:rFonts w:ascii="Century Gothic" w:eastAsia="Calibri" w:hAnsi="Century Gothic" w:cs="Arial"/>
          <w:color w:val="000000"/>
          <w:lang w:val="es-ES"/>
        </w:rPr>
        <w:t>, analizó la noción general de las estampillas cuyo hecho generador sea la celebración de contratos estatales</w:t>
      </w:r>
      <w:r w:rsidRPr="002B4784">
        <w:rPr>
          <w:rFonts w:ascii="Century Gothic" w:eastAsia="Calibri" w:hAnsi="Century Gothic" w:cs="Arial"/>
          <w:color w:val="000000"/>
          <w:vertAlign w:val="superscript"/>
        </w:rPr>
        <w:footnoteReference w:id="2"/>
      </w:r>
      <w:r w:rsidRPr="002B4784">
        <w:rPr>
          <w:rFonts w:ascii="Century Gothic" w:eastAsia="Times New Roman" w:hAnsi="Century Gothic" w:cs="Arial"/>
          <w:lang w:eastAsia="es-ES"/>
        </w:rPr>
        <w:t xml:space="preserve">. </w:t>
      </w:r>
      <w:r w:rsidRPr="002B4784">
        <w:rPr>
          <w:rFonts w:ascii="Century Gothic" w:eastAsia="Aptos" w:hAnsi="Century Gothic" w:cs="Arial"/>
        </w:rPr>
        <w:t>Las tesis propuestas en tales conceptos se reiteran a continuación y se complementan en lo pertinente</w:t>
      </w:r>
      <w:r w:rsidRPr="002B4784">
        <w:rPr>
          <w:rFonts w:ascii="Century Gothic" w:eastAsia="Calibri" w:hAnsi="Century Gothic" w:cs="Arial"/>
          <w:bCs/>
          <w:lang w:val="es-ES_tradnl"/>
        </w:rPr>
        <w:t>.</w:t>
      </w:r>
    </w:p>
    <w:p w14:paraId="41281B52" w14:textId="77777777" w:rsidR="002B4784" w:rsidRPr="002B4784" w:rsidRDefault="002B4784" w:rsidP="002B4784">
      <w:pPr>
        <w:spacing w:after="0" w:line="276" w:lineRule="auto"/>
        <w:jc w:val="both"/>
        <w:rPr>
          <w:rFonts w:ascii="Century Gothic" w:eastAsia="Calibri" w:hAnsi="Century Gothic" w:cs="Arial"/>
          <w:lang w:val="es-MX"/>
        </w:rPr>
      </w:pPr>
    </w:p>
    <w:p w14:paraId="3AACEB10" w14:textId="77777777" w:rsidR="002B4784" w:rsidRPr="002B4784" w:rsidRDefault="002B4784" w:rsidP="002B4784">
      <w:pPr>
        <w:spacing w:after="0" w:line="276" w:lineRule="auto"/>
        <w:contextualSpacing/>
        <w:jc w:val="both"/>
        <w:rPr>
          <w:rFonts w:ascii="Century Gothic" w:eastAsia="Calibri" w:hAnsi="Century Gothic" w:cs="Arial"/>
          <w:b/>
          <w:lang w:val="es-ES_tradnl" w:eastAsia="es-ES_tradnl"/>
        </w:rPr>
      </w:pPr>
      <w:r w:rsidRPr="002B4784">
        <w:rPr>
          <w:rFonts w:ascii="Century Gothic" w:eastAsia="Arial" w:hAnsi="Century Gothic" w:cs="Arial"/>
          <w:b/>
          <w:bCs/>
          <w:lang w:val="es-ES_tradnl" w:eastAsia="es-ES_tradnl"/>
        </w:rPr>
        <w:t xml:space="preserve">2.1. </w:t>
      </w:r>
      <w:r w:rsidRPr="002B4784">
        <w:rPr>
          <w:rFonts w:ascii="Century Gothic" w:eastAsia="Calibri" w:hAnsi="Century Gothic" w:cs="Arial"/>
          <w:b/>
          <w:lang w:val="es-ES_tradnl" w:eastAsia="es-ES_tradnl"/>
        </w:rPr>
        <w:t>Régimen jurídico de los convenios y/o contratos interadministrativos. Reiteración de línea</w:t>
      </w:r>
    </w:p>
    <w:p w14:paraId="16C2893A" w14:textId="77777777" w:rsidR="002B4784" w:rsidRPr="002B4784" w:rsidRDefault="002B4784" w:rsidP="002B4784">
      <w:pPr>
        <w:spacing w:after="0" w:line="276" w:lineRule="auto"/>
        <w:contextualSpacing/>
        <w:jc w:val="both"/>
        <w:rPr>
          <w:rFonts w:ascii="Century Gothic" w:eastAsia="Calibri" w:hAnsi="Century Gothic" w:cs="Arial"/>
          <w:b/>
          <w:lang w:val="es-ES_tradnl" w:eastAsia="es-ES_tradnl"/>
        </w:rPr>
      </w:pPr>
    </w:p>
    <w:p w14:paraId="40172354" w14:textId="77777777" w:rsidR="002B4784" w:rsidRPr="002B4784" w:rsidRDefault="002B4784" w:rsidP="002B4784">
      <w:pPr>
        <w:tabs>
          <w:tab w:val="left" w:pos="709"/>
        </w:tabs>
        <w:spacing w:after="0" w:line="276" w:lineRule="auto"/>
        <w:jc w:val="both"/>
        <w:rPr>
          <w:rFonts w:ascii="Century Gothic" w:eastAsia="Aptos" w:hAnsi="Century Gothic" w:cs="Arial"/>
        </w:rPr>
      </w:pPr>
      <w:r w:rsidRPr="002B4784">
        <w:rPr>
          <w:rFonts w:ascii="Century Gothic" w:eastAsia="Aptos" w:hAnsi="Century Gothic" w:cs="Arial"/>
        </w:rPr>
        <w:t>La tipología del contrato o convenio interadministrativo fue creada en la Ley 80 de 1993, y el Decreto 1082 de 2015 la califica como aquella contratación entre Entidades Estatales</w:t>
      </w:r>
      <w:r w:rsidRPr="002B4784">
        <w:rPr>
          <w:rFonts w:ascii="Century Gothic" w:eastAsia="Times New Roman" w:hAnsi="Century Gothic" w:cs="Arial"/>
          <w:vertAlign w:val="superscript"/>
          <w:lang w:eastAsia="es-CO"/>
        </w:rPr>
        <w:footnoteReference w:id="3"/>
      </w:r>
      <w:r w:rsidRPr="002B4784">
        <w:rPr>
          <w:rFonts w:ascii="Century Gothic" w:eastAsia="Times New Roman" w:hAnsi="Century Gothic" w:cs="Arial"/>
          <w:lang w:eastAsia="es-CO"/>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52B31C44" w14:textId="77777777" w:rsidR="002B4784" w:rsidRPr="002B4784" w:rsidRDefault="002B4784" w:rsidP="002B4784">
      <w:pPr>
        <w:tabs>
          <w:tab w:val="left" w:pos="709"/>
        </w:tabs>
        <w:spacing w:before="120" w:after="0" w:line="276" w:lineRule="auto"/>
        <w:jc w:val="both"/>
        <w:rPr>
          <w:rFonts w:ascii="Century Gothic" w:eastAsia="Aptos" w:hAnsi="Century Gothic" w:cs="Arial"/>
        </w:rPr>
      </w:pPr>
      <w:r w:rsidRPr="002B4784">
        <w:rPr>
          <w:rFonts w:ascii="Century Gothic" w:eastAsia="Aptos" w:hAnsi="Century Gothic" w:cs="Arial"/>
          <w:color w:val="000000"/>
          <w:shd w:val="clear" w:color="auto" w:fill="FFFFFF"/>
          <w:lang w:val="es-ES"/>
        </w:rPr>
        <w:lastRenderedPageBreak/>
        <w:tab/>
      </w:r>
      <w:r w:rsidRPr="002B4784">
        <w:rPr>
          <w:rFonts w:ascii="Century Gothic" w:eastAsia="Aptos" w:hAnsi="Century Gothic" w:cs="Arial"/>
        </w:rPr>
        <w:t>Si bien los contratos o convenios interadministrativos están previstos en la Ley 80 de 1993, en la Ley 1150 de 2007 y en el Decreto 1082 de 2015, no quiere decir que sólo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p w14:paraId="3C5032DF" w14:textId="77777777" w:rsidR="002B4784" w:rsidRPr="002B4784" w:rsidRDefault="002B4784" w:rsidP="002B4784">
      <w:pPr>
        <w:tabs>
          <w:tab w:val="left" w:pos="709"/>
        </w:tabs>
        <w:spacing w:before="120" w:after="0" w:line="276" w:lineRule="auto"/>
        <w:jc w:val="both"/>
        <w:rPr>
          <w:rFonts w:ascii="Century Gothic" w:eastAsia="Aptos" w:hAnsi="Century Gothic" w:cs="Arial"/>
        </w:rPr>
      </w:pPr>
      <w:r w:rsidRPr="002B4784">
        <w:rPr>
          <w:rFonts w:ascii="Century Gothic" w:eastAsia="Aptos" w:hAnsi="Century Gothic" w:cs="Arial"/>
        </w:rPr>
        <w:tab/>
        <w:t>Un contrato o convenio interadministrativo no está determinado por la modalidad de selección utilizada para celebrarlo. La Ley 1150 de 2007 dispone que pueden celebrarse directamente, siempre que las obligaciones del mismo tengan relación directa con el objeto de la entidad ejecutora, señalado en la ley o en sus reglamentos, a menos que, según las excepciones previstas en dicha ley, deba adelantarse un procedimiento con pluralidad de oferentes</w:t>
      </w:r>
      <w:r w:rsidRPr="002B4784">
        <w:rPr>
          <w:rFonts w:ascii="Century Gothic" w:eastAsia="Times New Roman" w:hAnsi="Century Gothic" w:cs="Arial"/>
          <w:vertAlign w:val="superscript"/>
          <w:lang w:eastAsia="es-CO"/>
        </w:rPr>
        <w:footnoteReference w:id="4"/>
      </w:r>
      <w:r w:rsidRPr="002B4784">
        <w:rPr>
          <w:rFonts w:ascii="Century Gothic" w:eastAsia="Times New Roman" w:hAnsi="Century Gothic" w:cs="Arial"/>
          <w:lang w:eastAsia="es-CO"/>
        </w:rPr>
        <w:t>. Nótese que, en este caso, lo que cambia es la modalidad de selección y no la naturaleza de contrato o convenio interadministrativo.</w:t>
      </w:r>
    </w:p>
    <w:p w14:paraId="6BBC6A81" w14:textId="77777777" w:rsidR="002B4784" w:rsidRPr="002B4784" w:rsidRDefault="002B4784" w:rsidP="002B4784">
      <w:pPr>
        <w:spacing w:before="114" w:after="0" w:line="276" w:lineRule="auto"/>
        <w:ind w:firstLine="707"/>
        <w:jc w:val="both"/>
        <w:rPr>
          <w:rFonts w:ascii="Century Gothic" w:eastAsia="Times New Roman" w:hAnsi="Century Gothic" w:cs="Arial"/>
          <w:lang w:eastAsia="es-CO"/>
        </w:rPr>
      </w:pPr>
      <w:r w:rsidRPr="002B4784">
        <w:rPr>
          <w:rFonts w:ascii="Century Gothic" w:eastAsia="Aptos" w:hAnsi="Century Gothic" w:cs="Arial"/>
        </w:rPr>
        <w:tab/>
        <w:t xml:space="preserve">La Corte Constitucional, en Sentencia C-671 de 2015, expresó que “Lo que hace interadministrativo a un contrato o convenio no es el procedimiento de selección aplicable, sino la calidad de los sujetos contratantes, </w:t>
      </w:r>
      <w:r w:rsidRPr="002B4784">
        <w:rPr>
          <w:rFonts w:ascii="Century Gothic" w:eastAsia="Aptos" w:hAnsi="Century Gothic" w:cs="Arial"/>
          <w:i/>
        </w:rPr>
        <w:t xml:space="preserve">esto es que las dos partes de la relación jurídica contractual </w:t>
      </w:r>
      <w:r w:rsidRPr="002B4784">
        <w:rPr>
          <w:rFonts w:ascii="Century Gothic" w:eastAsia="Times New Roman" w:hAnsi="Century Gothic" w:cs="Arial"/>
          <w:i/>
          <w:lang w:eastAsia="es-CO"/>
        </w:rPr>
        <w:t>formen parte de la administración pública</w:t>
      </w:r>
      <w:r w:rsidRPr="002B4784">
        <w:rPr>
          <w:rFonts w:ascii="Century Gothic" w:eastAsia="Times New Roman" w:hAnsi="Century Gothic" w:cs="Arial"/>
          <w:lang w:eastAsia="es-CO"/>
        </w:rPr>
        <w:t>” [Énfasis fuera de texto].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2B4784">
        <w:rPr>
          <w:rFonts w:ascii="Century Gothic" w:eastAsia="Times New Roman" w:hAnsi="Century Gothic" w:cs="Arial"/>
          <w:spacing w:val="-13"/>
          <w:lang w:eastAsia="es-CO"/>
        </w:rPr>
        <w:t xml:space="preserve"> </w:t>
      </w:r>
      <w:r w:rsidRPr="002B4784">
        <w:rPr>
          <w:rFonts w:ascii="Century Gothic" w:eastAsia="Times New Roman" w:hAnsi="Century Gothic" w:cs="Arial"/>
          <w:lang w:eastAsia="es-CO"/>
        </w:rPr>
        <w:t>que:</w:t>
      </w:r>
    </w:p>
    <w:p w14:paraId="364EBA5E" w14:textId="77777777" w:rsidR="002B4784" w:rsidRPr="002B4784" w:rsidRDefault="002B4784" w:rsidP="002B4784">
      <w:pPr>
        <w:spacing w:after="0" w:line="276" w:lineRule="auto"/>
        <w:ind w:firstLine="707"/>
        <w:jc w:val="both"/>
        <w:rPr>
          <w:rFonts w:ascii="Century Gothic" w:eastAsia="Times New Roman" w:hAnsi="Century Gothic" w:cs="Arial"/>
          <w:lang w:eastAsia="es-CO"/>
        </w:rPr>
      </w:pPr>
    </w:p>
    <w:p w14:paraId="05508A62" w14:textId="77777777" w:rsidR="002B4784" w:rsidRPr="002B4784" w:rsidRDefault="002B4784" w:rsidP="002B4784">
      <w:pPr>
        <w:spacing w:after="0" w:line="240" w:lineRule="auto"/>
        <w:ind w:left="709" w:right="709"/>
        <w:jc w:val="both"/>
        <w:rPr>
          <w:rFonts w:ascii="Century Gothic" w:eastAsia="Aptos" w:hAnsi="Century Gothic" w:cs="Arial"/>
          <w:sz w:val="21"/>
        </w:rPr>
      </w:pPr>
      <w:r w:rsidRPr="002B4784">
        <w:rPr>
          <w:rFonts w:ascii="Century Gothic" w:eastAsia="Aptos" w:hAnsi="Century Gothic" w:cs="Arial"/>
          <w:sz w:val="21"/>
        </w:rPr>
        <w:t xml:space="preserve">“[…]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w:t>
      </w:r>
      <w:r w:rsidRPr="002B4784">
        <w:rPr>
          <w:rFonts w:ascii="Century Gothic" w:eastAsia="Aptos" w:hAnsi="Century Gothic" w:cs="Arial"/>
          <w:sz w:val="21"/>
        </w:rPr>
        <w:lastRenderedPageBreak/>
        <w:t>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2B4784">
        <w:rPr>
          <w:rFonts w:ascii="Century Gothic" w:eastAsia="Aptos" w:hAnsi="Century Gothic" w:cs="Arial"/>
          <w:sz w:val="21"/>
          <w:vertAlign w:val="superscript"/>
        </w:rPr>
        <w:footnoteReference w:id="5"/>
      </w:r>
      <w:r w:rsidRPr="002B4784">
        <w:rPr>
          <w:rFonts w:ascii="Century Gothic" w:eastAsia="Aptos" w:hAnsi="Century Gothic" w:cs="Arial"/>
          <w:sz w:val="21"/>
        </w:rPr>
        <w:t>”.</w:t>
      </w:r>
    </w:p>
    <w:p w14:paraId="7DD98A18" w14:textId="77777777" w:rsidR="002B4784" w:rsidRPr="002B4784" w:rsidRDefault="002B4784" w:rsidP="002B4784">
      <w:pPr>
        <w:spacing w:after="0"/>
        <w:ind w:left="709" w:right="709"/>
        <w:jc w:val="both"/>
        <w:rPr>
          <w:rFonts w:ascii="Century Gothic" w:eastAsia="Aptos" w:hAnsi="Century Gothic" w:cs="Arial"/>
        </w:rPr>
      </w:pPr>
    </w:p>
    <w:p w14:paraId="1D93B946" w14:textId="77777777" w:rsidR="002B4784" w:rsidRPr="002B4784" w:rsidRDefault="002B4784" w:rsidP="002B4784">
      <w:pPr>
        <w:spacing w:after="0" w:line="276" w:lineRule="auto"/>
        <w:ind w:firstLine="707"/>
        <w:jc w:val="both"/>
        <w:rPr>
          <w:rFonts w:ascii="Century Gothic" w:eastAsia="Times New Roman" w:hAnsi="Century Gothic" w:cs="Arial"/>
          <w:lang w:eastAsia="es-CO"/>
        </w:rPr>
      </w:pPr>
      <w:r w:rsidRPr="002B4784">
        <w:rPr>
          <w:rFonts w:ascii="Century Gothic" w:eastAsia="Times New Roman" w:hAnsi="Century Gothic" w:cs="Arial"/>
          <w:lang w:eastAsia="es-CO"/>
        </w:rPr>
        <w:t>En ese sentido, los convenios interadministrativos se caracterizan por los sujetos que intervienen y por la modalidad de selección que la ley permite aplicar para su celebración, pues comporta un grado de excepcionalidad frente a las demás tipologías contractuales, donde los sujetos no están restringidos a una cualificación particular y aplican otras modalidades de selección. El EGCAP establece la contratación directa como la modalidad de selección aplicable, por regla general, a la celebración de los contratos interadministrativos.</w:t>
      </w:r>
    </w:p>
    <w:p w14:paraId="47378454" w14:textId="77777777" w:rsidR="002B4784" w:rsidRPr="002B4784" w:rsidRDefault="002B4784" w:rsidP="002B4784">
      <w:pPr>
        <w:spacing w:before="120" w:after="0" w:line="276" w:lineRule="auto"/>
        <w:ind w:firstLine="709"/>
        <w:jc w:val="both"/>
        <w:rPr>
          <w:rFonts w:ascii="Century Gothic" w:eastAsia="Times New Roman" w:hAnsi="Century Gothic" w:cs="Arial"/>
          <w:lang w:eastAsia="es-CO"/>
        </w:rPr>
      </w:pPr>
      <w:r w:rsidRPr="002B4784">
        <w:rPr>
          <w:rFonts w:ascii="Century Gothic" w:eastAsia="Times New Roman" w:hAnsi="Century Gothic" w:cs="Arial"/>
          <w:lang w:eastAsia="es-CO"/>
        </w:rPr>
        <w:t xml:space="preserve">Además, es necesario tener en cuenta que para que un contrato o convenio interadministrativo exista, debe cumplir con los siguientes elementos: acuerdo sobre el objeto y la contraprestación, y que se eleve a escrito. Por otra parte, si bien actualmente el </w:t>
      </w:r>
      <w:r w:rsidRPr="002B4784">
        <w:rPr>
          <w:rFonts w:ascii="Century Gothic" w:eastAsia="Calibri" w:hAnsi="Century Gothic" w:cs="Arial"/>
        </w:rPr>
        <w:t>Estatuto General de Contratación de la Administración Pública, en adelante EGCAP,</w:t>
      </w:r>
      <w:r w:rsidRPr="002B4784">
        <w:rPr>
          <w:rFonts w:ascii="Century Gothic" w:eastAsia="Times New Roman" w:hAnsi="Century Gothic" w:cs="Arial"/>
          <w:sz w:val="24"/>
          <w:szCs w:val="24"/>
          <w:lang w:eastAsia="es-CO"/>
        </w:rPr>
        <w:t xml:space="preserve"> </w:t>
      </w:r>
      <w:r w:rsidRPr="002B4784">
        <w:rPr>
          <w:rFonts w:ascii="Century Gothic" w:eastAsia="Times New Roman" w:hAnsi="Century Gothic" w:cs="Arial"/>
          <w:lang w:eastAsia="es-CO"/>
        </w:rPr>
        <w:t>hace referencia de manera expresa a los contratos interadministrativos y no a los convenios,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2B4784">
        <w:rPr>
          <w:rFonts w:ascii="Century Gothic" w:eastAsia="Times New Roman" w:hAnsi="Century Gothic" w:cs="Arial"/>
          <w:spacing w:val="-4"/>
          <w:lang w:eastAsia="es-CO"/>
        </w:rPr>
        <w:t xml:space="preserve"> </w:t>
      </w:r>
      <w:r w:rsidRPr="002B4784">
        <w:rPr>
          <w:rFonts w:ascii="Century Gothic" w:eastAsia="Times New Roman" w:hAnsi="Century Gothic" w:cs="Arial"/>
          <w:lang w:eastAsia="es-CO"/>
        </w:rPr>
        <w:t>estatales.</w:t>
      </w:r>
    </w:p>
    <w:p w14:paraId="37DC5273" w14:textId="77777777" w:rsidR="002B4784" w:rsidRPr="002B4784" w:rsidRDefault="002B4784" w:rsidP="002B4784">
      <w:pPr>
        <w:spacing w:before="120" w:after="0" w:line="276" w:lineRule="auto"/>
        <w:ind w:firstLine="709"/>
        <w:jc w:val="both"/>
        <w:rPr>
          <w:rFonts w:ascii="Century Gothic" w:eastAsia="Times New Roman" w:hAnsi="Century Gothic" w:cs="Arial"/>
          <w:lang w:eastAsia="es-CO"/>
        </w:rPr>
      </w:pPr>
      <w:r w:rsidRPr="002B4784">
        <w:rPr>
          <w:rFonts w:ascii="Century Gothic" w:eastAsia="Times New Roman" w:hAnsi="Century Gothic" w:cs="Arial"/>
          <w:lang w:eastAsia="es-CO"/>
        </w:rPr>
        <w:t xml:space="preserve">Por tal razón conforme a lo previsto en el artículo 95 de la Ley 489 de 1995 y al alcance que la jurisprudencia del Consejo de Estado y la doctrina le han dado </w:t>
      </w:r>
      <w:r w:rsidRPr="002B4784">
        <w:rPr>
          <w:rFonts w:ascii="Century Gothic" w:eastAsia="Times New Roman" w:hAnsi="Century Gothic" w:cs="Arial"/>
          <w:lang w:eastAsia="es-CO"/>
        </w:rPr>
        <w:lastRenderedPageBreak/>
        <w:t>a la regulación de los convenios interadministrativos, esta tipología tiene las siguientes características: 1. Se celebran entre dos entidades públicas que se encuentran en pie de igualdad con el objeto de cumplir competencias de ambas entidades dirigidas a un propósito común. Es decir, en los convenios interadministrativos no existen intereses contrapuestos. 2. La modalidad para su celebración es la contratación directa. 3. Los convenios interadministrativos pueden suponer el compromiso de recursos públicos y, en consecuencia, la realización de aportes financieros. Este hecho, sin embargo, no supone a posibilidad de que en este tipo de relaciones jurídicas exista una remuneración en favor de uno de los co-contrantes y a cargo de otro y otro</w:t>
      </w:r>
    </w:p>
    <w:p w14:paraId="1A53C7A4" w14:textId="77777777" w:rsidR="002B4784" w:rsidRPr="002B4784" w:rsidRDefault="002B4784" w:rsidP="002B4784">
      <w:pPr>
        <w:spacing w:before="122" w:after="120" w:line="276" w:lineRule="auto"/>
        <w:ind w:firstLine="709"/>
        <w:jc w:val="both"/>
        <w:rPr>
          <w:rFonts w:ascii="Century Gothic" w:eastAsia="Times New Roman" w:hAnsi="Century Gothic" w:cs="Arial"/>
          <w:lang w:eastAsia="es-CO"/>
        </w:rPr>
      </w:pPr>
      <w:r w:rsidRPr="002B4784">
        <w:rPr>
          <w:rFonts w:ascii="Century Gothic" w:eastAsia="Aptos" w:hAnsi="Century Gothic" w:cs="Arial"/>
        </w:rPr>
        <w:t xml:space="preserve">Es conveniente destacar que, el Decreto 1082 de 2015 dispone que los convenios o contratos interadministrativos, así denominados en su artículo </w:t>
      </w:r>
      <w:r w:rsidRPr="002B4784">
        <w:rPr>
          <w:rFonts w:ascii="Century Gothic" w:eastAsia="Times New Roman" w:hAnsi="Century Gothic" w:cs="Arial"/>
          <w:lang w:eastAsia="es-CO"/>
        </w:rPr>
        <w:t>2.2.1.2.1.4.4, que se contratan directamente, por lo que representan figuras similares en la medida en que concurran Entidades Estatales en el acuerdo de voluntades. De acuerdo con lo dispuesto en esta disposición, en principio, no existen mayores diferencias entre convenio y contrato, e incluso, dando aplicación al derecho privado y a la definición contenida en el Código Civil, podría afirmarse que se trata de figuras equivalentes.</w:t>
      </w:r>
    </w:p>
    <w:p w14:paraId="1B1EAB75" w14:textId="77777777" w:rsidR="002B4784" w:rsidRPr="002B4784" w:rsidRDefault="002B4784" w:rsidP="002B4784">
      <w:pPr>
        <w:spacing w:after="0" w:line="276" w:lineRule="auto"/>
        <w:ind w:firstLine="708"/>
        <w:jc w:val="both"/>
        <w:rPr>
          <w:rFonts w:ascii="Century Gothic" w:eastAsia="Times New Roman" w:hAnsi="Century Gothic" w:cs="Arial"/>
          <w:lang w:eastAsia="es-CO"/>
        </w:rPr>
      </w:pPr>
      <w:r w:rsidRPr="002B4784">
        <w:rPr>
          <w:rFonts w:ascii="Century Gothic" w:eastAsia="Times New Roman" w:hAnsi="Century Gothic" w:cs="Arial"/>
          <w:lang w:eastAsia="es-CO"/>
        </w:rPr>
        <w:t>Lo anterior teniendo en cuenta que,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EGCAP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2B4784">
        <w:rPr>
          <w:rFonts w:ascii="Century Gothic" w:eastAsia="Times New Roman" w:hAnsi="Century Gothic" w:cs="Arial"/>
          <w:spacing w:val="-4"/>
          <w:lang w:eastAsia="es-CO"/>
        </w:rPr>
        <w:t xml:space="preserve"> </w:t>
      </w:r>
      <w:r w:rsidRPr="002B4784">
        <w:rPr>
          <w:rFonts w:ascii="Century Gothic" w:eastAsia="Times New Roman" w:hAnsi="Century Gothic" w:cs="Arial"/>
          <w:lang w:eastAsia="es-CO"/>
        </w:rPr>
        <w:t>[…]”</w:t>
      </w:r>
      <w:r w:rsidRPr="002B4784">
        <w:rPr>
          <w:rFonts w:ascii="Century Gothic" w:eastAsia="Times New Roman" w:hAnsi="Century Gothic" w:cs="Arial"/>
          <w:vertAlign w:val="superscript"/>
          <w:lang w:eastAsia="es-CO"/>
        </w:rPr>
        <w:footnoteReference w:id="6"/>
      </w:r>
      <w:r w:rsidRPr="002B4784">
        <w:rPr>
          <w:rFonts w:ascii="Century Gothic" w:eastAsia="Times New Roman" w:hAnsi="Century Gothic" w:cs="Arial"/>
          <w:lang w:eastAsia="es-CO"/>
        </w:rPr>
        <w:t>.</w:t>
      </w:r>
    </w:p>
    <w:p w14:paraId="02A468EC" w14:textId="77777777" w:rsidR="002B4784" w:rsidRPr="002B4784" w:rsidRDefault="002B4784" w:rsidP="002B4784">
      <w:pPr>
        <w:snapToGrid w:val="0"/>
        <w:spacing w:before="120" w:after="0" w:line="276" w:lineRule="auto"/>
        <w:ind w:firstLine="709"/>
        <w:jc w:val="both"/>
        <w:rPr>
          <w:rFonts w:ascii="Century Gothic" w:eastAsia="Calibri" w:hAnsi="Century Gothic" w:cs="Arial"/>
          <w:bCs/>
          <w:color w:val="000000"/>
          <w:lang w:bidi="es-ES"/>
        </w:rPr>
      </w:pPr>
      <w:r w:rsidRPr="002B4784">
        <w:rPr>
          <w:rFonts w:ascii="Century Gothic" w:eastAsia="Calibri" w:hAnsi="Century Gothic" w:cs="Arial"/>
          <w:bCs/>
          <w:color w:val="000000"/>
          <w:lang w:bidi="es-ES"/>
        </w:rPr>
        <w:t>Sin embargo, si bien tanto los contratos como convenios comparten características comunes explicadas en los párrafos precedentes, difieren en cuanto a ciertos aspectos esenciales</w:t>
      </w:r>
      <w:r w:rsidRPr="002B4784">
        <w:rPr>
          <w:rFonts w:ascii="Century Gothic" w:eastAsia="Calibri" w:hAnsi="Century Gothic" w:cs="Arial"/>
          <w:color w:val="000000"/>
          <w:lang w:bidi="es-ES"/>
        </w:rPr>
        <w:t xml:space="preserve">. </w:t>
      </w:r>
      <w:r w:rsidRPr="002B4784">
        <w:rPr>
          <w:rFonts w:ascii="Century Gothic" w:eastAsia="Calibri" w:hAnsi="Century Gothic" w:cs="Arial"/>
          <w:bCs/>
          <w:color w:val="000000"/>
          <w:lang w:bidi="es-ES"/>
        </w:rPr>
        <w:t xml:space="preserve">Así, mientras que el </w:t>
      </w:r>
      <w:r w:rsidRPr="002B4784">
        <w:rPr>
          <w:rFonts w:ascii="Century Gothic" w:eastAsia="Calibri" w:hAnsi="Century Gothic" w:cs="Arial"/>
          <w:bCs/>
          <w:i/>
          <w:iCs/>
          <w:color w:val="000000"/>
          <w:lang w:bidi="es-ES"/>
        </w:rPr>
        <w:t>contrato interadministrativo</w:t>
      </w:r>
      <w:r w:rsidRPr="002B4784">
        <w:rPr>
          <w:rFonts w:ascii="Century Gothic" w:eastAsia="Calibri" w:hAnsi="Century Gothic" w:cs="Arial"/>
          <w:bCs/>
          <w:color w:val="000000"/>
          <w:lang w:bidi="es-ES"/>
        </w:rPr>
        <w:t xml:space="preserve"> se caracteriza por su naturaleza onerosa, patrimonial y se conforma por intereses básicamente contrapuestos, los </w:t>
      </w:r>
      <w:r w:rsidRPr="002B4784">
        <w:rPr>
          <w:rFonts w:ascii="Century Gothic" w:eastAsia="Calibri" w:hAnsi="Century Gothic" w:cs="Arial"/>
          <w:bCs/>
          <w:i/>
          <w:iCs/>
          <w:color w:val="000000"/>
          <w:lang w:bidi="es-ES"/>
        </w:rPr>
        <w:t>convenios interadministrativos</w:t>
      </w:r>
      <w:r w:rsidRPr="002B4784">
        <w:rPr>
          <w:rFonts w:ascii="Century Gothic" w:eastAsia="Calibri" w:hAnsi="Century Gothic" w:cs="Arial"/>
          <w:bCs/>
          <w:color w:val="000000"/>
          <w:lang w:bidi="es-ES"/>
        </w:rPr>
        <w:t xml:space="preserve">, por su parte, tienen una finalidad asociativa perseguida por las </w:t>
      </w:r>
      <w:r w:rsidRPr="002B4784">
        <w:rPr>
          <w:rFonts w:ascii="Century Gothic" w:eastAsia="Calibri" w:hAnsi="Century Gothic" w:cs="Arial"/>
          <w:bCs/>
          <w:color w:val="000000"/>
          <w:lang w:bidi="es-ES"/>
        </w:rPr>
        <w:lastRenderedPageBreak/>
        <w:t>partes suscriptoras cuyos intereses se encaminan en la misma dirección y persiguen los mismos objetivos, de conformidad con el ejercicio de las funciones y competencias que les son propias y propendiendo por la cooperación interinstitucional. De aquí que la Sala de Consulta y Servicio Civil del Consejo de Estado haya señalado la necesidad de diferenciar el régimen jurídico aplicable a ciertas situaciones específicas del convenio interadministrativo que se separan del régimen jurídico común:</w:t>
      </w:r>
    </w:p>
    <w:p w14:paraId="7859C8CC" w14:textId="77777777" w:rsidR="002B4784" w:rsidRPr="002B4784" w:rsidRDefault="002B4784" w:rsidP="002B4784">
      <w:pPr>
        <w:spacing w:beforeLines="120" w:before="288" w:afterLines="120" w:after="288" w:line="240" w:lineRule="auto"/>
        <w:ind w:left="709" w:right="709"/>
        <w:contextualSpacing/>
        <w:jc w:val="both"/>
        <w:rPr>
          <w:rFonts w:ascii="Century Gothic" w:eastAsia="Calibri" w:hAnsi="Century Gothic" w:cs="Arial"/>
          <w:bCs/>
          <w:color w:val="000000"/>
          <w:sz w:val="21"/>
          <w:lang w:bidi="es-ES"/>
        </w:rPr>
      </w:pPr>
    </w:p>
    <w:p w14:paraId="27793A9E" w14:textId="77777777" w:rsidR="002B4784" w:rsidRPr="002B4784" w:rsidRDefault="002B4784" w:rsidP="002B4784">
      <w:pPr>
        <w:spacing w:beforeLines="120" w:before="288" w:afterLines="120" w:after="288" w:line="240" w:lineRule="auto"/>
        <w:ind w:left="709" w:right="709"/>
        <w:contextualSpacing/>
        <w:jc w:val="both"/>
        <w:rPr>
          <w:rFonts w:ascii="Century Gothic" w:eastAsia="Calibri" w:hAnsi="Century Gothic" w:cs="Arial"/>
          <w:color w:val="000000"/>
          <w:sz w:val="20"/>
          <w:szCs w:val="20"/>
          <w:lang w:bidi="es-ES"/>
        </w:rPr>
      </w:pPr>
      <w:r w:rsidRPr="002B4784">
        <w:rPr>
          <w:rFonts w:ascii="Century Gothic" w:eastAsia="Calibri" w:hAnsi="Century Gothic" w:cs="Arial"/>
          <w:color w:val="000000"/>
          <w:sz w:val="20"/>
          <w:szCs w:val="20"/>
          <w:lang w:bidi="es-ES"/>
        </w:rPr>
        <w:t xml:space="preserve">“[E]s preciso señalar que los convenios interadministrativos se someten a los principios constitucionales y legales de la actividad contractual del Estado (transparencia, planeación, buena fe, entre otros) y, obviamente, a los principios de la función administrativa previstos en el artículo 209 CP (moralidad, economía, celeridad, entre otros), en virtud del carácter vinculante de los mismos, dentro del contexto de un ánimo de cooperación que se refleja en el plano de igualdad o equivalencia en que se celebran y ejecutan, lo que significa ausencia de prerrogativas en favor de una parte a costa de la otra. </w:t>
      </w:r>
    </w:p>
    <w:p w14:paraId="70CA7738" w14:textId="77777777" w:rsidR="002B4784" w:rsidRPr="002B4784" w:rsidRDefault="002B4784" w:rsidP="002B4784">
      <w:pPr>
        <w:spacing w:beforeLines="120" w:before="288" w:afterLines="120" w:after="288" w:line="240" w:lineRule="auto"/>
        <w:ind w:left="709" w:right="709"/>
        <w:contextualSpacing/>
        <w:jc w:val="both"/>
        <w:rPr>
          <w:rFonts w:ascii="Century Gothic" w:eastAsia="Calibri" w:hAnsi="Century Gothic" w:cs="Arial"/>
          <w:color w:val="000000"/>
          <w:sz w:val="10"/>
          <w:szCs w:val="10"/>
          <w:lang w:bidi="es-ES"/>
        </w:rPr>
      </w:pPr>
    </w:p>
    <w:p w14:paraId="224C858C" w14:textId="77777777" w:rsidR="002B4784" w:rsidRPr="002B4784" w:rsidRDefault="002B4784" w:rsidP="002B4784">
      <w:pPr>
        <w:spacing w:beforeLines="120" w:before="288" w:afterLines="120" w:after="288" w:line="240" w:lineRule="auto"/>
        <w:ind w:left="709" w:right="709"/>
        <w:contextualSpacing/>
        <w:jc w:val="both"/>
        <w:rPr>
          <w:rFonts w:ascii="Century Gothic" w:eastAsia="Calibri" w:hAnsi="Century Gothic" w:cs="Arial"/>
          <w:color w:val="000000"/>
          <w:sz w:val="20"/>
          <w:szCs w:val="20"/>
          <w:lang w:bidi="es-ES"/>
        </w:rPr>
      </w:pPr>
      <w:r w:rsidRPr="002B4784">
        <w:rPr>
          <w:rFonts w:ascii="Century Gothic" w:eastAsia="Calibri" w:hAnsi="Century Gothic" w:cs="Arial"/>
          <w:color w:val="000000"/>
          <w:sz w:val="20"/>
          <w:szCs w:val="20"/>
          <w:lang w:bidi="es-ES"/>
        </w:rPr>
        <w:t>Ahora, dada la naturaleza jurídica explicada de los convenios interadministrativos</w:t>
      </w:r>
      <w:r w:rsidRPr="002B4784">
        <w:rPr>
          <w:rFonts w:ascii="Century Gothic" w:eastAsia="Calibri" w:hAnsi="Century Gothic" w:cs="Arial"/>
          <w:i/>
          <w:color w:val="000000"/>
          <w:sz w:val="20"/>
          <w:szCs w:val="20"/>
          <w:lang w:bidi="es-ES"/>
        </w:rPr>
        <w:t>, las reglas del Estatuto General de Contratación de la Administración Pública contenidas en la actualidad en las Leyes 80 de 1993, 1150 de 2007 y 1474 de 2011, no resultan de aplicación automática a tales convenios, toda vez que ese Estatuto lo que esencialmente regula son relaciones contractuales de contenido patrimonial y oneroso. En tal sentido, en cada caso concreto deberá analizarse, de conformidad con la naturaleza jurídica, objeto y finalidad que se pretende cumplir o desarrollar con el respectivo convenio, si la disposición correspondiente del Estatuto Contractual es aplicable o no”</w:t>
      </w:r>
      <w:r w:rsidRPr="002B4784">
        <w:rPr>
          <w:rFonts w:ascii="Century Gothic" w:eastAsia="Calibri" w:hAnsi="Century Gothic" w:cs="Arial"/>
          <w:color w:val="000000"/>
          <w:sz w:val="20"/>
          <w:szCs w:val="20"/>
          <w:lang w:bidi="es-ES"/>
        </w:rPr>
        <w:t>.</w:t>
      </w:r>
      <w:r w:rsidRPr="002B4784">
        <w:rPr>
          <w:rFonts w:ascii="Century Gothic" w:eastAsia="Calibri" w:hAnsi="Century Gothic" w:cs="Arial"/>
          <w:color w:val="000000"/>
          <w:sz w:val="20"/>
          <w:szCs w:val="20"/>
          <w:vertAlign w:val="superscript"/>
          <w:lang w:bidi="es-ES"/>
        </w:rPr>
        <w:footnoteReference w:id="7"/>
      </w:r>
      <w:r w:rsidRPr="002B4784">
        <w:rPr>
          <w:rFonts w:ascii="Century Gothic" w:eastAsia="Calibri" w:hAnsi="Century Gothic" w:cs="Arial"/>
          <w:color w:val="000000"/>
          <w:sz w:val="20"/>
          <w:szCs w:val="20"/>
          <w:lang w:bidi="es-ES"/>
        </w:rPr>
        <w:t xml:space="preserve"> [Énfasis fuera de texto] </w:t>
      </w:r>
    </w:p>
    <w:p w14:paraId="6CAC1C68" w14:textId="77777777" w:rsidR="002B4784" w:rsidRPr="002B4784" w:rsidRDefault="002B4784" w:rsidP="002B4784">
      <w:pPr>
        <w:tabs>
          <w:tab w:val="left" w:pos="426"/>
        </w:tabs>
        <w:spacing w:after="0" w:line="276" w:lineRule="auto"/>
        <w:jc w:val="both"/>
        <w:rPr>
          <w:rFonts w:ascii="Century Gothic" w:eastAsia="Calibri" w:hAnsi="Century Gothic" w:cs="Arial"/>
          <w:color w:val="000000"/>
          <w:lang w:eastAsia="en-GB"/>
        </w:rPr>
      </w:pPr>
    </w:p>
    <w:p w14:paraId="21CAA5BD" w14:textId="77777777" w:rsidR="002B4784" w:rsidRPr="002B4784" w:rsidRDefault="002B4784" w:rsidP="002B4784">
      <w:pPr>
        <w:tabs>
          <w:tab w:val="left" w:pos="426"/>
        </w:tabs>
        <w:spacing w:after="120" w:line="276" w:lineRule="auto"/>
        <w:jc w:val="both"/>
        <w:rPr>
          <w:rFonts w:ascii="Century Gothic" w:eastAsia="Calibri" w:hAnsi="Century Gothic" w:cs="Arial"/>
          <w:color w:val="000000"/>
          <w:lang w:eastAsia="en-GB"/>
        </w:rPr>
      </w:pPr>
      <w:r w:rsidRPr="002B4784">
        <w:rPr>
          <w:rFonts w:ascii="Century Gothic" w:eastAsia="Calibri" w:hAnsi="Century Gothic" w:cs="Arial"/>
          <w:color w:val="000000"/>
          <w:lang w:eastAsia="en-GB"/>
        </w:rPr>
        <w:tab/>
      </w:r>
      <w:r w:rsidRPr="002B4784">
        <w:rPr>
          <w:rFonts w:ascii="Century Gothic" w:eastAsia="Calibri" w:hAnsi="Century Gothic" w:cs="Arial"/>
          <w:color w:val="000000"/>
          <w:lang w:eastAsia="en-GB"/>
        </w:rPr>
        <w:tab/>
        <w:t>De hecho, la distinción también se plantea en el ámbito del derecho privado con la referencia a los contratos de contraprestación y de colaboración</w:t>
      </w:r>
      <w:r w:rsidRPr="002B4784">
        <w:rPr>
          <w:rFonts w:ascii="Century Gothic" w:eastAsia="Calibri" w:hAnsi="Century Gothic" w:cs="Arial"/>
          <w:color w:val="000000"/>
          <w:vertAlign w:val="superscript"/>
          <w:lang w:eastAsia="en-GB"/>
        </w:rPr>
        <w:footnoteReference w:id="8"/>
      </w:r>
      <w:r w:rsidRPr="002B4784">
        <w:rPr>
          <w:rFonts w:ascii="Century Gothic" w:eastAsia="Calibri" w:hAnsi="Century Gothic" w:cs="Arial"/>
          <w:color w:val="000000"/>
          <w:lang w:eastAsia="en-GB"/>
        </w:rPr>
        <w:t xml:space="preserve">; sin </w:t>
      </w:r>
      <w:r w:rsidRPr="002B4784">
        <w:rPr>
          <w:rFonts w:ascii="Century Gothic" w:eastAsia="Calibri" w:hAnsi="Century Gothic" w:cs="Arial"/>
          <w:color w:val="000000"/>
          <w:lang w:eastAsia="en-GB"/>
        </w:rPr>
        <w:lastRenderedPageBreak/>
        <w:t>embargo, también se rigen por unos principios comunes, pues se forman por el consentimiento y de ambos se derivan el nacimiento de obligaciones para las partes. Por ello, “[…] Es evidente que el hecho de que las partes tengan intereses concordantes no implica en modo alguno que estas relaciones no quepan en el campo de la contratación […]”</w:t>
      </w:r>
      <w:r w:rsidRPr="002B4784">
        <w:rPr>
          <w:rFonts w:ascii="Century Gothic" w:eastAsia="Calibri" w:hAnsi="Century Gothic" w:cs="Arial"/>
          <w:color w:val="000000"/>
          <w:vertAlign w:val="superscript"/>
          <w:lang w:eastAsia="en-GB"/>
        </w:rPr>
        <w:footnoteReference w:id="9"/>
      </w:r>
      <w:r w:rsidRPr="002B4784">
        <w:rPr>
          <w:rFonts w:ascii="Century Gothic" w:eastAsia="Calibri" w:hAnsi="Century Gothic" w:cs="Arial"/>
          <w:color w:val="000000"/>
          <w:lang w:eastAsia="en-GB"/>
        </w:rPr>
        <w:t xml:space="preserve">. </w:t>
      </w:r>
    </w:p>
    <w:p w14:paraId="7645031F" w14:textId="77777777" w:rsidR="002B4784" w:rsidRPr="002B4784" w:rsidRDefault="002B4784" w:rsidP="002B4784">
      <w:pPr>
        <w:spacing w:after="120" w:line="276" w:lineRule="auto"/>
        <w:ind w:firstLine="709"/>
        <w:jc w:val="both"/>
        <w:rPr>
          <w:rFonts w:ascii="Century Gothic" w:eastAsia="Times New Roman" w:hAnsi="Century Gothic" w:cs="Arial"/>
          <w:lang w:eastAsia="es-CO"/>
        </w:rPr>
      </w:pPr>
      <w:r w:rsidRPr="002B4784">
        <w:rPr>
          <w:rFonts w:ascii="Century Gothic" w:eastAsia="Times New Roman" w:hAnsi="Century Gothic" w:cs="Arial"/>
          <w:lang w:eastAsia="es-CO"/>
        </w:rPr>
        <w:t xml:space="preserve">Teniendo en cuenta lo anterior, no existe una definición legal que diferencie los conceptos de contrato y convenio. En tal sentido, teniendo en cuenta sus características comunes, las referencias realizadas por el legislador a estos términos deben asimilarse, salvo que de su contenido logre inferirse que se quiere otorgar un contenido en particular. Por lo demás, se reitera la conclusión en el sentido de que lo que define los contratos o convenios interadministrativos es la naturaleza de las partes, de manera que están determinados por un criterio orgánico, en el sentido de que lo serán aquellos celebrados entre Entidades Estatales. </w:t>
      </w:r>
    </w:p>
    <w:p w14:paraId="5095B6B2" w14:textId="77777777" w:rsidR="002B4784" w:rsidRPr="002B4784" w:rsidRDefault="002B4784" w:rsidP="002B4784">
      <w:pPr>
        <w:tabs>
          <w:tab w:val="left" w:pos="-720"/>
        </w:tabs>
        <w:suppressAutoHyphens/>
        <w:spacing w:before="120" w:after="120" w:line="276" w:lineRule="auto"/>
        <w:jc w:val="both"/>
        <w:rPr>
          <w:rFonts w:ascii="Century Gothic" w:eastAsia="Times New Roman" w:hAnsi="Century Gothic" w:cs="Arial"/>
          <w:lang w:eastAsia="es-CO"/>
        </w:rPr>
      </w:pPr>
      <w:r w:rsidRPr="002B4784">
        <w:rPr>
          <w:rFonts w:ascii="Century Gothic" w:eastAsia="Times New Roman" w:hAnsi="Century Gothic" w:cs="Arial"/>
          <w:lang w:eastAsia="es-CO"/>
        </w:rPr>
        <w:tab/>
        <w:t xml:space="preserve">Conviene insistir en que los convenios interadministrativos no son contratos sinalagmáticos, esto quiere decir que no existen intereses contrapuestos sino un interés común, lo que significa que, en los eventos en que su celebración conlleve el compromiso y la ejecución del recursos públicos, el valor de éstos no puede destinarse al pago o remuneración de ninguna de las partes, sino que debe corresponder, necesariamente a la asunción de costos y gastos para cumplir las funciones de la respectiva entidad y para atender  los compromisos adquiridos para con a otra, pues las entidades cooperan entre sí, no se prestan servicios ni se ofrecen bienes a cambio de una remuneración y, por esa razón, los recursos </w:t>
      </w:r>
      <w:r w:rsidRPr="002B4784">
        <w:rPr>
          <w:rFonts w:ascii="Century Gothic" w:eastAsia="Times New Roman" w:hAnsi="Century Gothic" w:cs="Arial"/>
          <w:lang w:eastAsia="es-CO"/>
        </w:rPr>
        <w:lastRenderedPageBreak/>
        <w:t xml:space="preserve">comprometidos a través de los convenios interadministrativos no constituyen un pago, sino un aporte para lograr el cometido común. </w:t>
      </w:r>
    </w:p>
    <w:p w14:paraId="1A8E9D03" w14:textId="77777777" w:rsidR="002B4784" w:rsidRPr="002B4784" w:rsidRDefault="002B4784" w:rsidP="002B4784">
      <w:pPr>
        <w:tabs>
          <w:tab w:val="left" w:pos="-720"/>
        </w:tabs>
        <w:suppressAutoHyphens/>
        <w:spacing w:before="120" w:after="0" w:line="276" w:lineRule="auto"/>
        <w:jc w:val="both"/>
        <w:rPr>
          <w:rFonts w:ascii="Century Gothic" w:eastAsia="Times New Roman" w:hAnsi="Century Gothic" w:cs="Arial"/>
          <w:lang w:eastAsia="es-CO"/>
        </w:rPr>
      </w:pPr>
      <w:r w:rsidRPr="002B4784">
        <w:rPr>
          <w:rFonts w:ascii="Century Gothic" w:eastAsia="Times New Roman" w:hAnsi="Century Gothic" w:cs="Arial"/>
          <w:lang w:eastAsia="es-CO"/>
        </w:rPr>
        <w:tab/>
        <w:t>Ahora bien, atendiendo al tema bajo consulta, esto es, sobre lo indicado en el artículo 23 de la Ley 2126 de 2021, procederemos a analizar la noción general de las estampillas, cuando el hecho generador sea la celebración de contratos estatales.</w:t>
      </w:r>
    </w:p>
    <w:p w14:paraId="6C2A4777" w14:textId="77777777" w:rsidR="002B4784" w:rsidRPr="002B4784" w:rsidRDefault="002B4784" w:rsidP="002B4784">
      <w:pPr>
        <w:spacing w:after="0" w:line="240" w:lineRule="auto"/>
        <w:ind w:firstLine="708"/>
        <w:jc w:val="both"/>
        <w:rPr>
          <w:rFonts w:ascii="Century Gothic" w:eastAsia="Calibri" w:hAnsi="Century Gothic" w:cs="Arial"/>
          <w:lang w:val="es-ES"/>
        </w:rPr>
      </w:pPr>
    </w:p>
    <w:p w14:paraId="2D049618" w14:textId="77777777" w:rsidR="002B4784" w:rsidRPr="002B4784" w:rsidRDefault="002B4784" w:rsidP="002B4784">
      <w:pPr>
        <w:spacing w:after="0" w:line="276" w:lineRule="auto"/>
        <w:jc w:val="both"/>
        <w:rPr>
          <w:rFonts w:ascii="Century Gothic" w:eastAsia="Calibri" w:hAnsi="Century Gothic" w:cs="Arial"/>
          <w:b/>
          <w:bCs/>
          <w:lang w:val="es-MX"/>
        </w:rPr>
      </w:pPr>
      <w:r w:rsidRPr="002B4784">
        <w:rPr>
          <w:rFonts w:ascii="Century Gothic" w:eastAsia="Calibri" w:hAnsi="Century Gothic" w:cs="Arial"/>
          <w:b/>
          <w:bCs/>
          <w:lang w:val="es-MX"/>
        </w:rPr>
        <w:t xml:space="preserve">2.2. </w:t>
      </w:r>
      <w:r w:rsidRPr="002B4784">
        <w:rPr>
          <w:rFonts w:ascii="Century Gothic" w:eastAsia="Aptos" w:hAnsi="Century Gothic" w:cs="Arial"/>
          <w:b/>
          <w:bCs/>
          <w:lang w:val="es-ES"/>
        </w:rPr>
        <w:t>Noción general sobre estampillas cuyo hecho generador sea la celebración de contratos estatales</w:t>
      </w:r>
      <w:r w:rsidRPr="002B4784">
        <w:rPr>
          <w:rFonts w:ascii="Century Gothic" w:eastAsia="Calibri" w:hAnsi="Century Gothic" w:cs="Arial"/>
          <w:b/>
          <w:bCs/>
          <w:lang w:val="es-MX"/>
        </w:rPr>
        <w:t>. Reiteración de línea</w:t>
      </w:r>
    </w:p>
    <w:p w14:paraId="23FEE5EC" w14:textId="77777777" w:rsidR="002B4784" w:rsidRPr="002B4784" w:rsidRDefault="002B4784" w:rsidP="002B4784">
      <w:pPr>
        <w:spacing w:after="0" w:line="276" w:lineRule="auto"/>
        <w:jc w:val="both"/>
        <w:rPr>
          <w:rFonts w:ascii="Century Gothic" w:eastAsia="Calibri" w:hAnsi="Century Gothic" w:cs="Arial"/>
          <w:b/>
          <w:bCs/>
          <w:lang w:val="es-MX"/>
        </w:rPr>
      </w:pPr>
    </w:p>
    <w:p w14:paraId="04C741FD" w14:textId="77777777" w:rsidR="002B4784" w:rsidRPr="002B4784" w:rsidRDefault="002B4784" w:rsidP="002B4784">
      <w:pPr>
        <w:spacing w:after="120" w:line="276" w:lineRule="auto"/>
        <w:jc w:val="both"/>
        <w:rPr>
          <w:rFonts w:ascii="Century Gothic" w:eastAsia="Calibri" w:hAnsi="Century Gothic" w:cs="Arial"/>
        </w:rPr>
      </w:pPr>
      <w:r w:rsidRPr="002B4784">
        <w:rPr>
          <w:rFonts w:ascii="Century Gothic" w:eastAsia="Calibri" w:hAnsi="Century Gothic" w:cs="Arial"/>
        </w:rPr>
        <w:t>La incorporación en nuestro ordenamiento jurídico de las denominadas “estampillas” tan sólo puede darse por disposición legal o por disposición expresa de ordenanzas departamentales o acuerdos distritales o municipales, en las que se debe indicar a detalle las condiciones de su emisión o pago o adherencia, y si dicha estampilla, se concibe como una tasa parafiscal</w:t>
      </w:r>
      <w:r w:rsidRPr="002B4784">
        <w:rPr>
          <w:rFonts w:ascii="Century Gothic" w:eastAsia="Calibri" w:hAnsi="Century Gothic" w:cs="Arial"/>
          <w:vertAlign w:val="superscript"/>
        </w:rPr>
        <w:footnoteReference w:id="10"/>
      </w:r>
      <w:r w:rsidRPr="002B4784">
        <w:rPr>
          <w:rFonts w:ascii="Century Gothic" w:eastAsia="Calibri" w:hAnsi="Century Gothic" w:cs="Arial"/>
        </w:rPr>
        <w:t>, o como impuesto con destinación específica</w:t>
      </w:r>
      <w:r w:rsidRPr="002B4784">
        <w:rPr>
          <w:rFonts w:ascii="Century Gothic" w:eastAsia="Calibri" w:hAnsi="Century Gothic" w:cs="Arial"/>
          <w:vertAlign w:val="superscript"/>
        </w:rPr>
        <w:footnoteReference w:id="11"/>
      </w:r>
      <w:r w:rsidRPr="002B4784">
        <w:rPr>
          <w:rFonts w:ascii="Century Gothic" w:eastAsia="Calibri" w:hAnsi="Century Gothic" w:cs="Arial"/>
        </w:rPr>
        <w:t xml:space="preserve">. Sobre el tema, es importante indicar que tanto la naturaleza de cada estampilla, como las condiciones que se deben tener en cuenta para su recaudo, así como su causación y objetivos pueden diferir en función de las decisiones que en su configuración adoptó el Legislador y, de manera complementaria, de aquellas que aprueben los órganos colegiados de las </w:t>
      </w:r>
      <w:r w:rsidRPr="002B4784">
        <w:rPr>
          <w:rFonts w:ascii="Century Gothic" w:eastAsia="Calibri" w:hAnsi="Century Gothic" w:cs="Arial"/>
        </w:rPr>
        <w:lastRenderedPageBreak/>
        <w:t xml:space="preserve">autoridades territoriales en ejercicio de sus competencias en la estructuración de cuerpos normativos que contienen política fiscal. </w:t>
      </w:r>
    </w:p>
    <w:p w14:paraId="6B3B43AD" w14:textId="77777777" w:rsidR="002B4784" w:rsidRPr="002B4784" w:rsidRDefault="002B4784" w:rsidP="002B4784">
      <w:pPr>
        <w:spacing w:after="0" w:line="276" w:lineRule="auto"/>
        <w:ind w:firstLine="708"/>
        <w:jc w:val="both"/>
        <w:rPr>
          <w:rFonts w:ascii="Century Gothic" w:eastAsia="Aptos" w:hAnsi="Century Gothic" w:cs="Arial"/>
        </w:rPr>
      </w:pPr>
      <w:r w:rsidRPr="002B4784">
        <w:rPr>
          <w:rFonts w:ascii="Century Gothic" w:eastAsia="Calibri" w:hAnsi="Century Gothic" w:cs="Arial"/>
        </w:rPr>
        <w:t xml:space="preserve">Ahora bien, cuando en su pregunta solicita a la Agencia analizar la procedencia y aplicación de la estampilla prevista en el artículo 23 de la Ley 2126 de 2021 a los contratos y/o convenios interadministrativos, cuyo hecho generador está constituido por los </w:t>
      </w:r>
      <w:r w:rsidRPr="002B4784">
        <w:rPr>
          <w:rFonts w:ascii="Century Gothic" w:eastAsia="Aptos" w:hAnsi="Century Gothic" w:cs="Arial"/>
        </w:rPr>
        <w:t>contratos y las adiciones a los mismos, suscritos, con las entidades que conforman el presupuesto anual del Departamento, Municipio y Distrito, esta Subdirección encuentra pertinente indicar que, bajo nuestra perspectiva interpretativa, dicha norma se está refiriendo a todos los contratos estatales suscritos por dichas entidades.</w:t>
      </w:r>
    </w:p>
    <w:p w14:paraId="5BA02999" w14:textId="77777777" w:rsidR="002B4784" w:rsidRPr="002B4784" w:rsidRDefault="002B4784" w:rsidP="002B4784">
      <w:pPr>
        <w:spacing w:before="120" w:after="0" w:line="276" w:lineRule="auto"/>
        <w:ind w:firstLine="709"/>
        <w:jc w:val="both"/>
        <w:rPr>
          <w:rFonts w:ascii="Century Gothic" w:eastAsia="Aptos" w:hAnsi="Century Gothic" w:cs="Arial"/>
        </w:rPr>
      </w:pPr>
      <w:r w:rsidRPr="002B4784">
        <w:rPr>
          <w:rFonts w:ascii="Century Gothic" w:eastAsia="Aptos" w:hAnsi="Century Gothic" w:cs="Arial"/>
        </w:rPr>
        <w:t xml:space="preserve">Sin embargo, la norma bajo estudio contempló en su parágrafo que estaría excluidos de dicha tasa los contratos de prestación de servicios cuyo pago de honorarios mensual sea inferior a diez (10) SMLMV. En ese sentido, </w:t>
      </w:r>
      <w:r w:rsidRPr="002B4784">
        <w:rPr>
          <w:rFonts w:ascii="Century Gothic" w:eastAsia="Calibri" w:hAnsi="Century Gothic" w:cs="Arial"/>
        </w:rPr>
        <w:t>la norma es clara y no hace distinción alguna de las especies de los contratos de prestación de servicios suscritos por las Entidades Estatales a los cuales se les aplicaría esta exclusión, por lo cual no es necesario generar ninguna distinción entre contratos prestación de servicios profesionales, o de apoyo a la gestión o de servicios artísticos como interpretación adicional, puesto que cuando l</w:t>
      </w:r>
      <w:r w:rsidRPr="002B4784">
        <w:rPr>
          <w:rFonts w:ascii="Century Gothic" w:eastAsia="Calibri" w:hAnsi="Century Gothic" w:cs="Times New Roman"/>
        </w:rPr>
        <w:t xml:space="preserve">a ley es clara no necesita ser interpretada – </w:t>
      </w:r>
      <w:r w:rsidRPr="002B4784">
        <w:rPr>
          <w:rFonts w:ascii="Century Gothic" w:eastAsia="Calibri" w:hAnsi="Century Gothic" w:cs="Times New Roman"/>
          <w:i/>
          <w:iCs/>
        </w:rPr>
        <w:t>in claris non fit interpretatio</w:t>
      </w:r>
      <w:r w:rsidRPr="002B4784">
        <w:rPr>
          <w:rFonts w:ascii="Century Gothic" w:eastAsia="Calibri" w:hAnsi="Century Gothic" w:cs="Times New Roman"/>
        </w:rPr>
        <w:t>.</w:t>
      </w:r>
    </w:p>
    <w:p w14:paraId="2A68C633" w14:textId="77777777" w:rsidR="002B4784" w:rsidRPr="002B4784" w:rsidRDefault="002B4784" w:rsidP="002B4784">
      <w:pPr>
        <w:spacing w:before="120" w:after="0" w:line="276" w:lineRule="auto"/>
        <w:ind w:firstLine="709"/>
        <w:jc w:val="both"/>
        <w:rPr>
          <w:rFonts w:ascii="Century Gothic" w:eastAsia="Aptos" w:hAnsi="Century Gothic" w:cs="Arial"/>
        </w:rPr>
      </w:pPr>
      <w:r w:rsidRPr="002B4784">
        <w:rPr>
          <w:rFonts w:ascii="Century Gothic" w:eastAsia="Aptos" w:hAnsi="Century Gothic" w:cs="Arial"/>
        </w:rPr>
        <w:t>En conclusión, será cada Entidad Estatal la obligada a analizar en cada contrato estatal que celebre, si por su sola celebración se constituye el hecho generador de la estampilla bajo estudio. De igual forma, consideramos pertinente indicar que las Entidades Estatales cuando actúan como contratantes deben realizar, durante la etapa de planeación, el análisis necesario para conocer el sector relativo al objeto del Proceso de Contratación, y con fundamento en dicho estudio establecer el presupuesto oficial que cubrirá el valor del contrato a suscribir, que deberá preferiblemente incluir todos los impuestos, tasas o contribuciones que haya lugar.</w:t>
      </w:r>
    </w:p>
    <w:p w14:paraId="1088506C" w14:textId="77777777" w:rsidR="002B4784" w:rsidRPr="002B4784" w:rsidRDefault="002B4784" w:rsidP="002B4784">
      <w:pPr>
        <w:spacing w:after="0" w:line="276" w:lineRule="auto"/>
        <w:ind w:firstLine="709"/>
        <w:jc w:val="both"/>
        <w:rPr>
          <w:rFonts w:ascii="Century Gothic" w:eastAsia="Calibri" w:hAnsi="Century Gothic" w:cs="Arial"/>
          <w:lang w:val="es-ES_tradnl" w:eastAsia="es-ES_tradnl"/>
        </w:rPr>
      </w:pPr>
    </w:p>
    <w:p w14:paraId="5881F40F" w14:textId="77777777" w:rsidR="002B4784" w:rsidRPr="002B4784" w:rsidRDefault="002B4784" w:rsidP="002B4784">
      <w:pPr>
        <w:widowControl w:val="0"/>
        <w:autoSpaceDE w:val="0"/>
        <w:autoSpaceDN w:val="0"/>
        <w:spacing w:after="0" w:line="276" w:lineRule="auto"/>
        <w:jc w:val="both"/>
        <w:rPr>
          <w:rFonts w:ascii="Century Gothic" w:eastAsia="Arial" w:hAnsi="Century Gothic" w:cs="Arial"/>
          <w:b/>
          <w:lang w:val="es-ES_tradnl"/>
        </w:rPr>
      </w:pPr>
      <w:r w:rsidRPr="002B4784">
        <w:rPr>
          <w:rFonts w:ascii="Century Gothic" w:eastAsia="Arial" w:hAnsi="Century Gothic" w:cs="Arial"/>
          <w:b/>
          <w:lang w:val="es-ES_tradnl"/>
        </w:rPr>
        <w:t>3. Respuestas</w:t>
      </w:r>
    </w:p>
    <w:p w14:paraId="0C7CBF77" w14:textId="77777777" w:rsidR="002B4784" w:rsidRPr="002B4784" w:rsidRDefault="002B4784" w:rsidP="002B4784">
      <w:pPr>
        <w:widowControl w:val="0"/>
        <w:autoSpaceDE w:val="0"/>
        <w:autoSpaceDN w:val="0"/>
        <w:spacing w:after="0" w:line="276" w:lineRule="auto"/>
        <w:jc w:val="both"/>
        <w:rPr>
          <w:rFonts w:ascii="Century Gothic" w:eastAsia="Arial" w:hAnsi="Century Gothic" w:cs="Arial"/>
          <w:b/>
          <w:lang w:val="es-ES_tradnl"/>
        </w:rPr>
      </w:pPr>
    </w:p>
    <w:p w14:paraId="28C9EDCE" w14:textId="77777777" w:rsidR="002B4784" w:rsidRPr="002B4784" w:rsidRDefault="002B4784" w:rsidP="002B4784">
      <w:pPr>
        <w:spacing w:before="120" w:after="0" w:line="240" w:lineRule="auto"/>
        <w:ind w:left="709" w:right="709"/>
        <w:jc w:val="both"/>
        <w:rPr>
          <w:rFonts w:ascii="Century Gothic" w:eastAsia="Aptos" w:hAnsi="Century Gothic" w:cs="Arial"/>
          <w:sz w:val="21"/>
          <w:szCs w:val="21"/>
          <w:lang w:val="es-ES_tradnl"/>
        </w:rPr>
      </w:pPr>
      <w:r w:rsidRPr="002B4784">
        <w:rPr>
          <w:rFonts w:ascii="Century Gothic" w:eastAsia="Aptos" w:hAnsi="Century Gothic" w:cs="Arial"/>
          <w:sz w:val="21"/>
          <w:szCs w:val="21"/>
          <w:lang w:val="es-ES_tradnl"/>
        </w:rPr>
        <w:t>“[…] los contratos y convenios interadministrativos deben ser considerados dentro de la aplicación de la estampilla, debido a que forman parte de la contratación estatal y no están expresamente mencionados en la Ley 2126 de 2.021 como excluidos como hechos generadores del cobro de tal estampilla”. [sic]</w:t>
      </w:r>
    </w:p>
    <w:p w14:paraId="65B4CCCD" w14:textId="77777777" w:rsidR="002B4784" w:rsidRPr="002B4784" w:rsidRDefault="002B4784" w:rsidP="002B4784">
      <w:pPr>
        <w:spacing w:before="120" w:after="0" w:line="240" w:lineRule="auto"/>
        <w:ind w:left="709" w:right="709"/>
        <w:jc w:val="both"/>
        <w:rPr>
          <w:rFonts w:ascii="Century Gothic" w:eastAsia="Aptos" w:hAnsi="Century Gothic" w:cs="Arial"/>
          <w:sz w:val="21"/>
          <w:szCs w:val="21"/>
        </w:rPr>
      </w:pPr>
    </w:p>
    <w:p w14:paraId="6421D3EC" w14:textId="77777777" w:rsidR="002B4784" w:rsidRPr="002B4784" w:rsidRDefault="002B4784" w:rsidP="002B4784">
      <w:pPr>
        <w:spacing w:before="100" w:beforeAutospacing="1" w:after="100" w:afterAutospacing="1" w:line="276" w:lineRule="auto"/>
        <w:jc w:val="both"/>
        <w:rPr>
          <w:rFonts w:ascii="Century Gothic" w:eastAsia="Times New Roman" w:hAnsi="Century Gothic" w:cs="Times New Roman"/>
          <w:lang w:eastAsia="es-CO"/>
        </w:rPr>
      </w:pPr>
      <w:r w:rsidRPr="002B4784">
        <w:rPr>
          <w:rFonts w:ascii="Century Gothic" w:eastAsia="Aptos" w:hAnsi="Century Gothic" w:cs="Arial"/>
          <w:lang w:val="es-ES" w:eastAsia="es-CO"/>
        </w:rPr>
        <w:lastRenderedPageBreak/>
        <w:t xml:space="preserve">De conformidad con lo expuesto en este concepto, la estampilla establecida en el artículo 23 de la Ley 2126 de 2021 cuyo hecho generador está vinculado a los contratos y sus adiciones que las entidades del presupuesto anual de Departamentos, Municipios y Distritos celebran, contempla </w:t>
      </w:r>
      <w:r w:rsidRPr="002B4784">
        <w:rPr>
          <w:rFonts w:ascii="Century Gothic" w:eastAsia="Times New Roman" w:hAnsi="Century Gothic" w:cs="Times New Roman"/>
          <w:lang w:eastAsia="es-CO"/>
        </w:rPr>
        <w:t xml:space="preserve">sin distinción alguna, a todos los contratos estatales suscritos por aquellas. Sin embargo, </w:t>
      </w:r>
      <w:r w:rsidRPr="002B4784">
        <w:rPr>
          <w:rFonts w:ascii="Century Gothic" w:eastAsia="Times New Roman" w:hAnsi="Century Gothic" w:cs="Arial"/>
          <w:lang w:eastAsia="es-CO"/>
        </w:rPr>
        <w:t>será cada Entidad Estatal la obligada a analizar en cada contrato estatal que suscriba, si por su sola celebración se constituye el hecho generador de la estampilla bajo estudio.</w:t>
      </w:r>
    </w:p>
    <w:p w14:paraId="00CC03D1" w14:textId="77777777" w:rsidR="002B4784" w:rsidRPr="002B4784" w:rsidRDefault="002B4784" w:rsidP="002B4784">
      <w:pPr>
        <w:spacing w:before="120" w:after="0" w:line="276" w:lineRule="auto"/>
        <w:ind w:firstLine="709"/>
        <w:jc w:val="both"/>
        <w:rPr>
          <w:rFonts w:ascii="Century Gothic" w:eastAsia="Aptos" w:hAnsi="Century Gothic" w:cs="Arial"/>
        </w:rPr>
      </w:pPr>
      <w:r w:rsidRPr="002B4784">
        <w:rPr>
          <w:rFonts w:ascii="Century Gothic" w:eastAsia="Aptos" w:hAnsi="Century Gothic" w:cs="Arial"/>
          <w:lang w:val="es-ES"/>
        </w:rPr>
        <w:t xml:space="preserve">Finalmente, es pertinente indicar que Colombia Compra Eficiente,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 Por ello, de acuerdo con el principio de autonomía que les fue conferido a las Entidades Estatales por el Legislador, corresponderá a estas </w:t>
      </w:r>
      <w:r w:rsidRPr="002B4784">
        <w:rPr>
          <w:rFonts w:ascii="Century Gothic" w:eastAsia="Aptos" w:hAnsi="Century Gothic" w:cs="Arial"/>
        </w:rPr>
        <w:t>durante la etapa de planeación, realizar el análisis necesario para conocer el sector relativo al objeto del Proceso de Contratación, y con fundamento en dicho estudio establecer el presupuesto oficial que cubrirá el valor del contrato a suscribir, que deberá preferiblemente incluir todos los impuestos, tasas o contribuciones que haya lugar.</w:t>
      </w:r>
    </w:p>
    <w:p w14:paraId="2DBB1ECD" w14:textId="77777777" w:rsidR="002B4784" w:rsidRPr="002B4784" w:rsidRDefault="002B4784" w:rsidP="002B4784">
      <w:pPr>
        <w:spacing w:after="0" w:line="276" w:lineRule="auto"/>
        <w:jc w:val="both"/>
        <w:rPr>
          <w:rFonts w:ascii="Century Gothic" w:eastAsia="Aptos" w:hAnsi="Century Gothic" w:cs="Arial"/>
          <w:lang w:val="es-ES_tradnl"/>
        </w:rPr>
      </w:pPr>
    </w:p>
    <w:p w14:paraId="7E9968F3" w14:textId="77777777" w:rsidR="002B4784" w:rsidRPr="002B4784" w:rsidRDefault="002B4784" w:rsidP="002B4784">
      <w:pPr>
        <w:spacing w:after="0" w:line="276" w:lineRule="auto"/>
        <w:jc w:val="both"/>
        <w:rPr>
          <w:rFonts w:ascii="Century Gothic" w:eastAsia="Aptos" w:hAnsi="Century Gothic" w:cs="Arial"/>
          <w:shd w:val="clear" w:color="auto" w:fill="FFFFFF"/>
          <w:lang w:val="es-MX"/>
        </w:rPr>
      </w:pPr>
      <w:r w:rsidRPr="002B4784">
        <w:rPr>
          <w:rFonts w:ascii="Century Gothic" w:eastAsia="Aptos" w:hAnsi="Century Gothic" w:cs="Arial"/>
          <w:lang w:val="es-ES_tradnl"/>
        </w:rPr>
        <w:t>Este concepto tiene el alcance previsto en el artículo 28 del Código de Procedimiento Administrativo y de lo Contencioso Administrativo.</w:t>
      </w:r>
    </w:p>
    <w:bookmarkEnd w:id="0"/>
    <w:p w14:paraId="5E5C2CBF" w14:textId="77777777" w:rsidR="002B4784" w:rsidRPr="002B4784" w:rsidRDefault="002B4784" w:rsidP="002B4784">
      <w:pPr>
        <w:spacing w:before="120" w:after="0" w:line="276" w:lineRule="auto"/>
        <w:jc w:val="both"/>
        <w:rPr>
          <w:rFonts w:ascii="Century Gothic" w:eastAsia="Aptos" w:hAnsi="Century Gothic" w:cs="Arial"/>
          <w:lang w:val="es-ES_tradnl"/>
        </w:rPr>
      </w:pPr>
      <w:r w:rsidRPr="002B4784">
        <w:rPr>
          <w:rFonts w:ascii="Century Gothic" w:eastAsia="Aptos" w:hAnsi="Century Gothic" w:cs="Arial"/>
          <w:lang w:val="es-ES_tradnl"/>
        </w:rPr>
        <w:t>Atentamente,</w:t>
      </w:r>
    </w:p>
    <w:p w14:paraId="112D845D" w14:textId="77777777" w:rsidR="002B4784" w:rsidRPr="002B4784" w:rsidRDefault="002B4784" w:rsidP="002B4784">
      <w:pPr>
        <w:spacing w:after="0"/>
        <w:jc w:val="both"/>
        <w:rPr>
          <w:rFonts w:ascii="Century Gothic" w:eastAsia="Aptos" w:hAnsi="Century Gothic" w:cs="Times New Roman"/>
          <w:lang w:val="es-MX"/>
        </w:rPr>
      </w:pPr>
    </w:p>
    <w:p w14:paraId="1A3BA99F" w14:textId="57C6BC60" w:rsidR="002B4784" w:rsidRPr="002B4784" w:rsidRDefault="00C45247" w:rsidP="002B4784">
      <w:pPr>
        <w:spacing w:after="0"/>
        <w:jc w:val="center"/>
        <w:rPr>
          <w:rFonts w:ascii="Century Gothic" w:eastAsia="Aptos" w:hAnsi="Century Gothic" w:cs="Times New Roman"/>
          <w:b/>
          <w:bCs/>
          <w:lang w:val="es-MX"/>
        </w:rPr>
      </w:pPr>
      <w:r>
        <w:rPr>
          <w:noProof/>
        </w:rPr>
        <w:drawing>
          <wp:inline distT="0" distB="0" distL="0" distR="0" wp14:anchorId="7E35A170" wp14:editId="6A7F3B79">
            <wp:extent cx="2964180" cy="1135380"/>
            <wp:effectExtent l="0" t="0" r="7620" b="7620"/>
            <wp:docPr id="209853502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535022" name="Imagen 1" descr="Texto&#10;&#10;Descripción generada automáticament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4180" cy="1135380"/>
                    </a:xfrm>
                    <a:prstGeom prst="rect">
                      <a:avLst/>
                    </a:prstGeom>
                    <a:noFill/>
                    <a:ln>
                      <a:noFill/>
                    </a:ln>
                  </pic:spPr>
                </pic:pic>
              </a:graphicData>
            </a:graphic>
          </wp:inline>
        </w:drawing>
      </w:r>
      <w:r w:rsidR="002B4784" w:rsidRPr="002B4784">
        <w:rPr>
          <w:rFonts w:ascii="Calibri" w:eastAsia="Aptos" w:hAnsi="Calibri" w:cs="Calibri"/>
          <w:color w:val="000000"/>
          <w:shd w:val="clear" w:color="auto" w:fill="FFFFFF"/>
        </w:rPr>
        <w:br/>
      </w:r>
    </w:p>
    <w:p w14:paraId="7DE6F753" w14:textId="77777777" w:rsidR="002B4784" w:rsidRPr="002B4784" w:rsidRDefault="002B4784" w:rsidP="002B4784">
      <w:pPr>
        <w:spacing w:after="0"/>
        <w:jc w:val="both"/>
        <w:rPr>
          <w:rFonts w:ascii="Century Gothic" w:eastAsia="Aptos" w:hAnsi="Century Gothic" w:cs="Times New Roman"/>
          <w:b/>
          <w:bCs/>
          <w:lang w:val="es-MX"/>
        </w:rPr>
      </w:pPr>
    </w:p>
    <w:tbl>
      <w:tblPr>
        <w:tblW w:w="57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4935"/>
      </w:tblGrid>
      <w:tr w:rsidR="002B4784" w:rsidRPr="002B4784" w14:paraId="62910DE4" w14:textId="77777777" w:rsidTr="004E3144">
        <w:trPr>
          <w:trHeight w:val="405"/>
        </w:trPr>
        <w:tc>
          <w:tcPr>
            <w:tcW w:w="810" w:type="dxa"/>
            <w:tcBorders>
              <w:top w:val="nil"/>
              <w:left w:val="nil"/>
              <w:bottom w:val="nil"/>
              <w:right w:val="nil"/>
            </w:tcBorders>
            <w:shd w:val="clear" w:color="auto" w:fill="auto"/>
            <w:vAlign w:val="center"/>
            <w:hideMark/>
          </w:tcPr>
          <w:p w14:paraId="20AB1EB2" w14:textId="77777777" w:rsidR="002B4784" w:rsidRPr="002B4784" w:rsidRDefault="002B4784" w:rsidP="002B4784">
            <w:pPr>
              <w:spacing w:after="0" w:line="240" w:lineRule="auto"/>
              <w:jc w:val="both"/>
              <w:textAlignment w:val="baseline"/>
              <w:rPr>
                <w:rFonts w:ascii="Segoe UI" w:eastAsia="Times New Roman" w:hAnsi="Segoe UI" w:cs="Segoe UI"/>
                <w:sz w:val="18"/>
                <w:szCs w:val="18"/>
                <w:lang w:eastAsia="es-CO"/>
              </w:rPr>
            </w:pPr>
            <w:r w:rsidRPr="002B4784">
              <w:rPr>
                <w:rFonts w:ascii="Century Gothic" w:eastAsia="Times New Roman" w:hAnsi="Century Gothic" w:cs="Segoe UI"/>
                <w:sz w:val="16"/>
                <w:szCs w:val="16"/>
                <w:lang w:eastAsia="es-CO"/>
              </w:rPr>
              <w:t>Elaboró:</w:t>
            </w:r>
            <w:r w:rsidRPr="002B4784">
              <w:rPr>
                <w:rFonts w:ascii="Arial" w:eastAsia="Times New Roman" w:hAnsi="Arial" w:cs="Arial"/>
                <w:sz w:val="16"/>
                <w:szCs w:val="16"/>
                <w:lang w:eastAsia="es-CO"/>
              </w:rPr>
              <w:t> </w:t>
            </w:r>
            <w:r w:rsidRPr="002B4784">
              <w:rPr>
                <w:rFonts w:ascii="Century Gothic" w:eastAsia="Times New Roman" w:hAnsi="Century Gothic" w:cs="Segoe UI"/>
                <w:sz w:val="16"/>
                <w:szCs w:val="16"/>
                <w:lang w:eastAsia="es-CO"/>
              </w:rPr>
              <w:t> </w:t>
            </w:r>
          </w:p>
        </w:tc>
        <w:tc>
          <w:tcPr>
            <w:tcW w:w="4935" w:type="dxa"/>
            <w:tcBorders>
              <w:top w:val="nil"/>
              <w:left w:val="nil"/>
              <w:bottom w:val="dotted" w:sz="6" w:space="0" w:color="7F7F7F"/>
              <w:right w:val="nil"/>
            </w:tcBorders>
            <w:shd w:val="clear" w:color="auto" w:fill="auto"/>
            <w:vAlign w:val="center"/>
            <w:hideMark/>
          </w:tcPr>
          <w:p w14:paraId="5FC549BC" w14:textId="77777777" w:rsidR="002B4784" w:rsidRPr="002B4784" w:rsidRDefault="002B4784" w:rsidP="002B4784">
            <w:pPr>
              <w:spacing w:after="0" w:line="240" w:lineRule="auto"/>
              <w:jc w:val="both"/>
              <w:textAlignment w:val="baseline"/>
              <w:rPr>
                <w:rFonts w:ascii="Segoe UI" w:eastAsia="Times New Roman" w:hAnsi="Segoe UI" w:cs="Segoe UI"/>
                <w:sz w:val="18"/>
                <w:szCs w:val="18"/>
                <w:lang w:eastAsia="es-CO"/>
              </w:rPr>
            </w:pPr>
            <w:r w:rsidRPr="002B4784">
              <w:rPr>
                <w:rFonts w:ascii="Century Gothic" w:eastAsia="Times New Roman" w:hAnsi="Century Gothic" w:cs="Segoe UI"/>
                <w:sz w:val="16"/>
                <w:szCs w:val="16"/>
                <w:lang w:eastAsia="es-CO"/>
              </w:rPr>
              <w:t>Nasly Yeana Mosquera Rivas </w:t>
            </w:r>
          </w:p>
          <w:p w14:paraId="2EAA9E8B" w14:textId="77777777" w:rsidR="002B4784" w:rsidRPr="002B4784" w:rsidRDefault="002B4784" w:rsidP="002B4784">
            <w:pPr>
              <w:spacing w:after="0" w:line="240" w:lineRule="auto"/>
              <w:jc w:val="both"/>
              <w:textAlignment w:val="baseline"/>
              <w:rPr>
                <w:rFonts w:ascii="Segoe UI" w:eastAsia="Times New Roman" w:hAnsi="Segoe UI" w:cs="Segoe UI"/>
                <w:sz w:val="18"/>
                <w:szCs w:val="18"/>
                <w:lang w:eastAsia="es-CO"/>
              </w:rPr>
            </w:pPr>
            <w:r w:rsidRPr="002B4784">
              <w:rPr>
                <w:rFonts w:ascii="Century Gothic" w:eastAsia="Times New Roman" w:hAnsi="Century Gothic" w:cs="Segoe UI"/>
                <w:sz w:val="16"/>
                <w:szCs w:val="16"/>
                <w:lang w:eastAsia="es-CO"/>
              </w:rPr>
              <w:t>Analista T2 – 06 de la Subdirección de Gestión Contractual </w:t>
            </w:r>
          </w:p>
        </w:tc>
      </w:tr>
      <w:tr w:rsidR="002B4784" w:rsidRPr="002B4784" w14:paraId="03AF090D" w14:textId="77777777" w:rsidTr="004E3144">
        <w:trPr>
          <w:trHeight w:val="405"/>
        </w:trPr>
        <w:tc>
          <w:tcPr>
            <w:tcW w:w="810" w:type="dxa"/>
            <w:tcBorders>
              <w:top w:val="nil"/>
              <w:left w:val="nil"/>
              <w:bottom w:val="nil"/>
              <w:right w:val="nil"/>
            </w:tcBorders>
            <w:shd w:val="clear" w:color="auto" w:fill="auto"/>
            <w:vAlign w:val="center"/>
          </w:tcPr>
          <w:p w14:paraId="71CEC409" w14:textId="77777777" w:rsidR="002B4784" w:rsidRPr="002B4784" w:rsidRDefault="002B4784" w:rsidP="002B4784">
            <w:pPr>
              <w:spacing w:after="0" w:line="240" w:lineRule="auto"/>
              <w:jc w:val="both"/>
              <w:textAlignment w:val="baseline"/>
              <w:rPr>
                <w:rFonts w:ascii="Century Gothic" w:eastAsia="Times New Roman" w:hAnsi="Century Gothic" w:cs="Segoe UI"/>
                <w:sz w:val="16"/>
                <w:szCs w:val="16"/>
                <w:lang w:eastAsia="es-CO"/>
              </w:rPr>
            </w:pPr>
            <w:r w:rsidRPr="002B4784">
              <w:rPr>
                <w:rFonts w:ascii="Century Gothic" w:eastAsia="Times New Roman" w:hAnsi="Century Gothic" w:cs="Segoe UI"/>
                <w:sz w:val="16"/>
                <w:szCs w:val="16"/>
                <w:lang w:eastAsia="es-CO"/>
              </w:rPr>
              <w:t>Revisó</w:t>
            </w:r>
          </w:p>
        </w:tc>
        <w:tc>
          <w:tcPr>
            <w:tcW w:w="4935" w:type="dxa"/>
            <w:tcBorders>
              <w:top w:val="dotted" w:sz="6" w:space="0" w:color="7F7F7F"/>
              <w:left w:val="nil"/>
              <w:bottom w:val="dotted" w:sz="6" w:space="0" w:color="7F7F7F"/>
              <w:right w:val="nil"/>
            </w:tcBorders>
            <w:shd w:val="clear" w:color="auto" w:fill="auto"/>
            <w:vAlign w:val="center"/>
          </w:tcPr>
          <w:p w14:paraId="24436FCD" w14:textId="77777777" w:rsidR="002B4784" w:rsidRPr="002B4784" w:rsidRDefault="002B4784" w:rsidP="002B4784">
            <w:pPr>
              <w:spacing w:after="0" w:line="240" w:lineRule="auto"/>
              <w:jc w:val="both"/>
              <w:textAlignment w:val="baseline"/>
              <w:rPr>
                <w:rFonts w:ascii="Century Gothic" w:eastAsia="Times New Roman" w:hAnsi="Century Gothic" w:cs="Segoe UI"/>
                <w:sz w:val="16"/>
                <w:szCs w:val="16"/>
                <w:lang w:eastAsia="es-CO"/>
              </w:rPr>
            </w:pPr>
            <w:r w:rsidRPr="002B4784">
              <w:rPr>
                <w:rFonts w:ascii="Century Gothic" w:eastAsia="Times New Roman" w:hAnsi="Century Gothic" w:cs="Segoe UI"/>
                <w:sz w:val="16"/>
                <w:szCs w:val="16"/>
                <w:lang w:eastAsia="es-CO"/>
              </w:rPr>
              <w:t>Alejandro Sarmiento Cantillo</w:t>
            </w:r>
          </w:p>
          <w:p w14:paraId="4A24DFEB" w14:textId="77777777" w:rsidR="002B4784" w:rsidRPr="002B4784" w:rsidRDefault="002B4784" w:rsidP="002B4784">
            <w:pPr>
              <w:spacing w:after="0" w:line="240" w:lineRule="auto"/>
              <w:jc w:val="both"/>
              <w:textAlignment w:val="baseline"/>
              <w:rPr>
                <w:rFonts w:ascii="Century Gothic" w:eastAsia="Times New Roman" w:hAnsi="Century Gothic" w:cs="Segoe UI"/>
                <w:sz w:val="16"/>
                <w:szCs w:val="16"/>
                <w:lang w:eastAsia="es-CO"/>
              </w:rPr>
            </w:pPr>
            <w:r w:rsidRPr="002B4784">
              <w:rPr>
                <w:rFonts w:ascii="Century Gothic" w:eastAsia="Times New Roman" w:hAnsi="Century Gothic" w:cs="Segoe UI"/>
                <w:sz w:val="16"/>
                <w:szCs w:val="16"/>
                <w:lang w:eastAsia="es-CO"/>
              </w:rPr>
              <w:t>Gestor T1 – 15 de la Subdirección de Gestión Contractual</w:t>
            </w:r>
          </w:p>
        </w:tc>
      </w:tr>
      <w:tr w:rsidR="002B4784" w:rsidRPr="002B4784" w14:paraId="69882EE0" w14:textId="77777777" w:rsidTr="004E3144">
        <w:trPr>
          <w:trHeight w:val="375"/>
        </w:trPr>
        <w:tc>
          <w:tcPr>
            <w:tcW w:w="810" w:type="dxa"/>
            <w:tcBorders>
              <w:top w:val="nil"/>
              <w:left w:val="nil"/>
              <w:bottom w:val="nil"/>
              <w:right w:val="nil"/>
            </w:tcBorders>
            <w:shd w:val="clear" w:color="auto" w:fill="auto"/>
            <w:vAlign w:val="center"/>
            <w:hideMark/>
          </w:tcPr>
          <w:p w14:paraId="6CFAE08E" w14:textId="77777777" w:rsidR="002B4784" w:rsidRPr="002B4784" w:rsidRDefault="002B4784" w:rsidP="002B4784">
            <w:pPr>
              <w:spacing w:after="0" w:line="240" w:lineRule="auto"/>
              <w:jc w:val="both"/>
              <w:textAlignment w:val="baseline"/>
              <w:rPr>
                <w:rFonts w:ascii="Segoe UI" w:eastAsia="Times New Roman" w:hAnsi="Segoe UI" w:cs="Segoe UI"/>
                <w:sz w:val="18"/>
                <w:szCs w:val="18"/>
                <w:lang w:eastAsia="es-CO"/>
              </w:rPr>
            </w:pPr>
            <w:r w:rsidRPr="002B4784">
              <w:rPr>
                <w:rFonts w:ascii="Century Gothic" w:eastAsia="Times New Roman" w:hAnsi="Century Gothic" w:cs="Segoe UI"/>
                <w:sz w:val="16"/>
                <w:szCs w:val="16"/>
                <w:lang w:eastAsia="es-CO"/>
              </w:rPr>
              <w:t>Aprobó:</w:t>
            </w:r>
            <w:r w:rsidRPr="002B4784">
              <w:rPr>
                <w:rFonts w:ascii="Arial" w:eastAsia="Times New Roman" w:hAnsi="Arial" w:cs="Arial"/>
                <w:sz w:val="16"/>
                <w:szCs w:val="16"/>
                <w:lang w:eastAsia="es-CO"/>
              </w:rPr>
              <w:t> </w:t>
            </w:r>
            <w:r w:rsidRPr="002B4784">
              <w:rPr>
                <w:rFonts w:ascii="Century Gothic" w:eastAsia="Times New Roman" w:hAnsi="Century Gothic" w:cs="Segoe UI"/>
                <w:sz w:val="16"/>
                <w:szCs w:val="16"/>
                <w:lang w:eastAsia="es-CO"/>
              </w:rPr>
              <w:t> </w:t>
            </w:r>
          </w:p>
        </w:tc>
        <w:tc>
          <w:tcPr>
            <w:tcW w:w="4935" w:type="dxa"/>
            <w:tcBorders>
              <w:top w:val="dotted" w:sz="6" w:space="0" w:color="7F7F7F"/>
              <w:left w:val="nil"/>
              <w:bottom w:val="dotted" w:sz="6" w:space="0" w:color="7F7F7F"/>
              <w:right w:val="nil"/>
            </w:tcBorders>
            <w:shd w:val="clear" w:color="auto" w:fill="auto"/>
            <w:vAlign w:val="center"/>
            <w:hideMark/>
          </w:tcPr>
          <w:p w14:paraId="6F85A790" w14:textId="77777777" w:rsidR="002B4784" w:rsidRPr="002B4784" w:rsidRDefault="002B4784" w:rsidP="002B4784">
            <w:pPr>
              <w:spacing w:after="0" w:line="240" w:lineRule="auto"/>
              <w:jc w:val="both"/>
              <w:textAlignment w:val="baseline"/>
              <w:rPr>
                <w:rFonts w:ascii="Segoe UI" w:eastAsia="Times New Roman" w:hAnsi="Segoe UI" w:cs="Segoe UI"/>
                <w:sz w:val="18"/>
                <w:szCs w:val="18"/>
                <w:lang w:eastAsia="es-CO"/>
              </w:rPr>
            </w:pPr>
            <w:r w:rsidRPr="002B4784">
              <w:rPr>
                <w:rFonts w:ascii="Century Gothic" w:eastAsia="Times New Roman" w:hAnsi="Century Gothic" w:cs="Segoe UI"/>
                <w:sz w:val="16"/>
                <w:szCs w:val="16"/>
                <w:lang w:eastAsia="es-CO"/>
              </w:rPr>
              <w:t>Nohelia del Carmen Zawady Palacio </w:t>
            </w:r>
          </w:p>
          <w:p w14:paraId="757A2271" w14:textId="77777777" w:rsidR="002B4784" w:rsidRPr="002B4784" w:rsidRDefault="002B4784" w:rsidP="002B4784">
            <w:pPr>
              <w:spacing w:after="0" w:line="240" w:lineRule="auto"/>
              <w:jc w:val="both"/>
              <w:textAlignment w:val="baseline"/>
              <w:rPr>
                <w:rFonts w:ascii="Segoe UI" w:eastAsia="Times New Roman" w:hAnsi="Segoe UI" w:cs="Segoe UI"/>
                <w:sz w:val="18"/>
                <w:szCs w:val="18"/>
                <w:lang w:eastAsia="es-CO"/>
              </w:rPr>
            </w:pPr>
            <w:r w:rsidRPr="002B4784">
              <w:rPr>
                <w:rFonts w:ascii="Century Gothic" w:eastAsia="Times New Roman" w:hAnsi="Century Gothic" w:cs="Segoe UI"/>
                <w:sz w:val="16"/>
                <w:szCs w:val="16"/>
                <w:lang w:eastAsia="es-CO"/>
              </w:rPr>
              <w:t>Subdirectora de Gestión Contractual ANCP - CCE </w:t>
            </w:r>
          </w:p>
        </w:tc>
      </w:tr>
    </w:tbl>
    <w:p w14:paraId="287B41E2" w14:textId="77777777" w:rsidR="002B4784" w:rsidRPr="002B4784" w:rsidRDefault="002B4784" w:rsidP="002B4784">
      <w:pPr>
        <w:spacing w:after="0"/>
        <w:jc w:val="both"/>
        <w:rPr>
          <w:rFonts w:ascii="Aptos" w:eastAsia="Aptos" w:hAnsi="Aptos" w:cs="Times New Roman"/>
        </w:rPr>
      </w:pPr>
    </w:p>
    <w:p w14:paraId="1B9B5445" w14:textId="77777777" w:rsidR="002B4784" w:rsidRPr="002B4784" w:rsidRDefault="002B4784" w:rsidP="002B4784">
      <w:pPr>
        <w:rPr>
          <w:rFonts w:ascii="Calibri" w:eastAsia="Calibri" w:hAnsi="Calibri" w:cs="Times New Roman"/>
        </w:rPr>
      </w:pPr>
    </w:p>
    <w:p w14:paraId="1F399E20" w14:textId="77777777" w:rsidR="009404A2" w:rsidRPr="002B4784" w:rsidRDefault="009404A2" w:rsidP="002B4784"/>
    <w:sectPr w:rsidR="009404A2" w:rsidRPr="002B4784" w:rsidSect="0077194E">
      <w:headerReference w:type="default" r:id="rId13"/>
      <w:footerReference w:type="default" r:id="rId14"/>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DDF3E" w14:textId="77777777" w:rsidR="00796896" w:rsidRDefault="00796896" w:rsidP="00C27830">
      <w:pPr>
        <w:spacing w:after="0" w:line="240" w:lineRule="auto"/>
      </w:pPr>
      <w:r>
        <w:separator/>
      </w:r>
    </w:p>
  </w:endnote>
  <w:endnote w:type="continuationSeparator" w:id="0">
    <w:p w14:paraId="0F76B277" w14:textId="77777777" w:rsidR="00796896" w:rsidRDefault="00796896" w:rsidP="00C27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Geomanist Bold">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7DB97" w14:textId="77777777" w:rsidR="00C27830" w:rsidRDefault="00C27830">
    <w:pPr>
      <w:pStyle w:val="Piedepgina"/>
    </w:pPr>
    <w:r>
      <w:rPr>
        <w:noProof/>
        <w:lang w:eastAsia="es-CO"/>
      </w:rPr>
      <w:drawing>
        <wp:inline distT="0" distB="0" distL="0" distR="0" wp14:anchorId="009F5B84" wp14:editId="7C868DA6">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62336" behindDoc="0" locked="0" layoutInCell="1" allowOverlap="1" wp14:anchorId="50F50A12" wp14:editId="6390482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6A90E874" w14:textId="77777777" w:rsidTr="009404A2">
      <w:trPr>
        <w:trHeight w:val="229"/>
        <w:jc w:val="center"/>
      </w:trPr>
      <w:tc>
        <w:tcPr>
          <w:tcW w:w="1271" w:type="dxa"/>
          <w:tcBorders>
            <w:top w:val="dotted" w:sz="4" w:space="0" w:color="808080"/>
            <w:left w:val="dotted" w:sz="4" w:space="0" w:color="808080"/>
            <w:bottom w:val="dotted" w:sz="4" w:space="0" w:color="808080"/>
          </w:tcBorders>
        </w:tcPr>
        <w:p w14:paraId="04502054" w14:textId="77777777" w:rsidR="00C27830" w:rsidRPr="003F3941" w:rsidRDefault="00C27830" w:rsidP="006219F8">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2</w:t>
          </w:r>
        </w:p>
      </w:tc>
      <w:tc>
        <w:tcPr>
          <w:tcW w:w="2693" w:type="dxa"/>
          <w:tcBorders>
            <w:top w:val="dotted" w:sz="4" w:space="0" w:color="808080"/>
            <w:left w:val="dotted" w:sz="4" w:space="0" w:color="808080"/>
            <w:bottom w:val="dotted" w:sz="4" w:space="0" w:color="808080"/>
          </w:tcBorders>
        </w:tcPr>
        <w:p w14:paraId="10F4DC48" w14:textId="77777777" w:rsidR="00C27830" w:rsidRPr="003F3941" w:rsidRDefault="00C27830"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Pr>
              <w:rFonts w:ascii="Century Gothic" w:eastAsia="Geo" w:hAnsi="Century Gothic" w:cs="Geo"/>
              <w:b/>
              <w:color w:val="000000"/>
              <w:sz w:val="16"/>
              <w:szCs w:val="16"/>
              <w:lang w:eastAsia="es-CO"/>
            </w:rPr>
            <w:t>17</w:t>
          </w:r>
        </w:p>
      </w:tc>
      <w:tc>
        <w:tcPr>
          <w:tcW w:w="2699" w:type="dxa"/>
          <w:tcBorders>
            <w:top w:val="dotted" w:sz="4" w:space="0" w:color="808080"/>
            <w:left w:val="dotted" w:sz="4" w:space="0" w:color="808080"/>
            <w:bottom w:val="dotted" w:sz="4" w:space="0" w:color="808080"/>
          </w:tcBorders>
        </w:tcPr>
        <w:p w14:paraId="1CB37E9D" w14:textId="77777777" w:rsidR="00C27830" w:rsidRPr="003F3941" w:rsidRDefault="00C27830" w:rsidP="00FC2B5D">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22</w:t>
          </w:r>
          <w:r w:rsidRPr="003F3941">
            <w:rPr>
              <w:rFonts w:ascii="Century Gothic" w:hAnsi="Century Gothic"/>
              <w:sz w:val="16"/>
              <w:szCs w:val="16"/>
            </w:rPr>
            <w:t xml:space="preserve"> DE </w:t>
          </w:r>
          <w:r>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left w:val="dotted" w:sz="4" w:space="0" w:color="808080"/>
            <w:bottom w:val="dotted" w:sz="4" w:space="0" w:color="808080"/>
            <w:right w:val="dotted" w:sz="4" w:space="0" w:color="808080"/>
          </w:tcBorders>
          <w:shd w:val="clear" w:color="auto" w:fill="auto"/>
        </w:tcPr>
        <w:p w14:paraId="2D0D1950" w14:textId="77777777" w:rsidR="00C27830" w:rsidRPr="003F3941" w:rsidRDefault="00C27830"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Pr>
              <w:rFonts w:ascii="Century Gothic" w:hAnsi="Century Gothic"/>
              <w:b/>
              <w:bCs/>
              <w:noProof/>
              <w:sz w:val="16"/>
              <w:szCs w:val="16"/>
            </w:rPr>
            <w:t>2</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Pr>
              <w:rFonts w:ascii="Century Gothic" w:hAnsi="Century Gothic"/>
              <w:b/>
              <w:bCs/>
              <w:noProof/>
              <w:sz w:val="16"/>
              <w:szCs w:val="16"/>
            </w:rPr>
            <w:t>2</w:t>
          </w:r>
          <w:r w:rsidRPr="003F3941">
            <w:rPr>
              <w:rFonts w:ascii="Century Gothic" w:hAnsi="Century Gothic"/>
              <w:b/>
              <w:bCs/>
              <w:sz w:val="16"/>
              <w:szCs w:val="16"/>
            </w:rPr>
            <w:fldChar w:fldCharType="end"/>
          </w:r>
        </w:p>
      </w:tc>
    </w:tr>
  </w:tbl>
  <w:p w14:paraId="5432948A" w14:textId="77777777" w:rsidR="00C27830" w:rsidRDefault="00C27830"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525D2" w14:textId="77777777" w:rsidR="00796896" w:rsidRDefault="00796896" w:rsidP="00C27830">
      <w:pPr>
        <w:spacing w:after="0" w:line="240" w:lineRule="auto"/>
      </w:pPr>
      <w:r>
        <w:separator/>
      </w:r>
    </w:p>
  </w:footnote>
  <w:footnote w:type="continuationSeparator" w:id="0">
    <w:p w14:paraId="08334EDB" w14:textId="77777777" w:rsidR="00796896" w:rsidRDefault="00796896" w:rsidP="00C27830">
      <w:pPr>
        <w:spacing w:after="0" w:line="240" w:lineRule="auto"/>
      </w:pPr>
      <w:r>
        <w:continuationSeparator/>
      </w:r>
    </w:p>
  </w:footnote>
  <w:footnote w:id="1">
    <w:p w14:paraId="6B865A7B" w14:textId="77777777" w:rsidR="002B4784" w:rsidRPr="00EA05D2" w:rsidRDefault="002B4784" w:rsidP="002B4784">
      <w:pPr>
        <w:pStyle w:val="Textonotapie"/>
        <w:ind w:firstLine="708"/>
        <w:jc w:val="both"/>
        <w:rPr>
          <w:rFonts w:ascii="Century Gothic" w:hAnsi="Century Gothic" w:cs="Arial"/>
          <w:sz w:val="18"/>
          <w:szCs w:val="18"/>
        </w:rPr>
      </w:pPr>
      <w:r w:rsidRPr="00EA05D2">
        <w:rPr>
          <w:rStyle w:val="Refdenotaalpie"/>
          <w:rFonts w:ascii="Century Gothic" w:hAnsi="Century Gothic" w:cs="Arial"/>
          <w:sz w:val="18"/>
          <w:szCs w:val="18"/>
        </w:rPr>
        <w:footnoteRef/>
      </w:r>
      <w:r w:rsidRPr="00EA05D2">
        <w:rPr>
          <w:rFonts w:ascii="Century Gothic" w:hAnsi="Century Gothic" w:cs="Arial"/>
          <w:sz w:val="18"/>
          <w:szCs w:val="18"/>
        </w:rPr>
        <w:t xml:space="preserve"> La Agencia Nacional de Contratación Pública </w:t>
      </w:r>
      <w:r w:rsidRPr="00EA05D2">
        <w:rPr>
          <w:rFonts w:ascii="Arial" w:hAnsi="Arial" w:cs="Arial"/>
          <w:sz w:val="18"/>
          <w:szCs w:val="18"/>
        </w:rPr>
        <w:t>‒</w:t>
      </w:r>
      <w:r w:rsidRPr="00EA05D2">
        <w:rPr>
          <w:rFonts w:ascii="Century Gothic" w:hAnsi="Century Gothic" w:cs="Arial"/>
          <w:sz w:val="18"/>
          <w:szCs w:val="18"/>
        </w:rPr>
        <w:t xml:space="preserve"> Colombia Compra Eficiente fue creada por el Decreto Ley 4170 de 2011. Su objetivo es servir como ente rector de la pol</w:t>
      </w:r>
      <w:r w:rsidRPr="00EA05D2">
        <w:rPr>
          <w:rFonts w:ascii="Century Gothic" w:hAnsi="Century Gothic" w:cs="Century Gothic"/>
          <w:sz w:val="18"/>
          <w:szCs w:val="18"/>
        </w:rPr>
        <w:t>í</w:t>
      </w:r>
      <w:r w:rsidRPr="00EA05D2">
        <w:rPr>
          <w:rFonts w:ascii="Century Gothic" w:hAnsi="Century Gothic" w:cs="Arial"/>
          <w:sz w:val="18"/>
          <w:szCs w:val="18"/>
        </w:rPr>
        <w:t>tica de compras y contrataci</w:t>
      </w:r>
      <w:r w:rsidRPr="00EA05D2">
        <w:rPr>
          <w:rFonts w:ascii="Century Gothic" w:hAnsi="Century Gothic" w:cs="Century Gothic"/>
          <w:sz w:val="18"/>
          <w:szCs w:val="18"/>
        </w:rPr>
        <w:t>ó</w:t>
      </w:r>
      <w:r w:rsidRPr="00EA05D2">
        <w:rPr>
          <w:rFonts w:ascii="Century Gothic" w:hAnsi="Century Gothic" w:cs="Arial"/>
          <w:sz w:val="18"/>
          <w:szCs w:val="18"/>
        </w:rPr>
        <w:t xml:space="preserve">n del Estado. Para tales fines, como </w:t>
      </w:r>
      <w:r w:rsidRPr="00EA05D2">
        <w:rPr>
          <w:rFonts w:ascii="Century Gothic" w:hAnsi="Century Gothic" w:cs="Century Gothic"/>
          <w:sz w:val="18"/>
          <w:szCs w:val="18"/>
        </w:rPr>
        <w:t>ó</w:t>
      </w:r>
      <w:r w:rsidRPr="00EA05D2">
        <w:rPr>
          <w:rFonts w:ascii="Century Gothic" w:hAnsi="Century Gothic" w:cs="Arial"/>
          <w:sz w:val="18"/>
          <w:szCs w:val="18"/>
        </w:rPr>
        <w:t>rgano t</w:t>
      </w:r>
      <w:r w:rsidRPr="00EA05D2">
        <w:rPr>
          <w:rFonts w:ascii="Century Gothic" w:hAnsi="Century Gothic" w:cs="Century Gothic"/>
          <w:sz w:val="18"/>
          <w:szCs w:val="18"/>
        </w:rPr>
        <w:t>é</w:t>
      </w:r>
      <w:r w:rsidRPr="00EA05D2">
        <w:rPr>
          <w:rFonts w:ascii="Century Gothic" w:hAnsi="Century Gothic" w:cs="Arial"/>
          <w:sz w:val="18"/>
          <w:szCs w:val="18"/>
        </w:rPr>
        <w:t>cnico especializado, le corresponde formular pol</w:t>
      </w:r>
      <w:r w:rsidRPr="00EA05D2">
        <w:rPr>
          <w:rFonts w:ascii="Century Gothic" w:hAnsi="Century Gothic" w:cs="Century Gothic"/>
          <w:sz w:val="18"/>
          <w:szCs w:val="18"/>
        </w:rPr>
        <w:t>í</w:t>
      </w:r>
      <w:r w:rsidRPr="00EA05D2">
        <w:rPr>
          <w:rFonts w:ascii="Century Gothic" w:hAnsi="Century Gothic" w:cs="Arial"/>
          <w:sz w:val="18"/>
          <w:szCs w:val="18"/>
        </w:rPr>
        <w:t>ticas p</w:t>
      </w:r>
      <w:r w:rsidRPr="00EA05D2">
        <w:rPr>
          <w:rFonts w:ascii="Century Gothic" w:hAnsi="Century Gothic" w:cs="Century Gothic"/>
          <w:sz w:val="18"/>
          <w:szCs w:val="18"/>
        </w:rPr>
        <w:t>ú</w:t>
      </w:r>
      <w:r w:rsidRPr="00EA05D2">
        <w:rPr>
          <w:rFonts w:ascii="Century Gothic" w:hAnsi="Century Gothic" w:cs="Arial"/>
          <w:sz w:val="18"/>
          <w:szCs w:val="18"/>
        </w:rPr>
        <w:t>blicas y normas y unificar los procesos de contrataci</w:t>
      </w:r>
      <w:r w:rsidRPr="00EA05D2">
        <w:rPr>
          <w:rFonts w:ascii="Century Gothic" w:hAnsi="Century Gothic" w:cs="Century Gothic"/>
          <w:sz w:val="18"/>
          <w:szCs w:val="18"/>
        </w:rPr>
        <w:t>ó</w:t>
      </w:r>
      <w:r w:rsidRPr="00EA05D2">
        <w:rPr>
          <w:rFonts w:ascii="Century Gothic" w:hAnsi="Century Gothic" w:cs="Arial"/>
          <w:sz w:val="18"/>
          <w:szCs w:val="18"/>
        </w:rPr>
        <w:t>n estatal, con el fin de lograr una mayor eficiencia, transparencia y optimizaci</w:t>
      </w:r>
      <w:r w:rsidRPr="00EA05D2">
        <w:rPr>
          <w:rFonts w:ascii="Century Gothic" w:hAnsi="Century Gothic" w:cs="Century Gothic"/>
          <w:sz w:val="18"/>
          <w:szCs w:val="18"/>
        </w:rPr>
        <w:t>ó</w:t>
      </w:r>
      <w:r w:rsidRPr="00EA05D2">
        <w:rPr>
          <w:rFonts w:ascii="Century Gothic" w:hAnsi="Century Gothic" w:cs="Arial"/>
          <w:sz w:val="18"/>
          <w:szCs w:val="18"/>
        </w:rPr>
        <w:t>n de los recursos del Estado. El art</w:t>
      </w:r>
      <w:r w:rsidRPr="00EA05D2">
        <w:rPr>
          <w:rFonts w:ascii="Century Gothic" w:hAnsi="Century Gothic" w:cs="Century Gothic"/>
          <w:sz w:val="18"/>
          <w:szCs w:val="18"/>
        </w:rPr>
        <w:t>í</w:t>
      </w:r>
      <w:r w:rsidRPr="00EA05D2">
        <w:rPr>
          <w:rFonts w:ascii="Century Gothic" w:hAnsi="Century Gothic" w:cs="Arial"/>
          <w:sz w:val="18"/>
          <w:szCs w:val="18"/>
        </w:rPr>
        <w:t xml:space="preserve">culo 3 </w:t>
      </w:r>
      <w:r w:rsidRPr="00EA05D2">
        <w:rPr>
          <w:rFonts w:ascii="Century Gothic" w:hAnsi="Century Gothic" w:cs="Arial"/>
          <w:i/>
          <w:iCs/>
          <w:sz w:val="18"/>
          <w:szCs w:val="18"/>
        </w:rPr>
        <w:t xml:space="preserve">ibidem </w:t>
      </w:r>
      <w:r w:rsidRPr="00EA05D2">
        <w:rPr>
          <w:rFonts w:ascii="Century Gothic" w:hAnsi="Century Gothic"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1C4A0C22" w14:textId="77777777" w:rsidR="002B4784" w:rsidRPr="00EA05D2" w:rsidRDefault="002B4784" w:rsidP="002B4784">
      <w:pPr>
        <w:pStyle w:val="Textonotapie"/>
        <w:ind w:firstLine="708"/>
        <w:jc w:val="both"/>
        <w:rPr>
          <w:rFonts w:ascii="Century Gothic" w:hAnsi="Century Gothic" w:cs="Arial"/>
          <w:sz w:val="18"/>
          <w:szCs w:val="18"/>
          <w:lang w:val="es-ES"/>
        </w:rPr>
      </w:pPr>
    </w:p>
  </w:footnote>
  <w:footnote w:id="2">
    <w:p w14:paraId="5FC03A1C" w14:textId="77777777" w:rsidR="002B4784" w:rsidRPr="00EA05D2" w:rsidRDefault="002B4784" w:rsidP="002B4784">
      <w:pPr>
        <w:pStyle w:val="Textonotapie"/>
        <w:ind w:firstLine="708"/>
        <w:jc w:val="both"/>
        <w:rPr>
          <w:rFonts w:ascii="Century Gothic" w:hAnsi="Century Gothic" w:cs="Arial"/>
          <w:sz w:val="18"/>
          <w:szCs w:val="18"/>
          <w:lang w:val="es-CO"/>
        </w:rPr>
      </w:pPr>
      <w:r w:rsidRPr="00EA05D2">
        <w:rPr>
          <w:rStyle w:val="Refdenotaalpie"/>
          <w:rFonts w:ascii="Century Gothic" w:hAnsi="Century Gothic" w:cs="Arial"/>
          <w:sz w:val="18"/>
          <w:szCs w:val="18"/>
        </w:rPr>
        <w:footnoteRef/>
      </w:r>
      <w:r w:rsidRPr="00EA05D2">
        <w:rPr>
          <w:rFonts w:ascii="Century Gothic" w:hAnsi="Century Gothic" w:cs="Arial"/>
          <w:sz w:val="18"/>
          <w:szCs w:val="18"/>
        </w:rPr>
        <w:t xml:space="preserve"> </w:t>
      </w:r>
      <w:r w:rsidRPr="00EA05D2">
        <w:rPr>
          <w:rFonts w:ascii="Century Gothic" w:hAnsi="Century Gothic" w:cs="Arial"/>
          <w:sz w:val="18"/>
          <w:szCs w:val="18"/>
          <w:lang w:val="es-CO"/>
        </w:rPr>
        <w:t xml:space="preserve">Estos conceptos pueden ser consultados en la Relatoría de esta Agencia en el siguiente Link: </w:t>
      </w:r>
      <w:hyperlink r:id="rId1" w:history="1">
        <w:r w:rsidRPr="00EA05D2">
          <w:rPr>
            <w:rStyle w:val="Hipervnculo"/>
            <w:rFonts w:ascii="Century Gothic" w:hAnsi="Century Gothic" w:cs="Arial"/>
            <w:sz w:val="18"/>
            <w:szCs w:val="18"/>
            <w:lang w:val="es-CO"/>
          </w:rPr>
          <w:t>https://relatoria.colombiacompra.gov.co/busqueda/conceptos</w:t>
        </w:r>
      </w:hyperlink>
      <w:r w:rsidRPr="00EA05D2">
        <w:rPr>
          <w:rFonts w:ascii="Century Gothic" w:hAnsi="Century Gothic" w:cs="Arial"/>
          <w:sz w:val="18"/>
          <w:szCs w:val="18"/>
          <w:lang w:val="es-CO"/>
        </w:rPr>
        <w:t xml:space="preserve"> </w:t>
      </w:r>
    </w:p>
    <w:p w14:paraId="6C822221" w14:textId="77777777" w:rsidR="002B4784" w:rsidRPr="00EA05D2" w:rsidRDefault="002B4784" w:rsidP="002B4784">
      <w:pPr>
        <w:pStyle w:val="Textonotapie"/>
        <w:ind w:firstLine="708"/>
        <w:jc w:val="both"/>
        <w:rPr>
          <w:rFonts w:ascii="Century Gothic" w:hAnsi="Century Gothic" w:cs="Arial"/>
          <w:sz w:val="18"/>
          <w:szCs w:val="18"/>
          <w:lang w:val="es-CO"/>
        </w:rPr>
      </w:pPr>
    </w:p>
  </w:footnote>
  <w:footnote w:id="3">
    <w:p w14:paraId="576443A6" w14:textId="77777777" w:rsidR="002B4784" w:rsidRPr="00EA05D2" w:rsidRDefault="002B4784" w:rsidP="002B4784">
      <w:pPr>
        <w:spacing w:after="0"/>
        <w:ind w:firstLine="709"/>
        <w:jc w:val="both"/>
        <w:rPr>
          <w:rFonts w:ascii="Century Gothic" w:hAnsi="Century Gothic" w:cs="Arial"/>
          <w:sz w:val="18"/>
          <w:szCs w:val="18"/>
        </w:rPr>
      </w:pPr>
    </w:p>
    <w:p w14:paraId="3C84144B" w14:textId="77777777" w:rsidR="002B4784" w:rsidRPr="00EA05D2" w:rsidRDefault="002B4784" w:rsidP="002B4784">
      <w:pPr>
        <w:spacing w:after="0"/>
        <w:ind w:firstLine="709"/>
        <w:jc w:val="both"/>
        <w:rPr>
          <w:rFonts w:ascii="Century Gothic" w:hAnsi="Century Gothic" w:cs="Arial"/>
          <w:sz w:val="18"/>
          <w:szCs w:val="18"/>
        </w:rPr>
      </w:pPr>
      <w:r w:rsidRPr="00EA05D2">
        <w:rPr>
          <w:rStyle w:val="Refdenotaalpie"/>
          <w:rFonts w:ascii="Century Gothic" w:hAnsi="Century Gothic" w:cs="Arial"/>
          <w:sz w:val="18"/>
          <w:szCs w:val="18"/>
        </w:rPr>
        <w:footnoteRef/>
      </w:r>
      <w:r w:rsidRPr="00EA05D2">
        <w:rPr>
          <w:rFonts w:ascii="Century Gothic" w:hAnsi="Century Gothic" w:cs="Arial"/>
          <w:sz w:val="18"/>
          <w:szCs w:val="18"/>
        </w:rPr>
        <w:t xml:space="preserve"> Decreto 1082 de 2015: “Artículo </w:t>
      </w:r>
      <w:bookmarkStart w:id="6" w:name="_Hlk132977831"/>
      <w:r w:rsidRPr="00EA05D2">
        <w:rPr>
          <w:rFonts w:ascii="Century Gothic" w:hAnsi="Century Gothic" w:cs="Arial"/>
          <w:sz w:val="18"/>
          <w:szCs w:val="18"/>
        </w:rPr>
        <w:t>2.2.1.2.1.4.4</w:t>
      </w:r>
      <w:bookmarkEnd w:id="6"/>
      <w:r w:rsidRPr="00EA05D2">
        <w:rPr>
          <w:rFonts w:ascii="Century Gothic" w:hAnsi="Century Gothic" w:cs="Arial"/>
          <w:sz w:val="18"/>
          <w:szCs w:val="18"/>
        </w:rPr>
        <w:t>. Convenios o contratos interadministrativos. La modalidad de selección para la contratación entre Entidades Estatales es la contratación directa; y en consecuencia, le es aplicable lo establecido en el artículo 2.2.1.2.1.4.1 del presente decreto.</w:t>
      </w:r>
    </w:p>
    <w:p w14:paraId="320B44AF" w14:textId="77777777" w:rsidR="002B4784" w:rsidRPr="00EA05D2" w:rsidRDefault="002B4784" w:rsidP="002B4784">
      <w:pPr>
        <w:spacing w:after="0"/>
        <w:ind w:firstLine="709"/>
        <w:jc w:val="both"/>
        <w:rPr>
          <w:rFonts w:ascii="Century Gothic" w:hAnsi="Century Gothic" w:cs="Arial"/>
          <w:sz w:val="18"/>
          <w:szCs w:val="18"/>
        </w:rPr>
      </w:pPr>
      <w:r w:rsidRPr="00EA05D2">
        <w:rPr>
          <w:rFonts w:ascii="Century Gothic" w:hAnsi="Century Gothic" w:cs="Arial"/>
          <w:sz w:val="18"/>
          <w:szCs w:val="18"/>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EA05D2">
        <w:rPr>
          <w:rFonts w:ascii="Century Gothic" w:hAnsi="Century Gothic" w:cs="Arial"/>
          <w:spacing w:val="-1"/>
          <w:sz w:val="18"/>
          <w:szCs w:val="18"/>
        </w:rPr>
        <w:t xml:space="preserve"> </w:t>
      </w:r>
      <w:r w:rsidRPr="00EA05D2">
        <w:rPr>
          <w:rFonts w:ascii="Century Gothic" w:hAnsi="Century Gothic" w:cs="Arial"/>
          <w:sz w:val="18"/>
          <w:szCs w:val="18"/>
        </w:rPr>
        <w:t>Estatales”.</w:t>
      </w:r>
    </w:p>
  </w:footnote>
  <w:footnote w:id="4">
    <w:p w14:paraId="7556B354" w14:textId="77777777" w:rsidR="002B4784" w:rsidRPr="00EA05D2" w:rsidRDefault="002B4784" w:rsidP="002B4784">
      <w:pPr>
        <w:spacing w:after="0"/>
        <w:ind w:firstLine="709"/>
        <w:jc w:val="both"/>
        <w:rPr>
          <w:rFonts w:ascii="Century Gothic" w:hAnsi="Century Gothic" w:cs="Arial"/>
          <w:sz w:val="18"/>
          <w:szCs w:val="18"/>
        </w:rPr>
      </w:pPr>
      <w:r w:rsidRPr="00EA05D2">
        <w:rPr>
          <w:rStyle w:val="Refdenotaalpie"/>
          <w:rFonts w:ascii="Century Gothic" w:hAnsi="Century Gothic" w:cs="Arial"/>
          <w:sz w:val="18"/>
          <w:szCs w:val="18"/>
        </w:rPr>
        <w:footnoteRef/>
      </w:r>
      <w:r w:rsidRPr="00EA05D2">
        <w:rPr>
          <w:rFonts w:ascii="Century Gothic" w:hAnsi="Century Gothic" w:cs="Arial"/>
          <w:sz w:val="18"/>
          <w:szCs w:val="18"/>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EA05D2">
        <w:rPr>
          <w:rFonts w:ascii="Century Gothic" w:hAnsi="Century Gothic" w:cs="Arial"/>
          <w:spacing w:val="-6"/>
          <w:sz w:val="18"/>
          <w:szCs w:val="18"/>
        </w:rPr>
        <w:t xml:space="preserve"> </w:t>
      </w:r>
      <w:r w:rsidRPr="00EA05D2">
        <w:rPr>
          <w:rFonts w:ascii="Century Gothic" w:hAnsi="Century Gothic" w:cs="Arial"/>
          <w:sz w:val="18"/>
          <w:szCs w:val="18"/>
        </w:rPr>
        <w:t>artículo”.</w:t>
      </w:r>
    </w:p>
    <w:p w14:paraId="1A2AA1D7" w14:textId="77777777" w:rsidR="002B4784" w:rsidRPr="00EA05D2" w:rsidRDefault="002B4784" w:rsidP="002B4784">
      <w:pPr>
        <w:spacing w:after="0"/>
        <w:ind w:firstLine="709"/>
        <w:jc w:val="both"/>
        <w:rPr>
          <w:rFonts w:ascii="Century Gothic" w:hAnsi="Century Gothic" w:cs="Arial"/>
          <w:sz w:val="18"/>
          <w:szCs w:val="18"/>
        </w:rPr>
      </w:pPr>
    </w:p>
  </w:footnote>
  <w:footnote w:id="5">
    <w:p w14:paraId="708F868D" w14:textId="77777777" w:rsidR="002B4784" w:rsidRPr="00EA05D2" w:rsidRDefault="002B4784" w:rsidP="002B4784">
      <w:pPr>
        <w:spacing w:after="0"/>
        <w:ind w:firstLine="709"/>
        <w:jc w:val="both"/>
        <w:rPr>
          <w:rFonts w:ascii="Century Gothic" w:hAnsi="Century Gothic" w:cs="Arial"/>
          <w:sz w:val="18"/>
          <w:szCs w:val="18"/>
        </w:rPr>
      </w:pPr>
      <w:r w:rsidRPr="00EA05D2">
        <w:rPr>
          <w:rStyle w:val="Refdenotaalpie"/>
          <w:rFonts w:ascii="Century Gothic" w:hAnsi="Century Gothic" w:cs="Arial"/>
          <w:sz w:val="18"/>
          <w:szCs w:val="18"/>
        </w:rPr>
        <w:footnoteRef/>
      </w:r>
      <w:r w:rsidRPr="00EA05D2">
        <w:rPr>
          <w:rFonts w:ascii="Century Gothic" w:hAnsi="Century Gothic" w:cs="Arial"/>
          <w:position w:val="7"/>
          <w:sz w:val="18"/>
          <w:szCs w:val="18"/>
        </w:rPr>
        <w:t xml:space="preserve"> </w:t>
      </w:r>
      <w:r w:rsidRPr="00EA05D2">
        <w:rPr>
          <w:rFonts w:ascii="Century Gothic" w:hAnsi="Century Gothic" w:cs="Arial"/>
          <w:sz w:val="18"/>
          <w:szCs w:val="18"/>
        </w:rPr>
        <w:t>Consejo de Estado. Sección Tercera. Sentencia del 23 de junio de 2010. Radicación No. 66001-23-31-000-1998-00261-01(17.860). C</w:t>
      </w:r>
      <w:r>
        <w:rPr>
          <w:rFonts w:ascii="Century Gothic" w:hAnsi="Century Gothic" w:cs="Arial"/>
          <w:sz w:val="18"/>
          <w:szCs w:val="18"/>
        </w:rPr>
        <w:t>.</w:t>
      </w:r>
      <w:r w:rsidRPr="00EA05D2">
        <w:rPr>
          <w:rFonts w:ascii="Century Gothic" w:hAnsi="Century Gothic" w:cs="Arial"/>
          <w:sz w:val="18"/>
          <w:szCs w:val="18"/>
        </w:rPr>
        <w:t xml:space="preserve"> P</w:t>
      </w:r>
      <w:r>
        <w:rPr>
          <w:rFonts w:ascii="Century Gothic" w:hAnsi="Century Gothic" w:cs="Arial"/>
          <w:sz w:val="18"/>
          <w:szCs w:val="18"/>
        </w:rPr>
        <w:t>.</w:t>
      </w:r>
      <w:r w:rsidRPr="00EA05D2">
        <w:rPr>
          <w:rFonts w:ascii="Century Gothic" w:hAnsi="Century Gothic" w:cs="Arial"/>
          <w:sz w:val="18"/>
          <w:szCs w:val="18"/>
        </w:rPr>
        <w:t xml:space="preserve"> Mauricio Fajardo Gómez.</w:t>
      </w:r>
    </w:p>
  </w:footnote>
  <w:footnote w:id="6">
    <w:p w14:paraId="4D29BA12" w14:textId="77777777" w:rsidR="002B4784" w:rsidRPr="00EA05D2" w:rsidRDefault="002B4784" w:rsidP="002B4784">
      <w:pPr>
        <w:spacing w:after="0"/>
        <w:ind w:firstLine="709"/>
        <w:jc w:val="both"/>
        <w:rPr>
          <w:rFonts w:ascii="Century Gothic" w:hAnsi="Century Gothic" w:cs="Arial"/>
          <w:sz w:val="18"/>
          <w:szCs w:val="18"/>
        </w:rPr>
      </w:pPr>
      <w:r w:rsidRPr="00EA05D2">
        <w:rPr>
          <w:rStyle w:val="Refdenotaalpie"/>
          <w:rFonts w:ascii="Century Gothic" w:hAnsi="Century Gothic" w:cs="Arial"/>
          <w:sz w:val="18"/>
          <w:szCs w:val="18"/>
        </w:rPr>
        <w:footnoteRef/>
      </w:r>
      <w:r w:rsidRPr="00EA05D2">
        <w:rPr>
          <w:rFonts w:ascii="Century Gothic" w:hAnsi="Century Gothic" w:cs="Arial"/>
          <w:sz w:val="18"/>
          <w:szCs w:val="18"/>
        </w:rPr>
        <w:t xml:space="preserve"> Consejo de Estado. Sección Tercera. Subsección C. Sentencia del 11 de diciembre de 2019. Exp. 46.986. C.P. Jaime Enrique Rodríguez Navas.</w:t>
      </w:r>
    </w:p>
  </w:footnote>
  <w:footnote w:id="7">
    <w:p w14:paraId="54D41F47" w14:textId="77777777" w:rsidR="002B4784" w:rsidRPr="00EA05D2" w:rsidRDefault="002B4784" w:rsidP="002B4784">
      <w:pPr>
        <w:pStyle w:val="Textonotapie"/>
        <w:ind w:firstLine="708"/>
        <w:jc w:val="both"/>
        <w:rPr>
          <w:rFonts w:ascii="Century Gothic" w:hAnsi="Century Gothic" w:cs="Arial"/>
          <w:sz w:val="18"/>
          <w:szCs w:val="18"/>
        </w:rPr>
      </w:pPr>
      <w:r w:rsidRPr="00EA05D2">
        <w:rPr>
          <w:rStyle w:val="Refdenotaalpie"/>
          <w:rFonts w:ascii="Century Gothic" w:hAnsi="Century Gothic" w:cs="Arial"/>
          <w:sz w:val="18"/>
          <w:szCs w:val="18"/>
        </w:rPr>
        <w:footnoteRef/>
      </w:r>
      <w:r w:rsidRPr="00EA05D2">
        <w:rPr>
          <w:rFonts w:ascii="Century Gothic" w:hAnsi="Century Gothic" w:cs="Arial"/>
          <w:sz w:val="18"/>
          <w:szCs w:val="18"/>
        </w:rPr>
        <w:t xml:space="preserve"> CONSEJO DE ESTADO. Sala de Consulta y Servicio Civil. Concepto 26 de julio de 2016. Exp. 2.257. C.P. Álvaro Namén Vargas. </w:t>
      </w:r>
      <w:r w:rsidRPr="00EA05D2">
        <w:rPr>
          <w:rFonts w:ascii="Century Gothic" w:hAnsi="Century Gothic" w:cs="Arial"/>
          <w:sz w:val="18"/>
          <w:szCs w:val="18"/>
          <w:lang w:val="es-CO"/>
        </w:rPr>
        <w:t>Esta diferencia entre contrato y convenio está mucho más apuntalada en el derecho español de acuerdo con el artículo 47.1 de la Ley 40 de 2015, la cual regula el régimen jurídico del sector público. Por ello, la doctrina extrajera también estima que: “De la figura del “contrato” se diferencia la del “convenio”. Mientras el núcleo característico del “contrato” es el contenido económico de las obligaciones que asumen las partes que lo celebran, el “convenio” tiene por objeto el desarrollo de una actividad de una actividad de colaboración interadministrativa. El convenio tiene una función esencialmente organizatoria, o de promoción y fomento de actividades públicas y privadas; de forma indirecta el convenio puede tener efectos económicos, pero el fundamento de la celebración del convenio es la colaboración entre dos personas” (Cfr. BLANQUER CRIADO, David. Los contratos del sector público. Valencia: Tirant lo Blanch, 2013. p. 39).</w:t>
      </w:r>
    </w:p>
  </w:footnote>
  <w:footnote w:id="8">
    <w:p w14:paraId="68C0BF5B" w14:textId="77777777" w:rsidR="002B4784" w:rsidRPr="00EA05D2" w:rsidRDefault="002B4784" w:rsidP="002B4784">
      <w:pPr>
        <w:pStyle w:val="Textonotapie"/>
        <w:ind w:firstLine="709"/>
        <w:jc w:val="both"/>
        <w:rPr>
          <w:rFonts w:ascii="Century Gothic" w:hAnsi="Century Gothic" w:cs="Arial"/>
          <w:sz w:val="18"/>
          <w:szCs w:val="18"/>
        </w:rPr>
      </w:pPr>
    </w:p>
    <w:p w14:paraId="4579FAB9" w14:textId="77777777" w:rsidR="002B4784" w:rsidRPr="00EA05D2" w:rsidRDefault="002B4784" w:rsidP="002B4784">
      <w:pPr>
        <w:pStyle w:val="Textonotapie"/>
        <w:ind w:firstLine="709"/>
        <w:jc w:val="both"/>
        <w:rPr>
          <w:rFonts w:ascii="Century Gothic" w:hAnsi="Century Gothic" w:cs="Arial"/>
          <w:sz w:val="18"/>
          <w:szCs w:val="18"/>
        </w:rPr>
      </w:pPr>
      <w:r w:rsidRPr="00EA05D2">
        <w:rPr>
          <w:rStyle w:val="Refdenotaalpie"/>
          <w:rFonts w:ascii="Century Gothic" w:hAnsi="Century Gothic" w:cs="Arial"/>
          <w:sz w:val="18"/>
          <w:szCs w:val="18"/>
        </w:rPr>
        <w:footnoteRef/>
      </w:r>
      <w:r w:rsidRPr="00EA05D2">
        <w:rPr>
          <w:rFonts w:ascii="Century Gothic" w:hAnsi="Century Gothic" w:cs="Arial"/>
          <w:sz w:val="18"/>
          <w:szCs w:val="18"/>
        </w:rPr>
        <w:t xml:space="preserve"> Por ejemplo, </w:t>
      </w:r>
      <w:bookmarkStart w:id="7" w:name="_Hlk131016907"/>
      <w:r w:rsidRPr="00EA05D2">
        <w:rPr>
          <w:rFonts w:ascii="Century Gothic" w:hAnsi="Century Gothic" w:cs="Arial"/>
          <w:sz w:val="18"/>
          <w:szCs w:val="18"/>
        </w:rPr>
        <w:t xml:space="preserve">Peña Nossa </w:t>
      </w:r>
      <w:bookmarkEnd w:id="7"/>
      <w:r w:rsidRPr="00EA05D2">
        <w:rPr>
          <w:rFonts w:ascii="Century Gothic" w:hAnsi="Century Gothic" w:cs="Arial"/>
          <w:sz w:val="18"/>
          <w:szCs w:val="18"/>
        </w:rPr>
        <w:t>estima que “La noción tradicional de contrato restringe su aplicación a los actos jurídicos de contraprestación, esto es, aquellos en los que solo existen dos partes, dos manifestaciones de voluntad, con intereses distintos y opuestos, en donde las obligaciones de las partes son interdependientes, esto es, en donde el objeto de la obligación de una de las partes es causa de la obligación de la otra. Como ejemplo de este tipo de actos tenemos la compraventa y el arrendamiento.</w:t>
      </w:r>
    </w:p>
    <w:p w14:paraId="73945DED" w14:textId="77777777" w:rsidR="002B4784" w:rsidRPr="00EA05D2" w:rsidRDefault="002B4784" w:rsidP="002B4784">
      <w:pPr>
        <w:pStyle w:val="Textonotapie"/>
        <w:ind w:firstLine="708"/>
        <w:jc w:val="both"/>
        <w:rPr>
          <w:rFonts w:ascii="Century Gothic" w:hAnsi="Century Gothic" w:cs="Arial"/>
          <w:sz w:val="18"/>
          <w:szCs w:val="18"/>
        </w:rPr>
      </w:pPr>
      <w:r w:rsidRPr="00EA05D2">
        <w:rPr>
          <w:rFonts w:ascii="Century Gothic" w:hAnsi="Century Gothic" w:cs="Arial"/>
          <w:sz w:val="18"/>
          <w:szCs w:val="18"/>
        </w:rPr>
        <w:t xml:space="preserve">Una concepción moderna señala que el contrato no solo recoge relaciones jurídicas de contraprestación, debido a la existencia de actos o negocios jurídicos complejos o de colaboración en los que pueden intervenir más de dos partes, que persiguen intereses comunes y por tanto colaboran en su realización. Aquí, a diferencia de lo que sucede en los actos de contraprestación, las obligaciones de las partes son autónomas e independientes, por lo que el incumplimiento de una de ellas no afecta las obligaciones de las demás, y también difiere porque la nulidad que se pronuncie con relación a una de las partes no involucra a las demás ni afecta la validez del negocio jurídico, salvo que la nulidad sea esencial para la consecución del objeto (C. de Co., art. 903). Como ejemplo de este tipo de actos tenemos el contrato de sociedad, las uniones temporales, el contrato de </w:t>
      </w:r>
      <w:r w:rsidRPr="00EA05D2">
        <w:rPr>
          <w:rFonts w:ascii="Century Gothic" w:hAnsi="Century Gothic" w:cs="Arial"/>
          <w:i/>
          <w:sz w:val="18"/>
          <w:szCs w:val="18"/>
        </w:rPr>
        <w:t>joint venture,</w:t>
      </w:r>
      <w:r w:rsidRPr="00EA05D2">
        <w:rPr>
          <w:rFonts w:ascii="Century Gothic" w:hAnsi="Century Gothic" w:cs="Arial"/>
          <w:sz w:val="18"/>
          <w:szCs w:val="18"/>
        </w:rPr>
        <w:t xml:space="preserve"> etc.” (Cfr. </w:t>
      </w:r>
      <w:r w:rsidRPr="00EA05D2">
        <w:rPr>
          <w:rFonts w:ascii="Century Gothic" w:hAnsi="Century Gothic" w:cs="Arial"/>
          <w:sz w:val="18"/>
          <w:szCs w:val="18"/>
          <w:lang w:val="es-CO"/>
        </w:rPr>
        <w:t>PEÑA NOSSA, Lisandro. De los contratos mercantiles nacionales e internacionales. Quinta edición. Bogotá: ECOE Ediciones, 2014. Libro electrónico en formato EPUB. En el mismo sentido, ARRUBLA PAUCAR, Jaime Alberto. Contratos mercantiles: teoría general del negocio mercantil. Tomo I. Decimotercera edición. Bogotá: Legis, 2012. pp. 89-91).</w:t>
      </w:r>
      <w:r w:rsidRPr="00EA05D2">
        <w:rPr>
          <w:rFonts w:ascii="Century Gothic" w:hAnsi="Century Gothic" w:cs="Arial"/>
          <w:sz w:val="18"/>
          <w:szCs w:val="18"/>
        </w:rPr>
        <w:t xml:space="preserve">  </w:t>
      </w:r>
    </w:p>
    <w:p w14:paraId="1DE43B52" w14:textId="77777777" w:rsidR="002B4784" w:rsidRPr="00EA05D2" w:rsidRDefault="002B4784" w:rsidP="002B4784">
      <w:pPr>
        <w:pStyle w:val="Textonotapie"/>
        <w:ind w:firstLine="708"/>
        <w:jc w:val="both"/>
        <w:rPr>
          <w:rFonts w:ascii="Century Gothic" w:hAnsi="Century Gothic" w:cs="Arial"/>
          <w:sz w:val="18"/>
          <w:szCs w:val="18"/>
        </w:rPr>
      </w:pPr>
    </w:p>
  </w:footnote>
  <w:footnote w:id="9">
    <w:p w14:paraId="57C473C2" w14:textId="77777777" w:rsidR="002B4784" w:rsidRPr="00EA05D2" w:rsidRDefault="002B4784" w:rsidP="002B4784">
      <w:pPr>
        <w:pStyle w:val="Textonotapie"/>
        <w:ind w:firstLine="708"/>
        <w:jc w:val="both"/>
        <w:rPr>
          <w:rFonts w:ascii="Century Gothic" w:hAnsi="Century Gothic" w:cs="Arial"/>
          <w:sz w:val="18"/>
          <w:szCs w:val="18"/>
        </w:rPr>
      </w:pPr>
      <w:r w:rsidRPr="00EA05D2">
        <w:rPr>
          <w:rStyle w:val="Refdenotaalpie"/>
          <w:rFonts w:ascii="Century Gothic" w:hAnsi="Century Gothic" w:cs="Arial"/>
          <w:sz w:val="18"/>
          <w:szCs w:val="18"/>
        </w:rPr>
        <w:footnoteRef/>
      </w:r>
      <w:r w:rsidRPr="00EA05D2">
        <w:rPr>
          <w:rFonts w:ascii="Century Gothic" w:hAnsi="Century Gothic" w:cs="Arial"/>
          <w:sz w:val="18"/>
          <w:szCs w:val="18"/>
        </w:rPr>
        <w:t xml:space="preserve"> PLANIOL, Marcel &amp; RIPERT, Jeorge. Tratado práctico de derecho civil francés. Tomo VI. La Habana: Cultural SA, 1940. p. 24. </w:t>
      </w:r>
    </w:p>
  </w:footnote>
  <w:footnote w:id="10">
    <w:p w14:paraId="2699B172" w14:textId="77777777" w:rsidR="002B4784" w:rsidRPr="00EA05D2" w:rsidRDefault="002B4784" w:rsidP="002B4784">
      <w:pPr>
        <w:pStyle w:val="Textonotapie"/>
        <w:ind w:right="-141" w:firstLine="720"/>
        <w:jc w:val="both"/>
        <w:rPr>
          <w:rFonts w:ascii="Century Gothic" w:hAnsi="Century Gothic" w:cs="Arial"/>
          <w:sz w:val="18"/>
          <w:szCs w:val="18"/>
          <w:lang w:val="es-ES_tradnl"/>
        </w:rPr>
      </w:pPr>
      <w:r w:rsidRPr="00EA05D2">
        <w:rPr>
          <w:rStyle w:val="Refdenotaalpie"/>
          <w:rFonts w:ascii="Century Gothic" w:hAnsi="Century Gothic" w:cs="Arial"/>
          <w:sz w:val="18"/>
          <w:szCs w:val="18"/>
        </w:rPr>
        <w:footnoteRef/>
      </w:r>
      <w:r w:rsidRPr="00EA05D2">
        <w:rPr>
          <w:rFonts w:ascii="Century Gothic" w:hAnsi="Century Gothic" w:cs="Arial"/>
          <w:sz w:val="18"/>
          <w:szCs w:val="18"/>
          <w:lang w:val="es-CO"/>
        </w:rPr>
        <w:t xml:space="preserve"> CORTE CONSTITUCIONAL, </w:t>
      </w:r>
      <w:r w:rsidRPr="00EA05D2">
        <w:rPr>
          <w:rFonts w:ascii="Century Gothic" w:hAnsi="Century Gothic" w:cs="Arial"/>
          <w:sz w:val="18"/>
          <w:szCs w:val="18"/>
          <w:lang w:val="es-ES_tradnl"/>
        </w:rPr>
        <w:t xml:space="preserve">Sentencia C-768 de 23 de septiembre de 2010. </w:t>
      </w:r>
      <w:r w:rsidRPr="00EA05D2">
        <w:rPr>
          <w:rFonts w:ascii="Century Gothic" w:hAnsi="Century Gothic" w:cs="Arial"/>
          <w:sz w:val="18"/>
          <w:szCs w:val="18"/>
          <w:lang w:val="es-CO"/>
        </w:rPr>
        <w:t>M.P.: Juan Carlos Henao Pérez</w:t>
      </w:r>
      <w:r w:rsidRPr="00EA05D2">
        <w:rPr>
          <w:rFonts w:ascii="Century Gothic" w:hAnsi="Century Gothic" w:cs="Arial"/>
          <w:sz w:val="18"/>
          <w:szCs w:val="18"/>
          <w:lang w:val="es-ES_tradnl"/>
        </w:rPr>
        <w:t xml:space="preserve"> indicó: “</w:t>
      </w:r>
      <w:r w:rsidRPr="00EA05D2">
        <w:rPr>
          <w:rFonts w:ascii="Century Gothic" w:hAnsi="Century Gothic" w:cs="Arial"/>
          <w:i/>
          <w:sz w:val="18"/>
          <w:szCs w:val="18"/>
          <w:lang w:val="es-ES_tradnl"/>
        </w:rPr>
        <w:t>Para explicar esta afirmación conviene señalar que las estampillas han sido definidas por la jurisprudencia del Consejo de Estado</w:t>
      </w:r>
      <w:r w:rsidRPr="00EA05D2">
        <w:rPr>
          <w:rFonts w:ascii="Century Gothic" w:hAnsi="Century Gothic" w:cs="Arial"/>
          <w:sz w:val="18"/>
          <w:szCs w:val="18"/>
          <w:lang w:val="es-ES_tradnl"/>
        </w:rPr>
        <w:t xml:space="preserve"> (…) </w:t>
      </w:r>
      <w:r w:rsidRPr="00EA05D2">
        <w:rPr>
          <w:rFonts w:ascii="Century Gothic" w:hAnsi="Century Gothic" w:cs="Arial"/>
          <w:i/>
          <w:sz w:val="18"/>
          <w:szCs w:val="18"/>
          <w:lang w:val="es-ES_tradnl"/>
        </w:rPr>
        <w:t>como tributos dentro de la especie de “tasas parafiscales”, en la medida en que participan de la naturaleza de las contribuciones parafiscales, pues constituyen un gravamen cuyo pago obligatorio deben realizar los usuarios de algunas operaciones o actividades que se realizan frente a organismos de carácter público; son de carácter excepcional en cuanto al sujeto pasivo del tributo; los recursos se revierten en beneficio de un sector específico; y están destinados a sufragar gastos en que incurran las entidades que desarrollan o prestan un servicio público, como función propia del Estado.</w:t>
      </w:r>
      <w:r w:rsidRPr="00EA05D2">
        <w:rPr>
          <w:rFonts w:ascii="Century Gothic" w:hAnsi="Century Gothic" w:cs="Arial"/>
          <w:sz w:val="18"/>
          <w:szCs w:val="18"/>
          <w:lang w:val="es-ES_tradnl"/>
        </w:rPr>
        <w:t xml:space="preserve"> //</w:t>
      </w:r>
      <w:r w:rsidRPr="00EA05D2">
        <w:rPr>
          <w:rFonts w:ascii="Century Gothic" w:hAnsi="Century Gothic" w:cs="Arial"/>
          <w:i/>
          <w:sz w:val="18"/>
          <w:szCs w:val="18"/>
          <w:lang w:val="es-ES_tradnl"/>
        </w:rPr>
        <w:t xml:space="preserve"> La “tasa” si bien puede corresponder a la prestación directa de un servicio </w:t>
      </w:r>
      <w:r w:rsidRPr="00EA05D2">
        <w:rPr>
          <w:rFonts w:ascii="Century Gothic" w:hAnsi="Century Gothic" w:cs="Arial"/>
          <w:sz w:val="18"/>
          <w:szCs w:val="18"/>
          <w:lang w:val="es-CO"/>
        </w:rPr>
        <w:t>público</w:t>
      </w:r>
      <w:r w:rsidRPr="00EA05D2">
        <w:rPr>
          <w:rFonts w:ascii="Century Gothic" w:hAnsi="Century Gothic" w:cs="Arial"/>
          <w:i/>
          <w:sz w:val="18"/>
          <w:szCs w:val="18"/>
          <w:lang w:val="es-ES_tradnl"/>
        </w:rPr>
        <w:t>, del cual es usuario el contribuyente que se beneficia efectivamente, también puede corresponder al beneficio potencial por la utilización de servicios de aprovechamiento común, como la educación, la salud, el deporte, la cultura, es decir, que el gravamen se revierte en beneficio social. Las primeras se definen como tasas administrativas en cuanto equivalen a la remuneración pagada por los servicios administrativos y, las segundas, como tasas parafiscales que son las percibidas en beneficio de organismos públicos o privados, pero no por la prestación de un servicio propiamente dicho, sino por contener un carácter social</w:t>
      </w:r>
      <w:r w:rsidRPr="00EA05D2">
        <w:rPr>
          <w:rFonts w:ascii="Century Gothic" w:hAnsi="Century Gothic" w:cs="Arial"/>
          <w:sz w:val="18"/>
          <w:szCs w:val="18"/>
          <w:lang w:val="es-ES_tradnl"/>
        </w:rPr>
        <w:t>”.</w:t>
      </w:r>
    </w:p>
    <w:p w14:paraId="71391F54" w14:textId="77777777" w:rsidR="002B4784" w:rsidRPr="00EA05D2" w:rsidRDefault="002B4784" w:rsidP="002B4784">
      <w:pPr>
        <w:pStyle w:val="Textonotapie"/>
        <w:ind w:firstLine="720"/>
        <w:jc w:val="both"/>
        <w:rPr>
          <w:rFonts w:ascii="Century Gothic" w:hAnsi="Century Gothic" w:cs="Arial"/>
          <w:sz w:val="18"/>
          <w:szCs w:val="18"/>
          <w:lang w:val="es-CO"/>
        </w:rPr>
      </w:pPr>
    </w:p>
  </w:footnote>
  <w:footnote w:id="11">
    <w:p w14:paraId="3773CD35" w14:textId="77777777" w:rsidR="002B4784" w:rsidRPr="00EA05D2" w:rsidRDefault="002B4784" w:rsidP="002B4784">
      <w:pPr>
        <w:pStyle w:val="Textonotapie"/>
        <w:ind w:firstLine="720"/>
        <w:jc w:val="both"/>
        <w:rPr>
          <w:rFonts w:ascii="Century Gothic" w:hAnsi="Century Gothic" w:cs="Arial"/>
          <w:sz w:val="18"/>
          <w:szCs w:val="18"/>
          <w:lang w:val="es-CO"/>
        </w:rPr>
      </w:pPr>
      <w:r w:rsidRPr="00EA05D2">
        <w:rPr>
          <w:rStyle w:val="Refdenotaalpie"/>
          <w:rFonts w:ascii="Century Gothic" w:hAnsi="Century Gothic" w:cs="Arial"/>
          <w:sz w:val="18"/>
          <w:szCs w:val="18"/>
        </w:rPr>
        <w:footnoteRef/>
      </w:r>
      <w:r w:rsidRPr="00EA05D2">
        <w:rPr>
          <w:rFonts w:ascii="Century Gothic" w:hAnsi="Century Gothic" w:cs="Arial"/>
          <w:sz w:val="18"/>
          <w:szCs w:val="18"/>
          <w:lang w:val="es-CO"/>
        </w:rPr>
        <w:t xml:space="preserve"> CORTE CONSTITUCIONAL, </w:t>
      </w:r>
      <w:r w:rsidRPr="00EA05D2">
        <w:rPr>
          <w:rFonts w:ascii="Century Gothic" w:hAnsi="Century Gothic" w:cs="Arial"/>
          <w:sz w:val="18"/>
          <w:szCs w:val="18"/>
          <w:lang w:val="es-ES_tradnl"/>
        </w:rPr>
        <w:t>Sentencia C-221 de 22 de mayo de 2019. M.P. Carlos Bernal Pulido. En la sentencia se indicó que la estampilla ‘</w:t>
      </w:r>
      <w:r w:rsidRPr="00EA05D2">
        <w:rPr>
          <w:rFonts w:ascii="Century Gothic" w:hAnsi="Century Gothic" w:cs="Arial"/>
          <w:i/>
          <w:sz w:val="18"/>
          <w:szCs w:val="18"/>
          <w:lang w:val="es-ES_tradnl"/>
        </w:rPr>
        <w:t>Pro-Universidad Nacional de Colombia y demás universidades estatales de Colombia</w:t>
      </w:r>
      <w:r w:rsidRPr="00EA05D2">
        <w:rPr>
          <w:rFonts w:ascii="Century Gothic" w:hAnsi="Century Gothic" w:cs="Arial"/>
          <w:sz w:val="18"/>
          <w:szCs w:val="18"/>
          <w:lang w:val="es-ES_tradnl"/>
        </w:rPr>
        <w:t xml:space="preserve">’ indicó que se trataba de un impuesto </w:t>
      </w:r>
      <w:r w:rsidRPr="00EA05D2">
        <w:rPr>
          <w:rFonts w:ascii="Century Gothic" w:hAnsi="Century Gothic" w:cs="Arial"/>
          <w:sz w:val="18"/>
          <w:szCs w:val="18"/>
          <w:lang w:val="es-CO"/>
        </w:rPr>
        <w:t>con destinación específica “</w:t>
      </w:r>
      <w:r w:rsidRPr="00EA05D2">
        <w:rPr>
          <w:rFonts w:ascii="Century Gothic" w:hAnsi="Century Gothic" w:cs="Arial"/>
          <w:i/>
          <w:sz w:val="18"/>
          <w:szCs w:val="18"/>
          <w:lang w:val="es-CO"/>
        </w:rPr>
        <w:t>pues se trata de una</w:t>
      </w:r>
      <w:r w:rsidRPr="00EA05D2">
        <w:rPr>
          <w:rFonts w:ascii="Century Gothic" w:hAnsi="Century Gothic" w:cs="Arial"/>
          <w:sz w:val="18"/>
          <w:szCs w:val="18"/>
          <w:lang w:val="es-CO"/>
        </w:rPr>
        <w:t xml:space="preserve"> “</w:t>
      </w:r>
      <w:r w:rsidRPr="00EA05D2">
        <w:rPr>
          <w:rFonts w:ascii="Century Gothic" w:hAnsi="Century Gothic" w:cs="Arial"/>
          <w:i/>
          <w:sz w:val="18"/>
          <w:szCs w:val="18"/>
          <w:bdr w:val="none" w:sz="0" w:space="0" w:color="auto" w:frame="1"/>
          <w:lang w:val="es-CO"/>
        </w:rPr>
        <w:t>imposición obligatoria y definitiva que no guarda relación directa e inmediata con la prestación de un bien o un servicio por parte del Estado al ciudadano”</w:t>
      </w:r>
      <w:r w:rsidRPr="00EA05D2">
        <w:rPr>
          <w:rFonts w:ascii="Century Gothic" w:hAnsi="Century Gothic" w:cs="Arial"/>
          <w:sz w:val="18"/>
          <w:szCs w:val="18"/>
          <w:lang w:val="es-CO"/>
        </w:rPr>
        <w:t xml:space="preserve"> (…)”</w:t>
      </w:r>
    </w:p>
    <w:p w14:paraId="70942F1C" w14:textId="77777777" w:rsidR="002B4784" w:rsidRPr="00EA05D2" w:rsidRDefault="002B4784" w:rsidP="002B4784">
      <w:pPr>
        <w:pStyle w:val="Textonotapie"/>
        <w:ind w:firstLine="720"/>
        <w:jc w:val="both"/>
        <w:rPr>
          <w:rFonts w:ascii="Century Gothic" w:hAnsi="Century Gothic" w:cs="Arial"/>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C3885" w14:textId="77777777" w:rsidR="00C27830" w:rsidRDefault="00C27830">
    <w:pPr>
      <w:pStyle w:val="Encabezado"/>
    </w:pPr>
    <w:r>
      <w:rPr>
        <w:noProof/>
        <w:lang w:eastAsia="es-CO"/>
      </w:rPr>
      <w:drawing>
        <wp:anchor distT="0" distB="0" distL="114300" distR="114300" simplePos="0" relativeHeight="251659264" behindDoc="1" locked="0" layoutInCell="1" allowOverlap="1" wp14:anchorId="4EFCE5C9" wp14:editId="57082450">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 w:val="24"/>
        <w:szCs w:val="24"/>
        <w:lang w:eastAsia="es-CO"/>
      </w:rPr>
      <w:drawing>
        <wp:anchor distT="0" distB="0" distL="114300" distR="114300" simplePos="0" relativeHeight="251663360" behindDoc="0" locked="0" layoutInCell="1" allowOverlap="1" wp14:anchorId="6E65F829" wp14:editId="58EE3AB3">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lang w:eastAsia="es-CO"/>
      </w:rPr>
      <w:drawing>
        <wp:anchor distT="0" distB="0" distL="114300" distR="114300" simplePos="0" relativeHeight="251661312" behindDoc="0" locked="0" layoutInCell="1" allowOverlap="1" wp14:anchorId="464EBDF8" wp14:editId="55DA9DDF">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60288" behindDoc="0" locked="0" layoutInCell="1" allowOverlap="1" wp14:anchorId="3EE7587E" wp14:editId="4C3AA381">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1120FDB1" w14:textId="77777777" w:rsidR="00C27830" w:rsidRDefault="00C27830">
    <w:pPr>
      <w:pStyle w:val="Encabezado"/>
    </w:pPr>
  </w:p>
  <w:p w14:paraId="39B12BB2" w14:textId="77777777" w:rsidR="00C27830" w:rsidRDefault="00C27830">
    <w:pPr>
      <w:pStyle w:val="Encabezado"/>
    </w:pPr>
  </w:p>
  <w:p w14:paraId="5CE60E93" w14:textId="77777777" w:rsidR="00C27830" w:rsidRPr="004A305D" w:rsidRDefault="00C27830"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00C9FF1D" w14:textId="77777777" w:rsidR="00C27830" w:rsidRPr="004A305D" w:rsidRDefault="00C27830" w:rsidP="00BD15D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17</w:t>
    </w:r>
  </w:p>
  <w:p w14:paraId="604CA99D" w14:textId="77777777" w:rsidR="00C27830" w:rsidRDefault="00C27830" w:rsidP="005B5D8B">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Pr>
        <w:rFonts w:ascii="Century Gothic" w:eastAsia="Geo" w:hAnsi="Century Gothic" w:cs="Geo"/>
        <w:sz w:val="16"/>
        <w:szCs w:val="16"/>
        <w:lang w:eastAsia="es-CO"/>
      </w:rPr>
      <w:t xml:space="preserve">22 </w:t>
    </w:r>
    <w:r w:rsidRPr="004A305D">
      <w:rPr>
        <w:rFonts w:ascii="Century Gothic" w:eastAsia="Geo" w:hAnsi="Century Gothic" w:cs="Geo"/>
        <w:sz w:val="16"/>
        <w:szCs w:val="16"/>
        <w:lang w:eastAsia="es-CO"/>
      </w:rPr>
      <w:t xml:space="preserve">DE </w:t>
    </w:r>
    <w:r>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Pr>
        <w:rFonts w:ascii="Century Gothic" w:eastAsia="Geo" w:hAnsi="Century Gothic" w:cs="Geo"/>
        <w:sz w:val="16"/>
        <w:szCs w:val="16"/>
        <w:lang w:eastAsia="es-CO"/>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360" w:hanging="360"/>
      </w:pPr>
      <w:rPr>
        <w:b/>
        <w:color w:val="000000" w:themeColor="text1"/>
      </w:rPr>
    </w:lvl>
    <w:lvl w:ilvl="1">
      <w:start w:val="2"/>
      <w:numFmt w:val="decimal"/>
      <w:isLgl/>
      <w:lvlText w:val="%1.%2"/>
      <w:lvlJc w:val="left"/>
      <w:pPr>
        <w:ind w:left="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16cid:durableId="971129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830"/>
    <w:rsid w:val="00005553"/>
    <w:rsid w:val="000219F5"/>
    <w:rsid w:val="000310A5"/>
    <w:rsid w:val="00032634"/>
    <w:rsid w:val="00034632"/>
    <w:rsid w:val="000463FA"/>
    <w:rsid w:val="000653DE"/>
    <w:rsid w:val="0007563F"/>
    <w:rsid w:val="000B4C6C"/>
    <w:rsid w:val="000D4DE9"/>
    <w:rsid w:val="000E0DE7"/>
    <w:rsid w:val="000F6737"/>
    <w:rsid w:val="00122ECA"/>
    <w:rsid w:val="0012547B"/>
    <w:rsid w:val="00134371"/>
    <w:rsid w:val="0013492E"/>
    <w:rsid w:val="001501A4"/>
    <w:rsid w:val="0015609D"/>
    <w:rsid w:val="001669F1"/>
    <w:rsid w:val="00197A2F"/>
    <w:rsid w:val="001A01E1"/>
    <w:rsid w:val="001B4E75"/>
    <w:rsid w:val="001B5FBB"/>
    <w:rsid w:val="001B717B"/>
    <w:rsid w:val="001C5BB8"/>
    <w:rsid w:val="001D4267"/>
    <w:rsid w:val="001D5809"/>
    <w:rsid w:val="001E4B2B"/>
    <w:rsid w:val="001E75B0"/>
    <w:rsid w:val="0020478E"/>
    <w:rsid w:val="00250577"/>
    <w:rsid w:val="00254423"/>
    <w:rsid w:val="0028557B"/>
    <w:rsid w:val="00292C44"/>
    <w:rsid w:val="002A37F4"/>
    <w:rsid w:val="002B4784"/>
    <w:rsid w:val="002C657F"/>
    <w:rsid w:val="003207CE"/>
    <w:rsid w:val="003714FE"/>
    <w:rsid w:val="0039666E"/>
    <w:rsid w:val="003B0EC1"/>
    <w:rsid w:val="003B55DA"/>
    <w:rsid w:val="003C06BE"/>
    <w:rsid w:val="003C68C3"/>
    <w:rsid w:val="003C6F88"/>
    <w:rsid w:val="003F361A"/>
    <w:rsid w:val="00424ECC"/>
    <w:rsid w:val="0042553D"/>
    <w:rsid w:val="004530E7"/>
    <w:rsid w:val="00455BAB"/>
    <w:rsid w:val="00465298"/>
    <w:rsid w:val="0049769B"/>
    <w:rsid w:val="004E2182"/>
    <w:rsid w:val="004E58B8"/>
    <w:rsid w:val="00530155"/>
    <w:rsid w:val="00550061"/>
    <w:rsid w:val="0058073B"/>
    <w:rsid w:val="00584F14"/>
    <w:rsid w:val="00590667"/>
    <w:rsid w:val="005A30B6"/>
    <w:rsid w:val="0061454A"/>
    <w:rsid w:val="0063093D"/>
    <w:rsid w:val="00636952"/>
    <w:rsid w:val="006512AE"/>
    <w:rsid w:val="00691AC3"/>
    <w:rsid w:val="006B0F0A"/>
    <w:rsid w:val="00700727"/>
    <w:rsid w:val="0071297E"/>
    <w:rsid w:val="00713F35"/>
    <w:rsid w:val="00742D91"/>
    <w:rsid w:val="0077194E"/>
    <w:rsid w:val="0077680B"/>
    <w:rsid w:val="00796896"/>
    <w:rsid w:val="007E5AFA"/>
    <w:rsid w:val="00802520"/>
    <w:rsid w:val="00813AD5"/>
    <w:rsid w:val="00823824"/>
    <w:rsid w:val="00834DC2"/>
    <w:rsid w:val="00835250"/>
    <w:rsid w:val="00836031"/>
    <w:rsid w:val="00874C80"/>
    <w:rsid w:val="008855E1"/>
    <w:rsid w:val="008B25BE"/>
    <w:rsid w:val="008F2038"/>
    <w:rsid w:val="008F5E23"/>
    <w:rsid w:val="00920960"/>
    <w:rsid w:val="009404A2"/>
    <w:rsid w:val="00952D1F"/>
    <w:rsid w:val="009635CA"/>
    <w:rsid w:val="009A567F"/>
    <w:rsid w:val="009C3BF1"/>
    <w:rsid w:val="00A67AB5"/>
    <w:rsid w:val="00A77C44"/>
    <w:rsid w:val="00AA0BEC"/>
    <w:rsid w:val="00AB7287"/>
    <w:rsid w:val="00AC441F"/>
    <w:rsid w:val="00AC5903"/>
    <w:rsid w:val="00AD432E"/>
    <w:rsid w:val="00AE6E71"/>
    <w:rsid w:val="00AF3E12"/>
    <w:rsid w:val="00AF5401"/>
    <w:rsid w:val="00B20026"/>
    <w:rsid w:val="00B22364"/>
    <w:rsid w:val="00B36EB9"/>
    <w:rsid w:val="00B70A99"/>
    <w:rsid w:val="00B90D97"/>
    <w:rsid w:val="00B96B6C"/>
    <w:rsid w:val="00BA2D3F"/>
    <w:rsid w:val="00BA5B04"/>
    <w:rsid w:val="00BC2996"/>
    <w:rsid w:val="00BC3E52"/>
    <w:rsid w:val="00BC5420"/>
    <w:rsid w:val="00BC6C0D"/>
    <w:rsid w:val="00BE62EB"/>
    <w:rsid w:val="00C0429C"/>
    <w:rsid w:val="00C07915"/>
    <w:rsid w:val="00C27830"/>
    <w:rsid w:val="00C31863"/>
    <w:rsid w:val="00C42759"/>
    <w:rsid w:val="00C45247"/>
    <w:rsid w:val="00C515B2"/>
    <w:rsid w:val="00C756B3"/>
    <w:rsid w:val="00CA27C1"/>
    <w:rsid w:val="00CA4647"/>
    <w:rsid w:val="00D260C0"/>
    <w:rsid w:val="00D305E9"/>
    <w:rsid w:val="00D36DA6"/>
    <w:rsid w:val="00D616EF"/>
    <w:rsid w:val="00D714BB"/>
    <w:rsid w:val="00D96239"/>
    <w:rsid w:val="00DC209E"/>
    <w:rsid w:val="00DD5710"/>
    <w:rsid w:val="00E04C32"/>
    <w:rsid w:val="00E4466E"/>
    <w:rsid w:val="00E44938"/>
    <w:rsid w:val="00E502A1"/>
    <w:rsid w:val="00E536C8"/>
    <w:rsid w:val="00E85CB3"/>
    <w:rsid w:val="00E95907"/>
    <w:rsid w:val="00EA05D2"/>
    <w:rsid w:val="00ED6788"/>
    <w:rsid w:val="00EE382E"/>
    <w:rsid w:val="00F11A63"/>
    <w:rsid w:val="00F4012D"/>
    <w:rsid w:val="00F4385D"/>
    <w:rsid w:val="00F521B8"/>
    <w:rsid w:val="00F70930"/>
    <w:rsid w:val="00FD0C61"/>
    <w:rsid w:val="00FD2D88"/>
    <w:rsid w:val="00FE1F49"/>
    <w:rsid w:val="03EDEC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D6F0C"/>
  <w15:chartTrackingRefBased/>
  <w15:docId w15:val="{3DEEB285-DFCC-4120-8B70-3CE87E608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830"/>
    <w:pPr>
      <w:spacing w:line="259" w:lineRule="auto"/>
    </w:pPr>
    <w:rPr>
      <w:kern w:val="0"/>
      <w:sz w:val="22"/>
      <w:szCs w:val="22"/>
      <w14:ligatures w14:val="none"/>
    </w:rPr>
  </w:style>
  <w:style w:type="paragraph" w:styleId="Ttulo1">
    <w:name w:val="heading 1"/>
    <w:basedOn w:val="Normal"/>
    <w:next w:val="Normal"/>
    <w:link w:val="Ttulo1Car"/>
    <w:uiPriority w:val="9"/>
    <w:qFormat/>
    <w:rsid w:val="00C27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27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2783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2783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2783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2783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2783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2783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2783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2783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2783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2783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2783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2783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2783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2783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2783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27830"/>
    <w:rPr>
      <w:rFonts w:eastAsiaTheme="majorEastAsia" w:cstheme="majorBidi"/>
      <w:color w:val="272727" w:themeColor="text1" w:themeTint="D8"/>
    </w:rPr>
  </w:style>
  <w:style w:type="paragraph" w:styleId="Ttulo">
    <w:name w:val="Title"/>
    <w:basedOn w:val="Normal"/>
    <w:next w:val="Normal"/>
    <w:link w:val="TtuloCar"/>
    <w:uiPriority w:val="10"/>
    <w:qFormat/>
    <w:rsid w:val="00C278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2783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2783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2783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27830"/>
    <w:pPr>
      <w:spacing w:before="160"/>
      <w:jc w:val="center"/>
    </w:pPr>
    <w:rPr>
      <w:i/>
      <w:iCs/>
      <w:color w:val="404040" w:themeColor="text1" w:themeTint="BF"/>
    </w:rPr>
  </w:style>
  <w:style w:type="character" w:customStyle="1" w:styleId="CitaCar">
    <w:name w:val="Cita Car"/>
    <w:basedOn w:val="Fuentedeprrafopredeter"/>
    <w:link w:val="Cita"/>
    <w:uiPriority w:val="29"/>
    <w:rsid w:val="00C27830"/>
    <w:rPr>
      <w:i/>
      <w:iCs/>
      <w:color w:val="404040" w:themeColor="text1" w:themeTint="BF"/>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C27830"/>
    <w:pPr>
      <w:ind w:left="720"/>
      <w:contextualSpacing/>
    </w:pPr>
  </w:style>
  <w:style w:type="character" w:styleId="nfasisintenso">
    <w:name w:val="Intense Emphasis"/>
    <w:basedOn w:val="Fuentedeprrafopredeter"/>
    <w:uiPriority w:val="21"/>
    <w:qFormat/>
    <w:rsid w:val="00C27830"/>
    <w:rPr>
      <w:i/>
      <w:iCs/>
      <w:color w:val="0F4761" w:themeColor="accent1" w:themeShade="BF"/>
    </w:rPr>
  </w:style>
  <w:style w:type="paragraph" w:styleId="Citadestacada">
    <w:name w:val="Intense Quote"/>
    <w:basedOn w:val="Normal"/>
    <w:next w:val="Normal"/>
    <w:link w:val="CitadestacadaCar"/>
    <w:uiPriority w:val="30"/>
    <w:qFormat/>
    <w:rsid w:val="00C27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27830"/>
    <w:rPr>
      <w:i/>
      <w:iCs/>
      <w:color w:val="0F4761" w:themeColor="accent1" w:themeShade="BF"/>
    </w:rPr>
  </w:style>
  <w:style w:type="character" w:styleId="Referenciaintensa">
    <w:name w:val="Intense Reference"/>
    <w:basedOn w:val="Fuentedeprrafopredeter"/>
    <w:uiPriority w:val="32"/>
    <w:qFormat/>
    <w:rsid w:val="00C27830"/>
    <w:rPr>
      <w:b/>
      <w:bCs/>
      <w:smallCaps/>
      <w:color w:val="0F4761" w:themeColor="accent1" w:themeShade="BF"/>
      <w:spacing w:val="5"/>
    </w:rPr>
  </w:style>
  <w:style w:type="paragraph" w:styleId="Encabezado">
    <w:name w:val="header"/>
    <w:basedOn w:val="Normal"/>
    <w:link w:val="EncabezadoCar"/>
    <w:uiPriority w:val="99"/>
    <w:unhideWhenUsed/>
    <w:rsid w:val="00C278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7830"/>
    <w:rPr>
      <w:kern w:val="0"/>
      <w:sz w:val="22"/>
      <w:szCs w:val="22"/>
      <w14:ligatures w14:val="none"/>
    </w:rPr>
  </w:style>
  <w:style w:type="paragraph" w:styleId="Piedepgina">
    <w:name w:val="footer"/>
    <w:basedOn w:val="Normal"/>
    <w:link w:val="PiedepginaCar"/>
    <w:uiPriority w:val="99"/>
    <w:unhideWhenUsed/>
    <w:rsid w:val="00C278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7830"/>
    <w:rPr>
      <w:kern w:val="0"/>
      <w:sz w:val="22"/>
      <w:szCs w:val="22"/>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C27830"/>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C27830"/>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C27830"/>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C27830"/>
    <w:rPr>
      <w:vertAlign w:val="superscript"/>
    </w:rPr>
  </w:style>
  <w:style w:type="character" w:customStyle="1" w:styleId="normaltextrun">
    <w:name w:val="normaltextrun"/>
    <w:basedOn w:val="Fuentedeprrafopredeter"/>
    <w:rsid w:val="00C27830"/>
  </w:style>
  <w:style w:type="table" w:styleId="Tablaconcuadrcula">
    <w:name w:val="Table Grid"/>
    <w:basedOn w:val="Tablanormal"/>
    <w:uiPriority w:val="39"/>
    <w:rsid w:val="00C2783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7830"/>
    <w:rPr>
      <w:color w:val="0000FF"/>
      <w:u w:val="single"/>
    </w:rPr>
  </w:style>
  <w:style w:type="paragraph" w:customStyle="1" w:styleId="paragraph">
    <w:name w:val="paragraph"/>
    <w:basedOn w:val="Normal"/>
    <w:rsid w:val="00C2783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C27830"/>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C27830"/>
  </w:style>
  <w:style w:type="paragraph" w:customStyle="1" w:styleId="Appelnotedebasde">
    <w:name w:val="Appel note de bas de..."/>
    <w:basedOn w:val="Normal"/>
    <w:link w:val="Refdenotaalpie"/>
    <w:uiPriority w:val="99"/>
    <w:rsid w:val="00C27830"/>
    <w:pPr>
      <w:spacing w:line="240" w:lineRule="exact"/>
    </w:pPr>
    <w:rPr>
      <w:kern w:val="2"/>
      <w:sz w:val="24"/>
      <w:szCs w:val="24"/>
      <w:vertAlign w:val="superscript"/>
      <w14:ligatures w14:val="standardContextual"/>
    </w:rPr>
  </w:style>
  <w:style w:type="character" w:customStyle="1" w:styleId="wacimagecontainer">
    <w:name w:val="wacimagecontainer"/>
    <w:basedOn w:val="Fuentedeprrafopredeter"/>
    <w:rsid w:val="00C27830"/>
  </w:style>
  <w:style w:type="paragraph" w:styleId="NormalWeb">
    <w:name w:val="Normal (Web)"/>
    <w:basedOn w:val="Normal"/>
    <w:uiPriority w:val="99"/>
    <w:semiHidden/>
    <w:unhideWhenUsed/>
    <w:rsid w:val="009635CA"/>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4977206">
      <w:bodyDiv w:val="1"/>
      <w:marLeft w:val="0"/>
      <w:marRight w:val="0"/>
      <w:marTop w:val="0"/>
      <w:marBottom w:val="0"/>
      <w:divBdr>
        <w:top w:val="none" w:sz="0" w:space="0" w:color="auto"/>
        <w:left w:val="none" w:sz="0" w:space="0" w:color="auto"/>
        <w:bottom w:val="none" w:sz="0" w:space="0" w:color="auto"/>
        <w:right w:val="none" w:sz="0" w:space="0" w:color="auto"/>
      </w:divBdr>
      <w:divsChild>
        <w:div w:id="1997761849">
          <w:marLeft w:val="0"/>
          <w:marRight w:val="0"/>
          <w:marTop w:val="0"/>
          <w:marBottom w:val="0"/>
          <w:divBdr>
            <w:top w:val="none" w:sz="0" w:space="0" w:color="auto"/>
            <w:left w:val="none" w:sz="0" w:space="0" w:color="auto"/>
            <w:bottom w:val="none" w:sz="0" w:space="0" w:color="auto"/>
            <w:right w:val="none" w:sz="0" w:space="0" w:color="auto"/>
          </w:divBdr>
        </w:div>
      </w:divsChild>
    </w:div>
    <w:div w:id="1559634987">
      <w:bodyDiv w:val="1"/>
      <w:marLeft w:val="0"/>
      <w:marRight w:val="0"/>
      <w:marTop w:val="0"/>
      <w:marBottom w:val="0"/>
      <w:divBdr>
        <w:top w:val="none" w:sz="0" w:space="0" w:color="auto"/>
        <w:left w:val="none" w:sz="0" w:space="0" w:color="auto"/>
        <w:bottom w:val="none" w:sz="0" w:space="0" w:color="auto"/>
        <w:right w:val="none" w:sz="0" w:space="0" w:color="auto"/>
      </w:divBdr>
      <w:divsChild>
        <w:div w:id="1396199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5F6B77-E7BF-41BB-BF8B-B9BA7FBCCB28}">
  <ds:schemaRefs>
    <ds:schemaRef ds:uri="http://schemas.openxmlformats.org/officeDocument/2006/bibliography"/>
  </ds:schemaRefs>
</ds:datastoreItem>
</file>

<file path=customXml/itemProps2.xml><?xml version="1.0" encoding="utf-8"?>
<ds:datastoreItem xmlns:ds="http://schemas.openxmlformats.org/officeDocument/2006/customXml" ds:itemID="{9C522505-01A4-4C33-87D0-5829481424A6}">
  <ds:schemaRefs>
    <ds:schemaRef ds:uri="a6cb9e4b-f1d1-4245-83ec-6cad768d538a"/>
    <ds:schemaRef ds:uri="http://purl.org/dc/terms/"/>
    <ds:schemaRef ds:uri="http://schemas.microsoft.com/office/2006/documentManagement/types"/>
    <ds:schemaRef ds:uri="http://purl.org/dc/dcmitype/"/>
    <ds:schemaRef ds:uri="http://purl.org/dc/elements/1.1/"/>
    <ds:schemaRef ds:uri="9d85dbaf-23eb-4e57-a637-93dcacc8b1a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17F1886-AF23-4D86-9D25-534D391A185C}">
  <ds:schemaRefs>
    <ds:schemaRef ds:uri="http://schemas.microsoft.com/sharepoint/v3/contenttype/forms"/>
  </ds:schemaRefs>
</ds:datastoreItem>
</file>

<file path=customXml/itemProps4.xml><?xml version="1.0" encoding="utf-8"?>
<ds:datastoreItem xmlns:ds="http://schemas.openxmlformats.org/officeDocument/2006/customXml" ds:itemID="{EF6A4D57-A7F7-4D46-95F0-46E00EEFF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3734</Words>
  <Characters>20541</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Nasly Yeana Mosquera Rivas</cp:lastModifiedBy>
  <cp:revision>4</cp:revision>
  <dcterms:created xsi:type="dcterms:W3CDTF">2024-06-06T12:42:00Z</dcterms:created>
  <dcterms:modified xsi:type="dcterms:W3CDTF">2024-06-06T12:53:00Z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