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101F" w14:textId="77777777" w:rsidR="008E0F13" w:rsidRPr="008E0F13" w:rsidRDefault="008E0F13" w:rsidP="008E0F13">
      <w:pPr>
        <w:spacing w:after="0" w:line="240" w:lineRule="auto"/>
        <w:contextualSpacing/>
        <w:jc w:val="both"/>
        <w:rPr>
          <w:rFonts w:ascii="Century Gothic" w:eastAsia="Calibri" w:hAnsi="Century Gothic" w:cs="Arial"/>
          <w:b/>
          <w:kern w:val="2"/>
          <w:lang w:val="es-ES_tradnl" w:eastAsia="es-ES_tradnl"/>
          <w14:ligatures w14:val="standardContextual"/>
        </w:rPr>
      </w:pPr>
      <w:bookmarkStart w:id="0" w:name="_Hlk143780582"/>
      <w:r w:rsidRPr="008E0F13">
        <w:rPr>
          <w:rFonts w:ascii="Century Gothic" w:eastAsia="Calibri" w:hAnsi="Century Gothic" w:cs="Arial"/>
          <w:b/>
          <w:kern w:val="2"/>
          <w:lang w:val="es-ES_tradnl" w:eastAsia="es-ES_tradnl"/>
          <w14:ligatures w14:val="standardContextual"/>
        </w:rPr>
        <w:t xml:space="preserve">DOCUMENTOS TIPO – Fundamento normativo – Ley 2022 de 2020 </w:t>
      </w:r>
    </w:p>
    <w:p w14:paraId="60FB206B" w14:textId="77777777" w:rsidR="008E0F13" w:rsidRPr="008E0F13" w:rsidRDefault="008E0F13" w:rsidP="008E0F13">
      <w:pPr>
        <w:spacing w:after="0" w:line="240" w:lineRule="auto"/>
        <w:contextualSpacing/>
        <w:jc w:val="both"/>
        <w:rPr>
          <w:rFonts w:ascii="Century Gothic" w:eastAsia="Calibri" w:hAnsi="Century Gothic" w:cs="Arial"/>
          <w:kern w:val="2"/>
          <w:lang w:val="es-ES_tradnl" w:eastAsia="es-ES"/>
          <w14:ligatures w14:val="standardContextual"/>
        </w:rPr>
      </w:pPr>
    </w:p>
    <w:p w14:paraId="4563BEF7" w14:textId="41DE22A2" w:rsidR="009622D1" w:rsidRDefault="009622D1" w:rsidP="009622D1">
      <w:pPr>
        <w:spacing w:after="0" w:line="240" w:lineRule="auto"/>
        <w:contextualSpacing/>
        <w:jc w:val="both"/>
        <w:rPr>
          <w:rFonts w:ascii="Century Gothic" w:eastAsia="Calibri" w:hAnsi="Century Gothic" w:cs="Arial"/>
          <w:kern w:val="2"/>
          <w:sz w:val="20"/>
          <w:szCs w:val="20"/>
          <w:lang w:val="es-ES" w:eastAsia="es-ES"/>
          <w14:ligatures w14:val="standardContextual"/>
        </w:rPr>
      </w:pPr>
      <w:r w:rsidRPr="009622D1">
        <w:rPr>
          <w:rFonts w:ascii="Century Gothic" w:eastAsia="Calibri" w:hAnsi="Century Gothic" w:cs="Arial"/>
          <w:kern w:val="2"/>
          <w:sz w:val="20"/>
          <w:szCs w:val="20"/>
          <w:lang w:val="es-ES" w:eastAsia="es-ES"/>
          <w14:ligatures w14:val="standardContextual"/>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0E9BED57" w14:textId="77777777" w:rsidR="009622D1" w:rsidRPr="009622D1" w:rsidRDefault="009622D1" w:rsidP="009622D1">
      <w:pPr>
        <w:spacing w:after="0" w:line="240" w:lineRule="auto"/>
        <w:contextualSpacing/>
        <w:jc w:val="both"/>
        <w:rPr>
          <w:rFonts w:ascii="Century Gothic" w:eastAsia="Calibri" w:hAnsi="Century Gothic" w:cs="Arial"/>
          <w:kern w:val="2"/>
          <w:sz w:val="20"/>
          <w:szCs w:val="20"/>
          <w:lang w:val="es-ES" w:eastAsia="es-ES"/>
          <w14:ligatures w14:val="standardContextual"/>
        </w:rPr>
      </w:pPr>
    </w:p>
    <w:p w14:paraId="7498E8C8" w14:textId="0EECCDB2" w:rsidR="008E0F13" w:rsidRPr="008E0F13" w:rsidRDefault="009622D1" w:rsidP="009622D1">
      <w:pPr>
        <w:spacing w:after="0" w:line="240" w:lineRule="auto"/>
        <w:contextualSpacing/>
        <w:jc w:val="both"/>
        <w:rPr>
          <w:rFonts w:ascii="Century Gothic" w:eastAsia="Times New Roman" w:hAnsi="Century Gothic" w:cs="Arial"/>
          <w:kern w:val="2"/>
          <w:sz w:val="20"/>
          <w:szCs w:val="20"/>
          <w:lang w:val="es-ES" w:eastAsia="es-ES"/>
          <w14:ligatures w14:val="standardContextual"/>
        </w:rPr>
      </w:pPr>
      <w:r w:rsidRPr="009622D1">
        <w:rPr>
          <w:rFonts w:ascii="Century Gothic" w:eastAsia="Calibri" w:hAnsi="Century Gothic" w:cs="Arial"/>
          <w:kern w:val="2"/>
          <w:sz w:val="20"/>
          <w:szCs w:val="20"/>
          <w:lang w:val="es-ES" w:eastAsia="es-ES"/>
          <w14:ligatures w14:val="standardContextual"/>
        </w:rPr>
        <w:t xml:space="preserve">Por otra parte, debe tenerse en cuenta que la Ley 2022 de 2020 fue sancionada por el </w:t>
      </w:r>
      <w:proofErr w:type="gramStart"/>
      <w:r w:rsidRPr="009622D1">
        <w:rPr>
          <w:rFonts w:ascii="Century Gothic" w:eastAsia="Calibri" w:hAnsi="Century Gothic" w:cs="Arial"/>
          <w:kern w:val="2"/>
          <w:sz w:val="20"/>
          <w:szCs w:val="20"/>
          <w:lang w:val="es-ES" w:eastAsia="es-ES"/>
          <w14:ligatures w14:val="standardContextual"/>
        </w:rPr>
        <w:t>Presidente</w:t>
      </w:r>
      <w:proofErr w:type="gramEnd"/>
      <w:r w:rsidRPr="009622D1">
        <w:rPr>
          <w:rFonts w:ascii="Century Gothic" w:eastAsia="Calibri" w:hAnsi="Century Gothic" w:cs="Arial"/>
          <w:kern w:val="2"/>
          <w:sz w:val="20"/>
          <w:szCs w:val="20"/>
          <w:lang w:val="es-ES" w:eastAsia="es-ES"/>
          <w14:ligatures w14:val="standardContextua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29273A0B" w14:textId="77777777" w:rsidR="008E0F13" w:rsidRPr="008E0F13" w:rsidRDefault="008E0F13" w:rsidP="008E0F13">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60EA755C" w14:textId="77777777" w:rsidR="008E0F13" w:rsidRPr="008E0F13" w:rsidRDefault="008E0F13" w:rsidP="008E0F13">
      <w:pPr>
        <w:spacing w:after="0" w:line="240" w:lineRule="auto"/>
        <w:contextualSpacing/>
        <w:jc w:val="both"/>
        <w:rPr>
          <w:rFonts w:ascii="Century Gothic" w:eastAsia="Calibri" w:hAnsi="Century Gothic" w:cs="Arial"/>
          <w:b/>
          <w:kern w:val="2"/>
          <w:lang w:val="es-ES_tradnl" w:eastAsia="es-ES_tradnl"/>
          <w14:ligatures w14:val="standardContextual"/>
        </w:rPr>
      </w:pPr>
      <w:r w:rsidRPr="008E0F13">
        <w:rPr>
          <w:rFonts w:ascii="Century Gothic" w:eastAsia="Calibri" w:hAnsi="Century Gothic" w:cs="Arial"/>
          <w:b/>
          <w:kern w:val="2"/>
          <w:lang w:val="es-ES_tradnl" w:eastAsia="es-ES_tradnl"/>
          <w14:ligatures w14:val="standardContextual"/>
        </w:rPr>
        <w:t xml:space="preserve">LEY 2195 DE 2022 – Artículo 56 – Ámbito de aplicación </w:t>
      </w:r>
    </w:p>
    <w:p w14:paraId="1DA5418F" w14:textId="77777777" w:rsidR="008E0F13" w:rsidRPr="008E0F13" w:rsidRDefault="008E0F13" w:rsidP="008E0F13">
      <w:pPr>
        <w:spacing w:after="0" w:line="240" w:lineRule="auto"/>
        <w:contextualSpacing/>
        <w:jc w:val="both"/>
        <w:rPr>
          <w:rFonts w:ascii="Century Gothic" w:eastAsia="Calibri" w:hAnsi="Century Gothic" w:cs="Arial"/>
          <w:bCs/>
          <w:kern w:val="2"/>
          <w:lang w:val="es-ES_tradnl" w:eastAsia="es-ES_tradnl"/>
          <w14:ligatures w14:val="standardContextual"/>
        </w:rPr>
      </w:pPr>
    </w:p>
    <w:p w14:paraId="67D0DD71" w14:textId="1420EAE2" w:rsidR="008E0F13" w:rsidRPr="008E0F13" w:rsidRDefault="009622D1" w:rsidP="008E0F13">
      <w:pPr>
        <w:spacing w:after="0" w:line="240" w:lineRule="auto"/>
        <w:contextualSpacing/>
        <w:jc w:val="both"/>
        <w:rPr>
          <w:rFonts w:ascii="Century Gothic" w:eastAsia="Calibri" w:hAnsi="Century Gothic" w:cs="Arial"/>
          <w:bCs/>
          <w:kern w:val="2"/>
          <w:sz w:val="20"/>
          <w:szCs w:val="20"/>
          <w:lang w:val="es-ES_tradnl" w:eastAsia="es-ES_tradnl"/>
          <w14:ligatures w14:val="standardContextual"/>
        </w:rPr>
      </w:pPr>
      <w:r w:rsidRPr="009622D1">
        <w:rPr>
          <w:rFonts w:ascii="Century Gothic" w:eastAsia="Calibri" w:hAnsi="Century Gothic" w:cs="Arial"/>
          <w:bCs/>
          <w:kern w:val="2"/>
          <w:sz w:val="20"/>
          <w:szCs w:val="20"/>
          <w:lang w:val="es-ES_tradnl" w:eastAsia="es-ES_tradnl"/>
          <w14:ligatures w14:val="standardContextua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52CC37BA" w14:textId="77777777" w:rsidR="008E0F13" w:rsidRPr="008E0F13" w:rsidRDefault="008E0F13" w:rsidP="008E0F13">
      <w:pPr>
        <w:spacing w:after="0" w:line="240" w:lineRule="auto"/>
        <w:contextualSpacing/>
        <w:jc w:val="both"/>
        <w:rPr>
          <w:rFonts w:ascii="Century Gothic" w:eastAsia="Calibri" w:hAnsi="Century Gothic" w:cs="Arial"/>
          <w:bCs/>
          <w:kern w:val="2"/>
          <w:sz w:val="20"/>
          <w:szCs w:val="20"/>
          <w:lang w:val="es-ES_tradnl" w:eastAsia="es-ES_tradnl"/>
          <w14:ligatures w14:val="standardContextual"/>
        </w:rPr>
      </w:pPr>
      <w:r w:rsidRPr="008E0F13">
        <w:rPr>
          <w:rFonts w:ascii="Century Gothic" w:eastAsia="Calibri" w:hAnsi="Century Gothic" w:cs="Arial"/>
          <w:bCs/>
          <w:kern w:val="2"/>
          <w:sz w:val="20"/>
          <w:szCs w:val="20"/>
          <w:lang w:val="es-ES_tradnl" w:eastAsia="es-ES_tradnl"/>
          <w14:ligatures w14:val="standardContextual"/>
        </w:rPr>
        <w:t xml:space="preserve">[…] </w:t>
      </w:r>
    </w:p>
    <w:p w14:paraId="7F82C830" w14:textId="023863CA" w:rsidR="008E0F13" w:rsidRPr="008E0F13" w:rsidRDefault="00184BF1" w:rsidP="008E0F13">
      <w:pPr>
        <w:spacing w:after="0" w:line="240" w:lineRule="auto"/>
        <w:contextualSpacing/>
        <w:jc w:val="both"/>
        <w:rPr>
          <w:rFonts w:ascii="Century Gothic" w:eastAsia="Calibri" w:hAnsi="Century Gothic" w:cs="Arial"/>
          <w:kern w:val="2"/>
          <w:sz w:val="20"/>
          <w:szCs w:val="20"/>
          <w:lang w:val="es-ES" w:eastAsia="es-ES"/>
          <w14:ligatures w14:val="standardContextual"/>
        </w:rPr>
      </w:pPr>
      <w:r w:rsidRPr="00184BF1">
        <w:rPr>
          <w:rFonts w:ascii="Century Gothic" w:eastAsia="Calibri" w:hAnsi="Century Gothic" w:cs="Arial"/>
          <w:kern w:val="2"/>
          <w:sz w:val="20"/>
          <w:szCs w:val="20"/>
          <w:lang w:val="es-ES" w:eastAsia="es-ES"/>
          <w14:ligatures w14:val="standardContextua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184BF1">
        <w:rPr>
          <w:rFonts w:ascii="Century Gothic" w:eastAsia="Calibri" w:hAnsi="Century Gothic" w:cs="Arial"/>
          <w:i/>
          <w:iCs/>
          <w:kern w:val="2"/>
          <w:sz w:val="20"/>
          <w:szCs w:val="20"/>
          <w:lang w:val="es-ES" w:eastAsia="es-ES"/>
          <w14:ligatures w14:val="standardContextual"/>
        </w:rPr>
        <w:t>ibidem</w:t>
      </w:r>
      <w:r w:rsidRPr="00184BF1">
        <w:rPr>
          <w:rFonts w:ascii="Century Gothic" w:eastAsia="Calibri" w:hAnsi="Century Gothic" w:cs="Arial"/>
          <w:kern w:val="2"/>
          <w:sz w:val="20"/>
          <w:szCs w:val="20"/>
          <w:lang w:val="es-ES" w:eastAsia="es-ES"/>
          <w14:ligatures w14:val="standardContextual"/>
        </w:rPr>
        <w:t xml:space="preserve">, conforme al cual “Lo favorable u odioso de una disposición no se tomará en cuenta para ampliar o restringir su interpretación. La </w:t>
      </w:r>
      <w:r w:rsidRPr="00184BF1">
        <w:rPr>
          <w:rFonts w:ascii="Century Gothic" w:eastAsia="Calibri" w:hAnsi="Century Gothic" w:cs="Arial"/>
          <w:kern w:val="2"/>
          <w:sz w:val="20"/>
          <w:szCs w:val="20"/>
          <w:lang w:val="es-ES" w:eastAsia="es-ES"/>
          <w14:ligatures w14:val="standardContextual"/>
        </w:rPr>
        <w:lastRenderedPageBreak/>
        <w:t>extensión que deba darse a toda ley se determinará por su genuino sentido, y según las reglas de interpretación precedentes”. Desde esta perspectiva, no pudiera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 la obligatoriedad de utilizar documentos pliego tipo se extiende en los convenios o contratos interadministrativos o de cualquier otra índole, ya las diferentes modalidades de selección de los Procesos de Contratación adelantados por entidades sometidas al EGCAP.</w:t>
      </w:r>
    </w:p>
    <w:p w14:paraId="5746CFAC" w14:textId="77777777" w:rsidR="008E0F13" w:rsidRPr="008E0F13" w:rsidRDefault="008E0F13" w:rsidP="008E0F13">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5299EB99" w14:textId="77777777" w:rsidR="008E0F13" w:rsidRPr="008E0F13" w:rsidRDefault="008E0F13" w:rsidP="008E0F13">
      <w:pPr>
        <w:spacing w:after="0" w:line="240" w:lineRule="auto"/>
        <w:contextualSpacing/>
        <w:jc w:val="both"/>
        <w:rPr>
          <w:rFonts w:ascii="Century Gothic" w:eastAsia="Calibri" w:hAnsi="Century Gothic" w:cs="Arial"/>
          <w:b/>
          <w:kern w:val="2"/>
          <w:lang w:val="es-ES_tradnl" w:eastAsia="es-ES_tradnl"/>
          <w14:ligatures w14:val="standardContextual"/>
        </w:rPr>
      </w:pPr>
      <w:r w:rsidRPr="008E0F13">
        <w:rPr>
          <w:rFonts w:ascii="Century Gothic" w:eastAsia="Calibri" w:hAnsi="Century Gothic" w:cs="Arial"/>
          <w:b/>
          <w:kern w:val="2"/>
          <w:lang w:val="es-ES_tradnl" w:eastAsia="es-ES_tradnl"/>
          <w14:ligatures w14:val="standardContextual"/>
        </w:rPr>
        <w:t xml:space="preserve">LEY 2195 DE 2022 – Artículo 56 – Finalidad </w:t>
      </w:r>
    </w:p>
    <w:p w14:paraId="75F03EEB" w14:textId="77777777" w:rsidR="008E0F13" w:rsidRPr="008E0F13" w:rsidRDefault="008E0F13" w:rsidP="008E0F13">
      <w:pPr>
        <w:spacing w:after="0" w:line="240" w:lineRule="auto"/>
        <w:contextualSpacing/>
        <w:jc w:val="both"/>
        <w:rPr>
          <w:rFonts w:ascii="Century Gothic" w:eastAsia="Times New Roman" w:hAnsi="Century Gothic" w:cs="Arial"/>
          <w:kern w:val="2"/>
          <w:lang w:val="es-ES_tradnl" w:eastAsia="es-ES_tradnl"/>
          <w14:ligatures w14:val="standardContextual"/>
        </w:rPr>
      </w:pPr>
    </w:p>
    <w:p w14:paraId="702AF365" w14:textId="546F47CD" w:rsidR="00184BF1" w:rsidRDefault="008E0F13" w:rsidP="00184BF1">
      <w:pPr>
        <w:tabs>
          <w:tab w:val="left" w:pos="0"/>
        </w:tabs>
        <w:spacing w:after="0" w:line="240" w:lineRule="auto"/>
        <w:jc w:val="both"/>
        <w:rPr>
          <w:rFonts w:ascii="Century Gothic" w:eastAsia="Calibri" w:hAnsi="Century Gothic" w:cs="Arial"/>
          <w:sz w:val="20"/>
          <w:szCs w:val="20"/>
          <w:lang w:val="es-ES_tradnl" w:eastAsia="es-ES_tradnl"/>
        </w:rPr>
      </w:pPr>
      <w:r w:rsidRPr="008E0F13">
        <w:rPr>
          <w:rFonts w:ascii="Century Gothic" w:eastAsia="Times New Roman" w:hAnsi="Century Gothic" w:cs="Arial"/>
          <w:kern w:val="2"/>
          <w:sz w:val="20"/>
          <w:szCs w:val="20"/>
          <w:lang w:val="es-ES_tradnl" w:eastAsia="es-ES_tradnl"/>
          <w14:ligatures w14:val="standardContextual"/>
        </w:rPr>
        <w:t>[…]</w:t>
      </w:r>
      <w:r w:rsidRPr="008E0F13">
        <w:rPr>
          <w:rFonts w:ascii="Century Gothic" w:eastAsia="Calibri" w:hAnsi="Century Gothic" w:cs="Arial"/>
          <w:sz w:val="20"/>
          <w:szCs w:val="20"/>
          <w:lang w:val="es-ES_tradnl" w:eastAsia="es-ES_tradnl"/>
        </w:rPr>
        <w:t xml:space="preserve"> </w:t>
      </w:r>
      <w:r w:rsidR="00184BF1">
        <w:rPr>
          <w:rFonts w:ascii="Century Gothic" w:eastAsia="Calibri" w:hAnsi="Century Gothic" w:cs="Arial"/>
          <w:sz w:val="20"/>
          <w:szCs w:val="20"/>
          <w:lang w:val="es-ES_tradnl" w:eastAsia="es-ES_tradnl"/>
        </w:rPr>
        <w:t>l</w:t>
      </w:r>
      <w:r w:rsidR="00184BF1" w:rsidRPr="00184BF1">
        <w:rPr>
          <w:rFonts w:ascii="Century Gothic" w:eastAsia="Calibri" w:hAnsi="Century Gothic" w:cs="Arial"/>
          <w:sz w:val="20"/>
          <w:szCs w:val="20"/>
          <w:lang w:val="es-ES_tradnl" w:eastAsia="es-ES_tradnl"/>
        </w:rPr>
        <w:t>a adición del articulado en mención tiene como fin “Extender la obligatoriedad de la aplicación del régimen de contratación estatal y pliegos tipo, cuando se celebran convenios interadministrativos con una entidad que tiene régimen de contratación privada con el fin de evitar la contratación directa con recursos del estado y proveer de mayores garantías al proceso” (Énfasis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534D7EE2" w14:textId="77777777" w:rsidR="00184BF1" w:rsidRPr="00184BF1" w:rsidRDefault="00184BF1" w:rsidP="00184BF1">
      <w:pPr>
        <w:tabs>
          <w:tab w:val="left" w:pos="0"/>
        </w:tabs>
        <w:spacing w:after="0" w:line="240" w:lineRule="auto"/>
        <w:jc w:val="both"/>
        <w:rPr>
          <w:rFonts w:ascii="Century Gothic" w:eastAsia="Calibri" w:hAnsi="Century Gothic" w:cs="Arial"/>
          <w:sz w:val="20"/>
          <w:szCs w:val="20"/>
          <w:lang w:val="es-ES_tradnl" w:eastAsia="es-ES_tradnl"/>
        </w:rPr>
      </w:pPr>
    </w:p>
    <w:p w14:paraId="3363ADE3" w14:textId="38B04983" w:rsidR="008E0F13" w:rsidRPr="00184BF1" w:rsidRDefault="00184BF1" w:rsidP="008E0F13">
      <w:pPr>
        <w:tabs>
          <w:tab w:val="left" w:pos="0"/>
        </w:tabs>
        <w:spacing w:after="0" w:line="240" w:lineRule="auto"/>
        <w:jc w:val="both"/>
        <w:rPr>
          <w:rFonts w:ascii="Century Gothic" w:eastAsia="Calibri" w:hAnsi="Century Gothic" w:cs="Arial"/>
          <w:sz w:val="20"/>
          <w:szCs w:val="20"/>
          <w:lang w:val="es-ES_tradnl" w:eastAsia="es-ES_tradnl"/>
        </w:rPr>
      </w:pPr>
      <w:r w:rsidRPr="00184BF1">
        <w:rPr>
          <w:rFonts w:ascii="Century Gothic" w:eastAsia="Calibri" w:hAnsi="Century Gothic" w:cs="Arial"/>
          <w:sz w:val="20"/>
          <w:szCs w:val="20"/>
          <w:lang w:val="es-ES_tradnl" w:eastAsia="es-ES_tradnl"/>
        </w:rPr>
        <w:t>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r>
        <w:rPr>
          <w:rFonts w:ascii="Century Gothic" w:eastAsia="Calibri" w:hAnsi="Century Gothic" w:cs="Arial"/>
          <w:sz w:val="20"/>
          <w:szCs w:val="20"/>
          <w:lang w:val="es-ES_tradnl" w:eastAsia="es-ES_tradnl"/>
        </w:rPr>
        <w:t xml:space="preserve"> </w:t>
      </w:r>
      <w:r w:rsidR="008E0F13" w:rsidRPr="008E0F13">
        <w:rPr>
          <w:rFonts w:ascii="Century Gothic" w:eastAsia="Calibri" w:hAnsi="Century Gothic" w:cs="Arial"/>
          <w:sz w:val="20"/>
          <w:szCs w:val="20"/>
          <w:lang w:val="es-ES_tradnl" w:eastAsia="es-ES_tradnl"/>
        </w:rPr>
        <w:t>[…]</w:t>
      </w:r>
    </w:p>
    <w:p w14:paraId="1212A46D" w14:textId="77777777" w:rsidR="008E0F13" w:rsidRPr="008E0F13" w:rsidRDefault="008E0F13" w:rsidP="008E0F13">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703A9D98" w14:textId="77777777" w:rsidR="008E0F13" w:rsidRPr="008E0F13" w:rsidRDefault="008E0F13" w:rsidP="008E0F13">
      <w:pPr>
        <w:spacing w:after="0" w:line="240" w:lineRule="auto"/>
        <w:contextualSpacing/>
        <w:jc w:val="both"/>
        <w:rPr>
          <w:rFonts w:ascii="Century Gothic" w:eastAsia="Calibri" w:hAnsi="Century Gothic" w:cs="Arial"/>
          <w:b/>
          <w:kern w:val="2"/>
          <w:sz w:val="24"/>
          <w:szCs w:val="24"/>
          <w:lang w:val="es-ES_tradnl" w:eastAsia="es-ES_tradnl"/>
          <w14:ligatures w14:val="standardContextual"/>
        </w:rPr>
      </w:pPr>
      <w:r w:rsidRPr="008E0F13">
        <w:rPr>
          <w:rFonts w:ascii="Century Gothic" w:eastAsia="Calibri" w:hAnsi="Century Gothic" w:cs="Arial"/>
          <w:b/>
          <w:kern w:val="2"/>
          <w:lang w:val="es-ES_tradnl" w:eastAsia="es-ES_tradnl"/>
          <w14:ligatures w14:val="standardContextual"/>
        </w:rPr>
        <w:t>LEY 2195 DE 2022 – Artículo 56 – Incisos 1 y 2 – Interpretación conjunta – Aplicación de documentos tipo</w:t>
      </w:r>
    </w:p>
    <w:p w14:paraId="13BCD2AC" w14:textId="77777777" w:rsidR="008E0F13" w:rsidRPr="008E0F13" w:rsidRDefault="008E0F13" w:rsidP="008E0F13">
      <w:pPr>
        <w:tabs>
          <w:tab w:val="left" w:pos="0"/>
        </w:tabs>
        <w:spacing w:after="0" w:line="240" w:lineRule="auto"/>
        <w:jc w:val="both"/>
        <w:rPr>
          <w:rFonts w:ascii="Century Gothic" w:eastAsia="Calibri" w:hAnsi="Century Gothic" w:cs="Arial"/>
          <w:bCs/>
          <w:kern w:val="2"/>
          <w:lang w:val="es-ES_tradnl" w:eastAsia="es-ES_tradnl"/>
          <w14:ligatures w14:val="standardContextual"/>
        </w:rPr>
      </w:pPr>
    </w:p>
    <w:p w14:paraId="188FCFE7" w14:textId="2A14B515" w:rsidR="00184BF1" w:rsidRPr="00184BF1" w:rsidRDefault="00184BF1" w:rsidP="00184BF1">
      <w:pPr>
        <w:tabs>
          <w:tab w:val="left" w:pos="0"/>
        </w:tabs>
        <w:spacing w:after="0" w:line="240" w:lineRule="auto"/>
        <w:jc w:val="both"/>
        <w:rPr>
          <w:rFonts w:ascii="Century Gothic" w:eastAsia="Calibri" w:hAnsi="Century Gothic" w:cs="Arial"/>
          <w:bCs/>
          <w:sz w:val="20"/>
          <w:szCs w:val="20"/>
          <w:lang w:val="es-ES_tradnl" w:eastAsia="es-ES_tradnl"/>
        </w:rPr>
      </w:pPr>
      <w:r w:rsidRPr="00184BF1">
        <w:rPr>
          <w:rFonts w:ascii="Century Gothic" w:eastAsia="Calibri" w:hAnsi="Century Gothic" w:cs="Arial"/>
          <w:bCs/>
          <w:sz w:val="20"/>
          <w:szCs w:val="20"/>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7701058C" w14:textId="77777777" w:rsidR="00184BF1" w:rsidRDefault="00184BF1" w:rsidP="00184BF1">
      <w:pPr>
        <w:tabs>
          <w:tab w:val="left" w:pos="0"/>
        </w:tabs>
        <w:spacing w:after="0" w:line="240" w:lineRule="auto"/>
        <w:jc w:val="both"/>
        <w:rPr>
          <w:rFonts w:ascii="Century Gothic" w:eastAsia="Calibri" w:hAnsi="Century Gothic" w:cs="Arial"/>
          <w:bCs/>
          <w:sz w:val="20"/>
          <w:szCs w:val="20"/>
          <w:lang w:val="es-ES_tradnl" w:eastAsia="es-ES_tradnl"/>
        </w:rPr>
      </w:pPr>
    </w:p>
    <w:p w14:paraId="65ED7DAE" w14:textId="2C2A8A1B" w:rsidR="008E0F13" w:rsidRPr="008E0F13" w:rsidRDefault="00184BF1" w:rsidP="00184BF1">
      <w:pPr>
        <w:tabs>
          <w:tab w:val="left" w:pos="0"/>
        </w:tabs>
        <w:spacing w:after="0" w:line="240" w:lineRule="auto"/>
        <w:jc w:val="both"/>
        <w:rPr>
          <w:rFonts w:ascii="Century Gothic" w:eastAsia="Calibri" w:hAnsi="Century Gothic" w:cs="Arial"/>
          <w:sz w:val="20"/>
          <w:szCs w:val="20"/>
          <w:lang w:val="es-ES" w:eastAsia="es-ES"/>
        </w:rPr>
      </w:pPr>
      <w:r w:rsidRPr="00184BF1">
        <w:rPr>
          <w:rFonts w:ascii="Century Gothic" w:eastAsia="Calibri" w:hAnsi="Century Gothic" w:cs="Arial"/>
          <w:bCs/>
          <w:sz w:val="20"/>
          <w:szCs w:val="20"/>
          <w:lang w:val="es-ES_tradnl" w:eastAsia="es-ES_tradnl"/>
        </w:rPr>
        <w:t xml:space="preserve">De acuerdo con lo anterior, el artículo 56 de la Ley 2195 de 2022, en principio, se presenta como una norma que complementa al parágrafo 7 del artículo 2 de la Ley 1150 de 2007, </w:t>
      </w:r>
      <w:r w:rsidRPr="00184BF1">
        <w:rPr>
          <w:rFonts w:ascii="Century Gothic" w:eastAsia="Calibri" w:hAnsi="Century Gothic" w:cs="Arial"/>
          <w:bCs/>
          <w:sz w:val="20"/>
          <w:szCs w:val="20"/>
          <w:lang w:val="es-ES_tradnl" w:eastAsia="es-ES_tradnl"/>
        </w:rPr>
        <w:lastRenderedPageBreak/>
        <w:t>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ibidem, conforme al cual “Lo favorable u odioso de una disposición no se tomará en cuenta para ampliar o restringir su interpretación. La extensión que deba darse a toda ley se determinará por su genuino sentido, y según las reglas de interpretación precedentes”. Desde esta perspectiva, no pudiera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 la obligatoriedad de utilizar documentos pliego tipo se extiende en los convenios o contratos interadministrativos o de cualquier otra índole, ya las diferentes modalidades de selección de los Procesos de Contratación adelantados por entidades sometidas al EGCAP.</w:t>
      </w:r>
    </w:p>
    <w:p w14:paraId="62FB7824" w14:textId="77777777" w:rsidR="008E0F13" w:rsidRPr="008E0F13" w:rsidRDefault="008E0F13" w:rsidP="008E0F13">
      <w:pPr>
        <w:tabs>
          <w:tab w:val="left" w:pos="0"/>
        </w:tabs>
        <w:spacing w:after="0" w:line="240" w:lineRule="auto"/>
        <w:jc w:val="both"/>
        <w:rPr>
          <w:rFonts w:ascii="Century Gothic" w:eastAsia="Times New Roman" w:hAnsi="Century Gothic" w:cs="Arial"/>
          <w:kern w:val="2"/>
          <w:sz w:val="20"/>
          <w:szCs w:val="20"/>
          <w:lang w:val="es-ES_tradnl" w:eastAsia="es-ES_tradnl"/>
          <w14:ligatures w14:val="standardContextual"/>
        </w:rPr>
      </w:pPr>
      <w:r w:rsidRPr="008E0F13">
        <w:rPr>
          <w:rFonts w:ascii="Century Gothic" w:eastAsia="Times New Roman" w:hAnsi="Century Gothic" w:cs="Arial"/>
          <w:kern w:val="2"/>
          <w:sz w:val="20"/>
          <w:szCs w:val="20"/>
          <w:lang w:val="es-ES_tradnl" w:eastAsia="es-ES_tradnl"/>
          <w14:ligatures w14:val="standardContextual"/>
        </w:rPr>
        <w:t>[…]</w:t>
      </w:r>
    </w:p>
    <w:p w14:paraId="69912E19" w14:textId="75E611D6" w:rsidR="00184BF1" w:rsidRPr="00184BF1" w:rsidRDefault="00184BF1" w:rsidP="00184BF1">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r w:rsidRPr="00184BF1">
        <w:rPr>
          <w:rFonts w:ascii="Century Gothic" w:eastAsia="Calibri" w:hAnsi="Century Gothic" w:cs="Arial"/>
          <w:bCs/>
          <w:kern w:val="2"/>
          <w:sz w:val="20"/>
          <w:szCs w:val="20"/>
          <w:lang w:val="es-ES_tradnl" w:eastAsia="es-ES_tradnl"/>
          <w14:ligatures w14:val="standardContextual"/>
        </w:rPr>
        <w:t xml:space="preserve">El segundo inciso de la norma bajo estudio usa la expresión “los procedimientos de selección y contratos que realicen en desarrollo de los anteriores negocios jurídicos”.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desarrollar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2FE5702F" w14:textId="77777777" w:rsidR="00184BF1" w:rsidRDefault="00184BF1" w:rsidP="00184BF1">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p>
    <w:p w14:paraId="05A99E1E" w14:textId="44133502" w:rsidR="008E0F13" w:rsidRPr="008E0F13" w:rsidRDefault="00184BF1" w:rsidP="00184BF1">
      <w:pPr>
        <w:tabs>
          <w:tab w:val="left" w:pos="0"/>
        </w:tabs>
        <w:spacing w:after="0" w:line="240" w:lineRule="auto"/>
        <w:jc w:val="both"/>
        <w:rPr>
          <w:rFonts w:ascii="Century Gothic" w:eastAsia="Calibri" w:hAnsi="Century Gothic" w:cs="Arial"/>
          <w:kern w:val="2"/>
          <w:sz w:val="20"/>
          <w:szCs w:val="20"/>
          <w:lang w:val="es-ES" w:eastAsia="es-ES"/>
          <w14:ligatures w14:val="standardContextual"/>
        </w:rPr>
      </w:pPr>
      <w:r w:rsidRPr="00184BF1">
        <w:rPr>
          <w:rFonts w:ascii="Century Gothic" w:eastAsia="Calibri" w:hAnsi="Century Gothic" w:cs="Arial"/>
          <w:bCs/>
          <w:kern w:val="2"/>
          <w:sz w:val="20"/>
          <w:szCs w:val="20"/>
          <w:lang w:val="es-ES_tradnl" w:eastAsia="es-ES_tradnl"/>
          <w14:ligatures w14:val="standardContextual"/>
        </w:rPr>
        <w:t>Sobre esto es necesario considerar que, las entidades sometidas al EGCAP, por lo general, se encuentran obligadas a agotar un procedimiento de selección conforme a las normas aplicables para celebrar contratos estatales, a diferencia de los negocios jurídicos regidos por el derecho privado, los cuales, generalmente, se perfeccionan con el acuerdo de voluntades, salvo que la ley exija alguna solemnidad adicional.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w:t>
      </w:r>
    </w:p>
    <w:p w14:paraId="57239334" w14:textId="77777777" w:rsidR="008E0F13" w:rsidRPr="008E0F13" w:rsidRDefault="008E0F13" w:rsidP="008E0F13">
      <w:pPr>
        <w:spacing w:after="0" w:line="240" w:lineRule="auto"/>
        <w:contextualSpacing/>
        <w:jc w:val="both"/>
        <w:rPr>
          <w:rFonts w:ascii="Century Gothic" w:eastAsia="Aptos" w:hAnsi="Century Gothic" w:cs="Arial"/>
          <w:kern w:val="2"/>
          <w:sz w:val="20"/>
          <w:szCs w:val="20"/>
          <w:lang w:val="es-ES"/>
          <w14:ligatures w14:val="standardContextual"/>
        </w:rPr>
      </w:pPr>
    </w:p>
    <w:p w14:paraId="0AD31579" w14:textId="77777777" w:rsidR="008E0F13" w:rsidRPr="008E0F13" w:rsidRDefault="008E0F13" w:rsidP="008E0F13">
      <w:pPr>
        <w:shd w:val="clear" w:color="auto" w:fill="FFFFFF"/>
        <w:spacing w:before="240" w:after="120" w:line="240" w:lineRule="auto"/>
        <w:contextualSpacing/>
        <w:jc w:val="both"/>
        <w:rPr>
          <w:rFonts w:ascii="Century Gothic" w:eastAsia="Calibri" w:hAnsi="Century Gothic" w:cs="Arial"/>
          <w:b/>
          <w:lang w:val="es-MX" w:eastAsia="es-ES_tradnl"/>
        </w:rPr>
      </w:pPr>
      <w:r w:rsidRPr="008E0F13">
        <w:rPr>
          <w:rFonts w:ascii="Century Gothic" w:eastAsia="Calibri" w:hAnsi="Century Gothic" w:cs="Arial"/>
          <w:b/>
          <w:lang w:val="es-MX" w:eastAsia="es-ES_tradnl"/>
        </w:rPr>
        <w:t xml:space="preserve">CONTROL Y VIGILANCIA – Contrato estatal – Supervisión – Interventoría – Régimen jurídico – Generalidades </w:t>
      </w:r>
    </w:p>
    <w:p w14:paraId="5EEB85CB" w14:textId="77777777" w:rsidR="008E0F13" w:rsidRPr="008E0F13" w:rsidRDefault="008E0F13" w:rsidP="008E0F13">
      <w:pPr>
        <w:shd w:val="clear" w:color="auto" w:fill="FFFFFF"/>
        <w:spacing w:before="240" w:after="120" w:line="240" w:lineRule="auto"/>
        <w:contextualSpacing/>
        <w:jc w:val="both"/>
        <w:rPr>
          <w:rFonts w:ascii="Century Gothic" w:eastAsia="Calibri" w:hAnsi="Century Gothic" w:cs="Arial"/>
          <w:b/>
          <w:sz w:val="20"/>
          <w:szCs w:val="20"/>
          <w:lang w:val="es-MX" w:eastAsia="es-ES_tradnl"/>
        </w:rPr>
      </w:pPr>
    </w:p>
    <w:p w14:paraId="351BD506" w14:textId="27044155" w:rsidR="00184BF1" w:rsidRDefault="00184BF1" w:rsidP="00184BF1">
      <w:pPr>
        <w:shd w:val="clear" w:color="auto" w:fill="FFFFFF"/>
        <w:spacing w:before="240" w:after="120" w:line="240" w:lineRule="auto"/>
        <w:contextualSpacing/>
        <w:jc w:val="both"/>
        <w:rPr>
          <w:rFonts w:ascii="Century Gothic" w:eastAsia="Calibri" w:hAnsi="Century Gothic" w:cs="Times New Roman"/>
          <w:sz w:val="20"/>
          <w:szCs w:val="20"/>
        </w:rPr>
      </w:pPr>
      <w:r w:rsidRPr="00184BF1">
        <w:rPr>
          <w:rFonts w:ascii="Century Gothic" w:eastAsia="Calibri" w:hAnsi="Century Gothic" w:cs="Times New Roman"/>
          <w:sz w:val="20"/>
          <w:szCs w:val="20"/>
        </w:rPr>
        <w:lastRenderedPageBreak/>
        <w:t xml:space="preserve">La Ley 1474 de 2011, </w:t>
      </w:r>
      <w:r w:rsidRPr="00184BF1">
        <w:rPr>
          <w:rFonts w:ascii="Century Gothic" w:eastAsia="Calibri" w:hAnsi="Century Gothic" w:cs="Times New Roman"/>
          <w:i/>
          <w:iCs/>
          <w:sz w:val="20"/>
          <w:szCs w:val="20"/>
        </w:rPr>
        <w:t>“por la cual se dictan normas orientadas a fortalecer los mecanismos de prevención, investigación y sanción de actos de corrupción y la efectividad del control de la gestión pública”</w:t>
      </w:r>
      <w:r w:rsidRPr="00184BF1">
        <w:rPr>
          <w:rFonts w:ascii="Century Gothic" w:eastAsia="Calibri" w:hAnsi="Century Gothic" w:cs="Times New Roman"/>
          <w:sz w:val="20"/>
          <w:szCs w:val="20"/>
        </w:rPr>
        <w:t>, obliga a las entidades públicas a vigilar la correcta ejecución del objeto contratado a través de las figuras de “supervisión” o de “interventoría”, con la finalidad de lograr la correcta ejecución del contrato y prevenir actos de corrupción que afecten la moralidad administrativa.</w:t>
      </w:r>
    </w:p>
    <w:p w14:paraId="00A7FE16" w14:textId="77777777" w:rsidR="00184BF1" w:rsidRPr="00184BF1" w:rsidRDefault="00184BF1" w:rsidP="00184BF1">
      <w:pPr>
        <w:shd w:val="clear" w:color="auto" w:fill="FFFFFF"/>
        <w:spacing w:before="240" w:after="120" w:line="240" w:lineRule="auto"/>
        <w:contextualSpacing/>
        <w:jc w:val="both"/>
        <w:rPr>
          <w:rFonts w:ascii="Century Gothic" w:eastAsia="Calibri" w:hAnsi="Century Gothic" w:cs="Times New Roman"/>
          <w:sz w:val="20"/>
          <w:szCs w:val="20"/>
        </w:rPr>
      </w:pPr>
    </w:p>
    <w:p w14:paraId="07C81B2E" w14:textId="77777777" w:rsidR="00184BF1" w:rsidRDefault="00184BF1" w:rsidP="00184BF1">
      <w:pPr>
        <w:shd w:val="clear" w:color="auto" w:fill="FFFFFF"/>
        <w:spacing w:before="240" w:after="120" w:line="240" w:lineRule="auto"/>
        <w:contextualSpacing/>
        <w:jc w:val="both"/>
        <w:rPr>
          <w:rFonts w:ascii="Century Gothic" w:eastAsia="Calibri" w:hAnsi="Century Gothic" w:cs="Times New Roman"/>
          <w:sz w:val="20"/>
          <w:szCs w:val="20"/>
        </w:rPr>
      </w:pPr>
      <w:r w:rsidRPr="00184BF1">
        <w:rPr>
          <w:rFonts w:ascii="Century Gothic" w:eastAsia="Calibri" w:hAnsi="Century Gothic" w:cs="Times New Roman"/>
          <w:sz w:val="20"/>
          <w:szCs w:val="20"/>
        </w:rPr>
        <w:t>En este sentido, el artículo 83 de la citada norma define la supervisión como el seguimiento técnico, administrativo, financiero, contable, y jurídico que debe ejercer la entidad contratante sobre el cumplimiento del objeto del contrato, cuando no se requiera un conocimiento especializado .</w:t>
      </w:r>
    </w:p>
    <w:p w14:paraId="5C267EE9" w14:textId="77777777" w:rsidR="00184BF1" w:rsidRPr="00184BF1" w:rsidRDefault="00184BF1" w:rsidP="00184BF1">
      <w:pPr>
        <w:shd w:val="clear" w:color="auto" w:fill="FFFFFF"/>
        <w:spacing w:before="240" w:after="120" w:line="240" w:lineRule="auto"/>
        <w:contextualSpacing/>
        <w:jc w:val="both"/>
        <w:rPr>
          <w:rFonts w:ascii="Century Gothic" w:eastAsia="Calibri" w:hAnsi="Century Gothic" w:cs="Times New Roman"/>
          <w:sz w:val="20"/>
          <w:szCs w:val="20"/>
        </w:rPr>
      </w:pPr>
    </w:p>
    <w:p w14:paraId="22C75894" w14:textId="77777777" w:rsidR="00184BF1" w:rsidRDefault="00184BF1" w:rsidP="00184BF1">
      <w:pPr>
        <w:shd w:val="clear" w:color="auto" w:fill="FFFFFF"/>
        <w:spacing w:before="240" w:after="120" w:line="240" w:lineRule="auto"/>
        <w:contextualSpacing/>
        <w:jc w:val="both"/>
        <w:rPr>
          <w:rFonts w:ascii="Century Gothic" w:eastAsia="Calibri" w:hAnsi="Century Gothic" w:cs="Times New Roman"/>
          <w:sz w:val="20"/>
          <w:szCs w:val="20"/>
        </w:rPr>
      </w:pPr>
      <w:r w:rsidRPr="00184BF1">
        <w:rPr>
          <w:rFonts w:ascii="Century Gothic" w:eastAsia="Calibri" w:hAnsi="Century Gothic" w:cs="Times New Roman"/>
          <w:sz w:val="20"/>
          <w:szCs w:val="20"/>
        </w:rPr>
        <w:t>La obligación mencionada guarda relación con el principio de responsabilidad que rige la celebración y ejecución de los contratos estatales. Así, por ejemplo, los artículos 4, 5, 12, 14,26 y 32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o convenio,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o convenio y, de ser el caso, tomar medidas para exigir el adecuado cumplimiento.</w:t>
      </w:r>
    </w:p>
    <w:p w14:paraId="5E8D9224" w14:textId="77777777" w:rsidR="00184BF1" w:rsidRPr="00184BF1" w:rsidRDefault="00184BF1" w:rsidP="00184BF1">
      <w:pPr>
        <w:shd w:val="clear" w:color="auto" w:fill="FFFFFF"/>
        <w:spacing w:before="240" w:after="120" w:line="240" w:lineRule="auto"/>
        <w:contextualSpacing/>
        <w:jc w:val="both"/>
        <w:rPr>
          <w:rFonts w:ascii="Century Gothic" w:eastAsia="Calibri" w:hAnsi="Century Gothic" w:cs="Times New Roman"/>
          <w:sz w:val="20"/>
          <w:szCs w:val="20"/>
        </w:rPr>
      </w:pPr>
    </w:p>
    <w:p w14:paraId="66DA9EBF" w14:textId="549DE754" w:rsidR="008E0F13" w:rsidRPr="008E0F13" w:rsidRDefault="00184BF1" w:rsidP="00184BF1">
      <w:pPr>
        <w:shd w:val="clear" w:color="auto" w:fill="FFFFFF"/>
        <w:spacing w:before="240" w:after="120" w:line="240" w:lineRule="auto"/>
        <w:contextualSpacing/>
        <w:jc w:val="both"/>
        <w:rPr>
          <w:rFonts w:ascii="Century Gothic" w:eastAsia="Calibri" w:hAnsi="Century Gothic" w:cs="Arial"/>
          <w:b/>
          <w:sz w:val="20"/>
          <w:szCs w:val="20"/>
          <w:lang w:val="es-MX" w:eastAsia="es-ES_tradnl"/>
        </w:rPr>
      </w:pPr>
      <w:r w:rsidRPr="00184BF1">
        <w:rPr>
          <w:rFonts w:ascii="Century Gothic" w:eastAsia="Calibri" w:hAnsi="Century Gothic" w:cs="Times New Roman"/>
          <w:sz w:val="20"/>
          <w:szCs w:val="20"/>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 . También se establecen los límites de la responsabilidad del representante legal ante la delegación de sus funciones en materia contractual  y se regula la supervisión y la interventoría de los contratos estatales .</w:t>
      </w:r>
    </w:p>
    <w:p w14:paraId="6C08ECC9" w14:textId="77777777" w:rsidR="008E0F13" w:rsidRPr="008E0F13" w:rsidRDefault="008E0F13" w:rsidP="008E0F13">
      <w:pPr>
        <w:spacing w:after="0" w:line="240" w:lineRule="auto"/>
        <w:rPr>
          <w:rFonts w:ascii="Century Gothic" w:eastAsia="Calibri" w:hAnsi="Century Gothic" w:cs="Arial"/>
          <w:sz w:val="20"/>
          <w:szCs w:val="20"/>
        </w:rPr>
      </w:pPr>
    </w:p>
    <w:p w14:paraId="2D70CE56" w14:textId="2393EDCC" w:rsidR="008E0F13" w:rsidRPr="008E0F13" w:rsidRDefault="00C5663E">
      <w:pPr>
        <w:rPr>
          <w:rFonts w:ascii="Century Gothic" w:eastAsia="Calibri" w:hAnsi="Century Gothic" w:cs="Arial"/>
        </w:rPr>
      </w:pPr>
      <w:r>
        <w:rPr>
          <w:rFonts w:ascii="Century Gothic" w:eastAsia="Calibri" w:hAnsi="Century Gothic" w:cs="Arial"/>
        </w:rPr>
        <w:br w:type="page"/>
      </w:r>
    </w:p>
    <w:p w14:paraId="5212B5D9" w14:textId="3A219671" w:rsidR="008E0F13" w:rsidRDefault="008E0F13" w:rsidP="008E0F13">
      <w:pPr>
        <w:spacing w:after="0"/>
        <w:rPr>
          <w:rFonts w:ascii="Century Gothic" w:hAnsi="Century Gothic"/>
        </w:rPr>
      </w:pPr>
      <w:bookmarkStart w:id="1" w:name="_Hlk94281581"/>
      <w:bookmarkStart w:id="2" w:name="_Hlk102489058"/>
      <w:bookmarkStart w:id="3" w:name="_Hlk34951122"/>
      <w:r w:rsidRPr="687B05C8">
        <w:rPr>
          <w:rFonts w:ascii="Century Gothic" w:hAnsi="Century Gothic"/>
        </w:rPr>
        <w:lastRenderedPageBreak/>
        <w:t>Bogotá D.C.</w:t>
      </w:r>
    </w:p>
    <w:p w14:paraId="0C86D3F9" w14:textId="066552B7" w:rsidR="008E0F13" w:rsidRPr="00F22FC3" w:rsidRDefault="00F22FC3" w:rsidP="00F22FC3">
      <w:pPr>
        <w:spacing w:after="0"/>
        <w:jc w:val="right"/>
        <w:rPr>
          <w:rFonts w:ascii="Century Gothic" w:hAnsi="Century Gothic"/>
          <w:lang w:val="es-MX"/>
        </w:rPr>
      </w:pPr>
      <w:r>
        <w:rPr>
          <w:rFonts w:ascii="Century Gothic" w:hAnsi="Century Gothic"/>
          <w:noProof/>
          <w:lang w:val="es-MX"/>
        </w:rPr>
        <w:drawing>
          <wp:inline distT="0" distB="0" distL="0" distR="0" wp14:anchorId="4F4E0AFF" wp14:editId="729BEE4D">
            <wp:extent cx="3076749" cy="915575"/>
            <wp:effectExtent l="0" t="0" r="0" b="0"/>
            <wp:docPr id="1483230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0555" name="Imagen 14832305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1261" cy="919894"/>
                    </a:xfrm>
                    <a:prstGeom prst="rect">
                      <a:avLst/>
                    </a:prstGeom>
                  </pic:spPr>
                </pic:pic>
              </a:graphicData>
            </a:graphic>
          </wp:inline>
        </w:drawing>
      </w:r>
    </w:p>
    <w:p w14:paraId="2B7EA83D" w14:textId="77777777" w:rsidR="008E0F13" w:rsidRPr="008E0F13" w:rsidRDefault="008E0F13" w:rsidP="008E0F13">
      <w:pPr>
        <w:spacing w:after="0"/>
        <w:rPr>
          <w:rFonts w:ascii="Century Gothic" w:eastAsia="Calibri" w:hAnsi="Century Gothic" w:cs="Arial"/>
        </w:rPr>
      </w:pPr>
      <w:r w:rsidRPr="008E0F13">
        <w:rPr>
          <w:rFonts w:ascii="Century Gothic" w:eastAsia="Calibri" w:hAnsi="Century Gothic" w:cs="Arial"/>
        </w:rPr>
        <w:t>Señor</w:t>
      </w:r>
    </w:p>
    <w:p w14:paraId="3508E927" w14:textId="77777777" w:rsidR="008E0F13" w:rsidRPr="008E0F13" w:rsidRDefault="008E0F13" w:rsidP="008E0F13">
      <w:pPr>
        <w:spacing w:after="0"/>
        <w:rPr>
          <w:rFonts w:ascii="Century Gothic" w:eastAsia="Calibri" w:hAnsi="Century Gothic" w:cs="Arial"/>
          <w:b/>
          <w:bCs/>
        </w:rPr>
      </w:pPr>
      <w:r w:rsidRPr="008E0F13">
        <w:rPr>
          <w:rFonts w:ascii="Century Gothic" w:eastAsia="Calibri" w:hAnsi="Century Gothic" w:cs="Arial"/>
          <w:b/>
          <w:bCs/>
        </w:rPr>
        <w:t>Luis Manuel Mendoza Caicedo</w:t>
      </w:r>
    </w:p>
    <w:p w14:paraId="31E55177" w14:textId="77777777" w:rsidR="008E0F13" w:rsidRPr="008E0F13" w:rsidRDefault="008E0F13" w:rsidP="008E0F13">
      <w:pPr>
        <w:spacing w:after="0"/>
        <w:rPr>
          <w:rFonts w:ascii="Century Gothic" w:eastAsia="Calibri" w:hAnsi="Century Gothic" w:cs="Arial"/>
        </w:rPr>
      </w:pPr>
      <w:r w:rsidRPr="008E0F13">
        <w:rPr>
          <w:rFonts w:ascii="Century Gothic" w:eastAsia="Calibri" w:hAnsi="Century Gothic" w:cs="Arial"/>
        </w:rPr>
        <w:t>Apartadó, Antioquia</w:t>
      </w:r>
    </w:p>
    <w:p w14:paraId="457302F8" w14:textId="77777777" w:rsidR="008E0F13" w:rsidRPr="008E0F13" w:rsidRDefault="008E0F13" w:rsidP="008E0F13">
      <w:pPr>
        <w:spacing w:after="0"/>
        <w:rPr>
          <w:rFonts w:ascii="Century Gothic" w:eastAsia="Calibri" w:hAnsi="Century Gothic" w:cs="Arial"/>
        </w:rPr>
      </w:pPr>
    </w:p>
    <w:p w14:paraId="6845BB88" w14:textId="77777777" w:rsidR="008E0F13" w:rsidRPr="008E0F13" w:rsidRDefault="008E0F13" w:rsidP="008E0F13">
      <w:pPr>
        <w:shd w:val="clear" w:color="auto" w:fill="FFFFFF"/>
        <w:ind w:left="2124" w:firstLine="570"/>
        <w:contextualSpacing/>
        <w:rPr>
          <w:rFonts w:ascii="Century Gothic" w:eastAsia="Calibri" w:hAnsi="Century Gothic" w:cs="Arial"/>
          <w:b/>
          <w:bCs/>
          <w:lang w:val="es-ES_tradnl" w:eastAsia="es-ES_tradnl"/>
        </w:rPr>
      </w:pPr>
      <w:r w:rsidRPr="008E0F13">
        <w:rPr>
          <w:rFonts w:ascii="Century Gothic" w:eastAsia="Calibri" w:hAnsi="Century Gothic" w:cs="Arial"/>
          <w:b/>
          <w:bCs/>
          <w:lang w:val="es-ES_tradnl" w:eastAsia="es-ES_tradnl"/>
        </w:rPr>
        <w:t>Concepto C – 095 de 2024</w:t>
      </w:r>
    </w:p>
    <w:p w14:paraId="56384FA2" w14:textId="77777777" w:rsidR="008E0F13" w:rsidRPr="008E0F13" w:rsidRDefault="008E0F13" w:rsidP="008E0F13">
      <w:pPr>
        <w:shd w:val="clear" w:color="auto" w:fill="FFFFFF"/>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E0F13" w:rsidRPr="008E0F13" w14:paraId="5811F242" w14:textId="77777777" w:rsidTr="006B61A3">
        <w:tc>
          <w:tcPr>
            <w:tcW w:w="2689" w:type="dxa"/>
          </w:tcPr>
          <w:p w14:paraId="4953E406" w14:textId="77777777" w:rsidR="008E0F13" w:rsidRPr="008E0F13" w:rsidRDefault="008E0F13" w:rsidP="008E0F13">
            <w:pPr>
              <w:shd w:val="clear" w:color="auto" w:fill="FFFFFF"/>
              <w:contextualSpacing/>
              <w:jc w:val="both"/>
              <w:rPr>
                <w:rFonts w:ascii="Century Gothic" w:eastAsia="Calibri" w:hAnsi="Century Gothic" w:cs="Arial"/>
                <w:lang w:val="es-ES_tradnl" w:eastAsia="es-ES_tradnl"/>
              </w:rPr>
            </w:pPr>
            <w:r w:rsidRPr="008E0F13">
              <w:rPr>
                <w:rFonts w:ascii="Century Gothic" w:eastAsia="Calibri" w:hAnsi="Century Gothic" w:cs="Arial"/>
                <w:b/>
                <w:lang w:val="es-ES_tradnl" w:eastAsia="es-ES_tradnl"/>
              </w:rPr>
              <w:t>Temas:</w:t>
            </w:r>
            <w:r w:rsidRPr="008E0F13">
              <w:rPr>
                <w:rFonts w:ascii="Century Gothic" w:eastAsia="Calibri" w:hAnsi="Century Gothic" w:cs="Arial"/>
                <w:lang w:val="es-ES_tradnl" w:eastAsia="es-ES_tradnl"/>
              </w:rPr>
              <w:t xml:space="preserve">                                      </w:t>
            </w:r>
          </w:p>
        </w:tc>
        <w:tc>
          <w:tcPr>
            <w:tcW w:w="6237" w:type="dxa"/>
          </w:tcPr>
          <w:p w14:paraId="325FA2C8" w14:textId="77777777" w:rsidR="008E0F13" w:rsidRPr="008E0F13" w:rsidRDefault="008E0F13" w:rsidP="008E0F13">
            <w:pPr>
              <w:shd w:val="clear" w:color="auto" w:fill="FFFFFF"/>
              <w:spacing w:after="120"/>
              <w:contextualSpacing/>
              <w:jc w:val="both"/>
              <w:rPr>
                <w:rFonts w:ascii="Century Gothic" w:eastAsia="Calibri" w:hAnsi="Century Gothic" w:cs="Arial"/>
                <w:bCs/>
                <w:lang w:val="es-MX" w:eastAsia="es-ES_tradnl"/>
              </w:rPr>
            </w:pPr>
            <w:r w:rsidRPr="008E0F13">
              <w:rPr>
                <w:rFonts w:ascii="Century Gothic" w:eastAsia="Calibri" w:hAnsi="Century Gothic" w:cs="Arial"/>
                <w:bCs/>
                <w:lang w:val="es-MX" w:eastAsia="es-ES_tradnl"/>
              </w:rPr>
              <w:t>DOCUMENTOS TIPO – Fundamento normativo – Ley 2022 de 2020 / LEY 2195 DE 2022 – Artículo 56 – Ámbito de aplicación / LEY 2195 DE 2022 – Artículo 56 – Finalidad / LEY 2195 DE 2022 – Artículo 56 – Incisos 1 y 2 – Interpretación conjunta – Aplicación de documentos tipo / CONTROL Y VIGILANCIA – Contrato estatal – Supervisión – Interventoría – Régimen jurídico – Generalidades</w:t>
            </w:r>
          </w:p>
          <w:p w14:paraId="19F49C04" w14:textId="77777777" w:rsidR="008E0F13" w:rsidRPr="008E0F13" w:rsidRDefault="008E0F13" w:rsidP="008E0F13">
            <w:pPr>
              <w:shd w:val="clear" w:color="auto" w:fill="FFFFFF"/>
              <w:spacing w:after="120"/>
              <w:contextualSpacing/>
              <w:jc w:val="both"/>
              <w:rPr>
                <w:rFonts w:ascii="Century Gothic" w:eastAsia="Calibri" w:hAnsi="Century Gothic" w:cs="Arial"/>
                <w:bCs/>
                <w:sz w:val="12"/>
                <w:szCs w:val="12"/>
                <w:lang w:val="es-ES_tradnl" w:eastAsia="es-ES_tradnl"/>
              </w:rPr>
            </w:pPr>
          </w:p>
        </w:tc>
      </w:tr>
      <w:tr w:rsidR="008E0F13" w:rsidRPr="008E0F13" w14:paraId="47A32634" w14:textId="77777777" w:rsidTr="006B61A3">
        <w:trPr>
          <w:trHeight w:val="309"/>
        </w:trPr>
        <w:tc>
          <w:tcPr>
            <w:tcW w:w="2689" w:type="dxa"/>
          </w:tcPr>
          <w:p w14:paraId="4387BFA5" w14:textId="77777777" w:rsidR="008E0F13" w:rsidRPr="008E0F13" w:rsidRDefault="008E0F13" w:rsidP="008E0F13">
            <w:pPr>
              <w:shd w:val="clear" w:color="auto" w:fill="FFFFFF"/>
              <w:contextualSpacing/>
              <w:jc w:val="both"/>
              <w:rPr>
                <w:rFonts w:ascii="Century Gothic" w:eastAsia="Calibri" w:hAnsi="Century Gothic" w:cs="Arial"/>
                <w:b/>
                <w:lang w:val="es-ES_tradnl" w:eastAsia="es-ES_tradnl"/>
              </w:rPr>
            </w:pPr>
            <w:r w:rsidRPr="008E0F13">
              <w:rPr>
                <w:rFonts w:ascii="Century Gothic" w:eastAsia="Calibri" w:hAnsi="Century Gothic" w:cs="Arial"/>
                <w:b/>
                <w:lang w:val="es-ES_tradnl" w:eastAsia="es-ES_tradnl"/>
              </w:rPr>
              <w:t>Radicación:</w:t>
            </w:r>
            <w:r w:rsidRPr="008E0F13">
              <w:rPr>
                <w:rFonts w:ascii="Century Gothic" w:eastAsia="Calibri" w:hAnsi="Century Gothic" w:cs="Arial"/>
                <w:lang w:val="es-ES_tradnl" w:eastAsia="es-ES_tradnl"/>
              </w:rPr>
              <w:t xml:space="preserve">                             </w:t>
            </w:r>
          </w:p>
        </w:tc>
        <w:tc>
          <w:tcPr>
            <w:tcW w:w="6237" w:type="dxa"/>
          </w:tcPr>
          <w:p w14:paraId="49CFE579" w14:textId="77777777" w:rsidR="008E0F13" w:rsidRPr="008E0F13" w:rsidRDefault="008E0F13" w:rsidP="008E0F13">
            <w:pPr>
              <w:shd w:val="clear" w:color="auto" w:fill="FFFFFF"/>
              <w:contextualSpacing/>
              <w:jc w:val="both"/>
              <w:rPr>
                <w:rFonts w:ascii="Century Gothic" w:eastAsia="Calibri" w:hAnsi="Century Gothic" w:cs="Arial"/>
                <w:lang w:val="es-ES_tradnl" w:eastAsia="es-ES_tradnl"/>
              </w:rPr>
            </w:pPr>
            <w:r w:rsidRPr="008E0F13">
              <w:rPr>
                <w:rFonts w:ascii="Century Gothic" w:eastAsia="Calibri" w:hAnsi="Century Gothic" w:cs="Arial"/>
                <w:lang w:val="es-ES_tradnl" w:eastAsia="es-ES_tradnl"/>
              </w:rPr>
              <w:t>Respuesta a consulta P20240505004675</w:t>
            </w:r>
          </w:p>
        </w:tc>
      </w:tr>
    </w:tbl>
    <w:p w14:paraId="58FD6B29" w14:textId="77777777" w:rsidR="008E0F13" w:rsidRPr="008E0F13" w:rsidRDefault="008E0F13" w:rsidP="008E0F13">
      <w:pPr>
        <w:shd w:val="clear" w:color="auto" w:fill="FFFFFF"/>
        <w:contextualSpacing/>
        <w:jc w:val="both"/>
        <w:rPr>
          <w:rFonts w:ascii="Century Gothic" w:eastAsia="Calibri" w:hAnsi="Century Gothic" w:cs="Arial"/>
          <w:lang w:val="es-ES_tradnl" w:eastAsia="es-ES_tradnl"/>
        </w:rPr>
      </w:pPr>
    </w:p>
    <w:p w14:paraId="0D04EEAC" w14:textId="77777777" w:rsidR="008E0F13" w:rsidRPr="008E0F13" w:rsidRDefault="008E0F13" w:rsidP="008E0F13">
      <w:pPr>
        <w:shd w:val="clear" w:color="auto" w:fill="FFFFFF"/>
        <w:contextualSpacing/>
        <w:jc w:val="both"/>
        <w:rPr>
          <w:rFonts w:ascii="Century Gothic" w:eastAsia="Calibri" w:hAnsi="Century Gothic" w:cs="Arial"/>
          <w:lang w:val="es-ES" w:eastAsia="es-ES"/>
        </w:rPr>
      </w:pPr>
      <w:r w:rsidRPr="008E0F13">
        <w:rPr>
          <w:rFonts w:ascii="Century Gothic" w:eastAsia="Calibri" w:hAnsi="Century Gothic" w:cs="Arial"/>
          <w:lang w:val="es-ES" w:eastAsia="es-ES"/>
        </w:rPr>
        <w:t xml:space="preserve">Respetado señor Mendoza Caicedo: </w:t>
      </w:r>
    </w:p>
    <w:p w14:paraId="1144E9BF" w14:textId="77777777" w:rsidR="008E0F13" w:rsidRPr="008E0F13" w:rsidRDefault="008E0F13" w:rsidP="008E0F13">
      <w:pPr>
        <w:shd w:val="clear" w:color="auto" w:fill="FFFFFF"/>
        <w:spacing w:line="276" w:lineRule="auto"/>
        <w:contextualSpacing/>
        <w:jc w:val="both"/>
        <w:rPr>
          <w:rFonts w:ascii="Century Gothic" w:eastAsia="Calibri" w:hAnsi="Century Gothic" w:cs="Arial"/>
          <w:szCs w:val="24"/>
          <w:lang w:val="es-ES_tradnl" w:eastAsia="es-ES_tradnl"/>
        </w:rPr>
      </w:pPr>
    </w:p>
    <w:bookmarkEnd w:id="1"/>
    <w:bookmarkEnd w:id="2"/>
    <w:p w14:paraId="1BC7ECC7" w14:textId="77777777" w:rsidR="008E0F13" w:rsidRPr="008E0F13" w:rsidRDefault="008E0F13" w:rsidP="008E0F13">
      <w:pPr>
        <w:shd w:val="clear" w:color="auto" w:fill="FFFFFF"/>
        <w:spacing w:after="0" w:line="276" w:lineRule="auto"/>
        <w:jc w:val="both"/>
        <w:rPr>
          <w:rFonts w:ascii="Century Gothic" w:eastAsia="Calibri" w:hAnsi="Century Gothic" w:cs="Arial"/>
          <w:color w:val="000000"/>
          <w:lang w:val="es-ES_tradnl"/>
        </w:rPr>
      </w:pPr>
      <w:r w:rsidRPr="008E0F13">
        <w:rPr>
          <w:rFonts w:ascii="Century Gothic" w:eastAsia="Calibri" w:hAnsi="Century Gothic" w:cs="Arial"/>
          <w:color w:val="000000"/>
          <w:lang w:val="es-ES_tradnl"/>
        </w:rPr>
        <w:t>En ejercicio de la competencia otorgada por el numeral 8 del artículo 11 y el numeral 5 del artículo 3 del Decreto Ley 4170 de 2011</w:t>
      </w:r>
      <w:bookmarkStart w:id="4" w:name="_Hlk99120496"/>
      <w:r w:rsidRPr="008E0F13">
        <w:rPr>
          <w:rFonts w:ascii="Century Gothic" w:eastAsia="Arial MT" w:hAnsi="Century Gothic" w:cs="Arial"/>
          <w:lang w:val="es-ES"/>
        </w:rPr>
        <w:t xml:space="preserve">, </w:t>
      </w:r>
      <w:bookmarkEnd w:id="4"/>
      <w:r w:rsidRPr="008E0F13">
        <w:rPr>
          <w:rFonts w:ascii="Century Gothic" w:eastAsia="Calibri" w:hAnsi="Century Gothic" w:cs="Arial"/>
          <w:color w:val="000000"/>
          <w:lang w:val="es-ES_tradnl"/>
        </w:rPr>
        <w:t>la Agencia Nacional de Contratación Pública –Colombia Compra Eficiente– responde la consulta radicada el 5 de mayo de 2024.</w:t>
      </w:r>
    </w:p>
    <w:p w14:paraId="5FD33E18" w14:textId="77777777" w:rsidR="008E0F13" w:rsidRPr="008E0F13" w:rsidRDefault="008E0F13" w:rsidP="008E0F13">
      <w:pPr>
        <w:shd w:val="clear" w:color="auto" w:fill="FFFFFF"/>
        <w:spacing w:after="0" w:line="276" w:lineRule="auto"/>
        <w:jc w:val="both"/>
        <w:rPr>
          <w:rFonts w:ascii="Century Gothic" w:eastAsia="Calibri" w:hAnsi="Century Gothic" w:cs="Arial"/>
          <w:b/>
          <w:color w:val="000000"/>
          <w:lang w:val="es-ES_tradnl"/>
        </w:rPr>
      </w:pPr>
    </w:p>
    <w:p w14:paraId="46021A93" w14:textId="77777777" w:rsidR="008E0F13" w:rsidRPr="008E0F13" w:rsidRDefault="008E0F13" w:rsidP="008E0F13">
      <w:pPr>
        <w:numPr>
          <w:ilvl w:val="0"/>
          <w:numId w:val="6"/>
        </w:numPr>
        <w:shd w:val="clear" w:color="auto" w:fill="FFFFFF"/>
        <w:tabs>
          <w:tab w:val="left" w:pos="0"/>
          <w:tab w:val="left" w:pos="142"/>
          <w:tab w:val="left" w:pos="284"/>
        </w:tabs>
        <w:spacing w:after="0" w:line="276" w:lineRule="auto"/>
        <w:ind w:left="357" w:hanging="357"/>
        <w:contextualSpacing/>
        <w:rPr>
          <w:rFonts w:ascii="Century Gothic" w:eastAsia="Calibri" w:hAnsi="Century Gothic" w:cs="Arial"/>
          <w:b/>
          <w:color w:val="000000"/>
          <w:lang w:val="es-ES_tradnl"/>
        </w:rPr>
      </w:pPr>
      <w:r w:rsidRPr="008E0F13">
        <w:rPr>
          <w:rFonts w:ascii="Century Gothic" w:eastAsia="Calibri" w:hAnsi="Century Gothic" w:cs="Arial"/>
          <w:b/>
          <w:color w:val="000000"/>
          <w:lang w:val="es-ES_tradnl"/>
        </w:rPr>
        <w:t xml:space="preserve">Problema planteado </w:t>
      </w:r>
    </w:p>
    <w:p w14:paraId="59C25CE8" w14:textId="77777777" w:rsidR="008E0F13" w:rsidRPr="008E0F13" w:rsidRDefault="008E0F13" w:rsidP="008E0F13">
      <w:pPr>
        <w:shd w:val="clear" w:color="auto" w:fill="FFFFFF"/>
        <w:tabs>
          <w:tab w:val="left" w:pos="426"/>
        </w:tabs>
        <w:spacing w:after="0" w:line="276" w:lineRule="auto"/>
        <w:jc w:val="both"/>
        <w:rPr>
          <w:rFonts w:ascii="Century Gothic" w:eastAsia="Calibri" w:hAnsi="Century Gothic" w:cs="Arial"/>
          <w:b/>
          <w:color w:val="000000"/>
          <w:lang w:val="es-ES_tradnl"/>
        </w:rPr>
      </w:pPr>
    </w:p>
    <w:p w14:paraId="10731284" w14:textId="77777777" w:rsidR="008E0F13" w:rsidRPr="008E0F13" w:rsidRDefault="008E0F13" w:rsidP="008E0F13">
      <w:pPr>
        <w:shd w:val="clear" w:color="auto" w:fill="FFFFFF"/>
        <w:spacing w:after="0" w:line="276" w:lineRule="auto"/>
        <w:jc w:val="both"/>
        <w:rPr>
          <w:rFonts w:ascii="Century Gothic" w:eastAsia="Calibri" w:hAnsi="Century Gothic" w:cs="Arial"/>
          <w:color w:val="000000"/>
        </w:rPr>
      </w:pPr>
      <w:r w:rsidRPr="008E0F13">
        <w:rPr>
          <w:rFonts w:ascii="Century Gothic" w:eastAsia="Calibri" w:hAnsi="Century Gothic" w:cs="Arial"/>
          <w:color w:val="000000"/>
          <w:lang w:val="es-ES_tradnl"/>
        </w:rPr>
        <w:t>Usted realiza las siguientes preguntas:</w:t>
      </w:r>
    </w:p>
    <w:p w14:paraId="299A0A73" w14:textId="77777777" w:rsidR="008E0F13" w:rsidRPr="008E0F13" w:rsidRDefault="008E0F13" w:rsidP="008E0F13">
      <w:pPr>
        <w:shd w:val="clear" w:color="auto" w:fill="FFFFFF"/>
        <w:spacing w:after="0" w:line="276" w:lineRule="auto"/>
        <w:jc w:val="both"/>
        <w:rPr>
          <w:rFonts w:ascii="Century Gothic" w:eastAsia="Calibri" w:hAnsi="Century Gothic" w:cs="Arial"/>
          <w:color w:val="000000"/>
        </w:rPr>
      </w:pPr>
    </w:p>
    <w:p w14:paraId="158FB5F9" w14:textId="77777777" w:rsidR="008E0F13" w:rsidRPr="008E0F13" w:rsidRDefault="008E0F13" w:rsidP="384804FF">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384804FF">
        <w:rPr>
          <w:rFonts w:ascii="Century Gothic" w:eastAsia="Calibri" w:hAnsi="Century Gothic" w:cs="Arial"/>
          <w:color w:val="000000" w:themeColor="text1"/>
          <w:sz w:val="21"/>
          <w:szCs w:val="21"/>
          <w:lang w:val="es-ES"/>
        </w:rPr>
        <w:t>“</w:t>
      </w:r>
      <w:proofErr w:type="gramStart"/>
      <w:r w:rsidRPr="384804FF">
        <w:rPr>
          <w:rFonts w:ascii="Century Gothic" w:eastAsia="Calibri" w:hAnsi="Century Gothic" w:cs="Arial"/>
          <w:color w:val="000000" w:themeColor="text1"/>
          <w:sz w:val="21"/>
          <w:szCs w:val="21"/>
          <w:lang w:val="es-ES"/>
        </w:rPr>
        <w:t>1.¿</w:t>
      </w:r>
      <w:proofErr w:type="gramEnd"/>
      <w:r w:rsidRPr="384804FF">
        <w:rPr>
          <w:rFonts w:ascii="Century Gothic" w:eastAsia="Calibri" w:hAnsi="Century Gothic" w:cs="Arial"/>
          <w:color w:val="000000" w:themeColor="text1"/>
          <w:sz w:val="21"/>
          <w:szCs w:val="21"/>
          <w:lang w:val="es-ES"/>
        </w:rPr>
        <w:t xml:space="preserve">Están obligadas las empresas de </w:t>
      </w:r>
      <w:proofErr w:type="spellStart"/>
      <w:r w:rsidRPr="384804FF">
        <w:rPr>
          <w:rFonts w:ascii="Century Gothic" w:eastAsia="Calibri" w:hAnsi="Century Gothic" w:cs="Arial"/>
          <w:color w:val="000000" w:themeColor="text1"/>
          <w:sz w:val="21"/>
          <w:szCs w:val="21"/>
          <w:lang w:val="es-ES"/>
        </w:rPr>
        <w:t>economi</w:t>
      </w:r>
      <w:proofErr w:type="spellEnd"/>
      <w:r w:rsidRPr="384804FF">
        <w:rPr>
          <w:rFonts w:ascii="Century Gothic" w:eastAsia="Calibri" w:hAnsi="Century Gothic" w:cs="Arial"/>
          <w:color w:val="000000" w:themeColor="text1"/>
          <w:sz w:val="21"/>
          <w:szCs w:val="21"/>
          <w:lang w:val="es-ES"/>
        </w:rPr>
        <w:t>[a] mixta de derecho privado a la adopción de documentos tipo en sus procesos de contratación de servicios de salud y Administrativos que estén regulados o expedidos desde Colombia compra eficiente?</w:t>
      </w:r>
    </w:p>
    <w:p w14:paraId="4544BCEA" w14:textId="77777777" w:rsidR="008E0F13" w:rsidRPr="008E0F13" w:rsidRDefault="008E0F13" w:rsidP="008E0F13">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79104455" w14:textId="77777777" w:rsidR="008E0F13" w:rsidRPr="008E0F13" w:rsidRDefault="008E0F13" w:rsidP="384804FF">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proofErr w:type="gramStart"/>
      <w:r w:rsidRPr="384804FF">
        <w:rPr>
          <w:rFonts w:ascii="Century Gothic" w:eastAsia="Calibri" w:hAnsi="Century Gothic" w:cs="Arial"/>
          <w:color w:val="000000" w:themeColor="text1"/>
          <w:sz w:val="21"/>
          <w:szCs w:val="21"/>
          <w:lang w:val="es-ES"/>
        </w:rPr>
        <w:t>2.¿</w:t>
      </w:r>
      <w:proofErr w:type="gramEnd"/>
      <w:r w:rsidRPr="384804FF">
        <w:rPr>
          <w:rFonts w:ascii="Century Gothic" w:eastAsia="Calibri" w:hAnsi="Century Gothic" w:cs="Arial"/>
          <w:color w:val="000000" w:themeColor="text1"/>
          <w:sz w:val="21"/>
          <w:szCs w:val="21"/>
          <w:lang w:val="es-ES"/>
        </w:rPr>
        <w:t xml:space="preserve">Colombia compra eficiente ha expedido lineamientos para ejercer Adecuadamente la supervisión y/o interventoría de la ejecución </w:t>
      </w:r>
      <w:r w:rsidRPr="384804FF">
        <w:rPr>
          <w:rFonts w:ascii="Century Gothic" w:eastAsia="Calibri" w:hAnsi="Century Gothic" w:cs="Arial"/>
          <w:color w:val="000000" w:themeColor="text1"/>
          <w:sz w:val="21"/>
          <w:szCs w:val="21"/>
          <w:lang w:val="es-ES"/>
        </w:rPr>
        <w:lastRenderedPageBreak/>
        <w:t>contractual en empresas de economía mixta que garanticen el Cumplimiento de los fines esenciales del estado o si por el contrario estos lineamientos para supervisar los contratos celebrados quedan a Discrecionalidad de las directivas y/o ordenadores del gasto?</w:t>
      </w:r>
    </w:p>
    <w:p w14:paraId="001A5D3B" w14:textId="77777777" w:rsidR="008E0F13" w:rsidRPr="008E0F13" w:rsidRDefault="008E0F13" w:rsidP="008E0F13">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0E7746BA" w14:textId="77777777" w:rsidR="008E0F13" w:rsidRPr="008E0F13" w:rsidRDefault="008E0F13" w:rsidP="384804FF">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proofErr w:type="gramStart"/>
      <w:r w:rsidRPr="384804FF">
        <w:rPr>
          <w:rFonts w:ascii="Century Gothic" w:eastAsia="Calibri" w:hAnsi="Century Gothic" w:cs="Arial"/>
          <w:color w:val="000000" w:themeColor="text1"/>
          <w:sz w:val="21"/>
          <w:szCs w:val="21"/>
          <w:lang w:val="es-ES"/>
        </w:rPr>
        <w:t>3.¿</w:t>
      </w:r>
      <w:proofErr w:type="gramEnd"/>
      <w:r w:rsidRPr="384804FF">
        <w:rPr>
          <w:rFonts w:ascii="Century Gothic" w:eastAsia="Calibri" w:hAnsi="Century Gothic" w:cs="Arial"/>
          <w:color w:val="000000" w:themeColor="text1"/>
          <w:sz w:val="21"/>
          <w:szCs w:val="21"/>
          <w:lang w:val="es-ES"/>
        </w:rPr>
        <w:t>Cómo se establece el seguimiento o controles de parte de Colombia compra eficiente para Salvaguardar los intereses generales representados en los recursos públicos ejecutados en el desarrollo del objeto social de las empresas de economía mixta que despliegan recursos públicos pero que no les aplica el estatuto de contratación pública ?”</w:t>
      </w:r>
    </w:p>
    <w:p w14:paraId="10E0FA15" w14:textId="77777777" w:rsidR="008E0F13" w:rsidRPr="008E0F13" w:rsidRDefault="008E0F13" w:rsidP="008E0F13">
      <w:pPr>
        <w:shd w:val="clear" w:color="auto" w:fill="FFFFFF"/>
        <w:spacing w:after="0" w:line="240" w:lineRule="auto"/>
        <w:ind w:left="709" w:right="709"/>
        <w:jc w:val="both"/>
        <w:rPr>
          <w:rFonts w:ascii="Century Gothic" w:eastAsia="Calibri" w:hAnsi="Century Gothic" w:cs="Arial"/>
          <w:color w:val="000000"/>
          <w:lang w:val="es-ES_tradnl"/>
        </w:rPr>
      </w:pPr>
    </w:p>
    <w:p w14:paraId="21E6B56E" w14:textId="77777777" w:rsidR="008E0F13" w:rsidRPr="008E0F13" w:rsidRDefault="008E0F13" w:rsidP="008E0F13">
      <w:pPr>
        <w:numPr>
          <w:ilvl w:val="0"/>
          <w:numId w:val="6"/>
        </w:numPr>
        <w:shd w:val="clear" w:color="auto" w:fill="FFFFFF"/>
        <w:tabs>
          <w:tab w:val="left" w:pos="0"/>
          <w:tab w:val="left" w:pos="284"/>
        </w:tabs>
        <w:spacing w:after="0" w:line="278" w:lineRule="auto"/>
        <w:ind w:left="357" w:hanging="357"/>
        <w:contextualSpacing/>
        <w:jc w:val="both"/>
        <w:rPr>
          <w:rFonts w:ascii="Century Gothic" w:eastAsia="Calibri" w:hAnsi="Century Gothic" w:cs="Arial"/>
          <w:b/>
          <w:color w:val="000000"/>
          <w:lang w:val="es-ES_tradnl"/>
        </w:rPr>
      </w:pPr>
      <w:r w:rsidRPr="008E0F13">
        <w:rPr>
          <w:rFonts w:ascii="Century Gothic" w:eastAsia="Calibri" w:hAnsi="Century Gothic" w:cs="Arial"/>
          <w:b/>
          <w:color w:val="000000"/>
          <w:lang w:val="es-ES_tradnl"/>
        </w:rPr>
        <w:t>Consideraciones</w:t>
      </w:r>
    </w:p>
    <w:p w14:paraId="2ACAF2AB" w14:textId="77777777" w:rsidR="008E0F13" w:rsidRPr="008E0F13" w:rsidRDefault="008E0F13" w:rsidP="008E0F13">
      <w:pPr>
        <w:shd w:val="clear" w:color="auto" w:fill="FFFFFF"/>
        <w:spacing w:after="0" w:line="276" w:lineRule="auto"/>
        <w:jc w:val="both"/>
        <w:rPr>
          <w:rFonts w:ascii="Century Gothic" w:eastAsia="Calibri" w:hAnsi="Century Gothic" w:cs="Arial"/>
          <w:color w:val="000000"/>
          <w:lang w:val="es-ES"/>
        </w:rPr>
      </w:pPr>
    </w:p>
    <w:p w14:paraId="46CC4E88" w14:textId="77777777" w:rsidR="008E0F13" w:rsidRPr="008E0F13" w:rsidRDefault="008E0F13" w:rsidP="008E0F13">
      <w:pPr>
        <w:shd w:val="clear" w:color="auto" w:fill="FFFFFF"/>
        <w:spacing w:after="120" w:line="276" w:lineRule="auto"/>
        <w:jc w:val="both"/>
        <w:rPr>
          <w:rFonts w:ascii="Century Gothic" w:eastAsia="Calibri" w:hAnsi="Century Gothic" w:cs="Arial"/>
          <w:color w:val="000000"/>
        </w:rPr>
      </w:pPr>
      <w:r w:rsidRPr="008E0F13">
        <w:rPr>
          <w:rFonts w:ascii="Century Gothic" w:eastAsia="Calibri" w:hAnsi="Century Gothic" w:cs="Arial"/>
          <w:color w:val="000000"/>
        </w:rPr>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26ED8B07" w14:textId="77777777" w:rsidR="008E0F13" w:rsidRPr="008E0F13" w:rsidRDefault="008E0F13" w:rsidP="008E0F13">
      <w:pPr>
        <w:shd w:val="clear" w:color="auto" w:fill="FFFFFF"/>
        <w:spacing w:after="120" w:line="276" w:lineRule="auto"/>
        <w:ind w:firstLine="708"/>
        <w:jc w:val="both"/>
        <w:rPr>
          <w:rFonts w:ascii="Century Gothic" w:eastAsia="Calibri" w:hAnsi="Century Gothic" w:cs="Arial"/>
          <w:color w:val="000000"/>
        </w:rPr>
      </w:pPr>
      <w:r w:rsidRPr="008E0F13">
        <w:rPr>
          <w:rFonts w:ascii="Century Gothic" w:eastAsia="Calibri" w:hAnsi="Century Gothic"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01FB5A4C" w14:textId="77777777" w:rsidR="008E0F13" w:rsidRPr="008E0F13" w:rsidRDefault="008E0F13" w:rsidP="008E0F13">
      <w:pPr>
        <w:shd w:val="clear" w:color="auto" w:fill="FFFFFF"/>
        <w:spacing w:after="120" w:line="276" w:lineRule="auto"/>
        <w:jc w:val="both"/>
        <w:rPr>
          <w:rFonts w:ascii="Century Gothic" w:eastAsia="Calibri" w:hAnsi="Century Gothic" w:cs="Arial"/>
          <w:bCs/>
          <w:color w:val="000000"/>
          <w:lang w:val="es-ES"/>
        </w:rPr>
      </w:pPr>
      <w:r w:rsidRPr="008E0F13">
        <w:rPr>
          <w:rFonts w:ascii="Century Gothic" w:eastAsia="Calibri" w:hAnsi="Century Gothic" w:cs="Arial"/>
          <w:color w:val="000000"/>
        </w:rPr>
        <w:tab/>
        <w:t>En este contexto, la Subdirección de Gestión Contractual, dentro de los límites de sus atribuciones, resolverá la consulta conforme a las normas generales en materia de contratación estatal. Con este objetivo se analizarán</w:t>
      </w:r>
      <w:r w:rsidRPr="008E0F13">
        <w:rPr>
          <w:rFonts w:ascii="Century Gothic" w:eastAsia="Calibri" w:hAnsi="Century Gothic" w:cs="Arial"/>
          <w:color w:val="000000"/>
          <w:lang w:val="es-ES"/>
        </w:rPr>
        <w:t xml:space="preserve"> los siguientes temas: </w:t>
      </w:r>
      <w:r w:rsidRPr="008E0F13">
        <w:rPr>
          <w:rFonts w:ascii="Century Gothic" w:eastAsia="Calibri" w:hAnsi="Century Gothic" w:cs="Arial"/>
          <w:color w:val="000000"/>
          <w:lang w:val="es-ES_tradnl"/>
        </w:rPr>
        <w:t xml:space="preserve">i) fundamento normativo y ámbito de aplicación de los documentos tipo; </w:t>
      </w:r>
      <w:proofErr w:type="spellStart"/>
      <w:r w:rsidRPr="008E0F13">
        <w:rPr>
          <w:rFonts w:ascii="Century Gothic" w:eastAsia="Calibri" w:hAnsi="Century Gothic" w:cs="Arial"/>
          <w:color w:val="000000"/>
          <w:lang w:val="es-ES_tradnl"/>
        </w:rPr>
        <w:t>ii</w:t>
      </w:r>
      <w:proofErr w:type="spellEnd"/>
      <w:r w:rsidRPr="008E0F13">
        <w:rPr>
          <w:rFonts w:ascii="Century Gothic" w:eastAsia="Calibri" w:hAnsi="Century Gothic" w:cs="Arial"/>
          <w:color w:val="000000"/>
          <w:lang w:val="es-ES_tradnl"/>
        </w:rPr>
        <w:t xml:space="preserve">) 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w:t>
      </w:r>
      <w:r w:rsidRPr="008E0F13">
        <w:rPr>
          <w:rFonts w:ascii="Century Gothic" w:eastAsia="Calibri" w:hAnsi="Century Gothic" w:cs="Arial"/>
          <w:color w:val="000000"/>
          <w:lang w:val="es-ES_tradnl"/>
        </w:rPr>
        <w:lastRenderedPageBreak/>
        <w:t xml:space="preserve">exceptuadas y particulares, y </w:t>
      </w:r>
      <w:proofErr w:type="spellStart"/>
      <w:r w:rsidRPr="008E0F13">
        <w:rPr>
          <w:rFonts w:ascii="Century Gothic" w:eastAsia="Calibri" w:hAnsi="Century Gothic" w:cs="Arial"/>
          <w:color w:val="000000"/>
          <w:lang w:val="es-ES_tradnl"/>
        </w:rPr>
        <w:t>iii</w:t>
      </w:r>
      <w:proofErr w:type="spellEnd"/>
      <w:r w:rsidRPr="008E0F13">
        <w:rPr>
          <w:rFonts w:ascii="Century Gothic" w:eastAsia="Calibri" w:hAnsi="Century Gothic" w:cs="Arial"/>
          <w:color w:val="000000"/>
          <w:lang w:val="es-ES_tradnl"/>
        </w:rPr>
        <w:t>)</w:t>
      </w:r>
      <w:r w:rsidRPr="008E0F13">
        <w:rPr>
          <w:rFonts w:ascii="Century Gothic" w:eastAsia="Aptos" w:hAnsi="Century Gothic" w:cs="Times New Roman"/>
          <w:kern w:val="2"/>
          <w:lang w:val="es-ES_tradnl"/>
          <w14:ligatures w14:val="standardContextual"/>
        </w:rPr>
        <w:t xml:space="preserve"> la supervisión o vigilancia de los contratos o convenios que celebren entidades estatales.</w:t>
      </w:r>
    </w:p>
    <w:p w14:paraId="22C3C56A" w14:textId="77777777" w:rsidR="008E0F13" w:rsidRPr="008E0F13" w:rsidRDefault="008E0F13" w:rsidP="008E0F13">
      <w:pPr>
        <w:shd w:val="clear" w:color="auto" w:fill="FFFFFF"/>
        <w:spacing w:after="120" w:line="276" w:lineRule="auto"/>
        <w:ind w:firstLine="709"/>
        <w:jc w:val="both"/>
        <w:rPr>
          <w:rFonts w:ascii="Century Gothic" w:eastAsia="Calibri" w:hAnsi="Century Gothic" w:cs="Arial"/>
          <w:color w:val="000000"/>
        </w:rPr>
      </w:pPr>
      <w:r w:rsidRPr="008E0F13">
        <w:rPr>
          <w:rFonts w:ascii="Century Gothic" w:eastAsia="Calibri" w:hAnsi="Century Gothic" w:cs="Arial"/>
          <w:color w:val="000000"/>
        </w:rPr>
        <w:t>La Agencia Nacional de Contratación Pública – Colombia Compra Eficiente se ha pronunciado sobre 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C-399 del 29 de septiembre de 2023 y C-055 del 9 de mayo de 2024.</w:t>
      </w:r>
    </w:p>
    <w:p w14:paraId="4B794901" w14:textId="77777777" w:rsidR="008E0F13" w:rsidRPr="008E0F13" w:rsidRDefault="008E0F13" w:rsidP="008E0F13">
      <w:pPr>
        <w:shd w:val="clear" w:color="auto" w:fill="FFFFFF"/>
        <w:spacing w:after="0" w:line="276" w:lineRule="auto"/>
        <w:ind w:firstLine="709"/>
        <w:jc w:val="both"/>
        <w:rPr>
          <w:rFonts w:ascii="Century Gothic" w:eastAsia="Calibri" w:hAnsi="Century Gothic" w:cs="Arial"/>
          <w:color w:val="000000"/>
        </w:rPr>
      </w:pPr>
      <w:r w:rsidRPr="008E0F13">
        <w:rPr>
          <w:rFonts w:ascii="Century Gothic" w:eastAsia="Calibri" w:hAnsi="Century Gothic" w:cs="Arial"/>
          <w:color w:val="000000"/>
        </w:rPr>
        <w:t xml:space="preserve">Igualmente, esta Agencia se ha pronunciado sobre la obligación de controlar y vigilar la ejecución de los contratos estatales, en los conceptos con radicado 4201913000004799 del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y C-620 del 27 de septiembre de 2022 y C-930 de 30 de diciembre de 2022, entre otros. </w:t>
      </w:r>
      <w:r w:rsidRPr="008E0F13">
        <w:rPr>
          <w:rFonts w:ascii="Century Gothic" w:eastAsia="Aptos" w:hAnsi="Century Gothic" w:cs="Arial"/>
          <w:color w:val="000000"/>
          <w:kern w:val="2"/>
          <w:sz w:val="24"/>
          <w:szCs w:val="24"/>
          <w:vertAlign w:val="superscript"/>
          <w:lang w:val="es-ES_tradnl"/>
          <w14:ligatures w14:val="standardContextual"/>
        </w:rPr>
        <w:footnoteReference w:id="2"/>
      </w:r>
      <w:r w:rsidRPr="008E0F13">
        <w:rPr>
          <w:rFonts w:ascii="Century Gothic" w:eastAsia="Calibri" w:hAnsi="Century Gothic" w:cs="Arial"/>
          <w:color w:val="000000"/>
        </w:rPr>
        <w:t xml:space="preserve"> Las tesis propuestas en estos conceptos se reiteran a continuación y se complementan en lo pertinente, de acuerdo con las preguntas realizadas.  </w:t>
      </w:r>
    </w:p>
    <w:p w14:paraId="06F27F83" w14:textId="77777777" w:rsidR="008E0F13" w:rsidRPr="008E0F13" w:rsidRDefault="008E0F13" w:rsidP="008E0F13">
      <w:pPr>
        <w:shd w:val="clear" w:color="auto" w:fill="FFFFFF"/>
        <w:spacing w:after="0" w:line="276" w:lineRule="auto"/>
        <w:ind w:firstLine="709"/>
        <w:jc w:val="both"/>
        <w:rPr>
          <w:rFonts w:ascii="Century Gothic" w:eastAsia="Calibri" w:hAnsi="Century Gothic" w:cs="Arial"/>
          <w:color w:val="000000"/>
        </w:rPr>
      </w:pPr>
    </w:p>
    <w:p w14:paraId="20127765" w14:textId="77777777" w:rsidR="008E0F13" w:rsidRPr="008E0F13" w:rsidRDefault="008E0F13" w:rsidP="008E0F13">
      <w:pPr>
        <w:spacing w:after="0" w:line="276" w:lineRule="auto"/>
        <w:contextualSpacing/>
        <w:jc w:val="both"/>
        <w:rPr>
          <w:rFonts w:ascii="Century Gothic" w:eastAsia="Arial" w:hAnsi="Century Gothic" w:cs="Arial"/>
          <w:b/>
          <w:bCs/>
          <w:lang w:val="es-ES_tradnl" w:eastAsia="es-ES_tradnl"/>
        </w:rPr>
      </w:pPr>
      <w:r w:rsidRPr="008E0F13">
        <w:rPr>
          <w:rFonts w:ascii="Century Gothic" w:eastAsia="Arial" w:hAnsi="Century Gothic" w:cs="Arial"/>
          <w:b/>
          <w:bCs/>
          <w:lang w:val="es-ES_tradnl" w:eastAsia="es-ES_tradnl"/>
        </w:rPr>
        <w:t xml:space="preserve">2.1. </w:t>
      </w:r>
      <w:bookmarkStart w:id="5" w:name="_Hlk110852287"/>
      <w:r w:rsidRPr="008E0F13">
        <w:rPr>
          <w:rFonts w:ascii="Century Gothic" w:eastAsia="Arial" w:hAnsi="Century Gothic" w:cs="Arial"/>
          <w:b/>
          <w:bCs/>
          <w:lang w:val="es-ES_tradnl" w:eastAsia="es-ES_tradnl"/>
        </w:rPr>
        <w:t xml:space="preserve">Fundamento normativo y ámbito de aplicación de los documentos tipo </w:t>
      </w:r>
      <w:bookmarkEnd w:id="5"/>
    </w:p>
    <w:p w14:paraId="7F7B1702" w14:textId="77777777" w:rsidR="008E0F13" w:rsidRPr="008E0F13" w:rsidRDefault="008E0F13" w:rsidP="008E0F13">
      <w:pPr>
        <w:spacing w:after="0" w:line="240" w:lineRule="auto"/>
        <w:contextualSpacing/>
        <w:jc w:val="both"/>
        <w:rPr>
          <w:rFonts w:ascii="Century Gothic" w:eastAsia="Arial" w:hAnsi="Century Gothic" w:cs="Arial"/>
          <w:b/>
          <w:bCs/>
          <w:lang w:val="es-ES_tradnl" w:eastAsia="es-ES_tradnl"/>
        </w:rPr>
      </w:pPr>
    </w:p>
    <w:p w14:paraId="302EA635" w14:textId="77777777" w:rsidR="008E0F13" w:rsidRPr="008E0F13" w:rsidRDefault="008E0F13" w:rsidP="008E0F13">
      <w:pPr>
        <w:spacing w:after="120" w:line="276" w:lineRule="auto"/>
        <w:jc w:val="both"/>
        <w:rPr>
          <w:rFonts w:ascii="Century Gothic" w:eastAsia="Calibri" w:hAnsi="Century Gothic" w:cs="Arial"/>
          <w:color w:val="000000"/>
          <w:szCs w:val="24"/>
          <w:lang w:val="es-ES" w:eastAsia="es-ES_tradnl"/>
        </w:rPr>
      </w:pPr>
      <w:bookmarkStart w:id="6" w:name="_Hlk113022941"/>
      <w:r w:rsidRPr="008E0F13">
        <w:rPr>
          <w:rFonts w:ascii="Century Gothic" w:eastAsia="Calibri" w:hAnsi="Century Gothic" w:cs="Arial"/>
          <w:color w:val="000000"/>
          <w:szCs w:val="24"/>
          <w:lang w:val="es-ES" w:eastAsia="es-ES_tradnl"/>
        </w:rPr>
        <w:t xml:space="preserve">La adopción de los documentos tipo obligatorios en el ordenamiento jurídico colombiano se incluyó por primera vez en el parágrafo 3 del artículo 2 de la Ley </w:t>
      </w:r>
      <w:r w:rsidRPr="008E0F13">
        <w:rPr>
          <w:rFonts w:ascii="Century Gothic" w:eastAsia="Calibri" w:hAnsi="Century Gothic" w:cs="Arial"/>
          <w:color w:val="000000"/>
          <w:szCs w:val="24"/>
          <w:lang w:val="es-ES" w:eastAsia="es-ES_tradnl"/>
        </w:rPr>
        <w:lastRenderedPageBreak/>
        <w:t>1150 de 2007</w:t>
      </w:r>
      <w:r w:rsidRPr="008E0F13">
        <w:rPr>
          <w:rFonts w:ascii="Century Gothic" w:eastAsia="Calibri" w:hAnsi="Century Gothic" w:cs="Arial"/>
          <w:color w:val="000000"/>
          <w:szCs w:val="24"/>
          <w:vertAlign w:val="superscript"/>
          <w:lang w:val="es-ES" w:eastAsia="es-ES_tradnl"/>
        </w:rPr>
        <w:footnoteReference w:id="3"/>
      </w:r>
      <w:r w:rsidRPr="008E0F13">
        <w:rPr>
          <w:rFonts w:ascii="Century Gothic" w:eastAsia="Calibri" w:hAnsi="Century Gothic"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Como esta atribución no ha sido ejercida hasta la actualidad, el artículo 4 de la Ley 1882 de 2018 es el antecedente más relevante de la expedición de documentos tipo con alcance obligatorio. </w:t>
      </w:r>
    </w:p>
    <w:p w14:paraId="08AB0A1C" w14:textId="77777777" w:rsidR="008E0F13" w:rsidRPr="008E0F13" w:rsidRDefault="008E0F13" w:rsidP="008E0F13">
      <w:pPr>
        <w:spacing w:after="120" w:line="276" w:lineRule="auto"/>
        <w:ind w:firstLine="708"/>
        <w:jc w:val="both"/>
        <w:rPr>
          <w:rFonts w:ascii="Century Gothic" w:eastAsia="Calibri" w:hAnsi="Century Gothic" w:cs="Arial"/>
          <w:color w:val="000000"/>
          <w:szCs w:val="24"/>
          <w:lang w:val="es-ES" w:eastAsia="es-ES_tradnl"/>
        </w:rPr>
      </w:pPr>
      <w:r w:rsidRPr="008E0F13">
        <w:rPr>
          <w:rFonts w:ascii="Century Gothic" w:eastAsia="Calibri" w:hAnsi="Century Gothic" w:cs="Arial"/>
          <w:color w:val="000000"/>
          <w:szCs w:val="24"/>
          <w:lang w:val="es-ES" w:eastAsia="es-ES_tradnl"/>
        </w:rPr>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E0F13">
        <w:rPr>
          <w:rFonts w:ascii="Century Gothic" w:eastAsia="Calibri" w:hAnsi="Century Gothic" w:cs="Arial"/>
          <w:color w:val="000000"/>
          <w:szCs w:val="24"/>
          <w:vertAlign w:val="superscript"/>
          <w:lang w:val="es-ES" w:eastAsia="es-ES_tradnl"/>
        </w:rPr>
        <w:footnoteReference w:id="4"/>
      </w:r>
      <w:r w:rsidRPr="008E0F13">
        <w:rPr>
          <w:rFonts w:ascii="Century Gothic" w:eastAsia="Calibri" w:hAnsi="Century Gothic" w:cs="Arial"/>
          <w:color w:val="000000"/>
          <w:szCs w:val="24"/>
          <w:lang w:val="es-ES" w:eastAsia="es-ES_tradnl"/>
        </w:rPr>
        <w:t>.</w:t>
      </w:r>
    </w:p>
    <w:p w14:paraId="24AF9942" w14:textId="77777777" w:rsidR="008E0F13" w:rsidRPr="008E0F13" w:rsidRDefault="008E0F13" w:rsidP="008E0F13">
      <w:pPr>
        <w:spacing w:before="120" w:after="120" w:line="276" w:lineRule="auto"/>
        <w:jc w:val="both"/>
        <w:rPr>
          <w:rFonts w:ascii="Century Gothic" w:eastAsia="Calibri" w:hAnsi="Century Gothic" w:cs="Arial"/>
          <w:color w:val="000000"/>
          <w:szCs w:val="24"/>
          <w:lang w:val="es-ES" w:eastAsia="es-ES_tradnl"/>
        </w:rPr>
      </w:pPr>
      <w:r w:rsidRPr="008E0F13">
        <w:rPr>
          <w:rFonts w:ascii="Century Gothic" w:eastAsia="Calibri" w:hAnsi="Century Gothic"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w:t>
      </w:r>
      <w:r w:rsidRPr="008E0F13">
        <w:rPr>
          <w:rFonts w:ascii="Century Gothic" w:eastAsia="Calibri" w:hAnsi="Century Gothic" w:cs="Arial"/>
          <w:color w:val="000000"/>
          <w:szCs w:val="24"/>
          <w:lang w:val="es-ES" w:eastAsia="es-ES_tradnl"/>
        </w:rPr>
        <w:lastRenderedPageBreak/>
        <w:t xml:space="preserve">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F973E95" w14:textId="77777777" w:rsidR="008E0F13" w:rsidRPr="008E0F13" w:rsidRDefault="008E0F13" w:rsidP="008E0F13">
      <w:pPr>
        <w:spacing w:before="120" w:after="120" w:line="276" w:lineRule="auto"/>
        <w:jc w:val="both"/>
        <w:rPr>
          <w:rFonts w:ascii="Century Gothic" w:eastAsia="Calibri" w:hAnsi="Century Gothic" w:cs="Arial"/>
          <w:color w:val="000000"/>
          <w:szCs w:val="24"/>
          <w:lang w:val="es-ES" w:eastAsia="es-ES_tradnl"/>
        </w:rPr>
      </w:pPr>
      <w:r w:rsidRPr="008E0F13">
        <w:rPr>
          <w:rFonts w:ascii="Century Gothic" w:eastAsia="Calibri" w:hAnsi="Century Gothic" w:cs="Arial"/>
          <w:color w:val="000000"/>
          <w:szCs w:val="24"/>
          <w:lang w:val="es-ES" w:eastAsia="es-ES_tradnl"/>
        </w:rPr>
        <w:tab/>
        <w:t xml:space="preserve">De la norma descrita se concluía lo siguiente: i) la adopción de los documentos tipo estaba en cabeza del gobierno nacional; </w:t>
      </w:r>
      <w:proofErr w:type="spellStart"/>
      <w:r w:rsidRPr="008E0F13">
        <w:rPr>
          <w:rFonts w:ascii="Century Gothic" w:eastAsia="Calibri" w:hAnsi="Century Gothic" w:cs="Arial"/>
          <w:color w:val="000000"/>
          <w:szCs w:val="24"/>
          <w:lang w:val="es-ES" w:eastAsia="es-ES_tradnl"/>
        </w:rPr>
        <w:t>ii</w:t>
      </w:r>
      <w:proofErr w:type="spellEnd"/>
      <w:r w:rsidRPr="008E0F13">
        <w:rPr>
          <w:rFonts w:ascii="Century Gothic" w:eastAsia="Calibri" w:hAnsi="Century Gothic"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8E0F13">
        <w:rPr>
          <w:rFonts w:ascii="Century Gothic" w:eastAsia="Calibri" w:hAnsi="Century Gothic" w:cs="Arial"/>
          <w:color w:val="000000"/>
          <w:szCs w:val="24"/>
          <w:lang w:val="es-ES" w:eastAsia="es-ES_tradnl"/>
        </w:rPr>
        <w:t>iii</w:t>
      </w:r>
      <w:proofErr w:type="spellEnd"/>
      <w:r w:rsidRPr="008E0F13">
        <w:rPr>
          <w:rFonts w:ascii="Century Gothic" w:eastAsia="Calibri" w:hAnsi="Century Gothic"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8E0F13">
        <w:rPr>
          <w:rFonts w:ascii="Century Gothic" w:eastAsia="Calibri" w:hAnsi="Century Gothic" w:cs="Arial"/>
          <w:color w:val="000000"/>
          <w:szCs w:val="24"/>
          <w:lang w:val="es-ES" w:eastAsia="es-ES_tradnl"/>
        </w:rPr>
        <w:t>iv</w:t>
      </w:r>
      <w:proofErr w:type="spellEnd"/>
      <w:r w:rsidRPr="008E0F13">
        <w:rPr>
          <w:rFonts w:ascii="Century Gothic" w:eastAsia="Calibri" w:hAnsi="Century Gothic"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6848D083" w14:textId="77777777" w:rsidR="008E0F13" w:rsidRPr="008E0F13" w:rsidRDefault="008E0F13" w:rsidP="008E0F13">
      <w:pPr>
        <w:spacing w:before="120" w:after="120" w:line="276" w:lineRule="auto"/>
        <w:jc w:val="both"/>
        <w:rPr>
          <w:rFonts w:ascii="Century Gothic" w:eastAsia="Calibri" w:hAnsi="Century Gothic" w:cs="Arial"/>
          <w:color w:val="000000"/>
          <w:szCs w:val="24"/>
          <w:lang w:val="es-ES" w:eastAsia="es-ES_tradnl"/>
        </w:rPr>
      </w:pPr>
      <w:r w:rsidRPr="008E0F13">
        <w:rPr>
          <w:rFonts w:ascii="Century Gothic" w:eastAsia="Calibri" w:hAnsi="Century Gothic"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8E0F13">
        <w:rPr>
          <w:rFonts w:ascii="Century Gothic" w:eastAsia="Calibri" w:hAnsi="Century Gothic" w:cs="Arial"/>
          <w:color w:val="000000"/>
          <w:szCs w:val="24"/>
          <w:vertAlign w:val="superscript"/>
          <w:lang w:val="es-ES" w:eastAsia="es-ES_tradnl"/>
        </w:rPr>
        <w:footnoteReference w:id="5"/>
      </w:r>
      <w:r w:rsidRPr="008E0F13">
        <w:rPr>
          <w:rFonts w:ascii="Century Gothic" w:eastAsia="Calibri" w:hAnsi="Century Gothic" w:cs="Arial"/>
          <w:color w:val="000000"/>
          <w:szCs w:val="24"/>
          <w:lang w:val="es-ES" w:eastAsia="es-ES_tradnl"/>
        </w:rPr>
        <w:t>.</w:t>
      </w:r>
    </w:p>
    <w:p w14:paraId="4C74317E" w14:textId="77777777" w:rsidR="008E0F13" w:rsidRPr="008E0F13" w:rsidRDefault="008E0F13" w:rsidP="008E0F13">
      <w:pPr>
        <w:spacing w:before="120" w:after="120" w:line="276" w:lineRule="auto"/>
        <w:jc w:val="both"/>
        <w:rPr>
          <w:rFonts w:ascii="Century Gothic" w:eastAsia="Calibri" w:hAnsi="Century Gothic" w:cs="Arial"/>
          <w:color w:val="000000"/>
          <w:szCs w:val="24"/>
          <w:lang w:val="es-ES" w:eastAsia="es-ES_tradnl"/>
        </w:rPr>
      </w:pPr>
      <w:r w:rsidRPr="008E0F13">
        <w:rPr>
          <w:rFonts w:ascii="Century Gothic" w:eastAsia="Calibri" w:hAnsi="Century Gothic" w:cs="Arial"/>
          <w:color w:val="000000"/>
          <w:szCs w:val="24"/>
          <w:lang w:val="es-ES" w:eastAsia="es-ES_tradnl"/>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09B8AF0" w14:textId="77777777" w:rsidR="008E0F13" w:rsidRPr="008E0F13" w:rsidRDefault="008E0F13" w:rsidP="008E0F13">
      <w:pPr>
        <w:spacing w:before="120" w:after="120" w:line="276" w:lineRule="auto"/>
        <w:jc w:val="both"/>
        <w:rPr>
          <w:rFonts w:ascii="Century Gothic" w:eastAsia="Calibri" w:hAnsi="Century Gothic" w:cs="Arial"/>
          <w:lang w:val="es-ES"/>
        </w:rPr>
      </w:pPr>
      <w:r w:rsidRPr="008E0F13">
        <w:rPr>
          <w:rFonts w:ascii="Century Gothic" w:eastAsia="Calibri" w:hAnsi="Century Gothic"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8E0F13">
        <w:rPr>
          <w:rFonts w:ascii="Century Gothic" w:eastAsia="Calibri" w:hAnsi="Century Gothic"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A2DDCB4" w14:textId="77777777" w:rsidR="008E0F13" w:rsidRPr="008E0F13" w:rsidRDefault="008E0F13" w:rsidP="008E0F13">
      <w:pPr>
        <w:spacing w:before="120" w:after="120" w:line="276" w:lineRule="auto"/>
        <w:jc w:val="both"/>
        <w:rPr>
          <w:rFonts w:ascii="Century Gothic" w:eastAsia="Calibri" w:hAnsi="Century Gothic" w:cs="Arial"/>
          <w:color w:val="000000"/>
          <w:lang w:val="es-ES" w:eastAsia="es-ES_tradnl"/>
        </w:rPr>
      </w:pPr>
      <w:r w:rsidRPr="008E0F13">
        <w:rPr>
          <w:rFonts w:ascii="Century Gothic" w:eastAsia="Calibri" w:hAnsi="Century Gothic"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E0F13" w:rsidDel="00A434AB">
        <w:rPr>
          <w:rFonts w:ascii="Century Gothic" w:eastAsia="Calibri" w:hAnsi="Century Gothic" w:cs="Arial"/>
          <w:lang w:val="es-ES"/>
        </w:rPr>
        <w:t xml:space="preserve"> </w:t>
      </w:r>
      <w:r w:rsidRPr="008E0F13">
        <w:rPr>
          <w:rFonts w:ascii="Century Gothic" w:eastAsia="Calibri" w:hAnsi="Century Gothic"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1C788BC2" w14:textId="77777777" w:rsidR="008E0F13" w:rsidRPr="008E0F13" w:rsidRDefault="008E0F13" w:rsidP="008E0F13">
      <w:pPr>
        <w:spacing w:before="120" w:after="120" w:line="276" w:lineRule="auto"/>
        <w:ind w:firstLine="709"/>
        <w:jc w:val="both"/>
        <w:rPr>
          <w:rFonts w:ascii="Century Gothic" w:eastAsia="Calibri" w:hAnsi="Century Gothic" w:cs="Arial"/>
          <w:bdr w:val="none" w:sz="0" w:space="0" w:color="auto" w:frame="1"/>
        </w:rPr>
      </w:pPr>
      <w:bookmarkStart w:id="7" w:name="_Hlk143271549"/>
      <w:r w:rsidRPr="008E0F13">
        <w:rPr>
          <w:rFonts w:ascii="Century Gothic" w:eastAsia="Calibri" w:hAnsi="Century Gothic" w:cs="Arial"/>
          <w:color w:val="000000"/>
          <w:lang w:val="es-ES" w:eastAsia="es-ES"/>
        </w:rPr>
        <w:t>Por otra parte</w:t>
      </w:r>
      <w:r w:rsidRPr="008E0F13">
        <w:rPr>
          <w:rFonts w:ascii="Century Gothic" w:eastAsia="Calibri" w:hAnsi="Century Gothic" w:cs="Arial"/>
          <w:i/>
          <w:iCs/>
          <w:color w:val="000000"/>
          <w:lang w:val="es-ES" w:eastAsia="es-ES"/>
        </w:rPr>
        <w:t>,</w:t>
      </w:r>
      <w:r w:rsidRPr="008E0F13">
        <w:rPr>
          <w:rFonts w:ascii="Century Gothic" w:eastAsia="Calibri" w:hAnsi="Century Gothic" w:cs="Arial"/>
          <w:color w:val="000000"/>
          <w:lang w:val="es-ES" w:eastAsia="es-ES"/>
        </w:rPr>
        <w:t xml:space="preserve"> debe tenerse en cuenta que la Ley 2022 de 2020 fue sancionada por el </w:t>
      </w:r>
      <w:proofErr w:type="gramStart"/>
      <w:r w:rsidRPr="008E0F13">
        <w:rPr>
          <w:rFonts w:ascii="Century Gothic" w:eastAsia="Calibri" w:hAnsi="Century Gothic" w:cs="Arial"/>
          <w:color w:val="000000"/>
          <w:lang w:val="es-ES" w:eastAsia="es-ES"/>
        </w:rPr>
        <w:t>Presidente</w:t>
      </w:r>
      <w:proofErr w:type="gramEnd"/>
      <w:r w:rsidRPr="008E0F13">
        <w:rPr>
          <w:rFonts w:ascii="Century Gothic" w:eastAsia="Calibri" w:hAnsi="Century Gothic"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w:t>
      </w:r>
      <w:r w:rsidRPr="008E0F13">
        <w:rPr>
          <w:rFonts w:ascii="Century Gothic" w:eastAsia="Calibri" w:hAnsi="Century Gothic" w:cs="Arial"/>
          <w:color w:val="000000"/>
          <w:lang w:val="es-ES" w:eastAsia="es-ES"/>
        </w:rPr>
        <w:lastRenderedPageBreak/>
        <w:t>facultad para adoptar los documentos tipo</w:t>
      </w:r>
      <w:r w:rsidRPr="008E0F13">
        <w:rPr>
          <w:rFonts w:ascii="Century Gothic" w:eastAsia="Calibri" w:hAnsi="Century Gothic" w:cs="Arial"/>
          <w:color w:val="000000"/>
          <w:vertAlign w:val="superscript"/>
          <w:lang w:val="es-ES" w:eastAsia="es-ES"/>
        </w:rPr>
        <w:footnoteReference w:id="6"/>
      </w:r>
      <w:r w:rsidRPr="008E0F13">
        <w:rPr>
          <w:rFonts w:ascii="Century Gothic" w:eastAsia="Calibri" w:hAnsi="Century Gothic"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bookmarkEnd w:id="7"/>
    <w:p w14:paraId="579644F4" w14:textId="77777777" w:rsidR="008E0F13" w:rsidRPr="008E0F13" w:rsidRDefault="008E0F13" w:rsidP="008E0F13">
      <w:pPr>
        <w:spacing w:before="120" w:after="120" w:line="276" w:lineRule="auto"/>
        <w:ind w:firstLine="709"/>
        <w:jc w:val="both"/>
        <w:rPr>
          <w:rFonts w:ascii="Century Gothic" w:eastAsia="Calibri" w:hAnsi="Century Gothic" w:cs="Arial"/>
          <w:lang w:val="es-ES" w:eastAsia="es-ES"/>
        </w:rPr>
      </w:pPr>
      <w:r w:rsidRPr="008E0F13">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w:t>
      </w:r>
      <w:r w:rsidRPr="008E0F13">
        <w:rPr>
          <w:rFonts w:ascii="Century Gothic" w:eastAsia="Calibri" w:hAnsi="Century Gothic" w:cs="Arial"/>
          <w:lang w:val="es-ES" w:eastAsia="es-ES"/>
        </w:rPr>
        <w:lastRenderedPageBreak/>
        <w:t xml:space="preserve">méritos, para contratar la interventoría de obras públicas de infraestructura de transporte”. </w:t>
      </w:r>
    </w:p>
    <w:p w14:paraId="3AE01650" w14:textId="77777777" w:rsidR="008E0F13" w:rsidRPr="008E0F13" w:rsidRDefault="008E0F13" w:rsidP="008E0F13">
      <w:pPr>
        <w:spacing w:before="120" w:after="120" w:line="276" w:lineRule="auto"/>
        <w:ind w:firstLine="709"/>
        <w:jc w:val="both"/>
        <w:rPr>
          <w:rFonts w:ascii="Century Gothic" w:eastAsia="Calibri" w:hAnsi="Century Gothic" w:cs="Arial"/>
          <w:lang w:val="es-ES" w:eastAsia="es-ES"/>
        </w:rPr>
      </w:pPr>
      <w:r w:rsidRPr="008E0F13">
        <w:rPr>
          <w:rFonts w:ascii="Century Gothic" w:eastAsia="Calibri" w:hAnsi="Century Gothic"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41C4D474" w14:textId="77777777" w:rsidR="008E0F13" w:rsidRPr="008E0F13" w:rsidRDefault="008E0F13" w:rsidP="008E0F13">
      <w:pPr>
        <w:spacing w:before="120" w:after="120" w:line="276" w:lineRule="auto"/>
        <w:ind w:firstLine="709"/>
        <w:jc w:val="both"/>
        <w:rPr>
          <w:rFonts w:ascii="Century Gothic" w:eastAsia="Calibri" w:hAnsi="Century Gothic" w:cs="Arial"/>
        </w:rPr>
      </w:pPr>
      <w:r w:rsidRPr="008E0F13">
        <w:rPr>
          <w:rFonts w:ascii="Century Gothic" w:eastAsia="Calibri" w:hAnsi="Century Gothic" w:cs="Arial"/>
          <w:color w:val="000000"/>
          <w:lang w:val="es-ES" w:eastAsia="es-ES"/>
        </w:rPr>
        <w:t xml:space="preserve">Asimismo, en el transcurso del año 2021, esta Agencia expidió la Resolución 193 del 14 de julio de 2021, “Por la cual se adoptan los documentos tipo para los procesos de </w:t>
      </w:r>
      <w:r w:rsidRPr="008E0F13">
        <w:rPr>
          <w:rFonts w:ascii="Century Gothic" w:eastAsia="Calibri" w:hAnsi="Century Gothic"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8E0F13">
        <w:rPr>
          <w:rFonts w:ascii="Century Gothic" w:eastAsia="Calibri" w:hAnsi="Century Gothic" w:cs="Arial"/>
          <w:bCs/>
          <w:iCs/>
          <w:shd w:val="clear" w:color="auto" w:fill="FFFFFF"/>
        </w:rPr>
        <w:t>Por la cual se adoptan los documentos tipo complementarios para los procesos de licitación de obra pública de infraestructura social relacionados con el sector salud</w:t>
      </w:r>
      <w:r w:rsidRPr="008E0F13">
        <w:rPr>
          <w:rFonts w:ascii="Century Gothic" w:eastAsia="Calibri" w:hAnsi="Century Gothic" w:cs="Arial"/>
          <w:lang w:val="es-ES" w:eastAsia="es-ES"/>
        </w:rPr>
        <w:t>”. Luego, se expidió la Resolución 454 del 16 de diciembre de 2021, “</w:t>
      </w:r>
      <w:r w:rsidRPr="008E0F13">
        <w:rPr>
          <w:rFonts w:ascii="Century Gothic" w:eastAsia="Calibri" w:hAnsi="Century Gothic" w:cs="Arial"/>
        </w:rPr>
        <w:t>Por la cual se adoptan los documentos tipo complementarios para los procesos de licitación de obra pública de infraestructura social relacionados con el sector cultura, recreación y deporte</w:t>
      </w:r>
      <w:r w:rsidRPr="008E0F13">
        <w:rPr>
          <w:rFonts w:ascii="Century Gothic" w:eastAsia="Calibri" w:hAnsi="Century Gothic" w:cs="Arial"/>
          <w:lang w:val="es-ES" w:eastAsia="es-ES"/>
        </w:rPr>
        <w:t>”</w:t>
      </w:r>
      <w:r w:rsidRPr="008E0F13">
        <w:rPr>
          <w:rFonts w:ascii="Century Gothic" w:eastAsia="Calibri" w:hAnsi="Century Gothic" w:cs="Arial"/>
        </w:rPr>
        <w:t>.</w:t>
      </w:r>
    </w:p>
    <w:p w14:paraId="3717345E" w14:textId="77777777" w:rsidR="008E0F13" w:rsidRPr="008E0F13" w:rsidRDefault="008E0F13" w:rsidP="008E0F13">
      <w:pPr>
        <w:spacing w:before="120" w:after="120" w:line="276" w:lineRule="auto"/>
        <w:ind w:firstLine="709"/>
        <w:jc w:val="both"/>
        <w:rPr>
          <w:rFonts w:ascii="Century Gothic" w:eastAsia="Times New Roman" w:hAnsi="Century Gothic" w:cs="Arial"/>
          <w:bdr w:val="none" w:sz="0" w:space="0" w:color="auto" w:frame="1"/>
          <w:lang w:val="es-ES_tradnl" w:eastAsia="es-CO"/>
        </w:rPr>
      </w:pPr>
      <w:r w:rsidRPr="008E0F13">
        <w:rPr>
          <w:rFonts w:ascii="Century Gothic" w:eastAsia="Times New Roman" w:hAnsi="Century Gothic"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1040C5E7" w14:textId="2C15C533" w:rsidR="008E0F13" w:rsidRPr="008E0F13" w:rsidRDefault="008E0F13" w:rsidP="008E0F13">
      <w:pPr>
        <w:spacing w:before="120" w:after="120" w:line="276" w:lineRule="auto"/>
        <w:ind w:firstLine="709"/>
        <w:jc w:val="both"/>
        <w:rPr>
          <w:rFonts w:ascii="Century Gothic" w:eastAsia="Calibri" w:hAnsi="Century Gothic" w:cs="Arial"/>
          <w:lang w:val="es-ES" w:eastAsia="es-ES"/>
        </w:rPr>
      </w:pPr>
      <w:r w:rsidRPr="008E0F13">
        <w:rPr>
          <w:rFonts w:ascii="Century Gothic" w:eastAsia="Calibri" w:hAnsi="Century Gothic" w:cs="Arial"/>
          <w:lang w:val="es-ES" w:eastAsia="es-ES"/>
        </w:rPr>
        <w:lastRenderedPageBreak/>
        <w:t>Es importante resaltar que la Agencia Nacional de Contratación Pública – Colombia Compra Eficiente</w:t>
      </w:r>
      <w:r w:rsidR="000433A6">
        <w:rPr>
          <w:rFonts w:ascii="Century Gothic" w:eastAsia="Calibri" w:hAnsi="Century Gothic" w:cs="Arial"/>
          <w:lang w:val="es-ES" w:eastAsia="es-ES"/>
        </w:rPr>
        <w:t>-</w:t>
      </w:r>
      <w:r w:rsidRPr="008E0F13">
        <w:rPr>
          <w:rFonts w:ascii="Century Gothic" w:eastAsia="Calibri" w:hAnsi="Century Gothic" w:cs="Arial"/>
          <w:lang w:val="es-ES" w:eastAsia="es-ES"/>
        </w:rPr>
        <w:t>,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1FF4FAE6" w14:textId="77777777" w:rsidR="008E0F13" w:rsidRPr="008E0F13" w:rsidRDefault="008E0F13" w:rsidP="008E0F13">
      <w:pPr>
        <w:spacing w:after="0" w:line="276" w:lineRule="auto"/>
        <w:ind w:firstLine="709"/>
        <w:jc w:val="both"/>
        <w:rPr>
          <w:rFonts w:ascii="Century Gothic" w:eastAsia="Calibri" w:hAnsi="Century Gothic" w:cs="Arial"/>
          <w:spacing w:val="2"/>
          <w:lang w:eastAsia="es-CO"/>
        </w:rPr>
      </w:pPr>
      <w:r w:rsidRPr="008E0F13">
        <w:rPr>
          <w:rFonts w:ascii="Century Gothic" w:eastAsia="Calibri" w:hAnsi="Century Gothic" w:cs="Arial"/>
          <w:spacing w:val="2"/>
          <w:lang w:eastAsia="es-CO"/>
        </w:rPr>
        <w:t xml:space="preserve">Con posterioridad, el Decreto 1860 de 2021 modificó </w:t>
      </w:r>
      <w:r w:rsidRPr="008E0F13">
        <w:rPr>
          <w:rFonts w:ascii="Century Gothic" w:eastAsia="Arial" w:hAnsi="Century Gothic"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8E0F13">
        <w:rPr>
          <w:rFonts w:ascii="Century Gothic" w:eastAsia="Times New Roman" w:hAnsi="Century Gothic" w:cs="Arial"/>
          <w:szCs w:val="24"/>
          <w:lang w:eastAsia="es-MX"/>
        </w:rPr>
        <w:t>además de incluir algunas disposiciones adicionales para la reglamentación efectiva de la citada Ley.</w:t>
      </w:r>
      <w:r w:rsidRPr="008E0F13">
        <w:rPr>
          <w:rFonts w:ascii="Century Gothic" w:eastAsia="Arial" w:hAnsi="Century Gothic" w:cs="Arial"/>
          <w:szCs w:val="24"/>
          <w:lang w:eastAsia="es-CO"/>
        </w:rPr>
        <w:t xml:space="preserve"> </w:t>
      </w:r>
      <w:r w:rsidRPr="008E0F13">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8E0F13">
        <w:rPr>
          <w:rFonts w:ascii="Century Gothic" w:eastAsia="Calibri"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144A0414" w14:textId="77777777" w:rsidR="008E0F13" w:rsidRPr="008E0F13" w:rsidRDefault="008E0F13" w:rsidP="008E0F13">
      <w:pPr>
        <w:spacing w:before="120" w:after="0" w:line="276" w:lineRule="auto"/>
        <w:ind w:firstLine="709"/>
        <w:jc w:val="both"/>
        <w:rPr>
          <w:rFonts w:ascii="Century Gothic" w:eastAsia="Calibri" w:hAnsi="Century Gothic" w:cs="Arial"/>
          <w:spacing w:val="2"/>
          <w:lang w:eastAsia="es-CO"/>
        </w:rPr>
      </w:pPr>
      <w:r w:rsidRPr="008E0F13">
        <w:rPr>
          <w:rFonts w:ascii="Century Gothic" w:eastAsia="Calibri" w:hAnsi="Century Gothic" w:cs="Arial"/>
          <w:spacing w:val="2"/>
          <w:lang w:eastAsia="es-CO"/>
        </w:rPr>
        <w:t xml:space="preserve">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w:t>
      </w:r>
      <w:r w:rsidRPr="008E0F13">
        <w:rPr>
          <w:rFonts w:ascii="Century Gothic" w:eastAsia="Calibri" w:hAnsi="Century Gothic" w:cs="Arial"/>
          <w:spacing w:val="2"/>
          <w:lang w:eastAsia="es-CO"/>
        </w:rPr>
        <w:lastRenderedPageBreak/>
        <w:t>infraestructura de transporte que se adelanten por la modalidad de mínima cuantía y se deroga la Resolución 094 de 2020"</w:t>
      </w:r>
      <w:r w:rsidRPr="008E0F13">
        <w:rPr>
          <w:rFonts w:ascii="Century Gothic" w:eastAsia="Calibri" w:hAnsi="Century Gothic" w:cs="Arial"/>
          <w:spacing w:val="2"/>
          <w:vertAlign w:val="superscript"/>
          <w:lang w:eastAsia="es-CO"/>
        </w:rPr>
        <w:footnoteReference w:id="7"/>
      </w:r>
      <w:r w:rsidRPr="008E0F13">
        <w:rPr>
          <w:rFonts w:ascii="Century Gothic" w:eastAsia="Calibri" w:hAnsi="Century Gothic" w:cs="Arial"/>
          <w:spacing w:val="2"/>
          <w:lang w:eastAsia="es-CO"/>
        </w:rPr>
        <w:t xml:space="preserve">. </w:t>
      </w:r>
    </w:p>
    <w:p w14:paraId="768B216B" w14:textId="77777777" w:rsidR="008E0F13" w:rsidRPr="008E0F13" w:rsidRDefault="008E0F13" w:rsidP="008E0F13">
      <w:pPr>
        <w:spacing w:before="120" w:after="0" w:line="276" w:lineRule="auto"/>
        <w:ind w:firstLine="709"/>
        <w:jc w:val="both"/>
        <w:rPr>
          <w:rFonts w:ascii="Century Gothic" w:eastAsia="Calibri" w:hAnsi="Century Gothic" w:cs="Arial"/>
          <w:spacing w:val="2"/>
          <w:lang w:eastAsia="es-CO"/>
        </w:rPr>
      </w:pPr>
      <w:r w:rsidRPr="008E0F13">
        <w:rPr>
          <w:rFonts w:ascii="Century Gothic" w:eastAsia="Calibri" w:hAnsi="Century Gothic" w:cs="Arial"/>
          <w:spacing w:val="2"/>
          <w:lang w:eastAsia="es-CO"/>
        </w:rPr>
        <w:t xml:space="preserve">Para efectos del artículo 95 de la Ley 2166 de 2021, Colombia Compra Eficiente también expidió la Resolución 358 del 30 de junio de 2023, “Por la cual se adopta el documento tipo para la contratación directa de convenios solidarios para la ejecución de obras hasta la menor cuantía con organismos de acción comunal”. </w:t>
      </w:r>
      <w:r w:rsidRPr="008E0F13">
        <w:rPr>
          <w:rFonts w:ascii="Century Gothic" w:eastAsia="Calibri" w:hAnsi="Century Gothic" w:cs="Arial"/>
          <w:spacing w:val="2"/>
          <w:kern w:val="2"/>
          <w:lang w:val="es-ES_tradnl" w:eastAsia="es-CO"/>
          <w14:ligatures w14:val="standardContextual"/>
        </w:rPr>
        <w:t>Finalmente, la Agencia expidió la Resolución 798 de 2023,</w:t>
      </w:r>
      <w:r w:rsidRPr="008E0F13">
        <w:rPr>
          <w:rFonts w:ascii="Aptos" w:eastAsia="Aptos" w:hAnsi="Aptos" w:cs="Times New Roman"/>
          <w:kern w:val="2"/>
          <w:lang w:val="es-ES_tradnl"/>
          <w14:ligatures w14:val="standardContextual"/>
        </w:rPr>
        <w:t xml:space="preserve"> “</w:t>
      </w:r>
      <w:r w:rsidRPr="008E0F13">
        <w:rPr>
          <w:rFonts w:ascii="Century Gothic" w:eastAsia="Calibri" w:hAnsi="Century Gothic" w:cs="Arial"/>
          <w:spacing w:val="2"/>
          <w:kern w:val="2"/>
          <w:lang w:val="es-ES_tradnl" w:eastAsia="es-CO"/>
          <w14:ligatures w14:val="standardContextual"/>
        </w:rPr>
        <w:t xml:space="preserve">Por la cual se adoptan los documentos tipo para los procesos de concurso de méritos para contratar la interventoría de obras públicas de infraestructura social; que agrupa los sectores de educación, salud, cultura, recreación y deporte”. Para </w:t>
      </w:r>
      <w:proofErr w:type="gramStart"/>
      <w:r w:rsidRPr="008E0F13">
        <w:rPr>
          <w:rFonts w:ascii="Century Gothic" w:eastAsia="Calibri" w:hAnsi="Century Gothic" w:cs="Arial"/>
          <w:spacing w:val="2"/>
          <w:kern w:val="2"/>
          <w:lang w:val="es-ES_tradnl" w:eastAsia="es-CO"/>
          <w14:ligatures w14:val="standardContextual"/>
        </w:rPr>
        <w:t>mayor información</w:t>
      </w:r>
      <w:proofErr w:type="gramEnd"/>
      <w:r w:rsidRPr="008E0F13">
        <w:rPr>
          <w:rFonts w:ascii="Century Gothic" w:eastAsia="Calibri" w:hAnsi="Century Gothic" w:cs="Arial"/>
          <w:spacing w:val="2"/>
          <w:kern w:val="2"/>
          <w:lang w:val="es-ES_tradnl" w:eastAsia="es-CO"/>
          <w14:ligatures w14:val="standardContextual"/>
        </w:rPr>
        <w:t xml:space="preserve"> sobre los </w:t>
      </w:r>
      <w:r w:rsidRPr="008E0F13">
        <w:rPr>
          <w:rFonts w:ascii="Century Gothic" w:eastAsia="Calibri" w:hAnsi="Century Gothic" w:cs="Arial"/>
          <w:spacing w:val="2"/>
          <w:lang w:eastAsia="es-CO"/>
        </w:rPr>
        <w:t xml:space="preserve">actos administrativos que han implementado documentos tipo en el ordenamiento jurídico, puede consultar el siguiente enlace: </w:t>
      </w:r>
      <w:hyperlink r:id="rId11" w:history="1">
        <w:r w:rsidRPr="008E0F13">
          <w:rPr>
            <w:rFonts w:ascii="Century Gothic" w:eastAsia="Calibri" w:hAnsi="Century Gothic" w:cs="Arial"/>
            <w:color w:val="0000FF"/>
            <w:spacing w:val="2"/>
            <w:u w:val="single"/>
          </w:rPr>
          <w:t>https://www.colombiacompra.gov.co/documentos-tipo/documentos-tipo</w:t>
        </w:r>
      </w:hyperlink>
      <w:r w:rsidRPr="008E0F13">
        <w:rPr>
          <w:rFonts w:ascii="Century Gothic" w:eastAsia="Calibri" w:hAnsi="Century Gothic" w:cs="Arial"/>
          <w:spacing w:val="2"/>
          <w:lang w:eastAsia="es-CO"/>
        </w:rPr>
        <w:t xml:space="preserve">. </w:t>
      </w:r>
      <w:r w:rsidRPr="008E0F13">
        <w:rPr>
          <w:rFonts w:ascii="Century Gothic" w:eastAsia="Calibri" w:hAnsi="Century Gothic" w:cs="Arial"/>
          <w:lang w:eastAsia="en-GB"/>
        </w:rPr>
        <w:t xml:space="preserve"> </w:t>
      </w:r>
    </w:p>
    <w:bookmarkEnd w:id="6"/>
    <w:p w14:paraId="528E01E0" w14:textId="77777777" w:rsidR="008E0F13" w:rsidRPr="008E0F13" w:rsidRDefault="008E0F13" w:rsidP="008E0F13">
      <w:pPr>
        <w:tabs>
          <w:tab w:val="left" w:pos="0"/>
        </w:tabs>
        <w:spacing w:after="0" w:line="276" w:lineRule="auto"/>
        <w:contextualSpacing/>
        <w:jc w:val="both"/>
        <w:rPr>
          <w:rFonts w:ascii="Century Gothic" w:eastAsia="Calibri" w:hAnsi="Century Gothic" w:cs="Arial"/>
          <w:b/>
          <w:lang w:val="es-ES_tradnl" w:eastAsia="es-ES_tradnl"/>
        </w:rPr>
      </w:pPr>
      <w:r w:rsidRPr="008E0F13">
        <w:rPr>
          <w:rFonts w:ascii="Century Gothic" w:eastAsia="Calibri" w:hAnsi="Century Gothic" w:cs="Arial"/>
          <w:lang w:eastAsia="en-GB"/>
        </w:rPr>
        <w:t xml:space="preserve"> </w:t>
      </w:r>
    </w:p>
    <w:p w14:paraId="2CEADFE5" w14:textId="77777777" w:rsidR="008E0F13" w:rsidRPr="008E0F13" w:rsidRDefault="008E0F13" w:rsidP="008E0F13">
      <w:pPr>
        <w:tabs>
          <w:tab w:val="left" w:pos="0"/>
        </w:tabs>
        <w:spacing w:after="0" w:line="276" w:lineRule="auto"/>
        <w:contextualSpacing/>
        <w:jc w:val="both"/>
        <w:rPr>
          <w:rFonts w:ascii="Century Gothic" w:eastAsia="Calibri" w:hAnsi="Century Gothic" w:cs="Arial"/>
          <w:b/>
          <w:lang w:val="es-ES_tradnl" w:eastAsia="es-ES_tradnl"/>
        </w:rPr>
      </w:pPr>
      <w:r w:rsidRPr="008E0F13">
        <w:rPr>
          <w:rFonts w:ascii="Century Gothic" w:eastAsia="Calibri" w:hAnsi="Century Gothic" w:cs="Arial"/>
          <w:b/>
          <w:lang w:val="es-ES_tradnl" w:eastAsia="es-ES_tradnl"/>
        </w:rPr>
        <w:t xml:space="preserve">2.2. </w:t>
      </w:r>
      <w:bookmarkStart w:id="8" w:name="_Hlk95322387"/>
      <w:r w:rsidRPr="008E0F13">
        <w:rPr>
          <w:rFonts w:ascii="Century Gothic" w:eastAsia="Calibri" w:hAnsi="Century Gothic" w:cs="Arial"/>
          <w:b/>
          <w:lang w:val="es-ES_tradnl"/>
        </w:rPr>
        <w:t xml:space="preserve">Alcance del artículo 56 de la Ley 2195 de 2022 frente a la implementación obligatoria del </w:t>
      </w:r>
      <w:r w:rsidRPr="008E0F13">
        <w:rPr>
          <w:rFonts w:ascii="Century Gothic" w:eastAsia="Calibri" w:hAnsi="Century Gothic" w:cs="Arial"/>
          <w:b/>
          <w:lang w:val="es-ES_tradnl" w:eastAsia="es-ES_tradnl"/>
        </w:rPr>
        <w:t xml:space="preserve">Estatuto General de Contratación de la Administración Pública </w:t>
      </w:r>
      <w:r w:rsidRPr="008E0F13">
        <w:rPr>
          <w:rFonts w:ascii="Century Gothic" w:eastAsia="Calibri" w:hAnsi="Century Gothic" w:cs="Arial"/>
          <w:b/>
          <w:lang w:val="es-ES_tradnl"/>
        </w:rPr>
        <w:t>y de los documentos tipo en la celebración de convenios o contratos interadministrativos o de cualquier otra índole con entidades estatales exceptuadas y particulares</w:t>
      </w:r>
    </w:p>
    <w:bookmarkEnd w:id="8"/>
    <w:p w14:paraId="499C0EC9" w14:textId="77777777" w:rsidR="008E0F13" w:rsidRPr="008E0F13" w:rsidRDefault="008E0F13" w:rsidP="008E0F13">
      <w:pPr>
        <w:tabs>
          <w:tab w:val="left" w:pos="0"/>
        </w:tabs>
        <w:spacing w:after="0" w:line="276" w:lineRule="auto"/>
        <w:contextualSpacing/>
        <w:jc w:val="both"/>
        <w:rPr>
          <w:rFonts w:ascii="Century Gothic" w:eastAsia="Calibri" w:hAnsi="Century Gothic" w:cs="Arial"/>
          <w:bCs/>
          <w:lang w:val="es-ES_tradnl" w:eastAsia="es-ES_tradnl"/>
        </w:rPr>
      </w:pPr>
    </w:p>
    <w:p w14:paraId="02F01083" w14:textId="77777777" w:rsidR="008E0F13" w:rsidRPr="008E0F13" w:rsidRDefault="008E0F13" w:rsidP="008E0F13">
      <w:pPr>
        <w:spacing w:after="120" w:line="276" w:lineRule="auto"/>
        <w:jc w:val="both"/>
        <w:rPr>
          <w:rFonts w:ascii="Century Gothic" w:eastAsia="Calibri" w:hAnsi="Century Gothic" w:cs="Arial"/>
          <w:lang w:val="es-ES" w:eastAsia="es-ES"/>
        </w:rPr>
      </w:pPr>
      <w:r w:rsidRPr="008E0F13">
        <w:rPr>
          <w:rFonts w:ascii="Century Gothic" w:eastAsia="Calibri" w:hAnsi="Century Gothic" w:cs="Arial"/>
          <w:lang w:val="es-ES" w:eastAsia="es-ES"/>
        </w:rPr>
        <w:t xml:space="preserve">En virtud de la Ley 2022 de 2020, los documentos tipo expedidos por la Agencia Nacional de Contratación Pública – Colombia Compra Eficiente– son de aplicación obligatoria para las entidades estatales sometidas al Estatuto General de Contratación de la Administración Pública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14:paraId="4EB61CBF" w14:textId="77777777" w:rsidR="008E0F13" w:rsidRPr="008E0F13" w:rsidRDefault="008E0F13" w:rsidP="008E0F13">
      <w:pPr>
        <w:tabs>
          <w:tab w:val="left" w:pos="0"/>
        </w:tabs>
        <w:spacing w:after="12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
          <w:lang w:val="es-ES_tradnl" w:eastAsia="es-ES_tradnl"/>
        </w:rPr>
        <w:tab/>
      </w:r>
      <w:bookmarkStart w:id="9" w:name="_Hlk113023000"/>
      <w:r w:rsidRPr="008E0F13">
        <w:rPr>
          <w:rFonts w:ascii="Century Gothic" w:eastAsia="Calibri" w:hAnsi="Century Gothic" w:cs="Arial"/>
          <w:bCs/>
          <w:lang w:val="es-ES_tradnl" w:eastAsia="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8E0F13">
        <w:rPr>
          <w:rFonts w:ascii="Century Gothic" w:eastAsia="Calibri" w:hAnsi="Century Gothic" w:cs="Arial"/>
          <w:lang w:val="es-ES_tradnl" w:eastAsia="es-ES_tradnl"/>
        </w:rPr>
        <w:t>“</w:t>
      </w:r>
      <w:r w:rsidRPr="008E0F13">
        <w:rPr>
          <w:rFonts w:ascii="Century Gothic" w:eastAsia="Times New Roman" w:hAnsi="Century Gothic" w:cs="Arial"/>
          <w:lang w:val="es-ES_tradnl" w:eastAsia="es-ES_tradnl"/>
        </w:rPr>
        <w:t xml:space="preserve">[…] </w:t>
      </w:r>
      <w:r w:rsidRPr="008E0F13">
        <w:rPr>
          <w:rFonts w:ascii="Century Gothic" w:eastAsia="Calibri" w:hAnsi="Century Gothic" w:cs="Arial"/>
          <w:lang w:val="es-ES_tradnl" w:eastAsia="es-ES_tradnl"/>
        </w:rPr>
        <w:t xml:space="preserve">tiene por objeto adoptar disposiciones tendientes a prevenir los </w:t>
      </w:r>
      <w:r w:rsidRPr="008E0F13">
        <w:rPr>
          <w:rFonts w:ascii="Century Gothic" w:eastAsia="Calibri" w:hAnsi="Century Gothic" w:cs="Arial"/>
          <w:lang w:val="es-ES_tradnl" w:eastAsia="es-ES_tradnl"/>
        </w:rPr>
        <w:lastRenderedPageBreak/>
        <w:t xml:space="preserve">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8E0F13">
        <w:rPr>
          <w:rFonts w:ascii="Century Gothic" w:eastAsia="Calibri" w:hAnsi="Century Gothic" w:cs="Arial"/>
          <w:bCs/>
          <w:lang w:val="es-ES_tradnl" w:eastAsia="es-ES_tradnl"/>
        </w:rPr>
        <w:t>destaca el artículo 56.</w:t>
      </w:r>
    </w:p>
    <w:p w14:paraId="3B79BD35" w14:textId="77777777" w:rsidR="008E0F13" w:rsidRPr="008E0F13" w:rsidRDefault="008E0F13" w:rsidP="008E0F13">
      <w:pPr>
        <w:tabs>
          <w:tab w:val="left" w:pos="0"/>
        </w:tabs>
        <w:spacing w:after="12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t>Para comenzar el análisis del contenido de la referida disposición, es pertinente iniciar estudiando su trámite legislativo. Al respecto, el Proyecto de Ley No. 341 de 2020</w:t>
      </w:r>
      <w:r w:rsidRPr="008E0F13">
        <w:rPr>
          <w:rFonts w:ascii="Century Gothic" w:eastAsia="Calibri" w:hAnsi="Century Gothic" w:cs="Arial"/>
          <w:bCs/>
          <w:vertAlign w:val="superscript"/>
          <w:lang w:val="es-ES_tradnl" w:eastAsia="es-ES_tradnl"/>
        </w:rPr>
        <w:footnoteReference w:id="8"/>
      </w:r>
      <w:r w:rsidRPr="008E0F13">
        <w:rPr>
          <w:rFonts w:ascii="Century Gothic" w:eastAsia="Calibri" w:hAnsi="Century Gothic" w:cs="Arial"/>
          <w:bCs/>
          <w:lang w:val="es-ES_tradnl" w:eastAsia="es-ES_tradnl"/>
        </w:rPr>
        <w:t xml:space="preserve"> radicado el 20 de octubre de 2020 por el gobierno nacional ante 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 369 de 2021</w:t>
      </w:r>
      <w:r w:rsidRPr="008E0F13">
        <w:rPr>
          <w:rFonts w:ascii="Century Gothic" w:eastAsia="Calibri" w:hAnsi="Century Gothic" w:cs="Arial"/>
          <w:bCs/>
          <w:vertAlign w:val="superscript"/>
          <w:lang w:val="es-ES_tradnl" w:eastAsia="es-ES_tradnl"/>
        </w:rPr>
        <w:footnoteReference w:id="9"/>
      </w:r>
      <w:r w:rsidRPr="008E0F13">
        <w:rPr>
          <w:rFonts w:ascii="Century Gothic" w:eastAsia="Calibri" w:hAnsi="Century Gothic" w:cs="Arial"/>
          <w:bCs/>
          <w:lang w:val="es-ES_tradnl" w:eastAsia="es-ES_tradnl"/>
        </w:rPr>
        <w:t xml:space="preserve"> y a continuación conciliado por ambas cámaras el 16 y 15 de diciembre de 2021, respectivamente.</w:t>
      </w:r>
    </w:p>
    <w:p w14:paraId="485C615C" w14:textId="77777777" w:rsidR="008E0F13" w:rsidRPr="008E0F13" w:rsidRDefault="008E0F13" w:rsidP="008E0F13">
      <w:pPr>
        <w:tabs>
          <w:tab w:val="left" w:pos="0"/>
        </w:tabs>
        <w:spacing w:after="0" w:line="276" w:lineRule="auto"/>
        <w:jc w:val="both"/>
        <w:rPr>
          <w:rFonts w:ascii="Century Gothic" w:eastAsia="Calibri" w:hAnsi="Century Gothic" w:cs="Arial"/>
          <w:lang w:val="es-ES_tradnl" w:eastAsia="es-ES_tradnl"/>
        </w:rPr>
      </w:pPr>
      <w:r w:rsidRPr="008E0F13">
        <w:rPr>
          <w:rFonts w:ascii="Century Gothic" w:eastAsia="Calibri" w:hAnsi="Century Gothic" w:cs="Arial"/>
          <w:bCs/>
          <w:lang w:val="es-ES_tradnl" w:eastAsia="es-ES_tradnl"/>
        </w:rPr>
        <w:tab/>
        <w:t xml:space="preserve">Sobre el tema, es importante indicar que, en el informe de ponencia para primer debate legislativo en Senado, previo a la intervención realizada por la Subdirección de Gestión Contractual de la Agencia, </w:t>
      </w:r>
      <w:r w:rsidRPr="008E0F13">
        <w:rPr>
          <w:rFonts w:ascii="Century Gothic" w:eastAsia="Calibri" w:hAnsi="Century Gothic" w:cs="Arial"/>
          <w:lang w:val="es-ES_tradnl" w:eastAsia="es-ES_tradnl"/>
        </w:rPr>
        <w:t xml:space="preserve">en audiencia pública realizada por la </w:t>
      </w:r>
      <w:r w:rsidRPr="008E0F13">
        <w:rPr>
          <w:rFonts w:ascii="Century Gothic" w:eastAsia="Calibri" w:hAnsi="Century Gothic" w:cs="Arial"/>
        </w:rPr>
        <w:t xml:space="preserve">Comisión Primera del Senado </w:t>
      </w:r>
      <w:r w:rsidRPr="008E0F13">
        <w:rPr>
          <w:rFonts w:ascii="Century Gothic" w:eastAsia="Calibri" w:hAnsi="Century Gothic" w:cs="Arial"/>
          <w:lang w:val="es-ES_tradnl" w:eastAsia="es-ES_tradnl"/>
        </w:rPr>
        <w:t xml:space="preserve">el día </w:t>
      </w:r>
      <w:r w:rsidRPr="008E0F13">
        <w:rPr>
          <w:rFonts w:ascii="Century Gothic" w:eastAsia="Calibri" w:hAnsi="Century Gothic" w:cs="Arial"/>
        </w:rPr>
        <w:t xml:space="preserve">14 de diciembre de 2020, </w:t>
      </w:r>
      <w:r w:rsidRPr="008E0F13">
        <w:rPr>
          <w:rFonts w:ascii="Century Gothic" w:eastAsia="Calibri" w:hAnsi="Century Gothic" w:cs="Arial"/>
          <w:bCs/>
          <w:lang w:val="es-ES_tradnl" w:eastAsia="es-ES_tradnl"/>
        </w:rPr>
        <w:t xml:space="preserve">se incluyeron disposiciones en el proyecto de Ley relacionadas por ejemplo con: </w:t>
      </w:r>
      <w:r w:rsidRPr="008E0F13">
        <w:rPr>
          <w:rFonts w:ascii="Century Gothic" w:eastAsia="Calibri" w:hAnsi="Century Gothic" w:cs="Arial"/>
          <w:lang w:val="es-ES_tradnl" w:eastAsia="es-ES_tradnl"/>
        </w:rPr>
        <w:t>“impedir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 algunos objetos que tienen un régimen especial y a los patrimonios autónomos, así como a las empresas de servicios públicos; y finalmente, hacer obligatorio que las entidades exceptuadas de la contratación estén obligadas a publicar los documentos en el SECOP”</w:t>
      </w:r>
      <w:r w:rsidRPr="008E0F13">
        <w:rPr>
          <w:rFonts w:ascii="Century Gothic" w:eastAsia="Calibri" w:hAnsi="Century Gothic" w:cs="Arial"/>
          <w:vertAlign w:val="superscript"/>
          <w:lang w:val="es-ES_tradnl" w:eastAsia="es-ES_tradnl"/>
        </w:rPr>
        <w:footnoteReference w:id="10"/>
      </w:r>
      <w:r w:rsidRPr="008E0F13">
        <w:rPr>
          <w:rFonts w:ascii="Century Gothic" w:eastAsia="Calibri" w:hAnsi="Century Gothic" w:cs="Arial"/>
          <w:lang w:val="es-ES_tradnl" w:eastAsia="es-ES_tradnl"/>
        </w:rPr>
        <w:t xml:space="preserve">. </w:t>
      </w:r>
      <w:r w:rsidRPr="008E0F13">
        <w:rPr>
          <w:rFonts w:ascii="Century Gothic" w:eastAsia="Calibri" w:hAnsi="Century Gothic" w:cs="Arial"/>
          <w:lang w:val="es-ES" w:eastAsia="es-ES"/>
        </w:rPr>
        <w:t xml:space="preserve">En ese orden de ideas, </w:t>
      </w:r>
      <w:r w:rsidRPr="008E0F13">
        <w:rPr>
          <w:rFonts w:ascii="Century Gothic" w:eastAsia="Calibri" w:hAnsi="Century Gothic" w:cs="Arial"/>
          <w:lang w:val="es-ES" w:eastAsia="es-ES"/>
        </w:rPr>
        <w:lastRenderedPageBreak/>
        <w:t xml:space="preserve">se incorporó en el informe para primer debate legislativo el artículo 85, denominado “Aplicación del Régimen de Contratación Pública en Entidades del Régimen Privado o Especial”, que disponía: </w:t>
      </w:r>
    </w:p>
    <w:p w14:paraId="1B0FEEBA" w14:textId="77777777" w:rsidR="008E0F13" w:rsidRPr="008E0F13" w:rsidRDefault="008E0F13" w:rsidP="008E0F13">
      <w:pPr>
        <w:spacing w:after="0" w:line="276" w:lineRule="auto"/>
        <w:jc w:val="both"/>
        <w:rPr>
          <w:rFonts w:ascii="Century Gothic" w:eastAsia="Calibri" w:hAnsi="Century Gothic" w:cs="Arial"/>
          <w:lang w:val="es-ES" w:eastAsia="es-ES"/>
        </w:rPr>
      </w:pPr>
    </w:p>
    <w:p w14:paraId="4D46030D" w14:textId="77777777" w:rsidR="008E0F13" w:rsidRPr="008E0F13" w:rsidRDefault="008E0F13" w:rsidP="008E0F13">
      <w:pPr>
        <w:tabs>
          <w:tab w:val="left" w:pos="0"/>
        </w:tabs>
        <w:spacing w:after="120" w:line="240" w:lineRule="auto"/>
        <w:ind w:left="709" w:right="709"/>
        <w:jc w:val="both"/>
        <w:rPr>
          <w:rFonts w:ascii="Century Gothic" w:eastAsia="Calibri" w:hAnsi="Century Gothic" w:cs="Arial"/>
          <w:bCs/>
          <w:sz w:val="21"/>
          <w:szCs w:val="21"/>
          <w:lang w:val="es-ES_tradnl" w:eastAsia="es-ES_tradnl"/>
        </w:rPr>
      </w:pPr>
      <w:r w:rsidRPr="008E0F13">
        <w:rPr>
          <w:rFonts w:ascii="Century Gothic" w:eastAsia="Calibri" w:hAnsi="Century Gothic"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Entidad Estatal con capacidad para contratar, cuyo régimen de contratación sea especial o de 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 </w:t>
      </w:r>
    </w:p>
    <w:p w14:paraId="11EFED61" w14:textId="77777777" w:rsidR="008E0F13" w:rsidRPr="008E0F13" w:rsidRDefault="008E0F13" w:rsidP="008E0F13">
      <w:pPr>
        <w:spacing w:after="0" w:line="240" w:lineRule="auto"/>
        <w:ind w:left="709" w:right="709"/>
        <w:jc w:val="both"/>
        <w:rPr>
          <w:rFonts w:ascii="Century Gothic" w:eastAsia="Calibri" w:hAnsi="Century Gothic" w:cs="Arial"/>
          <w:sz w:val="21"/>
          <w:szCs w:val="21"/>
          <w:lang w:val="es-ES" w:eastAsia="es-ES"/>
        </w:rPr>
      </w:pPr>
      <w:r w:rsidRPr="008E0F13">
        <w:rPr>
          <w:rFonts w:ascii="Century Gothic" w:eastAsia="Calibri" w:hAnsi="Century Gothic"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Pr="008E0F13">
        <w:rPr>
          <w:rFonts w:ascii="Century Gothic" w:eastAsia="Calibri" w:hAnsi="Century Gothic" w:cs="Arial"/>
          <w:sz w:val="21"/>
          <w:szCs w:val="21"/>
          <w:vertAlign w:val="superscript"/>
          <w:lang w:val="es-ES" w:eastAsia="es-ES"/>
        </w:rPr>
        <w:footnoteReference w:id="11"/>
      </w:r>
    </w:p>
    <w:p w14:paraId="3C726C0B" w14:textId="77777777" w:rsidR="008E0F13" w:rsidRPr="008E0F13" w:rsidRDefault="008E0F13" w:rsidP="008E0F13">
      <w:pPr>
        <w:spacing w:after="0" w:line="276" w:lineRule="auto"/>
        <w:ind w:left="709" w:right="709"/>
        <w:jc w:val="both"/>
        <w:rPr>
          <w:rFonts w:ascii="Century Gothic" w:eastAsia="Calibri" w:hAnsi="Century Gothic" w:cs="Arial"/>
          <w:lang w:val="es-ES" w:eastAsia="es-ES"/>
        </w:rPr>
      </w:pPr>
    </w:p>
    <w:p w14:paraId="0CA7B89E" w14:textId="77777777" w:rsidR="008E0F13" w:rsidRPr="008E0F13" w:rsidRDefault="008E0F13" w:rsidP="008E0F13">
      <w:pPr>
        <w:tabs>
          <w:tab w:val="left" w:pos="0"/>
        </w:tabs>
        <w:spacing w:after="120" w:line="276" w:lineRule="auto"/>
        <w:jc w:val="both"/>
        <w:rPr>
          <w:rFonts w:ascii="Century Gothic" w:eastAsia="Calibri" w:hAnsi="Century Gothic" w:cs="Arial"/>
        </w:rPr>
      </w:pPr>
      <w:r w:rsidRPr="008E0F13">
        <w:rPr>
          <w:rFonts w:ascii="Century Gothic" w:eastAsia="Calibri" w:hAnsi="Century Gothic" w:cs="Arial"/>
          <w:bCs/>
          <w:lang w:val="es-ES_tradnl" w:eastAsia="es-ES_tradnl"/>
        </w:rPr>
        <w:tab/>
      </w:r>
      <w:r w:rsidRPr="008E0F13">
        <w:rPr>
          <w:rFonts w:ascii="Century Gothic" w:eastAsia="Calibri" w:hAnsi="Century Gothic" w:cs="Arial"/>
          <w:lang w:val="es-ES_tradnl" w:eastAsia="es-ES_tradnl"/>
        </w:rPr>
        <w:t xml:space="preserve">Conforme a lo expuesto en el pliego de modificaciones al proyecto de Ley, la adición del articulado en mención tiene como fin </w:t>
      </w:r>
      <w:r w:rsidRPr="008E0F13">
        <w:rPr>
          <w:rFonts w:ascii="Century Gothic" w:eastAsia="Calibri" w:hAnsi="Century Gothic" w:cs="Arial"/>
        </w:rPr>
        <w:t xml:space="preserve">“Extender la </w:t>
      </w:r>
      <w:r w:rsidRPr="008E0F13">
        <w:rPr>
          <w:rFonts w:ascii="Century Gothic" w:eastAsia="Calibri" w:hAnsi="Century Gothic" w:cs="Arial"/>
          <w:i/>
        </w:rPr>
        <w:t>obligatoriedad de la aplicación del régimen de contratación estatal y pliegos tipo, cuando se celebran convenios interadministrativos</w:t>
      </w:r>
      <w:r w:rsidRPr="008E0F13">
        <w:rPr>
          <w:rFonts w:ascii="Century Gothic" w:eastAsia="Calibri" w:hAnsi="Century Gothic" w:cs="Arial"/>
        </w:rPr>
        <w:t xml:space="preserve"> con una entidad que tiene régimen de contratación privada </w:t>
      </w:r>
      <w:r w:rsidRPr="008E0F13">
        <w:rPr>
          <w:rFonts w:ascii="Century Gothic" w:eastAsia="Calibri" w:hAnsi="Century Gothic" w:cs="Arial"/>
          <w:i/>
        </w:rPr>
        <w:t>con el fin de evitar la contratación directa con recursos del estado y proveer de mayores garantías al proceso</w:t>
      </w:r>
      <w:r w:rsidRPr="008E0F13">
        <w:rPr>
          <w:rFonts w:ascii="Century Gothic" w:eastAsia="Calibri" w:hAnsi="Century Gothic" w:cs="Arial"/>
        </w:rPr>
        <w:t>”</w:t>
      </w:r>
      <w:r w:rsidRPr="008E0F13">
        <w:rPr>
          <w:rFonts w:ascii="Century Gothic" w:eastAsia="Calibri" w:hAnsi="Century Gothic" w:cs="Arial"/>
          <w:vertAlign w:val="superscript"/>
        </w:rPr>
        <w:footnoteReference w:id="12"/>
      </w:r>
      <w:r w:rsidRPr="008E0F13">
        <w:rPr>
          <w:rFonts w:ascii="Century Gothic" w:eastAsia="Calibri" w:hAnsi="Century Gothic" w:cs="Arial"/>
        </w:rPr>
        <w:t xml:space="preserve"> (Énfasis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contratación es el privado y así proveer de mayor garantías al Proceso de Contratación, sin que por ello se piense que su fin es evitar o eliminar este tipo de </w:t>
      </w:r>
      <w:r w:rsidRPr="008E0F13">
        <w:rPr>
          <w:rFonts w:ascii="Century Gothic" w:eastAsia="Calibri" w:hAnsi="Century Gothic" w:cs="Arial"/>
        </w:rPr>
        <w:lastRenderedPageBreak/>
        <w:t>contratación, pues lo que se busca es evitar la contratación directa con recursos del Estado en el marco de dichos convenios.</w:t>
      </w:r>
    </w:p>
    <w:p w14:paraId="196237FA" w14:textId="77777777" w:rsidR="008E0F13" w:rsidRPr="008E0F13" w:rsidRDefault="008E0F13" w:rsidP="008E0F13">
      <w:pPr>
        <w:tabs>
          <w:tab w:val="left" w:pos="0"/>
        </w:tabs>
        <w:spacing w:after="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t>Sin embargo, para segunda ponencia del Senado</w:t>
      </w:r>
      <w:r w:rsidRPr="008E0F13">
        <w:rPr>
          <w:rFonts w:ascii="Century Gothic" w:eastAsia="Calibri" w:hAnsi="Century Gothic" w:cs="Arial"/>
          <w:bCs/>
          <w:vertAlign w:val="superscript"/>
          <w:lang w:val="es-ES_tradnl" w:eastAsia="es-ES_tradnl"/>
        </w:rPr>
        <w:footnoteReference w:id="13"/>
      </w:r>
      <w:r w:rsidRPr="008E0F13">
        <w:rPr>
          <w:rFonts w:ascii="Century Gothic" w:eastAsia="Calibri" w:hAnsi="Century Gothic" w:cs="Arial"/>
          <w:bCs/>
          <w:lang w:val="es-ES_tradnl" w:eastAsia="es-ES_tradnl"/>
        </w:rPr>
        <w:t xml:space="preserve">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p>
    <w:p w14:paraId="680A3C99" w14:textId="77777777" w:rsidR="008E0F13" w:rsidRPr="008E0F13" w:rsidRDefault="008E0F13" w:rsidP="008E0F13">
      <w:pPr>
        <w:tabs>
          <w:tab w:val="left" w:pos="0"/>
        </w:tabs>
        <w:spacing w:after="0" w:line="276" w:lineRule="auto"/>
        <w:jc w:val="both"/>
        <w:rPr>
          <w:rFonts w:ascii="Century Gothic" w:eastAsia="Calibri" w:hAnsi="Century Gothic" w:cs="Arial"/>
          <w:bCs/>
          <w:lang w:val="es-ES_tradnl" w:eastAsia="es-ES_tradnl"/>
        </w:rPr>
      </w:pPr>
    </w:p>
    <w:p w14:paraId="6BC39E0F" w14:textId="77777777" w:rsidR="008E0F13" w:rsidRPr="008E0F13" w:rsidRDefault="008E0F13" w:rsidP="008E0F13">
      <w:pPr>
        <w:tabs>
          <w:tab w:val="left" w:pos="0"/>
        </w:tabs>
        <w:spacing w:after="120"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“ARTÍCULO 62 (NUEVO).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Los procedimientos de selección y los contratos que realicen en desarrollo de los anteriores negocios jurídicos, donde apliquen los documentos tipo se regirán por el Estatuto General de Contratación de la Administración Pública.</w:t>
      </w:r>
    </w:p>
    <w:p w14:paraId="4A93958B" w14:textId="77777777" w:rsidR="008E0F13" w:rsidRPr="008E0F13" w:rsidRDefault="008E0F13" w:rsidP="008E0F13">
      <w:pPr>
        <w:tabs>
          <w:tab w:val="left" w:pos="0"/>
        </w:tabs>
        <w:spacing w:after="0" w:line="240" w:lineRule="auto"/>
        <w:ind w:left="709" w:right="709"/>
        <w:jc w:val="both"/>
        <w:rPr>
          <w:rFonts w:ascii="Century Gothic" w:eastAsia="Calibri" w:hAnsi="Century Gothic" w:cs="Arial"/>
          <w:bCs/>
          <w:sz w:val="21"/>
          <w:szCs w:val="21"/>
          <w:lang w:val="es-ES_tradnl" w:eastAsia="es-ES_tradnl"/>
        </w:rPr>
      </w:pPr>
      <w:r w:rsidRPr="008E0F13">
        <w:rPr>
          <w:rFonts w:ascii="Century Gothic" w:eastAsia="Calibri" w:hAnsi="Century Gothic" w:cs="Arial"/>
          <w:sz w:val="21"/>
          <w:szCs w:val="21"/>
        </w:rPr>
        <w:t>Parágrafo: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8E0F13">
        <w:rPr>
          <w:rFonts w:ascii="Century Gothic" w:eastAsia="Calibri" w:hAnsi="Century Gothic" w:cs="Arial"/>
          <w:sz w:val="21"/>
          <w:szCs w:val="21"/>
          <w:vertAlign w:val="superscript"/>
        </w:rPr>
        <w:footnoteReference w:id="14"/>
      </w:r>
    </w:p>
    <w:p w14:paraId="1ADCC526" w14:textId="77777777" w:rsidR="008E0F13" w:rsidRPr="008E0F13" w:rsidRDefault="008E0F13" w:rsidP="008E0F13">
      <w:pPr>
        <w:tabs>
          <w:tab w:val="left" w:pos="0"/>
        </w:tabs>
        <w:spacing w:after="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r>
    </w:p>
    <w:p w14:paraId="2283F981" w14:textId="77777777" w:rsidR="008E0F13" w:rsidRPr="008E0F13" w:rsidRDefault="008E0F13" w:rsidP="008E0F13">
      <w:pPr>
        <w:tabs>
          <w:tab w:val="left" w:pos="0"/>
        </w:tabs>
        <w:spacing w:after="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r>
      <w:r w:rsidRPr="008E0F13">
        <w:rPr>
          <w:rFonts w:ascii="Century Gothic" w:eastAsia="Calibri" w:hAnsi="Century Gothic" w:cs="Arial"/>
          <w:lang w:val="es-ES_tradnl" w:eastAsia="es-ES_tradnl"/>
        </w:rPr>
        <w:t>La mencionada disposición pasó el debate en Cámara de Representantes con algunos ajustes en la redacción del artículo</w:t>
      </w:r>
      <w:r w:rsidRPr="008E0F13">
        <w:rPr>
          <w:rFonts w:ascii="Century Gothic" w:eastAsia="Calibri" w:hAnsi="Century Gothic" w:cs="Arial"/>
          <w:vertAlign w:val="superscript"/>
          <w:lang w:val="es-ES_tradnl" w:eastAsia="es-ES_tradnl"/>
        </w:rPr>
        <w:footnoteReference w:id="15"/>
      </w:r>
      <w:r w:rsidRPr="008E0F13">
        <w:rPr>
          <w:rFonts w:ascii="Century Gothic" w:eastAsia="Calibri" w:hAnsi="Century Gothic" w:cs="Arial"/>
          <w:lang w:val="es-ES_tradnl" w:eastAsia="es-ES_tradnl"/>
        </w:rPr>
        <w:t xml:space="preserve">, pero manteniendo su fin principal, y esto es, que los documentos tipo deban ser aplicados en general por </w:t>
      </w:r>
      <w:r w:rsidRPr="008E0F13">
        <w:rPr>
          <w:rFonts w:ascii="Century Gothic" w:eastAsia="Calibri" w:hAnsi="Century Gothic" w:cs="Arial"/>
          <w:lang w:val="es-ES_tradnl" w:eastAsia="es-ES_tradnl"/>
        </w:rPr>
        <w:lastRenderedPageBreak/>
        <w:t xml:space="preserve">todas las entidades sometidas al EGCAP, independientemente de la celebración de contratos o convenios interadministrativos o de cualquier otra índole, </w:t>
      </w:r>
      <w:bookmarkEnd w:id="9"/>
      <w:r w:rsidRPr="008E0F13">
        <w:rPr>
          <w:rFonts w:ascii="Century Gothic" w:eastAsia="Calibri" w:hAnsi="Century Gothic" w:cs="Arial"/>
          <w:lang w:val="es-ES_tradnl" w:eastAsia="es-ES_tradnl"/>
        </w:rPr>
        <w:t>con entidades estatales exceptuadas o con régimen especial de contratación, patrimonios autónomos o particulares. Consecuentemente, fue aprobada su redacción en conciliación del texto en ambas cámaras</w:t>
      </w:r>
      <w:r w:rsidRPr="008E0F13">
        <w:rPr>
          <w:rFonts w:ascii="Century Gothic" w:eastAsia="Times New Roman" w:hAnsi="Century Gothic" w:cs="Arial"/>
          <w:vertAlign w:val="superscript"/>
          <w:lang w:val="es-ES_tradnl" w:eastAsia="es-ES_tradnl"/>
        </w:rPr>
        <w:footnoteReference w:id="16"/>
      </w:r>
      <w:r w:rsidRPr="008E0F13">
        <w:rPr>
          <w:rFonts w:ascii="Century Gothic" w:eastAsia="Calibri" w:hAnsi="Century Gothic" w:cs="Arial"/>
          <w:lang w:val="es-ES_tradnl" w:eastAsia="es-ES_tradnl"/>
        </w:rPr>
        <w:t xml:space="preserve"> prescribiendo la redacción de la norma hoy día vigente, en los siguientes términos:</w:t>
      </w:r>
      <w:r w:rsidRPr="008E0F13">
        <w:rPr>
          <w:rFonts w:ascii="Century Gothic" w:eastAsia="Calibri" w:hAnsi="Century Gothic" w:cs="Arial"/>
          <w:bCs/>
          <w:lang w:val="es-ES_tradnl" w:eastAsia="es-ES_tradnl"/>
        </w:rPr>
        <w:t xml:space="preserve"> </w:t>
      </w:r>
    </w:p>
    <w:p w14:paraId="3C079445" w14:textId="77777777" w:rsidR="008E0F13" w:rsidRPr="008E0F13" w:rsidRDefault="008E0F13" w:rsidP="008E0F13">
      <w:pPr>
        <w:tabs>
          <w:tab w:val="left" w:pos="0"/>
        </w:tabs>
        <w:spacing w:after="0" w:line="276" w:lineRule="auto"/>
        <w:jc w:val="both"/>
        <w:rPr>
          <w:rFonts w:ascii="Century Gothic" w:eastAsia="Calibri" w:hAnsi="Century Gothic" w:cs="Arial"/>
          <w:bCs/>
          <w:lang w:val="es-ES_tradnl" w:eastAsia="es-ES_tradnl"/>
        </w:rPr>
      </w:pPr>
    </w:p>
    <w:p w14:paraId="09CFDCB5" w14:textId="77777777" w:rsidR="008E0F13" w:rsidRPr="008E0F13" w:rsidRDefault="008E0F13" w:rsidP="008E0F13">
      <w:pPr>
        <w:tabs>
          <w:tab w:val="left" w:pos="0"/>
        </w:tabs>
        <w:spacing w:after="0" w:line="240" w:lineRule="auto"/>
        <w:ind w:left="709" w:right="709"/>
        <w:contextualSpacing/>
        <w:jc w:val="both"/>
        <w:rPr>
          <w:rFonts w:ascii="Century Gothic" w:eastAsia="Times New Roman" w:hAnsi="Century Gothic" w:cs="Arial"/>
          <w:sz w:val="21"/>
          <w:szCs w:val="21"/>
          <w:lang w:val="es-ES_tradnl" w:eastAsia="es-ES_tradnl"/>
        </w:rPr>
      </w:pPr>
      <w:r w:rsidRPr="008E0F13">
        <w:rPr>
          <w:rFonts w:ascii="Century Gothic" w:eastAsia="Times New Roman" w:hAnsi="Century Gothic"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0652C3BB" w14:textId="77777777" w:rsidR="008E0F13" w:rsidRPr="008E0F13" w:rsidRDefault="008E0F13" w:rsidP="008E0F13">
      <w:pPr>
        <w:tabs>
          <w:tab w:val="left" w:pos="0"/>
        </w:tabs>
        <w:spacing w:after="0" w:line="240" w:lineRule="auto"/>
        <w:ind w:left="709" w:right="709"/>
        <w:contextualSpacing/>
        <w:jc w:val="both"/>
        <w:rPr>
          <w:rFonts w:ascii="Century Gothic" w:eastAsia="Times New Roman" w:hAnsi="Century Gothic" w:cs="Arial"/>
          <w:sz w:val="12"/>
          <w:szCs w:val="12"/>
          <w:lang w:val="es-ES_tradnl" w:eastAsia="es-ES_tradnl"/>
        </w:rPr>
      </w:pPr>
    </w:p>
    <w:p w14:paraId="302B8459" w14:textId="77777777" w:rsidR="008E0F13" w:rsidRPr="008E0F13" w:rsidRDefault="008E0F13" w:rsidP="008E0F13">
      <w:pPr>
        <w:tabs>
          <w:tab w:val="left" w:pos="0"/>
        </w:tabs>
        <w:spacing w:after="0" w:line="240" w:lineRule="auto"/>
        <w:ind w:left="709" w:right="709"/>
        <w:contextualSpacing/>
        <w:jc w:val="both"/>
        <w:rPr>
          <w:rFonts w:ascii="Century Gothic" w:eastAsia="Times New Roman" w:hAnsi="Century Gothic" w:cs="Arial"/>
          <w:sz w:val="21"/>
          <w:szCs w:val="21"/>
          <w:lang w:val="es-ES_tradnl" w:eastAsia="es-ES_tradnl"/>
        </w:rPr>
      </w:pPr>
      <w:r w:rsidRPr="008E0F13">
        <w:rPr>
          <w:rFonts w:ascii="Century Gothic" w:eastAsia="Times New Roman" w:hAnsi="Century Gothic"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108112A4" w14:textId="77777777" w:rsidR="008E0F13" w:rsidRPr="008E0F13" w:rsidRDefault="008E0F13" w:rsidP="008E0F13">
      <w:pPr>
        <w:tabs>
          <w:tab w:val="left" w:pos="0"/>
        </w:tabs>
        <w:spacing w:after="0" w:line="240" w:lineRule="auto"/>
        <w:ind w:left="709" w:right="709"/>
        <w:contextualSpacing/>
        <w:jc w:val="both"/>
        <w:rPr>
          <w:rFonts w:ascii="Century Gothic" w:eastAsia="Times New Roman" w:hAnsi="Century Gothic" w:cs="Arial"/>
          <w:sz w:val="12"/>
          <w:szCs w:val="12"/>
          <w:lang w:val="es-ES_tradnl" w:eastAsia="es-ES_tradnl"/>
        </w:rPr>
      </w:pPr>
    </w:p>
    <w:p w14:paraId="42B4DBEB" w14:textId="77777777" w:rsidR="008E0F13" w:rsidRPr="008E0F13" w:rsidRDefault="008E0F13" w:rsidP="008E0F13">
      <w:pPr>
        <w:spacing w:after="0" w:line="240" w:lineRule="auto"/>
        <w:ind w:left="709" w:right="709"/>
        <w:contextualSpacing/>
        <w:jc w:val="both"/>
        <w:rPr>
          <w:rFonts w:ascii="Century Gothic" w:eastAsia="Calibri" w:hAnsi="Century Gothic" w:cs="Arial"/>
          <w:sz w:val="21"/>
          <w:szCs w:val="21"/>
          <w:lang w:val="es-ES" w:eastAsia="es-ES"/>
        </w:rPr>
      </w:pPr>
      <w:r w:rsidRPr="008E0F13">
        <w:rPr>
          <w:rFonts w:ascii="Century Gothic" w:eastAsia="Times New Roman" w:hAnsi="Century Gothic" w:cs="Arial"/>
          <w:sz w:val="21"/>
          <w:szCs w:val="21"/>
          <w:lang w:val="es-ES" w:eastAsia="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2F65A502" w14:textId="77777777" w:rsidR="008E0F13" w:rsidRPr="008E0F13" w:rsidRDefault="008E0F13" w:rsidP="008E0F13">
      <w:pPr>
        <w:tabs>
          <w:tab w:val="left" w:pos="0"/>
        </w:tabs>
        <w:spacing w:after="0" w:line="276" w:lineRule="auto"/>
        <w:contextualSpacing/>
        <w:jc w:val="both"/>
        <w:rPr>
          <w:rFonts w:ascii="Century Gothic" w:eastAsia="Calibri" w:hAnsi="Century Gothic" w:cs="Arial"/>
          <w:bCs/>
          <w:lang w:val="es-ES_tradnl" w:eastAsia="es-ES_tradnl"/>
        </w:rPr>
      </w:pPr>
    </w:p>
    <w:p w14:paraId="69780103" w14:textId="77777777" w:rsidR="008E0F13" w:rsidRPr="008E0F13" w:rsidRDefault="008E0F13" w:rsidP="008E0F13">
      <w:pPr>
        <w:tabs>
          <w:tab w:val="left" w:pos="0"/>
        </w:tabs>
        <w:spacing w:after="12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t xml:space="preserve">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w:t>
      </w:r>
      <w:r w:rsidRPr="008E0F13">
        <w:rPr>
          <w:rFonts w:ascii="Century Gothic" w:eastAsia="Calibri" w:hAnsi="Century Gothic" w:cs="Arial"/>
          <w:bCs/>
          <w:lang w:val="es-ES_tradnl" w:eastAsia="es-ES_tradnl"/>
        </w:rPr>
        <w:lastRenderedPageBreak/>
        <w:t>analizar ciertos aspectos que, a juicio de esta Agencia, resultan indispensables para determinar el verdadero alcance de la norma bajo estudio, a lo cual se procede a continuación.</w:t>
      </w:r>
    </w:p>
    <w:p w14:paraId="3BCBAE46" w14:textId="77777777" w:rsidR="008E0F13" w:rsidRPr="008E0F13" w:rsidRDefault="008E0F13" w:rsidP="008E0F13">
      <w:pPr>
        <w:tabs>
          <w:tab w:val="left" w:pos="0"/>
        </w:tabs>
        <w:spacing w:after="12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0FE999A3" w14:textId="77777777" w:rsidR="008E0F13" w:rsidRPr="008E0F13" w:rsidRDefault="008E0F13" w:rsidP="008E0F13">
      <w:pPr>
        <w:tabs>
          <w:tab w:val="left" w:pos="0"/>
        </w:tabs>
        <w:spacing w:after="120" w:line="276" w:lineRule="auto"/>
        <w:jc w:val="both"/>
        <w:rPr>
          <w:rFonts w:ascii="Century Gothic" w:eastAsia="Calibri" w:hAnsi="Century Gothic" w:cs="Arial"/>
          <w:lang w:val="es-ES_tradnl" w:eastAsia="es-ES_tradnl"/>
        </w:rPr>
      </w:pPr>
      <w:r w:rsidRPr="008E0F13">
        <w:rPr>
          <w:rFonts w:ascii="Century Gothic" w:eastAsia="Calibri" w:hAnsi="Century Gothic" w:cs="Arial"/>
          <w:bCs/>
          <w:lang w:val="es-ES_tradnl" w:eastAsia="es-ES_tradnl"/>
        </w:rPr>
        <w:tab/>
      </w:r>
      <w:r w:rsidRPr="008E0F13">
        <w:rPr>
          <w:rFonts w:ascii="Century Gothic" w:eastAsia="Calibri" w:hAnsi="Century Gothic"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8E0F13">
        <w:rPr>
          <w:rFonts w:ascii="Century Gothic" w:eastAsia="Calibri" w:hAnsi="Century Gothic" w:cs="Arial"/>
          <w:i/>
          <w:iCs/>
          <w:lang w:val="es-ES_tradnl" w:eastAsia="es-ES_tradnl"/>
        </w:rPr>
        <w:t>ibidem</w:t>
      </w:r>
      <w:r w:rsidRPr="008E0F13">
        <w:rPr>
          <w:rFonts w:ascii="Century Gothic" w:eastAsia="Calibri" w:hAnsi="Century Gothic"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r w:rsidRPr="008E0F13">
        <w:rPr>
          <w:rFonts w:ascii="Century Gothic" w:eastAsia="Calibri" w:hAnsi="Century Gothic" w:cs="Arial"/>
          <w:bCs/>
          <w:lang w:val="es-ES_tradnl" w:eastAsia="es-ES_tradnl"/>
        </w:rPr>
        <w:t>Desde esta perspectiva, no pudiera</w:t>
      </w:r>
      <w:r w:rsidRPr="008E0F13">
        <w:rPr>
          <w:rFonts w:ascii="Century Gothic" w:eastAsia="Calibri" w:hAnsi="Century Gothic"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8E0F13">
        <w:rPr>
          <w:rFonts w:ascii="Century Gothic" w:eastAsia="Calibri" w:hAnsi="Century Gothic" w:cs="Arial"/>
          <w:bCs/>
          <w:lang w:val="es-ES_tradnl" w:eastAsia="es-ES_tradnl"/>
        </w:rPr>
        <w:t xml:space="preserve"> </w:t>
      </w:r>
      <w:r w:rsidRPr="008E0F13">
        <w:rPr>
          <w:rFonts w:ascii="Century Gothic" w:eastAsia="Calibri" w:hAnsi="Century Gothic" w:cs="Arial"/>
          <w:lang w:val="es-ES_tradnl" w:eastAsia="es-ES_tradnl"/>
        </w:rPr>
        <w:t xml:space="preserve">la obligatoriedad de utilizar documentos pliego tipo </w:t>
      </w:r>
      <w:r w:rsidRPr="008E0F13">
        <w:rPr>
          <w:rFonts w:ascii="Century Gothic" w:eastAsia="Calibri" w:hAnsi="Century Gothic" w:cs="Arial"/>
          <w:bCs/>
          <w:lang w:val="es-ES_tradnl" w:eastAsia="es-ES_tradnl"/>
        </w:rPr>
        <w:t xml:space="preserve">se extiende </w:t>
      </w:r>
      <w:r w:rsidRPr="008E0F13">
        <w:rPr>
          <w:rFonts w:ascii="Century Gothic" w:eastAsia="Calibri" w:hAnsi="Century Gothic" w:cs="Arial"/>
          <w:lang w:val="es-ES_tradnl" w:eastAsia="es-ES_tradnl"/>
        </w:rPr>
        <w:t xml:space="preserve">en los convenios o contratos interadministrativos o de cualquier otra índole, </w:t>
      </w:r>
      <w:r w:rsidRPr="008E0F13">
        <w:rPr>
          <w:rFonts w:ascii="Century Gothic" w:eastAsia="Calibri" w:hAnsi="Century Gothic" w:cs="Arial"/>
          <w:bCs/>
          <w:lang w:val="es-ES_tradnl" w:eastAsia="es-ES_tradnl"/>
        </w:rPr>
        <w:t>y</w:t>
      </w:r>
      <w:r w:rsidRPr="008E0F13">
        <w:rPr>
          <w:rFonts w:ascii="Century Gothic" w:eastAsia="Calibri" w:hAnsi="Century Gothic" w:cs="Arial"/>
          <w:lang w:val="es-ES_tradnl" w:eastAsia="es-ES_tradnl"/>
        </w:rPr>
        <w:t>a las diferentes modalidades de selección de los Procesos de Contratación adelantados por entidades sometidas al EGCAP</w:t>
      </w:r>
      <w:r w:rsidRPr="008E0F13">
        <w:rPr>
          <w:rFonts w:ascii="Century Gothic" w:eastAsia="Calibri" w:hAnsi="Century Gothic" w:cs="Arial"/>
          <w:bCs/>
          <w:lang w:val="es-ES_tradnl" w:eastAsia="es-ES_tradnl"/>
        </w:rPr>
        <w:t>.</w:t>
      </w:r>
    </w:p>
    <w:p w14:paraId="0FB7AC67" w14:textId="77777777" w:rsidR="008E0F13" w:rsidRPr="008E0F13" w:rsidRDefault="008E0F13" w:rsidP="008E0F13">
      <w:pPr>
        <w:tabs>
          <w:tab w:val="left" w:pos="0"/>
        </w:tabs>
        <w:spacing w:after="12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lastRenderedPageBreak/>
        <w:tab/>
        <w:t>Antes de la expedición del artículo 56 de la Ley 2195 de 2022, ya se había establecido el mandato de aplicación obligatoria de los documentos tipo para las entidades estatales sometidas al EGCAP, atribuyendo a esta Agencia la competencia para expedirlos. Esta norma imperativa debía observarse siempre y cuando el objeto contratar esté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p w14:paraId="145DA903" w14:textId="77777777" w:rsidR="008E0F13" w:rsidRPr="008E0F13" w:rsidRDefault="008E0F13" w:rsidP="008E0F13">
      <w:pPr>
        <w:tabs>
          <w:tab w:val="left" w:pos="0"/>
        </w:tabs>
        <w:spacing w:after="12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r>
      <w:r w:rsidRPr="008E0F13">
        <w:rPr>
          <w:rFonts w:ascii="Century Gothic" w:eastAsia="Calibri" w:hAnsi="Century Gothic" w:cs="Arial"/>
          <w:lang w:val="es-ES_tradnl" w:eastAsia="es-ES_tradnl"/>
        </w:rPr>
        <w:t>Ahora,</w:t>
      </w:r>
      <w:r w:rsidRPr="008E0F13">
        <w:rPr>
          <w:rFonts w:ascii="Century Gothic" w:eastAsia="Calibri" w:hAnsi="Century Gothic"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10" w:name="_Hlk109963698"/>
      <w:r w:rsidRPr="008E0F13">
        <w:rPr>
          <w:rFonts w:ascii="Century Gothic" w:eastAsia="Calibri" w:hAnsi="Century Gothic"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8E0F13">
        <w:rPr>
          <w:rFonts w:ascii="Century Gothic" w:eastAsia="Calibri" w:hAnsi="Century Gothic" w:cs="Arial"/>
          <w:bCs/>
          <w:strike/>
          <w:lang w:val="es-ES_tradnl" w:eastAsia="es-ES_tradnl"/>
        </w:rPr>
        <w:t xml:space="preserve"> </w:t>
      </w:r>
      <w:bookmarkEnd w:id="10"/>
    </w:p>
    <w:p w14:paraId="68299767" w14:textId="77777777" w:rsidR="008E0F13" w:rsidRPr="008E0F13" w:rsidRDefault="008E0F13" w:rsidP="008E0F13">
      <w:pPr>
        <w:spacing w:after="120" w:line="276" w:lineRule="auto"/>
        <w:ind w:firstLine="709"/>
        <w:jc w:val="both"/>
        <w:rPr>
          <w:rFonts w:ascii="Century Gothic" w:eastAsia="Calibri" w:hAnsi="Century Gothic" w:cs="Arial"/>
          <w:lang w:val="es-ES" w:eastAsia="es-ES"/>
        </w:rPr>
      </w:pPr>
      <w:r w:rsidRPr="008E0F13">
        <w:rPr>
          <w:rFonts w:ascii="Century Gothic" w:eastAsia="Calibri" w:hAnsi="Century Gothic" w:cs="Arial"/>
        </w:rPr>
        <w:t xml:space="preserve">Esta Agencia ha considerado, como se explicó </w:t>
      </w:r>
      <w:r w:rsidRPr="008E0F13">
        <w:rPr>
          <w:rFonts w:ascii="Century Gothic" w:eastAsia="Calibri" w:hAnsi="Century Gothic" w:cs="Arial"/>
          <w:i/>
          <w:iCs/>
        </w:rPr>
        <w:t>ut supra</w:t>
      </w:r>
      <w:r w:rsidRPr="008E0F13">
        <w:rPr>
          <w:rFonts w:ascii="Century Gothic" w:eastAsia="Calibri" w:hAnsi="Century Gothic" w:cs="Arial"/>
        </w:rPr>
        <w:t xml:space="preserve">, que </w:t>
      </w:r>
      <w:r w:rsidRPr="008E0F13">
        <w:rPr>
          <w:rFonts w:ascii="Century Gothic" w:eastAsia="Calibri" w:hAnsi="Century Gothic"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8E0F13">
        <w:rPr>
          <w:rFonts w:ascii="Century Gothic" w:eastAsia="Calibri" w:hAnsi="Century Gothic" w:cs="Arial"/>
          <w:vertAlign w:val="superscript"/>
          <w:lang w:val="es-ES" w:eastAsia="es-ES"/>
        </w:rPr>
        <w:footnoteReference w:id="17"/>
      </w:r>
      <w:r w:rsidRPr="008E0F13">
        <w:rPr>
          <w:rFonts w:ascii="Century Gothic" w:eastAsia="Calibri" w:hAnsi="Century Gothic" w:cs="Arial"/>
          <w:lang w:val="es-ES" w:eastAsia="es-ES"/>
        </w:rPr>
        <w:t xml:space="preserve">, ahora deberán tenerse en cuenta las siguientes reglas: i) </w:t>
      </w:r>
      <w:r w:rsidRPr="008E0F13">
        <w:rPr>
          <w:rFonts w:ascii="Century Gothic" w:eastAsia="Calibri" w:hAnsi="Century Gothic" w:cs="Arial"/>
          <w:i/>
          <w:lang w:val="es-ES" w:eastAsia="es-ES"/>
        </w:rPr>
        <w:t xml:space="preserve">en el </w:t>
      </w:r>
      <w:r w:rsidRPr="008E0F13">
        <w:rPr>
          <w:rFonts w:ascii="Century Gothic" w:eastAsia="Calibri" w:hAnsi="Century Gothic" w:cs="Arial"/>
          <w:i/>
          <w:lang w:val="es-ES" w:eastAsia="es-ES"/>
        </w:rPr>
        <w:lastRenderedPageBreak/>
        <w:t>caso de los convenios interadministrativos o de cualquier otra índole:</w:t>
      </w:r>
      <w:r w:rsidRPr="008E0F13">
        <w:rPr>
          <w:rFonts w:ascii="Century Gothic" w:eastAsia="Calibri" w:hAnsi="Century Gothic"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w:t>
      </w:r>
      <w:proofErr w:type="spellStart"/>
      <w:r w:rsidRPr="008E0F13">
        <w:rPr>
          <w:rFonts w:ascii="Century Gothic" w:eastAsia="Calibri" w:hAnsi="Century Gothic" w:cs="Arial"/>
          <w:lang w:val="es-ES" w:eastAsia="es-ES"/>
        </w:rPr>
        <w:t>ii</w:t>
      </w:r>
      <w:proofErr w:type="spellEnd"/>
      <w:r w:rsidRPr="008E0F13">
        <w:rPr>
          <w:rFonts w:ascii="Century Gothic" w:eastAsia="Calibri" w:hAnsi="Century Gothic" w:cs="Arial"/>
          <w:lang w:val="es-ES" w:eastAsia="es-ES"/>
        </w:rPr>
        <w:t xml:space="preserve">) </w:t>
      </w:r>
      <w:r w:rsidRPr="008E0F13">
        <w:rPr>
          <w:rFonts w:ascii="Century Gothic" w:eastAsia="Calibri" w:hAnsi="Century Gothic" w:cs="Arial"/>
          <w:i/>
          <w:lang w:val="es-ES" w:eastAsia="es-ES"/>
        </w:rPr>
        <w:t>en el caso de los contratos interadministrativos</w:t>
      </w:r>
      <w:r w:rsidRPr="008E0F13">
        <w:rPr>
          <w:rFonts w:ascii="Century Gothic" w:eastAsia="Calibri" w:hAnsi="Century Gothic" w:cs="Arial"/>
          <w:lang w:val="es-ES" w:eastAsia="es-ES"/>
        </w:rPr>
        <w:t xml:space="preserve"> </w:t>
      </w:r>
      <w:r w:rsidRPr="008E0F13">
        <w:rPr>
          <w:rFonts w:ascii="Century Gothic" w:eastAsia="Calibri" w:hAnsi="Century Gothic" w:cs="Arial"/>
          <w:i/>
          <w:lang w:val="es-ES" w:eastAsia="es-ES"/>
        </w:rPr>
        <w:t>o de cualquier otra índole</w:t>
      </w:r>
      <w:r w:rsidRPr="008E0F13">
        <w:rPr>
          <w:rFonts w:ascii="Century Gothic" w:eastAsia="Calibri" w:hAnsi="Century Gothic" w:cs="Arial"/>
          <w:lang w:val="es-ES" w:eastAsia="es-ES"/>
        </w:rPr>
        <w:t xml:space="preserve">: </w:t>
      </w:r>
      <w:r w:rsidRPr="008E0F13">
        <w:rPr>
          <w:rFonts w:ascii="Century Gothic" w:eastAsia="Times New Roman" w:hAnsi="Century Gothic"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8E0F13">
        <w:rPr>
          <w:rFonts w:ascii="Century Gothic" w:eastAsia="Calibri" w:hAnsi="Century Gothic" w:cs="Arial"/>
          <w:lang w:val="es-ES" w:eastAsia="es-ES"/>
        </w:rPr>
        <w:t>entidad sometida al EGCAP.</w:t>
      </w:r>
    </w:p>
    <w:p w14:paraId="1EA236EB" w14:textId="77777777" w:rsidR="008E0F13" w:rsidRPr="008E0F13" w:rsidRDefault="008E0F13" w:rsidP="008E0F13">
      <w:pPr>
        <w:tabs>
          <w:tab w:val="left" w:pos="0"/>
        </w:tabs>
        <w:spacing w:after="120" w:line="276" w:lineRule="auto"/>
        <w:jc w:val="both"/>
        <w:rPr>
          <w:rFonts w:ascii="Century Gothic" w:eastAsia="Calibri" w:hAnsi="Century Gothic" w:cs="Arial"/>
          <w:bCs/>
          <w:lang w:val="es-ES_tradnl" w:eastAsia="es-ES_tradnl"/>
        </w:rPr>
      </w:pPr>
      <w:r w:rsidRPr="008E0F13">
        <w:rPr>
          <w:rFonts w:ascii="Century Gothic" w:eastAsia="Calibri" w:hAnsi="Century Gothic" w:cs="Arial"/>
          <w:bCs/>
          <w:lang w:val="es-ES_tradnl" w:eastAsia="es-ES_tradnl"/>
        </w:rPr>
        <w:tab/>
        <w:t xml:space="preserve"> </w:t>
      </w:r>
      <w:bookmarkStart w:id="12" w:name="_Hlk113023365"/>
      <w:r w:rsidRPr="008E0F13">
        <w:rPr>
          <w:rFonts w:ascii="Century Gothic" w:eastAsia="Calibri" w:hAnsi="Century Gothic" w:cs="Arial"/>
          <w:bCs/>
          <w:lang w:val="es-ES_tradnl" w:eastAsia="es-ES_tradnl"/>
        </w:rPr>
        <w:t xml:space="preserve">El segundo inciso de la norma bajo estudio usa la expresión </w:t>
      </w:r>
      <w:r w:rsidRPr="008E0F13">
        <w:rPr>
          <w:rFonts w:ascii="Century Gothic" w:eastAsia="Calibri" w:hAnsi="Century Gothic" w:cs="Arial"/>
          <w:lang w:val="es-ES_tradnl" w:eastAsia="es-ES_tradnl"/>
        </w:rPr>
        <w:t>“</w:t>
      </w:r>
      <w:r w:rsidRPr="008E0F13">
        <w:rPr>
          <w:rFonts w:ascii="Century Gothic" w:eastAsia="Times New Roman" w:hAnsi="Century Gothic" w:cs="Arial"/>
          <w:lang w:eastAsia="es-ES_tradnl"/>
        </w:rPr>
        <w:t>los procedimientos de selección y contratos que realicen en desarrollo de los anteriores negocios jurídicos</w:t>
      </w:r>
      <w:r w:rsidRPr="008E0F13">
        <w:rPr>
          <w:rFonts w:ascii="Century Gothic" w:eastAsia="Calibri" w:hAnsi="Century Gothic" w:cs="Arial"/>
          <w:lang w:val="es-ES_tradnl" w:eastAsia="es-ES_tradnl"/>
        </w:rPr>
        <w:t>”</w:t>
      </w:r>
      <w:r w:rsidRPr="008E0F13">
        <w:rPr>
          <w:rFonts w:ascii="Century Gothic" w:eastAsia="Times New Roman" w:hAnsi="Century Gothic"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8E0F13">
        <w:rPr>
          <w:rFonts w:ascii="Century Gothic" w:eastAsia="Times New Roman" w:hAnsi="Century Gothic" w:cs="Arial"/>
          <w:i/>
          <w:iCs/>
          <w:lang w:eastAsia="es-ES_tradnl"/>
        </w:rPr>
        <w:t>desarrollar</w:t>
      </w:r>
      <w:r w:rsidRPr="008E0F13">
        <w:rPr>
          <w:rFonts w:ascii="Century Gothic" w:eastAsia="Times New Roman" w:hAnsi="Century Gothic"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50218972" w14:textId="77777777" w:rsidR="008E0F13" w:rsidRPr="008E0F13" w:rsidRDefault="008E0F13" w:rsidP="008E0F13">
      <w:pPr>
        <w:spacing w:after="120" w:line="276" w:lineRule="auto"/>
        <w:jc w:val="both"/>
        <w:rPr>
          <w:rFonts w:ascii="Century Gothic" w:eastAsia="Calibri" w:hAnsi="Century Gothic" w:cs="Arial"/>
          <w:lang w:val="es-ES" w:eastAsia="es-ES"/>
        </w:rPr>
      </w:pPr>
      <w:r w:rsidRPr="008E0F13">
        <w:rPr>
          <w:rFonts w:ascii="Century Gothic" w:eastAsia="Calibri" w:hAnsi="Century Gothic" w:cs="Arial"/>
          <w:bCs/>
          <w:lang w:val="es-ES_tradnl" w:eastAsia="es-ES_tradnl"/>
        </w:rPr>
        <w:tab/>
      </w:r>
      <w:r w:rsidRPr="008E0F13">
        <w:rPr>
          <w:rFonts w:ascii="Century Gothic" w:eastAsia="Calibri" w:hAnsi="Century Gothic" w:cs="Arial"/>
          <w:lang w:val="es-ES" w:eastAsia="es-ES"/>
        </w:rPr>
        <w:t xml:space="preserve">Sobre esto es necesario considerar que, las entidades sometidas al EGCAP, por lo general, se encuentran obligadas a agotar un procedimiento de selección conforme a las normas aplicables para celebrar contratos estatales, a diferencia de los negocios jurídicos regidos por el derecho privado, los cuales, generalmente, </w:t>
      </w:r>
      <w:r w:rsidRPr="008E0F13">
        <w:rPr>
          <w:rFonts w:ascii="Century Gothic" w:eastAsia="Calibri" w:hAnsi="Century Gothic" w:cs="Arial"/>
          <w:lang w:val="es-ES" w:eastAsia="es-ES"/>
        </w:rPr>
        <w:lastRenderedPageBreak/>
        <w:t>se perfeccionan con el acuerdo de voluntades, salvo que la ley exija alguna solemnidad adicional</w:t>
      </w:r>
      <w:bookmarkStart w:id="13" w:name="_Hlk113023433"/>
      <w:bookmarkEnd w:id="12"/>
      <w:r w:rsidRPr="008E0F13">
        <w:rPr>
          <w:rFonts w:ascii="Century Gothic" w:eastAsia="Calibri" w:hAnsi="Century Gothic" w:cs="Arial"/>
          <w:lang w:val="es-ES" w:eastAsia="es-ES"/>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3"/>
    </w:p>
    <w:p w14:paraId="31A2BD78" w14:textId="77777777" w:rsidR="008E0F13" w:rsidRPr="008E0F13" w:rsidRDefault="008E0F13" w:rsidP="008E0F13">
      <w:pPr>
        <w:spacing w:after="0" w:line="276" w:lineRule="auto"/>
        <w:jc w:val="both"/>
        <w:rPr>
          <w:rFonts w:ascii="Century Gothic" w:eastAsia="Calibri" w:hAnsi="Century Gothic" w:cs="Arial"/>
          <w:lang w:val="es-ES" w:eastAsia="es-ES"/>
        </w:rPr>
      </w:pPr>
      <w:r w:rsidRPr="008E0F13">
        <w:rPr>
          <w:rFonts w:ascii="Century Gothic" w:eastAsia="Calibri" w:hAnsi="Century Gothic" w:cs="Arial"/>
          <w:bCs/>
          <w:lang w:val="es-ES_tradnl" w:eastAsia="es-ES_tradnl"/>
        </w:rPr>
        <w:tab/>
      </w:r>
      <w:r w:rsidRPr="008E0F13">
        <w:rPr>
          <w:rFonts w:ascii="Century Gothic" w:eastAsia="Calibri" w:hAnsi="Century Gothic" w:cs="Arial"/>
          <w:lang w:val="es-ES" w:eastAsia="es-ES"/>
        </w:rPr>
        <w:t xml:space="preserve">Por tanto, el hecho de que la norma esté dirigida a las entidades sometidas al EGCAP, no tiene otro fin más que el de indicar que la obligación de emplear los documentos pliego tipo en el marco de un contrato o convenio interadministrativo, o de cualquier otra índole, recae sobre la misma,  pues solo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4B4B8361" w14:textId="77777777" w:rsidR="008E0F13" w:rsidRPr="008E0F13" w:rsidRDefault="008E0F13" w:rsidP="008E0F13">
      <w:pPr>
        <w:spacing w:after="0" w:line="276" w:lineRule="auto"/>
        <w:contextualSpacing/>
        <w:jc w:val="both"/>
        <w:rPr>
          <w:rFonts w:ascii="Century Gothic" w:eastAsia="Calibri" w:hAnsi="Century Gothic" w:cs="Arial"/>
          <w:b/>
          <w:lang w:val="es-MX"/>
        </w:rPr>
      </w:pPr>
    </w:p>
    <w:p w14:paraId="2AFBF176" w14:textId="77777777" w:rsidR="008E0F13" w:rsidRPr="008E0F13" w:rsidRDefault="008E0F13" w:rsidP="008E0F13">
      <w:pPr>
        <w:shd w:val="clear" w:color="auto" w:fill="FFFFFF"/>
        <w:spacing w:after="0" w:line="276" w:lineRule="auto"/>
        <w:jc w:val="both"/>
        <w:textAlignment w:val="baseline"/>
        <w:rPr>
          <w:rFonts w:ascii="Century Gothic" w:eastAsia="Calibri" w:hAnsi="Century Gothic" w:cs="Arial"/>
          <w:b/>
          <w:bCs/>
          <w:color w:val="000000"/>
        </w:rPr>
      </w:pPr>
      <w:r w:rsidRPr="008E0F13">
        <w:rPr>
          <w:rFonts w:ascii="Century Gothic" w:eastAsia="Calibri" w:hAnsi="Century Gothic" w:cs="Arial"/>
          <w:b/>
          <w:bCs/>
          <w:lang w:eastAsia="es-MX"/>
        </w:rPr>
        <w:t>2.3. S</w:t>
      </w:r>
      <w:r w:rsidRPr="008E0F13">
        <w:rPr>
          <w:rFonts w:ascii="Century Gothic" w:eastAsia="Calibri" w:hAnsi="Century Gothic" w:cs="Arial"/>
          <w:b/>
          <w:bCs/>
          <w:color w:val="000000"/>
        </w:rPr>
        <w:t>upervisión o vigilancia de los contratos o convenios que celebren entidades estatales</w:t>
      </w:r>
    </w:p>
    <w:p w14:paraId="1E6B11D0" w14:textId="77777777" w:rsidR="008E0F13" w:rsidRPr="008E0F13" w:rsidRDefault="008E0F13" w:rsidP="008E0F13">
      <w:pPr>
        <w:shd w:val="clear" w:color="auto" w:fill="FFFFFF"/>
        <w:spacing w:after="0" w:line="276" w:lineRule="auto"/>
        <w:jc w:val="both"/>
        <w:textAlignment w:val="baseline"/>
        <w:rPr>
          <w:rFonts w:ascii="Century Gothic" w:eastAsia="Calibri" w:hAnsi="Century Gothic" w:cs="Arial"/>
          <w:b/>
          <w:bCs/>
          <w:color w:val="000000"/>
        </w:rPr>
      </w:pPr>
    </w:p>
    <w:p w14:paraId="0C971927" w14:textId="77777777" w:rsidR="008E0F13" w:rsidRPr="008E0F13" w:rsidRDefault="008E0F13" w:rsidP="008E0F13">
      <w:pPr>
        <w:spacing w:after="120"/>
        <w:jc w:val="both"/>
        <w:rPr>
          <w:rFonts w:ascii="Century Gothic" w:eastAsia="Calibri" w:hAnsi="Century Gothic" w:cs="Arial"/>
          <w:lang w:val="es-ES"/>
        </w:rPr>
      </w:pPr>
      <w:r w:rsidRPr="008E0F13">
        <w:rPr>
          <w:rFonts w:ascii="Century Gothic" w:eastAsia="Calibri" w:hAnsi="Century Gothic" w:cs="Arial"/>
          <w:lang w:val="es-ES"/>
        </w:rPr>
        <w:t>De acuerdo con el principio de responsabilidad que rige la contratación estatal, las entidades públicas están obligadas a vigilar la correcta ejecución del objeto contratado y a proteger tanto los derechos de la propia entidad como los del contratista y terceros que puedan verse afectados por la ejecución del contrato</w:t>
      </w:r>
      <w:r w:rsidRPr="008E0F13">
        <w:rPr>
          <w:rFonts w:ascii="Century Gothic" w:eastAsia="Calibri" w:hAnsi="Century Gothic" w:cs="Arial"/>
          <w:vertAlign w:val="superscript"/>
          <w:lang w:val="es-ES"/>
        </w:rPr>
        <w:footnoteReference w:id="18"/>
      </w:r>
      <w:r w:rsidRPr="008E0F13">
        <w:rPr>
          <w:rFonts w:ascii="Century Gothic" w:eastAsia="Calibri" w:hAnsi="Century Gothic" w:cs="Arial"/>
          <w:lang w:val="es-ES"/>
        </w:rPr>
        <w:t>.</w:t>
      </w:r>
    </w:p>
    <w:p w14:paraId="1BACB6AD" w14:textId="77777777" w:rsidR="008E0F13" w:rsidRPr="008E0F13" w:rsidRDefault="008E0F13" w:rsidP="008E0F13">
      <w:pPr>
        <w:spacing w:after="120"/>
        <w:ind w:firstLine="708"/>
        <w:jc w:val="both"/>
        <w:rPr>
          <w:rFonts w:ascii="Century Gothic" w:eastAsia="Calibri" w:hAnsi="Century Gothic" w:cs="Arial"/>
          <w:lang w:val="es-ES"/>
        </w:rPr>
      </w:pPr>
      <w:r w:rsidRPr="008E0F13">
        <w:rPr>
          <w:rFonts w:ascii="Century Gothic" w:eastAsia="Calibri" w:hAnsi="Century Gothic" w:cs="Arial"/>
          <w:lang w:val="es-ES"/>
        </w:rPr>
        <w:t>La Ley 1474 de 2011</w:t>
      </w:r>
      <w:r w:rsidRPr="008E0F13">
        <w:rPr>
          <w:rFonts w:ascii="Century Gothic" w:eastAsia="Calibri" w:hAnsi="Century Gothic" w:cs="Arial"/>
          <w:i/>
          <w:iCs/>
          <w:lang w:val="es-ES"/>
        </w:rPr>
        <w:t>, “por la cual se dictan normas orientadas a fortalecer los mecanismos de prevención, investigación y sanción de actos de corrupción y la efectividad del control de la gestión pública”,</w:t>
      </w:r>
      <w:r w:rsidRPr="008E0F13">
        <w:rPr>
          <w:rFonts w:ascii="Century Gothic" w:eastAsia="Calibri" w:hAnsi="Century Gothic" w:cs="Arial"/>
          <w:lang w:val="es-ES"/>
        </w:rPr>
        <w:t xml:space="preserve"> obliga a las entidades públicas a vigilar la correcta ejecución del objeto contratado a través de las figuras de “supervisión” o de “interventoría”, con la finalidad de lograr la correcta ejecución del contrato y prevenir actos de corrupción que afecten la moralidad administrativa.</w:t>
      </w:r>
    </w:p>
    <w:p w14:paraId="4BE8C597" w14:textId="77777777" w:rsidR="008E0F13" w:rsidRPr="008E0F13" w:rsidRDefault="008E0F13" w:rsidP="008E0F13">
      <w:pPr>
        <w:spacing w:after="120" w:line="276" w:lineRule="auto"/>
        <w:ind w:firstLine="708"/>
        <w:jc w:val="both"/>
        <w:rPr>
          <w:rFonts w:ascii="Century Gothic" w:eastAsia="Calibri" w:hAnsi="Century Gothic" w:cs="Arial"/>
          <w:lang w:val="es-ES"/>
        </w:rPr>
      </w:pPr>
      <w:r w:rsidRPr="008E0F13">
        <w:rPr>
          <w:rFonts w:ascii="Century Gothic" w:eastAsia="Calibri" w:hAnsi="Century Gothic" w:cs="Arial"/>
          <w:lang w:val="es-ES"/>
        </w:rPr>
        <w:lastRenderedPageBreak/>
        <w:t>En este sentido, el artículo 83 de la citada norma define la supervisión como el seguimiento técnico, administrativo, financiero, contable, y jurídico que debe ejercer la entidad contratante sobre el cumplimiento del objeto del contrato, cuando no se requiera un conocimiento especializado</w:t>
      </w:r>
      <w:r w:rsidRPr="008E0F13">
        <w:rPr>
          <w:rFonts w:ascii="Century Gothic" w:eastAsia="Calibri" w:hAnsi="Century Gothic" w:cs="Arial"/>
          <w:vertAlign w:val="superscript"/>
          <w:lang w:val="es-ES"/>
        </w:rPr>
        <w:footnoteReference w:id="19"/>
      </w:r>
      <w:r w:rsidRPr="008E0F13">
        <w:rPr>
          <w:rFonts w:ascii="Century Gothic" w:eastAsia="Calibri" w:hAnsi="Century Gothic" w:cs="Arial"/>
          <w:lang w:val="es-ES"/>
        </w:rPr>
        <w:t>.</w:t>
      </w:r>
    </w:p>
    <w:p w14:paraId="3BF11B48" w14:textId="77777777" w:rsidR="008E0F13" w:rsidRPr="008E0F13" w:rsidRDefault="008E0F13" w:rsidP="008E0F13">
      <w:pPr>
        <w:spacing w:after="120" w:line="276" w:lineRule="auto"/>
        <w:ind w:firstLine="708"/>
        <w:jc w:val="both"/>
        <w:rPr>
          <w:rFonts w:ascii="Century Gothic" w:eastAsia="Calibri" w:hAnsi="Century Gothic" w:cs="Arial"/>
          <w:bCs/>
          <w:color w:val="000000"/>
          <w:lang w:val="es-MX"/>
        </w:rPr>
      </w:pPr>
      <w:r w:rsidRPr="008E0F13">
        <w:rPr>
          <w:rFonts w:ascii="Century Gothic" w:eastAsia="Calibri" w:hAnsi="Century Gothic" w:cs="Arial"/>
          <w:bCs/>
          <w:color w:val="000000"/>
          <w:lang w:val="es-MX"/>
        </w:rPr>
        <w:t>La obligación mencionada guarda relación con el principio de responsabilidad que rige la celebración y ejecución de los contratos estatales. Así, por ejemplo, los artículos 4, 5, 12, 14,26 y 32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o convenio,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o convenio y, de ser el caso, tomar medidas para exigir el adecuado cumplimiento.</w:t>
      </w:r>
    </w:p>
    <w:p w14:paraId="2BB06270" w14:textId="77777777" w:rsidR="008E0F13" w:rsidRPr="008E0F13" w:rsidRDefault="008E0F13" w:rsidP="008E0F13">
      <w:pPr>
        <w:spacing w:after="120" w:line="276" w:lineRule="auto"/>
        <w:ind w:firstLine="708"/>
        <w:jc w:val="both"/>
        <w:rPr>
          <w:rFonts w:ascii="Century Gothic" w:eastAsia="Calibri" w:hAnsi="Century Gothic" w:cs="Arial"/>
          <w:bCs/>
          <w:color w:val="000000"/>
          <w:lang w:val="es-MX"/>
        </w:rPr>
      </w:pPr>
      <w:r w:rsidRPr="008E0F13">
        <w:rPr>
          <w:rFonts w:ascii="Century Gothic" w:eastAsia="Calibri" w:hAnsi="Century Gothic" w:cs="Arial"/>
          <w:bCs/>
          <w:color w:val="000000"/>
          <w:lang w:val="es-MX"/>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8E0F13">
        <w:rPr>
          <w:rFonts w:ascii="Century Gothic" w:eastAsia="Calibri" w:hAnsi="Century Gothic" w:cs="Times New Roman"/>
          <w:color w:val="000000"/>
          <w:vertAlign w:val="superscript"/>
          <w:lang w:val="es-MX"/>
        </w:rPr>
        <w:footnoteReference w:id="20"/>
      </w:r>
      <w:r w:rsidRPr="008E0F13">
        <w:rPr>
          <w:rFonts w:ascii="Century Gothic" w:eastAsia="Calibri" w:hAnsi="Century Gothic" w:cs="Arial"/>
          <w:bCs/>
          <w:color w:val="000000"/>
          <w:lang w:val="es-MX"/>
        </w:rPr>
        <w:t>. También se establecen los límites de la responsabilidad del representante legal ante la delegación de sus funciones en materia contractual</w:t>
      </w:r>
      <w:r w:rsidRPr="008E0F13">
        <w:rPr>
          <w:rFonts w:ascii="Century Gothic" w:eastAsia="Calibri" w:hAnsi="Century Gothic" w:cs="Times New Roman"/>
          <w:color w:val="000000"/>
          <w:vertAlign w:val="superscript"/>
          <w:lang w:val="es-MX"/>
        </w:rPr>
        <w:footnoteReference w:id="21"/>
      </w:r>
      <w:r w:rsidRPr="008E0F13">
        <w:rPr>
          <w:rFonts w:ascii="Century Gothic" w:eastAsia="Calibri" w:hAnsi="Century Gothic" w:cs="Arial"/>
          <w:bCs/>
          <w:color w:val="000000"/>
          <w:lang w:val="es-MX"/>
        </w:rPr>
        <w:t xml:space="preserve"> y se regula la supervisión y la interventoría de los contratos estatales</w:t>
      </w:r>
      <w:r w:rsidRPr="008E0F13">
        <w:rPr>
          <w:rFonts w:ascii="Century Gothic" w:eastAsia="Calibri" w:hAnsi="Century Gothic" w:cs="Times New Roman"/>
          <w:color w:val="000000"/>
          <w:vertAlign w:val="superscript"/>
          <w:lang w:val="es-MX"/>
        </w:rPr>
        <w:footnoteReference w:id="22"/>
      </w:r>
      <w:r w:rsidRPr="008E0F13">
        <w:rPr>
          <w:rFonts w:ascii="Century Gothic" w:eastAsia="Calibri" w:hAnsi="Century Gothic" w:cs="Arial"/>
          <w:bCs/>
          <w:color w:val="000000"/>
          <w:lang w:val="es-MX"/>
        </w:rPr>
        <w:t xml:space="preserve">. </w:t>
      </w:r>
    </w:p>
    <w:p w14:paraId="28BD2EE4" w14:textId="77777777" w:rsidR="008E0F13" w:rsidRPr="008E0F13" w:rsidRDefault="008E0F13" w:rsidP="008E0F13">
      <w:pPr>
        <w:spacing w:after="120" w:line="276" w:lineRule="auto"/>
        <w:ind w:firstLine="708"/>
        <w:jc w:val="both"/>
        <w:rPr>
          <w:rFonts w:ascii="Century Gothic" w:eastAsia="Calibri" w:hAnsi="Century Gothic" w:cs="Arial"/>
          <w:bCs/>
          <w:color w:val="000000"/>
          <w:lang w:val="es-MX"/>
        </w:rPr>
      </w:pPr>
      <w:r w:rsidRPr="008E0F13">
        <w:rPr>
          <w:rFonts w:ascii="Century Gothic" w:eastAsia="Calibri" w:hAnsi="Century Gothic" w:cs="Arial"/>
          <w:lang w:val="es-ES"/>
        </w:rPr>
        <w:t>De conformidad con lo anterior, en la sentencia del Consejo de Estado, Sala de lo Contencioso Administrativo, Sección Tercera, Subsección B, radicado No. 25-</w:t>
      </w:r>
      <w:r w:rsidRPr="008E0F13">
        <w:rPr>
          <w:rFonts w:ascii="Century Gothic" w:eastAsia="Calibri" w:hAnsi="Century Gothic" w:cs="Arial"/>
          <w:lang w:val="es-ES"/>
        </w:rPr>
        <w:lastRenderedPageBreak/>
        <w:t xml:space="preserve">000-23-26- 000-1996-13019-01(27.426), del 12 de diciembre de 2014, </w:t>
      </w:r>
      <w:proofErr w:type="gramStart"/>
      <w:r w:rsidRPr="008E0F13">
        <w:rPr>
          <w:rFonts w:ascii="Century Gothic" w:eastAsia="Calibri" w:hAnsi="Century Gothic" w:cs="Arial"/>
          <w:lang w:val="es-ES"/>
        </w:rPr>
        <w:t>Consejero</w:t>
      </w:r>
      <w:proofErr w:type="gramEnd"/>
      <w:r w:rsidRPr="008E0F13">
        <w:rPr>
          <w:rFonts w:ascii="Century Gothic" w:eastAsia="Calibri" w:hAnsi="Century Gothic" w:cs="Arial"/>
          <w:lang w:val="es-ES"/>
        </w:rPr>
        <w:t xml:space="preserve"> Ponente Ramiro de Jesús Pazos Guerrero, expresó que la supervisión está dirigida a controlar y vigilar la correcta ejecución de las obligaciones contractuales.</w:t>
      </w:r>
    </w:p>
    <w:p w14:paraId="7CBCB040" w14:textId="77777777" w:rsidR="008E0F13" w:rsidRPr="008E0F13" w:rsidRDefault="008E0F13" w:rsidP="008E0F13">
      <w:pPr>
        <w:spacing w:after="120" w:line="276" w:lineRule="auto"/>
        <w:ind w:firstLine="709"/>
        <w:jc w:val="both"/>
        <w:rPr>
          <w:rFonts w:ascii="Century Gothic" w:eastAsia="Calibri" w:hAnsi="Century Gothic" w:cs="Arial"/>
          <w:color w:val="000000"/>
          <w:lang w:val="es-MX"/>
        </w:rPr>
      </w:pPr>
      <w:r w:rsidRPr="008E0F13">
        <w:rPr>
          <w:rFonts w:ascii="Century Gothic" w:eastAsia="Calibri" w:hAnsi="Century Gothic" w:cs="Arial"/>
          <w:color w:val="000000"/>
          <w:lang w:val="es-MX"/>
        </w:rPr>
        <w:t>Según lo expresado por esta Agencia</w:t>
      </w:r>
      <w:r w:rsidRPr="008E0F13">
        <w:rPr>
          <w:rFonts w:ascii="Century Gothic" w:eastAsia="Calibri" w:hAnsi="Century Gothic" w:cs="Times New Roman"/>
          <w:color w:val="000000"/>
          <w:vertAlign w:val="superscript"/>
          <w:lang w:val="es-MX"/>
        </w:rPr>
        <w:footnoteReference w:id="23"/>
      </w:r>
      <w:r w:rsidRPr="008E0F13">
        <w:rPr>
          <w:rFonts w:ascii="Century Gothic" w:eastAsia="Calibri" w:hAnsi="Century Gothic" w:cs="Arial"/>
          <w:color w:val="000000"/>
          <w:lang w:val="es-MX"/>
        </w:rPr>
        <w:t>, de las disposiciones contenidas en la Ley 1474 de 2011 se infieren las siguientes características, en relación con la supervisión: i) siempre existirá en relación con cualquier contrato estatal ―a diferencia de la interventoría que depende del análisis de su necesidad y extensión</w:t>
      </w:r>
      <w:r w:rsidRPr="008E0F13">
        <w:rPr>
          <w:rFonts w:ascii="Century Gothic" w:eastAsia="Calibri" w:hAnsi="Century Gothic" w:cs="Times New Roman"/>
          <w:color w:val="000000"/>
          <w:vertAlign w:val="superscript"/>
          <w:lang w:val="es-MX"/>
        </w:rPr>
        <w:footnoteReference w:id="24"/>
      </w:r>
      <w:r w:rsidRPr="008E0F13">
        <w:rPr>
          <w:rFonts w:ascii="Century Gothic" w:eastAsia="Calibri" w:hAnsi="Century Gothic" w:cs="Arial"/>
          <w:color w:val="000000"/>
          <w:lang w:val="es-MX"/>
        </w:rPr>
        <w:t>―; ii) no requiere conocimientos tan especializados como la interventoría; iii) se ejerce por la Entidad Estatal por conducto de la designación de servidores públicos idóneos para cumplir la función; iv) puede recibir apoyo de personal contratado mediante contratos de prestación de servicios; v) le es inherente el seguimiento técnico, administrativo, financiero, contable y jurídico del contrato vigilado.</w:t>
      </w:r>
    </w:p>
    <w:p w14:paraId="6DC275C4" w14:textId="77777777" w:rsidR="008E0F13" w:rsidRPr="008E0F13" w:rsidRDefault="008E0F13" w:rsidP="008E0F13">
      <w:pPr>
        <w:spacing w:after="0" w:line="276" w:lineRule="auto"/>
        <w:ind w:firstLine="709"/>
        <w:jc w:val="both"/>
        <w:rPr>
          <w:rFonts w:ascii="Century Gothic" w:eastAsia="Calibri" w:hAnsi="Century Gothic" w:cs="Arial"/>
          <w:lang w:val="es-MX"/>
        </w:rPr>
      </w:pPr>
      <w:r w:rsidRPr="008E0F13">
        <w:rPr>
          <w:rFonts w:ascii="Century Gothic" w:eastAsia="Calibri" w:hAnsi="Century Gothic" w:cs="Arial"/>
          <w:lang w:val="es-MX"/>
        </w:rPr>
        <w:t xml:space="preserve">Asimismo, esta Agencia ha indicado que la labor de supervisar debe ir dirigida a verificar el cumplimiento de las condiciones pactadas en los contratos o convenios, por lo que las entidades estatales están facultadas para solicitar informes, aclaraciones y explicaciones sobre el desarrollo de la ejecución contractual, impartir instrucciones y hacer recomendaciones encaminadas a lograr la correcta ejecución del objeto contractual. De hecho, conforme a lo manifestado por esta Agencia en la </w:t>
      </w:r>
      <w:r w:rsidRPr="008E0F13">
        <w:rPr>
          <w:rFonts w:ascii="Century Gothic" w:eastAsia="Calibri" w:hAnsi="Century Gothic" w:cs="Arial"/>
          <w:sz w:val="24"/>
          <w:lang w:val="es-MX"/>
        </w:rPr>
        <w:t>“</w:t>
      </w:r>
      <w:r w:rsidRPr="008E0F13">
        <w:rPr>
          <w:rFonts w:ascii="Century Gothic" w:eastAsia="Calibri" w:hAnsi="Century Gothic" w:cs="Arial"/>
          <w:lang w:val="es-MX"/>
        </w:rPr>
        <w:t>Guía para el ejercicio de las funciones de supervisión e interventoría de los contratos suscritos por las Entidades Estatales</w:t>
      </w:r>
      <w:r w:rsidRPr="008E0F13">
        <w:rPr>
          <w:rFonts w:ascii="Century Gothic" w:eastAsia="Calibri" w:hAnsi="Century Gothic" w:cs="Arial"/>
          <w:sz w:val="24"/>
          <w:lang w:val="es-MX"/>
        </w:rPr>
        <w:t>”</w:t>
      </w:r>
      <w:r w:rsidRPr="008E0F13">
        <w:rPr>
          <w:rFonts w:ascii="Century Gothic" w:eastAsia="Calibri" w:hAnsi="Century Gothic" w:cs="Arial"/>
          <w:lang w:val="es-MX"/>
        </w:rPr>
        <w:t xml:space="preserve">, los supervisores e interventores tienen funciones generales como: </w:t>
      </w:r>
    </w:p>
    <w:p w14:paraId="582CDD68" w14:textId="77777777" w:rsidR="008E0F13" w:rsidRPr="008E0F13" w:rsidRDefault="008E0F13" w:rsidP="008E0F13">
      <w:pPr>
        <w:spacing w:after="0" w:line="276" w:lineRule="auto"/>
        <w:ind w:firstLine="709"/>
        <w:jc w:val="both"/>
        <w:rPr>
          <w:rFonts w:ascii="Century Gothic" w:eastAsia="Calibri" w:hAnsi="Century Gothic" w:cs="Arial"/>
          <w:lang w:val="es-MX"/>
        </w:rPr>
      </w:pPr>
    </w:p>
    <w:p w14:paraId="4C36CCB3"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 Conocer y entender los términos y condiciones del contrato.</w:t>
      </w:r>
    </w:p>
    <w:p w14:paraId="6D57DAC6"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 xml:space="preserve">• Advertir oportunamente los Riesgos que puedan afectar la eficacia del contrato y tomar las medidas necesarias para mitigarlos de acuerdo con el ejercicio de la etapa de planeación de identificación de Riesgos y el manejo dado a ellos en los Documentos del Proceso. </w:t>
      </w:r>
    </w:p>
    <w:p w14:paraId="5E70BF69" w14:textId="77777777" w:rsidR="008E0F13" w:rsidRPr="008E0F13" w:rsidRDefault="008E0F13" w:rsidP="008E0F13">
      <w:pPr>
        <w:spacing w:line="240" w:lineRule="auto"/>
        <w:ind w:left="709" w:right="709"/>
        <w:jc w:val="both"/>
        <w:rPr>
          <w:rFonts w:ascii="Century Gothic" w:eastAsia="Calibri" w:hAnsi="Century Gothic" w:cs="Arial"/>
          <w:i/>
          <w:iCs/>
          <w:sz w:val="21"/>
          <w:szCs w:val="21"/>
        </w:rPr>
      </w:pPr>
      <w:r w:rsidRPr="008E0F13">
        <w:rPr>
          <w:rFonts w:ascii="Century Gothic" w:eastAsia="Calibri" w:hAnsi="Century Gothic" w:cs="Arial"/>
          <w:i/>
          <w:iCs/>
          <w:sz w:val="21"/>
          <w:szCs w:val="21"/>
        </w:rPr>
        <w:t>• Hacer seguimiento del cumplimiento del plazo del contrato y de los cronogramas previstos en el contrato.</w:t>
      </w:r>
    </w:p>
    <w:p w14:paraId="266C0520"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lastRenderedPageBreak/>
        <w:t xml:space="preserve">• Identificar las necesidades de cambio o ajuste. </w:t>
      </w:r>
    </w:p>
    <w:p w14:paraId="190D5845" w14:textId="77777777" w:rsidR="008E0F13" w:rsidRPr="008E0F13" w:rsidRDefault="008E0F13" w:rsidP="008E0F13">
      <w:pPr>
        <w:spacing w:line="240" w:lineRule="auto"/>
        <w:ind w:left="709" w:right="709"/>
        <w:jc w:val="both"/>
        <w:rPr>
          <w:rFonts w:ascii="Century Gothic" w:eastAsia="Calibri" w:hAnsi="Century Gothic" w:cs="Arial"/>
          <w:i/>
          <w:iCs/>
          <w:sz w:val="21"/>
          <w:szCs w:val="21"/>
        </w:rPr>
      </w:pPr>
      <w:r w:rsidRPr="008E0F13">
        <w:rPr>
          <w:rFonts w:ascii="Century Gothic" w:eastAsia="Calibri" w:hAnsi="Century Gothic" w:cs="Arial"/>
          <w:i/>
          <w:iCs/>
          <w:sz w:val="21"/>
          <w:szCs w:val="21"/>
        </w:rPr>
        <w:t xml:space="preserve">• Manejar la relación con el proveedor o contratista. </w:t>
      </w:r>
    </w:p>
    <w:p w14:paraId="30001906"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 xml:space="preserve">• Administrar e intentar solucionar las controversias entre las partes. </w:t>
      </w:r>
    </w:p>
    <w:p w14:paraId="0ECCB960"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 xml:space="preserve">• Organizar y administrar el recibo de bienes, obras o servicios, su cantidad, calidad, especificaciones y demás atributos establecidos en los Documentos del Proceso. </w:t>
      </w:r>
    </w:p>
    <w:p w14:paraId="5EF04235"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 xml:space="preserve">• Revisar si la ejecución del contrato cumple con los términos del mismo y las necesidades de la Entidad Estatal y actuar en consecuencia de acuerdo con lo establecido en el contrato. </w:t>
      </w:r>
    </w:p>
    <w:p w14:paraId="4228DD25" w14:textId="77777777" w:rsidR="008E0F13" w:rsidRPr="008E0F13" w:rsidRDefault="008E0F13" w:rsidP="008E0F13">
      <w:pPr>
        <w:spacing w:line="240" w:lineRule="auto"/>
        <w:ind w:left="709" w:right="709"/>
        <w:jc w:val="both"/>
        <w:rPr>
          <w:rFonts w:ascii="Century Gothic" w:eastAsia="Calibri" w:hAnsi="Century Gothic" w:cs="Arial"/>
          <w:i/>
          <w:iCs/>
          <w:sz w:val="21"/>
          <w:szCs w:val="21"/>
        </w:rPr>
      </w:pPr>
      <w:r w:rsidRPr="008E0F13">
        <w:rPr>
          <w:rFonts w:ascii="Century Gothic" w:eastAsia="Calibri" w:hAnsi="Century Gothic" w:cs="Arial"/>
          <w:i/>
          <w:iCs/>
          <w:sz w:val="21"/>
          <w:szCs w:val="21"/>
        </w:rPr>
        <w:t xml:space="preserve">• Aprobar o rechazar oportuna y de forma justificada el recibo de bienes y servicio de acuerdo con lo establecido en los Documentos del Proceso. </w:t>
      </w:r>
    </w:p>
    <w:p w14:paraId="34B8B1E1"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 xml:space="preserve">• Informar a la Entidad Estatal de posibles incumplimientos del proveedor o contratista, elaborar y presentar los soportes correspondientes. </w:t>
      </w:r>
    </w:p>
    <w:p w14:paraId="2C8CCB9F" w14:textId="77777777" w:rsidR="008E0F13" w:rsidRPr="008E0F13" w:rsidRDefault="008E0F13" w:rsidP="008E0F13">
      <w:pPr>
        <w:spacing w:line="240" w:lineRule="auto"/>
        <w:ind w:left="709" w:right="709"/>
        <w:jc w:val="both"/>
        <w:rPr>
          <w:rFonts w:ascii="Century Gothic" w:eastAsia="Calibri" w:hAnsi="Century Gothic" w:cs="Arial"/>
          <w:sz w:val="21"/>
          <w:szCs w:val="21"/>
        </w:rPr>
      </w:pPr>
      <w:r w:rsidRPr="008E0F13">
        <w:rPr>
          <w:rFonts w:ascii="Century Gothic" w:eastAsia="Calibri" w:hAnsi="Century Gothic" w:cs="Arial"/>
          <w:sz w:val="21"/>
          <w:szCs w:val="21"/>
        </w:rPr>
        <w:t xml:space="preserve">• Solicitar los informes necesarios y convocar a las reuniones requeridas para cumplir con su función. Informar y denunciar a las autoridades competentes cualquier acto u omisión que afecte la moralidad pública con los soportes correspondientes. </w:t>
      </w:r>
    </w:p>
    <w:p w14:paraId="306C6628" w14:textId="77777777" w:rsidR="008E0F13" w:rsidRPr="008E0F13" w:rsidRDefault="008E0F13" w:rsidP="008E0F13">
      <w:pPr>
        <w:spacing w:after="0" w:line="240" w:lineRule="auto"/>
        <w:ind w:left="709" w:right="709"/>
        <w:jc w:val="both"/>
        <w:rPr>
          <w:rFonts w:ascii="Century Gothic" w:eastAsia="Calibri" w:hAnsi="Century Gothic" w:cs="Arial"/>
          <w:sz w:val="21"/>
          <w:szCs w:val="21"/>
        </w:rPr>
      </w:pPr>
      <w:r w:rsidRPr="008E0F13">
        <w:rPr>
          <w:rFonts w:ascii="Century Gothic" w:eastAsia="Calibri" w:hAnsi="Century Gothic" w:cs="Arial"/>
          <w:i/>
          <w:iCs/>
          <w:sz w:val="21"/>
          <w:szCs w:val="21"/>
        </w:rPr>
        <w:t>• Suscribir las actas generadas durante la ejecución del contrato para documentar las reuniones, acuerdos y controversias entre las partes, así como las actas parciales de avance, actas parciales de recibo y actas de recibo final.”</w:t>
      </w:r>
      <w:r w:rsidRPr="008E0F13">
        <w:rPr>
          <w:rFonts w:ascii="Century Gothic" w:eastAsia="Calibri" w:hAnsi="Century Gothic" w:cs="Arial"/>
          <w:sz w:val="21"/>
          <w:szCs w:val="21"/>
        </w:rPr>
        <w:t xml:space="preserve"> (Énfasis fuera de texto). </w:t>
      </w:r>
    </w:p>
    <w:p w14:paraId="4997ECBD" w14:textId="77777777" w:rsidR="008E0F13" w:rsidRPr="008E0F13" w:rsidRDefault="008E0F13" w:rsidP="008E0F13">
      <w:pPr>
        <w:spacing w:after="0" w:line="240" w:lineRule="auto"/>
        <w:ind w:left="709" w:right="709"/>
        <w:jc w:val="both"/>
        <w:rPr>
          <w:rFonts w:ascii="Century Gothic" w:eastAsia="Calibri" w:hAnsi="Century Gothic" w:cs="Arial"/>
          <w:i/>
          <w:iCs/>
        </w:rPr>
      </w:pPr>
    </w:p>
    <w:p w14:paraId="6461F130" w14:textId="77777777" w:rsidR="008E0F13" w:rsidRPr="008E0F13" w:rsidRDefault="008E0F13" w:rsidP="008E0F13">
      <w:pPr>
        <w:ind w:firstLine="708"/>
        <w:jc w:val="both"/>
        <w:rPr>
          <w:rFonts w:ascii="Century Gothic" w:eastAsia="Calibri" w:hAnsi="Century Gothic" w:cs="Arial"/>
          <w:bCs/>
          <w:lang w:val="es-ES_tradnl"/>
        </w:rPr>
      </w:pPr>
      <w:r w:rsidRPr="008E0F13">
        <w:rPr>
          <w:rFonts w:ascii="Century Gothic" w:eastAsia="Calibri" w:hAnsi="Century Gothic" w:cs="Arial"/>
        </w:rPr>
        <w:t>Según se desprende del apartado en cita, el ejercicio de la vigilancia de la ejecución del contrato estatal conlleva la tarea de velar por el cumplimiento de los plazos, calidades, cantidades y adecuada ejecución de los recursos del contrato.</w:t>
      </w:r>
      <w:r w:rsidRPr="008E0F13">
        <w:rPr>
          <w:rFonts w:ascii="Century Gothic" w:eastAsia="Calibri" w:hAnsi="Century Gothic" w:cs="Arial"/>
          <w:bCs/>
          <w:lang w:val="es-ES_tradnl"/>
        </w:rPr>
        <w:t xml:space="preserve"> En ese sentido, conforme al numeral 6 del artículo 54 de la Ley 1952 de 2019, el supervisor del contrato será responsable por omisión de sus funciones legales.</w:t>
      </w:r>
    </w:p>
    <w:p w14:paraId="1C6EB92C" w14:textId="77777777" w:rsidR="008E0F13" w:rsidRPr="008E0F13" w:rsidRDefault="008E0F13" w:rsidP="008E0F13">
      <w:pPr>
        <w:spacing w:after="0" w:line="276" w:lineRule="auto"/>
        <w:ind w:firstLine="709"/>
        <w:jc w:val="both"/>
        <w:rPr>
          <w:rFonts w:ascii="Century Gothic" w:eastAsia="Calibri" w:hAnsi="Century Gothic" w:cs="Arial"/>
          <w:bCs/>
          <w:lang w:val="es-ES_tradnl"/>
        </w:rPr>
      </w:pPr>
      <w:r w:rsidRPr="008E0F13">
        <w:rPr>
          <w:rFonts w:ascii="Century Gothic" w:eastAsia="Calibri" w:hAnsi="Century Gothic" w:cs="Arial"/>
          <w:bCs/>
          <w:lang w:val="es-ES_tradnl"/>
        </w:rPr>
        <w:t>De todas maneras, teniendo en cuenta el objeto de su consulta, es importante señalar que, esta Agencia ha expedido la “Guía para el ejercicio de las funciones de supervisión e interventoría en los contratos suscritos por las Entidades Estatales” y la “Guía para las Entidades Estatales con régimen especial de contratación”. Estos documentos</w:t>
      </w:r>
      <w:r w:rsidRPr="008E0F13">
        <w:rPr>
          <w:rFonts w:ascii="Century Gothic" w:eastAsia="Calibri" w:hAnsi="Century Gothic" w:cs="Arial"/>
          <w:bCs/>
          <w:vertAlign w:val="superscript"/>
          <w:lang w:val="es-ES_tradnl"/>
        </w:rPr>
        <w:footnoteReference w:id="25"/>
      </w:r>
      <w:r w:rsidRPr="008E0F13">
        <w:rPr>
          <w:rFonts w:ascii="Century Gothic" w:eastAsia="Calibri" w:hAnsi="Century Gothic" w:cs="Arial"/>
          <w:bCs/>
          <w:lang w:val="es-ES_tradnl"/>
        </w:rPr>
        <w:t xml:space="preserve"> contienen lineamientos dirigidos a los partícipes </w:t>
      </w:r>
      <w:r w:rsidRPr="008E0F13">
        <w:rPr>
          <w:rFonts w:ascii="Century Gothic" w:eastAsia="Calibri" w:hAnsi="Century Gothic" w:cs="Arial"/>
          <w:bCs/>
          <w:lang w:val="es-ES_tradnl"/>
        </w:rPr>
        <w:lastRenderedPageBreak/>
        <w:t>del sistema de compras públicas, los cuales pueden ser observados para un ejercicio adecuado de la actividad contractual y de los aspectos asociados a esta.</w:t>
      </w:r>
    </w:p>
    <w:p w14:paraId="5EC294B0" w14:textId="77777777" w:rsidR="008E0F13" w:rsidRPr="008E0F13" w:rsidRDefault="008E0F13" w:rsidP="008E0F13">
      <w:pPr>
        <w:shd w:val="clear" w:color="auto" w:fill="FFFFFF"/>
        <w:tabs>
          <w:tab w:val="left" w:pos="0"/>
        </w:tabs>
        <w:spacing w:after="0"/>
        <w:jc w:val="both"/>
        <w:rPr>
          <w:rFonts w:ascii="Century Gothic" w:eastAsia="Calibri" w:hAnsi="Century Gothic" w:cs="Arial"/>
          <w:b/>
          <w:color w:val="000000"/>
          <w:lang w:val="es-ES_tradnl"/>
        </w:rPr>
      </w:pPr>
    </w:p>
    <w:p w14:paraId="69CF1D9E" w14:textId="77777777" w:rsidR="008E0F13" w:rsidRPr="008E0F13" w:rsidRDefault="008E0F13" w:rsidP="008E0F13">
      <w:pPr>
        <w:shd w:val="clear" w:color="auto" w:fill="FFFFFF"/>
        <w:tabs>
          <w:tab w:val="left" w:pos="0"/>
        </w:tabs>
        <w:spacing w:after="0"/>
        <w:jc w:val="both"/>
        <w:rPr>
          <w:rFonts w:ascii="Century Gothic" w:eastAsia="Calibri" w:hAnsi="Century Gothic" w:cs="Arial"/>
          <w:b/>
          <w:color w:val="000000"/>
          <w:lang w:val="es-ES_tradnl"/>
        </w:rPr>
      </w:pPr>
      <w:r w:rsidRPr="008E0F13">
        <w:rPr>
          <w:rFonts w:ascii="Century Gothic" w:eastAsia="Calibri" w:hAnsi="Century Gothic" w:cs="Arial"/>
          <w:b/>
          <w:color w:val="000000"/>
          <w:lang w:val="es-ES_tradnl"/>
        </w:rPr>
        <w:t>3. Respuesta</w:t>
      </w:r>
    </w:p>
    <w:p w14:paraId="49B03600" w14:textId="77777777" w:rsidR="008E0F13" w:rsidRPr="008E0F13" w:rsidRDefault="008E0F13" w:rsidP="008E0F13">
      <w:pPr>
        <w:shd w:val="clear" w:color="auto" w:fill="FFFFFF"/>
        <w:spacing w:after="0" w:line="240" w:lineRule="auto"/>
        <w:ind w:right="709"/>
        <w:jc w:val="both"/>
        <w:rPr>
          <w:rFonts w:ascii="Century Gothic" w:eastAsia="Calibri" w:hAnsi="Century Gothic" w:cs="Arial"/>
          <w:color w:val="000000"/>
          <w:lang w:val="es-ES_tradnl"/>
        </w:rPr>
      </w:pPr>
    </w:p>
    <w:p w14:paraId="081484A8" w14:textId="77777777" w:rsidR="008E0F13" w:rsidRPr="008E0F13" w:rsidRDefault="008E0F13" w:rsidP="384804FF">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384804FF">
        <w:rPr>
          <w:rFonts w:ascii="Century Gothic" w:eastAsia="Calibri" w:hAnsi="Century Gothic" w:cs="Arial"/>
          <w:color w:val="000000" w:themeColor="text1"/>
          <w:sz w:val="21"/>
          <w:szCs w:val="21"/>
          <w:lang w:val="es-ES"/>
        </w:rPr>
        <w:t>“</w:t>
      </w:r>
      <w:proofErr w:type="gramStart"/>
      <w:r w:rsidRPr="384804FF">
        <w:rPr>
          <w:rFonts w:ascii="Century Gothic" w:eastAsia="Calibri" w:hAnsi="Century Gothic" w:cs="Arial"/>
          <w:color w:val="000000" w:themeColor="text1"/>
          <w:sz w:val="21"/>
          <w:szCs w:val="21"/>
          <w:lang w:val="es-ES"/>
        </w:rPr>
        <w:t>1.¿</w:t>
      </w:r>
      <w:proofErr w:type="gramEnd"/>
      <w:r w:rsidRPr="384804FF">
        <w:rPr>
          <w:rFonts w:ascii="Century Gothic" w:eastAsia="Calibri" w:hAnsi="Century Gothic" w:cs="Arial"/>
          <w:color w:val="000000" w:themeColor="text1"/>
          <w:sz w:val="21"/>
          <w:szCs w:val="21"/>
          <w:lang w:val="es-ES"/>
        </w:rPr>
        <w:t xml:space="preserve">Están obligadas las empresas de </w:t>
      </w:r>
      <w:proofErr w:type="spellStart"/>
      <w:r w:rsidRPr="384804FF">
        <w:rPr>
          <w:rFonts w:ascii="Century Gothic" w:eastAsia="Calibri" w:hAnsi="Century Gothic" w:cs="Arial"/>
          <w:color w:val="000000" w:themeColor="text1"/>
          <w:sz w:val="21"/>
          <w:szCs w:val="21"/>
          <w:lang w:val="es-ES"/>
        </w:rPr>
        <w:t>economi</w:t>
      </w:r>
      <w:proofErr w:type="spellEnd"/>
      <w:r w:rsidRPr="384804FF">
        <w:rPr>
          <w:rFonts w:ascii="Century Gothic" w:eastAsia="Calibri" w:hAnsi="Century Gothic" w:cs="Arial"/>
          <w:color w:val="000000" w:themeColor="text1"/>
          <w:sz w:val="21"/>
          <w:szCs w:val="21"/>
          <w:lang w:val="es-ES"/>
        </w:rPr>
        <w:t>[a] mixta de derecho privado a la adopción de documentos tipo en sus procesos de contratación de servicios de salud y Administrativos que estén regulados o expedidos desde Colombia compra eficiente?</w:t>
      </w:r>
    </w:p>
    <w:p w14:paraId="1631CEAA" w14:textId="77777777" w:rsidR="008E0F13" w:rsidRPr="008E0F13" w:rsidRDefault="008E0F13" w:rsidP="008E0F13">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0FD21AFD" w14:textId="77777777" w:rsidR="008E0F13" w:rsidRPr="008E0F13" w:rsidRDefault="008E0F13" w:rsidP="384804FF">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proofErr w:type="gramStart"/>
      <w:r w:rsidRPr="384804FF">
        <w:rPr>
          <w:rFonts w:ascii="Century Gothic" w:eastAsia="Calibri" w:hAnsi="Century Gothic" w:cs="Arial"/>
          <w:color w:val="000000" w:themeColor="text1"/>
          <w:sz w:val="21"/>
          <w:szCs w:val="21"/>
          <w:lang w:val="es-ES"/>
        </w:rPr>
        <w:t>2.¿</w:t>
      </w:r>
      <w:proofErr w:type="gramEnd"/>
      <w:r w:rsidRPr="384804FF">
        <w:rPr>
          <w:rFonts w:ascii="Century Gothic" w:eastAsia="Calibri" w:hAnsi="Century Gothic" w:cs="Arial"/>
          <w:color w:val="000000" w:themeColor="text1"/>
          <w:sz w:val="21"/>
          <w:szCs w:val="21"/>
          <w:lang w:val="es-ES"/>
        </w:rPr>
        <w:t>Colombia compra eficiente ha expedido lineamientos para ejercer Adecuadamente la supervisión y/o interventoría de la ejecución contractual en empresas de economía mixta que garanticen el Cumplimiento de los fines esenciales del estado o si por el contrario estos lineamientos para supervisar los contratos celebrados quedan a Discrecionalidad de las directivas y/o ordenadores del gasto?</w:t>
      </w:r>
    </w:p>
    <w:p w14:paraId="0A621D7A" w14:textId="77777777" w:rsidR="008E0F13" w:rsidRPr="008E0F13" w:rsidRDefault="008E0F13" w:rsidP="008E0F13">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71118252" w14:textId="77777777" w:rsidR="008E0F13" w:rsidRPr="008E0F13" w:rsidRDefault="008E0F13" w:rsidP="384804FF">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proofErr w:type="gramStart"/>
      <w:r w:rsidRPr="384804FF">
        <w:rPr>
          <w:rFonts w:ascii="Century Gothic" w:eastAsia="Calibri" w:hAnsi="Century Gothic" w:cs="Arial"/>
          <w:color w:val="000000" w:themeColor="text1"/>
          <w:sz w:val="21"/>
          <w:szCs w:val="21"/>
          <w:lang w:val="es-ES"/>
        </w:rPr>
        <w:t>3.¿</w:t>
      </w:r>
      <w:proofErr w:type="gramEnd"/>
      <w:r w:rsidRPr="384804FF">
        <w:rPr>
          <w:rFonts w:ascii="Century Gothic" w:eastAsia="Calibri" w:hAnsi="Century Gothic" w:cs="Arial"/>
          <w:color w:val="000000" w:themeColor="text1"/>
          <w:sz w:val="21"/>
          <w:szCs w:val="21"/>
          <w:lang w:val="es-ES"/>
        </w:rPr>
        <w:t>Cómo se establece el seguimiento o controles de parte de Colombia compra eficiente para Salvaguardar los intereses generales representados en los recursos públicos ejecutados en el desarrollo del objeto social de las empresas de economía mixta que despliegan recursos públicos pero que no les aplica el estatuto de contratación pública ?”</w:t>
      </w:r>
    </w:p>
    <w:p w14:paraId="47C17C0C" w14:textId="77777777" w:rsidR="008E0F13" w:rsidRPr="008E0F13" w:rsidRDefault="008E0F13" w:rsidP="008E0F13">
      <w:pPr>
        <w:shd w:val="clear" w:color="auto" w:fill="FFFFFF"/>
        <w:spacing w:after="0" w:line="240" w:lineRule="auto"/>
        <w:ind w:right="709"/>
        <w:jc w:val="both"/>
        <w:rPr>
          <w:rFonts w:ascii="Century Gothic" w:eastAsia="Calibri" w:hAnsi="Century Gothic" w:cs="Arial"/>
          <w:color w:val="000000"/>
          <w:lang w:val="es-ES_tradnl"/>
        </w:rPr>
      </w:pPr>
    </w:p>
    <w:p w14:paraId="64C0C6BA" w14:textId="77777777" w:rsidR="008E0F13" w:rsidRPr="008E0F13" w:rsidRDefault="008E0F13" w:rsidP="008E0F13">
      <w:pPr>
        <w:spacing w:after="120" w:line="276" w:lineRule="auto"/>
        <w:jc w:val="both"/>
        <w:rPr>
          <w:rFonts w:ascii="Century Gothic" w:eastAsia="Calibri" w:hAnsi="Century Gothic" w:cs="Arial"/>
          <w:lang w:val="es-ES_tradnl"/>
        </w:rPr>
      </w:pPr>
      <w:r w:rsidRPr="008E0F13">
        <w:rPr>
          <w:rFonts w:ascii="Century Gothic" w:eastAsia="Calibri" w:hAnsi="Century Gothic" w:cs="Arial"/>
          <w:lang w:val="es-ES" w:eastAsia="es-ES"/>
        </w:rPr>
        <w:t>Conforme a la interpretación de las normas generales del sistema de compras públicas</w:t>
      </w:r>
      <w:r w:rsidRPr="008E0F13">
        <w:rPr>
          <w:rFonts w:ascii="Century Gothic" w:eastAsia="Calibri" w:hAnsi="Century Gothic" w:cs="Arial"/>
          <w:lang w:val="es-ES_tradnl"/>
        </w:rPr>
        <w:t xml:space="preserve">,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w:t>
      </w:r>
    </w:p>
    <w:p w14:paraId="5294BCC3" w14:textId="77777777" w:rsidR="008E0F13" w:rsidRPr="008E0F13" w:rsidRDefault="008E0F13" w:rsidP="008E0F13">
      <w:pPr>
        <w:spacing w:after="120" w:line="276" w:lineRule="auto"/>
        <w:ind w:firstLine="709"/>
        <w:jc w:val="both"/>
        <w:rPr>
          <w:rFonts w:ascii="Century Gothic" w:eastAsia="Calibri" w:hAnsi="Century Gothic" w:cs="Arial"/>
          <w:lang w:val="es-ES_tradnl"/>
        </w:rPr>
      </w:pPr>
      <w:r w:rsidRPr="008E0F13">
        <w:rPr>
          <w:rFonts w:ascii="Century Gothic" w:eastAsia="Calibri" w:hAnsi="Century Gothic" w:cs="Arial"/>
          <w:lang w:val="es-ES_tradnl"/>
        </w:rPr>
        <w:t xml:space="preserve">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r w:rsidRPr="008E0F13">
        <w:rPr>
          <w:rFonts w:ascii="Century Gothic" w:eastAsia="Calibri" w:hAnsi="Century Gothic" w:cs="Arial"/>
          <w:shd w:val="clear" w:color="auto" w:fill="FFFFFF"/>
          <w:lang w:val="es-ES_tradnl"/>
        </w:rPr>
        <w:t xml:space="preserve">No obstante, se encuentran exceptuadas del ámbito de aplicación de la norma </w:t>
      </w:r>
      <w:r w:rsidRPr="008E0F13">
        <w:rPr>
          <w:rFonts w:ascii="Century Gothic" w:eastAsia="Calibri" w:hAnsi="Century Gothic" w:cs="Arial"/>
          <w:shd w:val="clear" w:color="auto" w:fill="FFFFFF"/>
        </w:rPr>
        <w:t xml:space="preserve">las instituciones de educación superior públicas, las empresas sociales del Estado, las sociedades de economía mixta y las empresas industriales y comerciales del Estado, </w:t>
      </w:r>
      <w:r w:rsidRPr="008E0F13">
        <w:rPr>
          <w:rFonts w:ascii="Century Gothic" w:eastAsia="Calibri" w:hAnsi="Century Gothic" w:cs="Arial"/>
          <w:shd w:val="clear" w:color="auto" w:fill="FFFFFF"/>
        </w:rPr>
        <w:lastRenderedPageBreak/>
        <w:t xml:space="preserve">únicamente en cuanto a la contratación de su </w:t>
      </w:r>
      <w:r w:rsidRPr="008E0F13">
        <w:rPr>
          <w:rFonts w:ascii="Century Gothic" w:eastAsia="Calibri" w:hAnsi="Century Gothic" w:cs="Arial"/>
          <w:i/>
          <w:iCs/>
          <w:shd w:val="clear" w:color="auto" w:fill="FFFFFF"/>
        </w:rPr>
        <w:t>giro ordinario</w:t>
      </w:r>
      <w:r w:rsidRPr="008E0F13">
        <w:rPr>
          <w:rFonts w:ascii="Century Gothic" w:eastAsia="Calibri" w:hAnsi="Century Gothic" w:cs="Arial"/>
          <w:shd w:val="clear" w:color="auto" w:fill="FFFFFF"/>
          <w:lang w:val="es-ES_tradnl"/>
        </w:rPr>
        <w:t xml:space="preserve">. </w:t>
      </w:r>
      <w:r w:rsidRPr="008E0F13">
        <w:rPr>
          <w:rFonts w:ascii="Century Gothic" w:eastAsia="Calibri" w:hAnsi="Century Gothic" w:cs="Arial"/>
          <w:color w:val="000000"/>
          <w:shd w:val="clear" w:color="auto" w:fill="FFFFFF"/>
          <w:lang w:val="es-ES_tradnl"/>
        </w:rPr>
        <w:t xml:space="preserve">Bajo los lineamientos descritos en el concepto, cada entidad pública debe hacer un ejercicio de subsunción a efectos de determinar si la norma en cita resulta aplicable, dada su naturaleza jurídica. </w:t>
      </w:r>
    </w:p>
    <w:p w14:paraId="2F1A73F6" w14:textId="77777777" w:rsidR="008E0F13" w:rsidRPr="008E0F13" w:rsidRDefault="008E0F13" w:rsidP="008E0F13">
      <w:pPr>
        <w:widowControl w:val="0"/>
        <w:autoSpaceDE w:val="0"/>
        <w:autoSpaceDN w:val="0"/>
        <w:spacing w:after="120" w:line="276" w:lineRule="auto"/>
        <w:ind w:firstLine="709"/>
        <w:jc w:val="both"/>
        <w:rPr>
          <w:rFonts w:ascii="Century Gothic" w:eastAsia="Calibri" w:hAnsi="Century Gothic" w:cs="Arial"/>
          <w:color w:val="000000"/>
          <w:lang w:val="es-ES"/>
        </w:rPr>
      </w:pPr>
      <w:r w:rsidRPr="008E0F13">
        <w:rPr>
          <w:rFonts w:ascii="Century Gothic" w:eastAsia="Calibri" w:hAnsi="Century Gothic" w:cs="Arial"/>
          <w:color w:val="000000"/>
          <w:lang w:val="es-ES"/>
        </w:rPr>
        <w:t>Dentro de este marco, la entidad contratante definirá la aplicación o no de los documentos tipo en cada caso concreto. Al tratarse de un análisis que debe realizarse en el procedimiento contractual específico, la Agencia Nacional de Contratación Pública – Colombia Compra Eficiente- no puede definir un criterio universal y absoluto por vía consultiva, sino que brinda elementos de carácter general para que los partícipes del sistema de compras y contratación pública adopten la decisión que corresponda, lo cual es acorde con el principio de juridicidad.</w:t>
      </w:r>
    </w:p>
    <w:p w14:paraId="24DF6628" w14:textId="77777777" w:rsidR="008E0F13" w:rsidRPr="008E0F13" w:rsidRDefault="008E0F13" w:rsidP="008E0F13">
      <w:pPr>
        <w:spacing w:after="120" w:line="276" w:lineRule="auto"/>
        <w:ind w:firstLine="709"/>
        <w:jc w:val="both"/>
        <w:rPr>
          <w:rFonts w:ascii="Century Gothic" w:eastAsia="Calibri" w:hAnsi="Century Gothic" w:cs="Arial"/>
          <w:lang w:val="es-ES"/>
        </w:rPr>
      </w:pPr>
      <w:r w:rsidRPr="008E0F13">
        <w:rPr>
          <w:rFonts w:ascii="Century Gothic" w:eastAsia="Calibri" w:hAnsi="Century Gothic" w:cs="Arial"/>
          <w:color w:val="000000"/>
          <w:lang w:val="es-ES"/>
        </w:rPr>
        <w:t xml:space="preserve">Por otra parte, </w:t>
      </w:r>
      <w:r w:rsidRPr="008E0F13">
        <w:rPr>
          <w:rFonts w:ascii="Century Gothic" w:eastAsia="Calibri" w:hAnsi="Century Gothic" w:cs="Arial"/>
          <w:lang w:val="es-ES"/>
        </w:rPr>
        <w:t>la Ley 1474 de 2011</w:t>
      </w:r>
      <w:r w:rsidRPr="008E0F13">
        <w:rPr>
          <w:rFonts w:ascii="Century Gothic" w:eastAsia="Calibri" w:hAnsi="Century Gothic" w:cs="Arial"/>
          <w:i/>
          <w:iCs/>
          <w:lang w:val="es-ES"/>
        </w:rPr>
        <w:t>, “por la cual se dictan normas orientadas a fortalecer los mecanismos de prevención, investigación y sanción de actos de corrupción y la efectividad del control de la gestión pública”,</w:t>
      </w:r>
      <w:r w:rsidRPr="008E0F13">
        <w:rPr>
          <w:rFonts w:ascii="Century Gothic" w:eastAsia="Calibri" w:hAnsi="Century Gothic" w:cs="Arial"/>
          <w:lang w:val="es-ES"/>
        </w:rPr>
        <w:t xml:space="preserve"> obliga a las entidades públicas a vigilar la correcta ejecución del objeto contratado a través de las figuras de “supervisión” o de “interventoría”, con la finalidad de lograr la correcta ejecución del contrato y prevenir actos de corrupción que afecten la moralidad administrativa.</w:t>
      </w:r>
    </w:p>
    <w:p w14:paraId="295ED271" w14:textId="77777777" w:rsidR="008E0F13" w:rsidRPr="008E0F13" w:rsidRDefault="008E0F13" w:rsidP="008E0F13">
      <w:pPr>
        <w:widowControl w:val="0"/>
        <w:autoSpaceDE w:val="0"/>
        <w:autoSpaceDN w:val="0"/>
        <w:spacing w:after="120" w:line="276" w:lineRule="auto"/>
        <w:ind w:firstLine="709"/>
        <w:jc w:val="both"/>
        <w:rPr>
          <w:rFonts w:ascii="Century Gothic" w:eastAsia="Calibri" w:hAnsi="Century Gothic" w:cs="Arial"/>
          <w:color w:val="000000"/>
          <w:lang w:val="es-ES"/>
        </w:rPr>
      </w:pPr>
      <w:r w:rsidRPr="008E0F13">
        <w:rPr>
          <w:rFonts w:ascii="Century Gothic" w:eastAsia="Calibri" w:hAnsi="Century Gothic" w:cs="Arial"/>
          <w:color w:val="000000"/>
          <w:lang w:val="es-ES"/>
        </w:rPr>
        <w:t xml:space="preserve">De las disposiciones contenidas en la Ley 1474 de 2011, se infieren las siguientes características, en relación con la supervisión: i) siempre existirá en relación con cualquier contrato estatal ―a diferencia de la interventoría que depende del análisis de su necesidad y extensión ―; </w:t>
      </w:r>
      <w:proofErr w:type="spellStart"/>
      <w:r w:rsidRPr="008E0F13">
        <w:rPr>
          <w:rFonts w:ascii="Century Gothic" w:eastAsia="Calibri" w:hAnsi="Century Gothic" w:cs="Arial"/>
          <w:color w:val="000000"/>
          <w:lang w:val="es-ES"/>
        </w:rPr>
        <w:t>ii</w:t>
      </w:r>
      <w:proofErr w:type="spellEnd"/>
      <w:r w:rsidRPr="008E0F13">
        <w:rPr>
          <w:rFonts w:ascii="Century Gothic" w:eastAsia="Calibri" w:hAnsi="Century Gothic" w:cs="Arial"/>
          <w:color w:val="000000"/>
          <w:lang w:val="es-ES"/>
        </w:rPr>
        <w:t xml:space="preserve">) no requiere conocimientos tan especializados como la interventoría; </w:t>
      </w:r>
      <w:proofErr w:type="spellStart"/>
      <w:r w:rsidRPr="008E0F13">
        <w:rPr>
          <w:rFonts w:ascii="Century Gothic" w:eastAsia="Calibri" w:hAnsi="Century Gothic" w:cs="Arial"/>
          <w:color w:val="000000"/>
          <w:lang w:val="es-ES"/>
        </w:rPr>
        <w:t>iii</w:t>
      </w:r>
      <w:proofErr w:type="spellEnd"/>
      <w:r w:rsidRPr="008E0F13">
        <w:rPr>
          <w:rFonts w:ascii="Century Gothic" w:eastAsia="Calibri" w:hAnsi="Century Gothic" w:cs="Arial"/>
          <w:color w:val="000000"/>
          <w:lang w:val="es-ES"/>
        </w:rPr>
        <w:t xml:space="preserve">) se ejerce por la Entidad Estatal por conducto de la designación de servidores públicos idóneos para cumplir la función; </w:t>
      </w:r>
      <w:proofErr w:type="spellStart"/>
      <w:r w:rsidRPr="008E0F13">
        <w:rPr>
          <w:rFonts w:ascii="Century Gothic" w:eastAsia="Calibri" w:hAnsi="Century Gothic" w:cs="Arial"/>
          <w:color w:val="000000"/>
          <w:lang w:val="es-ES"/>
        </w:rPr>
        <w:t>iv</w:t>
      </w:r>
      <w:proofErr w:type="spellEnd"/>
      <w:r w:rsidRPr="008E0F13">
        <w:rPr>
          <w:rFonts w:ascii="Century Gothic" w:eastAsia="Calibri" w:hAnsi="Century Gothic" w:cs="Arial"/>
          <w:color w:val="000000"/>
          <w:lang w:val="es-ES"/>
        </w:rPr>
        <w:t>) puede recibir apoyo de personal contratado mediante contratos de prestación de servicios; v) le es inherente el seguimiento técnico, administrativo, financiero, contable y jurídico del contrato vigilado.</w:t>
      </w:r>
    </w:p>
    <w:p w14:paraId="35BBFE96" w14:textId="77777777" w:rsidR="008E0F13" w:rsidRPr="008E0F13" w:rsidRDefault="008E0F13" w:rsidP="008E0F13">
      <w:pPr>
        <w:spacing w:after="120" w:line="276" w:lineRule="auto"/>
        <w:ind w:firstLine="709"/>
        <w:jc w:val="both"/>
        <w:rPr>
          <w:rFonts w:ascii="Century Gothic" w:eastAsia="Calibri" w:hAnsi="Century Gothic" w:cs="Arial"/>
          <w:bCs/>
          <w:lang w:val="es-ES_tradnl"/>
        </w:rPr>
      </w:pPr>
      <w:r w:rsidRPr="008E0F13">
        <w:rPr>
          <w:rFonts w:ascii="Century Gothic" w:eastAsia="Calibri" w:hAnsi="Century Gothic" w:cs="Arial"/>
          <w:bCs/>
          <w:lang w:val="es-ES_tradnl"/>
        </w:rPr>
        <w:t>En todo caso, teniendo en cuenta el objeto de su consulta, es importante señalar que, esta Agencia ha expedido la “Guía para el ejercicio de las funciones de supervisión e interventoría en los contratos suscritos por las Entidades Estatales” y la “Guía para las Entidades Estatales con régimen especial de contratación”. Estos documentos contienen lineamientos dirigidos a los partícipes del sistema de compras públicas, los cuales pueden ser observados para un ejercicio adecuado de la actividad contractual y de los aspectos asociados a esta.</w:t>
      </w:r>
    </w:p>
    <w:p w14:paraId="0822898D" w14:textId="514CEB1A" w:rsidR="008E0F13" w:rsidRPr="008E0F13" w:rsidRDefault="008E0F13" w:rsidP="008E0F13">
      <w:pPr>
        <w:shd w:val="clear" w:color="auto" w:fill="FFFFFF"/>
        <w:spacing w:after="0" w:line="276" w:lineRule="auto"/>
        <w:ind w:firstLine="709"/>
        <w:jc w:val="both"/>
        <w:rPr>
          <w:rFonts w:ascii="Century Gothic" w:eastAsia="Calibri" w:hAnsi="Century Gothic" w:cs="Arial"/>
          <w:color w:val="000000"/>
          <w:lang w:eastAsia="es-MX"/>
        </w:rPr>
      </w:pPr>
      <w:r w:rsidRPr="008E0F13">
        <w:rPr>
          <w:rFonts w:ascii="Century Gothic" w:eastAsia="Calibri" w:hAnsi="Century Gothic" w:cs="Arial"/>
          <w:color w:val="000000"/>
          <w:lang w:eastAsia="es-MX"/>
        </w:rPr>
        <w:lastRenderedPageBreak/>
        <w:t>Finalmente, es importante señalar que, a la Agencia Nacional de Contratación Pública – Colombia Compra Eficiente</w:t>
      </w:r>
      <w:r w:rsidR="00BD1660">
        <w:rPr>
          <w:rFonts w:ascii="Century Gothic" w:eastAsia="Calibri" w:hAnsi="Century Gothic" w:cs="Arial"/>
          <w:color w:val="000000"/>
          <w:lang w:eastAsia="es-MX"/>
        </w:rPr>
        <w:t>-</w:t>
      </w:r>
      <w:r w:rsidRPr="008E0F13">
        <w:rPr>
          <w:rFonts w:ascii="Century Gothic" w:eastAsia="Calibri" w:hAnsi="Century Gothic" w:cs="Arial"/>
          <w:color w:val="000000"/>
          <w:lang w:eastAsia="es-MX"/>
        </w:rPr>
        <w:t xml:space="preserve"> no le fueron atribuidas funciones de control sobre la actividad contractual de las entidades estatales y de los demás partícipes del sistema de contratación y compras públicas. En ese sentido, los entes de control, como la Procuraduría, la Contraloría y la Fiscalía, son los organismos competentes para investigar y, eventualmente, sancionar las irregularidades en la contratación pública. </w:t>
      </w:r>
    </w:p>
    <w:p w14:paraId="30039D85" w14:textId="77777777" w:rsidR="008E0F13" w:rsidRPr="008E0F13" w:rsidRDefault="008E0F13" w:rsidP="008E0F13">
      <w:pPr>
        <w:shd w:val="clear" w:color="auto" w:fill="FFFFFF"/>
        <w:spacing w:after="0" w:line="276" w:lineRule="auto"/>
        <w:jc w:val="both"/>
        <w:rPr>
          <w:rFonts w:ascii="Century Gothic" w:eastAsia="Calibri" w:hAnsi="Century Gothic" w:cs="Arial"/>
          <w:color w:val="000000"/>
          <w:lang w:eastAsia="es-MX"/>
        </w:rPr>
      </w:pPr>
    </w:p>
    <w:p w14:paraId="15BED31B" w14:textId="77777777" w:rsidR="008E0F13" w:rsidRPr="008E0F13" w:rsidRDefault="008E0F13" w:rsidP="008E0F13">
      <w:pPr>
        <w:shd w:val="clear" w:color="auto" w:fill="FFFFFF"/>
        <w:spacing w:after="0" w:line="276" w:lineRule="auto"/>
        <w:jc w:val="both"/>
        <w:rPr>
          <w:rFonts w:ascii="Century Gothic" w:eastAsia="Calibri" w:hAnsi="Century Gothic" w:cs="Arial"/>
          <w:lang w:eastAsia="es-MX"/>
        </w:rPr>
      </w:pPr>
      <w:r w:rsidRPr="008E0F13">
        <w:rPr>
          <w:rFonts w:ascii="Century Gothic" w:eastAsia="Calibri" w:hAnsi="Century Gothic"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4B579D7" w14:textId="77777777" w:rsidR="008E0F13" w:rsidRPr="008E0F13" w:rsidRDefault="008E0F13" w:rsidP="008E0F13">
      <w:pPr>
        <w:widowControl w:val="0"/>
        <w:shd w:val="clear" w:color="auto" w:fill="FFFFFF"/>
        <w:autoSpaceDE w:val="0"/>
        <w:autoSpaceDN w:val="0"/>
        <w:spacing w:after="0" w:line="276" w:lineRule="auto"/>
        <w:jc w:val="both"/>
        <w:rPr>
          <w:rFonts w:ascii="Century Gothic" w:eastAsia="Calibri" w:hAnsi="Century Gothic" w:cs="Arial"/>
          <w:color w:val="000000"/>
          <w:lang w:val="es-ES_tradnl" w:bidi="es-ES"/>
        </w:rPr>
      </w:pPr>
    </w:p>
    <w:p w14:paraId="1B5DCAF9" w14:textId="70FC0986" w:rsidR="001A72E6" w:rsidRDefault="008E0F13" w:rsidP="008E0F13">
      <w:pPr>
        <w:shd w:val="clear" w:color="auto" w:fill="FFFFFF"/>
        <w:tabs>
          <w:tab w:val="left" w:pos="426"/>
        </w:tabs>
        <w:spacing w:line="276" w:lineRule="auto"/>
        <w:jc w:val="both"/>
        <w:rPr>
          <w:rFonts w:ascii="Century Gothic" w:eastAsia="Times New Roman" w:hAnsi="Century Gothic" w:cs="Arial"/>
          <w:color w:val="000000"/>
        </w:rPr>
      </w:pPr>
      <w:r w:rsidRPr="008E0F13">
        <w:rPr>
          <w:rFonts w:ascii="Century Gothic" w:eastAsia="Times New Roman" w:hAnsi="Century Gothic" w:cs="Arial"/>
          <w:color w:val="000000"/>
        </w:rPr>
        <w:t>Atentamente,</w:t>
      </w:r>
    </w:p>
    <w:p w14:paraId="7006B6A7" w14:textId="53D1A647" w:rsidR="008E0F13" w:rsidRPr="004B3084" w:rsidRDefault="006403BC" w:rsidP="004B3084">
      <w:pPr>
        <w:shd w:val="clear" w:color="auto" w:fill="FFFFFF"/>
        <w:tabs>
          <w:tab w:val="left" w:pos="426"/>
        </w:tabs>
        <w:spacing w:line="276" w:lineRule="auto"/>
        <w:jc w:val="center"/>
        <w:rPr>
          <w:rFonts w:ascii="Century Gothic" w:eastAsia="Times New Roman" w:hAnsi="Century Gothic" w:cs="Arial"/>
          <w:color w:val="000000"/>
        </w:rPr>
      </w:pPr>
      <w:r w:rsidRPr="004D5C25">
        <w:rPr>
          <w:rFonts w:ascii="Century Gothic" w:hAnsi="Century Gothic"/>
          <w:noProof/>
        </w:rPr>
        <w:drawing>
          <wp:inline distT="0" distB="0" distL="0" distR="0" wp14:anchorId="2CE4C437" wp14:editId="5CC53CC2">
            <wp:extent cx="3293759" cy="1414030"/>
            <wp:effectExtent l="0" t="0" r="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2"/>
                    <a:stretch>
                      <a:fillRect/>
                    </a:stretch>
                  </pic:blipFill>
                  <pic:spPr>
                    <a:xfrm>
                      <a:off x="0" y="0"/>
                      <a:ext cx="3303723" cy="1418308"/>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E0F13" w:rsidRPr="008E0F13" w14:paraId="0F00A795" w14:textId="77777777" w:rsidTr="006B61A3">
        <w:trPr>
          <w:trHeight w:val="409"/>
        </w:trPr>
        <w:tc>
          <w:tcPr>
            <w:tcW w:w="817" w:type="dxa"/>
            <w:tcBorders>
              <w:top w:val="nil"/>
              <w:left w:val="nil"/>
              <w:bottom w:val="nil"/>
              <w:right w:val="nil"/>
            </w:tcBorders>
            <w:vAlign w:val="center"/>
            <w:hideMark/>
          </w:tcPr>
          <w:p w14:paraId="4C9A07F3" w14:textId="77777777"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Elaboró: </w:t>
            </w:r>
          </w:p>
        </w:tc>
        <w:tc>
          <w:tcPr>
            <w:tcW w:w="4937" w:type="dxa"/>
            <w:tcBorders>
              <w:top w:val="nil"/>
              <w:left w:val="nil"/>
              <w:bottom w:val="dotted" w:sz="6" w:space="0" w:color="7F7F7F"/>
              <w:right w:val="nil"/>
            </w:tcBorders>
            <w:vAlign w:val="center"/>
            <w:hideMark/>
          </w:tcPr>
          <w:p w14:paraId="4C2FC2AE" w14:textId="77777777"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Kevin Arlid Herrera Santa</w:t>
            </w:r>
          </w:p>
          <w:p w14:paraId="5F4C5909" w14:textId="77777777"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Contratista de la Subdirección de Gestión Contractual</w:t>
            </w:r>
          </w:p>
        </w:tc>
      </w:tr>
      <w:tr w:rsidR="008E0F13" w:rsidRPr="008E0F13" w14:paraId="27E8088A" w14:textId="77777777" w:rsidTr="006B61A3">
        <w:trPr>
          <w:trHeight w:val="409"/>
        </w:trPr>
        <w:tc>
          <w:tcPr>
            <w:tcW w:w="817" w:type="dxa"/>
            <w:tcBorders>
              <w:top w:val="nil"/>
              <w:left w:val="nil"/>
              <w:right w:val="nil"/>
            </w:tcBorders>
            <w:vAlign w:val="center"/>
          </w:tcPr>
          <w:p w14:paraId="2729B587" w14:textId="77777777" w:rsidR="008E0F13" w:rsidRPr="008E0F13" w:rsidRDefault="008E0F13" w:rsidP="008E0F13">
            <w:pPr>
              <w:shd w:val="clear" w:color="auto" w:fill="FFFFFF"/>
              <w:jc w:val="both"/>
              <w:rPr>
                <w:rFonts w:ascii="Century Gothic" w:eastAsia="Calibri" w:hAnsi="Century Gothic" w:cs="Arial"/>
                <w:sz w:val="16"/>
                <w:szCs w:val="16"/>
              </w:rPr>
            </w:pPr>
            <w:r w:rsidRPr="008E0F13">
              <w:rPr>
                <w:rFonts w:ascii="Century Gothic" w:eastAsia="Calibri" w:hAnsi="Century Gothic" w:cs="Arial"/>
                <w:sz w:val="16"/>
                <w:szCs w:val="16"/>
              </w:rPr>
              <w:t>Revisó</w:t>
            </w:r>
          </w:p>
        </w:tc>
        <w:tc>
          <w:tcPr>
            <w:tcW w:w="4937" w:type="dxa"/>
            <w:tcBorders>
              <w:top w:val="dotted" w:sz="6" w:space="0" w:color="7F7F7F"/>
              <w:left w:val="nil"/>
              <w:bottom w:val="dotted" w:sz="6" w:space="0" w:color="7F7F7F"/>
              <w:right w:val="nil"/>
            </w:tcBorders>
            <w:vAlign w:val="center"/>
          </w:tcPr>
          <w:p w14:paraId="0625D0F1" w14:textId="77777777"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Martha Alicia Romero Vargas</w:t>
            </w:r>
          </w:p>
          <w:p w14:paraId="73CD594E" w14:textId="77777777"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Gestor T1-15 de la Subdirección de Gestión Contractual</w:t>
            </w:r>
          </w:p>
        </w:tc>
      </w:tr>
      <w:tr w:rsidR="008E0F13" w:rsidRPr="008E0F13" w14:paraId="01A95154" w14:textId="77777777" w:rsidTr="006B61A3">
        <w:trPr>
          <w:trHeight w:val="389"/>
        </w:trPr>
        <w:tc>
          <w:tcPr>
            <w:tcW w:w="817" w:type="dxa"/>
            <w:tcBorders>
              <w:top w:val="nil"/>
              <w:left w:val="nil"/>
              <w:bottom w:val="nil"/>
              <w:right w:val="nil"/>
            </w:tcBorders>
            <w:vAlign w:val="center"/>
            <w:hideMark/>
          </w:tcPr>
          <w:p w14:paraId="0B9C4BB6" w14:textId="77777777"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061133BA" w14:textId="57160FF3"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 xml:space="preserve">Carolina Quintero </w:t>
            </w:r>
            <w:proofErr w:type="spellStart"/>
            <w:r w:rsidRPr="008E0F13">
              <w:rPr>
                <w:rFonts w:ascii="Century Gothic" w:eastAsia="Calibri" w:hAnsi="Century Gothic" w:cs="Arial"/>
                <w:sz w:val="16"/>
                <w:szCs w:val="16"/>
              </w:rPr>
              <w:t>Gacharn</w:t>
            </w:r>
            <w:r w:rsidR="006B304B">
              <w:rPr>
                <w:rFonts w:ascii="Century Gothic" w:eastAsia="Calibri" w:hAnsi="Century Gothic" w:cs="Arial"/>
                <w:sz w:val="16"/>
                <w:szCs w:val="16"/>
              </w:rPr>
              <w:t>á</w:t>
            </w:r>
            <w:proofErr w:type="spellEnd"/>
          </w:p>
          <w:p w14:paraId="5CFA194C" w14:textId="77777777" w:rsidR="008E0F13" w:rsidRPr="008E0F13" w:rsidRDefault="008E0F13" w:rsidP="008E0F13">
            <w:pPr>
              <w:shd w:val="clear" w:color="auto" w:fill="FFFFFF"/>
              <w:spacing w:after="0" w:line="240" w:lineRule="auto"/>
              <w:jc w:val="both"/>
              <w:rPr>
                <w:rFonts w:ascii="Century Gothic" w:eastAsia="Calibri" w:hAnsi="Century Gothic" w:cs="Arial"/>
                <w:sz w:val="16"/>
                <w:szCs w:val="16"/>
              </w:rPr>
            </w:pPr>
            <w:r w:rsidRPr="008E0F13">
              <w:rPr>
                <w:rFonts w:ascii="Century Gothic" w:eastAsia="Calibri" w:hAnsi="Century Gothic" w:cs="Arial"/>
                <w:sz w:val="16"/>
                <w:szCs w:val="16"/>
              </w:rPr>
              <w:t>Subdirectora de Gestión Contractual ANCP - CCE</w:t>
            </w:r>
          </w:p>
        </w:tc>
      </w:tr>
      <w:bookmarkEnd w:id="0"/>
      <w:bookmarkEnd w:id="3"/>
    </w:tbl>
    <w:p w14:paraId="57A1B963" w14:textId="77777777" w:rsidR="008E0F13" w:rsidRPr="008E0F13" w:rsidRDefault="008E0F13" w:rsidP="008E0F13">
      <w:pPr>
        <w:spacing w:line="278" w:lineRule="auto"/>
        <w:rPr>
          <w:rFonts w:ascii="Aptos" w:eastAsia="Aptos" w:hAnsi="Aptos" w:cs="Times New Roman"/>
          <w:kern w:val="2"/>
          <w:sz w:val="24"/>
          <w:szCs w:val="24"/>
          <w14:ligatures w14:val="standardContextual"/>
        </w:rPr>
      </w:pPr>
    </w:p>
    <w:p w14:paraId="7EBFAB6A" w14:textId="77777777" w:rsidR="005A6AA1" w:rsidRDefault="005A6AA1" w:rsidP="00400548">
      <w:pPr>
        <w:spacing w:after="0"/>
        <w:rPr>
          <w:rFonts w:ascii="Century Gothic" w:hAnsi="Century Gothic"/>
          <w:lang w:val="es-MX"/>
        </w:rPr>
      </w:pPr>
    </w:p>
    <w:sectPr w:rsidR="005A6AA1"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1192" w14:textId="77777777" w:rsidR="00121A86" w:rsidRDefault="00121A86" w:rsidP="004A1847">
      <w:pPr>
        <w:spacing w:after="0" w:line="240" w:lineRule="auto"/>
      </w:pPr>
      <w:r>
        <w:separator/>
      </w:r>
    </w:p>
  </w:endnote>
  <w:endnote w:type="continuationSeparator" w:id="0">
    <w:p w14:paraId="3FD74ACD" w14:textId="77777777" w:rsidR="00121A86" w:rsidRDefault="00121A86" w:rsidP="004A1847">
      <w:pPr>
        <w:spacing w:after="0" w:line="240" w:lineRule="auto"/>
      </w:pPr>
      <w:r>
        <w:continuationSeparator/>
      </w:r>
    </w:p>
  </w:endnote>
  <w:endnote w:type="continuationNotice" w:id="1">
    <w:p w14:paraId="37CE438C" w14:textId="77777777" w:rsidR="00121A86" w:rsidRDefault="00121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24DD" w14:textId="77777777" w:rsidR="00121A86" w:rsidRDefault="00121A86" w:rsidP="004A1847">
      <w:pPr>
        <w:spacing w:after="0" w:line="240" w:lineRule="auto"/>
      </w:pPr>
      <w:r>
        <w:separator/>
      </w:r>
    </w:p>
  </w:footnote>
  <w:footnote w:type="continuationSeparator" w:id="0">
    <w:p w14:paraId="184E3A98" w14:textId="77777777" w:rsidR="00121A86" w:rsidRDefault="00121A86" w:rsidP="004A1847">
      <w:pPr>
        <w:spacing w:after="0" w:line="240" w:lineRule="auto"/>
      </w:pPr>
      <w:r>
        <w:continuationSeparator/>
      </w:r>
    </w:p>
  </w:footnote>
  <w:footnote w:type="continuationNotice" w:id="1">
    <w:p w14:paraId="57C05632" w14:textId="77777777" w:rsidR="00121A86" w:rsidRDefault="00121A86">
      <w:pPr>
        <w:spacing w:after="0" w:line="240" w:lineRule="auto"/>
      </w:pPr>
    </w:p>
  </w:footnote>
  <w:footnote w:id="2">
    <w:p w14:paraId="09E8116B"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w:t>
      </w:r>
      <w:r w:rsidRPr="0001527C">
        <w:rPr>
          <w:rFonts w:ascii="Century Gothic" w:hAnsi="Century Gothic" w:cs="Arial"/>
          <w:sz w:val="18"/>
          <w:szCs w:val="18"/>
          <w:lang w:val="es-CO"/>
        </w:rPr>
        <w:t xml:space="preserve">Estos y otros conceptos pueden ser consultados en la Relatoría de esta Agencia, en el siguiente Link: </w:t>
      </w:r>
      <w:hyperlink r:id="rId1" w:history="1">
        <w:r w:rsidRPr="0001527C">
          <w:rPr>
            <w:rStyle w:val="Hipervnculo"/>
            <w:rFonts w:ascii="Century Gothic" w:hAnsi="Century Gothic" w:cs="Arial"/>
            <w:sz w:val="18"/>
            <w:szCs w:val="18"/>
            <w:lang w:val="es-CO"/>
          </w:rPr>
          <w:t>https://relatoria.colombiacompra.gov.co/busqueda/conceptos</w:t>
        </w:r>
      </w:hyperlink>
      <w:r w:rsidRPr="0001527C">
        <w:rPr>
          <w:rFonts w:ascii="Century Gothic" w:hAnsi="Century Gothic" w:cs="Arial"/>
          <w:sz w:val="18"/>
          <w:szCs w:val="18"/>
          <w:lang w:val="es-CO"/>
        </w:rPr>
        <w:t>.</w:t>
      </w:r>
    </w:p>
  </w:footnote>
  <w:footnote w:id="3">
    <w:p w14:paraId="26F0DAE3" w14:textId="77777777" w:rsidR="008E0F13" w:rsidRPr="0001527C" w:rsidRDefault="008E0F13" w:rsidP="008E0F13">
      <w:pPr>
        <w:pStyle w:val="Textonotapie"/>
        <w:ind w:firstLine="709"/>
        <w:jc w:val="both"/>
        <w:rPr>
          <w:rFonts w:ascii="Century Gothic" w:hAnsi="Century Gothic" w:cs="Arial"/>
          <w:color w:val="000000"/>
          <w:sz w:val="18"/>
          <w:szCs w:val="18"/>
          <w:lang w:val="es-CO"/>
        </w:rPr>
      </w:pPr>
      <w:r w:rsidRPr="0001527C">
        <w:rPr>
          <w:rStyle w:val="Refdenotaalpie"/>
          <w:rFonts w:ascii="Century Gothic" w:hAnsi="Century Gothic" w:cs="Arial"/>
          <w:color w:val="000000"/>
          <w:sz w:val="18"/>
          <w:szCs w:val="18"/>
        </w:rPr>
        <w:footnoteRef/>
      </w:r>
      <w:r w:rsidRPr="0001527C">
        <w:rPr>
          <w:rFonts w:ascii="Century Gothic" w:hAnsi="Century Gothic"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010A05F8"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Style w:val="Refdenotaalpie"/>
          <w:rFonts w:ascii="Century Gothic" w:hAnsi="Century Gothic" w:cs="Arial"/>
          <w:color w:val="000000"/>
          <w:sz w:val="18"/>
          <w:szCs w:val="18"/>
        </w:rPr>
        <w:footnoteRef/>
      </w:r>
      <w:r w:rsidRPr="0001527C">
        <w:rPr>
          <w:rFonts w:ascii="Century Gothic" w:hAnsi="Century Gothic" w:cs="Arial"/>
          <w:color w:val="000000"/>
          <w:sz w:val="18"/>
          <w:szCs w:val="18"/>
        </w:rPr>
        <w:t xml:space="preserve"> </w:t>
      </w:r>
      <w:r w:rsidRPr="0001527C">
        <w:rPr>
          <w:rFonts w:ascii="Century Gothic" w:hAnsi="Century Gothic" w:cs="Arial"/>
          <w:color w:val="000000"/>
          <w:sz w:val="18"/>
          <w:szCs w:val="18"/>
          <w:lang w:val="es-CO"/>
        </w:rPr>
        <w:t xml:space="preserve">Ley 1882 de 2018: “Artículo 4. </w:t>
      </w:r>
      <w:r w:rsidRPr="0001527C">
        <w:rPr>
          <w:rFonts w:ascii="Century Gothic" w:hAnsi="Century Gothic"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893A3DA" w14:textId="77777777" w:rsidR="008E0F13" w:rsidRPr="0001527C" w:rsidRDefault="008E0F13" w:rsidP="008E0F13">
      <w:pPr>
        <w:pStyle w:val="Textonotapie"/>
        <w:ind w:firstLine="709"/>
        <w:jc w:val="both"/>
        <w:rPr>
          <w:rFonts w:ascii="Century Gothic" w:hAnsi="Century Gothic" w:cs="Arial"/>
          <w:color w:val="000000"/>
          <w:sz w:val="18"/>
          <w:szCs w:val="18"/>
          <w:lang w:val="es-CO"/>
        </w:rPr>
      </w:pPr>
      <w:r w:rsidRPr="0001527C">
        <w:rPr>
          <w:rFonts w:ascii="Century Gothic" w:hAnsi="Century Gothic" w:cs="Arial"/>
          <w:color w:val="000000"/>
          <w:sz w:val="18"/>
          <w:szCs w:val="18"/>
          <w:lang w:val="es-CO"/>
        </w:rPr>
        <w:t>La facultad de adoptar documentos tipo la tendrá el Gobierno nacional, cuando lo considere necesario, en relación con otros contratos o procesos de selección.</w:t>
      </w:r>
    </w:p>
    <w:p w14:paraId="5301DB34" w14:textId="77777777" w:rsidR="008E0F13" w:rsidRPr="0001527C" w:rsidRDefault="008E0F13" w:rsidP="008E0F13">
      <w:pPr>
        <w:pStyle w:val="Textonotapie"/>
        <w:ind w:firstLine="709"/>
        <w:jc w:val="both"/>
        <w:rPr>
          <w:rFonts w:ascii="Century Gothic" w:hAnsi="Century Gothic" w:cs="Arial"/>
          <w:color w:val="000000"/>
          <w:sz w:val="18"/>
          <w:szCs w:val="18"/>
          <w:lang w:val="es-CO"/>
        </w:rPr>
      </w:pPr>
      <w:r w:rsidRPr="0001527C">
        <w:rPr>
          <w:rFonts w:ascii="Century Gothic" w:hAnsi="Century Gothic" w:cs="Arial"/>
          <w:color w:val="000000"/>
          <w:sz w:val="18"/>
          <w:szCs w:val="18"/>
          <w:lang w:val="es-CO"/>
        </w:rPr>
        <w:t>Los pliegos tipo se adoptarán por categorías de acuerdo con la cuantía de la contratación, según la reglamentación que expida el Gobierno nacional”.</w:t>
      </w:r>
    </w:p>
  </w:footnote>
  <w:footnote w:id="5">
    <w:p w14:paraId="09434CC2"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Style w:val="Refdenotaalpie"/>
          <w:rFonts w:ascii="Century Gothic" w:hAnsi="Century Gothic" w:cs="Arial"/>
          <w:color w:val="000000"/>
          <w:sz w:val="18"/>
          <w:szCs w:val="18"/>
        </w:rPr>
        <w:footnoteRef/>
      </w:r>
      <w:r w:rsidRPr="0001527C">
        <w:rPr>
          <w:rFonts w:ascii="Century Gothic" w:hAnsi="Century Gothic"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75E47368"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Style w:val="Refdenotaalpie"/>
          <w:rFonts w:ascii="Century Gothic" w:hAnsi="Century Gothic" w:cs="Arial"/>
          <w:color w:val="000000"/>
          <w:sz w:val="18"/>
          <w:szCs w:val="18"/>
        </w:rPr>
        <w:footnoteRef/>
      </w:r>
      <w:r w:rsidRPr="0001527C">
        <w:rPr>
          <w:rFonts w:ascii="Century Gothic" w:hAnsi="Century Gothic"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582C612E"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Fonts w:ascii="Century Gothic" w:hAnsi="Century Gothic" w:cs="Arial"/>
          <w:color w:val="000000"/>
          <w:sz w:val="18"/>
          <w:szCs w:val="18"/>
        </w:rPr>
        <w:t>Artículo 4o. Adiciónese el siguiente parágrafo al artículo 2o de la Ley 1150 de 2007.</w:t>
      </w:r>
    </w:p>
    <w:p w14:paraId="3998FA0D"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Fonts w:ascii="Century Gothic" w:hAnsi="Century Gothic"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CBDA47B"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Fonts w:ascii="Century Gothic" w:hAnsi="Century Gothic"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25BE1C4"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Fonts w:ascii="Century Gothic" w:hAnsi="Century Gothic"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9F1094D"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Fonts w:ascii="Century Gothic" w:hAnsi="Century Gothic"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EFE946F" w14:textId="77777777" w:rsidR="008E0F13" w:rsidRPr="0001527C" w:rsidRDefault="008E0F13" w:rsidP="008E0F13">
      <w:pPr>
        <w:pStyle w:val="Textonotapie"/>
        <w:ind w:firstLine="709"/>
        <w:jc w:val="both"/>
        <w:rPr>
          <w:rFonts w:ascii="Century Gothic" w:hAnsi="Century Gothic" w:cs="Arial"/>
          <w:color w:val="000000"/>
          <w:sz w:val="18"/>
          <w:szCs w:val="18"/>
        </w:rPr>
      </w:pPr>
      <w:r w:rsidRPr="0001527C">
        <w:rPr>
          <w:rFonts w:ascii="Century Gothic" w:hAnsi="Century Gothic"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2791286A" w14:textId="77777777" w:rsidR="008E0F13" w:rsidRPr="0001527C" w:rsidRDefault="008E0F13" w:rsidP="008E0F13">
      <w:pPr>
        <w:pStyle w:val="Textonotapie"/>
        <w:ind w:firstLine="709"/>
        <w:jc w:val="both"/>
        <w:rPr>
          <w:rFonts w:ascii="Century Gothic" w:hAnsi="Century Gothic" w:cs="Arial"/>
          <w:sz w:val="18"/>
          <w:szCs w:val="18"/>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El artículo 5 dispone que “</w:t>
      </w:r>
      <w:r w:rsidRPr="0001527C">
        <w:rPr>
          <w:rFonts w:ascii="Century Gothic" w:hAnsi="Century Gothic"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8">
    <w:p w14:paraId="06C825EE" w14:textId="77777777" w:rsidR="008E0F13" w:rsidRPr="0001527C" w:rsidRDefault="008E0F13" w:rsidP="008E0F13">
      <w:pPr>
        <w:pStyle w:val="Textonotapie"/>
        <w:ind w:firstLine="709"/>
        <w:jc w:val="both"/>
        <w:rPr>
          <w:rFonts w:ascii="Century Gothic" w:hAnsi="Century Gothic" w:cs="Arial"/>
          <w:sz w:val="18"/>
          <w:szCs w:val="18"/>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CONGRESO DE LA REPÚBLICA., Gaceta legislativa No. 1249 de 4 de noviembre de 2020 – Senado.</w:t>
      </w:r>
    </w:p>
  </w:footnote>
  <w:footnote w:id="9">
    <w:p w14:paraId="4763D083"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CONGRESO DE LA REPÚBLICA., </w:t>
      </w:r>
      <w:r w:rsidRPr="0001527C">
        <w:rPr>
          <w:rFonts w:ascii="Century Gothic" w:hAnsi="Century Gothic" w:cs="Arial"/>
          <w:sz w:val="18"/>
          <w:szCs w:val="18"/>
          <w:lang w:val="es-CO"/>
        </w:rPr>
        <w:t>Gaceta legislativa No.1677 de 23 de noviembre de 2021 – Cámara de Representantes.</w:t>
      </w:r>
    </w:p>
  </w:footnote>
  <w:footnote w:id="10">
    <w:p w14:paraId="5B42FC24" w14:textId="77777777" w:rsidR="008E0F13" w:rsidRPr="0001527C" w:rsidRDefault="008E0F13" w:rsidP="008E0F13">
      <w:pPr>
        <w:pStyle w:val="Textonotapie"/>
        <w:jc w:val="both"/>
        <w:rPr>
          <w:rFonts w:ascii="Century Gothic" w:hAnsi="Century Gothic" w:cs="Arial"/>
          <w:sz w:val="18"/>
          <w:szCs w:val="18"/>
        </w:rPr>
      </w:pPr>
    </w:p>
    <w:p w14:paraId="33CFE704"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w:t>
      </w:r>
      <w:r w:rsidRPr="0001527C">
        <w:rPr>
          <w:rFonts w:ascii="Century Gothic" w:hAnsi="Century Gothic" w:cs="Arial"/>
          <w:sz w:val="18"/>
          <w:szCs w:val="18"/>
          <w:lang w:val="es-CO"/>
        </w:rPr>
        <w:t xml:space="preserve">Intervención realizada por </w:t>
      </w:r>
      <w:r w:rsidRPr="0001527C">
        <w:rPr>
          <w:rFonts w:ascii="Century Gothic" w:eastAsia="Calibri" w:hAnsi="Century Gothic" w:cs="Arial"/>
          <w:sz w:val="18"/>
          <w:szCs w:val="18"/>
          <w:lang w:val="es-ES_tradnl" w:eastAsia="es-ES_tradnl"/>
        </w:rPr>
        <w:t xml:space="preserve">el Subdirector de Gestión Contractual de la Agencia, en ese entonces, el abogado Jorge Tirado, que reposa en la gaceta legislativa No. 274 del 13 de abril de 2021 - </w:t>
      </w:r>
      <w:r w:rsidRPr="0001527C">
        <w:rPr>
          <w:rFonts w:ascii="Century Gothic" w:hAnsi="Century Gothic" w:cs="Arial"/>
          <w:sz w:val="18"/>
          <w:szCs w:val="18"/>
        </w:rPr>
        <w:t>Senado del Congreso de la República.</w:t>
      </w:r>
    </w:p>
  </w:footnote>
  <w:footnote w:id="11">
    <w:p w14:paraId="49DE5A8C"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Ver articulado propuesto en el informe de ponencia para primer debate del </w:t>
      </w:r>
      <w:r w:rsidRPr="0001527C">
        <w:rPr>
          <w:rFonts w:ascii="Century Gothic" w:eastAsia="Calibri" w:hAnsi="Century Gothic" w:cs="Arial"/>
          <w:sz w:val="18"/>
          <w:szCs w:val="18"/>
          <w:lang w:val="es-ES_tradnl" w:eastAsia="es-ES_tradnl"/>
        </w:rPr>
        <w:t xml:space="preserve">Proyecto de Ley No. 341 de 2020 </w:t>
      </w:r>
      <w:r w:rsidRPr="0001527C">
        <w:rPr>
          <w:rFonts w:ascii="Century Gothic" w:hAnsi="Century Gothic" w:cs="Arial"/>
          <w:sz w:val="18"/>
          <w:szCs w:val="18"/>
        </w:rPr>
        <w:t xml:space="preserve">de la </w:t>
      </w:r>
      <w:r w:rsidRPr="0001527C">
        <w:rPr>
          <w:rFonts w:ascii="Century Gothic" w:eastAsia="Calibri" w:hAnsi="Century Gothic" w:cs="Arial"/>
          <w:sz w:val="18"/>
          <w:szCs w:val="18"/>
          <w:lang w:val="es-ES_tradnl" w:eastAsia="es-ES_tradnl"/>
        </w:rPr>
        <w:t xml:space="preserve">gaceta legislativa No. 274 del 13 de abril de 2021 - </w:t>
      </w:r>
      <w:r w:rsidRPr="0001527C">
        <w:rPr>
          <w:rFonts w:ascii="Century Gothic" w:hAnsi="Century Gothic" w:cs="Arial"/>
          <w:sz w:val="18"/>
          <w:szCs w:val="18"/>
        </w:rPr>
        <w:t>Senado del Congreso de la República.</w:t>
      </w:r>
    </w:p>
  </w:footnote>
  <w:footnote w:id="12">
    <w:p w14:paraId="72447B62" w14:textId="77777777" w:rsidR="008E0F13" w:rsidRPr="0001527C" w:rsidRDefault="008E0F13" w:rsidP="008E0F13">
      <w:pPr>
        <w:pStyle w:val="Textonotapie"/>
        <w:ind w:firstLine="709"/>
        <w:jc w:val="both"/>
        <w:rPr>
          <w:rFonts w:ascii="Century Gothic" w:hAnsi="Century Gothic" w:cs="Arial"/>
          <w:sz w:val="18"/>
          <w:szCs w:val="18"/>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Ver aparte de pliego de modificaciones en el informe de ponencia para primer debate del </w:t>
      </w:r>
      <w:r w:rsidRPr="0001527C">
        <w:rPr>
          <w:rFonts w:ascii="Century Gothic" w:eastAsia="Calibri" w:hAnsi="Century Gothic" w:cs="Arial"/>
          <w:sz w:val="18"/>
          <w:szCs w:val="18"/>
          <w:lang w:val="es-ES_tradnl" w:eastAsia="es-ES_tradnl"/>
        </w:rPr>
        <w:t>Proyecto de Ley No. 341 de 2020</w:t>
      </w:r>
      <w:r w:rsidRPr="0001527C">
        <w:rPr>
          <w:rFonts w:ascii="Century Gothic" w:hAnsi="Century Gothic" w:cs="Arial"/>
          <w:sz w:val="18"/>
          <w:szCs w:val="18"/>
        </w:rPr>
        <w:t xml:space="preserve">del </w:t>
      </w:r>
      <w:r w:rsidRPr="0001527C">
        <w:rPr>
          <w:rFonts w:ascii="Century Gothic" w:eastAsia="Calibri" w:hAnsi="Century Gothic" w:cs="Arial"/>
          <w:sz w:val="18"/>
          <w:szCs w:val="18"/>
          <w:lang w:val="es-ES_tradnl" w:eastAsia="es-ES_tradnl"/>
        </w:rPr>
        <w:t xml:space="preserve">gaceta legislativa No. 274 del 13 de abril de 2021 - </w:t>
      </w:r>
      <w:r w:rsidRPr="0001527C">
        <w:rPr>
          <w:rFonts w:ascii="Century Gothic" w:hAnsi="Century Gothic" w:cs="Arial"/>
          <w:sz w:val="18"/>
          <w:szCs w:val="18"/>
        </w:rPr>
        <w:t>Senado del Congreso de la República.</w:t>
      </w:r>
    </w:p>
    <w:p w14:paraId="483E463A" w14:textId="77777777" w:rsidR="008E0F13" w:rsidRPr="0001527C" w:rsidRDefault="008E0F13" w:rsidP="008E0F13">
      <w:pPr>
        <w:pStyle w:val="Textonotapie"/>
        <w:ind w:firstLine="709"/>
        <w:jc w:val="both"/>
        <w:rPr>
          <w:rFonts w:ascii="Century Gothic" w:hAnsi="Century Gothic" w:cs="Arial"/>
          <w:sz w:val="18"/>
          <w:szCs w:val="18"/>
          <w:lang w:val="es-CO"/>
        </w:rPr>
      </w:pPr>
    </w:p>
  </w:footnote>
  <w:footnote w:id="13">
    <w:p w14:paraId="18190101"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CONGRESO DE LA REPÚBLICA. Gaceta legislativa No. 1160 del 9 de septiembre de 2021</w:t>
      </w:r>
      <w:r w:rsidRPr="0001527C">
        <w:rPr>
          <w:rFonts w:ascii="Century Gothic" w:eastAsia="Calibri" w:hAnsi="Century Gothic" w:cs="Arial"/>
          <w:sz w:val="18"/>
          <w:szCs w:val="18"/>
          <w:lang w:val="es-ES_tradnl" w:eastAsia="es-ES_tradnl"/>
        </w:rPr>
        <w:t xml:space="preserve">- </w:t>
      </w:r>
      <w:r w:rsidRPr="0001527C">
        <w:rPr>
          <w:rFonts w:ascii="Century Gothic" w:hAnsi="Century Gothic" w:cs="Arial"/>
          <w:sz w:val="18"/>
          <w:szCs w:val="18"/>
        </w:rPr>
        <w:t>Senado.</w:t>
      </w:r>
    </w:p>
  </w:footnote>
  <w:footnote w:id="14">
    <w:p w14:paraId="1248465A"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CONGRESO DE LA REPÚBLICA. </w:t>
      </w:r>
      <w:r w:rsidRPr="0001527C">
        <w:rPr>
          <w:rFonts w:ascii="Century Gothic" w:hAnsi="Century Gothic" w:cs="Arial"/>
          <w:sz w:val="18"/>
          <w:szCs w:val="18"/>
          <w:lang w:val="es-CO"/>
        </w:rPr>
        <w:t>Gaceta legislativa No. 1589 del 9 de noviembre de 2021 – Senado.</w:t>
      </w:r>
    </w:p>
  </w:footnote>
  <w:footnote w:id="15">
    <w:p w14:paraId="79BFAD01" w14:textId="77777777" w:rsidR="008E0F13" w:rsidRPr="0001527C" w:rsidRDefault="008E0F13" w:rsidP="008E0F13">
      <w:pPr>
        <w:pStyle w:val="Textonotapie"/>
        <w:jc w:val="both"/>
        <w:rPr>
          <w:rFonts w:ascii="Century Gothic" w:hAnsi="Century Gothic" w:cs="Arial"/>
          <w:sz w:val="18"/>
          <w:szCs w:val="18"/>
        </w:rPr>
      </w:pPr>
    </w:p>
    <w:p w14:paraId="495CF60D"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w:t>
      </w:r>
      <w:r w:rsidRPr="0001527C">
        <w:rPr>
          <w:rFonts w:ascii="Century Gothic" w:hAnsi="Century Gothic" w:cs="Arial"/>
          <w:sz w:val="18"/>
          <w:szCs w:val="18"/>
          <w:lang w:val="es-CO"/>
        </w:rPr>
        <w:t xml:space="preserve">Ver gacetas legislativas No. 1677 de 23 de noviembre de 2021, No. 1752 de 1 de diciembre de 2021 y No. 1828 del 14 de diciembre – Cámara de Representantes del Congreso de la República </w:t>
      </w:r>
    </w:p>
  </w:footnote>
  <w:footnote w:id="16">
    <w:p w14:paraId="0E581FC6" w14:textId="77777777" w:rsidR="008E0F13" w:rsidRPr="0001527C" w:rsidRDefault="008E0F13" w:rsidP="008E0F13">
      <w:pPr>
        <w:pStyle w:val="Textonotapie"/>
        <w:jc w:val="both"/>
        <w:rPr>
          <w:rFonts w:ascii="Century Gothic" w:hAnsi="Century Gothic" w:cs="Arial"/>
          <w:sz w:val="18"/>
          <w:szCs w:val="18"/>
        </w:rPr>
      </w:pPr>
    </w:p>
    <w:p w14:paraId="65C7BA9B" w14:textId="77777777" w:rsidR="008E0F13" w:rsidRPr="0001527C" w:rsidRDefault="008E0F13" w:rsidP="008E0F13">
      <w:pPr>
        <w:pStyle w:val="Textonotapie"/>
        <w:ind w:firstLine="709"/>
        <w:jc w:val="both"/>
        <w:rPr>
          <w:rFonts w:ascii="Century Gothic" w:hAnsi="Century Gothic" w:cs="Arial"/>
          <w:sz w:val="18"/>
          <w:szCs w:val="18"/>
          <w:lang w:val="es-CO"/>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CONGRESO DE LA REPÚBLICA. Gacetas</w:t>
      </w:r>
      <w:r w:rsidRPr="0001527C">
        <w:rPr>
          <w:rFonts w:ascii="Century Gothic" w:hAnsi="Century Gothic" w:cs="Arial"/>
          <w:sz w:val="18"/>
          <w:szCs w:val="18"/>
          <w:lang w:val="es-CO"/>
        </w:rPr>
        <w:t xml:space="preserve"> legislativas No. 1860 y 1861 de 2021, de Cámara de Representantes y Senado, respectivamente.</w:t>
      </w:r>
    </w:p>
  </w:footnote>
  <w:footnote w:id="17">
    <w:p w14:paraId="3A4EB7AE" w14:textId="77777777" w:rsidR="008E0F13" w:rsidRPr="0001527C" w:rsidRDefault="008E0F13" w:rsidP="008E0F13">
      <w:pPr>
        <w:pStyle w:val="Textonotapie"/>
        <w:ind w:firstLine="709"/>
        <w:jc w:val="both"/>
        <w:rPr>
          <w:rFonts w:ascii="Century Gothic" w:hAnsi="Century Gothic" w:cs="Arial"/>
          <w:sz w:val="18"/>
          <w:szCs w:val="18"/>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w:t>
      </w:r>
      <w:bookmarkStart w:id="11" w:name="2"/>
      <w:r w:rsidRPr="0001527C">
        <w:rPr>
          <w:rFonts w:ascii="Century Gothic" w:hAnsi="Century Gothic" w:cs="Arial"/>
          <w:sz w:val="18"/>
          <w:szCs w:val="18"/>
        </w:rPr>
        <w:t>“Artículo 2o. De las modalidades de selección.</w:t>
      </w:r>
      <w:bookmarkEnd w:id="11"/>
      <w:r w:rsidRPr="0001527C">
        <w:rPr>
          <w:rFonts w:ascii="Century Gothic" w:hAnsi="Century Gothic" w:cs="Arial"/>
          <w:sz w:val="18"/>
          <w:szCs w:val="18"/>
        </w:rPr>
        <w:t> La escogencia del contratista se efectuará con arreglo a las modalidades de selección de licitación pública, selección abreviada, concurso de méritos y contratación directa, con base en las siguientes reglas:</w:t>
      </w:r>
    </w:p>
    <w:p w14:paraId="78E97336" w14:textId="77777777" w:rsidR="008E0F13" w:rsidRPr="0001527C" w:rsidRDefault="008E0F13" w:rsidP="008E0F13">
      <w:pPr>
        <w:pStyle w:val="Textonotapie"/>
        <w:ind w:firstLine="709"/>
        <w:jc w:val="both"/>
        <w:rPr>
          <w:rFonts w:ascii="Century Gothic" w:hAnsi="Century Gothic" w:cs="Arial"/>
          <w:sz w:val="18"/>
          <w:szCs w:val="18"/>
        </w:rPr>
      </w:pPr>
      <w:r w:rsidRPr="0001527C">
        <w:rPr>
          <w:rFonts w:ascii="Century Gothic" w:hAnsi="Century Gothic" w:cs="Arial"/>
          <w:sz w:val="18"/>
          <w:szCs w:val="18"/>
        </w:rPr>
        <w:t>[…]</w:t>
      </w:r>
    </w:p>
    <w:p w14:paraId="2EF5D920" w14:textId="77777777" w:rsidR="008E0F13" w:rsidRPr="0001527C" w:rsidRDefault="008E0F13" w:rsidP="008E0F13">
      <w:pPr>
        <w:pStyle w:val="Textonotapie"/>
        <w:ind w:firstLine="709"/>
        <w:jc w:val="both"/>
        <w:rPr>
          <w:rFonts w:ascii="Century Gothic" w:hAnsi="Century Gothic" w:cs="Arial"/>
          <w:sz w:val="18"/>
          <w:szCs w:val="18"/>
        </w:rPr>
      </w:pPr>
      <w:r w:rsidRPr="0001527C">
        <w:rPr>
          <w:rFonts w:ascii="Century Gothic" w:hAnsi="Century Gothic" w:cs="Arial"/>
          <w:sz w:val="18"/>
          <w:szCs w:val="18"/>
        </w:rPr>
        <w:t>4. </w:t>
      </w:r>
      <w:r w:rsidRPr="0001527C">
        <w:rPr>
          <w:rStyle w:val="baj"/>
          <w:rFonts w:ascii="Century Gothic" w:hAnsi="Century Gothic" w:cs="Arial"/>
          <w:sz w:val="18"/>
          <w:szCs w:val="18"/>
        </w:rPr>
        <w:t>Contratación directa. </w:t>
      </w:r>
      <w:r w:rsidRPr="0001527C">
        <w:rPr>
          <w:rFonts w:ascii="Century Gothic" w:hAnsi="Century Gothic" w:cs="Arial"/>
          <w:sz w:val="18"/>
          <w:szCs w:val="18"/>
        </w:rPr>
        <w:t>La modalidad de selección de contratación directa solamente procederá en los siguientes casos:</w:t>
      </w:r>
    </w:p>
    <w:p w14:paraId="289779DE" w14:textId="77777777" w:rsidR="008E0F13" w:rsidRPr="0001527C" w:rsidRDefault="008E0F13" w:rsidP="008E0F13">
      <w:pPr>
        <w:pStyle w:val="Textonotapie"/>
        <w:ind w:firstLine="709"/>
        <w:jc w:val="both"/>
        <w:rPr>
          <w:rFonts w:ascii="Century Gothic" w:hAnsi="Century Gothic" w:cs="Arial"/>
          <w:sz w:val="18"/>
          <w:szCs w:val="18"/>
        </w:rPr>
      </w:pPr>
      <w:r w:rsidRPr="0001527C">
        <w:rPr>
          <w:rFonts w:ascii="Century Gothic" w:hAnsi="Century Gothic" w:cs="Arial"/>
          <w:sz w:val="18"/>
          <w:szCs w:val="18"/>
        </w:rPr>
        <w:t>[…]</w:t>
      </w:r>
    </w:p>
    <w:p w14:paraId="562AF9F0" w14:textId="77777777" w:rsidR="008E0F13" w:rsidRPr="0001527C" w:rsidRDefault="008E0F13" w:rsidP="008E0F13">
      <w:pPr>
        <w:pStyle w:val="Textonotapie"/>
        <w:ind w:firstLine="709"/>
        <w:jc w:val="both"/>
        <w:rPr>
          <w:rFonts w:ascii="Century Gothic" w:hAnsi="Century Gothic" w:cs="Arial"/>
          <w:sz w:val="18"/>
          <w:szCs w:val="18"/>
        </w:rPr>
      </w:pPr>
      <w:r w:rsidRPr="0001527C">
        <w:rPr>
          <w:rFonts w:ascii="Century Gothic" w:hAnsi="Century Gothic" w:cs="Arial"/>
          <w:sz w:val="18"/>
          <w:szCs w:val="18"/>
        </w:rPr>
        <w:t>C. […]</w:t>
      </w:r>
    </w:p>
    <w:p w14:paraId="49C3402F" w14:textId="77777777" w:rsidR="008E0F13" w:rsidRPr="0001527C" w:rsidRDefault="008E0F13" w:rsidP="008E0F13">
      <w:pPr>
        <w:pStyle w:val="Textonotapie"/>
        <w:ind w:firstLine="709"/>
        <w:jc w:val="both"/>
        <w:rPr>
          <w:rFonts w:ascii="Century Gothic" w:hAnsi="Century Gothic" w:cs="Arial"/>
          <w:sz w:val="18"/>
          <w:szCs w:val="18"/>
        </w:rPr>
      </w:pPr>
      <w:r w:rsidRPr="0001527C">
        <w:rPr>
          <w:rFonts w:ascii="Century Gothic" w:hAnsi="Century Gothic" w:cs="Arial"/>
          <w:sz w:val="18"/>
          <w:szCs w:val="18"/>
        </w:rPr>
        <w:t>Inciso 2o. modificado por el artículo 95 de la Ley 1474 de 2011–</w:t>
      </w:r>
      <w:r w:rsidRPr="0001527C" w:rsidDel="002C5C6D">
        <w:rPr>
          <w:rFonts w:ascii="Century Gothic" w:hAnsi="Century Gothic" w:cs="Arial"/>
          <w:sz w:val="18"/>
          <w:szCs w:val="18"/>
        </w:rPr>
        <w:t xml:space="preserve"> </w:t>
      </w:r>
      <w:r w:rsidRPr="0001527C">
        <w:rPr>
          <w:rFonts w:ascii="Century Gothic" w:hAnsi="Century Gothic" w:cs="Arial"/>
          <w:sz w:val="18"/>
          <w:szCs w:val="18"/>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8">
    <w:p w14:paraId="6282164D" w14:textId="77777777" w:rsidR="008E0F13" w:rsidRPr="0001527C" w:rsidRDefault="008E0F13" w:rsidP="008E0F13">
      <w:pPr>
        <w:spacing w:after="0" w:line="240" w:lineRule="auto"/>
        <w:ind w:firstLine="709"/>
        <w:jc w:val="both"/>
        <w:rPr>
          <w:rFonts w:ascii="Century Gothic" w:hAnsi="Century Gothic" w:cs="Arial"/>
          <w:sz w:val="18"/>
          <w:szCs w:val="18"/>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Ley 80 de 1993: “Artículo 26. Del principio de responsabilidad. En virtud de este principio:</w:t>
      </w:r>
    </w:p>
    <w:p w14:paraId="339E6FE6" w14:textId="77777777" w:rsidR="008E0F13" w:rsidRPr="0001527C" w:rsidRDefault="008E0F13" w:rsidP="008E0F13">
      <w:pPr>
        <w:spacing w:after="0" w:line="240" w:lineRule="auto"/>
        <w:ind w:firstLine="709"/>
        <w:jc w:val="both"/>
        <w:rPr>
          <w:rFonts w:ascii="Century Gothic" w:hAnsi="Century Gothic" w:cs="Arial"/>
          <w:sz w:val="18"/>
          <w:szCs w:val="18"/>
        </w:rPr>
      </w:pPr>
      <w:r w:rsidRPr="0001527C">
        <w:rPr>
          <w:rFonts w:ascii="Century Gothic" w:hAnsi="Century Gothic" w:cs="Arial"/>
          <w:sz w:val="18"/>
          <w:szCs w:val="18"/>
        </w:rPr>
        <w:t>“1. Los servidores públicos están obligados a buscar el cumplimiento de los fines de la contratación, a vigilar la correcta ejecución del objeto contratado y a proteger los derechos de la entidad, del contratista y de los terceros que puedan verse afectados por la ejecución del</w:t>
      </w:r>
      <w:r w:rsidRPr="0001527C">
        <w:rPr>
          <w:rFonts w:ascii="Century Gothic" w:hAnsi="Century Gothic" w:cs="Arial"/>
          <w:spacing w:val="-8"/>
          <w:sz w:val="18"/>
          <w:szCs w:val="18"/>
        </w:rPr>
        <w:t xml:space="preserve"> </w:t>
      </w:r>
      <w:r w:rsidRPr="0001527C">
        <w:rPr>
          <w:rFonts w:ascii="Century Gothic" w:hAnsi="Century Gothic" w:cs="Arial"/>
          <w:sz w:val="18"/>
          <w:szCs w:val="18"/>
        </w:rPr>
        <w:t>contrato”.</w:t>
      </w:r>
    </w:p>
  </w:footnote>
  <w:footnote w:id="19">
    <w:p w14:paraId="6037A1EB" w14:textId="77777777" w:rsidR="008E0F13" w:rsidRPr="0001527C" w:rsidRDefault="008E0F13" w:rsidP="008E0F13">
      <w:pPr>
        <w:spacing w:after="0" w:line="240" w:lineRule="auto"/>
        <w:ind w:firstLine="709"/>
        <w:jc w:val="both"/>
        <w:rPr>
          <w:rFonts w:ascii="Century Gothic" w:hAnsi="Century Gothic" w:cs="Arial"/>
          <w:sz w:val="18"/>
          <w:szCs w:val="18"/>
        </w:rPr>
      </w:pPr>
      <w:r w:rsidRPr="0001527C">
        <w:rPr>
          <w:rStyle w:val="Refdenotaalpie"/>
          <w:rFonts w:ascii="Century Gothic" w:hAnsi="Century Gothic" w:cs="Arial"/>
          <w:sz w:val="18"/>
          <w:szCs w:val="18"/>
        </w:rPr>
        <w:footnoteRef/>
      </w:r>
      <w:r w:rsidRPr="0001527C">
        <w:rPr>
          <w:rFonts w:ascii="Century Gothic" w:hAnsi="Century Gothic" w:cs="Arial"/>
          <w:sz w:val="18"/>
          <w:szCs w:val="18"/>
        </w:rPr>
        <w:t xml:space="preserve"> Ley 1474 de 2011, artículo 83: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footnote>
  <w:footnote w:id="20">
    <w:p w14:paraId="514BACA1" w14:textId="77777777" w:rsidR="008E0F13" w:rsidRPr="0001527C" w:rsidRDefault="008E0F13" w:rsidP="008E0F13">
      <w:pPr>
        <w:pStyle w:val="Textonotapie"/>
        <w:ind w:firstLine="709"/>
        <w:jc w:val="both"/>
        <w:rPr>
          <w:rFonts w:ascii="Century Gothic" w:hAnsi="Century Gothic"/>
          <w:iCs/>
          <w:color w:val="000000"/>
          <w:sz w:val="18"/>
          <w:szCs w:val="18"/>
        </w:rPr>
      </w:pPr>
      <w:r w:rsidRPr="0001527C">
        <w:rPr>
          <w:rStyle w:val="Refdenotaalpie"/>
          <w:rFonts w:ascii="Century Gothic" w:hAnsi="Century Gothic"/>
          <w:color w:val="000000"/>
          <w:sz w:val="18"/>
          <w:szCs w:val="18"/>
        </w:rPr>
        <w:footnoteRef/>
      </w:r>
      <w:r w:rsidRPr="0001527C">
        <w:rPr>
          <w:rFonts w:ascii="Century Gothic" w:hAnsi="Century Gothic"/>
          <w:color w:val="000000"/>
          <w:sz w:val="18"/>
          <w:szCs w:val="18"/>
        </w:rPr>
        <w:t xml:space="preserve"> </w:t>
      </w:r>
      <w:r w:rsidRPr="0001527C">
        <w:rPr>
          <w:rFonts w:ascii="Century Gothic" w:hAnsi="Century Gothic"/>
          <w:iCs/>
          <w:color w:val="000000"/>
          <w:sz w:val="18"/>
          <w:szCs w:val="18"/>
        </w:rPr>
        <w:t>Artículo 17 de la Ley 1150 de 2007.</w:t>
      </w:r>
    </w:p>
  </w:footnote>
  <w:footnote w:id="21">
    <w:p w14:paraId="5F2A8AC8" w14:textId="77777777" w:rsidR="008E0F13" w:rsidRPr="0001527C" w:rsidRDefault="008E0F13" w:rsidP="008E0F13">
      <w:pPr>
        <w:pStyle w:val="Textonotapie"/>
        <w:ind w:firstLine="709"/>
        <w:jc w:val="both"/>
        <w:rPr>
          <w:rFonts w:ascii="Century Gothic" w:hAnsi="Century Gothic"/>
          <w:iCs/>
          <w:color w:val="000000"/>
          <w:sz w:val="18"/>
          <w:szCs w:val="18"/>
        </w:rPr>
      </w:pPr>
      <w:r w:rsidRPr="0001527C">
        <w:rPr>
          <w:rStyle w:val="Refdenotaalpie"/>
          <w:rFonts w:ascii="Century Gothic" w:hAnsi="Century Gothic"/>
          <w:color w:val="000000"/>
          <w:sz w:val="18"/>
          <w:szCs w:val="18"/>
        </w:rPr>
        <w:footnoteRef/>
      </w:r>
      <w:r w:rsidRPr="0001527C">
        <w:rPr>
          <w:rFonts w:ascii="Century Gothic" w:hAnsi="Century Gothic"/>
          <w:color w:val="000000"/>
          <w:sz w:val="18"/>
          <w:szCs w:val="18"/>
        </w:rPr>
        <w:t xml:space="preserve"> </w:t>
      </w:r>
      <w:r w:rsidRPr="0001527C">
        <w:rPr>
          <w:rFonts w:ascii="Century Gothic" w:hAnsi="Century Gothic"/>
          <w:iCs/>
          <w:color w:val="000000"/>
          <w:sz w:val="18"/>
          <w:szCs w:val="18"/>
        </w:rPr>
        <w:t>Artículo 21 de la Ley 1150 de 2007.</w:t>
      </w:r>
    </w:p>
  </w:footnote>
  <w:footnote w:id="22">
    <w:p w14:paraId="7E1B02E1" w14:textId="77777777" w:rsidR="008E0F13" w:rsidRPr="0001527C" w:rsidRDefault="008E0F13" w:rsidP="008E0F13">
      <w:pPr>
        <w:pStyle w:val="Textonotapie"/>
        <w:ind w:firstLine="709"/>
        <w:jc w:val="both"/>
        <w:rPr>
          <w:rFonts w:ascii="Century Gothic" w:hAnsi="Century Gothic"/>
          <w:iCs/>
          <w:color w:val="000000"/>
          <w:sz w:val="18"/>
          <w:szCs w:val="18"/>
        </w:rPr>
      </w:pPr>
      <w:r w:rsidRPr="0001527C">
        <w:rPr>
          <w:rStyle w:val="Refdenotaalpie"/>
          <w:rFonts w:ascii="Century Gothic" w:hAnsi="Century Gothic"/>
          <w:color w:val="000000"/>
          <w:sz w:val="18"/>
          <w:szCs w:val="18"/>
        </w:rPr>
        <w:footnoteRef/>
      </w:r>
      <w:r w:rsidRPr="0001527C">
        <w:rPr>
          <w:rFonts w:ascii="Century Gothic" w:hAnsi="Century Gothic"/>
          <w:color w:val="000000"/>
          <w:sz w:val="18"/>
          <w:szCs w:val="18"/>
        </w:rPr>
        <w:t xml:space="preserve"> </w:t>
      </w:r>
      <w:r w:rsidRPr="0001527C">
        <w:rPr>
          <w:rFonts w:ascii="Century Gothic" w:hAnsi="Century Gothic"/>
          <w:iCs/>
          <w:color w:val="000000"/>
          <w:sz w:val="18"/>
          <w:szCs w:val="18"/>
        </w:rPr>
        <w:t>Artículos 83 a 86 de la Ley 1474 de 2011.</w:t>
      </w:r>
    </w:p>
  </w:footnote>
  <w:footnote w:id="23">
    <w:p w14:paraId="6D4A64FA" w14:textId="77777777" w:rsidR="008E0F13" w:rsidRPr="0001527C" w:rsidRDefault="008E0F13" w:rsidP="008E0F13">
      <w:pPr>
        <w:pStyle w:val="Textonotapie"/>
        <w:ind w:firstLine="709"/>
        <w:jc w:val="both"/>
        <w:rPr>
          <w:rFonts w:ascii="Century Gothic" w:hAnsi="Century Gothic"/>
          <w:color w:val="000000"/>
          <w:sz w:val="18"/>
          <w:szCs w:val="18"/>
        </w:rPr>
      </w:pPr>
      <w:r w:rsidRPr="0001527C">
        <w:rPr>
          <w:rStyle w:val="Refdenotaalpie"/>
          <w:rFonts w:ascii="Century Gothic" w:hAnsi="Century Gothic"/>
          <w:color w:val="000000"/>
          <w:sz w:val="18"/>
          <w:szCs w:val="18"/>
        </w:rPr>
        <w:footnoteRef/>
      </w:r>
      <w:r w:rsidRPr="0001527C">
        <w:rPr>
          <w:rFonts w:ascii="Century Gothic" w:hAnsi="Century Gothic"/>
          <w:color w:val="000000"/>
          <w:sz w:val="18"/>
          <w:szCs w:val="18"/>
        </w:rPr>
        <w:t xml:space="preserve"> Radicado No. 4201913000008240 del 20 de diciembre de 2019.</w:t>
      </w:r>
    </w:p>
    <w:p w14:paraId="5A10B2BF" w14:textId="77777777" w:rsidR="008E0F13" w:rsidRPr="0001527C" w:rsidRDefault="008E0F13" w:rsidP="008E0F13">
      <w:pPr>
        <w:pStyle w:val="Textonotapie"/>
        <w:ind w:firstLine="709"/>
        <w:jc w:val="both"/>
        <w:rPr>
          <w:rFonts w:ascii="Century Gothic" w:hAnsi="Century Gothic"/>
          <w:color w:val="000000"/>
          <w:sz w:val="18"/>
          <w:szCs w:val="18"/>
        </w:rPr>
      </w:pPr>
    </w:p>
  </w:footnote>
  <w:footnote w:id="24">
    <w:p w14:paraId="4DA620D4" w14:textId="77777777" w:rsidR="008E0F13" w:rsidRPr="0001527C" w:rsidRDefault="008E0F13" w:rsidP="008E0F13">
      <w:pPr>
        <w:pStyle w:val="Textonotapie"/>
        <w:ind w:firstLine="709"/>
        <w:jc w:val="both"/>
        <w:rPr>
          <w:rFonts w:ascii="Century Gothic" w:hAnsi="Century Gothic"/>
          <w:iCs/>
          <w:color w:val="000000"/>
          <w:sz w:val="18"/>
          <w:szCs w:val="18"/>
        </w:rPr>
      </w:pPr>
      <w:r w:rsidRPr="0001527C">
        <w:rPr>
          <w:rStyle w:val="Refdenotaalpie"/>
          <w:rFonts w:ascii="Century Gothic" w:hAnsi="Century Gothic"/>
          <w:color w:val="000000"/>
          <w:sz w:val="18"/>
          <w:szCs w:val="18"/>
        </w:rPr>
        <w:footnoteRef/>
      </w:r>
      <w:r w:rsidRPr="0001527C">
        <w:rPr>
          <w:rFonts w:ascii="Century Gothic" w:hAnsi="Century Gothic"/>
          <w:color w:val="000000"/>
          <w:sz w:val="18"/>
          <w:szCs w:val="18"/>
        </w:rPr>
        <w:t xml:space="preserve"> </w:t>
      </w:r>
      <w:r w:rsidRPr="0001527C">
        <w:rPr>
          <w:rFonts w:ascii="Century Gothic" w:hAnsi="Century Gothic"/>
          <w:iCs/>
          <w:color w:val="000000"/>
          <w:sz w:val="18"/>
          <w:szCs w:val="18"/>
        </w:rPr>
        <w:t>A excepción de la interventoría del contrato de obra adjudicado por licitación pública que es obligatoria según el numeral 1° del artículo 32 de la Ley 80 de 1993.</w:t>
      </w:r>
    </w:p>
    <w:p w14:paraId="79463DE1" w14:textId="77777777" w:rsidR="008E0F13" w:rsidRPr="0001527C" w:rsidRDefault="008E0F13" w:rsidP="008E0F13">
      <w:pPr>
        <w:pStyle w:val="Textonotapie"/>
        <w:ind w:firstLine="709"/>
        <w:jc w:val="both"/>
        <w:rPr>
          <w:rFonts w:ascii="Century Gothic" w:hAnsi="Century Gothic"/>
          <w:iCs/>
          <w:color w:val="000000"/>
          <w:sz w:val="18"/>
          <w:szCs w:val="18"/>
        </w:rPr>
      </w:pPr>
    </w:p>
  </w:footnote>
  <w:footnote w:id="25">
    <w:p w14:paraId="16C0CAEA" w14:textId="77777777" w:rsidR="008E0F13" w:rsidRPr="0001527C" w:rsidRDefault="008E0F13" w:rsidP="008E0F13">
      <w:pPr>
        <w:pStyle w:val="Textonotapie"/>
        <w:ind w:firstLine="709"/>
        <w:jc w:val="both"/>
        <w:rPr>
          <w:rFonts w:ascii="Century Gothic" w:hAnsi="Century Gothic"/>
          <w:sz w:val="18"/>
          <w:szCs w:val="18"/>
        </w:rPr>
      </w:pPr>
      <w:r w:rsidRPr="0001527C">
        <w:rPr>
          <w:rStyle w:val="Refdenotaalpie"/>
          <w:rFonts w:ascii="Century Gothic" w:hAnsi="Century Gothic"/>
          <w:sz w:val="18"/>
          <w:szCs w:val="18"/>
        </w:rPr>
        <w:footnoteRef/>
      </w:r>
      <w:r w:rsidRPr="0001527C">
        <w:rPr>
          <w:rFonts w:ascii="Century Gothic" w:hAnsi="Century Gothic"/>
          <w:sz w:val="18"/>
          <w:szCs w:val="18"/>
        </w:rPr>
        <w:t xml:space="preserve"> Las Guías referidas pueden ser consultadas en la página web de esta Agencia, a través del siguiente enlace: </w:t>
      </w:r>
      <w:hyperlink r:id="rId2" w:history="1">
        <w:r w:rsidRPr="0001527C">
          <w:rPr>
            <w:rStyle w:val="Hipervnculo"/>
            <w:rFonts w:ascii="Century Gothic" w:hAnsi="Century Gothic"/>
            <w:sz w:val="18"/>
            <w:szCs w:val="18"/>
          </w:rPr>
          <w:t>https://www.colombiacompra.gov.co/manuales-guias-y-pliegos-tipo/manuales-y-guias</w:t>
        </w:r>
      </w:hyperlink>
      <w:r w:rsidRPr="0001527C">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433A6"/>
    <w:rsid w:val="000A683E"/>
    <w:rsid w:val="000B19B9"/>
    <w:rsid w:val="000D0334"/>
    <w:rsid w:val="000E4714"/>
    <w:rsid w:val="000F6486"/>
    <w:rsid w:val="00121A86"/>
    <w:rsid w:val="00125105"/>
    <w:rsid w:val="00127233"/>
    <w:rsid w:val="00161853"/>
    <w:rsid w:val="00184BF1"/>
    <w:rsid w:val="001A72E6"/>
    <w:rsid w:val="001E4177"/>
    <w:rsid w:val="002405C1"/>
    <w:rsid w:val="002714DB"/>
    <w:rsid w:val="002951A0"/>
    <w:rsid w:val="002962BC"/>
    <w:rsid w:val="002A093D"/>
    <w:rsid w:val="002A49AC"/>
    <w:rsid w:val="002A64FD"/>
    <w:rsid w:val="002C7A84"/>
    <w:rsid w:val="002D4F0C"/>
    <w:rsid w:val="0030317B"/>
    <w:rsid w:val="003448F4"/>
    <w:rsid w:val="003A55DD"/>
    <w:rsid w:val="003A779E"/>
    <w:rsid w:val="003D0F4D"/>
    <w:rsid w:val="003E0499"/>
    <w:rsid w:val="003F3941"/>
    <w:rsid w:val="00400548"/>
    <w:rsid w:val="00432C7F"/>
    <w:rsid w:val="004368BC"/>
    <w:rsid w:val="004A1847"/>
    <w:rsid w:val="004A305D"/>
    <w:rsid w:val="004B3084"/>
    <w:rsid w:val="004F21C4"/>
    <w:rsid w:val="004F685F"/>
    <w:rsid w:val="00533E8F"/>
    <w:rsid w:val="00542E22"/>
    <w:rsid w:val="005566E8"/>
    <w:rsid w:val="00574867"/>
    <w:rsid w:val="005A6AA1"/>
    <w:rsid w:val="005B5D8B"/>
    <w:rsid w:val="005C5CDC"/>
    <w:rsid w:val="005D476C"/>
    <w:rsid w:val="006219F8"/>
    <w:rsid w:val="006403BC"/>
    <w:rsid w:val="00664E3A"/>
    <w:rsid w:val="00665D70"/>
    <w:rsid w:val="006B304B"/>
    <w:rsid w:val="00706C16"/>
    <w:rsid w:val="00721E1B"/>
    <w:rsid w:val="00727370"/>
    <w:rsid w:val="007364B6"/>
    <w:rsid w:val="00756841"/>
    <w:rsid w:val="00763C80"/>
    <w:rsid w:val="007649AB"/>
    <w:rsid w:val="007833AC"/>
    <w:rsid w:val="007B7171"/>
    <w:rsid w:val="007C3DC2"/>
    <w:rsid w:val="007E5497"/>
    <w:rsid w:val="00806F5F"/>
    <w:rsid w:val="00820278"/>
    <w:rsid w:val="008843B6"/>
    <w:rsid w:val="00891928"/>
    <w:rsid w:val="008A446D"/>
    <w:rsid w:val="008C1C0F"/>
    <w:rsid w:val="008E0F13"/>
    <w:rsid w:val="008F0EA7"/>
    <w:rsid w:val="009101F6"/>
    <w:rsid w:val="00923EEF"/>
    <w:rsid w:val="009419F9"/>
    <w:rsid w:val="00961B09"/>
    <w:rsid w:val="009622D1"/>
    <w:rsid w:val="00965334"/>
    <w:rsid w:val="0097093E"/>
    <w:rsid w:val="009C71FA"/>
    <w:rsid w:val="009C72E7"/>
    <w:rsid w:val="00A17F13"/>
    <w:rsid w:val="00A20739"/>
    <w:rsid w:val="00A33C78"/>
    <w:rsid w:val="00A45DF3"/>
    <w:rsid w:val="00A8081E"/>
    <w:rsid w:val="00A81E0B"/>
    <w:rsid w:val="00A9524C"/>
    <w:rsid w:val="00AB0ADB"/>
    <w:rsid w:val="00AD5E99"/>
    <w:rsid w:val="00B72CD3"/>
    <w:rsid w:val="00B72FFF"/>
    <w:rsid w:val="00B922CA"/>
    <w:rsid w:val="00BD15D4"/>
    <w:rsid w:val="00BD1660"/>
    <w:rsid w:val="00BD2E7A"/>
    <w:rsid w:val="00BD60A8"/>
    <w:rsid w:val="00BD7F72"/>
    <w:rsid w:val="00C04FB3"/>
    <w:rsid w:val="00C30328"/>
    <w:rsid w:val="00C330EB"/>
    <w:rsid w:val="00C52E05"/>
    <w:rsid w:val="00C5663E"/>
    <w:rsid w:val="00C754BE"/>
    <w:rsid w:val="00C75BA7"/>
    <w:rsid w:val="00CB6357"/>
    <w:rsid w:val="00CC1B26"/>
    <w:rsid w:val="00D41B27"/>
    <w:rsid w:val="00D423A2"/>
    <w:rsid w:val="00D50FCA"/>
    <w:rsid w:val="00D63AC2"/>
    <w:rsid w:val="00D7383B"/>
    <w:rsid w:val="00DA231B"/>
    <w:rsid w:val="00E16408"/>
    <w:rsid w:val="00E20894"/>
    <w:rsid w:val="00E245AB"/>
    <w:rsid w:val="00E50AFE"/>
    <w:rsid w:val="00E771DC"/>
    <w:rsid w:val="00E8772A"/>
    <w:rsid w:val="00E90F6B"/>
    <w:rsid w:val="00E92C27"/>
    <w:rsid w:val="00EA0E3D"/>
    <w:rsid w:val="00EE1AA8"/>
    <w:rsid w:val="00F01A45"/>
    <w:rsid w:val="00F17039"/>
    <w:rsid w:val="00F204AB"/>
    <w:rsid w:val="00F22FC3"/>
    <w:rsid w:val="00F31EDC"/>
    <w:rsid w:val="00F5664F"/>
    <w:rsid w:val="00F613A2"/>
    <w:rsid w:val="00F76AFC"/>
    <w:rsid w:val="00FA5EAA"/>
    <w:rsid w:val="00FB5DD1"/>
    <w:rsid w:val="00FC2B5D"/>
    <w:rsid w:val="00FF1449"/>
    <w:rsid w:val="384804FF"/>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rsid w:val="008E0F13"/>
    <w:pPr>
      <w:spacing w:line="240" w:lineRule="exact"/>
    </w:pPr>
    <w:rPr>
      <w:vertAlign w:val="superscript"/>
    </w:rPr>
  </w:style>
  <w:style w:type="character" w:customStyle="1" w:styleId="baj">
    <w:name w:val="b_aj"/>
    <w:basedOn w:val="Fuentedeprrafopredeter"/>
    <w:rsid w:val="008E0F13"/>
  </w:style>
  <w:style w:type="paragraph" w:styleId="Revisin">
    <w:name w:val="Revision"/>
    <w:hidden/>
    <w:uiPriority w:val="99"/>
    <w:semiHidden/>
    <w:rsid w:val="002D4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18A4180-F1FE-4B94-AD8F-E432746B2E41}"/>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9752</Words>
  <Characters>53637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2023-01-10T21:18:00Z</cp:lastPrinted>
  <dcterms:created xsi:type="dcterms:W3CDTF">2024-06-27T23:23:00Z</dcterms:created>
  <dcterms:modified xsi:type="dcterms:W3CDTF">2024-06-27T23:28:00Z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