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38CC8" w14:textId="77777777" w:rsidR="009034D4" w:rsidRPr="00E95E0C" w:rsidRDefault="009034D4" w:rsidP="009034D4">
      <w:pPr>
        <w:spacing w:after="0" w:line="240" w:lineRule="auto"/>
        <w:rPr>
          <w:rFonts w:ascii="Century Gothic" w:eastAsia="Calibri" w:hAnsi="Century Gothic" w:cs="Arial"/>
          <w:bCs/>
          <w:sz w:val="20"/>
          <w:szCs w:val="20"/>
          <w:lang w:val="es-ES_tradnl" w:eastAsia="es-ES_tradnl"/>
        </w:rPr>
      </w:pPr>
    </w:p>
    <w:p w14:paraId="161CA5BB" w14:textId="77777777" w:rsidR="009034D4" w:rsidRPr="00BC3F65" w:rsidRDefault="009034D4" w:rsidP="009034D4">
      <w:pPr>
        <w:spacing w:after="0" w:line="240" w:lineRule="auto"/>
        <w:rPr>
          <w:rFonts w:ascii="Century Gothic" w:eastAsia="Calibri" w:hAnsi="Century Gothic" w:cs="Arial"/>
          <w:b/>
          <w:lang w:val="es-ES_tradnl" w:eastAsia="es-ES_tradnl"/>
        </w:rPr>
      </w:pPr>
      <w:r w:rsidRPr="00BC3F65">
        <w:rPr>
          <w:rFonts w:ascii="Century Gothic" w:eastAsia="Calibri" w:hAnsi="Century Gothic" w:cs="Arial"/>
          <w:b/>
          <w:lang w:val="es-ES_tradnl" w:eastAsia="es-ES_tradnl"/>
        </w:rPr>
        <w:t xml:space="preserve">CESIÓN DEL CONTRATO ESTATAL – Noción </w:t>
      </w:r>
    </w:p>
    <w:p w14:paraId="640EBEF0" w14:textId="77777777" w:rsidR="009034D4" w:rsidRPr="00E95E0C" w:rsidRDefault="009034D4" w:rsidP="009034D4">
      <w:pPr>
        <w:spacing w:after="0" w:line="240" w:lineRule="auto"/>
        <w:rPr>
          <w:rFonts w:ascii="Century Gothic" w:eastAsia="Calibri" w:hAnsi="Century Gothic" w:cs="Arial"/>
          <w:bCs/>
          <w:sz w:val="20"/>
          <w:szCs w:val="20"/>
          <w:lang w:val="es-ES_tradnl" w:eastAsia="es-ES_tradnl"/>
        </w:rPr>
      </w:pPr>
    </w:p>
    <w:p w14:paraId="24BFEC62" w14:textId="77777777" w:rsidR="009034D4" w:rsidRPr="00E95E0C" w:rsidRDefault="009034D4" w:rsidP="009034D4">
      <w:pPr>
        <w:spacing w:after="0" w:line="240" w:lineRule="auto"/>
        <w:jc w:val="both"/>
        <w:rPr>
          <w:rFonts w:ascii="Century Gothic" w:eastAsia="Calibri" w:hAnsi="Century Gothic" w:cs="Arial"/>
          <w:color w:val="000000" w:themeColor="text1"/>
          <w:sz w:val="20"/>
          <w:szCs w:val="20"/>
        </w:rPr>
      </w:pPr>
      <w:r w:rsidRPr="00E95E0C">
        <w:rPr>
          <w:rFonts w:ascii="Century Gothic" w:eastAsia="Calibri" w:hAnsi="Century Gothic" w:cs="Arial"/>
          <w:color w:val="000000" w:themeColor="text1"/>
          <w:sz w:val="20"/>
          <w:szCs w:val="20"/>
        </w:rPr>
        <w:t xml:space="preserve">La cesión de la posición contractual puede entenderse como un acto y como un efecto. Por un lado, “[…] es el contrato con el cual el cedente, parte de otro contrato ya en curso con otro sujeto (cedido), transfiere la relativa posición contractual (en sus componentes activos y pasivos) al cesionario, el cual le </w:t>
      </w:r>
      <w:proofErr w:type="spellStart"/>
      <w:r w:rsidRPr="00E95E0C">
        <w:rPr>
          <w:rFonts w:ascii="Century Gothic" w:eastAsia="Calibri" w:hAnsi="Century Gothic" w:cs="Arial"/>
          <w:color w:val="000000" w:themeColor="text1"/>
          <w:sz w:val="20"/>
          <w:szCs w:val="20"/>
        </w:rPr>
        <w:t>subentra</w:t>
      </w:r>
      <w:proofErr w:type="spellEnd"/>
      <w:r w:rsidRPr="00E95E0C">
        <w:rPr>
          <w:rFonts w:ascii="Century Gothic" w:eastAsia="Calibri" w:hAnsi="Century Gothic" w:cs="Arial"/>
          <w:color w:val="000000" w:themeColor="text1"/>
          <w:sz w:val="20"/>
          <w:szCs w:val="20"/>
        </w:rPr>
        <w:t xml:space="preserve"> en la relación con el cedido […]”. Por otro, “[…] es la transferencia de la posición contractual de un contratante a otro sujeto, que le </w:t>
      </w:r>
      <w:proofErr w:type="spellStart"/>
      <w:r w:rsidRPr="00E95E0C">
        <w:rPr>
          <w:rFonts w:ascii="Century Gothic" w:eastAsia="Calibri" w:hAnsi="Century Gothic" w:cs="Arial"/>
          <w:color w:val="000000" w:themeColor="text1"/>
          <w:sz w:val="20"/>
          <w:szCs w:val="20"/>
        </w:rPr>
        <w:t>subentra</w:t>
      </w:r>
      <w:proofErr w:type="spellEnd"/>
      <w:r w:rsidRPr="00E95E0C">
        <w:rPr>
          <w:rFonts w:ascii="Century Gothic" w:eastAsia="Calibri" w:hAnsi="Century Gothic" w:cs="Arial"/>
          <w:color w:val="000000" w:themeColor="text1"/>
          <w:sz w:val="20"/>
          <w:szCs w:val="20"/>
        </w:rPr>
        <w:t xml:space="preserve"> en la relación con la contraparte […]”. De esta manera, </w:t>
      </w:r>
      <w:r w:rsidRPr="00E95E0C">
        <w:rPr>
          <w:rFonts w:ascii="Century Gothic" w:hAnsi="Century Gothic" w:cs="Arial"/>
          <w:color w:val="000000" w:themeColor="text1"/>
          <w:sz w:val="20"/>
          <w:szCs w:val="20"/>
        </w:rPr>
        <w:t xml:space="preserve">concurren tres (3) sujetos: i) el cedente, esto es, el contratista inicial; </w:t>
      </w:r>
      <w:proofErr w:type="spellStart"/>
      <w:r w:rsidRPr="00E95E0C">
        <w:rPr>
          <w:rFonts w:ascii="Century Gothic" w:hAnsi="Century Gothic" w:cs="Arial"/>
          <w:color w:val="000000" w:themeColor="text1"/>
          <w:sz w:val="20"/>
          <w:szCs w:val="20"/>
        </w:rPr>
        <w:t>ii</w:t>
      </w:r>
      <w:proofErr w:type="spellEnd"/>
      <w:r w:rsidRPr="00E95E0C">
        <w:rPr>
          <w:rFonts w:ascii="Century Gothic" w:hAnsi="Century Gothic" w:cs="Arial"/>
          <w:color w:val="000000" w:themeColor="text1"/>
          <w:sz w:val="20"/>
          <w:szCs w:val="20"/>
        </w:rPr>
        <w:t xml:space="preserve">) el cesionario, es decir, quien asume total o parcialmente los derechos y obligaciones de este último; y </w:t>
      </w:r>
      <w:proofErr w:type="spellStart"/>
      <w:r w:rsidRPr="00E95E0C">
        <w:rPr>
          <w:rFonts w:ascii="Century Gothic" w:hAnsi="Century Gothic" w:cs="Arial"/>
          <w:color w:val="000000" w:themeColor="text1"/>
          <w:sz w:val="20"/>
          <w:szCs w:val="20"/>
        </w:rPr>
        <w:t>iii</w:t>
      </w:r>
      <w:proofErr w:type="spellEnd"/>
      <w:r w:rsidRPr="00E95E0C">
        <w:rPr>
          <w:rFonts w:ascii="Century Gothic" w:hAnsi="Century Gothic" w:cs="Arial"/>
          <w:color w:val="000000" w:themeColor="text1"/>
          <w:sz w:val="20"/>
          <w:szCs w:val="20"/>
        </w:rPr>
        <w:t xml:space="preserve">) el cedido que, en el caso de los contratos estatales, sería la entidad que suscribió el contrato. </w:t>
      </w:r>
      <w:r w:rsidRPr="00E95E0C">
        <w:rPr>
          <w:rFonts w:ascii="Century Gothic" w:eastAsia="Calibri" w:hAnsi="Century Gothic" w:cs="Arial"/>
          <w:color w:val="000000" w:themeColor="text1"/>
          <w:sz w:val="20"/>
          <w:szCs w:val="20"/>
        </w:rPr>
        <w:t>Por tanto, la cesión de contrato es una figura jurídica por la que terceros ajenos a los contratantes iniciales participan en negocios que están ejecutando cuando no se hayan cumplido la totalidad de las obligaciones, permitiendo que sean éstos quienes realicen las prestaciones faltantes.</w:t>
      </w:r>
    </w:p>
    <w:p w14:paraId="71DC345B" w14:textId="77777777" w:rsidR="009034D4" w:rsidRPr="00E95E0C" w:rsidRDefault="009034D4" w:rsidP="009034D4">
      <w:pPr>
        <w:spacing w:after="0" w:line="240" w:lineRule="auto"/>
        <w:jc w:val="both"/>
        <w:rPr>
          <w:rFonts w:ascii="Century Gothic" w:eastAsia="Calibri" w:hAnsi="Century Gothic" w:cs="Arial"/>
          <w:color w:val="000000" w:themeColor="text1"/>
          <w:sz w:val="20"/>
          <w:szCs w:val="20"/>
        </w:rPr>
      </w:pPr>
    </w:p>
    <w:p w14:paraId="27D16F36" w14:textId="77777777" w:rsidR="009034D4" w:rsidRPr="00BC3F65" w:rsidRDefault="009034D4" w:rsidP="009034D4">
      <w:pPr>
        <w:spacing w:after="0" w:line="240" w:lineRule="auto"/>
        <w:jc w:val="both"/>
        <w:rPr>
          <w:rFonts w:ascii="Century Gothic" w:eastAsia="Calibri" w:hAnsi="Century Gothic" w:cs="Arial"/>
          <w:b/>
          <w:lang w:val="es-ES_tradnl" w:eastAsia="es-ES_tradnl"/>
        </w:rPr>
      </w:pPr>
      <w:r w:rsidRPr="00BC3F65">
        <w:rPr>
          <w:rFonts w:ascii="Century Gothic" w:eastAsia="Calibri" w:hAnsi="Century Gothic" w:cs="Arial"/>
          <w:b/>
          <w:lang w:val="es-ES_tradnl" w:eastAsia="es-ES_tradnl"/>
        </w:rPr>
        <w:t>CESIÓN DEL CONTRATO ESTATAL – Régimen jurídico aplicable – EGCAP – Código de comercio</w:t>
      </w:r>
    </w:p>
    <w:p w14:paraId="28A430AD" w14:textId="77777777" w:rsidR="009034D4" w:rsidRPr="00E95E0C" w:rsidRDefault="009034D4" w:rsidP="009034D4">
      <w:pPr>
        <w:spacing w:after="0" w:line="240" w:lineRule="auto"/>
        <w:jc w:val="both"/>
        <w:rPr>
          <w:rFonts w:ascii="Century Gothic" w:eastAsia="Calibri" w:hAnsi="Century Gothic" w:cs="Arial"/>
          <w:bCs/>
          <w:sz w:val="20"/>
          <w:szCs w:val="20"/>
          <w:lang w:val="es-ES_tradnl" w:eastAsia="es-ES_tradnl"/>
        </w:rPr>
      </w:pPr>
    </w:p>
    <w:p w14:paraId="3DEC3051" w14:textId="77777777" w:rsidR="009034D4" w:rsidRPr="00E95E0C" w:rsidRDefault="009034D4" w:rsidP="009034D4">
      <w:pPr>
        <w:spacing w:after="0" w:line="240" w:lineRule="auto"/>
        <w:jc w:val="both"/>
        <w:rPr>
          <w:rFonts w:ascii="Century Gothic" w:eastAsia="Calibri" w:hAnsi="Century Gothic" w:cs="Arial"/>
          <w:color w:val="000000" w:themeColor="text1"/>
          <w:sz w:val="20"/>
          <w:szCs w:val="20"/>
        </w:rPr>
      </w:pPr>
      <w:r w:rsidRPr="00E95E0C">
        <w:rPr>
          <w:rFonts w:ascii="Century Gothic" w:eastAsia="Calibri" w:hAnsi="Century Gothic" w:cs="Arial"/>
          <w:color w:val="000000" w:themeColor="text1"/>
          <w:sz w:val="20"/>
          <w:szCs w:val="20"/>
        </w:rPr>
        <w:t xml:space="preserve">Tratándose de la cesión de contratos estatales, conforme a la regulación del EGCAP, confluyen una mixtura entre el derecho público y privado en su regulación. En efecto, i) los contratos estatales se regirán por las normas comerciales y civiles pertinentes, salvo en lo concerniente a las materias particularmente reguladas en dicha ley, de acuerdo con lo prescrito en el inciso primero del artículo 13 de la Ley 80 de 1993, por lo que deben observarse en primer término las disposiciones establecidas en el EGCAP; </w:t>
      </w:r>
      <w:proofErr w:type="spellStart"/>
      <w:r w:rsidRPr="00E95E0C">
        <w:rPr>
          <w:rFonts w:ascii="Century Gothic" w:eastAsia="Calibri" w:hAnsi="Century Gothic" w:cs="Arial"/>
          <w:color w:val="000000" w:themeColor="text1"/>
          <w:sz w:val="20"/>
          <w:szCs w:val="20"/>
        </w:rPr>
        <w:t>ii</w:t>
      </w:r>
      <w:proofErr w:type="spellEnd"/>
      <w:r w:rsidRPr="00E95E0C">
        <w:rPr>
          <w:rFonts w:ascii="Century Gothic" w:eastAsia="Calibri" w:hAnsi="Century Gothic" w:cs="Arial"/>
          <w:color w:val="000000" w:themeColor="text1"/>
          <w:sz w:val="20"/>
          <w:szCs w:val="20"/>
        </w:rPr>
        <w:t xml:space="preserve">) corresponderán como actos jurídicos bilaterales generadores de obligaciones, entre otros, a los previstos en el derecho privado, en los términos del artículo 32 </w:t>
      </w:r>
      <w:r w:rsidRPr="00E95E0C">
        <w:rPr>
          <w:rFonts w:ascii="Century Gothic" w:eastAsia="Calibri" w:hAnsi="Century Gothic" w:cs="Arial"/>
          <w:i/>
          <w:iCs/>
          <w:color w:val="000000" w:themeColor="text1"/>
          <w:sz w:val="20"/>
          <w:szCs w:val="20"/>
        </w:rPr>
        <w:t>ibidem</w:t>
      </w:r>
      <w:r w:rsidRPr="00E95E0C">
        <w:rPr>
          <w:rFonts w:ascii="Century Gothic" w:eastAsia="Calibri" w:hAnsi="Century Gothic" w:cs="Arial"/>
          <w:color w:val="000000" w:themeColor="text1"/>
          <w:sz w:val="20"/>
          <w:szCs w:val="20"/>
        </w:rPr>
        <w:t xml:space="preserve">; y </w:t>
      </w:r>
      <w:proofErr w:type="spellStart"/>
      <w:r w:rsidRPr="00E95E0C">
        <w:rPr>
          <w:rFonts w:ascii="Century Gothic" w:eastAsia="Calibri" w:hAnsi="Century Gothic" w:cs="Arial"/>
          <w:color w:val="000000" w:themeColor="text1"/>
          <w:sz w:val="20"/>
          <w:szCs w:val="20"/>
        </w:rPr>
        <w:t>iii</w:t>
      </w:r>
      <w:proofErr w:type="spellEnd"/>
      <w:r w:rsidRPr="00E95E0C">
        <w:rPr>
          <w:rFonts w:ascii="Century Gothic" w:eastAsia="Calibri" w:hAnsi="Century Gothic" w:cs="Arial"/>
          <w:color w:val="000000" w:themeColor="text1"/>
          <w:sz w:val="20"/>
          <w:szCs w:val="20"/>
        </w:rPr>
        <w:t xml:space="preserve">) contendrán las estipulaciones que, de acuerdo con las normas civiles, comerciales y las previstas en esta ley, correspondan a su esencia y naturaleza, conforme a lo dispuesto por el artículo 40 </w:t>
      </w:r>
      <w:r w:rsidRPr="00E95E0C">
        <w:rPr>
          <w:rFonts w:ascii="Century Gothic" w:eastAsia="Calibri" w:hAnsi="Century Gothic" w:cs="Arial"/>
          <w:i/>
          <w:iCs/>
          <w:color w:val="000000" w:themeColor="text1"/>
          <w:sz w:val="20"/>
          <w:szCs w:val="20"/>
        </w:rPr>
        <w:t>ibidem</w:t>
      </w:r>
      <w:r w:rsidRPr="00E95E0C">
        <w:rPr>
          <w:rFonts w:ascii="Century Gothic" w:eastAsia="Calibri" w:hAnsi="Century Gothic" w:cs="Arial"/>
          <w:color w:val="000000" w:themeColor="text1"/>
          <w:sz w:val="20"/>
          <w:szCs w:val="20"/>
        </w:rPr>
        <w:t xml:space="preserve">. </w:t>
      </w:r>
    </w:p>
    <w:p w14:paraId="29067A9B" w14:textId="77777777" w:rsidR="009034D4" w:rsidRPr="00E95E0C" w:rsidRDefault="009034D4" w:rsidP="009034D4">
      <w:pPr>
        <w:spacing w:after="0" w:line="240" w:lineRule="auto"/>
        <w:jc w:val="both"/>
        <w:rPr>
          <w:rFonts w:ascii="Century Gothic" w:eastAsia="Calibri" w:hAnsi="Century Gothic" w:cs="Arial"/>
          <w:color w:val="000000" w:themeColor="text1"/>
          <w:sz w:val="20"/>
          <w:szCs w:val="20"/>
        </w:rPr>
      </w:pPr>
    </w:p>
    <w:p w14:paraId="789A445A" w14:textId="77777777" w:rsidR="009034D4" w:rsidRPr="00BC3F65" w:rsidRDefault="009034D4" w:rsidP="009034D4">
      <w:pPr>
        <w:spacing w:after="0" w:line="240" w:lineRule="auto"/>
        <w:jc w:val="both"/>
        <w:rPr>
          <w:rFonts w:ascii="Century Gothic" w:eastAsia="Calibri" w:hAnsi="Century Gothic" w:cs="Arial"/>
          <w:b/>
          <w:lang w:val="es-ES_tradnl" w:eastAsia="es-ES_tradnl"/>
        </w:rPr>
      </w:pPr>
      <w:r w:rsidRPr="00BC3F65">
        <w:rPr>
          <w:rFonts w:ascii="Century Gothic" w:eastAsia="Calibri" w:hAnsi="Century Gothic" w:cs="Arial"/>
          <w:b/>
          <w:lang w:val="es-ES_tradnl" w:eastAsia="es-ES_tradnl"/>
        </w:rPr>
        <w:t>CESIÓN DEL CONTRATO ESTATAL – Requisitos – Restricciones</w:t>
      </w:r>
    </w:p>
    <w:p w14:paraId="513D2BCD" w14:textId="77777777" w:rsidR="009034D4" w:rsidRPr="00E95E0C" w:rsidRDefault="009034D4" w:rsidP="009034D4">
      <w:pPr>
        <w:spacing w:after="0" w:line="240" w:lineRule="auto"/>
        <w:jc w:val="both"/>
        <w:rPr>
          <w:rFonts w:ascii="Century Gothic" w:eastAsia="Calibri" w:hAnsi="Century Gothic" w:cs="Arial"/>
          <w:color w:val="000000" w:themeColor="text1"/>
          <w:sz w:val="20"/>
          <w:szCs w:val="20"/>
        </w:rPr>
      </w:pPr>
    </w:p>
    <w:p w14:paraId="32C64219" w14:textId="77777777" w:rsidR="009034D4" w:rsidRPr="00E95E0C" w:rsidRDefault="009034D4" w:rsidP="009034D4">
      <w:pPr>
        <w:tabs>
          <w:tab w:val="left" w:pos="709"/>
        </w:tabs>
        <w:spacing w:after="0" w:line="240" w:lineRule="auto"/>
        <w:jc w:val="both"/>
        <w:rPr>
          <w:rFonts w:ascii="Century Gothic" w:eastAsia="Calibri" w:hAnsi="Century Gothic" w:cs="Arial"/>
          <w:color w:val="000000" w:themeColor="text1"/>
          <w:sz w:val="20"/>
          <w:szCs w:val="20"/>
        </w:rPr>
      </w:pPr>
      <w:r w:rsidRPr="00E95E0C">
        <w:rPr>
          <w:rFonts w:ascii="Century Gothic" w:eastAsia="Calibri" w:hAnsi="Century Gothic" w:cs="Arial"/>
          <w:color w:val="000000" w:themeColor="text1"/>
          <w:sz w:val="20"/>
          <w:szCs w:val="20"/>
        </w:rPr>
        <w:t xml:space="preserve">[…] el Consejo de Estado ha precisado como requisitos de la cesión del contrato estatal los siguientes: i) debe recaer en un tercero; </w:t>
      </w:r>
      <w:proofErr w:type="spellStart"/>
      <w:r w:rsidRPr="00E95E0C">
        <w:rPr>
          <w:rFonts w:ascii="Century Gothic" w:eastAsia="Calibri" w:hAnsi="Century Gothic" w:cs="Arial"/>
          <w:color w:val="000000" w:themeColor="text1"/>
          <w:sz w:val="20"/>
          <w:szCs w:val="20"/>
        </w:rPr>
        <w:t>ii</w:t>
      </w:r>
      <w:proofErr w:type="spellEnd"/>
      <w:r w:rsidRPr="00E95E0C">
        <w:rPr>
          <w:rFonts w:ascii="Century Gothic" w:eastAsia="Calibri" w:hAnsi="Century Gothic" w:cs="Arial"/>
          <w:color w:val="000000" w:themeColor="text1"/>
          <w:sz w:val="20"/>
          <w:szCs w:val="20"/>
        </w:rPr>
        <w:t xml:space="preserve">) el cesionario debe tener capacidad jurídica para continuar con la ejecución del objeto contractual y no estar incurso en causales de inhabilidad e incompatibilidad para contratar; y </w:t>
      </w:r>
      <w:proofErr w:type="spellStart"/>
      <w:r w:rsidRPr="00E95E0C">
        <w:rPr>
          <w:rFonts w:ascii="Century Gothic" w:eastAsia="Calibri" w:hAnsi="Century Gothic" w:cs="Arial"/>
          <w:color w:val="000000" w:themeColor="text1"/>
          <w:sz w:val="20"/>
          <w:szCs w:val="20"/>
        </w:rPr>
        <w:t>iii</w:t>
      </w:r>
      <w:proofErr w:type="spellEnd"/>
      <w:r w:rsidRPr="00E95E0C">
        <w:rPr>
          <w:rFonts w:ascii="Century Gothic" w:eastAsia="Calibri" w:hAnsi="Century Gothic" w:cs="Arial"/>
          <w:color w:val="000000" w:themeColor="text1"/>
          <w:sz w:val="20"/>
          <w:szCs w:val="20"/>
        </w:rPr>
        <w:t>) el cesionario debe contar con capacidad técnica, económica y financiera suficientes para el cumplimiento de las obligaciones emanadas del contrato cedido. Al respecto, la Sección Tercera del Consejo de Estado ha explicado que, en la medida que el tercero cesionario asume la posición contractual del contratista cedente, las disposiciones, los pliegos de condiciones y el contrato mismo serán aplicables a quien asuma la nueva posición contractual. De esta manera, la capacidad jurídica, económica y técnica del contratista cedente se exigirá también al cesionario, ya que “[…] el proceso cesión del contrato y las exigencias que se le impongan al tercero, no pueden alterar ni burlar los procedimientos de selección del contratista, en otras palabras, la figura de la cesión de contrato no puede servir como instrumento para desviar las obligaciones que tiene la entidad contratante de cumplimiento de los parámetros de la selección objetiva”.</w:t>
      </w:r>
    </w:p>
    <w:p w14:paraId="7AE27EC3" w14:textId="77777777" w:rsidR="009034D4" w:rsidRPr="00E95E0C" w:rsidRDefault="009034D4" w:rsidP="009034D4">
      <w:pPr>
        <w:tabs>
          <w:tab w:val="left" w:pos="709"/>
        </w:tabs>
        <w:spacing w:after="0" w:line="240" w:lineRule="auto"/>
        <w:jc w:val="both"/>
        <w:rPr>
          <w:rFonts w:ascii="Century Gothic" w:eastAsia="Calibri" w:hAnsi="Century Gothic" w:cs="Arial"/>
          <w:color w:val="000000" w:themeColor="text1"/>
          <w:sz w:val="20"/>
          <w:szCs w:val="20"/>
        </w:rPr>
      </w:pPr>
      <w:r w:rsidRPr="00E95E0C">
        <w:rPr>
          <w:rFonts w:ascii="Century Gothic" w:eastAsia="Calibri" w:hAnsi="Century Gothic" w:cs="Arial"/>
          <w:color w:val="000000" w:themeColor="text1"/>
          <w:sz w:val="20"/>
          <w:szCs w:val="20"/>
        </w:rPr>
        <w:lastRenderedPageBreak/>
        <w:t>[…]</w:t>
      </w:r>
    </w:p>
    <w:p w14:paraId="5E25FC32" w14:textId="77777777" w:rsidR="009034D4" w:rsidRPr="00E95E0C" w:rsidRDefault="009034D4" w:rsidP="009034D4">
      <w:pPr>
        <w:tabs>
          <w:tab w:val="left" w:pos="709"/>
        </w:tabs>
        <w:spacing w:after="0" w:line="240" w:lineRule="auto"/>
        <w:jc w:val="both"/>
        <w:rPr>
          <w:rFonts w:ascii="Century Gothic" w:eastAsia="Calibri" w:hAnsi="Century Gothic" w:cs="Arial"/>
          <w:color w:val="000000" w:themeColor="text1"/>
          <w:sz w:val="20"/>
          <w:szCs w:val="20"/>
        </w:rPr>
      </w:pPr>
    </w:p>
    <w:p w14:paraId="7248DFA8" w14:textId="77777777" w:rsidR="009034D4" w:rsidRPr="00E95E0C" w:rsidRDefault="009034D4" w:rsidP="009034D4">
      <w:pPr>
        <w:tabs>
          <w:tab w:val="left" w:pos="709"/>
        </w:tabs>
        <w:spacing w:after="0" w:line="240" w:lineRule="auto"/>
        <w:jc w:val="both"/>
        <w:rPr>
          <w:rFonts w:ascii="Century Gothic" w:eastAsia="Calibri" w:hAnsi="Century Gothic" w:cs="Arial"/>
          <w:color w:val="000000" w:themeColor="text1"/>
          <w:sz w:val="20"/>
          <w:szCs w:val="20"/>
        </w:rPr>
      </w:pPr>
      <w:r w:rsidRPr="00E95E0C">
        <w:rPr>
          <w:rFonts w:ascii="Century Gothic" w:eastAsia="Calibri" w:hAnsi="Century Gothic" w:cs="Arial"/>
          <w:color w:val="000000" w:themeColor="text1"/>
          <w:sz w:val="20"/>
          <w:szCs w:val="20"/>
        </w:rPr>
        <w:t xml:space="preserve">Además, el inciso primero del artículo 9 de la Ley 80 de 1993 establece una importante previsión en materia de cesión del contrato estatal, conforme a la cual “Si llegare a sobrevenir inhabilidad o incompatibilidad en el contratista, este cederá el contrato previa autorización escrita de la entidad contratante o, si ello no fuere posible, renunciará a su ejecución”. Además, en el inciso tercero del artículo citado impone una limitación a la cesión dentro del contrato estatal, que consiste en que, si la inhabilidad o incompatibilidad sobreviene a uno de los miembros del consorcio o unión temporal, “[…] este cederá su participación a un tercero previa autorización escrita de la entidad contratante […]”, y establece que “[…] En ningún caso, podrá haber cesión del contrato entre quienes integran el consorcio o unión temporal”. </w:t>
      </w:r>
    </w:p>
    <w:p w14:paraId="70B91389" w14:textId="77777777" w:rsidR="009034D4" w:rsidRPr="00E95E0C" w:rsidRDefault="009034D4" w:rsidP="009034D4">
      <w:pPr>
        <w:tabs>
          <w:tab w:val="left" w:pos="709"/>
        </w:tabs>
        <w:spacing w:after="0" w:line="240" w:lineRule="auto"/>
        <w:jc w:val="both"/>
        <w:rPr>
          <w:rFonts w:ascii="Century Gothic" w:eastAsia="Calibri" w:hAnsi="Century Gothic" w:cs="Arial"/>
          <w:color w:val="000000" w:themeColor="text1"/>
          <w:sz w:val="20"/>
          <w:szCs w:val="20"/>
        </w:rPr>
      </w:pPr>
    </w:p>
    <w:p w14:paraId="072F5101" w14:textId="77777777" w:rsidR="009034D4" w:rsidRPr="00BC3F65" w:rsidRDefault="009034D4" w:rsidP="009034D4">
      <w:pPr>
        <w:tabs>
          <w:tab w:val="left" w:pos="709"/>
        </w:tabs>
        <w:spacing w:after="0" w:line="240" w:lineRule="auto"/>
        <w:jc w:val="both"/>
        <w:rPr>
          <w:rFonts w:ascii="Century Gothic" w:eastAsia="Calibri" w:hAnsi="Century Gothic" w:cs="Arial"/>
          <w:b/>
          <w:lang w:val="es-ES_tradnl" w:eastAsia="es-ES_tradnl"/>
        </w:rPr>
      </w:pPr>
      <w:r w:rsidRPr="00BC3F65">
        <w:rPr>
          <w:rFonts w:ascii="Century Gothic" w:eastAsia="Calibri" w:hAnsi="Century Gothic" w:cs="Arial"/>
          <w:b/>
          <w:lang w:val="es-ES_tradnl" w:eastAsia="es-ES_tradnl"/>
        </w:rPr>
        <w:t xml:space="preserve">PROPONENTE PLURAL </w:t>
      </w:r>
      <w:r w:rsidRPr="00BC3F65">
        <w:rPr>
          <w:rFonts w:ascii="Arial" w:eastAsia="Calibri" w:hAnsi="Arial" w:cs="Arial"/>
          <w:b/>
          <w:lang w:val="es-ES_tradnl" w:eastAsia="es-ES_tradnl"/>
        </w:rPr>
        <w:t>‒</w:t>
      </w:r>
      <w:r w:rsidRPr="00BC3F65">
        <w:rPr>
          <w:rFonts w:ascii="Century Gothic" w:eastAsia="Calibri" w:hAnsi="Century Gothic" w:cs="Arial"/>
          <w:b/>
          <w:lang w:val="es-ES_tradnl" w:eastAsia="es-ES_tradnl"/>
        </w:rPr>
        <w:t xml:space="preserve"> Consorcio </w:t>
      </w:r>
      <w:r w:rsidRPr="00BC3F65">
        <w:rPr>
          <w:rFonts w:ascii="Arial" w:eastAsia="Calibri" w:hAnsi="Arial" w:cs="Arial"/>
          <w:b/>
          <w:lang w:val="es-ES_tradnl" w:eastAsia="es-ES_tradnl"/>
        </w:rPr>
        <w:t>‒</w:t>
      </w:r>
      <w:r w:rsidRPr="00BC3F65">
        <w:rPr>
          <w:rFonts w:ascii="Century Gothic" w:eastAsia="Calibri" w:hAnsi="Century Gothic" w:cs="Arial"/>
          <w:b/>
          <w:lang w:val="es-ES_tradnl" w:eastAsia="es-ES_tradnl"/>
        </w:rPr>
        <w:t xml:space="preserve"> Uni</w:t>
      </w:r>
      <w:r w:rsidRPr="00BC3F65">
        <w:rPr>
          <w:rFonts w:ascii="Century Gothic" w:eastAsia="Calibri" w:hAnsi="Century Gothic" w:cs="Century Gothic"/>
          <w:b/>
          <w:lang w:val="es-ES_tradnl" w:eastAsia="es-ES_tradnl"/>
        </w:rPr>
        <w:t>ó</w:t>
      </w:r>
      <w:r w:rsidRPr="00BC3F65">
        <w:rPr>
          <w:rFonts w:ascii="Century Gothic" w:eastAsia="Calibri" w:hAnsi="Century Gothic" w:cs="Arial"/>
          <w:b/>
          <w:lang w:val="es-ES_tradnl" w:eastAsia="es-ES_tradnl"/>
        </w:rPr>
        <w:t xml:space="preserve">n temporal </w:t>
      </w:r>
      <w:r w:rsidRPr="00BC3F65">
        <w:rPr>
          <w:rFonts w:ascii="Arial" w:eastAsia="Calibri" w:hAnsi="Arial" w:cs="Arial"/>
          <w:b/>
          <w:lang w:val="es-ES_tradnl" w:eastAsia="es-ES_tradnl"/>
        </w:rPr>
        <w:t>‒</w:t>
      </w:r>
      <w:r w:rsidRPr="00BC3F65">
        <w:rPr>
          <w:rFonts w:ascii="Century Gothic" w:eastAsia="Calibri" w:hAnsi="Century Gothic" w:cs="Arial"/>
          <w:b/>
          <w:lang w:val="es-ES_tradnl" w:eastAsia="es-ES_tradnl"/>
        </w:rPr>
        <w:t xml:space="preserve"> Concepto </w:t>
      </w:r>
      <w:r w:rsidRPr="00BC3F65">
        <w:rPr>
          <w:rFonts w:ascii="Century Gothic" w:eastAsia="Calibri" w:hAnsi="Century Gothic" w:cs="Century Gothic"/>
          <w:b/>
          <w:lang w:val="es-ES_tradnl" w:eastAsia="es-ES_tradnl"/>
        </w:rPr>
        <w:t>–</w:t>
      </w:r>
      <w:r w:rsidRPr="00BC3F65">
        <w:rPr>
          <w:rFonts w:ascii="Century Gothic" w:eastAsia="Calibri" w:hAnsi="Century Gothic" w:cs="Arial"/>
          <w:b/>
          <w:lang w:val="es-ES_tradnl" w:eastAsia="es-ES_tradnl"/>
        </w:rPr>
        <w:t xml:space="preserve"> Diferencias</w:t>
      </w:r>
    </w:p>
    <w:p w14:paraId="3D434BEF" w14:textId="77777777" w:rsidR="009034D4" w:rsidRPr="00E95E0C" w:rsidRDefault="009034D4" w:rsidP="009034D4">
      <w:pPr>
        <w:tabs>
          <w:tab w:val="left" w:pos="709"/>
        </w:tabs>
        <w:spacing w:after="0" w:line="240" w:lineRule="auto"/>
        <w:jc w:val="both"/>
        <w:rPr>
          <w:rFonts w:ascii="Century Gothic" w:eastAsia="Calibri" w:hAnsi="Century Gothic" w:cs="Arial"/>
          <w:bCs/>
          <w:sz w:val="20"/>
          <w:szCs w:val="20"/>
          <w:lang w:val="es-ES_tradnl" w:eastAsia="es-ES_tradnl"/>
        </w:rPr>
      </w:pPr>
    </w:p>
    <w:p w14:paraId="59C4EEFB" w14:textId="77777777" w:rsidR="009034D4" w:rsidRPr="00E95E0C" w:rsidRDefault="009034D4" w:rsidP="009034D4">
      <w:pPr>
        <w:spacing w:after="0" w:line="240" w:lineRule="auto"/>
        <w:jc w:val="both"/>
        <w:rPr>
          <w:rFonts w:ascii="Century Gothic" w:hAnsi="Century Gothic" w:cs="Arial"/>
          <w:color w:val="000000" w:themeColor="text1"/>
          <w:sz w:val="20"/>
          <w:szCs w:val="20"/>
        </w:rPr>
      </w:pPr>
      <w:r w:rsidRPr="00E95E0C">
        <w:rPr>
          <w:rFonts w:ascii="Century Gothic" w:hAnsi="Century Gothic" w:cs="Arial"/>
          <w:color w:val="000000" w:themeColor="text1"/>
          <w:sz w:val="20"/>
          <w:szCs w:val="20"/>
        </w:rPr>
        <w:t xml:space="preserve">[…] 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  </w:t>
      </w:r>
    </w:p>
    <w:p w14:paraId="7311073F" w14:textId="77777777" w:rsidR="009034D4" w:rsidRPr="00E95E0C" w:rsidRDefault="009034D4" w:rsidP="009034D4">
      <w:pPr>
        <w:spacing w:after="0" w:line="240" w:lineRule="auto"/>
        <w:jc w:val="both"/>
        <w:rPr>
          <w:rFonts w:ascii="Century Gothic" w:hAnsi="Century Gothic" w:cs="Arial"/>
          <w:color w:val="000000" w:themeColor="text1"/>
          <w:sz w:val="20"/>
          <w:szCs w:val="20"/>
        </w:rPr>
      </w:pPr>
      <w:r w:rsidRPr="00E95E0C">
        <w:rPr>
          <w:rFonts w:ascii="Century Gothic" w:hAnsi="Century Gothic" w:cs="Arial"/>
          <w:color w:val="000000" w:themeColor="text1"/>
          <w:sz w:val="20"/>
          <w:szCs w:val="20"/>
        </w:rPr>
        <w:t xml:space="preserve"> </w:t>
      </w:r>
    </w:p>
    <w:p w14:paraId="6F4FE396" w14:textId="77777777" w:rsidR="009034D4" w:rsidRPr="00BC3F65" w:rsidRDefault="009034D4" w:rsidP="009034D4">
      <w:pPr>
        <w:tabs>
          <w:tab w:val="left" w:pos="709"/>
        </w:tabs>
        <w:spacing w:after="0" w:line="240" w:lineRule="auto"/>
        <w:jc w:val="both"/>
        <w:rPr>
          <w:rFonts w:ascii="Century Gothic" w:eastAsia="Calibri" w:hAnsi="Century Gothic" w:cs="Arial"/>
          <w:b/>
          <w:color w:val="000000" w:themeColor="text1"/>
        </w:rPr>
      </w:pPr>
      <w:r w:rsidRPr="00BC3F65">
        <w:rPr>
          <w:rFonts w:ascii="Century Gothic" w:eastAsia="Calibri" w:hAnsi="Century Gothic" w:cs="Arial"/>
          <w:b/>
          <w:lang w:val="es-ES_tradnl" w:eastAsia="es-ES_tradnl"/>
        </w:rPr>
        <w:t>CONSORCIOS Y UNIONES TEMPORALES – Ausencia de personería jurídica – falta de capacidad como cesionarios</w:t>
      </w:r>
    </w:p>
    <w:p w14:paraId="66DADA51" w14:textId="77777777" w:rsidR="009034D4" w:rsidRPr="00E95E0C" w:rsidRDefault="009034D4" w:rsidP="009034D4">
      <w:pPr>
        <w:spacing w:after="0" w:line="240" w:lineRule="auto"/>
        <w:jc w:val="both"/>
        <w:rPr>
          <w:rFonts w:ascii="Century Gothic" w:eastAsia="Calibri" w:hAnsi="Century Gothic" w:cs="Arial"/>
          <w:bCs/>
          <w:sz w:val="20"/>
          <w:szCs w:val="20"/>
          <w:lang w:val="es-ES_tradnl" w:eastAsia="es-ES_tradnl"/>
        </w:rPr>
      </w:pPr>
    </w:p>
    <w:p w14:paraId="74F633C2" w14:textId="77777777" w:rsidR="009034D4" w:rsidRPr="00E95E0C" w:rsidRDefault="009034D4" w:rsidP="009034D4">
      <w:pPr>
        <w:spacing w:after="0" w:line="240" w:lineRule="auto"/>
        <w:jc w:val="both"/>
        <w:rPr>
          <w:rFonts w:ascii="Century Gothic" w:hAnsi="Century Gothic" w:cs="Arial"/>
          <w:color w:val="000000" w:themeColor="text1"/>
          <w:sz w:val="20"/>
          <w:szCs w:val="20"/>
        </w:rPr>
      </w:pPr>
      <w:r>
        <w:rPr>
          <w:rFonts w:ascii="Century Gothic" w:eastAsia="Calibri" w:hAnsi="Century Gothic" w:cs="Arial"/>
          <w:bCs/>
          <w:color w:val="000000" w:themeColor="text1"/>
          <w:sz w:val="20"/>
          <w:szCs w:val="20"/>
          <w:lang w:val="es-ES"/>
        </w:rPr>
        <w:t xml:space="preserve">[…] </w:t>
      </w:r>
      <w:r w:rsidRPr="00E95E0C">
        <w:rPr>
          <w:rFonts w:ascii="Century Gothic" w:eastAsia="Calibri" w:hAnsi="Century Gothic" w:cs="Arial"/>
          <w:bCs/>
          <w:color w:val="000000" w:themeColor="text1"/>
          <w:sz w:val="20"/>
          <w:szCs w:val="20"/>
          <w:lang w:val="es-ES"/>
        </w:rPr>
        <w:t>el consorcio o la unión temporal se da “Cuando dos o más personas en forma conjunta presentan una misma propuesta para la adjudicación, celebración y ejecución de un contrato […]”.</w:t>
      </w:r>
      <w:r w:rsidRPr="00E95E0C">
        <w:rPr>
          <w:rFonts w:ascii="Century Gothic" w:hAnsi="Century Gothic" w:cs="Arial"/>
          <w:color w:val="000000" w:themeColor="text1"/>
          <w:sz w:val="20"/>
          <w:szCs w:val="20"/>
        </w:rPr>
        <w:t xml:space="preserve"> Desde esta perspectiva, su capacidad para participar en la adjudicación, celebración y ejecución de los contratos estatales depende de que los integrantes de la estructura plural adopten la decisión conjunta de presentar una misma propuesta al proceso de selección. Como existe una relación de medio – fin, sin la entrega de la oferta no surge la habilitación legal para todo lo demás. </w:t>
      </w:r>
    </w:p>
    <w:p w14:paraId="242C8D9E" w14:textId="77777777" w:rsidR="009034D4" w:rsidRPr="00E95E0C" w:rsidRDefault="009034D4" w:rsidP="009034D4">
      <w:pPr>
        <w:spacing w:after="0" w:line="240" w:lineRule="auto"/>
        <w:jc w:val="both"/>
        <w:rPr>
          <w:rFonts w:ascii="Century Gothic" w:hAnsi="Century Gothic" w:cs="Arial"/>
          <w:color w:val="000000" w:themeColor="text1"/>
          <w:sz w:val="20"/>
          <w:szCs w:val="20"/>
        </w:rPr>
      </w:pPr>
    </w:p>
    <w:p w14:paraId="5C41AEDA" w14:textId="77777777" w:rsidR="009034D4" w:rsidRPr="00E95E0C" w:rsidRDefault="009034D4" w:rsidP="009034D4">
      <w:pPr>
        <w:spacing w:after="0" w:line="240" w:lineRule="auto"/>
        <w:jc w:val="both"/>
        <w:rPr>
          <w:rFonts w:ascii="Century Gothic" w:hAnsi="Century Gothic" w:cs="Arial"/>
          <w:color w:val="000000" w:themeColor="text1"/>
          <w:sz w:val="20"/>
          <w:szCs w:val="20"/>
        </w:rPr>
      </w:pPr>
      <w:r w:rsidRPr="00E95E0C">
        <w:rPr>
          <w:rFonts w:ascii="Century Gothic" w:hAnsi="Century Gothic" w:cs="Arial"/>
          <w:color w:val="000000" w:themeColor="text1"/>
          <w:sz w:val="20"/>
          <w:szCs w:val="20"/>
        </w:rPr>
        <w:t xml:space="preserve">La capacidad jurídica de los proponentes plurales se limita al campo de la contratación estatal de las entidades sometidas al EGCAP, es decir, a las relaciones en consorcios y las uniones temporales con las entidades estatales del artículo 2 de la Ley 80 de 1993. Esta precisión es importante, porque la habilitación de los numerales 6 y 7 del artículo 7 de la Ley 80 de 1993 no les otorgan capacidad respecto a las relaciones entre particulares, como las que surgen entre el cedente y el cesionario del contrato. Como este último debe ser un tercero, es indispensable la personalidad jurídica. </w:t>
      </w:r>
    </w:p>
    <w:p w14:paraId="5EDDD3D6" w14:textId="77777777" w:rsidR="009034D4" w:rsidRPr="00E95E0C" w:rsidRDefault="009034D4" w:rsidP="009034D4">
      <w:pPr>
        <w:spacing w:after="0" w:line="240" w:lineRule="auto"/>
        <w:jc w:val="both"/>
        <w:rPr>
          <w:rFonts w:ascii="Century Gothic" w:hAnsi="Century Gothic" w:cs="Arial"/>
          <w:color w:val="000000" w:themeColor="text1"/>
          <w:sz w:val="20"/>
          <w:szCs w:val="20"/>
        </w:rPr>
      </w:pPr>
    </w:p>
    <w:p w14:paraId="7F148F22" w14:textId="77777777" w:rsidR="009034D4" w:rsidRPr="00E95E0C" w:rsidRDefault="009034D4" w:rsidP="009034D4">
      <w:pPr>
        <w:spacing w:after="0" w:line="240" w:lineRule="auto"/>
        <w:jc w:val="both"/>
        <w:rPr>
          <w:rFonts w:ascii="Century Gothic" w:eastAsia="Geomanist Light" w:hAnsi="Century Gothic" w:cs="Arial"/>
          <w:color w:val="000000" w:themeColor="text1"/>
          <w:sz w:val="20"/>
          <w:szCs w:val="20"/>
          <w:lang w:val="es-MX"/>
        </w:rPr>
      </w:pPr>
      <w:r w:rsidRPr="00E95E0C">
        <w:rPr>
          <w:rFonts w:ascii="Century Gothic" w:hAnsi="Century Gothic" w:cs="Arial"/>
          <w:color w:val="000000" w:themeColor="text1"/>
          <w:sz w:val="20"/>
          <w:szCs w:val="20"/>
        </w:rPr>
        <w:t xml:space="preserve">De acuerdo con el inciso primero del artículo 73 del Código Civil las personas son naturales o jurídicas. Conforme al artículo 74 </w:t>
      </w:r>
      <w:r w:rsidRPr="00E95E0C">
        <w:rPr>
          <w:rFonts w:ascii="Century Gothic" w:hAnsi="Century Gothic" w:cs="Arial"/>
          <w:i/>
          <w:iCs/>
          <w:color w:val="000000" w:themeColor="text1"/>
          <w:sz w:val="20"/>
          <w:szCs w:val="20"/>
        </w:rPr>
        <w:t>ibidem</w:t>
      </w:r>
      <w:r w:rsidRPr="00E95E0C">
        <w:rPr>
          <w:rFonts w:ascii="Century Gothic" w:hAnsi="Century Gothic" w:cs="Arial"/>
          <w:color w:val="000000" w:themeColor="text1"/>
          <w:sz w:val="20"/>
          <w:szCs w:val="20"/>
        </w:rPr>
        <w:t xml:space="preserve">, las primeras corresponden a “[…] todos los individuos de la especie humana, cualquiera que sea su edad, sexo, estirpe o condición”. </w:t>
      </w:r>
      <w:r w:rsidRPr="00E95E0C">
        <w:rPr>
          <w:rFonts w:ascii="Century Gothic" w:hAnsi="Century Gothic" w:cs="Arial"/>
          <w:color w:val="000000" w:themeColor="text1"/>
          <w:sz w:val="20"/>
          <w:szCs w:val="20"/>
        </w:rPr>
        <w:lastRenderedPageBreak/>
        <w:t xml:space="preserve">En contraste, con fundamento en el inciso primero artículo 633 </w:t>
      </w:r>
      <w:r w:rsidRPr="00E95E0C">
        <w:rPr>
          <w:rFonts w:ascii="Century Gothic" w:hAnsi="Century Gothic" w:cs="Arial"/>
          <w:i/>
          <w:iCs/>
          <w:color w:val="000000" w:themeColor="text1"/>
          <w:sz w:val="20"/>
          <w:szCs w:val="20"/>
        </w:rPr>
        <w:t>ibidem</w:t>
      </w:r>
      <w:r w:rsidRPr="00E95E0C">
        <w:rPr>
          <w:rFonts w:ascii="Century Gothic" w:hAnsi="Century Gothic" w:cs="Arial"/>
          <w:color w:val="000000" w:themeColor="text1"/>
          <w:sz w:val="20"/>
          <w:szCs w:val="20"/>
        </w:rPr>
        <w:t>, las segundas son “[…] una persona ficticia, capaz de ejercer derechos y contraer obligaciones civiles, y de ser representada judicial y extrajudicialmente”. Como se explicó en el numeral 2.2 del presente oficio, los consorcios y las uniones temporales carecen de esta naturaleza. Asimismo, los numerales 6 y 7 del artículo 7 de la Ley 80 de 1993 tampoco otorgan capacidad a los proponentes plurales para ser cesionarios; por lo que al no existir una habilitación legal para que los contratistas cedan su posición contractual a los consorcios o uniones temporales, el SECOP II y la TVEC se limitan a la presentación conjunta de las propuestas para los fines dispuesto en el EGCAP. Esto excluye su creación para los efectos mencionados en la consulta.</w:t>
      </w:r>
    </w:p>
    <w:p w14:paraId="43FBB9D3" w14:textId="77777777" w:rsidR="009034D4" w:rsidRDefault="009034D4" w:rsidP="00751EC1">
      <w:pPr>
        <w:spacing w:after="0"/>
        <w:rPr>
          <w:rFonts w:ascii="Century Gothic" w:eastAsia="Geomanist Light" w:hAnsi="Century Gothic" w:cs="Arial"/>
          <w:color w:val="000000" w:themeColor="text1"/>
          <w:lang w:val="es-MX"/>
        </w:rPr>
      </w:pPr>
    </w:p>
    <w:p w14:paraId="54983DB4" w14:textId="77777777" w:rsidR="009034D4" w:rsidRDefault="009034D4" w:rsidP="00751EC1">
      <w:pPr>
        <w:spacing w:after="0"/>
        <w:rPr>
          <w:rFonts w:ascii="Century Gothic" w:eastAsia="Geomanist Light" w:hAnsi="Century Gothic" w:cs="Arial"/>
          <w:color w:val="000000" w:themeColor="text1"/>
          <w:lang w:val="es-MX"/>
        </w:rPr>
      </w:pPr>
    </w:p>
    <w:p w14:paraId="33F4C62D" w14:textId="77777777" w:rsidR="009034D4" w:rsidRDefault="009034D4" w:rsidP="00751EC1">
      <w:pPr>
        <w:spacing w:after="0"/>
        <w:rPr>
          <w:rFonts w:ascii="Century Gothic" w:eastAsia="Geomanist Light" w:hAnsi="Century Gothic" w:cs="Arial"/>
          <w:color w:val="000000" w:themeColor="text1"/>
          <w:lang w:val="es-MX"/>
        </w:rPr>
      </w:pPr>
    </w:p>
    <w:p w14:paraId="67C8B229" w14:textId="77777777" w:rsidR="009034D4" w:rsidRDefault="009034D4" w:rsidP="00751EC1">
      <w:pPr>
        <w:spacing w:after="0"/>
        <w:rPr>
          <w:rFonts w:ascii="Century Gothic" w:eastAsia="Geomanist Light" w:hAnsi="Century Gothic" w:cs="Arial"/>
          <w:color w:val="000000" w:themeColor="text1"/>
          <w:lang w:val="es-MX"/>
        </w:rPr>
      </w:pPr>
    </w:p>
    <w:p w14:paraId="3CA0B95A" w14:textId="77777777" w:rsidR="009034D4" w:rsidRDefault="009034D4" w:rsidP="00751EC1">
      <w:pPr>
        <w:spacing w:after="0"/>
        <w:rPr>
          <w:rFonts w:ascii="Century Gothic" w:eastAsia="Geomanist Light" w:hAnsi="Century Gothic" w:cs="Arial"/>
          <w:color w:val="000000" w:themeColor="text1"/>
          <w:lang w:val="es-MX"/>
        </w:rPr>
      </w:pPr>
    </w:p>
    <w:p w14:paraId="25D27D3A" w14:textId="77777777" w:rsidR="009034D4" w:rsidRDefault="009034D4" w:rsidP="00751EC1">
      <w:pPr>
        <w:spacing w:after="0"/>
        <w:rPr>
          <w:rFonts w:ascii="Century Gothic" w:eastAsia="Geomanist Light" w:hAnsi="Century Gothic" w:cs="Arial"/>
          <w:color w:val="000000" w:themeColor="text1"/>
          <w:lang w:val="es-MX"/>
        </w:rPr>
      </w:pPr>
    </w:p>
    <w:p w14:paraId="7FD845A4" w14:textId="77777777" w:rsidR="009034D4" w:rsidRDefault="009034D4" w:rsidP="00751EC1">
      <w:pPr>
        <w:spacing w:after="0"/>
        <w:rPr>
          <w:rFonts w:ascii="Century Gothic" w:eastAsia="Geomanist Light" w:hAnsi="Century Gothic" w:cs="Arial"/>
          <w:color w:val="000000" w:themeColor="text1"/>
          <w:lang w:val="es-MX"/>
        </w:rPr>
      </w:pPr>
    </w:p>
    <w:p w14:paraId="11EF6394" w14:textId="77777777" w:rsidR="009034D4" w:rsidRDefault="009034D4" w:rsidP="00751EC1">
      <w:pPr>
        <w:spacing w:after="0"/>
        <w:rPr>
          <w:rFonts w:ascii="Century Gothic" w:eastAsia="Geomanist Light" w:hAnsi="Century Gothic" w:cs="Arial"/>
          <w:color w:val="000000" w:themeColor="text1"/>
          <w:lang w:val="es-MX"/>
        </w:rPr>
      </w:pPr>
    </w:p>
    <w:p w14:paraId="54E29549" w14:textId="77777777" w:rsidR="009034D4" w:rsidRDefault="009034D4" w:rsidP="00751EC1">
      <w:pPr>
        <w:spacing w:after="0"/>
        <w:rPr>
          <w:rFonts w:ascii="Century Gothic" w:eastAsia="Geomanist Light" w:hAnsi="Century Gothic" w:cs="Arial"/>
          <w:color w:val="000000" w:themeColor="text1"/>
          <w:lang w:val="es-MX"/>
        </w:rPr>
      </w:pPr>
    </w:p>
    <w:p w14:paraId="1571C546" w14:textId="77777777" w:rsidR="009034D4" w:rsidRDefault="009034D4" w:rsidP="00751EC1">
      <w:pPr>
        <w:spacing w:after="0"/>
        <w:rPr>
          <w:rFonts w:ascii="Century Gothic" w:eastAsia="Geomanist Light" w:hAnsi="Century Gothic" w:cs="Arial"/>
          <w:color w:val="000000" w:themeColor="text1"/>
          <w:lang w:val="es-MX"/>
        </w:rPr>
      </w:pPr>
    </w:p>
    <w:p w14:paraId="377D250B" w14:textId="77777777" w:rsidR="009034D4" w:rsidRDefault="009034D4" w:rsidP="00751EC1">
      <w:pPr>
        <w:spacing w:after="0"/>
        <w:rPr>
          <w:rFonts w:ascii="Century Gothic" w:eastAsia="Geomanist Light" w:hAnsi="Century Gothic" w:cs="Arial"/>
          <w:color w:val="000000" w:themeColor="text1"/>
          <w:lang w:val="es-MX"/>
        </w:rPr>
      </w:pPr>
    </w:p>
    <w:p w14:paraId="26067D1E" w14:textId="77777777" w:rsidR="009034D4" w:rsidRDefault="009034D4" w:rsidP="00751EC1">
      <w:pPr>
        <w:spacing w:after="0"/>
        <w:rPr>
          <w:rFonts w:ascii="Century Gothic" w:eastAsia="Geomanist Light" w:hAnsi="Century Gothic" w:cs="Arial"/>
          <w:color w:val="000000" w:themeColor="text1"/>
          <w:lang w:val="es-MX"/>
        </w:rPr>
      </w:pPr>
    </w:p>
    <w:p w14:paraId="6669A092" w14:textId="77777777" w:rsidR="009034D4" w:rsidRDefault="009034D4" w:rsidP="00751EC1">
      <w:pPr>
        <w:spacing w:after="0"/>
        <w:rPr>
          <w:rFonts w:ascii="Century Gothic" w:eastAsia="Geomanist Light" w:hAnsi="Century Gothic" w:cs="Arial"/>
          <w:color w:val="000000" w:themeColor="text1"/>
          <w:lang w:val="es-MX"/>
        </w:rPr>
      </w:pPr>
    </w:p>
    <w:p w14:paraId="65707923" w14:textId="77777777" w:rsidR="009034D4" w:rsidRDefault="009034D4" w:rsidP="00751EC1">
      <w:pPr>
        <w:spacing w:after="0"/>
        <w:rPr>
          <w:rFonts w:ascii="Century Gothic" w:eastAsia="Geomanist Light" w:hAnsi="Century Gothic" w:cs="Arial"/>
          <w:color w:val="000000" w:themeColor="text1"/>
          <w:lang w:val="es-MX"/>
        </w:rPr>
      </w:pPr>
    </w:p>
    <w:p w14:paraId="18EB2F9A" w14:textId="77777777" w:rsidR="009034D4" w:rsidRDefault="009034D4" w:rsidP="00751EC1">
      <w:pPr>
        <w:spacing w:after="0"/>
        <w:rPr>
          <w:rFonts w:ascii="Century Gothic" w:eastAsia="Geomanist Light" w:hAnsi="Century Gothic" w:cs="Arial"/>
          <w:color w:val="000000" w:themeColor="text1"/>
          <w:lang w:val="es-MX"/>
        </w:rPr>
      </w:pPr>
    </w:p>
    <w:p w14:paraId="0B2665B8" w14:textId="77777777" w:rsidR="009034D4" w:rsidRDefault="009034D4" w:rsidP="00751EC1">
      <w:pPr>
        <w:spacing w:after="0"/>
        <w:rPr>
          <w:rFonts w:ascii="Century Gothic" w:eastAsia="Geomanist Light" w:hAnsi="Century Gothic" w:cs="Arial"/>
          <w:color w:val="000000" w:themeColor="text1"/>
          <w:lang w:val="es-MX"/>
        </w:rPr>
      </w:pPr>
    </w:p>
    <w:p w14:paraId="6802D464" w14:textId="77777777" w:rsidR="009034D4" w:rsidRDefault="009034D4" w:rsidP="00751EC1">
      <w:pPr>
        <w:spacing w:after="0"/>
        <w:rPr>
          <w:rFonts w:ascii="Century Gothic" w:eastAsia="Geomanist Light" w:hAnsi="Century Gothic" w:cs="Arial"/>
          <w:color w:val="000000" w:themeColor="text1"/>
          <w:lang w:val="es-MX"/>
        </w:rPr>
      </w:pPr>
    </w:p>
    <w:p w14:paraId="043D2373" w14:textId="77777777" w:rsidR="009034D4" w:rsidRDefault="009034D4" w:rsidP="00751EC1">
      <w:pPr>
        <w:spacing w:after="0"/>
        <w:rPr>
          <w:rFonts w:ascii="Century Gothic" w:eastAsia="Geomanist Light" w:hAnsi="Century Gothic" w:cs="Arial"/>
          <w:color w:val="000000" w:themeColor="text1"/>
          <w:lang w:val="es-MX"/>
        </w:rPr>
      </w:pPr>
    </w:p>
    <w:p w14:paraId="7B39526B" w14:textId="77777777" w:rsidR="009034D4" w:rsidRDefault="009034D4" w:rsidP="00751EC1">
      <w:pPr>
        <w:spacing w:after="0"/>
        <w:rPr>
          <w:rFonts w:ascii="Century Gothic" w:eastAsia="Geomanist Light" w:hAnsi="Century Gothic" w:cs="Arial"/>
          <w:color w:val="000000" w:themeColor="text1"/>
          <w:lang w:val="es-MX"/>
        </w:rPr>
      </w:pPr>
    </w:p>
    <w:p w14:paraId="034993FB" w14:textId="77777777" w:rsidR="009034D4" w:rsidRDefault="009034D4" w:rsidP="00751EC1">
      <w:pPr>
        <w:spacing w:after="0"/>
        <w:rPr>
          <w:rFonts w:ascii="Century Gothic" w:eastAsia="Geomanist Light" w:hAnsi="Century Gothic" w:cs="Arial"/>
          <w:color w:val="000000" w:themeColor="text1"/>
          <w:lang w:val="es-MX"/>
        </w:rPr>
      </w:pPr>
    </w:p>
    <w:p w14:paraId="0830F938" w14:textId="77777777" w:rsidR="009034D4" w:rsidRDefault="009034D4" w:rsidP="00751EC1">
      <w:pPr>
        <w:spacing w:after="0"/>
        <w:rPr>
          <w:rFonts w:ascii="Century Gothic" w:eastAsia="Geomanist Light" w:hAnsi="Century Gothic" w:cs="Arial"/>
          <w:color w:val="000000" w:themeColor="text1"/>
          <w:lang w:val="es-MX"/>
        </w:rPr>
      </w:pPr>
    </w:p>
    <w:p w14:paraId="6FECECF1" w14:textId="77777777" w:rsidR="009034D4" w:rsidRDefault="009034D4" w:rsidP="00751EC1">
      <w:pPr>
        <w:spacing w:after="0"/>
        <w:rPr>
          <w:rFonts w:ascii="Century Gothic" w:eastAsia="Geomanist Light" w:hAnsi="Century Gothic" w:cs="Arial"/>
          <w:color w:val="000000" w:themeColor="text1"/>
          <w:lang w:val="es-MX"/>
        </w:rPr>
      </w:pPr>
    </w:p>
    <w:p w14:paraId="245A20D4" w14:textId="77777777" w:rsidR="009034D4" w:rsidRDefault="009034D4" w:rsidP="00751EC1">
      <w:pPr>
        <w:spacing w:after="0"/>
        <w:rPr>
          <w:rFonts w:ascii="Century Gothic" w:eastAsia="Geomanist Light" w:hAnsi="Century Gothic" w:cs="Arial"/>
          <w:color w:val="000000" w:themeColor="text1"/>
          <w:lang w:val="es-MX"/>
        </w:rPr>
      </w:pPr>
    </w:p>
    <w:p w14:paraId="0CECB83C" w14:textId="77777777" w:rsidR="009034D4" w:rsidRDefault="009034D4" w:rsidP="00751EC1">
      <w:pPr>
        <w:spacing w:after="0"/>
        <w:rPr>
          <w:rFonts w:ascii="Century Gothic" w:eastAsia="Geomanist Light" w:hAnsi="Century Gothic" w:cs="Arial"/>
          <w:color w:val="000000" w:themeColor="text1"/>
          <w:lang w:val="es-MX"/>
        </w:rPr>
      </w:pPr>
    </w:p>
    <w:p w14:paraId="5E88365B" w14:textId="77777777" w:rsidR="009034D4" w:rsidRDefault="009034D4" w:rsidP="00751EC1">
      <w:pPr>
        <w:spacing w:after="0"/>
        <w:rPr>
          <w:rFonts w:ascii="Century Gothic" w:eastAsia="Geomanist Light" w:hAnsi="Century Gothic" w:cs="Arial"/>
          <w:color w:val="000000" w:themeColor="text1"/>
          <w:lang w:val="es-MX"/>
        </w:rPr>
      </w:pPr>
    </w:p>
    <w:p w14:paraId="76A4A89A" w14:textId="77777777" w:rsidR="009034D4" w:rsidRDefault="009034D4" w:rsidP="00751EC1">
      <w:pPr>
        <w:spacing w:after="0"/>
        <w:rPr>
          <w:rFonts w:ascii="Century Gothic" w:eastAsia="Geomanist Light" w:hAnsi="Century Gothic" w:cs="Arial"/>
          <w:color w:val="000000" w:themeColor="text1"/>
          <w:lang w:val="es-MX"/>
        </w:rPr>
      </w:pPr>
    </w:p>
    <w:p w14:paraId="5EB28F5D" w14:textId="77777777" w:rsidR="009034D4" w:rsidRDefault="009034D4" w:rsidP="00751EC1">
      <w:pPr>
        <w:spacing w:after="0"/>
        <w:rPr>
          <w:rFonts w:ascii="Century Gothic" w:eastAsia="Geomanist Light" w:hAnsi="Century Gothic" w:cs="Arial"/>
          <w:color w:val="000000" w:themeColor="text1"/>
          <w:lang w:val="es-MX"/>
        </w:rPr>
      </w:pPr>
    </w:p>
    <w:p w14:paraId="4FE7D05A" w14:textId="77777777" w:rsidR="009034D4" w:rsidRDefault="009034D4" w:rsidP="00751EC1">
      <w:pPr>
        <w:spacing w:after="0"/>
        <w:rPr>
          <w:rFonts w:ascii="Century Gothic" w:eastAsia="Geomanist Light" w:hAnsi="Century Gothic" w:cs="Arial"/>
          <w:color w:val="000000" w:themeColor="text1"/>
          <w:lang w:val="es-MX"/>
        </w:rPr>
      </w:pPr>
    </w:p>
    <w:p w14:paraId="6F538F92" w14:textId="77777777" w:rsidR="009034D4" w:rsidRDefault="009034D4" w:rsidP="00751EC1">
      <w:pPr>
        <w:spacing w:after="0"/>
        <w:rPr>
          <w:rFonts w:ascii="Century Gothic" w:eastAsia="Geomanist Light" w:hAnsi="Century Gothic" w:cs="Arial"/>
          <w:color w:val="000000" w:themeColor="text1"/>
          <w:lang w:val="es-MX"/>
        </w:rPr>
      </w:pPr>
    </w:p>
    <w:p w14:paraId="6AE0C81A" w14:textId="77777777" w:rsidR="009034D4" w:rsidRDefault="009034D4" w:rsidP="00751EC1">
      <w:pPr>
        <w:spacing w:after="0"/>
        <w:rPr>
          <w:rFonts w:ascii="Century Gothic" w:eastAsia="Geomanist Light" w:hAnsi="Century Gothic" w:cs="Arial"/>
          <w:color w:val="000000" w:themeColor="text1"/>
          <w:lang w:val="es-MX"/>
        </w:rPr>
      </w:pPr>
    </w:p>
    <w:p w14:paraId="04279C33" w14:textId="77777777" w:rsidR="009034D4" w:rsidRDefault="009034D4" w:rsidP="00751EC1">
      <w:pPr>
        <w:spacing w:after="0"/>
        <w:rPr>
          <w:rFonts w:ascii="Century Gothic" w:eastAsia="Geomanist Light" w:hAnsi="Century Gothic" w:cs="Arial"/>
          <w:color w:val="000000" w:themeColor="text1"/>
          <w:lang w:val="es-MX"/>
        </w:rPr>
      </w:pPr>
    </w:p>
    <w:p w14:paraId="611DF6BA" w14:textId="4C69712D" w:rsidR="00751EC1" w:rsidRPr="000B379D" w:rsidRDefault="00751EC1" w:rsidP="00751EC1">
      <w:pPr>
        <w:spacing w:after="0"/>
        <w:rPr>
          <w:rFonts w:ascii="Century Gothic" w:eastAsia="Geomanist Light" w:hAnsi="Century Gothic" w:cs="Arial"/>
          <w:color w:val="201F1E"/>
          <w:lang w:val="es-MX"/>
        </w:rPr>
      </w:pPr>
      <w:r w:rsidRPr="000B379D">
        <w:rPr>
          <w:rFonts w:ascii="Century Gothic" w:eastAsia="Geomanist Light" w:hAnsi="Century Gothic" w:cs="Arial"/>
          <w:color w:val="000000" w:themeColor="text1"/>
          <w:lang w:val="es-MX"/>
        </w:rPr>
        <w:lastRenderedPageBreak/>
        <w:t>Bogotá D.C., </w:t>
      </w:r>
      <w:r w:rsidR="00E4564C" w:rsidRPr="00E4564C">
        <w:rPr>
          <w:rFonts w:ascii="Century Gothic" w:eastAsia="Geomanist Light" w:hAnsi="Century Gothic" w:cs="Arial"/>
          <w:color w:val="201F1E"/>
          <w:lang w:val="es-MX"/>
        </w:rPr>
        <w:t xml:space="preserve">12 de </w:t>
      </w:r>
      <w:proofErr w:type="gramStart"/>
      <w:r w:rsidR="00E4564C" w:rsidRPr="00E4564C">
        <w:rPr>
          <w:rFonts w:ascii="Century Gothic" w:eastAsia="Geomanist Light" w:hAnsi="Century Gothic" w:cs="Arial"/>
          <w:color w:val="201F1E"/>
          <w:lang w:val="es-MX"/>
        </w:rPr>
        <w:t>Junio</w:t>
      </w:r>
      <w:proofErr w:type="gramEnd"/>
      <w:r w:rsidR="00E4564C" w:rsidRPr="00E4564C">
        <w:rPr>
          <w:rFonts w:ascii="Century Gothic" w:eastAsia="Geomanist Light" w:hAnsi="Century Gothic" w:cs="Arial"/>
          <w:color w:val="201F1E"/>
          <w:lang w:val="es-MX"/>
        </w:rPr>
        <w:t xml:space="preserve"> de 2024 </w:t>
      </w:r>
      <w:r w:rsidRPr="000B379D">
        <w:rPr>
          <w:rFonts w:ascii="Century Gothic" w:eastAsia="Geomanist Light" w:hAnsi="Century Gothic" w:cs="Arial"/>
          <w:color w:val="201F1E"/>
          <w:lang w:val="es-MX"/>
        </w:rPr>
        <w:t xml:space="preserve"> </w:t>
      </w:r>
    </w:p>
    <w:p w14:paraId="558F28B7" w14:textId="77777777" w:rsidR="00751EC1" w:rsidRPr="000B379D" w:rsidRDefault="00751EC1" w:rsidP="00751EC1">
      <w:pPr>
        <w:spacing w:after="0"/>
        <w:rPr>
          <w:rFonts w:ascii="Century Gothic" w:eastAsia="Times New Roman" w:hAnsi="Century Gothic" w:cs="Arial"/>
          <w:bCs/>
          <w:lang w:val="es-MX" w:eastAsia="es-ES"/>
        </w:rPr>
      </w:pPr>
    </w:p>
    <w:p w14:paraId="7019EAF1" w14:textId="274563CD" w:rsidR="00751EC1" w:rsidRDefault="00FB01E4" w:rsidP="00FB01E4">
      <w:pPr>
        <w:spacing w:after="0"/>
        <w:contextualSpacing/>
        <w:jc w:val="right"/>
        <w:rPr>
          <w:rFonts w:ascii="Century Gothic" w:eastAsia="Calibri" w:hAnsi="Century Gothic" w:cs="Arial"/>
          <w:lang w:val="es-MX" w:eastAsia="es-ES_tradnl"/>
        </w:rPr>
      </w:pPr>
      <w:r>
        <w:rPr>
          <w:noProof/>
        </w:rPr>
        <w:drawing>
          <wp:inline distT="0" distB="0" distL="0" distR="0" wp14:anchorId="2C126BDE" wp14:editId="59C0FD90">
            <wp:extent cx="3253476" cy="904813"/>
            <wp:effectExtent l="0" t="0" r="4445" b="0"/>
            <wp:docPr id="2655537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53795" name=""/>
                    <pic:cNvPicPr/>
                  </pic:nvPicPr>
                  <pic:blipFill>
                    <a:blip r:embed="rId10"/>
                    <a:stretch>
                      <a:fillRect/>
                    </a:stretch>
                  </pic:blipFill>
                  <pic:spPr>
                    <a:xfrm>
                      <a:off x="0" y="0"/>
                      <a:ext cx="3253476" cy="904813"/>
                    </a:xfrm>
                    <a:prstGeom prst="rect">
                      <a:avLst/>
                    </a:prstGeom>
                  </pic:spPr>
                </pic:pic>
              </a:graphicData>
            </a:graphic>
          </wp:inline>
        </w:drawing>
      </w:r>
    </w:p>
    <w:p w14:paraId="62E536A3" w14:textId="77777777" w:rsidR="00E4564C" w:rsidRPr="00E4564C" w:rsidRDefault="00E4564C" w:rsidP="00751EC1">
      <w:pPr>
        <w:spacing w:after="0"/>
        <w:contextualSpacing/>
        <w:jc w:val="both"/>
        <w:rPr>
          <w:rFonts w:ascii="Century Gothic" w:eastAsia="Calibri" w:hAnsi="Century Gothic" w:cs="Arial"/>
          <w:lang w:val="es-MX" w:eastAsia="es-ES_tradnl"/>
        </w:rPr>
      </w:pPr>
    </w:p>
    <w:p w14:paraId="2D57000F" w14:textId="77777777" w:rsidR="00751EC1" w:rsidRPr="000B379D" w:rsidRDefault="00751EC1" w:rsidP="00751EC1">
      <w:pPr>
        <w:contextualSpacing/>
        <w:jc w:val="both"/>
        <w:rPr>
          <w:rFonts w:ascii="Century Gothic" w:eastAsia="Calibri" w:hAnsi="Century Gothic" w:cs="Arial"/>
          <w:lang w:eastAsia="es-ES_tradnl"/>
        </w:rPr>
      </w:pPr>
      <w:r>
        <w:rPr>
          <w:rFonts w:ascii="Century Gothic" w:eastAsia="Calibri" w:hAnsi="Century Gothic" w:cs="Arial"/>
          <w:lang w:eastAsia="es-ES_tradnl"/>
        </w:rPr>
        <w:t xml:space="preserve">Señor </w:t>
      </w:r>
    </w:p>
    <w:p w14:paraId="7DAA177D" w14:textId="77777777" w:rsidR="00751EC1" w:rsidRDefault="00751EC1" w:rsidP="00751EC1">
      <w:pPr>
        <w:contextualSpacing/>
        <w:jc w:val="both"/>
        <w:rPr>
          <w:rFonts w:ascii="Century Gothic" w:eastAsia="Calibri" w:hAnsi="Century Gothic" w:cs="Arial"/>
          <w:b/>
          <w:lang w:eastAsia="es-ES_tradnl"/>
        </w:rPr>
      </w:pPr>
      <w:r w:rsidRPr="00B23033">
        <w:rPr>
          <w:rFonts w:ascii="Century Gothic" w:eastAsia="Calibri" w:hAnsi="Century Gothic" w:cs="Arial"/>
          <w:b/>
          <w:lang w:eastAsia="es-ES_tradnl"/>
        </w:rPr>
        <w:t>Martin Mateo Duque Ocampo</w:t>
      </w:r>
    </w:p>
    <w:p w14:paraId="015400AA" w14:textId="77777777" w:rsidR="00751EC1" w:rsidRPr="000B379D" w:rsidRDefault="00751EC1" w:rsidP="00751EC1">
      <w:pPr>
        <w:contextualSpacing/>
        <w:jc w:val="both"/>
        <w:rPr>
          <w:rFonts w:ascii="Century Gothic" w:eastAsia="Calibri" w:hAnsi="Century Gothic" w:cs="Arial"/>
          <w:bCs/>
          <w:lang w:eastAsia="es-ES_tradnl"/>
        </w:rPr>
      </w:pPr>
      <w:r>
        <w:rPr>
          <w:rFonts w:ascii="Century Gothic" w:eastAsia="Geomanist Light" w:hAnsi="Century Gothic" w:cs="Arial"/>
          <w:color w:val="000000" w:themeColor="text1"/>
          <w:lang w:val="es-MX"/>
        </w:rPr>
        <w:t>Medellín, Antioquia</w:t>
      </w:r>
    </w:p>
    <w:p w14:paraId="0EAA1CC1" w14:textId="77777777" w:rsidR="00751EC1" w:rsidRDefault="00751EC1" w:rsidP="00751EC1">
      <w:pPr>
        <w:contextualSpacing/>
        <w:rPr>
          <w:rFonts w:ascii="Century Gothic" w:eastAsia="Calibri" w:hAnsi="Century Gothic" w:cs="Arial"/>
          <w:b/>
          <w:bCs/>
          <w:lang w:val="es-ES_tradnl" w:eastAsia="es-ES_tradnl"/>
        </w:rPr>
      </w:pPr>
    </w:p>
    <w:p w14:paraId="2F1DC4EC" w14:textId="77777777" w:rsidR="00751EC1" w:rsidRDefault="00751EC1" w:rsidP="00751EC1">
      <w:pPr>
        <w:contextualSpacing/>
        <w:rPr>
          <w:rFonts w:ascii="Century Gothic" w:eastAsia="Calibri" w:hAnsi="Century Gothic" w:cs="Arial"/>
          <w:b/>
          <w:bCs/>
          <w:lang w:val="es-ES_tradnl" w:eastAsia="es-ES_tradnl"/>
        </w:rPr>
      </w:pPr>
    </w:p>
    <w:p w14:paraId="2418688A" w14:textId="1E9D1D95" w:rsidR="00751EC1" w:rsidRPr="000B379D" w:rsidRDefault="00751EC1" w:rsidP="00751EC1">
      <w:pPr>
        <w:contextualSpacing/>
        <w:rPr>
          <w:rFonts w:ascii="Century Gothic" w:eastAsia="Calibri" w:hAnsi="Century Gothic" w:cs="Arial"/>
          <w:b/>
          <w:bCs/>
          <w:lang w:val="es-ES_tradnl" w:eastAsia="es-ES_tradnl"/>
        </w:rPr>
      </w:pPr>
      <w:r>
        <w:rPr>
          <w:rFonts w:ascii="Century Gothic" w:eastAsia="Calibri" w:hAnsi="Century Gothic" w:cs="Arial"/>
          <w:b/>
          <w:bCs/>
          <w:lang w:val="es-ES_tradnl" w:eastAsia="es-ES_tradnl"/>
        </w:rPr>
        <w:tab/>
      </w:r>
      <w:r>
        <w:rPr>
          <w:rFonts w:ascii="Century Gothic" w:eastAsia="Calibri" w:hAnsi="Century Gothic" w:cs="Arial"/>
          <w:b/>
          <w:bCs/>
          <w:lang w:val="es-ES_tradnl" w:eastAsia="es-ES_tradnl"/>
        </w:rPr>
        <w:tab/>
      </w:r>
      <w:r>
        <w:rPr>
          <w:rFonts w:ascii="Century Gothic" w:eastAsia="Calibri" w:hAnsi="Century Gothic" w:cs="Arial"/>
          <w:b/>
          <w:bCs/>
          <w:lang w:val="es-ES_tradnl" w:eastAsia="es-ES_tradnl"/>
        </w:rPr>
        <w:tab/>
        <w:t xml:space="preserve">         Concepto C – 100 de 2024</w:t>
      </w:r>
    </w:p>
    <w:p w14:paraId="576F4D50" w14:textId="77777777" w:rsidR="00751EC1" w:rsidRPr="000B379D" w:rsidRDefault="00751EC1" w:rsidP="00751EC1">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51EC1" w:rsidRPr="000B379D" w14:paraId="6AD71F54" w14:textId="77777777" w:rsidTr="00FB0065">
        <w:tc>
          <w:tcPr>
            <w:tcW w:w="2689" w:type="dxa"/>
          </w:tcPr>
          <w:p w14:paraId="63F5C9B8" w14:textId="77777777" w:rsidR="00751EC1" w:rsidRPr="000B379D" w:rsidRDefault="00751EC1" w:rsidP="00FB0065">
            <w:pPr>
              <w:contextualSpacing/>
              <w:jc w:val="both"/>
              <w:rPr>
                <w:rFonts w:ascii="Century Gothic" w:eastAsia="Calibri" w:hAnsi="Century Gothic" w:cs="Arial"/>
                <w:lang w:val="es-ES_tradnl" w:eastAsia="es-ES_tradnl"/>
              </w:rPr>
            </w:pPr>
            <w:r w:rsidRPr="000B379D">
              <w:rPr>
                <w:rFonts w:ascii="Century Gothic" w:eastAsia="Calibri" w:hAnsi="Century Gothic" w:cs="Arial"/>
                <w:b/>
                <w:lang w:val="es-ES_tradnl" w:eastAsia="es-ES_tradnl"/>
              </w:rPr>
              <w:t>Temas:</w:t>
            </w:r>
            <w:r w:rsidRPr="000B379D">
              <w:rPr>
                <w:rFonts w:ascii="Century Gothic" w:eastAsia="Calibri" w:hAnsi="Century Gothic" w:cs="Arial"/>
                <w:lang w:val="es-ES_tradnl" w:eastAsia="es-ES_tradnl"/>
              </w:rPr>
              <w:t xml:space="preserve">                                      </w:t>
            </w:r>
          </w:p>
        </w:tc>
        <w:tc>
          <w:tcPr>
            <w:tcW w:w="6237" w:type="dxa"/>
          </w:tcPr>
          <w:p w14:paraId="67487D4B" w14:textId="77777777" w:rsidR="00751EC1" w:rsidRPr="000B379D" w:rsidRDefault="00751EC1" w:rsidP="00FB0065">
            <w:pPr>
              <w:spacing w:after="120"/>
              <w:contextualSpacing/>
              <w:jc w:val="both"/>
              <w:rPr>
                <w:rFonts w:ascii="Century Gothic" w:eastAsia="Calibri" w:hAnsi="Century Gothic" w:cs="Arial"/>
                <w:bCs/>
                <w:lang w:val="es-MX" w:eastAsia="es-ES_tradnl"/>
              </w:rPr>
            </w:pPr>
            <w:r w:rsidRPr="005F2101">
              <w:rPr>
                <w:rFonts w:ascii="Century Gothic" w:eastAsia="Calibri" w:hAnsi="Century Gothic" w:cs="Arial"/>
                <w:bCs/>
                <w:lang w:val="es-ES_tradnl" w:eastAsia="es-ES_tradnl"/>
              </w:rPr>
              <w:t>CESIÓN DEL CONTRATO ESTATAL – Noción / CESIÓN DEL CONTRATO ESTATAL – Régimen jurídico aplicable – EGCAP – Código de comercio / CESIÓN DEL CONTRATO ESTATAL – Requisitos</w:t>
            </w:r>
            <w:r>
              <w:rPr>
                <w:rFonts w:ascii="Century Gothic" w:eastAsia="Calibri" w:hAnsi="Century Gothic" w:cs="Arial"/>
                <w:bCs/>
                <w:lang w:val="es-ES_tradnl" w:eastAsia="es-ES_tradnl"/>
              </w:rPr>
              <w:t xml:space="preserve"> – Restricciones / </w:t>
            </w:r>
            <w:r w:rsidRPr="00492742">
              <w:rPr>
                <w:rFonts w:ascii="Century Gothic" w:eastAsia="Calibri" w:hAnsi="Century Gothic" w:cs="Arial"/>
                <w:bCs/>
                <w:lang w:val="es-ES_tradnl" w:eastAsia="es-ES_tradnl"/>
              </w:rPr>
              <w:t xml:space="preserve">PROPONENTE PLURAL </w:t>
            </w:r>
            <w:r w:rsidRPr="00492742">
              <w:rPr>
                <w:rFonts w:ascii="Arial" w:eastAsia="Calibri" w:hAnsi="Arial" w:cs="Arial"/>
                <w:bCs/>
                <w:lang w:val="es-ES_tradnl" w:eastAsia="es-ES_tradnl"/>
              </w:rPr>
              <w:t>‒</w:t>
            </w:r>
            <w:r w:rsidRPr="00492742">
              <w:rPr>
                <w:rFonts w:ascii="Century Gothic" w:eastAsia="Calibri" w:hAnsi="Century Gothic" w:cs="Arial"/>
                <w:bCs/>
                <w:lang w:val="es-ES_tradnl" w:eastAsia="es-ES_tradnl"/>
              </w:rPr>
              <w:t xml:space="preserve"> Consorcio </w:t>
            </w:r>
            <w:r w:rsidRPr="00492742">
              <w:rPr>
                <w:rFonts w:ascii="Arial" w:eastAsia="Calibri" w:hAnsi="Arial" w:cs="Arial"/>
                <w:bCs/>
                <w:lang w:val="es-ES_tradnl" w:eastAsia="es-ES_tradnl"/>
              </w:rPr>
              <w:t>‒</w:t>
            </w:r>
            <w:r w:rsidRPr="00492742">
              <w:rPr>
                <w:rFonts w:ascii="Century Gothic" w:eastAsia="Calibri" w:hAnsi="Century Gothic" w:cs="Arial"/>
                <w:bCs/>
                <w:lang w:val="es-ES_tradnl" w:eastAsia="es-ES_tradnl"/>
              </w:rPr>
              <w:t xml:space="preserve"> Uni</w:t>
            </w:r>
            <w:r w:rsidRPr="00492742">
              <w:rPr>
                <w:rFonts w:ascii="Century Gothic" w:eastAsia="Calibri" w:hAnsi="Century Gothic" w:cs="Century Gothic"/>
                <w:bCs/>
                <w:lang w:val="es-ES_tradnl" w:eastAsia="es-ES_tradnl"/>
              </w:rPr>
              <w:t>ó</w:t>
            </w:r>
            <w:r w:rsidRPr="00492742">
              <w:rPr>
                <w:rFonts w:ascii="Century Gothic" w:eastAsia="Calibri" w:hAnsi="Century Gothic" w:cs="Arial"/>
                <w:bCs/>
                <w:lang w:val="es-ES_tradnl" w:eastAsia="es-ES_tradnl"/>
              </w:rPr>
              <w:t xml:space="preserve">n temporal </w:t>
            </w:r>
            <w:r w:rsidRPr="00492742">
              <w:rPr>
                <w:rFonts w:ascii="Arial" w:eastAsia="Calibri" w:hAnsi="Arial" w:cs="Arial"/>
                <w:bCs/>
                <w:lang w:val="es-ES_tradnl" w:eastAsia="es-ES_tradnl"/>
              </w:rPr>
              <w:t>‒</w:t>
            </w:r>
            <w:r w:rsidRPr="00492742">
              <w:rPr>
                <w:rFonts w:ascii="Century Gothic" w:eastAsia="Calibri" w:hAnsi="Century Gothic" w:cs="Arial"/>
                <w:bCs/>
                <w:lang w:val="es-ES_tradnl" w:eastAsia="es-ES_tradnl"/>
              </w:rPr>
              <w:t xml:space="preserve"> Concepto </w:t>
            </w:r>
            <w:r w:rsidRPr="00492742">
              <w:rPr>
                <w:rFonts w:ascii="Century Gothic" w:eastAsia="Calibri" w:hAnsi="Century Gothic" w:cs="Century Gothic"/>
                <w:bCs/>
                <w:lang w:val="es-ES_tradnl" w:eastAsia="es-ES_tradnl"/>
              </w:rPr>
              <w:t>–</w:t>
            </w:r>
            <w:r w:rsidRPr="00492742">
              <w:rPr>
                <w:rFonts w:ascii="Century Gothic" w:eastAsia="Calibri" w:hAnsi="Century Gothic" w:cs="Arial"/>
                <w:bCs/>
                <w:lang w:val="es-ES_tradnl" w:eastAsia="es-ES_tradnl"/>
              </w:rPr>
              <w:t xml:space="preserve"> Diferencias</w:t>
            </w:r>
            <w:r>
              <w:rPr>
                <w:rFonts w:ascii="Century Gothic" w:eastAsia="Calibri" w:hAnsi="Century Gothic" w:cs="Arial"/>
                <w:bCs/>
                <w:lang w:val="es-ES_tradnl" w:eastAsia="es-ES_tradnl"/>
              </w:rPr>
              <w:t xml:space="preserve"> / CONSORCIOS Y UNIONES TEMPORALES – Ausencia de personería jurídica – falta de capacidad como cesionarios </w:t>
            </w:r>
          </w:p>
          <w:p w14:paraId="62FBA433" w14:textId="77777777" w:rsidR="00751EC1" w:rsidRPr="000B379D" w:rsidRDefault="00751EC1" w:rsidP="00FB0065">
            <w:pPr>
              <w:spacing w:after="120"/>
              <w:contextualSpacing/>
              <w:jc w:val="both"/>
              <w:rPr>
                <w:rFonts w:ascii="Century Gothic" w:eastAsia="Calibri" w:hAnsi="Century Gothic" w:cs="Arial"/>
                <w:bCs/>
                <w:sz w:val="12"/>
                <w:szCs w:val="12"/>
                <w:lang w:val="es-ES_tradnl" w:eastAsia="es-ES_tradnl"/>
              </w:rPr>
            </w:pPr>
          </w:p>
        </w:tc>
      </w:tr>
      <w:tr w:rsidR="00751EC1" w:rsidRPr="000B379D" w14:paraId="38C91A63" w14:textId="77777777" w:rsidTr="00FB0065">
        <w:trPr>
          <w:trHeight w:val="227"/>
        </w:trPr>
        <w:tc>
          <w:tcPr>
            <w:tcW w:w="2689" w:type="dxa"/>
          </w:tcPr>
          <w:p w14:paraId="59D9BB72" w14:textId="77777777" w:rsidR="00751EC1" w:rsidRPr="000B379D" w:rsidRDefault="00751EC1" w:rsidP="00FB0065">
            <w:pPr>
              <w:contextualSpacing/>
              <w:jc w:val="both"/>
              <w:rPr>
                <w:rFonts w:ascii="Century Gothic" w:eastAsia="Calibri" w:hAnsi="Century Gothic" w:cs="Arial"/>
                <w:b/>
                <w:lang w:val="es-ES_tradnl" w:eastAsia="es-ES_tradnl"/>
              </w:rPr>
            </w:pPr>
            <w:r w:rsidRPr="000B379D">
              <w:rPr>
                <w:rFonts w:ascii="Century Gothic" w:eastAsia="Calibri" w:hAnsi="Century Gothic" w:cs="Arial"/>
                <w:b/>
                <w:lang w:val="es-ES_tradnl" w:eastAsia="es-ES_tradnl"/>
              </w:rPr>
              <w:t>Radicación:</w:t>
            </w:r>
            <w:r w:rsidRPr="000B379D">
              <w:rPr>
                <w:rFonts w:ascii="Century Gothic" w:eastAsia="Calibri" w:hAnsi="Century Gothic" w:cs="Arial"/>
                <w:lang w:val="es-ES_tradnl" w:eastAsia="es-ES_tradnl"/>
              </w:rPr>
              <w:t xml:space="preserve">                             </w:t>
            </w:r>
          </w:p>
        </w:tc>
        <w:tc>
          <w:tcPr>
            <w:tcW w:w="6237" w:type="dxa"/>
          </w:tcPr>
          <w:p w14:paraId="10F8EDD7" w14:textId="77777777" w:rsidR="00751EC1" w:rsidRPr="000B379D" w:rsidRDefault="00751EC1" w:rsidP="00FB0065">
            <w:pPr>
              <w:contextualSpacing/>
              <w:jc w:val="both"/>
              <w:rPr>
                <w:rFonts w:ascii="Century Gothic" w:eastAsia="Calibri" w:hAnsi="Century Gothic" w:cs="Arial"/>
                <w:lang w:val="es-ES_tradnl" w:eastAsia="es-ES_tradnl"/>
              </w:rPr>
            </w:pPr>
            <w:r w:rsidRPr="000B379D">
              <w:rPr>
                <w:rFonts w:ascii="Century Gothic" w:eastAsia="Calibri" w:hAnsi="Century Gothic" w:cs="Arial"/>
                <w:lang w:val="es-ES_tradnl" w:eastAsia="es-ES_tradnl"/>
              </w:rPr>
              <w:t>Respuesta</w:t>
            </w:r>
            <w:r>
              <w:rPr>
                <w:rFonts w:ascii="Century Gothic" w:eastAsia="Calibri" w:hAnsi="Century Gothic" w:cs="Arial"/>
                <w:lang w:val="es-ES_tradnl" w:eastAsia="es-ES_tradnl"/>
              </w:rPr>
              <w:t xml:space="preserve"> </w:t>
            </w:r>
            <w:r w:rsidRPr="000B379D">
              <w:rPr>
                <w:rFonts w:ascii="Century Gothic" w:eastAsia="Calibri" w:hAnsi="Century Gothic" w:cs="Arial"/>
                <w:lang w:val="es-ES_tradnl" w:eastAsia="es-ES_tradnl"/>
              </w:rPr>
              <w:t>a</w:t>
            </w:r>
            <w:r>
              <w:rPr>
                <w:rFonts w:ascii="Century Gothic" w:eastAsia="Calibri" w:hAnsi="Century Gothic" w:cs="Arial"/>
                <w:lang w:val="es-ES_tradnl" w:eastAsia="es-ES_tradnl"/>
              </w:rPr>
              <w:t xml:space="preserve"> la </w:t>
            </w:r>
            <w:r w:rsidRPr="000B379D">
              <w:rPr>
                <w:rFonts w:ascii="Century Gothic" w:eastAsia="Calibri" w:hAnsi="Century Gothic" w:cs="Arial"/>
                <w:lang w:val="es-ES_tradnl" w:eastAsia="es-ES_tradnl"/>
              </w:rPr>
              <w:t>consulta</w:t>
            </w:r>
            <w:r>
              <w:rPr>
                <w:rFonts w:ascii="Century Gothic" w:eastAsia="Calibri" w:hAnsi="Century Gothic" w:cs="Arial"/>
                <w:lang w:val="es-ES_tradnl" w:eastAsia="es-ES_tradnl"/>
              </w:rPr>
              <w:t xml:space="preserve"> </w:t>
            </w:r>
            <w:r w:rsidRPr="00B23033">
              <w:rPr>
                <w:rFonts w:ascii="Century Gothic" w:eastAsia="Calibri" w:hAnsi="Century Gothic" w:cs="Arial"/>
                <w:lang w:val="es-ES_tradnl" w:eastAsia="es-ES_tradnl"/>
              </w:rPr>
              <w:t>P20240508004792</w:t>
            </w:r>
          </w:p>
        </w:tc>
      </w:tr>
    </w:tbl>
    <w:p w14:paraId="1606142B" w14:textId="77777777" w:rsidR="00751EC1" w:rsidRPr="000B379D" w:rsidRDefault="00751EC1" w:rsidP="00751EC1">
      <w:pPr>
        <w:contextualSpacing/>
        <w:jc w:val="both"/>
        <w:rPr>
          <w:rFonts w:ascii="Century Gothic" w:eastAsia="Calibri" w:hAnsi="Century Gothic" w:cs="Arial"/>
          <w:lang w:val="es-ES_tradnl" w:eastAsia="es-ES_tradnl"/>
        </w:rPr>
      </w:pPr>
    </w:p>
    <w:p w14:paraId="0240850D" w14:textId="77777777" w:rsidR="00751EC1" w:rsidRPr="000B379D" w:rsidRDefault="00751EC1" w:rsidP="00751EC1">
      <w:pPr>
        <w:contextualSpacing/>
        <w:jc w:val="both"/>
        <w:rPr>
          <w:rFonts w:ascii="Century Gothic" w:eastAsia="Calibri" w:hAnsi="Century Gothic" w:cs="Arial"/>
          <w:lang w:val="es-ES_tradnl" w:eastAsia="es-ES_tradnl"/>
        </w:rPr>
      </w:pPr>
    </w:p>
    <w:p w14:paraId="003CE585" w14:textId="77777777" w:rsidR="00751EC1" w:rsidRPr="000B379D" w:rsidRDefault="00751EC1" w:rsidP="00751EC1">
      <w:pPr>
        <w:contextualSpacing/>
        <w:jc w:val="both"/>
        <w:rPr>
          <w:rFonts w:ascii="Century Gothic" w:eastAsia="Calibri" w:hAnsi="Century Gothic" w:cs="Arial"/>
          <w:lang w:val="es-ES" w:eastAsia="es-ES"/>
        </w:rPr>
      </w:pPr>
      <w:r w:rsidRPr="000B379D">
        <w:rPr>
          <w:rFonts w:ascii="Century Gothic" w:eastAsia="Calibri" w:hAnsi="Century Gothic" w:cs="Arial"/>
          <w:lang w:val="es-ES" w:eastAsia="es-ES"/>
        </w:rPr>
        <w:t>Respetad</w:t>
      </w:r>
      <w:r>
        <w:rPr>
          <w:rFonts w:ascii="Century Gothic" w:eastAsia="Calibri" w:hAnsi="Century Gothic" w:cs="Arial"/>
          <w:lang w:val="es-ES" w:eastAsia="es-ES"/>
        </w:rPr>
        <w:t>o</w:t>
      </w:r>
      <w:r w:rsidRPr="000B379D">
        <w:rPr>
          <w:rFonts w:ascii="Century Gothic" w:eastAsia="Calibri" w:hAnsi="Century Gothic" w:cs="Arial"/>
          <w:lang w:val="es-ES" w:eastAsia="es-ES"/>
        </w:rPr>
        <w:t xml:space="preserve"> </w:t>
      </w:r>
      <w:r>
        <w:rPr>
          <w:rFonts w:ascii="Century Gothic" w:eastAsia="Calibri" w:hAnsi="Century Gothic" w:cs="Arial"/>
          <w:lang w:val="es-ES" w:eastAsia="es-ES"/>
        </w:rPr>
        <w:t xml:space="preserve">señor </w:t>
      </w:r>
      <w:r w:rsidRPr="00B23033">
        <w:rPr>
          <w:rFonts w:ascii="Century Gothic" w:eastAsia="Calibri" w:hAnsi="Century Gothic" w:cs="Arial"/>
          <w:lang w:val="es-ES" w:eastAsia="es-ES"/>
        </w:rPr>
        <w:t>Duque Ocampo</w:t>
      </w:r>
      <w:r w:rsidRPr="000B379D">
        <w:rPr>
          <w:rFonts w:ascii="Century Gothic" w:eastAsia="Calibri" w:hAnsi="Century Gothic" w:cs="Arial"/>
          <w:lang w:val="es-ES" w:eastAsia="es-ES"/>
        </w:rPr>
        <w:t xml:space="preserve">: </w:t>
      </w:r>
    </w:p>
    <w:p w14:paraId="3B3DCFB9" w14:textId="77777777" w:rsidR="00751EC1" w:rsidRPr="000B379D" w:rsidRDefault="00751EC1" w:rsidP="00751EC1">
      <w:pPr>
        <w:spacing w:line="276" w:lineRule="auto"/>
        <w:contextualSpacing/>
        <w:jc w:val="both"/>
        <w:rPr>
          <w:rFonts w:ascii="Century Gothic" w:eastAsia="Calibri" w:hAnsi="Century Gothic" w:cs="Arial"/>
          <w:szCs w:val="24"/>
          <w:lang w:val="es-ES_tradnl" w:eastAsia="es-ES_tradnl"/>
        </w:rPr>
      </w:pPr>
    </w:p>
    <w:p w14:paraId="4D56C3B8" w14:textId="77777777" w:rsidR="00751EC1" w:rsidRDefault="00751EC1" w:rsidP="00751EC1">
      <w:pPr>
        <w:spacing w:after="0" w:line="276" w:lineRule="auto"/>
        <w:jc w:val="both"/>
        <w:rPr>
          <w:rFonts w:ascii="Century Gothic" w:eastAsia="Calibri" w:hAnsi="Century Gothic" w:cs="Arial"/>
          <w:color w:val="000000" w:themeColor="text1"/>
          <w:lang w:val="es-ES_tradnl"/>
        </w:rPr>
      </w:pPr>
      <w:r w:rsidRPr="000B379D">
        <w:rPr>
          <w:rFonts w:ascii="Century Gothic" w:eastAsia="Calibri" w:hAnsi="Century Gothic" w:cs="Arial"/>
          <w:color w:val="000000" w:themeColor="text1"/>
          <w:lang w:val="es-ES_tradnl"/>
        </w:rPr>
        <w:t>En ejercicio de la competencia otorgada por el numeral 8</w:t>
      </w:r>
      <w:r>
        <w:rPr>
          <w:rFonts w:ascii="Century Gothic" w:eastAsia="Calibri" w:hAnsi="Century Gothic" w:cs="Arial"/>
          <w:color w:val="000000" w:themeColor="text1"/>
          <w:lang w:val="es-ES_tradnl"/>
        </w:rPr>
        <w:t>°</w:t>
      </w:r>
      <w:r w:rsidRPr="000B379D">
        <w:rPr>
          <w:rFonts w:ascii="Century Gothic" w:eastAsia="Calibri" w:hAnsi="Century Gothic" w:cs="Arial"/>
          <w:color w:val="000000" w:themeColor="text1"/>
          <w:lang w:val="es-ES_tradnl"/>
        </w:rPr>
        <w:t xml:space="preserve"> del artículo 11 y el numeral 5</w:t>
      </w:r>
      <w:r>
        <w:rPr>
          <w:rFonts w:ascii="Century Gothic" w:eastAsia="Calibri" w:hAnsi="Century Gothic" w:cs="Arial"/>
          <w:color w:val="000000" w:themeColor="text1"/>
          <w:lang w:val="es-ES_tradnl"/>
        </w:rPr>
        <w:t>°</w:t>
      </w:r>
      <w:r w:rsidRPr="000B379D">
        <w:rPr>
          <w:rFonts w:ascii="Century Gothic" w:eastAsia="Calibri" w:hAnsi="Century Gothic" w:cs="Arial"/>
          <w:color w:val="000000" w:themeColor="text1"/>
          <w:lang w:val="es-ES_tradnl"/>
        </w:rPr>
        <w:t xml:space="preserve"> del artículo 3 del Decreto Ley 4170 de 2011</w:t>
      </w:r>
      <w:bookmarkStart w:id="0" w:name="_Hlk99120496"/>
      <w:r w:rsidRPr="000B379D">
        <w:rPr>
          <w:rFonts w:ascii="Century Gothic" w:eastAsia="Arial MT" w:hAnsi="Century Gothic" w:cs="Arial MT"/>
          <w:lang w:val="es-ES"/>
        </w:rPr>
        <w:t xml:space="preserve">, </w:t>
      </w:r>
      <w:bookmarkEnd w:id="0"/>
      <w:r w:rsidRPr="000B379D">
        <w:rPr>
          <w:rFonts w:ascii="Century Gothic" w:eastAsia="Calibri" w:hAnsi="Century Gothic" w:cs="Arial"/>
          <w:color w:val="000000" w:themeColor="text1"/>
          <w:lang w:val="es-ES_tradnl"/>
        </w:rPr>
        <w:t>la Agencia Nacional de Contratación Pública – Colombia Compra Eficiente responde la</w:t>
      </w:r>
      <w:r>
        <w:rPr>
          <w:rFonts w:ascii="Century Gothic" w:eastAsia="Calibri" w:hAnsi="Century Gothic" w:cs="Arial"/>
          <w:color w:val="000000" w:themeColor="text1"/>
          <w:lang w:val="es-ES_tradnl"/>
        </w:rPr>
        <w:t xml:space="preserve"> consulta radicada el 8 de mayo de 2024. </w:t>
      </w:r>
    </w:p>
    <w:p w14:paraId="149F396C" w14:textId="77777777" w:rsidR="00751EC1" w:rsidRDefault="00751EC1" w:rsidP="00751EC1">
      <w:pPr>
        <w:spacing w:after="0" w:line="276" w:lineRule="auto"/>
        <w:jc w:val="both"/>
        <w:rPr>
          <w:rFonts w:ascii="Century Gothic" w:eastAsia="Calibri" w:hAnsi="Century Gothic" w:cs="Arial"/>
          <w:color w:val="000000" w:themeColor="text1"/>
          <w:lang w:val="es-ES_tradnl"/>
        </w:rPr>
      </w:pPr>
    </w:p>
    <w:p w14:paraId="3B6A93F7" w14:textId="77777777" w:rsidR="00751EC1" w:rsidRPr="00B23033" w:rsidRDefault="00751EC1" w:rsidP="00751EC1">
      <w:pPr>
        <w:spacing w:after="0" w:line="276" w:lineRule="auto"/>
        <w:jc w:val="both"/>
        <w:rPr>
          <w:rFonts w:ascii="Century Gothic" w:eastAsia="Calibri" w:hAnsi="Century Gothic" w:cs="Arial"/>
          <w:b/>
          <w:bCs/>
          <w:color w:val="000000" w:themeColor="text1"/>
          <w:lang w:val="es-ES_tradnl"/>
        </w:rPr>
      </w:pPr>
      <w:r w:rsidRPr="00B23033">
        <w:rPr>
          <w:rFonts w:ascii="Century Gothic" w:eastAsia="Calibri" w:hAnsi="Century Gothic" w:cs="Arial"/>
          <w:b/>
          <w:bCs/>
          <w:color w:val="000000" w:themeColor="text1"/>
          <w:lang w:val="es-ES_tradnl"/>
        </w:rPr>
        <w:t>1. Problema planteado</w:t>
      </w:r>
    </w:p>
    <w:p w14:paraId="02BB3942" w14:textId="77777777" w:rsidR="00751EC1" w:rsidRDefault="00751EC1" w:rsidP="00751EC1">
      <w:pPr>
        <w:spacing w:after="0" w:line="276" w:lineRule="auto"/>
        <w:jc w:val="both"/>
        <w:rPr>
          <w:rFonts w:ascii="Century Gothic" w:eastAsia="Calibri" w:hAnsi="Century Gothic" w:cs="Arial"/>
          <w:color w:val="000000" w:themeColor="text1"/>
          <w:lang w:val="es-ES_tradnl"/>
        </w:rPr>
      </w:pPr>
    </w:p>
    <w:p w14:paraId="63905A3D" w14:textId="77777777" w:rsidR="00751EC1" w:rsidRDefault="00751EC1" w:rsidP="00751EC1">
      <w:pPr>
        <w:spacing w:after="0" w:line="276" w:lineRule="auto"/>
        <w:jc w:val="both"/>
        <w:rPr>
          <w:rFonts w:ascii="Century Gothic" w:eastAsia="Calibri" w:hAnsi="Century Gothic" w:cs="Arial"/>
          <w:color w:val="000000" w:themeColor="text1"/>
          <w:lang w:val="es-ES_tradnl"/>
        </w:rPr>
      </w:pPr>
      <w:r>
        <w:rPr>
          <w:rFonts w:ascii="Century Gothic" w:eastAsia="Calibri" w:hAnsi="Century Gothic" w:cs="Arial"/>
          <w:color w:val="000000" w:themeColor="text1"/>
          <w:lang w:val="es-ES_tradnl"/>
        </w:rPr>
        <w:t xml:space="preserve">Usted pregunta “[…] </w:t>
      </w:r>
      <w:r w:rsidRPr="00B23033">
        <w:rPr>
          <w:rFonts w:ascii="Century Gothic" w:eastAsia="Calibri" w:hAnsi="Century Gothic" w:cs="Arial"/>
          <w:color w:val="000000" w:themeColor="text1"/>
          <w:lang w:val="es-ES_tradnl"/>
        </w:rPr>
        <w:t>si una persona natural o jurídica puede ceder un contrato a un</w:t>
      </w:r>
      <w:r>
        <w:rPr>
          <w:rFonts w:ascii="Century Gothic" w:eastAsia="Calibri" w:hAnsi="Century Gothic" w:cs="Arial"/>
          <w:color w:val="000000" w:themeColor="text1"/>
          <w:lang w:val="es-ES_tradnl"/>
        </w:rPr>
        <w:t xml:space="preserve"> </w:t>
      </w:r>
      <w:r w:rsidRPr="00B23033">
        <w:rPr>
          <w:rFonts w:ascii="Century Gothic" w:eastAsia="Calibri" w:hAnsi="Century Gothic" w:cs="Arial"/>
          <w:color w:val="000000" w:themeColor="text1"/>
          <w:lang w:val="es-ES_tradnl"/>
        </w:rPr>
        <w:t>consorcio o una unión temporal y si la respuesta es afirmativa; se consulta cual es</w:t>
      </w:r>
      <w:r>
        <w:rPr>
          <w:rFonts w:ascii="Century Gothic" w:eastAsia="Calibri" w:hAnsi="Century Gothic" w:cs="Arial"/>
          <w:color w:val="000000" w:themeColor="text1"/>
          <w:lang w:val="es-ES_tradnl"/>
        </w:rPr>
        <w:t xml:space="preserve"> </w:t>
      </w:r>
      <w:r w:rsidRPr="00B23033">
        <w:rPr>
          <w:rFonts w:ascii="Century Gothic" w:eastAsia="Calibri" w:hAnsi="Century Gothic" w:cs="Arial"/>
          <w:color w:val="000000" w:themeColor="text1"/>
          <w:lang w:val="es-ES_tradnl"/>
        </w:rPr>
        <w:t>la forma en que debe crearse la U.T o Consorcio en el SECOP II y en la TVEC que</w:t>
      </w:r>
      <w:r>
        <w:rPr>
          <w:rFonts w:ascii="Century Gothic" w:eastAsia="Calibri" w:hAnsi="Century Gothic" w:cs="Arial"/>
          <w:color w:val="000000" w:themeColor="text1"/>
          <w:lang w:val="es-ES_tradnl"/>
        </w:rPr>
        <w:t xml:space="preserve"> </w:t>
      </w:r>
      <w:r w:rsidRPr="00B23033">
        <w:rPr>
          <w:rFonts w:ascii="Century Gothic" w:eastAsia="Calibri" w:hAnsi="Century Gothic" w:cs="Arial"/>
          <w:color w:val="000000" w:themeColor="text1"/>
          <w:lang w:val="es-ES_tradnl"/>
        </w:rPr>
        <w:t>permita la cesión del contrato</w:t>
      </w:r>
      <w:r>
        <w:rPr>
          <w:rFonts w:ascii="Century Gothic" w:eastAsia="Calibri" w:hAnsi="Century Gothic" w:cs="Arial"/>
          <w:color w:val="000000" w:themeColor="text1"/>
          <w:lang w:val="es-ES_tradnl"/>
        </w:rPr>
        <w:t>”.</w:t>
      </w:r>
    </w:p>
    <w:p w14:paraId="33E2B805" w14:textId="77777777" w:rsidR="00751EC1" w:rsidRDefault="00751EC1" w:rsidP="00751EC1">
      <w:pPr>
        <w:spacing w:after="0" w:line="276" w:lineRule="auto"/>
        <w:jc w:val="both"/>
        <w:rPr>
          <w:rFonts w:ascii="Century Gothic" w:eastAsia="Calibri" w:hAnsi="Century Gothic" w:cs="Arial"/>
          <w:color w:val="000000" w:themeColor="text1"/>
          <w:lang w:val="es-ES_tradnl"/>
        </w:rPr>
      </w:pPr>
    </w:p>
    <w:p w14:paraId="1BBA6AD7" w14:textId="77777777" w:rsidR="00751EC1" w:rsidRPr="00EE7D0D" w:rsidRDefault="00751EC1" w:rsidP="00751EC1">
      <w:pPr>
        <w:spacing w:after="0" w:line="276" w:lineRule="auto"/>
        <w:jc w:val="both"/>
        <w:rPr>
          <w:rFonts w:ascii="Century Gothic" w:eastAsia="Calibri" w:hAnsi="Century Gothic" w:cs="Arial"/>
          <w:b/>
          <w:bCs/>
          <w:color w:val="000000" w:themeColor="text1"/>
          <w:lang w:val="es-ES_tradnl"/>
        </w:rPr>
      </w:pPr>
      <w:r w:rsidRPr="00EE7D0D">
        <w:rPr>
          <w:rFonts w:ascii="Century Gothic" w:eastAsia="Calibri" w:hAnsi="Century Gothic" w:cs="Arial"/>
          <w:b/>
          <w:bCs/>
          <w:color w:val="000000" w:themeColor="text1"/>
          <w:lang w:val="es-ES_tradnl"/>
        </w:rPr>
        <w:lastRenderedPageBreak/>
        <w:t>2. Consideraciones</w:t>
      </w:r>
      <w:r w:rsidRPr="00EE7D0D">
        <w:rPr>
          <w:rFonts w:ascii="Century Gothic" w:eastAsia="Calibri" w:hAnsi="Century Gothic" w:cs="Arial"/>
          <w:b/>
          <w:bCs/>
          <w:color w:val="000000" w:themeColor="text1"/>
          <w:lang w:val="es-ES_tradnl"/>
        </w:rPr>
        <w:tab/>
      </w:r>
    </w:p>
    <w:p w14:paraId="59A17778" w14:textId="77777777" w:rsidR="00751EC1" w:rsidRPr="00EE7D0D" w:rsidRDefault="00751EC1" w:rsidP="00751EC1">
      <w:pPr>
        <w:spacing w:after="0" w:line="276" w:lineRule="auto"/>
        <w:jc w:val="both"/>
        <w:rPr>
          <w:rFonts w:ascii="Century Gothic" w:eastAsia="Calibri" w:hAnsi="Century Gothic" w:cs="Arial"/>
          <w:b/>
          <w:bCs/>
          <w:color w:val="000000" w:themeColor="text1"/>
          <w:lang w:val="es-ES_tradnl"/>
        </w:rPr>
      </w:pPr>
    </w:p>
    <w:p w14:paraId="22712DBB" w14:textId="77777777" w:rsidR="00751EC1" w:rsidRDefault="00751EC1" w:rsidP="00751EC1">
      <w:pPr>
        <w:spacing w:after="120" w:line="276" w:lineRule="auto"/>
        <w:jc w:val="both"/>
        <w:rPr>
          <w:rFonts w:ascii="Century Gothic" w:hAnsi="Century Gothic" w:cs="Arial"/>
          <w:bCs/>
          <w:color w:val="000000" w:themeColor="text1"/>
          <w:lang w:val="es-ES_tradnl"/>
        </w:rPr>
      </w:pPr>
      <w:r>
        <w:rPr>
          <w:rFonts w:ascii="Century Gothic" w:eastAsia="Calibri" w:hAnsi="Century Gothic" w:cs="Arial"/>
          <w:lang w:val="es-ES"/>
        </w:rPr>
        <w:t>L</w:t>
      </w:r>
      <w:r w:rsidRPr="00131FA3">
        <w:rPr>
          <w:rFonts w:ascii="Century Gothic" w:eastAsia="Calibri" w:hAnsi="Century Gothic" w:cs="Arial"/>
          <w:lang w:val="es-ES"/>
        </w:rPr>
        <w:t>a Agencia resolverá la consulta conforme a las normas generales del sistema de compras públicas. Con este objetivo se analizarán los siguientes temas:</w:t>
      </w:r>
      <w:r w:rsidRPr="00131FA3">
        <w:rPr>
          <w:rFonts w:ascii="Century Gothic" w:hAnsi="Century Gothic" w:cs="Arial"/>
          <w:color w:val="000000" w:themeColor="text1"/>
          <w:lang w:val="es-ES_tradnl"/>
        </w:rPr>
        <w:t xml:space="preserve"> </w:t>
      </w:r>
      <w:r w:rsidRPr="00AC5BE5">
        <w:rPr>
          <w:rFonts w:ascii="Century Gothic" w:hAnsi="Century Gothic" w:cs="Arial"/>
          <w:color w:val="000000" w:themeColor="text1"/>
          <w:lang w:val="es-ES_tradnl"/>
        </w:rPr>
        <w:t xml:space="preserve">i) </w:t>
      </w:r>
      <w:r>
        <w:rPr>
          <w:rFonts w:ascii="Century Gothic" w:hAnsi="Century Gothic" w:cs="Arial"/>
          <w:color w:val="000000" w:themeColor="text1"/>
          <w:lang w:val="es-ES_tradnl"/>
        </w:rPr>
        <w:t>c</w:t>
      </w:r>
      <w:r w:rsidRPr="00A52283">
        <w:rPr>
          <w:rFonts w:ascii="Century Gothic" w:hAnsi="Century Gothic" w:cs="Arial"/>
          <w:color w:val="000000" w:themeColor="text1"/>
          <w:lang w:val="es-ES_tradnl"/>
        </w:rPr>
        <w:t>esión de los contratos estatales</w:t>
      </w:r>
      <w:r>
        <w:rPr>
          <w:rFonts w:ascii="Century Gothic" w:hAnsi="Century Gothic" w:cs="Arial"/>
          <w:color w:val="000000" w:themeColor="text1"/>
          <w:lang w:val="es-ES_tradnl"/>
        </w:rPr>
        <w:t xml:space="preserve"> y</w:t>
      </w:r>
      <w:r w:rsidRPr="00AC5BE5">
        <w:rPr>
          <w:rFonts w:ascii="Century Gothic" w:hAnsi="Century Gothic" w:cs="Arial"/>
          <w:color w:val="000000" w:themeColor="text1"/>
          <w:lang w:val="es-ES_tradnl"/>
        </w:rPr>
        <w:t xml:space="preserve"> </w:t>
      </w:r>
      <w:proofErr w:type="spellStart"/>
      <w:r w:rsidRPr="00AC5BE5">
        <w:rPr>
          <w:rFonts w:ascii="Century Gothic" w:hAnsi="Century Gothic" w:cs="Arial"/>
          <w:color w:val="000000" w:themeColor="text1"/>
          <w:lang w:val="es-ES_tradnl"/>
        </w:rPr>
        <w:t>ii</w:t>
      </w:r>
      <w:proofErr w:type="spellEnd"/>
      <w:r w:rsidRPr="00AC5BE5">
        <w:rPr>
          <w:rFonts w:ascii="Century Gothic" w:hAnsi="Century Gothic" w:cs="Arial"/>
          <w:color w:val="000000" w:themeColor="text1"/>
          <w:lang w:val="es-ES_tradnl"/>
        </w:rPr>
        <w:t>)</w:t>
      </w:r>
      <w:r>
        <w:rPr>
          <w:rFonts w:ascii="Century Gothic" w:hAnsi="Century Gothic" w:cs="Arial"/>
          <w:color w:val="000000" w:themeColor="text1"/>
          <w:lang w:val="es-ES_tradnl"/>
        </w:rPr>
        <w:t xml:space="preserve"> </w:t>
      </w:r>
      <w:r w:rsidRPr="00A52283">
        <w:rPr>
          <w:rFonts w:ascii="Century Gothic" w:hAnsi="Century Gothic" w:cs="Arial"/>
          <w:color w:val="000000" w:themeColor="text1"/>
          <w:lang w:val="es-ES_tradnl"/>
        </w:rPr>
        <w:t>ausencia del personería jurídica y falta de capacidad para celebrar contratos de cesión</w:t>
      </w:r>
      <w:r>
        <w:rPr>
          <w:rFonts w:ascii="Century Gothic" w:hAnsi="Century Gothic" w:cs="Arial"/>
          <w:color w:val="000000" w:themeColor="text1"/>
          <w:lang w:val="es-ES_tradnl"/>
        </w:rPr>
        <w:t xml:space="preserve"> en proponentes plurales.</w:t>
      </w:r>
    </w:p>
    <w:p w14:paraId="6AF4316D" w14:textId="77777777" w:rsidR="00751EC1" w:rsidRPr="00EE7D0D" w:rsidRDefault="00751EC1" w:rsidP="00751EC1">
      <w:pPr>
        <w:spacing w:after="0" w:line="276" w:lineRule="auto"/>
        <w:ind w:firstLine="709"/>
        <w:jc w:val="both"/>
        <w:rPr>
          <w:rFonts w:ascii="Century Gothic" w:eastAsia="Calibri" w:hAnsi="Century Gothic" w:cs="Arial"/>
          <w:b/>
          <w:bCs/>
          <w:color w:val="000000" w:themeColor="text1"/>
          <w:lang w:val="es-ES_tradnl"/>
        </w:rPr>
      </w:pPr>
      <w:r w:rsidRPr="001B33D6">
        <w:rPr>
          <w:rFonts w:ascii="Century Gothic" w:eastAsia="Calibri" w:hAnsi="Century Gothic" w:cs="Arial"/>
          <w:color w:val="000000" w:themeColor="text1"/>
          <w:lang w:val="es-ES"/>
        </w:rPr>
        <w:t xml:space="preserve">La Agencia Nacional de Contratación Pública – Colombia Compra Eficiente, en los </w:t>
      </w:r>
      <w:r>
        <w:rPr>
          <w:rFonts w:ascii="Century Gothic" w:eastAsia="Calibri" w:hAnsi="Century Gothic" w:cs="Arial"/>
          <w:color w:val="000000" w:themeColor="text1"/>
          <w:lang w:val="es-ES"/>
        </w:rPr>
        <w:t xml:space="preserve">Conceptos </w:t>
      </w:r>
      <w:r w:rsidRPr="00A52283">
        <w:rPr>
          <w:rFonts w:ascii="Century Gothic" w:eastAsia="Calibri" w:hAnsi="Century Gothic" w:cs="Arial"/>
          <w:color w:val="000000" w:themeColor="text1"/>
          <w:lang w:val="es-ES"/>
        </w:rPr>
        <w:t>4201913000007643 y 4201913000007669 del 26 de diciembre de 2019</w:t>
      </w:r>
      <w:r>
        <w:rPr>
          <w:rFonts w:ascii="Century Gothic" w:eastAsia="Calibri" w:hAnsi="Century Gothic" w:cs="Arial"/>
          <w:color w:val="000000" w:themeColor="text1"/>
          <w:lang w:val="es-ES"/>
        </w:rPr>
        <w:t xml:space="preserve">, así como en los Conceptos </w:t>
      </w:r>
      <w:r w:rsidRPr="00BF6985">
        <w:rPr>
          <w:rFonts w:ascii="Century Gothic" w:eastAsia="Calibri" w:hAnsi="Century Gothic" w:cs="Arial"/>
          <w:color w:val="000000" w:themeColor="text1"/>
          <w:lang w:val="es-ES"/>
        </w:rPr>
        <w:t>C</w:t>
      </w:r>
      <w:r>
        <w:rPr>
          <w:rFonts w:ascii="Century Gothic" w:eastAsia="Calibri" w:hAnsi="Century Gothic" w:cs="Arial"/>
          <w:color w:val="000000" w:themeColor="text1"/>
          <w:lang w:val="es-ES"/>
        </w:rPr>
        <w:t>-</w:t>
      </w:r>
      <w:r w:rsidRPr="00BF6985">
        <w:rPr>
          <w:rFonts w:ascii="Century Gothic" w:eastAsia="Calibri" w:hAnsi="Century Gothic" w:cs="Arial"/>
          <w:color w:val="000000" w:themeColor="text1"/>
          <w:lang w:val="es-ES"/>
        </w:rPr>
        <w:t>551 del</w:t>
      </w:r>
      <w:r>
        <w:rPr>
          <w:rFonts w:ascii="Century Gothic" w:eastAsia="Calibri" w:hAnsi="Century Gothic" w:cs="Arial"/>
          <w:color w:val="000000" w:themeColor="text1"/>
          <w:lang w:val="es-ES"/>
        </w:rPr>
        <w:t xml:space="preserve"> 24 de septiembre de</w:t>
      </w:r>
      <w:r w:rsidRPr="00BF6985">
        <w:rPr>
          <w:rFonts w:ascii="Century Gothic" w:eastAsia="Calibri" w:hAnsi="Century Gothic" w:cs="Arial"/>
          <w:color w:val="000000" w:themeColor="text1"/>
          <w:lang w:val="es-ES"/>
        </w:rPr>
        <w:t xml:space="preserve"> 2020</w:t>
      </w:r>
      <w:r>
        <w:rPr>
          <w:rFonts w:ascii="Century Gothic" w:eastAsia="Calibri" w:hAnsi="Century Gothic" w:cs="Arial"/>
          <w:color w:val="000000" w:themeColor="text1"/>
          <w:lang w:val="es-ES"/>
        </w:rPr>
        <w:t xml:space="preserve">, </w:t>
      </w:r>
      <w:r w:rsidRPr="00BF6985">
        <w:rPr>
          <w:rFonts w:ascii="Century Gothic" w:eastAsia="Calibri" w:hAnsi="Century Gothic" w:cs="Arial"/>
          <w:color w:val="000000" w:themeColor="text1"/>
          <w:lang w:val="es-ES"/>
        </w:rPr>
        <w:t>C-572 del 27 de agosto de 2020, C-582 del 28 de agosto de 2020</w:t>
      </w:r>
      <w:r>
        <w:rPr>
          <w:rFonts w:ascii="Century Gothic" w:eastAsia="Calibri" w:hAnsi="Century Gothic" w:cs="Arial"/>
          <w:color w:val="000000" w:themeColor="text1"/>
          <w:lang w:val="es-ES"/>
        </w:rPr>
        <w:t xml:space="preserve">, </w:t>
      </w:r>
      <w:r w:rsidRPr="00BF6985">
        <w:rPr>
          <w:rFonts w:ascii="Century Gothic" w:eastAsia="Calibri" w:hAnsi="Century Gothic" w:cs="Arial"/>
          <w:color w:val="000000" w:themeColor="text1"/>
          <w:lang w:val="es-ES"/>
        </w:rPr>
        <w:t>C</w:t>
      </w:r>
      <w:r>
        <w:rPr>
          <w:rFonts w:ascii="Century Gothic" w:eastAsia="Calibri" w:hAnsi="Century Gothic" w:cs="Arial"/>
          <w:color w:val="000000" w:themeColor="text1"/>
          <w:lang w:val="es-ES"/>
        </w:rPr>
        <w:t>-</w:t>
      </w:r>
      <w:r w:rsidRPr="00BF6985">
        <w:rPr>
          <w:rFonts w:ascii="Century Gothic" w:eastAsia="Calibri" w:hAnsi="Century Gothic" w:cs="Arial"/>
          <w:color w:val="000000" w:themeColor="text1"/>
          <w:lang w:val="es-ES"/>
        </w:rPr>
        <w:t xml:space="preserve">385 del </w:t>
      </w:r>
      <w:r>
        <w:rPr>
          <w:rFonts w:ascii="Century Gothic" w:eastAsia="Calibri" w:hAnsi="Century Gothic" w:cs="Arial"/>
          <w:color w:val="000000" w:themeColor="text1"/>
          <w:lang w:val="es-ES"/>
        </w:rPr>
        <w:t xml:space="preserve">20 de agosto de </w:t>
      </w:r>
      <w:r w:rsidRPr="00BF6985">
        <w:rPr>
          <w:rFonts w:ascii="Century Gothic" w:eastAsia="Calibri" w:hAnsi="Century Gothic" w:cs="Arial"/>
          <w:color w:val="000000" w:themeColor="text1"/>
          <w:lang w:val="es-ES"/>
        </w:rPr>
        <w:t>2021</w:t>
      </w:r>
      <w:r>
        <w:rPr>
          <w:rFonts w:ascii="Century Gothic" w:eastAsia="Calibri" w:hAnsi="Century Gothic" w:cs="Arial"/>
          <w:color w:val="000000" w:themeColor="text1"/>
          <w:lang w:val="es-ES"/>
        </w:rPr>
        <w:t xml:space="preserve">, C-069 del 24 de abril de 2023, abordó el régimen jurídico de la sesión del contrato estatal. También </w:t>
      </w:r>
      <w:r w:rsidRPr="001B33D6">
        <w:rPr>
          <w:rFonts w:ascii="Century Gothic" w:eastAsia="Calibri" w:hAnsi="Century Gothic" w:cs="Arial"/>
          <w:lang w:val="es-ES_tradnl" w:eastAsia="es-ES_tradnl"/>
        </w:rPr>
        <w:t xml:space="preserve">se ha pronunciado sobre </w:t>
      </w:r>
      <w:r>
        <w:rPr>
          <w:rFonts w:ascii="Century Gothic" w:eastAsia="Calibri" w:hAnsi="Century Gothic" w:cs="Arial"/>
          <w:lang w:val="es-ES_tradnl" w:eastAsia="es-ES_tradnl"/>
        </w:rPr>
        <w:t xml:space="preserve">los proponentes plurales en los Conceptos </w:t>
      </w:r>
      <w:r w:rsidRPr="00BF6985">
        <w:rPr>
          <w:rFonts w:ascii="Century Gothic" w:eastAsia="Calibri" w:hAnsi="Century Gothic" w:cs="Arial"/>
          <w:lang w:val="es-ES_tradnl" w:eastAsia="es-ES_tradnl"/>
        </w:rPr>
        <w:t>4201913000007643 del 26 de diciembre de 2019, C-343 del 17 de junio de 2020, C-518 del 9 de septiembre de 2020, C-614 del 5 de octubre de 2022, C-882 del 21 de diciembre de 2022</w:t>
      </w:r>
      <w:r>
        <w:rPr>
          <w:rFonts w:ascii="Century Gothic" w:eastAsia="Calibri" w:hAnsi="Century Gothic" w:cs="Arial"/>
          <w:lang w:val="es-ES_tradnl" w:eastAsia="es-ES_tradnl"/>
        </w:rPr>
        <w:t>,</w:t>
      </w:r>
      <w:r w:rsidRPr="00BF6985">
        <w:rPr>
          <w:rFonts w:ascii="Century Gothic" w:eastAsia="Calibri" w:hAnsi="Century Gothic" w:cs="Arial"/>
          <w:lang w:val="es-ES_tradnl" w:eastAsia="es-ES_tradnl"/>
        </w:rPr>
        <w:t xml:space="preserve"> C-172 del 6 de junio de 2023</w:t>
      </w:r>
      <w:r>
        <w:rPr>
          <w:rFonts w:ascii="Century Gothic" w:eastAsia="Calibri" w:hAnsi="Century Gothic" w:cs="Arial"/>
          <w:lang w:val="es-ES_tradnl" w:eastAsia="es-ES_tradnl"/>
        </w:rPr>
        <w:t xml:space="preserve"> y C-032 del 16 de abril de 2024</w:t>
      </w:r>
      <w:r w:rsidRPr="00131FA3">
        <w:rPr>
          <w:rStyle w:val="Refdenotaalpie"/>
          <w:rFonts w:ascii="Century Gothic" w:eastAsia="Calibri" w:hAnsi="Century Gothic" w:cs="Arial"/>
        </w:rPr>
        <w:footnoteReference w:id="1"/>
      </w:r>
      <w:r w:rsidRPr="00131FA3">
        <w:rPr>
          <w:rFonts w:ascii="Century Gothic" w:hAnsi="Century Gothic" w:cs="Arial"/>
        </w:rPr>
        <w:t>. Las tesis propuestas se reiteran a continuación y se complementan en lo pertinente</w:t>
      </w:r>
      <w:r>
        <w:rPr>
          <w:rFonts w:ascii="Century Gothic" w:hAnsi="Century Gothic" w:cs="Arial"/>
        </w:rPr>
        <w:t>.</w:t>
      </w:r>
    </w:p>
    <w:p w14:paraId="35192247" w14:textId="77777777" w:rsidR="00751EC1" w:rsidRPr="00EE7D0D" w:rsidRDefault="00751EC1" w:rsidP="00751EC1">
      <w:pPr>
        <w:spacing w:after="0" w:line="276" w:lineRule="auto"/>
        <w:jc w:val="both"/>
        <w:rPr>
          <w:rFonts w:ascii="Century Gothic" w:eastAsia="Calibri" w:hAnsi="Century Gothic" w:cs="Arial"/>
          <w:b/>
          <w:bCs/>
          <w:color w:val="000000" w:themeColor="text1"/>
          <w:lang w:val="es-ES_tradnl"/>
        </w:rPr>
      </w:pPr>
    </w:p>
    <w:p w14:paraId="2044C50D" w14:textId="77777777" w:rsidR="00751EC1" w:rsidRPr="00EE7D0D" w:rsidRDefault="00751EC1" w:rsidP="00751EC1">
      <w:pPr>
        <w:spacing w:after="0" w:line="276" w:lineRule="auto"/>
        <w:jc w:val="both"/>
        <w:rPr>
          <w:rFonts w:ascii="Century Gothic" w:eastAsia="Calibri" w:hAnsi="Century Gothic" w:cs="Arial"/>
          <w:b/>
          <w:color w:val="000000" w:themeColor="text1"/>
        </w:rPr>
      </w:pPr>
      <w:r w:rsidRPr="00EE7D0D">
        <w:rPr>
          <w:rFonts w:ascii="Century Gothic" w:eastAsia="Calibri" w:hAnsi="Century Gothic" w:cs="Arial"/>
          <w:b/>
          <w:color w:val="000000" w:themeColor="text1"/>
        </w:rPr>
        <w:t>2.1. Cesión de los contratos estatales</w:t>
      </w:r>
    </w:p>
    <w:p w14:paraId="0948539A" w14:textId="77777777" w:rsidR="00751EC1" w:rsidRDefault="00751EC1" w:rsidP="00751EC1">
      <w:pPr>
        <w:spacing w:after="0" w:line="276" w:lineRule="auto"/>
        <w:jc w:val="both"/>
        <w:rPr>
          <w:rFonts w:ascii="Century Gothic" w:eastAsia="Calibri" w:hAnsi="Century Gothic" w:cs="Arial"/>
          <w:bCs/>
          <w:color w:val="000000" w:themeColor="text1"/>
        </w:rPr>
      </w:pPr>
    </w:p>
    <w:p w14:paraId="36BBE030" w14:textId="77777777" w:rsidR="00751EC1" w:rsidRPr="00A54EA5" w:rsidRDefault="00751EC1" w:rsidP="00751EC1">
      <w:pPr>
        <w:spacing w:after="120" w:line="276" w:lineRule="auto"/>
        <w:jc w:val="both"/>
        <w:rPr>
          <w:rFonts w:ascii="Century Gothic" w:eastAsia="Calibri" w:hAnsi="Century Gothic" w:cs="Arial"/>
          <w:color w:val="000000" w:themeColor="text1"/>
        </w:rPr>
      </w:pPr>
      <w:r>
        <w:rPr>
          <w:rFonts w:ascii="Century Gothic" w:eastAsia="Calibri" w:hAnsi="Century Gothic" w:cs="Arial"/>
          <w:bCs/>
          <w:color w:val="000000" w:themeColor="text1"/>
        </w:rPr>
        <w:t>C</w:t>
      </w:r>
      <w:r w:rsidRPr="00A54EA5">
        <w:rPr>
          <w:rFonts w:ascii="Century Gothic" w:eastAsia="Calibri" w:hAnsi="Century Gothic" w:cs="Arial"/>
          <w:bCs/>
          <w:color w:val="000000" w:themeColor="text1"/>
        </w:rPr>
        <w:t xml:space="preserve">onforme a los artículos 887 y siguientes del Código de Comercio, la cesión de los contratos juega un papel importante en la gestión de los intereses patrimoniales de los sujetos de </w:t>
      </w:r>
      <w:r w:rsidRPr="00296922">
        <w:rPr>
          <w:rFonts w:ascii="Century Gothic" w:eastAsia="Calibri" w:hAnsi="Century Gothic" w:cs="Arial"/>
          <w:bCs/>
          <w:color w:val="000000" w:themeColor="text1"/>
        </w:rPr>
        <w:t>derecho privado, ya que –a diferencia de la regulada en los artículos 1959 y siguientes del Código Civil– facilita el tráfico jurídico tanto de los derechos como de las obligaciones surgidos con ocasión del acuerdo de voluntades, lo que permite su transferencia total o parcial a terceros como negocio generador de riqueza</w:t>
      </w:r>
      <w:r w:rsidRPr="00296922">
        <w:rPr>
          <w:rStyle w:val="Refdenotaalpie"/>
          <w:rFonts w:ascii="Century Gothic" w:eastAsia="Calibri" w:hAnsi="Century Gothic" w:cs="Arial"/>
          <w:bCs/>
          <w:color w:val="000000" w:themeColor="text1"/>
        </w:rPr>
        <w:footnoteReference w:id="2"/>
      </w:r>
      <w:r w:rsidRPr="00296922">
        <w:rPr>
          <w:rFonts w:ascii="Century Gothic" w:eastAsia="Calibri" w:hAnsi="Century Gothic" w:cs="Arial"/>
          <w:bCs/>
          <w:color w:val="000000" w:themeColor="text1"/>
        </w:rPr>
        <w:t>.</w:t>
      </w:r>
      <w:r w:rsidRPr="00296922">
        <w:rPr>
          <w:rFonts w:ascii="Century Gothic" w:eastAsia="Calibri" w:hAnsi="Century Gothic" w:cs="Arial"/>
          <w:color w:val="000000" w:themeColor="text1"/>
        </w:rPr>
        <w:t xml:space="preserve"> </w:t>
      </w:r>
      <w:r w:rsidRPr="00296922">
        <w:rPr>
          <w:rFonts w:ascii="Century Gothic" w:hAnsi="Century Gothic" w:cs="Arial"/>
        </w:rPr>
        <w:t xml:space="preserve">Para la doctrina, “La cesión del contrato sirve para hacer posible la </w:t>
      </w:r>
      <w:r w:rsidRPr="00296922">
        <w:rPr>
          <w:rFonts w:ascii="Century Gothic" w:hAnsi="Century Gothic" w:cs="Arial"/>
          <w:i/>
          <w:iCs/>
        </w:rPr>
        <w:lastRenderedPageBreak/>
        <w:t>circulación del contrato en su integridad</w:t>
      </w:r>
      <w:r w:rsidRPr="00296922">
        <w:rPr>
          <w:rFonts w:ascii="Century Gothic" w:hAnsi="Century Gothic" w:cs="Arial"/>
        </w:rPr>
        <w:t xml:space="preserve">, es decir, para hacer </w:t>
      </w:r>
      <w:r w:rsidRPr="00296922">
        <w:rPr>
          <w:rFonts w:ascii="Century Gothic" w:hAnsi="Century Gothic" w:cs="Arial"/>
          <w:i/>
          <w:iCs/>
        </w:rPr>
        <w:t>subintrar</w:t>
      </w:r>
      <w:r w:rsidRPr="00296922">
        <w:rPr>
          <w:rFonts w:ascii="Century Gothic" w:hAnsi="Century Gothic" w:cs="Arial"/>
        </w:rPr>
        <w:t xml:space="preserve"> un extraño en la categoría de parte contractual, en </w:t>
      </w:r>
      <w:r w:rsidRPr="00296922">
        <w:rPr>
          <w:rFonts w:ascii="Century Gothic" w:hAnsi="Century Gothic" w:cs="Arial"/>
          <w:i/>
          <w:iCs/>
        </w:rPr>
        <w:t>lugar</w:t>
      </w:r>
      <w:r w:rsidRPr="00296922">
        <w:rPr>
          <w:rFonts w:ascii="Century Gothic" w:hAnsi="Century Gothic" w:cs="Arial"/>
        </w:rPr>
        <w:t xml:space="preserve"> de uno de los contratantes originarios”</w:t>
      </w:r>
      <w:r w:rsidRPr="00296922">
        <w:rPr>
          <w:rStyle w:val="Refdenotaalpie"/>
          <w:rFonts w:ascii="Century Gothic" w:hAnsi="Century Gothic" w:cs="Arial"/>
          <w:color w:val="000000" w:themeColor="text1"/>
        </w:rPr>
        <w:footnoteReference w:id="3"/>
      </w:r>
      <w:r w:rsidRPr="00296922">
        <w:rPr>
          <w:rFonts w:ascii="Century Gothic" w:hAnsi="Century Gothic" w:cs="Arial"/>
        </w:rPr>
        <w:t>.</w:t>
      </w:r>
    </w:p>
    <w:p w14:paraId="60944F7A" w14:textId="77777777" w:rsidR="00751EC1" w:rsidRPr="00A54EA5" w:rsidRDefault="00751EC1" w:rsidP="00751EC1">
      <w:pPr>
        <w:spacing w:after="0" w:line="276" w:lineRule="auto"/>
        <w:ind w:firstLine="708"/>
        <w:jc w:val="both"/>
        <w:rPr>
          <w:rFonts w:ascii="Century Gothic" w:eastAsia="Calibri" w:hAnsi="Century Gothic" w:cs="Arial"/>
          <w:color w:val="000000" w:themeColor="text1"/>
        </w:rPr>
      </w:pPr>
      <w:r w:rsidRPr="00A54EA5">
        <w:rPr>
          <w:rFonts w:ascii="Century Gothic" w:eastAsia="Calibri" w:hAnsi="Century Gothic" w:cs="Arial"/>
          <w:color w:val="000000" w:themeColor="text1"/>
        </w:rPr>
        <w:t xml:space="preserve">La cesión de la posición contractual puede entenderse como un acto y como un efecto. Por un lado, “[…] es el contrato con el cual el cedente, parte de otro contrato ya en curso con otro sujeto (cedido), transfiere la relativa posición contractual (en sus componentes activos y pasivos) al cesionario, el cual le </w:t>
      </w:r>
      <w:proofErr w:type="spellStart"/>
      <w:r w:rsidRPr="00A54EA5">
        <w:rPr>
          <w:rFonts w:ascii="Century Gothic" w:eastAsia="Calibri" w:hAnsi="Century Gothic" w:cs="Arial"/>
          <w:color w:val="000000" w:themeColor="text1"/>
        </w:rPr>
        <w:t>subentra</w:t>
      </w:r>
      <w:proofErr w:type="spellEnd"/>
      <w:r w:rsidRPr="00A54EA5">
        <w:rPr>
          <w:rFonts w:ascii="Century Gothic" w:eastAsia="Calibri" w:hAnsi="Century Gothic" w:cs="Arial"/>
          <w:color w:val="000000" w:themeColor="text1"/>
        </w:rPr>
        <w:t xml:space="preserve"> en la relación con el cedido […]”</w:t>
      </w:r>
      <w:r w:rsidRPr="00A54EA5">
        <w:rPr>
          <w:rStyle w:val="Refdenotaalpie"/>
          <w:rFonts w:ascii="Century Gothic" w:eastAsia="Calibri" w:hAnsi="Century Gothic" w:cs="Arial"/>
          <w:color w:val="000000" w:themeColor="text1"/>
        </w:rPr>
        <w:footnoteReference w:id="4"/>
      </w:r>
      <w:r w:rsidRPr="00A54EA5">
        <w:rPr>
          <w:rFonts w:ascii="Century Gothic" w:eastAsia="Calibri" w:hAnsi="Century Gothic" w:cs="Arial"/>
          <w:color w:val="000000" w:themeColor="text1"/>
        </w:rPr>
        <w:t xml:space="preserve">. Por otro, “[…] es la transferencia de la posición contractual de un contratante a otro sujeto, que le </w:t>
      </w:r>
      <w:proofErr w:type="spellStart"/>
      <w:r w:rsidRPr="00A54EA5">
        <w:rPr>
          <w:rFonts w:ascii="Century Gothic" w:eastAsia="Calibri" w:hAnsi="Century Gothic" w:cs="Arial"/>
          <w:color w:val="000000" w:themeColor="text1"/>
        </w:rPr>
        <w:t>subentra</w:t>
      </w:r>
      <w:proofErr w:type="spellEnd"/>
      <w:r w:rsidRPr="00A54EA5">
        <w:rPr>
          <w:rFonts w:ascii="Century Gothic" w:eastAsia="Calibri" w:hAnsi="Century Gothic" w:cs="Arial"/>
          <w:color w:val="000000" w:themeColor="text1"/>
        </w:rPr>
        <w:t xml:space="preserve"> en la relación con la contraparte […]”</w:t>
      </w:r>
      <w:r w:rsidRPr="00A54EA5">
        <w:rPr>
          <w:rStyle w:val="Refdenotaalpie"/>
          <w:rFonts w:ascii="Century Gothic" w:eastAsia="Calibri" w:hAnsi="Century Gothic" w:cs="Arial"/>
          <w:color w:val="000000" w:themeColor="text1"/>
        </w:rPr>
        <w:footnoteReference w:id="5"/>
      </w:r>
      <w:r w:rsidRPr="00A54EA5">
        <w:rPr>
          <w:rFonts w:ascii="Century Gothic" w:eastAsia="Calibri" w:hAnsi="Century Gothic" w:cs="Arial"/>
          <w:color w:val="000000" w:themeColor="text1"/>
        </w:rPr>
        <w:t xml:space="preserve">. De esta manera, </w:t>
      </w:r>
      <w:r w:rsidRPr="00A54EA5">
        <w:rPr>
          <w:rFonts w:ascii="Century Gothic" w:hAnsi="Century Gothic" w:cs="Arial"/>
          <w:color w:val="000000" w:themeColor="text1"/>
        </w:rPr>
        <w:t xml:space="preserve">concurren tres (3) sujetos: i) el cedente, esto es, el contratista inicial; </w:t>
      </w:r>
      <w:proofErr w:type="spellStart"/>
      <w:r w:rsidRPr="00A54EA5">
        <w:rPr>
          <w:rFonts w:ascii="Century Gothic" w:hAnsi="Century Gothic" w:cs="Arial"/>
          <w:color w:val="000000" w:themeColor="text1"/>
        </w:rPr>
        <w:t>ii</w:t>
      </w:r>
      <w:proofErr w:type="spellEnd"/>
      <w:r w:rsidRPr="00A54EA5">
        <w:rPr>
          <w:rFonts w:ascii="Century Gothic" w:hAnsi="Century Gothic" w:cs="Arial"/>
          <w:color w:val="000000" w:themeColor="text1"/>
        </w:rPr>
        <w:t xml:space="preserve">) el cesionario, es decir, quien asume total o parcialmente los derechos y obligaciones de este último; y </w:t>
      </w:r>
      <w:proofErr w:type="spellStart"/>
      <w:r w:rsidRPr="00A54EA5">
        <w:rPr>
          <w:rFonts w:ascii="Century Gothic" w:hAnsi="Century Gothic" w:cs="Arial"/>
          <w:color w:val="000000" w:themeColor="text1"/>
        </w:rPr>
        <w:t>iii</w:t>
      </w:r>
      <w:proofErr w:type="spellEnd"/>
      <w:r w:rsidRPr="00A54EA5">
        <w:rPr>
          <w:rFonts w:ascii="Century Gothic" w:hAnsi="Century Gothic" w:cs="Arial"/>
          <w:color w:val="000000" w:themeColor="text1"/>
        </w:rPr>
        <w:t xml:space="preserve">) el cedido que, en el caso de los contratos estatales, sería la entidad que suscribió el contrato. </w:t>
      </w:r>
      <w:r w:rsidRPr="00A54EA5">
        <w:rPr>
          <w:rFonts w:ascii="Century Gothic" w:eastAsia="Calibri" w:hAnsi="Century Gothic" w:cs="Arial"/>
          <w:color w:val="000000" w:themeColor="text1"/>
        </w:rPr>
        <w:t>Por tanto, la cesión de contrato es una figura jurídica por la que terceros ajenos a los contratantes iniciales participan en negocios que están ejecutando cuando no se hayan cumplido la totalidad de las obligaciones, permitiendo que sean éstos quienes realicen las prestaciones faltantes. En efecto:</w:t>
      </w:r>
    </w:p>
    <w:p w14:paraId="34B9E472" w14:textId="77777777" w:rsidR="00751EC1" w:rsidRPr="00A54EA5" w:rsidRDefault="00751EC1" w:rsidP="00751EC1">
      <w:pPr>
        <w:spacing w:after="0" w:line="276" w:lineRule="auto"/>
        <w:ind w:firstLine="708"/>
        <w:jc w:val="both"/>
        <w:rPr>
          <w:rFonts w:ascii="Century Gothic" w:hAnsi="Century Gothic" w:cs="Arial"/>
          <w:color w:val="000000" w:themeColor="text1"/>
        </w:rPr>
      </w:pPr>
    </w:p>
    <w:p w14:paraId="5A7DBD2F" w14:textId="77777777" w:rsidR="00751EC1" w:rsidRPr="00A54EA5" w:rsidRDefault="00751EC1" w:rsidP="00751EC1">
      <w:pPr>
        <w:tabs>
          <w:tab w:val="left" w:pos="709"/>
        </w:tabs>
        <w:spacing w:after="0" w:line="240" w:lineRule="auto"/>
        <w:ind w:left="709" w:right="709"/>
        <w:jc w:val="both"/>
        <w:rPr>
          <w:rFonts w:ascii="Century Gothic" w:eastAsia="Calibri" w:hAnsi="Century Gothic" w:cs="Arial"/>
          <w:color w:val="000000" w:themeColor="text1"/>
          <w:sz w:val="21"/>
          <w:szCs w:val="21"/>
        </w:rPr>
      </w:pPr>
      <w:r w:rsidRPr="00A54EA5">
        <w:rPr>
          <w:rFonts w:ascii="Century Gothic" w:eastAsia="Calibri" w:hAnsi="Century Gothic" w:cs="Arial"/>
          <w:color w:val="000000" w:themeColor="text1"/>
          <w:sz w:val="21"/>
          <w:szCs w:val="21"/>
        </w:rPr>
        <w:t>“[…] cuando lo que se cede (o asume) es un contrato, el punto de partida es la presencia de uno o varios créditos y otras tantas obligaciones, entrelazadas en términos de correlatividad y consideradas, tratadas y dispuestas como una unidad, o sea: el objeto de la operación es el traspaso simultáneo de unos créditos y de las obligaciones recíprocas, surgidos a una de un mismo contrato, por parte de uno de los contratantes a un tercero, esto es, en últimas, la transferencia de una posición o relación contractual, cuyo resultado es la sustitución de una de las partes (acreedora-deudora) […]”</w:t>
      </w:r>
      <w:r w:rsidRPr="00A54EA5">
        <w:rPr>
          <w:rStyle w:val="Refdenotaalpie"/>
          <w:rFonts w:ascii="Century Gothic" w:eastAsia="Calibri" w:hAnsi="Century Gothic" w:cs="Arial"/>
          <w:color w:val="000000" w:themeColor="text1"/>
          <w:sz w:val="21"/>
          <w:szCs w:val="21"/>
        </w:rPr>
        <w:footnoteReference w:id="6"/>
      </w:r>
      <w:r w:rsidRPr="00A54EA5">
        <w:rPr>
          <w:rFonts w:ascii="Century Gothic" w:eastAsia="Calibri" w:hAnsi="Century Gothic" w:cs="Arial"/>
          <w:color w:val="000000" w:themeColor="text1"/>
          <w:sz w:val="21"/>
          <w:szCs w:val="21"/>
        </w:rPr>
        <w:t>.</w:t>
      </w:r>
    </w:p>
    <w:p w14:paraId="24CF90C3" w14:textId="77777777" w:rsidR="00751EC1" w:rsidRPr="00A54EA5" w:rsidRDefault="00751EC1" w:rsidP="00751EC1">
      <w:pPr>
        <w:tabs>
          <w:tab w:val="left" w:pos="709"/>
        </w:tabs>
        <w:spacing w:after="0" w:line="276" w:lineRule="auto"/>
        <w:ind w:left="709" w:right="709"/>
        <w:jc w:val="both"/>
        <w:rPr>
          <w:rFonts w:ascii="Century Gothic" w:eastAsia="Calibri" w:hAnsi="Century Gothic" w:cs="Arial"/>
          <w:color w:val="000000" w:themeColor="text1"/>
        </w:rPr>
      </w:pPr>
    </w:p>
    <w:p w14:paraId="49F156C4" w14:textId="77777777" w:rsidR="00751EC1" w:rsidRDefault="00751EC1" w:rsidP="00751EC1">
      <w:pPr>
        <w:spacing w:after="120" w:line="276" w:lineRule="auto"/>
        <w:ind w:firstLine="708"/>
        <w:jc w:val="both"/>
        <w:rPr>
          <w:rFonts w:ascii="Century Gothic" w:eastAsia="Calibri" w:hAnsi="Century Gothic" w:cs="Arial"/>
          <w:color w:val="000000" w:themeColor="text1"/>
        </w:rPr>
      </w:pPr>
      <w:r w:rsidRPr="00A54EA5">
        <w:rPr>
          <w:rFonts w:ascii="Century Gothic" w:eastAsia="Calibri" w:hAnsi="Century Gothic" w:cs="Arial"/>
          <w:color w:val="000000" w:themeColor="text1"/>
        </w:rPr>
        <w:lastRenderedPageBreak/>
        <w:t>Tratándose de la cesión de contratos estatales, conforme a la regulación del EGCAP, confluyen una mixtura entre el derecho público y privado</w:t>
      </w:r>
      <w:r>
        <w:rPr>
          <w:rFonts w:ascii="Century Gothic" w:eastAsia="Calibri" w:hAnsi="Century Gothic" w:cs="Arial"/>
          <w:color w:val="000000" w:themeColor="text1"/>
        </w:rPr>
        <w:t xml:space="preserve"> </w:t>
      </w:r>
      <w:r w:rsidRPr="00A54EA5">
        <w:rPr>
          <w:rFonts w:ascii="Century Gothic" w:eastAsia="Calibri" w:hAnsi="Century Gothic" w:cs="Arial"/>
          <w:color w:val="000000" w:themeColor="text1"/>
        </w:rPr>
        <w:t xml:space="preserve">en su regulación. En efecto, i) los contratos estatales se regirán por las normas comerciales y civiles pertinentes, salvo en lo concerniente a las materias particularmente reguladas en dicha ley, de acuerdo con lo prescrito en el inciso primero del artículo 13 de la Ley 80 de 1993, por lo que deben observarse en primer término las disposiciones establecidas en el EGCAP; </w:t>
      </w:r>
      <w:proofErr w:type="spellStart"/>
      <w:r w:rsidRPr="00A54EA5">
        <w:rPr>
          <w:rFonts w:ascii="Century Gothic" w:eastAsia="Calibri" w:hAnsi="Century Gothic" w:cs="Arial"/>
          <w:color w:val="000000" w:themeColor="text1"/>
        </w:rPr>
        <w:t>ii</w:t>
      </w:r>
      <w:proofErr w:type="spellEnd"/>
      <w:r w:rsidRPr="00A54EA5">
        <w:rPr>
          <w:rFonts w:ascii="Century Gothic" w:eastAsia="Calibri" w:hAnsi="Century Gothic" w:cs="Arial"/>
          <w:color w:val="000000" w:themeColor="text1"/>
        </w:rPr>
        <w:t xml:space="preserve">) corresponderán como actos jurídicos bilaterales generadores de obligaciones, entre otros, a los previstos en el derecho privado, en los términos del artículo 32 </w:t>
      </w:r>
      <w:r w:rsidRPr="00A54EA5">
        <w:rPr>
          <w:rFonts w:ascii="Century Gothic" w:eastAsia="Calibri" w:hAnsi="Century Gothic" w:cs="Arial"/>
          <w:i/>
          <w:iCs/>
          <w:color w:val="000000" w:themeColor="text1"/>
        </w:rPr>
        <w:t>ibidem</w:t>
      </w:r>
      <w:r w:rsidRPr="00A54EA5">
        <w:rPr>
          <w:rFonts w:ascii="Century Gothic" w:eastAsia="Calibri" w:hAnsi="Century Gothic" w:cs="Arial"/>
          <w:color w:val="000000" w:themeColor="text1"/>
        </w:rPr>
        <w:t xml:space="preserve">; y </w:t>
      </w:r>
      <w:proofErr w:type="spellStart"/>
      <w:r w:rsidRPr="00A54EA5">
        <w:rPr>
          <w:rFonts w:ascii="Century Gothic" w:eastAsia="Calibri" w:hAnsi="Century Gothic" w:cs="Arial"/>
          <w:color w:val="000000" w:themeColor="text1"/>
        </w:rPr>
        <w:t>iii</w:t>
      </w:r>
      <w:proofErr w:type="spellEnd"/>
      <w:r w:rsidRPr="00A54EA5">
        <w:rPr>
          <w:rFonts w:ascii="Century Gothic" w:eastAsia="Calibri" w:hAnsi="Century Gothic" w:cs="Arial"/>
          <w:color w:val="000000" w:themeColor="text1"/>
        </w:rPr>
        <w:t xml:space="preserve">) contendrán las estipulaciones que, de acuerdo con las normas civiles, comerciales y las previstas en esta ley, correspondan a su esencia y naturaleza, conforme a lo dispuesto por el artículo 40 </w:t>
      </w:r>
      <w:r w:rsidRPr="00A54EA5">
        <w:rPr>
          <w:rFonts w:ascii="Century Gothic" w:eastAsia="Calibri" w:hAnsi="Century Gothic" w:cs="Arial"/>
          <w:i/>
          <w:iCs/>
          <w:color w:val="000000" w:themeColor="text1"/>
        </w:rPr>
        <w:t>ibidem</w:t>
      </w:r>
      <w:r w:rsidRPr="00A54EA5">
        <w:rPr>
          <w:rFonts w:ascii="Century Gothic" w:eastAsia="Calibri" w:hAnsi="Century Gothic" w:cs="Arial"/>
          <w:color w:val="000000" w:themeColor="text1"/>
        </w:rPr>
        <w:t xml:space="preserve">. </w:t>
      </w:r>
    </w:p>
    <w:p w14:paraId="4A9A7372" w14:textId="77777777" w:rsidR="00751EC1" w:rsidRPr="00A54EA5" w:rsidRDefault="00751EC1" w:rsidP="00751EC1">
      <w:pPr>
        <w:spacing w:after="120" w:line="276" w:lineRule="auto"/>
        <w:ind w:firstLine="708"/>
        <w:jc w:val="both"/>
        <w:rPr>
          <w:rFonts w:ascii="Century Gothic" w:eastAsia="Calibri" w:hAnsi="Century Gothic" w:cs="Arial"/>
          <w:color w:val="000000" w:themeColor="text1"/>
        </w:rPr>
      </w:pPr>
      <w:r w:rsidRPr="00A54EA5">
        <w:rPr>
          <w:rFonts w:ascii="Century Gothic" w:eastAsia="Calibri" w:hAnsi="Century Gothic" w:cs="Arial"/>
          <w:color w:val="000000" w:themeColor="text1"/>
        </w:rPr>
        <w:t>En este sentido, el Estatuto General de Contratación de la Administración Pública establece disposiciones específicas relativas a la figura de la cesión contractual</w:t>
      </w:r>
      <w:r>
        <w:rPr>
          <w:rFonts w:ascii="Century Gothic" w:eastAsia="Calibri" w:hAnsi="Century Gothic" w:cs="Arial"/>
          <w:color w:val="000000" w:themeColor="text1"/>
        </w:rPr>
        <w:t>.</w:t>
      </w:r>
      <w:r w:rsidRPr="00A54EA5">
        <w:rPr>
          <w:rFonts w:ascii="Century Gothic" w:eastAsia="Calibri" w:hAnsi="Century Gothic" w:cs="Arial"/>
          <w:color w:val="000000" w:themeColor="text1"/>
        </w:rPr>
        <w:t xml:space="preserve"> </w:t>
      </w:r>
      <w:r>
        <w:rPr>
          <w:rFonts w:ascii="Century Gothic" w:eastAsia="Calibri" w:hAnsi="Century Gothic" w:cs="Arial"/>
          <w:color w:val="000000" w:themeColor="text1"/>
        </w:rPr>
        <w:t>E</w:t>
      </w:r>
      <w:r w:rsidRPr="00A54EA5">
        <w:rPr>
          <w:rFonts w:ascii="Century Gothic" w:eastAsia="Calibri" w:hAnsi="Century Gothic" w:cs="Arial"/>
          <w:color w:val="000000" w:themeColor="text1"/>
        </w:rPr>
        <w:t xml:space="preserve">n principio, </w:t>
      </w:r>
      <w:r>
        <w:rPr>
          <w:rFonts w:ascii="Century Gothic" w:eastAsia="Calibri" w:hAnsi="Century Gothic" w:cs="Arial"/>
          <w:color w:val="000000" w:themeColor="text1"/>
        </w:rPr>
        <w:t>si bien rigen</w:t>
      </w:r>
      <w:r w:rsidRPr="00A54EA5">
        <w:rPr>
          <w:rFonts w:ascii="Century Gothic" w:eastAsia="Calibri" w:hAnsi="Century Gothic" w:cs="Arial"/>
          <w:color w:val="000000" w:themeColor="text1"/>
        </w:rPr>
        <w:t xml:space="preserve"> las normas relativas a la cesión del contrato contenidas en sus artículos 887 y siguientes del Código de Comercio, </w:t>
      </w:r>
      <w:r>
        <w:rPr>
          <w:rFonts w:ascii="Century Gothic" w:eastAsia="Calibri" w:hAnsi="Century Gothic" w:cs="Arial"/>
          <w:color w:val="000000" w:themeColor="text1"/>
        </w:rPr>
        <w:t>su</w:t>
      </w:r>
      <w:r w:rsidRPr="00A54EA5">
        <w:rPr>
          <w:rFonts w:ascii="Century Gothic" w:eastAsia="Calibri" w:hAnsi="Century Gothic" w:cs="Arial"/>
          <w:color w:val="000000" w:themeColor="text1"/>
        </w:rPr>
        <w:t xml:space="preserve"> aplicación procede ante la ausencia de norma que de manera particular regule el asunto frente a la categoría especial del contrato estatal.</w:t>
      </w:r>
    </w:p>
    <w:p w14:paraId="224BB8E1" w14:textId="77777777" w:rsidR="00751EC1" w:rsidRPr="00A54EA5" w:rsidRDefault="00751EC1" w:rsidP="00751EC1">
      <w:pPr>
        <w:tabs>
          <w:tab w:val="left" w:pos="709"/>
        </w:tabs>
        <w:spacing w:after="120" w:line="276" w:lineRule="auto"/>
        <w:jc w:val="both"/>
        <w:rPr>
          <w:rFonts w:ascii="Century Gothic" w:eastAsia="Calibri" w:hAnsi="Century Gothic" w:cs="Arial"/>
          <w:color w:val="000000" w:themeColor="text1"/>
        </w:rPr>
      </w:pPr>
      <w:r w:rsidRPr="00A54EA5">
        <w:rPr>
          <w:rFonts w:ascii="Century Gothic" w:eastAsia="Calibri" w:hAnsi="Century Gothic" w:cs="Arial"/>
          <w:color w:val="000000" w:themeColor="text1"/>
        </w:rPr>
        <w:tab/>
        <w:t>Por ello, es pertinente indicar que el Decreto Ley 410 de 1971 contempla ciertas disposiciones que no se encuentran en la Ley 80 de 1993, lo que conlleva su aplicación en materia de contratos estatales. Por ejemplo, el artículo 890 establece lo relativo a la responsabilidad del cedente frente al cesionario y en torno a la existencia, validez y garantías del contrato cedido</w:t>
      </w:r>
      <w:r w:rsidRPr="00A54EA5">
        <w:rPr>
          <w:rStyle w:val="Refdenotaalpie"/>
          <w:rFonts w:ascii="Century Gothic" w:eastAsia="Calibri" w:hAnsi="Century Gothic" w:cs="Arial"/>
          <w:color w:val="000000" w:themeColor="text1"/>
        </w:rPr>
        <w:footnoteReference w:id="7"/>
      </w:r>
      <w:r w:rsidRPr="00A54EA5">
        <w:rPr>
          <w:rFonts w:ascii="Century Gothic" w:eastAsia="Calibri" w:hAnsi="Century Gothic" w:cs="Arial"/>
          <w:color w:val="000000" w:themeColor="text1"/>
        </w:rPr>
        <w:t>. Por otra parte, el artículo 891 obliga al cesionario a avisar al cedente de la mora o el incumplimiento dentro de los 10 días siguientes, siempre y cuando este se haya obligado a garantizar el cumplimiento por parte del contratante cedido</w:t>
      </w:r>
      <w:r w:rsidRPr="00A54EA5">
        <w:rPr>
          <w:rStyle w:val="Refdenotaalpie"/>
          <w:rFonts w:ascii="Century Gothic" w:eastAsia="Calibri" w:hAnsi="Century Gothic" w:cs="Arial"/>
          <w:color w:val="000000" w:themeColor="text1"/>
        </w:rPr>
        <w:footnoteReference w:id="8"/>
      </w:r>
      <w:r w:rsidRPr="00A54EA5">
        <w:rPr>
          <w:rFonts w:ascii="Century Gothic" w:eastAsia="Calibri" w:hAnsi="Century Gothic" w:cs="Arial"/>
          <w:color w:val="000000" w:themeColor="text1"/>
        </w:rPr>
        <w:t xml:space="preserve">. Asimismo, los artículos 895 y 896 disponen que la cesión de un contrato implica la transferencia de las acciones, privilegios y beneficios legales inherentes a la naturaleza y condiciones del contrato, excluyendo a aquellas que sean extrañas al mismo o que se funden en el </w:t>
      </w:r>
      <w:r w:rsidRPr="00A54EA5">
        <w:rPr>
          <w:rFonts w:ascii="Century Gothic" w:eastAsia="Calibri" w:hAnsi="Century Gothic" w:cs="Arial"/>
          <w:color w:val="000000" w:themeColor="text1"/>
        </w:rPr>
        <w:lastRenderedPageBreak/>
        <w:t>estado o calidad particular de las partes, pudiendo, el contratante cedido, oponer contra el cesionario todas las excepciones que se deriven del contrato</w:t>
      </w:r>
      <w:r w:rsidRPr="00A54EA5">
        <w:rPr>
          <w:rStyle w:val="Refdenotaalpie"/>
          <w:rFonts w:ascii="Century Gothic" w:eastAsia="Calibri" w:hAnsi="Century Gothic" w:cs="Arial"/>
          <w:color w:val="000000" w:themeColor="text1"/>
        </w:rPr>
        <w:footnoteReference w:id="9"/>
      </w:r>
      <w:r w:rsidRPr="00A54EA5">
        <w:rPr>
          <w:rFonts w:ascii="Century Gothic" w:eastAsia="Calibri" w:hAnsi="Century Gothic" w:cs="Arial"/>
          <w:color w:val="000000" w:themeColor="text1"/>
        </w:rPr>
        <w:t xml:space="preserve">. </w:t>
      </w:r>
    </w:p>
    <w:p w14:paraId="4E0048C2" w14:textId="77777777" w:rsidR="00751EC1" w:rsidRPr="00A54EA5" w:rsidRDefault="00751EC1" w:rsidP="00751EC1">
      <w:pPr>
        <w:tabs>
          <w:tab w:val="left" w:pos="709"/>
        </w:tabs>
        <w:spacing w:after="120" w:line="276" w:lineRule="auto"/>
        <w:jc w:val="both"/>
        <w:rPr>
          <w:rFonts w:ascii="Century Gothic" w:eastAsia="Calibri" w:hAnsi="Century Gothic" w:cs="Arial"/>
          <w:color w:val="000000" w:themeColor="text1"/>
        </w:rPr>
      </w:pPr>
      <w:r w:rsidRPr="00A54EA5">
        <w:rPr>
          <w:rFonts w:ascii="Century Gothic" w:eastAsia="Calibri" w:hAnsi="Century Gothic" w:cs="Arial"/>
          <w:color w:val="000000" w:themeColor="text1"/>
        </w:rPr>
        <w:tab/>
        <w:t xml:space="preserve">Al margen de estas y otras disposiciones que de manera particular consagra el Código de Comercio sobre la cesión del contrato, esta figura cuenta con algunas normas especiales en la Ley 80 de 1993. Por ejemplo, </w:t>
      </w:r>
      <w:bookmarkStart w:id="1" w:name="_Hlk79822251"/>
      <w:r w:rsidRPr="00A54EA5">
        <w:rPr>
          <w:rFonts w:ascii="Century Gothic" w:eastAsia="Calibri" w:hAnsi="Century Gothic" w:cs="Arial"/>
          <w:color w:val="000000" w:themeColor="text1"/>
        </w:rPr>
        <w:t>el artículo 41, inciso tercero</w:t>
      </w:r>
      <w:bookmarkEnd w:id="1"/>
      <w:r w:rsidRPr="00A54EA5">
        <w:rPr>
          <w:rFonts w:ascii="Century Gothic" w:eastAsia="Calibri" w:hAnsi="Century Gothic" w:cs="Arial"/>
          <w:color w:val="000000" w:themeColor="text1"/>
        </w:rPr>
        <w:t xml:space="preserve">, del EGCAP prescribe que “Los contratos estatales son </w:t>
      </w:r>
      <w:r w:rsidRPr="00A54EA5">
        <w:rPr>
          <w:rFonts w:ascii="Century Gothic" w:eastAsia="Calibri" w:hAnsi="Century Gothic" w:cs="Arial"/>
          <w:i/>
          <w:iCs/>
          <w:color w:val="000000" w:themeColor="text1"/>
        </w:rPr>
        <w:t xml:space="preserve">intuito </w:t>
      </w:r>
      <w:proofErr w:type="spellStart"/>
      <w:r w:rsidRPr="00A54EA5">
        <w:rPr>
          <w:rFonts w:ascii="Century Gothic" w:eastAsia="Calibri" w:hAnsi="Century Gothic" w:cs="Arial"/>
          <w:i/>
          <w:iCs/>
          <w:color w:val="000000" w:themeColor="text1"/>
        </w:rPr>
        <w:t>personae</w:t>
      </w:r>
      <w:proofErr w:type="spellEnd"/>
      <w:r w:rsidRPr="00A54EA5">
        <w:rPr>
          <w:rFonts w:ascii="Century Gothic" w:eastAsia="Calibri" w:hAnsi="Century Gothic" w:cs="Arial"/>
          <w:color w:val="000000" w:themeColor="text1"/>
        </w:rPr>
        <w:t xml:space="preserve"> y, en consecuencia, una vez celebrados no podrán cederse sin previa autorización escrita de la entidad contratante”. Esta norma contiene una prohibición general –</w:t>
      </w:r>
      <w:r w:rsidRPr="00A54EA5">
        <w:rPr>
          <w:rFonts w:ascii="Century Gothic" w:eastAsia="Calibri" w:hAnsi="Century Gothic" w:cs="Arial"/>
          <w:i/>
          <w:iCs/>
          <w:color w:val="000000" w:themeColor="text1"/>
        </w:rPr>
        <w:t>faceta negativa</w:t>
      </w:r>
      <w:r w:rsidRPr="00A54EA5">
        <w:rPr>
          <w:rFonts w:ascii="Century Gothic" w:eastAsia="Calibri" w:hAnsi="Century Gothic" w:cs="Arial"/>
          <w:color w:val="000000" w:themeColor="text1"/>
        </w:rPr>
        <w:t>– y una autorización excepcional –</w:t>
      </w:r>
      <w:r w:rsidRPr="00A54EA5">
        <w:rPr>
          <w:rFonts w:ascii="Century Gothic" w:eastAsia="Calibri" w:hAnsi="Century Gothic" w:cs="Arial"/>
          <w:i/>
          <w:iCs/>
          <w:color w:val="000000" w:themeColor="text1"/>
        </w:rPr>
        <w:t>faceta positiva</w:t>
      </w:r>
      <w:r w:rsidRPr="00A54EA5">
        <w:rPr>
          <w:rFonts w:ascii="Century Gothic" w:eastAsia="Calibri" w:hAnsi="Century Gothic" w:cs="Arial"/>
          <w:color w:val="000000" w:themeColor="text1"/>
        </w:rPr>
        <w:t>–.</w:t>
      </w:r>
    </w:p>
    <w:p w14:paraId="7BF41D14" w14:textId="77777777" w:rsidR="00751EC1" w:rsidRPr="00A54EA5" w:rsidRDefault="00751EC1" w:rsidP="00751EC1">
      <w:pPr>
        <w:tabs>
          <w:tab w:val="left" w:pos="709"/>
        </w:tabs>
        <w:spacing w:after="120" w:line="276" w:lineRule="auto"/>
        <w:jc w:val="both"/>
        <w:rPr>
          <w:rFonts w:ascii="Century Gothic" w:eastAsia="Calibri" w:hAnsi="Century Gothic" w:cs="Arial"/>
          <w:bCs/>
          <w:color w:val="000000" w:themeColor="text1"/>
        </w:rPr>
      </w:pPr>
      <w:r w:rsidRPr="00A54EA5">
        <w:rPr>
          <w:rFonts w:ascii="Century Gothic" w:eastAsia="Calibri" w:hAnsi="Century Gothic" w:cs="Arial"/>
          <w:bCs/>
          <w:color w:val="000000" w:themeColor="text1"/>
        </w:rPr>
        <w:tab/>
        <w:t xml:space="preserve">En lo que respecta a la </w:t>
      </w:r>
      <w:r w:rsidRPr="00A54EA5">
        <w:rPr>
          <w:rFonts w:ascii="Century Gothic" w:eastAsia="Calibri" w:hAnsi="Century Gothic" w:cs="Arial"/>
          <w:bCs/>
          <w:i/>
          <w:iCs/>
          <w:color w:val="000000" w:themeColor="text1"/>
        </w:rPr>
        <w:t>faceta negativa</w:t>
      </w:r>
      <w:r w:rsidRPr="00A54EA5">
        <w:rPr>
          <w:rFonts w:ascii="Century Gothic" w:eastAsia="Calibri" w:hAnsi="Century Gothic" w:cs="Arial"/>
          <w:bCs/>
          <w:color w:val="000000" w:themeColor="text1"/>
        </w:rPr>
        <w:t>, el artículo 41 del Estatuto General ordena que el contrato se ejecute con quien inicialmente se celebró el acuerdo de voluntades, pues es la persona que –de acuerdo con los criterios definidos por la entidad para la selección del contratista– resulta idónea para cumplir con las obligaciones. De esta manera, la prohibición contenida en la norma citada es uno de los elementos de la naturaleza del contrato estatal, pues –conforme a lo previsto en el artículo 1501 del Código Civil– es de aquellos “[…] que no siendo esenciales en él, se entienden pertenecerle, sin necesidad de una cláusula especial […]”</w:t>
      </w:r>
      <w:r w:rsidRPr="00A54EA5">
        <w:rPr>
          <w:rStyle w:val="Refdenotaalpie"/>
          <w:rFonts w:ascii="Century Gothic" w:eastAsia="Calibri" w:hAnsi="Century Gothic" w:cs="Arial"/>
          <w:bCs/>
          <w:color w:val="000000" w:themeColor="text1"/>
        </w:rPr>
        <w:footnoteReference w:id="10"/>
      </w:r>
      <w:r w:rsidRPr="00A54EA5">
        <w:rPr>
          <w:rFonts w:ascii="Century Gothic" w:eastAsia="Calibri" w:hAnsi="Century Gothic" w:cs="Arial"/>
          <w:bCs/>
          <w:color w:val="000000" w:themeColor="text1"/>
        </w:rPr>
        <w:t xml:space="preserve">.  </w:t>
      </w:r>
    </w:p>
    <w:p w14:paraId="5F0C89F7" w14:textId="77777777" w:rsidR="00751EC1" w:rsidRPr="00A54EA5" w:rsidRDefault="00751EC1" w:rsidP="00751EC1">
      <w:pPr>
        <w:spacing w:after="0" w:line="276" w:lineRule="auto"/>
        <w:ind w:firstLine="708"/>
        <w:jc w:val="both"/>
        <w:rPr>
          <w:rFonts w:ascii="Century Gothic" w:eastAsia="Calibri" w:hAnsi="Century Gothic" w:cs="Arial"/>
          <w:bCs/>
          <w:color w:val="000000" w:themeColor="text1"/>
        </w:rPr>
      </w:pPr>
      <w:r w:rsidRPr="00A54EA5">
        <w:rPr>
          <w:rFonts w:ascii="Century Gothic" w:eastAsia="Calibri" w:hAnsi="Century Gothic" w:cs="Arial"/>
          <w:bCs/>
          <w:color w:val="000000" w:themeColor="text1"/>
        </w:rPr>
        <w:t xml:space="preserve">En su </w:t>
      </w:r>
      <w:r w:rsidRPr="00A54EA5">
        <w:rPr>
          <w:rFonts w:ascii="Century Gothic" w:eastAsia="Calibri" w:hAnsi="Century Gothic" w:cs="Arial"/>
          <w:bCs/>
          <w:i/>
          <w:iCs/>
          <w:color w:val="000000" w:themeColor="text1"/>
        </w:rPr>
        <w:t>faceta positiva</w:t>
      </w:r>
      <w:r w:rsidRPr="00A54EA5">
        <w:rPr>
          <w:rFonts w:ascii="Century Gothic" w:eastAsia="Calibri" w:hAnsi="Century Gothic" w:cs="Arial"/>
          <w:bCs/>
          <w:color w:val="000000" w:themeColor="text1"/>
        </w:rPr>
        <w:t xml:space="preserve">, la Ley 80 de 1993 permite excepcionalmente la cesión del contrato estatal siempre que exista autorización previa escrita de la entidad contratante. Por ello, “[…] El cocontratante que </w:t>
      </w:r>
      <w:r>
        <w:rPr>
          <w:rFonts w:ascii="Century Gothic" w:eastAsia="Calibri" w:hAnsi="Century Gothic" w:cs="Arial"/>
          <w:bCs/>
          <w:color w:val="000000" w:themeColor="text1"/>
        </w:rPr>
        <w:t>‘</w:t>
      </w:r>
      <w:r w:rsidRPr="00A54EA5">
        <w:rPr>
          <w:rFonts w:ascii="Century Gothic" w:eastAsia="Calibri" w:hAnsi="Century Gothic" w:cs="Arial"/>
          <w:bCs/>
          <w:i/>
          <w:iCs/>
          <w:color w:val="000000" w:themeColor="text1"/>
        </w:rPr>
        <w:t>ceda</w:t>
      </w:r>
      <w:r>
        <w:rPr>
          <w:rFonts w:ascii="Century Gothic" w:eastAsia="Calibri" w:hAnsi="Century Gothic" w:cs="Arial"/>
          <w:bCs/>
          <w:color w:val="000000" w:themeColor="text1"/>
        </w:rPr>
        <w:t>’</w:t>
      </w:r>
      <w:r w:rsidRPr="00A54EA5">
        <w:rPr>
          <w:rFonts w:ascii="Century Gothic" w:eastAsia="Calibri" w:hAnsi="Century Gothic" w:cs="Arial"/>
          <w:bCs/>
          <w:color w:val="000000" w:themeColor="text1"/>
        </w:rPr>
        <w:t xml:space="preserve"> el contrato sin estar autorizado para ello incurre en grave responsabilidad: su actitud implica </w:t>
      </w:r>
      <w:r>
        <w:rPr>
          <w:rFonts w:ascii="Century Gothic" w:eastAsia="Calibri" w:hAnsi="Century Gothic" w:cs="Arial"/>
          <w:bCs/>
          <w:color w:val="000000" w:themeColor="text1"/>
        </w:rPr>
        <w:t>‘</w:t>
      </w:r>
      <w:r w:rsidRPr="00A54EA5">
        <w:rPr>
          <w:rFonts w:ascii="Century Gothic" w:eastAsia="Calibri" w:hAnsi="Century Gothic" w:cs="Arial"/>
          <w:bCs/>
          <w:i/>
          <w:iCs/>
          <w:color w:val="000000" w:themeColor="text1"/>
        </w:rPr>
        <w:t>incumplimiento</w:t>
      </w:r>
      <w:r>
        <w:rPr>
          <w:rFonts w:ascii="Century Gothic" w:eastAsia="Calibri" w:hAnsi="Century Gothic" w:cs="Arial"/>
          <w:bCs/>
          <w:color w:val="000000" w:themeColor="text1"/>
        </w:rPr>
        <w:t>’</w:t>
      </w:r>
      <w:r w:rsidRPr="00A54EA5">
        <w:rPr>
          <w:rFonts w:ascii="Century Gothic" w:eastAsia="Calibri" w:hAnsi="Century Gothic" w:cs="Arial"/>
          <w:bCs/>
          <w:color w:val="000000" w:themeColor="text1"/>
        </w:rPr>
        <w:t xml:space="preserve"> del contrato; de ahí que esa cesión ilícita no resulte oponible a la Administración Pública […]”</w:t>
      </w:r>
      <w:r w:rsidRPr="00A54EA5">
        <w:rPr>
          <w:rStyle w:val="Refdenotaalpie"/>
          <w:rFonts w:ascii="Century Gothic" w:eastAsia="Calibri" w:hAnsi="Century Gothic" w:cs="Arial"/>
          <w:bCs/>
          <w:color w:val="000000" w:themeColor="text1"/>
        </w:rPr>
        <w:footnoteReference w:id="11"/>
      </w:r>
      <w:r w:rsidRPr="00A54EA5">
        <w:rPr>
          <w:rFonts w:ascii="Century Gothic" w:eastAsia="Calibri" w:hAnsi="Century Gothic" w:cs="Arial"/>
          <w:bCs/>
          <w:color w:val="000000" w:themeColor="text1"/>
        </w:rPr>
        <w:t xml:space="preserve">. Este requisito introduce un elemento especial que no está previsto en el Código de Comercio, pues en el derecho privado –salvo las </w:t>
      </w:r>
      <w:r w:rsidRPr="00A54EA5">
        <w:rPr>
          <w:rFonts w:ascii="Century Gothic" w:eastAsia="Calibri" w:hAnsi="Century Gothic" w:cs="Arial"/>
          <w:bCs/>
          <w:color w:val="000000" w:themeColor="text1"/>
        </w:rPr>
        <w:lastRenderedPageBreak/>
        <w:t xml:space="preserve">excepciones previstas en la ley– la cesión requiere el acuerdo de voluntades entre el cedente y el cesionario, sin que medie la aceptación del contratante cedido. </w:t>
      </w:r>
      <w:r w:rsidRPr="00A54EA5">
        <w:rPr>
          <w:rFonts w:ascii="Century Gothic" w:eastAsia="Calibri" w:hAnsi="Century Gothic" w:cs="Arial"/>
          <w:color w:val="000000" w:themeColor="text1"/>
        </w:rPr>
        <w:t>En relación con lo anterior la doctrina define la cesión en los contratos estatales de la siguiente manera:</w:t>
      </w:r>
    </w:p>
    <w:p w14:paraId="7F15B2C0" w14:textId="77777777" w:rsidR="00751EC1" w:rsidRPr="00A54EA5" w:rsidRDefault="00751EC1" w:rsidP="00751EC1">
      <w:pPr>
        <w:spacing w:after="0" w:line="276" w:lineRule="auto"/>
        <w:ind w:firstLine="708"/>
        <w:jc w:val="both"/>
        <w:rPr>
          <w:rFonts w:ascii="Century Gothic" w:eastAsia="Calibri" w:hAnsi="Century Gothic" w:cs="Arial"/>
          <w:color w:val="000000" w:themeColor="text1"/>
        </w:rPr>
      </w:pPr>
      <w:r w:rsidRPr="00A54EA5">
        <w:rPr>
          <w:rFonts w:ascii="Century Gothic" w:eastAsia="Calibri" w:hAnsi="Century Gothic" w:cs="Arial"/>
          <w:color w:val="000000" w:themeColor="text1"/>
        </w:rPr>
        <w:t xml:space="preserve"> </w:t>
      </w:r>
    </w:p>
    <w:p w14:paraId="7E7770C6" w14:textId="77777777" w:rsidR="00751EC1" w:rsidRPr="00A54EA5" w:rsidRDefault="00751EC1" w:rsidP="00751EC1">
      <w:pPr>
        <w:spacing w:after="0" w:line="240" w:lineRule="auto"/>
        <w:ind w:left="709" w:right="709"/>
        <w:jc w:val="both"/>
        <w:rPr>
          <w:rFonts w:ascii="Century Gothic" w:eastAsia="Calibri" w:hAnsi="Century Gothic" w:cs="Arial"/>
          <w:color w:val="000000" w:themeColor="text1"/>
          <w:sz w:val="21"/>
          <w:szCs w:val="21"/>
        </w:rPr>
      </w:pPr>
      <w:r w:rsidRPr="00A54EA5">
        <w:rPr>
          <w:rFonts w:ascii="Century Gothic" w:eastAsia="Calibri" w:hAnsi="Century Gothic" w:cs="Arial"/>
          <w:color w:val="000000" w:themeColor="text1"/>
          <w:sz w:val="21"/>
          <w:szCs w:val="21"/>
        </w:rPr>
        <w:t xml:space="preserve">“La cesión en la contratación estatal supone, previa autorización de la entidad contratante, la sustitución </w:t>
      </w:r>
      <w:r w:rsidRPr="00A54EA5">
        <w:rPr>
          <w:rFonts w:ascii="Century Gothic" w:eastAsia="Calibri" w:hAnsi="Century Gothic" w:cs="Arial"/>
          <w:i/>
          <w:iCs/>
          <w:color w:val="000000" w:themeColor="text1"/>
          <w:sz w:val="21"/>
          <w:szCs w:val="21"/>
        </w:rPr>
        <w:t>in genere</w:t>
      </w:r>
      <w:r w:rsidRPr="00A54EA5">
        <w:rPr>
          <w:rFonts w:ascii="Century Gothic" w:eastAsia="Calibri" w:hAnsi="Century Gothic" w:cs="Arial"/>
          <w:color w:val="000000" w:themeColor="text1"/>
          <w:sz w:val="21"/>
          <w:szCs w:val="21"/>
        </w:rPr>
        <w:t>, total o parcial, de una de las partes de la relación jurídica (contratante o contratista) por un tercero, que se subroga en los derechos y obligaciones de aquella, por medio de la modificación del contrato estatal originario. La cesión posibilita el reemplazo total o parcial de una parte en su posición contractual originaria, sin que sea precisa la transferencia individual de cuantos derechos y obligaciones conforman la universalidad jurídica a ceder […]”</w:t>
      </w:r>
      <w:r w:rsidRPr="00A54EA5">
        <w:rPr>
          <w:rStyle w:val="Refdenotaalpie"/>
          <w:rFonts w:ascii="Century Gothic" w:hAnsi="Century Gothic" w:cs="Arial"/>
          <w:color w:val="000000" w:themeColor="text1"/>
          <w:sz w:val="21"/>
          <w:szCs w:val="21"/>
        </w:rPr>
        <w:footnoteReference w:id="12"/>
      </w:r>
      <w:r w:rsidRPr="00A54EA5">
        <w:rPr>
          <w:rFonts w:ascii="Century Gothic" w:eastAsia="Calibri" w:hAnsi="Century Gothic" w:cs="Arial"/>
          <w:color w:val="000000" w:themeColor="text1"/>
          <w:sz w:val="21"/>
          <w:szCs w:val="21"/>
        </w:rPr>
        <w:t>.</w:t>
      </w:r>
    </w:p>
    <w:p w14:paraId="472E540A" w14:textId="77777777" w:rsidR="00751EC1" w:rsidRPr="00A54EA5" w:rsidRDefault="00751EC1" w:rsidP="00751EC1">
      <w:pPr>
        <w:spacing w:after="0" w:line="276" w:lineRule="auto"/>
        <w:jc w:val="both"/>
        <w:rPr>
          <w:rFonts w:ascii="Century Gothic" w:eastAsia="Calibri" w:hAnsi="Century Gothic" w:cs="Arial"/>
          <w:color w:val="000000" w:themeColor="text1"/>
        </w:rPr>
      </w:pPr>
    </w:p>
    <w:p w14:paraId="575AE410" w14:textId="77777777" w:rsidR="00751EC1" w:rsidRPr="00A54EA5" w:rsidRDefault="00751EC1" w:rsidP="00751EC1">
      <w:pPr>
        <w:spacing w:after="120" w:line="276" w:lineRule="auto"/>
        <w:ind w:firstLine="709"/>
        <w:jc w:val="both"/>
        <w:rPr>
          <w:rFonts w:ascii="Century Gothic" w:eastAsia="Calibri" w:hAnsi="Century Gothic" w:cs="Arial"/>
          <w:bCs/>
          <w:color w:val="000000" w:themeColor="text1"/>
        </w:rPr>
      </w:pPr>
      <w:r w:rsidRPr="00A54EA5">
        <w:rPr>
          <w:rFonts w:ascii="Century Gothic" w:eastAsia="Calibri" w:hAnsi="Century Gothic" w:cs="Arial"/>
          <w:bCs/>
          <w:color w:val="000000" w:themeColor="text1"/>
        </w:rPr>
        <w:t>Autorizada previamente por la entidad cedida, esta forma de cesión requiere la suscripción de un contrato entre el cedente y el cesionario, por lo que es bilateral en la medida en que requiere un acuerdo voluntades. Con fundamento en el mismo, el cesionario reemplaza –en todo o en parte– al contratista cedente en la ejecución del contrato estatal, respondiendo por el cumplimiento de las obligaciones frente a la Administración.</w:t>
      </w:r>
      <w:r w:rsidRPr="00A54EA5">
        <w:rPr>
          <w:rFonts w:ascii="Century Gothic" w:hAnsi="Century Gothic"/>
        </w:rPr>
        <w:t xml:space="preserve"> </w:t>
      </w:r>
      <w:r w:rsidRPr="00A54EA5">
        <w:rPr>
          <w:rFonts w:ascii="Century Gothic" w:eastAsia="Calibri" w:hAnsi="Century Gothic" w:cs="Arial"/>
          <w:bCs/>
          <w:color w:val="000000" w:themeColor="text1"/>
        </w:rPr>
        <w:t>El inciso primero del artículo 888 del Código de Comercio señala que “La sustitución podrá hacerse por escrito o verbalmente, según que el contrato conste o no por escrito”. Como el contrato estatal es solemne en los términos de los artículos 39 y 41 de la Ley 80 de 1993, se impone la forma escrita para cederlo</w:t>
      </w:r>
      <w:r w:rsidRPr="00A54EA5">
        <w:rPr>
          <w:rFonts w:ascii="Century Gothic" w:eastAsia="Calibri" w:hAnsi="Century Gothic" w:cs="Arial"/>
          <w:color w:val="000000" w:themeColor="text1"/>
        </w:rPr>
        <w:t xml:space="preserve">. </w:t>
      </w:r>
    </w:p>
    <w:p w14:paraId="54EC313F" w14:textId="77777777" w:rsidR="00751EC1" w:rsidRPr="00A54EA5" w:rsidRDefault="00751EC1" w:rsidP="00751EC1">
      <w:pPr>
        <w:tabs>
          <w:tab w:val="left" w:pos="709"/>
        </w:tabs>
        <w:spacing w:after="120" w:line="276" w:lineRule="auto"/>
        <w:jc w:val="both"/>
        <w:rPr>
          <w:rFonts w:ascii="Century Gothic" w:eastAsia="Calibri" w:hAnsi="Century Gothic" w:cs="Arial"/>
          <w:color w:val="000000" w:themeColor="text1"/>
        </w:rPr>
      </w:pPr>
      <w:bookmarkStart w:id="2" w:name="_Hlk80369799"/>
      <w:r w:rsidRPr="00A54EA5">
        <w:rPr>
          <w:rFonts w:ascii="Century Gothic" w:eastAsia="Calibri" w:hAnsi="Century Gothic" w:cs="Arial"/>
          <w:color w:val="000000" w:themeColor="text1"/>
        </w:rPr>
        <w:tab/>
        <w:t xml:space="preserve">Por lo demás, el Consejo de Estado ha precisado como requisitos de la cesión del contrato estatal los siguientes: i) debe recaer en un tercero; </w:t>
      </w:r>
      <w:proofErr w:type="spellStart"/>
      <w:r w:rsidRPr="00A54EA5">
        <w:rPr>
          <w:rFonts w:ascii="Century Gothic" w:eastAsia="Calibri" w:hAnsi="Century Gothic" w:cs="Arial"/>
          <w:color w:val="000000" w:themeColor="text1"/>
        </w:rPr>
        <w:t>ii</w:t>
      </w:r>
      <w:proofErr w:type="spellEnd"/>
      <w:r w:rsidRPr="00A54EA5">
        <w:rPr>
          <w:rFonts w:ascii="Century Gothic" w:eastAsia="Calibri" w:hAnsi="Century Gothic" w:cs="Arial"/>
          <w:color w:val="000000" w:themeColor="text1"/>
        </w:rPr>
        <w:t xml:space="preserve">) el cesionario debe tener capacidad jurídica para continuar con la ejecución del objeto contractual y no estar incurso en causales de inhabilidad e incompatibilidad para contratar; y </w:t>
      </w:r>
      <w:proofErr w:type="spellStart"/>
      <w:r w:rsidRPr="00A54EA5">
        <w:rPr>
          <w:rFonts w:ascii="Century Gothic" w:eastAsia="Calibri" w:hAnsi="Century Gothic" w:cs="Arial"/>
          <w:color w:val="000000" w:themeColor="text1"/>
        </w:rPr>
        <w:t>iii</w:t>
      </w:r>
      <w:proofErr w:type="spellEnd"/>
      <w:r w:rsidRPr="00A54EA5">
        <w:rPr>
          <w:rFonts w:ascii="Century Gothic" w:eastAsia="Calibri" w:hAnsi="Century Gothic" w:cs="Arial"/>
          <w:color w:val="000000" w:themeColor="text1"/>
        </w:rPr>
        <w:t xml:space="preserve">) el cesionario debe contar con capacidad técnica, económica y financiera suficientes para el cumplimiento de las obligaciones emanadas del contrato cedido. Al respecto, la Sección Tercera del Consejo de Estado ha explicado que, en la medida que el tercero cesionario asume la posición contractual del contratista cedente, las disposiciones, los pliegos de condiciones y el contrato mismo serán aplicables a quien asuma la nueva posición contractual. De esta manera, la capacidad jurídica, económica y técnica del contratista </w:t>
      </w:r>
      <w:r w:rsidRPr="00A54EA5">
        <w:rPr>
          <w:rFonts w:ascii="Century Gothic" w:eastAsia="Calibri" w:hAnsi="Century Gothic" w:cs="Arial"/>
          <w:color w:val="000000" w:themeColor="text1"/>
        </w:rPr>
        <w:lastRenderedPageBreak/>
        <w:t>cedente se exigirá también al cesionario</w:t>
      </w:r>
      <w:bookmarkStart w:id="3" w:name="_Hlk80369829"/>
      <w:bookmarkEnd w:id="2"/>
      <w:r w:rsidRPr="00A54EA5">
        <w:rPr>
          <w:rFonts w:ascii="Century Gothic" w:eastAsia="Calibri" w:hAnsi="Century Gothic" w:cs="Arial"/>
          <w:color w:val="000000" w:themeColor="text1"/>
        </w:rPr>
        <w:t>, ya que “[…] el proceso cesión del contrato y las exigencias que se le impongan al tercero, no pueden alterar ni burlar los procedimientos de selección del contratista, en otras palabras, la figura de la cesión de contrato no puede servir como instrumento para desviar las obligaciones que tiene la entidad contratante de cumplimiento de los parámetros de la selección objetiva</w:t>
      </w:r>
      <w:bookmarkEnd w:id="3"/>
      <w:r w:rsidRPr="00A54EA5">
        <w:rPr>
          <w:rFonts w:ascii="Century Gothic" w:eastAsia="Calibri" w:hAnsi="Century Gothic" w:cs="Arial"/>
          <w:color w:val="000000" w:themeColor="text1"/>
        </w:rPr>
        <w:t>”</w:t>
      </w:r>
      <w:r w:rsidRPr="00A54EA5">
        <w:rPr>
          <w:rStyle w:val="Refdenotaalpie"/>
          <w:rFonts w:ascii="Century Gothic" w:eastAsia="Calibri" w:hAnsi="Century Gothic" w:cs="Arial"/>
          <w:color w:val="000000" w:themeColor="text1"/>
        </w:rPr>
        <w:footnoteReference w:id="13"/>
      </w:r>
      <w:r w:rsidRPr="00A54EA5">
        <w:rPr>
          <w:rFonts w:ascii="Century Gothic" w:eastAsia="Calibri" w:hAnsi="Century Gothic" w:cs="Arial"/>
          <w:color w:val="000000" w:themeColor="text1"/>
        </w:rPr>
        <w:t>.</w:t>
      </w:r>
    </w:p>
    <w:p w14:paraId="042A2C43" w14:textId="77777777" w:rsidR="00751EC1" w:rsidRPr="00A54EA5" w:rsidRDefault="00751EC1" w:rsidP="00751EC1">
      <w:pPr>
        <w:tabs>
          <w:tab w:val="left" w:pos="709"/>
        </w:tabs>
        <w:spacing w:after="120" w:line="276" w:lineRule="auto"/>
        <w:ind w:firstLine="709"/>
        <w:jc w:val="both"/>
        <w:rPr>
          <w:rFonts w:ascii="Century Gothic" w:eastAsia="Calibri" w:hAnsi="Century Gothic" w:cs="Arial"/>
          <w:color w:val="000000" w:themeColor="text1"/>
        </w:rPr>
      </w:pPr>
      <w:bookmarkStart w:id="4" w:name="_Hlk80369857"/>
      <w:r w:rsidRPr="00A54EA5">
        <w:rPr>
          <w:rFonts w:ascii="Century Gothic" w:eastAsia="Calibri" w:hAnsi="Century Gothic" w:cs="Arial"/>
          <w:color w:val="000000" w:themeColor="text1"/>
        </w:rPr>
        <w:t>Por lo tanto, la entidad estatal en el trámite de autorización de una cesión de posición contractual está obligada a respetar l</w:t>
      </w:r>
      <w:r>
        <w:rPr>
          <w:rFonts w:ascii="Century Gothic" w:eastAsia="Calibri" w:hAnsi="Century Gothic" w:cs="Arial"/>
          <w:color w:val="000000" w:themeColor="text1"/>
        </w:rPr>
        <w:t xml:space="preserve">os criterios normativos </w:t>
      </w:r>
      <w:r w:rsidRPr="00A54EA5">
        <w:rPr>
          <w:rFonts w:ascii="Century Gothic" w:eastAsia="Calibri" w:hAnsi="Century Gothic" w:cs="Arial"/>
          <w:color w:val="000000" w:themeColor="text1"/>
        </w:rPr>
        <w:t>que resulten aplicables al proceso de contratación, entre otros, los principios de transparencia, selección objetiva e igualdad. En otros términos, so pretexto de una cesión contractual, no pueden vulnerarse las reglas y principios de la contratación estatal.</w:t>
      </w:r>
    </w:p>
    <w:bookmarkEnd w:id="4"/>
    <w:p w14:paraId="60F0A8CE" w14:textId="77777777" w:rsidR="00751EC1" w:rsidRPr="00A54EA5" w:rsidRDefault="00751EC1" w:rsidP="00751EC1">
      <w:pPr>
        <w:tabs>
          <w:tab w:val="left" w:pos="709"/>
        </w:tabs>
        <w:spacing w:after="120" w:line="276" w:lineRule="auto"/>
        <w:ind w:firstLine="709"/>
        <w:jc w:val="both"/>
        <w:rPr>
          <w:rFonts w:ascii="Century Gothic" w:eastAsia="Calibri" w:hAnsi="Century Gothic" w:cs="Arial"/>
          <w:color w:val="000000" w:themeColor="text1"/>
        </w:rPr>
      </w:pPr>
      <w:r w:rsidRPr="00A54EA5">
        <w:rPr>
          <w:rFonts w:ascii="Century Gothic" w:eastAsia="Calibri" w:hAnsi="Century Gothic" w:cs="Arial"/>
          <w:color w:val="000000" w:themeColor="text1"/>
        </w:rPr>
        <w:t xml:space="preserve">Además, el inciso primero del artículo 9 de la Ley 80 de 1993 establece una importante previsión en materia de cesión del contrato estatal, conforme a la cual “Si llegare a sobrevenir inhabilidad o incompatibilidad en el contratista, este cederá el contrato previa autorización escrita de la entidad contratante o, si ello no fuere posible, renunciará a su ejecución”. Además, en el inciso tercero del artículo citado impone una limitación a la cesión dentro del contrato estatal, que consiste en que, si la inhabilidad o incompatibilidad sobreviene a uno de los miembros del consorcio o unión temporal, “[…] este cederá su participación a un tercero previa autorización escrita de la entidad contratante […]”, y establece que “[…] En ningún caso, podrá haber cesión del contrato entre quienes integran el consorcio o unión temporal”. </w:t>
      </w:r>
    </w:p>
    <w:p w14:paraId="0B88D5F5" w14:textId="77777777" w:rsidR="00751EC1" w:rsidRPr="00A54EA5" w:rsidRDefault="00751EC1" w:rsidP="00751EC1">
      <w:pPr>
        <w:spacing w:line="276" w:lineRule="auto"/>
        <w:ind w:right="51" w:firstLine="709"/>
        <w:jc w:val="both"/>
        <w:rPr>
          <w:rFonts w:ascii="Century Gothic" w:eastAsia="Calibri" w:hAnsi="Century Gothic" w:cs="Arial"/>
          <w:color w:val="000000" w:themeColor="text1"/>
        </w:rPr>
      </w:pPr>
      <w:bookmarkStart w:id="5" w:name="_Hlk79797430"/>
      <w:r w:rsidRPr="00A54EA5">
        <w:rPr>
          <w:rFonts w:ascii="Century Gothic" w:eastAsia="Calibri" w:hAnsi="Century Gothic" w:cs="Arial"/>
          <w:color w:val="000000" w:themeColor="text1"/>
        </w:rPr>
        <w:t xml:space="preserve">En suma, la Ley 80 de 1993 no reguló en su integridad la cesión del contrato, como tampoco lo hizo el Código Civil en el que se consagra la figura de la cesión de créditos –arts. 1959 y ss.–. En cambio, </w:t>
      </w:r>
      <w:bookmarkStart w:id="6" w:name="_Hlk79799730"/>
      <w:r w:rsidRPr="00A54EA5">
        <w:rPr>
          <w:rFonts w:ascii="Century Gothic" w:eastAsia="Calibri" w:hAnsi="Century Gothic" w:cs="Arial"/>
          <w:color w:val="000000" w:themeColor="text1"/>
        </w:rPr>
        <w:t xml:space="preserve">los artículos 887 a 896 </w:t>
      </w:r>
      <w:bookmarkEnd w:id="6"/>
      <w:r w:rsidRPr="00A54EA5">
        <w:rPr>
          <w:rFonts w:ascii="Century Gothic" w:eastAsia="Calibri" w:hAnsi="Century Gothic" w:cs="Arial"/>
          <w:color w:val="000000" w:themeColor="text1"/>
        </w:rPr>
        <w:t>del Código de Comercio definen la cesión del contrato. Por consiguiente, resultan aplicables las normas del derecho civil y comercial pertinentes, sobre cesión del crédito y cesión de contratos respectivamente, salvo en las materias particularmente reguladas por el Estatuto General de Contratación de la Administración Pública, como lo señala el artículo 13 de la Ley 80 de 1993.</w:t>
      </w:r>
      <w:r w:rsidRPr="00A54EA5">
        <w:rPr>
          <w:rFonts w:ascii="Century Gothic" w:hAnsi="Century Gothic" w:cs="Arial"/>
          <w:color w:val="000000" w:themeColor="text1"/>
        </w:rPr>
        <w:t xml:space="preserve"> </w:t>
      </w:r>
    </w:p>
    <w:bookmarkEnd w:id="5"/>
    <w:p w14:paraId="1B84D9CB" w14:textId="77777777" w:rsidR="00751EC1" w:rsidRDefault="00751EC1" w:rsidP="00751EC1">
      <w:pPr>
        <w:spacing w:after="0" w:line="276" w:lineRule="auto"/>
        <w:ind w:firstLine="708"/>
        <w:jc w:val="both"/>
        <w:rPr>
          <w:rFonts w:ascii="Century Gothic" w:hAnsi="Century Gothic" w:cs="Arial"/>
          <w:color w:val="000000" w:themeColor="text1"/>
        </w:rPr>
      </w:pPr>
      <w:r w:rsidRPr="00A54EA5">
        <w:rPr>
          <w:rFonts w:ascii="Century Gothic" w:eastAsia="Calibri" w:hAnsi="Century Gothic" w:cs="Arial"/>
          <w:color w:val="000000" w:themeColor="text1"/>
        </w:rPr>
        <w:t xml:space="preserve">De conformidad </w:t>
      </w:r>
      <w:r>
        <w:rPr>
          <w:rFonts w:ascii="Century Gothic" w:eastAsia="Calibri" w:hAnsi="Century Gothic" w:cs="Arial"/>
          <w:color w:val="000000" w:themeColor="text1"/>
        </w:rPr>
        <w:t xml:space="preserve">con los requisitos y las restricciones explicadas </w:t>
      </w:r>
      <w:r w:rsidRPr="00D93F58">
        <w:rPr>
          <w:rFonts w:ascii="Century Gothic" w:eastAsia="Calibri" w:hAnsi="Century Gothic" w:cs="Arial"/>
          <w:i/>
          <w:iCs/>
          <w:color w:val="000000" w:themeColor="text1"/>
        </w:rPr>
        <w:t>ut supra</w:t>
      </w:r>
      <w:r w:rsidRPr="00A54EA5">
        <w:rPr>
          <w:rFonts w:ascii="Century Gothic" w:eastAsia="Calibri" w:hAnsi="Century Gothic" w:cs="Arial"/>
          <w:color w:val="000000" w:themeColor="text1"/>
        </w:rPr>
        <w:t xml:space="preserve">, en los contratos estatales cuya ejecución aún no haya sido cumplida en todo o en </w:t>
      </w:r>
      <w:r w:rsidRPr="00A54EA5">
        <w:rPr>
          <w:rFonts w:ascii="Century Gothic" w:eastAsia="Calibri" w:hAnsi="Century Gothic" w:cs="Arial"/>
          <w:color w:val="000000" w:themeColor="text1"/>
        </w:rPr>
        <w:lastRenderedPageBreak/>
        <w:t>parte, el contratista podrá hacerse sustituir por un tercero en la relación derivada del contrato, quien en adelante ocupará su posición jurídica.</w:t>
      </w:r>
      <w:r w:rsidRPr="00A54EA5">
        <w:rPr>
          <w:rFonts w:ascii="Century Gothic" w:hAnsi="Century Gothic" w:cs="Arial"/>
          <w:color w:val="000000" w:themeColor="text1"/>
        </w:rPr>
        <w:t xml:space="preserve"> Es una de las posibilidades en las cuales existe una modificación de uno de los extremos de la relación contractual, es decir de uno de los sujetos, siempre que sea autorizada previamente por la entidad cedida, en cuyo caso requiere la suscripción de un contrato entre el cedente y el cesionario, de manera que es de carácter bilateral en la medida en que es el resultado de un acuerdo voluntades. Con fundamento en el contrato de cesión, el cesionario reemplaza –en todo o en parte– al contratista cedente en la ejecución del contrato estatal, respondiendo por el cumplimiento de las obligaciones frente a la Administración.</w:t>
      </w:r>
    </w:p>
    <w:p w14:paraId="52A406A7" w14:textId="77777777" w:rsidR="00751EC1" w:rsidRDefault="00751EC1" w:rsidP="00751EC1">
      <w:pPr>
        <w:spacing w:after="0" w:line="276" w:lineRule="auto"/>
        <w:ind w:firstLine="708"/>
        <w:jc w:val="both"/>
        <w:rPr>
          <w:rFonts w:ascii="Century Gothic" w:hAnsi="Century Gothic" w:cs="Arial"/>
          <w:color w:val="000000" w:themeColor="text1"/>
        </w:rPr>
      </w:pPr>
    </w:p>
    <w:p w14:paraId="79A02090" w14:textId="77777777" w:rsidR="00751EC1" w:rsidRPr="00003BC7" w:rsidRDefault="00751EC1" w:rsidP="00751EC1">
      <w:pPr>
        <w:spacing w:after="0" w:line="276" w:lineRule="auto"/>
        <w:jc w:val="both"/>
        <w:rPr>
          <w:rFonts w:ascii="Century Gothic" w:hAnsi="Century Gothic" w:cs="Arial"/>
          <w:b/>
          <w:bCs/>
          <w:color w:val="000000" w:themeColor="text1"/>
        </w:rPr>
      </w:pPr>
      <w:r w:rsidRPr="00003BC7">
        <w:rPr>
          <w:rFonts w:ascii="Century Gothic" w:hAnsi="Century Gothic" w:cs="Arial"/>
          <w:b/>
          <w:bCs/>
          <w:color w:val="000000" w:themeColor="text1"/>
        </w:rPr>
        <w:t xml:space="preserve">2.2. Consorcios y uniones temporales: </w:t>
      </w:r>
      <w:bookmarkStart w:id="7" w:name="_Hlk167116035"/>
      <w:r w:rsidRPr="00003BC7">
        <w:rPr>
          <w:rFonts w:ascii="Century Gothic" w:hAnsi="Century Gothic" w:cs="Arial"/>
          <w:b/>
          <w:bCs/>
          <w:color w:val="000000" w:themeColor="text1"/>
        </w:rPr>
        <w:t>ausencia del personería jurídica y falta de capacidad para celebrar contratos de cesión</w:t>
      </w:r>
    </w:p>
    <w:bookmarkEnd w:id="7"/>
    <w:p w14:paraId="0F0E23BC" w14:textId="77777777" w:rsidR="00751EC1" w:rsidRPr="00003BC7" w:rsidRDefault="00751EC1" w:rsidP="00751EC1">
      <w:pPr>
        <w:spacing w:after="0" w:line="276" w:lineRule="auto"/>
        <w:jc w:val="both"/>
        <w:rPr>
          <w:rFonts w:ascii="Century Gothic" w:hAnsi="Century Gothic" w:cs="Arial"/>
          <w:color w:val="000000" w:themeColor="text1"/>
        </w:rPr>
      </w:pPr>
    </w:p>
    <w:p w14:paraId="2C7D9AAC" w14:textId="77777777" w:rsidR="00751EC1" w:rsidRPr="00003BC7" w:rsidRDefault="00751EC1" w:rsidP="00751EC1">
      <w:pPr>
        <w:spacing w:after="120" w:line="276" w:lineRule="auto"/>
        <w:jc w:val="both"/>
        <w:rPr>
          <w:rFonts w:ascii="Century Gothic" w:eastAsia="Calibri" w:hAnsi="Century Gothic" w:cs="Arial"/>
          <w:lang w:val="es-MX"/>
        </w:rPr>
      </w:pPr>
      <w:r w:rsidRPr="00003BC7">
        <w:rPr>
          <w:rFonts w:ascii="Century Gothic" w:hAnsi="Century Gothic" w:cs="Arial"/>
          <w:lang w:val="es-ES_tradnl"/>
        </w:rPr>
        <w:t xml:space="preserve">Si </w:t>
      </w:r>
      <w:r>
        <w:rPr>
          <w:rFonts w:ascii="Century Gothic" w:hAnsi="Century Gothic" w:cs="Arial"/>
          <w:lang w:val="es-ES_tradnl"/>
        </w:rPr>
        <w:t>bien las personas</w:t>
      </w:r>
      <w:r w:rsidRPr="00003BC7">
        <w:rPr>
          <w:rFonts w:ascii="Century Gothic" w:hAnsi="Century Gothic" w:cs="Arial"/>
          <w:lang w:val="es-ES_tradnl"/>
        </w:rPr>
        <w:t xml:space="preserve"> pueden presentarse individualmente a los procesos de selección, también pueden hacerlo en forma plural a través de consorcios o uniones temporales. En efecto, </w:t>
      </w:r>
      <w:r w:rsidRPr="00003BC7">
        <w:rPr>
          <w:rFonts w:ascii="Century Gothic" w:eastAsia="Calibri" w:hAnsi="Century Gothic" w:cs="Arial"/>
          <w:lang w:val="es-MX"/>
        </w:rPr>
        <w:t>de acuerdo con el Código Civil, la capacidad se refiere a la facultad que la ley le confiere a la persona para ejercer derechos y contraer obligaciones. Esta norma parte del supuesto de que todas las personas naturales mayores de edad son capaces, con excepción de aquellas que la ley expresamente excluye de esta presunción –artículos 1502, 1503 y 1504–, y de que la capacidad de las personas jurídicas se circunscribe a su objeto social –artículo 99 del Código de Comercio–. Al respecto, el artículo 6 de la Ley 80 de 1993 –modificado por el artículo 1 de la Ley 2160 de 2021– dispone que: “Pueden celebrar contratos con las entidades estatales las personas consideradas legalmente capaces en las disposiciones vigentes. También podrán celebrar contratos con las entidades estatales […] los consorcios y uniones temporales”.</w:t>
      </w:r>
    </w:p>
    <w:p w14:paraId="69A374E0" w14:textId="77777777" w:rsidR="00751EC1" w:rsidRPr="00003BC7" w:rsidRDefault="00751EC1" w:rsidP="00751EC1">
      <w:pPr>
        <w:spacing w:after="0" w:line="276" w:lineRule="auto"/>
        <w:ind w:firstLine="720"/>
        <w:jc w:val="both"/>
        <w:rPr>
          <w:rFonts w:ascii="Century Gothic" w:eastAsia="Calibri" w:hAnsi="Century Gothic" w:cs="Arial"/>
          <w:bCs/>
          <w:color w:val="000000" w:themeColor="text1"/>
          <w:lang w:val="es-ES"/>
        </w:rPr>
      </w:pPr>
      <w:r w:rsidRPr="00003BC7">
        <w:rPr>
          <w:rFonts w:ascii="Century Gothic" w:eastAsia="Calibri" w:hAnsi="Century Gothic" w:cs="Arial"/>
          <w:bCs/>
          <w:color w:val="000000" w:themeColor="text1"/>
          <w:lang w:val="es-ES"/>
        </w:rPr>
        <w:t>La capacidad para contratar, e incluso la de realizar actos jurídicamente vinculantes como la presentación de una oferta en un procedimiento de selección de contratistas, se consideró por mucho tiempo uno de los atributos de la personalidad reservado, en tanto tal, a las personas jurídicas y naturales. No obstante, el progreso en las formas negociales y asociativas hizo necesario reconocer nuevas estructuras plurales y otorgarles ciertos atributos que tradicionalmente habían estado reservados a las personas jurídicas. Tal es precisamente el caso de la capacidad para contratar otorgada a los consorcios y uniones temporales. En este sentido, la Corte Constitucional ha sostenido:</w:t>
      </w:r>
    </w:p>
    <w:p w14:paraId="3EC79EA6" w14:textId="77777777" w:rsidR="00751EC1" w:rsidRPr="00003BC7" w:rsidRDefault="00751EC1" w:rsidP="00751EC1">
      <w:pPr>
        <w:spacing w:after="0" w:line="276" w:lineRule="auto"/>
        <w:jc w:val="both"/>
        <w:rPr>
          <w:rFonts w:ascii="Century Gothic" w:eastAsia="Calibri" w:hAnsi="Century Gothic" w:cs="Arial"/>
          <w:bCs/>
          <w:color w:val="000000" w:themeColor="text1"/>
          <w:lang w:val="es-ES"/>
        </w:rPr>
      </w:pPr>
    </w:p>
    <w:p w14:paraId="0B1E2804" w14:textId="77777777" w:rsidR="00751EC1" w:rsidRPr="00003BC7" w:rsidRDefault="00751EC1" w:rsidP="00751EC1">
      <w:pPr>
        <w:spacing w:after="0" w:line="240" w:lineRule="auto"/>
        <w:ind w:left="709" w:right="709"/>
        <w:jc w:val="both"/>
        <w:rPr>
          <w:rFonts w:ascii="Century Gothic" w:eastAsia="Calibri" w:hAnsi="Century Gothic" w:cs="Arial"/>
          <w:bCs/>
          <w:color w:val="000000" w:themeColor="text1"/>
          <w:sz w:val="21"/>
          <w:szCs w:val="21"/>
        </w:rPr>
      </w:pPr>
      <w:r w:rsidRPr="00003BC7">
        <w:rPr>
          <w:rFonts w:ascii="Century Gothic" w:eastAsia="Calibri" w:hAnsi="Century Gothic" w:cs="Arial"/>
          <w:bCs/>
          <w:color w:val="000000" w:themeColor="text1"/>
          <w:sz w:val="21"/>
          <w:szCs w:val="21"/>
        </w:rPr>
        <w:lastRenderedPageBreak/>
        <w:t>“Respecto de la capacidad legal para contratar y la personalidad jurídica señala, que la Ley 80 de 1993 al crear las figuras de los consorcios y uniones temporales, y construirlas como sujetos de la contratación administrativa, reconoce una realidad del mundo negocial: la necesidad de los contratos de colaboración económica para la efectiva realización de proyectos de contratación pública, altamente especializados e intensivos en capital y, así mismo, indispensables para que el Estado Social de Derecho, cumpla los cometidos para los cuales fue instituido- Preámbulo, artículos 1 y 2 de la Carta Política.</w:t>
      </w:r>
    </w:p>
    <w:p w14:paraId="1EF1CF89" w14:textId="77777777" w:rsidR="00751EC1" w:rsidRPr="00003BC7" w:rsidRDefault="00751EC1" w:rsidP="00751EC1">
      <w:pPr>
        <w:spacing w:after="120" w:line="240" w:lineRule="auto"/>
        <w:ind w:left="709" w:right="709"/>
        <w:jc w:val="both"/>
        <w:rPr>
          <w:rFonts w:ascii="Century Gothic" w:eastAsia="Calibri" w:hAnsi="Century Gothic" w:cs="Arial"/>
          <w:bCs/>
          <w:color w:val="000000" w:themeColor="text1"/>
          <w:sz w:val="21"/>
          <w:szCs w:val="21"/>
        </w:rPr>
      </w:pPr>
      <w:r w:rsidRPr="00003BC7">
        <w:rPr>
          <w:rFonts w:ascii="Century Gothic" w:eastAsia="Calibri" w:hAnsi="Century Gothic" w:cs="Arial"/>
          <w:bCs/>
          <w:color w:val="000000" w:themeColor="text1"/>
          <w:sz w:val="21"/>
          <w:szCs w:val="21"/>
        </w:rPr>
        <w:t>[…]</w:t>
      </w:r>
    </w:p>
    <w:p w14:paraId="3DB38972" w14:textId="77777777" w:rsidR="00751EC1" w:rsidRPr="00003BC7" w:rsidRDefault="00751EC1" w:rsidP="00751EC1">
      <w:pPr>
        <w:spacing w:after="0" w:line="240" w:lineRule="auto"/>
        <w:ind w:left="709" w:right="709"/>
        <w:jc w:val="both"/>
        <w:rPr>
          <w:rFonts w:ascii="Century Gothic" w:eastAsia="Calibri" w:hAnsi="Century Gothic" w:cs="Arial"/>
          <w:bCs/>
          <w:color w:val="000000" w:themeColor="text1"/>
          <w:sz w:val="21"/>
          <w:szCs w:val="21"/>
        </w:rPr>
      </w:pPr>
      <w:r w:rsidRPr="00003BC7">
        <w:rPr>
          <w:rFonts w:ascii="Century Gothic" w:eastAsia="Calibri" w:hAnsi="Century Gothic" w:cs="Arial"/>
          <w:bCs/>
          <w:color w:val="000000" w:themeColor="text1"/>
          <w:sz w:val="21"/>
          <w:szCs w:val="21"/>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Pr="00003BC7">
        <w:rPr>
          <w:rStyle w:val="Refdenotaalpie"/>
          <w:rFonts w:ascii="Century Gothic" w:eastAsia="Calibri" w:hAnsi="Century Gothic" w:cs="Arial"/>
          <w:bCs/>
          <w:color w:val="000000" w:themeColor="text1"/>
          <w:sz w:val="21"/>
          <w:szCs w:val="21"/>
        </w:rPr>
        <w:footnoteReference w:id="14"/>
      </w:r>
      <w:r w:rsidRPr="00003BC7">
        <w:rPr>
          <w:rFonts w:ascii="Century Gothic" w:eastAsia="Calibri" w:hAnsi="Century Gothic" w:cs="Arial"/>
          <w:bCs/>
          <w:color w:val="000000" w:themeColor="text1"/>
          <w:sz w:val="21"/>
          <w:szCs w:val="21"/>
        </w:rPr>
        <w:t>.</w:t>
      </w:r>
    </w:p>
    <w:p w14:paraId="2BACA99D" w14:textId="77777777" w:rsidR="00751EC1" w:rsidRPr="00003BC7" w:rsidRDefault="00751EC1" w:rsidP="00751EC1">
      <w:pPr>
        <w:spacing w:after="0"/>
        <w:ind w:left="720" w:right="730"/>
        <w:jc w:val="both"/>
        <w:rPr>
          <w:rFonts w:ascii="Century Gothic" w:eastAsia="Calibri" w:hAnsi="Century Gothic" w:cs="Arial"/>
          <w:bCs/>
          <w:color w:val="000000" w:themeColor="text1"/>
          <w:sz w:val="21"/>
          <w:szCs w:val="21"/>
        </w:rPr>
      </w:pPr>
    </w:p>
    <w:p w14:paraId="19F3C5A7" w14:textId="77777777" w:rsidR="00751EC1" w:rsidRPr="00003BC7" w:rsidRDefault="00751EC1" w:rsidP="00751EC1">
      <w:pPr>
        <w:spacing w:after="120" w:line="276" w:lineRule="auto"/>
        <w:ind w:firstLine="720"/>
        <w:jc w:val="both"/>
        <w:rPr>
          <w:rFonts w:ascii="Century Gothic" w:eastAsia="Calibri" w:hAnsi="Century Gothic" w:cs="Arial"/>
          <w:bCs/>
          <w:color w:val="000000" w:themeColor="text1"/>
          <w:lang w:val="es-ES"/>
        </w:rPr>
      </w:pPr>
      <w:bookmarkStart w:id="8" w:name="_Hlk135067740"/>
      <w:r w:rsidRPr="00003BC7">
        <w:rPr>
          <w:rFonts w:ascii="Century Gothic" w:eastAsia="Calibri" w:hAnsi="Century Gothic" w:cs="Arial"/>
          <w:bCs/>
          <w:color w:val="000000" w:themeColor="text1"/>
          <w:lang w:val="es-ES"/>
        </w:rPr>
        <w:t>La Corte Constitucional destaca, de un lado, que las estructuras plurales son el reconocimiento de una realidad negocial en materia de contratación estatal, y del otro, que esta colaboración económica entre sujetos de derecho permite la materialización de los fines del estado, al facilitar la efectiva ejecución de los contratos. Adicionalmente, puntualiza que la capacidad contractual de los consorcios y uniones temporales se reconoce sin necesidad de exigirles como condición de su ejercicio que sean personas morales lo que, hasta cierto punto, podría considerarse una evolución en la teoría de la personalidad jurídica.</w:t>
      </w:r>
    </w:p>
    <w:bookmarkEnd w:id="8"/>
    <w:p w14:paraId="37F25470" w14:textId="77777777" w:rsidR="00751EC1" w:rsidRPr="00003BC7" w:rsidRDefault="00751EC1" w:rsidP="00751EC1">
      <w:pPr>
        <w:spacing w:after="0" w:line="276" w:lineRule="auto"/>
        <w:ind w:firstLine="709"/>
        <w:jc w:val="both"/>
        <w:rPr>
          <w:rFonts w:ascii="Century Gothic" w:hAnsi="Century Gothic" w:cs="Arial"/>
        </w:rPr>
      </w:pPr>
      <w:r w:rsidRPr="00003BC7">
        <w:rPr>
          <w:rFonts w:ascii="Century Gothic" w:hAnsi="Century Gothic" w:cs="Arial"/>
        </w:rPr>
        <w:t>Debido a que los consorcios y las uniones temporales no son personas jurídicas, su creación depende de un acuerdo en el que concurre la voluntad de sus integrantes para regular su objeto, la participación de los miembros, las obligaciones frente al proyecto, su responsabilidad, la forma en que regirán sus relaciones internas y el relacionamiento con la entidad contratante, mediante la designación de un representante, de conformidad con el parágrafo 1 del artículo 7 de la Ley 80 de 1993. En lo pertinente, la norma precitada dispone que:</w:t>
      </w:r>
    </w:p>
    <w:p w14:paraId="669E0C13" w14:textId="77777777" w:rsidR="00751EC1" w:rsidRPr="00003BC7" w:rsidRDefault="00751EC1" w:rsidP="00751EC1">
      <w:pPr>
        <w:spacing w:after="0" w:line="276" w:lineRule="auto"/>
        <w:ind w:firstLine="709"/>
        <w:jc w:val="both"/>
        <w:rPr>
          <w:rFonts w:ascii="Century Gothic" w:eastAsia="Calibri" w:hAnsi="Century Gothic" w:cs="Arial"/>
          <w:bCs/>
          <w:color w:val="000000" w:themeColor="text1"/>
          <w:lang w:val="es-ES"/>
        </w:rPr>
      </w:pPr>
    </w:p>
    <w:p w14:paraId="5842285E" w14:textId="77777777" w:rsidR="00751EC1" w:rsidRPr="00003BC7" w:rsidRDefault="00751EC1" w:rsidP="00751EC1">
      <w:pPr>
        <w:spacing w:after="0" w:line="240" w:lineRule="auto"/>
        <w:ind w:left="709" w:right="709"/>
        <w:jc w:val="both"/>
        <w:rPr>
          <w:rFonts w:ascii="Century Gothic" w:eastAsia="Calibri" w:hAnsi="Century Gothic" w:cs="Arial"/>
          <w:bCs/>
          <w:color w:val="000000" w:themeColor="text1"/>
          <w:sz w:val="21"/>
          <w:lang w:val="es-ES"/>
        </w:rPr>
      </w:pPr>
      <w:r w:rsidRPr="00003BC7">
        <w:rPr>
          <w:rFonts w:ascii="Century Gothic" w:eastAsia="Calibri" w:hAnsi="Century Gothic" w:cs="Arial"/>
          <w:bCs/>
          <w:color w:val="000000" w:themeColor="text1"/>
          <w:sz w:val="21"/>
          <w:lang w:val="es-ES"/>
        </w:rPr>
        <w:lastRenderedPageBreak/>
        <w:t>“Artículo 7º.- ENTIDADES A CONTRATAR. Artículo modificado por el artículo 3 de la Ley 2160 de 2021. Para los efectos de esta Ley se entiende por:</w:t>
      </w:r>
    </w:p>
    <w:p w14:paraId="7D137476" w14:textId="77777777" w:rsidR="00751EC1" w:rsidRPr="00003BC7" w:rsidRDefault="00751EC1" w:rsidP="00751EC1">
      <w:pPr>
        <w:spacing w:after="120" w:line="240" w:lineRule="auto"/>
        <w:ind w:left="709" w:right="709"/>
        <w:jc w:val="both"/>
        <w:rPr>
          <w:rFonts w:ascii="Century Gothic" w:eastAsia="Calibri" w:hAnsi="Century Gothic" w:cs="Arial"/>
          <w:bCs/>
          <w:color w:val="000000" w:themeColor="text1"/>
          <w:sz w:val="21"/>
          <w:lang w:val="es-ES"/>
        </w:rPr>
      </w:pPr>
      <w:r w:rsidRPr="00003BC7">
        <w:rPr>
          <w:rFonts w:ascii="Century Gothic" w:eastAsia="Calibri" w:hAnsi="Century Gothic" w:cs="Arial"/>
          <w:bCs/>
          <w:color w:val="000000" w:themeColor="text1"/>
          <w:sz w:val="21"/>
          <w:lang w:val="es-ES"/>
        </w:rPr>
        <w:t>[…]</w:t>
      </w:r>
    </w:p>
    <w:p w14:paraId="6E67DCA8" w14:textId="77777777" w:rsidR="00751EC1" w:rsidRPr="00003BC7" w:rsidRDefault="00751EC1" w:rsidP="00751EC1">
      <w:pPr>
        <w:spacing w:after="120" w:line="240" w:lineRule="auto"/>
        <w:ind w:left="709" w:right="709"/>
        <w:jc w:val="both"/>
        <w:rPr>
          <w:rFonts w:ascii="Century Gothic" w:eastAsia="Calibri" w:hAnsi="Century Gothic" w:cs="Arial"/>
          <w:bCs/>
          <w:color w:val="000000" w:themeColor="text1"/>
          <w:sz w:val="21"/>
          <w:lang w:val="es-ES"/>
        </w:rPr>
      </w:pPr>
      <w:r w:rsidRPr="00003BC7">
        <w:rPr>
          <w:rFonts w:ascii="Century Gothic" w:eastAsia="Calibri" w:hAnsi="Century Gothic" w:cs="Arial"/>
          <w:bCs/>
          <w:color w:val="000000" w:themeColor="text1"/>
          <w:sz w:val="21"/>
          <w:lang w:val="es-ES"/>
        </w:rPr>
        <w:t>6.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21891ABC" w14:textId="77777777" w:rsidR="00751EC1" w:rsidRPr="00003BC7" w:rsidRDefault="00751EC1" w:rsidP="00751EC1">
      <w:pPr>
        <w:spacing w:after="0" w:line="240" w:lineRule="auto"/>
        <w:ind w:left="709" w:right="709"/>
        <w:jc w:val="both"/>
        <w:rPr>
          <w:rFonts w:ascii="Century Gothic" w:eastAsia="Calibri" w:hAnsi="Century Gothic" w:cs="Arial"/>
          <w:bCs/>
          <w:color w:val="000000" w:themeColor="text1"/>
          <w:sz w:val="21"/>
          <w:lang w:val="es-ES"/>
        </w:rPr>
      </w:pPr>
      <w:r w:rsidRPr="00003BC7">
        <w:rPr>
          <w:rFonts w:ascii="Century Gothic" w:eastAsia="Calibri" w:hAnsi="Century Gothic" w:cs="Arial"/>
          <w:bCs/>
          <w:color w:val="000000" w:themeColor="text1"/>
          <w:sz w:val="21"/>
          <w:lang w:val="es-ES"/>
        </w:rPr>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p>
    <w:p w14:paraId="23D361F6" w14:textId="77777777" w:rsidR="00751EC1" w:rsidRPr="00003BC7" w:rsidRDefault="00751EC1" w:rsidP="00751EC1">
      <w:pPr>
        <w:spacing w:after="120" w:line="240" w:lineRule="auto"/>
        <w:ind w:left="709" w:right="709"/>
        <w:jc w:val="both"/>
        <w:rPr>
          <w:rFonts w:ascii="Century Gothic" w:eastAsia="Calibri" w:hAnsi="Century Gothic" w:cs="Arial"/>
          <w:bCs/>
          <w:color w:val="000000" w:themeColor="text1"/>
          <w:sz w:val="21"/>
          <w:lang w:val="es-ES"/>
        </w:rPr>
      </w:pPr>
      <w:r w:rsidRPr="00003BC7">
        <w:rPr>
          <w:rFonts w:ascii="Century Gothic" w:eastAsia="Calibri" w:hAnsi="Century Gothic" w:cs="Arial"/>
          <w:bCs/>
          <w:color w:val="000000" w:themeColor="text1"/>
          <w:sz w:val="21"/>
          <w:lang w:val="es-ES"/>
        </w:rPr>
        <w:t>[…]</w:t>
      </w:r>
    </w:p>
    <w:p w14:paraId="7F61CEAA" w14:textId="77777777" w:rsidR="00751EC1" w:rsidRPr="00003BC7" w:rsidRDefault="00751EC1" w:rsidP="00751EC1">
      <w:pPr>
        <w:spacing w:after="120" w:line="240" w:lineRule="auto"/>
        <w:ind w:left="709" w:right="709"/>
        <w:jc w:val="both"/>
        <w:rPr>
          <w:rFonts w:ascii="Century Gothic" w:eastAsia="Calibri" w:hAnsi="Century Gothic" w:cs="Arial"/>
          <w:bCs/>
          <w:color w:val="000000" w:themeColor="text1"/>
          <w:sz w:val="21"/>
          <w:lang w:val="es-ES"/>
        </w:rPr>
      </w:pPr>
      <w:r w:rsidRPr="00003BC7">
        <w:rPr>
          <w:rFonts w:ascii="Century Gothic" w:eastAsia="Calibri" w:hAnsi="Century Gothic" w:cs="Arial"/>
          <w:bCs/>
          <w:color w:val="000000" w:themeColor="text1"/>
          <w:sz w:val="21"/>
          <w:lang w:val="es-ES"/>
        </w:rPr>
        <w:t>Parágrafo 1º.-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664247B7" w14:textId="77777777" w:rsidR="00751EC1" w:rsidRPr="00003BC7" w:rsidRDefault="00751EC1" w:rsidP="00751EC1">
      <w:pPr>
        <w:spacing w:after="0" w:line="240" w:lineRule="auto"/>
        <w:ind w:left="709" w:right="709"/>
        <w:jc w:val="both"/>
        <w:rPr>
          <w:rFonts w:ascii="Century Gothic" w:eastAsia="Calibri" w:hAnsi="Century Gothic" w:cs="Arial"/>
          <w:bCs/>
          <w:color w:val="000000" w:themeColor="text1"/>
          <w:sz w:val="21"/>
          <w:lang w:val="es-ES"/>
        </w:rPr>
      </w:pPr>
      <w:r w:rsidRPr="00003BC7">
        <w:rPr>
          <w:rFonts w:ascii="Century Gothic" w:eastAsia="Calibri" w:hAnsi="Century Gothic" w:cs="Arial"/>
          <w:bCs/>
          <w:color w:val="000000" w:themeColor="text1"/>
          <w:sz w:val="21"/>
          <w:lang w:val="es-ES"/>
        </w:rPr>
        <w:t>Los miembros del consorcio y de la unión temporal deberán designar la persona que, para todos los efectos, representará al consorcio o unión temporal y señalarán las reglas básicas que regulen las relaciones entre ellos y su responsabilidad.</w:t>
      </w:r>
    </w:p>
    <w:p w14:paraId="17C63058" w14:textId="77777777" w:rsidR="00751EC1" w:rsidRPr="00003BC7" w:rsidRDefault="00751EC1" w:rsidP="00751EC1">
      <w:pPr>
        <w:spacing w:after="0" w:line="240" w:lineRule="auto"/>
        <w:ind w:left="709" w:right="709"/>
        <w:jc w:val="both"/>
        <w:rPr>
          <w:rFonts w:ascii="Century Gothic" w:eastAsia="Calibri" w:hAnsi="Century Gothic" w:cs="Arial"/>
          <w:bCs/>
          <w:color w:val="000000" w:themeColor="text1"/>
          <w:sz w:val="21"/>
          <w:lang w:val="es-ES"/>
        </w:rPr>
      </w:pPr>
      <w:r w:rsidRPr="00003BC7">
        <w:rPr>
          <w:rFonts w:ascii="Century Gothic" w:eastAsia="Calibri" w:hAnsi="Century Gothic" w:cs="Arial"/>
          <w:bCs/>
          <w:color w:val="000000" w:themeColor="text1"/>
          <w:sz w:val="21"/>
          <w:lang w:val="es-ES"/>
        </w:rPr>
        <w:t>[…]”.</w:t>
      </w:r>
    </w:p>
    <w:p w14:paraId="293952EC" w14:textId="77777777" w:rsidR="00751EC1" w:rsidRPr="00003BC7" w:rsidRDefault="00751EC1" w:rsidP="00751EC1">
      <w:pPr>
        <w:spacing w:after="0" w:line="276" w:lineRule="auto"/>
        <w:ind w:left="720" w:right="731"/>
        <w:jc w:val="both"/>
        <w:rPr>
          <w:rFonts w:ascii="Century Gothic" w:eastAsia="Calibri" w:hAnsi="Century Gothic" w:cs="Arial"/>
          <w:bCs/>
          <w:color w:val="000000" w:themeColor="text1"/>
          <w:lang w:val="es-ES"/>
        </w:rPr>
      </w:pPr>
    </w:p>
    <w:p w14:paraId="172EEEFE" w14:textId="77777777" w:rsidR="00751EC1" w:rsidRDefault="00751EC1" w:rsidP="00751EC1">
      <w:pPr>
        <w:spacing w:after="120" w:line="276" w:lineRule="auto"/>
        <w:jc w:val="both"/>
        <w:rPr>
          <w:rFonts w:ascii="Century Gothic" w:hAnsi="Century Gothic" w:cs="Arial"/>
          <w:color w:val="000000" w:themeColor="text1"/>
        </w:rPr>
      </w:pPr>
      <w:r w:rsidRPr="00003BC7">
        <w:rPr>
          <w:rFonts w:ascii="Century Gothic" w:eastAsia="Calibri" w:hAnsi="Century Gothic" w:cs="Arial"/>
          <w:bCs/>
          <w:color w:val="000000" w:themeColor="text1"/>
          <w:lang w:val="es-ES"/>
        </w:rPr>
        <w:tab/>
        <w:t>Como se observa, el artículo citado señala que el consorcio o la unión temporal se da “</w:t>
      </w:r>
      <w:r>
        <w:rPr>
          <w:rFonts w:ascii="Century Gothic" w:eastAsia="Calibri" w:hAnsi="Century Gothic" w:cs="Arial"/>
          <w:bCs/>
          <w:color w:val="000000" w:themeColor="text1"/>
          <w:lang w:val="es-ES"/>
        </w:rPr>
        <w:t>C</w:t>
      </w:r>
      <w:r w:rsidRPr="00003BC7">
        <w:rPr>
          <w:rFonts w:ascii="Century Gothic" w:eastAsia="Calibri" w:hAnsi="Century Gothic" w:cs="Arial"/>
          <w:bCs/>
          <w:color w:val="000000" w:themeColor="text1"/>
          <w:lang w:val="es-ES"/>
        </w:rPr>
        <w:t>uando dos o más personas en forma conjunta presentan una misma propuesta para la adjudicación, celebración y ejecución de un contrato […]”.</w:t>
      </w:r>
      <w:r w:rsidRPr="00003BC7">
        <w:rPr>
          <w:rFonts w:ascii="Century Gothic" w:hAnsi="Century Gothic" w:cs="Arial"/>
          <w:color w:val="000000" w:themeColor="text1"/>
        </w:rPr>
        <w:t xml:space="preserve"> </w:t>
      </w:r>
      <w:r>
        <w:rPr>
          <w:rFonts w:ascii="Century Gothic" w:hAnsi="Century Gothic" w:cs="Arial"/>
          <w:color w:val="000000" w:themeColor="text1"/>
        </w:rPr>
        <w:t xml:space="preserve">Desde esta perspectiva, su capacidad para participar en la adjudicación, celebración y ejecución de los contratos estatales depende de que los integrantes de la estructura plural adopten la decisión conjunta de presentar una misma propuesta al proceso de selección. Como existe una relación de medio – fin, sin la entrega de la oferta no surge la habilitación legal para todo lo demás. </w:t>
      </w:r>
    </w:p>
    <w:p w14:paraId="7E935625" w14:textId="77777777" w:rsidR="00751EC1" w:rsidRDefault="00751EC1" w:rsidP="00751EC1">
      <w:pPr>
        <w:spacing w:after="120" w:line="276" w:lineRule="auto"/>
        <w:jc w:val="both"/>
        <w:rPr>
          <w:rFonts w:ascii="Century Gothic" w:hAnsi="Century Gothic" w:cs="Arial"/>
          <w:color w:val="000000" w:themeColor="text1"/>
        </w:rPr>
      </w:pPr>
      <w:r>
        <w:rPr>
          <w:rFonts w:ascii="Century Gothic" w:hAnsi="Century Gothic" w:cs="Arial"/>
          <w:color w:val="000000" w:themeColor="text1"/>
        </w:rPr>
        <w:tab/>
        <w:t>De esta manera, l</w:t>
      </w:r>
      <w:r w:rsidRPr="003159F3">
        <w:rPr>
          <w:rFonts w:ascii="Century Gothic" w:hAnsi="Century Gothic" w:cs="Arial"/>
          <w:color w:val="000000" w:themeColor="text1"/>
        </w:rPr>
        <w:t xml:space="preserve">os consorcios o uniones temporales son convenios de asociación provenientes de la colaboración empresarial, mediante los cuales sus </w:t>
      </w:r>
      <w:r w:rsidRPr="003159F3">
        <w:rPr>
          <w:rFonts w:ascii="Century Gothic" w:hAnsi="Century Gothic" w:cs="Arial"/>
          <w:color w:val="000000" w:themeColor="text1"/>
        </w:rPr>
        <w:lastRenderedPageBreak/>
        <w:t xml:space="preserve">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   </w:t>
      </w:r>
    </w:p>
    <w:p w14:paraId="755CBB68" w14:textId="77777777" w:rsidR="00751EC1" w:rsidRDefault="00751EC1" w:rsidP="00751EC1">
      <w:pPr>
        <w:spacing w:after="0" w:line="276" w:lineRule="auto"/>
        <w:jc w:val="both"/>
        <w:rPr>
          <w:rFonts w:ascii="Century Gothic" w:hAnsi="Century Gothic" w:cs="Arial"/>
          <w:color w:val="000000" w:themeColor="text1"/>
        </w:rPr>
      </w:pPr>
      <w:r>
        <w:rPr>
          <w:rFonts w:ascii="Century Gothic" w:hAnsi="Century Gothic" w:cs="Arial"/>
          <w:color w:val="000000" w:themeColor="text1"/>
        </w:rPr>
        <w:tab/>
        <w:t xml:space="preserve">La capacidad jurídica de </w:t>
      </w:r>
      <w:proofErr w:type="spellStart"/>
      <w:r>
        <w:rPr>
          <w:rFonts w:ascii="Century Gothic" w:hAnsi="Century Gothic" w:cs="Arial"/>
          <w:color w:val="000000" w:themeColor="text1"/>
        </w:rPr>
        <w:t>lo</w:t>
      </w:r>
      <w:proofErr w:type="spellEnd"/>
      <w:r>
        <w:rPr>
          <w:rFonts w:ascii="Century Gothic" w:hAnsi="Century Gothic" w:cs="Arial"/>
          <w:color w:val="000000" w:themeColor="text1"/>
        </w:rPr>
        <w:t xml:space="preserve"> proponentes plurales se limita al campo de la contratación estatal de las entidades sometidas al EGCAP, es decir, a las relaciones en consorcios y las uniones temporales con las entidades estatales del artículo 2 de la Ley 80 de 1993. Esta precisión es importante, porque la habilitación de los numerales 6 y 7 del artículo 7 </w:t>
      </w:r>
      <w:r w:rsidRPr="00434D69">
        <w:rPr>
          <w:rFonts w:ascii="Century Gothic" w:hAnsi="Century Gothic" w:cs="Arial"/>
          <w:i/>
          <w:iCs/>
          <w:color w:val="000000" w:themeColor="text1"/>
        </w:rPr>
        <w:t>ibidem</w:t>
      </w:r>
      <w:r>
        <w:rPr>
          <w:rFonts w:ascii="Century Gothic" w:hAnsi="Century Gothic" w:cs="Arial"/>
          <w:color w:val="000000" w:themeColor="text1"/>
        </w:rPr>
        <w:t xml:space="preserve"> no les otorgan capacidad respecto a las relaciones entre particulares, como las que surgen entre el cedente y el cesionario del contrato. Como este último debe ser un tercero, es indispensable la personalidad jurídica. Como explica la doctrina, </w:t>
      </w:r>
    </w:p>
    <w:p w14:paraId="018E6944" w14:textId="77777777" w:rsidR="00751EC1" w:rsidRDefault="00751EC1" w:rsidP="00751EC1">
      <w:pPr>
        <w:spacing w:after="0" w:line="276" w:lineRule="auto"/>
        <w:jc w:val="both"/>
        <w:rPr>
          <w:rFonts w:ascii="Century Gothic" w:hAnsi="Century Gothic" w:cs="Arial"/>
          <w:color w:val="000000" w:themeColor="text1"/>
        </w:rPr>
      </w:pPr>
    </w:p>
    <w:p w14:paraId="4F68F925" w14:textId="77777777" w:rsidR="00751EC1" w:rsidRPr="009967DD" w:rsidRDefault="00751EC1" w:rsidP="00751EC1">
      <w:pPr>
        <w:spacing w:after="0" w:line="240" w:lineRule="auto"/>
        <w:ind w:left="709" w:right="709"/>
        <w:jc w:val="both"/>
        <w:rPr>
          <w:rFonts w:ascii="Century Gothic" w:hAnsi="Century Gothic" w:cs="Arial"/>
          <w:color w:val="000000" w:themeColor="text1"/>
          <w:sz w:val="21"/>
          <w:szCs w:val="21"/>
        </w:rPr>
      </w:pPr>
      <w:r w:rsidRPr="009967DD">
        <w:rPr>
          <w:rFonts w:ascii="Century Gothic" w:hAnsi="Century Gothic" w:cs="Arial"/>
          <w:color w:val="000000" w:themeColor="text1"/>
          <w:sz w:val="21"/>
          <w:szCs w:val="21"/>
        </w:rPr>
        <w:t xml:space="preserve">“El concepto de ‘tercero’, respecto de la condición que debe reunir el cesionario, puede tener dos sentidos: uno </w:t>
      </w:r>
      <w:r w:rsidRPr="009967DD">
        <w:rPr>
          <w:rFonts w:ascii="Century Gothic" w:hAnsi="Century Gothic" w:cs="Arial"/>
          <w:i/>
          <w:iCs/>
          <w:color w:val="000000" w:themeColor="text1"/>
          <w:sz w:val="21"/>
          <w:szCs w:val="21"/>
        </w:rPr>
        <w:t>subjetivo</w:t>
      </w:r>
      <w:r w:rsidRPr="009967DD">
        <w:rPr>
          <w:rFonts w:ascii="Century Gothic" w:hAnsi="Century Gothic" w:cs="Arial"/>
          <w:color w:val="000000" w:themeColor="text1"/>
          <w:sz w:val="21"/>
          <w:szCs w:val="21"/>
        </w:rPr>
        <w:t xml:space="preserve">, en virtud del cual tiene tal cualidad cualquier </w:t>
      </w:r>
      <w:r w:rsidRPr="009967DD">
        <w:rPr>
          <w:rFonts w:ascii="Century Gothic" w:hAnsi="Century Gothic" w:cs="Arial"/>
          <w:b/>
          <w:bCs/>
          <w:color w:val="000000" w:themeColor="text1"/>
          <w:sz w:val="21"/>
          <w:szCs w:val="21"/>
        </w:rPr>
        <w:t>persona</w:t>
      </w:r>
      <w:r w:rsidRPr="009967DD">
        <w:rPr>
          <w:rFonts w:ascii="Century Gothic" w:hAnsi="Century Gothic" w:cs="Arial"/>
          <w:color w:val="000000" w:themeColor="text1"/>
          <w:sz w:val="21"/>
          <w:szCs w:val="21"/>
        </w:rPr>
        <w:t xml:space="preserve"> distinta al contratista o a los integrantes del consorcio o unión temporal y a la entidad estatal contratante. Otro </w:t>
      </w:r>
      <w:r w:rsidRPr="009967DD">
        <w:rPr>
          <w:rFonts w:ascii="Century Gothic" w:hAnsi="Century Gothic" w:cs="Arial"/>
          <w:i/>
          <w:iCs/>
          <w:color w:val="000000" w:themeColor="text1"/>
          <w:sz w:val="21"/>
          <w:szCs w:val="21"/>
        </w:rPr>
        <w:t>objetivo</w:t>
      </w:r>
      <w:r w:rsidRPr="009967DD">
        <w:rPr>
          <w:rFonts w:ascii="Century Gothic" w:hAnsi="Century Gothic" w:cs="Arial"/>
          <w:color w:val="000000" w:themeColor="text1"/>
          <w:sz w:val="21"/>
          <w:szCs w:val="21"/>
        </w:rPr>
        <w:t xml:space="preserve">, según el cual tiene tal calidad cualquier </w:t>
      </w:r>
      <w:r w:rsidRPr="009967DD">
        <w:rPr>
          <w:rFonts w:ascii="Century Gothic" w:hAnsi="Century Gothic" w:cs="Arial"/>
          <w:b/>
          <w:bCs/>
          <w:color w:val="000000" w:themeColor="text1"/>
          <w:sz w:val="21"/>
          <w:szCs w:val="21"/>
        </w:rPr>
        <w:t>persona</w:t>
      </w:r>
      <w:r w:rsidRPr="009967DD">
        <w:rPr>
          <w:rFonts w:ascii="Century Gothic" w:hAnsi="Century Gothic" w:cs="Arial"/>
          <w:color w:val="000000" w:themeColor="text1"/>
          <w:sz w:val="21"/>
          <w:szCs w:val="21"/>
        </w:rPr>
        <w:t xml:space="preserve"> distinta al contratista a los integrantes del consorcio o unión temporal y a la entidad estatal contratante, siempre y cuando tal </w:t>
      </w:r>
      <w:r w:rsidRPr="009967DD">
        <w:rPr>
          <w:rFonts w:ascii="Century Gothic" w:hAnsi="Century Gothic" w:cs="Arial"/>
          <w:b/>
          <w:bCs/>
          <w:color w:val="000000" w:themeColor="text1"/>
          <w:sz w:val="21"/>
          <w:szCs w:val="21"/>
        </w:rPr>
        <w:t>persona</w:t>
      </w:r>
      <w:r w:rsidRPr="009967DD">
        <w:rPr>
          <w:rFonts w:ascii="Century Gothic" w:hAnsi="Century Gothic" w:cs="Arial"/>
          <w:color w:val="000000" w:themeColor="text1"/>
          <w:sz w:val="21"/>
          <w:szCs w:val="21"/>
        </w:rPr>
        <w:t xml:space="preserve"> no tenga un vínculo de dependencia o de subordinación con el contratista o los integrantes del consorcio o la unión temporal (futuros cedentes)”</w:t>
      </w:r>
      <w:r w:rsidRPr="009967DD">
        <w:rPr>
          <w:rStyle w:val="Refdenotaalpie"/>
          <w:rFonts w:ascii="Century Gothic" w:hAnsi="Century Gothic" w:cs="Arial"/>
          <w:color w:val="000000" w:themeColor="text1"/>
          <w:sz w:val="21"/>
          <w:szCs w:val="21"/>
        </w:rPr>
        <w:footnoteReference w:id="15"/>
      </w:r>
      <w:r w:rsidRPr="009967DD">
        <w:rPr>
          <w:rFonts w:ascii="Century Gothic" w:hAnsi="Century Gothic" w:cs="Arial"/>
          <w:color w:val="000000" w:themeColor="text1"/>
          <w:sz w:val="21"/>
          <w:szCs w:val="21"/>
        </w:rPr>
        <w:t xml:space="preserve">. (Negrillas fuera de texto) </w:t>
      </w:r>
    </w:p>
    <w:p w14:paraId="092AD710" w14:textId="77777777" w:rsidR="00751EC1" w:rsidRDefault="00751EC1" w:rsidP="00751EC1">
      <w:pPr>
        <w:spacing w:after="0" w:line="276" w:lineRule="auto"/>
        <w:jc w:val="both"/>
        <w:rPr>
          <w:rFonts w:ascii="Century Gothic" w:hAnsi="Century Gothic" w:cs="Arial"/>
          <w:color w:val="000000" w:themeColor="text1"/>
        </w:rPr>
      </w:pPr>
    </w:p>
    <w:p w14:paraId="4B893EDA" w14:textId="77777777" w:rsidR="00751EC1" w:rsidRDefault="00751EC1" w:rsidP="00751EC1">
      <w:pPr>
        <w:spacing w:after="0" w:line="276" w:lineRule="auto"/>
        <w:jc w:val="both"/>
        <w:rPr>
          <w:rFonts w:ascii="Century Gothic" w:hAnsi="Century Gothic" w:cs="Arial"/>
          <w:color w:val="000000" w:themeColor="text1"/>
        </w:rPr>
      </w:pPr>
      <w:r>
        <w:rPr>
          <w:rFonts w:ascii="Century Gothic" w:hAnsi="Century Gothic" w:cs="Arial"/>
          <w:color w:val="000000" w:themeColor="text1"/>
        </w:rPr>
        <w:tab/>
        <w:t xml:space="preserve">De acuerdo con el inciso primero del artículo 73 del Código Civil las personas son naturales o jurídicas. Conforme al artículo 74 </w:t>
      </w:r>
      <w:r w:rsidRPr="009967DD">
        <w:rPr>
          <w:rFonts w:ascii="Century Gothic" w:hAnsi="Century Gothic" w:cs="Arial"/>
          <w:i/>
          <w:iCs/>
          <w:color w:val="000000" w:themeColor="text1"/>
        </w:rPr>
        <w:t>ibidem</w:t>
      </w:r>
      <w:r>
        <w:rPr>
          <w:rFonts w:ascii="Century Gothic" w:hAnsi="Century Gothic" w:cs="Arial"/>
          <w:color w:val="000000" w:themeColor="text1"/>
        </w:rPr>
        <w:t xml:space="preserve">, las primeras corresponden a “[…] </w:t>
      </w:r>
      <w:r w:rsidRPr="009967DD">
        <w:rPr>
          <w:rFonts w:ascii="Century Gothic" w:hAnsi="Century Gothic" w:cs="Arial"/>
          <w:color w:val="000000" w:themeColor="text1"/>
        </w:rPr>
        <w:t>todos los individuos de la especie humana, cualquiera que sea su edad, sexo, estirpe o condición</w:t>
      </w:r>
      <w:r>
        <w:rPr>
          <w:rFonts w:ascii="Century Gothic" w:hAnsi="Century Gothic" w:cs="Arial"/>
          <w:color w:val="000000" w:themeColor="text1"/>
        </w:rPr>
        <w:t>”</w:t>
      </w:r>
      <w:r w:rsidRPr="009967DD">
        <w:rPr>
          <w:rFonts w:ascii="Century Gothic" w:hAnsi="Century Gothic" w:cs="Arial"/>
          <w:color w:val="000000" w:themeColor="text1"/>
        </w:rPr>
        <w:t>.</w:t>
      </w:r>
      <w:r>
        <w:rPr>
          <w:rFonts w:ascii="Century Gothic" w:hAnsi="Century Gothic" w:cs="Arial"/>
          <w:color w:val="000000" w:themeColor="text1"/>
        </w:rPr>
        <w:t xml:space="preserve"> En contraste, con fundamento en el inciso primero artículo 633 </w:t>
      </w:r>
      <w:r w:rsidRPr="009967DD">
        <w:rPr>
          <w:rFonts w:ascii="Century Gothic" w:hAnsi="Century Gothic" w:cs="Arial"/>
          <w:i/>
          <w:iCs/>
          <w:color w:val="000000" w:themeColor="text1"/>
        </w:rPr>
        <w:t>ibidem</w:t>
      </w:r>
      <w:r>
        <w:rPr>
          <w:rFonts w:ascii="Century Gothic" w:hAnsi="Century Gothic" w:cs="Arial"/>
          <w:color w:val="000000" w:themeColor="text1"/>
        </w:rPr>
        <w:t xml:space="preserve">, las segundas son “[…] </w:t>
      </w:r>
      <w:r w:rsidRPr="009967DD">
        <w:rPr>
          <w:rFonts w:ascii="Century Gothic" w:hAnsi="Century Gothic" w:cs="Arial"/>
          <w:color w:val="000000" w:themeColor="text1"/>
        </w:rPr>
        <w:t>una persona ficticia, capaz de ejercer derechos y contraer obligaciones civiles, y de ser representada judicial y extrajudicialmente</w:t>
      </w:r>
      <w:r>
        <w:rPr>
          <w:rFonts w:ascii="Century Gothic" w:hAnsi="Century Gothic" w:cs="Arial"/>
          <w:color w:val="000000" w:themeColor="text1"/>
        </w:rPr>
        <w:t>”</w:t>
      </w:r>
      <w:r w:rsidRPr="009967DD">
        <w:rPr>
          <w:rFonts w:ascii="Century Gothic" w:hAnsi="Century Gothic" w:cs="Arial"/>
          <w:color w:val="000000" w:themeColor="text1"/>
        </w:rPr>
        <w:t>.</w:t>
      </w:r>
      <w:r>
        <w:rPr>
          <w:rFonts w:ascii="Century Gothic" w:hAnsi="Century Gothic" w:cs="Arial"/>
          <w:color w:val="000000" w:themeColor="text1"/>
        </w:rPr>
        <w:t xml:space="preserve"> Como se explicó </w:t>
      </w:r>
      <w:r w:rsidRPr="00D25D7A">
        <w:rPr>
          <w:rFonts w:ascii="Century Gothic" w:hAnsi="Century Gothic" w:cs="Arial"/>
          <w:i/>
          <w:iCs/>
          <w:color w:val="000000" w:themeColor="text1"/>
        </w:rPr>
        <w:t>ut supra</w:t>
      </w:r>
      <w:r>
        <w:rPr>
          <w:rFonts w:ascii="Century Gothic" w:hAnsi="Century Gothic" w:cs="Arial"/>
          <w:color w:val="000000" w:themeColor="text1"/>
        </w:rPr>
        <w:t xml:space="preserve">, los consorcios y las uniones temporales carecen de esta naturaleza. Asimismo, </w:t>
      </w:r>
      <w:r w:rsidRPr="00D25D7A">
        <w:rPr>
          <w:rFonts w:ascii="Century Gothic" w:hAnsi="Century Gothic" w:cs="Arial"/>
          <w:color w:val="000000" w:themeColor="text1"/>
        </w:rPr>
        <w:t xml:space="preserve">los numerales 6 y 7 del artículo </w:t>
      </w:r>
      <w:r w:rsidRPr="00D25D7A">
        <w:rPr>
          <w:rFonts w:ascii="Century Gothic" w:hAnsi="Century Gothic" w:cs="Arial"/>
          <w:color w:val="000000" w:themeColor="text1"/>
        </w:rPr>
        <w:lastRenderedPageBreak/>
        <w:t>7</w:t>
      </w:r>
      <w:r>
        <w:rPr>
          <w:rFonts w:ascii="Century Gothic" w:hAnsi="Century Gothic" w:cs="Arial"/>
          <w:color w:val="000000" w:themeColor="text1"/>
        </w:rPr>
        <w:t xml:space="preserve"> de la Ley 80 de 1993 tampoco otorgan capacidad a los proponentes plurales para ser cesionarios; por lo que al no existir una habilitación legal para que los contratistas cedan su posición contractual a los consorcios o uniones temporales, el SECOP II y la TVEC se limitan a la presentación conjunta de las propuestas para los fines dispuesto en el EGCAP. Esto excluye su creación para los efectos mencionados en la consulta.</w:t>
      </w:r>
    </w:p>
    <w:p w14:paraId="6B3D1A51" w14:textId="77777777" w:rsidR="00751EC1" w:rsidRDefault="00751EC1" w:rsidP="00751EC1">
      <w:pPr>
        <w:spacing w:after="0" w:line="276" w:lineRule="auto"/>
        <w:jc w:val="both"/>
        <w:rPr>
          <w:rFonts w:ascii="Century Gothic" w:hAnsi="Century Gothic" w:cs="Arial"/>
          <w:color w:val="000000" w:themeColor="text1"/>
        </w:rPr>
      </w:pPr>
    </w:p>
    <w:p w14:paraId="22278F90" w14:textId="77777777" w:rsidR="00751EC1" w:rsidRPr="00555AFC" w:rsidRDefault="00751EC1" w:rsidP="00751EC1">
      <w:pPr>
        <w:spacing w:after="0" w:line="276" w:lineRule="auto"/>
        <w:jc w:val="both"/>
        <w:rPr>
          <w:rFonts w:ascii="Century Gothic" w:hAnsi="Century Gothic" w:cs="Arial"/>
          <w:b/>
          <w:bCs/>
          <w:color w:val="000000" w:themeColor="text1"/>
        </w:rPr>
      </w:pPr>
      <w:r w:rsidRPr="00555AFC">
        <w:rPr>
          <w:rFonts w:ascii="Century Gothic" w:hAnsi="Century Gothic" w:cs="Arial"/>
          <w:b/>
          <w:bCs/>
          <w:color w:val="000000" w:themeColor="text1"/>
        </w:rPr>
        <w:t xml:space="preserve">3. Respuesta     </w:t>
      </w:r>
    </w:p>
    <w:p w14:paraId="62BB3DC9" w14:textId="77777777" w:rsidR="00751EC1" w:rsidRDefault="00751EC1" w:rsidP="00751EC1">
      <w:pPr>
        <w:spacing w:after="0" w:line="276" w:lineRule="auto"/>
        <w:jc w:val="both"/>
        <w:rPr>
          <w:rFonts w:ascii="Century Gothic" w:eastAsia="Calibri" w:hAnsi="Century Gothic" w:cs="Arial"/>
          <w:color w:val="000000" w:themeColor="text1"/>
          <w:lang w:val="es-ES_tradnl"/>
        </w:rPr>
      </w:pPr>
    </w:p>
    <w:p w14:paraId="443E23E2" w14:textId="77777777" w:rsidR="00751EC1" w:rsidRPr="004A785B" w:rsidRDefault="00751EC1" w:rsidP="00751EC1">
      <w:pPr>
        <w:spacing w:after="0" w:line="240" w:lineRule="auto"/>
        <w:ind w:left="709" w:right="709"/>
        <w:jc w:val="both"/>
        <w:rPr>
          <w:rFonts w:ascii="Century Gothic" w:eastAsia="Calibri" w:hAnsi="Century Gothic" w:cs="Arial"/>
          <w:color w:val="000000" w:themeColor="text1"/>
          <w:sz w:val="21"/>
          <w:szCs w:val="21"/>
          <w:lang w:val="es-ES_tradnl"/>
        </w:rPr>
      </w:pPr>
      <w:r w:rsidRPr="004A785B">
        <w:rPr>
          <w:rFonts w:ascii="Century Gothic" w:eastAsia="Calibri" w:hAnsi="Century Gothic" w:cs="Arial"/>
          <w:color w:val="000000" w:themeColor="text1"/>
          <w:sz w:val="21"/>
          <w:szCs w:val="21"/>
          <w:lang w:val="es-ES_tradnl"/>
        </w:rPr>
        <w:t>Usted pregunta “[…] si una persona natural o jurídica puede ceder un contrato a un consorcio o una unión temporal y si la respuesta es afirmativa; se consulta cual es la forma en que debe crearse la U.T o Consorcio en el SECOP II y en la TVEC que permita la cesión del contrato”.</w:t>
      </w:r>
    </w:p>
    <w:p w14:paraId="1EF3631B" w14:textId="77777777" w:rsidR="00751EC1" w:rsidRDefault="00751EC1" w:rsidP="00751EC1">
      <w:pPr>
        <w:spacing w:after="0" w:line="276" w:lineRule="auto"/>
        <w:jc w:val="both"/>
        <w:rPr>
          <w:rFonts w:ascii="Century Gothic" w:eastAsia="Calibri" w:hAnsi="Century Gothic" w:cs="Arial"/>
          <w:color w:val="000000" w:themeColor="text1"/>
          <w:lang w:val="es-ES_tradnl"/>
        </w:rPr>
      </w:pPr>
    </w:p>
    <w:p w14:paraId="7A2DB9A7" w14:textId="77777777" w:rsidR="00751EC1" w:rsidRDefault="00751EC1" w:rsidP="00751EC1">
      <w:pPr>
        <w:spacing w:after="120" w:line="276" w:lineRule="auto"/>
        <w:jc w:val="both"/>
        <w:rPr>
          <w:rFonts w:ascii="Century Gothic" w:hAnsi="Century Gothic" w:cs="Arial"/>
          <w:color w:val="000000" w:themeColor="text1"/>
        </w:rPr>
      </w:pPr>
      <w:r>
        <w:rPr>
          <w:rFonts w:ascii="Century Gothic" w:eastAsia="Calibri" w:hAnsi="Century Gothic" w:cs="Arial"/>
          <w:color w:val="000000" w:themeColor="text1"/>
        </w:rPr>
        <w:t>Conforme a la interpretación general de las normas del sistema de compras públicas</w:t>
      </w:r>
      <w:r>
        <w:rPr>
          <w:rFonts w:ascii="Century Gothic" w:eastAsia="Calibri" w:hAnsi="Century Gothic" w:cs="Arial"/>
          <w:bCs/>
          <w:color w:val="000000" w:themeColor="text1"/>
          <w:lang w:val="es-ES"/>
        </w:rPr>
        <w:t>, es necesario tener en cuenta que</w:t>
      </w:r>
      <w:r w:rsidRPr="00003BC7">
        <w:rPr>
          <w:rFonts w:ascii="Century Gothic" w:eastAsia="Calibri" w:hAnsi="Century Gothic" w:cs="Arial"/>
          <w:bCs/>
          <w:color w:val="000000" w:themeColor="text1"/>
          <w:lang w:val="es-ES"/>
        </w:rPr>
        <w:t xml:space="preserve"> el consorcio o la unión temporal se da “</w:t>
      </w:r>
      <w:r>
        <w:rPr>
          <w:rFonts w:ascii="Century Gothic" w:eastAsia="Calibri" w:hAnsi="Century Gothic" w:cs="Arial"/>
          <w:bCs/>
          <w:color w:val="000000" w:themeColor="text1"/>
          <w:lang w:val="es-ES"/>
        </w:rPr>
        <w:t>C</w:t>
      </w:r>
      <w:r w:rsidRPr="00003BC7">
        <w:rPr>
          <w:rFonts w:ascii="Century Gothic" w:eastAsia="Calibri" w:hAnsi="Century Gothic" w:cs="Arial"/>
          <w:bCs/>
          <w:color w:val="000000" w:themeColor="text1"/>
          <w:lang w:val="es-ES"/>
        </w:rPr>
        <w:t>uando dos o más personas en forma conjunta presentan una misma propuesta para la adjudicación, celebración y ejecución de un contrato […]”.</w:t>
      </w:r>
      <w:r w:rsidRPr="00003BC7">
        <w:rPr>
          <w:rFonts w:ascii="Century Gothic" w:hAnsi="Century Gothic" w:cs="Arial"/>
          <w:color w:val="000000" w:themeColor="text1"/>
        </w:rPr>
        <w:t xml:space="preserve"> </w:t>
      </w:r>
      <w:r>
        <w:rPr>
          <w:rFonts w:ascii="Century Gothic" w:hAnsi="Century Gothic" w:cs="Arial"/>
          <w:color w:val="000000" w:themeColor="text1"/>
        </w:rPr>
        <w:t xml:space="preserve">Desde esta perspectiva, su capacidad para participar en la adjudicación, celebración y ejecución de los contratos estatales depende de que los integrantes de la estructura plural adopten la decisión conjunta de presentar una misma propuesta al proceso de selección. Como existe una relación de medio – fin, sin la entrega de la oferta no surge la habilitación legal para todo lo demás. </w:t>
      </w:r>
    </w:p>
    <w:p w14:paraId="47383A5F" w14:textId="77777777" w:rsidR="00751EC1" w:rsidRDefault="00751EC1" w:rsidP="00751EC1">
      <w:pPr>
        <w:spacing w:after="120" w:line="276" w:lineRule="auto"/>
        <w:jc w:val="both"/>
        <w:rPr>
          <w:rFonts w:ascii="Century Gothic" w:hAnsi="Century Gothic" w:cs="Arial"/>
          <w:color w:val="000000" w:themeColor="text1"/>
        </w:rPr>
      </w:pPr>
      <w:r>
        <w:rPr>
          <w:rFonts w:ascii="Century Gothic" w:hAnsi="Century Gothic" w:cs="Arial"/>
          <w:color w:val="000000" w:themeColor="text1"/>
        </w:rPr>
        <w:tab/>
        <w:t xml:space="preserve">La capacidad jurídica de los proponentes plurales se limita al campo de la contratación estatal de las entidades sometidas al EGCAP, es decir, a las relaciones en consorcios y las uniones temporales con las entidades estatales del artículo 2 de la Ley 80 de 1993. Esta precisión es importante, porque la habilitación de los numerales 6 y 7 del artículo 7 de la Ley 80 de 1993 no les otorgan capacidad respecto a las relaciones entre particulares, como las que surgen entre el cedente y el cesionario del contrato. Como este último debe ser un tercero, es indispensable la personalidad jurídica. </w:t>
      </w:r>
    </w:p>
    <w:p w14:paraId="53242E58" w14:textId="77777777" w:rsidR="00751EC1" w:rsidRDefault="00751EC1" w:rsidP="00751EC1">
      <w:pPr>
        <w:spacing w:after="0" w:line="276" w:lineRule="auto"/>
        <w:jc w:val="both"/>
        <w:rPr>
          <w:rFonts w:ascii="Century Gothic" w:hAnsi="Century Gothic" w:cs="Arial"/>
          <w:color w:val="000000" w:themeColor="text1"/>
        </w:rPr>
      </w:pPr>
      <w:r>
        <w:rPr>
          <w:rFonts w:ascii="Century Gothic" w:hAnsi="Century Gothic" w:cs="Arial"/>
          <w:color w:val="000000" w:themeColor="text1"/>
        </w:rPr>
        <w:tab/>
        <w:t xml:space="preserve">De acuerdo con el inciso primero del artículo 73 del Código Civil las personas son naturales o jurídicas. Conforme al artículo 74 </w:t>
      </w:r>
      <w:r w:rsidRPr="009967DD">
        <w:rPr>
          <w:rFonts w:ascii="Century Gothic" w:hAnsi="Century Gothic" w:cs="Arial"/>
          <w:i/>
          <w:iCs/>
          <w:color w:val="000000" w:themeColor="text1"/>
        </w:rPr>
        <w:t>ibidem</w:t>
      </w:r>
      <w:r>
        <w:rPr>
          <w:rFonts w:ascii="Century Gothic" w:hAnsi="Century Gothic" w:cs="Arial"/>
          <w:color w:val="000000" w:themeColor="text1"/>
        </w:rPr>
        <w:t xml:space="preserve">, las primeras corresponden a “[…] </w:t>
      </w:r>
      <w:r w:rsidRPr="009967DD">
        <w:rPr>
          <w:rFonts w:ascii="Century Gothic" w:hAnsi="Century Gothic" w:cs="Arial"/>
          <w:color w:val="000000" w:themeColor="text1"/>
        </w:rPr>
        <w:t>todos los individuos de la especie humana, cualquiera que sea su edad, sexo, estirpe o condición</w:t>
      </w:r>
      <w:r>
        <w:rPr>
          <w:rFonts w:ascii="Century Gothic" w:hAnsi="Century Gothic" w:cs="Arial"/>
          <w:color w:val="000000" w:themeColor="text1"/>
        </w:rPr>
        <w:t>”</w:t>
      </w:r>
      <w:r w:rsidRPr="009967DD">
        <w:rPr>
          <w:rFonts w:ascii="Century Gothic" w:hAnsi="Century Gothic" w:cs="Arial"/>
          <w:color w:val="000000" w:themeColor="text1"/>
        </w:rPr>
        <w:t>.</w:t>
      </w:r>
      <w:r>
        <w:rPr>
          <w:rFonts w:ascii="Century Gothic" w:hAnsi="Century Gothic" w:cs="Arial"/>
          <w:color w:val="000000" w:themeColor="text1"/>
        </w:rPr>
        <w:t xml:space="preserve"> En contraste, con fundamento en el inciso primero artículo 633 </w:t>
      </w:r>
      <w:r w:rsidRPr="009967DD">
        <w:rPr>
          <w:rFonts w:ascii="Century Gothic" w:hAnsi="Century Gothic" w:cs="Arial"/>
          <w:i/>
          <w:iCs/>
          <w:color w:val="000000" w:themeColor="text1"/>
        </w:rPr>
        <w:t>ibidem</w:t>
      </w:r>
      <w:r>
        <w:rPr>
          <w:rFonts w:ascii="Century Gothic" w:hAnsi="Century Gothic" w:cs="Arial"/>
          <w:color w:val="000000" w:themeColor="text1"/>
        </w:rPr>
        <w:t xml:space="preserve">, las segundas son “[…] </w:t>
      </w:r>
      <w:r w:rsidRPr="009967DD">
        <w:rPr>
          <w:rFonts w:ascii="Century Gothic" w:hAnsi="Century Gothic" w:cs="Arial"/>
          <w:color w:val="000000" w:themeColor="text1"/>
        </w:rPr>
        <w:t xml:space="preserve">una persona ficticia, capaz de ejercer derechos y contraer obligaciones civiles, y de ser representada judicial y </w:t>
      </w:r>
      <w:r w:rsidRPr="009967DD">
        <w:rPr>
          <w:rFonts w:ascii="Century Gothic" w:hAnsi="Century Gothic" w:cs="Arial"/>
          <w:color w:val="000000" w:themeColor="text1"/>
        </w:rPr>
        <w:lastRenderedPageBreak/>
        <w:t>extrajudicialmente</w:t>
      </w:r>
      <w:r>
        <w:rPr>
          <w:rFonts w:ascii="Century Gothic" w:hAnsi="Century Gothic" w:cs="Arial"/>
          <w:color w:val="000000" w:themeColor="text1"/>
        </w:rPr>
        <w:t>”</w:t>
      </w:r>
      <w:r w:rsidRPr="009967DD">
        <w:rPr>
          <w:rFonts w:ascii="Century Gothic" w:hAnsi="Century Gothic" w:cs="Arial"/>
          <w:color w:val="000000" w:themeColor="text1"/>
        </w:rPr>
        <w:t>.</w:t>
      </w:r>
      <w:r>
        <w:rPr>
          <w:rFonts w:ascii="Century Gothic" w:hAnsi="Century Gothic" w:cs="Arial"/>
          <w:color w:val="000000" w:themeColor="text1"/>
        </w:rPr>
        <w:t xml:space="preserve"> Como se explicó en el numeral 2.2 del presente oficio, los consorcios y las uniones temporales carecen de esta naturaleza. Asimismo, </w:t>
      </w:r>
      <w:r w:rsidRPr="00D25D7A">
        <w:rPr>
          <w:rFonts w:ascii="Century Gothic" w:hAnsi="Century Gothic" w:cs="Arial"/>
          <w:color w:val="000000" w:themeColor="text1"/>
        </w:rPr>
        <w:t>los numerales 6 y 7 del artículo 7</w:t>
      </w:r>
      <w:r>
        <w:rPr>
          <w:rFonts w:ascii="Century Gothic" w:hAnsi="Century Gothic" w:cs="Arial"/>
          <w:color w:val="000000" w:themeColor="text1"/>
        </w:rPr>
        <w:t xml:space="preserve"> de la Ley 80 de 1993 tampoco otorgan capacidad a los proponentes plurales para ser cesionarios; por lo que al no existir una habilitación legal para que los contratistas cedan su posición contractual a los consorcios o uniones temporales, el SECOP II y la TVEC se limitan a la presentación conjunta de las propuestas para los fines dispuesto en el EGCAP. Esto excluye su creación para los efectos mencionados en la consulta.</w:t>
      </w:r>
    </w:p>
    <w:p w14:paraId="2E12CC06" w14:textId="77777777" w:rsidR="00751EC1" w:rsidRDefault="00751EC1" w:rsidP="00751EC1">
      <w:pPr>
        <w:spacing w:after="120" w:line="276" w:lineRule="auto"/>
        <w:jc w:val="both"/>
        <w:rPr>
          <w:rFonts w:ascii="Century Gothic" w:eastAsia="Calibri" w:hAnsi="Century Gothic" w:cs="Arial"/>
          <w:lang w:val="es-ES_tradnl"/>
        </w:rPr>
      </w:pPr>
    </w:p>
    <w:p w14:paraId="2229C4CB" w14:textId="77777777" w:rsidR="00751EC1" w:rsidRPr="000B379D" w:rsidRDefault="00751EC1" w:rsidP="00751EC1">
      <w:pPr>
        <w:spacing w:after="0" w:line="276" w:lineRule="auto"/>
        <w:jc w:val="both"/>
        <w:rPr>
          <w:rFonts w:ascii="Century Gothic" w:hAnsi="Century Gothic" w:cs="Arial"/>
          <w:color w:val="000000" w:themeColor="text1"/>
          <w:lang w:val="es-ES_tradnl" w:bidi="es-ES"/>
        </w:rPr>
      </w:pPr>
      <w:r w:rsidRPr="000B379D">
        <w:rPr>
          <w:rFonts w:ascii="Century Gothic" w:eastAsia="Calibri" w:hAnsi="Century Gothic" w:cs="Arial"/>
          <w:lang w:val="es-ES_tradnl"/>
        </w:rPr>
        <w:t>E</w:t>
      </w:r>
      <w:r w:rsidRPr="000B379D">
        <w:rPr>
          <w:rFonts w:ascii="Century Gothic" w:hAnsi="Century Gothic" w:cs="Arial"/>
          <w:color w:val="000000" w:themeColor="text1"/>
          <w:lang w:val="es-ES_tradnl"/>
        </w:rPr>
        <w:t>ste concepto tiene el alcance previsto en el artículo 28 del Código de Procedimiento Administrativo y de lo Contencioso Administrativo.</w:t>
      </w:r>
      <w:r>
        <w:rPr>
          <w:rFonts w:ascii="Century Gothic" w:hAnsi="Century Gothic" w:cs="Arial"/>
          <w:color w:val="000000" w:themeColor="text1"/>
          <w:lang w:val="es-ES_tradnl"/>
        </w:rPr>
        <w:t xml:space="preserve"> </w:t>
      </w:r>
    </w:p>
    <w:p w14:paraId="376F6595" w14:textId="77777777" w:rsidR="00751EC1" w:rsidRPr="000B379D" w:rsidRDefault="00751EC1" w:rsidP="00751EC1">
      <w:pPr>
        <w:widowControl w:val="0"/>
        <w:autoSpaceDE w:val="0"/>
        <w:autoSpaceDN w:val="0"/>
        <w:spacing w:after="0" w:line="276" w:lineRule="auto"/>
        <w:jc w:val="both"/>
        <w:rPr>
          <w:rFonts w:ascii="Century Gothic" w:hAnsi="Century Gothic" w:cs="Arial"/>
          <w:color w:val="000000" w:themeColor="text1"/>
          <w:lang w:val="es-ES_tradnl" w:bidi="es-ES"/>
        </w:rPr>
      </w:pPr>
    </w:p>
    <w:p w14:paraId="4798C3B2" w14:textId="77777777" w:rsidR="00751EC1" w:rsidRPr="000B379D" w:rsidRDefault="00751EC1" w:rsidP="00751EC1">
      <w:pPr>
        <w:tabs>
          <w:tab w:val="left" w:pos="426"/>
        </w:tabs>
        <w:spacing w:line="276" w:lineRule="auto"/>
        <w:jc w:val="both"/>
        <w:rPr>
          <w:rFonts w:ascii="Century Gothic" w:eastAsia="Times New Roman" w:hAnsi="Century Gothic" w:cs="Arial"/>
          <w:color w:val="000000" w:themeColor="text1"/>
        </w:rPr>
      </w:pPr>
      <w:r w:rsidRPr="000B379D">
        <w:rPr>
          <w:rFonts w:ascii="Century Gothic" w:eastAsia="Times New Roman" w:hAnsi="Century Gothic" w:cs="Arial"/>
          <w:color w:val="000000" w:themeColor="text1"/>
        </w:rPr>
        <w:t>Atentamente,</w:t>
      </w:r>
    </w:p>
    <w:p w14:paraId="4A9850D7" w14:textId="574DC9D7" w:rsidR="00751EC1" w:rsidRPr="000B379D" w:rsidRDefault="00163833" w:rsidP="00751EC1">
      <w:pPr>
        <w:jc w:val="center"/>
        <w:rPr>
          <w:rFonts w:ascii="Century Gothic" w:eastAsia="Times New Roman" w:hAnsi="Century Gothic" w:cs="Arial"/>
          <w:lang w:eastAsia="es-CO"/>
        </w:rPr>
      </w:pPr>
      <w:r>
        <w:rPr>
          <w:noProof/>
        </w:rPr>
        <w:drawing>
          <wp:inline distT="0" distB="0" distL="0" distR="0" wp14:anchorId="5E4511C6" wp14:editId="1AC7BC83">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51EC1" w:rsidRPr="000B379D" w14:paraId="7CC95EA7" w14:textId="77777777" w:rsidTr="00FB0065">
        <w:trPr>
          <w:trHeight w:val="409"/>
        </w:trPr>
        <w:tc>
          <w:tcPr>
            <w:tcW w:w="817" w:type="dxa"/>
            <w:tcBorders>
              <w:top w:val="nil"/>
              <w:left w:val="nil"/>
              <w:bottom w:val="nil"/>
              <w:right w:val="nil"/>
            </w:tcBorders>
            <w:vAlign w:val="center"/>
            <w:hideMark/>
          </w:tcPr>
          <w:p w14:paraId="50622564" w14:textId="77777777" w:rsidR="00751EC1" w:rsidRPr="000B379D" w:rsidRDefault="00751EC1" w:rsidP="00FB0065">
            <w:pPr>
              <w:spacing w:after="0" w:line="240" w:lineRule="auto"/>
              <w:jc w:val="both"/>
              <w:rPr>
                <w:rFonts w:ascii="Century Gothic" w:hAnsi="Century Gothic" w:cs="Arial"/>
                <w:sz w:val="16"/>
                <w:szCs w:val="16"/>
              </w:rPr>
            </w:pPr>
            <w:r w:rsidRPr="000B379D">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0414CA3" w14:textId="77777777" w:rsidR="00751EC1" w:rsidRPr="000B379D" w:rsidRDefault="00751EC1" w:rsidP="00FB0065">
            <w:pPr>
              <w:spacing w:after="0" w:line="240" w:lineRule="auto"/>
              <w:jc w:val="both"/>
              <w:rPr>
                <w:rFonts w:ascii="Century Gothic" w:hAnsi="Century Gothic" w:cs="Arial"/>
                <w:sz w:val="16"/>
                <w:szCs w:val="16"/>
              </w:rPr>
            </w:pPr>
            <w:r w:rsidRPr="000B379D">
              <w:rPr>
                <w:rFonts w:ascii="Century Gothic" w:hAnsi="Century Gothic" w:cs="Arial"/>
                <w:sz w:val="16"/>
                <w:szCs w:val="16"/>
              </w:rPr>
              <w:t>Juan David Montoya Penagos</w:t>
            </w:r>
          </w:p>
          <w:p w14:paraId="4425E4DA" w14:textId="77777777" w:rsidR="00751EC1" w:rsidRPr="000B379D" w:rsidRDefault="00751EC1" w:rsidP="00FB0065">
            <w:pPr>
              <w:spacing w:after="0" w:line="240" w:lineRule="auto"/>
              <w:jc w:val="both"/>
              <w:rPr>
                <w:rFonts w:ascii="Century Gothic" w:hAnsi="Century Gothic" w:cs="Arial"/>
                <w:sz w:val="16"/>
                <w:szCs w:val="16"/>
              </w:rPr>
            </w:pPr>
            <w:r w:rsidRPr="000B379D">
              <w:rPr>
                <w:rFonts w:ascii="Century Gothic" w:hAnsi="Century Gothic" w:cs="Arial"/>
                <w:sz w:val="16"/>
                <w:szCs w:val="16"/>
              </w:rPr>
              <w:t>Contratista de la Subdirección de Gestión Contractual</w:t>
            </w:r>
          </w:p>
        </w:tc>
      </w:tr>
      <w:tr w:rsidR="00751EC1" w:rsidRPr="000B379D" w14:paraId="608E209C" w14:textId="77777777" w:rsidTr="00FB0065">
        <w:trPr>
          <w:trHeight w:val="409"/>
        </w:trPr>
        <w:tc>
          <w:tcPr>
            <w:tcW w:w="817" w:type="dxa"/>
            <w:tcBorders>
              <w:top w:val="nil"/>
              <w:left w:val="nil"/>
              <w:right w:val="nil"/>
            </w:tcBorders>
            <w:vAlign w:val="center"/>
          </w:tcPr>
          <w:p w14:paraId="5441163E" w14:textId="77777777" w:rsidR="00751EC1" w:rsidRPr="000B379D" w:rsidRDefault="00751EC1" w:rsidP="00FB0065">
            <w:pPr>
              <w:jc w:val="both"/>
              <w:rPr>
                <w:rFonts w:ascii="Century Gothic" w:hAnsi="Century Gothic" w:cs="Arial"/>
                <w:sz w:val="16"/>
                <w:szCs w:val="16"/>
              </w:rPr>
            </w:pPr>
            <w:r w:rsidRPr="000B379D">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FFF1FD0" w14:textId="77777777" w:rsidR="00751EC1" w:rsidRPr="002C25F7" w:rsidRDefault="00751EC1" w:rsidP="00FB0065">
            <w:pPr>
              <w:spacing w:after="0" w:line="240" w:lineRule="auto"/>
              <w:jc w:val="both"/>
              <w:rPr>
                <w:rFonts w:ascii="Century Gothic" w:hAnsi="Century Gothic" w:cs="Arial"/>
                <w:sz w:val="16"/>
                <w:szCs w:val="16"/>
              </w:rPr>
            </w:pPr>
            <w:r w:rsidRPr="002C25F7">
              <w:rPr>
                <w:rFonts w:ascii="Century Gothic" w:hAnsi="Century Gothic" w:cs="Arial"/>
                <w:sz w:val="16"/>
                <w:szCs w:val="16"/>
              </w:rPr>
              <w:t>Alejandro Sarmiento Cantillo</w:t>
            </w:r>
          </w:p>
          <w:p w14:paraId="59745FDA" w14:textId="77777777" w:rsidR="00751EC1" w:rsidRPr="000B379D" w:rsidRDefault="00751EC1" w:rsidP="00FB0065">
            <w:pPr>
              <w:spacing w:after="0" w:line="240" w:lineRule="auto"/>
              <w:jc w:val="both"/>
              <w:rPr>
                <w:rFonts w:ascii="Century Gothic" w:hAnsi="Century Gothic" w:cs="Arial"/>
                <w:sz w:val="16"/>
                <w:szCs w:val="16"/>
              </w:rPr>
            </w:pPr>
            <w:r w:rsidRPr="002C25F7">
              <w:rPr>
                <w:rFonts w:ascii="Century Gothic" w:hAnsi="Century Gothic" w:cs="Arial"/>
                <w:sz w:val="16"/>
                <w:szCs w:val="16"/>
              </w:rPr>
              <w:t xml:space="preserve">Gestor T1 </w:t>
            </w:r>
            <w:r w:rsidRPr="002C25F7">
              <w:rPr>
                <w:rFonts w:ascii="Arial" w:hAnsi="Arial" w:cs="Arial"/>
                <w:sz w:val="16"/>
                <w:szCs w:val="16"/>
              </w:rPr>
              <w:t>‒</w:t>
            </w:r>
            <w:r w:rsidRPr="002C25F7">
              <w:rPr>
                <w:rFonts w:ascii="Century Gothic" w:hAnsi="Century Gothic" w:cs="Arial"/>
                <w:sz w:val="16"/>
                <w:szCs w:val="16"/>
              </w:rPr>
              <w:t xml:space="preserve"> 15 de la Subdirecci</w:t>
            </w:r>
            <w:r w:rsidRPr="002C25F7">
              <w:rPr>
                <w:rFonts w:ascii="Century Gothic" w:hAnsi="Century Gothic" w:cs="Century Gothic"/>
                <w:sz w:val="16"/>
                <w:szCs w:val="16"/>
              </w:rPr>
              <w:t>ó</w:t>
            </w:r>
            <w:r w:rsidRPr="002C25F7">
              <w:rPr>
                <w:rFonts w:ascii="Century Gothic" w:hAnsi="Century Gothic" w:cs="Arial"/>
                <w:sz w:val="16"/>
                <w:szCs w:val="16"/>
              </w:rPr>
              <w:t>n de Gesti</w:t>
            </w:r>
            <w:r w:rsidRPr="002C25F7">
              <w:rPr>
                <w:rFonts w:ascii="Century Gothic" w:hAnsi="Century Gothic" w:cs="Century Gothic"/>
                <w:sz w:val="16"/>
                <w:szCs w:val="16"/>
              </w:rPr>
              <w:t>ó</w:t>
            </w:r>
            <w:r w:rsidRPr="002C25F7">
              <w:rPr>
                <w:rFonts w:ascii="Century Gothic" w:hAnsi="Century Gothic" w:cs="Arial"/>
                <w:sz w:val="16"/>
                <w:szCs w:val="16"/>
              </w:rPr>
              <w:t>n Contractual</w:t>
            </w:r>
          </w:p>
        </w:tc>
      </w:tr>
      <w:tr w:rsidR="00751EC1" w:rsidRPr="000B379D" w14:paraId="75386E13" w14:textId="77777777" w:rsidTr="00FB0065">
        <w:trPr>
          <w:trHeight w:val="389"/>
        </w:trPr>
        <w:tc>
          <w:tcPr>
            <w:tcW w:w="817" w:type="dxa"/>
            <w:tcBorders>
              <w:top w:val="nil"/>
              <w:left w:val="nil"/>
              <w:bottom w:val="nil"/>
              <w:right w:val="nil"/>
            </w:tcBorders>
            <w:vAlign w:val="center"/>
            <w:hideMark/>
          </w:tcPr>
          <w:p w14:paraId="4785E886" w14:textId="77777777" w:rsidR="00751EC1" w:rsidRPr="000B379D" w:rsidRDefault="00751EC1" w:rsidP="00FB0065">
            <w:pPr>
              <w:spacing w:after="0" w:line="240" w:lineRule="auto"/>
              <w:jc w:val="both"/>
              <w:rPr>
                <w:rFonts w:ascii="Century Gothic" w:hAnsi="Century Gothic" w:cs="Arial"/>
                <w:sz w:val="16"/>
                <w:szCs w:val="16"/>
              </w:rPr>
            </w:pPr>
            <w:r w:rsidRPr="000B379D">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7362D13" w14:textId="77777777" w:rsidR="00751EC1" w:rsidRPr="000B379D" w:rsidRDefault="00751EC1" w:rsidP="00FB0065">
            <w:pPr>
              <w:spacing w:after="0" w:line="240" w:lineRule="auto"/>
              <w:jc w:val="both"/>
              <w:rPr>
                <w:rFonts w:ascii="Century Gothic" w:hAnsi="Century Gothic" w:cs="Arial"/>
                <w:sz w:val="16"/>
                <w:szCs w:val="16"/>
              </w:rPr>
            </w:pPr>
            <w:r w:rsidRPr="000B379D">
              <w:rPr>
                <w:rFonts w:ascii="Century Gothic" w:hAnsi="Century Gothic" w:cs="Arial"/>
                <w:sz w:val="16"/>
                <w:szCs w:val="16"/>
              </w:rPr>
              <w:t xml:space="preserve">Nohelia del Carmen </w:t>
            </w:r>
            <w:proofErr w:type="spellStart"/>
            <w:r w:rsidRPr="000B379D">
              <w:rPr>
                <w:rFonts w:ascii="Century Gothic" w:hAnsi="Century Gothic" w:cs="Arial"/>
                <w:sz w:val="16"/>
                <w:szCs w:val="16"/>
              </w:rPr>
              <w:t>Zawady</w:t>
            </w:r>
            <w:proofErr w:type="spellEnd"/>
            <w:r w:rsidRPr="000B379D">
              <w:rPr>
                <w:rFonts w:ascii="Century Gothic" w:hAnsi="Century Gothic" w:cs="Arial"/>
                <w:sz w:val="16"/>
                <w:szCs w:val="16"/>
              </w:rPr>
              <w:t xml:space="preserve"> Palacio</w:t>
            </w:r>
          </w:p>
          <w:p w14:paraId="746C2E48" w14:textId="77777777" w:rsidR="00751EC1" w:rsidRPr="000B379D" w:rsidRDefault="00751EC1" w:rsidP="00FB0065">
            <w:pPr>
              <w:spacing w:after="0" w:line="240" w:lineRule="auto"/>
              <w:jc w:val="both"/>
              <w:rPr>
                <w:rFonts w:ascii="Century Gothic" w:hAnsi="Century Gothic" w:cs="Arial"/>
                <w:sz w:val="16"/>
                <w:szCs w:val="16"/>
              </w:rPr>
            </w:pPr>
            <w:r w:rsidRPr="000B379D">
              <w:rPr>
                <w:rFonts w:ascii="Century Gothic" w:hAnsi="Century Gothic" w:cs="Arial"/>
                <w:sz w:val="16"/>
                <w:szCs w:val="16"/>
              </w:rPr>
              <w:t>Subdirectora de Gestión Contractual ANCP – CCE</w:t>
            </w:r>
          </w:p>
        </w:tc>
      </w:tr>
    </w:tbl>
    <w:p w14:paraId="10E3BABA" w14:textId="77777777" w:rsidR="00751EC1" w:rsidRPr="002123AC" w:rsidRDefault="00751EC1" w:rsidP="00751EC1"/>
    <w:p w14:paraId="0B7F33BC" w14:textId="77777777" w:rsidR="00751EC1" w:rsidRPr="00EC7D53" w:rsidRDefault="00751EC1" w:rsidP="00751EC1"/>
    <w:p w14:paraId="0F293BF4" w14:textId="4E630EB9" w:rsidR="00127233" w:rsidRPr="003C5D6C" w:rsidRDefault="00E245AB" w:rsidP="003C5D6C">
      <w:r w:rsidRPr="003C5D6C">
        <w:t xml:space="preserve"> </w:t>
      </w:r>
    </w:p>
    <w:sectPr w:rsidR="00127233" w:rsidRPr="003C5D6C" w:rsidSect="004368BC">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C59AE" w14:textId="77777777" w:rsidR="00E15699" w:rsidRDefault="00E15699" w:rsidP="004A1847">
      <w:pPr>
        <w:spacing w:after="0" w:line="240" w:lineRule="auto"/>
      </w:pPr>
      <w:r>
        <w:separator/>
      </w:r>
    </w:p>
  </w:endnote>
  <w:endnote w:type="continuationSeparator" w:id="0">
    <w:p w14:paraId="028CB54B" w14:textId="77777777" w:rsidR="00E15699" w:rsidRDefault="00E1569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5A814" w14:textId="77777777" w:rsidR="00E15699" w:rsidRDefault="00E15699" w:rsidP="004A1847">
      <w:pPr>
        <w:spacing w:after="0" w:line="240" w:lineRule="auto"/>
      </w:pPr>
      <w:r>
        <w:separator/>
      </w:r>
    </w:p>
  </w:footnote>
  <w:footnote w:type="continuationSeparator" w:id="0">
    <w:p w14:paraId="7373B15A" w14:textId="77777777" w:rsidR="00E15699" w:rsidRDefault="00E15699" w:rsidP="004A1847">
      <w:pPr>
        <w:spacing w:after="0" w:line="240" w:lineRule="auto"/>
      </w:pPr>
      <w:r>
        <w:continuationSeparator/>
      </w:r>
    </w:p>
  </w:footnote>
  <w:footnote w:id="1">
    <w:p w14:paraId="03EBBC95" w14:textId="77777777" w:rsidR="00751EC1" w:rsidRPr="00367101" w:rsidRDefault="00751EC1" w:rsidP="00751EC1">
      <w:pPr>
        <w:pStyle w:val="Textonotapie"/>
        <w:ind w:firstLine="708"/>
        <w:jc w:val="both"/>
        <w:rPr>
          <w:rFonts w:ascii="Century Gothic" w:hAnsi="Century Gothic" w:cs="Arial"/>
          <w:sz w:val="16"/>
          <w:szCs w:val="16"/>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367101">
          <w:rPr>
            <w:rStyle w:val="Hipervnculo"/>
            <w:rFonts w:ascii="Century Gothic" w:hAnsi="Century Gothic" w:cs="Arial"/>
            <w:sz w:val="16"/>
            <w:szCs w:val="16"/>
          </w:rPr>
          <w:t>https://relatoria.colombiacompra.gov.co/busqueda/conceptos</w:t>
        </w:r>
      </w:hyperlink>
      <w:r w:rsidRPr="00367101">
        <w:rPr>
          <w:rStyle w:val="Hipervnculo"/>
          <w:rFonts w:ascii="Century Gothic" w:hAnsi="Century Gothic" w:cs="Arial"/>
          <w:sz w:val="16"/>
          <w:szCs w:val="16"/>
        </w:rPr>
        <w:t xml:space="preserve">. </w:t>
      </w:r>
      <w:r w:rsidRPr="00367101">
        <w:rPr>
          <w:rFonts w:ascii="Century Gothic" w:hAnsi="Century Gothic" w:cs="Arial"/>
          <w:sz w:val="16"/>
          <w:szCs w:val="16"/>
          <w:shd w:val="clear" w:color="auto" w:fill="E6E6E6"/>
        </w:rPr>
        <w:t xml:space="preserve"> </w:t>
      </w:r>
    </w:p>
  </w:footnote>
  <w:footnote w:id="2">
    <w:p w14:paraId="05AE45D2" w14:textId="77777777" w:rsidR="00751EC1" w:rsidRPr="00367101" w:rsidRDefault="00751EC1" w:rsidP="00751EC1">
      <w:pPr>
        <w:pStyle w:val="Textonotapie"/>
        <w:ind w:firstLine="708"/>
        <w:jc w:val="both"/>
        <w:rPr>
          <w:rFonts w:ascii="Century Gothic" w:hAnsi="Century Gothic" w:cs="Arial"/>
          <w:sz w:val="16"/>
          <w:szCs w:val="16"/>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Al respecto, el artículo 887 del Código de Comercio dispone lo siguiente: “En los contratos mercantiles de ejecución periódica o sucesiva cada una de las partes podrá hacerse sustituir por un tercero, en la totalidad o en parte de las relaciones derivadas del contrato, sin necesidad de aceptación expresa del contratante cedido, si por la ley o por estipulación de las mismas partes no se ha prohibido o limitado dicha sustitución.</w:t>
      </w:r>
    </w:p>
    <w:p w14:paraId="09B94AC8" w14:textId="77777777" w:rsidR="00751EC1" w:rsidRPr="00367101" w:rsidRDefault="00751EC1" w:rsidP="00751EC1">
      <w:pPr>
        <w:pStyle w:val="Textonotapie"/>
        <w:ind w:firstLine="708"/>
        <w:jc w:val="both"/>
        <w:rPr>
          <w:rFonts w:ascii="Century Gothic" w:hAnsi="Century Gothic" w:cs="Arial"/>
          <w:sz w:val="16"/>
          <w:szCs w:val="16"/>
        </w:rPr>
      </w:pPr>
      <w:r w:rsidRPr="00367101">
        <w:rPr>
          <w:rFonts w:ascii="Century Gothic" w:hAnsi="Century Gothic" w:cs="Arial"/>
          <w:sz w:val="16"/>
          <w:szCs w:val="16"/>
        </w:rPr>
        <w:t xml:space="preserve">La misma sustitución podrá hacerse en los contratos mercantiles de ejecución instantánea que aún no hayan sido cumplidos en todo o en parte, y en los celebrados </w:t>
      </w:r>
      <w:proofErr w:type="spellStart"/>
      <w:r w:rsidRPr="00367101">
        <w:rPr>
          <w:rFonts w:ascii="Century Gothic" w:hAnsi="Century Gothic" w:cs="Arial"/>
          <w:i/>
          <w:iCs/>
          <w:sz w:val="16"/>
          <w:szCs w:val="16"/>
        </w:rPr>
        <w:t>intuitu</w:t>
      </w:r>
      <w:proofErr w:type="spellEnd"/>
      <w:r w:rsidRPr="00367101">
        <w:rPr>
          <w:rFonts w:ascii="Century Gothic" w:hAnsi="Century Gothic" w:cs="Arial"/>
          <w:i/>
          <w:iCs/>
          <w:sz w:val="16"/>
          <w:szCs w:val="16"/>
        </w:rPr>
        <w:t xml:space="preserve"> </w:t>
      </w:r>
      <w:proofErr w:type="spellStart"/>
      <w:r w:rsidRPr="00367101">
        <w:rPr>
          <w:rFonts w:ascii="Century Gothic" w:hAnsi="Century Gothic" w:cs="Arial"/>
          <w:i/>
          <w:iCs/>
          <w:sz w:val="16"/>
          <w:szCs w:val="16"/>
        </w:rPr>
        <w:t>personae</w:t>
      </w:r>
      <w:proofErr w:type="spellEnd"/>
      <w:r w:rsidRPr="00367101">
        <w:rPr>
          <w:rFonts w:ascii="Century Gothic" w:hAnsi="Century Gothic" w:cs="Arial"/>
          <w:sz w:val="16"/>
          <w:szCs w:val="16"/>
        </w:rPr>
        <w:t>, pero en estos casos será necesaria la aceptación del contratante cedido”.</w:t>
      </w:r>
    </w:p>
    <w:p w14:paraId="247684B1" w14:textId="77777777" w:rsidR="00751EC1" w:rsidRPr="00367101" w:rsidRDefault="00751EC1" w:rsidP="00751EC1">
      <w:pPr>
        <w:pStyle w:val="Textonotapie"/>
        <w:ind w:firstLine="708"/>
        <w:jc w:val="both"/>
        <w:rPr>
          <w:rFonts w:ascii="Century Gothic" w:hAnsi="Century Gothic" w:cs="Arial"/>
          <w:sz w:val="16"/>
          <w:szCs w:val="16"/>
        </w:rPr>
      </w:pPr>
      <w:r w:rsidRPr="00367101">
        <w:rPr>
          <w:rFonts w:ascii="Century Gothic" w:hAnsi="Century Gothic" w:cs="Arial"/>
          <w:sz w:val="16"/>
          <w:szCs w:val="16"/>
        </w:rPr>
        <w:t>En contraste, el artículo 1959 del Código Civil prescribe que “La cesión de un crédito, a cualquier título que se haga, no tendrá efecto entre el cedente y el cesionario sino en virtud de la entrega del título. Pero si el crédito que se cede no consta en documento, la cesión puede hacerse otorgándose uno por el cedente al cesionario, y en este caso la notificación de que trata el artículo 1961 debe hacerse con exhibición de dicho documento”.</w:t>
      </w:r>
    </w:p>
  </w:footnote>
  <w:footnote w:id="3">
    <w:p w14:paraId="71CD5051" w14:textId="77777777" w:rsidR="00751EC1" w:rsidRPr="00367101" w:rsidRDefault="00751EC1" w:rsidP="00751EC1">
      <w:pPr>
        <w:pStyle w:val="Textonotapie"/>
        <w:ind w:firstLine="708"/>
        <w:jc w:val="both"/>
        <w:rPr>
          <w:rFonts w:ascii="Century Gothic" w:hAnsi="Century Gothic" w:cs="Arial"/>
          <w:sz w:val="16"/>
          <w:szCs w:val="16"/>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MESSINEO, Francesco. Doctrina general del contrato. Santiago: </w:t>
      </w:r>
      <w:proofErr w:type="spellStart"/>
      <w:r w:rsidRPr="00367101">
        <w:rPr>
          <w:rFonts w:ascii="Century Gothic" w:hAnsi="Century Gothic" w:cs="Arial"/>
          <w:sz w:val="16"/>
          <w:szCs w:val="16"/>
        </w:rPr>
        <w:t>Olejnik</w:t>
      </w:r>
      <w:proofErr w:type="spellEnd"/>
      <w:r w:rsidRPr="00367101">
        <w:rPr>
          <w:rFonts w:ascii="Century Gothic" w:hAnsi="Century Gothic" w:cs="Arial"/>
          <w:sz w:val="16"/>
          <w:szCs w:val="16"/>
        </w:rPr>
        <w:t>, 2018. p. 633. Énfasis dentro del texto).</w:t>
      </w:r>
    </w:p>
  </w:footnote>
  <w:footnote w:id="4">
    <w:p w14:paraId="6C8F2158" w14:textId="77777777" w:rsidR="00751EC1" w:rsidRPr="00367101" w:rsidRDefault="00751EC1" w:rsidP="00751EC1">
      <w:pPr>
        <w:pStyle w:val="Textonotapie"/>
        <w:ind w:firstLine="709"/>
        <w:jc w:val="both"/>
        <w:rPr>
          <w:rFonts w:ascii="Century Gothic" w:hAnsi="Century Gothic" w:cs="Arial"/>
          <w:sz w:val="16"/>
          <w:szCs w:val="16"/>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ROPPO, </w:t>
      </w:r>
      <w:proofErr w:type="spellStart"/>
      <w:r w:rsidRPr="00367101">
        <w:rPr>
          <w:rFonts w:ascii="Century Gothic" w:hAnsi="Century Gothic" w:cs="Arial"/>
          <w:sz w:val="16"/>
          <w:szCs w:val="16"/>
        </w:rPr>
        <w:t>Vincenzo</w:t>
      </w:r>
      <w:proofErr w:type="spellEnd"/>
      <w:r w:rsidRPr="00367101">
        <w:rPr>
          <w:rFonts w:ascii="Century Gothic" w:hAnsi="Century Gothic" w:cs="Arial"/>
          <w:sz w:val="16"/>
          <w:szCs w:val="16"/>
        </w:rPr>
        <w:t>. El contrato. Lima: Gaceta Jurídica, 2009. p. 547.</w:t>
      </w:r>
    </w:p>
  </w:footnote>
  <w:footnote w:id="5">
    <w:p w14:paraId="49FF18CA" w14:textId="77777777" w:rsidR="00751EC1" w:rsidRPr="00367101" w:rsidRDefault="00751EC1" w:rsidP="00751EC1">
      <w:pPr>
        <w:pStyle w:val="Textonotapie"/>
        <w:ind w:firstLine="709"/>
        <w:jc w:val="both"/>
        <w:rPr>
          <w:rFonts w:ascii="Century Gothic" w:hAnsi="Century Gothic" w:cs="Arial"/>
          <w:sz w:val="16"/>
          <w:szCs w:val="16"/>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w:t>
      </w:r>
      <w:r w:rsidRPr="00367101">
        <w:rPr>
          <w:rFonts w:ascii="Century Gothic" w:hAnsi="Century Gothic" w:cs="Arial"/>
          <w:i/>
          <w:iCs/>
          <w:sz w:val="16"/>
          <w:szCs w:val="16"/>
        </w:rPr>
        <w:t>Ibidem</w:t>
      </w:r>
      <w:r w:rsidRPr="00367101">
        <w:rPr>
          <w:rFonts w:ascii="Century Gothic" w:hAnsi="Century Gothic" w:cs="Arial"/>
          <w:sz w:val="16"/>
          <w:szCs w:val="16"/>
        </w:rPr>
        <w:t>.</w:t>
      </w:r>
    </w:p>
  </w:footnote>
  <w:footnote w:id="6">
    <w:p w14:paraId="5A66E5E8" w14:textId="77777777" w:rsidR="00751EC1" w:rsidRPr="00367101" w:rsidRDefault="00751EC1" w:rsidP="00751EC1">
      <w:pPr>
        <w:pStyle w:val="Textonotapie"/>
        <w:ind w:firstLine="709"/>
        <w:jc w:val="both"/>
        <w:rPr>
          <w:rFonts w:ascii="Century Gothic" w:hAnsi="Century Gothic" w:cs="Arial"/>
          <w:sz w:val="16"/>
          <w:szCs w:val="16"/>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HINESTROSA, Fernando. Tratado de las obligaciones: concepto, estructura y vicisitudes. Tercera Edición. Bogotá: Universidad Externado de Colombia, 2007. Libro en formato EPUB. En contraste con la cesión de créditos, “La cesión de contrato […] al permitir la sustitución de una de las partes en el contrato que se ejecuta, valida al tercero cesionario para que adquiera los derechos y las obligaciones que correspondían al contratante cedente como efectos del contrato. Es decir, lo que en realidad se cede, es mucho más que las posiciones o lados activos de las relaciones obligacionales. se cede también el lado pasivo, pues del contrato surgen como efecto obligaciones y derechos para las partes y la cesión de la posición contractual de una de ellas coloca al tercero cesionario en su lugar, en las mismas circunstancias frente al otro contratante” (ARRUBLA PAUCAR, Jaime Alberto. Contratos mercantiles: teoría general del negocio mercantil. Decimocuarta Edición. Bogotá: Legis, 2021. p. 251).   </w:t>
      </w:r>
    </w:p>
  </w:footnote>
  <w:footnote w:id="7">
    <w:p w14:paraId="388EDE08" w14:textId="77777777" w:rsidR="00751EC1" w:rsidRPr="00367101" w:rsidRDefault="00751EC1" w:rsidP="00751EC1">
      <w:pPr>
        <w:pStyle w:val="Textonotapie"/>
        <w:ind w:firstLine="709"/>
        <w:jc w:val="both"/>
        <w:rPr>
          <w:rFonts w:ascii="Century Gothic" w:hAnsi="Century Gothic" w:cs="Arial"/>
          <w:sz w:val="16"/>
          <w:szCs w:val="16"/>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Código de Comercio: “Artículo 890. El que cede un contrato se obliga a responder de la existencia y validez </w:t>
      </w:r>
      <w:proofErr w:type="gramStart"/>
      <w:r w:rsidRPr="00367101">
        <w:rPr>
          <w:rFonts w:ascii="Century Gothic" w:hAnsi="Century Gothic" w:cs="Arial"/>
          <w:sz w:val="16"/>
          <w:szCs w:val="16"/>
        </w:rPr>
        <w:t>del mismo</w:t>
      </w:r>
      <w:proofErr w:type="gramEnd"/>
      <w:r w:rsidRPr="00367101">
        <w:rPr>
          <w:rFonts w:ascii="Century Gothic" w:hAnsi="Century Gothic" w:cs="Arial"/>
          <w:sz w:val="16"/>
          <w:szCs w:val="16"/>
        </w:rPr>
        <w:t xml:space="preserve"> y de sus garantías, pero, salvo estipulación expresa en contrario, no responderá de su cumplimiento por parte del otro contratante y de los garantes”.</w:t>
      </w:r>
    </w:p>
  </w:footnote>
  <w:footnote w:id="8">
    <w:p w14:paraId="5BE8B032" w14:textId="77777777" w:rsidR="00751EC1" w:rsidRPr="00367101" w:rsidRDefault="00751EC1" w:rsidP="00751EC1">
      <w:pPr>
        <w:pStyle w:val="Textonotapie"/>
        <w:ind w:firstLine="709"/>
        <w:jc w:val="both"/>
        <w:rPr>
          <w:rFonts w:ascii="Century Gothic" w:hAnsi="Century Gothic" w:cs="Arial"/>
          <w:sz w:val="16"/>
          <w:szCs w:val="16"/>
          <w:lang w:val="es-CO"/>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Código de Comercio: “Artículo 891: Cuando el cedente se obliga a responder del cumplimiento del contrato por parte del contratante cedido, el cesionario deberá darle aviso dentro de los diez días siguientes a la mora o al incumplimiento, so pena de ser exonerado el cedente de la obligación de la garantía contraída con el cesionario”.</w:t>
      </w:r>
    </w:p>
  </w:footnote>
  <w:footnote w:id="9">
    <w:p w14:paraId="08BC5F76" w14:textId="77777777" w:rsidR="00751EC1" w:rsidRPr="00367101" w:rsidRDefault="00751EC1" w:rsidP="00751EC1">
      <w:pPr>
        <w:pStyle w:val="Textonotapie"/>
        <w:ind w:firstLine="709"/>
        <w:jc w:val="both"/>
        <w:rPr>
          <w:rFonts w:ascii="Century Gothic" w:hAnsi="Century Gothic" w:cs="Arial"/>
          <w:sz w:val="16"/>
          <w:szCs w:val="16"/>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Código de Comercio: “Artículo 895. La cesión de un contrato implica la de las acciones, privilegios y beneficios legales inherentes a la naturaleza y condiciones del contrato; pero no transfiere los que se funden en causas ajenas al mismo, o en la calidad o estado de la persona de los contratantes”.</w:t>
      </w:r>
    </w:p>
    <w:p w14:paraId="3DA6D78E" w14:textId="77777777" w:rsidR="00751EC1" w:rsidRPr="00367101" w:rsidRDefault="00751EC1" w:rsidP="00751EC1">
      <w:pPr>
        <w:pStyle w:val="Textonotapie"/>
        <w:ind w:firstLine="709"/>
        <w:jc w:val="both"/>
        <w:rPr>
          <w:rFonts w:ascii="Century Gothic" w:hAnsi="Century Gothic" w:cs="Arial"/>
          <w:sz w:val="16"/>
          <w:szCs w:val="16"/>
        </w:rPr>
      </w:pPr>
      <w:r w:rsidRPr="00367101">
        <w:rPr>
          <w:rFonts w:ascii="Century Gothic" w:hAnsi="Century Gothic" w:cs="Arial"/>
          <w:sz w:val="16"/>
          <w:szCs w:val="16"/>
        </w:rPr>
        <w:t>“Artículo 896. El contratante cedido podrá oponer al cesionario todas las excepciones que se deriven del contrato. Podrá también oponer aquellas que se funden sobre otras relaciones con el cedente, respecto de las cuales haya hecho expresa reserva al momento de notificársele o aceptar la cesión”.</w:t>
      </w:r>
    </w:p>
  </w:footnote>
  <w:footnote w:id="10">
    <w:p w14:paraId="44A84A70" w14:textId="77777777" w:rsidR="00751EC1" w:rsidRPr="00367101" w:rsidRDefault="00751EC1" w:rsidP="00751EC1">
      <w:pPr>
        <w:pStyle w:val="Textonotapie"/>
        <w:ind w:firstLine="708"/>
        <w:jc w:val="both"/>
        <w:rPr>
          <w:rFonts w:ascii="Century Gothic" w:hAnsi="Century Gothic" w:cs="Arial"/>
          <w:sz w:val="16"/>
          <w:szCs w:val="16"/>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No en vano, “Quien contrata con la administración debe reunir condiciones previas, acreditadas por muy distintos medios, relativas a su capacidad técnica, financiera e incluso moral. De esas personas se ha seleccionado aquella que resulta la más conveniente para el caso, y esa persona no puede ser reemplazada por otra, por la sola decisión de ese cocontratante.</w:t>
      </w:r>
    </w:p>
    <w:p w14:paraId="073C7B17" w14:textId="77777777" w:rsidR="00751EC1" w:rsidRPr="00367101" w:rsidRDefault="00751EC1" w:rsidP="00751EC1">
      <w:pPr>
        <w:pStyle w:val="Textonotapie"/>
        <w:ind w:firstLine="708"/>
        <w:jc w:val="both"/>
        <w:rPr>
          <w:rFonts w:ascii="Century Gothic" w:hAnsi="Century Gothic" w:cs="Arial"/>
          <w:sz w:val="16"/>
          <w:szCs w:val="16"/>
        </w:rPr>
      </w:pPr>
      <w:r w:rsidRPr="00367101">
        <w:rPr>
          <w:rFonts w:ascii="Century Gothic" w:hAnsi="Century Gothic" w:cs="Arial"/>
          <w:sz w:val="16"/>
          <w:szCs w:val="16"/>
        </w:rPr>
        <w:t xml:space="preserve">De ahí que el principio del cumplimiento personal de sus obligaciones por el cocontratante particular es una exigencia del contrato administrativo que resulta de su naturaleza, por lo que su aplicación es ineludible, aun en los casos en que no existen cláusulas expresas que impongan esa prestación personal o que prohíban la cesión o trasferencia del contrato o la subcontratación” (ESCOLA, Jorge. Tratado integral de los contratos administrativos. Volumen I. Buenos Aires: </w:t>
      </w:r>
      <w:proofErr w:type="spellStart"/>
      <w:r w:rsidRPr="00367101">
        <w:rPr>
          <w:rFonts w:ascii="Century Gothic" w:hAnsi="Century Gothic" w:cs="Arial"/>
          <w:sz w:val="16"/>
          <w:szCs w:val="16"/>
        </w:rPr>
        <w:t>Depalma</w:t>
      </w:r>
      <w:proofErr w:type="spellEnd"/>
      <w:r w:rsidRPr="00367101">
        <w:rPr>
          <w:rFonts w:ascii="Century Gothic" w:hAnsi="Century Gothic" w:cs="Arial"/>
          <w:sz w:val="16"/>
          <w:szCs w:val="16"/>
        </w:rPr>
        <w:t>, 2012. p. 424).</w:t>
      </w:r>
    </w:p>
  </w:footnote>
  <w:footnote w:id="11">
    <w:p w14:paraId="364AD103" w14:textId="77777777" w:rsidR="00751EC1" w:rsidRPr="00367101" w:rsidRDefault="00751EC1" w:rsidP="00751EC1">
      <w:pPr>
        <w:pStyle w:val="Textonotapie"/>
        <w:ind w:firstLine="708"/>
        <w:jc w:val="both"/>
        <w:rPr>
          <w:rFonts w:ascii="Century Gothic" w:hAnsi="Century Gothic" w:cs="Arial"/>
          <w:sz w:val="16"/>
          <w:szCs w:val="16"/>
          <w:lang w:val="es-ES"/>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MARIENHOFF, Miguel S. Tratado de derecho administrativo. Tomo IIIA. Cuarta Edición. Buenos Aires: Abeledo Perrot, 1998. p. 318. Énfasis dentro del texto.</w:t>
      </w:r>
    </w:p>
  </w:footnote>
  <w:footnote w:id="12">
    <w:p w14:paraId="6F4127A5" w14:textId="77777777" w:rsidR="00751EC1" w:rsidRPr="00367101" w:rsidRDefault="00751EC1" w:rsidP="00751EC1">
      <w:pPr>
        <w:pStyle w:val="Textonotapie"/>
        <w:ind w:firstLine="708"/>
        <w:jc w:val="both"/>
        <w:rPr>
          <w:rFonts w:ascii="Century Gothic" w:hAnsi="Century Gothic" w:cs="Arial"/>
          <w:sz w:val="16"/>
          <w:szCs w:val="16"/>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RAMÍREZ GRISALES, Richard. La cesión. Serie: Las cláusulas del contrato estatal. Medellín: Centro de Estudios de Derecho Administrativo –CEDA– y Librería Jurídica Sánchez R., 2014. pp. 71-72.</w:t>
      </w:r>
    </w:p>
  </w:footnote>
  <w:footnote w:id="13">
    <w:p w14:paraId="319AD0B1" w14:textId="77777777" w:rsidR="00751EC1" w:rsidRPr="00367101" w:rsidRDefault="00751EC1" w:rsidP="00751EC1">
      <w:pPr>
        <w:pStyle w:val="Textonotapie"/>
        <w:ind w:firstLine="709"/>
        <w:jc w:val="both"/>
        <w:rPr>
          <w:rFonts w:ascii="Century Gothic" w:hAnsi="Century Gothic" w:cs="Arial"/>
          <w:sz w:val="16"/>
          <w:szCs w:val="16"/>
          <w:lang w:val="es-ES"/>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w:t>
      </w:r>
      <w:r w:rsidRPr="00367101">
        <w:rPr>
          <w:rFonts w:ascii="Century Gothic" w:hAnsi="Century Gothic" w:cs="Arial"/>
          <w:sz w:val="16"/>
          <w:szCs w:val="16"/>
          <w:lang w:val="es-ES"/>
        </w:rPr>
        <w:t>Consejo de Estado, Sección Tercera, Sentencia del 16 de marzo de 2015, Rad. 1999-03028, M.P. Jaime Orlando Santofimio Gamboa.</w:t>
      </w:r>
    </w:p>
  </w:footnote>
  <w:footnote w:id="14">
    <w:p w14:paraId="1B44D192" w14:textId="77777777" w:rsidR="00751EC1" w:rsidRPr="00367101" w:rsidRDefault="00751EC1" w:rsidP="00751EC1">
      <w:pPr>
        <w:pStyle w:val="Textonotapie"/>
        <w:ind w:firstLine="720"/>
        <w:jc w:val="both"/>
        <w:rPr>
          <w:rFonts w:ascii="Century Gothic" w:hAnsi="Century Gothic" w:cs="Arial"/>
          <w:sz w:val="16"/>
          <w:szCs w:val="16"/>
        </w:rPr>
      </w:pPr>
      <w:r w:rsidRPr="00367101">
        <w:rPr>
          <w:rStyle w:val="Refdenotaalpie"/>
          <w:rFonts w:ascii="Century Gothic" w:hAnsi="Century Gothic" w:cs="Arial"/>
          <w:sz w:val="16"/>
          <w:szCs w:val="16"/>
        </w:rPr>
        <w:footnoteRef/>
      </w:r>
      <w:r w:rsidRPr="00367101">
        <w:rPr>
          <w:rFonts w:ascii="Century Gothic" w:hAnsi="Century Gothic" w:cs="Arial"/>
          <w:sz w:val="16"/>
          <w:szCs w:val="16"/>
        </w:rPr>
        <w:t xml:space="preserve"> CORTE CONSTITUCIONAL. Sentencia C-949 del 5 de septiembre de 2001. M.P. Clara Inés Vargas Hernández.  </w:t>
      </w:r>
    </w:p>
  </w:footnote>
  <w:footnote w:id="15">
    <w:p w14:paraId="3A289B84" w14:textId="77777777" w:rsidR="00751EC1" w:rsidRPr="00367101" w:rsidRDefault="00751EC1" w:rsidP="00751EC1">
      <w:pPr>
        <w:pStyle w:val="Textonotapie"/>
        <w:ind w:firstLine="708"/>
        <w:jc w:val="both"/>
        <w:rPr>
          <w:rFonts w:ascii="Century Gothic" w:hAnsi="Century Gothic" w:cs="Arial"/>
          <w:sz w:val="16"/>
          <w:szCs w:val="16"/>
        </w:rPr>
      </w:pPr>
      <w:r w:rsidRPr="00367101">
        <w:rPr>
          <w:rStyle w:val="Refdenotaalpie"/>
          <w:rFonts w:ascii="Century Gothic" w:hAnsi="Century Gothic"/>
          <w:sz w:val="16"/>
          <w:szCs w:val="16"/>
        </w:rPr>
        <w:footnoteRef/>
      </w:r>
      <w:r w:rsidRPr="00367101">
        <w:rPr>
          <w:rFonts w:ascii="Century Gothic" w:hAnsi="Century Gothic"/>
          <w:sz w:val="16"/>
          <w:szCs w:val="16"/>
        </w:rPr>
        <w:t xml:space="preserve"> </w:t>
      </w:r>
      <w:r w:rsidRPr="00367101">
        <w:rPr>
          <w:rFonts w:ascii="Century Gothic" w:hAnsi="Century Gothic" w:cs="Arial"/>
          <w:sz w:val="16"/>
          <w:szCs w:val="16"/>
        </w:rPr>
        <w:t xml:space="preserve">RAMÍREZ GRISALES, La cesión… </w:t>
      </w:r>
      <w:proofErr w:type="spellStart"/>
      <w:r w:rsidRPr="00367101">
        <w:rPr>
          <w:rFonts w:ascii="Century Gothic" w:hAnsi="Century Gothic" w:cs="Arial"/>
          <w:sz w:val="16"/>
          <w:szCs w:val="16"/>
        </w:rPr>
        <w:t>Op</w:t>
      </w:r>
      <w:proofErr w:type="spellEnd"/>
      <w:r w:rsidRPr="00367101">
        <w:rPr>
          <w:rFonts w:ascii="Century Gothic" w:hAnsi="Century Gothic" w:cs="Arial"/>
          <w:sz w:val="16"/>
          <w:szCs w:val="16"/>
        </w:rPr>
        <w:t xml:space="preserve">. cit., pp.159-160.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9264"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67456"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3DBCDD3E" w14:textId="1C41273C" w:rsidR="005B5D8B" w:rsidRPr="003C5D6C" w:rsidRDefault="004A305D" w:rsidP="003C5D6C">
    <w:pPr>
      <w:spacing w:after="12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2"/>
  </w:num>
  <w:num w:numId="2" w16cid:durableId="486676265">
    <w:abstractNumId w:val="0"/>
  </w:num>
  <w:num w:numId="3" w16cid:durableId="608313202">
    <w:abstractNumId w:val="1"/>
  </w:num>
  <w:num w:numId="4" w16cid:durableId="266743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E4714"/>
    <w:rsid w:val="000F6486"/>
    <w:rsid w:val="00125105"/>
    <w:rsid w:val="00127233"/>
    <w:rsid w:val="00163833"/>
    <w:rsid w:val="001E4177"/>
    <w:rsid w:val="002951A0"/>
    <w:rsid w:val="002962BC"/>
    <w:rsid w:val="002A093D"/>
    <w:rsid w:val="002A49AC"/>
    <w:rsid w:val="002A64FD"/>
    <w:rsid w:val="002C7A84"/>
    <w:rsid w:val="003448F4"/>
    <w:rsid w:val="00367101"/>
    <w:rsid w:val="003A779E"/>
    <w:rsid w:val="003C5D6C"/>
    <w:rsid w:val="003D0F4D"/>
    <w:rsid w:val="003E0499"/>
    <w:rsid w:val="003F3941"/>
    <w:rsid w:val="00400548"/>
    <w:rsid w:val="00416C28"/>
    <w:rsid w:val="004368BC"/>
    <w:rsid w:val="004A1847"/>
    <w:rsid w:val="004A305D"/>
    <w:rsid w:val="004E60E5"/>
    <w:rsid w:val="004F21C4"/>
    <w:rsid w:val="004F685F"/>
    <w:rsid w:val="00533E8F"/>
    <w:rsid w:val="005566E8"/>
    <w:rsid w:val="00574867"/>
    <w:rsid w:val="005A6AA1"/>
    <w:rsid w:val="005B5D8B"/>
    <w:rsid w:val="005C5CDC"/>
    <w:rsid w:val="005D476C"/>
    <w:rsid w:val="005D65AE"/>
    <w:rsid w:val="006219F8"/>
    <w:rsid w:val="00665D70"/>
    <w:rsid w:val="00705A9A"/>
    <w:rsid w:val="00706C16"/>
    <w:rsid w:val="00727370"/>
    <w:rsid w:val="00751EC1"/>
    <w:rsid w:val="00755514"/>
    <w:rsid w:val="00756841"/>
    <w:rsid w:val="00763C80"/>
    <w:rsid w:val="007649AB"/>
    <w:rsid w:val="007833AC"/>
    <w:rsid w:val="007B7171"/>
    <w:rsid w:val="007C3DC2"/>
    <w:rsid w:val="007E5497"/>
    <w:rsid w:val="00806F5F"/>
    <w:rsid w:val="00820278"/>
    <w:rsid w:val="008843B6"/>
    <w:rsid w:val="00891928"/>
    <w:rsid w:val="008A446D"/>
    <w:rsid w:val="008F0EA7"/>
    <w:rsid w:val="009034D4"/>
    <w:rsid w:val="00923EEF"/>
    <w:rsid w:val="009419F9"/>
    <w:rsid w:val="009478C7"/>
    <w:rsid w:val="00961B09"/>
    <w:rsid w:val="00965334"/>
    <w:rsid w:val="0097093E"/>
    <w:rsid w:val="009845C5"/>
    <w:rsid w:val="009C71FA"/>
    <w:rsid w:val="009C72E7"/>
    <w:rsid w:val="00A17F13"/>
    <w:rsid w:val="00A20739"/>
    <w:rsid w:val="00A33C78"/>
    <w:rsid w:val="00AB0ADB"/>
    <w:rsid w:val="00AD5E99"/>
    <w:rsid w:val="00B72CD3"/>
    <w:rsid w:val="00B72FFF"/>
    <w:rsid w:val="00B84582"/>
    <w:rsid w:val="00B914EC"/>
    <w:rsid w:val="00BD15D4"/>
    <w:rsid w:val="00BD2E7A"/>
    <w:rsid w:val="00BD7F72"/>
    <w:rsid w:val="00C04FB3"/>
    <w:rsid w:val="00C330EB"/>
    <w:rsid w:val="00C754BE"/>
    <w:rsid w:val="00CB6357"/>
    <w:rsid w:val="00CC035F"/>
    <w:rsid w:val="00CC1B26"/>
    <w:rsid w:val="00D423A2"/>
    <w:rsid w:val="00D63AC2"/>
    <w:rsid w:val="00D7383B"/>
    <w:rsid w:val="00DA231B"/>
    <w:rsid w:val="00DB1B3E"/>
    <w:rsid w:val="00DE6509"/>
    <w:rsid w:val="00E15699"/>
    <w:rsid w:val="00E16408"/>
    <w:rsid w:val="00E20894"/>
    <w:rsid w:val="00E245AB"/>
    <w:rsid w:val="00E4564C"/>
    <w:rsid w:val="00E50AFE"/>
    <w:rsid w:val="00E771DC"/>
    <w:rsid w:val="00E8772A"/>
    <w:rsid w:val="00E90F6B"/>
    <w:rsid w:val="00E92C27"/>
    <w:rsid w:val="00EA0E3D"/>
    <w:rsid w:val="00EE1AA8"/>
    <w:rsid w:val="00F133E4"/>
    <w:rsid w:val="00F17039"/>
    <w:rsid w:val="00F204AB"/>
    <w:rsid w:val="00F31EDC"/>
    <w:rsid w:val="00F5664F"/>
    <w:rsid w:val="00F613A2"/>
    <w:rsid w:val="00F76AFC"/>
    <w:rsid w:val="00FB01E4"/>
    <w:rsid w:val="00FB5DD1"/>
    <w:rsid w:val="00FB72F4"/>
    <w:rsid w:val="00FC2B5D"/>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751EC1"/>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Alejandro Sarmiento</DisplayName>
        <AccountId>119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B83B270-3E9E-4C6B-835E-96FB142ECB3C}"/>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5377</Words>
  <Characters>29577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6</cp:revision>
  <cp:lastPrinted>2023-01-10T21:18:00Z</cp:lastPrinted>
  <dcterms:created xsi:type="dcterms:W3CDTF">2024-06-11T21:09:00Z</dcterms:created>
  <dcterms:modified xsi:type="dcterms:W3CDTF">2024-06-19T16:27:00Z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