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2018D" w14:textId="77777777" w:rsidR="00A52491" w:rsidRPr="00C96FA1" w:rsidRDefault="00A52491" w:rsidP="00A52491">
      <w:pPr>
        <w:spacing w:after="0" w:line="240" w:lineRule="auto"/>
        <w:jc w:val="both"/>
        <w:rPr>
          <w:rFonts w:ascii="Century Gothic" w:eastAsia="Calibri" w:hAnsi="Century Gothic" w:cs="Arial"/>
          <w:b/>
          <w:lang w:val="es-ES_tradnl"/>
        </w:rPr>
      </w:pPr>
      <w:bookmarkStart w:id="0" w:name="_Hlk94281581"/>
      <w:bookmarkStart w:id="1" w:name="_Hlk102489058"/>
      <w:bookmarkStart w:id="2" w:name="_Hlk34951122"/>
    </w:p>
    <w:p w14:paraId="7BE272E2" w14:textId="77777777" w:rsidR="00A52491" w:rsidRPr="00C96FA1" w:rsidRDefault="00A52491" w:rsidP="00A52491">
      <w:pPr>
        <w:spacing w:after="0" w:line="240" w:lineRule="auto"/>
        <w:jc w:val="both"/>
        <w:rPr>
          <w:rFonts w:ascii="Century Gothic" w:eastAsia="Calibri" w:hAnsi="Century Gothic" w:cs="Arial"/>
          <w:b/>
          <w:lang w:val="es-ES_tradnl"/>
        </w:rPr>
      </w:pPr>
      <w:r w:rsidRPr="00C96FA1">
        <w:rPr>
          <w:rFonts w:ascii="Century Gothic" w:eastAsia="Calibri" w:hAnsi="Century Gothic" w:cs="Arial"/>
          <w:b/>
          <w:lang w:val="es-ES_tradnl"/>
        </w:rPr>
        <w:t>FACTORES DE DESEMPATE – Características – Límites</w:t>
      </w:r>
    </w:p>
    <w:p w14:paraId="395E4130" w14:textId="77777777" w:rsidR="00A52491" w:rsidRPr="00C96FA1" w:rsidRDefault="00A52491" w:rsidP="00A52491">
      <w:pPr>
        <w:spacing w:after="0" w:line="240" w:lineRule="auto"/>
        <w:jc w:val="both"/>
        <w:rPr>
          <w:rFonts w:ascii="Century Gothic" w:hAnsi="Century Gothic" w:cs="Arial"/>
          <w:noProof/>
          <w:highlight w:val="yellow"/>
          <w:lang w:val="es-ES_tradnl"/>
        </w:rPr>
      </w:pPr>
    </w:p>
    <w:p w14:paraId="6FF7964B" w14:textId="77777777" w:rsidR="00A52491" w:rsidRPr="00C96FA1" w:rsidRDefault="00A52491" w:rsidP="00A52491">
      <w:pPr>
        <w:spacing w:after="0" w:line="240" w:lineRule="auto"/>
        <w:jc w:val="both"/>
        <w:rPr>
          <w:rFonts w:ascii="Century Gothic" w:eastAsia="Calibri" w:hAnsi="Century Gothic" w:cs="Arial"/>
          <w:sz w:val="20"/>
          <w:szCs w:val="20"/>
          <w:lang w:val="es-ES_tradnl"/>
        </w:rPr>
      </w:pPr>
      <w:r w:rsidRPr="00C96FA1">
        <w:rPr>
          <w:rFonts w:ascii="Century Gothic" w:eastAsia="Calibri" w:hAnsi="Century Gothic" w:cs="Arial"/>
          <w:sz w:val="20"/>
          <w:szCs w:val="20"/>
          <w:lang w:val="es-ES_tradnl"/>
        </w:rPr>
        <w:t xml:space="preserve">Dado que la selección objetiva es uno de los principios medulares de la contratación estatal, la escogencia del futuro contratista no puede motivarse en razones subjetivas que afecten la imparcialidad de la entidad pública. Así lo determina el primer inciso del artículo 5 de la Ley 1150 de 2007, indicando que </w:t>
      </w:r>
      <w:r>
        <w:rPr>
          <w:rFonts w:ascii="Century Gothic" w:eastAsia="Calibri" w:hAnsi="Century Gothic" w:cs="Arial"/>
          <w:sz w:val="20"/>
          <w:szCs w:val="20"/>
          <w:lang w:val="es-ES_tradnl"/>
        </w:rPr>
        <w:t>“</w:t>
      </w:r>
      <w:r w:rsidRPr="00C96FA1">
        <w:rPr>
          <w:rFonts w:ascii="Century Gothic" w:eastAsia="Calibri" w:hAnsi="Century Gothic" w:cs="Arial"/>
          <w:sz w:val="20"/>
          <w:szCs w:val="20"/>
          <w:lang w:val="es-ES_tradnl"/>
        </w:rPr>
        <w:t>Es objetiva la selección en la cual la escogencia se haga al ofrecimiento más favorable a la entidad y a los fines que ella busca, sin tener en consideración factores de afecto o de interés y, en general, cualquier clase de motivación subjetiva</w:t>
      </w:r>
      <w:r>
        <w:rPr>
          <w:rFonts w:ascii="Century Gothic" w:eastAsia="Calibri" w:hAnsi="Century Gothic" w:cs="Arial"/>
          <w:sz w:val="20"/>
          <w:szCs w:val="20"/>
          <w:lang w:val="es-ES_tradnl"/>
        </w:rPr>
        <w:t>”</w:t>
      </w:r>
      <w:r w:rsidRPr="00C96FA1">
        <w:rPr>
          <w:rFonts w:ascii="Century Gothic" w:eastAsia="Calibri" w:hAnsi="Century Gothic" w:cs="Arial"/>
          <w:sz w:val="20"/>
          <w:szCs w:val="20"/>
          <w:lang w:val="es-ES_tradnl"/>
        </w:rPr>
        <w:t xml:space="preserve">. Además, la norma citada agrega que los factores de habilitación y calificación que establezcan las entidades en los pliegos de condiciones o sus </w:t>
      </w:r>
      <w:proofErr w:type="gramStart"/>
      <w:r w:rsidRPr="00C96FA1">
        <w:rPr>
          <w:rFonts w:ascii="Century Gothic" w:eastAsia="Calibri" w:hAnsi="Century Gothic" w:cs="Arial"/>
          <w:sz w:val="20"/>
          <w:szCs w:val="20"/>
          <w:lang w:val="es-ES_tradnl"/>
        </w:rPr>
        <w:t>equivalentes,</w:t>
      </w:r>
      <w:proofErr w:type="gramEnd"/>
      <w:r w:rsidRPr="00C96FA1">
        <w:rPr>
          <w:rFonts w:ascii="Century Gothic" w:eastAsia="Calibri" w:hAnsi="Century Gothic" w:cs="Arial"/>
          <w:sz w:val="20"/>
          <w:szCs w:val="20"/>
          <w:lang w:val="es-ES_tradnl"/>
        </w:rPr>
        <w:t xml:space="preserve"> tendrán en cuenta criterios como la experiencia y la capacidad jurídica, financiera y de organización, entre otros elementos que garanticen la escogencia de la mejor opción de negocio para la entidad estatal.</w:t>
      </w:r>
    </w:p>
    <w:p w14:paraId="084D9C82" w14:textId="77777777" w:rsidR="00A52491" w:rsidRPr="00C96FA1" w:rsidRDefault="00A52491" w:rsidP="00A52491">
      <w:pPr>
        <w:spacing w:after="0" w:line="240" w:lineRule="auto"/>
        <w:jc w:val="both"/>
        <w:rPr>
          <w:rFonts w:ascii="Century Gothic" w:eastAsia="Calibri" w:hAnsi="Century Gothic" w:cs="Arial"/>
          <w:b/>
          <w:highlight w:val="yellow"/>
          <w:lang w:val="es-ES_tradnl"/>
        </w:rPr>
      </w:pPr>
    </w:p>
    <w:p w14:paraId="2479D203" w14:textId="77777777" w:rsidR="00A52491" w:rsidRPr="00C96FA1" w:rsidRDefault="00A52491" w:rsidP="00A52491">
      <w:pPr>
        <w:spacing w:after="0" w:line="240" w:lineRule="auto"/>
        <w:jc w:val="both"/>
        <w:rPr>
          <w:rFonts w:ascii="Century Gothic" w:eastAsia="Calibri" w:hAnsi="Century Gothic" w:cs="Arial"/>
          <w:b/>
          <w:lang w:val="es-ES_tradnl"/>
        </w:rPr>
      </w:pPr>
      <w:r w:rsidRPr="00C96FA1">
        <w:rPr>
          <w:rFonts w:ascii="Century Gothic" w:eastAsia="Calibri" w:hAnsi="Century Gothic" w:cs="Arial"/>
          <w:b/>
          <w:lang w:val="es-ES_tradnl"/>
        </w:rPr>
        <w:t>LEY DE EMPRENDIMIENTO – Ley 2069 de 2020 – Reglamentación – Decreto 1860 de 2021 – Vigencia</w:t>
      </w:r>
    </w:p>
    <w:p w14:paraId="707A8C10" w14:textId="77777777" w:rsidR="00A52491" w:rsidRPr="00C96FA1" w:rsidRDefault="00A52491" w:rsidP="00A52491">
      <w:pPr>
        <w:spacing w:after="0" w:line="240" w:lineRule="auto"/>
        <w:jc w:val="both"/>
        <w:rPr>
          <w:rFonts w:ascii="Century Gothic" w:eastAsia="Calibri" w:hAnsi="Century Gothic" w:cs="Arial"/>
          <w:b/>
          <w:highlight w:val="yellow"/>
          <w:lang w:val="es-ES_tradnl"/>
        </w:rPr>
      </w:pPr>
    </w:p>
    <w:p w14:paraId="285C2CE3" w14:textId="77777777" w:rsidR="00A52491" w:rsidRPr="00C96FA1" w:rsidRDefault="00A52491" w:rsidP="00A52491">
      <w:pPr>
        <w:spacing w:after="0" w:line="240" w:lineRule="auto"/>
        <w:jc w:val="both"/>
        <w:rPr>
          <w:rFonts w:ascii="Century Gothic" w:eastAsia="Calibri" w:hAnsi="Century Gothic" w:cs="Arial"/>
          <w:bCs/>
          <w:sz w:val="20"/>
          <w:szCs w:val="20"/>
          <w:lang w:val="es-ES_tradnl"/>
        </w:rPr>
      </w:pPr>
      <w:r w:rsidRPr="00C96FA1">
        <w:rPr>
          <w:rFonts w:ascii="Century Gothic" w:eastAsia="Calibri" w:hAnsi="Century Gothic" w:cs="Arial"/>
          <w:bCs/>
          <w:sz w:val="20"/>
          <w:szCs w:val="20"/>
          <w:lang w:val="es-ES_tradnl"/>
        </w:rPr>
        <w:t xml:space="preserve">[…] el pasado 24 de diciembre, el gobierno nacional expidió el Decreto 1860 de 2021, </w:t>
      </w:r>
      <w:r>
        <w:rPr>
          <w:rFonts w:ascii="Century Gothic" w:eastAsia="Calibri" w:hAnsi="Century Gothic" w:cs="Arial"/>
          <w:bCs/>
          <w:sz w:val="20"/>
          <w:szCs w:val="20"/>
          <w:lang w:val="es-ES_tradnl"/>
        </w:rPr>
        <w:t>“</w:t>
      </w:r>
      <w:r w:rsidRPr="00C96FA1">
        <w:rPr>
          <w:rFonts w:ascii="Century Gothic" w:eastAsia="Calibri" w:hAnsi="Century Gothic" w:cs="Arial"/>
          <w:bCs/>
          <w:sz w:val="20"/>
          <w:szCs w:val="20"/>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Pr>
          <w:rFonts w:ascii="Century Gothic" w:eastAsia="Calibri" w:hAnsi="Century Gothic" w:cs="Arial"/>
          <w:bCs/>
          <w:sz w:val="20"/>
          <w:szCs w:val="20"/>
          <w:lang w:val="es-ES_tradnl"/>
        </w:rPr>
        <w:t>”</w:t>
      </w:r>
      <w:r w:rsidRPr="00C96FA1">
        <w:rPr>
          <w:rFonts w:ascii="Century Gothic" w:eastAsia="Calibri" w:hAnsi="Century Gothic" w:cs="Arial"/>
          <w:bCs/>
          <w:sz w:val="20"/>
          <w:szCs w:val="20"/>
          <w:lang w:val="es-ES_tradnl"/>
        </w:rPr>
        <w:t>.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p>
    <w:p w14:paraId="7332C9AB" w14:textId="77777777" w:rsidR="00A52491" w:rsidRPr="00C96FA1" w:rsidRDefault="00A52491" w:rsidP="00A52491">
      <w:pPr>
        <w:spacing w:after="0" w:line="240" w:lineRule="auto"/>
        <w:jc w:val="both"/>
        <w:rPr>
          <w:rFonts w:ascii="Century Gothic" w:eastAsia="Calibri" w:hAnsi="Century Gothic" w:cs="Arial"/>
          <w:b/>
          <w:lang w:val="es-ES_tradnl"/>
        </w:rPr>
      </w:pPr>
    </w:p>
    <w:p w14:paraId="7E6F90B7" w14:textId="77777777" w:rsidR="00A52491" w:rsidRPr="00C96FA1" w:rsidRDefault="00A52491" w:rsidP="00A52491">
      <w:pPr>
        <w:spacing w:after="0" w:line="240" w:lineRule="auto"/>
        <w:jc w:val="both"/>
        <w:rPr>
          <w:rFonts w:ascii="Century Gothic" w:eastAsia="Calibri" w:hAnsi="Century Gothic" w:cs="Arial"/>
          <w:b/>
          <w:lang w:val="es-ES_tradnl"/>
        </w:rPr>
      </w:pPr>
      <w:r>
        <w:rPr>
          <w:rFonts w:ascii="Century Gothic" w:eastAsia="Calibri" w:hAnsi="Century Gothic" w:cs="Arial"/>
          <w:b/>
          <w:lang w:val="es-ES_tradnl"/>
        </w:rPr>
        <w:t>VIGENCIA JURÍDICA INDEPENDIENTE – A</w:t>
      </w:r>
      <w:r w:rsidRPr="003D199C">
        <w:rPr>
          <w:rFonts w:ascii="Century Gothic" w:eastAsia="Calibri" w:hAnsi="Century Gothic" w:cs="Arial"/>
          <w:b/>
          <w:lang w:val="es-ES_tradnl"/>
        </w:rPr>
        <w:t>rt</w:t>
      </w:r>
      <w:r>
        <w:rPr>
          <w:rFonts w:ascii="Century Gothic" w:eastAsia="Calibri" w:hAnsi="Century Gothic" w:cs="Arial"/>
          <w:b/>
          <w:lang w:val="es-ES_tradnl"/>
        </w:rPr>
        <w:t>.</w:t>
      </w:r>
      <w:r w:rsidRPr="003D199C">
        <w:rPr>
          <w:rFonts w:ascii="Century Gothic" w:eastAsia="Calibri" w:hAnsi="Century Gothic" w:cs="Arial"/>
          <w:b/>
          <w:lang w:val="es-ES_tradnl"/>
        </w:rPr>
        <w:t xml:space="preserve"> 67 de la Ley 915 de 2004</w:t>
      </w:r>
      <w:r>
        <w:rPr>
          <w:rFonts w:ascii="Century Gothic" w:eastAsia="Calibri" w:hAnsi="Century Gothic" w:cs="Arial"/>
          <w:b/>
          <w:lang w:val="es-ES_tradnl"/>
        </w:rPr>
        <w:t xml:space="preserve"> – Art. 35 de la Ley 2069 de 2020</w:t>
      </w:r>
    </w:p>
    <w:p w14:paraId="190FB664" w14:textId="77777777" w:rsidR="00A52491" w:rsidRPr="00C96FA1" w:rsidRDefault="00A52491" w:rsidP="00A52491">
      <w:pPr>
        <w:spacing w:after="0" w:line="240" w:lineRule="auto"/>
        <w:jc w:val="both"/>
        <w:rPr>
          <w:rFonts w:ascii="Century Gothic" w:hAnsi="Century Gothic" w:cs="Arial"/>
          <w:highlight w:val="yellow"/>
          <w:lang w:val="es-ES_tradnl"/>
        </w:rPr>
      </w:pPr>
    </w:p>
    <w:p w14:paraId="0AD4E230" w14:textId="77777777" w:rsidR="00A52491" w:rsidRDefault="00A52491" w:rsidP="00A52491">
      <w:pPr>
        <w:spacing w:after="0" w:line="240" w:lineRule="auto"/>
        <w:jc w:val="both"/>
        <w:rPr>
          <w:rFonts w:ascii="Century Gothic" w:eastAsia="Calibri" w:hAnsi="Century Gothic" w:cs="Arial"/>
          <w:sz w:val="20"/>
          <w:szCs w:val="20"/>
          <w:lang w:val="es-ES_tradnl"/>
        </w:rPr>
      </w:pPr>
      <w:r w:rsidRPr="00A66B77">
        <w:rPr>
          <w:rFonts w:ascii="Century Gothic" w:eastAsia="Calibri" w:hAnsi="Century Gothic" w:cs="Arial"/>
          <w:sz w:val="20"/>
          <w:szCs w:val="20"/>
          <w:lang w:val="es-ES_tradnl"/>
        </w:rPr>
        <w:t xml:space="preserve">Como el artículo 67 de la Ley 915 de 2004 no ha sido objeto de </w:t>
      </w:r>
      <w:r>
        <w:rPr>
          <w:rFonts w:ascii="Century Gothic" w:eastAsia="Calibri" w:hAnsi="Century Gothic" w:cs="Arial"/>
          <w:sz w:val="20"/>
          <w:szCs w:val="20"/>
          <w:lang w:val="es-ES_tradnl"/>
        </w:rPr>
        <w:t xml:space="preserve">reglamentación </w:t>
      </w:r>
      <w:r w:rsidRPr="00A66B77">
        <w:rPr>
          <w:rFonts w:ascii="Century Gothic" w:eastAsia="Calibri" w:hAnsi="Century Gothic" w:cs="Arial"/>
          <w:sz w:val="20"/>
          <w:szCs w:val="20"/>
          <w:lang w:val="es-ES_tradnl"/>
        </w:rPr>
        <w:t xml:space="preserve">por parte del Gobierno Nacional, la Agencia Nacional de Contratación Pública – Colombia Compra Eficiente, con fundamento en la competencia del artículo 1 de la Ley 2022 de 2020, estandarizó la aplicación del artículo en comento en los “Documentos Tipo – Versión 3” de </w:t>
      </w:r>
      <w:r>
        <w:rPr>
          <w:rFonts w:ascii="Century Gothic" w:eastAsia="Calibri" w:hAnsi="Century Gothic" w:cs="Arial"/>
          <w:sz w:val="20"/>
          <w:szCs w:val="20"/>
          <w:lang w:val="es-ES_tradnl"/>
        </w:rPr>
        <w:t xml:space="preserve">licitación </w:t>
      </w:r>
      <w:r w:rsidRPr="00A66B77">
        <w:rPr>
          <w:rFonts w:ascii="Century Gothic" w:eastAsia="Calibri" w:hAnsi="Century Gothic" w:cs="Arial"/>
          <w:sz w:val="20"/>
          <w:szCs w:val="20"/>
          <w:lang w:val="es-ES_tradnl"/>
        </w:rPr>
        <w:t xml:space="preserve">de obra pública de infraestructura de transporte. De esta manera, conforme al capítulo IV del pliego de condiciones, establece un criterio de evaluación en los contratos cuyo objeto deba ejecutarse en el Archipiélago, de San Andrés, Providencia y Santa Catalina por el cual a los proponentes que acrediten la Tarjeta de Circulación y Residencia − OCCRE − se les asignará 5 puntos. Como se observa, de este entendimiento no se deprende un factor de desempate que sea incompatible con los criterios del artículo 35 de la Ley de </w:t>
      </w:r>
      <w:r>
        <w:rPr>
          <w:rFonts w:ascii="Century Gothic" w:eastAsia="Calibri" w:hAnsi="Century Gothic" w:cs="Arial"/>
          <w:sz w:val="20"/>
          <w:szCs w:val="20"/>
          <w:lang w:val="es-ES_tradnl"/>
        </w:rPr>
        <w:t>Emprendimiento</w:t>
      </w:r>
      <w:r w:rsidRPr="00A66B77">
        <w:rPr>
          <w:rFonts w:ascii="Century Gothic" w:eastAsia="Calibri" w:hAnsi="Century Gothic" w:cs="Arial"/>
          <w:sz w:val="20"/>
          <w:szCs w:val="20"/>
          <w:lang w:val="es-ES_tradnl"/>
        </w:rPr>
        <w:t>.</w:t>
      </w:r>
    </w:p>
    <w:p w14:paraId="23F60655" w14:textId="77777777" w:rsidR="00A52491" w:rsidRPr="00A66B77" w:rsidRDefault="00A52491" w:rsidP="00A52491">
      <w:pPr>
        <w:spacing w:after="0" w:line="240" w:lineRule="auto"/>
        <w:jc w:val="both"/>
        <w:rPr>
          <w:rFonts w:ascii="Century Gothic" w:eastAsia="Calibri" w:hAnsi="Century Gothic" w:cs="Arial"/>
          <w:sz w:val="20"/>
          <w:szCs w:val="20"/>
          <w:lang w:val="es-ES_tradnl"/>
        </w:rPr>
      </w:pPr>
    </w:p>
    <w:p w14:paraId="305DBBE1" w14:textId="77777777" w:rsidR="00A52491" w:rsidRDefault="00A52491" w:rsidP="00A52491">
      <w:pPr>
        <w:spacing w:after="0" w:line="240" w:lineRule="auto"/>
        <w:jc w:val="both"/>
        <w:rPr>
          <w:rFonts w:ascii="Century Gothic" w:eastAsia="Calibri" w:hAnsi="Century Gothic" w:cs="Arial"/>
          <w:sz w:val="20"/>
          <w:szCs w:val="20"/>
          <w:lang w:val="es-ES_tradnl"/>
        </w:rPr>
      </w:pPr>
      <w:r w:rsidRPr="00A66B77">
        <w:rPr>
          <w:rFonts w:ascii="Century Gothic" w:eastAsia="Calibri" w:hAnsi="Century Gothic" w:cs="Arial"/>
          <w:sz w:val="20"/>
          <w:szCs w:val="20"/>
          <w:lang w:val="es-ES_tradnl"/>
        </w:rPr>
        <w:t xml:space="preserve">En este contexto, el artículo 67 de la Ley 915 de 2004 constituye una medida especial para promover la participación real y efectiva de los habitantes del territorio insultar, raizales y residentes, en los procesos de licitación pública, cuyo objeto se deba ejecutar en el </w:t>
      </w:r>
      <w:r w:rsidRPr="00A66B77">
        <w:rPr>
          <w:rFonts w:ascii="Century Gothic" w:eastAsia="Calibri" w:hAnsi="Century Gothic" w:cs="Arial"/>
          <w:sz w:val="20"/>
          <w:szCs w:val="20"/>
          <w:lang w:val="es-ES_tradnl"/>
        </w:rPr>
        <w:lastRenderedPageBreak/>
        <w:t xml:space="preserve">Archipiélago, que constituye un factor ponderable obligatorio dentro de los procesos de selección de contratistas adelantados </w:t>
      </w:r>
      <w:r>
        <w:rPr>
          <w:rFonts w:ascii="Century Gothic" w:eastAsia="Calibri" w:hAnsi="Century Gothic" w:cs="Arial"/>
          <w:sz w:val="20"/>
          <w:szCs w:val="20"/>
          <w:lang w:val="es-ES_tradnl"/>
        </w:rPr>
        <w:t>únicamente</w:t>
      </w:r>
      <w:r w:rsidRPr="00A66B77">
        <w:rPr>
          <w:rFonts w:ascii="Century Gothic" w:eastAsia="Calibri" w:hAnsi="Century Gothic" w:cs="Arial"/>
          <w:sz w:val="20"/>
          <w:szCs w:val="20"/>
          <w:lang w:val="es-ES_tradnl"/>
        </w:rPr>
        <w:t xml:space="preserve"> bajo la modalidad de licitación pública, cuyo objeto contractual deba </w:t>
      </w:r>
      <w:r>
        <w:rPr>
          <w:rFonts w:ascii="Century Gothic" w:eastAsia="Calibri" w:hAnsi="Century Gothic" w:cs="Arial"/>
          <w:sz w:val="20"/>
          <w:szCs w:val="20"/>
          <w:lang w:val="es-ES_tradnl"/>
        </w:rPr>
        <w:t>desarrollarse</w:t>
      </w:r>
      <w:r w:rsidRPr="00A66B77">
        <w:rPr>
          <w:rFonts w:ascii="Century Gothic" w:eastAsia="Calibri" w:hAnsi="Century Gothic" w:cs="Arial"/>
          <w:sz w:val="20"/>
          <w:szCs w:val="20"/>
          <w:lang w:val="es-ES_tradnl"/>
        </w:rPr>
        <w:t xml:space="preserve"> en el territorio insular. En este contexto, es una regla especial que no fue establecida propiamente como un factor de desempate, puesto que es una circunstancia objeto de evaluación aplicable exclusivamente a los procesos de selección de contratistas, tramitados bajo la modalidad de licitación pública, cuyo objeto contractual deba desarrollarse en el Archipiélago. </w:t>
      </w:r>
    </w:p>
    <w:p w14:paraId="16FD67C7" w14:textId="77777777" w:rsidR="00A52491" w:rsidRPr="00A66B77" w:rsidRDefault="00A52491" w:rsidP="00A52491">
      <w:pPr>
        <w:spacing w:after="0" w:line="240" w:lineRule="auto"/>
        <w:jc w:val="both"/>
        <w:rPr>
          <w:rFonts w:ascii="Century Gothic" w:eastAsia="Calibri" w:hAnsi="Century Gothic" w:cs="Arial"/>
          <w:sz w:val="20"/>
          <w:szCs w:val="20"/>
          <w:lang w:val="es-ES_tradnl"/>
        </w:rPr>
      </w:pPr>
    </w:p>
    <w:p w14:paraId="12830A3F" w14:textId="77777777" w:rsidR="00A52491" w:rsidRPr="00C96FA1" w:rsidRDefault="00A52491" w:rsidP="00A52491">
      <w:pPr>
        <w:spacing w:after="0" w:line="240" w:lineRule="auto"/>
        <w:jc w:val="both"/>
        <w:rPr>
          <w:rFonts w:ascii="Century Gothic" w:eastAsia="Calibri" w:hAnsi="Century Gothic" w:cs="Arial"/>
          <w:sz w:val="20"/>
          <w:szCs w:val="20"/>
          <w:lang w:val="es-ES_tradnl"/>
        </w:rPr>
      </w:pPr>
      <w:r w:rsidRPr="00A66B77">
        <w:rPr>
          <w:rFonts w:ascii="Century Gothic" w:eastAsia="Calibri" w:hAnsi="Century Gothic" w:cs="Arial"/>
          <w:sz w:val="20"/>
          <w:szCs w:val="20"/>
          <w:lang w:val="es-ES_tradnl"/>
        </w:rPr>
        <w:t xml:space="preserve">Por el contrario, el artículo 35.5 de la Ley 2069 de 2020 es un factor de desempate y, por ende, una regla de naturaleza distinta a la contenida en el artículo 67 de la ley 915 de 2004, aplicable a todos los procesos de contratación adelantados en el territorio nacional, independientemente de modalidad de selección. En consecuencia, dada la naturaleza </w:t>
      </w:r>
      <w:r>
        <w:rPr>
          <w:rFonts w:ascii="Century Gothic" w:eastAsia="Calibri" w:hAnsi="Century Gothic" w:cs="Arial"/>
          <w:sz w:val="20"/>
          <w:szCs w:val="20"/>
          <w:lang w:val="es-ES_tradnl"/>
        </w:rPr>
        <w:t>jurídica</w:t>
      </w:r>
      <w:r w:rsidRPr="00A66B77">
        <w:rPr>
          <w:rFonts w:ascii="Century Gothic" w:eastAsia="Calibri" w:hAnsi="Century Gothic" w:cs="Arial"/>
          <w:sz w:val="20"/>
          <w:szCs w:val="20"/>
          <w:lang w:val="es-ES_tradnl"/>
        </w:rPr>
        <w:t xml:space="preserve"> distinta de ambas normas, la </w:t>
      </w:r>
      <w:proofErr w:type="gramStart"/>
      <w:r w:rsidRPr="00A66B77">
        <w:rPr>
          <w:rFonts w:ascii="Century Gothic" w:eastAsia="Calibri" w:hAnsi="Century Gothic" w:cs="Arial"/>
          <w:sz w:val="20"/>
          <w:szCs w:val="20"/>
          <w:lang w:val="es-ES_tradnl"/>
        </w:rPr>
        <w:t>entrada en vigencia</w:t>
      </w:r>
      <w:proofErr w:type="gramEnd"/>
      <w:r w:rsidRPr="00A66B77">
        <w:rPr>
          <w:rFonts w:ascii="Century Gothic" w:eastAsia="Calibri" w:hAnsi="Century Gothic" w:cs="Arial"/>
          <w:sz w:val="20"/>
          <w:szCs w:val="20"/>
          <w:lang w:val="es-ES_tradnl"/>
        </w:rPr>
        <w:t xml:space="preserve"> del artículo 35 de la Ley de Emprendimiento no afecta la vigencia del artículo 67 de la Ley 915 de 2004</w:t>
      </w:r>
      <w:r w:rsidRPr="00431154">
        <w:rPr>
          <w:rFonts w:ascii="Century Gothic" w:eastAsia="Calibri" w:hAnsi="Century Gothic" w:cs="Arial"/>
          <w:sz w:val="20"/>
          <w:szCs w:val="20"/>
          <w:lang w:val="es-ES_tradnl"/>
        </w:rPr>
        <w:t>.</w:t>
      </w:r>
      <w:r>
        <w:rPr>
          <w:rFonts w:ascii="Century Gothic" w:eastAsia="Calibri" w:hAnsi="Century Gothic" w:cs="Arial"/>
          <w:sz w:val="20"/>
          <w:szCs w:val="20"/>
          <w:lang w:val="es-ES_tradnl"/>
        </w:rPr>
        <w:t xml:space="preserve"> </w:t>
      </w:r>
    </w:p>
    <w:p w14:paraId="5FE2030C" w14:textId="77777777" w:rsidR="00A52491" w:rsidRPr="00A52491" w:rsidRDefault="00A52491" w:rsidP="00312425">
      <w:pPr>
        <w:spacing w:after="0"/>
        <w:rPr>
          <w:rFonts w:ascii="Century Gothic" w:eastAsia="Geomanist Light" w:hAnsi="Century Gothic" w:cs="Arial"/>
          <w:color w:val="201F1E"/>
          <w:lang w:val="es-ES_tradnl"/>
        </w:rPr>
      </w:pPr>
    </w:p>
    <w:p w14:paraId="02030DAC" w14:textId="77777777" w:rsidR="00A52491" w:rsidRDefault="00A52491" w:rsidP="00312425">
      <w:pPr>
        <w:spacing w:after="0"/>
        <w:rPr>
          <w:rFonts w:ascii="Century Gothic" w:eastAsia="Geomanist Light" w:hAnsi="Century Gothic" w:cs="Arial"/>
          <w:color w:val="201F1E"/>
          <w:lang w:val="es-MX"/>
        </w:rPr>
      </w:pPr>
    </w:p>
    <w:p w14:paraId="353FA321" w14:textId="77777777" w:rsidR="00A52491" w:rsidRDefault="00A52491" w:rsidP="00312425">
      <w:pPr>
        <w:spacing w:after="0"/>
        <w:rPr>
          <w:rFonts w:ascii="Century Gothic" w:eastAsia="Geomanist Light" w:hAnsi="Century Gothic" w:cs="Arial"/>
          <w:color w:val="201F1E"/>
          <w:lang w:val="es-MX"/>
        </w:rPr>
      </w:pPr>
    </w:p>
    <w:p w14:paraId="75DB8ABA" w14:textId="77777777" w:rsidR="00A52491" w:rsidRDefault="00A52491" w:rsidP="00312425">
      <w:pPr>
        <w:spacing w:after="0"/>
        <w:rPr>
          <w:rFonts w:ascii="Century Gothic" w:eastAsia="Geomanist Light" w:hAnsi="Century Gothic" w:cs="Arial"/>
          <w:color w:val="201F1E"/>
          <w:lang w:val="es-MX"/>
        </w:rPr>
      </w:pPr>
    </w:p>
    <w:p w14:paraId="1D1CE92A" w14:textId="77777777" w:rsidR="00A52491" w:rsidRDefault="00A52491" w:rsidP="00312425">
      <w:pPr>
        <w:spacing w:after="0"/>
        <w:rPr>
          <w:rFonts w:ascii="Century Gothic" w:eastAsia="Geomanist Light" w:hAnsi="Century Gothic" w:cs="Arial"/>
          <w:color w:val="201F1E"/>
          <w:lang w:val="es-MX"/>
        </w:rPr>
      </w:pPr>
    </w:p>
    <w:p w14:paraId="4EA35EA7" w14:textId="77777777" w:rsidR="00A52491" w:rsidRDefault="00A52491" w:rsidP="00312425">
      <w:pPr>
        <w:spacing w:after="0"/>
        <w:rPr>
          <w:rFonts w:ascii="Century Gothic" w:eastAsia="Geomanist Light" w:hAnsi="Century Gothic" w:cs="Arial"/>
          <w:color w:val="201F1E"/>
          <w:lang w:val="es-MX"/>
        </w:rPr>
      </w:pPr>
    </w:p>
    <w:p w14:paraId="12018F98" w14:textId="77777777" w:rsidR="00A52491" w:rsidRDefault="00A52491" w:rsidP="00312425">
      <w:pPr>
        <w:spacing w:after="0"/>
        <w:rPr>
          <w:rFonts w:ascii="Century Gothic" w:eastAsia="Geomanist Light" w:hAnsi="Century Gothic" w:cs="Arial"/>
          <w:color w:val="201F1E"/>
          <w:lang w:val="es-MX"/>
        </w:rPr>
      </w:pPr>
    </w:p>
    <w:p w14:paraId="36FB8B70" w14:textId="77777777" w:rsidR="00A52491" w:rsidRDefault="00A52491" w:rsidP="00312425">
      <w:pPr>
        <w:spacing w:after="0"/>
        <w:rPr>
          <w:rFonts w:ascii="Century Gothic" w:eastAsia="Geomanist Light" w:hAnsi="Century Gothic" w:cs="Arial"/>
          <w:color w:val="201F1E"/>
          <w:lang w:val="es-MX"/>
        </w:rPr>
      </w:pPr>
    </w:p>
    <w:p w14:paraId="71AB42BA" w14:textId="77777777" w:rsidR="00A52491" w:rsidRDefault="00A52491" w:rsidP="00312425">
      <w:pPr>
        <w:spacing w:after="0"/>
        <w:rPr>
          <w:rFonts w:ascii="Century Gothic" w:eastAsia="Geomanist Light" w:hAnsi="Century Gothic" w:cs="Arial"/>
          <w:color w:val="201F1E"/>
          <w:lang w:val="es-MX"/>
        </w:rPr>
      </w:pPr>
    </w:p>
    <w:p w14:paraId="78624642" w14:textId="77777777" w:rsidR="00A52491" w:rsidRDefault="00A52491" w:rsidP="00312425">
      <w:pPr>
        <w:spacing w:after="0"/>
        <w:rPr>
          <w:rFonts w:ascii="Century Gothic" w:eastAsia="Geomanist Light" w:hAnsi="Century Gothic" w:cs="Arial"/>
          <w:color w:val="201F1E"/>
          <w:lang w:val="es-MX"/>
        </w:rPr>
      </w:pPr>
    </w:p>
    <w:p w14:paraId="2441A9FA" w14:textId="77777777" w:rsidR="00A52491" w:rsidRDefault="00A52491" w:rsidP="00312425">
      <w:pPr>
        <w:spacing w:after="0"/>
        <w:rPr>
          <w:rFonts w:ascii="Century Gothic" w:eastAsia="Geomanist Light" w:hAnsi="Century Gothic" w:cs="Arial"/>
          <w:color w:val="201F1E"/>
          <w:lang w:val="es-MX"/>
        </w:rPr>
      </w:pPr>
    </w:p>
    <w:p w14:paraId="77FF9B58" w14:textId="77777777" w:rsidR="00A52491" w:rsidRDefault="00A52491" w:rsidP="00312425">
      <w:pPr>
        <w:spacing w:after="0"/>
        <w:rPr>
          <w:rFonts w:ascii="Century Gothic" w:eastAsia="Geomanist Light" w:hAnsi="Century Gothic" w:cs="Arial"/>
          <w:color w:val="201F1E"/>
          <w:lang w:val="es-MX"/>
        </w:rPr>
      </w:pPr>
    </w:p>
    <w:p w14:paraId="6A40BC6F" w14:textId="77777777" w:rsidR="00A52491" w:rsidRDefault="00A52491" w:rsidP="00312425">
      <w:pPr>
        <w:spacing w:after="0"/>
        <w:rPr>
          <w:rFonts w:ascii="Century Gothic" w:eastAsia="Geomanist Light" w:hAnsi="Century Gothic" w:cs="Arial"/>
          <w:color w:val="201F1E"/>
          <w:lang w:val="es-MX"/>
        </w:rPr>
      </w:pPr>
    </w:p>
    <w:p w14:paraId="5476FAE6" w14:textId="77777777" w:rsidR="00A52491" w:rsidRDefault="00A52491" w:rsidP="00312425">
      <w:pPr>
        <w:spacing w:after="0"/>
        <w:rPr>
          <w:rFonts w:ascii="Century Gothic" w:eastAsia="Geomanist Light" w:hAnsi="Century Gothic" w:cs="Arial"/>
          <w:color w:val="201F1E"/>
          <w:lang w:val="es-MX"/>
        </w:rPr>
      </w:pPr>
    </w:p>
    <w:p w14:paraId="2FBEC652" w14:textId="77777777" w:rsidR="00A52491" w:rsidRDefault="00A52491" w:rsidP="00312425">
      <w:pPr>
        <w:spacing w:after="0"/>
        <w:rPr>
          <w:rFonts w:ascii="Century Gothic" w:eastAsia="Geomanist Light" w:hAnsi="Century Gothic" w:cs="Arial"/>
          <w:color w:val="201F1E"/>
          <w:lang w:val="es-MX"/>
        </w:rPr>
      </w:pPr>
    </w:p>
    <w:p w14:paraId="3C4AEC5A" w14:textId="77777777" w:rsidR="00A52491" w:rsidRDefault="00A52491" w:rsidP="00312425">
      <w:pPr>
        <w:spacing w:after="0"/>
        <w:rPr>
          <w:rFonts w:ascii="Century Gothic" w:eastAsia="Geomanist Light" w:hAnsi="Century Gothic" w:cs="Arial"/>
          <w:color w:val="201F1E"/>
          <w:lang w:val="es-MX"/>
        </w:rPr>
      </w:pPr>
    </w:p>
    <w:p w14:paraId="17356711" w14:textId="77777777" w:rsidR="00A52491" w:rsidRDefault="00A52491" w:rsidP="00312425">
      <w:pPr>
        <w:spacing w:after="0"/>
        <w:rPr>
          <w:rFonts w:ascii="Century Gothic" w:eastAsia="Geomanist Light" w:hAnsi="Century Gothic" w:cs="Arial"/>
          <w:color w:val="201F1E"/>
          <w:lang w:val="es-MX"/>
        </w:rPr>
      </w:pPr>
    </w:p>
    <w:p w14:paraId="31FCDA9A" w14:textId="77777777" w:rsidR="00A52491" w:rsidRDefault="00A52491" w:rsidP="00312425">
      <w:pPr>
        <w:spacing w:after="0"/>
        <w:rPr>
          <w:rFonts w:ascii="Century Gothic" w:eastAsia="Geomanist Light" w:hAnsi="Century Gothic" w:cs="Arial"/>
          <w:color w:val="201F1E"/>
          <w:lang w:val="es-MX"/>
        </w:rPr>
      </w:pPr>
    </w:p>
    <w:p w14:paraId="5A4A6874" w14:textId="77777777" w:rsidR="00A52491" w:rsidRDefault="00A52491" w:rsidP="00312425">
      <w:pPr>
        <w:spacing w:after="0"/>
        <w:rPr>
          <w:rFonts w:ascii="Century Gothic" w:eastAsia="Geomanist Light" w:hAnsi="Century Gothic" w:cs="Arial"/>
          <w:color w:val="201F1E"/>
          <w:lang w:val="es-MX"/>
        </w:rPr>
      </w:pPr>
    </w:p>
    <w:p w14:paraId="61D50FCC" w14:textId="77777777" w:rsidR="00A52491" w:rsidRDefault="00A52491" w:rsidP="00312425">
      <w:pPr>
        <w:spacing w:after="0"/>
        <w:rPr>
          <w:rFonts w:ascii="Century Gothic" w:eastAsia="Geomanist Light" w:hAnsi="Century Gothic" w:cs="Arial"/>
          <w:color w:val="201F1E"/>
          <w:lang w:val="es-MX"/>
        </w:rPr>
      </w:pPr>
    </w:p>
    <w:p w14:paraId="39B35C42" w14:textId="77777777" w:rsidR="00A52491" w:rsidRDefault="00A52491" w:rsidP="00312425">
      <w:pPr>
        <w:spacing w:after="0"/>
        <w:rPr>
          <w:rFonts w:ascii="Century Gothic" w:eastAsia="Geomanist Light" w:hAnsi="Century Gothic" w:cs="Arial"/>
          <w:color w:val="201F1E"/>
          <w:lang w:val="es-MX"/>
        </w:rPr>
      </w:pPr>
    </w:p>
    <w:p w14:paraId="30BD3745" w14:textId="77777777" w:rsidR="00A52491" w:rsidRDefault="00A52491" w:rsidP="00312425">
      <w:pPr>
        <w:spacing w:after="0"/>
        <w:rPr>
          <w:rFonts w:ascii="Century Gothic" w:eastAsia="Geomanist Light" w:hAnsi="Century Gothic" w:cs="Arial"/>
          <w:color w:val="201F1E"/>
          <w:lang w:val="es-MX"/>
        </w:rPr>
      </w:pPr>
    </w:p>
    <w:p w14:paraId="60914FDA" w14:textId="77777777" w:rsidR="00A52491" w:rsidRDefault="00A52491" w:rsidP="00312425">
      <w:pPr>
        <w:spacing w:after="0"/>
        <w:rPr>
          <w:rFonts w:ascii="Century Gothic" w:eastAsia="Geomanist Light" w:hAnsi="Century Gothic" w:cs="Arial"/>
          <w:color w:val="201F1E"/>
          <w:lang w:val="es-MX"/>
        </w:rPr>
      </w:pPr>
    </w:p>
    <w:p w14:paraId="48A82CF5" w14:textId="77777777" w:rsidR="00A52491" w:rsidRDefault="00A52491" w:rsidP="00312425">
      <w:pPr>
        <w:spacing w:after="0"/>
        <w:rPr>
          <w:rFonts w:ascii="Century Gothic" w:eastAsia="Geomanist Light" w:hAnsi="Century Gothic" w:cs="Arial"/>
          <w:color w:val="201F1E"/>
          <w:lang w:val="es-MX"/>
        </w:rPr>
      </w:pPr>
    </w:p>
    <w:p w14:paraId="5E829E3F" w14:textId="77777777" w:rsidR="00A52491" w:rsidRDefault="00A52491" w:rsidP="00312425">
      <w:pPr>
        <w:spacing w:after="0"/>
        <w:rPr>
          <w:rFonts w:ascii="Century Gothic" w:eastAsia="Geomanist Light" w:hAnsi="Century Gothic" w:cs="Arial"/>
          <w:color w:val="201F1E"/>
          <w:lang w:val="es-MX"/>
        </w:rPr>
      </w:pPr>
    </w:p>
    <w:p w14:paraId="469F9F2C" w14:textId="77777777" w:rsidR="00A52491" w:rsidRDefault="00A52491" w:rsidP="00312425">
      <w:pPr>
        <w:spacing w:after="0"/>
        <w:rPr>
          <w:rFonts w:ascii="Century Gothic" w:eastAsia="Geomanist Light" w:hAnsi="Century Gothic" w:cs="Arial"/>
          <w:color w:val="201F1E"/>
          <w:lang w:val="es-MX"/>
        </w:rPr>
      </w:pPr>
    </w:p>
    <w:p w14:paraId="4246027A" w14:textId="77777777" w:rsidR="00A52491" w:rsidRDefault="00A52491" w:rsidP="00312425">
      <w:pPr>
        <w:spacing w:after="0"/>
        <w:rPr>
          <w:rFonts w:ascii="Century Gothic" w:eastAsia="Geomanist Light" w:hAnsi="Century Gothic" w:cs="Arial"/>
          <w:color w:val="201F1E"/>
          <w:lang w:val="es-MX"/>
        </w:rPr>
      </w:pPr>
    </w:p>
    <w:p w14:paraId="4BD157B4" w14:textId="77777777" w:rsidR="00A52491" w:rsidRDefault="00A52491" w:rsidP="00312425">
      <w:pPr>
        <w:spacing w:after="0"/>
        <w:rPr>
          <w:rFonts w:ascii="Century Gothic" w:eastAsia="Geomanist Light" w:hAnsi="Century Gothic" w:cs="Arial"/>
          <w:color w:val="201F1E"/>
          <w:lang w:val="es-MX"/>
        </w:rPr>
      </w:pPr>
    </w:p>
    <w:p w14:paraId="08DF7AB7" w14:textId="12D9E275" w:rsidR="00312425" w:rsidRPr="00035110" w:rsidRDefault="00312425" w:rsidP="00312425">
      <w:pPr>
        <w:spacing w:after="0"/>
        <w:rPr>
          <w:rFonts w:ascii="Century Gothic" w:eastAsia="Geomanist Light" w:hAnsi="Century Gothic" w:cs="Arial"/>
          <w:color w:val="201F1E"/>
          <w:lang w:val="es-MX"/>
        </w:rPr>
      </w:pPr>
      <w:r w:rsidRPr="00035110">
        <w:rPr>
          <w:rFonts w:ascii="Century Gothic" w:eastAsia="Geomanist Light" w:hAnsi="Century Gothic" w:cs="Arial"/>
          <w:color w:val="201F1E"/>
          <w:lang w:val="es-MX"/>
        </w:rPr>
        <w:lastRenderedPageBreak/>
        <w:t xml:space="preserve">Bogotá D.C., </w:t>
      </w:r>
      <w:r w:rsidR="00D22E31" w:rsidRPr="00D22E31">
        <w:rPr>
          <w:rFonts w:ascii="Century Gothic" w:eastAsia="Geomanist Light" w:hAnsi="Century Gothic" w:cs="Arial"/>
          <w:color w:val="201F1E"/>
          <w:lang w:val="es-MX"/>
        </w:rPr>
        <w:t xml:space="preserve">12 de </w:t>
      </w:r>
      <w:proofErr w:type="gramStart"/>
      <w:r w:rsidR="00D22E31" w:rsidRPr="00D22E31">
        <w:rPr>
          <w:rFonts w:ascii="Century Gothic" w:eastAsia="Geomanist Light" w:hAnsi="Century Gothic" w:cs="Arial"/>
          <w:color w:val="201F1E"/>
          <w:lang w:val="es-MX"/>
        </w:rPr>
        <w:t>Junio</w:t>
      </w:r>
      <w:proofErr w:type="gramEnd"/>
      <w:r w:rsidR="00D22E31" w:rsidRPr="00D22E31">
        <w:rPr>
          <w:rFonts w:ascii="Century Gothic" w:eastAsia="Geomanist Light" w:hAnsi="Century Gothic" w:cs="Arial"/>
          <w:color w:val="201F1E"/>
          <w:lang w:val="es-MX"/>
        </w:rPr>
        <w:t xml:space="preserve"> de 2024</w:t>
      </w:r>
    </w:p>
    <w:p w14:paraId="0073697E" w14:textId="77777777" w:rsidR="00312425" w:rsidRDefault="00312425" w:rsidP="00312425">
      <w:pPr>
        <w:spacing w:after="0"/>
        <w:rPr>
          <w:rFonts w:ascii="Century Gothic" w:eastAsia="Times New Roman" w:hAnsi="Century Gothic" w:cs="Arial"/>
          <w:lang w:val="es-MX" w:eastAsia="es-ES"/>
        </w:rPr>
      </w:pPr>
    </w:p>
    <w:p w14:paraId="565C3AFC" w14:textId="09D011D0" w:rsidR="00D22E31" w:rsidRPr="00035110" w:rsidRDefault="00D22E31" w:rsidP="00D22E31">
      <w:pPr>
        <w:spacing w:after="0"/>
        <w:jc w:val="right"/>
        <w:rPr>
          <w:rFonts w:ascii="Century Gothic" w:eastAsia="Times New Roman" w:hAnsi="Century Gothic" w:cs="Arial"/>
          <w:lang w:val="es-MX" w:eastAsia="es-ES"/>
        </w:rPr>
      </w:pPr>
      <w:r>
        <w:rPr>
          <w:noProof/>
        </w:rPr>
        <w:drawing>
          <wp:inline distT="0" distB="0" distL="0" distR="0" wp14:anchorId="0E480B11" wp14:editId="7CDD4EFC">
            <wp:extent cx="3253476" cy="904813"/>
            <wp:effectExtent l="0" t="0" r="4445" b="0"/>
            <wp:docPr id="9799008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900826" name=""/>
                    <pic:cNvPicPr/>
                  </pic:nvPicPr>
                  <pic:blipFill>
                    <a:blip r:embed="rId10"/>
                    <a:stretch>
                      <a:fillRect/>
                    </a:stretch>
                  </pic:blipFill>
                  <pic:spPr>
                    <a:xfrm>
                      <a:off x="0" y="0"/>
                      <a:ext cx="3253476" cy="904813"/>
                    </a:xfrm>
                    <a:prstGeom prst="rect">
                      <a:avLst/>
                    </a:prstGeom>
                  </pic:spPr>
                </pic:pic>
              </a:graphicData>
            </a:graphic>
          </wp:inline>
        </w:drawing>
      </w:r>
    </w:p>
    <w:p w14:paraId="66A2C44A" w14:textId="77777777" w:rsidR="00312425" w:rsidRPr="00035110" w:rsidRDefault="00312425" w:rsidP="00312425">
      <w:pPr>
        <w:spacing w:after="0"/>
        <w:contextualSpacing/>
        <w:jc w:val="both"/>
        <w:rPr>
          <w:rFonts w:ascii="Century Gothic" w:eastAsia="Calibri" w:hAnsi="Century Gothic" w:cs="Arial"/>
          <w:lang w:val="es-ES_tradnl" w:eastAsia="es-ES_tradnl"/>
        </w:rPr>
      </w:pPr>
    </w:p>
    <w:p w14:paraId="0D512999" w14:textId="77777777" w:rsidR="00312425" w:rsidRPr="00035110" w:rsidRDefault="00312425" w:rsidP="00312425">
      <w:pPr>
        <w:contextualSpacing/>
        <w:jc w:val="both"/>
        <w:rPr>
          <w:rFonts w:ascii="Century Gothic" w:eastAsia="Calibri" w:hAnsi="Century Gothic" w:cs="Arial"/>
          <w:lang w:eastAsia="es-ES_tradnl"/>
        </w:rPr>
      </w:pPr>
      <w:r w:rsidRPr="00035110">
        <w:rPr>
          <w:rFonts w:ascii="Century Gothic" w:eastAsia="Calibri" w:hAnsi="Century Gothic" w:cs="Arial"/>
          <w:lang w:eastAsia="es-ES_tradnl"/>
        </w:rPr>
        <w:t>Señor</w:t>
      </w:r>
      <w:r>
        <w:rPr>
          <w:rFonts w:ascii="Century Gothic" w:eastAsia="Calibri" w:hAnsi="Century Gothic" w:cs="Arial"/>
          <w:lang w:eastAsia="es-ES_tradnl"/>
        </w:rPr>
        <w:t>a</w:t>
      </w:r>
    </w:p>
    <w:p w14:paraId="7DB581EF" w14:textId="77777777" w:rsidR="00312425" w:rsidRPr="00035110" w:rsidRDefault="00312425" w:rsidP="00312425">
      <w:pPr>
        <w:contextualSpacing/>
        <w:jc w:val="both"/>
        <w:rPr>
          <w:rFonts w:ascii="Century Gothic" w:eastAsia="Calibri" w:hAnsi="Century Gothic" w:cs="Arial"/>
          <w:b/>
          <w:lang w:eastAsia="es-ES_tradnl"/>
        </w:rPr>
      </w:pPr>
      <w:r w:rsidRPr="00F2065C">
        <w:rPr>
          <w:rFonts w:ascii="Century Gothic" w:eastAsia="Calibri" w:hAnsi="Century Gothic" w:cs="Arial"/>
          <w:b/>
          <w:lang w:eastAsia="es-ES_tradnl"/>
        </w:rPr>
        <w:t>Hillary Yohanna Rodríguez Martínez</w:t>
      </w:r>
      <w:r>
        <w:rPr>
          <w:rFonts w:ascii="Century Gothic" w:eastAsia="Calibri" w:hAnsi="Century Gothic" w:cs="Arial"/>
          <w:b/>
          <w:lang w:eastAsia="es-ES_tradnl"/>
        </w:rPr>
        <w:t xml:space="preserve"> </w:t>
      </w:r>
    </w:p>
    <w:p w14:paraId="3746A63C" w14:textId="232733DE" w:rsidR="00312425" w:rsidRPr="00035110" w:rsidRDefault="00312425" w:rsidP="00312425">
      <w:pPr>
        <w:contextualSpacing/>
        <w:jc w:val="both"/>
        <w:rPr>
          <w:rFonts w:ascii="Century Gothic" w:eastAsia="Calibri" w:hAnsi="Century Gothic" w:cs="Arial"/>
          <w:lang w:eastAsia="es-ES_tradnl"/>
        </w:rPr>
      </w:pPr>
      <w:r>
        <w:rPr>
          <w:rFonts w:ascii="Century Gothic" w:eastAsia="Calibri" w:hAnsi="Century Gothic" w:cs="Arial"/>
          <w:lang w:eastAsia="es-ES_tradnl"/>
        </w:rPr>
        <w:t xml:space="preserve">San Andrés </w:t>
      </w:r>
      <w:r w:rsidR="00F052A1">
        <w:rPr>
          <w:rFonts w:ascii="Century Gothic" w:eastAsia="Calibri" w:hAnsi="Century Gothic" w:cs="Arial"/>
          <w:lang w:eastAsia="es-ES_tradnl"/>
        </w:rPr>
        <w:t>Is</w:t>
      </w:r>
      <w:r w:rsidR="005A71D7">
        <w:rPr>
          <w:rFonts w:ascii="Century Gothic" w:eastAsia="Calibri" w:hAnsi="Century Gothic" w:cs="Arial"/>
          <w:lang w:eastAsia="es-ES_tradnl"/>
        </w:rPr>
        <w:t>las</w:t>
      </w:r>
    </w:p>
    <w:p w14:paraId="2C6421BE" w14:textId="77777777" w:rsidR="00312425" w:rsidRPr="00035110" w:rsidRDefault="00312425" w:rsidP="00312425">
      <w:pPr>
        <w:contextualSpacing/>
        <w:jc w:val="both"/>
        <w:rPr>
          <w:rFonts w:ascii="Century Gothic" w:eastAsia="Calibri" w:hAnsi="Century Gothic" w:cs="Arial"/>
          <w:lang w:val="es-ES_tradnl" w:eastAsia="es-ES_tradnl"/>
        </w:rPr>
      </w:pPr>
    </w:p>
    <w:p w14:paraId="186F369D" w14:textId="77777777" w:rsidR="00312425" w:rsidRPr="00035110" w:rsidRDefault="00312425" w:rsidP="00312425">
      <w:pPr>
        <w:contextualSpacing/>
        <w:rPr>
          <w:rFonts w:ascii="Century Gothic" w:eastAsia="Calibri" w:hAnsi="Century Gothic" w:cs="Arial"/>
          <w:b/>
          <w:lang w:val="es-ES_tradnl" w:eastAsia="es-ES_tradnl"/>
        </w:rPr>
      </w:pPr>
    </w:p>
    <w:p w14:paraId="7D8EEE89" w14:textId="77777777" w:rsidR="00312425" w:rsidRPr="00035110" w:rsidRDefault="00312425" w:rsidP="00312425">
      <w:pPr>
        <w:ind w:left="2124" w:firstLine="570"/>
        <w:contextualSpacing/>
        <w:rPr>
          <w:rFonts w:ascii="Century Gothic" w:eastAsia="Calibri" w:hAnsi="Century Gothic" w:cs="Arial"/>
          <w:b/>
          <w:lang w:val="es-ES_tradnl" w:eastAsia="es-ES_tradnl"/>
        </w:rPr>
      </w:pPr>
      <w:r w:rsidRPr="00035110">
        <w:rPr>
          <w:rFonts w:ascii="Century Gothic" w:eastAsia="Calibri" w:hAnsi="Century Gothic" w:cs="Arial"/>
          <w:b/>
          <w:lang w:val="es-ES_tradnl" w:eastAsia="es-ES_tradnl"/>
        </w:rPr>
        <w:t xml:space="preserve">Concepto C – </w:t>
      </w:r>
      <w:r>
        <w:rPr>
          <w:rFonts w:ascii="Century Gothic" w:eastAsia="Calibri" w:hAnsi="Century Gothic" w:cs="Arial"/>
          <w:b/>
          <w:lang w:val="es-ES_tradnl" w:eastAsia="es-ES_tradnl"/>
        </w:rPr>
        <w:t>103</w:t>
      </w:r>
      <w:r w:rsidRPr="00035110">
        <w:rPr>
          <w:rFonts w:ascii="Century Gothic" w:eastAsia="Calibri" w:hAnsi="Century Gothic" w:cs="Arial"/>
          <w:b/>
          <w:lang w:val="es-ES_tradnl" w:eastAsia="es-ES_tradnl"/>
        </w:rPr>
        <w:t xml:space="preserve"> de 2024</w:t>
      </w:r>
    </w:p>
    <w:p w14:paraId="6F62053D" w14:textId="77777777" w:rsidR="00312425" w:rsidRPr="00035110" w:rsidRDefault="00312425" w:rsidP="00312425">
      <w:pPr>
        <w:contextualSpacing/>
        <w:jc w:val="both"/>
        <w:rPr>
          <w:rFonts w:ascii="Century Gothic" w:eastAsia="Calibri" w:hAnsi="Century Gothic"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12425" w:rsidRPr="00035110" w14:paraId="015BDAAC" w14:textId="77777777" w:rsidTr="00AA7BED">
        <w:tc>
          <w:tcPr>
            <w:tcW w:w="2689" w:type="dxa"/>
          </w:tcPr>
          <w:p w14:paraId="1E6FDE96" w14:textId="77777777" w:rsidR="00312425" w:rsidRPr="00035110" w:rsidRDefault="00312425" w:rsidP="00AA7BED">
            <w:pPr>
              <w:contextualSpacing/>
              <w:jc w:val="both"/>
              <w:rPr>
                <w:rFonts w:ascii="Century Gothic" w:eastAsia="Calibri" w:hAnsi="Century Gothic" w:cs="Arial"/>
                <w:lang w:val="es-ES_tradnl" w:eastAsia="es-ES_tradnl"/>
              </w:rPr>
            </w:pPr>
            <w:r w:rsidRPr="00035110">
              <w:rPr>
                <w:rFonts w:ascii="Century Gothic" w:eastAsia="Calibri" w:hAnsi="Century Gothic" w:cs="Arial"/>
                <w:b/>
                <w:lang w:val="es-ES_tradnl" w:eastAsia="es-ES_tradnl"/>
              </w:rPr>
              <w:t>Temas:</w:t>
            </w:r>
            <w:r>
              <w:rPr>
                <w:rFonts w:ascii="Century Gothic" w:eastAsia="Calibri" w:hAnsi="Century Gothic" w:cs="Arial"/>
                <w:lang w:val="es-ES_tradnl" w:eastAsia="es-ES_tradnl"/>
              </w:rPr>
              <w:t xml:space="preserve">          </w:t>
            </w:r>
          </w:p>
        </w:tc>
        <w:tc>
          <w:tcPr>
            <w:tcW w:w="6237" w:type="dxa"/>
          </w:tcPr>
          <w:p w14:paraId="44BAE9D9" w14:textId="77777777" w:rsidR="00312425" w:rsidRPr="00035110" w:rsidRDefault="00312425" w:rsidP="00AA7BED">
            <w:pPr>
              <w:spacing w:after="120"/>
              <w:contextualSpacing/>
              <w:jc w:val="both"/>
              <w:rPr>
                <w:rFonts w:ascii="Century Gothic" w:eastAsia="Calibri" w:hAnsi="Century Gothic" w:cs="Arial"/>
                <w:lang w:val="es-MX" w:eastAsia="es-ES_tradnl"/>
              </w:rPr>
            </w:pPr>
            <w:r w:rsidRPr="00D974C7">
              <w:rPr>
                <w:rFonts w:ascii="Century Gothic" w:eastAsia="Calibri" w:hAnsi="Century Gothic" w:cs="Arial"/>
                <w:lang w:val="es-MX" w:eastAsia="es-ES_tradnl"/>
              </w:rPr>
              <w:t>FACTORES DE DESEMPATE – Características – Límites</w:t>
            </w:r>
            <w:r>
              <w:rPr>
                <w:rFonts w:ascii="Century Gothic" w:eastAsia="Calibri" w:hAnsi="Century Gothic" w:cs="Arial"/>
                <w:lang w:val="es-MX" w:eastAsia="es-ES_tradnl"/>
              </w:rPr>
              <w:t xml:space="preserve"> / </w:t>
            </w:r>
            <w:r w:rsidRPr="00D974C7">
              <w:rPr>
                <w:rFonts w:ascii="Century Gothic" w:eastAsia="Calibri" w:hAnsi="Century Gothic" w:cs="Arial"/>
                <w:lang w:val="es-MX" w:eastAsia="es-ES_tradnl"/>
              </w:rPr>
              <w:t>LEY DE EMPRENDIMIENTO – Ley 2069 de 2020 – Reglamentación – Decreto 1860 de 2021 – Vigencia</w:t>
            </w:r>
            <w:r>
              <w:rPr>
                <w:rFonts w:ascii="Century Gothic" w:eastAsia="Calibri" w:hAnsi="Century Gothic" w:cs="Arial"/>
                <w:lang w:val="es-MX" w:eastAsia="es-ES_tradnl"/>
              </w:rPr>
              <w:t xml:space="preserve"> / </w:t>
            </w:r>
            <w:r w:rsidRPr="003D199C">
              <w:rPr>
                <w:rFonts w:ascii="Century Gothic" w:eastAsia="Calibri" w:hAnsi="Century Gothic" w:cs="Arial"/>
                <w:lang w:val="es-MX" w:eastAsia="es-ES_tradnl"/>
              </w:rPr>
              <w:t>VIGENCIA JURÍDICA INDEPENDIENTE – Art. 67 de la Ley 915 de 2004 – Art. 35 de la Ley 2069 de 2020</w:t>
            </w:r>
            <w:r>
              <w:rPr>
                <w:rFonts w:ascii="Century Gothic" w:eastAsia="Calibri" w:hAnsi="Century Gothic" w:cs="Arial"/>
                <w:lang w:val="es-MX" w:eastAsia="es-ES_tradnl"/>
              </w:rPr>
              <w:t xml:space="preserve"> </w:t>
            </w:r>
          </w:p>
          <w:p w14:paraId="51A9FD00" w14:textId="77777777" w:rsidR="00312425" w:rsidRPr="00035110" w:rsidRDefault="00312425" w:rsidP="00AA7BED">
            <w:pPr>
              <w:spacing w:after="120"/>
              <w:contextualSpacing/>
              <w:jc w:val="both"/>
              <w:rPr>
                <w:rFonts w:ascii="Century Gothic" w:eastAsia="Calibri" w:hAnsi="Century Gothic" w:cs="Arial"/>
                <w:sz w:val="12"/>
                <w:szCs w:val="12"/>
                <w:lang w:val="es-ES_tradnl" w:eastAsia="es-ES_tradnl"/>
              </w:rPr>
            </w:pPr>
          </w:p>
        </w:tc>
      </w:tr>
      <w:tr w:rsidR="00312425" w:rsidRPr="00035110" w14:paraId="5130ADBE" w14:textId="77777777" w:rsidTr="00AA7BED">
        <w:trPr>
          <w:trHeight w:val="227"/>
        </w:trPr>
        <w:tc>
          <w:tcPr>
            <w:tcW w:w="2689" w:type="dxa"/>
          </w:tcPr>
          <w:p w14:paraId="3BE09AA7" w14:textId="77777777" w:rsidR="00312425" w:rsidRPr="00035110" w:rsidRDefault="00312425" w:rsidP="00AA7BED">
            <w:pPr>
              <w:contextualSpacing/>
              <w:jc w:val="both"/>
              <w:rPr>
                <w:rFonts w:ascii="Century Gothic" w:eastAsia="Calibri" w:hAnsi="Century Gothic" w:cs="Arial"/>
                <w:b/>
                <w:lang w:val="es-ES_tradnl" w:eastAsia="es-ES_tradnl"/>
              </w:rPr>
            </w:pPr>
            <w:r w:rsidRPr="00035110">
              <w:rPr>
                <w:rFonts w:ascii="Century Gothic" w:eastAsia="Calibri" w:hAnsi="Century Gothic" w:cs="Arial"/>
                <w:b/>
                <w:lang w:val="es-ES_tradnl" w:eastAsia="es-ES_tradnl"/>
              </w:rPr>
              <w:t>Radicación:</w:t>
            </w:r>
            <w:r>
              <w:rPr>
                <w:rFonts w:ascii="Century Gothic" w:eastAsia="Calibri" w:hAnsi="Century Gothic" w:cs="Arial"/>
                <w:lang w:val="es-ES_tradnl" w:eastAsia="es-ES_tradnl"/>
              </w:rPr>
              <w:t xml:space="preserve">       </w:t>
            </w:r>
            <w:r w:rsidRPr="00035110">
              <w:rPr>
                <w:rFonts w:ascii="Century Gothic" w:eastAsia="Calibri" w:hAnsi="Century Gothic" w:cs="Arial"/>
                <w:lang w:val="es-ES_tradnl" w:eastAsia="es-ES_tradnl"/>
              </w:rPr>
              <w:t xml:space="preserve"> </w:t>
            </w:r>
          </w:p>
        </w:tc>
        <w:tc>
          <w:tcPr>
            <w:tcW w:w="6237" w:type="dxa"/>
          </w:tcPr>
          <w:p w14:paraId="3299CBEA" w14:textId="77777777" w:rsidR="00312425" w:rsidRPr="00035110" w:rsidRDefault="00312425" w:rsidP="00AA7BED">
            <w:pPr>
              <w:contextualSpacing/>
              <w:jc w:val="both"/>
              <w:rPr>
                <w:rFonts w:ascii="Century Gothic" w:eastAsia="Calibri" w:hAnsi="Century Gothic" w:cs="Arial"/>
                <w:lang w:val="es-ES_tradnl" w:eastAsia="es-ES_tradnl"/>
              </w:rPr>
            </w:pPr>
            <w:r w:rsidRPr="00035110">
              <w:rPr>
                <w:rFonts w:ascii="Century Gothic" w:eastAsia="Calibri" w:hAnsi="Century Gothic" w:cs="Arial"/>
                <w:lang w:val="es-ES_tradnl" w:eastAsia="es-ES_tradnl"/>
              </w:rPr>
              <w:t xml:space="preserve">Respuesta a la consulta </w:t>
            </w:r>
            <w:r w:rsidRPr="00F2065C">
              <w:rPr>
                <w:rFonts w:ascii="Century Gothic" w:eastAsia="Calibri" w:hAnsi="Century Gothic" w:cs="Arial"/>
                <w:lang w:val="es-ES_tradnl" w:eastAsia="es-ES_tradnl"/>
              </w:rPr>
              <w:t>P20240516005099</w:t>
            </w:r>
          </w:p>
        </w:tc>
      </w:tr>
    </w:tbl>
    <w:p w14:paraId="538634C7" w14:textId="77777777" w:rsidR="00312425" w:rsidRPr="00035110" w:rsidRDefault="00312425" w:rsidP="00312425">
      <w:pPr>
        <w:contextualSpacing/>
        <w:jc w:val="both"/>
        <w:rPr>
          <w:rFonts w:ascii="Century Gothic" w:eastAsia="Calibri" w:hAnsi="Century Gothic" w:cs="Arial"/>
          <w:lang w:val="es-ES_tradnl" w:eastAsia="es-ES_tradnl"/>
        </w:rPr>
      </w:pPr>
    </w:p>
    <w:p w14:paraId="5EA39F91" w14:textId="77777777" w:rsidR="00312425" w:rsidRPr="00035110" w:rsidRDefault="00312425" w:rsidP="00312425">
      <w:pPr>
        <w:contextualSpacing/>
        <w:jc w:val="both"/>
        <w:rPr>
          <w:rFonts w:ascii="Century Gothic" w:eastAsia="Calibri" w:hAnsi="Century Gothic" w:cs="Arial"/>
          <w:lang w:val="es-ES_tradnl" w:eastAsia="es-ES_tradnl"/>
        </w:rPr>
      </w:pPr>
    </w:p>
    <w:p w14:paraId="462D5F62" w14:textId="0F39F01F" w:rsidR="00312425" w:rsidRPr="00035110" w:rsidRDefault="00312425" w:rsidP="00312425">
      <w:pPr>
        <w:contextualSpacing/>
        <w:jc w:val="both"/>
        <w:rPr>
          <w:rFonts w:ascii="Century Gothic" w:eastAsia="Calibri" w:hAnsi="Century Gothic" w:cs="Arial"/>
          <w:lang w:val="es-ES" w:eastAsia="es-ES"/>
        </w:rPr>
      </w:pPr>
      <w:r w:rsidRPr="00035110">
        <w:rPr>
          <w:rFonts w:ascii="Century Gothic" w:eastAsia="Calibri" w:hAnsi="Century Gothic" w:cs="Arial"/>
          <w:lang w:val="es-ES" w:eastAsia="es-ES"/>
        </w:rPr>
        <w:t>Respetad</w:t>
      </w:r>
      <w:r>
        <w:rPr>
          <w:rFonts w:ascii="Century Gothic" w:eastAsia="Calibri" w:hAnsi="Century Gothic" w:cs="Arial"/>
          <w:lang w:val="es-ES" w:eastAsia="es-ES"/>
        </w:rPr>
        <w:t>a</w:t>
      </w:r>
      <w:r w:rsidRPr="00035110">
        <w:rPr>
          <w:rFonts w:ascii="Century Gothic" w:eastAsia="Calibri" w:hAnsi="Century Gothic" w:cs="Arial"/>
          <w:lang w:val="es-ES" w:eastAsia="es-ES"/>
        </w:rPr>
        <w:t xml:space="preserve"> señor</w:t>
      </w:r>
      <w:r>
        <w:rPr>
          <w:rFonts w:ascii="Century Gothic" w:eastAsia="Calibri" w:hAnsi="Century Gothic" w:cs="Arial"/>
          <w:lang w:val="es-ES" w:eastAsia="es-ES"/>
        </w:rPr>
        <w:t>a</w:t>
      </w:r>
      <w:r w:rsidRPr="00035110">
        <w:rPr>
          <w:rFonts w:ascii="Century Gothic" w:eastAsia="Calibri" w:hAnsi="Century Gothic" w:cs="Arial"/>
          <w:lang w:val="es-ES" w:eastAsia="es-ES"/>
        </w:rPr>
        <w:t xml:space="preserve"> </w:t>
      </w:r>
      <w:r w:rsidR="006F3783" w:rsidRPr="006F3783">
        <w:rPr>
          <w:rFonts w:ascii="Century Gothic" w:eastAsia="Times New Roman" w:hAnsi="Century Gothic" w:cs="Arial"/>
          <w:lang w:eastAsia="es-ES"/>
        </w:rPr>
        <w:t>Rodríguez Martínez</w:t>
      </w:r>
      <w:r w:rsidRPr="00035110">
        <w:rPr>
          <w:rFonts w:ascii="Century Gothic" w:eastAsia="Calibri" w:hAnsi="Century Gothic" w:cs="Arial"/>
          <w:lang w:val="es-ES" w:eastAsia="es-ES"/>
        </w:rPr>
        <w:t xml:space="preserve">: </w:t>
      </w:r>
    </w:p>
    <w:p w14:paraId="55B1070B" w14:textId="77777777" w:rsidR="00312425" w:rsidRPr="00035110" w:rsidRDefault="00312425" w:rsidP="00312425">
      <w:pPr>
        <w:spacing w:line="276" w:lineRule="auto"/>
        <w:contextualSpacing/>
        <w:jc w:val="both"/>
        <w:rPr>
          <w:rFonts w:ascii="Century Gothic" w:eastAsia="Calibri" w:hAnsi="Century Gothic" w:cs="Arial"/>
          <w:szCs w:val="24"/>
          <w:lang w:val="es-ES_tradnl" w:eastAsia="es-ES_tradnl"/>
        </w:rPr>
      </w:pPr>
    </w:p>
    <w:bookmarkEnd w:id="0"/>
    <w:bookmarkEnd w:id="1"/>
    <w:p w14:paraId="0368260A" w14:textId="77777777" w:rsidR="00312425" w:rsidRPr="00035110" w:rsidRDefault="00312425" w:rsidP="00312425">
      <w:pPr>
        <w:spacing w:after="0" w:line="276" w:lineRule="auto"/>
        <w:jc w:val="both"/>
        <w:rPr>
          <w:rFonts w:ascii="Century Gothic" w:eastAsia="Calibri" w:hAnsi="Century Gothic" w:cs="Arial"/>
          <w:color w:val="000000" w:themeColor="text1"/>
          <w:lang w:val="es-ES_tradnl"/>
        </w:rPr>
      </w:pPr>
      <w:r w:rsidRPr="00035110">
        <w:rPr>
          <w:rFonts w:ascii="Century Gothic" w:eastAsia="Calibri" w:hAnsi="Century Gothic" w:cs="Arial"/>
          <w:color w:val="000000" w:themeColor="text1"/>
          <w:lang w:val="es-ES_tradnl"/>
        </w:rPr>
        <w:t>En ejercicio de la competencia otorgada por el numeral 8 del artículo 11 y el numeral 5 del artículo 3 del Decreto Ley 4170 de 2011</w:t>
      </w:r>
      <w:bookmarkStart w:id="3" w:name="_Hlk99120496"/>
      <w:r w:rsidRPr="00035110">
        <w:rPr>
          <w:rFonts w:ascii="Century Gothic" w:eastAsia="Arial MT" w:hAnsi="Century Gothic" w:cs="Arial"/>
          <w:lang w:val="es-ES"/>
        </w:rPr>
        <w:t xml:space="preserve">, </w:t>
      </w:r>
      <w:bookmarkEnd w:id="3"/>
      <w:r w:rsidRPr="00035110">
        <w:rPr>
          <w:rFonts w:ascii="Century Gothic" w:eastAsia="Calibri" w:hAnsi="Century Gothic" w:cs="Arial"/>
          <w:color w:val="000000" w:themeColor="text1"/>
          <w:lang w:val="es-ES_tradnl"/>
        </w:rPr>
        <w:t xml:space="preserve">la Agencia Nacional de Contratación Pública – Colombia Compra Eficiente responde la petición radicada el </w:t>
      </w:r>
      <w:r>
        <w:rPr>
          <w:rFonts w:ascii="Century Gothic" w:eastAsia="Calibri" w:hAnsi="Century Gothic" w:cs="Arial"/>
          <w:color w:val="000000" w:themeColor="text1"/>
          <w:lang w:val="es-ES_tradnl"/>
        </w:rPr>
        <w:t>16</w:t>
      </w:r>
      <w:r w:rsidRPr="00035110">
        <w:rPr>
          <w:rFonts w:ascii="Century Gothic" w:eastAsia="Calibri" w:hAnsi="Century Gothic" w:cs="Arial"/>
          <w:color w:val="000000" w:themeColor="text1"/>
          <w:lang w:val="es-ES_tradnl"/>
        </w:rPr>
        <w:t xml:space="preserve"> de </w:t>
      </w:r>
      <w:r>
        <w:rPr>
          <w:rFonts w:ascii="Century Gothic" w:eastAsia="Calibri" w:hAnsi="Century Gothic" w:cs="Arial"/>
          <w:color w:val="000000" w:themeColor="text1"/>
          <w:lang w:val="es-ES_tradnl"/>
        </w:rPr>
        <w:t>mayo</w:t>
      </w:r>
      <w:r w:rsidRPr="00035110">
        <w:rPr>
          <w:rFonts w:ascii="Century Gothic" w:eastAsia="Calibri" w:hAnsi="Century Gothic" w:cs="Arial"/>
          <w:color w:val="000000" w:themeColor="text1"/>
          <w:lang w:val="es-ES_tradnl"/>
        </w:rPr>
        <w:t xml:space="preserve"> de 2024.</w:t>
      </w:r>
    </w:p>
    <w:p w14:paraId="4D87F678" w14:textId="77777777" w:rsidR="00312425" w:rsidRPr="00035110" w:rsidRDefault="00312425" w:rsidP="00312425">
      <w:pPr>
        <w:spacing w:after="0" w:line="276" w:lineRule="auto"/>
        <w:jc w:val="both"/>
        <w:rPr>
          <w:rFonts w:ascii="Century Gothic" w:eastAsia="Calibri" w:hAnsi="Century Gothic" w:cs="Arial"/>
          <w:b/>
          <w:color w:val="000000" w:themeColor="text1"/>
          <w:lang w:val="es-ES_tradnl"/>
        </w:rPr>
      </w:pPr>
    </w:p>
    <w:p w14:paraId="74073335" w14:textId="77777777" w:rsidR="00312425" w:rsidRPr="00035110" w:rsidRDefault="00312425" w:rsidP="00312425">
      <w:pPr>
        <w:pStyle w:val="Prrafodelista"/>
        <w:numPr>
          <w:ilvl w:val="0"/>
          <w:numId w:val="6"/>
        </w:numPr>
        <w:tabs>
          <w:tab w:val="left" w:pos="0"/>
          <w:tab w:val="left" w:pos="142"/>
          <w:tab w:val="left" w:pos="284"/>
        </w:tabs>
        <w:spacing w:after="0" w:line="276" w:lineRule="auto"/>
        <w:ind w:left="0" w:firstLine="0"/>
        <w:jc w:val="both"/>
        <w:rPr>
          <w:rFonts w:ascii="Century Gothic" w:eastAsia="Calibri" w:hAnsi="Century Gothic" w:cs="Arial"/>
          <w:b/>
          <w:color w:val="000000" w:themeColor="text1"/>
          <w:lang w:val="es-ES_tradnl"/>
        </w:rPr>
      </w:pPr>
      <w:r w:rsidRPr="00035110">
        <w:rPr>
          <w:rFonts w:ascii="Century Gothic" w:eastAsia="Calibri" w:hAnsi="Century Gothic" w:cs="Arial"/>
          <w:b/>
          <w:color w:val="000000" w:themeColor="text1"/>
          <w:lang w:val="es-ES_tradnl"/>
        </w:rPr>
        <w:t>Problema</w:t>
      </w:r>
      <w:r>
        <w:rPr>
          <w:rFonts w:ascii="Century Gothic" w:eastAsia="Calibri" w:hAnsi="Century Gothic" w:cs="Arial"/>
          <w:b/>
          <w:color w:val="000000" w:themeColor="text1"/>
          <w:lang w:val="es-ES_tradnl"/>
        </w:rPr>
        <w:t>s</w:t>
      </w:r>
      <w:r w:rsidRPr="00035110">
        <w:rPr>
          <w:rFonts w:ascii="Century Gothic" w:eastAsia="Calibri" w:hAnsi="Century Gothic" w:cs="Arial"/>
          <w:b/>
          <w:color w:val="000000" w:themeColor="text1"/>
          <w:lang w:val="es-ES_tradnl"/>
        </w:rPr>
        <w:t xml:space="preserve"> planteado</w:t>
      </w:r>
      <w:r>
        <w:rPr>
          <w:rFonts w:ascii="Century Gothic" w:eastAsia="Calibri" w:hAnsi="Century Gothic" w:cs="Arial"/>
          <w:b/>
          <w:color w:val="000000" w:themeColor="text1"/>
          <w:lang w:val="es-ES_tradnl"/>
        </w:rPr>
        <w:t>s</w:t>
      </w:r>
      <w:r w:rsidRPr="00035110">
        <w:rPr>
          <w:rFonts w:ascii="Century Gothic" w:eastAsia="Calibri" w:hAnsi="Century Gothic" w:cs="Arial"/>
          <w:b/>
          <w:color w:val="000000" w:themeColor="text1"/>
          <w:lang w:val="es-ES_tradnl"/>
        </w:rPr>
        <w:t xml:space="preserve"> </w:t>
      </w:r>
    </w:p>
    <w:p w14:paraId="53445B62" w14:textId="77777777" w:rsidR="00312425" w:rsidRPr="00035110" w:rsidRDefault="00312425" w:rsidP="00312425">
      <w:pPr>
        <w:tabs>
          <w:tab w:val="left" w:pos="426"/>
        </w:tabs>
        <w:spacing w:after="0" w:line="276" w:lineRule="auto"/>
        <w:jc w:val="both"/>
        <w:rPr>
          <w:rFonts w:ascii="Century Gothic" w:eastAsia="Calibri" w:hAnsi="Century Gothic" w:cs="Arial"/>
          <w:b/>
          <w:color w:val="000000" w:themeColor="text1"/>
          <w:lang w:val="es-ES_tradnl"/>
        </w:rPr>
      </w:pPr>
    </w:p>
    <w:p w14:paraId="0072A46F" w14:textId="77777777" w:rsidR="00312425" w:rsidRPr="00035110" w:rsidRDefault="00312425" w:rsidP="00312425">
      <w:pPr>
        <w:spacing w:after="0" w:line="276" w:lineRule="auto"/>
        <w:jc w:val="both"/>
        <w:rPr>
          <w:rFonts w:ascii="Century Gothic" w:hAnsi="Century Gothic" w:cs="Arial"/>
          <w:color w:val="000000" w:themeColor="text1"/>
          <w:lang w:val="es-ES"/>
        </w:rPr>
      </w:pPr>
      <w:bookmarkStart w:id="4" w:name="_Hlk132728388"/>
      <w:bookmarkStart w:id="5" w:name="_Hlk142917142"/>
      <w:r w:rsidRPr="72E603A0">
        <w:rPr>
          <w:rFonts w:ascii="Century Gothic" w:hAnsi="Century Gothic" w:cs="Arial"/>
          <w:color w:val="000000" w:themeColor="text1"/>
          <w:lang w:val="es-ES"/>
        </w:rPr>
        <w:t xml:space="preserve">Usted realiza las siguientes preguntas: i) “Con la expedición de la ley 2069 de 2020 y el Decreto 1860 de 2021, se entiende derogado el artículo 67 de la ley 915 de 2004?”, </w:t>
      </w:r>
      <w:proofErr w:type="spellStart"/>
      <w:r w:rsidRPr="72E603A0">
        <w:rPr>
          <w:rFonts w:ascii="Century Gothic" w:hAnsi="Century Gothic" w:cs="Arial"/>
          <w:color w:val="000000" w:themeColor="text1"/>
          <w:lang w:val="es-ES"/>
        </w:rPr>
        <w:t>ii</w:t>
      </w:r>
      <w:proofErr w:type="spellEnd"/>
      <w:r w:rsidRPr="72E603A0">
        <w:rPr>
          <w:rFonts w:ascii="Century Gothic" w:hAnsi="Century Gothic" w:cs="Arial"/>
          <w:color w:val="000000" w:themeColor="text1"/>
          <w:lang w:val="es-ES"/>
        </w:rPr>
        <w:t xml:space="preserve">) “En qué se diferencian los criterios de desempate con la orden del artículo 67 de la ley 915 de 2004?”, </w:t>
      </w:r>
      <w:proofErr w:type="spellStart"/>
      <w:r w:rsidRPr="72E603A0">
        <w:rPr>
          <w:rFonts w:ascii="Century Gothic" w:hAnsi="Century Gothic" w:cs="Arial"/>
          <w:color w:val="000000" w:themeColor="text1"/>
          <w:lang w:val="es-ES"/>
        </w:rPr>
        <w:t>iii</w:t>
      </w:r>
      <w:proofErr w:type="spellEnd"/>
      <w:r w:rsidRPr="72E603A0">
        <w:rPr>
          <w:rFonts w:ascii="Century Gothic" w:hAnsi="Century Gothic" w:cs="Arial"/>
          <w:color w:val="000000" w:themeColor="text1"/>
          <w:lang w:val="es-ES"/>
        </w:rPr>
        <w:t xml:space="preserve">) “La aplicación de la ley 915 de 2004 es discrecionalidad de las Entidades estatales?” y </w:t>
      </w:r>
      <w:proofErr w:type="spellStart"/>
      <w:r w:rsidRPr="72E603A0">
        <w:rPr>
          <w:rFonts w:ascii="Century Gothic" w:hAnsi="Century Gothic" w:cs="Arial"/>
          <w:color w:val="000000" w:themeColor="text1"/>
          <w:lang w:val="es-ES"/>
        </w:rPr>
        <w:t>iv</w:t>
      </w:r>
      <w:proofErr w:type="spellEnd"/>
      <w:r w:rsidRPr="72E603A0">
        <w:rPr>
          <w:rFonts w:ascii="Century Gothic" w:hAnsi="Century Gothic" w:cs="Arial"/>
          <w:color w:val="000000" w:themeColor="text1"/>
          <w:lang w:val="es-ES"/>
        </w:rPr>
        <w:t xml:space="preserve">) “En los pliegos tipo se sugiere una asignación de 5 puntos a la tarjeta de residencia OCCRE en aplicación del artículo </w:t>
      </w:r>
      <w:r w:rsidRPr="72E603A0">
        <w:rPr>
          <w:rFonts w:ascii="Century Gothic" w:hAnsi="Century Gothic" w:cs="Arial"/>
          <w:color w:val="000000" w:themeColor="text1"/>
          <w:lang w:val="es-ES"/>
        </w:rPr>
        <w:lastRenderedPageBreak/>
        <w:t>67 de la ley 915 de 2004, este puntaje puede aplicarse en otros procesos de selección?”.</w:t>
      </w:r>
    </w:p>
    <w:p w14:paraId="491AE408" w14:textId="77777777" w:rsidR="00312425" w:rsidRPr="00C96FA1" w:rsidRDefault="00312425" w:rsidP="00312425">
      <w:pPr>
        <w:spacing w:after="0" w:line="276" w:lineRule="auto"/>
        <w:jc w:val="both"/>
        <w:rPr>
          <w:rFonts w:ascii="Century Gothic" w:hAnsi="Century Gothic" w:cs="Arial"/>
          <w:color w:val="000000" w:themeColor="text1"/>
          <w:lang w:val="es-ES_tradnl"/>
        </w:rPr>
      </w:pPr>
    </w:p>
    <w:bookmarkEnd w:id="4"/>
    <w:bookmarkEnd w:id="5"/>
    <w:p w14:paraId="27AAD91B" w14:textId="77777777" w:rsidR="00312425" w:rsidRPr="00C96FA1" w:rsidRDefault="00312425" w:rsidP="00312425">
      <w:pPr>
        <w:pStyle w:val="Prrafodelista"/>
        <w:numPr>
          <w:ilvl w:val="0"/>
          <w:numId w:val="6"/>
        </w:numPr>
        <w:tabs>
          <w:tab w:val="left" w:pos="0"/>
          <w:tab w:val="left" w:pos="284"/>
        </w:tabs>
        <w:spacing w:after="0" w:line="240" w:lineRule="auto"/>
        <w:ind w:left="0" w:firstLine="0"/>
        <w:jc w:val="both"/>
        <w:rPr>
          <w:rFonts w:ascii="Century Gothic" w:eastAsia="Calibri" w:hAnsi="Century Gothic" w:cs="Arial"/>
          <w:b/>
          <w:color w:val="000000" w:themeColor="text1"/>
          <w:lang w:val="es-ES_tradnl"/>
        </w:rPr>
      </w:pPr>
      <w:r w:rsidRPr="00C96FA1">
        <w:rPr>
          <w:rFonts w:ascii="Century Gothic" w:eastAsia="Calibri" w:hAnsi="Century Gothic" w:cs="Arial"/>
          <w:b/>
          <w:color w:val="000000" w:themeColor="text1"/>
          <w:lang w:val="es-ES_tradnl"/>
        </w:rPr>
        <w:t>Consideraciones</w:t>
      </w:r>
    </w:p>
    <w:p w14:paraId="6057A9B6" w14:textId="77777777" w:rsidR="00312425" w:rsidRPr="00C96FA1" w:rsidRDefault="00312425" w:rsidP="00312425">
      <w:pPr>
        <w:spacing w:after="0" w:line="276" w:lineRule="auto"/>
        <w:jc w:val="both"/>
        <w:rPr>
          <w:rFonts w:ascii="Century Gothic" w:eastAsia="Calibri" w:hAnsi="Century Gothic" w:cs="Arial"/>
          <w:color w:val="000000" w:themeColor="text1"/>
          <w:lang w:val="es-ES"/>
        </w:rPr>
      </w:pPr>
    </w:p>
    <w:p w14:paraId="1E16A135" w14:textId="77777777" w:rsidR="00312425" w:rsidRPr="00C96FA1" w:rsidRDefault="00312425" w:rsidP="00312425">
      <w:pPr>
        <w:spacing w:after="120" w:line="276" w:lineRule="auto"/>
        <w:jc w:val="both"/>
        <w:rPr>
          <w:rFonts w:ascii="Century Gothic" w:eastAsia="Calibri" w:hAnsi="Century Gothic" w:cs="Arial"/>
          <w:lang w:val="es-ES"/>
        </w:rPr>
      </w:pPr>
      <w:r w:rsidRPr="72E603A0">
        <w:rPr>
          <w:rFonts w:ascii="Century Gothic" w:eastAsia="Calibri" w:hAnsi="Century Gothic" w:cs="Arial"/>
          <w:lang w:val="es-ES"/>
        </w:rPr>
        <w:t xml:space="preserve">La Agencia Nacional de Contratación Pública resolverá la consulta conforme a las normas generales del sistema de compras públicas. Para estos efectos, se analizarán los siguientes temas: i) factores de desempate en la contratación estatal; </w:t>
      </w:r>
      <w:proofErr w:type="spellStart"/>
      <w:r w:rsidRPr="72E603A0">
        <w:rPr>
          <w:rFonts w:ascii="Century Gothic" w:eastAsia="Calibri" w:hAnsi="Century Gothic" w:cs="Arial"/>
          <w:lang w:val="es-ES"/>
        </w:rPr>
        <w:t>ii</w:t>
      </w:r>
      <w:proofErr w:type="spellEnd"/>
      <w:r w:rsidRPr="72E603A0">
        <w:rPr>
          <w:rFonts w:ascii="Century Gothic" w:eastAsia="Calibri" w:hAnsi="Century Gothic" w:cs="Arial"/>
          <w:lang w:val="es-ES"/>
        </w:rPr>
        <w:t xml:space="preserve">) ámbito de aplicación, vigencia y reglamentación de la Ley 2069 de 2020; y </w:t>
      </w:r>
      <w:proofErr w:type="spellStart"/>
      <w:r w:rsidRPr="72E603A0">
        <w:rPr>
          <w:rFonts w:ascii="Century Gothic" w:eastAsia="Calibri" w:hAnsi="Century Gothic" w:cs="Arial"/>
          <w:lang w:val="es-ES"/>
        </w:rPr>
        <w:t>iii</w:t>
      </w:r>
      <w:proofErr w:type="spellEnd"/>
      <w:r w:rsidRPr="72E603A0">
        <w:rPr>
          <w:rFonts w:ascii="Century Gothic" w:eastAsia="Calibri" w:hAnsi="Century Gothic" w:cs="Arial"/>
          <w:lang w:val="es-ES"/>
        </w:rPr>
        <w:t>) vigencia jurídica independiente del artículo 67 de la ley 915 de 2004 respecto a los factores de desempate de artículo 35 de la ley 2069 de 2020.</w:t>
      </w:r>
    </w:p>
    <w:p w14:paraId="65332BEB" w14:textId="77777777" w:rsidR="00312425" w:rsidRPr="00C96FA1" w:rsidRDefault="00312425" w:rsidP="00312425">
      <w:pPr>
        <w:spacing w:after="0" w:line="276" w:lineRule="auto"/>
        <w:ind w:firstLine="709"/>
        <w:jc w:val="both"/>
        <w:rPr>
          <w:rFonts w:ascii="Century Gothic" w:eastAsia="Calibri" w:hAnsi="Century Gothic" w:cs="Arial"/>
          <w:lang w:val="es-ES_tradnl"/>
        </w:rPr>
      </w:pPr>
      <w:r w:rsidRPr="00C96FA1">
        <w:rPr>
          <w:rFonts w:ascii="Century Gothic" w:eastAsia="Calibri" w:hAnsi="Century Gothic" w:cs="Arial"/>
          <w:lang w:val="es-ES_tradnl"/>
        </w:rPr>
        <w:t xml:space="preserve">Colombia Compra Eficiente se pronunció, en términos generales, sobre los factores de desempate en los procedimientos de contratación estatal, en los conceptos </w:t>
      </w:r>
      <w:r w:rsidRPr="00C96FA1">
        <w:rPr>
          <w:rStyle w:val="normaltextrun"/>
          <w:rFonts w:ascii="Century Gothic" w:hAnsi="Century Gothic" w:cs="Arial"/>
          <w:shd w:val="clear" w:color="auto" w:fill="FFFFFF"/>
        </w:rPr>
        <w:t>conceptos C-285 del 4 de mayo de 2020, C-481 del 27 de julio de 2020, C-514 y C-535 del 26 de agosto de 2020 y C-556 del 31 de agosto de 2020. De igual manera, estudió los factores de desempate del artículo 35 de la Ley 2069 de 2020 en los conceptos: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w:t>
      </w:r>
      <w:r>
        <w:rPr>
          <w:rStyle w:val="normaltextrun"/>
          <w:rFonts w:ascii="Century Gothic" w:hAnsi="Century Gothic" w:cs="Arial"/>
          <w:shd w:val="clear" w:color="auto" w:fill="FFFFFF"/>
        </w:rPr>
        <w:t xml:space="preserve"> </w:t>
      </w:r>
      <w:r w:rsidRPr="00C96FA1">
        <w:rPr>
          <w:rStyle w:val="normaltextrun"/>
          <w:rFonts w:ascii="Century Gothic" w:hAnsi="Century Gothic" w:cs="Arial"/>
          <w:shd w:val="clear" w:color="auto" w:fill="FFFFFF"/>
        </w:rPr>
        <w:t>C-180 del 10 de mayo de 2021, C-210 del 10 de mayo de 2021, C-221 del 18 de mayo de 2021, C-239 del 25 de mayo de 2021 , C-320 del 1 de julio de 2021, C-338 del 12 de julio de 2021, C-444 del 23 de julio de, 2021, C-437 del 24 de agosto de 2021,</w:t>
      </w:r>
      <w:r>
        <w:rPr>
          <w:rStyle w:val="normaltextrun"/>
          <w:rFonts w:ascii="Century Gothic" w:hAnsi="Century Gothic" w:cs="Arial"/>
          <w:shd w:val="clear" w:color="auto" w:fill="FFFFFF"/>
        </w:rPr>
        <w:t xml:space="preserve"> </w:t>
      </w:r>
      <w:r w:rsidRPr="00C96FA1">
        <w:rPr>
          <w:rStyle w:val="normaltextrun"/>
          <w:rFonts w:ascii="Century Gothic" w:hAnsi="Century Gothic" w:cs="Arial"/>
          <w:shd w:val="clear" w:color="auto" w:fill="FFFFFF"/>
        </w:rPr>
        <w:t>C-518 del 20 de septiembre de 2021,</w:t>
      </w:r>
      <w:r>
        <w:rPr>
          <w:rStyle w:val="normaltextrun"/>
          <w:rFonts w:ascii="Century Gothic" w:hAnsi="Century Gothic" w:cs="Arial"/>
          <w:shd w:val="clear" w:color="auto" w:fill="FFFFFF"/>
        </w:rPr>
        <w:t xml:space="preserve"> </w:t>
      </w:r>
      <w:r w:rsidRPr="00C96FA1">
        <w:rPr>
          <w:rStyle w:val="normaltextrun"/>
          <w:rFonts w:ascii="Century Gothic" w:hAnsi="Century Gothic" w:cs="Arial"/>
          <w:shd w:val="clear" w:color="auto" w:fill="FFFFFF"/>
        </w:rPr>
        <w:t>C-438 del 28 de septiembre de 2021, C-576 del 13 de octubre de 2021, C-582 del 14 de octubre de 2021, C-586 del 14 de octubre de 2021, C-617 del 6 diciembre de 2021,</w:t>
      </w:r>
      <w:r>
        <w:rPr>
          <w:rStyle w:val="normaltextrun"/>
          <w:rFonts w:ascii="Century Gothic" w:hAnsi="Century Gothic" w:cs="Arial"/>
          <w:shd w:val="clear" w:color="auto" w:fill="FFFFFF"/>
        </w:rPr>
        <w:t xml:space="preserve"> </w:t>
      </w:r>
      <w:r w:rsidRPr="00C96FA1">
        <w:rPr>
          <w:rStyle w:val="normaltextrun"/>
          <w:rFonts w:ascii="Century Gothic" w:hAnsi="Century Gothic" w:cs="Arial"/>
          <w:shd w:val="clear" w:color="auto" w:fill="FFFFFF"/>
        </w:rPr>
        <w:t>C-584 del 13 de diciembre de 2021, C-689 del 5 de enero de 2022, C-741 del 1 de febrero de 2022</w:t>
      </w:r>
      <w:r>
        <w:rPr>
          <w:rStyle w:val="normaltextrun"/>
          <w:rFonts w:ascii="Century Gothic" w:hAnsi="Century Gothic" w:cs="Arial"/>
          <w:shd w:val="clear" w:color="auto" w:fill="FFFFFF"/>
        </w:rPr>
        <w:t>,</w:t>
      </w:r>
      <w:r w:rsidRPr="00C96FA1">
        <w:rPr>
          <w:rStyle w:val="normaltextrun"/>
          <w:rFonts w:ascii="Century Gothic" w:hAnsi="Century Gothic" w:cs="Arial"/>
          <w:shd w:val="clear" w:color="auto" w:fill="FFFFFF"/>
        </w:rPr>
        <w:t xml:space="preserve"> C-750 del 4 de febrero de 2022</w:t>
      </w:r>
      <w:r>
        <w:rPr>
          <w:rStyle w:val="normaltextrun"/>
          <w:rFonts w:ascii="Century Gothic" w:hAnsi="Century Gothic" w:cs="Arial"/>
          <w:shd w:val="clear" w:color="auto" w:fill="FFFFFF"/>
        </w:rPr>
        <w:t>,</w:t>
      </w:r>
      <w:r w:rsidRPr="00C96FA1">
        <w:rPr>
          <w:rStyle w:val="normaltextrun"/>
          <w:rFonts w:ascii="Century Gothic" w:hAnsi="Century Gothic" w:cs="Arial"/>
          <w:shd w:val="clear" w:color="auto" w:fill="FFFFFF"/>
        </w:rPr>
        <w:t xml:space="preserve"> C-322 del 20 de mayo de 2022</w:t>
      </w:r>
      <w:r>
        <w:rPr>
          <w:rStyle w:val="normaltextrun"/>
          <w:rFonts w:ascii="Century Gothic" w:hAnsi="Century Gothic" w:cs="Arial"/>
          <w:shd w:val="clear" w:color="auto" w:fill="FFFFFF"/>
        </w:rPr>
        <w:t>,</w:t>
      </w:r>
      <w:r w:rsidRPr="00C96FA1">
        <w:rPr>
          <w:rStyle w:val="normaltextrun"/>
          <w:rFonts w:ascii="Century Gothic" w:hAnsi="Century Gothic" w:cs="Arial"/>
          <w:shd w:val="clear" w:color="auto" w:fill="FFFFFF"/>
        </w:rPr>
        <w:t xml:space="preserve"> C-468 del 22 de julio de 2022,</w:t>
      </w:r>
      <w:r>
        <w:rPr>
          <w:rStyle w:val="normaltextrun"/>
          <w:rFonts w:ascii="Century Gothic" w:hAnsi="Century Gothic" w:cs="Arial"/>
          <w:shd w:val="clear" w:color="auto" w:fill="FFFFFF"/>
        </w:rPr>
        <w:t xml:space="preserve"> C-070 del 28 de mayo de 2024,</w:t>
      </w:r>
      <w:r w:rsidRPr="00C96FA1">
        <w:rPr>
          <w:rStyle w:val="normaltextrun"/>
          <w:rFonts w:ascii="Century Gothic" w:hAnsi="Century Gothic" w:cs="Arial"/>
          <w:shd w:val="clear" w:color="auto" w:fill="FFFFFF"/>
        </w:rPr>
        <w:t xml:space="preserve"> entre otros</w:t>
      </w:r>
      <w:r w:rsidRPr="00C96FA1">
        <w:rPr>
          <w:rStyle w:val="Refdenotaalpie"/>
          <w:rFonts w:ascii="Century Gothic" w:eastAsia="Calibri" w:hAnsi="Century Gothic" w:cs="Arial"/>
        </w:rPr>
        <w:footnoteReference w:id="2"/>
      </w:r>
      <w:r w:rsidRPr="00C96FA1">
        <w:rPr>
          <w:rFonts w:ascii="Century Gothic" w:eastAsia="Calibri" w:hAnsi="Century Gothic" w:cs="Arial"/>
          <w:lang w:val="es-ES_tradnl"/>
        </w:rPr>
        <w:t xml:space="preserve">. </w:t>
      </w:r>
      <w:r>
        <w:rPr>
          <w:rFonts w:ascii="Century Gothic" w:eastAsia="Calibri" w:hAnsi="Century Gothic" w:cs="Arial"/>
          <w:lang w:val="es-ES_tradnl"/>
        </w:rPr>
        <w:t xml:space="preserve">Especialmente, la Agencia la relación entre los factores de desempate con el </w:t>
      </w:r>
      <w:r w:rsidRPr="00F2065C">
        <w:rPr>
          <w:rFonts w:ascii="Century Gothic" w:hAnsi="Century Gothic" w:cs="Arial"/>
          <w:color w:val="000000" w:themeColor="text1"/>
          <w:lang w:val="es-ES_tradnl"/>
        </w:rPr>
        <w:t>artículo 67 de</w:t>
      </w:r>
      <w:r>
        <w:rPr>
          <w:rFonts w:ascii="Century Gothic" w:hAnsi="Century Gothic" w:cs="Arial"/>
          <w:color w:val="000000" w:themeColor="text1"/>
          <w:lang w:val="es-ES_tradnl"/>
        </w:rPr>
        <w:t xml:space="preserve"> </w:t>
      </w:r>
      <w:r w:rsidRPr="00F2065C">
        <w:rPr>
          <w:rFonts w:ascii="Century Gothic" w:hAnsi="Century Gothic" w:cs="Arial"/>
          <w:color w:val="000000" w:themeColor="text1"/>
          <w:lang w:val="es-ES_tradnl"/>
        </w:rPr>
        <w:t>la ley 915 de 2004</w:t>
      </w:r>
      <w:r>
        <w:rPr>
          <w:rFonts w:ascii="Century Gothic" w:hAnsi="Century Gothic" w:cs="Arial"/>
          <w:color w:val="000000" w:themeColor="text1"/>
          <w:lang w:val="es-ES_tradnl"/>
        </w:rPr>
        <w:t xml:space="preserve"> en el Concepto C-414 del 10 de octubre de 2023.</w:t>
      </w:r>
      <w:r>
        <w:rPr>
          <w:rFonts w:ascii="Century Gothic" w:eastAsia="Calibri" w:hAnsi="Century Gothic" w:cs="Arial"/>
          <w:lang w:val="es-ES_tradnl"/>
        </w:rPr>
        <w:t xml:space="preserve"> L</w:t>
      </w:r>
      <w:r w:rsidRPr="00C96FA1">
        <w:rPr>
          <w:rFonts w:ascii="Century Gothic" w:eastAsia="Calibri" w:hAnsi="Century Gothic" w:cs="Arial"/>
          <w:lang w:val="es-ES_tradnl"/>
        </w:rPr>
        <w:t xml:space="preserve">as consideraciones de </w:t>
      </w:r>
      <w:r>
        <w:rPr>
          <w:rFonts w:ascii="Century Gothic" w:eastAsia="Calibri" w:hAnsi="Century Gothic" w:cs="Arial"/>
          <w:lang w:val="es-ES_tradnl"/>
        </w:rPr>
        <w:t>este último concepto</w:t>
      </w:r>
      <w:r w:rsidRPr="00C96FA1">
        <w:rPr>
          <w:rFonts w:ascii="Century Gothic" w:eastAsia="Calibri" w:hAnsi="Century Gothic" w:cs="Arial"/>
          <w:lang w:val="es-ES_tradnl"/>
        </w:rPr>
        <w:t xml:space="preserve"> se reiteran a continuación y se complementan en lo pertinente.</w:t>
      </w:r>
    </w:p>
    <w:p w14:paraId="7728C304" w14:textId="77777777" w:rsidR="00312425" w:rsidRPr="00C96FA1" w:rsidRDefault="00312425" w:rsidP="00312425">
      <w:pPr>
        <w:spacing w:after="0" w:line="276" w:lineRule="auto"/>
        <w:jc w:val="both"/>
        <w:rPr>
          <w:rFonts w:ascii="Century Gothic" w:eastAsia="Calibri" w:hAnsi="Century Gothic" w:cs="Arial"/>
          <w:lang w:val="es-ES_tradnl"/>
        </w:rPr>
      </w:pPr>
    </w:p>
    <w:p w14:paraId="71CE58D3" w14:textId="77777777" w:rsidR="00312425" w:rsidRPr="00C96FA1" w:rsidRDefault="00312425" w:rsidP="00312425">
      <w:pPr>
        <w:spacing w:after="0" w:line="276" w:lineRule="auto"/>
        <w:jc w:val="both"/>
        <w:rPr>
          <w:rFonts w:ascii="Century Gothic" w:eastAsia="Calibri" w:hAnsi="Century Gothic" w:cs="Arial"/>
          <w:b/>
          <w:bCs/>
          <w:lang w:val="es-ES_tradnl"/>
        </w:rPr>
      </w:pPr>
      <w:r w:rsidRPr="00C96FA1">
        <w:rPr>
          <w:rFonts w:ascii="Century Gothic" w:eastAsia="Calibri" w:hAnsi="Century Gothic" w:cs="Arial"/>
          <w:b/>
          <w:bCs/>
          <w:lang w:val="es-ES_tradnl"/>
        </w:rPr>
        <w:t>2.1. Factores de desempate en la contratación estatal: concepto y características</w:t>
      </w:r>
    </w:p>
    <w:p w14:paraId="143297E8" w14:textId="77777777" w:rsidR="00312425" w:rsidRPr="00C96FA1" w:rsidRDefault="00312425" w:rsidP="00312425">
      <w:pPr>
        <w:spacing w:after="0" w:line="276" w:lineRule="auto"/>
        <w:jc w:val="both"/>
        <w:rPr>
          <w:rFonts w:ascii="Century Gothic" w:eastAsia="Calibri" w:hAnsi="Century Gothic" w:cs="Arial"/>
          <w:lang w:val="es-ES_tradnl"/>
        </w:rPr>
      </w:pPr>
    </w:p>
    <w:p w14:paraId="73FA5F7E" w14:textId="77777777" w:rsidR="00312425" w:rsidRPr="00C96FA1" w:rsidRDefault="00312425" w:rsidP="00312425">
      <w:pPr>
        <w:spacing w:after="120" w:line="276" w:lineRule="auto"/>
        <w:jc w:val="both"/>
        <w:rPr>
          <w:rFonts w:ascii="Century Gothic" w:eastAsia="Calibri" w:hAnsi="Century Gothic" w:cs="Arial"/>
          <w:lang w:val="es-ES_tradnl"/>
        </w:rPr>
      </w:pPr>
      <w:r w:rsidRPr="00C96FA1">
        <w:rPr>
          <w:rFonts w:ascii="Century Gothic" w:eastAsia="Calibri" w:hAnsi="Century Gothic" w:cs="Arial"/>
          <w:lang w:val="es-ES_tradnl"/>
        </w:rPr>
        <w:t xml:space="preserve">Dado que la selección objetiva es uno de los principios medulares de la contratación estatal, la escogencia del futuro contratista no puede motivarse en razones subjetivas que afecten la imparcialidad de la entidad pública. Así lo determina el primer inciso del artículo 5 de la Ley 1150 de 2007, indicando que </w:t>
      </w:r>
      <w:r>
        <w:rPr>
          <w:rFonts w:ascii="Century Gothic" w:eastAsia="Calibri" w:hAnsi="Century Gothic" w:cs="Arial"/>
          <w:lang w:val="es-ES_tradnl"/>
        </w:rPr>
        <w:t>“</w:t>
      </w:r>
      <w:r w:rsidRPr="00C96FA1">
        <w:rPr>
          <w:rFonts w:ascii="Century Gothic" w:eastAsia="Calibri" w:hAnsi="Century Gothic" w:cs="Arial"/>
          <w:lang w:val="es-ES_tradnl"/>
        </w:rPr>
        <w:t>Es objetiva la selección en la cual la escogencia se haga al ofrecimiento más favorable a la entidad y a los fines que ella busca, sin tener en consideración factores de afecto o de interés y, en general, cualquier clase de motivación subjetiva</w:t>
      </w:r>
      <w:r>
        <w:rPr>
          <w:rFonts w:ascii="Century Gothic" w:eastAsia="Calibri" w:hAnsi="Century Gothic" w:cs="Arial"/>
          <w:lang w:val="es-ES_tradnl"/>
        </w:rPr>
        <w:t>”</w:t>
      </w:r>
      <w:r w:rsidRPr="00C96FA1">
        <w:rPr>
          <w:rFonts w:ascii="Century Gothic" w:eastAsia="Calibri" w:hAnsi="Century Gothic" w:cs="Arial"/>
          <w:lang w:val="es-ES_tradnl"/>
        </w:rPr>
        <w:t>. Además, la norma citada agrega que los factores de habilitación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672E5829" w14:textId="77777777" w:rsidR="00312425" w:rsidRPr="00C96FA1" w:rsidRDefault="00312425" w:rsidP="00312425">
      <w:pPr>
        <w:spacing w:after="120" w:line="276" w:lineRule="auto"/>
        <w:ind w:firstLine="709"/>
        <w:jc w:val="both"/>
        <w:rPr>
          <w:rFonts w:ascii="Century Gothic" w:eastAsia="Calibri" w:hAnsi="Century Gothic" w:cs="Arial"/>
          <w:lang w:val="es-ES"/>
        </w:rPr>
      </w:pPr>
      <w:r w:rsidRPr="72E603A0">
        <w:rPr>
          <w:rFonts w:ascii="Century Gothic" w:eastAsia="Calibri" w:hAnsi="Century Gothic" w:cs="Arial"/>
          <w:lang w:val="es-ES"/>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los mismos.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contractual. </w:t>
      </w:r>
    </w:p>
    <w:p w14:paraId="77F9129B" w14:textId="77777777" w:rsidR="00312425" w:rsidRPr="00C96FA1" w:rsidRDefault="00312425" w:rsidP="00312425">
      <w:pPr>
        <w:spacing w:after="120" w:line="276" w:lineRule="auto"/>
        <w:ind w:firstLine="709"/>
        <w:jc w:val="both"/>
        <w:rPr>
          <w:rFonts w:ascii="Century Gothic" w:eastAsia="Calibri" w:hAnsi="Century Gothic" w:cs="Arial"/>
          <w:lang w:val="es-ES_tradnl"/>
        </w:rPr>
      </w:pPr>
      <w:bookmarkStart w:id="6" w:name="_Hlk81487365"/>
      <w:r w:rsidRPr="00C96FA1">
        <w:rPr>
          <w:rFonts w:ascii="Century Gothic" w:eastAsia="Calibri" w:hAnsi="Century Gothic" w:cs="Arial"/>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los que se encuentra el artículo 35 de la Ley 2069 de 2020. La jurisprudencia comparte la idea de que los criterios de desempate deben estar establecidos de </w:t>
      </w:r>
      <w:r w:rsidRPr="00C96FA1">
        <w:rPr>
          <w:rFonts w:ascii="Century Gothic" w:eastAsia="Calibri" w:hAnsi="Century Gothic" w:cs="Arial"/>
          <w:lang w:val="es-ES_tradnl"/>
        </w:rPr>
        <w:lastRenderedPageBreak/>
        <w:t>antemano y constituyen un límite a la discrecionalidad administrativa en los procedimientos de selección</w:t>
      </w:r>
      <w:r w:rsidRPr="00C96FA1">
        <w:rPr>
          <w:rStyle w:val="Refdenotaalpie"/>
          <w:rFonts w:ascii="Century Gothic" w:eastAsia="Calibri" w:hAnsi="Century Gothic" w:cs="Arial"/>
          <w:lang w:val="es-ES_tradnl"/>
        </w:rPr>
        <w:footnoteReference w:id="3"/>
      </w:r>
      <w:r w:rsidRPr="00C96FA1">
        <w:rPr>
          <w:rFonts w:ascii="Century Gothic" w:eastAsia="Calibri" w:hAnsi="Century Gothic" w:cs="Arial"/>
          <w:lang w:val="es-ES_tradnl"/>
        </w:rPr>
        <w:t xml:space="preserve">. </w:t>
      </w:r>
    </w:p>
    <w:p w14:paraId="294BABDC" w14:textId="77777777" w:rsidR="00312425" w:rsidRPr="00C96FA1" w:rsidRDefault="00312425" w:rsidP="00312425">
      <w:pPr>
        <w:spacing w:after="0" w:line="276" w:lineRule="auto"/>
        <w:ind w:firstLine="709"/>
        <w:jc w:val="both"/>
        <w:rPr>
          <w:rFonts w:ascii="Century Gothic" w:eastAsia="Calibri" w:hAnsi="Century Gothic" w:cs="Arial"/>
          <w:lang w:val="es-ES_tradnl"/>
        </w:rPr>
      </w:pPr>
      <w:r w:rsidRPr="00C96FA1">
        <w:rPr>
          <w:rFonts w:ascii="Century Gothic" w:eastAsia="Calibri" w:hAnsi="Century Gothic" w:cs="Arial"/>
          <w:lang w:val="es-ES_tradnl"/>
        </w:rPr>
        <w:t>En tal sentido, la Corte Constitucional explica que cuando la ley establece factores de desempate obligatorios, las entidades estatales no pueden </w:t>
      </w:r>
      <w:proofErr w:type="spellStart"/>
      <w:r w:rsidRPr="00C96FA1">
        <w:rPr>
          <w:rFonts w:ascii="Century Gothic" w:eastAsia="Calibri" w:hAnsi="Century Gothic" w:cs="Arial"/>
          <w:lang w:val="es-ES_tradnl"/>
        </w:rPr>
        <w:t>inaplicarlos</w:t>
      </w:r>
      <w:proofErr w:type="spellEnd"/>
      <w:r w:rsidRPr="00C96FA1">
        <w:rPr>
          <w:rFonts w:ascii="Century Gothic" w:eastAsia="Calibri" w:hAnsi="Century Gothic" w:cs="Arial"/>
          <w:lang w:val="es-ES_tradnl"/>
        </w:rPr>
        <w:t>, porque ello podría vulnerar el principio de igualdad, especialmente, cuando algunos de estos criterios surgen como acciones afirmativas para ciertos sectores de la población</w:t>
      </w:r>
      <w:r w:rsidRPr="00C96FA1">
        <w:rPr>
          <w:rStyle w:val="Refdenotaalpie"/>
          <w:rFonts w:ascii="Century Gothic" w:eastAsia="Calibri" w:hAnsi="Century Gothic" w:cs="Arial"/>
          <w:lang w:val="es-ES_tradnl"/>
        </w:rPr>
        <w:footnoteReference w:id="4"/>
      </w:r>
      <w:r w:rsidRPr="00C96FA1">
        <w:rPr>
          <w:rFonts w:ascii="Century Gothic" w:eastAsia="Calibri" w:hAnsi="Century Gothic" w:cs="Arial"/>
          <w:lang w:val="es-ES_tradnl"/>
        </w:rPr>
        <w:t xml:space="preserve">. </w:t>
      </w:r>
      <w:bookmarkEnd w:id="6"/>
      <w:r w:rsidRPr="00C96FA1">
        <w:rPr>
          <w:rFonts w:ascii="Century Gothic" w:eastAsia="Calibri" w:hAnsi="Century Gothic" w:cs="Arial"/>
          <w:lang w:val="es-ES_tradnl"/>
        </w:rPr>
        <w:t>Ahora bien, en cumplimiento de los principios de reciprocidad y de </w:t>
      </w:r>
      <w:r w:rsidRPr="00C96FA1">
        <w:rPr>
          <w:rFonts w:ascii="Century Gothic" w:eastAsia="Calibri" w:hAnsi="Century Gothic" w:cs="Arial"/>
          <w:i/>
          <w:iCs/>
          <w:lang w:val="es-ES_tradnl"/>
        </w:rPr>
        <w:t>pacta sunt </w:t>
      </w:r>
      <w:proofErr w:type="spellStart"/>
      <w:r w:rsidRPr="00C96FA1">
        <w:rPr>
          <w:rFonts w:ascii="Century Gothic" w:eastAsia="Calibri" w:hAnsi="Century Gothic" w:cs="Arial"/>
          <w:i/>
          <w:iCs/>
          <w:lang w:val="es-ES_tradnl"/>
        </w:rPr>
        <w:t>servanda</w:t>
      </w:r>
      <w:proofErr w:type="spellEnd"/>
      <w:r w:rsidRPr="00C96FA1">
        <w:rPr>
          <w:rFonts w:ascii="Century Gothic" w:eastAsia="Calibri" w:hAnsi="Century Gothic" w:cs="Arial"/>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w:t>
      </w:r>
      <w:r>
        <w:rPr>
          <w:rFonts w:ascii="Century Gothic" w:eastAsia="Calibri" w:hAnsi="Century Gothic" w:cs="Arial"/>
          <w:lang w:val="es-ES_tradnl"/>
        </w:rPr>
        <w:t>“</w:t>
      </w:r>
      <w:r w:rsidRPr="00C96FA1">
        <w:rPr>
          <w:rFonts w:ascii="Century Gothic" w:eastAsia="Calibri" w:hAnsi="Century Gothic" w:cs="Arial"/>
          <w:lang w:val="es-ES_tradnl"/>
        </w:rPr>
        <w:t>Manual para el manejo de los incentivos en los procesos de contratación</w:t>
      </w:r>
      <w:r>
        <w:rPr>
          <w:rFonts w:ascii="Century Gothic" w:hAnsi="Century Gothic" w:cs="Arial"/>
          <w:lang w:val="es-ES" w:eastAsia="es-CO"/>
        </w:rPr>
        <w:t>”</w:t>
      </w:r>
      <w:r w:rsidRPr="00C96FA1">
        <w:rPr>
          <w:rFonts w:ascii="Century Gothic" w:hAnsi="Century Gothic" w:cs="Arial"/>
          <w:lang w:val="es-ES" w:eastAsia="es-CO"/>
        </w:rPr>
        <w:t>.</w:t>
      </w:r>
    </w:p>
    <w:p w14:paraId="570CF1F5" w14:textId="77777777" w:rsidR="00312425" w:rsidRPr="00C96FA1" w:rsidRDefault="00312425" w:rsidP="00312425">
      <w:pPr>
        <w:spacing w:after="0" w:line="276" w:lineRule="auto"/>
        <w:jc w:val="both"/>
        <w:rPr>
          <w:rFonts w:ascii="Century Gothic" w:eastAsia="Calibri" w:hAnsi="Century Gothic" w:cs="Arial"/>
          <w:lang w:val="es-ES_tradnl"/>
        </w:rPr>
      </w:pPr>
    </w:p>
    <w:p w14:paraId="26AB3872" w14:textId="77777777" w:rsidR="00312425" w:rsidRPr="00C96FA1" w:rsidRDefault="00312425" w:rsidP="00312425">
      <w:pPr>
        <w:spacing w:after="0" w:line="276" w:lineRule="auto"/>
        <w:jc w:val="both"/>
        <w:rPr>
          <w:rFonts w:ascii="Century Gothic" w:eastAsia="Calibri" w:hAnsi="Century Gothic" w:cs="Arial"/>
          <w:b/>
          <w:bCs/>
          <w:lang w:val="es-ES_tradnl"/>
        </w:rPr>
      </w:pPr>
      <w:r w:rsidRPr="00C96FA1">
        <w:rPr>
          <w:rFonts w:ascii="Century Gothic" w:eastAsia="Calibri" w:hAnsi="Century Gothic" w:cs="Arial"/>
          <w:b/>
          <w:bCs/>
          <w:lang w:val="es-ES_tradnl"/>
        </w:rPr>
        <w:t xml:space="preserve">2.2. Ámbito de aplicación, vigencia y reglamentación de la Ley 2069 de 2020 </w:t>
      </w:r>
    </w:p>
    <w:p w14:paraId="11A12B3C" w14:textId="77777777" w:rsidR="00312425" w:rsidRPr="00C96FA1" w:rsidRDefault="00312425" w:rsidP="00312425">
      <w:pPr>
        <w:spacing w:after="0" w:line="276" w:lineRule="auto"/>
        <w:jc w:val="both"/>
        <w:rPr>
          <w:rFonts w:ascii="Century Gothic" w:eastAsia="Calibri" w:hAnsi="Century Gothic" w:cs="Arial"/>
          <w:lang w:val="es-ES_tradnl"/>
        </w:rPr>
      </w:pPr>
    </w:p>
    <w:p w14:paraId="6F044AA7" w14:textId="77777777" w:rsidR="00312425" w:rsidRPr="00C96FA1" w:rsidRDefault="00312425" w:rsidP="00312425">
      <w:pPr>
        <w:spacing w:after="120" w:line="276" w:lineRule="auto"/>
        <w:jc w:val="both"/>
        <w:rPr>
          <w:rFonts w:ascii="Century Gothic" w:eastAsia="Calibri" w:hAnsi="Century Gothic" w:cs="Arial"/>
          <w:lang w:val="es-ES_tradnl"/>
        </w:rPr>
      </w:pPr>
      <w:r w:rsidRPr="00C96FA1">
        <w:rPr>
          <w:rFonts w:ascii="Century Gothic" w:eastAsia="Calibri" w:hAnsi="Century Gothic" w:cs="Arial"/>
          <w:lang w:val="es-ES_tradnl"/>
        </w:rPr>
        <w:t xml:space="preserve">El 31 de diciembre de 2020 se promulgó la Ley 2069, </w:t>
      </w:r>
      <w:r>
        <w:rPr>
          <w:rFonts w:ascii="Century Gothic" w:eastAsia="Calibri" w:hAnsi="Century Gothic" w:cs="Arial"/>
          <w:lang w:val="es-ES_tradnl"/>
        </w:rPr>
        <w:t>“</w:t>
      </w:r>
      <w:r w:rsidRPr="00C96FA1">
        <w:rPr>
          <w:rFonts w:ascii="Century Gothic" w:eastAsia="Calibri" w:hAnsi="Century Gothic" w:cs="Arial"/>
          <w:lang w:val="es-ES_tradnl"/>
        </w:rPr>
        <w:t>Por medio de la cual se impulsa el emprendimiento en Colombia</w:t>
      </w:r>
      <w:r>
        <w:rPr>
          <w:rFonts w:ascii="Century Gothic" w:eastAsia="Calibri" w:hAnsi="Century Gothic" w:cs="Arial"/>
          <w:lang w:val="es-ES_tradnl"/>
        </w:rPr>
        <w:t>”</w:t>
      </w:r>
      <w:r w:rsidRPr="00C96FA1">
        <w:rPr>
          <w:rFonts w:ascii="Century Gothic" w:eastAsia="Calibri" w:hAnsi="Century Gothic" w:cs="Arial"/>
          <w:lang w:val="es-ES_tradnl"/>
        </w:rPr>
        <w:t xml:space="preserve">. De acuerdo con el artículo 84, </w:t>
      </w:r>
      <w:r>
        <w:rPr>
          <w:rFonts w:ascii="Century Gothic" w:eastAsia="Calibri" w:hAnsi="Century Gothic" w:cs="Arial"/>
          <w:lang w:val="es-ES_tradnl"/>
        </w:rPr>
        <w:t>“</w:t>
      </w:r>
      <w:r w:rsidRPr="00C96FA1">
        <w:rPr>
          <w:rFonts w:ascii="Century Gothic" w:eastAsia="Calibri" w:hAnsi="Century Gothic" w:cs="Arial"/>
          <w:lang w:val="es-ES_tradnl"/>
        </w:rPr>
        <w:t>La presente Ley rige a partir del momento de su promulgación […]</w:t>
      </w:r>
      <w:r>
        <w:rPr>
          <w:rFonts w:ascii="Century Gothic" w:eastAsia="Calibri" w:hAnsi="Century Gothic" w:cs="Arial"/>
          <w:lang w:val="es-ES_tradnl"/>
        </w:rPr>
        <w:t>”</w:t>
      </w:r>
      <w:r w:rsidRPr="00C96FA1">
        <w:rPr>
          <w:rFonts w:ascii="Century Gothic" w:eastAsia="Calibri" w:hAnsi="Century Gothic" w:cs="Arial"/>
          <w:lang w:val="es-ES_tradnl"/>
        </w:rPr>
        <w:t>, lo que significa que es obligatoria para sus destinatarios desde esa fecha. Lo anterior, sin perjuicio de la posibilidad de que el gobierno nacional, en ejercicio de la potestad reglamentaria que le confiere el artículo 189, numeral 11, de la Constitución Política, expidiera el decreto correspondiente que permitiera la cumplida ejecución de esta Ley, tal como aconteció con el Decreto 1860 de 2021, al cual se hará referencia más adelante.</w:t>
      </w:r>
    </w:p>
    <w:p w14:paraId="12B0C8CE" w14:textId="77777777" w:rsidR="00312425" w:rsidRPr="00C96FA1" w:rsidRDefault="00312425" w:rsidP="00312425">
      <w:pPr>
        <w:spacing w:after="120" w:line="276" w:lineRule="auto"/>
        <w:ind w:firstLine="709"/>
        <w:jc w:val="both"/>
        <w:rPr>
          <w:rFonts w:ascii="Century Gothic" w:eastAsia="Calibri" w:hAnsi="Century Gothic" w:cs="Arial"/>
          <w:lang w:val="es-ES"/>
        </w:rPr>
      </w:pPr>
      <w:r w:rsidRPr="72E603A0">
        <w:rPr>
          <w:rFonts w:ascii="Century Gothic" w:eastAsia="Calibri" w:hAnsi="Century Gothic" w:cs="Arial"/>
          <w:lang w:val="es-ES"/>
        </w:rPr>
        <w:t xml:space="preserve">En cuanto al contenido de la Ley 2069 de 2020,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72E603A0">
        <w:rPr>
          <w:rFonts w:ascii="Century Gothic" w:eastAsia="Calibri" w:hAnsi="Century Gothic" w:cs="Arial"/>
          <w:lang w:val="es-ES"/>
        </w:rPr>
        <w:t>de acuerdo a</w:t>
      </w:r>
      <w:proofErr w:type="gramEnd"/>
      <w:r w:rsidRPr="72E603A0">
        <w:rPr>
          <w:rFonts w:ascii="Century Gothic" w:eastAsia="Calibri" w:hAnsi="Century Gothic" w:cs="Arial"/>
          <w:lang w:val="es-ES"/>
        </w:rPr>
        <w:t xml:space="preserve"> las realidades socioeconómicas de cada región”. En desarrollo de esta finalidad, se establecen medidas de apoyo para las micro, pequeñas y medianas empresas –</w:t>
      </w:r>
      <w:proofErr w:type="spellStart"/>
      <w:r w:rsidRPr="72E603A0">
        <w:rPr>
          <w:rFonts w:ascii="Century Gothic" w:eastAsia="Calibri" w:hAnsi="Century Gothic" w:cs="Arial"/>
          <w:lang w:val="es-ES"/>
        </w:rPr>
        <w:lastRenderedPageBreak/>
        <w:t>mipymes</w:t>
      </w:r>
      <w:proofErr w:type="spellEnd"/>
      <w:r w:rsidRPr="72E603A0">
        <w:rPr>
          <w:rFonts w:ascii="Century Gothic" w:eastAsia="Calibri" w:hAnsi="Century Gothic" w:cs="Arial"/>
          <w:lang w:val="es-ES"/>
        </w:rPr>
        <w:t>–, mediante la racionalización y simplificación de los trámites y tarifas</w:t>
      </w:r>
      <w:r w:rsidRPr="72E603A0">
        <w:rPr>
          <w:rStyle w:val="Refdenotaalpie"/>
          <w:rFonts w:ascii="Century Gothic" w:eastAsia="Calibri" w:hAnsi="Century Gothic" w:cs="Arial"/>
          <w:lang w:val="es-ES"/>
        </w:rPr>
        <w:footnoteReference w:id="5"/>
      </w:r>
      <w:r w:rsidRPr="72E603A0">
        <w:rPr>
          <w:rFonts w:ascii="Century Gothic" w:eastAsia="Calibri" w:hAnsi="Century Gothic" w:cs="Arial"/>
          <w:lang w:val="es-ES"/>
        </w:rPr>
        <w:t>, así como incentivos a favor de aquellas dentro del sistema de compras y contratación pública</w:t>
      </w:r>
      <w:r w:rsidRPr="72E603A0">
        <w:rPr>
          <w:rStyle w:val="Refdenotaalpie"/>
          <w:rFonts w:ascii="Century Gothic" w:eastAsia="Calibri" w:hAnsi="Century Gothic" w:cs="Arial"/>
          <w:lang w:val="es-ES"/>
        </w:rPr>
        <w:footnoteReference w:id="6"/>
      </w:r>
      <w:r w:rsidRPr="72E603A0">
        <w:rPr>
          <w:rFonts w:ascii="Century Gothic" w:eastAsia="Calibri" w:hAnsi="Century Gothic" w:cs="Arial"/>
          <w:lang w:val="es-ES"/>
        </w:rPr>
        <w:t>. También se consagran mecanismos de acceso al financiamiento</w:t>
      </w:r>
      <w:r w:rsidRPr="72E603A0">
        <w:rPr>
          <w:rStyle w:val="Refdenotaalpie"/>
          <w:rFonts w:ascii="Century Gothic" w:eastAsia="Calibri" w:hAnsi="Century Gothic" w:cs="Arial"/>
          <w:lang w:val="es-ES"/>
        </w:rPr>
        <w:footnoteReference w:id="7"/>
      </w:r>
      <w:r w:rsidRPr="72E603A0">
        <w:rPr>
          <w:rFonts w:ascii="Century Gothic" w:eastAsia="Calibri" w:hAnsi="Century Gothic" w:cs="Arial"/>
          <w:lang w:val="es-ES"/>
        </w:rPr>
        <w:t>, se unifican las fuentes de emprendimiento y de desarrollo empresarial, para fortalecer y promover los distintos sectores de la economía</w:t>
      </w:r>
      <w:r w:rsidRPr="72E603A0">
        <w:rPr>
          <w:rStyle w:val="Refdenotaalpie"/>
          <w:rFonts w:ascii="Century Gothic" w:eastAsia="Calibri" w:hAnsi="Century Gothic" w:cs="Arial"/>
          <w:lang w:val="es-ES"/>
        </w:rPr>
        <w:footnoteReference w:id="8"/>
      </w:r>
      <w:r w:rsidRPr="72E603A0">
        <w:rPr>
          <w:rFonts w:ascii="Century Gothic" w:eastAsia="Calibri" w:hAnsi="Century Gothic" w:cs="Arial"/>
          <w:lang w:val="es-ES"/>
        </w:rPr>
        <w:t xml:space="preserve"> y se prevén medidas de educación para el emprendimiento y la innovación</w:t>
      </w:r>
      <w:r w:rsidRPr="72E603A0">
        <w:rPr>
          <w:rStyle w:val="Refdenotaalpie"/>
          <w:rFonts w:ascii="Century Gothic" w:eastAsia="Calibri" w:hAnsi="Century Gothic" w:cs="Arial"/>
          <w:lang w:val="es-ES"/>
        </w:rPr>
        <w:footnoteReference w:id="9"/>
      </w:r>
      <w:r w:rsidRPr="72E603A0">
        <w:rPr>
          <w:rFonts w:ascii="Century Gothic" w:eastAsia="Calibri" w:hAnsi="Century Gothic" w:cs="Arial"/>
          <w:lang w:val="es-ES"/>
        </w:rPr>
        <w:t>.</w:t>
      </w:r>
    </w:p>
    <w:p w14:paraId="23143C1D" w14:textId="77777777" w:rsidR="00312425" w:rsidRPr="00C96FA1" w:rsidRDefault="00312425" w:rsidP="00312425">
      <w:pPr>
        <w:spacing w:after="120" w:line="276" w:lineRule="auto"/>
        <w:ind w:firstLine="709"/>
        <w:jc w:val="both"/>
        <w:rPr>
          <w:rFonts w:ascii="Century Gothic" w:eastAsia="Calibri" w:hAnsi="Century Gothic" w:cs="Arial"/>
          <w:lang w:val="es-ES"/>
        </w:rPr>
      </w:pPr>
      <w:r w:rsidRPr="72E603A0">
        <w:rPr>
          <w:rFonts w:ascii="Century Gothic" w:eastAsia="Calibri" w:hAnsi="Century Gothic" w:cs="Arial"/>
          <w:lang w:val="es-ES"/>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72E603A0">
        <w:rPr>
          <w:rFonts w:ascii="Century Gothic" w:eastAsia="Calibri" w:hAnsi="Century Gothic" w:cs="Arial"/>
          <w:lang w:val="es-ES"/>
        </w:rPr>
        <w:t>mipymes</w:t>
      </w:r>
      <w:proofErr w:type="spellEnd"/>
      <w:r w:rsidRPr="72E603A0">
        <w:rPr>
          <w:rFonts w:ascii="Century Gothic" w:eastAsia="Calibri" w:hAnsi="Century Gothic" w:cs="Arial"/>
          <w:lang w:val="es-ES"/>
        </w:rPr>
        <w:t xml:space="preserve"> en el procedimiento de mínima cuantía, </w:t>
      </w:r>
      <w:proofErr w:type="spellStart"/>
      <w:r w:rsidRPr="72E603A0">
        <w:rPr>
          <w:rFonts w:ascii="Century Gothic" w:eastAsia="Calibri" w:hAnsi="Century Gothic" w:cs="Arial"/>
          <w:lang w:val="es-ES"/>
        </w:rPr>
        <w:t>ii</w:t>
      </w:r>
      <w:proofErr w:type="spellEnd"/>
      <w:r w:rsidRPr="72E603A0">
        <w:rPr>
          <w:rFonts w:ascii="Century Gothic" w:eastAsia="Calibri" w:hAnsi="Century Gothic" w:cs="Arial"/>
          <w:lang w:val="es-ES"/>
        </w:rPr>
        <w:t xml:space="preserve">) criterios diferenciales para </w:t>
      </w:r>
      <w:proofErr w:type="spellStart"/>
      <w:r w:rsidRPr="72E603A0">
        <w:rPr>
          <w:rFonts w:ascii="Century Gothic" w:eastAsia="Calibri" w:hAnsi="Century Gothic" w:cs="Arial"/>
          <w:lang w:val="es-ES"/>
        </w:rPr>
        <w:t>mipymes</w:t>
      </w:r>
      <w:proofErr w:type="spellEnd"/>
      <w:r w:rsidRPr="72E603A0">
        <w:rPr>
          <w:rFonts w:ascii="Century Gothic" w:eastAsia="Calibri" w:hAnsi="Century Gothic" w:cs="Arial"/>
          <w:lang w:val="es-ES"/>
        </w:rPr>
        <w:t xml:space="preserve"> en el sistema de compras públicas, </w:t>
      </w:r>
      <w:proofErr w:type="spellStart"/>
      <w:r w:rsidRPr="72E603A0">
        <w:rPr>
          <w:rFonts w:ascii="Century Gothic" w:eastAsia="Calibri" w:hAnsi="Century Gothic" w:cs="Arial"/>
          <w:lang w:val="es-ES"/>
        </w:rPr>
        <w:t>iii</w:t>
      </w:r>
      <w:proofErr w:type="spellEnd"/>
      <w:r w:rsidRPr="72E603A0">
        <w:rPr>
          <w:rFonts w:ascii="Century Gothic" w:eastAsia="Calibri" w:hAnsi="Century Gothic" w:cs="Arial"/>
          <w:lang w:val="es-ES"/>
        </w:rPr>
        <w:t xml:space="preserve">) criterios diferenciales para emprendimientos y empresas de mujeres en el sistema de compras públicas, </w:t>
      </w:r>
      <w:proofErr w:type="spellStart"/>
      <w:r w:rsidRPr="72E603A0">
        <w:rPr>
          <w:rFonts w:ascii="Century Gothic" w:eastAsia="Calibri" w:hAnsi="Century Gothic" w:cs="Arial"/>
          <w:lang w:val="es-ES"/>
        </w:rPr>
        <w:t>iv</w:t>
      </w:r>
      <w:proofErr w:type="spellEnd"/>
      <w:r w:rsidRPr="72E603A0">
        <w:rPr>
          <w:rFonts w:ascii="Century Gothic" w:eastAsia="Calibri" w:hAnsi="Century Gothic" w:cs="Arial"/>
          <w:lang w:val="es-ES"/>
        </w:rPr>
        <w:t xml:space="preserve">) promoción del acceso de las </w:t>
      </w:r>
      <w:proofErr w:type="spellStart"/>
      <w:r w:rsidRPr="72E603A0">
        <w:rPr>
          <w:rFonts w:ascii="Century Gothic" w:eastAsia="Calibri" w:hAnsi="Century Gothic" w:cs="Arial"/>
          <w:lang w:val="es-ES"/>
        </w:rPr>
        <w:t>mipymes</w:t>
      </w:r>
      <w:proofErr w:type="spellEnd"/>
      <w:r w:rsidRPr="72E603A0">
        <w:rPr>
          <w:rFonts w:ascii="Century Gothic" w:eastAsia="Calibri" w:hAnsi="Century Gothic" w:cs="Arial"/>
          <w:lang w:val="es-ES"/>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continuación, se estudiará el contenido y alcance de dicha norma. </w:t>
      </w:r>
    </w:p>
    <w:p w14:paraId="5A52DDA1" w14:textId="77777777" w:rsidR="00312425" w:rsidRPr="00C96FA1" w:rsidRDefault="00312425" w:rsidP="00312425">
      <w:pPr>
        <w:spacing w:after="120" w:line="276" w:lineRule="auto"/>
        <w:jc w:val="both"/>
        <w:rPr>
          <w:rFonts w:ascii="Century Gothic" w:eastAsia="Calibri" w:hAnsi="Century Gothic" w:cs="Arial"/>
          <w:lang w:val="es-ES"/>
        </w:rPr>
      </w:pPr>
      <w:r w:rsidRPr="00C96FA1">
        <w:rPr>
          <w:rFonts w:ascii="Century Gothic" w:eastAsia="Calibri" w:hAnsi="Century Gothic" w:cs="Arial"/>
          <w:lang w:val="es-ES_tradnl"/>
        </w:rPr>
        <w:tab/>
      </w:r>
      <w:r w:rsidRPr="72E603A0">
        <w:rPr>
          <w:rFonts w:ascii="Century Gothic" w:eastAsia="Calibri" w:hAnsi="Century Gothic" w:cs="Arial"/>
          <w:lang w:val="es-ES"/>
        </w:rPr>
        <w:t xml:space="preserve">El artículo 35 de la Ley 2069 de 2020 modifica la regulación de los factores de desempate en la contratación estatal. 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requería de una reglamentación previa como presupuesto para su eficacia. Esta precisión reviste de importancia, porque algunos enunciados normativos de la ley bajo análisis establecen un mandato de reglamentación, dirigido al gobierno nacional, como condición para aplicar lo dispuesto en ella. </w:t>
      </w:r>
    </w:p>
    <w:p w14:paraId="380D5310" w14:textId="77777777" w:rsidR="00312425" w:rsidRPr="00C96FA1" w:rsidRDefault="00312425" w:rsidP="00312425">
      <w:pPr>
        <w:spacing w:after="120" w:line="276" w:lineRule="auto"/>
        <w:ind w:firstLine="709"/>
        <w:jc w:val="both"/>
        <w:rPr>
          <w:rFonts w:ascii="Century Gothic" w:eastAsia="Calibri" w:hAnsi="Century Gothic" w:cs="Arial"/>
          <w:lang w:val="es-ES"/>
        </w:rPr>
      </w:pPr>
      <w:r w:rsidRPr="72E603A0">
        <w:rPr>
          <w:rFonts w:ascii="Century Gothic" w:eastAsia="Calibri" w:hAnsi="Century Gothic" w:cs="Arial"/>
          <w:lang w:val="es-ES"/>
        </w:rPr>
        <w:t xml:space="preserve">Por ejemplo, en lo que a las compras públicas se refiere, el parágrafo primero del artículo 30, que alude a la participación de </w:t>
      </w:r>
      <w:proofErr w:type="spellStart"/>
      <w:r w:rsidRPr="72E603A0">
        <w:rPr>
          <w:rFonts w:ascii="Century Gothic" w:eastAsia="Calibri" w:hAnsi="Century Gothic" w:cs="Arial"/>
          <w:lang w:val="es-ES"/>
        </w:rPr>
        <w:t>mipymes</w:t>
      </w:r>
      <w:proofErr w:type="spellEnd"/>
      <w:r w:rsidRPr="72E603A0">
        <w:rPr>
          <w:rFonts w:ascii="Century Gothic" w:eastAsia="Calibri" w:hAnsi="Century Gothic" w:cs="Arial"/>
          <w:lang w:val="es-ES"/>
        </w:rPr>
        <w:t xml:space="preserve"> en procedimientos de mínima cuantía, establece que “Las particularidades del procedimiento aquí previsto, así como la posibilidad que tengan las entidades de realizar estas </w:t>
      </w:r>
      <w:r w:rsidRPr="72E603A0">
        <w:rPr>
          <w:rFonts w:ascii="Century Gothic" w:eastAsia="Calibri" w:hAnsi="Century Gothic" w:cs="Arial"/>
          <w:lang w:val="es-ES"/>
        </w:rPr>
        <w:lastRenderedPageBreak/>
        <w:t xml:space="preserve">adquisiciones a </w:t>
      </w:r>
      <w:proofErr w:type="spellStart"/>
      <w:r w:rsidRPr="72E603A0">
        <w:rPr>
          <w:rFonts w:ascii="Century Gothic" w:eastAsia="Calibri" w:hAnsi="Century Gothic" w:cs="Arial"/>
          <w:lang w:val="es-ES"/>
        </w:rPr>
        <w:t>Mipymes</w:t>
      </w:r>
      <w:proofErr w:type="spellEnd"/>
      <w:r w:rsidRPr="72E603A0">
        <w:rPr>
          <w:rFonts w:ascii="Century Gothic" w:eastAsia="Calibri" w:hAnsi="Century Gothic" w:cs="Arial"/>
          <w:lang w:val="es-ES"/>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72386407" w14:textId="77777777" w:rsidR="00312425" w:rsidRPr="00C96FA1" w:rsidRDefault="00312425" w:rsidP="00312425">
      <w:pPr>
        <w:spacing w:after="120" w:line="276" w:lineRule="auto"/>
        <w:ind w:firstLine="709"/>
        <w:jc w:val="both"/>
        <w:rPr>
          <w:rFonts w:ascii="Century Gothic" w:eastAsia="Calibri" w:hAnsi="Century Gothic" w:cs="Arial"/>
          <w:lang w:val="es-ES"/>
        </w:rPr>
      </w:pPr>
      <w:r w:rsidRPr="72E603A0">
        <w:rPr>
          <w:rFonts w:ascii="Century Gothic" w:eastAsia="Calibri" w:hAnsi="Century Gothic" w:cs="Arial"/>
          <w:lang w:val="es-ES"/>
        </w:rPr>
        <w:t xml:space="preserve">Lo mismo no sucede con el artículo 35. En efecto, </w:t>
      </w:r>
      <w:r w:rsidRPr="72E603A0">
        <w:rPr>
          <w:rFonts w:ascii="Century Gothic" w:hAnsi="Century Gothic" w:cs="Arial"/>
          <w:lang w:val="es-ES"/>
        </w:rPr>
        <w:t xml:space="preserve">si bien los factores de desempate regulados en el artículo 35 deben aplicarse “[…] 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sin perjuicio de la competencia general prevista en el artículo 189.11 de Constitución Política de 1991, este parágrafo le asigna potestad reglamentaria al gobierno nacional para definir factores que permitan desempatar las ofertas en aquellos casos en que varios oferentes reúnan al tiempo dos o más de los factores previstos en el artículo 35. </w:t>
      </w:r>
    </w:p>
    <w:p w14:paraId="78624ADD" w14:textId="77777777" w:rsidR="00312425" w:rsidRPr="00C96FA1" w:rsidRDefault="00312425" w:rsidP="00312425">
      <w:pPr>
        <w:spacing w:after="120" w:line="276" w:lineRule="auto"/>
        <w:jc w:val="both"/>
        <w:rPr>
          <w:rFonts w:ascii="Century Gothic" w:eastAsia="Calibri" w:hAnsi="Century Gothic" w:cs="Arial"/>
          <w:lang w:val="es-ES_tradnl"/>
        </w:rPr>
      </w:pPr>
      <w:r w:rsidRPr="00C96FA1">
        <w:rPr>
          <w:rFonts w:ascii="Century Gothic" w:eastAsia="Calibri" w:hAnsi="Century Gothic" w:cs="Arial"/>
          <w:b/>
          <w:bCs/>
          <w:lang w:val="es-ES_tradnl"/>
        </w:rPr>
        <w:tab/>
      </w:r>
      <w:r w:rsidRPr="00C96FA1">
        <w:rPr>
          <w:rFonts w:ascii="Century Gothic" w:eastAsia="Calibri" w:hAnsi="Century Gothic" w:cs="Arial"/>
          <w:lang w:val="es-ES_tradnl"/>
        </w:rPr>
        <w:t>Lo explicado en los párrafos precedentes es importante, porque el 24 de diciembre de 2021, el gobierno nacional expidió el Decreto 1860,</w:t>
      </w:r>
      <w:r w:rsidRPr="00C96FA1">
        <w:rPr>
          <w:rFonts w:ascii="Century Gothic" w:hAnsi="Century Gothic"/>
        </w:rPr>
        <w:t xml:space="preserve"> </w:t>
      </w:r>
      <w:r>
        <w:rPr>
          <w:rFonts w:ascii="Century Gothic" w:eastAsia="Calibri" w:hAnsi="Century Gothic" w:cs="Arial"/>
          <w:lang w:val="es-ES_tradnl"/>
        </w:rPr>
        <w:t>“</w:t>
      </w:r>
      <w:r w:rsidRPr="00C96FA1">
        <w:rPr>
          <w:rFonts w:ascii="Century Gothic" w:eastAsia="Calibri" w:hAnsi="Century Gothic" w:cs="Arial"/>
          <w:lang w:val="es-ES_tradnl"/>
        </w:rPr>
        <w:t>Por el cual se modifica y adiciona el Decreto 1082 de 2015, Único Reglamentario del Sector Administrativo de Planeación Nacional, con el fin reglamentar los artículos 30, 31, 32, 34 y 35 de la Ley 2069 de 2020, en lo relativo al sistema de compras públicas y se dictan otras disposiciones</w:t>
      </w:r>
      <w:r>
        <w:rPr>
          <w:rFonts w:ascii="Century Gothic" w:eastAsia="Calibri" w:hAnsi="Century Gothic" w:cs="Arial"/>
          <w:lang w:val="es-ES_tradnl"/>
        </w:rPr>
        <w:t>”</w:t>
      </w:r>
      <w:r w:rsidRPr="00C96FA1">
        <w:rPr>
          <w:rFonts w:ascii="Century Gothic" w:eastAsia="Calibri" w:hAnsi="Century Gothic" w:cs="Arial"/>
          <w:lang w:val="es-ES_tradnl"/>
        </w:rPr>
        <w:t>. Esta norma se expidió con el propósito de adecuar el marco reglamentario de la contratación pública a las modificaciones normativas que se desprenden del Capítulo III de la Ley 2069 de 2020 –con excepción de los artículos 33 y 36–, realizando las adecuaciones requeridas para aplicar estas disposiciones, tal como indica el artículo 1 del Decreto 1860 de 2021</w:t>
      </w:r>
      <w:r w:rsidRPr="00C96FA1">
        <w:rPr>
          <w:rStyle w:val="Refdenotaalpie"/>
          <w:rFonts w:ascii="Century Gothic" w:eastAsia="Calibri" w:hAnsi="Century Gothic" w:cs="Arial"/>
          <w:lang w:val="es-ES_tradnl"/>
        </w:rPr>
        <w:footnoteReference w:id="10"/>
      </w:r>
      <w:r w:rsidRPr="00C96FA1">
        <w:rPr>
          <w:rFonts w:ascii="Century Gothic" w:eastAsia="Calibri" w:hAnsi="Century Gothic" w:cs="Arial"/>
          <w:lang w:val="es-ES_tradnl"/>
        </w:rPr>
        <w:t>.</w:t>
      </w:r>
      <w:r>
        <w:rPr>
          <w:rFonts w:ascii="Century Gothic" w:eastAsia="Calibri" w:hAnsi="Century Gothic" w:cs="Arial"/>
          <w:lang w:val="es-ES_tradnl"/>
        </w:rPr>
        <w:t xml:space="preserve"> </w:t>
      </w:r>
    </w:p>
    <w:p w14:paraId="6DDEF6E5" w14:textId="77777777" w:rsidR="00312425" w:rsidRPr="00C96FA1" w:rsidRDefault="00312425" w:rsidP="00312425">
      <w:pPr>
        <w:spacing w:after="120" w:line="276" w:lineRule="auto"/>
        <w:jc w:val="both"/>
        <w:rPr>
          <w:rFonts w:ascii="Century Gothic" w:hAnsi="Century Gothic" w:cs="Arial"/>
        </w:rPr>
      </w:pPr>
      <w:r w:rsidRPr="00C96FA1">
        <w:rPr>
          <w:rFonts w:ascii="Century Gothic" w:eastAsia="Calibri" w:hAnsi="Century Gothic" w:cs="Arial"/>
          <w:lang w:val="es-ES_tradnl"/>
        </w:rPr>
        <w:tab/>
        <w:t xml:space="preserve">En lo relativo al artículo 35 de la Ley 2069 de 2020, el artículo 3 del Decreto 1860 de 2021 adiciona el artículo 2.2.1.2.4.2.17. a la Subsección 2 de la Sección 4 </w:t>
      </w:r>
      <w:r w:rsidRPr="00C96FA1">
        <w:rPr>
          <w:rFonts w:ascii="Century Gothic" w:eastAsia="Calibri" w:hAnsi="Century Gothic" w:cs="Arial"/>
          <w:lang w:val="es-ES_tradnl"/>
        </w:rPr>
        <w:lastRenderedPageBreak/>
        <w:t>del Capítulo 2 del Título 1 de la Parte 2 del Libro 2 del Decreto 1082 de 2015</w:t>
      </w:r>
      <w:r w:rsidRPr="00C96FA1">
        <w:rPr>
          <w:rFonts w:ascii="Century Gothic" w:hAnsi="Century Gothic" w:cs="Arial"/>
          <w:lang w:eastAsia="es-CO"/>
        </w:rPr>
        <w:t xml:space="preserve">, el cual reglamenta los factores de desempate del artículo 35 </w:t>
      </w:r>
      <w:proofErr w:type="spellStart"/>
      <w:r w:rsidRPr="00C96FA1">
        <w:rPr>
          <w:rFonts w:ascii="Century Gothic" w:hAnsi="Century Gothic" w:cs="Arial"/>
          <w:i/>
          <w:iCs/>
          <w:lang w:eastAsia="es-CO"/>
        </w:rPr>
        <w:t>ibídem</w:t>
      </w:r>
      <w:proofErr w:type="spellEnd"/>
      <w:r w:rsidRPr="00C96FA1">
        <w:rPr>
          <w:rFonts w:ascii="Century Gothic" w:hAnsi="Century Gothic" w:cs="Arial"/>
          <w:lang w:eastAsia="es-CO"/>
        </w:rPr>
        <w:t xml:space="preserve">, estableciendo los medios de acreditación de cada uno de los supuestos de hecho en función de los cuales operan. </w:t>
      </w:r>
      <w:r w:rsidRPr="00C96FA1">
        <w:rPr>
          <w:rFonts w:ascii="Century Gothic" w:hAnsi="Century Gothic" w:cs="Arial"/>
        </w:rPr>
        <w:t xml:space="preserve">De otra parte, el artículo 7 del Decreto recientemente expedido modificó el contenido del artículo 2.2.1.2.4.2.8 </w:t>
      </w:r>
      <w:r w:rsidRPr="00C96FA1">
        <w:rPr>
          <w:rFonts w:ascii="Century Gothic" w:hAnsi="Century Gothic" w:cs="Arial"/>
          <w:shd w:val="clear" w:color="auto" w:fill="FFFFFF"/>
        </w:rPr>
        <w:t xml:space="preserve">de la Subsección 2 de la Sección 4 del Capítulo 2 del Título 1 de la Parte 2 del Libro 2 del Decreto 1082 de 2015, alusivo al sistema de preferencias en favor de las personas con discapacidad. </w:t>
      </w:r>
      <w:r w:rsidRPr="00C96FA1">
        <w:rPr>
          <w:rFonts w:ascii="Century Gothic" w:hAnsi="Century Gothic" w:cs="Arial"/>
        </w:rPr>
        <w:t>La modificación realizada reemplazó la referencia al artículo 2.2.1.1.2.2.9 del Decreto 1082 de 2015, que anteriormente reglamentaba los factores de desempate, por una remisión al artículo 35 de la Ley 2069 de 2020 y el artículo 2.2.1.2.4.2.17 del Decreto 1082 de 2015, disposiciones por las que ahora se rigen los criterios de desempate.</w:t>
      </w:r>
    </w:p>
    <w:p w14:paraId="1DB29DB7" w14:textId="77777777" w:rsidR="00312425" w:rsidRPr="00C96FA1" w:rsidRDefault="00312425" w:rsidP="00312425">
      <w:pPr>
        <w:spacing w:after="0" w:line="276" w:lineRule="auto"/>
        <w:jc w:val="both"/>
        <w:rPr>
          <w:rFonts w:ascii="Century Gothic" w:hAnsi="Century Gothic" w:cs="Arial"/>
          <w:lang w:eastAsia="es-CO"/>
        </w:rPr>
      </w:pPr>
      <w:r w:rsidRPr="00C96FA1">
        <w:rPr>
          <w:rFonts w:ascii="Century Gothic" w:hAnsi="Century Gothic" w:cs="Arial"/>
          <w:lang w:eastAsia="es-CO"/>
        </w:rPr>
        <w:tab/>
        <w:t xml:space="preserve">Por último, debe precisarse que la vigencia del Decreto 1860 de 2021 es regulada por su artículo 8, el cual establece que </w:t>
      </w:r>
      <w:r>
        <w:rPr>
          <w:rFonts w:ascii="Century Gothic" w:hAnsi="Century Gothic" w:cs="Arial"/>
          <w:lang w:eastAsia="es-CO"/>
        </w:rPr>
        <w:t>“</w:t>
      </w:r>
      <w:r w:rsidRPr="00C96FA1">
        <w:rPr>
          <w:rFonts w:ascii="Century Gothic" w:hAnsi="Century Gothic" w:cs="Arial"/>
          <w:lang w:eastAsia="es-CO"/>
        </w:rPr>
        <w:t>Las disposiciones contenidas en el presente Decreto se aplicarán a los procedimientos de selección cuya invitación, aviso de convocatoria o documento equivalente se publique a los tres (3) meses contados a partir de su expedición</w:t>
      </w:r>
      <w:r>
        <w:rPr>
          <w:rFonts w:ascii="Century Gothic" w:hAnsi="Century Gothic" w:cs="Arial"/>
          <w:lang w:eastAsia="es-CO"/>
        </w:rPr>
        <w:t>”</w:t>
      </w:r>
      <w:r w:rsidRPr="00C96FA1">
        <w:rPr>
          <w:rFonts w:ascii="Century Gothic" w:hAnsi="Century Gothic" w:cs="Arial"/>
          <w:lang w:eastAsia="es-CO"/>
        </w:rPr>
        <w:t>. De acuerdo con esto, habiéndose expedido el referido decreto el 24 de diciembre de 2021, la aplicación de su contenido deberá comenzar una vez transcurridos tres (3) meses contados a partir de entonces, en los procesos cuyos avisos de convocatorias, invitaciones o documentos equivalentes se publiquen con posterioridad a dicho término</w:t>
      </w:r>
      <w:r w:rsidRPr="00C96FA1">
        <w:rPr>
          <w:rStyle w:val="Refdenotaalpie"/>
          <w:rFonts w:ascii="Century Gothic" w:hAnsi="Century Gothic" w:cs="Arial"/>
          <w:lang w:eastAsia="es-CO"/>
        </w:rPr>
        <w:footnoteReference w:id="11"/>
      </w:r>
      <w:r w:rsidRPr="00C96FA1">
        <w:rPr>
          <w:rFonts w:ascii="Century Gothic" w:hAnsi="Century Gothic" w:cs="Arial"/>
          <w:lang w:eastAsia="es-CO"/>
        </w:rPr>
        <w:t xml:space="preserve">. </w:t>
      </w:r>
    </w:p>
    <w:p w14:paraId="685925F5" w14:textId="77777777" w:rsidR="00312425" w:rsidRPr="00C96FA1" w:rsidRDefault="00312425" w:rsidP="00312425">
      <w:pPr>
        <w:spacing w:after="0" w:line="276" w:lineRule="auto"/>
        <w:jc w:val="both"/>
        <w:rPr>
          <w:rFonts w:ascii="Century Gothic" w:hAnsi="Century Gothic" w:cs="Arial"/>
          <w:lang w:eastAsia="es-CO"/>
        </w:rPr>
      </w:pPr>
    </w:p>
    <w:p w14:paraId="3F1215D9" w14:textId="77777777" w:rsidR="00312425" w:rsidRDefault="00312425" w:rsidP="00312425">
      <w:pPr>
        <w:spacing w:after="0" w:line="276" w:lineRule="auto"/>
        <w:jc w:val="both"/>
        <w:rPr>
          <w:rFonts w:ascii="Century Gothic" w:eastAsia="Calibri" w:hAnsi="Century Gothic" w:cs="Arial"/>
          <w:b/>
          <w:iCs/>
          <w:lang w:val="es-ES_tradnl"/>
        </w:rPr>
      </w:pPr>
      <w:r w:rsidRPr="00C96FA1">
        <w:rPr>
          <w:rFonts w:ascii="Century Gothic" w:eastAsia="Calibri" w:hAnsi="Century Gothic" w:cs="Arial"/>
          <w:b/>
          <w:bCs/>
          <w:lang w:val="es-ES_tradnl"/>
        </w:rPr>
        <w:t>2.3.</w:t>
      </w:r>
      <w:r>
        <w:rPr>
          <w:rFonts w:ascii="Century Gothic" w:eastAsia="Calibri" w:hAnsi="Century Gothic" w:cs="Arial"/>
          <w:b/>
          <w:bCs/>
          <w:lang w:val="es-ES_tradnl"/>
        </w:rPr>
        <w:t xml:space="preserve"> </w:t>
      </w:r>
      <w:r>
        <w:rPr>
          <w:rFonts w:ascii="Century Gothic" w:eastAsia="Calibri" w:hAnsi="Century Gothic" w:cs="Arial"/>
          <w:b/>
          <w:iCs/>
          <w:lang w:val="es-ES_tradnl"/>
        </w:rPr>
        <w:t xml:space="preserve">Factores de desempate del artículo 35 de la Ley de Emprendimiento en relación con el artículo </w:t>
      </w:r>
      <w:r w:rsidRPr="00DF1A64">
        <w:rPr>
          <w:rFonts w:ascii="Century Gothic" w:eastAsia="Calibri" w:hAnsi="Century Gothic" w:cs="Arial"/>
          <w:b/>
          <w:iCs/>
          <w:lang w:val="es-ES_tradnl"/>
        </w:rPr>
        <w:t>67 de</w:t>
      </w:r>
      <w:r>
        <w:rPr>
          <w:rFonts w:ascii="Century Gothic" w:eastAsia="Calibri" w:hAnsi="Century Gothic" w:cs="Arial"/>
          <w:b/>
          <w:iCs/>
          <w:lang w:val="es-ES_tradnl"/>
        </w:rPr>
        <w:t xml:space="preserve"> </w:t>
      </w:r>
      <w:r w:rsidRPr="00DF1A64">
        <w:rPr>
          <w:rFonts w:ascii="Century Gothic" w:eastAsia="Calibri" w:hAnsi="Century Gothic" w:cs="Arial"/>
          <w:b/>
          <w:iCs/>
          <w:lang w:val="es-ES_tradnl"/>
        </w:rPr>
        <w:t>la ley 915 de 2004</w:t>
      </w:r>
      <w:r>
        <w:rPr>
          <w:rFonts w:ascii="Century Gothic" w:eastAsia="Calibri" w:hAnsi="Century Gothic" w:cs="Arial"/>
          <w:b/>
          <w:iCs/>
          <w:lang w:val="es-ES_tradnl"/>
        </w:rPr>
        <w:t>: vigencia independiente de ambas disposiciones</w:t>
      </w:r>
    </w:p>
    <w:p w14:paraId="33DD0A9D" w14:textId="77777777" w:rsidR="00312425" w:rsidRDefault="00312425" w:rsidP="00312425">
      <w:pPr>
        <w:spacing w:after="0" w:line="276" w:lineRule="auto"/>
        <w:jc w:val="both"/>
        <w:rPr>
          <w:rFonts w:ascii="Century Gothic" w:eastAsia="Calibri" w:hAnsi="Century Gothic" w:cs="Arial"/>
          <w:bCs/>
          <w:iCs/>
          <w:lang w:val="es-ES_tradnl"/>
        </w:rPr>
      </w:pPr>
    </w:p>
    <w:p w14:paraId="41ECE846" w14:textId="77777777" w:rsidR="00312425" w:rsidRDefault="00312425" w:rsidP="00312425">
      <w:pPr>
        <w:spacing w:after="120" w:line="276" w:lineRule="auto"/>
        <w:jc w:val="both"/>
        <w:rPr>
          <w:rFonts w:ascii="Century Gothic" w:eastAsia="Calibri" w:hAnsi="Century Gothic" w:cs="Arial"/>
          <w:lang w:val="es-ES"/>
        </w:rPr>
      </w:pPr>
      <w:r w:rsidRPr="72E603A0">
        <w:rPr>
          <w:rFonts w:ascii="Century Gothic" w:eastAsia="Calibri" w:hAnsi="Century Gothic" w:cs="Arial"/>
          <w:lang w:val="es-ES"/>
        </w:rPr>
        <w:t xml:space="preserve">El artículo 35.5 de la Ley 2069 de 2020 establece un criterio de desempate que constituye una medida afirmativa para las comunidades étnicas del país. Por ello dispone, “Preferir la propuesta presentada por el oferente que acredite, en las condiciones establecidas en la ley, que por lo menos diez por ciento (10%) de su nómina pertenece a población indígena, negra, afrocolombiana, </w:t>
      </w:r>
      <w:r w:rsidRPr="72E603A0">
        <w:rPr>
          <w:rFonts w:ascii="Century Gothic" w:eastAsia="Calibri" w:hAnsi="Century Gothic" w:cs="Arial"/>
          <w:i/>
          <w:lang w:val="es-ES"/>
        </w:rPr>
        <w:t>raizal</w:t>
      </w:r>
      <w:r w:rsidRPr="72E603A0">
        <w:rPr>
          <w:rFonts w:ascii="Century Gothic" w:eastAsia="Calibri" w:hAnsi="Century Gothic" w:cs="Arial"/>
          <w:lang w:val="es-ES"/>
        </w:rPr>
        <w:t xml:space="preserve">, palanquera, </w:t>
      </w:r>
      <w:proofErr w:type="spellStart"/>
      <w:r w:rsidRPr="72E603A0">
        <w:rPr>
          <w:rFonts w:ascii="Century Gothic" w:eastAsia="Calibri" w:hAnsi="Century Gothic" w:cs="Arial"/>
          <w:lang w:val="es-ES"/>
        </w:rPr>
        <w:t>Rrom</w:t>
      </w:r>
      <w:proofErr w:type="spellEnd"/>
      <w:r w:rsidRPr="72E603A0">
        <w:rPr>
          <w:rFonts w:ascii="Century Gothic" w:eastAsia="Calibri" w:hAnsi="Century Gothic" w:cs="Arial"/>
          <w:lang w:val="es-ES"/>
        </w:rPr>
        <w:t xml:space="preserve"> o gitanas” (Énfasis fuera de texto). Como la norma alude a la comunidad raizal, surge el interrogante sobre la vigencia del artículo 67 de la Ley 915 de la Ley 2004 con posterioridad a la Ley de Emprendimiento.</w:t>
      </w:r>
    </w:p>
    <w:p w14:paraId="3897AAF5" w14:textId="77777777" w:rsidR="00312425" w:rsidRDefault="00312425" w:rsidP="00312425">
      <w:pPr>
        <w:spacing w:after="120" w:line="276" w:lineRule="auto"/>
        <w:jc w:val="both"/>
        <w:rPr>
          <w:rFonts w:ascii="Century Gothic" w:eastAsia="Calibri" w:hAnsi="Century Gothic" w:cs="Arial"/>
          <w:bCs/>
          <w:iCs/>
          <w:lang w:val="es-ES_tradnl"/>
        </w:rPr>
      </w:pPr>
      <w:r>
        <w:rPr>
          <w:rFonts w:ascii="Century Gothic" w:eastAsia="Calibri" w:hAnsi="Century Gothic" w:cs="Arial"/>
          <w:bCs/>
          <w:iCs/>
          <w:lang w:val="es-ES_tradnl"/>
        </w:rPr>
        <w:tab/>
        <w:t>Para estos efectos, es necesario tener en cuenta que e</w:t>
      </w:r>
      <w:r w:rsidRPr="00A11FE4">
        <w:rPr>
          <w:rFonts w:ascii="Century Gothic" w:eastAsia="Calibri" w:hAnsi="Century Gothic" w:cs="Arial"/>
          <w:bCs/>
          <w:iCs/>
          <w:lang w:val="es-ES_tradnl"/>
        </w:rPr>
        <w:t xml:space="preserve">l artículo 310 de la Constitución </w:t>
      </w:r>
      <w:r>
        <w:rPr>
          <w:rFonts w:ascii="Century Gothic" w:eastAsia="Calibri" w:hAnsi="Century Gothic" w:cs="Arial"/>
          <w:bCs/>
          <w:iCs/>
          <w:lang w:val="es-ES_tradnl"/>
        </w:rPr>
        <w:t>P</w:t>
      </w:r>
      <w:r w:rsidRPr="00A11FE4">
        <w:rPr>
          <w:rFonts w:ascii="Century Gothic" w:eastAsia="Calibri" w:hAnsi="Century Gothic" w:cs="Arial"/>
          <w:bCs/>
          <w:iCs/>
          <w:lang w:val="es-ES_tradnl"/>
        </w:rPr>
        <w:t>olítica disp</w:t>
      </w:r>
      <w:r>
        <w:rPr>
          <w:rFonts w:ascii="Century Gothic" w:eastAsia="Calibri" w:hAnsi="Century Gothic" w:cs="Arial"/>
          <w:bCs/>
          <w:iCs/>
          <w:lang w:val="es-ES_tradnl"/>
        </w:rPr>
        <w:t>one</w:t>
      </w:r>
      <w:r w:rsidRPr="00A11FE4">
        <w:rPr>
          <w:rFonts w:ascii="Century Gothic" w:eastAsia="Calibri" w:hAnsi="Century Gothic" w:cs="Arial"/>
          <w:bCs/>
          <w:iCs/>
          <w:lang w:val="es-ES_tradnl"/>
        </w:rPr>
        <w:t xml:space="preserve"> que “</w:t>
      </w:r>
      <w:r>
        <w:rPr>
          <w:rFonts w:ascii="Century Gothic" w:eastAsia="Calibri" w:hAnsi="Century Gothic" w:cs="Arial"/>
          <w:bCs/>
          <w:iCs/>
          <w:lang w:val="es-ES_tradnl"/>
        </w:rPr>
        <w:t>E</w:t>
      </w:r>
      <w:r w:rsidRPr="00A11FE4">
        <w:rPr>
          <w:rFonts w:ascii="Century Gothic" w:eastAsia="Calibri" w:hAnsi="Century Gothic" w:cs="Arial"/>
          <w:bCs/>
          <w:iCs/>
          <w:lang w:val="es-ES_tradnl"/>
        </w:rPr>
        <w:t>l Departamento archipiélago de San Andrés, Providencia y Santa Catalina se regirá normas especiales que, en materia administrativa, de inmigración, fiscal, de comercio exterior, de cambios, financiera y de fomento económico, establezca el legislador</w:t>
      </w:r>
      <w:r>
        <w:rPr>
          <w:rFonts w:ascii="Century Gothic" w:eastAsia="Calibri" w:hAnsi="Century Gothic" w:cs="Arial"/>
          <w:bCs/>
          <w:iCs/>
          <w:lang w:val="es-ES_tradnl"/>
        </w:rPr>
        <w:t xml:space="preserve"> […]</w:t>
      </w:r>
      <w:r w:rsidRPr="00A11FE4">
        <w:rPr>
          <w:rFonts w:ascii="Century Gothic" w:eastAsia="Calibri" w:hAnsi="Century Gothic" w:cs="Arial"/>
          <w:bCs/>
          <w:iCs/>
          <w:lang w:val="es-ES_tradnl"/>
        </w:rPr>
        <w:t xml:space="preserve">”. Asimismo, </w:t>
      </w:r>
      <w:r>
        <w:rPr>
          <w:rFonts w:ascii="Century Gothic" w:eastAsia="Calibri" w:hAnsi="Century Gothic" w:cs="Arial"/>
          <w:bCs/>
          <w:iCs/>
          <w:lang w:val="es-ES_tradnl"/>
        </w:rPr>
        <w:t>prescribe que, m</w:t>
      </w:r>
      <w:r w:rsidRPr="00A11FE4">
        <w:rPr>
          <w:rFonts w:ascii="Century Gothic" w:eastAsia="Calibri" w:hAnsi="Century Gothic" w:cs="Arial"/>
          <w:bCs/>
          <w:iCs/>
          <w:lang w:val="es-ES_tradnl"/>
        </w:rPr>
        <w:t>ediante ley aprobada por la mayoría de los miembros de cada Cámara</w:t>
      </w:r>
      <w:r>
        <w:rPr>
          <w:rFonts w:ascii="Century Gothic" w:eastAsia="Calibri" w:hAnsi="Century Gothic" w:cs="Arial"/>
          <w:bCs/>
          <w:iCs/>
          <w:lang w:val="es-ES_tradnl"/>
        </w:rPr>
        <w:t>,</w:t>
      </w:r>
      <w:r w:rsidRPr="00A11FE4">
        <w:rPr>
          <w:rFonts w:ascii="Century Gothic" w:eastAsia="Calibri" w:hAnsi="Century Gothic" w:cs="Arial"/>
          <w:bCs/>
          <w:iCs/>
          <w:lang w:val="es-ES_tradnl"/>
        </w:rPr>
        <w:t xml:space="preserve"> podrá limitar</w:t>
      </w:r>
      <w:r>
        <w:rPr>
          <w:rFonts w:ascii="Century Gothic" w:eastAsia="Calibri" w:hAnsi="Century Gothic" w:cs="Arial"/>
          <w:bCs/>
          <w:iCs/>
          <w:lang w:val="es-ES_tradnl"/>
        </w:rPr>
        <w:t>se</w:t>
      </w:r>
      <w:r w:rsidRPr="00A11FE4">
        <w:rPr>
          <w:rFonts w:ascii="Century Gothic" w:eastAsia="Calibri" w:hAnsi="Century Gothic" w:cs="Arial"/>
          <w:bCs/>
          <w:iCs/>
          <w:lang w:val="es-ES_tradnl"/>
        </w:rPr>
        <w:t xml:space="preserve"> el ejercicio de los derechos de circulación y residencia</w:t>
      </w:r>
      <w:r>
        <w:rPr>
          <w:rFonts w:ascii="Century Gothic" w:eastAsia="Calibri" w:hAnsi="Century Gothic" w:cs="Arial"/>
          <w:bCs/>
          <w:iCs/>
          <w:lang w:val="es-ES_tradnl"/>
        </w:rPr>
        <w:t>,</w:t>
      </w:r>
      <w:r w:rsidRPr="00A11FE4">
        <w:rPr>
          <w:rFonts w:ascii="Century Gothic" w:eastAsia="Calibri" w:hAnsi="Century Gothic" w:cs="Arial"/>
          <w:bCs/>
          <w:iCs/>
          <w:lang w:val="es-ES_tradnl"/>
        </w:rPr>
        <w:t xml:space="preserve"> establecer controles a la densidad poblaciona</w:t>
      </w:r>
      <w:r>
        <w:rPr>
          <w:rFonts w:ascii="Century Gothic" w:eastAsia="Calibri" w:hAnsi="Century Gothic" w:cs="Arial"/>
          <w:bCs/>
          <w:iCs/>
          <w:lang w:val="es-ES_tradnl"/>
        </w:rPr>
        <w:t>l, entre otras medidas</w:t>
      </w:r>
      <w:r w:rsidRPr="00A11FE4">
        <w:rPr>
          <w:rFonts w:ascii="Century Gothic" w:eastAsia="Calibri" w:hAnsi="Century Gothic" w:cs="Arial"/>
          <w:bCs/>
          <w:iCs/>
          <w:lang w:val="es-ES_tradnl"/>
        </w:rPr>
        <w:t>.</w:t>
      </w:r>
    </w:p>
    <w:p w14:paraId="2D865791" w14:textId="77777777" w:rsidR="00312425" w:rsidRDefault="00312425" w:rsidP="00312425">
      <w:pPr>
        <w:spacing w:after="120" w:line="276" w:lineRule="auto"/>
        <w:jc w:val="both"/>
        <w:rPr>
          <w:rFonts w:ascii="Century Gothic" w:eastAsia="Calibri" w:hAnsi="Century Gothic" w:cs="Arial"/>
          <w:bCs/>
          <w:iCs/>
          <w:lang w:val="es-ES_tradnl"/>
        </w:rPr>
      </w:pPr>
      <w:r>
        <w:rPr>
          <w:rFonts w:ascii="Century Gothic" w:eastAsia="Calibri" w:hAnsi="Century Gothic" w:cs="Arial"/>
          <w:bCs/>
          <w:iCs/>
          <w:lang w:val="es-ES_tradnl"/>
        </w:rPr>
        <w:tab/>
      </w:r>
      <w:r w:rsidRPr="00593132">
        <w:rPr>
          <w:rFonts w:ascii="Century Gothic" w:eastAsia="Calibri" w:hAnsi="Century Gothic" w:cs="Arial"/>
          <w:bCs/>
          <w:iCs/>
          <w:lang w:val="es-ES_tradnl"/>
        </w:rPr>
        <w:t xml:space="preserve">A su vez, el artículo 42 transitorio </w:t>
      </w:r>
      <w:r>
        <w:rPr>
          <w:rFonts w:ascii="Century Gothic" w:eastAsia="Calibri" w:hAnsi="Century Gothic" w:cs="Arial"/>
          <w:bCs/>
          <w:iCs/>
          <w:lang w:val="es-ES_tradnl"/>
        </w:rPr>
        <w:t xml:space="preserve">constitucional </w:t>
      </w:r>
      <w:r w:rsidRPr="00593132">
        <w:rPr>
          <w:rFonts w:ascii="Century Gothic" w:eastAsia="Calibri" w:hAnsi="Century Gothic" w:cs="Arial"/>
          <w:bCs/>
          <w:iCs/>
          <w:lang w:val="es-ES_tradnl"/>
        </w:rPr>
        <w:t>estableció que el Gobierno Nacional podría</w:t>
      </w:r>
      <w:r>
        <w:rPr>
          <w:rFonts w:ascii="Century Gothic" w:eastAsia="Calibri" w:hAnsi="Century Gothic" w:cs="Arial"/>
          <w:bCs/>
          <w:iCs/>
          <w:lang w:val="es-ES_tradnl"/>
        </w:rPr>
        <w:t xml:space="preserve"> expedir</w:t>
      </w:r>
      <w:r w:rsidRPr="00593132">
        <w:rPr>
          <w:rFonts w:ascii="Century Gothic" w:eastAsia="Calibri" w:hAnsi="Century Gothic" w:cs="Arial"/>
          <w:bCs/>
          <w:iCs/>
          <w:lang w:val="es-ES_tradnl"/>
        </w:rPr>
        <w:t xml:space="preserve"> la </w:t>
      </w:r>
      <w:r>
        <w:rPr>
          <w:rFonts w:ascii="Century Gothic" w:eastAsia="Calibri" w:hAnsi="Century Gothic" w:cs="Arial"/>
          <w:bCs/>
          <w:iCs/>
          <w:lang w:val="es-ES_tradnl"/>
        </w:rPr>
        <w:t xml:space="preserve">reglamentación </w:t>
      </w:r>
      <w:r w:rsidRPr="00593132">
        <w:rPr>
          <w:rFonts w:ascii="Century Gothic" w:eastAsia="Calibri" w:hAnsi="Century Gothic" w:cs="Arial"/>
          <w:bCs/>
          <w:iCs/>
          <w:lang w:val="es-ES_tradnl"/>
        </w:rPr>
        <w:t xml:space="preserve">es necesarias para controlar la densidad de la población en el </w:t>
      </w:r>
      <w:r>
        <w:rPr>
          <w:rFonts w:ascii="Century Gothic" w:eastAsia="Calibri" w:hAnsi="Century Gothic" w:cs="Arial"/>
          <w:bCs/>
          <w:iCs/>
          <w:lang w:val="es-ES_tradnl"/>
        </w:rPr>
        <w:t>a</w:t>
      </w:r>
      <w:r w:rsidRPr="00593132">
        <w:rPr>
          <w:rFonts w:ascii="Century Gothic" w:eastAsia="Calibri" w:hAnsi="Century Gothic" w:cs="Arial"/>
          <w:bCs/>
          <w:iCs/>
          <w:lang w:val="es-ES_tradnl"/>
        </w:rPr>
        <w:t xml:space="preserve">rchipiélago mediante decreto, mientras el Congreso expide las leyes de que trata el </w:t>
      </w:r>
      <w:r>
        <w:rPr>
          <w:rFonts w:ascii="Century Gothic" w:eastAsia="Calibri" w:hAnsi="Century Gothic" w:cs="Arial"/>
          <w:bCs/>
          <w:iCs/>
          <w:lang w:val="es-ES_tradnl"/>
        </w:rPr>
        <w:t xml:space="preserve">precitado </w:t>
      </w:r>
      <w:r w:rsidRPr="00593132">
        <w:rPr>
          <w:rFonts w:ascii="Century Gothic" w:eastAsia="Calibri" w:hAnsi="Century Gothic" w:cs="Arial"/>
          <w:bCs/>
          <w:iCs/>
          <w:lang w:val="es-ES_tradnl"/>
        </w:rPr>
        <w:t>artículo 310</w:t>
      </w:r>
      <w:r>
        <w:rPr>
          <w:rFonts w:ascii="Century Gothic" w:eastAsia="Calibri" w:hAnsi="Century Gothic" w:cs="Arial"/>
          <w:bCs/>
          <w:iCs/>
          <w:lang w:val="es-ES_tradnl"/>
        </w:rPr>
        <w:t xml:space="preserve"> superior</w:t>
      </w:r>
      <w:r w:rsidRPr="00593132">
        <w:rPr>
          <w:rFonts w:ascii="Century Gothic" w:eastAsia="Calibri" w:hAnsi="Century Gothic" w:cs="Arial"/>
          <w:bCs/>
          <w:iCs/>
          <w:lang w:val="es-ES_tradnl"/>
        </w:rPr>
        <w:t>.</w:t>
      </w:r>
      <w:r>
        <w:rPr>
          <w:rFonts w:ascii="Century Gothic" w:eastAsia="Calibri" w:hAnsi="Century Gothic" w:cs="Arial"/>
          <w:bCs/>
          <w:iCs/>
          <w:lang w:val="es-ES_tradnl"/>
        </w:rPr>
        <w:t xml:space="preserve"> </w:t>
      </w:r>
      <w:r w:rsidRPr="00593132">
        <w:rPr>
          <w:rFonts w:ascii="Century Gothic" w:eastAsia="Calibri" w:hAnsi="Century Gothic" w:cs="Arial"/>
          <w:bCs/>
          <w:iCs/>
          <w:lang w:val="es-ES_tradnl"/>
        </w:rPr>
        <w:t xml:space="preserve">De esta forma, mediante el Decreto 2762 de 1991 se adoptaron medidas para controlar la densidad poblacional en el Departamento Archipiélago de San Andrés, Providencia y Santa Catalina. </w:t>
      </w:r>
      <w:r>
        <w:rPr>
          <w:rFonts w:ascii="Century Gothic" w:eastAsia="Calibri" w:hAnsi="Century Gothic" w:cs="Arial"/>
          <w:bCs/>
          <w:iCs/>
          <w:lang w:val="es-ES_tradnl"/>
        </w:rPr>
        <w:t>Particularmente, e</w:t>
      </w:r>
      <w:r w:rsidRPr="00593132">
        <w:rPr>
          <w:rFonts w:ascii="Century Gothic" w:eastAsia="Calibri" w:hAnsi="Century Gothic" w:cs="Arial"/>
          <w:bCs/>
          <w:iCs/>
          <w:lang w:val="es-ES_tradnl"/>
        </w:rPr>
        <w:t xml:space="preserve">l artículo 22 creó la Oficina de Control de Circulación y </w:t>
      </w:r>
      <w:r>
        <w:rPr>
          <w:rFonts w:ascii="Century Gothic" w:eastAsia="Calibri" w:hAnsi="Century Gothic" w:cs="Arial"/>
          <w:bCs/>
          <w:iCs/>
          <w:lang w:val="es-ES_tradnl"/>
        </w:rPr>
        <w:t>R</w:t>
      </w:r>
      <w:r w:rsidRPr="00593132">
        <w:rPr>
          <w:rFonts w:ascii="Century Gothic" w:eastAsia="Calibri" w:hAnsi="Century Gothic" w:cs="Arial"/>
          <w:bCs/>
          <w:iCs/>
          <w:lang w:val="es-ES_tradnl"/>
        </w:rPr>
        <w:t xml:space="preserve">esidencia −OCCRE− como un órgano de la administración del Departamento de San Andrés y Providencia, </w:t>
      </w:r>
      <w:r>
        <w:rPr>
          <w:rFonts w:ascii="Century Gothic" w:eastAsia="Calibri" w:hAnsi="Century Gothic" w:cs="Arial"/>
          <w:bCs/>
          <w:iCs/>
          <w:lang w:val="es-ES_tradnl"/>
        </w:rPr>
        <w:t>cuyo propósito es cumplir</w:t>
      </w:r>
      <w:r w:rsidRPr="00593132">
        <w:rPr>
          <w:rFonts w:ascii="Century Gothic" w:eastAsia="Calibri" w:hAnsi="Century Gothic" w:cs="Arial"/>
          <w:bCs/>
          <w:iCs/>
          <w:lang w:val="es-ES_tradnl"/>
        </w:rPr>
        <w:t xml:space="preserve"> las disposiciones contenidas en el </w:t>
      </w:r>
      <w:r>
        <w:rPr>
          <w:rFonts w:ascii="Century Gothic" w:eastAsia="Calibri" w:hAnsi="Century Gothic" w:cs="Arial"/>
          <w:bCs/>
          <w:iCs/>
          <w:lang w:val="es-ES_tradnl"/>
        </w:rPr>
        <w:t>reglamento mencionado</w:t>
      </w:r>
      <w:r w:rsidRPr="00593132">
        <w:rPr>
          <w:rFonts w:ascii="Century Gothic" w:eastAsia="Calibri" w:hAnsi="Century Gothic" w:cs="Arial"/>
          <w:bCs/>
          <w:iCs/>
          <w:lang w:val="es-ES_tradnl"/>
        </w:rPr>
        <w:t>.</w:t>
      </w:r>
    </w:p>
    <w:p w14:paraId="15DA11FF" w14:textId="77777777" w:rsidR="00312425" w:rsidRDefault="00312425" w:rsidP="00312425">
      <w:pPr>
        <w:spacing w:after="120" w:line="276" w:lineRule="auto"/>
        <w:jc w:val="both"/>
        <w:rPr>
          <w:rFonts w:ascii="Century Gothic" w:eastAsia="Calibri" w:hAnsi="Century Gothic" w:cs="Arial"/>
          <w:bCs/>
          <w:iCs/>
          <w:lang w:val="es-ES_tradnl"/>
        </w:rPr>
      </w:pPr>
      <w:r>
        <w:rPr>
          <w:rFonts w:ascii="Century Gothic" w:eastAsia="Calibri" w:hAnsi="Century Gothic" w:cs="Arial"/>
          <w:bCs/>
          <w:iCs/>
          <w:lang w:val="es-ES_tradnl"/>
        </w:rPr>
        <w:tab/>
      </w:r>
      <w:r w:rsidRPr="006D110E">
        <w:rPr>
          <w:rFonts w:ascii="Century Gothic" w:eastAsia="Calibri" w:hAnsi="Century Gothic" w:cs="Arial"/>
          <w:bCs/>
          <w:iCs/>
          <w:lang w:val="es-ES_tradnl"/>
        </w:rPr>
        <w:t>Por su parte, el Congreso de la República expidió la Ley 915 de 2004</w:t>
      </w:r>
      <w:r>
        <w:rPr>
          <w:rFonts w:ascii="Century Gothic" w:eastAsia="Calibri" w:hAnsi="Century Gothic" w:cs="Arial"/>
          <w:bCs/>
          <w:iCs/>
          <w:lang w:val="es-ES_tradnl"/>
        </w:rPr>
        <w:t>,</w:t>
      </w:r>
      <w:r w:rsidRPr="006D110E">
        <w:rPr>
          <w:rFonts w:ascii="Century Gothic" w:eastAsia="Calibri" w:hAnsi="Century Gothic" w:cs="Arial"/>
          <w:bCs/>
          <w:iCs/>
          <w:lang w:val="es-ES_tradnl"/>
        </w:rPr>
        <w:t xml:space="preserve"> “</w:t>
      </w:r>
      <w:r>
        <w:rPr>
          <w:rFonts w:ascii="Century Gothic" w:eastAsia="Calibri" w:hAnsi="Century Gothic" w:cs="Arial"/>
          <w:bCs/>
          <w:iCs/>
          <w:lang w:val="es-ES_tradnl"/>
        </w:rPr>
        <w:t>P</w:t>
      </w:r>
      <w:r w:rsidRPr="006D110E">
        <w:rPr>
          <w:rFonts w:ascii="Century Gothic" w:eastAsia="Calibri" w:hAnsi="Century Gothic" w:cs="Arial"/>
          <w:bCs/>
          <w:iCs/>
          <w:lang w:val="es-ES_tradnl"/>
        </w:rPr>
        <w:t xml:space="preserve">or la cual se dicta el Estatuto Fronterizo para el Desarrollo Económico y Social del Departamento Archipiélago de San Andrés, Providencia y Santa Catalina”. </w:t>
      </w:r>
      <w:r>
        <w:rPr>
          <w:rFonts w:ascii="Century Gothic" w:eastAsia="Calibri" w:hAnsi="Century Gothic" w:cs="Arial"/>
          <w:bCs/>
          <w:iCs/>
          <w:lang w:val="es-ES_tradnl"/>
        </w:rPr>
        <w:t>E</w:t>
      </w:r>
      <w:r w:rsidRPr="006D110E">
        <w:rPr>
          <w:rFonts w:ascii="Century Gothic" w:eastAsia="Calibri" w:hAnsi="Century Gothic" w:cs="Arial"/>
          <w:bCs/>
          <w:iCs/>
          <w:lang w:val="es-ES_tradnl"/>
        </w:rPr>
        <w:t xml:space="preserve">l artículo 67 </w:t>
      </w:r>
      <w:r>
        <w:rPr>
          <w:rFonts w:ascii="Century Gothic" w:eastAsia="Calibri" w:hAnsi="Century Gothic" w:cs="Arial"/>
          <w:bCs/>
          <w:iCs/>
          <w:lang w:val="es-ES_tradnl"/>
        </w:rPr>
        <w:t>dispone que</w:t>
      </w:r>
      <w:r w:rsidRPr="006D110E">
        <w:rPr>
          <w:rFonts w:ascii="Century Gothic" w:eastAsia="Calibri" w:hAnsi="Century Gothic" w:cs="Arial"/>
          <w:bCs/>
          <w:iCs/>
          <w:lang w:val="es-ES_tradnl"/>
        </w:rPr>
        <w:t xml:space="preserve"> “</w:t>
      </w:r>
      <w:r w:rsidRPr="006D110E">
        <w:rPr>
          <w:rFonts w:ascii="Century Gothic" w:eastAsia="Calibri" w:hAnsi="Century Gothic" w:cs="Arial"/>
          <w:bCs/>
          <w:i/>
          <w:lang w:val="es-ES_tradnl"/>
        </w:rPr>
        <w:t>En la</w:t>
      </w:r>
      <w:r>
        <w:rPr>
          <w:rFonts w:ascii="Century Gothic" w:eastAsia="Calibri" w:hAnsi="Century Gothic" w:cs="Arial"/>
          <w:bCs/>
          <w:i/>
          <w:lang w:val="es-ES_tradnl"/>
        </w:rPr>
        <w:t>s</w:t>
      </w:r>
      <w:r w:rsidRPr="006D110E">
        <w:rPr>
          <w:rFonts w:ascii="Century Gothic" w:eastAsia="Calibri" w:hAnsi="Century Gothic" w:cs="Arial"/>
          <w:bCs/>
          <w:i/>
          <w:lang w:val="es-ES_tradnl"/>
        </w:rPr>
        <w:t xml:space="preserve"> </w:t>
      </w:r>
      <w:r>
        <w:rPr>
          <w:rFonts w:ascii="Century Gothic" w:eastAsia="Calibri" w:hAnsi="Century Gothic" w:cs="Arial"/>
          <w:bCs/>
          <w:i/>
          <w:lang w:val="es-ES_tradnl"/>
        </w:rPr>
        <w:t xml:space="preserve">licitaciones </w:t>
      </w:r>
      <w:r w:rsidRPr="006D110E">
        <w:rPr>
          <w:rFonts w:ascii="Century Gothic" w:eastAsia="Calibri" w:hAnsi="Century Gothic" w:cs="Arial"/>
          <w:bCs/>
          <w:i/>
          <w:lang w:val="es-ES_tradnl"/>
        </w:rPr>
        <w:t>de contratos cuyo objeto deba ser desarrollado en el territorio del departamento Archipiélago, las entidades licitantes propenderán por una participación real y efectiva de los raizales y residentes, valorando esta circunstancia</w:t>
      </w:r>
      <w:r w:rsidRPr="006D110E">
        <w:rPr>
          <w:rFonts w:ascii="Century Gothic" w:eastAsia="Calibri" w:hAnsi="Century Gothic" w:cs="Arial"/>
          <w:bCs/>
          <w:iCs/>
          <w:lang w:val="es-ES_tradnl"/>
        </w:rPr>
        <w:t>. En igualdad de condiciones se preferirá a los raizales y residentes del departamento Archipiélago” (</w:t>
      </w:r>
      <w:r>
        <w:rPr>
          <w:rFonts w:ascii="Century Gothic" w:eastAsia="Calibri" w:hAnsi="Century Gothic" w:cs="Arial"/>
          <w:bCs/>
          <w:iCs/>
          <w:lang w:val="es-ES_tradnl"/>
        </w:rPr>
        <w:t>É</w:t>
      </w:r>
      <w:r w:rsidRPr="006D110E">
        <w:rPr>
          <w:rFonts w:ascii="Century Gothic" w:eastAsia="Calibri" w:hAnsi="Century Gothic" w:cs="Arial"/>
          <w:bCs/>
          <w:iCs/>
          <w:lang w:val="es-ES_tradnl"/>
        </w:rPr>
        <w:t>nfasis fuera de texto).</w:t>
      </w:r>
    </w:p>
    <w:p w14:paraId="69F11F94" w14:textId="77777777" w:rsidR="00312425" w:rsidRDefault="00312425" w:rsidP="00312425">
      <w:pPr>
        <w:spacing w:after="120" w:line="276" w:lineRule="auto"/>
        <w:ind w:firstLine="708"/>
        <w:jc w:val="both"/>
        <w:rPr>
          <w:rFonts w:ascii="Century Gothic" w:eastAsia="Calibri" w:hAnsi="Century Gothic" w:cs="Arial"/>
          <w:bCs/>
          <w:iCs/>
          <w:lang w:val="es-ES_tradnl"/>
        </w:rPr>
      </w:pPr>
      <w:r w:rsidRPr="00985523">
        <w:rPr>
          <w:rFonts w:ascii="Century Gothic" w:eastAsia="Calibri" w:hAnsi="Century Gothic" w:cs="Arial"/>
          <w:bCs/>
          <w:iCs/>
          <w:lang w:val="es-ES_tradnl"/>
        </w:rPr>
        <w:lastRenderedPageBreak/>
        <w:t xml:space="preserve">Este artículo constituye una norma especial frente </w:t>
      </w:r>
      <w:r>
        <w:rPr>
          <w:rFonts w:ascii="Century Gothic" w:eastAsia="Calibri" w:hAnsi="Century Gothic" w:cs="Arial"/>
          <w:bCs/>
          <w:iCs/>
          <w:lang w:val="es-ES_tradnl"/>
        </w:rPr>
        <w:t>a</w:t>
      </w:r>
      <w:r w:rsidRPr="00985523">
        <w:rPr>
          <w:rFonts w:ascii="Century Gothic" w:eastAsia="Calibri" w:hAnsi="Century Gothic" w:cs="Arial"/>
          <w:bCs/>
          <w:iCs/>
          <w:lang w:val="es-ES_tradnl"/>
        </w:rPr>
        <w:t>l artículo 35</w:t>
      </w:r>
      <w:r>
        <w:rPr>
          <w:rFonts w:ascii="Century Gothic" w:eastAsia="Calibri" w:hAnsi="Century Gothic" w:cs="Arial"/>
          <w:bCs/>
          <w:iCs/>
          <w:lang w:val="es-ES_tradnl"/>
        </w:rPr>
        <w:t>.5</w:t>
      </w:r>
      <w:r w:rsidRPr="00985523">
        <w:rPr>
          <w:rFonts w:ascii="Century Gothic" w:eastAsia="Calibri" w:hAnsi="Century Gothic" w:cs="Arial"/>
          <w:bCs/>
          <w:iCs/>
          <w:lang w:val="es-ES_tradnl"/>
        </w:rPr>
        <w:t xml:space="preserve"> de la Ley 2069 de 2020</w:t>
      </w:r>
      <w:r>
        <w:rPr>
          <w:rFonts w:ascii="Century Gothic" w:eastAsia="Calibri" w:hAnsi="Century Gothic" w:cs="Arial"/>
          <w:bCs/>
          <w:iCs/>
          <w:lang w:val="es-ES_tradnl"/>
        </w:rPr>
        <w:t>,</w:t>
      </w:r>
      <w:r w:rsidRPr="00985523">
        <w:rPr>
          <w:rFonts w:ascii="Century Gothic" w:eastAsia="Calibri" w:hAnsi="Century Gothic" w:cs="Arial"/>
          <w:bCs/>
          <w:iCs/>
          <w:lang w:val="es-ES_tradnl"/>
        </w:rPr>
        <w:t xml:space="preserve"> pues hace parte del estatuto fronterizo del departamento Archipiélago de San Andrés, Providencia y Santa Catalina. </w:t>
      </w:r>
      <w:r>
        <w:rPr>
          <w:rFonts w:ascii="Century Gothic" w:eastAsia="Calibri" w:hAnsi="Century Gothic" w:cs="Arial"/>
          <w:bCs/>
          <w:iCs/>
          <w:lang w:val="es-ES_tradnl"/>
        </w:rPr>
        <w:t>D</w:t>
      </w:r>
      <w:r w:rsidRPr="00985523">
        <w:rPr>
          <w:rFonts w:ascii="Century Gothic" w:eastAsia="Calibri" w:hAnsi="Century Gothic" w:cs="Arial"/>
          <w:bCs/>
          <w:iCs/>
          <w:lang w:val="es-ES_tradnl"/>
        </w:rPr>
        <w:t>ebe tenerse en</w:t>
      </w:r>
      <w:r>
        <w:rPr>
          <w:rFonts w:ascii="Century Gothic" w:eastAsia="Calibri" w:hAnsi="Century Gothic" w:cs="Arial"/>
          <w:bCs/>
          <w:iCs/>
          <w:lang w:val="es-ES_tradnl"/>
        </w:rPr>
        <w:t xml:space="preserve"> </w:t>
      </w:r>
      <w:r w:rsidRPr="00985523">
        <w:rPr>
          <w:rFonts w:ascii="Century Gothic" w:eastAsia="Calibri" w:hAnsi="Century Gothic" w:cs="Arial"/>
          <w:bCs/>
          <w:iCs/>
          <w:lang w:val="es-ES_tradnl"/>
        </w:rPr>
        <w:t>cuenta</w:t>
      </w:r>
      <w:r>
        <w:rPr>
          <w:rFonts w:ascii="Century Gothic" w:eastAsia="Calibri" w:hAnsi="Century Gothic" w:cs="Arial"/>
          <w:bCs/>
          <w:iCs/>
          <w:lang w:val="es-ES_tradnl"/>
        </w:rPr>
        <w:t xml:space="preserve"> </w:t>
      </w:r>
      <w:r w:rsidRPr="00985523">
        <w:rPr>
          <w:rFonts w:ascii="Century Gothic" w:eastAsia="Calibri" w:hAnsi="Century Gothic" w:cs="Arial"/>
          <w:bCs/>
          <w:iCs/>
          <w:lang w:val="es-ES_tradnl"/>
        </w:rPr>
        <w:t>que el ámbito territorial d</w:t>
      </w:r>
      <w:r>
        <w:rPr>
          <w:rFonts w:ascii="Century Gothic" w:eastAsia="Calibri" w:hAnsi="Century Gothic" w:cs="Arial"/>
          <w:bCs/>
          <w:iCs/>
          <w:lang w:val="es-ES_tradnl"/>
        </w:rPr>
        <w:t xml:space="preserve">el </w:t>
      </w:r>
      <w:r w:rsidRPr="00A11FE4">
        <w:rPr>
          <w:rFonts w:ascii="Century Gothic" w:eastAsia="Calibri" w:hAnsi="Century Gothic" w:cs="Arial"/>
          <w:bCs/>
          <w:iCs/>
          <w:lang w:val="es-ES_tradnl"/>
        </w:rPr>
        <w:t>artículo 67 de la Ley 915 de la Ley 2004</w:t>
      </w:r>
      <w:r w:rsidRPr="00985523">
        <w:rPr>
          <w:rFonts w:ascii="Century Gothic" w:eastAsia="Calibri" w:hAnsi="Century Gothic" w:cs="Arial"/>
          <w:bCs/>
          <w:iCs/>
          <w:lang w:val="es-ES_tradnl"/>
        </w:rPr>
        <w:t xml:space="preserve"> se circunscribe exclusivamente al departamento Archipiélago de San Andrés, Providencia y Santa Catalina, mientras que </w:t>
      </w:r>
      <w:r>
        <w:rPr>
          <w:rFonts w:ascii="Century Gothic" w:eastAsia="Calibri" w:hAnsi="Century Gothic" w:cs="Arial"/>
          <w:bCs/>
          <w:iCs/>
          <w:lang w:val="es-ES_tradnl"/>
        </w:rPr>
        <w:t>los factores de desempate de la Ley de Emprendimiento</w:t>
      </w:r>
      <w:r w:rsidRPr="00985523">
        <w:rPr>
          <w:rFonts w:ascii="Century Gothic" w:eastAsia="Calibri" w:hAnsi="Century Gothic" w:cs="Arial"/>
          <w:bCs/>
          <w:iCs/>
          <w:lang w:val="es-ES_tradnl"/>
        </w:rPr>
        <w:t xml:space="preserve"> aplica</w:t>
      </w:r>
      <w:r>
        <w:rPr>
          <w:rFonts w:ascii="Century Gothic" w:eastAsia="Calibri" w:hAnsi="Century Gothic" w:cs="Arial"/>
          <w:bCs/>
          <w:iCs/>
          <w:lang w:val="es-ES_tradnl"/>
        </w:rPr>
        <w:t>n</w:t>
      </w:r>
      <w:r w:rsidRPr="00985523">
        <w:rPr>
          <w:rFonts w:ascii="Century Gothic" w:eastAsia="Calibri" w:hAnsi="Century Gothic" w:cs="Arial"/>
          <w:bCs/>
          <w:iCs/>
          <w:lang w:val="es-ES_tradnl"/>
        </w:rPr>
        <w:t xml:space="preserve"> para todo el territorio nacional.</w:t>
      </w:r>
    </w:p>
    <w:p w14:paraId="62555697" w14:textId="77777777" w:rsidR="00312425" w:rsidRDefault="00312425" w:rsidP="00312425">
      <w:pPr>
        <w:spacing w:after="120" w:line="276" w:lineRule="auto"/>
        <w:ind w:firstLine="708"/>
        <w:jc w:val="both"/>
        <w:rPr>
          <w:rFonts w:ascii="Century Gothic" w:eastAsia="Calibri" w:hAnsi="Century Gothic" w:cs="Arial"/>
          <w:bCs/>
          <w:iCs/>
          <w:lang w:val="es-ES_tradnl"/>
        </w:rPr>
      </w:pPr>
      <w:r>
        <w:rPr>
          <w:rFonts w:ascii="Century Gothic" w:eastAsia="Calibri" w:hAnsi="Century Gothic" w:cs="Arial"/>
          <w:bCs/>
          <w:iCs/>
          <w:lang w:val="es-ES_tradnl"/>
        </w:rPr>
        <w:t xml:space="preserve">Asimismo, </w:t>
      </w:r>
      <w:r w:rsidRPr="00985523">
        <w:rPr>
          <w:rFonts w:ascii="Century Gothic" w:eastAsia="Calibri" w:hAnsi="Century Gothic" w:cs="Arial"/>
          <w:bCs/>
          <w:iCs/>
          <w:lang w:val="es-ES_tradnl"/>
        </w:rPr>
        <w:t xml:space="preserve">los factores de desempate contenidos </w:t>
      </w:r>
      <w:r>
        <w:rPr>
          <w:rFonts w:ascii="Century Gothic" w:eastAsia="Calibri" w:hAnsi="Century Gothic" w:cs="Arial"/>
          <w:bCs/>
          <w:iCs/>
          <w:lang w:val="es-ES_tradnl"/>
        </w:rPr>
        <w:t>d</w:t>
      </w:r>
      <w:r w:rsidRPr="00985523">
        <w:rPr>
          <w:rFonts w:ascii="Century Gothic" w:eastAsia="Calibri" w:hAnsi="Century Gothic" w:cs="Arial"/>
          <w:bCs/>
          <w:iCs/>
          <w:lang w:val="es-ES_tradnl"/>
        </w:rPr>
        <w:t xml:space="preserve">el artículo 35 </w:t>
      </w:r>
      <w:r>
        <w:rPr>
          <w:rFonts w:ascii="Century Gothic" w:eastAsia="Calibri" w:hAnsi="Century Gothic" w:cs="Arial"/>
          <w:bCs/>
          <w:iCs/>
          <w:lang w:val="es-ES_tradnl"/>
        </w:rPr>
        <w:t>de la Ley 2069 de 2020</w:t>
      </w:r>
      <w:r w:rsidRPr="00985523">
        <w:rPr>
          <w:rFonts w:ascii="Century Gothic" w:eastAsia="Calibri" w:hAnsi="Century Gothic" w:cs="Arial"/>
          <w:bCs/>
          <w:iCs/>
          <w:lang w:val="es-ES_tradnl"/>
        </w:rPr>
        <w:t xml:space="preserve"> aplican a todos los procesos de contratación adelantados el territorio nacional, </w:t>
      </w:r>
      <w:r>
        <w:rPr>
          <w:rFonts w:ascii="Century Gothic" w:eastAsia="Calibri" w:hAnsi="Century Gothic" w:cs="Arial"/>
          <w:bCs/>
          <w:iCs/>
          <w:lang w:val="es-ES_tradnl"/>
        </w:rPr>
        <w:t>con independencia de la</w:t>
      </w:r>
      <w:r w:rsidRPr="00985523">
        <w:rPr>
          <w:rFonts w:ascii="Century Gothic" w:eastAsia="Calibri" w:hAnsi="Century Gothic" w:cs="Arial"/>
          <w:bCs/>
          <w:iCs/>
          <w:lang w:val="es-ES_tradnl"/>
        </w:rPr>
        <w:t xml:space="preserve"> modalidad de selección</w:t>
      </w:r>
      <w:r>
        <w:rPr>
          <w:rFonts w:ascii="Century Gothic" w:eastAsia="Calibri" w:hAnsi="Century Gothic" w:cs="Arial"/>
          <w:bCs/>
          <w:iCs/>
          <w:lang w:val="es-ES_tradnl"/>
        </w:rPr>
        <w:t>. Por su parte,</w:t>
      </w:r>
      <w:r w:rsidRPr="00985523">
        <w:rPr>
          <w:rFonts w:ascii="Century Gothic" w:eastAsia="Calibri" w:hAnsi="Century Gothic" w:cs="Arial"/>
          <w:bCs/>
          <w:iCs/>
          <w:lang w:val="es-ES_tradnl"/>
        </w:rPr>
        <w:t xml:space="preserve"> la regla contenida en el artículo 67 de la Ley 915 de 2004 </w:t>
      </w:r>
      <w:r>
        <w:rPr>
          <w:rFonts w:ascii="Century Gothic" w:eastAsia="Calibri" w:hAnsi="Century Gothic" w:cs="Arial"/>
          <w:bCs/>
          <w:iCs/>
          <w:lang w:val="es-ES_tradnl"/>
        </w:rPr>
        <w:t>se limita a</w:t>
      </w:r>
      <w:r w:rsidRPr="00985523">
        <w:rPr>
          <w:rFonts w:ascii="Century Gothic" w:eastAsia="Calibri" w:hAnsi="Century Gothic" w:cs="Arial"/>
          <w:bCs/>
          <w:iCs/>
          <w:lang w:val="es-ES_tradnl"/>
        </w:rPr>
        <w:t xml:space="preserve"> los procesos de licitación pública.</w:t>
      </w:r>
      <w:r>
        <w:rPr>
          <w:rFonts w:ascii="Century Gothic" w:eastAsia="Calibri" w:hAnsi="Century Gothic" w:cs="Arial"/>
          <w:bCs/>
          <w:iCs/>
          <w:lang w:val="es-ES_tradnl"/>
        </w:rPr>
        <w:t xml:space="preserve"> </w:t>
      </w:r>
      <w:r w:rsidRPr="00985523">
        <w:rPr>
          <w:rFonts w:ascii="Century Gothic" w:eastAsia="Calibri" w:hAnsi="Century Gothic" w:cs="Arial"/>
          <w:bCs/>
          <w:iCs/>
          <w:lang w:val="es-ES_tradnl"/>
        </w:rPr>
        <w:t xml:space="preserve">De esta manera, no </w:t>
      </w:r>
      <w:r>
        <w:rPr>
          <w:rFonts w:ascii="Century Gothic" w:eastAsia="Calibri" w:hAnsi="Century Gothic" w:cs="Arial"/>
          <w:bCs/>
          <w:iCs/>
          <w:lang w:val="es-ES_tradnl"/>
        </w:rPr>
        <w:t>es</w:t>
      </w:r>
      <w:r w:rsidRPr="00985523">
        <w:rPr>
          <w:rFonts w:ascii="Century Gothic" w:eastAsia="Calibri" w:hAnsi="Century Gothic" w:cs="Arial"/>
          <w:bCs/>
          <w:iCs/>
          <w:lang w:val="es-ES_tradnl"/>
        </w:rPr>
        <w:t xml:space="preserve"> aplicable en</w:t>
      </w:r>
      <w:r>
        <w:rPr>
          <w:rFonts w:ascii="Century Gothic" w:eastAsia="Calibri" w:hAnsi="Century Gothic" w:cs="Arial"/>
          <w:bCs/>
          <w:iCs/>
          <w:lang w:val="es-ES_tradnl"/>
        </w:rPr>
        <w:t xml:space="preserve"> los demás procedimientos del artículo 2 de la Ley 1150 de 2007</w:t>
      </w:r>
      <w:r w:rsidRPr="00985523">
        <w:rPr>
          <w:rFonts w:ascii="Century Gothic" w:eastAsia="Calibri" w:hAnsi="Century Gothic" w:cs="Arial"/>
          <w:bCs/>
          <w:iCs/>
          <w:lang w:val="es-ES_tradnl"/>
        </w:rPr>
        <w:t xml:space="preserve"> como la selección abreviada, los concursos de méritos</w:t>
      </w:r>
      <w:r>
        <w:rPr>
          <w:rFonts w:ascii="Century Gothic" w:eastAsia="Calibri" w:hAnsi="Century Gothic" w:cs="Arial"/>
          <w:bCs/>
          <w:iCs/>
          <w:lang w:val="es-ES_tradnl"/>
        </w:rPr>
        <w:t>,</w:t>
      </w:r>
      <w:r w:rsidRPr="00985523">
        <w:rPr>
          <w:rFonts w:ascii="Century Gothic" w:eastAsia="Calibri" w:hAnsi="Century Gothic" w:cs="Arial"/>
          <w:bCs/>
          <w:iCs/>
          <w:lang w:val="es-ES_tradnl"/>
        </w:rPr>
        <w:t xml:space="preserve"> la mínima cuantía</w:t>
      </w:r>
      <w:r>
        <w:rPr>
          <w:rFonts w:ascii="Century Gothic" w:eastAsia="Calibri" w:hAnsi="Century Gothic" w:cs="Arial"/>
          <w:bCs/>
          <w:iCs/>
          <w:lang w:val="es-ES_tradnl"/>
        </w:rPr>
        <w:t xml:space="preserve"> y la contratación directa</w:t>
      </w:r>
      <w:r>
        <w:rPr>
          <w:rStyle w:val="Refdenotaalpie"/>
          <w:rFonts w:ascii="Century Gothic" w:eastAsia="Calibri" w:hAnsi="Century Gothic" w:cs="Arial"/>
          <w:bCs/>
          <w:iCs/>
          <w:lang w:val="es-ES_tradnl"/>
        </w:rPr>
        <w:footnoteReference w:id="12"/>
      </w:r>
      <w:r w:rsidRPr="00985523">
        <w:rPr>
          <w:rFonts w:ascii="Century Gothic" w:eastAsia="Calibri" w:hAnsi="Century Gothic" w:cs="Arial"/>
          <w:bCs/>
          <w:iCs/>
          <w:lang w:val="es-ES_tradnl"/>
        </w:rPr>
        <w:t>.</w:t>
      </w:r>
    </w:p>
    <w:p w14:paraId="7EE7D949" w14:textId="77777777" w:rsidR="00312425" w:rsidRDefault="00312425" w:rsidP="00312425">
      <w:pPr>
        <w:pStyle w:val="Textoindependiente"/>
        <w:spacing w:before="120" w:line="276" w:lineRule="auto"/>
        <w:ind w:firstLine="720"/>
        <w:jc w:val="both"/>
        <w:rPr>
          <w:rFonts w:ascii="Century Gothic" w:eastAsia="Calibri" w:hAnsi="Century Gothic"/>
          <w:bCs/>
          <w:noProof/>
        </w:rPr>
      </w:pPr>
      <w:r>
        <w:rPr>
          <w:rFonts w:ascii="Century Gothic" w:eastAsia="Calibri" w:hAnsi="Century Gothic"/>
          <w:bCs/>
          <w:noProof/>
        </w:rPr>
        <w:t>Además,</w:t>
      </w:r>
      <w:r w:rsidRPr="00547B1E">
        <w:rPr>
          <w:rFonts w:ascii="Century Gothic" w:eastAsia="Calibri" w:hAnsi="Century Gothic"/>
          <w:bCs/>
          <w:noProof/>
        </w:rPr>
        <w:t xml:space="preserve"> debe tenerse en cuenta que los sujetos de que trata el artículo 67 de la </w:t>
      </w:r>
      <w:r>
        <w:rPr>
          <w:rFonts w:ascii="Century Gothic" w:eastAsia="Calibri" w:hAnsi="Century Gothic"/>
          <w:bCs/>
          <w:noProof/>
        </w:rPr>
        <w:t>L</w:t>
      </w:r>
      <w:r w:rsidRPr="00547B1E">
        <w:rPr>
          <w:rFonts w:ascii="Century Gothic" w:eastAsia="Calibri" w:hAnsi="Century Gothic"/>
          <w:bCs/>
          <w:noProof/>
        </w:rPr>
        <w:t>ey 915 de 2004 corresponde a raizales y residentes del departamento Archipiélago de San Andrés, Providencia y Santa Catalina, cuya definición se encuentra desarrollada con claridad en el Decreto 2762 de 1991</w:t>
      </w:r>
      <w:r>
        <w:rPr>
          <w:rFonts w:ascii="Century Gothic" w:eastAsia="Calibri" w:hAnsi="Century Gothic"/>
          <w:bCs/>
          <w:noProof/>
        </w:rPr>
        <w:t>. Por el contrario,</w:t>
      </w:r>
      <w:r w:rsidRPr="00547B1E">
        <w:rPr>
          <w:rFonts w:ascii="Century Gothic" w:eastAsia="Calibri" w:hAnsi="Century Gothic"/>
          <w:bCs/>
          <w:noProof/>
        </w:rPr>
        <w:t xml:space="preserve"> el ámbito subjetivo de aplicación de</w:t>
      </w:r>
      <w:r>
        <w:rPr>
          <w:rFonts w:ascii="Century Gothic" w:eastAsia="Calibri" w:hAnsi="Century Gothic"/>
          <w:bCs/>
          <w:noProof/>
        </w:rPr>
        <w:t xml:space="preserve">l </w:t>
      </w:r>
      <w:r w:rsidRPr="00547B1E">
        <w:rPr>
          <w:rFonts w:ascii="Century Gothic" w:eastAsia="Calibri" w:hAnsi="Century Gothic"/>
          <w:bCs/>
          <w:noProof/>
        </w:rPr>
        <w:t>artículo 35</w:t>
      </w:r>
      <w:r>
        <w:rPr>
          <w:rFonts w:ascii="Century Gothic" w:eastAsia="Calibri" w:hAnsi="Century Gothic"/>
          <w:bCs/>
          <w:noProof/>
        </w:rPr>
        <w:t>.5</w:t>
      </w:r>
      <w:r w:rsidRPr="00547B1E">
        <w:rPr>
          <w:rFonts w:ascii="Century Gothic" w:eastAsia="Calibri" w:hAnsi="Century Gothic"/>
          <w:bCs/>
          <w:noProof/>
        </w:rPr>
        <w:t xml:space="preserve"> de la Ley 2069 de 2020 es más amplio</w:t>
      </w:r>
      <w:r>
        <w:rPr>
          <w:rFonts w:ascii="Century Gothic" w:eastAsia="Calibri" w:hAnsi="Century Gothic"/>
          <w:bCs/>
          <w:noProof/>
        </w:rPr>
        <w:t>,</w:t>
      </w:r>
      <w:r w:rsidRPr="00547B1E">
        <w:rPr>
          <w:rFonts w:ascii="Century Gothic" w:eastAsia="Calibri" w:hAnsi="Century Gothic"/>
          <w:bCs/>
          <w:noProof/>
        </w:rPr>
        <w:t xml:space="preserve"> porque se circunscribe a población indígena, negra, afrocolombiana, raizal, palanquera, Rrom o gitanas.</w:t>
      </w:r>
    </w:p>
    <w:p w14:paraId="1F87BE15" w14:textId="77777777" w:rsidR="00312425" w:rsidRDefault="00312425" w:rsidP="00312425">
      <w:pPr>
        <w:pStyle w:val="Textoindependiente"/>
        <w:spacing w:before="120" w:line="276" w:lineRule="auto"/>
        <w:ind w:firstLine="720"/>
        <w:jc w:val="both"/>
        <w:rPr>
          <w:rFonts w:ascii="Century Gothic" w:eastAsia="Calibri" w:hAnsi="Century Gothic"/>
          <w:bCs/>
          <w:noProof/>
        </w:rPr>
      </w:pPr>
      <w:r>
        <w:rPr>
          <w:rFonts w:ascii="Century Gothic" w:eastAsia="Calibri" w:hAnsi="Century Gothic"/>
          <w:bCs/>
          <w:noProof/>
        </w:rPr>
        <w:t xml:space="preserve">Finalmente, </w:t>
      </w:r>
      <w:r w:rsidRPr="00887130">
        <w:rPr>
          <w:rFonts w:ascii="Century Gothic" w:eastAsia="Calibri" w:hAnsi="Century Gothic"/>
          <w:bCs/>
          <w:noProof/>
        </w:rPr>
        <w:t>el artículo 67</w:t>
      </w:r>
      <w:r>
        <w:rPr>
          <w:rFonts w:ascii="Century Gothic" w:eastAsia="Calibri" w:hAnsi="Century Gothic"/>
          <w:bCs/>
          <w:noProof/>
        </w:rPr>
        <w:t xml:space="preserve"> de </w:t>
      </w:r>
      <w:r w:rsidRPr="00547B1E">
        <w:rPr>
          <w:rFonts w:ascii="Century Gothic" w:eastAsia="Calibri" w:hAnsi="Century Gothic"/>
          <w:bCs/>
          <w:noProof/>
        </w:rPr>
        <w:t xml:space="preserve">la </w:t>
      </w:r>
      <w:r>
        <w:rPr>
          <w:rFonts w:ascii="Century Gothic" w:eastAsia="Calibri" w:hAnsi="Century Gothic"/>
          <w:bCs/>
          <w:noProof/>
        </w:rPr>
        <w:t>L</w:t>
      </w:r>
      <w:r w:rsidRPr="00547B1E">
        <w:rPr>
          <w:rFonts w:ascii="Century Gothic" w:eastAsia="Calibri" w:hAnsi="Century Gothic"/>
          <w:bCs/>
          <w:noProof/>
        </w:rPr>
        <w:t xml:space="preserve">ey 915 de 2004 </w:t>
      </w:r>
      <w:r w:rsidRPr="00887130">
        <w:rPr>
          <w:rFonts w:ascii="Century Gothic" w:eastAsia="Calibri" w:hAnsi="Century Gothic"/>
          <w:bCs/>
          <w:noProof/>
        </w:rPr>
        <w:t>estableció que basta con la participación efectiva de miembros de la raizal o de residentes en el departamento Archipiélago de San Andrés, Providencia y Santa Catalina, para que pueda valor</w:t>
      </w:r>
      <w:r>
        <w:rPr>
          <w:rFonts w:ascii="Century Gothic" w:eastAsia="Calibri" w:hAnsi="Century Gothic"/>
          <w:bCs/>
          <w:noProof/>
        </w:rPr>
        <w:t>arse</w:t>
      </w:r>
      <w:r w:rsidRPr="00887130">
        <w:rPr>
          <w:rFonts w:ascii="Century Gothic" w:eastAsia="Calibri" w:hAnsi="Century Gothic"/>
          <w:bCs/>
          <w:noProof/>
        </w:rPr>
        <w:t xml:space="preserve"> esta circunstancia dentro del proceso de licitación pública</w:t>
      </w:r>
      <w:r>
        <w:rPr>
          <w:rFonts w:ascii="Century Gothic" w:eastAsia="Calibri" w:hAnsi="Century Gothic"/>
          <w:bCs/>
          <w:noProof/>
        </w:rPr>
        <w:t>. En contraste,</w:t>
      </w:r>
      <w:r w:rsidRPr="00887130">
        <w:rPr>
          <w:rFonts w:ascii="Century Gothic" w:eastAsia="Calibri" w:hAnsi="Century Gothic"/>
          <w:bCs/>
          <w:noProof/>
        </w:rPr>
        <w:t xml:space="preserve"> el artículo 35</w:t>
      </w:r>
      <w:r>
        <w:rPr>
          <w:rFonts w:ascii="Century Gothic" w:eastAsia="Calibri" w:hAnsi="Century Gothic"/>
          <w:bCs/>
          <w:noProof/>
        </w:rPr>
        <w:t>.5</w:t>
      </w:r>
      <w:r w:rsidRPr="00887130">
        <w:rPr>
          <w:rFonts w:ascii="Century Gothic" w:eastAsia="Calibri" w:hAnsi="Century Gothic"/>
          <w:bCs/>
          <w:noProof/>
        </w:rPr>
        <w:t xml:space="preserve"> de la Ley 2069 de 2020 establece</w:t>
      </w:r>
      <w:r>
        <w:rPr>
          <w:rFonts w:ascii="Century Gothic" w:eastAsia="Calibri" w:hAnsi="Century Gothic"/>
          <w:bCs/>
          <w:noProof/>
        </w:rPr>
        <w:t xml:space="preserve"> que</w:t>
      </w:r>
      <w:r w:rsidRPr="00887130">
        <w:rPr>
          <w:rFonts w:ascii="Century Gothic" w:eastAsia="Calibri" w:hAnsi="Century Gothic"/>
          <w:bCs/>
          <w:noProof/>
        </w:rPr>
        <w:t xml:space="preserve"> un tope mínimo del 10% de la nomina del proponente sea raizal, para que se tenga como factor de desempate en cualquiera de las modalidades de selección adelantadas en el territorio nacional.</w:t>
      </w:r>
    </w:p>
    <w:p w14:paraId="3593E925" w14:textId="77777777" w:rsidR="00312425" w:rsidRDefault="00312425" w:rsidP="00312425">
      <w:pPr>
        <w:pStyle w:val="Textoindependiente"/>
        <w:spacing w:before="120" w:line="276" w:lineRule="auto"/>
        <w:ind w:firstLine="720"/>
        <w:jc w:val="both"/>
        <w:rPr>
          <w:rFonts w:ascii="Century Gothic" w:eastAsia="Calibri" w:hAnsi="Century Gothic"/>
          <w:bCs/>
          <w:noProof/>
        </w:rPr>
      </w:pPr>
      <w:bookmarkStart w:id="7" w:name="_Hlk168563157"/>
      <w:r>
        <w:rPr>
          <w:rFonts w:ascii="Century Gothic" w:eastAsia="Calibri" w:hAnsi="Century Gothic"/>
          <w:bCs/>
          <w:noProof/>
        </w:rPr>
        <w:lastRenderedPageBreak/>
        <w:t xml:space="preserve">Como el artículo 67 de </w:t>
      </w:r>
      <w:r w:rsidRPr="00547B1E">
        <w:rPr>
          <w:rFonts w:ascii="Century Gothic" w:eastAsia="Calibri" w:hAnsi="Century Gothic"/>
          <w:bCs/>
          <w:noProof/>
        </w:rPr>
        <w:t xml:space="preserve">la </w:t>
      </w:r>
      <w:r>
        <w:rPr>
          <w:rFonts w:ascii="Century Gothic" w:eastAsia="Calibri" w:hAnsi="Century Gothic"/>
          <w:bCs/>
          <w:noProof/>
        </w:rPr>
        <w:t>L</w:t>
      </w:r>
      <w:r w:rsidRPr="00547B1E">
        <w:rPr>
          <w:rFonts w:ascii="Century Gothic" w:eastAsia="Calibri" w:hAnsi="Century Gothic"/>
          <w:bCs/>
          <w:noProof/>
        </w:rPr>
        <w:t>ey 915 de 2004</w:t>
      </w:r>
      <w:r>
        <w:rPr>
          <w:rFonts w:ascii="Century Gothic" w:eastAsia="Calibri" w:hAnsi="Century Gothic"/>
          <w:bCs/>
          <w:noProof/>
        </w:rPr>
        <w:t xml:space="preserve"> no ha sido objeto de reglamentación por parte del Gobierno Nacional, </w:t>
      </w:r>
      <w:r w:rsidRPr="00FB2D9C">
        <w:rPr>
          <w:rFonts w:ascii="Century Gothic" w:eastAsia="Calibri" w:hAnsi="Century Gothic"/>
          <w:bCs/>
          <w:noProof/>
        </w:rPr>
        <w:t xml:space="preserve">la Agencia Nacional de Contratación Pública – Colombia Compra Eficiente, con fundamento en la competencia </w:t>
      </w:r>
      <w:r>
        <w:rPr>
          <w:rFonts w:ascii="Century Gothic" w:eastAsia="Calibri" w:hAnsi="Century Gothic"/>
          <w:bCs/>
          <w:noProof/>
        </w:rPr>
        <w:t>d</w:t>
      </w:r>
      <w:r w:rsidRPr="00FB2D9C">
        <w:rPr>
          <w:rFonts w:ascii="Century Gothic" w:eastAsia="Calibri" w:hAnsi="Century Gothic"/>
          <w:bCs/>
          <w:noProof/>
        </w:rPr>
        <w:t xml:space="preserve">el artículo 1 de la Ley 2022 de 2020, estandarizó </w:t>
      </w:r>
      <w:r>
        <w:rPr>
          <w:rFonts w:ascii="Century Gothic" w:eastAsia="Calibri" w:hAnsi="Century Gothic"/>
          <w:bCs/>
          <w:noProof/>
        </w:rPr>
        <w:t>la aplicación d</w:t>
      </w:r>
      <w:r w:rsidRPr="00FB2D9C">
        <w:rPr>
          <w:rFonts w:ascii="Century Gothic" w:eastAsia="Calibri" w:hAnsi="Century Gothic"/>
          <w:bCs/>
          <w:noProof/>
        </w:rPr>
        <w:t xml:space="preserve">el artículo en comento en los </w:t>
      </w:r>
      <w:r>
        <w:rPr>
          <w:rFonts w:ascii="Century Gothic" w:eastAsia="Calibri" w:hAnsi="Century Gothic"/>
          <w:bCs/>
          <w:noProof/>
        </w:rPr>
        <w:t>“D</w:t>
      </w:r>
      <w:r w:rsidRPr="00FB2D9C">
        <w:rPr>
          <w:rFonts w:ascii="Century Gothic" w:eastAsia="Calibri" w:hAnsi="Century Gothic"/>
          <w:bCs/>
          <w:noProof/>
        </w:rPr>
        <w:t xml:space="preserve">ocumentos </w:t>
      </w:r>
      <w:r>
        <w:rPr>
          <w:rFonts w:ascii="Century Gothic" w:eastAsia="Calibri" w:hAnsi="Century Gothic"/>
          <w:bCs/>
          <w:noProof/>
        </w:rPr>
        <w:t>T</w:t>
      </w:r>
      <w:r w:rsidRPr="00FB2D9C">
        <w:rPr>
          <w:rFonts w:ascii="Century Gothic" w:eastAsia="Calibri" w:hAnsi="Century Gothic"/>
          <w:bCs/>
          <w:noProof/>
        </w:rPr>
        <w:t>ipo</w:t>
      </w:r>
      <w:r>
        <w:rPr>
          <w:rFonts w:ascii="Century Gothic" w:eastAsia="Calibri" w:hAnsi="Century Gothic"/>
          <w:bCs/>
          <w:noProof/>
        </w:rPr>
        <w:t xml:space="preserve"> – Versión 3”</w:t>
      </w:r>
      <w:r w:rsidRPr="00FB2D9C">
        <w:rPr>
          <w:rFonts w:ascii="Century Gothic" w:eastAsia="Calibri" w:hAnsi="Century Gothic"/>
          <w:bCs/>
          <w:noProof/>
        </w:rPr>
        <w:t xml:space="preserve"> de </w:t>
      </w:r>
      <w:r>
        <w:rPr>
          <w:rFonts w:ascii="Century Gothic" w:eastAsia="Calibri" w:hAnsi="Century Gothic"/>
          <w:bCs/>
          <w:noProof/>
        </w:rPr>
        <w:t xml:space="preserve">licitación </w:t>
      </w:r>
      <w:r w:rsidRPr="00FB2D9C">
        <w:rPr>
          <w:rFonts w:ascii="Century Gothic" w:eastAsia="Calibri" w:hAnsi="Century Gothic"/>
          <w:bCs/>
          <w:noProof/>
        </w:rPr>
        <w:t>de obra pública de infraestructura de transporte</w:t>
      </w:r>
      <w:r>
        <w:rPr>
          <w:rFonts w:ascii="Century Gothic" w:eastAsia="Calibri" w:hAnsi="Century Gothic"/>
          <w:bCs/>
          <w:noProof/>
        </w:rPr>
        <w:t xml:space="preserve">. De esta manera, conforme al capítulo IV del pliego de condiciones, establece un </w:t>
      </w:r>
      <w:r w:rsidRPr="0033236C">
        <w:rPr>
          <w:rFonts w:ascii="Century Gothic" w:eastAsia="Calibri" w:hAnsi="Century Gothic"/>
          <w:bCs/>
          <w:noProof/>
        </w:rPr>
        <w:t>criterio de evaluación en los contratos cuyo objeto deba ejecutarse en el Archipiélago, de San Andrés, Providencia y Santa Catalina</w:t>
      </w:r>
      <w:r>
        <w:rPr>
          <w:rFonts w:ascii="Century Gothic" w:eastAsia="Calibri" w:hAnsi="Century Gothic"/>
          <w:bCs/>
          <w:noProof/>
        </w:rPr>
        <w:t xml:space="preserve"> por el cual</w:t>
      </w:r>
      <w:r w:rsidRPr="0033236C">
        <w:rPr>
          <w:rFonts w:ascii="Century Gothic" w:eastAsia="Calibri" w:hAnsi="Century Gothic"/>
          <w:bCs/>
          <w:noProof/>
        </w:rPr>
        <w:t xml:space="preserve"> </w:t>
      </w:r>
      <w:r>
        <w:rPr>
          <w:rFonts w:ascii="Century Gothic" w:eastAsia="Calibri" w:hAnsi="Century Gothic"/>
          <w:bCs/>
          <w:noProof/>
        </w:rPr>
        <w:t xml:space="preserve">a </w:t>
      </w:r>
      <w:r w:rsidRPr="0033236C">
        <w:rPr>
          <w:rFonts w:ascii="Century Gothic" w:eastAsia="Calibri" w:hAnsi="Century Gothic"/>
          <w:bCs/>
          <w:noProof/>
        </w:rPr>
        <w:t>l</w:t>
      </w:r>
      <w:r>
        <w:rPr>
          <w:rFonts w:ascii="Century Gothic" w:eastAsia="Calibri" w:hAnsi="Century Gothic"/>
          <w:bCs/>
          <w:noProof/>
        </w:rPr>
        <w:t>os</w:t>
      </w:r>
      <w:r w:rsidRPr="0033236C">
        <w:rPr>
          <w:rFonts w:ascii="Century Gothic" w:eastAsia="Calibri" w:hAnsi="Century Gothic"/>
          <w:bCs/>
          <w:noProof/>
        </w:rPr>
        <w:t xml:space="preserve"> proponente</w:t>
      </w:r>
      <w:r>
        <w:rPr>
          <w:rFonts w:ascii="Century Gothic" w:eastAsia="Calibri" w:hAnsi="Century Gothic"/>
          <w:bCs/>
          <w:noProof/>
        </w:rPr>
        <w:t>s</w:t>
      </w:r>
      <w:r w:rsidRPr="0033236C">
        <w:rPr>
          <w:rFonts w:ascii="Century Gothic" w:eastAsia="Calibri" w:hAnsi="Century Gothic"/>
          <w:bCs/>
          <w:noProof/>
        </w:rPr>
        <w:t xml:space="preserve"> que acredite</w:t>
      </w:r>
      <w:r>
        <w:rPr>
          <w:rFonts w:ascii="Century Gothic" w:eastAsia="Calibri" w:hAnsi="Century Gothic"/>
          <w:bCs/>
          <w:noProof/>
        </w:rPr>
        <w:t>n</w:t>
      </w:r>
      <w:r w:rsidRPr="0033236C">
        <w:rPr>
          <w:rFonts w:ascii="Century Gothic" w:eastAsia="Calibri" w:hAnsi="Century Gothic"/>
          <w:bCs/>
          <w:noProof/>
        </w:rPr>
        <w:t xml:space="preserve"> la Tarjeta de Circulación y Residencia −</w:t>
      </w:r>
      <w:r w:rsidRPr="0033236C">
        <w:t xml:space="preserve"> </w:t>
      </w:r>
      <w:r w:rsidRPr="0033236C">
        <w:rPr>
          <w:rFonts w:ascii="Century Gothic" w:eastAsia="Calibri" w:hAnsi="Century Gothic"/>
          <w:bCs/>
          <w:noProof/>
        </w:rPr>
        <w:t>OCCRE − se le</w:t>
      </w:r>
      <w:r>
        <w:rPr>
          <w:rFonts w:ascii="Century Gothic" w:eastAsia="Calibri" w:hAnsi="Century Gothic"/>
          <w:bCs/>
          <w:noProof/>
        </w:rPr>
        <w:t>s</w:t>
      </w:r>
      <w:r w:rsidRPr="0033236C">
        <w:rPr>
          <w:rFonts w:ascii="Century Gothic" w:eastAsia="Calibri" w:hAnsi="Century Gothic"/>
          <w:bCs/>
          <w:noProof/>
        </w:rPr>
        <w:t xml:space="preserve"> asignará 5 puntos</w:t>
      </w:r>
      <w:r>
        <w:rPr>
          <w:rFonts w:ascii="Century Gothic" w:eastAsia="Calibri" w:hAnsi="Century Gothic"/>
          <w:bCs/>
          <w:noProof/>
        </w:rPr>
        <w:t>. Como se observa, de este entendimiento no se deprende un factor de desempate que sea incompatible con los criterios del artículo 35 de la Ley de Emprendimiento.</w:t>
      </w:r>
    </w:p>
    <w:p w14:paraId="06640F28" w14:textId="77777777" w:rsidR="00312425" w:rsidRDefault="00312425" w:rsidP="00312425">
      <w:pPr>
        <w:pStyle w:val="Textoindependiente"/>
        <w:spacing w:before="120" w:line="276" w:lineRule="auto"/>
        <w:ind w:firstLine="720"/>
        <w:jc w:val="both"/>
        <w:rPr>
          <w:rFonts w:ascii="Century Gothic" w:eastAsia="Calibri" w:hAnsi="Century Gothic"/>
          <w:bCs/>
          <w:noProof/>
        </w:rPr>
      </w:pPr>
      <w:r w:rsidRPr="0033236C">
        <w:rPr>
          <w:rFonts w:ascii="Century Gothic" w:eastAsia="Calibri" w:hAnsi="Century Gothic"/>
          <w:bCs/>
          <w:noProof/>
        </w:rPr>
        <w:t xml:space="preserve">En conclusión, </w:t>
      </w:r>
      <w:r>
        <w:rPr>
          <w:rFonts w:ascii="Century Gothic" w:eastAsia="Calibri" w:hAnsi="Century Gothic"/>
          <w:bCs/>
          <w:noProof/>
        </w:rPr>
        <w:t>el</w:t>
      </w:r>
      <w:r w:rsidRPr="0033236C">
        <w:rPr>
          <w:rFonts w:ascii="Century Gothic" w:eastAsia="Calibri" w:hAnsi="Century Gothic"/>
          <w:bCs/>
          <w:noProof/>
        </w:rPr>
        <w:t xml:space="preserve"> artículo 67</w:t>
      </w:r>
      <w:r>
        <w:rPr>
          <w:rFonts w:ascii="Century Gothic" w:eastAsia="Calibri" w:hAnsi="Century Gothic"/>
          <w:bCs/>
          <w:noProof/>
        </w:rPr>
        <w:t xml:space="preserve"> de la L</w:t>
      </w:r>
      <w:r w:rsidRPr="00547B1E">
        <w:rPr>
          <w:rFonts w:ascii="Century Gothic" w:eastAsia="Calibri" w:hAnsi="Century Gothic"/>
          <w:bCs/>
          <w:noProof/>
        </w:rPr>
        <w:t>ey 915 de 2004</w:t>
      </w:r>
      <w:r w:rsidRPr="0033236C">
        <w:rPr>
          <w:rFonts w:ascii="Century Gothic" w:eastAsia="Calibri" w:hAnsi="Century Gothic"/>
          <w:bCs/>
          <w:noProof/>
        </w:rPr>
        <w:t xml:space="preserve"> constituye, como </w:t>
      </w:r>
      <w:r>
        <w:rPr>
          <w:rFonts w:ascii="Century Gothic" w:eastAsia="Calibri" w:hAnsi="Century Gothic"/>
          <w:bCs/>
          <w:noProof/>
        </w:rPr>
        <w:t xml:space="preserve">se explicó </w:t>
      </w:r>
      <w:r w:rsidRPr="0033236C">
        <w:rPr>
          <w:rFonts w:ascii="Century Gothic" w:eastAsia="Calibri" w:hAnsi="Century Gothic"/>
          <w:bCs/>
          <w:i/>
          <w:iCs/>
          <w:noProof/>
        </w:rPr>
        <w:t>ut supra</w:t>
      </w:r>
      <w:r w:rsidRPr="0033236C">
        <w:rPr>
          <w:rFonts w:ascii="Century Gothic" w:eastAsia="Calibri" w:hAnsi="Century Gothic"/>
          <w:bCs/>
          <w:noProof/>
        </w:rPr>
        <w:t>, una medida especial</w:t>
      </w:r>
      <w:r>
        <w:rPr>
          <w:rFonts w:ascii="Century Gothic" w:eastAsia="Calibri" w:hAnsi="Century Gothic"/>
          <w:bCs/>
          <w:noProof/>
        </w:rPr>
        <w:t xml:space="preserve"> </w:t>
      </w:r>
      <w:r w:rsidRPr="0033236C">
        <w:rPr>
          <w:rFonts w:ascii="Century Gothic" w:eastAsia="Calibri" w:hAnsi="Century Gothic"/>
          <w:bCs/>
          <w:noProof/>
        </w:rPr>
        <w:t xml:space="preserve">para promover la participación real y efectiva de los habitantes del territorio insultar, raizales y residentes, en los procesos de licitación pública, cuyo objeto se deba ejecutar en el Archipiélago, que constituye un factor ponderable </w:t>
      </w:r>
      <w:r>
        <w:rPr>
          <w:rFonts w:ascii="Century Gothic" w:eastAsia="Calibri" w:hAnsi="Century Gothic"/>
          <w:bCs/>
          <w:noProof/>
        </w:rPr>
        <w:t xml:space="preserve">obligatorio </w:t>
      </w:r>
      <w:r w:rsidRPr="0033236C">
        <w:rPr>
          <w:rFonts w:ascii="Century Gothic" w:eastAsia="Calibri" w:hAnsi="Century Gothic"/>
          <w:bCs/>
          <w:noProof/>
        </w:rPr>
        <w:t xml:space="preserve">dentro de los procesos de selección de contratistas adelantados </w:t>
      </w:r>
      <w:r>
        <w:rPr>
          <w:rFonts w:ascii="Century Gothic" w:eastAsia="Calibri" w:hAnsi="Century Gothic"/>
          <w:bCs/>
          <w:noProof/>
        </w:rPr>
        <w:t>únicamente</w:t>
      </w:r>
      <w:r w:rsidRPr="0033236C">
        <w:rPr>
          <w:rFonts w:ascii="Century Gothic" w:eastAsia="Calibri" w:hAnsi="Century Gothic"/>
          <w:bCs/>
          <w:noProof/>
        </w:rPr>
        <w:t xml:space="preserve"> bajo la modalidad de licitación pública, cuyo objeto contractual deba </w:t>
      </w:r>
      <w:r>
        <w:rPr>
          <w:rFonts w:ascii="Century Gothic" w:eastAsia="Calibri" w:hAnsi="Century Gothic"/>
          <w:bCs/>
          <w:noProof/>
        </w:rPr>
        <w:t>desarrollarse</w:t>
      </w:r>
      <w:r w:rsidRPr="0033236C">
        <w:rPr>
          <w:rFonts w:ascii="Century Gothic" w:eastAsia="Calibri" w:hAnsi="Century Gothic"/>
          <w:bCs/>
          <w:noProof/>
        </w:rPr>
        <w:t xml:space="preserve"> en el territorio insular.</w:t>
      </w:r>
      <w:r>
        <w:rPr>
          <w:rFonts w:ascii="Century Gothic" w:eastAsia="Calibri" w:hAnsi="Century Gothic"/>
          <w:bCs/>
          <w:noProof/>
        </w:rPr>
        <w:t xml:space="preserve"> De esta manera</w:t>
      </w:r>
      <w:r w:rsidRPr="0033236C">
        <w:rPr>
          <w:rFonts w:ascii="Century Gothic" w:eastAsia="Calibri" w:hAnsi="Century Gothic"/>
          <w:bCs/>
          <w:noProof/>
        </w:rPr>
        <w:t xml:space="preserve">, es una regla especial que no fue establecida propiamente como un factor de desempate, puesto que </w:t>
      </w:r>
      <w:r>
        <w:rPr>
          <w:rFonts w:ascii="Century Gothic" w:eastAsia="Calibri" w:hAnsi="Century Gothic"/>
          <w:bCs/>
          <w:noProof/>
        </w:rPr>
        <w:t>es</w:t>
      </w:r>
      <w:r w:rsidRPr="0033236C">
        <w:rPr>
          <w:rFonts w:ascii="Century Gothic" w:eastAsia="Calibri" w:hAnsi="Century Gothic"/>
          <w:bCs/>
          <w:noProof/>
        </w:rPr>
        <w:t xml:space="preserve"> una circunstancia objeto de evaluación aplicable exclusivamente a</w:t>
      </w:r>
      <w:r>
        <w:rPr>
          <w:rFonts w:ascii="Century Gothic" w:eastAsia="Calibri" w:hAnsi="Century Gothic"/>
          <w:bCs/>
          <w:noProof/>
        </w:rPr>
        <w:t xml:space="preserve"> </w:t>
      </w:r>
      <w:r w:rsidRPr="0033236C">
        <w:rPr>
          <w:rFonts w:ascii="Century Gothic" w:eastAsia="Calibri" w:hAnsi="Century Gothic"/>
          <w:bCs/>
          <w:noProof/>
        </w:rPr>
        <w:t xml:space="preserve">los procesos de selección de contratistas, tramitados bajo </w:t>
      </w:r>
      <w:r>
        <w:rPr>
          <w:rFonts w:ascii="Century Gothic" w:eastAsia="Calibri" w:hAnsi="Century Gothic"/>
          <w:bCs/>
          <w:noProof/>
        </w:rPr>
        <w:t>l</w:t>
      </w:r>
      <w:r w:rsidRPr="0033236C">
        <w:rPr>
          <w:rFonts w:ascii="Century Gothic" w:eastAsia="Calibri" w:hAnsi="Century Gothic"/>
          <w:bCs/>
          <w:noProof/>
        </w:rPr>
        <w:t>a modalidad de licitación pública,</w:t>
      </w:r>
      <w:r>
        <w:rPr>
          <w:rFonts w:ascii="Century Gothic" w:eastAsia="Calibri" w:hAnsi="Century Gothic"/>
          <w:bCs/>
          <w:noProof/>
        </w:rPr>
        <w:t xml:space="preserve"> </w:t>
      </w:r>
      <w:r w:rsidRPr="0033236C">
        <w:rPr>
          <w:rFonts w:ascii="Century Gothic" w:eastAsia="Calibri" w:hAnsi="Century Gothic"/>
          <w:bCs/>
          <w:noProof/>
        </w:rPr>
        <w:t>cuyo objeto contractual deba desarrollarse en el Archipiélago</w:t>
      </w:r>
      <w:r>
        <w:rPr>
          <w:rFonts w:ascii="Century Gothic" w:eastAsia="Calibri" w:hAnsi="Century Gothic"/>
          <w:bCs/>
          <w:noProof/>
        </w:rPr>
        <w:t xml:space="preserve">. </w:t>
      </w:r>
    </w:p>
    <w:p w14:paraId="47A6156C" w14:textId="77777777" w:rsidR="00312425" w:rsidRDefault="00312425" w:rsidP="00312425">
      <w:pPr>
        <w:pStyle w:val="Textoindependiente"/>
        <w:spacing w:before="120" w:line="276" w:lineRule="auto"/>
        <w:ind w:firstLine="720"/>
        <w:jc w:val="both"/>
        <w:rPr>
          <w:rFonts w:ascii="Century Gothic" w:eastAsia="Calibri" w:hAnsi="Century Gothic"/>
          <w:bCs/>
          <w:noProof/>
        </w:rPr>
      </w:pPr>
      <w:r>
        <w:rPr>
          <w:rFonts w:ascii="Century Gothic" w:eastAsia="Calibri" w:hAnsi="Century Gothic"/>
          <w:bCs/>
          <w:noProof/>
        </w:rPr>
        <w:t>Por el contrario,</w:t>
      </w:r>
      <w:r w:rsidRPr="0033236C">
        <w:rPr>
          <w:rFonts w:ascii="Century Gothic" w:eastAsia="Calibri" w:hAnsi="Century Gothic"/>
          <w:bCs/>
          <w:noProof/>
        </w:rPr>
        <w:t xml:space="preserve"> el artículo 35</w:t>
      </w:r>
      <w:r>
        <w:rPr>
          <w:rFonts w:ascii="Century Gothic" w:eastAsia="Calibri" w:hAnsi="Century Gothic"/>
          <w:bCs/>
          <w:noProof/>
        </w:rPr>
        <w:t>.5</w:t>
      </w:r>
      <w:r w:rsidRPr="0033236C">
        <w:rPr>
          <w:rFonts w:ascii="Century Gothic" w:eastAsia="Calibri" w:hAnsi="Century Gothic"/>
          <w:bCs/>
          <w:noProof/>
        </w:rPr>
        <w:t xml:space="preserve"> de la Ley 2069 de 2020 es un factor de desempate y</w:t>
      </w:r>
      <w:r>
        <w:rPr>
          <w:rFonts w:ascii="Century Gothic" w:eastAsia="Calibri" w:hAnsi="Century Gothic"/>
          <w:bCs/>
          <w:noProof/>
        </w:rPr>
        <w:t>,</w:t>
      </w:r>
      <w:r w:rsidRPr="0033236C">
        <w:rPr>
          <w:rFonts w:ascii="Century Gothic" w:eastAsia="Calibri" w:hAnsi="Century Gothic"/>
          <w:bCs/>
          <w:noProof/>
        </w:rPr>
        <w:t xml:space="preserve"> por ende,</w:t>
      </w:r>
      <w:r>
        <w:rPr>
          <w:rFonts w:ascii="Century Gothic" w:eastAsia="Calibri" w:hAnsi="Century Gothic"/>
          <w:bCs/>
          <w:noProof/>
        </w:rPr>
        <w:t xml:space="preserve"> </w:t>
      </w:r>
      <w:r w:rsidRPr="0033236C">
        <w:rPr>
          <w:rFonts w:ascii="Century Gothic" w:eastAsia="Calibri" w:hAnsi="Century Gothic"/>
          <w:bCs/>
          <w:noProof/>
        </w:rPr>
        <w:t xml:space="preserve">una regla de naturaleza distinta a la contenida en el artículo 67 de la ley 915 de 2004, aplicable a todos los procesos de contratación adelantados en el territorio nacional, </w:t>
      </w:r>
      <w:r>
        <w:rPr>
          <w:rFonts w:ascii="Century Gothic" w:eastAsia="Calibri" w:hAnsi="Century Gothic"/>
          <w:bCs/>
          <w:noProof/>
        </w:rPr>
        <w:t>independientemente</w:t>
      </w:r>
      <w:r w:rsidRPr="0033236C">
        <w:rPr>
          <w:rFonts w:ascii="Century Gothic" w:eastAsia="Calibri" w:hAnsi="Century Gothic"/>
          <w:bCs/>
          <w:noProof/>
        </w:rPr>
        <w:t xml:space="preserve"> de modalidad de selección</w:t>
      </w:r>
      <w:r>
        <w:rPr>
          <w:rFonts w:ascii="Century Gothic" w:eastAsia="Calibri" w:hAnsi="Century Gothic"/>
          <w:bCs/>
          <w:noProof/>
        </w:rPr>
        <w:t>. En consecuencia</w:t>
      </w:r>
      <w:r w:rsidRPr="0033236C">
        <w:rPr>
          <w:rFonts w:ascii="Century Gothic" w:eastAsia="Calibri" w:hAnsi="Century Gothic"/>
          <w:bCs/>
          <w:noProof/>
        </w:rPr>
        <w:t xml:space="preserve">, dada la naturaleza </w:t>
      </w:r>
      <w:r>
        <w:rPr>
          <w:rFonts w:ascii="Century Gothic" w:eastAsia="Calibri" w:hAnsi="Century Gothic"/>
          <w:bCs/>
          <w:noProof/>
        </w:rPr>
        <w:t>jurídica</w:t>
      </w:r>
      <w:r w:rsidRPr="0033236C">
        <w:rPr>
          <w:rFonts w:ascii="Century Gothic" w:eastAsia="Calibri" w:hAnsi="Century Gothic"/>
          <w:bCs/>
          <w:noProof/>
        </w:rPr>
        <w:t xml:space="preserve"> distinta de ambas normas, la entrada en vigencia del artículo 35 de la Ley de </w:t>
      </w:r>
      <w:r>
        <w:rPr>
          <w:rFonts w:ascii="Century Gothic" w:eastAsia="Calibri" w:hAnsi="Century Gothic"/>
          <w:bCs/>
          <w:noProof/>
        </w:rPr>
        <w:t>E</w:t>
      </w:r>
      <w:r w:rsidRPr="0033236C">
        <w:rPr>
          <w:rFonts w:ascii="Century Gothic" w:eastAsia="Calibri" w:hAnsi="Century Gothic"/>
          <w:bCs/>
          <w:noProof/>
        </w:rPr>
        <w:t>mprendimiento</w:t>
      </w:r>
      <w:r>
        <w:rPr>
          <w:rFonts w:ascii="Century Gothic" w:eastAsia="Calibri" w:hAnsi="Century Gothic"/>
          <w:bCs/>
          <w:noProof/>
        </w:rPr>
        <w:t xml:space="preserve"> </w:t>
      </w:r>
      <w:r w:rsidRPr="0033236C">
        <w:rPr>
          <w:rFonts w:ascii="Century Gothic" w:eastAsia="Calibri" w:hAnsi="Century Gothic"/>
          <w:bCs/>
          <w:noProof/>
        </w:rPr>
        <w:t xml:space="preserve">no afecta la vigencia </w:t>
      </w:r>
      <w:r>
        <w:rPr>
          <w:rFonts w:ascii="Century Gothic" w:eastAsia="Calibri" w:hAnsi="Century Gothic"/>
          <w:bCs/>
          <w:noProof/>
        </w:rPr>
        <w:t>d</w:t>
      </w:r>
      <w:r w:rsidRPr="0033236C">
        <w:rPr>
          <w:rFonts w:ascii="Century Gothic" w:eastAsia="Calibri" w:hAnsi="Century Gothic"/>
          <w:bCs/>
          <w:noProof/>
        </w:rPr>
        <w:t>el artículo 67 de la Ley 915 de 2004.</w:t>
      </w:r>
      <w:r>
        <w:rPr>
          <w:rFonts w:ascii="Century Gothic" w:eastAsia="Calibri" w:hAnsi="Century Gothic"/>
          <w:bCs/>
          <w:noProof/>
        </w:rPr>
        <w:t xml:space="preserve"> </w:t>
      </w:r>
    </w:p>
    <w:bookmarkEnd w:id="7"/>
    <w:p w14:paraId="4990AA4C" w14:textId="77777777" w:rsidR="00312425" w:rsidRPr="00C96FA1" w:rsidRDefault="00312425" w:rsidP="00312425">
      <w:pPr>
        <w:tabs>
          <w:tab w:val="left" w:pos="0"/>
        </w:tabs>
        <w:spacing w:after="0" w:line="276" w:lineRule="auto"/>
        <w:jc w:val="both"/>
        <w:rPr>
          <w:rFonts w:ascii="Century Gothic" w:eastAsia="Calibri" w:hAnsi="Century Gothic" w:cs="Arial"/>
          <w:bCs/>
          <w:lang w:val="es-ES_tradnl"/>
        </w:rPr>
      </w:pPr>
    </w:p>
    <w:p w14:paraId="4DE20C30" w14:textId="77777777" w:rsidR="00312425" w:rsidRPr="00C96FA1" w:rsidRDefault="00312425" w:rsidP="00312425">
      <w:pPr>
        <w:tabs>
          <w:tab w:val="left" w:pos="0"/>
        </w:tabs>
        <w:spacing w:after="0"/>
        <w:jc w:val="both"/>
        <w:rPr>
          <w:rFonts w:ascii="Century Gothic" w:eastAsia="Calibri" w:hAnsi="Century Gothic" w:cs="Arial"/>
          <w:b/>
          <w:color w:val="000000" w:themeColor="text1"/>
          <w:lang w:val="es-ES_tradnl"/>
        </w:rPr>
      </w:pPr>
      <w:r w:rsidRPr="00C96FA1">
        <w:rPr>
          <w:rFonts w:ascii="Century Gothic" w:eastAsia="Calibri" w:hAnsi="Century Gothic" w:cs="Arial"/>
          <w:b/>
          <w:color w:val="000000" w:themeColor="text1"/>
          <w:lang w:val="es-ES_tradnl"/>
        </w:rPr>
        <w:t>3. Respuesta</w:t>
      </w:r>
    </w:p>
    <w:p w14:paraId="73FA5A76" w14:textId="77777777" w:rsidR="00312425" w:rsidRPr="00035110" w:rsidRDefault="00312425" w:rsidP="00312425">
      <w:pPr>
        <w:spacing w:after="0" w:line="276" w:lineRule="auto"/>
        <w:ind w:firstLine="709"/>
        <w:jc w:val="both"/>
        <w:rPr>
          <w:rFonts w:ascii="Century Gothic" w:eastAsia="Times New Roman" w:hAnsi="Century Gothic" w:cs="Arial"/>
          <w:lang w:eastAsia="es-CO"/>
        </w:rPr>
      </w:pPr>
      <w:bookmarkStart w:id="8" w:name="_Hlk131064197"/>
    </w:p>
    <w:p w14:paraId="666D5694" w14:textId="77777777" w:rsidR="00312425" w:rsidRDefault="00312425" w:rsidP="00312425">
      <w:pPr>
        <w:spacing w:after="120" w:line="240" w:lineRule="auto"/>
        <w:ind w:left="709" w:right="709"/>
        <w:jc w:val="both"/>
        <w:rPr>
          <w:rFonts w:ascii="Century Gothic" w:hAnsi="Century Gothic" w:cs="Arial"/>
          <w:color w:val="000000" w:themeColor="text1"/>
          <w:sz w:val="21"/>
          <w:szCs w:val="21"/>
          <w:lang w:val="es-ES"/>
        </w:rPr>
      </w:pPr>
      <w:r w:rsidRPr="72E603A0">
        <w:rPr>
          <w:rFonts w:ascii="Century Gothic" w:hAnsi="Century Gothic" w:cs="Arial"/>
          <w:color w:val="000000" w:themeColor="text1"/>
          <w:sz w:val="21"/>
          <w:szCs w:val="21"/>
          <w:lang w:val="es-ES"/>
        </w:rPr>
        <w:t>i) “Con la expedición de la ley 2069 de 2020 y el Decreto 1860 de 2021, se entiende derogado el artículo 67 de la ley 915 de 2004?”.</w:t>
      </w:r>
    </w:p>
    <w:p w14:paraId="0B9F5365" w14:textId="77777777" w:rsidR="00312425" w:rsidRDefault="00312425" w:rsidP="00312425">
      <w:pPr>
        <w:spacing w:after="120" w:line="240" w:lineRule="auto"/>
        <w:ind w:left="709" w:right="709"/>
        <w:jc w:val="both"/>
        <w:rPr>
          <w:rFonts w:ascii="Century Gothic" w:hAnsi="Century Gothic" w:cs="Arial"/>
          <w:color w:val="000000" w:themeColor="text1"/>
          <w:sz w:val="21"/>
          <w:szCs w:val="21"/>
          <w:lang w:val="es-ES"/>
        </w:rPr>
      </w:pPr>
      <w:proofErr w:type="spellStart"/>
      <w:r w:rsidRPr="72E603A0">
        <w:rPr>
          <w:rFonts w:ascii="Century Gothic" w:hAnsi="Century Gothic" w:cs="Arial"/>
          <w:color w:val="000000" w:themeColor="text1"/>
          <w:sz w:val="21"/>
          <w:szCs w:val="21"/>
          <w:lang w:val="es-ES"/>
        </w:rPr>
        <w:lastRenderedPageBreak/>
        <w:t>ii</w:t>
      </w:r>
      <w:proofErr w:type="spellEnd"/>
      <w:r w:rsidRPr="72E603A0">
        <w:rPr>
          <w:rFonts w:ascii="Century Gothic" w:hAnsi="Century Gothic" w:cs="Arial"/>
          <w:color w:val="000000" w:themeColor="text1"/>
          <w:sz w:val="21"/>
          <w:szCs w:val="21"/>
          <w:lang w:val="es-ES"/>
        </w:rPr>
        <w:t>) “En qué se diferencian los criterios de desempate con la orden del artículo 67 de la ley 915 de 2004?”.</w:t>
      </w:r>
    </w:p>
    <w:p w14:paraId="7A4F052E" w14:textId="77777777" w:rsidR="00312425" w:rsidRDefault="00312425" w:rsidP="00312425">
      <w:pPr>
        <w:spacing w:after="120" w:line="240" w:lineRule="auto"/>
        <w:ind w:left="709" w:right="709"/>
        <w:jc w:val="both"/>
        <w:rPr>
          <w:rFonts w:ascii="Century Gothic" w:hAnsi="Century Gothic" w:cs="Arial"/>
          <w:color w:val="000000" w:themeColor="text1"/>
          <w:sz w:val="21"/>
          <w:szCs w:val="21"/>
          <w:lang w:val="es-ES"/>
        </w:rPr>
      </w:pPr>
      <w:proofErr w:type="spellStart"/>
      <w:r w:rsidRPr="72E603A0">
        <w:rPr>
          <w:rFonts w:ascii="Century Gothic" w:hAnsi="Century Gothic" w:cs="Arial"/>
          <w:color w:val="000000" w:themeColor="text1"/>
          <w:sz w:val="21"/>
          <w:szCs w:val="21"/>
          <w:lang w:val="es-ES"/>
        </w:rPr>
        <w:t>iii</w:t>
      </w:r>
      <w:proofErr w:type="spellEnd"/>
      <w:r w:rsidRPr="72E603A0">
        <w:rPr>
          <w:rFonts w:ascii="Century Gothic" w:hAnsi="Century Gothic" w:cs="Arial"/>
          <w:color w:val="000000" w:themeColor="text1"/>
          <w:sz w:val="21"/>
          <w:szCs w:val="21"/>
          <w:lang w:val="es-ES"/>
        </w:rPr>
        <w:t>) “La aplicación de la ley 915 de 2004 es discrecionalidad de las Entidades estatales?”.</w:t>
      </w:r>
    </w:p>
    <w:p w14:paraId="4486BE75" w14:textId="77777777" w:rsidR="00312425" w:rsidRPr="00035110" w:rsidRDefault="00312425" w:rsidP="00312425">
      <w:pPr>
        <w:spacing w:after="0" w:line="240" w:lineRule="auto"/>
        <w:ind w:left="709" w:right="709"/>
        <w:jc w:val="both"/>
        <w:rPr>
          <w:rFonts w:ascii="Century Gothic" w:hAnsi="Century Gothic" w:cs="Arial"/>
          <w:color w:val="000000" w:themeColor="text1"/>
          <w:sz w:val="21"/>
          <w:szCs w:val="21"/>
          <w:lang w:val="es-ES"/>
        </w:rPr>
      </w:pPr>
      <w:proofErr w:type="spellStart"/>
      <w:r w:rsidRPr="72E603A0">
        <w:rPr>
          <w:rFonts w:ascii="Century Gothic" w:hAnsi="Century Gothic" w:cs="Arial"/>
          <w:color w:val="000000" w:themeColor="text1"/>
          <w:sz w:val="21"/>
          <w:szCs w:val="21"/>
          <w:lang w:val="es-ES"/>
        </w:rPr>
        <w:t>iv</w:t>
      </w:r>
      <w:proofErr w:type="spellEnd"/>
      <w:r w:rsidRPr="72E603A0">
        <w:rPr>
          <w:rFonts w:ascii="Century Gothic" w:hAnsi="Century Gothic" w:cs="Arial"/>
          <w:color w:val="000000" w:themeColor="text1"/>
          <w:sz w:val="21"/>
          <w:szCs w:val="21"/>
          <w:lang w:val="es-ES"/>
        </w:rPr>
        <w:t>) “En los pliegos tipo se sugiere una asignación de 5 puntos a la tarjeta de residencia OCCRE en aplicación del artículo 67 de la ley 915 de 2004, este puntaje puede aplicarse en otros procesos de selección?”.</w:t>
      </w:r>
    </w:p>
    <w:p w14:paraId="00455504" w14:textId="77777777" w:rsidR="00312425" w:rsidRPr="00035110" w:rsidRDefault="00312425" w:rsidP="00312425">
      <w:pPr>
        <w:spacing w:after="0" w:line="276" w:lineRule="auto"/>
        <w:jc w:val="both"/>
        <w:rPr>
          <w:rFonts w:ascii="Century Gothic" w:hAnsi="Century Gothic" w:cs="Arial"/>
          <w:color w:val="000000" w:themeColor="text1"/>
          <w:lang w:val="es-ES_tradnl"/>
        </w:rPr>
      </w:pPr>
    </w:p>
    <w:p w14:paraId="7EDB2B01" w14:textId="77777777" w:rsidR="00312425" w:rsidRDefault="00312425" w:rsidP="00312425">
      <w:pPr>
        <w:pStyle w:val="Textoindependiente"/>
        <w:spacing w:line="276" w:lineRule="auto"/>
        <w:jc w:val="both"/>
        <w:rPr>
          <w:rFonts w:ascii="Century Gothic" w:eastAsia="Calibri" w:hAnsi="Century Gothic"/>
          <w:bCs/>
          <w:noProof/>
        </w:rPr>
      </w:pPr>
      <w:bookmarkStart w:id="9" w:name="_Hlk164174895"/>
      <w:bookmarkEnd w:id="8"/>
      <w:r>
        <w:rPr>
          <w:rFonts w:ascii="Century Gothic" w:eastAsia="Calibri" w:hAnsi="Century Gothic"/>
          <w:bCs/>
          <w:noProof/>
        </w:rPr>
        <w:t xml:space="preserve">Como el artículo 67 de </w:t>
      </w:r>
      <w:r w:rsidRPr="00547B1E">
        <w:rPr>
          <w:rFonts w:ascii="Century Gothic" w:eastAsia="Calibri" w:hAnsi="Century Gothic"/>
          <w:bCs/>
          <w:noProof/>
        </w:rPr>
        <w:t xml:space="preserve">la </w:t>
      </w:r>
      <w:r>
        <w:rPr>
          <w:rFonts w:ascii="Century Gothic" w:eastAsia="Calibri" w:hAnsi="Century Gothic"/>
          <w:bCs/>
          <w:noProof/>
        </w:rPr>
        <w:t>L</w:t>
      </w:r>
      <w:r w:rsidRPr="00547B1E">
        <w:rPr>
          <w:rFonts w:ascii="Century Gothic" w:eastAsia="Calibri" w:hAnsi="Century Gothic"/>
          <w:bCs/>
          <w:noProof/>
        </w:rPr>
        <w:t>ey 915 de 2004</w:t>
      </w:r>
      <w:r>
        <w:rPr>
          <w:rFonts w:ascii="Century Gothic" w:eastAsia="Calibri" w:hAnsi="Century Gothic"/>
          <w:bCs/>
          <w:noProof/>
        </w:rPr>
        <w:t xml:space="preserve"> no ha sido objeto de reglamentación por parte del Gobierno Nacional, </w:t>
      </w:r>
      <w:r w:rsidRPr="00FB2D9C">
        <w:rPr>
          <w:rFonts w:ascii="Century Gothic" w:eastAsia="Calibri" w:hAnsi="Century Gothic"/>
          <w:bCs/>
          <w:noProof/>
        </w:rPr>
        <w:t xml:space="preserve">la Agencia Nacional de Contratación Pública – Colombia Compra Eficiente, con fundamento en la competencia </w:t>
      </w:r>
      <w:r>
        <w:rPr>
          <w:rFonts w:ascii="Century Gothic" w:eastAsia="Calibri" w:hAnsi="Century Gothic"/>
          <w:bCs/>
          <w:noProof/>
        </w:rPr>
        <w:t>d</w:t>
      </w:r>
      <w:r w:rsidRPr="00FB2D9C">
        <w:rPr>
          <w:rFonts w:ascii="Century Gothic" w:eastAsia="Calibri" w:hAnsi="Century Gothic"/>
          <w:bCs/>
          <w:noProof/>
        </w:rPr>
        <w:t xml:space="preserve">el artículo 1 de la Ley 2022 de 2020, estandarizó </w:t>
      </w:r>
      <w:r>
        <w:rPr>
          <w:rFonts w:ascii="Century Gothic" w:eastAsia="Calibri" w:hAnsi="Century Gothic"/>
          <w:bCs/>
          <w:noProof/>
        </w:rPr>
        <w:t>la aplicación d</w:t>
      </w:r>
      <w:r w:rsidRPr="00FB2D9C">
        <w:rPr>
          <w:rFonts w:ascii="Century Gothic" w:eastAsia="Calibri" w:hAnsi="Century Gothic"/>
          <w:bCs/>
          <w:noProof/>
        </w:rPr>
        <w:t xml:space="preserve">el artículo en comento en los </w:t>
      </w:r>
      <w:r>
        <w:rPr>
          <w:rFonts w:ascii="Century Gothic" w:eastAsia="Calibri" w:hAnsi="Century Gothic"/>
          <w:bCs/>
          <w:noProof/>
        </w:rPr>
        <w:t>“D</w:t>
      </w:r>
      <w:r w:rsidRPr="00FB2D9C">
        <w:rPr>
          <w:rFonts w:ascii="Century Gothic" w:eastAsia="Calibri" w:hAnsi="Century Gothic"/>
          <w:bCs/>
          <w:noProof/>
        </w:rPr>
        <w:t xml:space="preserve">ocumentos </w:t>
      </w:r>
      <w:r>
        <w:rPr>
          <w:rFonts w:ascii="Century Gothic" w:eastAsia="Calibri" w:hAnsi="Century Gothic"/>
          <w:bCs/>
          <w:noProof/>
        </w:rPr>
        <w:t>T</w:t>
      </w:r>
      <w:r w:rsidRPr="00FB2D9C">
        <w:rPr>
          <w:rFonts w:ascii="Century Gothic" w:eastAsia="Calibri" w:hAnsi="Century Gothic"/>
          <w:bCs/>
          <w:noProof/>
        </w:rPr>
        <w:t>ipo</w:t>
      </w:r>
      <w:r>
        <w:rPr>
          <w:rFonts w:ascii="Century Gothic" w:eastAsia="Calibri" w:hAnsi="Century Gothic"/>
          <w:bCs/>
          <w:noProof/>
        </w:rPr>
        <w:t xml:space="preserve"> – Versión 3”</w:t>
      </w:r>
      <w:r w:rsidRPr="00FB2D9C">
        <w:rPr>
          <w:rFonts w:ascii="Century Gothic" w:eastAsia="Calibri" w:hAnsi="Century Gothic"/>
          <w:bCs/>
          <w:noProof/>
        </w:rPr>
        <w:t xml:space="preserve"> de </w:t>
      </w:r>
      <w:r>
        <w:rPr>
          <w:rFonts w:ascii="Century Gothic" w:eastAsia="Calibri" w:hAnsi="Century Gothic"/>
          <w:bCs/>
          <w:noProof/>
        </w:rPr>
        <w:t xml:space="preserve">licitación </w:t>
      </w:r>
      <w:r w:rsidRPr="00FB2D9C">
        <w:rPr>
          <w:rFonts w:ascii="Century Gothic" w:eastAsia="Calibri" w:hAnsi="Century Gothic"/>
          <w:bCs/>
          <w:noProof/>
        </w:rPr>
        <w:t>de obra pública de infraestructura de transporte</w:t>
      </w:r>
      <w:r>
        <w:rPr>
          <w:rFonts w:ascii="Century Gothic" w:eastAsia="Calibri" w:hAnsi="Century Gothic"/>
          <w:bCs/>
          <w:noProof/>
        </w:rPr>
        <w:t xml:space="preserve">. De esta manera, conforme al capítulo IV del pliego de condiciones, establece un </w:t>
      </w:r>
      <w:r w:rsidRPr="0033236C">
        <w:rPr>
          <w:rFonts w:ascii="Century Gothic" w:eastAsia="Calibri" w:hAnsi="Century Gothic"/>
          <w:bCs/>
          <w:noProof/>
        </w:rPr>
        <w:t>criterio de evaluación en los contratos cuyo objeto deba ejecutarse en el Archipiélago, de San Andrés, Providencia y Santa Catalina</w:t>
      </w:r>
      <w:r>
        <w:rPr>
          <w:rFonts w:ascii="Century Gothic" w:eastAsia="Calibri" w:hAnsi="Century Gothic"/>
          <w:bCs/>
          <w:noProof/>
        </w:rPr>
        <w:t xml:space="preserve"> por el cual</w:t>
      </w:r>
      <w:r w:rsidRPr="0033236C">
        <w:rPr>
          <w:rFonts w:ascii="Century Gothic" w:eastAsia="Calibri" w:hAnsi="Century Gothic"/>
          <w:bCs/>
          <w:noProof/>
        </w:rPr>
        <w:t xml:space="preserve"> </w:t>
      </w:r>
      <w:r>
        <w:rPr>
          <w:rFonts w:ascii="Century Gothic" w:eastAsia="Calibri" w:hAnsi="Century Gothic"/>
          <w:bCs/>
          <w:noProof/>
        </w:rPr>
        <w:t xml:space="preserve">a </w:t>
      </w:r>
      <w:r w:rsidRPr="0033236C">
        <w:rPr>
          <w:rFonts w:ascii="Century Gothic" w:eastAsia="Calibri" w:hAnsi="Century Gothic"/>
          <w:bCs/>
          <w:noProof/>
        </w:rPr>
        <w:t>l</w:t>
      </w:r>
      <w:r>
        <w:rPr>
          <w:rFonts w:ascii="Century Gothic" w:eastAsia="Calibri" w:hAnsi="Century Gothic"/>
          <w:bCs/>
          <w:noProof/>
        </w:rPr>
        <w:t>os</w:t>
      </w:r>
      <w:r w:rsidRPr="0033236C">
        <w:rPr>
          <w:rFonts w:ascii="Century Gothic" w:eastAsia="Calibri" w:hAnsi="Century Gothic"/>
          <w:bCs/>
          <w:noProof/>
        </w:rPr>
        <w:t xml:space="preserve"> proponente</w:t>
      </w:r>
      <w:r>
        <w:rPr>
          <w:rFonts w:ascii="Century Gothic" w:eastAsia="Calibri" w:hAnsi="Century Gothic"/>
          <w:bCs/>
          <w:noProof/>
        </w:rPr>
        <w:t>s</w:t>
      </w:r>
      <w:r w:rsidRPr="0033236C">
        <w:rPr>
          <w:rFonts w:ascii="Century Gothic" w:eastAsia="Calibri" w:hAnsi="Century Gothic"/>
          <w:bCs/>
          <w:noProof/>
        </w:rPr>
        <w:t xml:space="preserve"> que acredite</w:t>
      </w:r>
      <w:r>
        <w:rPr>
          <w:rFonts w:ascii="Century Gothic" w:eastAsia="Calibri" w:hAnsi="Century Gothic"/>
          <w:bCs/>
          <w:noProof/>
        </w:rPr>
        <w:t>n</w:t>
      </w:r>
      <w:r w:rsidRPr="0033236C">
        <w:rPr>
          <w:rFonts w:ascii="Century Gothic" w:eastAsia="Calibri" w:hAnsi="Century Gothic"/>
          <w:bCs/>
          <w:noProof/>
        </w:rPr>
        <w:t xml:space="preserve"> la Tarjeta de Circulación y Residencia −</w:t>
      </w:r>
      <w:r w:rsidRPr="0033236C">
        <w:t xml:space="preserve"> </w:t>
      </w:r>
      <w:r w:rsidRPr="0033236C">
        <w:rPr>
          <w:rFonts w:ascii="Century Gothic" w:eastAsia="Calibri" w:hAnsi="Century Gothic"/>
          <w:bCs/>
          <w:noProof/>
        </w:rPr>
        <w:t>OCCRE − se le</w:t>
      </w:r>
      <w:r>
        <w:rPr>
          <w:rFonts w:ascii="Century Gothic" w:eastAsia="Calibri" w:hAnsi="Century Gothic"/>
          <w:bCs/>
          <w:noProof/>
        </w:rPr>
        <w:t>s</w:t>
      </w:r>
      <w:r w:rsidRPr="0033236C">
        <w:rPr>
          <w:rFonts w:ascii="Century Gothic" w:eastAsia="Calibri" w:hAnsi="Century Gothic"/>
          <w:bCs/>
          <w:noProof/>
        </w:rPr>
        <w:t xml:space="preserve"> asignará 5 puntos</w:t>
      </w:r>
      <w:r>
        <w:rPr>
          <w:rFonts w:ascii="Century Gothic" w:eastAsia="Calibri" w:hAnsi="Century Gothic"/>
          <w:bCs/>
          <w:noProof/>
        </w:rPr>
        <w:t>. Como se observa, de este entendimiento no se deprende un factor de desempate que sea incompatible con los criterios del artículo 35 de la Ley de Emprendimiento.</w:t>
      </w:r>
    </w:p>
    <w:p w14:paraId="390DBA2E" w14:textId="77777777" w:rsidR="00312425" w:rsidRDefault="00312425" w:rsidP="00312425">
      <w:pPr>
        <w:pStyle w:val="Textoindependiente"/>
        <w:spacing w:before="120" w:line="276" w:lineRule="auto"/>
        <w:ind w:firstLine="720"/>
        <w:jc w:val="both"/>
        <w:rPr>
          <w:rFonts w:ascii="Century Gothic" w:eastAsia="Calibri" w:hAnsi="Century Gothic"/>
          <w:bCs/>
          <w:noProof/>
        </w:rPr>
      </w:pPr>
      <w:r>
        <w:rPr>
          <w:rFonts w:ascii="Century Gothic" w:eastAsia="Calibri" w:hAnsi="Century Gothic"/>
          <w:bCs/>
          <w:noProof/>
        </w:rPr>
        <w:t>En este contexto</w:t>
      </w:r>
      <w:r w:rsidRPr="0033236C">
        <w:rPr>
          <w:rFonts w:ascii="Century Gothic" w:eastAsia="Calibri" w:hAnsi="Century Gothic"/>
          <w:bCs/>
          <w:noProof/>
        </w:rPr>
        <w:t xml:space="preserve">, </w:t>
      </w:r>
      <w:r>
        <w:rPr>
          <w:rFonts w:ascii="Century Gothic" w:eastAsia="Calibri" w:hAnsi="Century Gothic"/>
          <w:bCs/>
          <w:noProof/>
        </w:rPr>
        <w:t>el</w:t>
      </w:r>
      <w:r w:rsidRPr="0033236C">
        <w:rPr>
          <w:rFonts w:ascii="Century Gothic" w:eastAsia="Calibri" w:hAnsi="Century Gothic"/>
          <w:bCs/>
          <w:noProof/>
        </w:rPr>
        <w:t xml:space="preserve"> artículo 67</w:t>
      </w:r>
      <w:r>
        <w:rPr>
          <w:rFonts w:ascii="Century Gothic" w:eastAsia="Calibri" w:hAnsi="Century Gothic"/>
          <w:bCs/>
          <w:noProof/>
        </w:rPr>
        <w:t xml:space="preserve"> de la L</w:t>
      </w:r>
      <w:r w:rsidRPr="00547B1E">
        <w:rPr>
          <w:rFonts w:ascii="Century Gothic" w:eastAsia="Calibri" w:hAnsi="Century Gothic"/>
          <w:bCs/>
          <w:noProof/>
        </w:rPr>
        <w:t>ey 915 de 2004</w:t>
      </w:r>
      <w:r w:rsidRPr="0033236C">
        <w:rPr>
          <w:rFonts w:ascii="Century Gothic" w:eastAsia="Calibri" w:hAnsi="Century Gothic"/>
          <w:bCs/>
          <w:noProof/>
        </w:rPr>
        <w:t xml:space="preserve"> constituye una medida especial</w:t>
      </w:r>
      <w:r>
        <w:rPr>
          <w:rFonts w:ascii="Century Gothic" w:eastAsia="Calibri" w:hAnsi="Century Gothic"/>
          <w:bCs/>
          <w:noProof/>
        </w:rPr>
        <w:t xml:space="preserve"> </w:t>
      </w:r>
      <w:r w:rsidRPr="0033236C">
        <w:rPr>
          <w:rFonts w:ascii="Century Gothic" w:eastAsia="Calibri" w:hAnsi="Century Gothic"/>
          <w:bCs/>
          <w:noProof/>
        </w:rPr>
        <w:t xml:space="preserve">para promover la participación real y efectiva de los habitantes del territorio insultar, raizales y residentes, en los procesos de licitación pública, cuyo objeto se deba ejecutar en el Archipiélago, que constituye un factor ponderable </w:t>
      </w:r>
      <w:r>
        <w:rPr>
          <w:rFonts w:ascii="Century Gothic" w:eastAsia="Calibri" w:hAnsi="Century Gothic"/>
          <w:bCs/>
          <w:noProof/>
        </w:rPr>
        <w:t xml:space="preserve">obligatorio </w:t>
      </w:r>
      <w:r w:rsidRPr="0033236C">
        <w:rPr>
          <w:rFonts w:ascii="Century Gothic" w:eastAsia="Calibri" w:hAnsi="Century Gothic"/>
          <w:bCs/>
          <w:noProof/>
        </w:rPr>
        <w:t xml:space="preserve">dentro de los procesos de selección de contratistas adelantados </w:t>
      </w:r>
      <w:r>
        <w:rPr>
          <w:rFonts w:ascii="Century Gothic" w:eastAsia="Calibri" w:hAnsi="Century Gothic"/>
          <w:bCs/>
          <w:noProof/>
        </w:rPr>
        <w:t>únicamente</w:t>
      </w:r>
      <w:r w:rsidRPr="0033236C">
        <w:rPr>
          <w:rFonts w:ascii="Century Gothic" w:eastAsia="Calibri" w:hAnsi="Century Gothic"/>
          <w:bCs/>
          <w:noProof/>
        </w:rPr>
        <w:t xml:space="preserve"> bajo la modalidad de licitación pública, cuyo objeto contractual deba </w:t>
      </w:r>
      <w:r>
        <w:rPr>
          <w:rFonts w:ascii="Century Gothic" w:eastAsia="Calibri" w:hAnsi="Century Gothic"/>
          <w:bCs/>
          <w:noProof/>
        </w:rPr>
        <w:t>desarrollarse</w:t>
      </w:r>
      <w:r w:rsidRPr="0033236C">
        <w:rPr>
          <w:rFonts w:ascii="Century Gothic" w:eastAsia="Calibri" w:hAnsi="Century Gothic"/>
          <w:bCs/>
          <w:noProof/>
        </w:rPr>
        <w:t xml:space="preserve"> en el territorio insular.</w:t>
      </w:r>
      <w:r>
        <w:rPr>
          <w:rFonts w:ascii="Century Gothic" w:eastAsia="Calibri" w:hAnsi="Century Gothic"/>
          <w:bCs/>
          <w:noProof/>
        </w:rPr>
        <w:t xml:space="preserve"> De esta manera</w:t>
      </w:r>
      <w:r w:rsidRPr="0033236C">
        <w:rPr>
          <w:rFonts w:ascii="Century Gothic" w:eastAsia="Calibri" w:hAnsi="Century Gothic"/>
          <w:bCs/>
          <w:noProof/>
        </w:rPr>
        <w:t xml:space="preserve">, es una regla especial que no fue establecida propiamente como un factor de desempate, puesto que </w:t>
      </w:r>
      <w:r>
        <w:rPr>
          <w:rFonts w:ascii="Century Gothic" w:eastAsia="Calibri" w:hAnsi="Century Gothic"/>
          <w:bCs/>
          <w:noProof/>
        </w:rPr>
        <w:t>es</w:t>
      </w:r>
      <w:r w:rsidRPr="0033236C">
        <w:rPr>
          <w:rFonts w:ascii="Century Gothic" w:eastAsia="Calibri" w:hAnsi="Century Gothic"/>
          <w:bCs/>
          <w:noProof/>
        </w:rPr>
        <w:t xml:space="preserve"> una circunstancia objeto de evaluación aplicable exclusivamente a los procesos de selección de contratistas, tramitados bajo </w:t>
      </w:r>
      <w:r>
        <w:rPr>
          <w:rFonts w:ascii="Century Gothic" w:eastAsia="Calibri" w:hAnsi="Century Gothic"/>
          <w:bCs/>
          <w:noProof/>
        </w:rPr>
        <w:t>l</w:t>
      </w:r>
      <w:r w:rsidRPr="0033236C">
        <w:rPr>
          <w:rFonts w:ascii="Century Gothic" w:eastAsia="Calibri" w:hAnsi="Century Gothic"/>
          <w:bCs/>
          <w:noProof/>
        </w:rPr>
        <w:t>a modalidad de licitación pública,</w:t>
      </w:r>
      <w:r>
        <w:rPr>
          <w:rFonts w:ascii="Century Gothic" w:eastAsia="Calibri" w:hAnsi="Century Gothic"/>
          <w:bCs/>
          <w:noProof/>
        </w:rPr>
        <w:t xml:space="preserve"> </w:t>
      </w:r>
      <w:r w:rsidRPr="0033236C">
        <w:rPr>
          <w:rFonts w:ascii="Century Gothic" w:eastAsia="Calibri" w:hAnsi="Century Gothic"/>
          <w:bCs/>
          <w:noProof/>
        </w:rPr>
        <w:t>cuyo objeto contractual deba desarrollarse en el Archipiélago</w:t>
      </w:r>
      <w:r>
        <w:rPr>
          <w:rFonts w:ascii="Century Gothic" w:eastAsia="Calibri" w:hAnsi="Century Gothic"/>
          <w:bCs/>
          <w:noProof/>
        </w:rPr>
        <w:t xml:space="preserve">. </w:t>
      </w:r>
    </w:p>
    <w:p w14:paraId="5EAC3F77" w14:textId="77777777" w:rsidR="00312425" w:rsidRDefault="00312425" w:rsidP="00312425">
      <w:pPr>
        <w:pStyle w:val="Textoindependiente"/>
        <w:spacing w:before="120" w:line="276" w:lineRule="auto"/>
        <w:ind w:firstLine="720"/>
        <w:jc w:val="both"/>
        <w:rPr>
          <w:rFonts w:ascii="Century Gothic" w:eastAsia="Calibri" w:hAnsi="Century Gothic"/>
          <w:bCs/>
          <w:noProof/>
        </w:rPr>
      </w:pPr>
      <w:r>
        <w:rPr>
          <w:rFonts w:ascii="Century Gothic" w:eastAsia="Calibri" w:hAnsi="Century Gothic"/>
          <w:bCs/>
          <w:noProof/>
        </w:rPr>
        <w:t>Por el contrario,</w:t>
      </w:r>
      <w:r w:rsidRPr="0033236C">
        <w:rPr>
          <w:rFonts w:ascii="Century Gothic" w:eastAsia="Calibri" w:hAnsi="Century Gothic"/>
          <w:bCs/>
          <w:noProof/>
        </w:rPr>
        <w:t xml:space="preserve"> el artículo 35</w:t>
      </w:r>
      <w:r>
        <w:rPr>
          <w:rFonts w:ascii="Century Gothic" w:eastAsia="Calibri" w:hAnsi="Century Gothic"/>
          <w:bCs/>
          <w:noProof/>
        </w:rPr>
        <w:t>.5</w:t>
      </w:r>
      <w:r w:rsidRPr="0033236C">
        <w:rPr>
          <w:rFonts w:ascii="Century Gothic" w:eastAsia="Calibri" w:hAnsi="Century Gothic"/>
          <w:bCs/>
          <w:noProof/>
        </w:rPr>
        <w:t xml:space="preserve"> de la Ley 2069 de 2020 es un factor de desempate y</w:t>
      </w:r>
      <w:r>
        <w:rPr>
          <w:rFonts w:ascii="Century Gothic" w:eastAsia="Calibri" w:hAnsi="Century Gothic"/>
          <w:bCs/>
          <w:noProof/>
        </w:rPr>
        <w:t>,</w:t>
      </w:r>
      <w:r w:rsidRPr="0033236C">
        <w:rPr>
          <w:rFonts w:ascii="Century Gothic" w:eastAsia="Calibri" w:hAnsi="Century Gothic"/>
          <w:bCs/>
          <w:noProof/>
        </w:rPr>
        <w:t xml:space="preserve"> por ende,</w:t>
      </w:r>
      <w:r>
        <w:rPr>
          <w:rFonts w:ascii="Century Gothic" w:eastAsia="Calibri" w:hAnsi="Century Gothic"/>
          <w:bCs/>
          <w:noProof/>
        </w:rPr>
        <w:t xml:space="preserve"> </w:t>
      </w:r>
      <w:r w:rsidRPr="0033236C">
        <w:rPr>
          <w:rFonts w:ascii="Century Gothic" w:eastAsia="Calibri" w:hAnsi="Century Gothic"/>
          <w:bCs/>
          <w:noProof/>
        </w:rPr>
        <w:t xml:space="preserve">una regla de naturaleza distinta a la contenida en el artículo 67 de la ley 915 de 2004, aplicable a todos los procesos de contratación adelantados en el territorio nacional, </w:t>
      </w:r>
      <w:r>
        <w:rPr>
          <w:rFonts w:ascii="Century Gothic" w:eastAsia="Calibri" w:hAnsi="Century Gothic"/>
          <w:bCs/>
          <w:noProof/>
        </w:rPr>
        <w:t>independientemente</w:t>
      </w:r>
      <w:r w:rsidRPr="0033236C">
        <w:rPr>
          <w:rFonts w:ascii="Century Gothic" w:eastAsia="Calibri" w:hAnsi="Century Gothic"/>
          <w:bCs/>
          <w:noProof/>
        </w:rPr>
        <w:t xml:space="preserve"> de modalidad de selección</w:t>
      </w:r>
      <w:r>
        <w:rPr>
          <w:rFonts w:ascii="Century Gothic" w:eastAsia="Calibri" w:hAnsi="Century Gothic"/>
          <w:bCs/>
          <w:noProof/>
        </w:rPr>
        <w:t>. En consecuencia</w:t>
      </w:r>
      <w:r w:rsidRPr="0033236C">
        <w:rPr>
          <w:rFonts w:ascii="Century Gothic" w:eastAsia="Calibri" w:hAnsi="Century Gothic"/>
          <w:bCs/>
          <w:noProof/>
        </w:rPr>
        <w:t xml:space="preserve">, dada la naturaleza </w:t>
      </w:r>
      <w:r>
        <w:rPr>
          <w:rFonts w:ascii="Century Gothic" w:eastAsia="Calibri" w:hAnsi="Century Gothic"/>
          <w:bCs/>
          <w:noProof/>
        </w:rPr>
        <w:t>jurídica</w:t>
      </w:r>
      <w:r w:rsidRPr="0033236C">
        <w:rPr>
          <w:rFonts w:ascii="Century Gothic" w:eastAsia="Calibri" w:hAnsi="Century Gothic"/>
          <w:bCs/>
          <w:noProof/>
        </w:rPr>
        <w:t xml:space="preserve"> distinta de ambas normas, la entrada en vigencia del artículo 35 de la Ley de </w:t>
      </w:r>
      <w:r>
        <w:rPr>
          <w:rFonts w:ascii="Century Gothic" w:eastAsia="Calibri" w:hAnsi="Century Gothic"/>
          <w:bCs/>
          <w:noProof/>
        </w:rPr>
        <w:t>E</w:t>
      </w:r>
      <w:r w:rsidRPr="0033236C">
        <w:rPr>
          <w:rFonts w:ascii="Century Gothic" w:eastAsia="Calibri" w:hAnsi="Century Gothic"/>
          <w:bCs/>
          <w:noProof/>
        </w:rPr>
        <w:t>mprendimiento</w:t>
      </w:r>
      <w:r>
        <w:rPr>
          <w:rFonts w:ascii="Century Gothic" w:eastAsia="Calibri" w:hAnsi="Century Gothic"/>
          <w:bCs/>
          <w:noProof/>
        </w:rPr>
        <w:t xml:space="preserve"> </w:t>
      </w:r>
      <w:r w:rsidRPr="0033236C">
        <w:rPr>
          <w:rFonts w:ascii="Century Gothic" w:eastAsia="Calibri" w:hAnsi="Century Gothic"/>
          <w:bCs/>
          <w:noProof/>
        </w:rPr>
        <w:t xml:space="preserve">no afecta la </w:t>
      </w:r>
      <w:r w:rsidRPr="0033236C">
        <w:rPr>
          <w:rFonts w:ascii="Century Gothic" w:eastAsia="Calibri" w:hAnsi="Century Gothic"/>
          <w:bCs/>
          <w:noProof/>
        </w:rPr>
        <w:lastRenderedPageBreak/>
        <w:t xml:space="preserve">vigencia </w:t>
      </w:r>
      <w:r>
        <w:rPr>
          <w:rFonts w:ascii="Century Gothic" w:eastAsia="Calibri" w:hAnsi="Century Gothic"/>
          <w:bCs/>
          <w:noProof/>
        </w:rPr>
        <w:t>d</w:t>
      </w:r>
      <w:r w:rsidRPr="0033236C">
        <w:rPr>
          <w:rFonts w:ascii="Century Gothic" w:eastAsia="Calibri" w:hAnsi="Century Gothic"/>
          <w:bCs/>
          <w:noProof/>
        </w:rPr>
        <w:t>el artículo 67 de la Ley 915 de 2004.</w:t>
      </w:r>
      <w:r>
        <w:rPr>
          <w:rFonts w:ascii="Century Gothic" w:eastAsia="Calibri" w:hAnsi="Century Gothic"/>
          <w:bCs/>
          <w:noProof/>
        </w:rPr>
        <w:t xml:space="preserve"> </w:t>
      </w:r>
    </w:p>
    <w:p w14:paraId="110BA062" w14:textId="77777777" w:rsidR="00312425" w:rsidRPr="00806396" w:rsidRDefault="00312425" w:rsidP="00312425">
      <w:pPr>
        <w:spacing w:after="120" w:line="276" w:lineRule="auto"/>
        <w:jc w:val="both"/>
        <w:rPr>
          <w:rFonts w:ascii="Century Gothic" w:eastAsia="Times New Roman" w:hAnsi="Century Gothic" w:cs="Arial"/>
          <w:color w:val="000000"/>
          <w:lang w:val="es-ES_tradnl" w:eastAsia="es-ES_tradnl"/>
        </w:rPr>
      </w:pPr>
      <w:r>
        <w:rPr>
          <w:rFonts w:ascii="Century Gothic" w:eastAsia="Calibri" w:hAnsi="Century Gothic" w:cs="Arial"/>
          <w:color w:val="000000" w:themeColor="text1"/>
          <w:lang w:val="es-ES_tradnl"/>
        </w:rPr>
        <w:t xml:space="preserve"> </w:t>
      </w:r>
      <w:bookmarkEnd w:id="9"/>
    </w:p>
    <w:p w14:paraId="06149583" w14:textId="77777777" w:rsidR="00312425" w:rsidRPr="00035110" w:rsidRDefault="00312425" w:rsidP="00312425">
      <w:pPr>
        <w:widowControl w:val="0"/>
        <w:autoSpaceDE w:val="0"/>
        <w:autoSpaceDN w:val="0"/>
        <w:spacing w:after="0" w:line="276" w:lineRule="auto"/>
        <w:jc w:val="both"/>
        <w:rPr>
          <w:rFonts w:ascii="Century Gothic" w:hAnsi="Century Gothic" w:cs="Arial"/>
          <w:color w:val="000000" w:themeColor="text1"/>
          <w:lang w:val="es-ES_tradnl" w:bidi="es-ES"/>
        </w:rPr>
      </w:pPr>
      <w:r w:rsidRPr="00035110">
        <w:rPr>
          <w:rFonts w:ascii="Century Gothic" w:hAnsi="Century Gothic" w:cs="Arial"/>
          <w:color w:val="000000" w:themeColor="text1"/>
          <w:lang w:val="es-ES_tradnl"/>
        </w:rPr>
        <w:t>Este concepto tiene el alcance previsto en el artículo 28 del Código de Procedimiento Administrativo y de lo Contencioso Administrativo.</w:t>
      </w:r>
      <w:r>
        <w:rPr>
          <w:rFonts w:ascii="Century Gothic" w:hAnsi="Century Gothic" w:cs="Arial"/>
          <w:color w:val="000000" w:themeColor="text1"/>
          <w:lang w:val="es-ES_tradnl"/>
        </w:rPr>
        <w:t xml:space="preserve"> </w:t>
      </w:r>
    </w:p>
    <w:p w14:paraId="5EB8881F" w14:textId="77777777" w:rsidR="00312425" w:rsidRPr="00035110" w:rsidRDefault="00312425" w:rsidP="00312425">
      <w:pPr>
        <w:widowControl w:val="0"/>
        <w:autoSpaceDE w:val="0"/>
        <w:autoSpaceDN w:val="0"/>
        <w:spacing w:after="0" w:line="276" w:lineRule="auto"/>
        <w:jc w:val="both"/>
        <w:rPr>
          <w:rFonts w:ascii="Century Gothic" w:hAnsi="Century Gothic" w:cs="Arial"/>
          <w:color w:val="000000" w:themeColor="text1"/>
          <w:lang w:val="es-ES_tradnl" w:bidi="es-ES"/>
        </w:rPr>
      </w:pPr>
    </w:p>
    <w:p w14:paraId="684AFCAE" w14:textId="77777777" w:rsidR="00312425" w:rsidRPr="00035110" w:rsidRDefault="00312425" w:rsidP="00312425">
      <w:pPr>
        <w:tabs>
          <w:tab w:val="left" w:pos="426"/>
        </w:tabs>
        <w:spacing w:line="276" w:lineRule="auto"/>
        <w:jc w:val="both"/>
        <w:rPr>
          <w:rFonts w:ascii="Century Gothic" w:eastAsia="Times New Roman" w:hAnsi="Century Gothic" w:cs="Arial"/>
          <w:color w:val="000000" w:themeColor="text1"/>
        </w:rPr>
      </w:pPr>
      <w:r w:rsidRPr="00035110">
        <w:rPr>
          <w:rFonts w:ascii="Century Gothic" w:eastAsia="Times New Roman" w:hAnsi="Century Gothic" w:cs="Arial"/>
          <w:color w:val="000000" w:themeColor="text1"/>
        </w:rPr>
        <w:t>Atentamente,</w:t>
      </w:r>
    </w:p>
    <w:p w14:paraId="1FCC7CE0" w14:textId="4760BE3C" w:rsidR="00312425" w:rsidRPr="00035110" w:rsidRDefault="00771ACF" w:rsidP="00312425">
      <w:pPr>
        <w:jc w:val="center"/>
        <w:rPr>
          <w:rFonts w:ascii="Century Gothic" w:eastAsia="Times New Roman" w:hAnsi="Century Gothic" w:cs="Arial"/>
          <w:lang w:eastAsia="es-CO"/>
        </w:rPr>
      </w:pPr>
      <w:r>
        <w:rPr>
          <w:noProof/>
        </w:rPr>
        <w:drawing>
          <wp:inline distT="0" distB="0" distL="0" distR="0" wp14:anchorId="656ED385" wp14:editId="67B57958">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312425" w:rsidRPr="00035110" w14:paraId="0D225C23" w14:textId="77777777" w:rsidTr="00AA7BED">
        <w:trPr>
          <w:trHeight w:val="409"/>
        </w:trPr>
        <w:tc>
          <w:tcPr>
            <w:tcW w:w="817" w:type="dxa"/>
            <w:tcBorders>
              <w:top w:val="nil"/>
              <w:left w:val="nil"/>
              <w:bottom w:val="nil"/>
              <w:right w:val="nil"/>
            </w:tcBorders>
            <w:vAlign w:val="center"/>
            <w:hideMark/>
          </w:tcPr>
          <w:p w14:paraId="02DF52CE" w14:textId="77777777" w:rsidR="00312425" w:rsidRPr="00035110" w:rsidRDefault="00312425" w:rsidP="00AA7BED">
            <w:pPr>
              <w:spacing w:after="0" w:line="240" w:lineRule="auto"/>
              <w:jc w:val="both"/>
              <w:rPr>
                <w:rFonts w:ascii="Century Gothic" w:hAnsi="Century Gothic" w:cs="Arial"/>
                <w:sz w:val="16"/>
                <w:szCs w:val="16"/>
              </w:rPr>
            </w:pPr>
            <w:r w:rsidRPr="00035110">
              <w:rPr>
                <w:rFonts w:ascii="Century Gothic" w:hAnsi="Century Gothic"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4C784981" w14:textId="77777777" w:rsidR="00312425" w:rsidRPr="00035110" w:rsidRDefault="00312425" w:rsidP="00AA7BED">
            <w:pPr>
              <w:spacing w:after="0" w:line="240" w:lineRule="auto"/>
              <w:jc w:val="both"/>
              <w:rPr>
                <w:rFonts w:ascii="Century Gothic" w:hAnsi="Century Gothic" w:cs="Arial"/>
                <w:sz w:val="16"/>
                <w:szCs w:val="16"/>
              </w:rPr>
            </w:pPr>
            <w:r w:rsidRPr="00035110">
              <w:rPr>
                <w:rFonts w:ascii="Century Gothic" w:hAnsi="Century Gothic" w:cs="Arial"/>
                <w:sz w:val="16"/>
                <w:szCs w:val="16"/>
              </w:rPr>
              <w:t>Juan David Montoya Penagos</w:t>
            </w:r>
          </w:p>
          <w:p w14:paraId="3DA8BB33" w14:textId="77777777" w:rsidR="00312425" w:rsidRPr="00035110" w:rsidRDefault="00312425" w:rsidP="00AA7BED">
            <w:pPr>
              <w:spacing w:after="0" w:line="240" w:lineRule="auto"/>
              <w:jc w:val="both"/>
              <w:rPr>
                <w:rFonts w:ascii="Century Gothic" w:hAnsi="Century Gothic" w:cs="Arial"/>
                <w:sz w:val="16"/>
                <w:szCs w:val="16"/>
              </w:rPr>
            </w:pPr>
            <w:r w:rsidRPr="00035110">
              <w:rPr>
                <w:rFonts w:ascii="Century Gothic" w:hAnsi="Century Gothic" w:cs="Arial"/>
                <w:sz w:val="16"/>
                <w:szCs w:val="16"/>
              </w:rPr>
              <w:t>Contratista de la Subdirección de Gestión Contractual</w:t>
            </w:r>
          </w:p>
        </w:tc>
      </w:tr>
      <w:tr w:rsidR="00312425" w:rsidRPr="00035110" w14:paraId="69B1CB84" w14:textId="77777777" w:rsidTr="00AA7BED">
        <w:trPr>
          <w:trHeight w:val="409"/>
        </w:trPr>
        <w:tc>
          <w:tcPr>
            <w:tcW w:w="817" w:type="dxa"/>
            <w:tcBorders>
              <w:top w:val="nil"/>
              <w:left w:val="nil"/>
              <w:right w:val="nil"/>
            </w:tcBorders>
            <w:vAlign w:val="center"/>
          </w:tcPr>
          <w:p w14:paraId="7A355E90" w14:textId="77777777" w:rsidR="00312425" w:rsidRPr="00035110" w:rsidRDefault="00312425" w:rsidP="00AA7BED">
            <w:pPr>
              <w:jc w:val="both"/>
              <w:rPr>
                <w:rFonts w:ascii="Century Gothic" w:hAnsi="Century Gothic" w:cs="Arial"/>
                <w:sz w:val="16"/>
                <w:szCs w:val="16"/>
              </w:rPr>
            </w:pPr>
            <w:r w:rsidRPr="00035110">
              <w:rPr>
                <w:rFonts w:ascii="Century Gothic" w:hAnsi="Century Gothic"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6C79AED3" w14:textId="77777777" w:rsidR="00312425" w:rsidRPr="00A82FA2" w:rsidRDefault="00312425" w:rsidP="00AA7BED">
            <w:pPr>
              <w:spacing w:after="0" w:line="240" w:lineRule="auto"/>
              <w:jc w:val="both"/>
              <w:rPr>
                <w:rFonts w:ascii="Century Gothic" w:hAnsi="Century Gothic" w:cs="Arial"/>
                <w:sz w:val="16"/>
                <w:szCs w:val="16"/>
              </w:rPr>
            </w:pPr>
            <w:r w:rsidRPr="00A82FA2">
              <w:rPr>
                <w:rFonts w:ascii="Century Gothic" w:hAnsi="Century Gothic" w:cs="Arial"/>
                <w:sz w:val="16"/>
                <w:szCs w:val="16"/>
              </w:rPr>
              <w:t>Alejandro Sarmiento Cantillo</w:t>
            </w:r>
          </w:p>
          <w:p w14:paraId="1334BFE1" w14:textId="77777777" w:rsidR="00312425" w:rsidRPr="00035110" w:rsidRDefault="00312425" w:rsidP="00AA7BED">
            <w:pPr>
              <w:spacing w:after="0" w:line="240" w:lineRule="auto"/>
              <w:jc w:val="both"/>
              <w:rPr>
                <w:rFonts w:ascii="Century Gothic" w:hAnsi="Century Gothic" w:cs="Arial"/>
                <w:sz w:val="16"/>
                <w:szCs w:val="16"/>
              </w:rPr>
            </w:pPr>
            <w:r w:rsidRPr="00A82FA2">
              <w:rPr>
                <w:rFonts w:ascii="Century Gothic" w:hAnsi="Century Gothic" w:cs="Arial"/>
                <w:sz w:val="16"/>
                <w:szCs w:val="16"/>
              </w:rPr>
              <w:t xml:space="preserve">Gestor T1 </w:t>
            </w:r>
            <w:r w:rsidRPr="00A82FA2">
              <w:rPr>
                <w:rFonts w:ascii="Arial" w:hAnsi="Arial" w:cs="Arial"/>
                <w:sz w:val="16"/>
                <w:szCs w:val="16"/>
              </w:rPr>
              <w:t>‒</w:t>
            </w:r>
            <w:r w:rsidRPr="00A82FA2">
              <w:rPr>
                <w:rFonts w:ascii="Century Gothic" w:hAnsi="Century Gothic" w:cs="Arial"/>
                <w:sz w:val="16"/>
                <w:szCs w:val="16"/>
              </w:rPr>
              <w:t xml:space="preserve"> 15 de la Subdirecci</w:t>
            </w:r>
            <w:r w:rsidRPr="00A82FA2">
              <w:rPr>
                <w:rFonts w:ascii="Century Gothic" w:hAnsi="Century Gothic" w:cs="Century Gothic"/>
                <w:sz w:val="16"/>
                <w:szCs w:val="16"/>
              </w:rPr>
              <w:t>ó</w:t>
            </w:r>
            <w:r w:rsidRPr="00A82FA2">
              <w:rPr>
                <w:rFonts w:ascii="Century Gothic" w:hAnsi="Century Gothic" w:cs="Arial"/>
                <w:sz w:val="16"/>
                <w:szCs w:val="16"/>
              </w:rPr>
              <w:t>n de Gesti</w:t>
            </w:r>
            <w:r w:rsidRPr="00A82FA2">
              <w:rPr>
                <w:rFonts w:ascii="Century Gothic" w:hAnsi="Century Gothic" w:cs="Century Gothic"/>
                <w:sz w:val="16"/>
                <w:szCs w:val="16"/>
              </w:rPr>
              <w:t>ó</w:t>
            </w:r>
            <w:r w:rsidRPr="00A82FA2">
              <w:rPr>
                <w:rFonts w:ascii="Century Gothic" w:hAnsi="Century Gothic" w:cs="Arial"/>
                <w:sz w:val="16"/>
                <w:szCs w:val="16"/>
              </w:rPr>
              <w:t>n Contractual</w:t>
            </w:r>
          </w:p>
        </w:tc>
      </w:tr>
      <w:tr w:rsidR="00312425" w:rsidRPr="00035110" w14:paraId="10378152" w14:textId="77777777" w:rsidTr="00AA7BED">
        <w:trPr>
          <w:trHeight w:val="389"/>
        </w:trPr>
        <w:tc>
          <w:tcPr>
            <w:tcW w:w="817" w:type="dxa"/>
            <w:tcBorders>
              <w:top w:val="nil"/>
              <w:left w:val="nil"/>
              <w:bottom w:val="nil"/>
              <w:right w:val="nil"/>
            </w:tcBorders>
            <w:vAlign w:val="center"/>
            <w:hideMark/>
          </w:tcPr>
          <w:p w14:paraId="64D96A4E" w14:textId="77777777" w:rsidR="00312425" w:rsidRPr="00035110" w:rsidRDefault="00312425" w:rsidP="00AA7BED">
            <w:pPr>
              <w:spacing w:after="0" w:line="240" w:lineRule="auto"/>
              <w:jc w:val="both"/>
              <w:rPr>
                <w:rFonts w:ascii="Century Gothic" w:hAnsi="Century Gothic" w:cs="Arial"/>
                <w:sz w:val="16"/>
                <w:szCs w:val="16"/>
              </w:rPr>
            </w:pPr>
            <w:r w:rsidRPr="00035110">
              <w:rPr>
                <w:rFonts w:ascii="Century Gothic" w:hAnsi="Century Gothic"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03D02CFF" w14:textId="77777777" w:rsidR="00312425" w:rsidRPr="00035110" w:rsidRDefault="00312425" w:rsidP="00AA7BED">
            <w:pPr>
              <w:spacing w:after="0" w:line="240" w:lineRule="auto"/>
              <w:jc w:val="both"/>
              <w:rPr>
                <w:rFonts w:ascii="Century Gothic" w:hAnsi="Century Gothic" w:cs="Arial"/>
                <w:sz w:val="16"/>
                <w:szCs w:val="16"/>
              </w:rPr>
            </w:pPr>
            <w:r w:rsidRPr="00035110">
              <w:rPr>
                <w:rFonts w:ascii="Century Gothic" w:hAnsi="Century Gothic" w:cs="Arial"/>
                <w:sz w:val="16"/>
                <w:szCs w:val="16"/>
              </w:rPr>
              <w:t xml:space="preserve">Nohelia del Carmen </w:t>
            </w:r>
            <w:proofErr w:type="spellStart"/>
            <w:r w:rsidRPr="00035110">
              <w:rPr>
                <w:rFonts w:ascii="Century Gothic" w:hAnsi="Century Gothic" w:cs="Arial"/>
                <w:sz w:val="16"/>
                <w:szCs w:val="16"/>
              </w:rPr>
              <w:t>Zawady</w:t>
            </w:r>
            <w:proofErr w:type="spellEnd"/>
            <w:r w:rsidRPr="00035110">
              <w:rPr>
                <w:rFonts w:ascii="Century Gothic" w:hAnsi="Century Gothic" w:cs="Arial"/>
                <w:sz w:val="16"/>
                <w:szCs w:val="16"/>
              </w:rPr>
              <w:t xml:space="preserve"> Palacio</w:t>
            </w:r>
          </w:p>
          <w:p w14:paraId="645AF35F" w14:textId="77777777" w:rsidR="00312425" w:rsidRPr="00035110" w:rsidRDefault="00312425" w:rsidP="00AA7BED">
            <w:pPr>
              <w:spacing w:after="0" w:line="240" w:lineRule="auto"/>
              <w:jc w:val="both"/>
              <w:rPr>
                <w:rFonts w:ascii="Century Gothic" w:hAnsi="Century Gothic" w:cs="Arial"/>
                <w:sz w:val="16"/>
                <w:szCs w:val="16"/>
              </w:rPr>
            </w:pPr>
            <w:r w:rsidRPr="00035110">
              <w:rPr>
                <w:rFonts w:ascii="Century Gothic" w:hAnsi="Century Gothic" w:cs="Arial"/>
                <w:sz w:val="16"/>
                <w:szCs w:val="16"/>
              </w:rPr>
              <w:t>Subdirectora de Gestión Contractual ANCP – CCE</w:t>
            </w:r>
          </w:p>
        </w:tc>
      </w:tr>
      <w:bookmarkEnd w:id="2"/>
    </w:tbl>
    <w:p w14:paraId="3C68D94B" w14:textId="77777777" w:rsidR="00312425" w:rsidRPr="00035110" w:rsidRDefault="00312425" w:rsidP="00312425">
      <w:pPr>
        <w:tabs>
          <w:tab w:val="left" w:pos="0"/>
        </w:tabs>
        <w:spacing w:line="276" w:lineRule="auto"/>
        <w:contextualSpacing/>
        <w:jc w:val="both"/>
        <w:rPr>
          <w:rFonts w:ascii="Century Gothic" w:hAnsi="Century Gothic" w:cs="Arial"/>
          <w:lang w:val="es-MX"/>
        </w:rPr>
      </w:pPr>
    </w:p>
    <w:p w14:paraId="1D64D60F" w14:textId="77777777" w:rsidR="00312425" w:rsidRPr="00035110" w:rsidRDefault="00312425" w:rsidP="00312425">
      <w:pPr>
        <w:rPr>
          <w:rFonts w:ascii="Century Gothic" w:hAnsi="Century Gothic"/>
        </w:rPr>
      </w:pPr>
      <w:r w:rsidRPr="00035110">
        <w:rPr>
          <w:rFonts w:ascii="Century Gothic" w:hAnsi="Century Gothic"/>
        </w:rPr>
        <w:t xml:space="preserve"> </w:t>
      </w:r>
    </w:p>
    <w:p w14:paraId="0F293BF4" w14:textId="4E630EB9" w:rsidR="00127233" w:rsidRPr="00415845" w:rsidRDefault="00E245AB" w:rsidP="00415845">
      <w:r w:rsidRPr="00415845">
        <w:t xml:space="preserve"> </w:t>
      </w:r>
    </w:p>
    <w:sectPr w:rsidR="00127233" w:rsidRPr="00415845" w:rsidSect="004368BC">
      <w:headerReference w:type="default" r:id="rId12"/>
      <w:footerReference w:type="defaul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A83E1" w14:textId="77777777" w:rsidR="00FE3A63" w:rsidRDefault="00FE3A63" w:rsidP="004A1847">
      <w:pPr>
        <w:spacing w:after="0" w:line="240" w:lineRule="auto"/>
      </w:pPr>
      <w:r>
        <w:separator/>
      </w:r>
    </w:p>
  </w:endnote>
  <w:endnote w:type="continuationSeparator" w:id="0">
    <w:p w14:paraId="40F6A13F" w14:textId="77777777" w:rsidR="00FE3A63" w:rsidRDefault="00FE3A63" w:rsidP="004A1847">
      <w:pPr>
        <w:spacing w:after="0" w:line="240" w:lineRule="auto"/>
      </w:pPr>
      <w:r>
        <w:continuationSeparator/>
      </w:r>
    </w:p>
  </w:endnote>
  <w:endnote w:type="continuationNotice" w:id="1">
    <w:p w14:paraId="76CA7BB9" w14:textId="77777777" w:rsidR="00FE3A63" w:rsidRDefault="00FE3A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3BA5BB2D" w:rsidR="004A1847" w:rsidRDefault="009419F9">
    <w:pPr>
      <w:pStyle w:val="Piedepgina"/>
    </w:pPr>
    <w:r>
      <w:rPr>
        <w:noProof/>
        <w:lang w:eastAsia="es-CO"/>
      </w:rPr>
      <w:drawing>
        <wp:inline distT="0" distB="0" distL="0" distR="0" wp14:anchorId="600A8696" wp14:editId="357635FE">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eastAsia="es-CO"/>
      </w:rPr>
      <w:drawing>
        <wp:anchor distT="0" distB="0" distL="114300" distR="114300" simplePos="0" relativeHeight="251658243" behindDoc="0" locked="0" layoutInCell="1" allowOverlap="1" wp14:anchorId="197AA269" wp14:editId="277B7D17">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2693"/>
      <w:gridCol w:w="2699"/>
      <w:gridCol w:w="2268"/>
    </w:tblGrid>
    <w:tr w:rsidR="00FC2B5D" w:rsidRPr="00080DA3" w14:paraId="0534DA7F" w14:textId="77777777" w:rsidTr="00B72CD3">
      <w:trPr>
        <w:trHeight w:val="229"/>
        <w:jc w:val="center"/>
      </w:trPr>
      <w:tc>
        <w:tcPr>
          <w:tcW w:w="1271"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71D456F" w14:textId="2A942425"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VERSIÓN: 0</w:t>
          </w:r>
          <w:r w:rsidR="00F613A2">
            <w:rPr>
              <w:rFonts w:ascii="Century Gothic" w:hAnsi="Century Gothic"/>
              <w:sz w:val="16"/>
              <w:szCs w:val="16"/>
            </w:rPr>
            <w:t>2</w:t>
          </w:r>
        </w:p>
      </w:tc>
      <w:tc>
        <w:tcPr>
          <w:tcW w:w="2693"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10C74553" w14:textId="52F9643A" w:rsidR="00FC2B5D" w:rsidRPr="003F3941" w:rsidRDefault="003F3941" w:rsidP="006219F8">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eastAsia="Geo" w:hAnsi="Century Gothic" w:cs="Geo"/>
              <w:b/>
              <w:color w:val="000000"/>
              <w:sz w:val="16"/>
              <w:szCs w:val="16"/>
              <w:lang w:eastAsia="es-CO"/>
            </w:rPr>
            <w:t>CCE-</w:t>
          </w:r>
          <w:r w:rsidR="00B72CD3">
            <w:rPr>
              <w:rFonts w:ascii="Century Gothic" w:eastAsia="Geo" w:hAnsi="Century Gothic" w:cs="Geo"/>
              <w:b/>
              <w:color w:val="000000"/>
              <w:sz w:val="16"/>
              <w:szCs w:val="16"/>
              <w:lang w:eastAsia="es-CO"/>
            </w:rPr>
            <w:t>REC</w:t>
          </w:r>
          <w:r w:rsidRPr="003F3941">
            <w:rPr>
              <w:rFonts w:ascii="Century Gothic" w:eastAsia="Geo" w:hAnsi="Century Gothic" w:cs="Geo"/>
              <w:b/>
              <w:color w:val="000000"/>
              <w:sz w:val="16"/>
              <w:szCs w:val="16"/>
              <w:lang w:eastAsia="es-CO"/>
            </w:rPr>
            <w:t>-FM-</w:t>
          </w:r>
          <w:r w:rsidR="00CB6357">
            <w:rPr>
              <w:rFonts w:ascii="Century Gothic" w:eastAsia="Geo" w:hAnsi="Century Gothic" w:cs="Geo"/>
              <w:b/>
              <w:color w:val="000000"/>
              <w:sz w:val="16"/>
              <w:szCs w:val="16"/>
              <w:lang w:eastAsia="es-CO"/>
            </w:rPr>
            <w:t>1</w:t>
          </w:r>
          <w:r w:rsidR="00F613A2">
            <w:rPr>
              <w:rFonts w:ascii="Century Gothic" w:eastAsia="Geo" w:hAnsi="Century Gothic" w:cs="Geo"/>
              <w:b/>
              <w:color w:val="000000"/>
              <w:sz w:val="16"/>
              <w:szCs w:val="16"/>
              <w:lang w:eastAsia="es-CO"/>
            </w:rPr>
            <w:t>7</w:t>
          </w:r>
        </w:p>
      </w:tc>
      <w:tc>
        <w:tcPr>
          <w:tcW w:w="2699" w:type="dxa"/>
          <w:tcBorders>
            <w:top w:val="dotted" w:sz="4" w:space="0" w:color="808080" w:themeColor="background1" w:themeShade="80"/>
            <w:left w:val="dotted" w:sz="4" w:space="0" w:color="808080" w:themeColor="background1" w:themeShade="80"/>
            <w:bottom w:val="dotted" w:sz="4" w:space="0" w:color="808080" w:themeColor="background1" w:themeShade="80"/>
          </w:tcBorders>
        </w:tcPr>
        <w:p w14:paraId="5B51611F" w14:textId="3EF9ACCC" w:rsidR="00FC2B5D" w:rsidRPr="003F3941" w:rsidRDefault="003F3941" w:rsidP="00FC2B5D">
          <w:pPr>
            <w:pStyle w:val="Piedepgina"/>
            <w:rPr>
              <w:rFonts w:ascii="Century Gothic" w:hAnsi="Century Gothic"/>
              <w:sz w:val="16"/>
              <w:szCs w:val="16"/>
            </w:rPr>
          </w:pPr>
          <w:r w:rsidRPr="003F3941">
            <w:rPr>
              <w:rFonts w:ascii="Century Gothic" w:hAnsi="Century Gothic"/>
              <w:sz w:val="16"/>
              <w:szCs w:val="16"/>
            </w:rPr>
            <w:t xml:space="preserve">FECHA: </w:t>
          </w:r>
          <w:r w:rsidR="00F613A2">
            <w:rPr>
              <w:rFonts w:ascii="Century Gothic" w:hAnsi="Century Gothic"/>
              <w:sz w:val="16"/>
              <w:szCs w:val="16"/>
            </w:rPr>
            <w:t>22</w:t>
          </w:r>
          <w:r w:rsidRPr="003F3941">
            <w:rPr>
              <w:rFonts w:ascii="Century Gothic" w:hAnsi="Century Gothic"/>
              <w:sz w:val="16"/>
              <w:szCs w:val="16"/>
            </w:rPr>
            <w:t xml:space="preserve"> DE </w:t>
          </w:r>
          <w:r w:rsidR="00F613A2">
            <w:rPr>
              <w:rFonts w:ascii="Century Gothic" w:hAnsi="Century Gothic"/>
              <w:sz w:val="16"/>
              <w:szCs w:val="16"/>
            </w:rPr>
            <w:t>AGOSTO</w:t>
          </w:r>
          <w:r w:rsidRPr="003F3941">
            <w:rPr>
              <w:rFonts w:ascii="Century Gothic" w:hAnsi="Century Gothic"/>
              <w:sz w:val="16"/>
              <w:szCs w:val="16"/>
            </w:rPr>
            <w:t xml:space="preserve">  2023 </w:t>
          </w:r>
        </w:p>
      </w:tc>
      <w:tc>
        <w:tcPr>
          <w:tcW w:w="22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27B7F278" w:rsidR="00FC2B5D" w:rsidRPr="003F3941" w:rsidRDefault="003F3941" w:rsidP="00820278">
          <w:pPr>
            <w:pStyle w:val="Piedepgina"/>
            <w:rPr>
              <w:rFonts w:ascii="Century Gothic" w:hAnsi="Century Gothic"/>
              <w:sz w:val="16"/>
              <w:szCs w:val="16"/>
            </w:rPr>
          </w:pPr>
          <w:r w:rsidRPr="003F3941">
            <w:rPr>
              <w:rFonts w:ascii="Century Gothic" w:hAnsi="Century Gothic"/>
              <w:sz w:val="16"/>
              <w:szCs w:val="16"/>
            </w:rPr>
            <w:t xml:space="preserve">  PÁGINA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PAGE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00FC2B5D" w:rsidRPr="003F3941">
            <w:rPr>
              <w:rFonts w:ascii="Century Gothic" w:hAnsi="Century Gothic"/>
              <w:b/>
              <w:bCs/>
              <w:sz w:val="16"/>
              <w:szCs w:val="16"/>
            </w:rPr>
            <w:fldChar w:fldCharType="begin"/>
          </w:r>
          <w:r w:rsidR="00FC2B5D" w:rsidRPr="003F3941">
            <w:rPr>
              <w:rFonts w:ascii="Century Gothic" w:hAnsi="Century Gothic"/>
              <w:b/>
              <w:bCs/>
              <w:sz w:val="16"/>
              <w:szCs w:val="16"/>
            </w:rPr>
            <w:instrText>NUMPAGES  \* Arabic  \* MERGEFORMAT</w:instrText>
          </w:r>
          <w:r w:rsidR="00FC2B5D" w:rsidRPr="003F3941">
            <w:rPr>
              <w:rFonts w:ascii="Century Gothic" w:hAnsi="Century Gothic"/>
              <w:b/>
              <w:bCs/>
              <w:sz w:val="16"/>
              <w:szCs w:val="16"/>
            </w:rPr>
            <w:fldChar w:fldCharType="separate"/>
          </w:r>
          <w:r w:rsidR="00BD15D4">
            <w:rPr>
              <w:rFonts w:ascii="Century Gothic" w:hAnsi="Century Gothic"/>
              <w:b/>
              <w:bCs/>
              <w:noProof/>
              <w:sz w:val="16"/>
              <w:szCs w:val="16"/>
            </w:rPr>
            <w:t>2</w:t>
          </w:r>
          <w:r w:rsidR="00FC2B5D" w:rsidRPr="003F3941">
            <w:rPr>
              <w:rFonts w:ascii="Century Gothic" w:hAnsi="Century Gothic"/>
              <w:b/>
              <w:bCs/>
              <w:sz w:val="16"/>
              <w:szCs w:val="16"/>
            </w:rPr>
            <w:fldChar w:fldCharType="end"/>
          </w:r>
        </w:p>
      </w:tc>
    </w:tr>
  </w:tbl>
  <w:p w14:paraId="744661F5" w14:textId="3FCEADD6" w:rsidR="006219F8" w:rsidRDefault="006219F8" w:rsidP="003E04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98E04" w14:textId="77777777" w:rsidR="00FE3A63" w:rsidRDefault="00FE3A63" w:rsidP="004A1847">
      <w:pPr>
        <w:spacing w:after="0" w:line="240" w:lineRule="auto"/>
      </w:pPr>
      <w:r>
        <w:separator/>
      </w:r>
    </w:p>
  </w:footnote>
  <w:footnote w:type="continuationSeparator" w:id="0">
    <w:p w14:paraId="4DA90942" w14:textId="77777777" w:rsidR="00FE3A63" w:rsidRDefault="00FE3A63" w:rsidP="004A1847">
      <w:pPr>
        <w:spacing w:after="0" w:line="240" w:lineRule="auto"/>
      </w:pPr>
      <w:r>
        <w:continuationSeparator/>
      </w:r>
    </w:p>
  </w:footnote>
  <w:footnote w:type="continuationNotice" w:id="1">
    <w:p w14:paraId="4D33509C" w14:textId="77777777" w:rsidR="00FE3A63" w:rsidRDefault="00FE3A63">
      <w:pPr>
        <w:spacing w:after="0" w:line="240" w:lineRule="auto"/>
      </w:pPr>
    </w:p>
  </w:footnote>
  <w:footnote w:id="2">
    <w:p w14:paraId="1614EC6B" w14:textId="77777777" w:rsidR="00312425" w:rsidRPr="00684EA3" w:rsidRDefault="00312425" w:rsidP="00312425">
      <w:pPr>
        <w:pStyle w:val="Textonotapie"/>
        <w:ind w:firstLine="708"/>
        <w:jc w:val="both"/>
        <w:rPr>
          <w:rFonts w:ascii="Century Gothic" w:hAnsi="Century Gothic" w:cs="Arial"/>
          <w:sz w:val="16"/>
          <w:szCs w:val="16"/>
        </w:rPr>
      </w:pPr>
      <w:r w:rsidRPr="00684EA3">
        <w:rPr>
          <w:rStyle w:val="Refdenotaalpie"/>
          <w:rFonts w:ascii="Century Gothic" w:hAnsi="Century Gothic" w:cs="Arial"/>
          <w:sz w:val="16"/>
          <w:szCs w:val="16"/>
        </w:rPr>
        <w:footnoteRef/>
      </w:r>
      <w:r w:rsidRPr="00684EA3">
        <w:rPr>
          <w:rFonts w:ascii="Century Gothic" w:hAnsi="Century Gothic" w:cs="Arial"/>
          <w:sz w:val="16"/>
          <w:szCs w:val="16"/>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684EA3">
          <w:rPr>
            <w:rStyle w:val="Hipervnculo"/>
            <w:rFonts w:ascii="Century Gothic" w:hAnsi="Century Gothic" w:cs="Arial"/>
            <w:sz w:val="16"/>
            <w:szCs w:val="16"/>
          </w:rPr>
          <w:t>https://relatoria.colombiacompra.gov.co/busqueda/conceptos</w:t>
        </w:r>
      </w:hyperlink>
      <w:r w:rsidRPr="00684EA3">
        <w:rPr>
          <w:rStyle w:val="Hipervnculo"/>
          <w:rFonts w:ascii="Century Gothic" w:hAnsi="Century Gothic" w:cs="Arial"/>
          <w:sz w:val="16"/>
          <w:szCs w:val="16"/>
        </w:rPr>
        <w:t xml:space="preserve">. </w:t>
      </w:r>
    </w:p>
  </w:footnote>
  <w:footnote w:id="3">
    <w:p w14:paraId="3BBE902D" w14:textId="77777777" w:rsidR="00312425" w:rsidRPr="00684EA3" w:rsidRDefault="00312425" w:rsidP="00312425">
      <w:pPr>
        <w:pStyle w:val="Textonotapie"/>
        <w:ind w:firstLine="709"/>
        <w:jc w:val="both"/>
        <w:rPr>
          <w:rFonts w:ascii="Century Gothic" w:hAnsi="Century Gothic" w:cs="Arial"/>
          <w:sz w:val="16"/>
          <w:szCs w:val="16"/>
        </w:rPr>
      </w:pPr>
      <w:r w:rsidRPr="00684EA3">
        <w:rPr>
          <w:rStyle w:val="Refdenotaalpie"/>
          <w:rFonts w:ascii="Century Gothic" w:hAnsi="Century Gothic" w:cs="Arial"/>
          <w:sz w:val="16"/>
          <w:szCs w:val="16"/>
        </w:rPr>
        <w:footnoteRef/>
      </w:r>
      <w:r w:rsidRPr="00684EA3">
        <w:rPr>
          <w:rFonts w:ascii="Century Gothic" w:hAnsi="Century Gothic" w:cs="Arial"/>
          <w:sz w:val="16"/>
          <w:szCs w:val="16"/>
        </w:rPr>
        <w:t xml:space="preserve"> </w:t>
      </w:r>
      <w:r w:rsidRPr="00684EA3">
        <w:rPr>
          <w:rFonts w:ascii="Century Gothic" w:hAnsi="Century Gothic" w:cs="Arial"/>
          <w:sz w:val="16"/>
          <w:szCs w:val="16"/>
          <w:lang w:val="es-ES"/>
        </w:rPr>
        <w:t>Consejo de Estado. Sección Tercera. Sentencia del 29 de octubre de 2.015. Consejera Ponente: Stella Conto Díaz Del Castillo. Expediente: 31.918.</w:t>
      </w:r>
    </w:p>
  </w:footnote>
  <w:footnote w:id="4">
    <w:p w14:paraId="18ADD6E2" w14:textId="77777777" w:rsidR="00312425" w:rsidRPr="00684EA3" w:rsidRDefault="00312425" w:rsidP="00312425">
      <w:pPr>
        <w:pStyle w:val="Textonotapie"/>
        <w:ind w:firstLine="709"/>
        <w:jc w:val="both"/>
        <w:rPr>
          <w:rFonts w:ascii="Century Gothic" w:hAnsi="Century Gothic"/>
          <w:sz w:val="16"/>
          <w:szCs w:val="16"/>
        </w:rPr>
      </w:pPr>
      <w:r w:rsidRPr="00684EA3">
        <w:rPr>
          <w:rStyle w:val="Refdenotaalpie"/>
          <w:rFonts w:ascii="Century Gothic" w:hAnsi="Century Gothic"/>
          <w:sz w:val="16"/>
          <w:szCs w:val="16"/>
        </w:rPr>
        <w:footnoteRef/>
      </w:r>
      <w:r w:rsidRPr="00684EA3">
        <w:rPr>
          <w:rFonts w:ascii="Century Gothic" w:hAnsi="Century Gothic"/>
          <w:sz w:val="16"/>
          <w:szCs w:val="16"/>
        </w:rPr>
        <w:t xml:space="preserve"> </w:t>
      </w:r>
      <w:r w:rsidRPr="00684EA3">
        <w:rPr>
          <w:rFonts w:ascii="Century Gothic" w:hAnsi="Century Gothic" w:cs="Arial"/>
          <w:sz w:val="16"/>
          <w:szCs w:val="16"/>
          <w:lang w:val="es-ES"/>
        </w:rPr>
        <w:t>Corte Constitucional. Sentencia T-684A del 14 de septiembre de 2011. Magistrado Ponente: Mauricio González Cuervo.</w:t>
      </w:r>
    </w:p>
  </w:footnote>
  <w:footnote w:id="5">
    <w:p w14:paraId="601948FB" w14:textId="77777777" w:rsidR="00312425" w:rsidRPr="00684EA3" w:rsidRDefault="00312425" w:rsidP="00312425">
      <w:pPr>
        <w:pStyle w:val="Textonotapie"/>
        <w:ind w:firstLine="709"/>
        <w:jc w:val="both"/>
        <w:rPr>
          <w:rFonts w:ascii="Century Gothic" w:hAnsi="Century Gothic" w:cs="Arial"/>
          <w:sz w:val="16"/>
          <w:szCs w:val="16"/>
          <w:lang w:val="es-ES"/>
        </w:rPr>
      </w:pPr>
      <w:r w:rsidRPr="00684EA3">
        <w:rPr>
          <w:rStyle w:val="Refdenotaalpie"/>
          <w:rFonts w:ascii="Century Gothic" w:hAnsi="Century Gothic" w:cs="Arial"/>
          <w:sz w:val="16"/>
          <w:szCs w:val="16"/>
        </w:rPr>
        <w:footnoteRef/>
      </w:r>
      <w:r w:rsidRPr="00684EA3">
        <w:rPr>
          <w:rFonts w:ascii="Century Gothic" w:hAnsi="Century Gothic" w:cs="Arial"/>
          <w:sz w:val="16"/>
          <w:szCs w:val="16"/>
        </w:rPr>
        <w:t xml:space="preserve"> </w:t>
      </w:r>
      <w:r w:rsidRPr="00684EA3">
        <w:rPr>
          <w:rFonts w:ascii="Century Gothic" w:hAnsi="Century Gothic" w:cs="Arial"/>
          <w:sz w:val="16"/>
          <w:szCs w:val="16"/>
          <w:lang w:val="es-ES"/>
        </w:rPr>
        <w:t>Artículos 2 al 29.</w:t>
      </w:r>
    </w:p>
  </w:footnote>
  <w:footnote w:id="6">
    <w:p w14:paraId="4511BDD1" w14:textId="77777777" w:rsidR="00312425" w:rsidRPr="00684EA3" w:rsidRDefault="00312425" w:rsidP="00312425">
      <w:pPr>
        <w:pStyle w:val="Textonotapie"/>
        <w:ind w:firstLine="709"/>
        <w:jc w:val="both"/>
        <w:rPr>
          <w:rFonts w:ascii="Century Gothic" w:hAnsi="Century Gothic" w:cs="Arial"/>
          <w:sz w:val="16"/>
          <w:szCs w:val="16"/>
          <w:lang w:val="es-ES"/>
        </w:rPr>
      </w:pPr>
      <w:r w:rsidRPr="00684EA3">
        <w:rPr>
          <w:rStyle w:val="Refdenotaalpie"/>
          <w:rFonts w:ascii="Century Gothic" w:hAnsi="Century Gothic" w:cs="Arial"/>
          <w:sz w:val="16"/>
          <w:szCs w:val="16"/>
        </w:rPr>
        <w:footnoteRef/>
      </w:r>
      <w:r w:rsidRPr="00684EA3">
        <w:rPr>
          <w:rFonts w:ascii="Century Gothic" w:hAnsi="Century Gothic" w:cs="Arial"/>
          <w:sz w:val="16"/>
          <w:szCs w:val="16"/>
        </w:rPr>
        <w:t xml:space="preserve"> </w:t>
      </w:r>
      <w:r w:rsidRPr="00684EA3">
        <w:rPr>
          <w:rFonts w:ascii="Century Gothic" w:hAnsi="Century Gothic" w:cs="Arial"/>
          <w:sz w:val="16"/>
          <w:szCs w:val="16"/>
          <w:lang w:val="es-ES"/>
        </w:rPr>
        <w:t>Artículos 30 al 36.</w:t>
      </w:r>
    </w:p>
  </w:footnote>
  <w:footnote w:id="7">
    <w:p w14:paraId="54ABE5B3" w14:textId="77777777" w:rsidR="00312425" w:rsidRPr="00684EA3" w:rsidRDefault="00312425" w:rsidP="00312425">
      <w:pPr>
        <w:pStyle w:val="Textonotapie"/>
        <w:ind w:firstLine="709"/>
        <w:jc w:val="both"/>
        <w:rPr>
          <w:rFonts w:ascii="Century Gothic" w:hAnsi="Century Gothic" w:cs="Arial"/>
          <w:sz w:val="16"/>
          <w:szCs w:val="16"/>
          <w:lang w:val="es-ES"/>
        </w:rPr>
      </w:pPr>
      <w:r w:rsidRPr="00684EA3">
        <w:rPr>
          <w:rStyle w:val="Refdenotaalpie"/>
          <w:rFonts w:ascii="Century Gothic" w:hAnsi="Century Gothic" w:cs="Arial"/>
          <w:sz w:val="16"/>
          <w:szCs w:val="16"/>
        </w:rPr>
        <w:footnoteRef/>
      </w:r>
      <w:r w:rsidRPr="00684EA3">
        <w:rPr>
          <w:rFonts w:ascii="Century Gothic" w:hAnsi="Century Gothic" w:cs="Arial"/>
          <w:sz w:val="16"/>
          <w:szCs w:val="16"/>
        </w:rPr>
        <w:t xml:space="preserve"> </w:t>
      </w:r>
      <w:r w:rsidRPr="00684EA3">
        <w:rPr>
          <w:rFonts w:ascii="Century Gothic" w:hAnsi="Century Gothic" w:cs="Arial"/>
          <w:sz w:val="16"/>
          <w:szCs w:val="16"/>
          <w:lang w:val="es-ES"/>
        </w:rPr>
        <w:t>Artículos 37 al 45.</w:t>
      </w:r>
    </w:p>
  </w:footnote>
  <w:footnote w:id="8">
    <w:p w14:paraId="6197D7A5" w14:textId="77777777" w:rsidR="00312425" w:rsidRPr="00684EA3" w:rsidRDefault="00312425" w:rsidP="00312425">
      <w:pPr>
        <w:pStyle w:val="Textonotapie"/>
        <w:ind w:firstLine="709"/>
        <w:jc w:val="both"/>
        <w:rPr>
          <w:rFonts w:ascii="Century Gothic" w:hAnsi="Century Gothic" w:cs="Arial"/>
          <w:sz w:val="16"/>
          <w:szCs w:val="16"/>
          <w:lang w:val="es-ES"/>
        </w:rPr>
      </w:pPr>
      <w:r w:rsidRPr="00684EA3">
        <w:rPr>
          <w:rStyle w:val="Refdenotaalpie"/>
          <w:rFonts w:ascii="Century Gothic" w:hAnsi="Century Gothic" w:cs="Arial"/>
          <w:sz w:val="16"/>
          <w:szCs w:val="16"/>
        </w:rPr>
        <w:footnoteRef/>
      </w:r>
      <w:r w:rsidRPr="00684EA3">
        <w:rPr>
          <w:rFonts w:ascii="Century Gothic" w:hAnsi="Century Gothic" w:cs="Arial"/>
          <w:sz w:val="16"/>
          <w:szCs w:val="16"/>
        </w:rPr>
        <w:t xml:space="preserve"> </w:t>
      </w:r>
      <w:r w:rsidRPr="00684EA3">
        <w:rPr>
          <w:rFonts w:ascii="Century Gothic" w:hAnsi="Century Gothic" w:cs="Arial"/>
          <w:sz w:val="16"/>
          <w:szCs w:val="16"/>
          <w:lang w:val="es-ES"/>
        </w:rPr>
        <w:t>Artículos 46 al 73.</w:t>
      </w:r>
    </w:p>
  </w:footnote>
  <w:footnote w:id="9">
    <w:p w14:paraId="1938CA0F" w14:textId="77777777" w:rsidR="00312425" w:rsidRPr="00684EA3" w:rsidRDefault="00312425" w:rsidP="00312425">
      <w:pPr>
        <w:pStyle w:val="Textonotapie"/>
        <w:ind w:firstLine="709"/>
        <w:jc w:val="both"/>
        <w:rPr>
          <w:rFonts w:ascii="Century Gothic" w:hAnsi="Century Gothic" w:cs="Arial"/>
          <w:sz w:val="16"/>
          <w:szCs w:val="16"/>
          <w:lang w:val="es-ES"/>
        </w:rPr>
      </w:pPr>
      <w:r w:rsidRPr="00684EA3">
        <w:rPr>
          <w:rStyle w:val="Refdenotaalpie"/>
          <w:rFonts w:ascii="Century Gothic" w:hAnsi="Century Gothic" w:cs="Arial"/>
          <w:sz w:val="16"/>
          <w:szCs w:val="16"/>
        </w:rPr>
        <w:footnoteRef/>
      </w:r>
      <w:r w:rsidRPr="00684EA3">
        <w:rPr>
          <w:rFonts w:ascii="Century Gothic" w:hAnsi="Century Gothic" w:cs="Arial"/>
          <w:sz w:val="16"/>
          <w:szCs w:val="16"/>
        </w:rPr>
        <w:t xml:space="preserve"> </w:t>
      </w:r>
      <w:r w:rsidRPr="00684EA3">
        <w:rPr>
          <w:rFonts w:ascii="Century Gothic" w:hAnsi="Century Gothic" w:cs="Arial"/>
          <w:sz w:val="16"/>
          <w:szCs w:val="16"/>
          <w:lang w:val="es-ES"/>
        </w:rPr>
        <w:t>Artículos 74 al 83.</w:t>
      </w:r>
    </w:p>
  </w:footnote>
  <w:footnote w:id="10">
    <w:p w14:paraId="32AC5141" w14:textId="77777777" w:rsidR="00312425" w:rsidRPr="00684EA3" w:rsidRDefault="00312425" w:rsidP="00312425">
      <w:pPr>
        <w:pStyle w:val="Textonotapie"/>
        <w:ind w:firstLine="708"/>
        <w:jc w:val="both"/>
        <w:rPr>
          <w:rFonts w:ascii="Century Gothic" w:hAnsi="Century Gothic" w:cs="Arial"/>
          <w:sz w:val="16"/>
          <w:szCs w:val="16"/>
        </w:rPr>
      </w:pPr>
      <w:r w:rsidRPr="00684EA3">
        <w:rPr>
          <w:rStyle w:val="Refdenotaalpie"/>
          <w:rFonts w:ascii="Century Gothic" w:hAnsi="Century Gothic" w:cs="Arial"/>
          <w:sz w:val="16"/>
          <w:szCs w:val="16"/>
        </w:rPr>
        <w:footnoteRef/>
      </w:r>
      <w:r w:rsidRPr="00684EA3">
        <w:rPr>
          <w:rFonts w:ascii="Century Gothic" w:hAnsi="Century Gothic" w:cs="Arial"/>
          <w:sz w:val="16"/>
          <w:szCs w:val="16"/>
        </w:rPr>
        <w:t xml:space="preserve"> Decreto 1860 de 2021. “Artículo 1. Objeto. El presente Decreto tiene como propósito reglamentar los artículos 30, 31, 32,34 y 35 de la Ley 2069 de 2020, en relación con: el procedimiento de mínima cuantía, incluyendo disposiciones particulares que se refieren a la contratación con </w:t>
      </w:r>
      <w:proofErr w:type="spellStart"/>
      <w:r w:rsidRPr="00684EA3">
        <w:rPr>
          <w:rFonts w:ascii="Century Gothic" w:hAnsi="Century Gothic" w:cs="Arial"/>
          <w:sz w:val="16"/>
          <w:szCs w:val="16"/>
        </w:rPr>
        <w:t>Mipyme</w:t>
      </w:r>
      <w:proofErr w:type="spellEnd"/>
      <w:r w:rsidRPr="00684EA3">
        <w:rPr>
          <w:rFonts w:ascii="Century Gothic" w:hAnsi="Century Gothic" w:cs="Arial"/>
          <w:sz w:val="16"/>
          <w:szCs w:val="16"/>
        </w:rPr>
        <w:t xml:space="preserve"> y grandes almacenes; los criterios diferenciales para </w:t>
      </w:r>
      <w:proofErr w:type="spellStart"/>
      <w:r w:rsidRPr="00684EA3">
        <w:rPr>
          <w:rFonts w:ascii="Century Gothic" w:hAnsi="Century Gothic" w:cs="Arial"/>
          <w:sz w:val="16"/>
          <w:szCs w:val="16"/>
        </w:rPr>
        <w:t>Mipyme</w:t>
      </w:r>
      <w:proofErr w:type="spellEnd"/>
      <w:r w:rsidRPr="00684EA3">
        <w:rPr>
          <w:rFonts w:ascii="Century Gothic" w:hAnsi="Century Gothic" w:cs="Arial"/>
          <w:sz w:val="16"/>
          <w:szCs w:val="16"/>
        </w:rPr>
        <w:t xml:space="preserve">, y la definición y los criterios diferenciales para los emprendimientos y empresas de mujeres; las convocatorias limitadas a </w:t>
      </w:r>
      <w:proofErr w:type="spellStart"/>
      <w:r w:rsidRPr="00684EA3">
        <w:rPr>
          <w:rFonts w:ascii="Century Gothic" w:hAnsi="Century Gothic" w:cs="Arial"/>
          <w:sz w:val="16"/>
          <w:szCs w:val="16"/>
        </w:rPr>
        <w:t>Mipyme</w:t>
      </w:r>
      <w:proofErr w:type="spellEnd"/>
      <w:r w:rsidRPr="00684EA3">
        <w:rPr>
          <w:rFonts w:ascii="Century Gothic" w:hAnsi="Century Gothic" w:cs="Arial"/>
          <w:sz w:val="16"/>
          <w:szCs w:val="16"/>
        </w:rPr>
        <w:t>; el fomento a la ejecución de contratos estatales por parte de población en pobreza extrema, desplazados por la violencia, personas en proceso de reintegración o reincorporación y, sujetos de especial protección constitucional; así como la acreditación de los factores de desempate previstos en la Ley de Emprendimiento”.</w:t>
      </w:r>
    </w:p>
  </w:footnote>
  <w:footnote w:id="11">
    <w:p w14:paraId="17B6001C" w14:textId="77777777" w:rsidR="00312425" w:rsidRPr="00684EA3" w:rsidRDefault="00312425" w:rsidP="00312425">
      <w:pPr>
        <w:pStyle w:val="NormalWeb"/>
        <w:shd w:val="clear" w:color="auto" w:fill="FFFFFF"/>
        <w:spacing w:before="0" w:beforeAutospacing="0" w:after="0" w:afterAutospacing="0"/>
        <w:ind w:firstLine="709"/>
        <w:jc w:val="both"/>
        <w:rPr>
          <w:rFonts w:ascii="Century Gothic" w:hAnsi="Century Gothic" w:cs="Arial"/>
          <w:sz w:val="16"/>
          <w:szCs w:val="16"/>
        </w:rPr>
      </w:pPr>
      <w:r w:rsidRPr="00684EA3">
        <w:rPr>
          <w:rStyle w:val="Refdenotaalpie"/>
          <w:rFonts w:ascii="Century Gothic" w:hAnsi="Century Gothic" w:cs="Arial"/>
          <w:sz w:val="16"/>
          <w:szCs w:val="16"/>
        </w:rPr>
        <w:footnoteRef/>
      </w:r>
      <w:r w:rsidRPr="00684EA3">
        <w:rPr>
          <w:rFonts w:ascii="Century Gothic" w:hAnsi="Century Gothic" w:cs="Arial"/>
          <w:sz w:val="16"/>
          <w:szCs w:val="16"/>
        </w:rPr>
        <w:t xml:space="preserve"> Decreto 1860 de 2021. “Artículo 8. Vigencia y derogatorias. Las disposiciones contenidas en el presente Decreto se aplicarán a los procedimientos de selección cuya invitación, aviso de convocatoria o documento equivalente se publique a los tres (3) meses contados a partir de su expedición. Este Decreto modifica la Subsección </w:t>
      </w:r>
      <w:r w:rsidRPr="00684EA3">
        <w:rPr>
          <w:rFonts w:ascii="Century Gothic" w:eastAsiaTheme="majorEastAsia" w:hAnsi="Century Gothic" w:cs="Arial"/>
          <w:sz w:val="16"/>
          <w:szCs w:val="16"/>
        </w:rPr>
        <w:t>5 </w:t>
      </w:r>
      <w:r w:rsidRPr="00684EA3">
        <w:rPr>
          <w:rFonts w:ascii="Century Gothic" w:hAnsi="Century Gothic" w:cs="Arial"/>
          <w:sz w:val="16"/>
          <w:szCs w:val="16"/>
        </w:rPr>
        <w:t>de la Sección 1 del Capítulo 2 del Título 1 de la Parte 2 del Libro 2, así como los artículos </w:t>
      </w:r>
      <w:r w:rsidRPr="00684EA3">
        <w:rPr>
          <w:rFonts w:ascii="Century Gothic" w:eastAsiaTheme="majorEastAsia" w:hAnsi="Century Gothic" w:cs="Arial"/>
          <w:sz w:val="16"/>
          <w:szCs w:val="16"/>
        </w:rPr>
        <w:t>2.2.1.2.4.2.2</w:t>
      </w:r>
      <w:r w:rsidRPr="00684EA3">
        <w:rPr>
          <w:rFonts w:ascii="Century Gothic" w:hAnsi="Century Gothic" w:cs="Arial"/>
          <w:sz w:val="16"/>
          <w:szCs w:val="16"/>
        </w:rPr>
        <w:t>., </w:t>
      </w:r>
      <w:r w:rsidRPr="00684EA3">
        <w:rPr>
          <w:rFonts w:ascii="Century Gothic" w:eastAsiaTheme="majorEastAsia" w:hAnsi="Century Gothic" w:cs="Arial"/>
          <w:sz w:val="16"/>
          <w:szCs w:val="16"/>
        </w:rPr>
        <w:t>2.2.1.2.4.2.3</w:t>
      </w:r>
      <w:r w:rsidRPr="00684EA3">
        <w:rPr>
          <w:rFonts w:ascii="Century Gothic" w:hAnsi="Century Gothic" w:cs="Arial"/>
          <w:sz w:val="16"/>
          <w:szCs w:val="16"/>
        </w:rPr>
        <w:t>., </w:t>
      </w:r>
      <w:r w:rsidRPr="00684EA3">
        <w:rPr>
          <w:rFonts w:ascii="Century Gothic" w:eastAsiaTheme="majorEastAsia" w:hAnsi="Century Gothic" w:cs="Arial"/>
          <w:sz w:val="16"/>
          <w:szCs w:val="16"/>
        </w:rPr>
        <w:t>2.2.1.2.4.2.4</w:t>
      </w:r>
      <w:r w:rsidRPr="00684EA3">
        <w:rPr>
          <w:rFonts w:ascii="Century Gothic" w:hAnsi="Century Gothic" w:cs="Arial"/>
          <w:sz w:val="16"/>
          <w:szCs w:val="16"/>
        </w:rPr>
        <w:t>., </w:t>
      </w:r>
      <w:r w:rsidRPr="00684EA3">
        <w:rPr>
          <w:rFonts w:ascii="Century Gothic" w:eastAsiaTheme="majorEastAsia" w:hAnsi="Century Gothic" w:cs="Arial"/>
          <w:sz w:val="16"/>
          <w:szCs w:val="16"/>
        </w:rPr>
        <w:t>2.2.1.2.1.2.2</w:t>
      </w:r>
      <w:r w:rsidRPr="00684EA3">
        <w:rPr>
          <w:rFonts w:ascii="Century Gothic" w:hAnsi="Century Gothic" w:cs="Arial"/>
          <w:sz w:val="16"/>
          <w:szCs w:val="16"/>
        </w:rPr>
        <w:t xml:space="preserve"> y </w:t>
      </w:r>
      <w:r w:rsidRPr="00684EA3">
        <w:rPr>
          <w:rFonts w:ascii="Century Gothic" w:eastAsiaTheme="majorEastAsia" w:hAnsi="Century Gothic" w:cs="Arial"/>
          <w:sz w:val="16"/>
          <w:szCs w:val="16"/>
        </w:rPr>
        <w:t>2.2.1.2.4.2.8</w:t>
      </w:r>
      <w:r w:rsidRPr="00684EA3">
        <w:rPr>
          <w:rFonts w:ascii="Century Gothic" w:hAnsi="Century Gothic" w:cs="Arial"/>
          <w:sz w:val="16"/>
          <w:szCs w:val="16"/>
        </w:rPr>
        <w:t>.; adiciona los artículos </w:t>
      </w:r>
      <w:r w:rsidRPr="00684EA3">
        <w:rPr>
          <w:rFonts w:ascii="Century Gothic" w:eastAsiaTheme="majorEastAsia" w:hAnsi="Century Gothic" w:cs="Arial"/>
          <w:sz w:val="16"/>
          <w:szCs w:val="16"/>
        </w:rPr>
        <w:t>2.2.1.2.4.2.14</w:t>
      </w:r>
      <w:r w:rsidRPr="00684EA3">
        <w:rPr>
          <w:rFonts w:ascii="Century Gothic" w:hAnsi="Century Gothic" w:cs="Arial"/>
          <w:sz w:val="16"/>
          <w:szCs w:val="16"/>
        </w:rPr>
        <w:t>., </w:t>
      </w:r>
      <w:r w:rsidRPr="00684EA3">
        <w:rPr>
          <w:rFonts w:ascii="Century Gothic" w:eastAsiaTheme="majorEastAsia" w:hAnsi="Century Gothic" w:cs="Arial"/>
          <w:sz w:val="16"/>
          <w:szCs w:val="16"/>
        </w:rPr>
        <w:t>2.2.1.2.4.2.15</w:t>
      </w:r>
      <w:r w:rsidRPr="00684EA3">
        <w:rPr>
          <w:rFonts w:ascii="Century Gothic" w:hAnsi="Century Gothic" w:cs="Arial"/>
          <w:sz w:val="16"/>
          <w:szCs w:val="16"/>
        </w:rPr>
        <w:t>., </w:t>
      </w:r>
      <w:r w:rsidRPr="00684EA3">
        <w:rPr>
          <w:rFonts w:ascii="Century Gothic" w:eastAsiaTheme="majorEastAsia" w:hAnsi="Century Gothic" w:cs="Arial"/>
          <w:sz w:val="16"/>
          <w:szCs w:val="16"/>
        </w:rPr>
        <w:t>2.2.1.2.4.2.16</w:t>
      </w:r>
      <w:r w:rsidRPr="00684EA3">
        <w:rPr>
          <w:rFonts w:ascii="Century Gothic" w:hAnsi="Century Gothic" w:cs="Arial"/>
          <w:sz w:val="16"/>
          <w:szCs w:val="16"/>
        </w:rPr>
        <w:t>., </w:t>
      </w:r>
      <w:r w:rsidRPr="00684EA3">
        <w:rPr>
          <w:rFonts w:ascii="Century Gothic" w:eastAsiaTheme="majorEastAsia" w:hAnsi="Century Gothic" w:cs="Arial"/>
          <w:sz w:val="16"/>
          <w:szCs w:val="16"/>
        </w:rPr>
        <w:t xml:space="preserve">2.2.1.2.4.2.17. </w:t>
      </w:r>
      <w:r w:rsidRPr="00684EA3">
        <w:rPr>
          <w:rFonts w:ascii="Century Gothic" w:hAnsi="Century Gothic" w:cs="Arial"/>
          <w:sz w:val="16"/>
          <w:szCs w:val="16"/>
        </w:rPr>
        <w:t>y </w:t>
      </w:r>
      <w:r w:rsidRPr="00684EA3">
        <w:rPr>
          <w:rFonts w:ascii="Century Gothic" w:eastAsiaTheme="majorEastAsia" w:hAnsi="Century Gothic" w:cs="Arial"/>
          <w:sz w:val="16"/>
          <w:szCs w:val="16"/>
        </w:rPr>
        <w:t>2.2.1.2.4.2.18</w:t>
      </w:r>
      <w:r w:rsidRPr="00684EA3">
        <w:rPr>
          <w:rFonts w:ascii="Century Gothic" w:hAnsi="Century Gothic" w:cs="Arial"/>
          <w:sz w:val="16"/>
          <w:szCs w:val="16"/>
        </w:rPr>
        <w:t>.; adiciona un </w:t>
      </w:r>
      <w:r w:rsidRPr="00684EA3">
        <w:rPr>
          <w:rFonts w:ascii="Century Gothic" w:eastAsiaTheme="majorEastAsia" w:hAnsi="Century Gothic" w:cs="Arial"/>
          <w:sz w:val="16"/>
          <w:szCs w:val="16"/>
        </w:rPr>
        <w:t>parágrafo </w:t>
      </w:r>
      <w:r w:rsidRPr="00684EA3">
        <w:rPr>
          <w:rFonts w:ascii="Century Gothic" w:hAnsi="Century Gothic" w:cs="Arial"/>
          <w:sz w:val="16"/>
          <w:szCs w:val="16"/>
        </w:rPr>
        <w:t>al artículo </w:t>
      </w:r>
      <w:r w:rsidRPr="00684EA3">
        <w:rPr>
          <w:rFonts w:ascii="Century Gothic" w:eastAsiaTheme="majorEastAsia" w:hAnsi="Century Gothic" w:cs="Arial"/>
          <w:sz w:val="16"/>
          <w:szCs w:val="16"/>
        </w:rPr>
        <w:t>2.2.1.2.3.1.9</w:t>
      </w:r>
      <w:r w:rsidRPr="00684EA3">
        <w:rPr>
          <w:rFonts w:ascii="Century Gothic" w:hAnsi="Century Gothic" w:cs="Arial"/>
          <w:sz w:val="16"/>
          <w:szCs w:val="16"/>
        </w:rPr>
        <w:t>; y deroga el artículo </w:t>
      </w:r>
      <w:r w:rsidRPr="00684EA3">
        <w:rPr>
          <w:rFonts w:ascii="Century Gothic" w:eastAsiaTheme="majorEastAsia" w:hAnsi="Century Gothic" w:cs="Arial"/>
          <w:sz w:val="16"/>
          <w:szCs w:val="16"/>
        </w:rPr>
        <w:t>2.2.1.1.2.2.9</w:t>
      </w:r>
      <w:r w:rsidRPr="00684EA3">
        <w:rPr>
          <w:rFonts w:ascii="Century Gothic" w:hAnsi="Century Gothic" w:cs="Arial"/>
          <w:sz w:val="16"/>
          <w:szCs w:val="16"/>
        </w:rPr>
        <w:t>. del Decreto 1082 de 2015, Único Reglamentario del Sector Administrativo de Planeación Nacional.</w:t>
      </w:r>
    </w:p>
    <w:p w14:paraId="3C2EEF50" w14:textId="77777777" w:rsidR="00312425" w:rsidRPr="00684EA3" w:rsidRDefault="00312425" w:rsidP="00312425">
      <w:pPr>
        <w:pStyle w:val="NormalWeb"/>
        <w:shd w:val="clear" w:color="auto" w:fill="FFFFFF"/>
        <w:spacing w:before="0" w:beforeAutospacing="0" w:after="0" w:afterAutospacing="0"/>
        <w:jc w:val="both"/>
        <w:rPr>
          <w:rFonts w:ascii="Century Gothic" w:hAnsi="Century Gothic" w:cs="Arial"/>
          <w:sz w:val="16"/>
          <w:szCs w:val="16"/>
        </w:rPr>
      </w:pPr>
      <w:r w:rsidRPr="00684EA3">
        <w:rPr>
          <w:rFonts w:ascii="Century Gothic" w:hAnsi="Century Gothic" w:cs="Arial"/>
          <w:b/>
          <w:bCs/>
          <w:sz w:val="16"/>
          <w:szCs w:val="16"/>
        </w:rPr>
        <w:t> </w:t>
      </w:r>
      <w:r w:rsidRPr="00684EA3">
        <w:rPr>
          <w:rFonts w:ascii="Century Gothic" w:hAnsi="Century Gothic" w:cs="Arial"/>
          <w:b/>
          <w:bCs/>
          <w:sz w:val="16"/>
          <w:szCs w:val="16"/>
        </w:rPr>
        <w:tab/>
      </w:r>
      <w:r w:rsidRPr="00684EA3">
        <w:rPr>
          <w:rFonts w:ascii="Century Gothic" w:hAnsi="Century Gothic" w:cs="Arial"/>
          <w:sz w:val="16"/>
          <w:szCs w:val="16"/>
        </w:rPr>
        <w:t>Parágrafo. Los Procesos de Contratación que se rijan por los Documento Tipo continuarán aplicando estos instrumentos y las normas vigentes anteriores a la expedición de este Decreto. Por tanto, estos procedimientos de selección se realizarán conforme la regulación actual contenida en los Documentos Tipo hasta que la Agencia Nacional de Contratación Pública - Colombia Compra Eficiente expida las modificaciones a que haya lugar, conforme con las disposiciones de esta reglamentación.</w:t>
      </w:r>
    </w:p>
    <w:p w14:paraId="6F9FB24A" w14:textId="77777777" w:rsidR="00312425" w:rsidRPr="00684EA3" w:rsidRDefault="00312425" w:rsidP="00312425">
      <w:pPr>
        <w:pStyle w:val="NormalWeb"/>
        <w:shd w:val="clear" w:color="auto" w:fill="FFFFFF"/>
        <w:spacing w:before="0" w:beforeAutospacing="0" w:after="0" w:afterAutospacing="0"/>
        <w:jc w:val="both"/>
        <w:rPr>
          <w:rFonts w:ascii="Century Gothic" w:hAnsi="Century Gothic" w:cs="Arial"/>
          <w:sz w:val="16"/>
          <w:szCs w:val="16"/>
        </w:rPr>
      </w:pPr>
      <w:r w:rsidRPr="00684EA3">
        <w:rPr>
          <w:rFonts w:ascii="Century Gothic" w:hAnsi="Century Gothic" w:cs="Arial"/>
          <w:sz w:val="16"/>
          <w:szCs w:val="16"/>
        </w:rPr>
        <w:t> </w:t>
      </w:r>
      <w:r w:rsidRPr="00684EA3">
        <w:rPr>
          <w:rFonts w:ascii="Century Gothic" w:hAnsi="Century Gothic" w:cs="Arial"/>
          <w:sz w:val="16"/>
          <w:szCs w:val="16"/>
        </w:rPr>
        <w:tab/>
        <w:t>La Agencia tendrá un plazo máximo de seis (6) meses contados a partir de la expedición de este Decreto para adecuar los Documentos Tipo a las disposiciones previstas en este reglamento. Sin perjuicio de lo anterior, el artículo 5 del presente Decreto regirá en los procesos sometidos a los Documentos Tipo en las condiciones establecidas en este artículo”.</w:t>
      </w:r>
    </w:p>
  </w:footnote>
  <w:footnote w:id="12">
    <w:p w14:paraId="5C87C61B" w14:textId="77777777" w:rsidR="00312425" w:rsidRPr="00684EA3" w:rsidRDefault="00312425" w:rsidP="00312425">
      <w:pPr>
        <w:pStyle w:val="Textonotapie"/>
        <w:ind w:firstLine="708"/>
        <w:jc w:val="both"/>
        <w:rPr>
          <w:rFonts w:ascii="Century Gothic" w:hAnsi="Century Gothic"/>
          <w:sz w:val="16"/>
          <w:szCs w:val="16"/>
        </w:rPr>
      </w:pPr>
      <w:r w:rsidRPr="00684EA3">
        <w:rPr>
          <w:rStyle w:val="Refdenotaalpie"/>
          <w:rFonts w:ascii="Century Gothic" w:hAnsi="Century Gothic"/>
          <w:sz w:val="16"/>
          <w:szCs w:val="16"/>
        </w:rPr>
        <w:footnoteRef/>
      </w:r>
      <w:r w:rsidRPr="00684EA3">
        <w:rPr>
          <w:rFonts w:ascii="Century Gothic" w:hAnsi="Century Gothic"/>
          <w:sz w:val="16"/>
          <w:szCs w:val="16"/>
        </w:rPr>
        <w:t xml:space="preserve"> Esto sin perjuicio de que, tratándose de la contratación adelantada en el departamento Archipiélago de San Andrés, Providencia y Santa Catalina por modalidad distinta a la licitación pública, existan otras medidas de acción afirmativa en favor de la comunidad raizal. Por ejemplo, es posible implementar factores de evaluación que permitan ponderar la relación calidad-precio a partir de criterios sociales dirigidos a generar la inserción sociolaboral de población raizal, lo cual se encuentra permitido en el parágrafo del artículo 2.2.1.1.2.2.2 del Decreto 1082 de 2015. Otro ejemplo es la posibilidad de adelantar convocatorias limitadas a </w:t>
      </w:r>
      <w:proofErr w:type="spellStart"/>
      <w:r w:rsidRPr="00684EA3">
        <w:rPr>
          <w:rFonts w:ascii="Century Gothic" w:hAnsi="Century Gothic"/>
          <w:sz w:val="16"/>
          <w:szCs w:val="16"/>
        </w:rPr>
        <w:t>mipymes</w:t>
      </w:r>
      <w:proofErr w:type="spellEnd"/>
      <w:r w:rsidRPr="00684EA3">
        <w:rPr>
          <w:rFonts w:ascii="Century Gothic" w:hAnsi="Century Gothic"/>
          <w:sz w:val="16"/>
          <w:szCs w:val="16"/>
        </w:rPr>
        <w:t xml:space="preserve"> con domicilio dentro el archipiélago, para los contratos que deban ejecutarse allí. También es posible aplicar cláusulas sociales que promuevan la contratación de población raizal en determinadas condiciones determinadas en la propia minuta del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12154" w14:textId="5D0C20C7" w:rsidR="00756841" w:rsidRDefault="00BD15D4">
    <w:pPr>
      <w:pStyle w:val="Encabezado"/>
    </w:pPr>
    <w:r>
      <w:rPr>
        <w:noProof/>
        <w:lang w:eastAsia="es-CO"/>
      </w:rPr>
      <w:drawing>
        <wp:anchor distT="0" distB="0" distL="114300" distR="114300" simplePos="0" relativeHeight="251658240" behindDoc="1" locked="0" layoutInCell="1" allowOverlap="1" wp14:anchorId="748FC4A6" wp14:editId="19FCB529">
          <wp:simplePos x="0" y="0"/>
          <wp:positionH relativeFrom="margin">
            <wp:posOffset>3808040</wp:posOffset>
          </wp:positionH>
          <wp:positionV relativeFrom="margin">
            <wp:posOffset>-1521184</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002962BC" w:rsidRPr="00852E0B">
      <w:rPr>
        <w:rFonts w:ascii="Geomanist Bold" w:hAnsi="Geomanist Bold"/>
        <w:b/>
        <w:bCs/>
        <w:noProof/>
        <w:color w:val="46589C"/>
        <w:sz w:val="24"/>
        <w:szCs w:val="24"/>
        <w:lang w:eastAsia="es-CO"/>
      </w:rPr>
      <w:drawing>
        <wp:anchor distT="0" distB="0" distL="114300" distR="114300" simplePos="0" relativeHeight="251658244" behindDoc="0" locked="0" layoutInCell="1" allowOverlap="1" wp14:anchorId="7E9042C1" wp14:editId="08BF0B10">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lang w:eastAsia="es-CO"/>
      </w:rPr>
      <w:drawing>
        <wp:anchor distT="0" distB="0" distL="114300" distR="114300" simplePos="0" relativeHeight="251658242" behindDoc="0" locked="0" layoutInCell="1" allowOverlap="1" wp14:anchorId="4F745D08" wp14:editId="59122E37">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sidR="00FB5DD1">
      <w:rPr>
        <w:noProof/>
        <w:lang w:eastAsia="es-CO"/>
      </w:rPr>
      <w:drawing>
        <wp:anchor distT="0" distB="0" distL="114300" distR="114300" simplePos="0" relativeHeight="251658241" behindDoc="0" locked="0" layoutInCell="1" allowOverlap="1" wp14:anchorId="38EA71DA" wp14:editId="78EBA255">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w14:paraId="435F4D03" w14:textId="56BAF314" w:rsidR="00756841" w:rsidRDefault="00756841">
    <w:pPr>
      <w:pStyle w:val="Encabezado"/>
    </w:pPr>
  </w:p>
  <w:p w14:paraId="1BE2B9AE" w14:textId="4B94DB3B" w:rsidR="00756841" w:rsidRDefault="00756841">
    <w:pPr>
      <w:pStyle w:val="Encabezado"/>
    </w:pPr>
  </w:p>
  <w:p w14:paraId="7FE1230C" w14:textId="77777777" w:rsidR="004A305D" w:rsidRPr="004A305D" w:rsidRDefault="004A305D" w:rsidP="004A305D">
    <w:pPr>
      <w:spacing w:after="0"/>
      <w:rPr>
        <w:rFonts w:ascii="Century Gothic" w:hAnsi="Century Gothic"/>
        <w:color w:val="002060"/>
        <w:sz w:val="16"/>
        <w:szCs w:val="16"/>
      </w:rPr>
    </w:pPr>
    <w:r w:rsidRPr="004A305D">
      <w:rPr>
        <w:rFonts w:ascii="Century Gothic" w:hAnsi="Century Gothic"/>
        <w:color w:val="002060"/>
        <w:sz w:val="16"/>
        <w:szCs w:val="16"/>
      </w:rPr>
      <w:t>FORMATO PQRSD</w:t>
    </w:r>
  </w:p>
  <w:p w14:paraId="7B0A8834" w14:textId="3B0E5F1B" w:rsidR="004A305D" w:rsidRPr="004A305D" w:rsidRDefault="004A305D" w:rsidP="00BD15D4">
    <w:pPr>
      <w:pBdr>
        <w:top w:val="nil"/>
        <w:left w:val="nil"/>
        <w:bottom w:val="nil"/>
        <w:right w:val="nil"/>
        <w:between w:val="nil"/>
      </w:pBdr>
      <w:tabs>
        <w:tab w:val="center" w:pos="4419"/>
        <w:tab w:val="right" w:pos="8838"/>
        <w:tab w:val="center" w:pos="5400"/>
      </w:tabs>
      <w:spacing w:after="0"/>
      <w:rPr>
        <w:rFonts w:ascii="Century Gothic" w:eastAsia="Geo" w:hAnsi="Century Gothic" w:cs="Geo"/>
        <w:b/>
        <w:color w:val="002060"/>
        <w:sz w:val="16"/>
        <w:szCs w:val="16"/>
        <w:lang w:eastAsia="es-CO"/>
      </w:rPr>
    </w:pPr>
    <w:r w:rsidRPr="004A305D">
      <w:rPr>
        <w:rFonts w:ascii="Century Gothic" w:eastAsia="Geo" w:hAnsi="Century Gothic" w:cs="Geo"/>
        <w:b/>
        <w:color w:val="000000"/>
        <w:sz w:val="16"/>
        <w:szCs w:val="16"/>
        <w:lang w:eastAsia="es-CO"/>
      </w:rPr>
      <w:t xml:space="preserve">Código: </w:t>
    </w:r>
    <w:r w:rsidRPr="004A305D">
      <w:rPr>
        <w:rFonts w:ascii="Century Gothic" w:eastAsia="Geo" w:hAnsi="Century Gothic" w:cs="Geo"/>
        <w:bCs/>
        <w:color w:val="000000"/>
        <w:sz w:val="16"/>
        <w:szCs w:val="16"/>
        <w:lang w:eastAsia="es-CO"/>
      </w:rPr>
      <w:t>CCE-</w:t>
    </w:r>
    <w:r w:rsidR="00CB6357">
      <w:rPr>
        <w:rFonts w:ascii="Century Gothic" w:eastAsia="Geo" w:hAnsi="Century Gothic" w:cs="Geo"/>
        <w:bCs/>
        <w:color w:val="000000"/>
        <w:sz w:val="16"/>
        <w:szCs w:val="16"/>
        <w:lang w:eastAsia="es-CO"/>
      </w:rPr>
      <w:t>REC</w:t>
    </w:r>
    <w:r w:rsidRPr="004A305D">
      <w:rPr>
        <w:rFonts w:ascii="Century Gothic" w:eastAsia="Geo" w:hAnsi="Century Gothic" w:cs="Geo"/>
        <w:bCs/>
        <w:color w:val="000000"/>
        <w:sz w:val="16"/>
        <w:szCs w:val="16"/>
        <w:lang w:eastAsia="es-CO"/>
      </w:rPr>
      <w:t>-FM-</w:t>
    </w:r>
    <w:r w:rsidR="00CB6357">
      <w:rPr>
        <w:rFonts w:ascii="Century Gothic" w:eastAsia="Geo" w:hAnsi="Century Gothic" w:cs="Geo"/>
        <w:bCs/>
        <w:color w:val="000000"/>
        <w:sz w:val="16"/>
        <w:szCs w:val="16"/>
        <w:lang w:eastAsia="es-CO"/>
      </w:rPr>
      <w:t>1</w:t>
    </w:r>
    <w:r w:rsidR="005B5D8B">
      <w:rPr>
        <w:rFonts w:ascii="Century Gothic" w:eastAsia="Geo" w:hAnsi="Century Gothic" w:cs="Geo"/>
        <w:bCs/>
        <w:color w:val="000000"/>
        <w:sz w:val="16"/>
        <w:szCs w:val="16"/>
        <w:lang w:eastAsia="es-CO"/>
      </w:rPr>
      <w:t>7</w:t>
    </w:r>
  </w:p>
  <w:p w14:paraId="3DBCDD3E" w14:textId="5A8F9BFB" w:rsidR="005B5D8B" w:rsidRPr="00415845" w:rsidRDefault="004A305D" w:rsidP="00415845">
    <w:pPr>
      <w:spacing w:after="120"/>
      <w:rPr>
        <w:rFonts w:ascii="Century Gothic" w:eastAsia="Geo" w:hAnsi="Century Gothic" w:cs="Geo"/>
        <w:sz w:val="16"/>
        <w:szCs w:val="16"/>
        <w:lang w:eastAsia="es-CO"/>
      </w:rPr>
    </w:pPr>
    <w:r w:rsidRPr="004A305D">
      <w:rPr>
        <w:rFonts w:ascii="Century Gothic" w:eastAsia="Geo" w:hAnsi="Century Gothic" w:cs="Geo"/>
        <w:b/>
        <w:color w:val="000000"/>
        <w:sz w:val="16"/>
        <w:szCs w:val="16"/>
        <w:lang w:eastAsia="es-CO"/>
      </w:rPr>
      <w:t>Versión</w:t>
    </w:r>
    <w:r w:rsidRPr="004A305D">
      <w:rPr>
        <w:rFonts w:ascii="Century Gothic" w:eastAsia="Arial Nova" w:hAnsi="Century Gothic" w:cs="Arial Nova"/>
        <w:b/>
        <w:color w:val="000000"/>
        <w:sz w:val="16"/>
        <w:szCs w:val="16"/>
        <w:lang w:eastAsia="es-CO"/>
      </w:rPr>
      <w:t xml:space="preserve">: </w:t>
    </w:r>
    <w:r w:rsidR="005B5D8B" w:rsidRPr="004A305D">
      <w:rPr>
        <w:rFonts w:ascii="Century Gothic" w:eastAsia="Geo" w:hAnsi="Century Gothic" w:cs="Geo"/>
        <w:sz w:val="16"/>
        <w:szCs w:val="16"/>
        <w:lang w:eastAsia="es-CO"/>
      </w:rPr>
      <w:t>0</w:t>
    </w:r>
    <w:r w:rsidR="005B5D8B">
      <w:rPr>
        <w:rFonts w:ascii="Century Gothic" w:eastAsia="Geo" w:hAnsi="Century Gothic" w:cs="Geo"/>
        <w:sz w:val="16"/>
        <w:szCs w:val="16"/>
        <w:lang w:eastAsia="es-CO"/>
      </w:rPr>
      <w:t>2</w:t>
    </w:r>
    <w:r w:rsidR="005B5D8B" w:rsidRPr="004A305D">
      <w:rPr>
        <w:rFonts w:ascii="Century Gothic" w:eastAsia="Geo" w:hAnsi="Century Gothic" w:cs="Geo"/>
        <w:sz w:val="16"/>
        <w:szCs w:val="16"/>
        <w:lang w:eastAsia="es-CO"/>
      </w:rPr>
      <w:t xml:space="preserve"> DEL </w:t>
    </w:r>
    <w:r w:rsidR="005B5D8B">
      <w:rPr>
        <w:rFonts w:ascii="Century Gothic" w:eastAsia="Geo" w:hAnsi="Century Gothic" w:cs="Geo"/>
        <w:sz w:val="16"/>
        <w:szCs w:val="16"/>
        <w:lang w:eastAsia="es-CO"/>
      </w:rPr>
      <w:t xml:space="preserve">22 </w:t>
    </w:r>
    <w:r w:rsidR="005B5D8B" w:rsidRPr="004A305D">
      <w:rPr>
        <w:rFonts w:ascii="Century Gothic" w:eastAsia="Geo" w:hAnsi="Century Gothic" w:cs="Geo"/>
        <w:sz w:val="16"/>
        <w:szCs w:val="16"/>
        <w:lang w:eastAsia="es-CO"/>
      </w:rPr>
      <w:t xml:space="preserve">DE </w:t>
    </w:r>
    <w:r w:rsidR="005B5D8B">
      <w:rPr>
        <w:rFonts w:ascii="Century Gothic" w:eastAsia="Geo" w:hAnsi="Century Gothic" w:cs="Geo"/>
        <w:sz w:val="16"/>
        <w:szCs w:val="16"/>
        <w:lang w:eastAsia="es-CO"/>
      </w:rPr>
      <w:t>AGOSTO</w:t>
    </w:r>
    <w:r w:rsidR="005B5D8B" w:rsidRPr="004A305D">
      <w:rPr>
        <w:rFonts w:ascii="Century Gothic" w:eastAsia="Geo" w:hAnsi="Century Gothic" w:cs="Geo"/>
        <w:sz w:val="16"/>
        <w:szCs w:val="16"/>
        <w:lang w:eastAsia="es-CO"/>
      </w:rPr>
      <w:t xml:space="preserve"> DE 202</w:t>
    </w:r>
    <w:r w:rsidR="005B5D8B">
      <w:rPr>
        <w:rFonts w:ascii="Century Gothic" w:eastAsia="Geo" w:hAnsi="Century Gothic" w:cs="Geo"/>
        <w:sz w:val="16"/>
        <w:szCs w:val="16"/>
        <w:lang w:eastAsia="es-C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81954">
    <w:abstractNumId w:val="3"/>
  </w:num>
  <w:num w:numId="2" w16cid:durableId="486676265">
    <w:abstractNumId w:val="1"/>
  </w:num>
  <w:num w:numId="3" w16cid:durableId="608313202">
    <w:abstractNumId w:val="2"/>
  </w:num>
  <w:num w:numId="4" w16cid:durableId="266743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6877461">
    <w:abstractNumId w:val="1"/>
  </w:num>
  <w:num w:numId="6" w16cid:durableId="176391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47"/>
    <w:rsid w:val="000635DC"/>
    <w:rsid w:val="000A683E"/>
    <w:rsid w:val="000B19B9"/>
    <w:rsid w:val="000D0334"/>
    <w:rsid w:val="000E4714"/>
    <w:rsid w:val="000F6486"/>
    <w:rsid w:val="00125105"/>
    <w:rsid w:val="00127233"/>
    <w:rsid w:val="001673FF"/>
    <w:rsid w:val="001863A2"/>
    <w:rsid w:val="001E4177"/>
    <w:rsid w:val="001F07AB"/>
    <w:rsid w:val="00284373"/>
    <w:rsid w:val="002951A0"/>
    <w:rsid w:val="002962BC"/>
    <w:rsid w:val="002A093D"/>
    <w:rsid w:val="002A49AC"/>
    <w:rsid w:val="002A64FD"/>
    <w:rsid w:val="002C7A84"/>
    <w:rsid w:val="00312425"/>
    <w:rsid w:val="003448F4"/>
    <w:rsid w:val="0034739D"/>
    <w:rsid w:val="003A779E"/>
    <w:rsid w:val="003D0F4D"/>
    <w:rsid w:val="003E0499"/>
    <w:rsid w:val="003F3941"/>
    <w:rsid w:val="00400548"/>
    <w:rsid w:val="00415845"/>
    <w:rsid w:val="004368BC"/>
    <w:rsid w:val="004A1847"/>
    <w:rsid w:val="004A305D"/>
    <w:rsid w:val="004F21C4"/>
    <w:rsid w:val="004F685F"/>
    <w:rsid w:val="00533E8F"/>
    <w:rsid w:val="00552675"/>
    <w:rsid w:val="005566E8"/>
    <w:rsid w:val="00574867"/>
    <w:rsid w:val="005935E4"/>
    <w:rsid w:val="005A6AA1"/>
    <w:rsid w:val="005A71D7"/>
    <w:rsid w:val="005B5D8B"/>
    <w:rsid w:val="005C5CDC"/>
    <w:rsid w:val="005D476C"/>
    <w:rsid w:val="006219F8"/>
    <w:rsid w:val="00665D70"/>
    <w:rsid w:val="00684EA3"/>
    <w:rsid w:val="006F227D"/>
    <w:rsid w:val="006F3783"/>
    <w:rsid w:val="00706C16"/>
    <w:rsid w:val="00727370"/>
    <w:rsid w:val="00756841"/>
    <w:rsid w:val="00763C80"/>
    <w:rsid w:val="007649AB"/>
    <w:rsid w:val="00771ACF"/>
    <w:rsid w:val="007833AC"/>
    <w:rsid w:val="007B7171"/>
    <w:rsid w:val="007C3DC2"/>
    <w:rsid w:val="007E5497"/>
    <w:rsid w:val="00806F5F"/>
    <w:rsid w:val="00820278"/>
    <w:rsid w:val="008843B6"/>
    <w:rsid w:val="00891928"/>
    <w:rsid w:val="008A446D"/>
    <w:rsid w:val="008F0EA7"/>
    <w:rsid w:val="00923EEF"/>
    <w:rsid w:val="009419F9"/>
    <w:rsid w:val="00961B09"/>
    <w:rsid w:val="00965334"/>
    <w:rsid w:val="0097093E"/>
    <w:rsid w:val="009C71FA"/>
    <w:rsid w:val="009C72E7"/>
    <w:rsid w:val="00A17423"/>
    <w:rsid w:val="00A17F13"/>
    <w:rsid w:val="00A20739"/>
    <w:rsid w:val="00A33C78"/>
    <w:rsid w:val="00A52491"/>
    <w:rsid w:val="00AB0ADB"/>
    <w:rsid w:val="00AB4D2C"/>
    <w:rsid w:val="00AD5E99"/>
    <w:rsid w:val="00B4254E"/>
    <w:rsid w:val="00B7242A"/>
    <w:rsid w:val="00B72CD3"/>
    <w:rsid w:val="00B72FFF"/>
    <w:rsid w:val="00B90325"/>
    <w:rsid w:val="00BA5C4C"/>
    <w:rsid w:val="00BB2C7C"/>
    <w:rsid w:val="00BD15D4"/>
    <w:rsid w:val="00BD2E7A"/>
    <w:rsid w:val="00BD7F72"/>
    <w:rsid w:val="00C04FB3"/>
    <w:rsid w:val="00C330EB"/>
    <w:rsid w:val="00C64924"/>
    <w:rsid w:val="00C754BE"/>
    <w:rsid w:val="00CB6357"/>
    <w:rsid w:val="00CC035F"/>
    <w:rsid w:val="00CC1B26"/>
    <w:rsid w:val="00D02ED4"/>
    <w:rsid w:val="00D22E31"/>
    <w:rsid w:val="00D423A2"/>
    <w:rsid w:val="00D42856"/>
    <w:rsid w:val="00D63AC2"/>
    <w:rsid w:val="00D7383B"/>
    <w:rsid w:val="00DA231B"/>
    <w:rsid w:val="00E16408"/>
    <w:rsid w:val="00E20894"/>
    <w:rsid w:val="00E245AB"/>
    <w:rsid w:val="00E50AFE"/>
    <w:rsid w:val="00E52F87"/>
    <w:rsid w:val="00E771DC"/>
    <w:rsid w:val="00E8772A"/>
    <w:rsid w:val="00E90F6B"/>
    <w:rsid w:val="00E92C27"/>
    <w:rsid w:val="00EA0E3D"/>
    <w:rsid w:val="00EE1AA8"/>
    <w:rsid w:val="00F052A1"/>
    <w:rsid w:val="00F10A81"/>
    <w:rsid w:val="00F17039"/>
    <w:rsid w:val="00F204AB"/>
    <w:rsid w:val="00F31EDC"/>
    <w:rsid w:val="00F44F28"/>
    <w:rsid w:val="00F5664F"/>
    <w:rsid w:val="00F613A2"/>
    <w:rsid w:val="00F76AFC"/>
    <w:rsid w:val="00F813DF"/>
    <w:rsid w:val="00FA56CE"/>
    <w:rsid w:val="00FB4295"/>
    <w:rsid w:val="00FB5DD1"/>
    <w:rsid w:val="00FC2B5D"/>
    <w:rsid w:val="00FE3A63"/>
    <w:rsid w:val="00FF1449"/>
    <w:rsid w:val="687B05C8"/>
    <w:rsid w:val="72E603A0"/>
    <w:rsid w:val="7996B8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Appelnotedebasde">
    <w:name w:val="Appel note de bas de..."/>
    <w:basedOn w:val="Normal"/>
    <w:link w:val="Refdenotaalpie"/>
    <w:uiPriority w:val="99"/>
    <w:rsid w:val="00312425"/>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312425"/>
    <w:rPr>
      <w:rFonts w:ascii="Geomanist Light" w:hAnsi="Geomanist Light"/>
      <w:lang w:val="es-ES"/>
    </w:rPr>
  </w:style>
  <w:style w:type="paragraph" w:styleId="Textoindependiente">
    <w:name w:val="Body Text"/>
    <w:basedOn w:val="Normal"/>
    <w:link w:val="TextoindependienteCar"/>
    <w:uiPriority w:val="1"/>
    <w:qFormat/>
    <w:rsid w:val="00312425"/>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312425"/>
    <w:rPr>
      <w:rFonts w:ascii="Arial" w:eastAsia="Arial" w:hAnsi="Arial" w:cs="Arial"/>
      <w:lang w:val="es-ES"/>
    </w:rPr>
  </w:style>
  <w:style w:type="paragraph" w:styleId="NormalWeb">
    <w:name w:val="Normal (Web)"/>
    <w:basedOn w:val="Normal"/>
    <w:link w:val="NormalWebCar"/>
    <w:uiPriority w:val="99"/>
    <w:unhideWhenUsed/>
    <w:rsid w:val="0031242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rsid w:val="00312425"/>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UserInfo>
        <DisplayName>UsrMemex02</DisplayName>
        <AccountId>180</AccountId>
        <AccountType/>
      </UserInfo>
      <UserInfo>
        <DisplayName>Hernán Camilo Lozano Ochoa</DisplayName>
        <AccountId>287</AccountId>
        <AccountType/>
      </UserInfo>
      <UserInfo>
        <DisplayName>Juan David Montoya Penagos</DisplayName>
        <AccountId>697</AccountId>
        <AccountType/>
      </UserInfo>
      <UserInfo>
        <DisplayName>Alejandro Sarmiento</DisplayName>
        <AccountId>119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37DC2-8877-4630-880E-D07E26A7E579}"/>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4563</Words>
  <Characters>25102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ANCP - CCE</cp:lastModifiedBy>
  <cp:revision>5</cp:revision>
  <cp:lastPrinted>2023-01-10T21:18:00Z</cp:lastPrinted>
  <dcterms:created xsi:type="dcterms:W3CDTF">2024-06-11T20:58:00Z</dcterms:created>
  <dcterms:modified xsi:type="dcterms:W3CDTF">2024-06-19T16:29:00Z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