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7BF6" w14:textId="77777777" w:rsidR="00AB7F16" w:rsidRPr="00AB7F16" w:rsidRDefault="00AB7F16" w:rsidP="00AB7F16">
      <w:pPr>
        <w:spacing w:after="0" w:line="240" w:lineRule="auto"/>
        <w:contextualSpacing/>
        <w:jc w:val="both"/>
        <w:rPr>
          <w:rFonts w:ascii="Century Gothic" w:eastAsia="Calibri" w:hAnsi="Century Gothic" w:cs="Arial"/>
          <w:b/>
          <w:kern w:val="2"/>
          <w:lang w:val="es-ES_tradnl" w:eastAsia="es-ES_tradnl"/>
          <w14:ligatures w14:val="standardContextual"/>
        </w:rPr>
      </w:pPr>
      <w:bookmarkStart w:id="0" w:name="_Hlk143780582"/>
      <w:r w:rsidRPr="00AB7F16">
        <w:rPr>
          <w:rFonts w:ascii="Century Gothic" w:eastAsia="Calibri" w:hAnsi="Century Gothic" w:cs="Arial"/>
          <w:b/>
          <w:kern w:val="2"/>
          <w:lang w:val="es-ES_tradnl" w:eastAsia="es-ES_tradnl"/>
          <w14:ligatures w14:val="standardContextual"/>
        </w:rPr>
        <w:t xml:space="preserve">DOCUMENTOS TIPO – Fundamento normativo – Ley 2022 de 2020 </w:t>
      </w:r>
    </w:p>
    <w:p w14:paraId="5A046262" w14:textId="77777777" w:rsidR="00AB7F16" w:rsidRPr="00AB7F16" w:rsidRDefault="00AB7F16" w:rsidP="00AB7F16">
      <w:pPr>
        <w:spacing w:after="0" w:line="240" w:lineRule="auto"/>
        <w:contextualSpacing/>
        <w:jc w:val="both"/>
        <w:rPr>
          <w:rFonts w:ascii="Century Gothic" w:eastAsia="Calibri" w:hAnsi="Century Gothic" w:cs="Arial"/>
          <w:kern w:val="2"/>
          <w:lang w:val="es-ES_tradnl" w:eastAsia="es-ES"/>
          <w14:ligatures w14:val="standardContextual"/>
        </w:rPr>
      </w:pPr>
    </w:p>
    <w:p w14:paraId="67562B4D" w14:textId="74416E29" w:rsidR="001D2C6D" w:rsidRDefault="001D2C6D" w:rsidP="001D2C6D">
      <w:pPr>
        <w:spacing w:after="0" w:line="240" w:lineRule="auto"/>
        <w:contextualSpacing/>
        <w:jc w:val="both"/>
        <w:rPr>
          <w:rFonts w:ascii="Century Gothic" w:eastAsia="Calibri" w:hAnsi="Century Gothic" w:cs="Arial"/>
          <w:kern w:val="2"/>
          <w:sz w:val="20"/>
          <w:szCs w:val="20"/>
          <w:lang w:val="es-ES" w:eastAsia="es-ES"/>
          <w14:ligatures w14:val="standardContextual"/>
        </w:rPr>
      </w:pPr>
      <w:r w:rsidRPr="001D2C6D">
        <w:rPr>
          <w:rFonts w:ascii="Century Gothic" w:eastAsia="Calibri" w:hAnsi="Century Gothic" w:cs="Arial"/>
          <w:kern w:val="2"/>
          <w:sz w:val="20"/>
          <w:szCs w:val="20"/>
          <w:lang w:val="es-ES" w:eastAsia="es-ES"/>
          <w14:ligatures w14:val="standardContextual"/>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 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7023DF4F" w14:textId="77777777" w:rsidR="001D2C6D" w:rsidRPr="001D2C6D" w:rsidRDefault="001D2C6D" w:rsidP="001D2C6D">
      <w:pPr>
        <w:spacing w:after="0" w:line="240" w:lineRule="auto"/>
        <w:contextualSpacing/>
        <w:jc w:val="both"/>
        <w:rPr>
          <w:rFonts w:ascii="Century Gothic" w:eastAsia="Calibri" w:hAnsi="Century Gothic" w:cs="Arial"/>
          <w:kern w:val="2"/>
          <w:sz w:val="20"/>
          <w:szCs w:val="20"/>
          <w:lang w:val="es-ES" w:eastAsia="es-ES"/>
          <w14:ligatures w14:val="standardContextual"/>
        </w:rPr>
      </w:pPr>
    </w:p>
    <w:p w14:paraId="1997A872" w14:textId="2B3ACFF0" w:rsidR="00AB7F16" w:rsidRPr="00AB7F16" w:rsidRDefault="001D2C6D" w:rsidP="001D2C6D">
      <w:pPr>
        <w:spacing w:after="0" w:line="240" w:lineRule="auto"/>
        <w:contextualSpacing/>
        <w:jc w:val="both"/>
        <w:rPr>
          <w:rFonts w:ascii="Century Gothic" w:eastAsia="Times New Roman" w:hAnsi="Century Gothic" w:cs="Arial"/>
          <w:kern w:val="2"/>
          <w:sz w:val="20"/>
          <w:szCs w:val="20"/>
          <w:lang w:val="es-ES" w:eastAsia="es-ES"/>
          <w14:ligatures w14:val="standardContextual"/>
        </w:rPr>
      </w:pPr>
      <w:r w:rsidRPr="001D2C6D">
        <w:rPr>
          <w:rFonts w:ascii="Century Gothic" w:eastAsia="Calibri" w:hAnsi="Century Gothic" w:cs="Arial"/>
          <w:kern w:val="2"/>
          <w:sz w:val="20"/>
          <w:szCs w:val="20"/>
          <w:lang w:val="es-ES" w:eastAsia="es-ES"/>
          <w14:ligatures w14:val="standardContextual"/>
        </w:rPr>
        <w:t xml:space="preserve">Por otra parte, debe tenerse en cuenta que la Ley 2022 de 2020 fue sancionada por el </w:t>
      </w:r>
      <w:proofErr w:type="gramStart"/>
      <w:r w:rsidRPr="001D2C6D">
        <w:rPr>
          <w:rFonts w:ascii="Century Gothic" w:eastAsia="Calibri" w:hAnsi="Century Gothic" w:cs="Arial"/>
          <w:kern w:val="2"/>
          <w:sz w:val="20"/>
          <w:szCs w:val="20"/>
          <w:lang w:val="es-ES" w:eastAsia="es-ES"/>
          <w14:ligatures w14:val="standardContextual"/>
        </w:rPr>
        <w:t>Presidente</w:t>
      </w:r>
      <w:proofErr w:type="gramEnd"/>
      <w:r w:rsidRPr="001D2C6D">
        <w:rPr>
          <w:rFonts w:ascii="Century Gothic" w:eastAsia="Calibri" w:hAnsi="Century Gothic" w:cs="Arial"/>
          <w:kern w:val="2"/>
          <w:sz w:val="20"/>
          <w:szCs w:val="20"/>
          <w:lang w:val="es-ES" w:eastAsia="es-ES"/>
          <w14:ligatures w14:val="standardContextual"/>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6A25EAE3" w14:textId="77777777" w:rsidR="00AB7F16" w:rsidRPr="00AB7F16" w:rsidRDefault="00AB7F16" w:rsidP="00AB7F16">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4BB0FFA0" w14:textId="77777777" w:rsidR="00AB7F16" w:rsidRPr="00AB7F16" w:rsidRDefault="00AB7F16" w:rsidP="00AB7F16">
      <w:pPr>
        <w:spacing w:after="0" w:line="240" w:lineRule="auto"/>
        <w:contextualSpacing/>
        <w:jc w:val="both"/>
        <w:rPr>
          <w:rFonts w:ascii="Century Gothic" w:eastAsia="Calibri" w:hAnsi="Century Gothic" w:cs="Arial"/>
          <w:b/>
          <w:kern w:val="2"/>
          <w:lang w:val="es-ES_tradnl" w:eastAsia="es-ES_tradnl"/>
          <w14:ligatures w14:val="standardContextual"/>
        </w:rPr>
      </w:pPr>
      <w:r w:rsidRPr="00AB7F16">
        <w:rPr>
          <w:rFonts w:ascii="Century Gothic" w:eastAsia="Calibri" w:hAnsi="Century Gothic" w:cs="Arial"/>
          <w:b/>
          <w:kern w:val="2"/>
          <w:lang w:val="es-ES_tradnl" w:eastAsia="es-ES_tradnl"/>
          <w14:ligatures w14:val="standardContextual"/>
        </w:rPr>
        <w:t xml:space="preserve">LEY 2195 DE 2022 – Artículo 56 – Ámbito de aplicación </w:t>
      </w:r>
    </w:p>
    <w:p w14:paraId="604B6BF3" w14:textId="77777777" w:rsidR="00AB7F16" w:rsidRPr="00AB7F16" w:rsidRDefault="00AB7F16" w:rsidP="00AB7F16">
      <w:pPr>
        <w:spacing w:after="0" w:line="240" w:lineRule="auto"/>
        <w:contextualSpacing/>
        <w:jc w:val="both"/>
        <w:rPr>
          <w:rFonts w:ascii="Century Gothic" w:eastAsia="Calibri" w:hAnsi="Century Gothic" w:cs="Arial"/>
          <w:bCs/>
          <w:kern w:val="2"/>
          <w:lang w:val="es-ES_tradnl" w:eastAsia="es-ES_tradnl"/>
          <w14:ligatures w14:val="standardContextual"/>
        </w:rPr>
      </w:pPr>
    </w:p>
    <w:p w14:paraId="4879266A" w14:textId="4FC3A86F" w:rsidR="00AB7F16" w:rsidRPr="00AB7F16" w:rsidRDefault="001035FF" w:rsidP="00AB7F16">
      <w:pPr>
        <w:spacing w:after="0" w:line="240" w:lineRule="auto"/>
        <w:contextualSpacing/>
        <w:jc w:val="both"/>
        <w:rPr>
          <w:rFonts w:ascii="Century Gothic" w:eastAsia="Calibri" w:hAnsi="Century Gothic" w:cs="Arial"/>
          <w:bCs/>
          <w:kern w:val="2"/>
          <w:sz w:val="20"/>
          <w:szCs w:val="20"/>
          <w:lang w:val="es-ES_tradnl" w:eastAsia="es-ES_tradnl"/>
          <w14:ligatures w14:val="standardContextual"/>
        </w:rPr>
      </w:pPr>
      <w:r w:rsidRPr="001035FF">
        <w:rPr>
          <w:rFonts w:ascii="Century Gothic" w:eastAsia="Calibri" w:hAnsi="Century Gothic" w:cs="Arial"/>
          <w:bCs/>
          <w:kern w:val="2"/>
          <w:sz w:val="20"/>
          <w:szCs w:val="20"/>
          <w:lang w:val="es-ES_tradnl" w:eastAsia="es-ES_tradnl"/>
          <w14:ligatures w14:val="standardContextua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6AC381E1" w14:textId="77777777" w:rsidR="00AB7F16" w:rsidRPr="00AB7F16" w:rsidRDefault="00AB7F16" w:rsidP="00AB7F16">
      <w:pPr>
        <w:spacing w:after="0" w:line="240" w:lineRule="auto"/>
        <w:contextualSpacing/>
        <w:jc w:val="both"/>
        <w:rPr>
          <w:rFonts w:ascii="Century Gothic" w:eastAsia="Calibri" w:hAnsi="Century Gothic" w:cs="Arial"/>
          <w:kern w:val="2"/>
          <w:sz w:val="20"/>
          <w:szCs w:val="20"/>
          <w:lang w:val="es-ES_tradnl" w:eastAsia="es-ES_tradnl"/>
          <w14:ligatures w14:val="standardContextual"/>
        </w:rPr>
      </w:pPr>
      <w:r w:rsidRPr="00AB7F16">
        <w:rPr>
          <w:rFonts w:ascii="Century Gothic" w:eastAsia="Times New Roman" w:hAnsi="Century Gothic" w:cs="Arial"/>
          <w:kern w:val="2"/>
          <w:sz w:val="20"/>
          <w:szCs w:val="20"/>
          <w:lang w:val="es-ES_tradnl" w:eastAsia="es-ES_tradnl"/>
          <w14:ligatures w14:val="standardContextual"/>
        </w:rPr>
        <w:t>[…]</w:t>
      </w:r>
    </w:p>
    <w:p w14:paraId="695A789E" w14:textId="1673CF14" w:rsidR="00AB7F16" w:rsidRPr="00AB7F16" w:rsidRDefault="00AB7F16" w:rsidP="00AB7F16">
      <w:pPr>
        <w:spacing w:after="0" w:line="240" w:lineRule="auto"/>
        <w:contextualSpacing/>
        <w:jc w:val="both"/>
        <w:rPr>
          <w:rFonts w:ascii="Century Gothic" w:eastAsia="Calibri" w:hAnsi="Century Gothic" w:cs="Arial"/>
          <w:kern w:val="2"/>
          <w:sz w:val="20"/>
          <w:szCs w:val="20"/>
          <w:lang w:val="es-ES_tradnl" w:eastAsia="es-ES_tradnl"/>
          <w14:ligatures w14:val="standardContextual"/>
        </w:rPr>
      </w:pPr>
      <w:r w:rsidRPr="00AB7F16">
        <w:rPr>
          <w:rFonts w:ascii="Century Gothic" w:eastAsia="Calibri" w:hAnsi="Century Gothic" w:cs="Arial"/>
          <w:kern w:val="2"/>
          <w:sz w:val="20"/>
          <w:szCs w:val="20"/>
          <w:lang w:val="es-ES_tradnl" w:eastAsia="es-ES_tradnl"/>
          <w14:ligatures w14:val="standardContextual"/>
        </w:rPr>
        <w:t xml:space="preserve">De acuerdo </w:t>
      </w:r>
      <w:r w:rsidR="001035FF" w:rsidRPr="001035FF">
        <w:rPr>
          <w:rFonts w:ascii="Century Gothic" w:eastAsia="Calibri" w:hAnsi="Century Gothic" w:cs="Arial"/>
          <w:kern w:val="2"/>
          <w:sz w:val="20"/>
          <w:szCs w:val="20"/>
          <w:lang w:val="es-ES_tradnl" w:eastAsia="es-ES_tradnl"/>
          <w14:ligatures w14:val="standardContextua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w:t>
      </w:r>
      <w:r w:rsidR="001035FF" w:rsidRPr="001035FF">
        <w:rPr>
          <w:rFonts w:ascii="Century Gothic" w:eastAsia="Calibri" w:hAnsi="Century Gothic" w:cs="Arial"/>
          <w:kern w:val="2"/>
          <w:sz w:val="20"/>
          <w:szCs w:val="20"/>
          <w:lang w:val="es-ES_tradnl" w:eastAsia="es-ES_tradnl"/>
          <w14:ligatures w14:val="standardContextual"/>
        </w:rPr>
        <w:lastRenderedPageBreak/>
        <w:t xml:space="preserve">interpretación por extensión de una ley consagrada en el artículo 31 ibidem, conforme al cual “Lo favorable u odioso de una disposición no se tomará en cuenta para ampliar o restringir su interpretación. La extensión que deba darse a toda ley se determinará por su genuino sentido, y según las reglas de interpretación precedentes”. </w:t>
      </w:r>
      <w:r w:rsidR="001035FF">
        <w:rPr>
          <w:rFonts w:ascii="Century Gothic" w:eastAsia="Calibri" w:hAnsi="Century Gothic" w:cs="Arial"/>
          <w:kern w:val="2"/>
          <w:sz w:val="20"/>
          <w:szCs w:val="20"/>
          <w:lang w:val="es-ES_tradnl" w:eastAsia="es-ES_tradnl"/>
          <w14:ligatures w14:val="standardContextual"/>
        </w:rPr>
        <w:t xml:space="preserve"> […]</w:t>
      </w:r>
    </w:p>
    <w:p w14:paraId="4ED2241B" w14:textId="77777777" w:rsidR="00AB7F16" w:rsidRPr="00AB7F16" w:rsidRDefault="00AB7F16" w:rsidP="00AB7F16">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6EC0106C" w14:textId="77777777" w:rsidR="00AB7F16" w:rsidRPr="00AB7F16" w:rsidRDefault="00AB7F16" w:rsidP="00AB7F16">
      <w:pPr>
        <w:spacing w:after="0" w:line="240" w:lineRule="auto"/>
        <w:contextualSpacing/>
        <w:jc w:val="both"/>
        <w:rPr>
          <w:rFonts w:ascii="Century Gothic" w:eastAsia="Calibri" w:hAnsi="Century Gothic" w:cs="Arial"/>
          <w:b/>
          <w:kern w:val="2"/>
          <w:lang w:val="es-ES_tradnl" w:eastAsia="es-ES_tradnl"/>
          <w14:ligatures w14:val="standardContextual"/>
        </w:rPr>
      </w:pPr>
      <w:r w:rsidRPr="00AB7F16">
        <w:rPr>
          <w:rFonts w:ascii="Century Gothic" w:eastAsia="Calibri" w:hAnsi="Century Gothic" w:cs="Arial"/>
          <w:b/>
          <w:kern w:val="2"/>
          <w:lang w:val="es-ES_tradnl" w:eastAsia="es-ES_tradnl"/>
          <w14:ligatures w14:val="standardContextual"/>
        </w:rPr>
        <w:t xml:space="preserve">LEY 2195 DE 2022 – Artículo 56 – Finalidad </w:t>
      </w:r>
    </w:p>
    <w:p w14:paraId="5942FFA9" w14:textId="77777777" w:rsidR="00AB7F16" w:rsidRPr="00AB7F16" w:rsidRDefault="00AB7F16" w:rsidP="00AB7F16">
      <w:pPr>
        <w:spacing w:after="0" w:line="240" w:lineRule="auto"/>
        <w:contextualSpacing/>
        <w:jc w:val="both"/>
        <w:rPr>
          <w:rFonts w:ascii="Century Gothic" w:eastAsia="Times New Roman" w:hAnsi="Century Gothic" w:cs="Arial"/>
          <w:kern w:val="2"/>
          <w:lang w:val="es-ES_tradnl" w:eastAsia="es-ES_tradnl"/>
          <w14:ligatures w14:val="standardContextual"/>
        </w:rPr>
      </w:pPr>
    </w:p>
    <w:p w14:paraId="649300E7" w14:textId="099472DE" w:rsidR="001035FF" w:rsidRPr="001035FF" w:rsidRDefault="00AB7F16" w:rsidP="001035FF">
      <w:pPr>
        <w:tabs>
          <w:tab w:val="left" w:pos="0"/>
        </w:tabs>
        <w:spacing w:after="0" w:line="240" w:lineRule="auto"/>
        <w:jc w:val="both"/>
        <w:rPr>
          <w:rFonts w:ascii="Century Gothic" w:eastAsia="Times New Roman" w:hAnsi="Century Gothic" w:cs="Arial"/>
          <w:kern w:val="2"/>
          <w:sz w:val="20"/>
          <w:szCs w:val="20"/>
          <w:lang w:val="es-ES_tradnl" w:eastAsia="es-ES_tradnl"/>
          <w14:ligatures w14:val="standardContextual"/>
        </w:rPr>
      </w:pPr>
      <w:r w:rsidRPr="00AB7F16">
        <w:rPr>
          <w:rFonts w:ascii="Century Gothic" w:eastAsia="Times New Roman" w:hAnsi="Century Gothic" w:cs="Arial"/>
          <w:kern w:val="2"/>
          <w:sz w:val="20"/>
          <w:szCs w:val="20"/>
          <w:lang w:val="es-ES_tradnl" w:eastAsia="es-ES_tradnl"/>
          <w14:ligatures w14:val="standardContextual"/>
        </w:rPr>
        <w:t xml:space="preserve">[…] </w:t>
      </w:r>
      <w:r w:rsidR="001035FF" w:rsidRPr="001035FF">
        <w:rPr>
          <w:rFonts w:ascii="Century Gothic" w:eastAsia="Times New Roman" w:hAnsi="Century Gothic" w:cs="Arial"/>
          <w:kern w:val="2"/>
          <w:sz w:val="20"/>
          <w:szCs w:val="20"/>
          <w:lang w:val="es-ES_tradnl" w:eastAsia="es-ES_tradnl"/>
          <w14:ligatures w14:val="standardContextual"/>
        </w:rPr>
        <w:t>la adición del articulado en mención tiene como fin “Extender la obligatoriedad de la aplicación del régimen de contratación estatal y pliegos tipo, cuando se celebran convenios interadministrativos con una entidad que tiene régimen de contratación privada con el fin de evitar la contratación directa con recursos del estado y proveer de mayores garantías al proceso” (Énfasis fuera de texto). En ese orden de ideas, es claro que la incorporación de este articulado por parte del legislador tiene como fin principal que las entidades sometidas al EGCAP, obligadas a aplicar documentos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5EEB7280" w14:textId="77777777" w:rsidR="001035FF" w:rsidRDefault="001035FF" w:rsidP="001035FF">
      <w:pPr>
        <w:tabs>
          <w:tab w:val="left" w:pos="0"/>
        </w:tabs>
        <w:spacing w:after="0" w:line="240" w:lineRule="auto"/>
        <w:jc w:val="both"/>
        <w:rPr>
          <w:rFonts w:ascii="Century Gothic" w:eastAsia="Times New Roman" w:hAnsi="Century Gothic" w:cs="Arial"/>
          <w:kern w:val="2"/>
          <w:sz w:val="20"/>
          <w:szCs w:val="20"/>
          <w:lang w:val="es-ES_tradnl" w:eastAsia="es-ES_tradnl"/>
          <w14:ligatures w14:val="standardContextual"/>
        </w:rPr>
      </w:pPr>
    </w:p>
    <w:p w14:paraId="1BCD7D54" w14:textId="08B267C4" w:rsidR="00AB7F16" w:rsidRPr="00AB7F16" w:rsidRDefault="001035FF" w:rsidP="00AB7F16">
      <w:pPr>
        <w:tabs>
          <w:tab w:val="left" w:pos="0"/>
        </w:tabs>
        <w:spacing w:after="0" w:line="240" w:lineRule="auto"/>
        <w:jc w:val="both"/>
        <w:rPr>
          <w:rFonts w:ascii="Century Gothic" w:eastAsia="Calibri" w:hAnsi="Century Gothic" w:cs="Arial"/>
          <w:bCs/>
          <w:sz w:val="20"/>
          <w:szCs w:val="20"/>
          <w:lang w:val="es-ES_tradnl" w:eastAsia="es-ES_tradnl"/>
        </w:rPr>
      </w:pPr>
      <w:r w:rsidRPr="001035FF">
        <w:rPr>
          <w:rFonts w:ascii="Century Gothic" w:eastAsia="Times New Roman" w:hAnsi="Century Gothic" w:cs="Arial"/>
          <w:kern w:val="2"/>
          <w:sz w:val="20"/>
          <w:szCs w:val="20"/>
          <w:lang w:val="es-ES_tradnl" w:eastAsia="es-ES_tradnl"/>
          <w14:ligatures w14:val="standardContextual"/>
        </w:rPr>
        <w:t>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r w:rsidR="00AB7F16" w:rsidRPr="00AB7F16">
        <w:rPr>
          <w:rFonts w:ascii="Century Gothic" w:eastAsia="Calibri" w:hAnsi="Century Gothic" w:cs="Arial"/>
          <w:bCs/>
          <w:sz w:val="20"/>
          <w:szCs w:val="20"/>
          <w:lang w:val="es-ES_tradnl" w:eastAsia="es-ES_tradnl"/>
        </w:rPr>
        <w:t xml:space="preserve"> […]</w:t>
      </w:r>
    </w:p>
    <w:p w14:paraId="354DCF77" w14:textId="77777777" w:rsidR="00AB7F16" w:rsidRPr="00AB7F16" w:rsidRDefault="00AB7F16" w:rsidP="00AB7F16">
      <w:pPr>
        <w:spacing w:after="0" w:line="240" w:lineRule="auto"/>
        <w:contextualSpacing/>
        <w:jc w:val="both"/>
        <w:rPr>
          <w:rFonts w:ascii="Century Gothic" w:eastAsia="Calibri" w:hAnsi="Century Gothic" w:cs="Arial"/>
          <w:b/>
          <w:kern w:val="2"/>
          <w:lang w:val="es-ES_tradnl" w:eastAsia="es-ES_tradnl"/>
          <w14:ligatures w14:val="standardContextual"/>
        </w:rPr>
      </w:pPr>
    </w:p>
    <w:p w14:paraId="051CDACE" w14:textId="77777777" w:rsidR="00AB7F16" w:rsidRPr="00AB7F16" w:rsidRDefault="00AB7F16" w:rsidP="00AB7F16">
      <w:pPr>
        <w:spacing w:after="0" w:line="240" w:lineRule="auto"/>
        <w:contextualSpacing/>
        <w:jc w:val="both"/>
        <w:rPr>
          <w:rFonts w:ascii="Century Gothic" w:eastAsia="Calibri" w:hAnsi="Century Gothic" w:cs="Arial"/>
          <w:b/>
          <w:kern w:val="2"/>
          <w:sz w:val="24"/>
          <w:szCs w:val="24"/>
          <w:lang w:val="es-ES_tradnl" w:eastAsia="es-ES_tradnl"/>
          <w14:ligatures w14:val="standardContextual"/>
        </w:rPr>
      </w:pPr>
      <w:r w:rsidRPr="00AB7F16">
        <w:rPr>
          <w:rFonts w:ascii="Century Gothic" w:eastAsia="Calibri" w:hAnsi="Century Gothic" w:cs="Arial"/>
          <w:b/>
          <w:kern w:val="2"/>
          <w:lang w:val="es-ES_tradnl" w:eastAsia="es-ES_tradnl"/>
          <w14:ligatures w14:val="standardContextual"/>
        </w:rPr>
        <w:t>LEY 2195 DE 2022 – Artículo 56 – Incisos 1 y 2 – Interpretación conjunta – Aplicación de documentos tipo</w:t>
      </w:r>
    </w:p>
    <w:p w14:paraId="3F02CAC2" w14:textId="77777777" w:rsidR="00AB7F16" w:rsidRPr="00AB7F16" w:rsidRDefault="00AB7F16" w:rsidP="00AB7F16">
      <w:pPr>
        <w:tabs>
          <w:tab w:val="left" w:pos="0"/>
        </w:tabs>
        <w:spacing w:after="0" w:line="240" w:lineRule="auto"/>
        <w:jc w:val="both"/>
        <w:rPr>
          <w:rFonts w:ascii="Century Gothic" w:eastAsia="Calibri" w:hAnsi="Century Gothic" w:cs="Arial"/>
          <w:bCs/>
          <w:kern w:val="2"/>
          <w:lang w:val="es-ES_tradnl" w:eastAsia="es-ES_tradnl"/>
          <w14:ligatures w14:val="standardContextual"/>
        </w:rPr>
      </w:pPr>
    </w:p>
    <w:p w14:paraId="753C055F" w14:textId="30FE4288" w:rsidR="001035FF" w:rsidRDefault="001035FF" w:rsidP="001035FF">
      <w:pPr>
        <w:tabs>
          <w:tab w:val="left" w:pos="0"/>
        </w:tabs>
        <w:spacing w:after="0" w:line="240" w:lineRule="auto"/>
        <w:jc w:val="both"/>
        <w:rPr>
          <w:rFonts w:ascii="Century Gothic" w:eastAsia="Calibri" w:hAnsi="Century Gothic" w:cs="Arial"/>
          <w:bCs/>
          <w:kern w:val="2"/>
          <w:sz w:val="20"/>
          <w:szCs w:val="20"/>
          <w:lang w:val="es-ES_tradnl" w:eastAsia="es-ES_tradnl"/>
          <w14:ligatures w14:val="standardContextual"/>
        </w:rPr>
      </w:pPr>
      <w:r w:rsidRPr="001035FF">
        <w:rPr>
          <w:rFonts w:ascii="Century Gothic" w:eastAsia="Calibri" w:hAnsi="Century Gothic" w:cs="Arial"/>
          <w:bCs/>
          <w:kern w:val="2"/>
          <w:sz w:val="20"/>
          <w:szCs w:val="20"/>
          <w:lang w:val="es-ES_tradnl" w:eastAsia="es-ES_tradnl"/>
          <w14:ligatures w14:val="standardContextua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33037922" w14:textId="77777777" w:rsidR="001035FF" w:rsidRPr="001035FF" w:rsidRDefault="001035FF" w:rsidP="001035FF">
      <w:pPr>
        <w:tabs>
          <w:tab w:val="left" w:pos="0"/>
        </w:tabs>
        <w:spacing w:after="0" w:line="240" w:lineRule="auto"/>
        <w:jc w:val="both"/>
        <w:rPr>
          <w:rFonts w:ascii="Century Gothic" w:eastAsia="Calibri" w:hAnsi="Century Gothic" w:cs="Arial"/>
          <w:bCs/>
          <w:kern w:val="2"/>
          <w:sz w:val="20"/>
          <w:szCs w:val="20"/>
          <w:lang w:val="es-ES_tradnl" w:eastAsia="es-ES_tradnl"/>
          <w14:ligatures w14:val="standardContextual"/>
        </w:rPr>
      </w:pPr>
    </w:p>
    <w:p w14:paraId="642C8299" w14:textId="254B2C7B" w:rsidR="00AB7F16" w:rsidRPr="00AB7F16" w:rsidRDefault="001035FF" w:rsidP="001035FF">
      <w:pPr>
        <w:tabs>
          <w:tab w:val="left" w:pos="0"/>
        </w:tabs>
        <w:spacing w:after="0" w:line="240" w:lineRule="auto"/>
        <w:jc w:val="both"/>
        <w:rPr>
          <w:rFonts w:ascii="Century Gothic" w:eastAsia="Calibri" w:hAnsi="Century Gothic" w:cs="Arial"/>
          <w:sz w:val="20"/>
          <w:szCs w:val="20"/>
          <w:lang w:val="es-ES_tradnl" w:eastAsia="es-ES_tradnl"/>
        </w:rPr>
      </w:pPr>
      <w:r w:rsidRPr="001035FF">
        <w:rPr>
          <w:rFonts w:ascii="Century Gothic" w:eastAsia="Calibri" w:hAnsi="Century Gothic" w:cs="Arial"/>
          <w:bCs/>
          <w:kern w:val="2"/>
          <w:sz w:val="20"/>
          <w:szCs w:val="20"/>
          <w:lang w:val="es-ES_tradnl" w:eastAsia="es-ES_tradnl"/>
          <w14:ligatures w14:val="standardContextua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w:t>
      </w:r>
      <w:r w:rsidRPr="001035FF">
        <w:rPr>
          <w:rFonts w:ascii="Century Gothic" w:eastAsia="Calibri" w:hAnsi="Century Gothic" w:cs="Arial"/>
          <w:bCs/>
          <w:kern w:val="2"/>
          <w:sz w:val="20"/>
          <w:szCs w:val="20"/>
          <w:lang w:val="es-ES_tradnl" w:eastAsia="es-ES_tradnl"/>
          <w14:ligatures w14:val="standardContextual"/>
        </w:rPr>
        <w:lastRenderedPageBreak/>
        <w:t>Civil, según el cual “Los pasajes oscuros de una ley pueden ser ilustrados por medio de otras leyes, particularmente si versan sobre el mismo asunto”, y de interpretación por extensión de una ley consagrada en el artículo 31 ibidem, conforme al cual “Lo favorable u odioso de una disposición no se tomará en cuenta para ampliar o restringir su interpretación. La extensión que deba darse a toda ley se determinará por su genuino sentido, y según las reglas de interpretación precedentes”. Desde esta perspectiva, no pudiera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 la obligatoriedad de utilizar documentos pliego tipo se extiende en los convenios o contratos interadministrativos o de cualquier otra índole, ya las diferentes modalidades de selección de los Procesos de Contratación adelantados por entidades sometidas al EGCAP.</w:t>
      </w:r>
    </w:p>
    <w:p w14:paraId="1A9B1DE5" w14:textId="77777777" w:rsidR="00AB7F16" w:rsidRPr="00AB7F16" w:rsidRDefault="00AB7F16" w:rsidP="00AB7F16">
      <w:pPr>
        <w:tabs>
          <w:tab w:val="left" w:pos="0"/>
        </w:tabs>
        <w:spacing w:after="0" w:line="240" w:lineRule="auto"/>
        <w:jc w:val="both"/>
        <w:rPr>
          <w:rFonts w:ascii="Century Gothic" w:eastAsia="Times New Roman" w:hAnsi="Century Gothic" w:cs="Arial"/>
          <w:kern w:val="2"/>
          <w:sz w:val="20"/>
          <w:szCs w:val="20"/>
          <w:lang w:val="es-ES_tradnl" w:eastAsia="es-ES_tradnl"/>
          <w14:ligatures w14:val="standardContextual"/>
        </w:rPr>
      </w:pPr>
      <w:r w:rsidRPr="00AB7F16">
        <w:rPr>
          <w:rFonts w:ascii="Century Gothic" w:eastAsia="Times New Roman" w:hAnsi="Century Gothic" w:cs="Arial"/>
          <w:kern w:val="2"/>
          <w:sz w:val="20"/>
          <w:szCs w:val="20"/>
          <w:lang w:val="es-ES_tradnl" w:eastAsia="es-ES_tradnl"/>
          <w14:ligatures w14:val="standardContextual"/>
        </w:rPr>
        <w:t>[…]</w:t>
      </w:r>
    </w:p>
    <w:p w14:paraId="68265F79" w14:textId="2525C906" w:rsidR="001035FF" w:rsidRPr="001035FF" w:rsidRDefault="001035FF" w:rsidP="001035FF">
      <w:pPr>
        <w:tabs>
          <w:tab w:val="left" w:pos="0"/>
        </w:tabs>
        <w:spacing w:after="0" w:line="240" w:lineRule="auto"/>
        <w:jc w:val="both"/>
        <w:rPr>
          <w:rFonts w:ascii="Century Gothic" w:eastAsia="Calibri" w:hAnsi="Century Gothic" w:cs="Arial"/>
          <w:bCs/>
          <w:kern w:val="2"/>
          <w:sz w:val="20"/>
          <w:szCs w:val="20"/>
          <w:lang w:val="es-ES_tradnl" w:eastAsia="es-ES_tradnl"/>
          <w14:ligatures w14:val="standardContextual"/>
        </w:rPr>
      </w:pPr>
      <w:r w:rsidRPr="001035FF">
        <w:rPr>
          <w:rFonts w:ascii="Century Gothic" w:eastAsia="Calibri" w:hAnsi="Century Gothic" w:cs="Arial"/>
          <w:bCs/>
          <w:kern w:val="2"/>
          <w:sz w:val="20"/>
          <w:szCs w:val="20"/>
          <w:lang w:val="es-ES_tradnl" w:eastAsia="es-ES_tradnl"/>
          <w14:ligatures w14:val="standardContextual"/>
        </w:rPr>
        <w:t xml:space="preserve">El segundo inciso de la norma bajo estudio usa la expresión “los procedimientos de selección y contratos que realicen en desarrollo de los anteriores negocios jurídicos”.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desarrollar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47CA473D" w14:textId="77777777" w:rsidR="001035FF" w:rsidRDefault="001035FF" w:rsidP="001035FF">
      <w:pPr>
        <w:tabs>
          <w:tab w:val="left" w:pos="0"/>
        </w:tabs>
        <w:spacing w:after="0" w:line="240" w:lineRule="auto"/>
        <w:jc w:val="both"/>
        <w:rPr>
          <w:rFonts w:ascii="Century Gothic" w:eastAsia="Calibri" w:hAnsi="Century Gothic" w:cs="Arial"/>
          <w:bCs/>
          <w:kern w:val="2"/>
          <w:sz w:val="20"/>
          <w:szCs w:val="20"/>
          <w:lang w:val="es-ES_tradnl" w:eastAsia="es-ES_tradnl"/>
          <w14:ligatures w14:val="standardContextual"/>
        </w:rPr>
      </w:pPr>
    </w:p>
    <w:p w14:paraId="159BAFC3" w14:textId="0090A302" w:rsidR="00AB7F16" w:rsidRPr="00AB7F16" w:rsidRDefault="001035FF" w:rsidP="001035FF">
      <w:pPr>
        <w:tabs>
          <w:tab w:val="left" w:pos="0"/>
        </w:tabs>
        <w:spacing w:after="0" w:line="240" w:lineRule="auto"/>
        <w:jc w:val="both"/>
        <w:rPr>
          <w:rFonts w:ascii="Century Gothic" w:eastAsia="Calibri" w:hAnsi="Century Gothic" w:cs="Arial"/>
          <w:kern w:val="2"/>
          <w:sz w:val="20"/>
          <w:szCs w:val="20"/>
          <w:lang w:val="es-ES" w:eastAsia="es-ES"/>
          <w14:ligatures w14:val="standardContextual"/>
        </w:rPr>
      </w:pPr>
      <w:r w:rsidRPr="001035FF">
        <w:rPr>
          <w:rFonts w:ascii="Century Gothic" w:eastAsia="Calibri" w:hAnsi="Century Gothic" w:cs="Arial"/>
          <w:bCs/>
          <w:kern w:val="2"/>
          <w:sz w:val="20"/>
          <w:szCs w:val="20"/>
          <w:lang w:val="es-ES_tradnl" w:eastAsia="es-ES_tradnl"/>
          <w14:ligatures w14:val="standardContextual"/>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w:t>
      </w:r>
    </w:p>
    <w:p w14:paraId="10B29C17" w14:textId="77777777" w:rsidR="00AB7F16" w:rsidRPr="00AB7F16" w:rsidRDefault="00AB7F16" w:rsidP="00AB7F16">
      <w:pPr>
        <w:tabs>
          <w:tab w:val="left" w:pos="0"/>
        </w:tabs>
        <w:spacing w:after="0" w:line="240" w:lineRule="auto"/>
        <w:jc w:val="both"/>
        <w:rPr>
          <w:rFonts w:ascii="Century Gothic" w:eastAsia="Calibri" w:hAnsi="Century Gothic" w:cs="Arial"/>
        </w:rPr>
      </w:pPr>
    </w:p>
    <w:p w14:paraId="2F1AE670" w14:textId="77777777" w:rsidR="00AB7F16" w:rsidRPr="00AB7F16" w:rsidRDefault="00AB7F16" w:rsidP="00AB7F16">
      <w:pPr>
        <w:spacing w:after="0" w:line="240" w:lineRule="auto"/>
        <w:contextualSpacing/>
        <w:jc w:val="both"/>
        <w:rPr>
          <w:rFonts w:ascii="Century Gothic" w:eastAsia="Aptos" w:hAnsi="Century Gothic" w:cs="Arial"/>
          <w:b/>
          <w:bCs/>
          <w:iCs/>
          <w:kern w:val="2"/>
          <w:lang w:val="es-ES_tradnl"/>
          <w14:ligatures w14:val="standardContextual"/>
        </w:rPr>
      </w:pPr>
      <w:r w:rsidRPr="00AB7F16">
        <w:rPr>
          <w:rFonts w:ascii="Century Gothic" w:eastAsia="Aptos" w:hAnsi="Century Gothic" w:cs="Arial"/>
          <w:b/>
          <w:bCs/>
          <w:iCs/>
          <w:kern w:val="2"/>
          <w:lang w:val="es-ES_tradnl"/>
          <w14:ligatures w14:val="standardContextual"/>
        </w:rPr>
        <w:t xml:space="preserve">DEBER DE PUBLICIDAD </w:t>
      </w:r>
      <w:r w:rsidRPr="00AB7F16">
        <w:rPr>
          <w:rFonts w:ascii="Century Gothic" w:eastAsia="Calibri" w:hAnsi="Century Gothic" w:cs="Arial"/>
          <w:b/>
          <w:kern w:val="2"/>
          <w:lang w:val="es-ES_tradnl"/>
          <w14:ligatures w14:val="standardContextual"/>
        </w:rPr>
        <w:t>–</w:t>
      </w:r>
      <w:r w:rsidRPr="00AB7F16">
        <w:rPr>
          <w:rFonts w:ascii="Century Gothic" w:eastAsia="Aptos" w:hAnsi="Century Gothic" w:cs="Arial"/>
          <w:b/>
          <w:bCs/>
          <w:iCs/>
          <w:kern w:val="2"/>
          <w:lang w:val="es-ES_tradnl"/>
          <w14:ligatures w14:val="standardContextual"/>
        </w:rPr>
        <w:t xml:space="preserve"> Entidades estatales exceptuadas del Estatuto General de Contratación de la Administración Pública</w:t>
      </w:r>
    </w:p>
    <w:p w14:paraId="3607267D" w14:textId="77777777" w:rsidR="00AB7F16" w:rsidRPr="00AB7F16" w:rsidRDefault="00AB7F16" w:rsidP="00AB7F16">
      <w:pPr>
        <w:spacing w:after="0" w:line="240" w:lineRule="auto"/>
        <w:contextualSpacing/>
        <w:jc w:val="both"/>
        <w:rPr>
          <w:rFonts w:ascii="Century Gothic" w:eastAsia="Aptos" w:hAnsi="Century Gothic" w:cs="Arial"/>
          <w:b/>
          <w:bCs/>
          <w:iCs/>
          <w:kern w:val="2"/>
          <w:lang w:val="es-ES_tradnl"/>
          <w14:ligatures w14:val="standardContextual"/>
        </w:rPr>
      </w:pPr>
    </w:p>
    <w:p w14:paraId="40077C45" w14:textId="43399D2A" w:rsidR="001645B7" w:rsidRDefault="00AB7F16" w:rsidP="001645B7">
      <w:pPr>
        <w:spacing w:after="0" w:line="240" w:lineRule="auto"/>
        <w:jc w:val="both"/>
        <w:rPr>
          <w:rFonts w:ascii="Century Gothic" w:eastAsia="Calibri" w:hAnsi="Century Gothic" w:cs="Arial"/>
          <w:bCs/>
          <w:sz w:val="20"/>
          <w:szCs w:val="20"/>
          <w:lang w:val="es-MX"/>
        </w:rPr>
      </w:pPr>
      <w:r w:rsidRPr="00AB7F16">
        <w:rPr>
          <w:rFonts w:ascii="Century Gothic" w:eastAsia="Calibri" w:hAnsi="Century Gothic" w:cs="Arial"/>
          <w:bCs/>
          <w:sz w:val="20"/>
          <w:szCs w:val="20"/>
          <w:lang w:val="es-MX"/>
        </w:rPr>
        <w:lastRenderedPageBreak/>
        <w:t xml:space="preserve">[…] </w:t>
      </w:r>
      <w:r w:rsidR="001645B7" w:rsidRPr="001645B7">
        <w:rPr>
          <w:rFonts w:ascii="Century Gothic" w:eastAsia="Calibri" w:hAnsi="Century Gothic" w:cs="Arial"/>
          <w:bCs/>
          <w:sz w:val="20"/>
          <w:szCs w:val="20"/>
          <w:lang w:val="es-MX"/>
        </w:rPr>
        <w:t>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 . El principio de transparencia en la información alude al deber de los sujetos de proporcionar y facilitar el acceso a la misma en los términos más amplios posibles, a través de los medios y procedimientos legales . Y el principio de buena fe hace referencia al deber de todo sujeto obligado de cumplir con las obligaciones derivadas del derecho de acceso a la información pública con motivación honesta, leal y desprovista de cualquier intención dolosa o culposa.</w:t>
      </w:r>
    </w:p>
    <w:p w14:paraId="3DA53B60" w14:textId="77777777" w:rsidR="001645B7" w:rsidRPr="001645B7" w:rsidRDefault="001645B7" w:rsidP="001645B7">
      <w:pPr>
        <w:spacing w:after="0" w:line="240" w:lineRule="auto"/>
        <w:jc w:val="both"/>
        <w:rPr>
          <w:rFonts w:ascii="Century Gothic" w:eastAsia="Calibri" w:hAnsi="Century Gothic" w:cs="Arial"/>
          <w:bCs/>
          <w:sz w:val="20"/>
          <w:szCs w:val="20"/>
          <w:lang w:val="es-MX"/>
        </w:rPr>
      </w:pPr>
    </w:p>
    <w:p w14:paraId="1B8DAB12" w14:textId="7A372B25" w:rsidR="00AB7F16" w:rsidRPr="00AB7F16" w:rsidRDefault="001645B7" w:rsidP="001645B7">
      <w:pPr>
        <w:spacing w:after="0" w:line="240" w:lineRule="auto"/>
        <w:jc w:val="both"/>
        <w:rPr>
          <w:rFonts w:ascii="Century Gothic" w:eastAsia="Times New Roman" w:hAnsi="Century Gothic" w:cs="Arial"/>
          <w:sz w:val="20"/>
          <w:szCs w:val="20"/>
          <w:lang w:eastAsia="es-CO"/>
        </w:rPr>
      </w:pPr>
      <w:r w:rsidRPr="001645B7">
        <w:rPr>
          <w:rFonts w:ascii="Century Gothic" w:eastAsia="Calibri" w:hAnsi="Century Gothic" w:cs="Arial"/>
          <w:bCs/>
          <w:sz w:val="20"/>
          <w:szCs w:val="20"/>
          <w:lang w:val="es-MX"/>
        </w:rPr>
        <w:t>La citada Ley establece, en el literal e) del artículo 9, que los sujetos obligados deben publicar la información relativa a su contratación . El artículo 5 ibidem, al describir qué se entiende por sujetos obligados, consagra una lista cuyo propósito es incluir a cualquier entidad, órgano, organismo, o persona natural que desempeñe funciones públicas o administre recursos públicos. Igualmente, establece que son sujetos obligados las empresas públicas, las empresas del Estado y las sociedades en las que el Estado tenga participación, sin que importe su monto .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p>
    <w:p w14:paraId="24E88278" w14:textId="77777777" w:rsidR="00AB7F16" w:rsidRPr="00AB7F16" w:rsidRDefault="00AB7F16" w:rsidP="00AB7F16">
      <w:pPr>
        <w:spacing w:after="0" w:line="240" w:lineRule="auto"/>
        <w:contextualSpacing/>
        <w:jc w:val="both"/>
        <w:rPr>
          <w:rFonts w:ascii="Century Gothic" w:eastAsia="Times New Roman" w:hAnsi="Century Gothic" w:cs="Arial"/>
          <w:kern w:val="2"/>
          <w:lang w:val="es-ES_tradnl" w:eastAsia="es-CO"/>
          <w14:ligatures w14:val="standardContextual"/>
        </w:rPr>
      </w:pPr>
    </w:p>
    <w:p w14:paraId="06E20087" w14:textId="77777777" w:rsidR="00AB7F16" w:rsidRPr="00AB7F16" w:rsidRDefault="00AB7F16" w:rsidP="00AB7F16">
      <w:pPr>
        <w:spacing w:after="0" w:line="240" w:lineRule="auto"/>
        <w:contextualSpacing/>
        <w:jc w:val="both"/>
        <w:rPr>
          <w:rFonts w:ascii="Century Gothic" w:eastAsia="Aptos" w:hAnsi="Century Gothic" w:cs="Arial"/>
          <w:b/>
          <w:bCs/>
          <w:iCs/>
          <w:kern w:val="2"/>
          <w:lang w:val="es-ES_tradnl"/>
          <w14:ligatures w14:val="standardContextual"/>
        </w:rPr>
      </w:pPr>
      <w:r w:rsidRPr="00AB7F16">
        <w:rPr>
          <w:rFonts w:ascii="Century Gothic" w:eastAsia="Aptos" w:hAnsi="Century Gothic" w:cs="Arial"/>
          <w:b/>
          <w:bCs/>
          <w:iCs/>
          <w:kern w:val="2"/>
          <w:lang w:val="es-ES_tradnl"/>
          <w14:ligatures w14:val="standardContextual"/>
        </w:rPr>
        <w:t xml:space="preserve">SECOP II </w:t>
      </w:r>
      <w:r w:rsidRPr="00AB7F16">
        <w:rPr>
          <w:rFonts w:ascii="Century Gothic" w:eastAsia="Calibri" w:hAnsi="Century Gothic" w:cs="Arial"/>
          <w:b/>
          <w:kern w:val="2"/>
          <w:lang w:val="es-ES_tradnl"/>
          <w14:ligatures w14:val="standardContextual"/>
        </w:rPr>
        <w:t>–</w:t>
      </w:r>
      <w:r w:rsidRPr="00AB7F16">
        <w:rPr>
          <w:rFonts w:ascii="Century Gothic" w:eastAsia="Aptos" w:hAnsi="Century Gothic" w:cs="Arial"/>
          <w:b/>
          <w:bCs/>
          <w:iCs/>
          <w:kern w:val="2"/>
          <w:lang w:val="es-ES_tradnl"/>
          <w14:ligatures w14:val="standardContextual"/>
        </w:rPr>
        <w:t xml:space="preserve"> Deber de publicidad </w:t>
      </w:r>
      <w:r w:rsidRPr="00AB7F16">
        <w:rPr>
          <w:rFonts w:ascii="Century Gothic" w:eastAsia="Calibri" w:hAnsi="Century Gothic" w:cs="Arial"/>
          <w:b/>
          <w:kern w:val="2"/>
          <w:lang w:val="es-ES_tradnl"/>
          <w14:ligatures w14:val="standardContextual"/>
        </w:rPr>
        <w:t>–</w:t>
      </w:r>
      <w:r w:rsidRPr="00AB7F16">
        <w:rPr>
          <w:rFonts w:ascii="Century Gothic" w:eastAsia="Aptos" w:hAnsi="Century Gothic" w:cs="Arial"/>
          <w:b/>
          <w:bCs/>
          <w:iCs/>
          <w:kern w:val="2"/>
          <w:lang w:val="es-ES_tradnl"/>
          <w14:ligatures w14:val="standardContextual"/>
        </w:rPr>
        <w:t xml:space="preserve"> Entidades estatales exceptuadas del Estatuto General de Contratación de la Administración Pública – Modificación artículo 53 de la Ley 2195 de 2022</w:t>
      </w:r>
    </w:p>
    <w:p w14:paraId="273AE0BC" w14:textId="77777777" w:rsidR="00AB7F16" w:rsidRPr="00AB7F16" w:rsidRDefault="00AB7F16" w:rsidP="00AB7F16">
      <w:pPr>
        <w:spacing w:after="0" w:line="240" w:lineRule="auto"/>
        <w:contextualSpacing/>
        <w:jc w:val="both"/>
        <w:rPr>
          <w:rFonts w:ascii="Century Gothic" w:eastAsia="Aptos" w:hAnsi="Century Gothic" w:cs="Arial"/>
          <w:b/>
          <w:bCs/>
          <w:iCs/>
          <w:kern w:val="2"/>
          <w:lang w:val="es-ES_tradnl"/>
          <w14:ligatures w14:val="standardContextual"/>
        </w:rPr>
      </w:pPr>
    </w:p>
    <w:p w14:paraId="18CC4DC9" w14:textId="2D75875D" w:rsidR="00AB7F16" w:rsidRPr="00AB7F16" w:rsidRDefault="001645B7" w:rsidP="00AB7F16">
      <w:pPr>
        <w:spacing w:after="0" w:line="240" w:lineRule="auto"/>
        <w:contextualSpacing/>
        <w:jc w:val="both"/>
        <w:rPr>
          <w:rFonts w:ascii="Century Gothic" w:eastAsia="Calibri" w:hAnsi="Century Gothic" w:cs="Arial"/>
          <w:bCs/>
          <w:sz w:val="20"/>
          <w:szCs w:val="20"/>
          <w:lang w:val="es-MX"/>
        </w:rPr>
      </w:pPr>
      <w:r w:rsidRPr="001645B7">
        <w:rPr>
          <w:rFonts w:ascii="Century Gothic" w:eastAsia="Calibri" w:hAnsi="Century Gothic" w:cs="Arial"/>
          <w:bCs/>
          <w:sz w:val="20"/>
          <w:szCs w:val="20"/>
          <w:lang w:val="es-MX"/>
        </w:rPr>
        <w:t xml:space="preserve">Las anteriores disposiciones normativas fueron complementadas con la expedición de 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w:t>
      </w:r>
      <w:r w:rsidRPr="001645B7">
        <w:rPr>
          <w:rFonts w:ascii="Century Gothic" w:eastAsia="Calibri" w:hAnsi="Century Gothic" w:cs="Arial"/>
          <w:bCs/>
          <w:sz w:val="20"/>
          <w:szCs w:val="20"/>
          <w:lang w:val="es-MX"/>
        </w:rPr>
        <w:lastRenderedPageBreak/>
        <w:t>plataforma transaccional que haga sus veces. Al respecto, la norma citada, de manera expresa, señala:</w:t>
      </w:r>
      <w:r w:rsidR="002B039A">
        <w:rPr>
          <w:rFonts w:ascii="Century Gothic" w:eastAsia="Calibri" w:hAnsi="Century Gothic" w:cs="Arial"/>
          <w:bCs/>
          <w:sz w:val="20"/>
          <w:szCs w:val="20"/>
          <w:lang w:val="es-MX"/>
        </w:rPr>
        <w:t xml:space="preserve"> […]</w:t>
      </w:r>
    </w:p>
    <w:p w14:paraId="70D0E86A" w14:textId="77777777" w:rsidR="00AB7F16" w:rsidRPr="00AB7F16" w:rsidRDefault="00AB7F16" w:rsidP="00AB7F16">
      <w:pPr>
        <w:spacing w:after="0" w:line="240" w:lineRule="auto"/>
        <w:contextualSpacing/>
        <w:jc w:val="both"/>
        <w:rPr>
          <w:rFonts w:ascii="Century Gothic" w:eastAsia="Aptos" w:hAnsi="Century Gothic" w:cs="Arial"/>
          <w:kern w:val="2"/>
          <w:sz w:val="20"/>
          <w:szCs w:val="20"/>
          <w:lang w:val="es-ES"/>
          <w14:ligatures w14:val="standardContextual"/>
        </w:rPr>
      </w:pPr>
    </w:p>
    <w:p w14:paraId="197126E4" w14:textId="77777777" w:rsidR="00AB7F16" w:rsidRPr="00AB7F16" w:rsidRDefault="00AB7F16" w:rsidP="00AB7F16">
      <w:pPr>
        <w:spacing w:after="0" w:line="240" w:lineRule="auto"/>
        <w:rPr>
          <w:rFonts w:ascii="Century Gothic" w:eastAsia="Calibri" w:hAnsi="Century Gothic" w:cs="Arial"/>
          <w:sz w:val="20"/>
          <w:szCs w:val="20"/>
        </w:rPr>
      </w:pPr>
    </w:p>
    <w:p w14:paraId="24EDC063" w14:textId="77777777" w:rsidR="00AB7F16" w:rsidRPr="00AB7F16" w:rsidRDefault="00AB7F16" w:rsidP="00AB7F16">
      <w:pPr>
        <w:spacing w:after="0"/>
        <w:rPr>
          <w:rFonts w:ascii="Century Gothic" w:eastAsia="Calibri" w:hAnsi="Century Gothic" w:cs="Arial"/>
        </w:rPr>
      </w:pPr>
    </w:p>
    <w:p w14:paraId="4FFA5B59" w14:textId="77777777" w:rsidR="00AB7F16" w:rsidRPr="00AB7F16" w:rsidRDefault="00AB7F16" w:rsidP="00AB7F16">
      <w:pPr>
        <w:spacing w:after="0"/>
        <w:rPr>
          <w:rFonts w:ascii="Century Gothic" w:eastAsia="Calibri" w:hAnsi="Century Gothic" w:cs="Arial"/>
        </w:rPr>
      </w:pPr>
    </w:p>
    <w:p w14:paraId="528F46D0" w14:textId="77777777" w:rsidR="00AB7F16" w:rsidRPr="00AB7F16" w:rsidRDefault="00AB7F16" w:rsidP="00AB7F16">
      <w:pPr>
        <w:spacing w:after="0"/>
        <w:rPr>
          <w:rFonts w:ascii="Century Gothic" w:eastAsia="Calibri" w:hAnsi="Century Gothic" w:cs="Arial"/>
        </w:rPr>
      </w:pPr>
    </w:p>
    <w:p w14:paraId="5D9C7F77" w14:textId="77777777" w:rsidR="00AB7F16" w:rsidRPr="00AB7F16" w:rsidRDefault="00AB7F16" w:rsidP="00AB7F16">
      <w:pPr>
        <w:spacing w:after="0"/>
        <w:rPr>
          <w:rFonts w:ascii="Century Gothic" w:eastAsia="Calibri" w:hAnsi="Century Gothic" w:cs="Arial"/>
        </w:rPr>
      </w:pPr>
    </w:p>
    <w:p w14:paraId="57D2D344" w14:textId="77777777" w:rsidR="00AB7F16" w:rsidRPr="00AB7F16" w:rsidRDefault="00AB7F16" w:rsidP="00AB7F16">
      <w:pPr>
        <w:rPr>
          <w:rFonts w:ascii="Century Gothic" w:eastAsia="Calibri" w:hAnsi="Century Gothic" w:cs="Times New Roman"/>
        </w:rPr>
      </w:pPr>
    </w:p>
    <w:p w14:paraId="4DFFCC24" w14:textId="77777777" w:rsidR="00AB7F16" w:rsidRPr="00AB7F16" w:rsidRDefault="00AB7F16" w:rsidP="00AB7F16">
      <w:pPr>
        <w:rPr>
          <w:rFonts w:ascii="Century Gothic" w:eastAsia="Calibri" w:hAnsi="Century Gothic" w:cs="Times New Roman"/>
        </w:rPr>
      </w:pPr>
    </w:p>
    <w:p w14:paraId="69476541" w14:textId="77777777" w:rsidR="00AB7F16" w:rsidRPr="00AB7F16" w:rsidRDefault="00AB7F16" w:rsidP="00AB7F16">
      <w:pPr>
        <w:rPr>
          <w:rFonts w:ascii="Century Gothic" w:eastAsia="Calibri" w:hAnsi="Century Gothic" w:cs="Times New Roman"/>
        </w:rPr>
      </w:pPr>
    </w:p>
    <w:p w14:paraId="73046931" w14:textId="77777777" w:rsidR="00AB7F16" w:rsidRPr="00AB7F16" w:rsidRDefault="00AB7F16" w:rsidP="00AB7F16">
      <w:pPr>
        <w:rPr>
          <w:rFonts w:ascii="Century Gothic" w:eastAsia="Calibri" w:hAnsi="Century Gothic" w:cs="Times New Roman"/>
        </w:rPr>
      </w:pPr>
    </w:p>
    <w:p w14:paraId="0B44834D" w14:textId="77777777" w:rsidR="00AB7F16" w:rsidRPr="00AB7F16" w:rsidRDefault="00AB7F16" w:rsidP="00AB7F16">
      <w:pPr>
        <w:rPr>
          <w:rFonts w:ascii="Century Gothic" w:eastAsia="Calibri" w:hAnsi="Century Gothic" w:cs="Times New Roman"/>
        </w:rPr>
      </w:pPr>
    </w:p>
    <w:p w14:paraId="5E6DD63F" w14:textId="77777777" w:rsidR="00AB7F16" w:rsidRPr="00AB7F16" w:rsidRDefault="00AB7F16" w:rsidP="00AB7F16">
      <w:pPr>
        <w:rPr>
          <w:rFonts w:ascii="Century Gothic" w:eastAsia="Calibri" w:hAnsi="Century Gothic" w:cs="Times New Roman"/>
        </w:rPr>
      </w:pPr>
    </w:p>
    <w:p w14:paraId="36C10E59" w14:textId="77777777" w:rsidR="00AB7F16" w:rsidRPr="00AB7F16" w:rsidRDefault="00AB7F16" w:rsidP="00AB7F16">
      <w:pPr>
        <w:rPr>
          <w:rFonts w:ascii="Century Gothic" w:eastAsia="Calibri" w:hAnsi="Century Gothic" w:cs="Times New Roman"/>
        </w:rPr>
      </w:pPr>
    </w:p>
    <w:p w14:paraId="27502F8B" w14:textId="77777777" w:rsidR="00AB7F16" w:rsidRPr="00AB7F16" w:rsidRDefault="00AB7F16" w:rsidP="00AB7F16">
      <w:pPr>
        <w:rPr>
          <w:rFonts w:ascii="Century Gothic" w:eastAsia="Calibri" w:hAnsi="Century Gothic" w:cs="Times New Roman"/>
        </w:rPr>
      </w:pPr>
    </w:p>
    <w:p w14:paraId="4A3CBEB6" w14:textId="77777777" w:rsidR="00AB7F16" w:rsidRPr="00AB7F16" w:rsidRDefault="00AB7F16" w:rsidP="00AB7F16">
      <w:pPr>
        <w:rPr>
          <w:rFonts w:ascii="Century Gothic" w:eastAsia="Calibri" w:hAnsi="Century Gothic" w:cs="Times New Roman"/>
        </w:rPr>
      </w:pPr>
    </w:p>
    <w:p w14:paraId="176D3671" w14:textId="77777777" w:rsidR="00AB7F16" w:rsidRPr="00AB7F16" w:rsidRDefault="00AB7F16" w:rsidP="00AB7F16">
      <w:pPr>
        <w:rPr>
          <w:rFonts w:ascii="Century Gothic" w:eastAsia="Calibri" w:hAnsi="Century Gothic" w:cs="Times New Roman"/>
        </w:rPr>
      </w:pPr>
    </w:p>
    <w:p w14:paraId="53CE5D39" w14:textId="77777777" w:rsidR="00AB7F16" w:rsidRPr="00AB7F16" w:rsidRDefault="00AB7F16" w:rsidP="00AB7F16">
      <w:pPr>
        <w:rPr>
          <w:rFonts w:ascii="Century Gothic" w:eastAsia="Calibri" w:hAnsi="Century Gothic" w:cs="Times New Roman"/>
        </w:rPr>
      </w:pPr>
    </w:p>
    <w:p w14:paraId="2EDB3B2F" w14:textId="77777777" w:rsidR="00AB7F16" w:rsidRPr="00AB7F16" w:rsidRDefault="00AB7F16" w:rsidP="00AB7F16">
      <w:pPr>
        <w:rPr>
          <w:rFonts w:ascii="Century Gothic" w:eastAsia="Calibri" w:hAnsi="Century Gothic" w:cs="Times New Roman"/>
        </w:rPr>
      </w:pPr>
    </w:p>
    <w:p w14:paraId="2B7A4DFF" w14:textId="77777777" w:rsidR="00AB7F16" w:rsidRPr="00AB7F16" w:rsidRDefault="00AB7F16" w:rsidP="00AB7F16">
      <w:pPr>
        <w:rPr>
          <w:rFonts w:ascii="Century Gothic" w:eastAsia="Calibri" w:hAnsi="Century Gothic" w:cs="Times New Roman"/>
        </w:rPr>
      </w:pPr>
    </w:p>
    <w:p w14:paraId="0E0EF3E6" w14:textId="77777777" w:rsidR="00AB7F16" w:rsidRPr="00AB7F16" w:rsidRDefault="00AB7F16" w:rsidP="00AB7F16">
      <w:pPr>
        <w:rPr>
          <w:rFonts w:ascii="Century Gothic" w:eastAsia="Calibri" w:hAnsi="Century Gothic" w:cs="Times New Roman"/>
        </w:rPr>
      </w:pPr>
    </w:p>
    <w:p w14:paraId="6EAF843C" w14:textId="77777777" w:rsidR="00AB7F16" w:rsidRPr="00AB7F16" w:rsidRDefault="00AB7F16" w:rsidP="00AB7F16">
      <w:pPr>
        <w:rPr>
          <w:rFonts w:ascii="Century Gothic" w:eastAsia="Calibri" w:hAnsi="Century Gothic" w:cs="Times New Roman"/>
        </w:rPr>
      </w:pPr>
    </w:p>
    <w:p w14:paraId="5E70EF26" w14:textId="77777777" w:rsidR="00AB7F16" w:rsidRPr="00AB7F16" w:rsidRDefault="00AB7F16" w:rsidP="00AB7F16">
      <w:pPr>
        <w:rPr>
          <w:rFonts w:ascii="Century Gothic" w:eastAsia="Calibri" w:hAnsi="Century Gothic" w:cs="Times New Roman"/>
        </w:rPr>
      </w:pPr>
    </w:p>
    <w:p w14:paraId="2D9380AA" w14:textId="77777777" w:rsidR="00AB7F16" w:rsidRPr="00AB7F16" w:rsidRDefault="00AB7F16" w:rsidP="00AB7F16">
      <w:pPr>
        <w:rPr>
          <w:rFonts w:ascii="Century Gothic" w:eastAsia="Calibri" w:hAnsi="Century Gothic" w:cs="Times New Roman"/>
        </w:rPr>
      </w:pPr>
    </w:p>
    <w:p w14:paraId="0EBBB6E7" w14:textId="77777777" w:rsidR="00AB7F16" w:rsidRPr="00AB7F16" w:rsidRDefault="00AB7F16" w:rsidP="00AB7F16">
      <w:pPr>
        <w:rPr>
          <w:rFonts w:ascii="Century Gothic" w:eastAsia="Calibri" w:hAnsi="Century Gothic" w:cs="Times New Roman"/>
        </w:rPr>
      </w:pPr>
    </w:p>
    <w:p w14:paraId="526477C9" w14:textId="77777777" w:rsidR="00AB7F16" w:rsidRPr="00AB7F16" w:rsidRDefault="00AB7F16" w:rsidP="00AB7F16">
      <w:pPr>
        <w:rPr>
          <w:rFonts w:ascii="Century Gothic" w:eastAsia="Calibri" w:hAnsi="Century Gothic" w:cs="Times New Roman"/>
        </w:rPr>
      </w:pPr>
    </w:p>
    <w:p w14:paraId="0B080DB0" w14:textId="7FF126AE" w:rsidR="00AB7F16" w:rsidRDefault="00AB7F16" w:rsidP="00AB7F16">
      <w:pPr>
        <w:spacing w:after="0"/>
        <w:rPr>
          <w:rFonts w:ascii="Century Gothic" w:hAnsi="Century Gothic"/>
          <w:lang w:val="es-MX"/>
        </w:rPr>
      </w:pPr>
      <w:r w:rsidRPr="687B05C8">
        <w:rPr>
          <w:rFonts w:ascii="Century Gothic" w:hAnsi="Century Gothic"/>
        </w:rPr>
        <w:lastRenderedPageBreak/>
        <w:t>Bogotá D.C.</w:t>
      </w:r>
    </w:p>
    <w:p w14:paraId="0116E7EF" w14:textId="77777777" w:rsidR="00AB7F16" w:rsidRPr="00AB7F16" w:rsidRDefault="00AB7F16" w:rsidP="00AB7F16">
      <w:pPr>
        <w:spacing w:after="0"/>
        <w:jc w:val="right"/>
        <w:rPr>
          <w:rFonts w:ascii="Century Gothic" w:eastAsia="Calibri" w:hAnsi="Century Gothic" w:cs="Arial"/>
        </w:rPr>
      </w:pPr>
    </w:p>
    <w:p w14:paraId="66CC675B" w14:textId="7343FE75" w:rsidR="00AB7F16" w:rsidRPr="00AB7F16" w:rsidRDefault="00DA3422" w:rsidP="00DA3422">
      <w:pPr>
        <w:spacing w:after="0"/>
        <w:jc w:val="right"/>
        <w:rPr>
          <w:rFonts w:ascii="Century Gothic" w:eastAsia="Calibri" w:hAnsi="Century Gothic" w:cs="Arial"/>
        </w:rPr>
      </w:pPr>
      <w:r>
        <w:rPr>
          <w:rFonts w:ascii="Century Gothic" w:eastAsia="Calibri" w:hAnsi="Century Gothic" w:cs="Arial"/>
          <w:noProof/>
        </w:rPr>
        <w:drawing>
          <wp:inline distT="0" distB="0" distL="0" distR="0" wp14:anchorId="1285D2E8" wp14:editId="3582084F">
            <wp:extent cx="3251676" cy="951441"/>
            <wp:effectExtent l="0" t="0" r="0" b="1270"/>
            <wp:docPr id="3765985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98593" name="Imagen 3765985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2234" cy="957456"/>
                    </a:xfrm>
                    <a:prstGeom prst="rect">
                      <a:avLst/>
                    </a:prstGeom>
                  </pic:spPr>
                </pic:pic>
              </a:graphicData>
            </a:graphic>
          </wp:inline>
        </w:drawing>
      </w:r>
      <w:r w:rsidR="00AB7F16" w:rsidRPr="00AB7F16">
        <w:rPr>
          <w:rFonts w:ascii="Century Gothic" w:eastAsia="Calibri" w:hAnsi="Century Gothic" w:cs="Arial"/>
        </w:rPr>
        <w:tab/>
      </w:r>
      <w:bookmarkStart w:id="1" w:name="_Hlk94281581"/>
      <w:bookmarkStart w:id="2" w:name="_Hlk102489058"/>
      <w:bookmarkStart w:id="3" w:name="_Hlk34951122"/>
    </w:p>
    <w:p w14:paraId="4AA5FC5B" w14:textId="77777777" w:rsidR="00AB7F16" w:rsidRPr="00AB7F16" w:rsidRDefault="00AB7F16" w:rsidP="00AB7F16">
      <w:pPr>
        <w:spacing w:after="0"/>
        <w:rPr>
          <w:rFonts w:ascii="Century Gothic" w:eastAsia="Calibri" w:hAnsi="Century Gothic" w:cs="Arial"/>
        </w:rPr>
      </w:pPr>
      <w:r w:rsidRPr="00AB7F16">
        <w:rPr>
          <w:rFonts w:ascii="Century Gothic" w:eastAsia="Calibri" w:hAnsi="Century Gothic" w:cs="Arial"/>
        </w:rPr>
        <w:t>Señor</w:t>
      </w:r>
    </w:p>
    <w:p w14:paraId="5CCEFC62" w14:textId="77777777" w:rsidR="00AB7F16" w:rsidRPr="00AB7F16" w:rsidRDefault="00AB7F16" w:rsidP="00AB7F16">
      <w:pPr>
        <w:spacing w:after="0"/>
        <w:rPr>
          <w:rFonts w:ascii="Century Gothic" w:eastAsia="Calibri" w:hAnsi="Century Gothic" w:cs="Arial"/>
          <w:b/>
          <w:bCs/>
        </w:rPr>
      </w:pPr>
      <w:r w:rsidRPr="00AB7F16">
        <w:rPr>
          <w:rFonts w:ascii="Century Gothic" w:eastAsia="Calibri" w:hAnsi="Century Gothic" w:cs="Arial"/>
          <w:b/>
          <w:bCs/>
        </w:rPr>
        <w:t>Pedro Alejandro Ariza Rubiano</w:t>
      </w:r>
    </w:p>
    <w:p w14:paraId="0BB526D4" w14:textId="77777777" w:rsidR="00AB7F16" w:rsidRPr="00AB7F16" w:rsidRDefault="00AB7F16" w:rsidP="00AB7F16">
      <w:pPr>
        <w:spacing w:after="0"/>
        <w:rPr>
          <w:rFonts w:ascii="Century Gothic" w:eastAsia="Calibri" w:hAnsi="Century Gothic" w:cs="Arial"/>
        </w:rPr>
      </w:pPr>
      <w:r w:rsidRPr="00AB7F16">
        <w:rPr>
          <w:rFonts w:ascii="Century Gothic" w:eastAsia="Calibri" w:hAnsi="Century Gothic" w:cs="Arial"/>
        </w:rPr>
        <w:t>Ciudad</w:t>
      </w:r>
    </w:p>
    <w:p w14:paraId="3F9F43B8" w14:textId="77777777" w:rsidR="00AB7F16" w:rsidRPr="00AB7F16" w:rsidRDefault="00AB7F16" w:rsidP="00AB7F16">
      <w:pPr>
        <w:spacing w:after="0"/>
        <w:rPr>
          <w:rFonts w:ascii="Century Gothic" w:eastAsia="Calibri" w:hAnsi="Century Gothic" w:cs="Arial"/>
        </w:rPr>
      </w:pPr>
    </w:p>
    <w:p w14:paraId="5BF5C63B" w14:textId="77777777" w:rsidR="00AB7F16" w:rsidRPr="00AB7F16" w:rsidRDefault="00AB7F16" w:rsidP="00AB7F16">
      <w:pPr>
        <w:shd w:val="clear" w:color="auto" w:fill="FFFFFF"/>
        <w:ind w:left="2124" w:firstLine="570"/>
        <w:contextualSpacing/>
        <w:rPr>
          <w:rFonts w:ascii="Century Gothic" w:eastAsia="Calibri" w:hAnsi="Century Gothic" w:cs="Arial"/>
          <w:b/>
          <w:bCs/>
          <w:lang w:val="es-ES_tradnl" w:eastAsia="es-ES_tradnl"/>
        </w:rPr>
      </w:pPr>
      <w:r w:rsidRPr="00AB7F16">
        <w:rPr>
          <w:rFonts w:ascii="Century Gothic" w:eastAsia="Calibri" w:hAnsi="Century Gothic" w:cs="Arial"/>
          <w:b/>
          <w:bCs/>
          <w:lang w:val="es-ES_tradnl" w:eastAsia="es-ES_tradnl"/>
        </w:rPr>
        <w:t>Concepto C – 104 de 2024</w:t>
      </w:r>
    </w:p>
    <w:p w14:paraId="7EC29DD8" w14:textId="77777777" w:rsidR="00AB7F16" w:rsidRPr="00AB7F16" w:rsidRDefault="00AB7F16" w:rsidP="00AB7F16">
      <w:pPr>
        <w:shd w:val="clear" w:color="auto" w:fill="FFFFFF"/>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B7F16" w:rsidRPr="00AB7F16" w14:paraId="7763EEB9" w14:textId="77777777" w:rsidTr="00D6040B">
        <w:tc>
          <w:tcPr>
            <w:tcW w:w="2689" w:type="dxa"/>
          </w:tcPr>
          <w:p w14:paraId="0B2E7490" w14:textId="77777777" w:rsidR="00AB7F16" w:rsidRPr="00AB7F16" w:rsidRDefault="00AB7F16" w:rsidP="00AB7F16">
            <w:pPr>
              <w:shd w:val="clear" w:color="auto" w:fill="FFFFFF"/>
              <w:contextualSpacing/>
              <w:jc w:val="both"/>
              <w:rPr>
                <w:rFonts w:ascii="Century Gothic" w:eastAsia="Calibri" w:hAnsi="Century Gothic" w:cs="Arial"/>
                <w:lang w:val="es-ES_tradnl" w:eastAsia="es-ES_tradnl"/>
              </w:rPr>
            </w:pPr>
            <w:r w:rsidRPr="00AB7F16">
              <w:rPr>
                <w:rFonts w:ascii="Century Gothic" w:eastAsia="Calibri" w:hAnsi="Century Gothic" w:cs="Arial"/>
                <w:b/>
                <w:lang w:val="es-ES_tradnl" w:eastAsia="es-ES_tradnl"/>
              </w:rPr>
              <w:t>Temas:</w:t>
            </w:r>
            <w:r w:rsidRPr="00AB7F16">
              <w:rPr>
                <w:rFonts w:ascii="Century Gothic" w:eastAsia="Calibri" w:hAnsi="Century Gothic" w:cs="Arial"/>
                <w:lang w:val="es-ES_tradnl" w:eastAsia="es-ES_tradnl"/>
              </w:rPr>
              <w:t xml:space="preserve">                                      </w:t>
            </w:r>
          </w:p>
        </w:tc>
        <w:tc>
          <w:tcPr>
            <w:tcW w:w="6237" w:type="dxa"/>
          </w:tcPr>
          <w:p w14:paraId="103A6CFE" w14:textId="77777777" w:rsidR="00AB7F16" w:rsidRPr="00AB7F16" w:rsidRDefault="00AB7F16" w:rsidP="00AB7F16">
            <w:pPr>
              <w:shd w:val="clear" w:color="auto" w:fill="FFFFFF"/>
              <w:spacing w:after="120"/>
              <w:contextualSpacing/>
              <w:jc w:val="both"/>
              <w:rPr>
                <w:rFonts w:ascii="Century Gothic" w:eastAsia="Calibri" w:hAnsi="Century Gothic" w:cs="Arial"/>
                <w:bCs/>
                <w:lang w:val="es-MX" w:eastAsia="es-ES_tradnl"/>
              </w:rPr>
            </w:pPr>
            <w:r w:rsidRPr="00AB7F16">
              <w:rPr>
                <w:rFonts w:ascii="Century Gothic" w:eastAsia="Calibri" w:hAnsi="Century Gothic" w:cs="Arial"/>
                <w:bCs/>
                <w:lang w:val="es-MX" w:eastAsia="es-ES_tradnl"/>
              </w:rPr>
              <w:t>DOCUMENTOS TIPO – Fundamento normativo – Ley 2022 de 2020 / LEY 2195 DE 2022 – Artículo 56 – Ámbito de aplicación / LEY 2195 DE 2022 – Artículo 56 – Finalidad / LEY 2195 DE 2022 – Artículo 56 – Incisos 1 y 2 – Interpretación conjunta – Aplicación de documentos tipo / DEBER DE PUBLICIDAD – Entidades estatales exceptuadas del Estatuto General de Contratación de la Administración Pública / SECOP II – Deber de publicidad – Entidades estatales exceptuadas del Estatuto General de Contratación de la Administración Pública – Modificación artículo 53 de la Ley 2195 de 2022</w:t>
            </w:r>
          </w:p>
          <w:p w14:paraId="2C73F3FD" w14:textId="77777777" w:rsidR="00AB7F16" w:rsidRPr="00AB7F16" w:rsidRDefault="00AB7F16" w:rsidP="00AB7F16">
            <w:pPr>
              <w:shd w:val="clear" w:color="auto" w:fill="FFFFFF"/>
              <w:spacing w:after="120"/>
              <w:contextualSpacing/>
              <w:jc w:val="both"/>
              <w:rPr>
                <w:rFonts w:ascii="Century Gothic" w:eastAsia="Calibri" w:hAnsi="Century Gothic" w:cs="Arial"/>
                <w:bCs/>
                <w:sz w:val="12"/>
                <w:szCs w:val="12"/>
                <w:lang w:val="es-ES_tradnl" w:eastAsia="es-ES_tradnl"/>
              </w:rPr>
            </w:pPr>
          </w:p>
        </w:tc>
      </w:tr>
      <w:tr w:rsidR="00AB7F16" w:rsidRPr="00AB7F16" w14:paraId="5E4A4584" w14:textId="77777777" w:rsidTr="00D6040B">
        <w:trPr>
          <w:trHeight w:val="309"/>
        </w:trPr>
        <w:tc>
          <w:tcPr>
            <w:tcW w:w="2689" w:type="dxa"/>
          </w:tcPr>
          <w:p w14:paraId="4FCA29CA" w14:textId="77777777" w:rsidR="00AB7F16" w:rsidRPr="00AB7F16" w:rsidRDefault="00AB7F16" w:rsidP="00AB7F16">
            <w:pPr>
              <w:shd w:val="clear" w:color="auto" w:fill="FFFFFF"/>
              <w:contextualSpacing/>
              <w:jc w:val="both"/>
              <w:rPr>
                <w:rFonts w:ascii="Century Gothic" w:eastAsia="Calibri" w:hAnsi="Century Gothic" w:cs="Arial"/>
                <w:b/>
                <w:lang w:val="es-ES_tradnl" w:eastAsia="es-ES_tradnl"/>
              </w:rPr>
            </w:pPr>
            <w:r w:rsidRPr="00AB7F16">
              <w:rPr>
                <w:rFonts w:ascii="Century Gothic" w:eastAsia="Calibri" w:hAnsi="Century Gothic" w:cs="Arial"/>
                <w:b/>
                <w:lang w:val="es-ES_tradnl" w:eastAsia="es-ES_tradnl"/>
              </w:rPr>
              <w:t>Radicación:</w:t>
            </w:r>
            <w:r w:rsidRPr="00AB7F16">
              <w:rPr>
                <w:rFonts w:ascii="Century Gothic" w:eastAsia="Calibri" w:hAnsi="Century Gothic" w:cs="Arial"/>
                <w:lang w:val="es-ES_tradnl" w:eastAsia="es-ES_tradnl"/>
              </w:rPr>
              <w:t xml:space="preserve">                             </w:t>
            </w:r>
          </w:p>
        </w:tc>
        <w:tc>
          <w:tcPr>
            <w:tcW w:w="6237" w:type="dxa"/>
          </w:tcPr>
          <w:p w14:paraId="19B20A85" w14:textId="77777777" w:rsidR="00AB7F16" w:rsidRPr="00AB7F16" w:rsidRDefault="00AB7F16" w:rsidP="00AB7F16">
            <w:pPr>
              <w:shd w:val="clear" w:color="auto" w:fill="FFFFFF"/>
              <w:contextualSpacing/>
              <w:jc w:val="both"/>
              <w:rPr>
                <w:rFonts w:ascii="Century Gothic" w:eastAsia="Calibri" w:hAnsi="Century Gothic" w:cs="Arial"/>
                <w:lang w:val="es-ES_tradnl" w:eastAsia="es-ES_tradnl"/>
              </w:rPr>
            </w:pPr>
            <w:r w:rsidRPr="00AB7F16">
              <w:rPr>
                <w:rFonts w:ascii="Century Gothic" w:eastAsia="Calibri" w:hAnsi="Century Gothic" w:cs="Arial"/>
                <w:lang w:val="es-ES_tradnl" w:eastAsia="es-ES_tradnl"/>
              </w:rPr>
              <w:t>Respuesta a consulta P20240516005105</w:t>
            </w:r>
          </w:p>
        </w:tc>
      </w:tr>
    </w:tbl>
    <w:p w14:paraId="6259B171" w14:textId="77777777" w:rsidR="00AB7F16" w:rsidRPr="00AB7F16" w:rsidRDefault="00AB7F16" w:rsidP="00AB7F16">
      <w:pPr>
        <w:shd w:val="clear" w:color="auto" w:fill="FFFFFF"/>
        <w:contextualSpacing/>
        <w:jc w:val="both"/>
        <w:rPr>
          <w:rFonts w:ascii="Century Gothic" w:eastAsia="Calibri" w:hAnsi="Century Gothic" w:cs="Arial"/>
          <w:lang w:val="es-ES_tradnl" w:eastAsia="es-ES_tradnl"/>
        </w:rPr>
      </w:pPr>
    </w:p>
    <w:p w14:paraId="25F929BF" w14:textId="77777777" w:rsidR="00AB7F16" w:rsidRPr="00AB7F16" w:rsidRDefault="00AB7F16" w:rsidP="00AB7F16">
      <w:pPr>
        <w:shd w:val="clear" w:color="auto" w:fill="FFFFFF"/>
        <w:contextualSpacing/>
        <w:jc w:val="both"/>
        <w:rPr>
          <w:rFonts w:ascii="Century Gothic" w:eastAsia="Calibri" w:hAnsi="Century Gothic" w:cs="Arial"/>
          <w:lang w:val="es-ES" w:eastAsia="es-ES"/>
        </w:rPr>
      </w:pPr>
      <w:r w:rsidRPr="00AB7F16">
        <w:rPr>
          <w:rFonts w:ascii="Century Gothic" w:eastAsia="Calibri" w:hAnsi="Century Gothic" w:cs="Arial"/>
          <w:lang w:val="es-ES" w:eastAsia="es-ES"/>
        </w:rPr>
        <w:t xml:space="preserve">Respetado señor Ariza Rubiano: </w:t>
      </w:r>
    </w:p>
    <w:p w14:paraId="62C35B3A" w14:textId="77777777" w:rsidR="00AB7F16" w:rsidRPr="00AB7F16" w:rsidRDefault="00AB7F16" w:rsidP="00AB7F16">
      <w:pPr>
        <w:shd w:val="clear" w:color="auto" w:fill="FFFFFF"/>
        <w:spacing w:line="276" w:lineRule="auto"/>
        <w:contextualSpacing/>
        <w:jc w:val="both"/>
        <w:rPr>
          <w:rFonts w:ascii="Century Gothic" w:eastAsia="Calibri" w:hAnsi="Century Gothic" w:cs="Arial"/>
          <w:szCs w:val="24"/>
          <w:lang w:val="es-ES_tradnl" w:eastAsia="es-ES_tradnl"/>
        </w:rPr>
      </w:pPr>
    </w:p>
    <w:bookmarkEnd w:id="1"/>
    <w:bookmarkEnd w:id="2"/>
    <w:p w14:paraId="7B8FADE9" w14:textId="77777777" w:rsidR="00AB7F16" w:rsidRPr="00AB7F16" w:rsidRDefault="00AB7F16" w:rsidP="00AB7F16">
      <w:pPr>
        <w:shd w:val="clear" w:color="auto" w:fill="FFFFFF"/>
        <w:spacing w:after="0" w:line="276" w:lineRule="auto"/>
        <w:jc w:val="both"/>
        <w:rPr>
          <w:rFonts w:ascii="Century Gothic" w:eastAsia="Calibri" w:hAnsi="Century Gothic" w:cs="Arial"/>
          <w:color w:val="000000"/>
          <w:lang w:val="es-ES_tradnl"/>
        </w:rPr>
      </w:pPr>
      <w:r w:rsidRPr="00AB7F16">
        <w:rPr>
          <w:rFonts w:ascii="Century Gothic" w:eastAsia="Calibri" w:hAnsi="Century Gothic" w:cs="Arial"/>
          <w:color w:val="000000"/>
          <w:lang w:val="es-ES_tradnl"/>
        </w:rPr>
        <w:t>En ejercicio de la competencia otorgada por el numeral 8 del artículo 11 y el numeral 5 del artículo 3 del Decreto Ley 4170 de 2011</w:t>
      </w:r>
      <w:bookmarkStart w:id="4" w:name="_Hlk99120496"/>
      <w:r w:rsidRPr="00AB7F16">
        <w:rPr>
          <w:rFonts w:ascii="Century Gothic" w:eastAsia="Arial MT" w:hAnsi="Century Gothic" w:cs="Arial"/>
          <w:lang w:val="es-ES"/>
        </w:rPr>
        <w:t xml:space="preserve">, </w:t>
      </w:r>
      <w:bookmarkEnd w:id="4"/>
      <w:r w:rsidRPr="00AB7F16">
        <w:rPr>
          <w:rFonts w:ascii="Century Gothic" w:eastAsia="Calibri" w:hAnsi="Century Gothic" w:cs="Arial"/>
          <w:color w:val="000000"/>
          <w:lang w:val="es-ES_tradnl"/>
        </w:rPr>
        <w:t>la Agencia Nacional de Contratación Pública –Colombia Compra Eficiente– responde la consulta radicada el 16 de mayo de 2024.</w:t>
      </w:r>
    </w:p>
    <w:p w14:paraId="520FCEC9" w14:textId="77777777" w:rsidR="00AB7F16" w:rsidRPr="00AB7F16" w:rsidRDefault="00AB7F16" w:rsidP="00AB7F16">
      <w:pPr>
        <w:shd w:val="clear" w:color="auto" w:fill="FFFFFF"/>
        <w:spacing w:after="0" w:line="276" w:lineRule="auto"/>
        <w:jc w:val="both"/>
        <w:rPr>
          <w:rFonts w:ascii="Century Gothic" w:eastAsia="Calibri" w:hAnsi="Century Gothic" w:cs="Arial"/>
          <w:b/>
          <w:color w:val="000000"/>
          <w:lang w:val="es-ES_tradnl"/>
        </w:rPr>
      </w:pPr>
    </w:p>
    <w:p w14:paraId="437CDAB3" w14:textId="77777777" w:rsidR="00AB7F16" w:rsidRPr="00AB7F16" w:rsidRDefault="00AB7F16" w:rsidP="00AB7F16">
      <w:pPr>
        <w:numPr>
          <w:ilvl w:val="0"/>
          <w:numId w:val="6"/>
        </w:numPr>
        <w:shd w:val="clear" w:color="auto" w:fill="FFFFFF"/>
        <w:tabs>
          <w:tab w:val="left" w:pos="0"/>
          <w:tab w:val="left" w:pos="142"/>
          <w:tab w:val="left" w:pos="284"/>
        </w:tabs>
        <w:spacing w:after="0" w:line="276" w:lineRule="auto"/>
        <w:ind w:left="357" w:hanging="357"/>
        <w:contextualSpacing/>
        <w:rPr>
          <w:rFonts w:ascii="Century Gothic" w:eastAsia="Calibri" w:hAnsi="Century Gothic" w:cs="Arial"/>
          <w:b/>
          <w:color w:val="000000"/>
          <w:lang w:val="es-ES_tradnl"/>
        </w:rPr>
      </w:pPr>
      <w:r w:rsidRPr="00AB7F16">
        <w:rPr>
          <w:rFonts w:ascii="Century Gothic" w:eastAsia="Calibri" w:hAnsi="Century Gothic" w:cs="Arial"/>
          <w:b/>
          <w:color w:val="000000"/>
          <w:lang w:val="es-ES_tradnl"/>
        </w:rPr>
        <w:t xml:space="preserve">Problema planteado </w:t>
      </w:r>
    </w:p>
    <w:p w14:paraId="27DECB29" w14:textId="77777777" w:rsidR="00AB7F16" w:rsidRPr="00AB7F16" w:rsidRDefault="00AB7F16" w:rsidP="00AB7F16">
      <w:pPr>
        <w:shd w:val="clear" w:color="auto" w:fill="FFFFFF"/>
        <w:tabs>
          <w:tab w:val="left" w:pos="426"/>
        </w:tabs>
        <w:spacing w:after="0" w:line="276" w:lineRule="auto"/>
        <w:jc w:val="both"/>
        <w:rPr>
          <w:rFonts w:ascii="Century Gothic" w:eastAsia="Calibri" w:hAnsi="Century Gothic" w:cs="Arial"/>
          <w:b/>
          <w:color w:val="000000"/>
          <w:lang w:val="es-ES_tradnl"/>
        </w:rPr>
      </w:pPr>
    </w:p>
    <w:p w14:paraId="2924BE56" w14:textId="77777777" w:rsidR="00AB7F16" w:rsidRPr="00AB7F16" w:rsidRDefault="00AB7F16" w:rsidP="00AB7F16">
      <w:pPr>
        <w:shd w:val="clear" w:color="auto" w:fill="FFFFFF"/>
        <w:spacing w:after="0" w:line="276" w:lineRule="auto"/>
        <w:jc w:val="both"/>
        <w:rPr>
          <w:rFonts w:ascii="Century Gothic" w:eastAsia="Calibri" w:hAnsi="Century Gothic" w:cs="Arial"/>
          <w:color w:val="000000"/>
        </w:rPr>
      </w:pPr>
      <w:r w:rsidRPr="00AB7F16">
        <w:rPr>
          <w:rFonts w:ascii="Century Gothic" w:eastAsia="Calibri" w:hAnsi="Century Gothic" w:cs="Arial"/>
          <w:color w:val="000000"/>
          <w:lang w:val="es-ES_tradnl"/>
        </w:rPr>
        <w:t>Usted realiza las siguientes preguntas:</w:t>
      </w:r>
    </w:p>
    <w:p w14:paraId="01A6A5F0" w14:textId="77777777" w:rsidR="00AB7F16" w:rsidRPr="00AB7F16" w:rsidRDefault="00AB7F16" w:rsidP="00AB7F16">
      <w:pPr>
        <w:shd w:val="clear" w:color="auto" w:fill="FFFFFF"/>
        <w:spacing w:after="0" w:line="276" w:lineRule="auto"/>
        <w:jc w:val="both"/>
        <w:rPr>
          <w:rFonts w:ascii="Century Gothic" w:eastAsia="Calibri" w:hAnsi="Century Gothic" w:cs="Arial"/>
          <w:color w:val="000000"/>
        </w:rPr>
      </w:pPr>
    </w:p>
    <w:p w14:paraId="7138A09B"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lastRenderedPageBreak/>
        <w:t xml:space="preserve">“Las entidades territoriales pueden autorizar mediante acto administrativo, que desde el SGR se transfiera a fondos mixtos para la contratación y ejecución de obras. Ahora bien, la Ley 2195 de 2022 art 53 y 56 señalan obligaciones para entidades con </w:t>
      </w:r>
      <w:proofErr w:type="spellStart"/>
      <w:r w:rsidRPr="1810D5F6">
        <w:rPr>
          <w:rFonts w:ascii="Century Gothic" w:eastAsia="Calibri" w:hAnsi="Century Gothic" w:cs="Arial"/>
          <w:color w:val="000000" w:themeColor="text1"/>
          <w:sz w:val="21"/>
          <w:szCs w:val="21"/>
          <w:lang w:val="es-ES"/>
        </w:rPr>
        <w:t>regimenes</w:t>
      </w:r>
      <w:proofErr w:type="spellEnd"/>
      <w:r w:rsidRPr="1810D5F6">
        <w:rPr>
          <w:rFonts w:ascii="Century Gothic" w:eastAsia="Calibri" w:hAnsi="Century Gothic" w:cs="Arial"/>
          <w:color w:val="000000" w:themeColor="text1"/>
          <w:sz w:val="21"/>
          <w:szCs w:val="21"/>
          <w:lang w:val="es-ES"/>
        </w:rPr>
        <w:t xml:space="preserve"> excluidos.</w:t>
      </w:r>
    </w:p>
    <w:p w14:paraId="247651E6" w14:textId="77777777" w:rsidR="00AB7F16" w:rsidRPr="00AB7F16" w:rsidRDefault="00AB7F16" w:rsidP="00AB7F16">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6A309FAC"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t xml:space="preserve">Los fondos mixtos son entidades descentralizadas indirectas, </w:t>
      </w:r>
      <w:proofErr w:type="spellStart"/>
      <w:r w:rsidRPr="1810D5F6">
        <w:rPr>
          <w:rFonts w:ascii="Century Gothic" w:eastAsia="Calibri" w:hAnsi="Century Gothic" w:cs="Arial"/>
          <w:color w:val="000000" w:themeColor="text1"/>
          <w:sz w:val="21"/>
          <w:szCs w:val="21"/>
          <w:lang w:val="es-ES"/>
        </w:rPr>
        <w:t>asi</w:t>
      </w:r>
      <w:proofErr w:type="spellEnd"/>
      <w:r w:rsidRPr="1810D5F6">
        <w:rPr>
          <w:rFonts w:ascii="Century Gothic" w:eastAsia="Calibri" w:hAnsi="Century Gothic" w:cs="Arial"/>
          <w:color w:val="000000" w:themeColor="text1"/>
          <w:sz w:val="21"/>
          <w:szCs w:val="21"/>
          <w:lang w:val="es-ES"/>
        </w:rPr>
        <w:t xml:space="preserve"> que me generan ciertas dudas:</w:t>
      </w:r>
    </w:p>
    <w:p w14:paraId="666A6F63" w14:textId="77777777" w:rsidR="00AB7F16" w:rsidRPr="00AB7F16" w:rsidRDefault="00AB7F16" w:rsidP="00AB7F16">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1C400401"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t xml:space="preserve">1. </w:t>
      </w:r>
      <w:proofErr w:type="gramStart"/>
      <w:r w:rsidRPr="1810D5F6">
        <w:rPr>
          <w:rFonts w:ascii="Century Gothic" w:eastAsia="Calibri" w:hAnsi="Century Gothic" w:cs="Arial"/>
          <w:color w:val="000000" w:themeColor="text1"/>
          <w:sz w:val="21"/>
          <w:szCs w:val="21"/>
          <w:lang w:val="es-ES"/>
        </w:rPr>
        <w:t>Deben los fondos mixtos utilizar pliegos tipo por transferencia de recursos para obras cubiertas por los documentos tipo, en el caso de que no exista convenio interadministrativo?</w:t>
      </w:r>
      <w:proofErr w:type="gramEnd"/>
    </w:p>
    <w:p w14:paraId="5EE66870" w14:textId="77777777" w:rsidR="00AB7F16" w:rsidRPr="00AB7F16" w:rsidRDefault="00AB7F16" w:rsidP="00AB7F16">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484174DE"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t xml:space="preserve">2. Si son procesos cofinanciados </w:t>
      </w:r>
      <w:proofErr w:type="gramStart"/>
      <w:r w:rsidRPr="1810D5F6">
        <w:rPr>
          <w:rFonts w:ascii="Century Gothic" w:eastAsia="Calibri" w:hAnsi="Century Gothic" w:cs="Arial"/>
          <w:color w:val="000000" w:themeColor="text1"/>
          <w:sz w:val="21"/>
          <w:szCs w:val="21"/>
          <w:lang w:val="es-ES"/>
        </w:rPr>
        <w:t>( un</w:t>
      </w:r>
      <w:proofErr w:type="gramEnd"/>
      <w:r w:rsidRPr="1810D5F6">
        <w:rPr>
          <w:rFonts w:ascii="Century Gothic" w:eastAsia="Calibri" w:hAnsi="Century Gothic" w:cs="Arial"/>
          <w:color w:val="000000" w:themeColor="text1"/>
          <w:sz w:val="21"/>
          <w:szCs w:val="21"/>
          <w:lang w:val="es-ES"/>
        </w:rPr>
        <w:t xml:space="preserve"> % es regalías y otro % es recursos propios) que se transfiere al fondo mixto: se requiere suscribir convenio interadministrativo? </w:t>
      </w:r>
      <w:proofErr w:type="gramStart"/>
      <w:r w:rsidRPr="1810D5F6">
        <w:rPr>
          <w:rFonts w:ascii="Century Gothic" w:eastAsia="Calibri" w:hAnsi="Century Gothic" w:cs="Arial"/>
          <w:color w:val="000000" w:themeColor="text1"/>
          <w:sz w:val="21"/>
          <w:szCs w:val="21"/>
          <w:lang w:val="es-ES"/>
        </w:rPr>
        <w:t>Si es así, debe utilizar pliego tipo?</w:t>
      </w:r>
      <w:proofErr w:type="gramEnd"/>
    </w:p>
    <w:p w14:paraId="122D3CDF" w14:textId="77777777" w:rsidR="00AB7F16" w:rsidRPr="00AB7F16" w:rsidRDefault="00AB7F16" w:rsidP="00AB7F16">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6C84F0C7"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t xml:space="preserve">3. Los fondos mixtos tendrían que publicar en SECOP su actividad contractual sea en virtud de la citada ley a pesar de su </w:t>
      </w:r>
      <w:proofErr w:type="spellStart"/>
      <w:r w:rsidRPr="1810D5F6">
        <w:rPr>
          <w:rFonts w:ascii="Century Gothic" w:eastAsia="Calibri" w:hAnsi="Century Gothic" w:cs="Arial"/>
          <w:color w:val="000000" w:themeColor="text1"/>
          <w:sz w:val="21"/>
          <w:szCs w:val="21"/>
          <w:lang w:val="es-ES"/>
        </w:rPr>
        <w:t>regimen</w:t>
      </w:r>
      <w:proofErr w:type="spellEnd"/>
      <w:r w:rsidRPr="1810D5F6">
        <w:rPr>
          <w:rFonts w:ascii="Century Gothic" w:eastAsia="Calibri" w:hAnsi="Century Gothic" w:cs="Arial"/>
          <w:color w:val="000000" w:themeColor="text1"/>
          <w:sz w:val="21"/>
          <w:szCs w:val="21"/>
          <w:lang w:val="es-ES"/>
        </w:rPr>
        <w:t xml:space="preserve"> privado y su carácter descentralizada </w:t>
      </w:r>
      <w:proofErr w:type="spellStart"/>
      <w:proofErr w:type="gramStart"/>
      <w:r w:rsidRPr="1810D5F6">
        <w:rPr>
          <w:rFonts w:ascii="Century Gothic" w:eastAsia="Calibri" w:hAnsi="Century Gothic" w:cs="Arial"/>
          <w:color w:val="000000" w:themeColor="text1"/>
          <w:sz w:val="21"/>
          <w:szCs w:val="21"/>
          <w:lang w:val="es-ES"/>
        </w:rPr>
        <w:t>indirecta?hace</w:t>
      </w:r>
      <w:proofErr w:type="spellEnd"/>
      <w:proofErr w:type="gramEnd"/>
      <w:r w:rsidRPr="1810D5F6">
        <w:rPr>
          <w:rFonts w:ascii="Century Gothic" w:eastAsia="Calibri" w:hAnsi="Century Gothic" w:cs="Arial"/>
          <w:color w:val="000000" w:themeColor="text1"/>
          <w:sz w:val="21"/>
          <w:szCs w:val="21"/>
          <w:lang w:val="es-ES"/>
        </w:rPr>
        <w:t xml:space="preserve"> relación al contrato No. 2023-0862 celebrado por la Alcaldía Municipal de Fusagasugá, Cundinamarca.” [SIC]</w:t>
      </w:r>
    </w:p>
    <w:p w14:paraId="43160438" w14:textId="77777777" w:rsidR="00AB7F16" w:rsidRPr="00AB7F16" w:rsidRDefault="00AB7F16" w:rsidP="00AB7F16">
      <w:pPr>
        <w:shd w:val="clear" w:color="auto" w:fill="FFFFFF"/>
        <w:spacing w:after="0" w:line="240" w:lineRule="auto"/>
        <w:ind w:left="709" w:right="709"/>
        <w:jc w:val="both"/>
        <w:rPr>
          <w:rFonts w:ascii="Century Gothic" w:eastAsia="Calibri" w:hAnsi="Century Gothic" w:cs="Arial"/>
          <w:color w:val="000000"/>
          <w:lang w:val="es-ES_tradnl"/>
        </w:rPr>
      </w:pPr>
    </w:p>
    <w:p w14:paraId="3EACB0FC" w14:textId="77777777" w:rsidR="00AB7F16" w:rsidRPr="00AB7F16" w:rsidRDefault="00AB7F16" w:rsidP="00AB7F16">
      <w:pPr>
        <w:numPr>
          <w:ilvl w:val="0"/>
          <w:numId w:val="6"/>
        </w:numPr>
        <w:shd w:val="clear" w:color="auto" w:fill="FFFFFF"/>
        <w:tabs>
          <w:tab w:val="left" w:pos="0"/>
          <w:tab w:val="left" w:pos="284"/>
        </w:tabs>
        <w:spacing w:after="0" w:line="278" w:lineRule="auto"/>
        <w:ind w:left="357" w:hanging="357"/>
        <w:contextualSpacing/>
        <w:jc w:val="both"/>
        <w:rPr>
          <w:rFonts w:ascii="Century Gothic" w:eastAsia="Calibri" w:hAnsi="Century Gothic" w:cs="Arial"/>
          <w:b/>
          <w:color w:val="000000"/>
          <w:lang w:val="es-ES_tradnl"/>
        </w:rPr>
      </w:pPr>
      <w:r w:rsidRPr="00AB7F16">
        <w:rPr>
          <w:rFonts w:ascii="Century Gothic" w:eastAsia="Calibri" w:hAnsi="Century Gothic" w:cs="Arial"/>
          <w:b/>
          <w:color w:val="000000"/>
          <w:lang w:val="es-ES_tradnl"/>
        </w:rPr>
        <w:t>Consideraciones</w:t>
      </w:r>
    </w:p>
    <w:p w14:paraId="020E88D2" w14:textId="77777777" w:rsidR="00AB7F16" w:rsidRPr="00AB7F16" w:rsidRDefault="00AB7F16" w:rsidP="00AB7F16">
      <w:pPr>
        <w:shd w:val="clear" w:color="auto" w:fill="FFFFFF"/>
        <w:spacing w:after="0" w:line="276" w:lineRule="auto"/>
        <w:jc w:val="both"/>
        <w:rPr>
          <w:rFonts w:ascii="Century Gothic" w:eastAsia="Calibri" w:hAnsi="Century Gothic" w:cs="Arial"/>
          <w:color w:val="000000"/>
          <w:lang w:val="es-ES"/>
        </w:rPr>
      </w:pPr>
    </w:p>
    <w:p w14:paraId="02A38888" w14:textId="77777777" w:rsidR="00AB7F16" w:rsidRPr="00AB7F16" w:rsidRDefault="00AB7F16" w:rsidP="00AB7F16">
      <w:pPr>
        <w:shd w:val="clear" w:color="auto" w:fill="FFFFFF"/>
        <w:spacing w:after="120" w:line="276" w:lineRule="auto"/>
        <w:jc w:val="both"/>
        <w:rPr>
          <w:rFonts w:ascii="Century Gothic" w:eastAsia="Calibri" w:hAnsi="Century Gothic" w:cs="Arial"/>
          <w:color w:val="000000"/>
        </w:rPr>
      </w:pPr>
      <w:r w:rsidRPr="00AB7F16">
        <w:rPr>
          <w:rFonts w:ascii="Century Gothic" w:eastAsia="Calibri" w:hAnsi="Century Gothic" w:cs="Arial"/>
          <w:color w:val="000000"/>
        </w:rPr>
        <w:t>La Agencia Nacional de Contratación Pública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56B96B46" w14:textId="77777777" w:rsidR="00AB7F16" w:rsidRPr="00AB7F16" w:rsidRDefault="00AB7F16" w:rsidP="00AB7F16">
      <w:pPr>
        <w:shd w:val="clear" w:color="auto" w:fill="FFFFFF"/>
        <w:spacing w:after="120" w:line="276" w:lineRule="auto"/>
        <w:ind w:firstLine="708"/>
        <w:jc w:val="both"/>
        <w:rPr>
          <w:rFonts w:ascii="Century Gothic" w:eastAsia="Calibri" w:hAnsi="Century Gothic" w:cs="Arial"/>
          <w:color w:val="000000"/>
        </w:rPr>
      </w:pPr>
      <w:r w:rsidRPr="00AB7F16">
        <w:rPr>
          <w:rFonts w:ascii="Century Gothic" w:eastAsia="Calibri" w:hAnsi="Century Gothic"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w:t>
      </w:r>
      <w:r w:rsidRPr="00AB7F16">
        <w:rPr>
          <w:rFonts w:ascii="Century Gothic" w:eastAsia="Calibri" w:hAnsi="Century Gothic" w:cs="Arial"/>
          <w:color w:val="000000"/>
        </w:rPr>
        <w:lastRenderedPageBreak/>
        <w:t xml:space="preserve">asesorías sobre casos puntuales ni interpretar normas ajenas al sistema de compras públicas. </w:t>
      </w:r>
    </w:p>
    <w:p w14:paraId="2255512A" w14:textId="77777777" w:rsidR="00AB7F16" w:rsidRPr="00AB7F16" w:rsidRDefault="00AB7F16" w:rsidP="00AB7F16">
      <w:pPr>
        <w:shd w:val="clear" w:color="auto" w:fill="FFFFFF"/>
        <w:spacing w:after="120" w:line="276" w:lineRule="auto"/>
        <w:jc w:val="both"/>
        <w:rPr>
          <w:rFonts w:ascii="Century Gothic" w:eastAsia="Calibri" w:hAnsi="Century Gothic" w:cs="Arial"/>
          <w:bCs/>
          <w:color w:val="000000"/>
          <w:lang w:val="es-ES"/>
        </w:rPr>
      </w:pPr>
      <w:r w:rsidRPr="00AB7F16">
        <w:rPr>
          <w:rFonts w:ascii="Century Gothic" w:eastAsia="Calibri" w:hAnsi="Century Gothic" w:cs="Arial"/>
          <w:color w:val="000000"/>
        </w:rPr>
        <w:tab/>
        <w:t>En este contexto, la Subdirección de Gestión Contractual, dentro de los límites de sus atribuciones, resolverá la consulta conforme a las normas generales en materia de contratación estatal. Con este objetivo se analizarán</w:t>
      </w:r>
      <w:r w:rsidRPr="00AB7F16">
        <w:rPr>
          <w:rFonts w:ascii="Century Gothic" w:eastAsia="Calibri" w:hAnsi="Century Gothic" w:cs="Arial"/>
          <w:color w:val="000000"/>
          <w:lang w:val="es-ES"/>
        </w:rPr>
        <w:t xml:space="preserve"> los siguientes temas: </w:t>
      </w:r>
      <w:r w:rsidRPr="00AB7F16">
        <w:rPr>
          <w:rFonts w:ascii="Century Gothic" w:eastAsia="Calibri" w:hAnsi="Century Gothic" w:cs="Arial"/>
          <w:color w:val="000000"/>
          <w:lang w:val="es-ES_tradnl"/>
        </w:rPr>
        <w:t xml:space="preserve">i) fundamento normativo y ámbito de aplicación de los documentos tipo; </w:t>
      </w:r>
      <w:proofErr w:type="spellStart"/>
      <w:r w:rsidRPr="00AB7F16">
        <w:rPr>
          <w:rFonts w:ascii="Century Gothic" w:eastAsia="Calibri" w:hAnsi="Century Gothic" w:cs="Arial"/>
          <w:color w:val="000000"/>
          <w:lang w:val="es-ES_tradnl"/>
        </w:rPr>
        <w:t>ii</w:t>
      </w:r>
      <w:proofErr w:type="spellEnd"/>
      <w:r w:rsidRPr="00AB7F16">
        <w:rPr>
          <w:rFonts w:ascii="Century Gothic" w:eastAsia="Calibri" w:hAnsi="Century Gothic" w:cs="Arial"/>
          <w:color w:val="000000"/>
          <w:lang w:val="es-ES_tradnl"/>
        </w:rPr>
        <w:t xml:space="preserve">) 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estatales exceptuadas y particulares, y </w:t>
      </w:r>
      <w:proofErr w:type="spellStart"/>
      <w:r w:rsidRPr="00AB7F16">
        <w:rPr>
          <w:rFonts w:ascii="Century Gothic" w:eastAsia="Calibri" w:hAnsi="Century Gothic" w:cs="Arial"/>
          <w:color w:val="000000"/>
          <w:lang w:val="es-ES_tradnl"/>
        </w:rPr>
        <w:t>iii</w:t>
      </w:r>
      <w:proofErr w:type="spellEnd"/>
      <w:r w:rsidRPr="00AB7F16">
        <w:rPr>
          <w:rFonts w:ascii="Century Gothic" w:eastAsia="Calibri" w:hAnsi="Century Gothic" w:cs="Arial"/>
          <w:color w:val="000000"/>
          <w:lang w:val="es-ES_tradnl"/>
        </w:rPr>
        <w:t>)</w:t>
      </w:r>
      <w:r w:rsidRPr="00AB7F16">
        <w:rPr>
          <w:rFonts w:ascii="Aptos" w:eastAsia="Aptos" w:hAnsi="Aptos" w:cs="Times New Roman"/>
          <w:kern w:val="2"/>
          <w:sz w:val="24"/>
          <w:szCs w:val="24"/>
          <w:lang w:val="es-ES_tradnl"/>
          <w14:ligatures w14:val="standardContextual"/>
        </w:rPr>
        <w:t xml:space="preserve"> </w:t>
      </w:r>
      <w:r w:rsidRPr="00AB7F16">
        <w:rPr>
          <w:rFonts w:ascii="Century Gothic" w:eastAsia="Calibri" w:hAnsi="Century Gothic" w:cs="Arial"/>
          <w:color w:val="000000"/>
          <w:lang w:val="es-ES_tradnl"/>
        </w:rPr>
        <w:t xml:space="preserve">deber de las entidades estatales, exceptuadas del Estatuto General de Contratación de la Administración Pública, de publicar los documentos relacionados con su actividad contractual en el SECOP II. </w:t>
      </w:r>
    </w:p>
    <w:p w14:paraId="3E178A4E" w14:textId="77777777" w:rsidR="00AB7F16" w:rsidRPr="00AB7F16" w:rsidRDefault="00AB7F16" w:rsidP="00AB7F16">
      <w:pPr>
        <w:shd w:val="clear" w:color="auto" w:fill="FFFFFF"/>
        <w:spacing w:after="120" w:line="276" w:lineRule="auto"/>
        <w:ind w:firstLine="708"/>
        <w:jc w:val="both"/>
        <w:rPr>
          <w:rFonts w:ascii="Century Gothic" w:eastAsia="Calibri" w:hAnsi="Century Gothic" w:cs="Arial"/>
          <w:color w:val="000000"/>
        </w:rPr>
      </w:pPr>
      <w:r w:rsidRPr="00AB7F16">
        <w:rPr>
          <w:rFonts w:ascii="Century Gothic" w:eastAsia="Calibri" w:hAnsi="Century Gothic" w:cs="Arial"/>
          <w:color w:val="000000"/>
        </w:rPr>
        <w:t xml:space="preserve">La Agencia Nacional de Contratación Pública – Colombia Compra Eficiente se ha pronunciado sobre el alcance del artículo 56 de la Ley 2195 de 2022, específicamente, a partir del concepto 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C-483 del 5 de agosto de 2022, C-496 del 3 de agosto de 2022, C-501 del 29 de julio de 2022, C-556 del 3 de agosto de 2022 y C-532 del 22 de agosto de 2022, entre otros. El mismo tema ha sido estudiado por esta Subdirección en los conceptos C-486 del 2 de septiembre de 2022, C-671 del 19 de octubre de 2022, C-576 del 25 de octubre de 2022, C-042 del 29 de marzo de 2023, C-299 del 24 de julio de 2023 y C-399 del 29 de septiembre de 2023. </w:t>
      </w:r>
    </w:p>
    <w:p w14:paraId="2821A835" w14:textId="77777777" w:rsidR="00AB7F16" w:rsidRPr="00AB7F16" w:rsidRDefault="00AB7F16" w:rsidP="00AB7F16">
      <w:pPr>
        <w:shd w:val="clear" w:color="auto" w:fill="FFFFFF"/>
        <w:spacing w:after="0" w:line="276" w:lineRule="auto"/>
        <w:ind w:firstLine="709"/>
        <w:jc w:val="both"/>
        <w:rPr>
          <w:rFonts w:ascii="Century Gothic" w:eastAsia="Calibri" w:hAnsi="Century Gothic" w:cs="Arial"/>
          <w:color w:val="000000"/>
        </w:rPr>
      </w:pPr>
      <w:r w:rsidRPr="00AB7F16">
        <w:rPr>
          <w:rFonts w:ascii="Century Gothic" w:eastAsia="Calibri" w:hAnsi="Century Gothic" w:cs="Arial"/>
          <w:color w:val="000000"/>
        </w:rPr>
        <w:t xml:space="preserve">A su vez, </w:t>
      </w:r>
      <w:r w:rsidRPr="00AB7F16">
        <w:rPr>
          <w:rFonts w:ascii="Century Gothic" w:eastAsia="Calibri" w:hAnsi="Century Gothic" w:cs="Arial"/>
          <w:bCs/>
          <w:kern w:val="2"/>
          <w:lang w:val="es-MX"/>
          <w14:ligatures w14:val="standardContextual"/>
        </w:rPr>
        <w:t xml:space="preserve">esta Agencia se ha pronunciado en diferentes oportunidades respecto a la aplicación los principios de publicidad y de acceso a la información pública en la contratación estatal, sus fundamentos normativos y el deber de publicar la documentación contractual en el SECOP, en conceptos como el CU-367 del 23 de julio de 2020, reiterado en los conceptos: C−433 de 24 de julio de 2020, C−468 del 24 de julio de 2020, C−474 de 24 de julio de 2020, C−488 del 28 de julio de 2020, C−544 del 21 de agosto de 2020, C−575 del 27 de agosto de 2020, C−643 </w:t>
      </w:r>
      <w:r w:rsidRPr="00AB7F16">
        <w:rPr>
          <w:rFonts w:ascii="Century Gothic" w:eastAsia="Calibri" w:hAnsi="Century Gothic" w:cs="Arial"/>
          <w:bCs/>
          <w:kern w:val="2"/>
          <w:lang w:val="es-MX"/>
          <w14:ligatures w14:val="standardContextual"/>
        </w:rPr>
        <w:lastRenderedPageBreak/>
        <w:t>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C-071 del 28 de marzo del 2023 y C-457 del 24 de octubre de 2023</w:t>
      </w:r>
      <w:r w:rsidRPr="00AB7F16">
        <w:rPr>
          <w:rFonts w:ascii="Century Gothic" w:eastAsia="Aptos" w:hAnsi="Century Gothic" w:cs="Arial"/>
          <w:color w:val="000000"/>
          <w:kern w:val="2"/>
          <w:sz w:val="24"/>
          <w:szCs w:val="24"/>
          <w:vertAlign w:val="superscript"/>
          <w:lang w:val="es-ES_tradnl"/>
          <w14:ligatures w14:val="standardContextual"/>
        </w:rPr>
        <w:footnoteReference w:id="1"/>
      </w:r>
      <w:r w:rsidRPr="00AB7F16">
        <w:rPr>
          <w:rFonts w:ascii="Century Gothic" w:eastAsia="Calibri" w:hAnsi="Century Gothic" w:cs="Arial"/>
          <w:bCs/>
          <w:kern w:val="2"/>
          <w:lang w:val="es-MX"/>
          <w14:ligatures w14:val="standardContextual"/>
        </w:rPr>
        <w:t>.</w:t>
      </w:r>
      <w:r w:rsidRPr="00AB7F16">
        <w:rPr>
          <w:rFonts w:ascii="Century Gothic" w:eastAsia="Calibri" w:hAnsi="Century Gothic" w:cs="Arial"/>
          <w:color w:val="000000"/>
        </w:rPr>
        <w:t xml:space="preserve"> Las tesis propuestas en estos conceptos se reiteran a continuación y se complementan en lo pertinente, de acuerdo con las preguntas realizadas.  </w:t>
      </w:r>
    </w:p>
    <w:p w14:paraId="2E3EB2E0" w14:textId="77777777" w:rsidR="00AB7F16" w:rsidRPr="00AB7F16" w:rsidRDefault="00AB7F16" w:rsidP="00AB7F16">
      <w:pPr>
        <w:shd w:val="clear" w:color="auto" w:fill="FFFFFF"/>
        <w:spacing w:after="0" w:line="276" w:lineRule="auto"/>
        <w:ind w:firstLine="709"/>
        <w:jc w:val="both"/>
        <w:rPr>
          <w:rFonts w:ascii="Century Gothic" w:eastAsia="Calibri" w:hAnsi="Century Gothic" w:cs="Arial"/>
          <w:color w:val="000000"/>
        </w:rPr>
      </w:pPr>
    </w:p>
    <w:p w14:paraId="36610900" w14:textId="77777777" w:rsidR="00AB7F16" w:rsidRPr="00AB7F16" w:rsidRDefault="00AB7F16" w:rsidP="00AB7F16">
      <w:pPr>
        <w:spacing w:after="0" w:line="276" w:lineRule="auto"/>
        <w:contextualSpacing/>
        <w:jc w:val="both"/>
        <w:rPr>
          <w:rFonts w:ascii="Century Gothic" w:eastAsia="Arial" w:hAnsi="Century Gothic" w:cs="Arial"/>
          <w:b/>
          <w:bCs/>
          <w:lang w:val="es-ES_tradnl" w:eastAsia="es-ES_tradnl"/>
        </w:rPr>
      </w:pPr>
      <w:r w:rsidRPr="00AB7F16">
        <w:rPr>
          <w:rFonts w:ascii="Century Gothic" w:eastAsia="Arial" w:hAnsi="Century Gothic" w:cs="Arial"/>
          <w:b/>
          <w:bCs/>
          <w:lang w:val="es-ES_tradnl" w:eastAsia="es-ES_tradnl"/>
        </w:rPr>
        <w:t xml:space="preserve">2.1. </w:t>
      </w:r>
      <w:bookmarkStart w:id="5" w:name="_Hlk110852287"/>
      <w:r w:rsidRPr="00AB7F16">
        <w:rPr>
          <w:rFonts w:ascii="Century Gothic" w:eastAsia="Arial" w:hAnsi="Century Gothic" w:cs="Arial"/>
          <w:b/>
          <w:bCs/>
          <w:lang w:val="es-ES_tradnl" w:eastAsia="es-ES_tradnl"/>
        </w:rPr>
        <w:t xml:space="preserve">Fundamento normativo y ámbito de aplicación de los documentos tipo </w:t>
      </w:r>
      <w:bookmarkEnd w:id="5"/>
    </w:p>
    <w:p w14:paraId="43A325BC" w14:textId="77777777" w:rsidR="00AB7F16" w:rsidRPr="00AB7F16" w:rsidRDefault="00AB7F16" w:rsidP="00AB7F16">
      <w:pPr>
        <w:spacing w:after="0" w:line="240" w:lineRule="auto"/>
        <w:contextualSpacing/>
        <w:jc w:val="both"/>
        <w:rPr>
          <w:rFonts w:ascii="Century Gothic" w:eastAsia="Arial" w:hAnsi="Century Gothic" w:cs="Arial"/>
          <w:b/>
          <w:bCs/>
          <w:lang w:val="es-ES_tradnl" w:eastAsia="es-ES_tradnl"/>
        </w:rPr>
      </w:pPr>
    </w:p>
    <w:p w14:paraId="64EB63E1" w14:textId="77777777" w:rsidR="00AB7F16" w:rsidRPr="00AB7F16" w:rsidRDefault="00AB7F16" w:rsidP="00AB7F16">
      <w:pPr>
        <w:spacing w:after="120" w:line="276" w:lineRule="auto"/>
        <w:jc w:val="both"/>
        <w:rPr>
          <w:rFonts w:ascii="Century Gothic" w:eastAsia="Calibri" w:hAnsi="Century Gothic" w:cs="Arial"/>
          <w:color w:val="000000"/>
          <w:szCs w:val="24"/>
          <w:lang w:val="es-ES" w:eastAsia="es-ES_tradnl"/>
        </w:rPr>
      </w:pPr>
      <w:bookmarkStart w:id="6" w:name="_Hlk113022941"/>
      <w:r w:rsidRPr="00AB7F16">
        <w:rPr>
          <w:rFonts w:ascii="Century Gothic" w:eastAsia="Calibri" w:hAnsi="Century Gothic" w:cs="Arial"/>
          <w:color w:val="000000"/>
          <w:szCs w:val="24"/>
          <w:lang w:val="es-ES" w:eastAsia="es-ES_tradnl"/>
        </w:rPr>
        <w:t>La adopción de los documentos tipo obligatorios en el ordenamiento jurídico colombiano se incluyó por primera vez en el parágrafo 3 del artículo 2 de la Ley 1150 de 2007</w:t>
      </w:r>
      <w:r w:rsidRPr="00AB7F16">
        <w:rPr>
          <w:rFonts w:ascii="Century Gothic" w:eastAsia="Calibri" w:hAnsi="Century Gothic" w:cs="Arial"/>
          <w:color w:val="000000"/>
          <w:szCs w:val="24"/>
          <w:vertAlign w:val="superscript"/>
          <w:lang w:val="es-ES" w:eastAsia="es-ES_tradnl"/>
        </w:rPr>
        <w:footnoteReference w:id="2"/>
      </w:r>
      <w:r w:rsidRPr="00AB7F16">
        <w:rPr>
          <w:rFonts w:ascii="Century Gothic" w:eastAsia="Calibri" w:hAnsi="Century Gothic"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Como esta atribución no ha sido ejercida hasta la actualidad, el artículo 4 de la Ley 1882 de 2018 es el antecedente más relevante de la expedición de documentos tipo con alcance obligatorio. </w:t>
      </w:r>
    </w:p>
    <w:p w14:paraId="35638CA0" w14:textId="77777777" w:rsidR="00AB7F16" w:rsidRPr="00AB7F16" w:rsidRDefault="00AB7F16" w:rsidP="00AB7F16">
      <w:pPr>
        <w:spacing w:after="120" w:line="276" w:lineRule="auto"/>
        <w:ind w:firstLine="708"/>
        <w:jc w:val="both"/>
        <w:rPr>
          <w:rFonts w:ascii="Century Gothic" w:eastAsia="Calibri" w:hAnsi="Century Gothic" w:cs="Arial"/>
          <w:color w:val="000000"/>
          <w:szCs w:val="24"/>
          <w:lang w:val="es-ES" w:eastAsia="es-ES_tradnl"/>
        </w:rPr>
      </w:pPr>
      <w:r w:rsidRPr="00AB7F16">
        <w:rPr>
          <w:rFonts w:ascii="Century Gothic" w:eastAsia="Calibri" w:hAnsi="Century Gothic" w:cs="Arial"/>
          <w:color w:val="000000"/>
          <w:szCs w:val="24"/>
          <w:lang w:val="es-ES" w:eastAsia="es-ES_tradnl"/>
        </w:rPr>
        <w:t xml:space="preserve">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w:t>
      </w:r>
      <w:r w:rsidRPr="00AB7F16">
        <w:rPr>
          <w:rFonts w:ascii="Century Gothic" w:eastAsia="Calibri" w:hAnsi="Century Gothic" w:cs="Arial"/>
          <w:color w:val="000000"/>
          <w:szCs w:val="24"/>
          <w:lang w:val="es-ES" w:eastAsia="es-ES_tradnl"/>
        </w:rPr>
        <w:lastRenderedPageBreak/>
        <w:t>públicas y consultoría en ingeniería para obras, los cuales debían ser utilizados por todas las entidades sometidas al Estatuto General de Contratación de la Administración Pública en los procesos de selección que adelantaran</w:t>
      </w:r>
      <w:r w:rsidRPr="00AB7F16">
        <w:rPr>
          <w:rFonts w:ascii="Century Gothic" w:eastAsia="Calibri" w:hAnsi="Century Gothic" w:cs="Arial"/>
          <w:color w:val="000000"/>
          <w:szCs w:val="24"/>
          <w:vertAlign w:val="superscript"/>
          <w:lang w:val="es-ES" w:eastAsia="es-ES_tradnl"/>
        </w:rPr>
        <w:footnoteReference w:id="3"/>
      </w:r>
      <w:r w:rsidRPr="00AB7F16">
        <w:rPr>
          <w:rFonts w:ascii="Century Gothic" w:eastAsia="Calibri" w:hAnsi="Century Gothic" w:cs="Arial"/>
          <w:color w:val="000000"/>
          <w:szCs w:val="24"/>
          <w:lang w:val="es-ES" w:eastAsia="es-ES_tradnl"/>
        </w:rPr>
        <w:t>.</w:t>
      </w:r>
    </w:p>
    <w:p w14:paraId="4716A074" w14:textId="77777777" w:rsidR="00AB7F16" w:rsidRPr="00AB7F16" w:rsidRDefault="00AB7F16" w:rsidP="00AB7F16">
      <w:pPr>
        <w:spacing w:before="120" w:after="120" w:line="276" w:lineRule="auto"/>
        <w:jc w:val="both"/>
        <w:rPr>
          <w:rFonts w:ascii="Century Gothic" w:eastAsia="Calibri" w:hAnsi="Century Gothic" w:cs="Arial"/>
          <w:color w:val="000000"/>
          <w:szCs w:val="24"/>
          <w:lang w:val="es-ES" w:eastAsia="es-ES_tradnl"/>
        </w:rPr>
      </w:pPr>
      <w:r w:rsidRPr="00AB7F16">
        <w:rPr>
          <w:rFonts w:ascii="Century Gothic" w:eastAsia="Calibri" w:hAnsi="Century Gothic"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A16632C" w14:textId="77777777" w:rsidR="00AB7F16" w:rsidRPr="00AB7F16" w:rsidRDefault="00AB7F16" w:rsidP="00AB7F16">
      <w:pPr>
        <w:spacing w:before="120" w:after="120" w:line="276" w:lineRule="auto"/>
        <w:jc w:val="both"/>
        <w:rPr>
          <w:rFonts w:ascii="Century Gothic" w:eastAsia="Calibri" w:hAnsi="Century Gothic" w:cs="Arial"/>
          <w:color w:val="000000"/>
          <w:szCs w:val="24"/>
          <w:lang w:val="es-ES" w:eastAsia="es-ES_tradnl"/>
        </w:rPr>
      </w:pPr>
      <w:r w:rsidRPr="00AB7F16">
        <w:rPr>
          <w:rFonts w:ascii="Century Gothic" w:eastAsia="Calibri" w:hAnsi="Century Gothic" w:cs="Arial"/>
          <w:color w:val="000000"/>
          <w:szCs w:val="24"/>
          <w:lang w:val="es-ES" w:eastAsia="es-ES_tradnl"/>
        </w:rPr>
        <w:tab/>
        <w:t xml:space="preserve">De la norma descrita se concluía lo siguiente: i) la adopción de los documentos tipo estaba en cabeza del gobierno nacional; </w:t>
      </w:r>
      <w:proofErr w:type="spellStart"/>
      <w:r w:rsidRPr="00AB7F16">
        <w:rPr>
          <w:rFonts w:ascii="Century Gothic" w:eastAsia="Calibri" w:hAnsi="Century Gothic" w:cs="Arial"/>
          <w:color w:val="000000"/>
          <w:szCs w:val="24"/>
          <w:lang w:val="es-ES" w:eastAsia="es-ES_tradnl"/>
        </w:rPr>
        <w:t>ii</w:t>
      </w:r>
      <w:proofErr w:type="spellEnd"/>
      <w:r w:rsidRPr="00AB7F16">
        <w:rPr>
          <w:rFonts w:ascii="Century Gothic" w:eastAsia="Calibri" w:hAnsi="Century Gothic"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AB7F16">
        <w:rPr>
          <w:rFonts w:ascii="Century Gothic" w:eastAsia="Calibri" w:hAnsi="Century Gothic" w:cs="Arial"/>
          <w:color w:val="000000"/>
          <w:szCs w:val="24"/>
          <w:lang w:val="es-ES" w:eastAsia="es-ES_tradnl"/>
        </w:rPr>
        <w:t>iii</w:t>
      </w:r>
      <w:proofErr w:type="spellEnd"/>
      <w:r w:rsidRPr="00AB7F16">
        <w:rPr>
          <w:rFonts w:ascii="Century Gothic" w:eastAsia="Calibri" w:hAnsi="Century Gothic"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AB7F16">
        <w:rPr>
          <w:rFonts w:ascii="Century Gothic" w:eastAsia="Calibri" w:hAnsi="Century Gothic" w:cs="Arial"/>
          <w:color w:val="000000"/>
          <w:szCs w:val="24"/>
          <w:lang w:val="es-ES" w:eastAsia="es-ES_tradnl"/>
        </w:rPr>
        <w:t>iv</w:t>
      </w:r>
      <w:proofErr w:type="spellEnd"/>
      <w:r w:rsidRPr="00AB7F16">
        <w:rPr>
          <w:rFonts w:ascii="Century Gothic" w:eastAsia="Calibri" w:hAnsi="Century Gothic"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w:t>
      </w:r>
      <w:r w:rsidRPr="00AB7F16">
        <w:rPr>
          <w:rFonts w:ascii="Century Gothic" w:eastAsia="Calibri" w:hAnsi="Century Gothic" w:cs="Arial"/>
          <w:color w:val="000000"/>
          <w:szCs w:val="24"/>
          <w:lang w:val="es-ES" w:eastAsia="es-ES_tradnl"/>
        </w:rPr>
        <w:lastRenderedPageBreak/>
        <w:t xml:space="preserve">tenía la facultad de adoptar documentos tipo en otros contratos o procesos de selección, y por último, vi) los documentos tipo serían adoptados por categorías de acuerdo con la cuantía de la contratación. </w:t>
      </w:r>
    </w:p>
    <w:p w14:paraId="57E77170" w14:textId="77777777" w:rsidR="00AB7F16" w:rsidRPr="00AB7F16" w:rsidRDefault="00AB7F16" w:rsidP="00AB7F16">
      <w:pPr>
        <w:spacing w:before="120" w:after="120" w:line="276" w:lineRule="auto"/>
        <w:jc w:val="both"/>
        <w:rPr>
          <w:rFonts w:ascii="Century Gothic" w:eastAsia="Calibri" w:hAnsi="Century Gothic" w:cs="Arial"/>
          <w:color w:val="000000"/>
          <w:szCs w:val="24"/>
          <w:lang w:val="es-ES" w:eastAsia="es-ES_tradnl"/>
        </w:rPr>
      </w:pPr>
      <w:r w:rsidRPr="00AB7F16">
        <w:rPr>
          <w:rFonts w:ascii="Century Gothic" w:eastAsia="Calibri" w:hAnsi="Century Gothic"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AB7F16">
        <w:rPr>
          <w:rFonts w:ascii="Century Gothic" w:eastAsia="Calibri" w:hAnsi="Century Gothic" w:cs="Arial"/>
          <w:color w:val="000000"/>
          <w:szCs w:val="24"/>
          <w:vertAlign w:val="superscript"/>
          <w:lang w:val="es-ES" w:eastAsia="es-ES_tradnl"/>
        </w:rPr>
        <w:footnoteReference w:id="4"/>
      </w:r>
      <w:r w:rsidRPr="00AB7F16">
        <w:rPr>
          <w:rFonts w:ascii="Century Gothic" w:eastAsia="Calibri" w:hAnsi="Century Gothic" w:cs="Arial"/>
          <w:color w:val="000000"/>
          <w:szCs w:val="24"/>
          <w:lang w:val="es-ES" w:eastAsia="es-ES_tradnl"/>
        </w:rPr>
        <w:t>.</w:t>
      </w:r>
    </w:p>
    <w:p w14:paraId="64F7C973" w14:textId="77777777" w:rsidR="00AB7F16" w:rsidRPr="00AB7F16" w:rsidRDefault="00AB7F16" w:rsidP="00AB7F16">
      <w:pPr>
        <w:spacing w:before="120" w:after="120" w:line="276" w:lineRule="auto"/>
        <w:jc w:val="both"/>
        <w:rPr>
          <w:rFonts w:ascii="Century Gothic" w:eastAsia="Calibri" w:hAnsi="Century Gothic" w:cs="Arial"/>
          <w:color w:val="000000"/>
          <w:szCs w:val="24"/>
          <w:lang w:val="es-ES" w:eastAsia="es-ES_tradnl"/>
        </w:rPr>
      </w:pPr>
      <w:r w:rsidRPr="00AB7F16">
        <w:rPr>
          <w:rFonts w:ascii="Century Gothic" w:eastAsia="Calibri" w:hAnsi="Century Gothic"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0F832F9" w14:textId="77777777" w:rsidR="00AB7F16" w:rsidRPr="00AB7F16" w:rsidRDefault="00AB7F16" w:rsidP="00AB7F16">
      <w:pPr>
        <w:spacing w:before="120" w:after="120" w:line="276" w:lineRule="auto"/>
        <w:jc w:val="both"/>
        <w:rPr>
          <w:rFonts w:ascii="Century Gothic" w:eastAsia="Calibri" w:hAnsi="Century Gothic" w:cs="Arial"/>
          <w:lang w:val="es-ES"/>
        </w:rPr>
      </w:pPr>
      <w:r w:rsidRPr="00AB7F16">
        <w:rPr>
          <w:rFonts w:ascii="Century Gothic" w:eastAsia="Calibri" w:hAnsi="Century Gothic"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AB7F16">
        <w:rPr>
          <w:rFonts w:ascii="Century Gothic" w:eastAsia="Calibri" w:hAnsi="Century Gothic" w:cs="Arial"/>
          <w:lang w:val="es-ES"/>
        </w:rPr>
        <w:t xml:space="preserve">Dada la relevancia económica y el impacto que tienen en el nivel territorial los proyectos </w:t>
      </w:r>
      <w:r w:rsidRPr="00AB7F16">
        <w:rPr>
          <w:rFonts w:ascii="Century Gothic" w:eastAsia="Calibri" w:hAnsi="Century Gothic" w:cs="Arial"/>
          <w:lang w:val="es-ES"/>
        </w:rPr>
        <w:lastRenderedPageBreak/>
        <w:t xml:space="preserve">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CC8270B" w14:textId="77777777" w:rsidR="00AB7F16" w:rsidRPr="00AB7F16" w:rsidRDefault="00AB7F16" w:rsidP="00AB7F16">
      <w:pPr>
        <w:spacing w:before="120" w:after="120" w:line="276" w:lineRule="auto"/>
        <w:jc w:val="both"/>
        <w:rPr>
          <w:rFonts w:ascii="Century Gothic" w:eastAsia="Calibri" w:hAnsi="Century Gothic" w:cs="Arial"/>
          <w:color w:val="000000"/>
          <w:lang w:val="es-ES" w:eastAsia="es-ES_tradnl"/>
        </w:rPr>
      </w:pPr>
      <w:r w:rsidRPr="00AB7F16">
        <w:rPr>
          <w:rFonts w:ascii="Century Gothic" w:eastAsia="Calibri" w:hAnsi="Century Gothic"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AB7F16" w:rsidDel="00A434AB">
        <w:rPr>
          <w:rFonts w:ascii="Century Gothic" w:eastAsia="Calibri" w:hAnsi="Century Gothic" w:cs="Arial"/>
          <w:lang w:val="es-ES"/>
        </w:rPr>
        <w:t xml:space="preserve"> </w:t>
      </w:r>
      <w:r w:rsidRPr="00AB7F16">
        <w:rPr>
          <w:rFonts w:ascii="Century Gothic" w:eastAsia="Calibri" w:hAnsi="Century Gothic"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58E8765" w14:textId="77777777" w:rsidR="00AB7F16" w:rsidRPr="00AB7F16" w:rsidRDefault="00AB7F16" w:rsidP="00AB7F16">
      <w:pPr>
        <w:spacing w:before="120" w:after="120" w:line="276" w:lineRule="auto"/>
        <w:ind w:firstLine="709"/>
        <w:jc w:val="both"/>
        <w:rPr>
          <w:rFonts w:ascii="Century Gothic" w:eastAsia="Calibri" w:hAnsi="Century Gothic" w:cs="Arial"/>
          <w:bdr w:val="none" w:sz="0" w:space="0" w:color="auto" w:frame="1"/>
        </w:rPr>
      </w:pPr>
      <w:bookmarkStart w:id="7" w:name="_Hlk143271549"/>
      <w:r w:rsidRPr="00AB7F16">
        <w:rPr>
          <w:rFonts w:ascii="Century Gothic" w:eastAsia="Calibri" w:hAnsi="Century Gothic" w:cs="Arial"/>
          <w:color w:val="000000"/>
          <w:lang w:val="es-ES" w:eastAsia="es-ES"/>
        </w:rPr>
        <w:t>Por otra parte</w:t>
      </w:r>
      <w:r w:rsidRPr="00AB7F16">
        <w:rPr>
          <w:rFonts w:ascii="Century Gothic" w:eastAsia="Calibri" w:hAnsi="Century Gothic" w:cs="Arial"/>
          <w:i/>
          <w:iCs/>
          <w:color w:val="000000"/>
          <w:lang w:val="es-ES" w:eastAsia="es-ES"/>
        </w:rPr>
        <w:t>,</w:t>
      </w:r>
      <w:r w:rsidRPr="00AB7F16">
        <w:rPr>
          <w:rFonts w:ascii="Century Gothic" w:eastAsia="Calibri" w:hAnsi="Century Gothic" w:cs="Arial"/>
          <w:color w:val="000000"/>
          <w:lang w:val="es-ES" w:eastAsia="es-ES"/>
        </w:rPr>
        <w:t xml:space="preserve"> debe tenerse en cuenta que la Ley 2022 de 2020 fue sancionada por el </w:t>
      </w:r>
      <w:proofErr w:type="gramStart"/>
      <w:r w:rsidRPr="00AB7F16">
        <w:rPr>
          <w:rFonts w:ascii="Century Gothic" w:eastAsia="Calibri" w:hAnsi="Century Gothic" w:cs="Arial"/>
          <w:color w:val="000000"/>
          <w:lang w:val="es-ES" w:eastAsia="es-ES"/>
        </w:rPr>
        <w:t>Presidente</w:t>
      </w:r>
      <w:proofErr w:type="gramEnd"/>
      <w:r w:rsidRPr="00AB7F16">
        <w:rPr>
          <w:rFonts w:ascii="Century Gothic" w:eastAsia="Calibri" w:hAnsi="Century Gothic"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AB7F16">
        <w:rPr>
          <w:rFonts w:ascii="Century Gothic" w:eastAsia="Calibri" w:hAnsi="Century Gothic" w:cs="Arial"/>
          <w:color w:val="000000"/>
          <w:vertAlign w:val="superscript"/>
          <w:lang w:val="es-ES" w:eastAsia="es-ES"/>
        </w:rPr>
        <w:footnoteReference w:id="5"/>
      </w:r>
      <w:r w:rsidRPr="00AB7F16">
        <w:rPr>
          <w:rFonts w:ascii="Century Gothic" w:eastAsia="Calibri" w:hAnsi="Century Gothic" w:cs="Arial"/>
          <w:color w:val="000000"/>
          <w:lang w:val="es-ES" w:eastAsia="es-ES"/>
        </w:rPr>
        <w:t xml:space="preserve">. En este sentido, con la finalidad de </w:t>
      </w:r>
      <w:r w:rsidRPr="00AB7F16">
        <w:rPr>
          <w:rFonts w:ascii="Century Gothic" w:eastAsia="Calibri" w:hAnsi="Century Gothic" w:cs="Arial"/>
          <w:color w:val="000000"/>
          <w:lang w:val="es-ES" w:eastAsia="es-ES"/>
        </w:rPr>
        <w:lastRenderedPageBreak/>
        <w:t xml:space="preserve">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bookmarkEnd w:id="7"/>
    <w:p w14:paraId="07ED0297" w14:textId="77777777" w:rsidR="00AB7F16" w:rsidRPr="00AB7F16" w:rsidRDefault="00AB7F16" w:rsidP="00AB7F16">
      <w:pPr>
        <w:spacing w:before="120" w:after="120" w:line="276" w:lineRule="auto"/>
        <w:ind w:firstLine="709"/>
        <w:jc w:val="both"/>
        <w:rPr>
          <w:rFonts w:ascii="Century Gothic" w:eastAsia="Calibri" w:hAnsi="Century Gothic" w:cs="Arial"/>
          <w:lang w:val="es-ES" w:eastAsia="es-ES"/>
        </w:rPr>
      </w:pPr>
      <w:r w:rsidRPr="00AB7F16">
        <w:rPr>
          <w:rFonts w:ascii="Century Gothic" w:eastAsia="Calibri" w:hAnsi="Century Gothic"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2A89069D" w14:textId="77777777" w:rsidR="00AB7F16" w:rsidRPr="00AB7F16" w:rsidRDefault="00AB7F16" w:rsidP="00AB7F16">
      <w:pPr>
        <w:spacing w:before="120" w:after="120" w:line="276" w:lineRule="auto"/>
        <w:ind w:firstLine="709"/>
        <w:jc w:val="both"/>
        <w:rPr>
          <w:rFonts w:ascii="Century Gothic" w:eastAsia="Calibri" w:hAnsi="Century Gothic" w:cs="Arial"/>
          <w:lang w:val="es-ES" w:eastAsia="es-ES"/>
        </w:rPr>
      </w:pPr>
      <w:r w:rsidRPr="00AB7F16">
        <w:rPr>
          <w:rFonts w:ascii="Century Gothic" w:eastAsia="Calibri" w:hAnsi="Century Gothic"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65CF91DF" w14:textId="77777777" w:rsidR="00AB7F16" w:rsidRPr="00AB7F16" w:rsidRDefault="00AB7F16" w:rsidP="00AB7F16">
      <w:pPr>
        <w:spacing w:before="120" w:after="120" w:line="276" w:lineRule="auto"/>
        <w:ind w:firstLine="709"/>
        <w:jc w:val="both"/>
        <w:rPr>
          <w:rFonts w:ascii="Century Gothic" w:eastAsia="Calibri" w:hAnsi="Century Gothic" w:cs="Arial"/>
        </w:rPr>
      </w:pPr>
      <w:r w:rsidRPr="00AB7F16">
        <w:rPr>
          <w:rFonts w:ascii="Century Gothic" w:eastAsia="Calibri" w:hAnsi="Century Gothic" w:cs="Arial"/>
          <w:color w:val="000000"/>
          <w:lang w:val="es-ES" w:eastAsia="es-ES"/>
        </w:rPr>
        <w:lastRenderedPageBreak/>
        <w:t xml:space="preserve">Asimismo, en el transcurso del año 2021, esta Agencia expidió la Resolución 193 del 14 de julio de 2021, “Por la cual se adoptan los documentos tipo para los procesos de </w:t>
      </w:r>
      <w:r w:rsidRPr="00AB7F16">
        <w:rPr>
          <w:rFonts w:ascii="Century Gothic" w:eastAsia="Calibri" w:hAnsi="Century Gothic"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AB7F16">
        <w:rPr>
          <w:rFonts w:ascii="Century Gothic" w:eastAsia="Calibri" w:hAnsi="Century Gothic" w:cs="Arial"/>
          <w:bCs/>
          <w:iCs/>
          <w:shd w:val="clear" w:color="auto" w:fill="FFFFFF"/>
        </w:rPr>
        <w:t>Por la cual se adoptan los documentos tipo complementarios para los procesos de licitación de obra pública de infraestructura social relacionados con el sector salud</w:t>
      </w:r>
      <w:r w:rsidRPr="00AB7F16">
        <w:rPr>
          <w:rFonts w:ascii="Century Gothic" w:eastAsia="Calibri" w:hAnsi="Century Gothic" w:cs="Arial"/>
          <w:lang w:val="es-ES" w:eastAsia="es-ES"/>
        </w:rPr>
        <w:t>”. Luego, se expidió la Resolución 454 del 16 de diciembre de 2021, “</w:t>
      </w:r>
      <w:r w:rsidRPr="00AB7F16">
        <w:rPr>
          <w:rFonts w:ascii="Century Gothic" w:eastAsia="Calibri" w:hAnsi="Century Gothic" w:cs="Arial"/>
        </w:rPr>
        <w:t>Por la cual se adoptan los documentos tipo complementarios para los procesos de licitación de obra pública de infraestructura social relacionados con el sector cultura, recreación y deporte</w:t>
      </w:r>
      <w:r w:rsidRPr="00AB7F16">
        <w:rPr>
          <w:rFonts w:ascii="Century Gothic" w:eastAsia="Calibri" w:hAnsi="Century Gothic" w:cs="Arial"/>
          <w:lang w:val="es-ES" w:eastAsia="es-ES"/>
        </w:rPr>
        <w:t>”</w:t>
      </w:r>
      <w:r w:rsidRPr="00AB7F16">
        <w:rPr>
          <w:rFonts w:ascii="Century Gothic" w:eastAsia="Calibri" w:hAnsi="Century Gothic" w:cs="Arial"/>
        </w:rPr>
        <w:t>.</w:t>
      </w:r>
    </w:p>
    <w:p w14:paraId="671BF3DF" w14:textId="77777777" w:rsidR="00AB7F16" w:rsidRPr="00AB7F16" w:rsidRDefault="00AB7F16" w:rsidP="00AB7F16">
      <w:pPr>
        <w:spacing w:before="120" w:after="120" w:line="276" w:lineRule="auto"/>
        <w:ind w:firstLine="709"/>
        <w:jc w:val="both"/>
        <w:rPr>
          <w:rFonts w:ascii="Century Gothic" w:eastAsia="Times New Roman" w:hAnsi="Century Gothic" w:cs="Arial"/>
          <w:bdr w:val="none" w:sz="0" w:space="0" w:color="auto" w:frame="1"/>
          <w:lang w:val="es-ES_tradnl" w:eastAsia="es-CO"/>
        </w:rPr>
      </w:pPr>
      <w:r w:rsidRPr="00AB7F16">
        <w:rPr>
          <w:rFonts w:ascii="Century Gothic" w:eastAsia="Times New Roman" w:hAnsi="Century Gothic"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3667A660" w14:textId="77777777" w:rsidR="00AB7F16" w:rsidRPr="00AB7F16" w:rsidRDefault="00AB7F16" w:rsidP="00AB7F16">
      <w:pPr>
        <w:spacing w:before="120" w:after="120" w:line="276" w:lineRule="auto"/>
        <w:ind w:firstLine="709"/>
        <w:jc w:val="both"/>
        <w:rPr>
          <w:rFonts w:ascii="Century Gothic" w:eastAsia="Calibri" w:hAnsi="Century Gothic" w:cs="Arial"/>
          <w:lang w:val="es-ES" w:eastAsia="es-ES"/>
        </w:rPr>
      </w:pPr>
      <w:r w:rsidRPr="00AB7F16">
        <w:rPr>
          <w:rFonts w:ascii="Century Gothic" w:eastAsia="Calibri" w:hAnsi="Century Gothic" w:cs="Arial"/>
          <w:lang w:val="es-ES"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41668E16" w14:textId="77777777" w:rsidR="00AB7F16" w:rsidRPr="00AB7F16" w:rsidRDefault="00AB7F16" w:rsidP="00AB7F16">
      <w:pPr>
        <w:spacing w:after="0" w:line="276" w:lineRule="auto"/>
        <w:ind w:firstLine="709"/>
        <w:jc w:val="both"/>
        <w:rPr>
          <w:rFonts w:ascii="Century Gothic" w:eastAsia="Calibri" w:hAnsi="Century Gothic" w:cs="Arial"/>
          <w:spacing w:val="2"/>
          <w:lang w:eastAsia="es-CO"/>
        </w:rPr>
      </w:pPr>
      <w:r w:rsidRPr="00AB7F16">
        <w:rPr>
          <w:rFonts w:ascii="Century Gothic" w:eastAsia="Calibri" w:hAnsi="Century Gothic" w:cs="Arial"/>
          <w:spacing w:val="2"/>
          <w:lang w:eastAsia="es-CO"/>
        </w:rPr>
        <w:t xml:space="preserve">Con posterioridad, el Decreto 1860 de 2021 modificó </w:t>
      </w:r>
      <w:r w:rsidRPr="00AB7F16">
        <w:rPr>
          <w:rFonts w:ascii="Century Gothic" w:eastAsia="Arial" w:hAnsi="Century Gothic" w:cs="Arial"/>
          <w:szCs w:val="24"/>
          <w:lang w:eastAsia="es-CO"/>
        </w:rPr>
        <w:t xml:space="preserve">el Decreto 1082 de 2015, Único Reglamentario del Sector Administrativo de Planeación Nacional, incorporando una regulación detallada de la Ley 2069 de 2020 para su efectiva </w:t>
      </w:r>
      <w:r w:rsidRPr="00AB7F16">
        <w:rPr>
          <w:rFonts w:ascii="Century Gothic" w:eastAsia="Arial" w:hAnsi="Century Gothic" w:cs="Arial"/>
          <w:szCs w:val="24"/>
          <w:lang w:eastAsia="es-CO"/>
        </w:rPr>
        <w:lastRenderedPageBreak/>
        <w:t xml:space="preserve">implementación en el sistema de compras y contratación pública, </w:t>
      </w:r>
      <w:r w:rsidRPr="00AB7F16">
        <w:rPr>
          <w:rFonts w:ascii="Century Gothic" w:eastAsia="Times New Roman" w:hAnsi="Century Gothic" w:cs="Arial"/>
          <w:szCs w:val="24"/>
          <w:lang w:eastAsia="es-MX"/>
        </w:rPr>
        <w:t>además de incluir algunas disposiciones adicionales para la reglamentación efectiva de la citada Ley.</w:t>
      </w:r>
      <w:r w:rsidRPr="00AB7F16">
        <w:rPr>
          <w:rFonts w:ascii="Century Gothic" w:eastAsia="Arial" w:hAnsi="Century Gothic" w:cs="Arial"/>
          <w:szCs w:val="24"/>
          <w:lang w:eastAsia="es-CO"/>
        </w:rPr>
        <w:t xml:space="preserve"> </w:t>
      </w:r>
      <w:r w:rsidRPr="00AB7F16">
        <w:rPr>
          <w:rFonts w:ascii="Century Gothic" w:eastAsia="Times New Roman" w:hAnsi="Century Gothic"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AB7F16">
        <w:rPr>
          <w:rFonts w:ascii="Century Gothic" w:eastAsia="Calibri" w:hAnsi="Century Gothic"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1665BA56" w14:textId="77777777" w:rsidR="00AB7F16" w:rsidRPr="00AB7F16" w:rsidRDefault="00AB7F16" w:rsidP="00AB7F16">
      <w:pPr>
        <w:spacing w:before="120" w:after="0" w:line="276" w:lineRule="auto"/>
        <w:ind w:firstLine="709"/>
        <w:jc w:val="both"/>
        <w:rPr>
          <w:rFonts w:ascii="Century Gothic" w:eastAsia="Calibri" w:hAnsi="Century Gothic" w:cs="Arial"/>
          <w:spacing w:val="2"/>
          <w:lang w:eastAsia="es-CO"/>
        </w:rPr>
      </w:pPr>
      <w:r w:rsidRPr="00AB7F16">
        <w:rPr>
          <w:rFonts w:ascii="Century Gothic" w:eastAsia="Calibri" w:hAnsi="Century Gothic" w:cs="Arial"/>
          <w:spacing w:val="2"/>
          <w:lang w:eastAsia="es-CO"/>
        </w:rPr>
        <w:t>Por lo demás,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y la Resolución 625 del 16 de diciembre del 2022, "Por la cual se actualizan los documentos tipo para los procesos de obra pública de infraestructura de transporte que se adelanten por la modalidad de mínima cuantía y se deroga la Resolución 094 de 2020"</w:t>
      </w:r>
      <w:r w:rsidRPr="00AB7F16">
        <w:rPr>
          <w:rFonts w:ascii="Century Gothic" w:eastAsia="Calibri" w:hAnsi="Century Gothic" w:cs="Arial"/>
          <w:spacing w:val="2"/>
          <w:vertAlign w:val="superscript"/>
          <w:lang w:eastAsia="es-CO"/>
        </w:rPr>
        <w:footnoteReference w:id="6"/>
      </w:r>
      <w:r w:rsidRPr="00AB7F16">
        <w:rPr>
          <w:rFonts w:ascii="Century Gothic" w:eastAsia="Calibri" w:hAnsi="Century Gothic" w:cs="Arial"/>
          <w:spacing w:val="2"/>
          <w:lang w:eastAsia="es-CO"/>
        </w:rPr>
        <w:t xml:space="preserve">. </w:t>
      </w:r>
    </w:p>
    <w:p w14:paraId="57AA2EA3" w14:textId="77777777" w:rsidR="00AB7F16" w:rsidRPr="00AB7F16" w:rsidRDefault="00AB7F16" w:rsidP="00AB7F16">
      <w:pPr>
        <w:spacing w:before="120" w:after="0" w:line="276" w:lineRule="auto"/>
        <w:ind w:firstLine="709"/>
        <w:jc w:val="both"/>
        <w:rPr>
          <w:rFonts w:ascii="Century Gothic" w:eastAsia="Calibri" w:hAnsi="Century Gothic" w:cs="Arial"/>
          <w:spacing w:val="2"/>
          <w:lang w:eastAsia="es-CO"/>
        </w:rPr>
      </w:pPr>
      <w:r w:rsidRPr="00AB7F16">
        <w:rPr>
          <w:rFonts w:ascii="Century Gothic" w:eastAsia="Calibri" w:hAnsi="Century Gothic" w:cs="Arial"/>
          <w:spacing w:val="2"/>
          <w:lang w:eastAsia="es-CO"/>
        </w:rPr>
        <w:t xml:space="preserve">Para efectos del artículo 95 de la Ley 2166 de 2021, Colombia Compra Eficiente también expidió la Resolución 358 del 30 de junio de 2023, “Por la cual se adopta el documento tipo para la contratación directa de convenios solidarios para la ejecución de obras hasta la menor cuantía con organismos de acción comunal”. </w:t>
      </w:r>
      <w:r w:rsidRPr="00AB7F16">
        <w:rPr>
          <w:rFonts w:ascii="Century Gothic" w:eastAsia="Calibri" w:hAnsi="Century Gothic" w:cs="Arial"/>
          <w:spacing w:val="2"/>
          <w:kern w:val="2"/>
          <w:lang w:val="es-ES_tradnl" w:eastAsia="es-CO"/>
          <w14:ligatures w14:val="standardContextual"/>
        </w:rPr>
        <w:t>Finalmente, la Agencia expidió la Resolución 798 de 2023,</w:t>
      </w:r>
      <w:r w:rsidRPr="00AB7F16">
        <w:rPr>
          <w:rFonts w:ascii="Aptos" w:eastAsia="Aptos" w:hAnsi="Aptos" w:cs="Times New Roman"/>
          <w:kern w:val="2"/>
          <w:lang w:val="es-ES_tradnl"/>
          <w14:ligatures w14:val="standardContextual"/>
        </w:rPr>
        <w:t xml:space="preserve"> “</w:t>
      </w:r>
      <w:r w:rsidRPr="00AB7F16">
        <w:rPr>
          <w:rFonts w:ascii="Century Gothic" w:eastAsia="Calibri" w:hAnsi="Century Gothic" w:cs="Arial"/>
          <w:spacing w:val="2"/>
          <w:kern w:val="2"/>
          <w:lang w:val="es-ES_tradnl" w:eastAsia="es-CO"/>
          <w14:ligatures w14:val="standardContextual"/>
        </w:rPr>
        <w:t xml:space="preserve">Por la cual se adoptan los documentos tipo para los procesos de concurso de méritos para contratar la interventoría de obras públicas de infraestructura social; que agrupa </w:t>
      </w:r>
      <w:r w:rsidRPr="00AB7F16">
        <w:rPr>
          <w:rFonts w:ascii="Century Gothic" w:eastAsia="Calibri" w:hAnsi="Century Gothic" w:cs="Arial"/>
          <w:spacing w:val="2"/>
          <w:kern w:val="2"/>
          <w:lang w:val="es-ES_tradnl" w:eastAsia="es-CO"/>
          <w14:ligatures w14:val="standardContextual"/>
        </w:rPr>
        <w:lastRenderedPageBreak/>
        <w:t xml:space="preserve">los sectores de educación, salud, cultura, recreación y deporte”. Para </w:t>
      </w:r>
      <w:proofErr w:type="gramStart"/>
      <w:r w:rsidRPr="00AB7F16">
        <w:rPr>
          <w:rFonts w:ascii="Century Gothic" w:eastAsia="Calibri" w:hAnsi="Century Gothic" w:cs="Arial"/>
          <w:spacing w:val="2"/>
          <w:kern w:val="2"/>
          <w:lang w:val="es-ES_tradnl" w:eastAsia="es-CO"/>
          <w14:ligatures w14:val="standardContextual"/>
        </w:rPr>
        <w:t>mayor información</w:t>
      </w:r>
      <w:proofErr w:type="gramEnd"/>
      <w:r w:rsidRPr="00AB7F16">
        <w:rPr>
          <w:rFonts w:ascii="Century Gothic" w:eastAsia="Calibri" w:hAnsi="Century Gothic" w:cs="Arial"/>
          <w:spacing w:val="2"/>
          <w:kern w:val="2"/>
          <w:lang w:val="es-ES_tradnl" w:eastAsia="es-CO"/>
          <w14:ligatures w14:val="standardContextual"/>
        </w:rPr>
        <w:t xml:space="preserve"> sobre los </w:t>
      </w:r>
      <w:r w:rsidRPr="00AB7F16">
        <w:rPr>
          <w:rFonts w:ascii="Century Gothic" w:eastAsia="Calibri" w:hAnsi="Century Gothic" w:cs="Arial"/>
          <w:spacing w:val="2"/>
          <w:lang w:eastAsia="es-CO"/>
        </w:rPr>
        <w:t xml:space="preserve">actos administrativos que han implementado documentos tipo en el ordenamiento jurídico, puede consultar el siguiente enlace: </w:t>
      </w:r>
      <w:hyperlink r:id="rId11" w:history="1">
        <w:r w:rsidRPr="00AB7F16">
          <w:rPr>
            <w:rFonts w:ascii="Century Gothic" w:eastAsia="Calibri" w:hAnsi="Century Gothic" w:cs="Arial"/>
            <w:color w:val="0000FF"/>
            <w:spacing w:val="2"/>
            <w:u w:val="single"/>
          </w:rPr>
          <w:t>https://www.colombiacompra.gov.co/documentos-tipo/documentos-tipo</w:t>
        </w:r>
      </w:hyperlink>
      <w:r w:rsidRPr="00AB7F16">
        <w:rPr>
          <w:rFonts w:ascii="Century Gothic" w:eastAsia="Calibri" w:hAnsi="Century Gothic" w:cs="Arial"/>
          <w:spacing w:val="2"/>
          <w:lang w:eastAsia="es-CO"/>
        </w:rPr>
        <w:t xml:space="preserve">. </w:t>
      </w:r>
      <w:r w:rsidRPr="00AB7F16">
        <w:rPr>
          <w:rFonts w:ascii="Century Gothic" w:eastAsia="Calibri" w:hAnsi="Century Gothic" w:cs="Arial"/>
          <w:lang w:eastAsia="en-GB"/>
        </w:rPr>
        <w:t xml:space="preserve"> </w:t>
      </w:r>
    </w:p>
    <w:bookmarkEnd w:id="6"/>
    <w:p w14:paraId="36CC024D" w14:textId="77777777" w:rsidR="00AB7F16" w:rsidRPr="00AB7F16" w:rsidRDefault="00AB7F16" w:rsidP="00AB7F16">
      <w:pPr>
        <w:tabs>
          <w:tab w:val="left" w:pos="0"/>
        </w:tabs>
        <w:spacing w:after="0" w:line="276" w:lineRule="auto"/>
        <w:contextualSpacing/>
        <w:jc w:val="both"/>
        <w:rPr>
          <w:rFonts w:ascii="Century Gothic" w:eastAsia="Calibri" w:hAnsi="Century Gothic" w:cs="Arial"/>
          <w:b/>
          <w:lang w:val="es-ES_tradnl" w:eastAsia="es-ES_tradnl"/>
        </w:rPr>
      </w:pPr>
      <w:r w:rsidRPr="00AB7F16">
        <w:rPr>
          <w:rFonts w:ascii="Century Gothic" w:eastAsia="Calibri" w:hAnsi="Century Gothic" w:cs="Arial"/>
          <w:lang w:eastAsia="en-GB"/>
        </w:rPr>
        <w:t xml:space="preserve"> </w:t>
      </w:r>
    </w:p>
    <w:p w14:paraId="4B810AB4" w14:textId="77777777" w:rsidR="00AB7F16" w:rsidRPr="00AB7F16" w:rsidRDefault="00AB7F16" w:rsidP="00AB7F16">
      <w:pPr>
        <w:tabs>
          <w:tab w:val="left" w:pos="0"/>
        </w:tabs>
        <w:spacing w:after="0" w:line="276" w:lineRule="auto"/>
        <w:contextualSpacing/>
        <w:jc w:val="both"/>
        <w:rPr>
          <w:rFonts w:ascii="Century Gothic" w:eastAsia="Calibri" w:hAnsi="Century Gothic" w:cs="Arial"/>
          <w:b/>
          <w:lang w:val="es-ES_tradnl" w:eastAsia="es-ES_tradnl"/>
        </w:rPr>
      </w:pPr>
      <w:r w:rsidRPr="00AB7F16">
        <w:rPr>
          <w:rFonts w:ascii="Century Gothic" w:eastAsia="Calibri" w:hAnsi="Century Gothic" w:cs="Arial"/>
          <w:b/>
          <w:lang w:val="es-ES_tradnl" w:eastAsia="es-ES_tradnl"/>
        </w:rPr>
        <w:t xml:space="preserve">2.2. </w:t>
      </w:r>
      <w:bookmarkStart w:id="8" w:name="_Hlk95322387"/>
      <w:r w:rsidRPr="00AB7F16">
        <w:rPr>
          <w:rFonts w:ascii="Century Gothic" w:eastAsia="Calibri" w:hAnsi="Century Gothic" w:cs="Arial"/>
          <w:b/>
          <w:lang w:val="es-ES_tradnl"/>
        </w:rPr>
        <w:t xml:space="preserve">Alcance del artículo 56 de la Ley 2195 de 2022 frente a la implementación obligatoria del </w:t>
      </w:r>
      <w:r w:rsidRPr="00AB7F16">
        <w:rPr>
          <w:rFonts w:ascii="Century Gothic" w:eastAsia="Calibri" w:hAnsi="Century Gothic" w:cs="Arial"/>
          <w:b/>
          <w:lang w:val="es-ES_tradnl" w:eastAsia="es-ES_tradnl"/>
        </w:rPr>
        <w:t xml:space="preserve">Estatuto General de Contratación de la Administración Pública </w:t>
      </w:r>
      <w:r w:rsidRPr="00AB7F16">
        <w:rPr>
          <w:rFonts w:ascii="Century Gothic" w:eastAsia="Calibri" w:hAnsi="Century Gothic" w:cs="Arial"/>
          <w:b/>
          <w:lang w:val="es-ES_tradnl"/>
        </w:rPr>
        <w:t>y de los documentos tipo en la celebración de convenios o contratos interadministrativos o de cualquier otra índole con entidades estatales exceptuadas y particulares</w:t>
      </w:r>
    </w:p>
    <w:bookmarkEnd w:id="8"/>
    <w:p w14:paraId="30848737" w14:textId="77777777" w:rsidR="00AB7F16" w:rsidRPr="00AB7F16" w:rsidRDefault="00AB7F16" w:rsidP="00AB7F16">
      <w:pPr>
        <w:tabs>
          <w:tab w:val="left" w:pos="0"/>
        </w:tabs>
        <w:spacing w:after="0" w:line="276" w:lineRule="auto"/>
        <w:contextualSpacing/>
        <w:jc w:val="both"/>
        <w:rPr>
          <w:rFonts w:ascii="Century Gothic" w:eastAsia="Calibri" w:hAnsi="Century Gothic" w:cs="Arial"/>
          <w:bCs/>
          <w:lang w:val="es-ES_tradnl" w:eastAsia="es-ES_tradnl"/>
        </w:rPr>
      </w:pPr>
    </w:p>
    <w:p w14:paraId="67440B11" w14:textId="77777777" w:rsidR="00AB7F16" w:rsidRPr="00AB7F16" w:rsidRDefault="00AB7F16" w:rsidP="00AB7F16">
      <w:pPr>
        <w:spacing w:after="120" w:line="276" w:lineRule="auto"/>
        <w:jc w:val="both"/>
        <w:rPr>
          <w:rFonts w:ascii="Century Gothic" w:eastAsia="Calibri" w:hAnsi="Century Gothic" w:cs="Arial"/>
          <w:lang w:val="es-ES" w:eastAsia="es-ES"/>
        </w:rPr>
      </w:pPr>
      <w:r w:rsidRPr="00AB7F16">
        <w:rPr>
          <w:rFonts w:ascii="Century Gothic" w:eastAsia="Calibri" w:hAnsi="Century Gothic" w:cs="Arial"/>
          <w:lang w:val="es-ES" w:eastAsia="es-ES"/>
        </w:rPr>
        <w:t xml:space="preserve">En virtud de la Ley 2022 de 2020, los documentos tipo expedidos por la Agencia Nacional de Contratación Pública – Colombia Compra Eficiente– son de aplicación obligatoria para las entidades estatales sometidas al Estatuto General de Contratación de la Administración Pública –EGCAP–. En ese sentido, el contenido normativo de la Ley 2022 de 2020, y en su momento también de la Ley 1882 de 2018, excluyen del ámbito de aplicación de los documentos tipo la contratación de entidades estatales de régimen exceptuado, por lo general, sujetas al derecho privado. </w:t>
      </w:r>
    </w:p>
    <w:p w14:paraId="38696CF5" w14:textId="77777777" w:rsidR="00AB7F16" w:rsidRPr="00AB7F16" w:rsidRDefault="00AB7F16" w:rsidP="00AB7F16">
      <w:pPr>
        <w:tabs>
          <w:tab w:val="left" w:pos="0"/>
        </w:tabs>
        <w:spacing w:after="12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
          <w:lang w:val="es-ES_tradnl" w:eastAsia="es-ES_tradnl"/>
        </w:rPr>
        <w:tab/>
      </w:r>
      <w:bookmarkStart w:id="9" w:name="_Hlk113023000"/>
      <w:r w:rsidRPr="00AB7F16">
        <w:rPr>
          <w:rFonts w:ascii="Century Gothic" w:eastAsia="Calibri" w:hAnsi="Century Gothic" w:cs="Arial"/>
          <w:bCs/>
          <w:lang w:val="es-ES_tradnl" w:eastAsia="es-ES_tradnl"/>
        </w:rPr>
        <w:t xml:space="preserve">En este contexto, se expidió la Ley 2195 de 2022, “Por medio de la cual se adoptan medidas en materia de transparencia, prevención y lucha contra la corrupción y se dictan otras disposiciones”. Según su artículo 1°, este cuerpo normativo </w:t>
      </w:r>
      <w:r w:rsidRPr="00AB7F16">
        <w:rPr>
          <w:rFonts w:ascii="Century Gothic" w:eastAsia="Calibri" w:hAnsi="Century Gothic" w:cs="Arial"/>
          <w:lang w:val="es-ES_tradnl" w:eastAsia="es-ES_tradnl"/>
        </w:rPr>
        <w:t>“</w:t>
      </w:r>
      <w:r w:rsidRPr="00AB7F16">
        <w:rPr>
          <w:rFonts w:ascii="Century Gothic" w:eastAsia="Times New Roman" w:hAnsi="Century Gothic" w:cs="Arial"/>
          <w:lang w:val="es-ES_tradnl" w:eastAsia="es-ES_tradnl"/>
        </w:rPr>
        <w:t xml:space="preserve">[…] </w:t>
      </w:r>
      <w:r w:rsidRPr="00AB7F16">
        <w:rPr>
          <w:rFonts w:ascii="Century Gothic" w:eastAsia="Calibri" w:hAnsi="Century Gothic"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“Disposiciones en materia contractual para la moralización y la transparencia”, se </w:t>
      </w:r>
      <w:r w:rsidRPr="00AB7F16">
        <w:rPr>
          <w:rFonts w:ascii="Century Gothic" w:eastAsia="Calibri" w:hAnsi="Century Gothic" w:cs="Arial"/>
          <w:bCs/>
          <w:lang w:val="es-ES_tradnl" w:eastAsia="es-ES_tradnl"/>
        </w:rPr>
        <w:t>destaca el artículo 56.</w:t>
      </w:r>
    </w:p>
    <w:p w14:paraId="3F85CE6B" w14:textId="77777777" w:rsidR="00AB7F16" w:rsidRPr="00AB7F16" w:rsidRDefault="00AB7F16" w:rsidP="00AB7F16">
      <w:pPr>
        <w:tabs>
          <w:tab w:val="left" w:pos="0"/>
        </w:tabs>
        <w:spacing w:after="12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Cs/>
          <w:lang w:val="es-ES_tradnl" w:eastAsia="es-ES_tradnl"/>
        </w:rPr>
        <w:tab/>
        <w:t>Para comenzar el análisis del contenido de la referida disposición, es pertinente iniciar estudiando su trámite legislativo. Al respecto, el Proyecto de Ley No. 341 de 2020</w:t>
      </w:r>
      <w:r w:rsidRPr="00AB7F16">
        <w:rPr>
          <w:rFonts w:ascii="Century Gothic" w:eastAsia="Calibri" w:hAnsi="Century Gothic" w:cs="Arial"/>
          <w:bCs/>
          <w:vertAlign w:val="superscript"/>
          <w:lang w:val="es-ES_tradnl" w:eastAsia="es-ES_tradnl"/>
        </w:rPr>
        <w:footnoteReference w:id="7"/>
      </w:r>
      <w:r w:rsidRPr="00AB7F16">
        <w:rPr>
          <w:rFonts w:ascii="Century Gothic" w:eastAsia="Calibri" w:hAnsi="Century Gothic" w:cs="Arial"/>
          <w:bCs/>
          <w:lang w:val="es-ES_tradnl" w:eastAsia="es-ES_tradnl"/>
        </w:rPr>
        <w:t xml:space="preserve"> radicado el 20 de octubre de 2020 por el gobierno nacional ante </w:t>
      </w:r>
      <w:r w:rsidRPr="00AB7F16">
        <w:rPr>
          <w:rFonts w:ascii="Century Gothic" w:eastAsia="Calibri" w:hAnsi="Century Gothic" w:cs="Arial"/>
          <w:bCs/>
          <w:lang w:val="es-ES_tradnl" w:eastAsia="es-ES_tradnl"/>
        </w:rPr>
        <w:lastRenderedPageBreak/>
        <w:t>el Congreso de la República no previó en su articulado norma que sea igual o similar al contenido que actualmente observamos en el artículo 56 de la Ley 2195 de 2022, pues este fue agregado con posterioridad en plenaria del Senado y después fue complementada y ajustada en el debate legislativo que cursó en Cámara de Representantes mediante Proyecto de Ley No. 369 de 2021</w:t>
      </w:r>
      <w:r w:rsidRPr="00AB7F16">
        <w:rPr>
          <w:rFonts w:ascii="Century Gothic" w:eastAsia="Calibri" w:hAnsi="Century Gothic" w:cs="Arial"/>
          <w:bCs/>
          <w:vertAlign w:val="superscript"/>
          <w:lang w:val="es-ES_tradnl" w:eastAsia="es-ES_tradnl"/>
        </w:rPr>
        <w:footnoteReference w:id="8"/>
      </w:r>
      <w:r w:rsidRPr="00AB7F16">
        <w:rPr>
          <w:rFonts w:ascii="Century Gothic" w:eastAsia="Calibri" w:hAnsi="Century Gothic" w:cs="Arial"/>
          <w:bCs/>
          <w:lang w:val="es-ES_tradnl" w:eastAsia="es-ES_tradnl"/>
        </w:rPr>
        <w:t xml:space="preserve"> y a continuación conciliado por ambas cámaras el 16 y 15 de diciembre de 2021, respectivamente.</w:t>
      </w:r>
    </w:p>
    <w:p w14:paraId="0B4CA96E" w14:textId="77777777" w:rsidR="00AB7F16" w:rsidRPr="00AB7F16" w:rsidRDefault="00AB7F16" w:rsidP="00AB7F16">
      <w:pPr>
        <w:tabs>
          <w:tab w:val="left" w:pos="0"/>
        </w:tabs>
        <w:spacing w:after="0" w:line="276" w:lineRule="auto"/>
        <w:jc w:val="both"/>
        <w:rPr>
          <w:rFonts w:ascii="Century Gothic" w:eastAsia="Calibri" w:hAnsi="Century Gothic" w:cs="Arial"/>
          <w:lang w:val="es-ES_tradnl" w:eastAsia="es-ES_tradnl"/>
        </w:rPr>
      </w:pPr>
      <w:r w:rsidRPr="00AB7F16">
        <w:rPr>
          <w:rFonts w:ascii="Century Gothic" w:eastAsia="Calibri" w:hAnsi="Century Gothic" w:cs="Arial"/>
          <w:bCs/>
          <w:lang w:val="es-ES_tradnl" w:eastAsia="es-ES_tradnl"/>
        </w:rPr>
        <w:tab/>
        <w:t xml:space="preserve">Sobre el tema, es importante indicar que, en el informe de ponencia para primer debate legislativo en Senado, previo a la intervención realizada por la Subdirección de Gestión Contractual de la Agencia, </w:t>
      </w:r>
      <w:r w:rsidRPr="00AB7F16">
        <w:rPr>
          <w:rFonts w:ascii="Century Gothic" w:eastAsia="Calibri" w:hAnsi="Century Gothic" w:cs="Arial"/>
          <w:lang w:val="es-ES_tradnl" w:eastAsia="es-ES_tradnl"/>
        </w:rPr>
        <w:t xml:space="preserve">en audiencia pública realizada por la </w:t>
      </w:r>
      <w:r w:rsidRPr="00AB7F16">
        <w:rPr>
          <w:rFonts w:ascii="Century Gothic" w:eastAsia="Calibri" w:hAnsi="Century Gothic" w:cs="Arial"/>
        </w:rPr>
        <w:t xml:space="preserve">Comisión Primera del Senado </w:t>
      </w:r>
      <w:r w:rsidRPr="00AB7F16">
        <w:rPr>
          <w:rFonts w:ascii="Century Gothic" w:eastAsia="Calibri" w:hAnsi="Century Gothic" w:cs="Arial"/>
          <w:lang w:val="es-ES_tradnl" w:eastAsia="es-ES_tradnl"/>
        </w:rPr>
        <w:t xml:space="preserve">el día </w:t>
      </w:r>
      <w:r w:rsidRPr="00AB7F16">
        <w:rPr>
          <w:rFonts w:ascii="Century Gothic" w:eastAsia="Calibri" w:hAnsi="Century Gothic" w:cs="Arial"/>
        </w:rPr>
        <w:t xml:space="preserve">14 de diciembre de 2020, </w:t>
      </w:r>
      <w:r w:rsidRPr="00AB7F16">
        <w:rPr>
          <w:rFonts w:ascii="Century Gothic" w:eastAsia="Calibri" w:hAnsi="Century Gothic" w:cs="Arial"/>
          <w:bCs/>
          <w:lang w:val="es-ES_tradnl" w:eastAsia="es-ES_tradnl"/>
        </w:rPr>
        <w:t xml:space="preserve">se incluyeron disposiciones en el proyecto de Ley relacionadas por ejemplo con: </w:t>
      </w:r>
      <w:r w:rsidRPr="00AB7F16">
        <w:rPr>
          <w:rFonts w:ascii="Century Gothic" w:eastAsia="Calibri" w:hAnsi="Century Gothic" w:cs="Arial"/>
          <w:lang w:val="es-ES_tradnl" w:eastAsia="es-ES_tradnl"/>
        </w:rPr>
        <w:t>“impedir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 algunos objetos que tienen un régimen especial y a los patrimonios autónomos, así como a las empresas de servicios públicos; y finalmente, hacer obligatorio que las entidades exceptuadas de la contratación estén obligadas a publicar los documentos en el SECOP”</w:t>
      </w:r>
      <w:r w:rsidRPr="00AB7F16">
        <w:rPr>
          <w:rFonts w:ascii="Century Gothic" w:eastAsia="Calibri" w:hAnsi="Century Gothic" w:cs="Arial"/>
          <w:vertAlign w:val="superscript"/>
          <w:lang w:val="es-ES_tradnl" w:eastAsia="es-ES_tradnl"/>
        </w:rPr>
        <w:footnoteReference w:id="9"/>
      </w:r>
      <w:r w:rsidRPr="00AB7F16">
        <w:rPr>
          <w:rFonts w:ascii="Century Gothic" w:eastAsia="Calibri" w:hAnsi="Century Gothic" w:cs="Arial"/>
          <w:lang w:val="es-ES_tradnl" w:eastAsia="es-ES_tradnl"/>
        </w:rPr>
        <w:t xml:space="preserve">. </w:t>
      </w:r>
      <w:r w:rsidRPr="00AB7F16">
        <w:rPr>
          <w:rFonts w:ascii="Century Gothic" w:eastAsia="Calibri" w:hAnsi="Century Gothic" w:cs="Arial"/>
          <w:lang w:val="es-ES" w:eastAsia="es-ES"/>
        </w:rPr>
        <w:t xml:space="preserve">En ese orden de ideas, se incorporó en el informe para primer debate legislativo el artículo 85, denominado “Aplicación del Régimen de Contratación Pública en Entidades del Régimen Privado o Especial”, que disponía: </w:t>
      </w:r>
    </w:p>
    <w:p w14:paraId="170C8A2D" w14:textId="77777777" w:rsidR="00AB7F16" w:rsidRPr="00AB7F16" w:rsidRDefault="00AB7F16" w:rsidP="00AB7F16">
      <w:pPr>
        <w:spacing w:after="0" w:line="276" w:lineRule="auto"/>
        <w:jc w:val="both"/>
        <w:rPr>
          <w:rFonts w:ascii="Century Gothic" w:eastAsia="Calibri" w:hAnsi="Century Gothic" w:cs="Arial"/>
          <w:lang w:val="es-ES" w:eastAsia="es-ES"/>
        </w:rPr>
      </w:pPr>
    </w:p>
    <w:p w14:paraId="571D9013" w14:textId="77777777" w:rsidR="00AB7F16" w:rsidRPr="00AB7F16" w:rsidRDefault="00AB7F16" w:rsidP="00AB7F16">
      <w:pPr>
        <w:tabs>
          <w:tab w:val="left" w:pos="0"/>
        </w:tabs>
        <w:spacing w:after="120" w:line="240" w:lineRule="auto"/>
        <w:ind w:left="709" w:right="709"/>
        <w:jc w:val="both"/>
        <w:rPr>
          <w:rFonts w:ascii="Century Gothic" w:eastAsia="Calibri" w:hAnsi="Century Gothic" w:cs="Arial"/>
          <w:bCs/>
          <w:sz w:val="21"/>
          <w:szCs w:val="21"/>
          <w:lang w:val="es-ES_tradnl" w:eastAsia="es-ES_tradnl"/>
        </w:rPr>
      </w:pPr>
      <w:r w:rsidRPr="00AB7F16">
        <w:rPr>
          <w:rFonts w:ascii="Century Gothic" w:eastAsia="Calibri" w:hAnsi="Century Gothic" w:cs="Arial"/>
          <w:bCs/>
          <w:sz w:val="21"/>
          <w:szCs w:val="21"/>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Entidad Estatal con capacidad para contratar, cuyo régimen de contratación sea especial o de </w:t>
      </w:r>
      <w:r w:rsidRPr="00AB7F16">
        <w:rPr>
          <w:rFonts w:ascii="Century Gothic" w:eastAsia="Calibri" w:hAnsi="Century Gothic" w:cs="Arial"/>
          <w:bCs/>
          <w:sz w:val="21"/>
          <w:szCs w:val="21"/>
          <w:lang w:val="es-ES_tradnl" w:eastAsia="es-ES_tradnl"/>
        </w:rPr>
        <w:lastRenderedPageBreak/>
        <w:t xml:space="preserve">derecho privado, para la adquisición de bienes, obras o servicios a través de estas entidades, el régimen aplicable a los procedimientos de selección y los contratos que realicen en desarrollo de los anteriores negocios jurídicos también será el Estatuto General de Contratación de la Administración Pública”. </w:t>
      </w:r>
    </w:p>
    <w:p w14:paraId="242D1DCB" w14:textId="77777777" w:rsidR="00AB7F16" w:rsidRPr="00AB7F16" w:rsidRDefault="00AB7F16" w:rsidP="00AB7F16">
      <w:pPr>
        <w:spacing w:after="0" w:line="240" w:lineRule="auto"/>
        <w:ind w:left="709" w:right="709"/>
        <w:jc w:val="both"/>
        <w:rPr>
          <w:rFonts w:ascii="Century Gothic" w:eastAsia="Calibri" w:hAnsi="Century Gothic" w:cs="Arial"/>
          <w:sz w:val="21"/>
          <w:szCs w:val="21"/>
          <w:lang w:val="es-ES" w:eastAsia="es-ES"/>
        </w:rPr>
      </w:pPr>
      <w:r w:rsidRPr="00AB7F16">
        <w:rPr>
          <w:rFonts w:ascii="Century Gothic" w:eastAsia="Calibri" w:hAnsi="Century Gothic" w:cs="Arial"/>
          <w:sz w:val="21"/>
          <w:szCs w:val="21"/>
          <w:lang w:val="es-ES" w:eastAsia="es-ES"/>
        </w:rPr>
        <w:t>Parágrafo: Para los casos descritos en el inciso anterior, también serán obligatorios los documentos tipo adoptados por la Agencia Nacional de Contratación Pública – Colombia Compra Eficiente- o quien haga sus veces, conforme al parágrafo 7 del artículo 2 de la Ley 1150 de 2007 o las normas que lo modifiquen o sustituyan”.</w:t>
      </w:r>
      <w:r w:rsidRPr="00AB7F16">
        <w:rPr>
          <w:rFonts w:ascii="Century Gothic" w:eastAsia="Calibri" w:hAnsi="Century Gothic" w:cs="Arial"/>
          <w:sz w:val="21"/>
          <w:szCs w:val="21"/>
          <w:vertAlign w:val="superscript"/>
          <w:lang w:val="es-ES" w:eastAsia="es-ES"/>
        </w:rPr>
        <w:footnoteReference w:id="10"/>
      </w:r>
    </w:p>
    <w:p w14:paraId="71DCB602" w14:textId="77777777" w:rsidR="00AB7F16" w:rsidRPr="00AB7F16" w:rsidRDefault="00AB7F16" w:rsidP="00AB7F16">
      <w:pPr>
        <w:spacing w:after="0" w:line="276" w:lineRule="auto"/>
        <w:ind w:left="709" w:right="709"/>
        <w:jc w:val="both"/>
        <w:rPr>
          <w:rFonts w:ascii="Century Gothic" w:eastAsia="Calibri" w:hAnsi="Century Gothic" w:cs="Arial"/>
          <w:lang w:val="es-ES" w:eastAsia="es-ES"/>
        </w:rPr>
      </w:pPr>
    </w:p>
    <w:p w14:paraId="3B3F4C95" w14:textId="77777777" w:rsidR="00AB7F16" w:rsidRPr="00AB7F16" w:rsidRDefault="00AB7F16" w:rsidP="00AB7F16">
      <w:pPr>
        <w:tabs>
          <w:tab w:val="left" w:pos="0"/>
        </w:tabs>
        <w:spacing w:after="120" w:line="276" w:lineRule="auto"/>
        <w:jc w:val="both"/>
        <w:rPr>
          <w:rFonts w:ascii="Century Gothic" w:eastAsia="Calibri" w:hAnsi="Century Gothic" w:cs="Arial"/>
        </w:rPr>
      </w:pPr>
      <w:r w:rsidRPr="00AB7F16">
        <w:rPr>
          <w:rFonts w:ascii="Century Gothic" w:eastAsia="Calibri" w:hAnsi="Century Gothic" w:cs="Arial"/>
          <w:bCs/>
          <w:lang w:val="es-ES_tradnl" w:eastAsia="es-ES_tradnl"/>
        </w:rPr>
        <w:tab/>
      </w:r>
      <w:r w:rsidRPr="00AB7F16">
        <w:rPr>
          <w:rFonts w:ascii="Century Gothic" w:eastAsia="Calibri" w:hAnsi="Century Gothic" w:cs="Arial"/>
          <w:lang w:val="es-ES_tradnl" w:eastAsia="es-ES_tradnl"/>
        </w:rPr>
        <w:t xml:space="preserve">Conforme a lo expuesto en el pliego de modificaciones al proyecto de Ley, la adición del articulado en mención tiene como fin </w:t>
      </w:r>
      <w:r w:rsidRPr="00AB7F16">
        <w:rPr>
          <w:rFonts w:ascii="Century Gothic" w:eastAsia="Calibri" w:hAnsi="Century Gothic" w:cs="Arial"/>
        </w:rPr>
        <w:t xml:space="preserve">“Extender la </w:t>
      </w:r>
      <w:r w:rsidRPr="00AB7F16">
        <w:rPr>
          <w:rFonts w:ascii="Century Gothic" w:eastAsia="Calibri" w:hAnsi="Century Gothic" w:cs="Arial"/>
          <w:i/>
        </w:rPr>
        <w:t>obligatoriedad de la aplicación del régimen de contratación estatal y pliegos tipo, cuando se celebran convenios interadministrativos</w:t>
      </w:r>
      <w:r w:rsidRPr="00AB7F16">
        <w:rPr>
          <w:rFonts w:ascii="Century Gothic" w:eastAsia="Calibri" w:hAnsi="Century Gothic" w:cs="Arial"/>
        </w:rPr>
        <w:t xml:space="preserve"> con una entidad que tiene régimen de contratación privada </w:t>
      </w:r>
      <w:r w:rsidRPr="00AB7F16">
        <w:rPr>
          <w:rFonts w:ascii="Century Gothic" w:eastAsia="Calibri" w:hAnsi="Century Gothic" w:cs="Arial"/>
          <w:i/>
        </w:rPr>
        <w:t>con el fin de evitar la contratación directa con recursos del estado y proveer de mayores garantías al proceso</w:t>
      </w:r>
      <w:r w:rsidRPr="00AB7F16">
        <w:rPr>
          <w:rFonts w:ascii="Century Gothic" w:eastAsia="Calibri" w:hAnsi="Century Gothic" w:cs="Arial"/>
        </w:rPr>
        <w:t>”</w:t>
      </w:r>
      <w:r w:rsidRPr="00AB7F16">
        <w:rPr>
          <w:rFonts w:ascii="Century Gothic" w:eastAsia="Calibri" w:hAnsi="Century Gothic" w:cs="Arial"/>
          <w:vertAlign w:val="superscript"/>
        </w:rPr>
        <w:footnoteReference w:id="11"/>
      </w:r>
      <w:r w:rsidRPr="00AB7F16">
        <w:rPr>
          <w:rFonts w:ascii="Century Gothic" w:eastAsia="Calibri" w:hAnsi="Century Gothic" w:cs="Arial"/>
        </w:rPr>
        <w:t xml:space="preserve"> (Énfasis fuera de texto). En ese orden de ideas, es claro que la incorporación de este articulado por parte del legislador tiene como fin principal que las entidades sometidas al EGCAP, obligadas a aplicar documentos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0669D2AA" w14:textId="77777777" w:rsidR="00AB7F16" w:rsidRPr="00AB7F16" w:rsidRDefault="00AB7F16" w:rsidP="00AB7F16">
      <w:pPr>
        <w:tabs>
          <w:tab w:val="left" w:pos="0"/>
        </w:tabs>
        <w:spacing w:after="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Cs/>
          <w:lang w:val="es-ES_tradnl" w:eastAsia="es-ES_tradnl"/>
        </w:rPr>
        <w:tab/>
        <w:t>Sin embargo, para segunda ponencia del Senado</w:t>
      </w:r>
      <w:r w:rsidRPr="00AB7F16">
        <w:rPr>
          <w:rFonts w:ascii="Century Gothic" w:eastAsia="Calibri" w:hAnsi="Century Gothic" w:cs="Arial"/>
          <w:bCs/>
          <w:vertAlign w:val="superscript"/>
          <w:lang w:val="es-ES_tradnl" w:eastAsia="es-ES_tradnl"/>
        </w:rPr>
        <w:footnoteReference w:id="12"/>
      </w:r>
      <w:r w:rsidRPr="00AB7F16">
        <w:rPr>
          <w:rFonts w:ascii="Century Gothic" w:eastAsia="Calibri" w:hAnsi="Century Gothic" w:cs="Arial"/>
          <w:bCs/>
          <w:lang w:val="es-ES_tradnl" w:eastAsia="es-ES_tradnl"/>
        </w:rPr>
        <w:t xml:space="preserve"> se propuso eliminar el artículo en mención con motivo a la inconveniencia que podría generar en su aplicación, aceptándose su eliminación. No obstante, para Plenaria de Senado se </w:t>
      </w:r>
      <w:r w:rsidRPr="00AB7F16">
        <w:rPr>
          <w:rFonts w:ascii="Century Gothic" w:eastAsia="Calibri" w:hAnsi="Century Gothic" w:cs="Arial"/>
          <w:bCs/>
          <w:lang w:val="es-ES_tradnl" w:eastAsia="es-ES_tradnl"/>
        </w:rPr>
        <w:lastRenderedPageBreak/>
        <w:t>propuso un nuevo artículo para su trámite ante la Cámara de Representantes, que dispone lo siguiente:</w:t>
      </w:r>
    </w:p>
    <w:p w14:paraId="24C371C4" w14:textId="77777777" w:rsidR="00AB7F16" w:rsidRPr="00AB7F16" w:rsidRDefault="00AB7F16" w:rsidP="00AB7F16">
      <w:pPr>
        <w:tabs>
          <w:tab w:val="left" w:pos="0"/>
        </w:tabs>
        <w:spacing w:after="0" w:line="276" w:lineRule="auto"/>
        <w:jc w:val="both"/>
        <w:rPr>
          <w:rFonts w:ascii="Century Gothic" w:eastAsia="Calibri" w:hAnsi="Century Gothic" w:cs="Arial"/>
          <w:bCs/>
          <w:lang w:val="es-ES_tradnl" w:eastAsia="es-ES_tradnl"/>
        </w:rPr>
      </w:pPr>
    </w:p>
    <w:p w14:paraId="78F033E8" w14:textId="77777777" w:rsidR="00AB7F16" w:rsidRPr="00AB7F16" w:rsidRDefault="00AB7F16" w:rsidP="00AB7F16">
      <w:pPr>
        <w:tabs>
          <w:tab w:val="left" w:pos="0"/>
        </w:tabs>
        <w:spacing w:after="120" w:line="240" w:lineRule="auto"/>
        <w:ind w:left="709" w:right="709"/>
        <w:jc w:val="both"/>
        <w:rPr>
          <w:rFonts w:ascii="Century Gothic" w:eastAsia="Calibri" w:hAnsi="Century Gothic" w:cs="Arial"/>
          <w:sz w:val="21"/>
          <w:szCs w:val="21"/>
        </w:rPr>
      </w:pPr>
      <w:r w:rsidRPr="00AB7F16">
        <w:rPr>
          <w:rFonts w:ascii="Century Gothic" w:eastAsia="Calibri" w:hAnsi="Century Gothic" w:cs="Arial"/>
          <w:sz w:val="21"/>
          <w:szCs w:val="21"/>
        </w:rPr>
        <w:t>“ARTÍCULO 62 (NUEVO).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Los procedimientos de selección y los contratos que realicen en desarrollo de los anteriores negocios jurídicos, donde apliquen los documentos tipo se regirán por el Estatuto General de Contratación de la Administración Pública.</w:t>
      </w:r>
    </w:p>
    <w:p w14:paraId="320444F7" w14:textId="77777777" w:rsidR="00AB7F16" w:rsidRPr="00AB7F16" w:rsidRDefault="00AB7F16" w:rsidP="00AB7F16">
      <w:pPr>
        <w:tabs>
          <w:tab w:val="left" w:pos="0"/>
        </w:tabs>
        <w:spacing w:after="0" w:line="240" w:lineRule="auto"/>
        <w:ind w:left="709" w:right="709"/>
        <w:jc w:val="both"/>
        <w:rPr>
          <w:rFonts w:ascii="Century Gothic" w:eastAsia="Calibri" w:hAnsi="Century Gothic" w:cs="Arial"/>
          <w:bCs/>
          <w:sz w:val="21"/>
          <w:szCs w:val="21"/>
          <w:lang w:val="es-ES_tradnl" w:eastAsia="es-ES_tradnl"/>
        </w:rPr>
      </w:pPr>
      <w:r w:rsidRPr="00AB7F16">
        <w:rPr>
          <w:rFonts w:ascii="Century Gothic" w:eastAsia="Calibri" w:hAnsi="Century Gothic" w:cs="Arial"/>
          <w:sz w:val="21"/>
          <w:szCs w:val="21"/>
        </w:rPr>
        <w:t>Parágrafo: Se exceptúan del presente artículo las Universidades, las empresas sociales del estado, las sociedades de economía mixta y las empresas industriales y comerciales del Estado en cuanto a las actividades propias del servicio que prestan o de su objeto social. En estas entidades se fomentará como buena práctica la aplicación de los pliegos tipo”.</w:t>
      </w:r>
      <w:r w:rsidRPr="00AB7F16">
        <w:rPr>
          <w:rFonts w:ascii="Century Gothic" w:eastAsia="Calibri" w:hAnsi="Century Gothic" w:cs="Arial"/>
          <w:sz w:val="21"/>
          <w:szCs w:val="21"/>
          <w:vertAlign w:val="superscript"/>
        </w:rPr>
        <w:footnoteReference w:id="13"/>
      </w:r>
    </w:p>
    <w:p w14:paraId="68D690F8" w14:textId="77777777" w:rsidR="00AB7F16" w:rsidRPr="00AB7F16" w:rsidRDefault="00AB7F16" w:rsidP="00AB7F16">
      <w:pPr>
        <w:tabs>
          <w:tab w:val="left" w:pos="0"/>
        </w:tabs>
        <w:spacing w:after="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Cs/>
          <w:lang w:val="es-ES_tradnl" w:eastAsia="es-ES_tradnl"/>
        </w:rPr>
        <w:tab/>
      </w:r>
    </w:p>
    <w:p w14:paraId="0A8460C0" w14:textId="77777777" w:rsidR="00AB7F16" w:rsidRPr="00AB7F16" w:rsidRDefault="00AB7F16" w:rsidP="00AB7F16">
      <w:pPr>
        <w:tabs>
          <w:tab w:val="left" w:pos="0"/>
        </w:tabs>
        <w:spacing w:after="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Cs/>
          <w:lang w:val="es-ES_tradnl" w:eastAsia="es-ES_tradnl"/>
        </w:rPr>
        <w:tab/>
      </w:r>
      <w:r w:rsidRPr="00AB7F16">
        <w:rPr>
          <w:rFonts w:ascii="Century Gothic" w:eastAsia="Calibri" w:hAnsi="Century Gothic" w:cs="Arial"/>
          <w:lang w:val="es-ES_tradnl" w:eastAsia="es-ES_tradnl"/>
        </w:rPr>
        <w:t>La mencionada disposición pasó el debate en Cámara de Representantes con algunos ajustes en la redacción del artículo</w:t>
      </w:r>
      <w:r w:rsidRPr="00AB7F16">
        <w:rPr>
          <w:rFonts w:ascii="Century Gothic" w:eastAsia="Calibri" w:hAnsi="Century Gothic" w:cs="Arial"/>
          <w:vertAlign w:val="superscript"/>
          <w:lang w:val="es-ES_tradnl" w:eastAsia="es-ES_tradnl"/>
        </w:rPr>
        <w:footnoteReference w:id="14"/>
      </w:r>
      <w:r w:rsidRPr="00AB7F16">
        <w:rPr>
          <w:rFonts w:ascii="Century Gothic" w:eastAsia="Calibri" w:hAnsi="Century Gothic" w:cs="Arial"/>
          <w:lang w:val="es-ES_tradnl" w:eastAsia="es-ES_tradnl"/>
        </w:rPr>
        <w:t xml:space="preserve">, pero manteniendo su fin principal, y esto es, que los documentos tipo deban ser aplicados en general por todas las entidades sometidas al EGCAP, independientemente de la celebración de contratos o convenios interadministrativos o de cualquier otra índole, </w:t>
      </w:r>
      <w:bookmarkEnd w:id="9"/>
      <w:r w:rsidRPr="00AB7F16">
        <w:rPr>
          <w:rFonts w:ascii="Century Gothic" w:eastAsia="Calibri" w:hAnsi="Century Gothic" w:cs="Arial"/>
          <w:lang w:val="es-ES_tradnl" w:eastAsia="es-ES_tradnl"/>
        </w:rPr>
        <w:t xml:space="preserve">con entidades estatales exceptuadas o con régimen especial de contratación, patrimonios autónomos o particulares. Consecuentemente, fue aprobada su </w:t>
      </w:r>
      <w:r w:rsidRPr="00AB7F16">
        <w:rPr>
          <w:rFonts w:ascii="Century Gothic" w:eastAsia="Calibri" w:hAnsi="Century Gothic" w:cs="Arial"/>
          <w:lang w:val="es-ES_tradnl" w:eastAsia="es-ES_tradnl"/>
        </w:rPr>
        <w:lastRenderedPageBreak/>
        <w:t>redacción en conciliación del texto en ambas cámaras</w:t>
      </w:r>
      <w:r w:rsidRPr="00AB7F16">
        <w:rPr>
          <w:rFonts w:ascii="Century Gothic" w:eastAsia="Times New Roman" w:hAnsi="Century Gothic" w:cs="Arial"/>
          <w:vertAlign w:val="superscript"/>
          <w:lang w:val="es-ES_tradnl" w:eastAsia="es-ES_tradnl"/>
        </w:rPr>
        <w:footnoteReference w:id="15"/>
      </w:r>
      <w:r w:rsidRPr="00AB7F16">
        <w:rPr>
          <w:rFonts w:ascii="Century Gothic" w:eastAsia="Calibri" w:hAnsi="Century Gothic" w:cs="Arial"/>
          <w:lang w:val="es-ES_tradnl" w:eastAsia="es-ES_tradnl"/>
        </w:rPr>
        <w:t xml:space="preserve"> prescribiendo la redacción de la norma hoy día vigente, en los siguientes términos:</w:t>
      </w:r>
      <w:r w:rsidRPr="00AB7F16">
        <w:rPr>
          <w:rFonts w:ascii="Century Gothic" w:eastAsia="Calibri" w:hAnsi="Century Gothic" w:cs="Arial"/>
          <w:bCs/>
          <w:lang w:val="es-ES_tradnl" w:eastAsia="es-ES_tradnl"/>
        </w:rPr>
        <w:t xml:space="preserve"> </w:t>
      </w:r>
    </w:p>
    <w:p w14:paraId="13805362" w14:textId="77777777" w:rsidR="00AB7F16" w:rsidRPr="00AB7F16" w:rsidRDefault="00AB7F16" w:rsidP="00AB7F16">
      <w:pPr>
        <w:tabs>
          <w:tab w:val="left" w:pos="0"/>
        </w:tabs>
        <w:spacing w:after="0" w:line="276" w:lineRule="auto"/>
        <w:jc w:val="both"/>
        <w:rPr>
          <w:rFonts w:ascii="Century Gothic" w:eastAsia="Calibri" w:hAnsi="Century Gothic" w:cs="Arial"/>
          <w:bCs/>
          <w:lang w:val="es-ES_tradnl" w:eastAsia="es-ES_tradnl"/>
        </w:rPr>
      </w:pPr>
    </w:p>
    <w:p w14:paraId="3D0BA1D4" w14:textId="77777777" w:rsidR="00AB7F16" w:rsidRPr="00AB7F16" w:rsidRDefault="00AB7F16" w:rsidP="00AB7F16">
      <w:pPr>
        <w:tabs>
          <w:tab w:val="left" w:pos="0"/>
        </w:tabs>
        <w:spacing w:after="0" w:line="240" w:lineRule="auto"/>
        <w:ind w:left="709" w:right="709"/>
        <w:contextualSpacing/>
        <w:jc w:val="both"/>
        <w:rPr>
          <w:rFonts w:ascii="Century Gothic" w:eastAsia="Times New Roman" w:hAnsi="Century Gothic" w:cs="Arial"/>
          <w:sz w:val="21"/>
          <w:szCs w:val="21"/>
          <w:lang w:val="es-ES_tradnl" w:eastAsia="es-ES_tradnl"/>
        </w:rPr>
      </w:pPr>
      <w:r w:rsidRPr="00AB7F16">
        <w:rPr>
          <w:rFonts w:ascii="Century Gothic" w:eastAsia="Times New Roman" w:hAnsi="Century Gothic"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024C29F2" w14:textId="77777777" w:rsidR="00AB7F16" w:rsidRPr="00AB7F16" w:rsidRDefault="00AB7F16" w:rsidP="00AB7F16">
      <w:pPr>
        <w:tabs>
          <w:tab w:val="left" w:pos="0"/>
        </w:tabs>
        <w:spacing w:after="0" w:line="240" w:lineRule="auto"/>
        <w:ind w:left="709" w:right="709"/>
        <w:contextualSpacing/>
        <w:jc w:val="both"/>
        <w:rPr>
          <w:rFonts w:ascii="Century Gothic" w:eastAsia="Times New Roman" w:hAnsi="Century Gothic" w:cs="Arial"/>
          <w:sz w:val="12"/>
          <w:szCs w:val="12"/>
          <w:lang w:val="es-ES_tradnl" w:eastAsia="es-ES_tradnl"/>
        </w:rPr>
      </w:pPr>
    </w:p>
    <w:p w14:paraId="3EF1D9EB" w14:textId="77777777" w:rsidR="00AB7F16" w:rsidRPr="00AB7F16" w:rsidRDefault="00AB7F16" w:rsidP="00AB7F16">
      <w:pPr>
        <w:tabs>
          <w:tab w:val="left" w:pos="0"/>
        </w:tabs>
        <w:spacing w:after="0" w:line="240" w:lineRule="auto"/>
        <w:ind w:left="709" w:right="709"/>
        <w:contextualSpacing/>
        <w:jc w:val="both"/>
        <w:rPr>
          <w:rFonts w:ascii="Century Gothic" w:eastAsia="Times New Roman" w:hAnsi="Century Gothic" w:cs="Arial"/>
          <w:sz w:val="21"/>
          <w:szCs w:val="21"/>
          <w:lang w:val="es-ES_tradnl" w:eastAsia="es-ES_tradnl"/>
        </w:rPr>
      </w:pPr>
      <w:r w:rsidRPr="00AB7F16">
        <w:rPr>
          <w:rFonts w:ascii="Century Gothic" w:eastAsia="Times New Roman" w:hAnsi="Century Gothic"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F41DE45" w14:textId="77777777" w:rsidR="00AB7F16" w:rsidRPr="00AB7F16" w:rsidRDefault="00AB7F16" w:rsidP="00AB7F16">
      <w:pPr>
        <w:tabs>
          <w:tab w:val="left" w:pos="0"/>
        </w:tabs>
        <w:spacing w:after="0" w:line="240" w:lineRule="auto"/>
        <w:ind w:left="709" w:right="709"/>
        <w:contextualSpacing/>
        <w:jc w:val="both"/>
        <w:rPr>
          <w:rFonts w:ascii="Century Gothic" w:eastAsia="Times New Roman" w:hAnsi="Century Gothic" w:cs="Arial"/>
          <w:sz w:val="12"/>
          <w:szCs w:val="12"/>
          <w:lang w:val="es-ES_tradnl" w:eastAsia="es-ES_tradnl"/>
        </w:rPr>
      </w:pPr>
    </w:p>
    <w:p w14:paraId="7CF8DBFF" w14:textId="77777777" w:rsidR="00AB7F16" w:rsidRPr="00AB7F16" w:rsidRDefault="00AB7F16" w:rsidP="00AB7F16">
      <w:pPr>
        <w:spacing w:after="0" w:line="240" w:lineRule="auto"/>
        <w:ind w:left="709" w:right="709"/>
        <w:contextualSpacing/>
        <w:jc w:val="both"/>
        <w:rPr>
          <w:rFonts w:ascii="Century Gothic" w:eastAsia="Calibri" w:hAnsi="Century Gothic" w:cs="Arial"/>
          <w:sz w:val="21"/>
          <w:szCs w:val="21"/>
          <w:lang w:val="es-ES" w:eastAsia="es-ES"/>
        </w:rPr>
      </w:pPr>
      <w:r w:rsidRPr="00AB7F16">
        <w:rPr>
          <w:rFonts w:ascii="Century Gothic" w:eastAsia="Times New Roman" w:hAnsi="Century Gothic" w:cs="Arial"/>
          <w:sz w:val="21"/>
          <w:szCs w:val="21"/>
          <w:lang w:val="es-ES" w:eastAsia="es-ES"/>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721CCB28" w14:textId="77777777" w:rsidR="00AB7F16" w:rsidRPr="00AB7F16" w:rsidRDefault="00AB7F16" w:rsidP="00AB7F16">
      <w:pPr>
        <w:tabs>
          <w:tab w:val="left" w:pos="0"/>
        </w:tabs>
        <w:spacing w:after="0" w:line="276" w:lineRule="auto"/>
        <w:contextualSpacing/>
        <w:jc w:val="both"/>
        <w:rPr>
          <w:rFonts w:ascii="Century Gothic" w:eastAsia="Calibri" w:hAnsi="Century Gothic" w:cs="Arial"/>
          <w:bCs/>
          <w:lang w:val="es-ES_tradnl" w:eastAsia="es-ES_tradnl"/>
        </w:rPr>
      </w:pPr>
    </w:p>
    <w:p w14:paraId="55AAB1BE" w14:textId="77777777" w:rsidR="00AB7F16" w:rsidRPr="00AB7F16" w:rsidRDefault="00AB7F16" w:rsidP="00AB7F16">
      <w:pPr>
        <w:tabs>
          <w:tab w:val="left" w:pos="0"/>
        </w:tabs>
        <w:spacing w:after="12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Cs/>
          <w:lang w:val="es-ES_tradnl" w:eastAsia="es-ES_tradnl"/>
        </w:rPr>
        <w:tab/>
        <w:t xml:space="preserve">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w:t>
      </w:r>
      <w:r w:rsidRPr="00AB7F16">
        <w:rPr>
          <w:rFonts w:ascii="Century Gothic" w:eastAsia="Calibri" w:hAnsi="Century Gothic" w:cs="Arial"/>
          <w:bCs/>
          <w:lang w:val="es-ES_tradnl" w:eastAsia="es-ES_tradnl"/>
        </w:rPr>
        <w:lastRenderedPageBreak/>
        <w:t>determinar el verdadero alcance de la norma bajo estudio, a lo cual se procede a continuación.</w:t>
      </w:r>
    </w:p>
    <w:p w14:paraId="1071BBBD" w14:textId="77777777" w:rsidR="00AB7F16" w:rsidRPr="00AB7F16" w:rsidRDefault="00AB7F16" w:rsidP="00AB7F16">
      <w:pPr>
        <w:tabs>
          <w:tab w:val="left" w:pos="0"/>
        </w:tabs>
        <w:spacing w:after="12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Cs/>
          <w:lang w:val="es-ES_tradnl" w:eastAsia="es-ES_tradnl"/>
        </w:rPr>
        <w:tab/>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763C02D8" w14:textId="77777777" w:rsidR="00AB7F16" w:rsidRPr="00AB7F16" w:rsidRDefault="00AB7F16" w:rsidP="00AB7F16">
      <w:pPr>
        <w:tabs>
          <w:tab w:val="left" w:pos="0"/>
        </w:tabs>
        <w:spacing w:after="120" w:line="276" w:lineRule="auto"/>
        <w:jc w:val="both"/>
        <w:rPr>
          <w:rFonts w:ascii="Century Gothic" w:eastAsia="Calibri" w:hAnsi="Century Gothic" w:cs="Arial"/>
          <w:lang w:val="es-ES_tradnl" w:eastAsia="es-ES_tradnl"/>
        </w:rPr>
      </w:pPr>
      <w:r w:rsidRPr="00AB7F16">
        <w:rPr>
          <w:rFonts w:ascii="Century Gothic" w:eastAsia="Calibri" w:hAnsi="Century Gothic" w:cs="Arial"/>
          <w:bCs/>
          <w:lang w:val="es-ES_tradnl" w:eastAsia="es-ES_tradnl"/>
        </w:rPr>
        <w:tab/>
      </w:r>
      <w:r w:rsidRPr="00AB7F16">
        <w:rPr>
          <w:rFonts w:ascii="Century Gothic" w:eastAsia="Calibri" w:hAnsi="Century Gothic" w:cs="Arial"/>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w:t>
      </w:r>
      <w:r w:rsidRPr="00AB7F16">
        <w:rPr>
          <w:rFonts w:ascii="Century Gothic" w:eastAsia="Calibri" w:hAnsi="Century Gothic" w:cs="Arial"/>
          <w:i/>
          <w:iCs/>
          <w:lang w:val="es-ES_tradnl" w:eastAsia="es-ES_tradnl"/>
        </w:rPr>
        <w:t>ibidem</w:t>
      </w:r>
      <w:r w:rsidRPr="00AB7F16">
        <w:rPr>
          <w:rFonts w:ascii="Century Gothic" w:eastAsia="Calibri" w:hAnsi="Century Gothic" w:cs="Arial"/>
          <w:lang w:val="es-ES_tradnl" w:eastAsia="es-ES_tradnl"/>
        </w:rPr>
        <w:t xml:space="preserve">, conforme al cual “Lo favorable u odioso de una disposición no se tomará en cuenta para ampliar o restringir su interpretación. La extensión que deba darse a toda ley se determinará por su genuino sentido, y según las reglas de interpretación precedentes”. </w:t>
      </w:r>
      <w:r w:rsidRPr="00AB7F16">
        <w:rPr>
          <w:rFonts w:ascii="Century Gothic" w:eastAsia="Calibri" w:hAnsi="Century Gothic" w:cs="Arial"/>
          <w:bCs/>
          <w:lang w:val="es-ES_tradnl" w:eastAsia="es-ES_tradnl"/>
        </w:rPr>
        <w:t>Desde esta perspectiva, no pudiera</w:t>
      </w:r>
      <w:r w:rsidRPr="00AB7F16">
        <w:rPr>
          <w:rFonts w:ascii="Century Gothic" w:eastAsia="Calibri" w:hAnsi="Century Gothic"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AB7F16">
        <w:rPr>
          <w:rFonts w:ascii="Century Gothic" w:eastAsia="Calibri" w:hAnsi="Century Gothic" w:cs="Arial"/>
          <w:bCs/>
          <w:lang w:val="es-ES_tradnl" w:eastAsia="es-ES_tradnl"/>
        </w:rPr>
        <w:t xml:space="preserve"> </w:t>
      </w:r>
      <w:r w:rsidRPr="00AB7F16">
        <w:rPr>
          <w:rFonts w:ascii="Century Gothic" w:eastAsia="Calibri" w:hAnsi="Century Gothic" w:cs="Arial"/>
          <w:lang w:val="es-ES_tradnl" w:eastAsia="es-ES_tradnl"/>
        </w:rPr>
        <w:t xml:space="preserve">la obligatoriedad de utilizar documentos pliego tipo </w:t>
      </w:r>
      <w:r w:rsidRPr="00AB7F16">
        <w:rPr>
          <w:rFonts w:ascii="Century Gothic" w:eastAsia="Calibri" w:hAnsi="Century Gothic" w:cs="Arial"/>
          <w:bCs/>
          <w:lang w:val="es-ES_tradnl" w:eastAsia="es-ES_tradnl"/>
        </w:rPr>
        <w:t xml:space="preserve">se extiende </w:t>
      </w:r>
      <w:r w:rsidRPr="00AB7F16">
        <w:rPr>
          <w:rFonts w:ascii="Century Gothic" w:eastAsia="Calibri" w:hAnsi="Century Gothic" w:cs="Arial"/>
          <w:lang w:val="es-ES_tradnl" w:eastAsia="es-ES_tradnl"/>
        </w:rPr>
        <w:t xml:space="preserve">en los convenios o contratos interadministrativos o de cualquier otra índole, </w:t>
      </w:r>
      <w:r w:rsidRPr="00AB7F16">
        <w:rPr>
          <w:rFonts w:ascii="Century Gothic" w:eastAsia="Calibri" w:hAnsi="Century Gothic" w:cs="Arial"/>
          <w:bCs/>
          <w:lang w:val="es-ES_tradnl" w:eastAsia="es-ES_tradnl"/>
        </w:rPr>
        <w:t>y</w:t>
      </w:r>
      <w:r w:rsidRPr="00AB7F16">
        <w:rPr>
          <w:rFonts w:ascii="Century Gothic" w:eastAsia="Calibri" w:hAnsi="Century Gothic" w:cs="Arial"/>
          <w:lang w:val="es-ES_tradnl" w:eastAsia="es-ES_tradnl"/>
        </w:rPr>
        <w:t>a las diferentes modalidades de selección de los Procesos de Contratación adelantados por entidades sometidas al EGCAP</w:t>
      </w:r>
      <w:r w:rsidRPr="00AB7F16">
        <w:rPr>
          <w:rFonts w:ascii="Century Gothic" w:eastAsia="Calibri" w:hAnsi="Century Gothic" w:cs="Arial"/>
          <w:bCs/>
          <w:lang w:val="es-ES_tradnl" w:eastAsia="es-ES_tradnl"/>
        </w:rPr>
        <w:t>.</w:t>
      </w:r>
    </w:p>
    <w:p w14:paraId="774619B8" w14:textId="77777777" w:rsidR="00AB7F16" w:rsidRPr="00AB7F16" w:rsidRDefault="00AB7F16" w:rsidP="00AB7F16">
      <w:pPr>
        <w:tabs>
          <w:tab w:val="left" w:pos="0"/>
        </w:tabs>
        <w:spacing w:after="12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Cs/>
          <w:lang w:val="es-ES_tradnl" w:eastAsia="es-ES_tradnl"/>
        </w:rPr>
        <w:lastRenderedPageBreak/>
        <w:tab/>
        <w:t>Antes de la expedición del artículo 56 de la Ley 2195 de 2022, ya se había establecido el mandato de aplicación obligatoria de los documentos tipo para las entidades estatales sometidas al EGCAP, atribuyendo a esta Agencia la competencia para expedirlos. Esta norma imperativa debía observarse siempre y cuando el objeto contratar esté cobijado por algún documento tipo vigente, no obstante, si la Entidad Estatal optaba bajo la modalidad de selección de contratación directa, celebrar convenios o contratos interadministrativos, o de 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p w14:paraId="57558E6B" w14:textId="77777777" w:rsidR="00AB7F16" w:rsidRPr="00AB7F16" w:rsidRDefault="00AB7F16" w:rsidP="00AB7F16">
      <w:pPr>
        <w:tabs>
          <w:tab w:val="left" w:pos="0"/>
        </w:tabs>
        <w:spacing w:after="12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Cs/>
          <w:lang w:val="es-ES_tradnl" w:eastAsia="es-ES_tradnl"/>
        </w:rPr>
        <w:tab/>
      </w:r>
      <w:r w:rsidRPr="00AB7F16">
        <w:rPr>
          <w:rFonts w:ascii="Century Gothic" w:eastAsia="Calibri" w:hAnsi="Century Gothic" w:cs="Arial"/>
          <w:lang w:val="es-ES_tradnl" w:eastAsia="es-ES_tradnl"/>
        </w:rPr>
        <w:t>Ahora,</w:t>
      </w:r>
      <w:r w:rsidRPr="00AB7F16">
        <w:rPr>
          <w:rFonts w:ascii="Century Gothic" w:eastAsia="Calibri" w:hAnsi="Century Gothic"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id="10" w:name="_Hlk109963698"/>
      <w:r w:rsidRPr="00AB7F16">
        <w:rPr>
          <w:rFonts w:ascii="Century Gothic" w:eastAsia="Calibri" w:hAnsi="Century Gothic"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AB7F16">
        <w:rPr>
          <w:rFonts w:ascii="Century Gothic" w:eastAsia="Calibri" w:hAnsi="Century Gothic" w:cs="Arial"/>
          <w:bCs/>
          <w:strike/>
          <w:lang w:val="es-ES_tradnl" w:eastAsia="es-ES_tradnl"/>
        </w:rPr>
        <w:t xml:space="preserve"> </w:t>
      </w:r>
      <w:bookmarkEnd w:id="10"/>
    </w:p>
    <w:p w14:paraId="08459257" w14:textId="77777777" w:rsidR="00AB7F16" w:rsidRPr="00AB7F16" w:rsidRDefault="00AB7F16" w:rsidP="00AB7F16">
      <w:pPr>
        <w:spacing w:after="120" w:line="276" w:lineRule="auto"/>
        <w:ind w:firstLine="709"/>
        <w:jc w:val="both"/>
        <w:rPr>
          <w:rFonts w:ascii="Century Gothic" w:eastAsia="Calibri" w:hAnsi="Century Gothic" w:cs="Arial"/>
          <w:lang w:val="es-ES" w:eastAsia="es-ES"/>
        </w:rPr>
      </w:pPr>
      <w:r w:rsidRPr="00AB7F16">
        <w:rPr>
          <w:rFonts w:ascii="Century Gothic" w:eastAsia="Calibri" w:hAnsi="Century Gothic" w:cs="Arial"/>
        </w:rPr>
        <w:t xml:space="preserve">Esta Agencia ha considerado, como se explicó </w:t>
      </w:r>
      <w:r w:rsidRPr="00AB7F16">
        <w:rPr>
          <w:rFonts w:ascii="Century Gothic" w:eastAsia="Calibri" w:hAnsi="Century Gothic" w:cs="Arial"/>
          <w:i/>
          <w:iCs/>
        </w:rPr>
        <w:t>ut supra</w:t>
      </w:r>
      <w:r w:rsidRPr="00AB7F16">
        <w:rPr>
          <w:rFonts w:ascii="Century Gothic" w:eastAsia="Calibri" w:hAnsi="Century Gothic" w:cs="Arial"/>
        </w:rPr>
        <w:t xml:space="preserve">, que </w:t>
      </w:r>
      <w:r w:rsidRPr="00AB7F16">
        <w:rPr>
          <w:rFonts w:ascii="Century Gothic" w:eastAsia="Calibri" w:hAnsi="Century Gothic" w:cs="Arial"/>
          <w:lang w:val="es-ES" w:eastAsia="es-ES"/>
        </w:rPr>
        <w:t xml:space="preserve">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w:t>
      </w:r>
      <w:r w:rsidRPr="00AB7F16">
        <w:rPr>
          <w:rFonts w:ascii="Century Gothic" w:eastAsia="Calibri" w:hAnsi="Century Gothic" w:cs="Arial"/>
          <w:lang w:val="es-ES" w:eastAsia="es-ES"/>
        </w:rPr>
        <w:lastRenderedPageBreak/>
        <w:t>Ley 1150 de 2007</w:t>
      </w:r>
      <w:r w:rsidRPr="00AB7F16">
        <w:rPr>
          <w:rFonts w:ascii="Century Gothic" w:eastAsia="Calibri" w:hAnsi="Century Gothic" w:cs="Arial"/>
          <w:vertAlign w:val="superscript"/>
          <w:lang w:val="es-ES" w:eastAsia="es-ES"/>
        </w:rPr>
        <w:footnoteReference w:id="16"/>
      </w:r>
      <w:r w:rsidRPr="00AB7F16">
        <w:rPr>
          <w:rFonts w:ascii="Century Gothic" w:eastAsia="Calibri" w:hAnsi="Century Gothic" w:cs="Arial"/>
          <w:lang w:val="es-ES" w:eastAsia="es-ES"/>
        </w:rPr>
        <w:t xml:space="preserve">, ahora deberán tenerse en cuenta las siguientes reglas: i) </w:t>
      </w:r>
      <w:r w:rsidRPr="00AB7F16">
        <w:rPr>
          <w:rFonts w:ascii="Century Gothic" w:eastAsia="Calibri" w:hAnsi="Century Gothic" w:cs="Arial"/>
          <w:i/>
          <w:lang w:val="es-ES" w:eastAsia="es-ES"/>
        </w:rPr>
        <w:t>en el caso de los convenios interadministrativos o de cualquier otra índole:</w:t>
      </w:r>
      <w:r w:rsidRPr="00AB7F16">
        <w:rPr>
          <w:rFonts w:ascii="Century Gothic" w:eastAsia="Calibri" w:hAnsi="Century Gothic"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w:t>
      </w:r>
      <w:proofErr w:type="spellStart"/>
      <w:r w:rsidRPr="00AB7F16">
        <w:rPr>
          <w:rFonts w:ascii="Century Gothic" w:eastAsia="Calibri" w:hAnsi="Century Gothic" w:cs="Arial"/>
          <w:lang w:val="es-ES" w:eastAsia="es-ES"/>
        </w:rPr>
        <w:t>ii</w:t>
      </w:r>
      <w:proofErr w:type="spellEnd"/>
      <w:r w:rsidRPr="00AB7F16">
        <w:rPr>
          <w:rFonts w:ascii="Century Gothic" w:eastAsia="Calibri" w:hAnsi="Century Gothic" w:cs="Arial"/>
          <w:lang w:val="es-ES" w:eastAsia="es-ES"/>
        </w:rPr>
        <w:t xml:space="preserve">) </w:t>
      </w:r>
      <w:r w:rsidRPr="00AB7F16">
        <w:rPr>
          <w:rFonts w:ascii="Century Gothic" w:eastAsia="Calibri" w:hAnsi="Century Gothic" w:cs="Arial"/>
          <w:i/>
          <w:lang w:val="es-ES" w:eastAsia="es-ES"/>
        </w:rPr>
        <w:t>en el caso de los contratos interadministrativos</w:t>
      </w:r>
      <w:r w:rsidRPr="00AB7F16">
        <w:rPr>
          <w:rFonts w:ascii="Century Gothic" w:eastAsia="Calibri" w:hAnsi="Century Gothic" w:cs="Arial"/>
          <w:lang w:val="es-ES" w:eastAsia="es-ES"/>
        </w:rPr>
        <w:t xml:space="preserve"> </w:t>
      </w:r>
      <w:r w:rsidRPr="00AB7F16">
        <w:rPr>
          <w:rFonts w:ascii="Century Gothic" w:eastAsia="Calibri" w:hAnsi="Century Gothic" w:cs="Arial"/>
          <w:i/>
          <w:lang w:val="es-ES" w:eastAsia="es-ES"/>
        </w:rPr>
        <w:t>o de cualquier otra índole</w:t>
      </w:r>
      <w:r w:rsidRPr="00AB7F16">
        <w:rPr>
          <w:rFonts w:ascii="Century Gothic" w:eastAsia="Calibri" w:hAnsi="Century Gothic" w:cs="Arial"/>
          <w:lang w:val="es-ES" w:eastAsia="es-ES"/>
        </w:rPr>
        <w:t xml:space="preserve">: </w:t>
      </w:r>
      <w:r w:rsidRPr="00AB7F16">
        <w:rPr>
          <w:rFonts w:ascii="Century Gothic" w:eastAsia="Times New Roman" w:hAnsi="Century Gothic"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AB7F16">
        <w:rPr>
          <w:rFonts w:ascii="Century Gothic" w:eastAsia="Calibri" w:hAnsi="Century Gothic" w:cs="Arial"/>
          <w:lang w:val="es-ES" w:eastAsia="es-ES"/>
        </w:rPr>
        <w:t>entidad sometida al EGCAP.</w:t>
      </w:r>
    </w:p>
    <w:p w14:paraId="700BC38F" w14:textId="77777777" w:rsidR="00AB7F16" w:rsidRPr="00AB7F16" w:rsidRDefault="00AB7F16" w:rsidP="00AB7F16">
      <w:pPr>
        <w:tabs>
          <w:tab w:val="left" w:pos="0"/>
        </w:tabs>
        <w:spacing w:after="120" w:line="276" w:lineRule="auto"/>
        <w:jc w:val="both"/>
        <w:rPr>
          <w:rFonts w:ascii="Century Gothic" w:eastAsia="Calibri" w:hAnsi="Century Gothic" w:cs="Arial"/>
          <w:bCs/>
          <w:lang w:val="es-ES_tradnl" w:eastAsia="es-ES_tradnl"/>
        </w:rPr>
      </w:pPr>
      <w:r w:rsidRPr="00AB7F16">
        <w:rPr>
          <w:rFonts w:ascii="Century Gothic" w:eastAsia="Calibri" w:hAnsi="Century Gothic" w:cs="Arial"/>
          <w:bCs/>
          <w:lang w:val="es-ES_tradnl" w:eastAsia="es-ES_tradnl"/>
        </w:rPr>
        <w:tab/>
        <w:t xml:space="preserve"> </w:t>
      </w:r>
      <w:bookmarkStart w:id="12" w:name="_Hlk113023365"/>
      <w:r w:rsidRPr="00AB7F16">
        <w:rPr>
          <w:rFonts w:ascii="Century Gothic" w:eastAsia="Calibri" w:hAnsi="Century Gothic" w:cs="Arial"/>
          <w:bCs/>
          <w:lang w:val="es-ES_tradnl" w:eastAsia="es-ES_tradnl"/>
        </w:rPr>
        <w:t xml:space="preserve">El segundo inciso de la norma bajo estudio usa la expresión </w:t>
      </w:r>
      <w:r w:rsidRPr="00AB7F16">
        <w:rPr>
          <w:rFonts w:ascii="Century Gothic" w:eastAsia="Calibri" w:hAnsi="Century Gothic" w:cs="Arial"/>
          <w:lang w:val="es-ES_tradnl" w:eastAsia="es-ES_tradnl"/>
        </w:rPr>
        <w:t>“</w:t>
      </w:r>
      <w:r w:rsidRPr="00AB7F16">
        <w:rPr>
          <w:rFonts w:ascii="Century Gothic" w:eastAsia="Times New Roman" w:hAnsi="Century Gothic" w:cs="Arial"/>
          <w:lang w:eastAsia="es-ES_tradnl"/>
        </w:rPr>
        <w:t>los procedimientos de selección y contratos que realicen en desarrollo de los anteriores negocios jurídicos</w:t>
      </w:r>
      <w:r w:rsidRPr="00AB7F16">
        <w:rPr>
          <w:rFonts w:ascii="Century Gothic" w:eastAsia="Calibri" w:hAnsi="Century Gothic" w:cs="Arial"/>
          <w:lang w:val="es-ES_tradnl" w:eastAsia="es-ES_tradnl"/>
        </w:rPr>
        <w:t>”</w:t>
      </w:r>
      <w:r w:rsidRPr="00AB7F16">
        <w:rPr>
          <w:rFonts w:ascii="Century Gothic" w:eastAsia="Times New Roman" w:hAnsi="Century Gothic" w:cs="Arial"/>
          <w:lang w:eastAsia="es-ES_tradnl"/>
        </w:rPr>
        <w:t xml:space="preserve">.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w:t>
      </w:r>
      <w:r w:rsidRPr="00AB7F16">
        <w:rPr>
          <w:rFonts w:ascii="Century Gothic" w:eastAsia="Times New Roman" w:hAnsi="Century Gothic" w:cs="Arial"/>
          <w:i/>
          <w:iCs/>
          <w:lang w:eastAsia="es-ES_tradnl"/>
        </w:rPr>
        <w:t>desarrollar</w:t>
      </w:r>
      <w:r w:rsidRPr="00AB7F16">
        <w:rPr>
          <w:rFonts w:ascii="Century Gothic" w:eastAsia="Times New Roman" w:hAnsi="Century Gothic"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0E5A2862" w14:textId="77777777" w:rsidR="00AB7F16" w:rsidRPr="00AB7F16" w:rsidRDefault="00AB7F16" w:rsidP="00AB7F16">
      <w:pPr>
        <w:spacing w:after="120" w:line="276" w:lineRule="auto"/>
        <w:jc w:val="both"/>
        <w:rPr>
          <w:rFonts w:ascii="Century Gothic" w:eastAsia="Calibri" w:hAnsi="Century Gothic" w:cs="Arial"/>
          <w:lang w:val="es-ES" w:eastAsia="es-ES"/>
        </w:rPr>
      </w:pPr>
      <w:r w:rsidRPr="00AB7F16">
        <w:rPr>
          <w:rFonts w:ascii="Century Gothic" w:eastAsia="Calibri" w:hAnsi="Century Gothic" w:cs="Arial"/>
          <w:bCs/>
          <w:lang w:val="es-ES_tradnl" w:eastAsia="es-ES_tradnl"/>
        </w:rPr>
        <w:lastRenderedPageBreak/>
        <w:tab/>
      </w:r>
      <w:r w:rsidRPr="00AB7F16">
        <w:rPr>
          <w:rFonts w:ascii="Century Gothic" w:eastAsia="Calibri" w:hAnsi="Century Gothic" w:cs="Arial"/>
          <w:lang w:val="es-ES" w:eastAsia="es-ES"/>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bookmarkStart w:id="13" w:name="_Hlk113023433"/>
      <w:bookmarkEnd w:id="12"/>
      <w:r w:rsidRPr="00AB7F16">
        <w:rPr>
          <w:rFonts w:ascii="Century Gothic" w:eastAsia="Calibri" w:hAnsi="Century Gothic" w:cs="Arial"/>
          <w:lang w:val="es-ES" w:eastAsia="es-ES"/>
        </w:rPr>
        <w:t xml:space="preserve">.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13"/>
    </w:p>
    <w:p w14:paraId="33CBEC94" w14:textId="77777777" w:rsidR="00AB7F16" w:rsidRPr="00AB7F16" w:rsidRDefault="00AB7F16" w:rsidP="00AB7F16">
      <w:pPr>
        <w:spacing w:after="0" w:line="276" w:lineRule="auto"/>
        <w:jc w:val="both"/>
        <w:rPr>
          <w:rFonts w:ascii="Century Gothic" w:eastAsia="Calibri" w:hAnsi="Century Gothic" w:cs="Arial"/>
          <w:lang w:val="es-ES" w:eastAsia="es-ES"/>
        </w:rPr>
      </w:pPr>
      <w:r w:rsidRPr="00AB7F16">
        <w:rPr>
          <w:rFonts w:ascii="Century Gothic" w:eastAsia="Calibri" w:hAnsi="Century Gothic" w:cs="Arial"/>
          <w:bCs/>
          <w:lang w:val="es-ES_tradnl" w:eastAsia="es-ES_tradnl"/>
        </w:rPr>
        <w:tab/>
      </w:r>
      <w:r w:rsidRPr="00AB7F16">
        <w:rPr>
          <w:rFonts w:ascii="Century Gothic" w:eastAsia="Calibri" w:hAnsi="Century Gothic" w:cs="Arial"/>
          <w:lang w:val="es-ES" w:eastAsia="es-ES"/>
        </w:rPr>
        <w:t xml:space="preserve">Por tanto, el hecho de que la norma esté dirigida a las entidades sometidas al EGCAP, no tiene otro fin más que el de indicar que la obligación de emplear los documentos pliego tipo en el marco de un contrato o convenio interadministrativo, o de cualquier otra índole, recae sobre la misma,  pues solo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313FAD5A" w14:textId="77777777" w:rsidR="00AB7F16" w:rsidRPr="00AB7F16" w:rsidRDefault="00AB7F16" w:rsidP="00AB7F16">
      <w:pPr>
        <w:spacing w:after="0" w:line="276" w:lineRule="auto"/>
        <w:contextualSpacing/>
        <w:jc w:val="both"/>
        <w:rPr>
          <w:rFonts w:ascii="Century Gothic" w:eastAsia="Calibri" w:hAnsi="Century Gothic" w:cs="Arial"/>
          <w:b/>
          <w:lang w:val="es-MX"/>
        </w:rPr>
      </w:pPr>
    </w:p>
    <w:p w14:paraId="72EA2963" w14:textId="77777777" w:rsidR="00AB7F16" w:rsidRPr="00AB7F16" w:rsidRDefault="00AB7F16" w:rsidP="00AB7F16">
      <w:pPr>
        <w:spacing w:after="0" w:line="276" w:lineRule="auto"/>
        <w:contextualSpacing/>
        <w:jc w:val="both"/>
        <w:rPr>
          <w:rFonts w:ascii="Century Gothic" w:eastAsia="Calibri" w:hAnsi="Century Gothic" w:cs="Arial"/>
          <w:b/>
          <w:lang w:val="es-MX"/>
        </w:rPr>
      </w:pPr>
      <w:r w:rsidRPr="00AB7F16">
        <w:rPr>
          <w:rFonts w:ascii="Century Gothic" w:eastAsia="Calibri" w:hAnsi="Century Gothic" w:cs="Arial"/>
          <w:b/>
          <w:lang w:val="es-MX"/>
        </w:rPr>
        <w:t>2.3. Deber de las Entidades Estatales, exceptuadas del Estatuto General de Contratación de la Administración Pública, de publicar los documentos relacionados con su actividad contractual en el SECOP II. Modificación introducida por el artículo 53 de la Ley 2195 de 2022</w:t>
      </w:r>
    </w:p>
    <w:p w14:paraId="1C42B70C" w14:textId="77777777" w:rsidR="00AB7F16" w:rsidRPr="00AB7F16" w:rsidRDefault="00AB7F16" w:rsidP="00AB7F16">
      <w:pPr>
        <w:spacing w:after="0" w:line="276" w:lineRule="auto"/>
        <w:contextualSpacing/>
        <w:jc w:val="both"/>
        <w:rPr>
          <w:rFonts w:ascii="Century Gothic" w:eastAsia="Calibri" w:hAnsi="Century Gothic" w:cs="Arial"/>
          <w:bCs/>
          <w:lang w:val="es-MX"/>
        </w:rPr>
      </w:pPr>
    </w:p>
    <w:p w14:paraId="46751968" w14:textId="77777777" w:rsidR="00AB7F16" w:rsidRPr="00AB7F16" w:rsidRDefault="00AB7F16" w:rsidP="00AB7F16">
      <w:pPr>
        <w:spacing w:after="0" w:line="276" w:lineRule="auto"/>
        <w:contextualSpacing/>
        <w:jc w:val="both"/>
        <w:rPr>
          <w:rFonts w:ascii="Century Gothic" w:eastAsia="Calibri" w:hAnsi="Century Gothic" w:cs="Arial"/>
          <w:bCs/>
          <w:lang w:val="es-MX"/>
        </w:rPr>
      </w:pPr>
      <w:r w:rsidRPr="00AB7F16">
        <w:rPr>
          <w:rFonts w:ascii="Century Gothic" w:eastAsia="Calibri" w:hAnsi="Century Gothic" w:cs="Arial"/>
          <w:bCs/>
          <w:lang w:val="es-MX"/>
        </w:rPr>
        <w:t xml:space="preserve">Uno de los postulados más importantes de un Estado Social y Democrático de Derecho es el </w:t>
      </w:r>
      <w:r w:rsidRPr="00AB7F16">
        <w:rPr>
          <w:rFonts w:ascii="Century Gothic" w:eastAsia="Calibri" w:hAnsi="Century Gothic" w:cs="Arial"/>
          <w:bCs/>
          <w:i/>
          <w:iCs/>
          <w:lang w:val="es-MX"/>
        </w:rPr>
        <w:t>principio de publicidad</w:t>
      </w:r>
      <w:r w:rsidRPr="00AB7F16">
        <w:rPr>
          <w:rFonts w:ascii="Century Gothic" w:eastAsia="Calibri" w:hAnsi="Century Gothic" w:cs="Arial"/>
          <w:bCs/>
          <w:lang w:val="es-MX"/>
        </w:rPr>
        <w:t xml:space="preserve">,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w:t>
      </w:r>
      <w:r w:rsidRPr="00AB7F16">
        <w:rPr>
          <w:rFonts w:ascii="Century Gothic" w:eastAsia="Calibri" w:hAnsi="Century Gothic" w:cs="Arial"/>
          <w:bCs/>
          <w:lang w:val="es-MX"/>
        </w:rPr>
        <w:lastRenderedPageBreak/>
        <w:t>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155C80A7" w14:textId="77777777" w:rsidR="00AB7F16" w:rsidRPr="00AB7F16" w:rsidRDefault="00AB7F16" w:rsidP="00AB7F16">
      <w:pPr>
        <w:spacing w:after="0" w:line="276" w:lineRule="auto"/>
        <w:ind w:firstLine="709"/>
        <w:contextualSpacing/>
        <w:jc w:val="both"/>
        <w:rPr>
          <w:rFonts w:ascii="Century Gothic" w:eastAsia="Calibri" w:hAnsi="Century Gothic" w:cs="Arial"/>
          <w:bCs/>
          <w:lang w:val="es-MX"/>
        </w:rPr>
      </w:pPr>
    </w:p>
    <w:p w14:paraId="18C0404A" w14:textId="77777777" w:rsidR="00AB7F16" w:rsidRPr="00AB7F16" w:rsidRDefault="00AB7F16" w:rsidP="00AB7F16">
      <w:pPr>
        <w:tabs>
          <w:tab w:val="left" w:pos="3885"/>
        </w:tabs>
        <w:spacing w:after="0" w:line="240" w:lineRule="auto"/>
        <w:ind w:left="709" w:right="709"/>
        <w:contextualSpacing/>
        <w:jc w:val="both"/>
        <w:rPr>
          <w:rFonts w:ascii="Century Gothic" w:eastAsia="Calibri" w:hAnsi="Century Gothic" w:cs="Arial"/>
          <w:bCs/>
          <w:sz w:val="21"/>
          <w:szCs w:val="21"/>
          <w:lang w:val="es-MX"/>
        </w:rPr>
      </w:pPr>
      <m:oMath>
        <m:r>
          <m:rPr>
            <m:sty m:val="p"/>
          </m:rPr>
          <w:rPr>
            <w:rFonts w:ascii="Cambria Math" w:eastAsia="Calibri" w:hAnsi="Cambria Math" w:cs="Arial"/>
            <w:sz w:val="21"/>
            <w:szCs w:val="21"/>
            <w:lang w:val="es-MX"/>
          </w:rPr>
          <m:t>"</m:t>
        </m:r>
      </m:oMath>
      <w:r w:rsidRPr="00AB7F16">
        <w:rPr>
          <w:rFonts w:ascii="Century Gothic" w:eastAsia="Calibri" w:hAnsi="Century Gothic" w:cs="Arial"/>
          <w:bCs/>
          <w:sz w:val="21"/>
          <w:szCs w:val="21"/>
          <w:lang w:val="es-MX"/>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226F2483" w14:textId="77777777" w:rsidR="00AB7F16" w:rsidRPr="00AB7F16" w:rsidRDefault="00AB7F16" w:rsidP="00AB7F16">
      <w:pPr>
        <w:tabs>
          <w:tab w:val="left" w:pos="3885"/>
        </w:tabs>
        <w:spacing w:after="0" w:line="240" w:lineRule="auto"/>
        <w:ind w:left="709" w:right="709"/>
        <w:contextualSpacing/>
        <w:jc w:val="both"/>
        <w:rPr>
          <w:rFonts w:ascii="Century Gothic" w:eastAsia="Calibri" w:hAnsi="Century Gothic" w:cs="Arial"/>
          <w:bCs/>
          <w:sz w:val="21"/>
          <w:szCs w:val="21"/>
          <w:lang w:val="es-MX"/>
        </w:rPr>
      </w:pPr>
    </w:p>
    <w:p w14:paraId="1CD86FF6" w14:textId="77777777" w:rsidR="00AB7F16" w:rsidRPr="00AB7F16" w:rsidRDefault="00AB7F16" w:rsidP="00AB7F16">
      <w:pPr>
        <w:tabs>
          <w:tab w:val="left" w:pos="3885"/>
          <w:tab w:val="left" w:pos="8222"/>
        </w:tabs>
        <w:spacing w:after="0" w:line="240" w:lineRule="auto"/>
        <w:ind w:left="709" w:right="709"/>
        <w:contextualSpacing/>
        <w:jc w:val="both"/>
        <w:rPr>
          <w:rFonts w:ascii="Century Gothic" w:eastAsia="Calibri" w:hAnsi="Century Gothic" w:cs="Arial"/>
          <w:bCs/>
          <w:sz w:val="21"/>
          <w:szCs w:val="21"/>
          <w:lang w:val="es-MX"/>
        </w:rPr>
      </w:pPr>
      <w:r w:rsidRPr="00AB7F16">
        <w:rPr>
          <w:rFonts w:ascii="Century Gothic" w:eastAsia="Calibri" w:hAnsi="Century Gothic" w:cs="Arial"/>
          <w:bCs/>
          <w:sz w:val="21"/>
          <w:szCs w:val="21"/>
          <w:lang w:val="es-MX"/>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AB7F16">
        <w:rPr>
          <w:rFonts w:ascii="Century Gothic" w:eastAsia="Calibri" w:hAnsi="Century Gothic" w:cs="Arial"/>
          <w:bCs/>
          <w:sz w:val="21"/>
          <w:szCs w:val="21"/>
          <w:vertAlign w:val="superscript"/>
          <w:lang w:val="es-MX"/>
        </w:rPr>
        <w:footnoteReference w:id="17"/>
      </w:r>
    </w:p>
    <w:p w14:paraId="364BF6F3" w14:textId="77777777" w:rsidR="00AB7F16" w:rsidRPr="00AB7F16" w:rsidRDefault="00AB7F16" w:rsidP="00AB7F16">
      <w:pPr>
        <w:spacing w:after="0" w:line="276" w:lineRule="auto"/>
        <w:ind w:firstLine="709"/>
        <w:contextualSpacing/>
        <w:jc w:val="both"/>
        <w:rPr>
          <w:rFonts w:ascii="Century Gothic" w:eastAsia="Calibri" w:hAnsi="Century Gothic" w:cs="Arial"/>
          <w:bCs/>
          <w:lang w:val="es-MX"/>
        </w:rPr>
      </w:pPr>
    </w:p>
    <w:p w14:paraId="1B4DA62A" w14:textId="77777777" w:rsidR="00AB7F16" w:rsidRPr="00AB7F16" w:rsidRDefault="00AB7F16" w:rsidP="00AB7F16">
      <w:pPr>
        <w:spacing w:after="120" w:line="276" w:lineRule="auto"/>
        <w:ind w:firstLine="709"/>
        <w:jc w:val="both"/>
        <w:rPr>
          <w:rFonts w:ascii="Century Gothic" w:eastAsia="Calibri" w:hAnsi="Century Gothic" w:cs="Arial"/>
          <w:bCs/>
          <w:lang w:val="es-MX"/>
        </w:rPr>
      </w:pPr>
      <w:r w:rsidRPr="00AB7F16">
        <w:rPr>
          <w:rFonts w:ascii="Century Gothic" w:eastAsia="Calibri" w:hAnsi="Century Gothic" w:cs="Arial"/>
          <w:bCs/>
          <w:lang w:val="es-MX"/>
        </w:rPr>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AB7F16">
        <w:rPr>
          <w:rFonts w:ascii="Century Gothic" w:eastAsia="Calibri" w:hAnsi="Century Gothic" w:cs="Arial"/>
          <w:bCs/>
          <w:vertAlign w:val="superscript"/>
          <w:lang w:val="es-MX"/>
        </w:rPr>
        <w:footnoteReference w:id="18"/>
      </w:r>
      <w:r w:rsidRPr="00AB7F16">
        <w:rPr>
          <w:rFonts w:ascii="Century Gothic" w:eastAsia="Calibri" w:hAnsi="Century Gothic" w:cs="Arial"/>
          <w:bCs/>
          <w:lang w:val="es-MX"/>
        </w:rPr>
        <w:t xml:space="preserve">. </w:t>
      </w:r>
    </w:p>
    <w:p w14:paraId="0CEC6397" w14:textId="77777777" w:rsidR="00AB7F16" w:rsidRPr="00AB7F16" w:rsidRDefault="00AB7F16" w:rsidP="00AB7F16">
      <w:pPr>
        <w:spacing w:after="120" w:line="276" w:lineRule="auto"/>
        <w:ind w:firstLine="708"/>
        <w:jc w:val="both"/>
        <w:rPr>
          <w:rFonts w:ascii="Century Gothic" w:eastAsia="Calibri" w:hAnsi="Century Gothic" w:cs="Arial"/>
          <w:bCs/>
          <w:lang w:val="es-MX"/>
        </w:rPr>
      </w:pPr>
      <w:r w:rsidRPr="00AB7F16">
        <w:rPr>
          <w:rFonts w:ascii="Century Gothic" w:eastAsia="Calibri" w:hAnsi="Century Gothic" w:cs="Arial"/>
          <w:bCs/>
          <w:lang w:val="es-MX"/>
        </w:rPr>
        <w:lastRenderedPageBreak/>
        <w:t>De otra parte, la Ley 1712 de 2014, “</w:t>
      </w:r>
      <w:r w:rsidRPr="00AB7F16">
        <w:rPr>
          <w:rFonts w:ascii="Century Gothic" w:eastAsia="Calibri" w:hAnsi="Century Gothic" w:cs="Arial"/>
        </w:rPr>
        <w:t>P</w:t>
      </w:r>
      <w:r w:rsidRPr="00AB7F16">
        <w:rPr>
          <w:rFonts w:ascii="Century Gothic" w:eastAsia="Times New Roman" w:hAnsi="Century Gothic" w:cs="Arial"/>
          <w:lang w:eastAsia="es-CO"/>
        </w:rPr>
        <w:t>or medio de la cual se crea la Ley de Transparencia y del Derecho de Acceso a la Información Pública Nacional y se dictan otras disposiciones</w:t>
      </w:r>
      <w:r w:rsidRPr="00AB7F16">
        <w:rPr>
          <w:rFonts w:ascii="Century Gothic" w:eastAsia="Calibri" w:hAnsi="Century Gothic" w:cs="Arial"/>
          <w:bCs/>
          <w:lang w:val="es-MX"/>
        </w:rPr>
        <w:t xml:space="preserve">”, identifica como principios que orientan el derecho de acceso a la información pública, el principio de máxima publicidad, el principio de transparencia en la información y el principio de buena fe. El principio de </w:t>
      </w:r>
      <w:r w:rsidRPr="00AB7F16">
        <w:rPr>
          <w:rFonts w:ascii="Century Gothic" w:eastAsia="Calibri" w:hAnsi="Century Gothic" w:cs="Arial"/>
          <w:bCs/>
          <w:i/>
          <w:iCs/>
          <w:lang w:val="es-MX"/>
        </w:rPr>
        <w:t>máxima publicidad</w:t>
      </w:r>
      <w:r w:rsidRPr="00AB7F16">
        <w:rPr>
          <w:rFonts w:ascii="Century Gothic" w:eastAsia="Calibri" w:hAnsi="Century Gothic" w:cs="Arial"/>
          <w:bCs/>
          <w:lang w:val="es-MX"/>
        </w:rPr>
        <w:t xml:space="preserve"> establece que “toda información en posesión, bajo control o custodia de un sujeto obligado es pública y no podrá ser reservada o limitada sino por disposición constitucional o legal”</w:t>
      </w:r>
      <w:r w:rsidRPr="00AB7F16">
        <w:rPr>
          <w:rFonts w:ascii="Century Gothic" w:eastAsia="Calibri" w:hAnsi="Century Gothic" w:cs="Arial"/>
          <w:bCs/>
          <w:vertAlign w:val="superscript"/>
          <w:lang w:val="es-MX"/>
        </w:rPr>
        <w:footnoteReference w:id="19"/>
      </w:r>
      <w:r w:rsidRPr="00AB7F16">
        <w:rPr>
          <w:rFonts w:ascii="Century Gothic" w:eastAsia="Calibri" w:hAnsi="Century Gothic" w:cs="Arial"/>
          <w:bCs/>
          <w:lang w:val="es-MX"/>
        </w:rPr>
        <w:t xml:space="preserve">. El </w:t>
      </w:r>
      <w:r w:rsidRPr="00AB7F16">
        <w:rPr>
          <w:rFonts w:ascii="Century Gothic" w:eastAsia="Calibri" w:hAnsi="Century Gothic" w:cs="Arial"/>
          <w:bCs/>
          <w:i/>
          <w:iCs/>
          <w:lang w:val="es-MX"/>
        </w:rPr>
        <w:t>principio de transparencia</w:t>
      </w:r>
      <w:r w:rsidRPr="00AB7F16">
        <w:rPr>
          <w:rFonts w:ascii="Century Gothic" w:eastAsia="Calibri" w:hAnsi="Century Gothic" w:cs="Arial"/>
          <w:bCs/>
          <w:lang w:val="es-MX"/>
        </w:rPr>
        <w:t xml:space="preserve"> en la información alude al deber de los sujetos de proporcionar y facilitar el acceso a la misma en los términos más amplios posibles, a través de los medios y procedimientos legales</w:t>
      </w:r>
      <w:r w:rsidRPr="00AB7F16">
        <w:rPr>
          <w:rFonts w:ascii="Century Gothic" w:eastAsia="Times New Roman" w:hAnsi="Century Gothic" w:cs="Arial"/>
          <w:vertAlign w:val="superscript"/>
          <w:lang w:eastAsia="es-CO"/>
        </w:rPr>
        <w:footnoteReference w:id="20"/>
      </w:r>
      <w:r w:rsidRPr="00AB7F16">
        <w:rPr>
          <w:rFonts w:ascii="Century Gothic" w:eastAsia="Calibri" w:hAnsi="Century Gothic" w:cs="Arial"/>
          <w:bCs/>
          <w:lang w:val="es-MX"/>
        </w:rPr>
        <w:t xml:space="preserve">. Y el </w:t>
      </w:r>
      <w:r w:rsidRPr="00AB7F16">
        <w:rPr>
          <w:rFonts w:ascii="Century Gothic" w:eastAsia="Calibri" w:hAnsi="Century Gothic" w:cs="Arial"/>
          <w:bCs/>
          <w:i/>
          <w:iCs/>
          <w:lang w:val="es-MX"/>
        </w:rPr>
        <w:t>principio de buena fe</w:t>
      </w:r>
      <w:r w:rsidRPr="00AB7F16">
        <w:rPr>
          <w:rFonts w:ascii="Century Gothic" w:eastAsia="Calibri" w:hAnsi="Century Gothic" w:cs="Arial"/>
          <w:bCs/>
          <w:lang w:val="es-MX"/>
        </w:rPr>
        <w:t xml:space="preserve"> hace referencia al deber de todo sujeto obligado de cumplir con las obligaciones derivadas del derecho de acceso a la información pública con motivación honesta, leal y desprovista de cualquier intención dolosa o culposa</w:t>
      </w:r>
      <w:r w:rsidRPr="00AB7F16">
        <w:rPr>
          <w:rFonts w:ascii="Century Gothic" w:eastAsia="Calibri" w:hAnsi="Century Gothic" w:cs="Arial"/>
          <w:bCs/>
          <w:vertAlign w:val="superscript"/>
          <w:lang w:val="es-MX"/>
        </w:rPr>
        <w:footnoteReference w:id="21"/>
      </w:r>
      <w:r w:rsidRPr="00AB7F16">
        <w:rPr>
          <w:rFonts w:ascii="Century Gothic" w:eastAsia="Calibri" w:hAnsi="Century Gothic" w:cs="Arial"/>
          <w:bCs/>
          <w:lang w:val="es-MX"/>
        </w:rPr>
        <w:t xml:space="preserve">. </w:t>
      </w:r>
    </w:p>
    <w:p w14:paraId="63B55286" w14:textId="77777777" w:rsidR="00AB7F16" w:rsidRPr="00AB7F16" w:rsidRDefault="00AB7F16" w:rsidP="00AB7F16">
      <w:pPr>
        <w:spacing w:after="120" w:line="276" w:lineRule="auto"/>
        <w:ind w:firstLine="709"/>
        <w:jc w:val="both"/>
        <w:rPr>
          <w:rFonts w:ascii="Century Gothic" w:eastAsia="Times New Roman" w:hAnsi="Century Gothic" w:cs="Arial"/>
          <w:lang w:eastAsia="es-CO"/>
        </w:rPr>
      </w:pPr>
      <w:r w:rsidRPr="00AB7F16">
        <w:rPr>
          <w:rFonts w:ascii="Century Gothic" w:eastAsia="Calibri" w:hAnsi="Century Gothic" w:cs="Arial"/>
          <w:bCs/>
          <w:lang w:val="es-MX"/>
        </w:rPr>
        <w:lastRenderedPageBreak/>
        <w:t xml:space="preserve">La citada Ley establece, </w:t>
      </w:r>
      <w:bookmarkStart w:id="15" w:name="_Hlk112225357"/>
      <w:r w:rsidRPr="00AB7F16">
        <w:rPr>
          <w:rFonts w:ascii="Century Gothic" w:eastAsia="Calibri" w:hAnsi="Century Gothic" w:cs="Arial"/>
          <w:bCs/>
          <w:lang w:val="es-MX"/>
        </w:rPr>
        <w:t xml:space="preserve">en el literal e) del artículo 9, que los </w:t>
      </w:r>
      <w:r w:rsidRPr="00AB7F16">
        <w:rPr>
          <w:rFonts w:ascii="Century Gothic" w:eastAsia="Calibri" w:hAnsi="Century Gothic" w:cs="Arial"/>
          <w:bCs/>
          <w:i/>
          <w:iCs/>
          <w:lang w:val="es-MX"/>
        </w:rPr>
        <w:t>sujetos obligados</w:t>
      </w:r>
      <w:r w:rsidRPr="00AB7F16">
        <w:rPr>
          <w:rFonts w:ascii="Century Gothic" w:eastAsia="Calibri" w:hAnsi="Century Gothic" w:cs="Arial"/>
          <w:bCs/>
          <w:lang w:val="es-MX"/>
        </w:rPr>
        <w:t xml:space="preserve"> deben publicar la información relativa a su contratación</w:t>
      </w:r>
      <w:r w:rsidRPr="00AB7F16">
        <w:rPr>
          <w:rFonts w:ascii="Century Gothic" w:eastAsia="Times New Roman" w:hAnsi="Century Gothic" w:cs="Arial"/>
          <w:vertAlign w:val="superscript"/>
          <w:lang w:eastAsia="es-CO"/>
        </w:rPr>
        <w:footnoteReference w:id="22"/>
      </w:r>
      <w:r w:rsidRPr="00AB7F16">
        <w:rPr>
          <w:rFonts w:ascii="Century Gothic" w:eastAsia="Calibri" w:hAnsi="Century Gothic" w:cs="Arial"/>
          <w:bCs/>
          <w:lang w:val="es-MX"/>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Pr="00AB7F16">
        <w:rPr>
          <w:rFonts w:ascii="Century Gothic" w:eastAsia="Arial MT" w:hAnsi="Century Gothic" w:cs="Arial"/>
          <w:lang w:val="es-ES"/>
        </w:rPr>
        <w:t>Igualmente, establece que son sujetos obligados las empresas públicas, las empresas del Estado y las sociedades en las que el Estado tenga participación, sin que importe su monto</w:t>
      </w:r>
      <w:r w:rsidRPr="00AB7F16">
        <w:rPr>
          <w:rFonts w:ascii="Century Gothic" w:eastAsia="Times New Roman" w:hAnsi="Century Gothic" w:cs="Arial"/>
          <w:vertAlign w:val="superscript"/>
          <w:lang w:eastAsia="es-CO"/>
        </w:rPr>
        <w:footnoteReference w:id="23"/>
      </w:r>
      <w:r w:rsidRPr="00AB7F16">
        <w:rPr>
          <w:rFonts w:ascii="Century Gothic" w:eastAsia="Arial MT" w:hAnsi="Century Gothic" w:cs="Arial"/>
          <w:lang w:val="es-ES"/>
        </w:rPr>
        <w:t>.</w:t>
      </w:r>
      <w:r w:rsidRPr="00AB7F16">
        <w:rPr>
          <w:rFonts w:ascii="Century Gothic" w:eastAsia="Times New Roman" w:hAnsi="Century Gothic" w:cs="Arial"/>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bookmarkEnd w:id="15"/>
    <w:p w14:paraId="3E2BC123" w14:textId="77777777" w:rsidR="00AB7F16" w:rsidRPr="00AB7F16" w:rsidRDefault="00AB7F16" w:rsidP="00AB7F16">
      <w:pPr>
        <w:spacing w:after="120" w:line="276" w:lineRule="auto"/>
        <w:ind w:firstLine="708"/>
        <w:jc w:val="both"/>
        <w:rPr>
          <w:rFonts w:ascii="Century Gothic" w:eastAsia="Calibri" w:hAnsi="Century Gothic" w:cs="Arial"/>
          <w:bCs/>
          <w:lang w:val="es-MX"/>
        </w:rPr>
      </w:pPr>
      <w:r w:rsidRPr="00AB7F16">
        <w:rPr>
          <w:rFonts w:ascii="Century Gothic" w:eastAsia="Calibri" w:hAnsi="Century Gothic" w:cs="Arial"/>
          <w:bCs/>
          <w:lang w:val="es-MX"/>
        </w:rPr>
        <w:t>Esta obligación fue desarrollada por el artículo 2.1.1.2.1.7. del Decreto Único Reglamentario 1081 de 2015</w:t>
      </w:r>
      <w:r w:rsidRPr="00AB7F16">
        <w:rPr>
          <w:rFonts w:ascii="Century Gothic" w:eastAsia="Calibri" w:hAnsi="Century Gothic" w:cs="Arial"/>
          <w:bCs/>
          <w:vertAlign w:val="superscript"/>
          <w:lang w:val="es-MX"/>
        </w:rPr>
        <w:footnoteReference w:id="24"/>
      </w:r>
      <w:r w:rsidRPr="00AB7F16">
        <w:rPr>
          <w:rFonts w:ascii="Century Gothic" w:eastAsia="Calibri" w:hAnsi="Century Gothic" w:cs="Arial"/>
          <w:bCs/>
          <w:lang w:val="es-MX"/>
        </w:rPr>
        <w:t xml:space="preserve">, el cual dispuso que la publicación de la información </w:t>
      </w:r>
      <w:r w:rsidRPr="00AB7F16">
        <w:rPr>
          <w:rFonts w:ascii="Century Gothic" w:eastAsia="Calibri" w:hAnsi="Century Gothic" w:cs="Arial"/>
          <w:bCs/>
          <w:lang w:val="es-MX"/>
        </w:rPr>
        <w:lastRenderedPageBreak/>
        <w:t>contractual de los sujetos obligados, que contratan con cargo a recursos públicos, debe hacerse en el Sistema Electrónico para la Contratación Pública ─</w:t>
      </w:r>
      <w:r w:rsidRPr="00AB7F16">
        <w:rPr>
          <w:rFonts w:ascii="Century Gothic" w:eastAsia="Calibri" w:hAnsi="Century Gothic" w:cs="Arial"/>
          <w:bCs/>
          <w:lang w:val="es-MX"/>
        </w:rPr>
        <w:softHyphen/>
        <w:t xml:space="preserve"> </w:t>
      </w:r>
      <w:r w:rsidRPr="00AB7F16">
        <w:rPr>
          <w:rFonts w:ascii="Century Gothic" w:eastAsia="Calibri" w:hAnsi="Century Gothic" w:cs="Arial"/>
          <w:bCs/>
          <w:lang w:val="es-MX"/>
        </w:rPr>
        <w:softHyphen/>
        <w:t>SECOP–.</w:t>
      </w:r>
    </w:p>
    <w:p w14:paraId="2F9D291E" w14:textId="77777777" w:rsidR="00AB7F16" w:rsidRPr="00AB7F16" w:rsidRDefault="00AB7F16" w:rsidP="00AB7F16">
      <w:pPr>
        <w:spacing w:after="0" w:line="276" w:lineRule="auto"/>
        <w:ind w:firstLine="709"/>
        <w:contextualSpacing/>
        <w:jc w:val="both"/>
        <w:rPr>
          <w:rFonts w:ascii="Century Gothic" w:eastAsia="Calibri" w:hAnsi="Century Gothic" w:cs="Arial"/>
          <w:bCs/>
          <w:lang w:val="es-MX"/>
        </w:rPr>
      </w:pPr>
      <w:r w:rsidRPr="00AB7F16">
        <w:rPr>
          <w:rFonts w:ascii="Century Gothic" w:eastAsia="Calibri" w:hAnsi="Century Gothic" w:cs="Arial"/>
          <w:bCs/>
          <w:lang w:val="es-MX"/>
        </w:rPr>
        <w:t xml:space="preserve">Las anteriores disposiciones normativas fueron complementadas con la expedición de la </w:t>
      </w:r>
      <w:bookmarkStart w:id="16" w:name="_Hlk109111930"/>
      <w:r w:rsidRPr="00AB7F16">
        <w:rPr>
          <w:rFonts w:ascii="Century Gothic" w:eastAsia="Calibri" w:hAnsi="Century Gothic" w:cs="Arial"/>
          <w:bCs/>
          <w:lang w:val="es-MX"/>
        </w:rPr>
        <w:t xml:space="preserve">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plataforma transaccional que haga sus veces. </w:t>
      </w:r>
      <w:bookmarkEnd w:id="16"/>
      <w:r w:rsidRPr="00AB7F16">
        <w:rPr>
          <w:rFonts w:ascii="Century Gothic" w:eastAsia="Calibri" w:hAnsi="Century Gothic" w:cs="Arial"/>
          <w:bCs/>
          <w:lang w:val="es-MX"/>
        </w:rPr>
        <w:t>Al respecto, la norma citada, de manera expresa, señala:</w:t>
      </w:r>
    </w:p>
    <w:p w14:paraId="3B3F2FBA" w14:textId="77777777" w:rsidR="00AB7F16" w:rsidRPr="00AB7F16" w:rsidRDefault="00AB7F16" w:rsidP="00AB7F16">
      <w:pPr>
        <w:spacing w:after="0" w:line="240" w:lineRule="auto"/>
        <w:ind w:firstLine="301"/>
        <w:contextualSpacing/>
        <w:rPr>
          <w:rFonts w:ascii="Century Gothic" w:eastAsia="Calibri" w:hAnsi="Century Gothic" w:cs="Arial"/>
          <w:bCs/>
          <w:lang w:val="es-MX"/>
        </w:rPr>
      </w:pPr>
    </w:p>
    <w:p w14:paraId="0216C585" w14:textId="77777777" w:rsidR="00AB7F16" w:rsidRPr="00AB7F16" w:rsidRDefault="00AB7F16" w:rsidP="00AB7F16">
      <w:pPr>
        <w:spacing w:after="0" w:line="240" w:lineRule="auto"/>
        <w:ind w:left="709" w:right="709"/>
        <w:contextualSpacing/>
        <w:jc w:val="both"/>
        <w:rPr>
          <w:rFonts w:ascii="Century Gothic" w:eastAsia="Calibri" w:hAnsi="Century Gothic" w:cs="Arial"/>
          <w:bCs/>
          <w:sz w:val="21"/>
          <w:szCs w:val="21"/>
          <w:lang w:val="es-MX"/>
        </w:rPr>
      </w:pPr>
      <w:r w:rsidRPr="00AB7F16">
        <w:rPr>
          <w:rFonts w:ascii="Century Gothic" w:eastAsia="Calibri" w:hAnsi="Century Gothic" w:cs="Arial"/>
          <w:bCs/>
          <w:sz w:val="21"/>
          <w:szCs w:val="21"/>
          <w:lang w:val="es-MX"/>
        </w:rPr>
        <w:t>“Adiciónese los siguientes incisos al artículo 13 de la Ley 1150 de 2007, el cual quedará así:</w:t>
      </w:r>
    </w:p>
    <w:p w14:paraId="3EA435B7" w14:textId="77777777" w:rsidR="00AB7F16" w:rsidRPr="00AB7F16" w:rsidRDefault="00AB7F16" w:rsidP="00AB7F16">
      <w:pPr>
        <w:spacing w:after="0" w:line="240" w:lineRule="auto"/>
        <w:ind w:left="709" w:right="709"/>
        <w:contextualSpacing/>
        <w:jc w:val="both"/>
        <w:rPr>
          <w:rFonts w:ascii="Century Gothic" w:eastAsia="Calibri" w:hAnsi="Century Gothic" w:cs="Arial"/>
          <w:bCs/>
          <w:sz w:val="21"/>
          <w:szCs w:val="21"/>
          <w:lang w:val="es-MX"/>
        </w:rPr>
      </w:pPr>
    </w:p>
    <w:p w14:paraId="3CAD8261" w14:textId="77777777" w:rsidR="00AB7F16" w:rsidRPr="00AB7F16" w:rsidRDefault="00AB7F16" w:rsidP="00AB7F16">
      <w:pPr>
        <w:spacing w:after="0" w:line="240" w:lineRule="auto"/>
        <w:ind w:left="709" w:right="709"/>
        <w:contextualSpacing/>
        <w:jc w:val="both"/>
        <w:rPr>
          <w:rFonts w:ascii="Century Gothic" w:eastAsia="Calibri" w:hAnsi="Century Gothic" w:cs="Arial"/>
          <w:bCs/>
          <w:sz w:val="21"/>
          <w:szCs w:val="21"/>
          <w:lang w:val="es-MX"/>
        </w:rPr>
      </w:pPr>
      <w:r w:rsidRPr="00AB7F16">
        <w:rPr>
          <w:rFonts w:ascii="Century Gothic" w:eastAsia="Calibri" w:hAnsi="Century Gothic" w:cs="Arial"/>
          <w:bCs/>
          <w:sz w:val="21"/>
          <w:szCs w:val="21"/>
          <w:lang w:val="es-MX"/>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76F85FF" w14:textId="77777777" w:rsidR="00AB7F16" w:rsidRPr="00AB7F16" w:rsidRDefault="00AB7F16" w:rsidP="00AB7F16">
      <w:pPr>
        <w:spacing w:after="0" w:line="240" w:lineRule="auto"/>
        <w:ind w:left="709" w:right="709"/>
        <w:contextualSpacing/>
        <w:jc w:val="both"/>
        <w:rPr>
          <w:rFonts w:ascii="Century Gothic" w:eastAsia="Calibri" w:hAnsi="Century Gothic" w:cs="Arial"/>
          <w:bCs/>
          <w:sz w:val="21"/>
          <w:szCs w:val="21"/>
          <w:lang w:val="es-MX"/>
        </w:rPr>
      </w:pPr>
    </w:p>
    <w:p w14:paraId="3C7481C5" w14:textId="77777777" w:rsidR="00AB7F16" w:rsidRPr="00AB7F16" w:rsidRDefault="00AB7F16" w:rsidP="00AB7F16">
      <w:pPr>
        <w:spacing w:after="0" w:line="240" w:lineRule="auto"/>
        <w:ind w:left="709" w:right="709"/>
        <w:contextualSpacing/>
        <w:jc w:val="both"/>
        <w:rPr>
          <w:rFonts w:ascii="Century Gothic" w:eastAsia="Calibri" w:hAnsi="Century Gothic" w:cs="Arial"/>
          <w:bCs/>
          <w:i/>
          <w:iCs/>
          <w:sz w:val="21"/>
          <w:szCs w:val="21"/>
          <w:lang w:val="es-MX"/>
        </w:rPr>
      </w:pPr>
      <w:r w:rsidRPr="00AB7F16">
        <w:rPr>
          <w:rFonts w:ascii="Century Gothic" w:eastAsia="Calibri" w:hAnsi="Century Gothic" w:cs="Arial"/>
          <w:bCs/>
          <w:i/>
          <w:iCs/>
          <w:sz w:val="21"/>
          <w:szCs w:val="21"/>
          <w:lang w:val="es-MX"/>
        </w:rPr>
        <w:t xml:space="preserve">En desarrollo de los anteriores principios, deberán publicar los documentos relacionados con su actividad contractual en el Sistema </w:t>
      </w:r>
      <w:r w:rsidRPr="00AB7F16">
        <w:rPr>
          <w:rFonts w:ascii="Century Gothic" w:eastAsia="Calibri" w:hAnsi="Century Gothic" w:cs="Arial"/>
          <w:bCs/>
          <w:i/>
          <w:iCs/>
          <w:sz w:val="21"/>
          <w:szCs w:val="21"/>
          <w:lang w:val="es-MX"/>
        </w:rPr>
        <w:lastRenderedPageBreak/>
        <w:t>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5CA33F40" w14:textId="77777777" w:rsidR="00AB7F16" w:rsidRPr="00AB7F16" w:rsidRDefault="00AB7F16" w:rsidP="00AB7F16">
      <w:pPr>
        <w:spacing w:after="0" w:line="240" w:lineRule="auto"/>
        <w:ind w:left="709" w:right="709"/>
        <w:contextualSpacing/>
        <w:jc w:val="both"/>
        <w:rPr>
          <w:rFonts w:ascii="Century Gothic" w:eastAsia="Calibri" w:hAnsi="Century Gothic" w:cs="Arial"/>
          <w:bCs/>
          <w:sz w:val="21"/>
          <w:szCs w:val="21"/>
          <w:lang w:val="es-MX"/>
        </w:rPr>
      </w:pPr>
    </w:p>
    <w:p w14:paraId="7DBE6E89" w14:textId="77777777" w:rsidR="00AB7F16" w:rsidRPr="00AB7F16" w:rsidRDefault="00AB7F16" w:rsidP="00AB7F16">
      <w:pPr>
        <w:spacing w:after="0" w:line="240" w:lineRule="auto"/>
        <w:ind w:left="709" w:right="709"/>
        <w:contextualSpacing/>
        <w:jc w:val="both"/>
        <w:rPr>
          <w:rFonts w:ascii="Century Gothic" w:eastAsia="Calibri" w:hAnsi="Century Gothic" w:cs="Arial"/>
          <w:bCs/>
          <w:sz w:val="21"/>
          <w:szCs w:val="21"/>
          <w:lang w:val="es-MX"/>
        </w:rPr>
      </w:pPr>
      <w:r w:rsidRPr="00AB7F16">
        <w:rPr>
          <w:rFonts w:ascii="Century Gothic" w:eastAsia="Calibri" w:hAnsi="Century Gothic" w:cs="Arial"/>
          <w:bCs/>
          <w:sz w:val="21"/>
          <w:szCs w:val="21"/>
          <w:lang w:val="es-MX"/>
        </w:rPr>
        <w:t>A partir de la entrada en vigencia de la presente Ley, se establecerá un periodo de transición de seis (6) meses, para que las entidades den cumplimiento efectivo a lo aquí establecido”. [Énfasis fuera de texto].</w:t>
      </w:r>
    </w:p>
    <w:p w14:paraId="0DA37A61" w14:textId="77777777" w:rsidR="00AB7F16" w:rsidRPr="00AB7F16" w:rsidRDefault="00AB7F16" w:rsidP="00AB7F16">
      <w:pPr>
        <w:spacing w:after="0" w:line="276" w:lineRule="auto"/>
        <w:ind w:firstLine="709"/>
        <w:contextualSpacing/>
        <w:jc w:val="both"/>
        <w:rPr>
          <w:rFonts w:ascii="Century Gothic" w:eastAsia="Calibri" w:hAnsi="Century Gothic" w:cs="Arial"/>
          <w:bCs/>
          <w:lang w:val="es-MX"/>
        </w:rPr>
      </w:pPr>
    </w:p>
    <w:p w14:paraId="539A9169" w14:textId="77777777" w:rsidR="00AB7F16" w:rsidRPr="00AB7F16" w:rsidRDefault="00AB7F16" w:rsidP="00AB7F16">
      <w:pPr>
        <w:spacing w:after="120" w:line="276" w:lineRule="auto"/>
        <w:ind w:firstLine="709"/>
        <w:jc w:val="both"/>
        <w:rPr>
          <w:rFonts w:ascii="Century Gothic" w:eastAsia="Calibri" w:hAnsi="Century Gothic" w:cs="Arial"/>
          <w:lang w:val="es-ES"/>
        </w:rPr>
      </w:pPr>
      <w:r w:rsidRPr="00AB7F16">
        <w:rPr>
          <w:rFonts w:ascii="Century Gothic" w:eastAsia="Calibri" w:hAnsi="Century Gothic" w:cs="Arial"/>
          <w:lang w:val="es-ES"/>
        </w:rPr>
        <w:t xml:space="preserve">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Congreso de la República dispone que las entidades estatales exceptuadas del EGCAP deben publicar en el SECOP II –es decir en la plataforma transaccional vigente– su actividad contractual. </w:t>
      </w:r>
    </w:p>
    <w:p w14:paraId="6BC94F7F" w14:textId="77777777" w:rsidR="00AB7F16" w:rsidRPr="00AB7F16" w:rsidRDefault="00AB7F16" w:rsidP="00AB7F16">
      <w:pPr>
        <w:spacing w:after="120" w:line="276" w:lineRule="auto"/>
        <w:ind w:firstLine="709"/>
        <w:jc w:val="both"/>
        <w:rPr>
          <w:rFonts w:ascii="Century Gothic" w:eastAsia="Calibri" w:hAnsi="Century Gothic" w:cs="Arial"/>
          <w:bCs/>
          <w:lang w:val="es-MX"/>
        </w:rPr>
      </w:pPr>
      <w:r w:rsidRPr="00AB7F16">
        <w:rPr>
          <w:rFonts w:ascii="Century Gothic" w:eastAsia="Calibri" w:hAnsi="Century Gothic" w:cs="Arial"/>
          <w:bCs/>
          <w:lang w:val="es-MX"/>
        </w:rPr>
        <w:t>Ahora bien, 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en el futuro dicha plataforma sea remplazada por otra que tenga una denominación distinta, las entidades que tienen un régimen exceptuado deben continuar publicando la documentación de su actividad contractual en la nueva plataforma transaccional que para el efecto se cree. En ese sentido, la locución “la plataforma que haga sus veces” no puede interpretarse como una autorización para que las entidades obligadas en virtud del artículo 53 de la Ley 2195 de 2022 empleen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24FB99A0" w14:textId="77777777" w:rsidR="00AB7F16" w:rsidRPr="00AB7F16" w:rsidRDefault="00AB7F16" w:rsidP="00AB7F16">
      <w:pPr>
        <w:spacing w:after="120" w:line="276" w:lineRule="auto"/>
        <w:ind w:firstLine="709"/>
        <w:jc w:val="both"/>
        <w:rPr>
          <w:rFonts w:ascii="Century Gothic" w:eastAsia="Calibri" w:hAnsi="Century Gothic" w:cs="Arial"/>
          <w:bCs/>
          <w:lang w:val="es-MX"/>
        </w:rPr>
      </w:pPr>
      <w:bookmarkStart w:id="17" w:name="_Hlk109111956"/>
      <w:r w:rsidRPr="00AB7F16">
        <w:rPr>
          <w:rFonts w:ascii="Century Gothic" w:eastAsia="Calibri" w:hAnsi="Century Gothic" w:cs="Arial"/>
          <w:bCs/>
          <w:lang w:val="es-MX"/>
        </w:rPr>
        <w:lastRenderedPageBreak/>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AB7F16">
        <w:rPr>
          <w:rFonts w:ascii="Century Gothic" w:eastAsia="Calibri" w:hAnsi="Century Gothic" w:cs="Arial"/>
          <w:bCs/>
          <w:i/>
          <w:iCs/>
          <w:lang w:val="es-MX"/>
        </w:rPr>
        <w:t>actividad contractual</w:t>
      </w:r>
      <w:r w:rsidRPr="00AB7F16">
        <w:rPr>
          <w:rFonts w:ascii="Century Gothic" w:eastAsia="Calibri" w:hAnsi="Century Gothic" w:cs="Arial"/>
          <w:bCs/>
          <w:lang w:val="es-MX"/>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tanto, </w:t>
      </w:r>
      <w:bookmarkEnd w:id="17"/>
      <w:r w:rsidRPr="00AB7F16">
        <w:rPr>
          <w:rFonts w:ascii="Century Gothic" w:eastAsia="Calibri" w:hAnsi="Century Gothic" w:cs="Arial"/>
          <w:bCs/>
          <w:lang w:val="es-MX"/>
        </w:rPr>
        <w:t xml:space="preserve">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6341448C" w14:textId="77777777" w:rsidR="00AB7F16" w:rsidRPr="00AB7F16" w:rsidRDefault="00AB7F16" w:rsidP="00AB7F16">
      <w:pPr>
        <w:spacing w:after="120" w:line="276" w:lineRule="auto"/>
        <w:ind w:firstLine="709"/>
        <w:jc w:val="both"/>
        <w:rPr>
          <w:rFonts w:ascii="Century Gothic" w:eastAsia="Calibri" w:hAnsi="Century Gothic" w:cs="Arial"/>
          <w:bCs/>
          <w:lang w:val="es-MX"/>
        </w:rPr>
      </w:pPr>
      <w:r w:rsidRPr="00AB7F16">
        <w:rPr>
          <w:rFonts w:ascii="Century Gothic" w:eastAsia="Calibri" w:hAnsi="Century Gothic" w:cs="Arial"/>
          <w:bCs/>
          <w:lang w:val="es-MX"/>
        </w:rPr>
        <w:t>Sin perjuicio de lo anterior, vale la pena aclarar que el cumplimiento del deber de publicación de la documentación contractual debe armonizarse con las normas aplicables al tipo de información que estas contienen</w:t>
      </w:r>
      <w:r w:rsidRPr="00AB7F16">
        <w:rPr>
          <w:rFonts w:ascii="Century Gothic" w:eastAsia="Calibri" w:hAnsi="Century Gothic" w:cs="Arial"/>
          <w:bCs/>
          <w:vertAlign w:val="superscript"/>
          <w:lang w:val="es-MX"/>
        </w:rPr>
        <w:footnoteReference w:id="25"/>
      </w:r>
      <w:r w:rsidRPr="00AB7F16">
        <w:rPr>
          <w:rFonts w:ascii="Century Gothic" w:eastAsia="Calibri" w:hAnsi="Century Gothic" w:cs="Arial"/>
          <w:bCs/>
          <w:lang w:val="es-MX"/>
        </w:rPr>
        <w:t xml:space="preserve">. Lo anterior significa </w:t>
      </w:r>
      <w:r w:rsidRPr="00AB7F16">
        <w:rPr>
          <w:rFonts w:ascii="Century Gothic" w:eastAsia="Calibri" w:hAnsi="Century Gothic" w:cs="Arial"/>
          <w:bCs/>
          <w:lang w:val="es-MX"/>
        </w:rPr>
        <w:lastRenderedPageBreak/>
        <w:t xml:space="preserve">que, respecto de datos sensibles, información sometida a reserva o de la cual proceda un tratamiento especial que impida su publicidad, las entidades deberán proceder de conformidad con el tratamiento que impongan tales normas. </w:t>
      </w:r>
    </w:p>
    <w:p w14:paraId="59EF9C41" w14:textId="77777777" w:rsidR="00AB7F16" w:rsidRPr="00AB7F16" w:rsidRDefault="00AB7F16" w:rsidP="00AB7F16">
      <w:pPr>
        <w:spacing w:after="120" w:line="276" w:lineRule="auto"/>
        <w:ind w:firstLine="709"/>
        <w:jc w:val="both"/>
        <w:rPr>
          <w:rFonts w:ascii="Century Gothic" w:eastAsia="Calibri" w:hAnsi="Century Gothic" w:cs="Arial"/>
          <w:bCs/>
          <w:lang w:val="es-MX"/>
        </w:rPr>
      </w:pPr>
      <w:bookmarkStart w:id="18" w:name="_Hlk109111976"/>
      <w:r w:rsidRPr="00AB7F16">
        <w:rPr>
          <w:rFonts w:ascii="Century Gothic" w:eastAsia="Calibri" w:hAnsi="Century Gothic" w:cs="Arial"/>
          <w:bCs/>
          <w:lang w:val="es-MX"/>
        </w:rPr>
        <w:t>Por otro lado, el inciso final del artículo 53 dispone que “A partir de la entrada en vigencia de la presente Ley, se establecerá un periodo de transición de seis (6) meses, para que las entidades den cumplimiento efectivo a lo aquí establecido”.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bookmarkEnd w:id="18"/>
      <w:r w:rsidRPr="00AB7F16">
        <w:rPr>
          <w:rFonts w:ascii="Century Gothic" w:eastAsia="Calibri" w:hAnsi="Century Gothic" w:cs="Arial"/>
          <w:bCs/>
          <w:lang w:val="es-MX"/>
        </w:rPr>
        <w:t xml:space="preserve">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AB7F16">
        <w:rPr>
          <w:rFonts w:ascii="Century Gothic" w:eastAsia="Calibri" w:hAnsi="Century Gothic" w:cs="Arial"/>
          <w:bCs/>
          <w:vertAlign w:val="superscript"/>
          <w:lang w:val="es-MX"/>
        </w:rPr>
        <w:footnoteReference w:id="26"/>
      </w:r>
      <w:r w:rsidRPr="00AB7F16">
        <w:rPr>
          <w:rFonts w:ascii="Century Gothic" w:eastAsia="Calibri" w:hAnsi="Century Gothic" w:cs="Arial"/>
          <w:bCs/>
          <w:lang w:val="es-MX"/>
        </w:rPr>
        <w:t xml:space="preserve">. </w:t>
      </w:r>
    </w:p>
    <w:p w14:paraId="584A4AF2" w14:textId="77777777" w:rsidR="00AB7F16" w:rsidRPr="00AB7F16" w:rsidRDefault="00AB7F16" w:rsidP="00AB7F16">
      <w:pPr>
        <w:spacing w:after="120" w:line="276" w:lineRule="auto"/>
        <w:ind w:firstLine="709"/>
        <w:jc w:val="both"/>
        <w:rPr>
          <w:rFonts w:ascii="Century Gothic" w:eastAsia="Calibri" w:hAnsi="Century Gothic" w:cs="Arial"/>
          <w:bCs/>
          <w:lang w:val="es-MX"/>
        </w:rPr>
      </w:pPr>
      <w:r w:rsidRPr="00AB7F16">
        <w:rPr>
          <w:rFonts w:ascii="Century Gothic" w:eastAsia="Calibri" w:hAnsi="Century Gothic" w:cs="Arial"/>
          <w:bCs/>
          <w:lang w:val="es-MX"/>
        </w:rPr>
        <w:t>Teniendo en cuenta el marco normativo antes reseñado, 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AB7F16">
        <w:rPr>
          <w:rFonts w:ascii="Century Gothic" w:eastAsia="Calibri" w:hAnsi="Century Gothic" w:cs="Arial"/>
          <w:bCs/>
          <w:vertAlign w:val="superscript"/>
          <w:lang w:val="es-MX"/>
        </w:rPr>
        <w:footnoteReference w:id="27"/>
      </w:r>
      <w:r w:rsidRPr="00AB7F16">
        <w:rPr>
          <w:rFonts w:ascii="Century Gothic" w:eastAsia="Calibri" w:hAnsi="Century Gothic" w:cs="Arial"/>
          <w:bCs/>
          <w:lang w:val="es-MX"/>
        </w:rPr>
        <w:t xml:space="preserve">. </w:t>
      </w:r>
    </w:p>
    <w:p w14:paraId="3529FDE2" w14:textId="77777777" w:rsidR="00AB7F16" w:rsidRPr="00AB7F16" w:rsidRDefault="00AB7F16" w:rsidP="00AB7F16">
      <w:pPr>
        <w:spacing w:after="120" w:line="276" w:lineRule="auto"/>
        <w:ind w:firstLine="709"/>
        <w:jc w:val="both"/>
        <w:rPr>
          <w:rFonts w:ascii="Century Gothic" w:eastAsia="Calibri" w:hAnsi="Century Gothic" w:cs="Arial"/>
          <w:bCs/>
          <w:lang w:val="es-MX"/>
        </w:rPr>
      </w:pPr>
      <w:r w:rsidRPr="00AB7F16">
        <w:rPr>
          <w:rFonts w:ascii="Century Gothic" w:eastAsia="Calibri" w:hAnsi="Century Gothic" w:cs="Arial"/>
          <w:bCs/>
          <w:lang w:val="es-MX"/>
        </w:rPr>
        <w:t xml:space="preserve">De lo expuesto en los considerandos de este concepto, se concluye que las entidades públicas, independientemente de que el régimen contractual que les </w:t>
      </w:r>
      <w:r w:rsidRPr="00AB7F16">
        <w:rPr>
          <w:rFonts w:ascii="Century Gothic" w:eastAsia="Calibri" w:hAnsi="Century Gothic" w:cs="Arial"/>
          <w:bCs/>
          <w:lang w:val="es-MX"/>
        </w:rPr>
        <w:lastRenderedPageBreak/>
        <w:t xml:space="preserve">aplica sea el derecho privado, deben publicar su actividad en el SECOP II o la plataforma transaccional que haga sus veces, de acuerdo con lo establecido en el artículo 53 de la Ley 2195 de 2022.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14:paraId="26FD8405" w14:textId="77777777" w:rsidR="00AB7F16" w:rsidRPr="00AB7F16" w:rsidRDefault="00AB7F16" w:rsidP="00AB7F16">
      <w:pPr>
        <w:spacing w:before="120" w:after="0" w:line="276" w:lineRule="auto"/>
        <w:ind w:firstLine="709"/>
        <w:jc w:val="both"/>
        <w:rPr>
          <w:rFonts w:ascii="Century Gothic" w:eastAsia="Calibri" w:hAnsi="Century Gothic" w:cs="Arial"/>
          <w:bCs/>
          <w:lang w:val="es-MX"/>
        </w:rPr>
      </w:pPr>
      <w:r w:rsidRPr="00AB7F16">
        <w:rPr>
          <w:rFonts w:ascii="Century Gothic" w:eastAsia="Calibri" w:hAnsi="Century Gothic" w:cs="Arial"/>
          <w:bCs/>
          <w:lang w:val="es-MX"/>
        </w:rPr>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 , las entidades estatales –incluidas las que se rigen generalmente por el derecho privado en materia contractual–, al ser </w:t>
      </w:r>
      <w:r w:rsidRPr="00AB7F16">
        <w:rPr>
          <w:rFonts w:ascii="Century Gothic" w:eastAsia="Calibri" w:hAnsi="Century Gothic" w:cs="Arial"/>
          <w:bCs/>
          <w:i/>
          <w:iCs/>
          <w:lang w:val="es-MX"/>
        </w:rPr>
        <w:t>sujetos obligados</w:t>
      </w:r>
      <w:r w:rsidRPr="00AB7F16">
        <w:rPr>
          <w:rFonts w:ascii="Century Gothic" w:eastAsia="Calibri" w:hAnsi="Century Gothic" w:cs="Arial"/>
          <w:bCs/>
          <w:lang w:val="es-MX"/>
        </w:rPr>
        <w:t xml:space="preserve"> a garantizar el derecho de acceso a la información y a los documentos públicos, deben publicar en el SECOP los documentos relacionados con su gestión contractual.</w:t>
      </w:r>
    </w:p>
    <w:p w14:paraId="66BE8124" w14:textId="77777777" w:rsidR="00AB7F16" w:rsidRPr="00AB7F16" w:rsidRDefault="00AB7F16" w:rsidP="00AB7F16">
      <w:pPr>
        <w:shd w:val="clear" w:color="auto" w:fill="FFFFFF"/>
        <w:tabs>
          <w:tab w:val="left" w:pos="0"/>
        </w:tabs>
        <w:spacing w:after="0"/>
        <w:jc w:val="both"/>
        <w:rPr>
          <w:rFonts w:ascii="Century Gothic" w:eastAsia="Calibri" w:hAnsi="Century Gothic" w:cs="Arial"/>
          <w:b/>
          <w:color w:val="000000"/>
          <w:lang w:val="es-ES_tradnl"/>
        </w:rPr>
      </w:pPr>
    </w:p>
    <w:p w14:paraId="356D2D4D" w14:textId="77777777" w:rsidR="00AB7F16" w:rsidRPr="00AB7F16" w:rsidRDefault="00AB7F16" w:rsidP="00AB7F16">
      <w:pPr>
        <w:shd w:val="clear" w:color="auto" w:fill="FFFFFF"/>
        <w:tabs>
          <w:tab w:val="left" w:pos="0"/>
        </w:tabs>
        <w:spacing w:after="0"/>
        <w:jc w:val="both"/>
        <w:rPr>
          <w:rFonts w:ascii="Century Gothic" w:eastAsia="Calibri" w:hAnsi="Century Gothic" w:cs="Arial"/>
          <w:b/>
          <w:color w:val="000000"/>
          <w:lang w:val="es-ES_tradnl"/>
        </w:rPr>
      </w:pPr>
      <w:r w:rsidRPr="00AB7F16">
        <w:rPr>
          <w:rFonts w:ascii="Century Gothic" w:eastAsia="Calibri" w:hAnsi="Century Gothic" w:cs="Arial"/>
          <w:b/>
          <w:color w:val="000000"/>
          <w:lang w:val="es-ES_tradnl"/>
        </w:rPr>
        <w:t>3. Respuesta</w:t>
      </w:r>
    </w:p>
    <w:p w14:paraId="386FBA0A" w14:textId="77777777" w:rsidR="00AB7F16" w:rsidRPr="00AB7F16" w:rsidRDefault="00AB7F16" w:rsidP="00AB7F16">
      <w:pPr>
        <w:shd w:val="clear" w:color="auto" w:fill="FFFFFF"/>
        <w:spacing w:after="0" w:line="240" w:lineRule="auto"/>
        <w:ind w:right="709"/>
        <w:jc w:val="both"/>
        <w:rPr>
          <w:rFonts w:ascii="Century Gothic" w:eastAsia="Calibri" w:hAnsi="Century Gothic" w:cs="Arial"/>
          <w:color w:val="000000"/>
          <w:lang w:val="es-ES_tradnl"/>
        </w:rPr>
      </w:pPr>
    </w:p>
    <w:p w14:paraId="3140EE05"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t xml:space="preserve">“Las entidades territoriales pueden autorizar mediante acto administrativo, que desde el SGR se transfiera a fondos mixtos para la contratación y ejecución de obras. Ahora bien, la Ley 2195 de 2022 art 53 y 56 señalan obligaciones para entidades con </w:t>
      </w:r>
      <w:proofErr w:type="spellStart"/>
      <w:r w:rsidRPr="1810D5F6">
        <w:rPr>
          <w:rFonts w:ascii="Century Gothic" w:eastAsia="Calibri" w:hAnsi="Century Gothic" w:cs="Arial"/>
          <w:color w:val="000000" w:themeColor="text1"/>
          <w:sz w:val="21"/>
          <w:szCs w:val="21"/>
          <w:lang w:val="es-ES"/>
        </w:rPr>
        <w:t>regimenes</w:t>
      </w:r>
      <w:proofErr w:type="spellEnd"/>
      <w:r w:rsidRPr="1810D5F6">
        <w:rPr>
          <w:rFonts w:ascii="Century Gothic" w:eastAsia="Calibri" w:hAnsi="Century Gothic" w:cs="Arial"/>
          <w:color w:val="000000" w:themeColor="text1"/>
          <w:sz w:val="21"/>
          <w:szCs w:val="21"/>
          <w:lang w:val="es-ES"/>
        </w:rPr>
        <w:t xml:space="preserve"> excluidos.</w:t>
      </w:r>
    </w:p>
    <w:p w14:paraId="22F80E3C" w14:textId="77777777" w:rsidR="00AB7F16" w:rsidRPr="00AB7F16" w:rsidRDefault="00AB7F16" w:rsidP="00AB7F16">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2146D42A"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t xml:space="preserve">Los fondos mixtos son entidades descentralizadas indirectas, </w:t>
      </w:r>
      <w:proofErr w:type="spellStart"/>
      <w:r w:rsidRPr="1810D5F6">
        <w:rPr>
          <w:rFonts w:ascii="Century Gothic" w:eastAsia="Calibri" w:hAnsi="Century Gothic" w:cs="Arial"/>
          <w:color w:val="000000" w:themeColor="text1"/>
          <w:sz w:val="21"/>
          <w:szCs w:val="21"/>
          <w:lang w:val="es-ES"/>
        </w:rPr>
        <w:t>asi</w:t>
      </w:r>
      <w:proofErr w:type="spellEnd"/>
      <w:r w:rsidRPr="1810D5F6">
        <w:rPr>
          <w:rFonts w:ascii="Century Gothic" w:eastAsia="Calibri" w:hAnsi="Century Gothic" w:cs="Arial"/>
          <w:color w:val="000000" w:themeColor="text1"/>
          <w:sz w:val="21"/>
          <w:szCs w:val="21"/>
          <w:lang w:val="es-ES"/>
        </w:rPr>
        <w:t xml:space="preserve"> que me generan ciertas dudas:</w:t>
      </w:r>
    </w:p>
    <w:p w14:paraId="354603DC" w14:textId="77777777" w:rsidR="00AB7F16" w:rsidRPr="00AB7F16" w:rsidRDefault="00AB7F16" w:rsidP="00AB7F16">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5A0ED607"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t xml:space="preserve">1. </w:t>
      </w:r>
      <w:proofErr w:type="gramStart"/>
      <w:r w:rsidRPr="1810D5F6">
        <w:rPr>
          <w:rFonts w:ascii="Century Gothic" w:eastAsia="Calibri" w:hAnsi="Century Gothic" w:cs="Arial"/>
          <w:color w:val="000000" w:themeColor="text1"/>
          <w:sz w:val="21"/>
          <w:szCs w:val="21"/>
          <w:lang w:val="es-ES"/>
        </w:rPr>
        <w:t>Deben los fondos mixtos utilizar pliegos tipo por transferencia de recursos para obras cubiertas por los documentos tipo, en el caso de que no exista convenio interadministrativo?</w:t>
      </w:r>
      <w:proofErr w:type="gramEnd"/>
    </w:p>
    <w:p w14:paraId="0635B2D9" w14:textId="77777777" w:rsidR="00AB7F16" w:rsidRPr="00AB7F16" w:rsidRDefault="00AB7F16" w:rsidP="00AB7F16">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551ADC50"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t xml:space="preserve">2. Si son procesos cofinanciados </w:t>
      </w:r>
      <w:proofErr w:type="gramStart"/>
      <w:r w:rsidRPr="1810D5F6">
        <w:rPr>
          <w:rFonts w:ascii="Century Gothic" w:eastAsia="Calibri" w:hAnsi="Century Gothic" w:cs="Arial"/>
          <w:color w:val="000000" w:themeColor="text1"/>
          <w:sz w:val="21"/>
          <w:szCs w:val="21"/>
          <w:lang w:val="es-ES"/>
        </w:rPr>
        <w:t>( un</w:t>
      </w:r>
      <w:proofErr w:type="gramEnd"/>
      <w:r w:rsidRPr="1810D5F6">
        <w:rPr>
          <w:rFonts w:ascii="Century Gothic" w:eastAsia="Calibri" w:hAnsi="Century Gothic" w:cs="Arial"/>
          <w:color w:val="000000" w:themeColor="text1"/>
          <w:sz w:val="21"/>
          <w:szCs w:val="21"/>
          <w:lang w:val="es-ES"/>
        </w:rPr>
        <w:t xml:space="preserve"> % es regalías y otro % es recursos propios) que se transfiere al fondo mixto: se requiere suscribir convenio interadministrativo? </w:t>
      </w:r>
      <w:proofErr w:type="gramStart"/>
      <w:r w:rsidRPr="1810D5F6">
        <w:rPr>
          <w:rFonts w:ascii="Century Gothic" w:eastAsia="Calibri" w:hAnsi="Century Gothic" w:cs="Arial"/>
          <w:color w:val="000000" w:themeColor="text1"/>
          <w:sz w:val="21"/>
          <w:szCs w:val="21"/>
          <w:lang w:val="es-ES"/>
        </w:rPr>
        <w:t>Si es así, debe utilizar pliego tipo?</w:t>
      </w:r>
      <w:proofErr w:type="gramEnd"/>
    </w:p>
    <w:p w14:paraId="0282CCB9" w14:textId="77777777" w:rsidR="00AB7F16" w:rsidRPr="00AB7F16" w:rsidRDefault="00AB7F16" w:rsidP="00AB7F16">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6EF478A5" w14:textId="77777777" w:rsidR="00AB7F16" w:rsidRPr="00AB7F16" w:rsidRDefault="00AB7F16" w:rsidP="1810D5F6">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1810D5F6">
        <w:rPr>
          <w:rFonts w:ascii="Century Gothic" w:eastAsia="Calibri" w:hAnsi="Century Gothic" w:cs="Arial"/>
          <w:color w:val="000000" w:themeColor="text1"/>
          <w:sz w:val="21"/>
          <w:szCs w:val="21"/>
          <w:lang w:val="es-ES"/>
        </w:rPr>
        <w:t xml:space="preserve">3. Los fondos mixtos tendrían que publicar en SECOP su actividad contractual sea en virtud de la citada ley a pesar de su </w:t>
      </w:r>
      <w:proofErr w:type="spellStart"/>
      <w:r w:rsidRPr="1810D5F6">
        <w:rPr>
          <w:rFonts w:ascii="Century Gothic" w:eastAsia="Calibri" w:hAnsi="Century Gothic" w:cs="Arial"/>
          <w:color w:val="000000" w:themeColor="text1"/>
          <w:sz w:val="21"/>
          <w:szCs w:val="21"/>
          <w:lang w:val="es-ES"/>
        </w:rPr>
        <w:t>regimen</w:t>
      </w:r>
      <w:proofErr w:type="spellEnd"/>
      <w:r w:rsidRPr="1810D5F6">
        <w:rPr>
          <w:rFonts w:ascii="Century Gothic" w:eastAsia="Calibri" w:hAnsi="Century Gothic" w:cs="Arial"/>
          <w:color w:val="000000" w:themeColor="text1"/>
          <w:sz w:val="21"/>
          <w:szCs w:val="21"/>
          <w:lang w:val="es-ES"/>
        </w:rPr>
        <w:t xml:space="preserve"> privado y su carácter descentralizada </w:t>
      </w:r>
      <w:proofErr w:type="spellStart"/>
      <w:proofErr w:type="gramStart"/>
      <w:r w:rsidRPr="1810D5F6">
        <w:rPr>
          <w:rFonts w:ascii="Century Gothic" w:eastAsia="Calibri" w:hAnsi="Century Gothic" w:cs="Arial"/>
          <w:color w:val="000000" w:themeColor="text1"/>
          <w:sz w:val="21"/>
          <w:szCs w:val="21"/>
          <w:lang w:val="es-ES"/>
        </w:rPr>
        <w:t>indirecta?hace</w:t>
      </w:r>
      <w:proofErr w:type="spellEnd"/>
      <w:proofErr w:type="gramEnd"/>
      <w:r w:rsidRPr="1810D5F6">
        <w:rPr>
          <w:rFonts w:ascii="Century Gothic" w:eastAsia="Calibri" w:hAnsi="Century Gothic" w:cs="Arial"/>
          <w:color w:val="000000" w:themeColor="text1"/>
          <w:sz w:val="21"/>
          <w:szCs w:val="21"/>
          <w:lang w:val="es-ES"/>
        </w:rPr>
        <w:t xml:space="preserve"> relación al contrato No. 2023-0862 celebrado por la Alcaldía Municipal de Fusagasugá, Cundinamarca.” [SIC]</w:t>
      </w:r>
    </w:p>
    <w:p w14:paraId="33C54EED" w14:textId="77777777" w:rsidR="00AB7F16" w:rsidRPr="00AB7F16" w:rsidRDefault="00AB7F16" w:rsidP="00AB7F16">
      <w:pPr>
        <w:shd w:val="clear" w:color="auto" w:fill="FFFFFF"/>
        <w:spacing w:after="0" w:line="240" w:lineRule="auto"/>
        <w:ind w:right="709"/>
        <w:jc w:val="both"/>
        <w:rPr>
          <w:rFonts w:ascii="Century Gothic" w:eastAsia="Calibri" w:hAnsi="Century Gothic" w:cs="Arial"/>
          <w:color w:val="000000"/>
          <w:lang w:val="es-ES_tradnl"/>
        </w:rPr>
      </w:pPr>
    </w:p>
    <w:p w14:paraId="3371A3C1" w14:textId="77777777" w:rsidR="00AB7F16" w:rsidRPr="00AB7F16" w:rsidRDefault="00AB7F16" w:rsidP="00AB7F16">
      <w:pPr>
        <w:spacing w:after="120" w:line="276" w:lineRule="auto"/>
        <w:jc w:val="both"/>
        <w:rPr>
          <w:rFonts w:ascii="Century Gothic" w:eastAsia="Calibri" w:hAnsi="Century Gothic" w:cs="Arial"/>
          <w:lang w:val="es-ES_tradnl"/>
        </w:rPr>
      </w:pPr>
      <w:r w:rsidRPr="00AB7F16">
        <w:rPr>
          <w:rFonts w:ascii="Century Gothic" w:eastAsia="Calibri" w:hAnsi="Century Gothic" w:cs="Arial"/>
          <w:lang w:val="es-ES" w:eastAsia="es-ES"/>
        </w:rPr>
        <w:t>Conforme a la interpretación de las normas generales del sistema de compras públicas</w:t>
      </w:r>
      <w:r w:rsidRPr="00AB7F16">
        <w:rPr>
          <w:rFonts w:ascii="Century Gothic" w:eastAsia="Calibri" w:hAnsi="Century Gothic" w:cs="Arial"/>
          <w:lang w:val="es-ES_tradnl"/>
        </w:rPr>
        <w:t xml:space="preserve">, 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w:t>
      </w:r>
    </w:p>
    <w:p w14:paraId="29A3EBCC" w14:textId="77777777" w:rsidR="00AB7F16" w:rsidRPr="00AB7F16" w:rsidRDefault="00AB7F16" w:rsidP="00AB7F16">
      <w:pPr>
        <w:spacing w:after="120" w:line="276" w:lineRule="auto"/>
        <w:ind w:firstLine="708"/>
        <w:jc w:val="both"/>
        <w:rPr>
          <w:rFonts w:ascii="Century Gothic" w:eastAsia="Calibri" w:hAnsi="Century Gothic" w:cs="Arial"/>
          <w:lang w:val="es-ES_tradnl"/>
        </w:rPr>
      </w:pPr>
      <w:r w:rsidRPr="00AB7F16">
        <w:rPr>
          <w:rFonts w:ascii="Century Gothic" w:eastAsia="Calibri" w:hAnsi="Century Gothic" w:cs="Arial"/>
          <w:lang w:val="es-ES_tradnl"/>
        </w:rPr>
        <w:t xml:space="preserve">Adicionalmente, en atención a lo dispuesto en los dos primeros incisos del artículo 56 de la Ley 2195 de 2022, cuando estas entidades suscriban convenios o contratos de cualquier índole con entidades estatales de régimen especial o exceptuado, patrimonios autónomos, personas naturales o jurídicas de derecho privado, también deberán aplicar documentos tipo, y en general, las disposiciones del Estatuto General de Contratación de la Administración Pública. </w:t>
      </w:r>
      <w:r w:rsidRPr="00AB7F16">
        <w:rPr>
          <w:rFonts w:ascii="Century Gothic" w:eastAsia="Calibri" w:hAnsi="Century Gothic" w:cs="Arial"/>
          <w:shd w:val="clear" w:color="auto" w:fill="FFFFFF"/>
          <w:lang w:val="es-ES_tradnl"/>
        </w:rPr>
        <w:t xml:space="preserve">No obstante, se encuentran exceptuadas del ámbito de aplicación de la norma </w:t>
      </w:r>
      <w:r w:rsidRPr="00AB7F16">
        <w:rPr>
          <w:rFonts w:ascii="Century Gothic" w:eastAsia="Calibri" w:hAnsi="Century Gothic" w:cs="Arial"/>
          <w:shd w:val="clear" w:color="auto" w:fill="FFFFFF"/>
        </w:rPr>
        <w:t>las instituciones de educación superior públicas, las empresas sociales del Estado, las sociedades de economía mixta y las empresas industriales y comerciales del Estado, únicamente en cuanto a la contratación de su giro ordinario</w:t>
      </w:r>
      <w:r w:rsidRPr="00AB7F16">
        <w:rPr>
          <w:rFonts w:ascii="Century Gothic" w:eastAsia="Calibri" w:hAnsi="Century Gothic" w:cs="Arial"/>
          <w:shd w:val="clear" w:color="auto" w:fill="FFFFFF"/>
          <w:lang w:val="es-ES_tradnl"/>
        </w:rPr>
        <w:t xml:space="preserve">. </w:t>
      </w:r>
      <w:r w:rsidRPr="00AB7F16">
        <w:rPr>
          <w:rFonts w:ascii="Century Gothic" w:eastAsia="Calibri" w:hAnsi="Century Gothic" w:cs="Arial"/>
          <w:color w:val="000000"/>
          <w:shd w:val="clear" w:color="auto" w:fill="FFFFFF"/>
          <w:lang w:val="es-ES_tradnl"/>
        </w:rPr>
        <w:t xml:space="preserve">Bajo los lineamientos descritos en el concepto, cada entidad pública debe hacer un ejercicio de subsunción a efectos de determinar si la norma en cita resulta aplicable, dada su naturaleza jurídica. </w:t>
      </w:r>
    </w:p>
    <w:p w14:paraId="1099ABEE" w14:textId="77777777" w:rsidR="00AB7F16" w:rsidRPr="00AB7F16" w:rsidRDefault="00AB7F16" w:rsidP="00AB7F16">
      <w:pPr>
        <w:widowControl w:val="0"/>
        <w:autoSpaceDE w:val="0"/>
        <w:autoSpaceDN w:val="0"/>
        <w:spacing w:after="120" w:line="276" w:lineRule="auto"/>
        <w:ind w:right="113" w:firstLine="709"/>
        <w:jc w:val="both"/>
        <w:rPr>
          <w:rFonts w:ascii="Century Gothic" w:eastAsia="Calibri" w:hAnsi="Century Gothic" w:cs="Arial"/>
          <w:color w:val="000000"/>
          <w:lang w:val="es-ES"/>
        </w:rPr>
      </w:pPr>
      <w:r w:rsidRPr="00AB7F16">
        <w:rPr>
          <w:rFonts w:ascii="Century Gothic" w:eastAsia="Calibri" w:hAnsi="Century Gothic" w:cs="Arial"/>
          <w:color w:val="000000"/>
          <w:lang w:val="es-ES"/>
        </w:rPr>
        <w:t>Dentro de este marco, la entidad contratante definirá la aplicación o no de los documentos tipo en cada caso concreto. Al tratarse de un análisis que debe realizarse en el procedimiento contractual específico, la Agencia Nacional de Contratación Pública – Colombia Compra Eficiente- no puede definir un criterio universal y absoluto por vía consultiva, sino que brinda elementos de carácter general para que los partícipes del sistema de compras y contratación pública adopten la decisión que corresponda, lo cual es acorde con el principio de juridicidad.</w:t>
      </w:r>
    </w:p>
    <w:p w14:paraId="7265937D" w14:textId="77777777" w:rsidR="00AB7F16" w:rsidRPr="00AB7F16" w:rsidRDefault="00AB7F16" w:rsidP="00AB7F16">
      <w:pPr>
        <w:spacing w:after="120" w:line="276" w:lineRule="auto"/>
        <w:ind w:firstLine="708"/>
        <w:jc w:val="both"/>
        <w:rPr>
          <w:rFonts w:ascii="Century Gothic" w:eastAsia="Aptos" w:hAnsi="Century Gothic" w:cs="Arial"/>
          <w:kern w:val="2"/>
          <w:lang w:val="es-MX"/>
          <w14:ligatures w14:val="standardContextual"/>
        </w:rPr>
      </w:pPr>
      <w:r w:rsidRPr="00AB7F16">
        <w:rPr>
          <w:rFonts w:ascii="Century Gothic" w:eastAsia="Aptos" w:hAnsi="Century Gothic" w:cs="Arial"/>
          <w:kern w:val="2"/>
          <w:lang w:val="es-MX"/>
          <w14:ligatures w14:val="standardContextual"/>
        </w:rPr>
        <w:t xml:space="preserve">Por otra parte, conforme a lo expuesto, el artículo 13 de la Ley 1150 de 2007, tras la modificación introducida por el artículo 53 de la Ley 2195 de 2022, establece que las entidades estatales exceptuadas del EGCAP deben publicar su actividad contractual en el SECOP II a partir del 18 de julio de 2022. En consecuencia, tales entidades deben publicar todos los documentos que se expidan en el desarrollo </w:t>
      </w:r>
      <w:r w:rsidRPr="00AB7F16">
        <w:rPr>
          <w:rFonts w:ascii="Century Gothic" w:eastAsia="Aptos" w:hAnsi="Century Gothic" w:cs="Arial"/>
          <w:kern w:val="2"/>
          <w:lang w:val="es-MX"/>
          <w14:ligatures w14:val="standardContextual"/>
        </w:rPr>
        <w:lastRenderedPageBreak/>
        <w:t xml:space="preserve">de los procesos de contratación que adelanten en sus respectivos regímenes especiales en la referida plataforma. </w:t>
      </w:r>
    </w:p>
    <w:p w14:paraId="3DD80DEF" w14:textId="77777777" w:rsidR="00AB7F16" w:rsidRPr="00AB7F16" w:rsidRDefault="00AB7F16" w:rsidP="00AB7F16">
      <w:pPr>
        <w:spacing w:after="0" w:line="276" w:lineRule="auto"/>
        <w:ind w:firstLine="709"/>
        <w:jc w:val="both"/>
        <w:rPr>
          <w:rFonts w:ascii="Century Gothic" w:eastAsia="Calibri" w:hAnsi="Century Gothic" w:cs="Arial"/>
          <w:iCs/>
          <w:kern w:val="2"/>
          <w:lang w:val="es-ES" w:eastAsia="es-ES_tradnl"/>
          <w14:ligatures w14:val="standardContextual"/>
        </w:rPr>
      </w:pPr>
      <w:r w:rsidRPr="00AB7F16">
        <w:rPr>
          <w:rFonts w:ascii="Century Gothic" w:eastAsia="Calibri" w:hAnsi="Century Gothic" w:cs="Arial"/>
          <w:kern w:val="2"/>
          <w:lang w:val="es-ES_tradnl"/>
          <w14:ligatures w14:val="standardContextual"/>
        </w:rPr>
        <w:t>Resulta importante señalar que, la reforma introducida por el artículo 53 de la Ley 2195 de 2022 de ninguna manera puede ser interpretada como una modificación del régimen jurídico de las entidades exceptuadas, ni como una norma que regule la forma en la que se perfeccionan los contratos de estas entidades, por lo cual se seguirán rigiendo por sus manuales de contratación. Como se ha venido señalando, e</w:t>
      </w:r>
      <w:r w:rsidRPr="00AB7F16">
        <w:rPr>
          <w:rFonts w:ascii="Century Gothic" w:eastAsia="Aptos" w:hAnsi="Century Gothic" w:cs="Arial"/>
          <w:kern w:val="2"/>
          <w:lang w:val="es-MX"/>
          <w14:ligatures w14:val="standardContextual"/>
        </w:rPr>
        <w:t xml:space="preserve">l efecto de la norma objeto de estudio fue establecer la obligación de que la publicidad de su actividad contractual sujeta a régimen especial se realice a través de la plataforma SECOP II. </w:t>
      </w:r>
      <w:r w:rsidRPr="00AB7F16">
        <w:rPr>
          <w:rFonts w:ascii="Century Gothic" w:eastAsia="Calibri" w:hAnsi="Century Gothic" w:cs="Arial"/>
          <w:kern w:val="2"/>
          <w:lang w:val="es-ES_tradnl"/>
          <w14:ligatures w14:val="standardContextual"/>
        </w:rPr>
        <w:t xml:space="preserve">Sin embargo, esto no implica que estas instituciones ahora estén obligadas a desarrollar la contratación de manera electrónica o que forzosamente deban utilizar el SECOP II de manera transaccional. </w:t>
      </w:r>
      <w:r w:rsidRPr="00AB7F16">
        <w:rPr>
          <w:rFonts w:ascii="Century Gothic" w:eastAsia="Calibri" w:hAnsi="Century Gothic" w:cs="Arial"/>
          <w:iCs/>
          <w:kern w:val="2"/>
          <w:lang w:val="es-ES" w:eastAsia="es-ES_tradnl"/>
          <w14:ligatures w14:val="standardContextual"/>
        </w:rPr>
        <w:t>En consecuencia, dado que la disposición materia de estudio no definió la obligatoriedad sobre el uso transaccional del SECOP II para las entidades exceptuadas, estas podrán usarla de forma transaccional o publicitaria, pero lo importante será que publiquen su información contractual a través de la plataforma.</w:t>
      </w:r>
    </w:p>
    <w:p w14:paraId="249B567A" w14:textId="77777777" w:rsidR="00AB7F16" w:rsidRPr="00AB7F16" w:rsidRDefault="00AB7F16" w:rsidP="00AB7F16">
      <w:pPr>
        <w:shd w:val="clear" w:color="auto" w:fill="FFFFFF"/>
        <w:spacing w:after="0" w:line="276" w:lineRule="auto"/>
        <w:jc w:val="both"/>
        <w:rPr>
          <w:rFonts w:ascii="Century Gothic" w:eastAsia="Calibri" w:hAnsi="Century Gothic" w:cs="Arial"/>
          <w:color w:val="000000"/>
          <w:lang w:eastAsia="es-MX"/>
        </w:rPr>
      </w:pPr>
    </w:p>
    <w:p w14:paraId="76515930" w14:textId="77777777" w:rsidR="00AB7F16" w:rsidRPr="00AB7F16" w:rsidRDefault="00AB7F16" w:rsidP="00AB7F16">
      <w:pPr>
        <w:shd w:val="clear" w:color="auto" w:fill="FFFFFF"/>
        <w:spacing w:after="0" w:line="276" w:lineRule="auto"/>
        <w:jc w:val="both"/>
        <w:rPr>
          <w:rFonts w:ascii="Century Gothic" w:eastAsia="Calibri" w:hAnsi="Century Gothic" w:cs="Arial"/>
          <w:lang w:eastAsia="es-MX"/>
        </w:rPr>
      </w:pPr>
      <w:r w:rsidRPr="00AB7F16">
        <w:rPr>
          <w:rFonts w:ascii="Century Gothic" w:eastAsia="Calibri" w:hAnsi="Century Gothic" w:cs="Arial"/>
          <w:color w:val="000000"/>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9D78298" w14:textId="77777777" w:rsidR="00AB7F16" w:rsidRPr="00AB7F16" w:rsidRDefault="00AB7F16" w:rsidP="00AB7F16">
      <w:pPr>
        <w:widowControl w:val="0"/>
        <w:shd w:val="clear" w:color="auto" w:fill="FFFFFF"/>
        <w:autoSpaceDE w:val="0"/>
        <w:autoSpaceDN w:val="0"/>
        <w:spacing w:after="0" w:line="276" w:lineRule="auto"/>
        <w:jc w:val="both"/>
        <w:rPr>
          <w:rFonts w:ascii="Century Gothic" w:eastAsia="Calibri" w:hAnsi="Century Gothic" w:cs="Arial"/>
          <w:color w:val="000000"/>
          <w:lang w:val="es-ES_tradnl" w:bidi="es-ES"/>
        </w:rPr>
      </w:pPr>
    </w:p>
    <w:p w14:paraId="4BB9DA4F" w14:textId="77777777" w:rsidR="00AB7F16" w:rsidRPr="00AB7F16" w:rsidRDefault="00AB7F16" w:rsidP="00AB7F16">
      <w:pPr>
        <w:shd w:val="clear" w:color="auto" w:fill="FFFFFF"/>
        <w:tabs>
          <w:tab w:val="left" w:pos="426"/>
        </w:tabs>
        <w:spacing w:line="276" w:lineRule="auto"/>
        <w:jc w:val="both"/>
        <w:rPr>
          <w:rFonts w:ascii="Century Gothic" w:eastAsia="Times New Roman" w:hAnsi="Century Gothic" w:cs="Arial"/>
          <w:color w:val="000000"/>
        </w:rPr>
      </w:pPr>
      <w:r w:rsidRPr="00AB7F16">
        <w:rPr>
          <w:rFonts w:ascii="Century Gothic" w:eastAsia="Times New Roman" w:hAnsi="Century Gothic" w:cs="Arial"/>
          <w:color w:val="000000"/>
        </w:rPr>
        <w:t>Atentamente,</w:t>
      </w:r>
    </w:p>
    <w:p w14:paraId="33F8E16A" w14:textId="66A5F975" w:rsidR="00AB7F16" w:rsidRPr="00AB7F16" w:rsidRDefault="004237E9" w:rsidP="00AB7F16">
      <w:pPr>
        <w:jc w:val="center"/>
        <w:rPr>
          <w:rFonts w:ascii="Century Gothic" w:eastAsia="Calibri" w:hAnsi="Century Gothic" w:cs="Arial"/>
        </w:rPr>
      </w:pPr>
      <w:r w:rsidRPr="004D5C25">
        <w:rPr>
          <w:rFonts w:ascii="Century Gothic" w:hAnsi="Century Gothic"/>
          <w:noProof/>
        </w:rPr>
        <w:drawing>
          <wp:inline distT="0" distB="0" distL="0" distR="0" wp14:anchorId="085FDBD8" wp14:editId="57E5E167">
            <wp:extent cx="3362325" cy="1443466"/>
            <wp:effectExtent l="0" t="0" r="3175" b="444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2"/>
                    <a:stretch>
                      <a:fillRect/>
                    </a:stretch>
                  </pic:blipFill>
                  <pic:spPr>
                    <a:xfrm>
                      <a:off x="0" y="0"/>
                      <a:ext cx="3366355" cy="144519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B7F16" w:rsidRPr="00AB7F16" w14:paraId="5483E891" w14:textId="77777777" w:rsidTr="00D6040B">
        <w:trPr>
          <w:trHeight w:val="409"/>
        </w:trPr>
        <w:tc>
          <w:tcPr>
            <w:tcW w:w="817" w:type="dxa"/>
            <w:tcBorders>
              <w:top w:val="nil"/>
              <w:left w:val="nil"/>
              <w:bottom w:val="nil"/>
              <w:right w:val="nil"/>
            </w:tcBorders>
            <w:vAlign w:val="center"/>
            <w:hideMark/>
          </w:tcPr>
          <w:p w14:paraId="6DEC7BBE" w14:textId="77777777" w:rsidR="00AB7F16" w:rsidRPr="00AB7F16" w:rsidRDefault="00AB7F16" w:rsidP="00AB7F16">
            <w:pPr>
              <w:shd w:val="clear" w:color="auto" w:fill="FFFFFF"/>
              <w:spacing w:after="0" w:line="240" w:lineRule="auto"/>
              <w:jc w:val="both"/>
              <w:rPr>
                <w:rFonts w:ascii="Century Gothic" w:eastAsia="Calibri" w:hAnsi="Century Gothic" w:cs="Arial"/>
                <w:sz w:val="16"/>
                <w:szCs w:val="16"/>
              </w:rPr>
            </w:pPr>
            <w:r w:rsidRPr="00AB7F16">
              <w:rPr>
                <w:rFonts w:ascii="Century Gothic" w:eastAsia="Calibri" w:hAnsi="Century Gothic" w:cs="Arial"/>
                <w:sz w:val="16"/>
                <w:szCs w:val="16"/>
              </w:rPr>
              <w:t>Elaboró: </w:t>
            </w:r>
          </w:p>
        </w:tc>
        <w:tc>
          <w:tcPr>
            <w:tcW w:w="4937" w:type="dxa"/>
            <w:tcBorders>
              <w:top w:val="nil"/>
              <w:left w:val="nil"/>
              <w:bottom w:val="dotted" w:sz="6" w:space="0" w:color="7F7F7F"/>
              <w:right w:val="nil"/>
            </w:tcBorders>
            <w:vAlign w:val="center"/>
            <w:hideMark/>
          </w:tcPr>
          <w:p w14:paraId="245418DE" w14:textId="77777777" w:rsidR="00AB7F16" w:rsidRPr="00AB7F16" w:rsidRDefault="00AB7F16" w:rsidP="00AB7F16">
            <w:pPr>
              <w:shd w:val="clear" w:color="auto" w:fill="FFFFFF"/>
              <w:spacing w:after="0" w:line="240" w:lineRule="auto"/>
              <w:jc w:val="both"/>
              <w:rPr>
                <w:rFonts w:ascii="Century Gothic" w:eastAsia="Calibri" w:hAnsi="Century Gothic" w:cs="Arial"/>
                <w:sz w:val="16"/>
                <w:szCs w:val="16"/>
              </w:rPr>
            </w:pPr>
            <w:r w:rsidRPr="00AB7F16">
              <w:rPr>
                <w:rFonts w:ascii="Century Gothic" w:eastAsia="Calibri" w:hAnsi="Century Gothic" w:cs="Arial"/>
                <w:sz w:val="16"/>
                <w:szCs w:val="16"/>
              </w:rPr>
              <w:t>Kevin Arlid Herrera Santa</w:t>
            </w:r>
          </w:p>
          <w:p w14:paraId="494AC567" w14:textId="77777777" w:rsidR="00AB7F16" w:rsidRPr="00AB7F16" w:rsidRDefault="00AB7F16" w:rsidP="00AB7F16">
            <w:pPr>
              <w:shd w:val="clear" w:color="auto" w:fill="FFFFFF"/>
              <w:spacing w:after="0" w:line="240" w:lineRule="auto"/>
              <w:jc w:val="both"/>
              <w:rPr>
                <w:rFonts w:ascii="Century Gothic" w:eastAsia="Calibri" w:hAnsi="Century Gothic" w:cs="Arial"/>
                <w:sz w:val="16"/>
                <w:szCs w:val="16"/>
              </w:rPr>
            </w:pPr>
            <w:r w:rsidRPr="00AB7F16">
              <w:rPr>
                <w:rFonts w:ascii="Century Gothic" w:eastAsia="Calibri" w:hAnsi="Century Gothic" w:cs="Arial"/>
                <w:sz w:val="16"/>
                <w:szCs w:val="16"/>
              </w:rPr>
              <w:t>Contratista de la Subdirección de Gestión Contractual</w:t>
            </w:r>
          </w:p>
        </w:tc>
      </w:tr>
      <w:tr w:rsidR="00AB7F16" w:rsidRPr="00AB7F16" w14:paraId="380ABC22" w14:textId="77777777" w:rsidTr="00D6040B">
        <w:trPr>
          <w:trHeight w:val="409"/>
        </w:trPr>
        <w:tc>
          <w:tcPr>
            <w:tcW w:w="817" w:type="dxa"/>
            <w:tcBorders>
              <w:top w:val="nil"/>
              <w:left w:val="nil"/>
              <w:right w:val="nil"/>
            </w:tcBorders>
            <w:vAlign w:val="center"/>
          </w:tcPr>
          <w:p w14:paraId="637DEEF2" w14:textId="77777777" w:rsidR="00AB7F16" w:rsidRPr="00AB7F16" w:rsidRDefault="00AB7F16" w:rsidP="00AB7F16">
            <w:pPr>
              <w:shd w:val="clear" w:color="auto" w:fill="FFFFFF"/>
              <w:jc w:val="both"/>
              <w:rPr>
                <w:rFonts w:ascii="Century Gothic" w:eastAsia="Calibri" w:hAnsi="Century Gothic" w:cs="Arial"/>
                <w:sz w:val="16"/>
                <w:szCs w:val="16"/>
              </w:rPr>
            </w:pPr>
            <w:r w:rsidRPr="00AB7F16">
              <w:rPr>
                <w:rFonts w:ascii="Century Gothic" w:eastAsia="Calibri" w:hAnsi="Century Gothic" w:cs="Arial"/>
                <w:sz w:val="16"/>
                <w:szCs w:val="16"/>
              </w:rPr>
              <w:lastRenderedPageBreak/>
              <w:t>Revisó</w:t>
            </w:r>
          </w:p>
        </w:tc>
        <w:tc>
          <w:tcPr>
            <w:tcW w:w="4937" w:type="dxa"/>
            <w:tcBorders>
              <w:top w:val="dotted" w:sz="6" w:space="0" w:color="7F7F7F"/>
              <w:left w:val="nil"/>
              <w:bottom w:val="dotted" w:sz="6" w:space="0" w:color="7F7F7F"/>
              <w:right w:val="nil"/>
            </w:tcBorders>
            <w:vAlign w:val="center"/>
          </w:tcPr>
          <w:p w14:paraId="7144A5CF" w14:textId="77777777" w:rsidR="00AB7F16" w:rsidRPr="00AB7F16" w:rsidRDefault="00AB7F16" w:rsidP="00AB7F16">
            <w:pPr>
              <w:shd w:val="clear" w:color="auto" w:fill="FFFFFF"/>
              <w:spacing w:after="0" w:line="240" w:lineRule="auto"/>
              <w:jc w:val="both"/>
              <w:rPr>
                <w:rFonts w:ascii="Century Gothic" w:eastAsia="Calibri" w:hAnsi="Century Gothic" w:cs="Arial"/>
                <w:sz w:val="16"/>
                <w:szCs w:val="16"/>
              </w:rPr>
            </w:pPr>
            <w:r w:rsidRPr="00AB7F16">
              <w:rPr>
                <w:rFonts w:ascii="Century Gothic" w:eastAsia="Calibri" w:hAnsi="Century Gothic" w:cs="Arial"/>
                <w:sz w:val="16"/>
                <w:szCs w:val="16"/>
              </w:rPr>
              <w:t>Martha Alicia Romero Vargas</w:t>
            </w:r>
          </w:p>
          <w:p w14:paraId="7199E59D" w14:textId="77777777" w:rsidR="00AB7F16" w:rsidRPr="00AB7F16" w:rsidRDefault="00AB7F16" w:rsidP="00AB7F16">
            <w:pPr>
              <w:shd w:val="clear" w:color="auto" w:fill="FFFFFF"/>
              <w:spacing w:after="0" w:line="240" w:lineRule="auto"/>
              <w:jc w:val="both"/>
              <w:rPr>
                <w:rFonts w:ascii="Century Gothic" w:eastAsia="Calibri" w:hAnsi="Century Gothic" w:cs="Arial"/>
                <w:sz w:val="16"/>
                <w:szCs w:val="16"/>
              </w:rPr>
            </w:pPr>
            <w:r w:rsidRPr="00AB7F16">
              <w:rPr>
                <w:rFonts w:ascii="Century Gothic" w:eastAsia="Calibri" w:hAnsi="Century Gothic" w:cs="Arial"/>
                <w:sz w:val="16"/>
                <w:szCs w:val="16"/>
              </w:rPr>
              <w:t>Gestor T1-15 de la Subdirección de Gestión Contractual</w:t>
            </w:r>
          </w:p>
        </w:tc>
      </w:tr>
      <w:tr w:rsidR="00AB7F16" w:rsidRPr="00AB7F16" w14:paraId="6B4D52E3" w14:textId="77777777" w:rsidTr="00D6040B">
        <w:trPr>
          <w:trHeight w:val="389"/>
        </w:trPr>
        <w:tc>
          <w:tcPr>
            <w:tcW w:w="817" w:type="dxa"/>
            <w:tcBorders>
              <w:top w:val="nil"/>
              <w:left w:val="nil"/>
              <w:bottom w:val="nil"/>
              <w:right w:val="nil"/>
            </w:tcBorders>
            <w:vAlign w:val="center"/>
            <w:hideMark/>
          </w:tcPr>
          <w:p w14:paraId="0EE0472F" w14:textId="77777777" w:rsidR="00AB7F16" w:rsidRPr="00AB7F16" w:rsidRDefault="00AB7F16" w:rsidP="00AB7F16">
            <w:pPr>
              <w:shd w:val="clear" w:color="auto" w:fill="FFFFFF"/>
              <w:spacing w:after="0" w:line="240" w:lineRule="auto"/>
              <w:jc w:val="both"/>
              <w:rPr>
                <w:rFonts w:ascii="Century Gothic" w:eastAsia="Calibri" w:hAnsi="Century Gothic" w:cs="Arial"/>
                <w:sz w:val="16"/>
                <w:szCs w:val="16"/>
              </w:rPr>
            </w:pPr>
            <w:r w:rsidRPr="00AB7F16">
              <w:rPr>
                <w:rFonts w:ascii="Century Gothic" w:eastAsia="Calibri" w:hAnsi="Century Gothic" w:cs="Arial"/>
                <w:sz w:val="16"/>
                <w:szCs w:val="16"/>
              </w:rPr>
              <w:t>Aprobó: </w:t>
            </w:r>
          </w:p>
        </w:tc>
        <w:tc>
          <w:tcPr>
            <w:tcW w:w="4937" w:type="dxa"/>
            <w:tcBorders>
              <w:top w:val="dotted" w:sz="6" w:space="0" w:color="7F7F7F"/>
              <w:left w:val="nil"/>
              <w:bottom w:val="dotted" w:sz="6" w:space="0" w:color="7F7F7F"/>
              <w:right w:val="nil"/>
            </w:tcBorders>
            <w:vAlign w:val="center"/>
            <w:hideMark/>
          </w:tcPr>
          <w:p w14:paraId="4D179FF4" w14:textId="77777777" w:rsidR="00AB7F16" w:rsidRPr="00AB7F16" w:rsidRDefault="00AB7F16" w:rsidP="00AB7F16">
            <w:pPr>
              <w:shd w:val="clear" w:color="auto" w:fill="FFFFFF"/>
              <w:spacing w:after="0" w:line="240" w:lineRule="auto"/>
              <w:jc w:val="both"/>
              <w:rPr>
                <w:rFonts w:ascii="Century Gothic" w:eastAsia="Calibri" w:hAnsi="Century Gothic" w:cs="Arial"/>
                <w:sz w:val="16"/>
                <w:szCs w:val="16"/>
              </w:rPr>
            </w:pPr>
            <w:r w:rsidRPr="00AB7F16">
              <w:rPr>
                <w:rFonts w:ascii="Century Gothic" w:eastAsia="Calibri" w:hAnsi="Century Gothic" w:cs="Arial"/>
                <w:sz w:val="16"/>
                <w:szCs w:val="16"/>
              </w:rPr>
              <w:t xml:space="preserve">Carolina Quintero </w:t>
            </w:r>
            <w:proofErr w:type="spellStart"/>
            <w:r w:rsidRPr="00AB7F16">
              <w:rPr>
                <w:rFonts w:ascii="Century Gothic" w:eastAsia="Calibri" w:hAnsi="Century Gothic" w:cs="Arial"/>
                <w:sz w:val="16"/>
                <w:szCs w:val="16"/>
              </w:rPr>
              <w:t>Gacharná</w:t>
            </w:r>
            <w:proofErr w:type="spellEnd"/>
          </w:p>
          <w:p w14:paraId="1E60313A" w14:textId="77777777" w:rsidR="00AB7F16" w:rsidRPr="00AB7F16" w:rsidRDefault="00AB7F16" w:rsidP="00AB7F16">
            <w:pPr>
              <w:shd w:val="clear" w:color="auto" w:fill="FFFFFF"/>
              <w:spacing w:after="0" w:line="240" w:lineRule="auto"/>
              <w:jc w:val="both"/>
              <w:rPr>
                <w:rFonts w:ascii="Century Gothic" w:eastAsia="Calibri" w:hAnsi="Century Gothic" w:cs="Arial"/>
                <w:sz w:val="16"/>
                <w:szCs w:val="16"/>
              </w:rPr>
            </w:pPr>
            <w:r w:rsidRPr="00AB7F16">
              <w:rPr>
                <w:rFonts w:ascii="Century Gothic" w:eastAsia="Calibri" w:hAnsi="Century Gothic" w:cs="Arial"/>
                <w:sz w:val="16"/>
                <w:szCs w:val="16"/>
              </w:rPr>
              <w:t>Subdirectora de Gestión Contractual ANCP - CCE</w:t>
            </w:r>
          </w:p>
        </w:tc>
      </w:tr>
      <w:bookmarkEnd w:id="0"/>
      <w:bookmarkEnd w:id="3"/>
    </w:tbl>
    <w:p w14:paraId="1071BFFC" w14:textId="77777777" w:rsidR="00AB7F16" w:rsidRPr="00AB7F16" w:rsidRDefault="00AB7F16" w:rsidP="00AB7F16">
      <w:pPr>
        <w:spacing w:after="0"/>
        <w:rPr>
          <w:rFonts w:ascii="Century Gothic" w:eastAsia="Calibri" w:hAnsi="Century Gothic" w:cs="Times New Roman"/>
          <w:lang w:val="es-MX"/>
        </w:rPr>
      </w:pPr>
    </w:p>
    <w:p w14:paraId="76DEE136" w14:textId="77777777" w:rsidR="00AB7F16" w:rsidRPr="00AB7F16" w:rsidRDefault="00AB7F16" w:rsidP="00AB7F16">
      <w:pPr>
        <w:spacing w:line="278" w:lineRule="auto"/>
        <w:rPr>
          <w:rFonts w:ascii="Aptos" w:eastAsia="Aptos" w:hAnsi="Aptos" w:cs="Times New Roman"/>
          <w:kern w:val="2"/>
          <w:sz w:val="24"/>
          <w:szCs w:val="24"/>
          <w14:ligatures w14:val="standardContextual"/>
        </w:rPr>
      </w:pPr>
    </w:p>
    <w:p w14:paraId="7EBFAB6A" w14:textId="77777777" w:rsidR="005A6AA1" w:rsidRDefault="005A6AA1" w:rsidP="00400548">
      <w:pPr>
        <w:spacing w:after="0"/>
        <w:rPr>
          <w:rFonts w:ascii="Century Gothic" w:hAnsi="Century Gothic"/>
          <w:lang w:val="es-MX"/>
        </w:rPr>
      </w:pPr>
    </w:p>
    <w:sectPr w:rsidR="005A6AA1"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29F3" w14:textId="77777777" w:rsidR="007D4711" w:rsidRDefault="007D4711" w:rsidP="004A1847">
      <w:pPr>
        <w:spacing w:after="0" w:line="240" w:lineRule="auto"/>
      </w:pPr>
      <w:r>
        <w:separator/>
      </w:r>
    </w:p>
  </w:endnote>
  <w:endnote w:type="continuationSeparator" w:id="0">
    <w:p w14:paraId="273FD11A" w14:textId="77777777" w:rsidR="007D4711" w:rsidRDefault="007D471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Cambria Math">
    <w:panose1 w:val="02040503050406030204"/>
    <w:charset w:val="00"/>
    <w:family w:val="roman"/>
    <w:pitch w:val="variable"/>
    <w:sig w:usb0="E00002FF" w:usb1="420024FF"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BDCF" w14:textId="77777777" w:rsidR="007D4711" w:rsidRDefault="007D4711" w:rsidP="004A1847">
      <w:pPr>
        <w:spacing w:after="0" w:line="240" w:lineRule="auto"/>
      </w:pPr>
      <w:r>
        <w:separator/>
      </w:r>
    </w:p>
  </w:footnote>
  <w:footnote w:type="continuationSeparator" w:id="0">
    <w:p w14:paraId="101A3CD1" w14:textId="77777777" w:rsidR="007D4711" w:rsidRDefault="007D4711" w:rsidP="004A1847">
      <w:pPr>
        <w:spacing w:after="0" w:line="240" w:lineRule="auto"/>
      </w:pPr>
      <w:r>
        <w:continuationSeparator/>
      </w:r>
    </w:p>
  </w:footnote>
  <w:footnote w:id="1">
    <w:p w14:paraId="7A7200EC" w14:textId="77777777" w:rsidR="00AB7F16" w:rsidRPr="00226746" w:rsidRDefault="00AB7F16" w:rsidP="00AB7F16">
      <w:pPr>
        <w:pStyle w:val="Textonotapie"/>
        <w:ind w:firstLine="709"/>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r w:rsidRPr="00226746">
        <w:rPr>
          <w:rFonts w:ascii="Century Gothic" w:hAnsi="Century Gothic" w:cs="Arial"/>
          <w:sz w:val="18"/>
          <w:szCs w:val="18"/>
          <w:lang w:val="es-CO"/>
        </w:rPr>
        <w:t xml:space="preserve">Estos conceptos pueden ser consultados en la Relatoría de esta Agencia en el siguiente Link: </w:t>
      </w:r>
      <w:hyperlink r:id="rId1" w:history="1">
        <w:r w:rsidRPr="00226746">
          <w:rPr>
            <w:rStyle w:val="Hipervnculo"/>
            <w:rFonts w:ascii="Century Gothic" w:hAnsi="Century Gothic" w:cs="Arial"/>
            <w:sz w:val="18"/>
            <w:szCs w:val="18"/>
            <w:lang w:val="es-CO"/>
          </w:rPr>
          <w:t>https://relatoria.colombiacompra.gov.co/busqueda/conceptos</w:t>
        </w:r>
      </w:hyperlink>
      <w:r w:rsidRPr="00226746">
        <w:rPr>
          <w:rFonts w:ascii="Century Gothic" w:hAnsi="Century Gothic" w:cs="Arial"/>
          <w:sz w:val="18"/>
          <w:szCs w:val="18"/>
          <w:lang w:val="es-CO"/>
        </w:rPr>
        <w:t>.</w:t>
      </w:r>
    </w:p>
  </w:footnote>
  <w:footnote w:id="2">
    <w:p w14:paraId="029A4ECE" w14:textId="77777777" w:rsidR="00AB7F16" w:rsidRPr="00226746" w:rsidRDefault="00AB7F16" w:rsidP="00AB7F16">
      <w:pPr>
        <w:pStyle w:val="Textonotapie"/>
        <w:ind w:firstLine="709"/>
        <w:jc w:val="both"/>
        <w:rPr>
          <w:rFonts w:ascii="Century Gothic" w:hAnsi="Century Gothic" w:cs="Arial"/>
          <w:color w:val="000000"/>
          <w:sz w:val="18"/>
          <w:szCs w:val="18"/>
          <w:lang w:val="es-CO"/>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74CDEC0E" w14:textId="77777777" w:rsidR="00AB7F16" w:rsidRPr="00226746" w:rsidRDefault="00AB7F16" w:rsidP="00AB7F16">
      <w:pPr>
        <w:pStyle w:val="Textonotapie"/>
        <w:ind w:firstLine="709"/>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w:t>
      </w:r>
      <w:r w:rsidRPr="00226746">
        <w:rPr>
          <w:rFonts w:ascii="Century Gothic" w:hAnsi="Century Gothic" w:cs="Arial"/>
          <w:color w:val="000000"/>
          <w:sz w:val="18"/>
          <w:szCs w:val="18"/>
          <w:lang w:val="es-CO"/>
        </w:rPr>
        <w:t xml:space="preserve">Ley 1882 de 2018: “Artículo 4. </w:t>
      </w:r>
      <w:r w:rsidRPr="00226746">
        <w:rPr>
          <w:rFonts w:ascii="Century Gothic" w:hAnsi="Century Gothic"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AE5D046" w14:textId="77777777" w:rsidR="00AB7F16" w:rsidRPr="00226746" w:rsidRDefault="00AB7F16" w:rsidP="00AB7F16">
      <w:pPr>
        <w:pStyle w:val="Textonotapie"/>
        <w:ind w:firstLine="709"/>
        <w:jc w:val="both"/>
        <w:rPr>
          <w:rFonts w:ascii="Century Gothic" w:hAnsi="Century Gothic" w:cs="Arial"/>
          <w:color w:val="000000"/>
          <w:sz w:val="18"/>
          <w:szCs w:val="18"/>
          <w:lang w:val="es-CO"/>
        </w:rPr>
      </w:pPr>
      <w:r w:rsidRPr="00226746">
        <w:rPr>
          <w:rFonts w:ascii="Century Gothic" w:hAnsi="Century Gothic" w:cs="Arial"/>
          <w:color w:val="000000"/>
          <w:sz w:val="18"/>
          <w:szCs w:val="18"/>
          <w:lang w:val="es-CO"/>
        </w:rPr>
        <w:t>La facultad de adoptar documentos tipo la tendrá el Gobierno nacional, cuando lo considere necesario, en relación con otros contratos o procesos de selección.</w:t>
      </w:r>
    </w:p>
    <w:p w14:paraId="7D73C94B" w14:textId="77777777" w:rsidR="00AB7F16" w:rsidRPr="00226746" w:rsidRDefault="00AB7F16" w:rsidP="00AB7F16">
      <w:pPr>
        <w:pStyle w:val="Textonotapie"/>
        <w:ind w:firstLine="709"/>
        <w:jc w:val="both"/>
        <w:rPr>
          <w:rFonts w:ascii="Century Gothic" w:hAnsi="Century Gothic" w:cs="Arial"/>
          <w:color w:val="000000"/>
          <w:sz w:val="18"/>
          <w:szCs w:val="18"/>
          <w:lang w:val="es-CO"/>
        </w:rPr>
      </w:pPr>
      <w:r w:rsidRPr="00226746">
        <w:rPr>
          <w:rFonts w:ascii="Century Gothic" w:hAnsi="Century Gothic" w:cs="Arial"/>
          <w:color w:val="000000"/>
          <w:sz w:val="18"/>
          <w:szCs w:val="18"/>
          <w:lang w:val="es-CO"/>
        </w:rPr>
        <w:t>Los pliegos tipo se adoptarán por categorías de acuerdo con la cuantía de la contratación, según la reglamentación que expida el Gobierno nacional”.</w:t>
      </w:r>
    </w:p>
  </w:footnote>
  <w:footnote w:id="4">
    <w:p w14:paraId="5DFE4778" w14:textId="77777777" w:rsidR="00AB7F16" w:rsidRPr="00226746" w:rsidRDefault="00AB7F16" w:rsidP="00AB7F16">
      <w:pPr>
        <w:pStyle w:val="Textonotapie"/>
        <w:ind w:firstLine="709"/>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7F089EEE" w14:textId="77777777" w:rsidR="00AB7F16" w:rsidRPr="00226746" w:rsidRDefault="00AB7F16" w:rsidP="00AB7F16">
      <w:pPr>
        <w:pStyle w:val="Textonotapie"/>
        <w:ind w:firstLine="708"/>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14:paraId="08C61696" w14:textId="77777777" w:rsidR="00AB7F16" w:rsidRPr="00226746" w:rsidRDefault="00AB7F16" w:rsidP="00AB7F16">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Artículo 4o. Adiciónese el siguiente parágrafo al artículo 2o de la Ley 1150 de 2007.</w:t>
      </w:r>
    </w:p>
    <w:p w14:paraId="325D315D" w14:textId="77777777" w:rsidR="00AB7F16" w:rsidRPr="00226746" w:rsidRDefault="00AB7F16" w:rsidP="00AB7F16">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C3B9174" w14:textId="77777777" w:rsidR="00AB7F16" w:rsidRPr="00226746" w:rsidRDefault="00AB7F16" w:rsidP="00AB7F16">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447F2B8" w14:textId="77777777" w:rsidR="00AB7F16" w:rsidRPr="00226746" w:rsidRDefault="00AB7F16" w:rsidP="00AB7F16">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737660A" w14:textId="77777777" w:rsidR="00AB7F16" w:rsidRPr="00226746" w:rsidRDefault="00AB7F16" w:rsidP="00AB7F16">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3528EBC" w14:textId="77777777" w:rsidR="00AB7F16" w:rsidRPr="00226746" w:rsidRDefault="00AB7F16" w:rsidP="00AB7F16">
      <w:pPr>
        <w:pStyle w:val="Textonotapie"/>
        <w:ind w:firstLine="708"/>
        <w:jc w:val="both"/>
        <w:rPr>
          <w:rFonts w:ascii="Century Gothic" w:hAnsi="Century Gothic" w:cs="Arial"/>
          <w:color w:val="000000"/>
          <w:sz w:val="18"/>
          <w:szCs w:val="18"/>
        </w:rPr>
      </w:pPr>
      <w:r w:rsidRPr="00226746">
        <w:rPr>
          <w:rFonts w:ascii="Century Gothic" w:hAnsi="Century Gothic"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213A9ADD" w14:textId="77777777" w:rsidR="00AB7F16" w:rsidRPr="00226746" w:rsidRDefault="00AB7F16" w:rsidP="00AB7F16">
      <w:pPr>
        <w:pStyle w:val="Textonotapie"/>
        <w:ind w:firstLine="709"/>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El artículo 5 dispone que “</w:t>
      </w:r>
      <w:r w:rsidRPr="00226746">
        <w:rPr>
          <w:rFonts w:ascii="Century Gothic" w:hAnsi="Century Gothic" w:cs="Arial"/>
          <w:sz w:val="18"/>
          <w:szCs w:val="18"/>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7">
    <w:p w14:paraId="6053DE95" w14:textId="77777777" w:rsidR="00AB7F16" w:rsidRPr="00413438" w:rsidRDefault="00AB7F16" w:rsidP="00AB7F16">
      <w:pPr>
        <w:pStyle w:val="Textonotapie"/>
        <w:ind w:firstLine="708"/>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Gaceta legislativa No. 1249 de 4 de noviembre de 2020 – Senado.</w:t>
      </w:r>
    </w:p>
  </w:footnote>
  <w:footnote w:id="8">
    <w:p w14:paraId="0C8EF337" w14:textId="77777777" w:rsidR="00AB7F16" w:rsidRPr="00226746" w:rsidRDefault="00AB7F16" w:rsidP="00AB7F16">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w:t>
      </w:r>
      <w:r w:rsidRPr="00226746">
        <w:rPr>
          <w:rFonts w:ascii="Century Gothic" w:hAnsi="Century Gothic" w:cs="Arial"/>
          <w:sz w:val="18"/>
          <w:szCs w:val="18"/>
          <w:lang w:val="es-CO"/>
        </w:rPr>
        <w:t>Gaceta legislativa No.1677 de 23 de noviembre de 2021 – Cámara de Representantes.</w:t>
      </w:r>
    </w:p>
  </w:footnote>
  <w:footnote w:id="9">
    <w:p w14:paraId="63154CD6" w14:textId="77777777" w:rsidR="00AB7F16" w:rsidRPr="00226746" w:rsidRDefault="00AB7F16" w:rsidP="00AB7F16">
      <w:pPr>
        <w:pStyle w:val="Textonotapie"/>
        <w:jc w:val="both"/>
        <w:rPr>
          <w:rFonts w:ascii="Century Gothic" w:hAnsi="Century Gothic" w:cs="Arial"/>
          <w:sz w:val="18"/>
          <w:szCs w:val="18"/>
        </w:rPr>
      </w:pPr>
    </w:p>
    <w:p w14:paraId="43318F00" w14:textId="77777777" w:rsidR="00AB7F16" w:rsidRPr="00226746" w:rsidRDefault="00AB7F16" w:rsidP="00AB7F16">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r w:rsidRPr="00226746">
        <w:rPr>
          <w:rFonts w:ascii="Century Gothic" w:hAnsi="Century Gothic" w:cs="Arial"/>
          <w:sz w:val="18"/>
          <w:szCs w:val="18"/>
          <w:lang w:val="es-CO"/>
        </w:rPr>
        <w:t xml:space="preserve">Intervención realizada por </w:t>
      </w:r>
      <w:r w:rsidRPr="00226746">
        <w:rPr>
          <w:rFonts w:ascii="Century Gothic" w:eastAsia="Calibri" w:hAnsi="Century Gothic" w:cs="Arial"/>
          <w:sz w:val="18"/>
          <w:szCs w:val="18"/>
          <w:lang w:val="es-ES_tradnl" w:eastAsia="es-ES_tradnl"/>
        </w:rPr>
        <w:t xml:space="preserve">el Subdirector de Gestión Contractual de la Agencia, en ese entonces, el abogado Jorge Tirado, que reposa en la gaceta legislativa No. 274 del 13 de abril de 2021 - </w:t>
      </w:r>
      <w:r w:rsidRPr="00226746">
        <w:rPr>
          <w:rFonts w:ascii="Century Gothic" w:hAnsi="Century Gothic" w:cs="Arial"/>
          <w:sz w:val="18"/>
          <w:szCs w:val="18"/>
        </w:rPr>
        <w:t>Senado del Congreso de la República.</w:t>
      </w:r>
    </w:p>
  </w:footnote>
  <w:footnote w:id="10">
    <w:p w14:paraId="5F47C3FF" w14:textId="77777777" w:rsidR="00AB7F16" w:rsidRPr="00226746" w:rsidRDefault="00AB7F16" w:rsidP="00AB7F16">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Ver articulado propuesto en el informe de ponencia para primer debate del </w:t>
      </w:r>
      <w:r w:rsidRPr="00226746">
        <w:rPr>
          <w:rFonts w:ascii="Century Gothic" w:eastAsia="Calibri" w:hAnsi="Century Gothic" w:cs="Arial"/>
          <w:sz w:val="18"/>
          <w:szCs w:val="18"/>
          <w:lang w:val="es-ES_tradnl" w:eastAsia="es-ES_tradnl"/>
        </w:rPr>
        <w:t>Proyecto de Ley No. 341 de 2020</w:t>
      </w:r>
      <w:r w:rsidRPr="00226746">
        <w:rPr>
          <w:rFonts w:ascii="Century Gothic" w:hAnsi="Century Gothic" w:cs="Arial"/>
          <w:sz w:val="18"/>
          <w:szCs w:val="18"/>
        </w:rPr>
        <w:t xml:space="preserve">del </w:t>
      </w:r>
      <w:r w:rsidRPr="00226746">
        <w:rPr>
          <w:rFonts w:ascii="Century Gothic" w:eastAsia="Calibri" w:hAnsi="Century Gothic" w:cs="Arial"/>
          <w:sz w:val="18"/>
          <w:szCs w:val="18"/>
          <w:lang w:val="es-ES_tradnl" w:eastAsia="es-ES_tradnl"/>
        </w:rPr>
        <w:t xml:space="preserve">gaceta legislativa No. 274 del 13 de abril de 2021 - </w:t>
      </w:r>
      <w:r w:rsidRPr="00226746">
        <w:rPr>
          <w:rFonts w:ascii="Century Gothic" w:hAnsi="Century Gothic" w:cs="Arial"/>
          <w:sz w:val="18"/>
          <w:szCs w:val="18"/>
        </w:rPr>
        <w:t>Senado del Congreso de la República.</w:t>
      </w:r>
    </w:p>
  </w:footnote>
  <w:footnote w:id="11">
    <w:p w14:paraId="5F36F509" w14:textId="77777777" w:rsidR="00AB7F16" w:rsidRPr="00226746" w:rsidRDefault="00AB7F16" w:rsidP="00AB7F16">
      <w:pPr>
        <w:pStyle w:val="Textonotapie"/>
        <w:ind w:firstLine="708"/>
        <w:jc w:val="both"/>
        <w:rPr>
          <w:rFonts w:ascii="Century Gothic" w:hAnsi="Century Gothic" w:cs="Arial"/>
          <w:sz w:val="18"/>
          <w:szCs w:val="18"/>
        </w:rPr>
      </w:pPr>
      <w:r w:rsidRPr="00226746">
        <w:rPr>
          <w:rStyle w:val="Refdenotaalpie"/>
          <w:rFonts w:ascii="Century Gothic" w:hAnsi="Century Gothic" w:cs="Arial"/>
          <w:sz w:val="18"/>
          <w:szCs w:val="18"/>
        </w:rPr>
        <w:footnoteRef/>
      </w:r>
      <w:r>
        <w:rPr>
          <w:rFonts w:ascii="Century Gothic" w:hAnsi="Century Gothic" w:cs="Arial"/>
          <w:sz w:val="18"/>
          <w:szCs w:val="18"/>
        </w:rPr>
        <w:t xml:space="preserve"> </w:t>
      </w:r>
      <w:r w:rsidRPr="00226746">
        <w:rPr>
          <w:rFonts w:ascii="Century Gothic" w:hAnsi="Century Gothic" w:cs="Arial"/>
          <w:sz w:val="18"/>
          <w:szCs w:val="18"/>
        </w:rPr>
        <w:t xml:space="preserve">Ver aparte de pliego de modificaciones en el informe de ponencia para primer debate del </w:t>
      </w:r>
      <w:r w:rsidRPr="00226746">
        <w:rPr>
          <w:rFonts w:ascii="Century Gothic" w:eastAsia="Calibri" w:hAnsi="Century Gothic" w:cs="Arial"/>
          <w:sz w:val="18"/>
          <w:szCs w:val="18"/>
          <w:lang w:val="es-ES_tradnl" w:eastAsia="es-ES_tradnl"/>
        </w:rPr>
        <w:t>Proyecto de Ley No. 341 de 2020</w:t>
      </w:r>
      <w:r w:rsidRPr="00226746">
        <w:rPr>
          <w:rFonts w:ascii="Century Gothic" w:hAnsi="Century Gothic" w:cs="Arial"/>
          <w:sz w:val="18"/>
          <w:szCs w:val="18"/>
        </w:rPr>
        <w:t xml:space="preserve">del </w:t>
      </w:r>
      <w:r w:rsidRPr="00226746">
        <w:rPr>
          <w:rFonts w:ascii="Century Gothic" w:eastAsia="Calibri" w:hAnsi="Century Gothic" w:cs="Arial"/>
          <w:sz w:val="18"/>
          <w:szCs w:val="18"/>
          <w:lang w:val="es-ES_tradnl" w:eastAsia="es-ES_tradnl"/>
        </w:rPr>
        <w:t xml:space="preserve">gaceta legislativa No. 274 del 13 de abril de 2021 - </w:t>
      </w:r>
      <w:r w:rsidRPr="00226746">
        <w:rPr>
          <w:rFonts w:ascii="Century Gothic" w:hAnsi="Century Gothic" w:cs="Arial"/>
          <w:sz w:val="18"/>
          <w:szCs w:val="18"/>
        </w:rPr>
        <w:t>Senado del Congreso de la República.</w:t>
      </w:r>
    </w:p>
    <w:p w14:paraId="5A634D95" w14:textId="77777777" w:rsidR="00AB7F16" w:rsidRPr="00226746" w:rsidRDefault="00AB7F16" w:rsidP="00AB7F16">
      <w:pPr>
        <w:pStyle w:val="Textonotapie"/>
        <w:ind w:firstLine="708"/>
        <w:jc w:val="both"/>
        <w:rPr>
          <w:rFonts w:ascii="Century Gothic" w:hAnsi="Century Gothic" w:cs="Arial"/>
          <w:sz w:val="18"/>
          <w:szCs w:val="18"/>
          <w:lang w:val="es-CO"/>
        </w:rPr>
      </w:pPr>
    </w:p>
  </w:footnote>
  <w:footnote w:id="12">
    <w:p w14:paraId="2EA43BE0" w14:textId="77777777" w:rsidR="00AB7F16" w:rsidRPr="00226746" w:rsidRDefault="00AB7F16" w:rsidP="00AB7F16">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Gaceta legislativa No. 1160 del 9 de septiembre de 2021</w:t>
      </w:r>
      <w:r w:rsidRPr="00226746">
        <w:rPr>
          <w:rFonts w:ascii="Century Gothic" w:eastAsia="Calibri" w:hAnsi="Century Gothic" w:cs="Arial"/>
          <w:sz w:val="18"/>
          <w:szCs w:val="18"/>
          <w:lang w:val="es-ES_tradnl" w:eastAsia="es-ES_tradnl"/>
        </w:rPr>
        <w:t xml:space="preserve">- </w:t>
      </w:r>
      <w:r w:rsidRPr="00226746">
        <w:rPr>
          <w:rFonts w:ascii="Century Gothic" w:hAnsi="Century Gothic" w:cs="Arial"/>
          <w:sz w:val="18"/>
          <w:szCs w:val="18"/>
        </w:rPr>
        <w:t>Senado.</w:t>
      </w:r>
    </w:p>
  </w:footnote>
  <w:footnote w:id="13">
    <w:p w14:paraId="6D99C5AE" w14:textId="77777777" w:rsidR="00AB7F16" w:rsidRPr="00226746" w:rsidRDefault="00AB7F16" w:rsidP="00AB7F16">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w:t>
      </w:r>
      <w:r w:rsidRPr="00226746">
        <w:rPr>
          <w:rFonts w:ascii="Century Gothic" w:hAnsi="Century Gothic" w:cs="Arial"/>
          <w:sz w:val="18"/>
          <w:szCs w:val="18"/>
          <w:lang w:val="es-CO"/>
        </w:rPr>
        <w:t>Gaceta legislativa No. 1589 del 9 de noviembre de 2021 – Senado.</w:t>
      </w:r>
    </w:p>
  </w:footnote>
  <w:footnote w:id="14">
    <w:p w14:paraId="3F41A517" w14:textId="77777777" w:rsidR="00AB7F16" w:rsidRPr="00226746" w:rsidRDefault="00AB7F16" w:rsidP="00AB7F16">
      <w:pPr>
        <w:pStyle w:val="Textonotapie"/>
        <w:jc w:val="both"/>
        <w:rPr>
          <w:rFonts w:ascii="Century Gothic" w:hAnsi="Century Gothic" w:cs="Arial"/>
          <w:sz w:val="18"/>
          <w:szCs w:val="18"/>
        </w:rPr>
      </w:pPr>
    </w:p>
    <w:p w14:paraId="54672704" w14:textId="77777777" w:rsidR="00AB7F16" w:rsidRPr="00226746" w:rsidRDefault="00AB7F16" w:rsidP="00AB7F16">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r w:rsidRPr="00226746">
        <w:rPr>
          <w:rFonts w:ascii="Century Gothic" w:hAnsi="Century Gothic" w:cs="Arial"/>
          <w:sz w:val="18"/>
          <w:szCs w:val="18"/>
          <w:lang w:val="es-CO"/>
        </w:rPr>
        <w:t xml:space="preserve">Ver gacetas legislativas No. 1677 de 23 de noviembre de 2021, No. 1752 de 1 de diciembre de 2021 y No. 1828 del 14 de diciembre – Cámara de Representantes del Congreso de la República </w:t>
      </w:r>
    </w:p>
  </w:footnote>
  <w:footnote w:id="15">
    <w:p w14:paraId="14509F1F" w14:textId="77777777" w:rsidR="00AB7F16" w:rsidRPr="00226746" w:rsidRDefault="00AB7F16" w:rsidP="00AB7F16">
      <w:pPr>
        <w:pStyle w:val="Textonotapie"/>
        <w:ind w:firstLine="708"/>
        <w:jc w:val="both"/>
        <w:rPr>
          <w:rFonts w:ascii="Century Gothic" w:hAnsi="Century Gothic" w:cs="Arial"/>
          <w:sz w:val="18"/>
          <w:szCs w:val="18"/>
        </w:rPr>
      </w:pPr>
    </w:p>
    <w:p w14:paraId="73F5137E" w14:textId="77777777" w:rsidR="00AB7F16" w:rsidRPr="00226746" w:rsidRDefault="00AB7F16" w:rsidP="00AB7F16">
      <w:pPr>
        <w:pStyle w:val="Textonotapie"/>
        <w:ind w:firstLine="708"/>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CONGRESO DE LA REPÚBLICA., Gacetas</w:t>
      </w:r>
      <w:r w:rsidRPr="00226746">
        <w:rPr>
          <w:rFonts w:ascii="Century Gothic" w:hAnsi="Century Gothic" w:cs="Arial"/>
          <w:sz w:val="18"/>
          <w:szCs w:val="18"/>
          <w:lang w:val="es-CO"/>
        </w:rPr>
        <w:t xml:space="preserve"> legislativas No. 1860 y 1861 de 2021, de Cámara de Representantes y Senado, respectivamente.</w:t>
      </w:r>
    </w:p>
  </w:footnote>
  <w:footnote w:id="16">
    <w:p w14:paraId="1BF9C18F" w14:textId="77777777" w:rsidR="00AB7F16" w:rsidRPr="00226746" w:rsidRDefault="00AB7F16" w:rsidP="00AB7F16">
      <w:pPr>
        <w:pStyle w:val="Textonotapie"/>
        <w:ind w:firstLine="708"/>
        <w:contextualSpacing/>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bookmarkStart w:id="11" w:name="2"/>
      <w:r w:rsidRPr="00226746">
        <w:rPr>
          <w:rFonts w:ascii="Century Gothic" w:hAnsi="Century Gothic" w:cs="Arial"/>
          <w:sz w:val="18"/>
          <w:szCs w:val="18"/>
        </w:rPr>
        <w:t>“Artículo 2o. De las modalidades de selección.</w:t>
      </w:r>
      <w:bookmarkEnd w:id="11"/>
      <w:r w:rsidRPr="00226746">
        <w:rPr>
          <w:rFonts w:ascii="Century Gothic" w:hAnsi="Century Gothic" w:cs="Arial"/>
          <w:sz w:val="18"/>
          <w:szCs w:val="18"/>
        </w:rPr>
        <w:t> La escogencia del contratista se efectuará con arreglo a las modalidades de selección de licitación pública, selección abreviada, concurso de méritos y contratación directa, con base en las siguientes reglas:</w:t>
      </w:r>
    </w:p>
    <w:p w14:paraId="57835D4B" w14:textId="77777777" w:rsidR="00AB7F16" w:rsidRPr="00226746" w:rsidRDefault="00AB7F16" w:rsidP="00AB7F16">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w:t>
      </w:r>
    </w:p>
    <w:p w14:paraId="659EF7FC" w14:textId="77777777" w:rsidR="00AB7F16" w:rsidRPr="00226746" w:rsidRDefault="00AB7F16" w:rsidP="00AB7F16">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4. </w:t>
      </w:r>
      <w:r w:rsidRPr="00226746">
        <w:rPr>
          <w:rStyle w:val="baj"/>
          <w:rFonts w:ascii="Century Gothic" w:hAnsi="Century Gothic" w:cs="Arial"/>
          <w:sz w:val="18"/>
          <w:szCs w:val="18"/>
        </w:rPr>
        <w:t>Contratación directa. </w:t>
      </w:r>
      <w:r w:rsidRPr="00226746">
        <w:rPr>
          <w:rFonts w:ascii="Century Gothic" w:hAnsi="Century Gothic" w:cs="Arial"/>
          <w:sz w:val="18"/>
          <w:szCs w:val="18"/>
        </w:rPr>
        <w:t>La modalidad de selección de contratación directa solamente procederá en los siguientes casos:</w:t>
      </w:r>
    </w:p>
    <w:p w14:paraId="1E9C7469" w14:textId="77777777" w:rsidR="00AB7F16" w:rsidRPr="00226746" w:rsidRDefault="00AB7F16" w:rsidP="00AB7F16">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w:t>
      </w:r>
    </w:p>
    <w:p w14:paraId="732AAF44" w14:textId="77777777" w:rsidR="00AB7F16" w:rsidRPr="00226746" w:rsidRDefault="00AB7F16" w:rsidP="00AB7F16">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C. […]</w:t>
      </w:r>
    </w:p>
    <w:p w14:paraId="4792BCB6" w14:textId="77777777" w:rsidR="00AB7F16" w:rsidRPr="00226746" w:rsidRDefault="00AB7F16" w:rsidP="00AB7F16">
      <w:pPr>
        <w:pStyle w:val="Textonotapie"/>
        <w:ind w:firstLine="708"/>
        <w:contextualSpacing/>
        <w:jc w:val="both"/>
        <w:rPr>
          <w:rFonts w:ascii="Century Gothic" w:hAnsi="Century Gothic" w:cs="Arial"/>
          <w:sz w:val="18"/>
          <w:szCs w:val="18"/>
        </w:rPr>
      </w:pPr>
      <w:r w:rsidRPr="00226746">
        <w:rPr>
          <w:rFonts w:ascii="Century Gothic" w:hAnsi="Century Gothic" w:cs="Arial"/>
          <w:sz w:val="18"/>
          <w:szCs w:val="18"/>
        </w:rPr>
        <w:t>Inciso 2o. modificado por el artículo 95 de la Ley 1474 de 2011–</w:t>
      </w:r>
      <w:r w:rsidRPr="00226746" w:rsidDel="002C5C6D">
        <w:rPr>
          <w:rFonts w:ascii="Century Gothic" w:hAnsi="Century Gothic" w:cs="Arial"/>
          <w:sz w:val="18"/>
          <w:szCs w:val="18"/>
        </w:rPr>
        <w:t xml:space="preserve"> </w:t>
      </w:r>
      <w:r w:rsidRPr="00226746">
        <w:rPr>
          <w:rFonts w:ascii="Century Gothic" w:hAnsi="Century Gothic" w:cs="Arial"/>
          <w:sz w:val="18"/>
          <w:szCs w:val="18"/>
        </w:rPr>
        <w:t xml:space="preserve">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17">
    <w:p w14:paraId="635E7971" w14:textId="77777777" w:rsidR="00AB7F16" w:rsidRPr="00226746" w:rsidRDefault="00AB7F16" w:rsidP="00AB7F16">
      <w:pPr>
        <w:pStyle w:val="Textonotapie"/>
        <w:ind w:firstLine="708"/>
        <w:contextualSpacing/>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Corte Constitucional. Sentencia C- 341 del 4 de junio de 2014. M. P. Mauricio González Cuervo.</w:t>
      </w:r>
    </w:p>
  </w:footnote>
  <w:footnote w:id="18">
    <w:p w14:paraId="3A65D066" w14:textId="77777777" w:rsidR="00AB7F16" w:rsidRPr="00226746" w:rsidRDefault="00AB7F16" w:rsidP="00AB7F16">
      <w:pPr>
        <w:pStyle w:val="Textonotapie"/>
        <w:ind w:firstLine="709"/>
        <w:contextualSpacing/>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EF8A58E" w14:textId="77777777" w:rsidR="00AB7F16" w:rsidRPr="00226746" w:rsidRDefault="00AB7F16" w:rsidP="00AB7F16">
      <w:pPr>
        <w:pStyle w:val="Textonotapie"/>
        <w:ind w:firstLine="709"/>
        <w:contextualSpacing/>
        <w:jc w:val="both"/>
        <w:rPr>
          <w:rFonts w:ascii="Century Gothic" w:hAnsi="Century Gothic" w:cs="Arial"/>
          <w:color w:val="000000"/>
          <w:sz w:val="18"/>
          <w:szCs w:val="18"/>
        </w:rPr>
      </w:pPr>
      <w:r w:rsidRPr="00226746">
        <w:rPr>
          <w:rFonts w:ascii="Century Gothic" w:hAnsi="Century Gothic" w:cs="Arial"/>
          <w:color w:val="000000"/>
          <w:sz w:val="18"/>
          <w:szCs w:val="18"/>
        </w:rPr>
        <w:t>Lo anterior, sin perjuicio de las publicaciones previstas en el numeral 3 del artículo 30 de la Ley 80 de 1993.</w:t>
      </w:r>
    </w:p>
    <w:p w14:paraId="53F423E2" w14:textId="77777777" w:rsidR="00AB7F16" w:rsidRPr="00226746" w:rsidRDefault="00AB7F16" w:rsidP="00AB7F16">
      <w:pPr>
        <w:pStyle w:val="Textonotapie"/>
        <w:ind w:firstLine="709"/>
        <w:contextualSpacing/>
        <w:jc w:val="both"/>
        <w:rPr>
          <w:rFonts w:ascii="Century Gothic" w:hAnsi="Century Gothic" w:cs="Arial"/>
          <w:color w:val="000000"/>
          <w:sz w:val="18"/>
          <w:szCs w:val="18"/>
        </w:rPr>
      </w:pPr>
      <w:r w:rsidRPr="00226746">
        <w:rPr>
          <w:rFonts w:ascii="Century Gothic" w:hAnsi="Century Gothic" w:cs="Arial"/>
          <w:color w:val="000000"/>
          <w:sz w:val="18"/>
          <w:szCs w:val="18"/>
        </w:rPr>
        <w:t xml:space="preserve">Con el fin de materializar los objetivos a que se refiere el inciso anterior, el Gobierno Nacional desarrollará el Sistema Electrónico para la Contratación Pública, Secop, el cual: </w:t>
      </w:r>
    </w:p>
    <w:p w14:paraId="58117323" w14:textId="77777777" w:rsidR="00AB7F16" w:rsidRPr="00226746" w:rsidRDefault="00AB7F16" w:rsidP="00AB7F16">
      <w:pPr>
        <w:pStyle w:val="Textonotapie"/>
        <w:ind w:firstLine="709"/>
        <w:contextualSpacing/>
        <w:jc w:val="both"/>
        <w:rPr>
          <w:rFonts w:ascii="Century Gothic" w:hAnsi="Century Gothic" w:cs="Arial"/>
          <w:color w:val="000000"/>
          <w:sz w:val="18"/>
          <w:szCs w:val="18"/>
        </w:rPr>
      </w:pPr>
      <w:r w:rsidRPr="00226746">
        <w:rPr>
          <w:rFonts w:ascii="Century Gothic" w:hAnsi="Century Gothic" w:cs="Arial"/>
          <w:color w:val="000000"/>
          <w:sz w:val="18"/>
          <w:szCs w:val="18"/>
        </w:rPr>
        <w:t>[…]</w:t>
      </w:r>
    </w:p>
    <w:p w14:paraId="307ADDFB" w14:textId="77777777" w:rsidR="00AB7F16" w:rsidRPr="00226746" w:rsidRDefault="00AB7F16" w:rsidP="00AB7F16">
      <w:pPr>
        <w:pStyle w:val="Textonotapie"/>
        <w:ind w:firstLine="709"/>
        <w:contextualSpacing/>
        <w:jc w:val="both"/>
        <w:rPr>
          <w:rFonts w:ascii="Century Gothic" w:hAnsi="Century Gothic" w:cs="Arial"/>
          <w:color w:val="000000"/>
          <w:sz w:val="18"/>
          <w:szCs w:val="18"/>
        </w:rPr>
      </w:pPr>
      <w:r w:rsidRPr="00226746">
        <w:rPr>
          <w:rFonts w:ascii="Century Gothic" w:hAnsi="Century Gothic" w:cs="Arial"/>
          <w:color w:val="000000"/>
          <w:sz w:val="18"/>
          <w:szCs w:val="18"/>
        </w:rPr>
        <w:t xml:space="preserve">c) Contará con la información oficial de la contratación realizada con dineros públicos, para lo cual establecerá los patrones a que haya lugar y se encargará de su difusión a través de canales electrónico”. </w:t>
      </w:r>
    </w:p>
  </w:footnote>
  <w:footnote w:id="19">
    <w:p w14:paraId="74A2BEF9" w14:textId="77777777" w:rsidR="00AB7F16" w:rsidRPr="00226746" w:rsidRDefault="00AB7F16" w:rsidP="00AB7F16">
      <w:pPr>
        <w:pStyle w:val="Textonotapie"/>
        <w:ind w:firstLine="709"/>
        <w:contextualSpacing/>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20">
    <w:p w14:paraId="228539AA" w14:textId="77777777" w:rsidR="00AB7F16" w:rsidRPr="00226746" w:rsidRDefault="00AB7F16" w:rsidP="00AB7F16">
      <w:pPr>
        <w:pStyle w:val="Textonotapie"/>
        <w:ind w:firstLine="707"/>
        <w:contextualSpacing/>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vertAlign w:val="superscript"/>
        </w:rPr>
        <w:t xml:space="preserve"> </w:t>
      </w:r>
      <w:r w:rsidRPr="00226746">
        <w:rPr>
          <w:rFonts w:ascii="Century Gothic" w:hAnsi="Century Gothic" w:cs="Arial"/>
          <w:sz w:val="18"/>
          <w:szCs w:val="18"/>
        </w:rPr>
        <w:t xml:space="preserve">Ley 1712 de 2014: “Artículo 3. </w:t>
      </w:r>
      <w:bookmarkStart w:id="14" w:name="3"/>
      <w:r w:rsidRPr="00226746">
        <w:rPr>
          <w:rFonts w:ascii="Century Gothic" w:hAnsi="Century Gothic" w:cs="Arial"/>
          <w:sz w:val="18"/>
          <w:szCs w:val="18"/>
          <w:lang w:val="es-CO"/>
        </w:rPr>
        <w:t>Otros principios de la transparencia y acceso a la información pública.</w:t>
      </w:r>
      <w:bookmarkEnd w:id="14"/>
      <w:r w:rsidRPr="00226746">
        <w:rPr>
          <w:rFonts w:ascii="Century Gothic" w:hAnsi="Century Gothic" w:cs="Arial"/>
          <w:sz w:val="18"/>
          <w:szCs w:val="18"/>
          <w:lang w:val="es-CO"/>
        </w:rPr>
        <w:t> </w:t>
      </w:r>
    </w:p>
    <w:p w14:paraId="6C01F51D" w14:textId="77777777" w:rsidR="00AB7F16" w:rsidRPr="00226746" w:rsidRDefault="00AB7F16" w:rsidP="00AB7F16">
      <w:pPr>
        <w:pStyle w:val="Textonotapie"/>
        <w:ind w:firstLine="707"/>
        <w:contextualSpacing/>
        <w:jc w:val="both"/>
        <w:rPr>
          <w:rFonts w:ascii="Century Gothic" w:hAnsi="Century Gothic" w:cs="Arial"/>
          <w:sz w:val="18"/>
          <w:szCs w:val="18"/>
          <w:lang w:val="es-CO"/>
        </w:rPr>
      </w:pPr>
      <w:r w:rsidRPr="00226746">
        <w:rPr>
          <w:rFonts w:ascii="Century Gothic" w:hAnsi="Century Gothic" w:cs="Arial"/>
          <w:sz w:val="18"/>
          <w:szCs w:val="18"/>
          <w:lang w:val="es-CO"/>
        </w:rPr>
        <w:t>[…]</w:t>
      </w:r>
    </w:p>
    <w:p w14:paraId="222548E1" w14:textId="77777777" w:rsidR="00AB7F16" w:rsidRPr="00A90253" w:rsidRDefault="00AB7F16" w:rsidP="00AB7F16">
      <w:pPr>
        <w:pStyle w:val="Textonotapie"/>
        <w:ind w:firstLine="707"/>
        <w:contextualSpacing/>
        <w:jc w:val="both"/>
        <w:rPr>
          <w:rFonts w:ascii="Century Gothic" w:hAnsi="Century Gothic" w:cs="Arial"/>
          <w:sz w:val="18"/>
          <w:szCs w:val="18"/>
        </w:rPr>
      </w:pPr>
      <w:r w:rsidRPr="00226746">
        <w:rPr>
          <w:rStyle w:val="baj"/>
          <w:rFonts w:ascii="Century Gothic" w:hAnsi="Century Gothic" w:cs="Arial"/>
          <w:sz w:val="18"/>
          <w:szCs w:val="18"/>
        </w:rPr>
        <w:t>Principio de transparencia</w:t>
      </w:r>
      <w:r w:rsidRPr="00226746">
        <w:rPr>
          <w:rFonts w:ascii="Century Gothic" w:hAnsi="Century Gothic" w:cs="Arial"/>
          <w:sz w:val="18"/>
          <w:szCs w:val="18"/>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footnote>
  <w:footnote w:id="21">
    <w:p w14:paraId="0B69B695" w14:textId="77777777" w:rsidR="00AB7F16" w:rsidRPr="00226746" w:rsidRDefault="00AB7F16" w:rsidP="00AB7F16">
      <w:pPr>
        <w:pStyle w:val="Textonotapie"/>
        <w:ind w:firstLine="707"/>
        <w:contextualSpacing/>
        <w:jc w:val="both"/>
        <w:rPr>
          <w:rFonts w:ascii="Century Gothic" w:hAnsi="Century Gothic" w:cs="Arial"/>
          <w:sz w:val="18"/>
          <w:szCs w:val="18"/>
          <w:lang w:val="es-CO"/>
        </w:rPr>
      </w:pPr>
      <w:r w:rsidRPr="00226746">
        <w:rPr>
          <w:rStyle w:val="Refdenotaalpie"/>
          <w:rFonts w:ascii="Century Gothic" w:hAnsi="Century Gothic" w:cs="Arial"/>
          <w:sz w:val="18"/>
          <w:szCs w:val="18"/>
        </w:rPr>
        <w:footnoteRef/>
      </w:r>
      <w:r w:rsidRPr="00226746">
        <w:rPr>
          <w:rFonts w:ascii="Century Gothic" w:hAnsi="Century Gothic" w:cs="Arial"/>
          <w:sz w:val="18"/>
          <w:szCs w:val="18"/>
          <w:vertAlign w:val="superscript"/>
        </w:rPr>
        <w:t xml:space="preserve"> </w:t>
      </w:r>
      <w:r w:rsidRPr="00226746">
        <w:rPr>
          <w:rFonts w:ascii="Century Gothic" w:hAnsi="Century Gothic" w:cs="Arial"/>
          <w:sz w:val="18"/>
          <w:szCs w:val="18"/>
        </w:rPr>
        <w:t xml:space="preserve">Ley 1712 de 2014: “Artículo 3. </w:t>
      </w:r>
      <w:r w:rsidRPr="00226746">
        <w:rPr>
          <w:rFonts w:ascii="Century Gothic" w:hAnsi="Century Gothic" w:cs="Arial"/>
          <w:sz w:val="18"/>
          <w:szCs w:val="18"/>
          <w:lang w:val="es-CO"/>
        </w:rPr>
        <w:t>Otros principios de la transparencia y acceso a la información pública. </w:t>
      </w:r>
    </w:p>
    <w:p w14:paraId="718E399C" w14:textId="77777777" w:rsidR="00AB7F16" w:rsidRPr="00226746" w:rsidRDefault="00AB7F16" w:rsidP="00AB7F16">
      <w:pPr>
        <w:pStyle w:val="Textonotapie"/>
        <w:ind w:firstLine="707"/>
        <w:contextualSpacing/>
        <w:jc w:val="both"/>
        <w:rPr>
          <w:rFonts w:ascii="Century Gothic" w:hAnsi="Century Gothic" w:cs="Arial"/>
          <w:sz w:val="18"/>
          <w:szCs w:val="18"/>
          <w:lang w:val="es-ES"/>
        </w:rPr>
      </w:pPr>
      <w:r w:rsidRPr="00226746">
        <w:rPr>
          <w:rFonts w:ascii="Century Gothic" w:hAnsi="Century Gothic" w:cs="Arial"/>
          <w:sz w:val="18"/>
          <w:szCs w:val="18"/>
          <w:lang w:val="es-ES"/>
        </w:rPr>
        <w:t>[…]</w:t>
      </w:r>
    </w:p>
    <w:p w14:paraId="7844FA73" w14:textId="77777777" w:rsidR="00AB7F16" w:rsidRPr="00226746" w:rsidRDefault="00AB7F16" w:rsidP="00AB7F16">
      <w:pPr>
        <w:pStyle w:val="Textonotapie"/>
        <w:ind w:firstLine="707"/>
        <w:contextualSpacing/>
        <w:jc w:val="both"/>
        <w:rPr>
          <w:rFonts w:ascii="Century Gothic" w:hAnsi="Century Gothic" w:cs="Arial"/>
          <w:sz w:val="18"/>
          <w:szCs w:val="18"/>
          <w:lang w:val="es-ES"/>
        </w:rPr>
      </w:pPr>
      <w:r w:rsidRPr="00226746">
        <w:rPr>
          <w:rStyle w:val="baj"/>
          <w:rFonts w:ascii="Century Gothic" w:hAnsi="Century Gothic" w:cs="Arial"/>
          <w:b/>
          <w:bCs/>
          <w:sz w:val="18"/>
          <w:szCs w:val="18"/>
        </w:rPr>
        <w:t>Principio de buena fe</w:t>
      </w:r>
      <w:r w:rsidRPr="00226746">
        <w:rPr>
          <w:rFonts w:ascii="Century Gothic" w:hAnsi="Century Gothic" w:cs="Arial"/>
          <w:sz w:val="18"/>
          <w:szCs w:val="18"/>
        </w:rPr>
        <w:t>. En virtud del cual todo sujeto obligado, al cumplir con las obligaciones derivadas del derecho de acceso a la información pública, lo hará con motivación honesta, leal y desprovista de cualquier intención dolosa o culposa.”</w:t>
      </w:r>
    </w:p>
  </w:footnote>
  <w:footnote w:id="22">
    <w:p w14:paraId="0948F375" w14:textId="77777777" w:rsidR="00AB7F16" w:rsidRPr="00226746" w:rsidRDefault="00AB7F16" w:rsidP="00AB7F16">
      <w:pPr>
        <w:pStyle w:val="Textonotapie"/>
        <w:ind w:firstLine="707"/>
        <w:contextualSpacing/>
        <w:jc w:val="both"/>
        <w:rPr>
          <w:rFonts w:ascii="Century Gothic" w:hAnsi="Century Gothic" w:cs="Arial"/>
          <w:sz w:val="18"/>
          <w:szCs w:val="18"/>
          <w:shd w:val="clear" w:color="auto" w:fill="FFFFFF"/>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Ley 1712 de 2014: “Artículo 9. </w:t>
      </w:r>
      <w:r w:rsidRPr="00226746">
        <w:rPr>
          <w:rFonts w:ascii="Century Gothic" w:hAnsi="Century Gothic" w:cs="Arial"/>
          <w:sz w:val="18"/>
          <w:szCs w:val="18"/>
          <w:shd w:val="clear" w:color="auto" w:fill="FFFFFF"/>
        </w:rPr>
        <w:t> </w:t>
      </w:r>
      <w:r w:rsidRPr="00226746">
        <w:rPr>
          <w:rStyle w:val="nfasis"/>
          <w:rFonts w:ascii="Century Gothic" w:hAnsi="Century Gothic" w:cs="Arial"/>
          <w:sz w:val="18"/>
          <w:szCs w:val="18"/>
          <w:shd w:val="clear" w:color="auto" w:fill="FFFFFF"/>
        </w:rPr>
        <w:t>Información mínima obligatoria respecto a la estructura del sujeto obligado. </w:t>
      </w:r>
      <w:r w:rsidRPr="00226746">
        <w:rPr>
          <w:rFonts w:ascii="Century Gothic" w:hAnsi="Century Gothic" w:cs="Arial"/>
          <w:sz w:val="18"/>
          <w:szCs w:val="18"/>
          <w:shd w:val="clear" w:color="auto" w:fill="FFFFFF"/>
        </w:rPr>
        <w:t>Todo sujeto obligado deberá publicar la siguiente información mínima obligatoria de manera proactiva en los sistemas de información del Estado o herramientas que lo sustituyan:</w:t>
      </w:r>
    </w:p>
    <w:p w14:paraId="4EB095B6" w14:textId="77777777" w:rsidR="00AB7F16" w:rsidRPr="00226746" w:rsidRDefault="00AB7F16" w:rsidP="00AB7F16">
      <w:pPr>
        <w:pStyle w:val="Textonotapie"/>
        <w:ind w:firstLine="707"/>
        <w:contextualSpacing/>
        <w:jc w:val="both"/>
        <w:rPr>
          <w:rFonts w:ascii="Century Gothic" w:hAnsi="Century Gothic" w:cs="Arial"/>
          <w:sz w:val="18"/>
          <w:szCs w:val="18"/>
          <w:shd w:val="clear" w:color="auto" w:fill="FFFFFF"/>
        </w:rPr>
      </w:pPr>
      <w:r w:rsidRPr="00226746">
        <w:rPr>
          <w:rFonts w:ascii="Century Gothic" w:hAnsi="Century Gothic" w:cs="Arial"/>
          <w:sz w:val="18"/>
          <w:szCs w:val="18"/>
          <w:shd w:val="clear" w:color="auto" w:fill="FFFFFF"/>
        </w:rPr>
        <w:t>[…]</w:t>
      </w:r>
    </w:p>
    <w:p w14:paraId="676C4886" w14:textId="77777777" w:rsidR="00AB7F16" w:rsidRPr="00226746" w:rsidRDefault="00AB7F16" w:rsidP="00AB7F16">
      <w:pPr>
        <w:pStyle w:val="Textonotapie"/>
        <w:ind w:firstLine="707"/>
        <w:contextualSpacing/>
        <w:jc w:val="both"/>
        <w:rPr>
          <w:rFonts w:ascii="Century Gothic" w:hAnsi="Century Gothic" w:cs="Arial"/>
          <w:sz w:val="18"/>
          <w:szCs w:val="18"/>
          <w:lang w:val="es-ES"/>
        </w:rPr>
      </w:pPr>
      <w:r w:rsidRPr="00226746">
        <w:rPr>
          <w:rFonts w:ascii="Century Gothic" w:hAnsi="Century Gothic" w:cs="Arial"/>
          <w:sz w:val="18"/>
          <w:szCs w:val="18"/>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226746">
        <w:rPr>
          <w:rFonts w:ascii="Century Gothic" w:hAnsi="Century Gothic" w:cs="Arial"/>
          <w:sz w:val="18"/>
          <w:szCs w:val="18"/>
        </w:rPr>
        <w:t xml:space="preserve"> </w:t>
      </w:r>
      <w:r w:rsidRPr="00226746">
        <w:rPr>
          <w:rFonts w:ascii="Century Gothic" w:hAnsi="Century Gothic" w:cs="Arial"/>
          <w:sz w:val="18"/>
          <w:szCs w:val="18"/>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226746">
        <w:rPr>
          <w:rFonts w:ascii="Century Gothic" w:hAnsi="Century Gothic" w:cs="Arial"/>
          <w:sz w:val="18"/>
          <w:szCs w:val="18"/>
        </w:rPr>
        <w:t>”.</w:t>
      </w:r>
    </w:p>
  </w:footnote>
  <w:footnote w:id="23">
    <w:p w14:paraId="40271B9D" w14:textId="77777777" w:rsidR="00AB7F16" w:rsidRPr="00226746" w:rsidRDefault="00AB7F16" w:rsidP="00AB7F16">
      <w:pPr>
        <w:ind w:firstLine="707"/>
        <w:contextualSpacing/>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Ley 1712 de 2014: “Artículo 5. Ámbito de aplicación. Las disposiciones de esta ley serán aplicables a las siguientes personas en calidad de sujetos obligados:</w:t>
      </w:r>
    </w:p>
    <w:p w14:paraId="375B3532" w14:textId="77777777" w:rsidR="00AB7F16" w:rsidRPr="00226746" w:rsidRDefault="00AB7F16" w:rsidP="00AB7F16">
      <w:pPr>
        <w:ind w:firstLine="707"/>
        <w:contextualSpacing/>
        <w:jc w:val="both"/>
        <w:rPr>
          <w:rFonts w:ascii="Century Gothic" w:hAnsi="Century Gothic" w:cs="Arial"/>
          <w:sz w:val="18"/>
          <w:szCs w:val="18"/>
        </w:rPr>
      </w:pPr>
      <w:r w:rsidRPr="00226746">
        <w:rPr>
          <w:rFonts w:ascii="Century Gothic" w:hAnsi="Century Gothic" w:cs="Arial"/>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24">
    <w:p w14:paraId="41148CDD" w14:textId="77777777" w:rsidR="00AB7F16" w:rsidRPr="00226746" w:rsidRDefault="00AB7F16" w:rsidP="00AB7F16">
      <w:pPr>
        <w:pStyle w:val="Textonotapie"/>
        <w:ind w:firstLine="707"/>
        <w:contextualSpacing/>
        <w:jc w:val="both"/>
        <w:rPr>
          <w:rFonts w:ascii="Century Gothic" w:hAnsi="Century Gothic" w:cs="Arial"/>
          <w:color w:val="000000"/>
          <w:sz w:val="18"/>
          <w:szCs w:val="18"/>
        </w:rPr>
      </w:pPr>
      <w:r w:rsidRPr="00226746">
        <w:rPr>
          <w:rFonts w:ascii="Century Gothic" w:eastAsia="Times New Roman" w:hAnsi="Century Gothic" w:cs="Arial"/>
          <w:color w:val="000000"/>
          <w:sz w:val="18"/>
          <w:szCs w:val="18"/>
          <w:vertAlign w:val="superscript"/>
          <w:lang w:val="es-ES" w:eastAsia="es-ES"/>
        </w:rPr>
        <w:footnoteRef/>
      </w:r>
      <w:r w:rsidRPr="00226746">
        <w:rPr>
          <w:rFonts w:ascii="Century Gothic" w:eastAsia="Times New Roman" w:hAnsi="Century Gothic" w:cs="Arial"/>
          <w:color w:val="000000"/>
          <w:sz w:val="18"/>
          <w:szCs w:val="18"/>
          <w:vertAlign w:val="superscript"/>
          <w:lang w:val="es-ES" w:eastAsia="es-ES"/>
        </w:rPr>
        <w:t xml:space="preserve"> </w:t>
      </w:r>
      <w:r w:rsidRPr="00226746">
        <w:rPr>
          <w:rFonts w:ascii="Century Gothic" w:eastAsia="Times New Roman" w:hAnsi="Century Gothic" w:cs="Arial"/>
          <w:color w:val="000000"/>
          <w:sz w:val="18"/>
          <w:szCs w:val="18"/>
          <w:lang w:val="es-ES" w:eastAsia="es-ES"/>
        </w:rPr>
        <w:t>“</w:t>
      </w:r>
      <w:r w:rsidRPr="00226746">
        <w:rPr>
          <w:rFonts w:ascii="Century Gothic" w:hAnsi="Century Gothic" w:cs="Arial"/>
          <w:color w:val="000000"/>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C6CE1FC" w14:textId="77777777" w:rsidR="00AB7F16" w:rsidRPr="00226746" w:rsidRDefault="00AB7F16" w:rsidP="00AB7F16">
      <w:pPr>
        <w:pStyle w:val="Textonotapie"/>
        <w:ind w:firstLine="709"/>
        <w:contextualSpacing/>
        <w:jc w:val="both"/>
        <w:rPr>
          <w:rFonts w:ascii="Century Gothic" w:eastAsia="Times New Roman" w:hAnsi="Century Gothic" w:cs="Arial"/>
          <w:color w:val="000000"/>
          <w:sz w:val="18"/>
          <w:szCs w:val="18"/>
          <w:lang w:val="es-ES" w:eastAsia="es-ES"/>
        </w:rPr>
      </w:pPr>
      <w:r w:rsidRPr="00226746">
        <w:rPr>
          <w:rFonts w:ascii="Century Gothic" w:hAnsi="Century Gothic" w:cs="Arial"/>
          <w:color w:val="000000"/>
          <w:sz w:val="18"/>
          <w:szCs w:val="18"/>
        </w:rPr>
        <w:t>[…].</w:t>
      </w:r>
    </w:p>
    <w:p w14:paraId="08266960" w14:textId="77777777" w:rsidR="00AB7F16" w:rsidRPr="00226746" w:rsidRDefault="00AB7F16" w:rsidP="00AB7F16">
      <w:pPr>
        <w:pStyle w:val="Textonotapie"/>
        <w:ind w:firstLine="709"/>
        <w:contextualSpacing/>
        <w:jc w:val="both"/>
        <w:rPr>
          <w:rFonts w:ascii="Century Gothic" w:eastAsia="Times New Roman" w:hAnsi="Century Gothic" w:cs="Arial"/>
          <w:color w:val="000000"/>
          <w:sz w:val="18"/>
          <w:szCs w:val="18"/>
          <w:lang w:val="es-ES" w:eastAsia="es-ES"/>
        </w:rPr>
      </w:pPr>
      <w:r w:rsidRPr="00226746">
        <w:rPr>
          <w:rFonts w:ascii="Century Gothic" w:eastAsia="Times New Roman" w:hAnsi="Century Gothic" w:cs="Arial"/>
          <w:color w:val="000000"/>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4A53FC6" w14:textId="77777777" w:rsidR="00AB7F16" w:rsidRPr="00226746" w:rsidRDefault="00AB7F16" w:rsidP="00AB7F16">
      <w:pPr>
        <w:pStyle w:val="Textonotapie"/>
        <w:ind w:firstLine="709"/>
        <w:contextualSpacing/>
        <w:jc w:val="both"/>
        <w:rPr>
          <w:rFonts w:ascii="Century Gothic" w:eastAsia="Times New Roman" w:hAnsi="Century Gothic" w:cs="Arial"/>
          <w:color w:val="000000"/>
          <w:sz w:val="18"/>
          <w:szCs w:val="18"/>
          <w:lang w:val="es-ES" w:eastAsia="es-ES"/>
        </w:rPr>
      </w:pPr>
    </w:p>
  </w:footnote>
  <w:footnote w:id="25">
    <w:p w14:paraId="128C55BD"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Ley 1437 de 2011: “Artículo 24. Informaciones y documentos reservados. Solo tendrán carácter reservado las informaciones y documentos expresamente sometidos a reserva por la Constitución Política o la ley, y en especial:  </w:t>
      </w:r>
    </w:p>
    <w:p w14:paraId="2CC20017"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1. Los relacionados con la defensa o seguridad nacionales.  </w:t>
      </w:r>
    </w:p>
    <w:p w14:paraId="298A3053"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2. Las instrucciones en materia diplomática o sobre negociaciones reservadas.  </w:t>
      </w:r>
    </w:p>
    <w:p w14:paraId="356C9BF2"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22A76ACF"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0BB93D27"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5. Los datos referentes a la información financiera y comercial, en los términos de la Ley Estatutaria 1266 de 2008.  </w:t>
      </w:r>
    </w:p>
    <w:p w14:paraId="5C6BAC40"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6. Los protegidos por el secreto comercial o industrial, así como los planes estratégicos de las empresas públicas de servicios públicos.  </w:t>
      </w:r>
    </w:p>
    <w:p w14:paraId="29BBFE19"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7. Los amparados por el secreto profesional.  </w:t>
      </w:r>
    </w:p>
    <w:p w14:paraId="2C0FDFAC"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8. Los datos genéticos humanos.  </w:t>
      </w:r>
    </w:p>
    <w:p w14:paraId="7804941C" w14:textId="77777777" w:rsidR="00AB7F16" w:rsidRPr="00226746" w:rsidRDefault="00AB7F16" w:rsidP="00AB7F16">
      <w:pPr>
        <w:pStyle w:val="Textonotapie"/>
        <w:ind w:firstLine="709"/>
        <w:contextualSpacing/>
        <w:jc w:val="both"/>
        <w:rPr>
          <w:rFonts w:ascii="Century Gothic" w:hAnsi="Century Gothic" w:cs="Arial"/>
          <w:sz w:val="18"/>
          <w:szCs w:val="18"/>
        </w:rPr>
      </w:pPr>
      <w:r w:rsidRPr="00226746">
        <w:rPr>
          <w:rFonts w:ascii="Century Gothic" w:hAnsi="Century Gothic" w:cs="Arial"/>
          <w:sz w:val="18"/>
          <w:szCs w:val="18"/>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26">
    <w:p w14:paraId="62B2F313" w14:textId="77777777" w:rsidR="00AB7F16" w:rsidRPr="00226746" w:rsidRDefault="00AB7F16" w:rsidP="00AB7F16">
      <w:pPr>
        <w:pStyle w:val="Textonotapie"/>
        <w:ind w:firstLine="708"/>
        <w:contextualSpacing/>
        <w:jc w:val="both"/>
        <w:rPr>
          <w:rFonts w:ascii="Century Gothic" w:hAnsi="Century Gothic" w:cs="Arial"/>
          <w:sz w:val="18"/>
          <w:szCs w:val="18"/>
        </w:rPr>
      </w:pPr>
      <w:r w:rsidRPr="00226746">
        <w:rPr>
          <w:rStyle w:val="Refdenotaalpie"/>
          <w:rFonts w:ascii="Century Gothic" w:hAnsi="Century Gothic" w:cs="Arial"/>
          <w:sz w:val="18"/>
          <w:szCs w:val="18"/>
        </w:rPr>
        <w:footnoteRef/>
      </w:r>
      <w:r w:rsidRPr="00226746">
        <w:rPr>
          <w:rFonts w:ascii="Century Gothic" w:hAnsi="Century Gothic" w:cs="Arial"/>
          <w:sz w:val="18"/>
          <w:szCs w:val="18"/>
        </w:rPr>
        <w:t xml:space="preserve"> </w:t>
      </w:r>
      <w:r w:rsidRPr="00226746">
        <w:rPr>
          <w:rFonts w:ascii="Century Gothic" w:eastAsia="Calibri" w:hAnsi="Century Gothic" w:cs="Arial"/>
          <w:sz w:val="18"/>
          <w:szCs w:val="18"/>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footnote>
  <w:footnote w:id="27">
    <w:p w14:paraId="06241851" w14:textId="77777777" w:rsidR="00AB7F16" w:rsidRPr="00226746" w:rsidRDefault="00AB7F16" w:rsidP="00AB7F16">
      <w:pPr>
        <w:pStyle w:val="Textonotapie"/>
        <w:ind w:firstLine="709"/>
        <w:contextualSpacing/>
        <w:jc w:val="both"/>
        <w:rPr>
          <w:rFonts w:ascii="Century Gothic" w:hAnsi="Century Gothic" w:cs="Arial"/>
          <w:color w:val="000000"/>
          <w:sz w:val="18"/>
          <w:szCs w:val="18"/>
        </w:rPr>
      </w:pPr>
      <w:r w:rsidRPr="00226746">
        <w:rPr>
          <w:rStyle w:val="Refdenotaalpie"/>
          <w:rFonts w:ascii="Century Gothic" w:hAnsi="Century Gothic" w:cs="Arial"/>
          <w:color w:val="000000"/>
          <w:sz w:val="18"/>
          <w:szCs w:val="18"/>
        </w:rPr>
        <w:footnoteRef/>
      </w:r>
      <w:r w:rsidRPr="00226746">
        <w:rPr>
          <w:rFonts w:ascii="Century Gothic" w:hAnsi="Century Gothic" w:cs="Arial"/>
          <w:color w:val="000000"/>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p>
    <w:p w14:paraId="31C58AEE" w14:textId="77777777" w:rsidR="00AB7F16" w:rsidRPr="00226746" w:rsidRDefault="00AB7F16" w:rsidP="00AB7F16">
      <w:pPr>
        <w:pStyle w:val="Textonotapie"/>
        <w:ind w:firstLine="709"/>
        <w:contextualSpacing/>
        <w:jc w:val="both"/>
        <w:rPr>
          <w:rFonts w:ascii="Century Gothic" w:hAnsi="Century Gothic"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361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035FF"/>
    <w:rsid w:val="00125105"/>
    <w:rsid w:val="00127233"/>
    <w:rsid w:val="001645B7"/>
    <w:rsid w:val="001D2C6D"/>
    <w:rsid w:val="001E4177"/>
    <w:rsid w:val="00206F15"/>
    <w:rsid w:val="002626B4"/>
    <w:rsid w:val="002951A0"/>
    <w:rsid w:val="002962BC"/>
    <w:rsid w:val="002A093D"/>
    <w:rsid w:val="002A49AC"/>
    <w:rsid w:val="002A64FD"/>
    <w:rsid w:val="002B039A"/>
    <w:rsid w:val="002C7A84"/>
    <w:rsid w:val="003448F4"/>
    <w:rsid w:val="003A779E"/>
    <w:rsid w:val="003D0F4D"/>
    <w:rsid w:val="003E0499"/>
    <w:rsid w:val="003F3941"/>
    <w:rsid w:val="00400548"/>
    <w:rsid w:val="004237E9"/>
    <w:rsid w:val="004368BC"/>
    <w:rsid w:val="004A1847"/>
    <w:rsid w:val="004A305D"/>
    <w:rsid w:val="004F21C4"/>
    <w:rsid w:val="004F685F"/>
    <w:rsid w:val="00533E8F"/>
    <w:rsid w:val="005566E8"/>
    <w:rsid w:val="00574867"/>
    <w:rsid w:val="005A6AA1"/>
    <w:rsid w:val="005B5D8B"/>
    <w:rsid w:val="005C5CDC"/>
    <w:rsid w:val="005D476C"/>
    <w:rsid w:val="006219F8"/>
    <w:rsid w:val="00665D70"/>
    <w:rsid w:val="00706C16"/>
    <w:rsid w:val="00721E1B"/>
    <w:rsid w:val="00727370"/>
    <w:rsid w:val="00756841"/>
    <w:rsid w:val="00763C80"/>
    <w:rsid w:val="007649AB"/>
    <w:rsid w:val="007833AC"/>
    <w:rsid w:val="007B7171"/>
    <w:rsid w:val="007C3DC2"/>
    <w:rsid w:val="007D4711"/>
    <w:rsid w:val="007E5497"/>
    <w:rsid w:val="00806F5F"/>
    <w:rsid w:val="00820278"/>
    <w:rsid w:val="008843B6"/>
    <w:rsid w:val="00891928"/>
    <w:rsid w:val="008A446D"/>
    <w:rsid w:val="008F0EA7"/>
    <w:rsid w:val="00923EEF"/>
    <w:rsid w:val="009419F9"/>
    <w:rsid w:val="00961B09"/>
    <w:rsid w:val="00965334"/>
    <w:rsid w:val="0097093E"/>
    <w:rsid w:val="009C71FA"/>
    <w:rsid w:val="009C72E7"/>
    <w:rsid w:val="00A17F13"/>
    <w:rsid w:val="00A20739"/>
    <w:rsid w:val="00A26A09"/>
    <w:rsid w:val="00A33C78"/>
    <w:rsid w:val="00AB0ADB"/>
    <w:rsid w:val="00AB7F16"/>
    <w:rsid w:val="00AD5E99"/>
    <w:rsid w:val="00B32394"/>
    <w:rsid w:val="00B72CD3"/>
    <w:rsid w:val="00B72FFF"/>
    <w:rsid w:val="00BD15D4"/>
    <w:rsid w:val="00BD2E7A"/>
    <w:rsid w:val="00BD7F72"/>
    <w:rsid w:val="00C04FB3"/>
    <w:rsid w:val="00C330EB"/>
    <w:rsid w:val="00C754BE"/>
    <w:rsid w:val="00C825F3"/>
    <w:rsid w:val="00C92290"/>
    <w:rsid w:val="00CB6357"/>
    <w:rsid w:val="00CC1B26"/>
    <w:rsid w:val="00D423A2"/>
    <w:rsid w:val="00D63AC2"/>
    <w:rsid w:val="00D7383B"/>
    <w:rsid w:val="00D93B88"/>
    <w:rsid w:val="00DA231B"/>
    <w:rsid w:val="00DA3422"/>
    <w:rsid w:val="00E16408"/>
    <w:rsid w:val="00E20894"/>
    <w:rsid w:val="00E245AB"/>
    <w:rsid w:val="00E50AFE"/>
    <w:rsid w:val="00E771DC"/>
    <w:rsid w:val="00E8772A"/>
    <w:rsid w:val="00E90F6B"/>
    <w:rsid w:val="00E92C27"/>
    <w:rsid w:val="00EA0E3D"/>
    <w:rsid w:val="00EE1AA8"/>
    <w:rsid w:val="00F17039"/>
    <w:rsid w:val="00F204AB"/>
    <w:rsid w:val="00F31EDC"/>
    <w:rsid w:val="00F5664F"/>
    <w:rsid w:val="00F567AE"/>
    <w:rsid w:val="00F613A2"/>
    <w:rsid w:val="00F76AFC"/>
    <w:rsid w:val="00F96789"/>
    <w:rsid w:val="00FB5DD1"/>
    <w:rsid w:val="00FC2B5D"/>
    <w:rsid w:val="00FF1449"/>
    <w:rsid w:val="1810D5F6"/>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AB7F16"/>
    <w:pPr>
      <w:spacing w:line="240" w:lineRule="exact"/>
    </w:pPr>
    <w:rPr>
      <w:vertAlign w:val="superscript"/>
    </w:rPr>
  </w:style>
  <w:style w:type="character" w:customStyle="1" w:styleId="baj">
    <w:name w:val="b_aj"/>
    <w:basedOn w:val="Fuentedeprrafopredeter"/>
    <w:rsid w:val="00AB7F16"/>
  </w:style>
  <w:style w:type="character" w:styleId="nfasis">
    <w:name w:val="Emphasis"/>
    <w:basedOn w:val="Fuentedeprrafopredeter"/>
    <w:uiPriority w:val="20"/>
    <w:qFormat/>
    <w:rsid w:val="00AB7F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Martha Alicia Romero Vargas</DisplayName>
        <AccountId>215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2A01AA1-7988-4A1C-A3EF-0DF8B62B8609}"/>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10832</Words>
  <Characters>59581</Characters>
  <Application>Microsoft Office Word</Application>
  <DocSecurity>0</DocSecurity>
  <Lines>496</Lines>
  <Paragraphs>140</Paragraphs>
  <ScaleCrop>false</ScaleCrop>
  <Company/>
  <LinksUpToDate>false</LinksUpToDate>
  <CharactersWithSpaces>70273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5</cp:revision>
  <cp:lastPrinted>2023-01-10T21:18:00Z</cp:lastPrinted>
  <dcterms:created xsi:type="dcterms:W3CDTF">2024-06-27T23:44:00Z</dcterms:created>
  <dcterms:modified xsi:type="dcterms:W3CDTF">2024-06-27T23:47:00Z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