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44F61" w14:textId="77777777" w:rsidR="00F57D88" w:rsidRPr="00F57D88" w:rsidRDefault="00F57D88" w:rsidP="00F57D88">
      <w:pPr>
        <w:spacing w:after="0" w:line="240" w:lineRule="auto"/>
        <w:jc w:val="both"/>
        <w:rPr>
          <w:rFonts w:ascii="Verdana" w:eastAsia="Calibri" w:hAnsi="Verdana" w:cs="Times New Roman"/>
          <w:b/>
          <w:bCs/>
          <w:color w:val="000000"/>
          <w:lang w:val="es-ES_tradnl" w:eastAsia="es-ES_tradnl"/>
        </w:rPr>
      </w:pPr>
      <w:bookmarkStart w:id="0" w:name="_Hlk143780582"/>
      <w:r w:rsidRPr="00F57D88">
        <w:rPr>
          <w:rFonts w:ascii="Verdana" w:eastAsia="Times New Roman" w:hAnsi="Verdana" w:cs="Times New Roman"/>
          <w:b/>
          <w:bCs/>
          <w:color w:val="000000"/>
          <w:lang w:val="es-ES_tradnl" w:eastAsia="es-ES_tradnl"/>
        </w:rPr>
        <w:t>CONTRATOS CON ESAL</w:t>
      </w:r>
      <w:r w:rsidRPr="00F57D88">
        <w:rPr>
          <w:rFonts w:ascii="Verdana" w:eastAsia="Calibri" w:hAnsi="Verdana" w:cs="Times New Roman"/>
          <w:b/>
          <w:bCs/>
          <w:color w:val="000000"/>
          <w:lang w:val="es-ES_tradnl" w:eastAsia="es-ES_tradnl"/>
        </w:rPr>
        <w:t>–</w:t>
      </w:r>
      <w:r w:rsidRPr="00F57D88">
        <w:rPr>
          <w:rFonts w:ascii="Verdana" w:eastAsia="Times New Roman" w:hAnsi="Verdana" w:cs="Times New Roman"/>
          <w:b/>
          <w:bCs/>
          <w:color w:val="000000"/>
          <w:lang w:val="es-ES_tradnl" w:eastAsia="es-ES_tradnl"/>
        </w:rPr>
        <w:t xml:space="preserve"> Constitución </w:t>
      </w:r>
      <w:r w:rsidRPr="00F57D88">
        <w:rPr>
          <w:rFonts w:ascii="Verdana" w:eastAsia="Calibri" w:hAnsi="Verdana" w:cs="Times New Roman"/>
          <w:b/>
          <w:bCs/>
          <w:color w:val="000000"/>
          <w:lang w:val="es-ES_tradnl" w:eastAsia="es-ES_tradnl"/>
        </w:rPr>
        <w:t>–</w:t>
      </w:r>
      <w:r w:rsidRPr="00F57D88">
        <w:rPr>
          <w:rFonts w:ascii="Verdana" w:eastAsia="Times New Roman" w:hAnsi="Verdana" w:cs="Times New Roman"/>
          <w:b/>
          <w:bCs/>
          <w:color w:val="000000"/>
          <w:lang w:val="es-ES_tradnl" w:eastAsia="es-ES_tradnl"/>
        </w:rPr>
        <w:t xml:space="preserve"> Artículo 355 –</w:t>
      </w:r>
      <w:r w:rsidRPr="00F57D88">
        <w:rPr>
          <w:rFonts w:ascii="Verdana" w:eastAsia="Calibri" w:hAnsi="Verdana" w:cs="Times New Roman"/>
          <w:b/>
          <w:bCs/>
          <w:color w:val="000000"/>
          <w:lang w:val="es-ES_tradnl" w:eastAsia="es-ES_tradnl"/>
        </w:rPr>
        <w:t xml:space="preserve"> Fundamento </w:t>
      </w:r>
    </w:p>
    <w:p w14:paraId="2635DC16" w14:textId="77777777" w:rsidR="00F57D88" w:rsidRPr="00F57D88" w:rsidRDefault="00F57D88" w:rsidP="00F57D88">
      <w:pPr>
        <w:spacing w:after="0" w:line="240" w:lineRule="auto"/>
        <w:jc w:val="both"/>
        <w:rPr>
          <w:rFonts w:ascii="Verdana" w:eastAsia="Calibri" w:hAnsi="Verdana" w:cs="Arial"/>
          <w:color w:val="000000"/>
          <w:sz w:val="20"/>
          <w:szCs w:val="20"/>
          <w:lang w:val="es-ES"/>
        </w:rPr>
      </w:pPr>
    </w:p>
    <w:p w14:paraId="7B48F309" w14:textId="77777777" w:rsidR="00F57D88" w:rsidRPr="00F57D88" w:rsidRDefault="00F57D88" w:rsidP="00F57D88">
      <w:pPr>
        <w:spacing w:after="0" w:line="240" w:lineRule="auto"/>
        <w:jc w:val="both"/>
        <w:rPr>
          <w:rFonts w:ascii="Verdana" w:eastAsia="Aptos" w:hAnsi="Verdana" w:cs="Arial"/>
          <w:sz w:val="20"/>
          <w:szCs w:val="20"/>
        </w:rPr>
      </w:pPr>
      <w:r w:rsidRPr="00F57D88">
        <w:rPr>
          <w:rFonts w:ascii="Verdana" w:eastAsia="Aptos" w:hAnsi="Verdana" w:cs="Arial"/>
          <w:sz w:val="20"/>
          <w:szCs w:val="20"/>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38A08CD7" w14:textId="77777777" w:rsidR="00F57D88" w:rsidRPr="00F57D88" w:rsidRDefault="00F57D88" w:rsidP="00F57D88">
      <w:pPr>
        <w:spacing w:after="0" w:line="240" w:lineRule="auto"/>
        <w:jc w:val="both"/>
        <w:rPr>
          <w:rFonts w:ascii="Verdana" w:eastAsia="Calibri" w:hAnsi="Verdana" w:cs="Arial"/>
          <w:color w:val="000000"/>
          <w:sz w:val="20"/>
          <w:szCs w:val="20"/>
        </w:rPr>
      </w:pPr>
    </w:p>
    <w:p w14:paraId="0247F597" w14:textId="77777777" w:rsidR="00F57D88" w:rsidRPr="00F57D88" w:rsidRDefault="00F57D88" w:rsidP="00F57D88">
      <w:pPr>
        <w:spacing w:after="0" w:line="240" w:lineRule="auto"/>
        <w:jc w:val="both"/>
        <w:rPr>
          <w:rFonts w:ascii="Verdana" w:eastAsia="Calibri" w:hAnsi="Verdana" w:cs="Times New Roman"/>
          <w:b/>
          <w:bCs/>
          <w:color w:val="000000"/>
          <w:lang w:val="es-ES_tradnl" w:eastAsia="es-ES_tradnl"/>
        </w:rPr>
      </w:pPr>
      <w:r w:rsidRPr="00F57D88">
        <w:rPr>
          <w:rFonts w:ascii="Verdana" w:eastAsia="Times New Roman" w:hAnsi="Verdana" w:cs="Times New Roman"/>
          <w:b/>
          <w:bCs/>
          <w:color w:val="000000"/>
          <w:lang w:val="es-ES_tradnl" w:eastAsia="es-ES_tradnl"/>
        </w:rPr>
        <w:t xml:space="preserve">TIPOS DE CONTRATOS </w:t>
      </w:r>
      <w:r w:rsidRPr="00F57D88">
        <w:rPr>
          <w:rFonts w:ascii="Verdana" w:eastAsia="Calibri" w:hAnsi="Verdana" w:cs="Times New Roman"/>
          <w:b/>
          <w:bCs/>
          <w:color w:val="000000"/>
          <w:lang w:val="es-ES_tradnl" w:eastAsia="es-ES_tradnl"/>
        </w:rPr>
        <w:t xml:space="preserve">– ESAL – Constitución Política – </w:t>
      </w:r>
      <w:r w:rsidRPr="00F57D88">
        <w:rPr>
          <w:rFonts w:ascii="Verdana" w:eastAsia="Times New Roman" w:hAnsi="Verdana" w:cs="Times New Roman"/>
          <w:b/>
          <w:bCs/>
          <w:color w:val="000000"/>
          <w:lang w:val="es-ES_tradnl" w:eastAsia="es-ES_tradnl"/>
        </w:rPr>
        <w:t xml:space="preserve">Artículo 355 </w:t>
      </w:r>
      <w:r w:rsidRPr="00F57D88">
        <w:rPr>
          <w:rFonts w:ascii="Verdana" w:eastAsia="Calibri" w:hAnsi="Verdana" w:cs="Times New Roman"/>
          <w:b/>
          <w:bCs/>
          <w:color w:val="000000"/>
          <w:lang w:val="es-ES_tradnl" w:eastAsia="es-ES_tradnl"/>
        </w:rPr>
        <w:t>– Ley 489 – Artículo 96</w:t>
      </w:r>
    </w:p>
    <w:p w14:paraId="1DA56166" w14:textId="77777777" w:rsidR="00F57D88" w:rsidRPr="00F57D88" w:rsidRDefault="00F57D88" w:rsidP="00F57D88">
      <w:pPr>
        <w:spacing w:after="0" w:line="240" w:lineRule="auto"/>
        <w:jc w:val="both"/>
        <w:rPr>
          <w:rFonts w:ascii="Verdana" w:eastAsia="Calibri" w:hAnsi="Verdana" w:cs="Arial"/>
          <w:color w:val="000000"/>
          <w:sz w:val="20"/>
          <w:szCs w:val="20"/>
          <w:lang w:val="es-ES"/>
        </w:rPr>
      </w:pPr>
    </w:p>
    <w:p w14:paraId="6C963ABB" w14:textId="77777777" w:rsidR="00F57D88" w:rsidRPr="00F57D88" w:rsidRDefault="00F57D88" w:rsidP="00F57D88">
      <w:pPr>
        <w:spacing w:after="0" w:line="240" w:lineRule="auto"/>
        <w:jc w:val="both"/>
        <w:rPr>
          <w:rFonts w:ascii="Verdana" w:eastAsia="Calibri" w:hAnsi="Verdana" w:cs="Arial"/>
          <w:sz w:val="20"/>
          <w:szCs w:val="20"/>
        </w:rPr>
      </w:pPr>
      <w:r w:rsidRPr="00F57D88">
        <w:rPr>
          <w:rFonts w:ascii="Verdana" w:eastAsia="Aptos" w:hAnsi="Verdana" w:cs="Arial"/>
          <w:sz w:val="20"/>
          <w:szCs w:val="20"/>
        </w:rPr>
        <w:t>El Gobierno Nacional, en desarrollo del artículo 355 de la Constitución Política, expidió el Decreto 092 de 2017, q</w:t>
      </w:r>
      <w:r w:rsidRPr="00F57D88">
        <w:rPr>
          <w:rFonts w:ascii="Verdana" w:eastAsia="Calibri" w:hAnsi="Verdana" w:cs="Arial"/>
          <w:sz w:val="20"/>
          <w:szCs w:val="20"/>
        </w:rPr>
        <w:t xml:space="preserve">ue dispone las reglas para las contrataciones que realicen las Entidades Estatales con las ESAL. El Decreto regula dos (2) eventos: i) </w:t>
      </w:r>
      <w:r w:rsidRPr="00F57D88">
        <w:rPr>
          <w:rFonts w:ascii="Verdana" w:eastAsia="Calibri" w:hAnsi="Verdana" w:cs="Arial"/>
          <w:sz w:val="20"/>
          <w:szCs w:val="20"/>
          <w:lang w:eastAsia="es-ES_tradnl"/>
        </w:rPr>
        <w:t xml:space="preserve">los </w:t>
      </w:r>
      <w:r w:rsidRPr="00F57D88">
        <w:rPr>
          <w:rFonts w:ascii="Verdana" w:eastAsia="Calibri" w:hAnsi="Verdana" w:cs="Arial"/>
          <w:i/>
          <w:iCs/>
          <w:sz w:val="20"/>
          <w:szCs w:val="20"/>
          <w:lang w:eastAsia="es-ES_tradnl"/>
        </w:rPr>
        <w:t>contratos de colaboración</w:t>
      </w:r>
      <w:r w:rsidRPr="00F57D88">
        <w:rPr>
          <w:rFonts w:ascii="Verdana" w:eastAsia="Calibri" w:hAnsi="Verdana" w:cs="Arial"/>
          <w:sz w:val="20"/>
          <w:szCs w:val="20"/>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F57D88">
        <w:rPr>
          <w:rFonts w:ascii="Verdana" w:eastAsia="Calibri" w:hAnsi="Verdana" w:cs="Arial"/>
          <w:sz w:val="20"/>
          <w:szCs w:val="20"/>
        </w:rPr>
        <w:t xml:space="preserve"> y; ii) los </w:t>
      </w:r>
      <w:r w:rsidRPr="00F57D88">
        <w:rPr>
          <w:rFonts w:ascii="Verdana" w:eastAsia="Calibri" w:hAnsi="Verdana" w:cs="Arial"/>
          <w:i/>
          <w:iCs/>
          <w:sz w:val="20"/>
          <w:szCs w:val="20"/>
        </w:rPr>
        <w:t>convenios de asociación</w:t>
      </w:r>
      <w:r w:rsidRPr="00F57D88">
        <w:rPr>
          <w:rFonts w:ascii="Verdana" w:eastAsia="Calibri" w:hAnsi="Verdana" w:cs="Arial"/>
          <w:sz w:val="20"/>
          <w:szCs w:val="20"/>
        </w:rPr>
        <w:t xml:space="preserve">, para el desarrollo conjunto de actividades relacionadas con las funciones de las Entidades Estatales, en desarrollo del artículo 96 de la Ley 489 de 1998. </w:t>
      </w:r>
      <w:r w:rsidRPr="00F57D88">
        <w:rPr>
          <w:rFonts w:ascii="Verdana" w:eastAsia="Calibri" w:hAnsi="Verdana" w:cs="Arial"/>
          <w:sz w:val="20"/>
          <w:szCs w:val="20"/>
          <w:lang w:eastAsia="es-ES_tradnl"/>
        </w:rPr>
        <w:t xml:space="preserve">Los primeros están regulados en el artículo 2 del Decreto 092 de 2017, mientras que los segundos en los artículos 5, 6, 7 y 8 </w:t>
      </w:r>
      <w:r w:rsidRPr="00F57D88">
        <w:rPr>
          <w:rFonts w:ascii="Verdana" w:eastAsia="Calibri" w:hAnsi="Verdana" w:cs="Arial"/>
          <w:i/>
          <w:iCs/>
          <w:sz w:val="20"/>
          <w:szCs w:val="20"/>
          <w:lang w:eastAsia="es-ES_tradnl"/>
        </w:rPr>
        <w:t>ibidem</w:t>
      </w:r>
      <w:r w:rsidRPr="00F57D88">
        <w:rPr>
          <w:rFonts w:ascii="Verdana" w:eastAsia="Calibri" w:hAnsi="Verdana" w:cs="Arial"/>
          <w:sz w:val="20"/>
          <w:szCs w:val="20"/>
          <w:lang w:eastAsia="es-ES_tradnl"/>
        </w:rPr>
        <w:t xml:space="preserve">. Es posible diferenciar, pues, los </w:t>
      </w:r>
      <w:r w:rsidRPr="00F57D88">
        <w:rPr>
          <w:rFonts w:ascii="Verdana" w:eastAsia="Calibri" w:hAnsi="Verdana" w:cs="Arial"/>
          <w:i/>
          <w:iCs/>
          <w:sz w:val="20"/>
          <w:szCs w:val="20"/>
          <w:lang w:eastAsia="es-ES_tradnl"/>
        </w:rPr>
        <w:t>convenios de asociación</w:t>
      </w:r>
      <w:r w:rsidRPr="00F57D88">
        <w:rPr>
          <w:rFonts w:ascii="Verdana" w:eastAsia="Calibri" w:hAnsi="Verdana" w:cs="Arial"/>
          <w:sz w:val="20"/>
          <w:szCs w:val="20"/>
          <w:lang w:eastAsia="es-ES_tradnl"/>
        </w:rPr>
        <w:t xml:space="preserve">, regulados en el artículo 5, de los </w:t>
      </w:r>
      <w:r w:rsidRPr="00F57D88">
        <w:rPr>
          <w:rFonts w:ascii="Verdana" w:eastAsia="Calibri" w:hAnsi="Verdana" w:cs="Arial"/>
          <w:i/>
          <w:iCs/>
          <w:sz w:val="20"/>
          <w:szCs w:val="20"/>
          <w:lang w:eastAsia="es-ES_tradnl"/>
        </w:rPr>
        <w:t>contratos de colaboración</w:t>
      </w:r>
      <w:r w:rsidRPr="00F57D88">
        <w:rPr>
          <w:rFonts w:ascii="Verdana" w:eastAsia="Calibri" w:hAnsi="Verdana" w:cs="Arial"/>
          <w:sz w:val="20"/>
          <w:szCs w:val="20"/>
          <w:lang w:eastAsia="es-ES_tradnl"/>
        </w:rPr>
        <w:t>, establecidos en el artículo 2 del Decreto 092 de 2017.</w:t>
      </w:r>
    </w:p>
    <w:p w14:paraId="5A57FD03" w14:textId="77777777" w:rsidR="00F57D88" w:rsidRPr="00F57D88" w:rsidRDefault="00F57D88" w:rsidP="00F57D88">
      <w:pPr>
        <w:spacing w:after="0" w:line="240" w:lineRule="auto"/>
        <w:jc w:val="both"/>
        <w:rPr>
          <w:rFonts w:ascii="Verdana" w:eastAsia="Calibri" w:hAnsi="Verdana" w:cs="Arial"/>
          <w:sz w:val="20"/>
          <w:szCs w:val="20"/>
        </w:rPr>
      </w:pPr>
    </w:p>
    <w:p w14:paraId="7C923746" w14:textId="77777777" w:rsidR="00F57D88" w:rsidRPr="00F57D88" w:rsidRDefault="00F57D88" w:rsidP="00F57D88">
      <w:pPr>
        <w:spacing w:after="0" w:line="240" w:lineRule="auto"/>
        <w:jc w:val="both"/>
        <w:rPr>
          <w:rFonts w:ascii="Verdana" w:eastAsia="Calibri" w:hAnsi="Verdana" w:cs="Arial"/>
          <w:sz w:val="20"/>
          <w:szCs w:val="20"/>
        </w:rPr>
      </w:pPr>
      <w:r w:rsidRPr="00F57D88">
        <w:rPr>
          <w:rFonts w:ascii="Verdana" w:eastAsia="Calibri" w:hAnsi="Verdana" w:cs="Arial"/>
          <w:sz w:val="20"/>
          <w:szCs w:val="20"/>
        </w:rPr>
        <w:t xml:space="preserve">De un lado, los </w:t>
      </w:r>
      <w:r w:rsidRPr="00F57D88">
        <w:rPr>
          <w:rFonts w:ascii="Verdana" w:eastAsia="Calibri" w:hAnsi="Verdana" w:cs="Arial"/>
          <w:i/>
          <w:iCs/>
          <w:sz w:val="20"/>
          <w:szCs w:val="20"/>
        </w:rPr>
        <w:t>contratos del artículo 355 de la Constitución Política</w:t>
      </w:r>
      <w:r w:rsidRPr="00F57D88">
        <w:rPr>
          <w:rFonts w:ascii="Verdana" w:eastAsia="Calibri" w:hAnsi="Verdana" w:cs="Arial"/>
          <w:sz w:val="20"/>
          <w:szCs w:val="20"/>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105F7ACF" w14:textId="77777777" w:rsidR="00F57D88" w:rsidRPr="00F57D88" w:rsidRDefault="00F57D88" w:rsidP="00F57D88">
      <w:pPr>
        <w:spacing w:after="0" w:line="240" w:lineRule="auto"/>
        <w:jc w:val="both"/>
        <w:rPr>
          <w:rFonts w:ascii="Verdana" w:eastAsia="Calibri" w:hAnsi="Verdana" w:cs="Arial"/>
          <w:sz w:val="20"/>
          <w:szCs w:val="20"/>
        </w:rPr>
      </w:pPr>
    </w:p>
    <w:p w14:paraId="39F70CC6" w14:textId="77777777" w:rsidR="00F57D88" w:rsidRPr="00F57D88" w:rsidRDefault="00F57D88" w:rsidP="00F57D88">
      <w:pPr>
        <w:spacing w:after="0" w:line="240" w:lineRule="auto"/>
        <w:jc w:val="both"/>
        <w:rPr>
          <w:rFonts w:ascii="Verdana" w:eastAsia="Calibri" w:hAnsi="Verdana" w:cs="Arial"/>
          <w:sz w:val="20"/>
          <w:szCs w:val="20"/>
        </w:rPr>
      </w:pPr>
      <w:r w:rsidRPr="00F57D88">
        <w:rPr>
          <w:rFonts w:ascii="Verdana" w:eastAsia="Calibri" w:hAnsi="Verdana" w:cs="Arial"/>
          <w:sz w:val="20"/>
          <w:szCs w:val="20"/>
        </w:rPr>
        <w:t xml:space="preserve">De otro lado, los </w:t>
      </w:r>
      <w:r w:rsidRPr="00F57D88">
        <w:rPr>
          <w:rFonts w:ascii="Verdana" w:eastAsia="Calibri" w:hAnsi="Verdana" w:cs="Arial"/>
          <w:i/>
          <w:iCs/>
          <w:sz w:val="20"/>
          <w:szCs w:val="20"/>
        </w:rPr>
        <w:t>convenios de asociación</w:t>
      </w:r>
      <w:r w:rsidRPr="00F57D88">
        <w:rPr>
          <w:rFonts w:ascii="Verdana" w:eastAsia="Calibri" w:hAnsi="Verdana" w:cs="Arial"/>
          <w:sz w:val="20"/>
          <w:szCs w:val="20"/>
        </w:rPr>
        <w:t xml:space="preserve"> “[…]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r w:rsidRPr="00F57D88">
        <w:rPr>
          <w:rFonts w:ascii="Verdana" w:eastAsia="Calibri" w:hAnsi="Verdana" w:cs="Arial"/>
          <w:sz w:val="20"/>
          <w:szCs w:val="20"/>
          <w:lang w:eastAsia="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w:t>
      </w:r>
      <w:r w:rsidRPr="00F57D88">
        <w:rPr>
          <w:rFonts w:ascii="Verdana" w:eastAsia="Calibri" w:hAnsi="Verdana" w:cs="Arial"/>
          <w:sz w:val="20"/>
          <w:szCs w:val="20"/>
        </w:rPr>
        <w:t xml:space="preserve">En estos convenios no existe contraprestación o pago, sino aportes, los </w:t>
      </w:r>
      <w:r w:rsidRPr="00F57D88">
        <w:rPr>
          <w:rFonts w:ascii="Verdana" w:eastAsia="Calibri" w:hAnsi="Verdana" w:cs="Arial"/>
          <w:sz w:val="20"/>
          <w:szCs w:val="20"/>
        </w:rPr>
        <w:lastRenderedPageBreak/>
        <w:t xml:space="preserve">cuales están dirigidos, exclusivamente, a lograr la ejecución del convenio no a remunerar la actividad o actuaciones del asociado. </w:t>
      </w:r>
    </w:p>
    <w:p w14:paraId="55B1DCE6" w14:textId="77777777" w:rsidR="00F57D88" w:rsidRPr="00F57D88" w:rsidRDefault="00F57D88" w:rsidP="00F57D88">
      <w:pPr>
        <w:spacing w:after="0" w:line="240" w:lineRule="auto"/>
        <w:jc w:val="both"/>
        <w:rPr>
          <w:rFonts w:ascii="Verdana" w:eastAsia="Calibri" w:hAnsi="Verdana" w:cs="Arial"/>
          <w:color w:val="000000"/>
          <w:sz w:val="20"/>
          <w:szCs w:val="20"/>
        </w:rPr>
      </w:pPr>
    </w:p>
    <w:p w14:paraId="23743CA6" w14:textId="77777777" w:rsidR="00F57D88" w:rsidRPr="00F57D88" w:rsidRDefault="00F57D88" w:rsidP="00F57D88">
      <w:pPr>
        <w:spacing w:after="0" w:line="240" w:lineRule="auto"/>
        <w:jc w:val="both"/>
        <w:rPr>
          <w:rFonts w:ascii="Verdana" w:eastAsia="Times New Roman" w:hAnsi="Verdana" w:cs="Times New Roman"/>
          <w:b/>
          <w:bCs/>
          <w:color w:val="000000"/>
          <w:lang w:val="es-ES_tradnl" w:eastAsia="es-ES_tradnl"/>
        </w:rPr>
      </w:pPr>
      <w:r w:rsidRPr="00F57D88">
        <w:rPr>
          <w:rFonts w:ascii="Verdana" w:eastAsia="Calibri" w:hAnsi="Verdana" w:cs="Times New Roman"/>
          <w:b/>
          <w:bCs/>
          <w:color w:val="000000"/>
          <w:lang w:val="es-ES_tradnl" w:eastAsia="es-ES_tradnl"/>
        </w:rPr>
        <w:t>CONTRATOS CON ESAL – Objeto – Actividades – Planes de Desarrollo</w:t>
      </w:r>
    </w:p>
    <w:p w14:paraId="3D475EA8" w14:textId="77777777" w:rsidR="00F57D88" w:rsidRPr="00F57D88" w:rsidRDefault="00F57D88" w:rsidP="00F57D88">
      <w:pPr>
        <w:spacing w:after="0" w:line="240" w:lineRule="auto"/>
        <w:jc w:val="both"/>
        <w:rPr>
          <w:rFonts w:ascii="Verdana" w:eastAsia="Aptos" w:hAnsi="Verdana" w:cs="Times New Roman"/>
          <w:sz w:val="20"/>
          <w:szCs w:val="20"/>
          <w:lang w:val="es-ES_tradnl"/>
        </w:rPr>
      </w:pPr>
    </w:p>
    <w:p w14:paraId="76072F44" w14:textId="77777777" w:rsidR="00F57D88" w:rsidRPr="00F57D88" w:rsidRDefault="00F57D88" w:rsidP="00F57D88">
      <w:pPr>
        <w:spacing w:after="0" w:line="240" w:lineRule="auto"/>
        <w:jc w:val="both"/>
        <w:rPr>
          <w:rFonts w:ascii="Verdana" w:eastAsia="Calibri" w:hAnsi="Verdana" w:cs="Arial"/>
          <w:sz w:val="20"/>
          <w:szCs w:val="20"/>
          <w:lang w:val="es-ES_tradnl" w:eastAsia="es-ES_tradnl"/>
        </w:rPr>
      </w:pPr>
      <w:r w:rsidRPr="00F57D88">
        <w:rPr>
          <w:rFonts w:ascii="Verdana" w:eastAsia="Calibri" w:hAnsi="Verdana" w:cs="Arial"/>
          <w:sz w:val="20"/>
          <w:szCs w:val="20"/>
          <w:lang w:val="es-ES_tradnl" w:eastAsia="es-ES_tradnl"/>
        </w:rPr>
        <w:t xml:space="preserve">[…] </w:t>
      </w:r>
      <w:r w:rsidRPr="00F57D88">
        <w:rPr>
          <w:rFonts w:ascii="Verdana" w:eastAsia="Calibri" w:hAnsi="Verdana" w:cs="Arial"/>
          <w:sz w:val="20"/>
          <w:szCs w:val="20"/>
        </w:rPr>
        <w:t>una característica esencial de los convenios a los que se refiere el inciso segundo del artículo 355 Constitucional – contratos de colaboración – es que su objeto esté determinado por la realización de programas y actividades de interés público acordes con el Plan Nacional de Desarrollo y los planes seccionales de desarrollo, los cuales se encuentran regulados en los artículos 339 a 344 de la Constitución Política. Sobre este aspecto, la Corte Constitucional ha indicado que el objeto de estos convenios es el "desarrollo de actividades esencialmente benéficas, no como instrumento económico, sino con un propósito meramente asistencial y altruista, en el que, a diferencia del pasado, no se privilegia la arbitrariedad y unilateralidad del gasto público, sino que se exige un grado aceptable de reciprocidad por parte del beneficiario de la ayuda"</w:t>
      </w:r>
    </w:p>
    <w:p w14:paraId="0CAD348C" w14:textId="77777777" w:rsidR="00F57D88" w:rsidRPr="00F57D88" w:rsidRDefault="00F57D88" w:rsidP="00F57D88">
      <w:pPr>
        <w:spacing w:after="0" w:line="240" w:lineRule="auto"/>
        <w:jc w:val="both"/>
        <w:rPr>
          <w:rFonts w:ascii="Verdana" w:eastAsia="Aptos" w:hAnsi="Verdana" w:cs="Times New Roman"/>
          <w:sz w:val="20"/>
          <w:szCs w:val="20"/>
        </w:rPr>
      </w:pPr>
    </w:p>
    <w:p w14:paraId="6BC5A79D" w14:textId="77777777" w:rsidR="00F57D88" w:rsidRPr="00F57D88" w:rsidRDefault="00F57D88" w:rsidP="00F57D88">
      <w:pPr>
        <w:spacing w:after="0" w:line="240" w:lineRule="auto"/>
        <w:jc w:val="both"/>
        <w:rPr>
          <w:rFonts w:ascii="Verdana" w:eastAsia="Calibri" w:hAnsi="Verdana" w:cs="Times New Roman"/>
          <w:b/>
          <w:bCs/>
          <w:lang w:val="es-ES_tradnl" w:eastAsia="es-ES_tradnl"/>
        </w:rPr>
      </w:pPr>
      <w:r w:rsidRPr="00F57D88">
        <w:rPr>
          <w:rFonts w:ascii="Verdana" w:eastAsia="Calibri" w:hAnsi="Verdana" w:cs="Times New Roman"/>
          <w:b/>
          <w:bCs/>
          <w:lang w:val="es-ES_tradnl" w:eastAsia="es-ES_tradnl"/>
        </w:rPr>
        <w:t xml:space="preserve">CONTRATOS CON ESAL – Objeto – Actividades – Funciones y cometidos </w:t>
      </w:r>
    </w:p>
    <w:p w14:paraId="18BC1A30" w14:textId="77777777" w:rsidR="00F57D88" w:rsidRPr="00F57D88" w:rsidRDefault="00F57D88" w:rsidP="00F57D88">
      <w:pPr>
        <w:spacing w:after="0" w:line="240" w:lineRule="auto"/>
        <w:jc w:val="both"/>
        <w:rPr>
          <w:rFonts w:ascii="Verdana" w:eastAsia="Calibri" w:hAnsi="Verdana" w:cs="Times New Roman"/>
          <w:b/>
          <w:bCs/>
          <w:sz w:val="20"/>
          <w:szCs w:val="20"/>
          <w:lang w:val="es-ES_tradnl" w:eastAsia="es-ES_tradnl"/>
        </w:rPr>
      </w:pPr>
    </w:p>
    <w:p w14:paraId="03456980" w14:textId="77777777" w:rsidR="00F57D88" w:rsidRPr="00F57D88" w:rsidRDefault="00F57D88" w:rsidP="00F57D88">
      <w:pPr>
        <w:spacing w:after="0" w:line="240" w:lineRule="auto"/>
        <w:jc w:val="both"/>
        <w:rPr>
          <w:rFonts w:ascii="Verdana" w:eastAsia="Calibri" w:hAnsi="Verdana" w:cs="Arial"/>
          <w:sz w:val="20"/>
          <w:szCs w:val="20"/>
        </w:rPr>
      </w:pPr>
      <w:r w:rsidRPr="00F57D88">
        <w:rPr>
          <w:rFonts w:ascii="Verdana" w:eastAsia="Calibri" w:hAnsi="Verdana" w:cs="Arial"/>
          <w:sz w:val="20"/>
          <w:szCs w:val="20"/>
        </w:rPr>
        <w:t xml:space="preserve">[…] el objeto del convenio de asociación es el desarrollo de cometidos y/o funciones públicas propias de las Entidades Estatales. De lo anterior se concluye que, el interés perseguido con la contratación debe ser de carácter general o colectivo, materializado en los cometidos y funciones que le han sido asignados en el ordenamiento jurídico a la Entidad Estatal contratante. 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planes de desarrollo, para garantizar el cumplimiento de los mismos a través del convenio a celebrarse. </w:t>
      </w:r>
    </w:p>
    <w:p w14:paraId="18ED009C" w14:textId="77777777" w:rsidR="00F57D88" w:rsidRPr="00F57D88" w:rsidRDefault="00F57D88" w:rsidP="00F57D88">
      <w:pPr>
        <w:spacing w:after="0" w:line="240" w:lineRule="auto"/>
        <w:jc w:val="both"/>
        <w:rPr>
          <w:rFonts w:ascii="Verdana" w:eastAsia="Aptos" w:hAnsi="Verdana" w:cs="Times New Roman"/>
          <w:sz w:val="20"/>
          <w:szCs w:val="20"/>
          <w:lang w:val="es-ES_tradnl"/>
        </w:rPr>
      </w:pPr>
    </w:p>
    <w:p w14:paraId="573D217C" w14:textId="77777777" w:rsidR="00F57D88" w:rsidRPr="00F57D88" w:rsidRDefault="00F57D88" w:rsidP="00F57D88">
      <w:pPr>
        <w:spacing w:after="0" w:line="240" w:lineRule="auto"/>
        <w:jc w:val="both"/>
        <w:rPr>
          <w:rFonts w:ascii="Verdana" w:eastAsia="Calibri" w:hAnsi="Verdana" w:cs="Times New Roman"/>
          <w:b/>
          <w:bCs/>
          <w:lang w:val="es-ES_tradnl" w:eastAsia="es-ES_tradnl"/>
        </w:rPr>
      </w:pPr>
      <w:r w:rsidRPr="00F57D88">
        <w:rPr>
          <w:rFonts w:ascii="Verdana" w:eastAsia="Calibri" w:hAnsi="Verdana" w:cs="Times New Roman"/>
          <w:b/>
          <w:bCs/>
          <w:lang w:val="es-ES_tradnl" w:eastAsia="es-ES_tradnl"/>
        </w:rPr>
        <w:t>CONTRATOS CON ESAL – Selección objetiva</w:t>
      </w:r>
    </w:p>
    <w:p w14:paraId="5F3A8775" w14:textId="77777777" w:rsidR="00F57D88" w:rsidRPr="00F57D88" w:rsidRDefault="00F57D88" w:rsidP="00F57D88">
      <w:pPr>
        <w:spacing w:after="0" w:line="240" w:lineRule="auto"/>
        <w:jc w:val="both"/>
        <w:rPr>
          <w:rFonts w:ascii="Verdana" w:eastAsia="Calibri" w:hAnsi="Verdana" w:cs="Times New Roman"/>
          <w:sz w:val="20"/>
          <w:szCs w:val="20"/>
          <w:lang w:val="es-ES_tradnl" w:eastAsia="es-ES_tradnl"/>
        </w:rPr>
      </w:pPr>
    </w:p>
    <w:p w14:paraId="636B858B" w14:textId="77777777" w:rsidR="00F57D88" w:rsidRPr="00F57D88" w:rsidRDefault="00F57D88" w:rsidP="00F57D88">
      <w:pPr>
        <w:spacing w:after="0" w:line="240" w:lineRule="auto"/>
        <w:jc w:val="both"/>
        <w:rPr>
          <w:rFonts w:ascii="Verdana" w:eastAsia="Aptos" w:hAnsi="Verdana" w:cs="Times New Roman"/>
          <w:b/>
          <w:bCs/>
          <w:sz w:val="20"/>
          <w:szCs w:val="20"/>
          <w:lang w:val="es-ES_tradnl"/>
        </w:rPr>
      </w:pPr>
      <w:r w:rsidRPr="00F57D88">
        <w:rPr>
          <w:rFonts w:ascii="Verdana" w:eastAsia="Calibri" w:hAnsi="Verdana" w:cs="Times New Roman"/>
          <w:sz w:val="20"/>
          <w:szCs w:val="20"/>
          <w:lang w:val="es-ES_tradnl" w:eastAsia="es-ES_tradnl"/>
        </w:rPr>
        <w:t>[…]</w:t>
      </w:r>
      <w:r w:rsidRPr="00F57D88">
        <w:rPr>
          <w:rFonts w:ascii="Verdana" w:eastAsia="Calibri" w:hAnsi="Verdana" w:cs="Times New Roman"/>
          <w:b/>
          <w:bCs/>
          <w:sz w:val="20"/>
          <w:szCs w:val="20"/>
          <w:lang w:val="es-ES_tradnl" w:eastAsia="es-ES_tradnl"/>
        </w:rPr>
        <w:t xml:space="preserve"> </w:t>
      </w:r>
      <w:r w:rsidRPr="00F57D88">
        <w:rPr>
          <w:rFonts w:ascii="Verdana" w:eastAsia="Calibri" w:hAnsi="Verdana" w:cs="Arial"/>
          <w:sz w:val="20"/>
          <w:szCs w:val="20"/>
        </w:rPr>
        <w:t>las Entidades Estatales son autónomas en la configuración del proceso competitivo en desarrollo de los artículos 4 y 5 del Decreto 092 de 2017. En todo caso, el proceso competitivo que definan las Entidades Estatales para sus contratos de colaboración y sus convenios de asociación debe garantizar la libre concurrencia, la pluralidad de interesados y la comparación objetiva de las ofertas. Este procedimiento puede ser análogo a otros donde existe competencia, como la licitación pública.</w:t>
      </w:r>
    </w:p>
    <w:p w14:paraId="6698A744" w14:textId="77777777" w:rsidR="00F57D88" w:rsidRDefault="00F57D88">
      <w:pPr>
        <w:rPr>
          <w:rFonts w:ascii="Verdana" w:hAnsi="Verdana"/>
        </w:rPr>
      </w:pPr>
      <w:r>
        <w:rPr>
          <w:rFonts w:ascii="Verdana" w:hAnsi="Verdana"/>
        </w:rPr>
        <w:br w:type="page"/>
      </w:r>
    </w:p>
    <w:p w14:paraId="3FE2184B" w14:textId="187C31F9" w:rsidR="00E245AB" w:rsidRPr="0044528D" w:rsidRDefault="00E245AB" w:rsidP="004C7D96">
      <w:pPr>
        <w:spacing w:after="0" w:line="276" w:lineRule="auto"/>
        <w:rPr>
          <w:rFonts w:ascii="Verdana" w:hAnsi="Verdana"/>
        </w:rPr>
      </w:pPr>
      <w:r w:rsidRPr="0044528D">
        <w:rPr>
          <w:rFonts w:ascii="Verdana" w:hAnsi="Verdana"/>
        </w:rPr>
        <w:lastRenderedPageBreak/>
        <w:t xml:space="preserve">Bogotá D.C., </w:t>
      </w:r>
      <w:r w:rsidR="00086671">
        <w:rPr>
          <w:rFonts w:ascii="Verdana" w:hAnsi="Verdana"/>
        </w:rPr>
        <w:t>22 de julio de 2024.</w:t>
      </w:r>
    </w:p>
    <w:bookmarkEnd w:id="0"/>
    <w:p w14:paraId="43BF5FD9" w14:textId="7CFE6A96" w:rsidR="00322A85" w:rsidRPr="0044528D" w:rsidRDefault="00322A85" w:rsidP="00692DC2">
      <w:pPr>
        <w:spacing w:after="0" w:line="276" w:lineRule="auto"/>
        <w:jc w:val="right"/>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r w:rsidR="00692DC2" w:rsidRPr="00692DC2">
        <w:rPr>
          <w:rFonts w:ascii="Verdana" w:eastAsia="Times New Roman" w:hAnsi="Verdana" w:cs="Segoe UI"/>
          <w:color w:val="404040"/>
          <w:lang w:eastAsia="es-CO"/>
        </w:rPr>
        <w:drawing>
          <wp:inline distT="0" distB="0" distL="0" distR="0" wp14:anchorId="474BE611" wp14:editId="67972D80">
            <wp:extent cx="3129915" cy="910316"/>
            <wp:effectExtent l="0" t="0" r="0" b="4445"/>
            <wp:docPr id="4062133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13319" name=""/>
                    <pic:cNvPicPr/>
                  </pic:nvPicPr>
                  <pic:blipFill>
                    <a:blip r:embed="rId11"/>
                    <a:stretch>
                      <a:fillRect/>
                    </a:stretch>
                  </pic:blipFill>
                  <pic:spPr>
                    <a:xfrm>
                      <a:off x="0" y="0"/>
                      <a:ext cx="3153387" cy="917143"/>
                    </a:xfrm>
                    <a:prstGeom prst="rect">
                      <a:avLst/>
                    </a:prstGeom>
                  </pic:spPr>
                </pic:pic>
              </a:graphicData>
            </a:graphic>
          </wp:inline>
        </w:drawing>
      </w:r>
    </w:p>
    <w:p w14:paraId="6A63D3AF" w14:textId="66A72D5E" w:rsidR="00EC529F" w:rsidRPr="00EE5B8D" w:rsidRDefault="00EC529F" w:rsidP="004C7D96">
      <w:pPr>
        <w:spacing w:after="0" w:line="276" w:lineRule="auto"/>
        <w:textAlignment w:val="baseline"/>
        <w:rPr>
          <w:rFonts w:ascii="Verdana" w:eastAsia="Calibri" w:hAnsi="Verdana" w:cs="Arial"/>
          <w:lang w:val="es-ES" w:eastAsia="es-ES"/>
        </w:rPr>
      </w:pPr>
      <w:r w:rsidRPr="00EE5B8D">
        <w:rPr>
          <w:rFonts w:ascii="Verdana" w:eastAsia="Calibri" w:hAnsi="Verdana" w:cs="Arial"/>
          <w:lang w:val="es-ES" w:eastAsia="es-ES"/>
        </w:rPr>
        <w:t>Señora</w:t>
      </w:r>
    </w:p>
    <w:p w14:paraId="12BCCC19" w14:textId="77777777" w:rsidR="00EC529F" w:rsidRPr="00EE5B8D" w:rsidRDefault="00EC529F" w:rsidP="004C7D96">
      <w:pPr>
        <w:spacing w:after="0" w:line="276" w:lineRule="auto"/>
        <w:rPr>
          <w:rFonts w:ascii="Verdana" w:eastAsia="Calibri" w:hAnsi="Verdana" w:cs="Arial"/>
          <w:b/>
          <w:lang w:val="es-ES_tradnl" w:eastAsia="es-ES_tradnl"/>
        </w:rPr>
      </w:pPr>
      <w:r w:rsidRPr="00EE5B8D">
        <w:rPr>
          <w:rFonts w:ascii="Verdana" w:eastAsia="Calibri" w:hAnsi="Verdana" w:cs="Arial"/>
          <w:b/>
          <w:lang w:val="es-ES_tradnl" w:eastAsia="es-ES_tradnl"/>
        </w:rPr>
        <w:t>Jessica Andrea Cruz Bohórquez</w:t>
      </w:r>
    </w:p>
    <w:p w14:paraId="6FEEA7A8" w14:textId="77777777" w:rsidR="00EC529F" w:rsidRPr="00EE5B8D" w:rsidRDefault="00EC529F" w:rsidP="004C7D96">
      <w:pPr>
        <w:spacing w:after="0" w:line="276" w:lineRule="auto"/>
        <w:rPr>
          <w:rFonts w:ascii="Verdana" w:eastAsia="Calibri" w:hAnsi="Verdana" w:cs="Arial"/>
          <w:b/>
          <w:bCs/>
          <w:lang w:val="es-ES" w:eastAsia="es-ES"/>
        </w:rPr>
      </w:pPr>
      <w:r w:rsidRPr="00EE5B8D">
        <w:rPr>
          <w:rFonts w:ascii="Verdana" w:eastAsia="Calibri" w:hAnsi="Verdana" w:cs="Arial"/>
          <w:lang w:val="es-ES" w:eastAsia="es-ES"/>
        </w:rPr>
        <w:t>Cali, Valle del Cauca</w:t>
      </w:r>
    </w:p>
    <w:p w14:paraId="31A2CA4C" w14:textId="77777777" w:rsidR="00EC529F" w:rsidRPr="00EE5B8D" w:rsidRDefault="00EC529F" w:rsidP="004C7D96">
      <w:pPr>
        <w:spacing w:after="0" w:line="276" w:lineRule="auto"/>
        <w:rPr>
          <w:rFonts w:ascii="Verdana" w:eastAsia="Calibri" w:hAnsi="Verdana" w:cs="Arial"/>
          <w:b/>
          <w:bCs/>
          <w:lang w:val="es-ES_tradnl" w:eastAsia="es-ES_tradnl"/>
        </w:rPr>
      </w:pPr>
    </w:p>
    <w:p w14:paraId="4D379F99" w14:textId="77777777" w:rsidR="00EC529F" w:rsidRPr="00EE5B8D" w:rsidRDefault="00EC529F" w:rsidP="004C7D96">
      <w:pPr>
        <w:spacing w:after="0" w:line="276"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C529F" w:rsidRPr="00EE5B8D" w14:paraId="2336D141" w14:textId="77777777" w:rsidTr="004854EE">
        <w:trPr>
          <w:trHeight w:val="884"/>
        </w:trPr>
        <w:tc>
          <w:tcPr>
            <w:tcW w:w="2689" w:type="dxa"/>
          </w:tcPr>
          <w:p w14:paraId="69F29030" w14:textId="77777777" w:rsidR="00EC529F" w:rsidRPr="00EE5B8D" w:rsidRDefault="00EC529F" w:rsidP="004C7D96">
            <w:pPr>
              <w:spacing w:line="276" w:lineRule="auto"/>
              <w:jc w:val="both"/>
              <w:rPr>
                <w:rFonts w:ascii="Verdana" w:eastAsia="Calibri" w:hAnsi="Verdana" w:cs="Arial"/>
                <w:b/>
                <w:bCs/>
                <w:lang w:val="es-ES_tradnl" w:eastAsia="es-ES_tradnl"/>
              </w:rPr>
            </w:pPr>
          </w:p>
        </w:tc>
        <w:tc>
          <w:tcPr>
            <w:tcW w:w="6100" w:type="dxa"/>
          </w:tcPr>
          <w:p w14:paraId="199278F3" w14:textId="1D6C3A7E" w:rsidR="00EC529F" w:rsidRPr="00EE5B8D" w:rsidRDefault="00EC529F" w:rsidP="004C7D96">
            <w:pPr>
              <w:spacing w:line="276" w:lineRule="auto"/>
              <w:jc w:val="both"/>
              <w:rPr>
                <w:rFonts w:ascii="Verdana" w:eastAsia="Calibri" w:hAnsi="Verdana" w:cs="Arial"/>
                <w:b/>
                <w:bCs/>
                <w:lang w:val="es-ES" w:eastAsia="es-ES"/>
              </w:rPr>
            </w:pPr>
            <w:r w:rsidRPr="00EE5B8D">
              <w:rPr>
                <w:rFonts w:ascii="Verdana" w:eastAsia="Calibri" w:hAnsi="Verdana" w:cs="Arial"/>
                <w:b/>
                <w:bCs/>
                <w:lang w:val="es-ES" w:eastAsia="es-ES"/>
              </w:rPr>
              <w:t>Concepto C-073 de 2024</w:t>
            </w:r>
          </w:p>
        </w:tc>
      </w:tr>
      <w:tr w:rsidR="00EC529F" w:rsidRPr="00EE5B8D" w14:paraId="145418B0" w14:textId="77777777" w:rsidTr="004854EE">
        <w:trPr>
          <w:trHeight w:val="884"/>
        </w:trPr>
        <w:tc>
          <w:tcPr>
            <w:tcW w:w="2689" w:type="dxa"/>
          </w:tcPr>
          <w:p w14:paraId="09066F54" w14:textId="77777777" w:rsidR="00EC529F" w:rsidRPr="00EE5B8D" w:rsidRDefault="00EC529F" w:rsidP="004C7D96">
            <w:pPr>
              <w:spacing w:line="276" w:lineRule="auto"/>
              <w:jc w:val="both"/>
              <w:rPr>
                <w:rFonts w:ascii="Verdana" w:eastAsia="Calibri" w:hAnsi="Verdana" w:cs="Arial"/>
                <w:lang w:val="es-ES_tradnl" w:eastAsia="es-ES_tradnl"/>
              </w:rPr>
            </w:pPr>
            <w:r w:rsidRPr="00EE5B8D">
              <w:rPr>
                <w:rFonts w:ascii="Verdana" w:eastAsia="Calibri" w:hAnsi="Verdana" w:cs="Arial"/>
                <w:b/>
                <w:lang w:val="es-ES_tradnl" w:eastAsia="es-ES_tradnl"/>
              </w:rPr>
              <w:t>Temas:</w:t>
            </w:r>
            <w:r w:rsidRPr="00EE5B8D">
              <w:rPr>
                <w:rFonts w:ascii="Verdana" w:eastAsia="Calibri" w:hAnsi="Verdana" w:cs="Arial"/>
                <w:lang w:val="es-ES_tradnl" w:eastAsia="es-ES_tradnl"/>
              </w:rPr>
              <w:t xml:space="preserve">                   </w:t>
            </w:r>
          </w:p>
        </w:tc>
        <w:tc>
          <w:tcPr>
            <w:tcW w:w="6100" w:type="dxa"/>
          </w:tcPr>
          <w:p w14:paraId="56E98C48" w14:textId="00B41E58" w:rsidR="00EC529F" w:rsidRPr="00EE5B8D" w:rsidRDefault="00EC529F" w:rsidP="004C7D96">
            <w:pPr>
              <w:spacing w:line="276" w:lineRule="auto"/>
              <w:jc w:val="both"/>
              <w:rPr>
                <w:rFonts w:ascii="Verdana" w:eastAsia="Times New Roman" w:hAnsi="Verdana"/>
                <w:shd w:val="clear" w:color="auto" w:fill="FFFFFF"/>
                <w:lang w:eastAsia="es-ES_tradnl"/>
              </w:rPr>
            </w:pPr>
            <w:r w:rsidRPr="00EE5B8D">
              <w:rPr>
                <w:rFonts w:ascii="Verdana" w:eastAsia="Times New Roman" w:hAnsi="Verdana"/>
                <w:lang w:val="es-ES_tradnl" w:eastAsia="es-ES_tradnl"/>
              </w:rPr>
              <w:t xml:space="preserve">CONTRATOS CON ESAL </w:t>
            </w:r>
            <w:r w:rsidRPr="00EE5B8D">
              <w:rPr>
                <w:rFonts w:ascii="Verdana" w:eastAsia="Calibri" w:hAnsi="Verdana"/>
                <w:lang w:val="es-ES_tradnl" w:eastAsia="es-ES_tradnl"/>
              </w:rPr>
              <w:t>–</w:t>
            </w:r>
            <w:r w:rsidRPr="00EE5B8D">
              <w:rPr>
                <w:rFonts w:ascii="Verdana" w:eastAsia="Times New Roman" w:hAnsi="Verdana"/>
                <w:lang w:val="es-ES_tradnl" w:eastAsia="es-ES_tradnl"/>
              </w:rPr>
              <w:t xml:space="preserve"> Constitución </w:t>
            </w:r>
            <w:r w:rsidRPr="00EE5B8D">
              <w:rPr>
                <w:rFonts w:ascii="Verdana" w:eastAsia="Calibri" w:hAnsi="Verdana"/>
                <w:lang w:val="es-ES_tradnl" w:eastAsia="es-ES_tradnl"/>
              </w:rPr>
              <w:t xml:space="preserve">– </w:t>
            </w:r>
            <w:r w:rsidRPr="00EE5B8D">
              <w:rPr>
                <w:rFonts w:ascii="Verdana" w:eastAsia="Times New Roman" w:hAnsi="Verdana"/>
                <w:lang w:val="es-ES_tradnl" w:eastAsia="es-ES_tradnl"/>
              </w:rPr>
              <w:t xml:space="preserve">Artículo 355 </w:t>
            </w:r>
            <w:r w:rsidRPr="00EE5B8D">
              <w:rPr>
                <w:rFonts w:ascii="Verdana" w:eastAsia="Calibri" w:hAnsi="Verdana"/>
                <w:lang w:val="es-ES_tradnl" w:eastAsia="es-ES_tradnl"/>
              </w:rPr>
              <w:t xml:space="preserve">– Fundamento / </w:t>
            </w:r>
            <w:r w:rsidRPr="00EE5B8D">
              <w:rPr>
                <w:rFonts w:ascii="Verdana" w:eastAsia="Times New Roman" w:hAnsi="Verdana"/>
                <w:lang w:val="es-ES_tradnl" w:eastAsia="es-ES_tradnl"/>
              </w:rPr>
              <w:t xml:space="preserve">TIPOS DE CONTRATOS </w:t>
            </w:r>
            <w:r w:rsidRPr="00EE5B8D">
              <w:rPr>
                <w:rFonts w:ascii="Verdana" w:eastAsia="Calibri" w:hAnsi="Verdana"/>
                <w:lang w:val="es-ES_tradnl" w:eastAsia="es-ES_tradnl"/>
              </w:rPr>
              <w:t xml:space="preserve">– ESAL – Constitución Política – </w:t>
            </w:r>
            <w:r w:rsidRPr="00EE5B8D">
              <w:rPr>
                <w:rFonts w:ascii="Verdana" w:eastAsia="Times New Roman" w:hAnsi="Verdana"/>
                <w:lang w:val="es-ES_tradnl" w:eastAsia="es-ES_tradnl"/>
              </w:rPr>
              <w:t xml:space="preserve">Artículo 355 </w:t>
            </w:r>
            <w:r w:rsidRPr="00EE5B8D">
              <w:rPr>
                <w:rFonts w:ascii="Verdana" w:eastAsia="Calibri" w:hAnsi="Verdana"/>
                <w:lang w:val="es-ES_tradnl" w:eastAsia="es-ES_tradnl"/>
              </w:rPr>
              <w:t>– Ley 489 – Artículo 96 / CONTRATOS CON ESAL – Objeto – Actividades – Planes de Desarrollo /</w:t>
            </w:r>
            <w:r w:rsidR="006A7E2B">
              <w:rPr>
                <w:rFonts w:ascii="Verdana" w:eastAsia="Calibri" w:hAnsi="Verdana"/>
                <w:lang w:val="es-ES_tradnl" w:eastAsia="es-ES_tradnl"/>
              </w:rPr>
              <w:t xml:space="preserve"> </w:t>
            </w:r>
            <w:r w:rsidR="006A7E2B" w:rsidRPr="00EE5B8D">
              <w:rPr>
                <w:rFonts w:ascii="Verdana" w:eastAsia="Calibri" w:hAnsi="Verdana"/>
                <w:lang w:val="es-ES_tradnl" w:eastAsia="es-ES_tradnl"/>
              </w:rPr>
              <w:t xml:space="preserve">CONTRATOS CON ESAL – Objeto – Actividades – </w:t>
            </w:r>
            <w:r w:rsidR="006A7E2B">
              <w:rPr>
                <w:rFonts w:ascii="Verdana" w:eastAsia="Calibri" w:hAnsi="Verdana"/>
                <w:lang w:val="es-ES_tradnl" w:eastAsia="es-ES_tradnl"/>
              </w:rPr>
              <w:t>Funciones y cometidos /</w:t>
            </w:r>
            <w:r w:rsidRPr="00EE5B8D">
              <w:rPr>
                <w:rFonts w:ascii="Verdana" w:eastAsia="Calibri" w:hAnsi="Verdana"/>
                <w:lang w:val="es-ES_tradnl" w:eastAsia="es-ES_tradnl"/>
              </w:rPr>
              <w:t xml:space="preserve"> CONTRATOS CON ESAL – Selección objetiva</w:t>
            </w:r>
          </w:p>
          <w:p w14:paraId="58B78AC9" w14:textId="77777777" w:rsidR="00EC529F" w:rsidRPr="00EE5B8D" w:rsidRDefault="00EC529F" w:rsidP="004C7D96">
            <w:pPr>
              <w:spacing w:line="276" w:lineRule="auto"/>
              <w:jc w:val="both"/>
              <w:rPr>
                <w:rFonts w:ascii="Verdana" w:eastAsia="Calibri" w:hAnsi="Verdana" w:cs="Arial"/>
                <w:lang w:eastAsia="es-ES"/>
              </w:rPr>
            </w:pPr>
          </w:p>
        </w:tc>
      </w:tr>
      <w:tr w:rsidR="00EC529F" w:rsidRPr="00EE5B8D" w14:paraId="047C8C05" w14:textId="77777777" w:rsidTr="004854EE">
        <w:tc>
          <w:tcPr>
            <w:tcW w:w="2689" w:type="dxa"/>
          </w:tcPr>
          <w:p w14:paraId="7943DF57" w14:textId="77777777" w:rsidR="00EC529F" w:rsidRPr="00EE5B8D" w:rsidRDefault="00EC529F" w:rsidP="004C7D96">
            <w:pPr>
              <w:spacing w:line="276" w:lineRule="auto"/>
              <w:jc w:val="both"/>
              <w:rPr>
                <w:rFonts w:ascii="Verdana" w:eastAsia="Calibri" w:hAnsi="Verdana" w:cs="Arial"/>
                <w:b/>
                <w:lang w:val="es-ES_tradnl" w:eastAsia="es-ES_tradnl"/>
              </w:rPr>
            </w:pPr>
            <w:r w:rsidRPr="00EE5B8D">
              <w:rPr>
                <w:rFonts w:ascii="Verdana" w:eastAsia="Calibri" w:hAnsi="Verdana" w:cs="Arial"/>
                <w:b/>
                <w:lang w:val="es-ES_tradnl" w:eastAsia="es-ES_tradnl"/>
              </w:rPr>
              <w:t>Radicación:</w:t>
            </w:r>
            <w:r w:rsidRPr="00EE5B8D">
              <w:rPr>
                <w:rFonts w:ascii="Verdana" w:eastAsia="Calibri" w:hAnsi="Verdana" w:cs="Arial"/>
                <w:lang w:val="es-ES_tradnl" w:eastAsia="es-ES_tradnl"/>
              </w:rPr>
              <w:t xml:space="preserve">               </w:t>
            </w:r>
          </w:p>
        </w:tc>
        <w:tc>
          <w:tcPr>
            <w:tcW w:w="6100" w:type="dxa"/>
          </w:tcPr>
          <w:p w14:paraId="3BDC10C8" w14:textId="77777777" w:rsidR="00EC529F" w:rsidRPr="00EE5B8D" w:rsidRDefault="00EC529F" w:rsidP="004C7D96">
            <w:pPr>
              <w:spacing w:line="276" w:lineRule="auto"/>
              <w:jc w:val="both"/>
              <w:rPr>
                <w:rFonts w:ascii="Verdana" w:eastAsia="Calibri" w:hAnsi="Verdana" w:cs="Arial"/>
                <w:lang w:val="es-ES_tradnl" w:eastAsia="es-ES_tradnl"/>
              </w:rPr>
            </w:pPr>
            <w:r w:rsidRPr="00EE5B8D">
              <w:rPr>
                <w:rFonts w:ascii="Verdana" w:eastAsia="Calibri" w:hAnsi="Verdana" w:cs="Arial"/>
                <w:lang w:val="es-ES_tradnl" w:eastAsia="es-ES_tradnl"/>
              </w:rPr>
              <w:t>Respuesta a consulta con radicado No. P20240529005593</w:t>
            </w:r>
          </w:p>
        </w:tc>
      </w:tr>
    </w:tbl>
    <w:p w14:paraId="39145A9B" w14:textId="77777777" w:rsidR="00EC529F" w:rsidRPr="00EE5B8D" w:rsidRDefault="00EC529F" w:rsidP="004C7D96">
      <w:pPr>
        <w:spacing w:after="0" w:line="276" w:lineRule="auto"/>
        <w:jc w:val="both"/>
        <w:rPr>
          <w:rFonts w:ascii="Verdana" w:eastAsia="Calibri" w:hAnsi="Verdana" w:cs="Arial"/>
          <w:lang w:val="es-ES_tradnl" w:eastAsia="es-ES_tradnl"/>
        </w:rPr>
      </w:pPr>
    </w:p>
    <w:p w14:paraId="5CE4CE63" w14:textId="77777777" w:rsidR="00EC529F" w:rsidRPr="00EE5B8D" w:rsidRDefault="00EC529F" w:rsidP="004C7D96">
      <w:pPr>
        <w:spacing w:after="0" w:line="276" w:lineRule="auto"/>
        <w:jc w:val="both"/>
        <w:rPr>
          <w:rFonts w:ascii="Verdana" w:eastAsia="Calibri" w:hAnsi="Verdana" w:cs="Arial"/>
          <w:lang w:val="es-ES_tradnl" w:eastAsia="es-ES_tradnl"/>
        </w:rPr>
      </w:pPr>
    </w:p>
    <w:p w14:paraId="50CEA340" w14:textId="77777777" w:rsidR="00EC529F" w:rsidRPr="00EE5B8D" w:rsidRDefault="00EC529F" w:rsidP="004C7D96">
      <w:pPr>
        <w:spacing w:after="0" w:line="276" w:lineRule="auto"/>
        <w:jc w:val="both"/>
        <w:rPr>
          <w:rFonts w:ascii="Verdana" w:eastAsia="Calibri" w:hAnsi="Verdana" w:cs="Arial"/>
          <w:lang w:val="es-ES" w:eastAsia="es-ES"/>
        </w:rPr>
      </w:pPr>
      <w:r w:rsidRPr="00EE5B8D">
        <w:rPr>
          <w:rFonts w:ascii="Verdana" w:eastAsia="Calibri" w:hAnsi="Verdana" w:cs="Arial"/>
          <w:lang w:val="es-ES" w:eastAsia="es-ES"/>
        </w:rPr>
        <w:t xml:space="preserve">Estimada señora Cruz Bohórquez: </w:t>
      </w:r>
    </w:p>
    <w:p w14:paraId="2259AEAF" w14:textId="77777777" w:rsidR="00EC529F" w:rsidRPr="00EE5B8D" w:rsidRDefault="00EC529F" w:rsidP="004C7D96">
      <w:pPr>
        <w:tabs>
          <w:tab w:val="left" w:pos="3768"/>
        </w:tabs>
        <w:spacing w:after="0" w:line="276" w:lineRule="auto"/>
        <w:jc w:val="both"/>
        <w:rPr>
          <w:rFonts w:ascii="Verdana" w:eastAsia="Calibri" w:hAnsi="Verdana" w:cs="Arial"/>
          <w:lang w:val="es-ES" w:eastAsia="es-ES"/>
        </w:rPr>
      </w:pPr>
      <w:r w:rsidRPr="00EE5B8D">
        <w:rPr>
          <w:rFonts w:ascii="Verdana" w:eastAsia="Calibri" w:hAnsi="Verdana" w:cs="Arial"/>
          <w:lang w:val="es-ES" w:eastAsia="es-ES"/>
        </w:rPr>
        <w:tab/>
      </w:r>
    </w:p>
    <w:p w14:paraId="658F40A5" w14:textId="77777777" w:rsidR="00EC529F" w:rsidRPr="00EE5B8D" w:rsidRDefault="00EC529F" w:rsidP="004C7D96">
      <w:pPr>
        <w:spacing w:after="0" w:line="276" w:lineRule="auto"/>
        <w:jc w:val="both"/>
        <w:rPr>
          <w:rFonts w:ascii="Verdana" w:eastAsia="Calibri" w:hAnsi="Verdana" w:cs="Arial"/>
          <w:lang w:val="es-ES" w:eastAsia="es-ES"/>
        </w:rPr>
      </w:pPr>
      <w:r w:rsidRPr="00EE5B8D">
        <w:rPr>
          <w:rFonts w:ascii="Verdana" w:eastAsia="Calibri" w:hAnsi="Verdana" w:cs="Arial"/>
          <w:lang w:val="es-ES" w:eastAsia="es-ES"/>
        </w:rPr>
        <w:t>En ejercicio de la competencia otorgada por los artículos 3, numeral 5º, y 11, numeral 8º, del Decreto Ley 4170 de 2011,</w:t>
      </w:r>
      <w:r w:rsidRPr="00EE5B8D">
        <w:rPr>
          <w:rFonts w:ascii="Verdana" w:eastAsia="Arial MT" w:hAnsi="Verdana" w:cs="Arial MT"/>
          <w:lang w:val="es-ES" w:eastAsia="es-ES"/>
        </w:rPr>
        <w:t xml:space="preserve"> </w:t>
      </w:r>
      <w:r w:rsidRPr="00EE5B8D">
        <w:rPr>
          <w:rFonts w:ascii="Verdana" w:hAnsi="Verdana" w:cs="Arial"/>
        </w:rPr>
        <w:t xml:space="preserve">así como lo establecido en el artículo 4 de la Resolución 1707 de 2018 expedida por esta Entidad, </w:t>
      </w:r>
      <w:r w:rsidRPr="00EE5B8D">
        <w:rPr>
          <w:rFonts w:ascii="Verdana" w:eastAsia="Calibri" w:hAnsi="Verdana" w:cs="Arial"/>
          <w:lang w:val="es-ES" w:eastAsia="es-ES"/>
        </w:rPr>
        <w:t xml:space="preserve">la Agencia Nacional de Contratación Pública – Colombia Compra Eficiente– responde su solicitud de consulta de fecha 29 de mayo de 2024, en la cual manifiesta lo siguiente: </w:t>
      </w:r>
    </w:p>
    <w:p w14:paraId="43AFE850" w14:textId="77777777" w:rsidR="00EC529F" w:rsidRPr="00EE5B8D" w:rsidRDefault="00EC529F" w:rsidP="004C7D96">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E700DE4"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bookmarkStart w:id="1" w:name="_Hlk95313578"/>
      <w:r w:rsidRPr="00EE5B8D">
        <w:rPr>
          <w:rFonts w:ascii="Verdana" w:eastAsia="Century Gothic" w:hAnsi="Verdana" w:cs="Century Gothic"/>
          <w:sz w:val="20"/>
          <w:szCs w:val="20"/>
          <w:lang w:val="es-ES"/>
        </w:rPr>
        <w:t>“</w:t>
      </w:r>
      <w:r w:rsidRPr="00EE5B8D">
        <w:rPr>
          <w:rStyle w:val="normaltextrun"/>
          <w:rFonts w:ascii="Verdana" w:hAnsi="Verdana" w:cs="Arial"/>
          <w:sz w:val="20"/>
          <w:szCs w:val="20"/>
          <w:shd w:val="clear" w:color="auto" w:fill="FFFFFF"/>
          <w:lang w:val="es-ES"/>
        </w:rPr>
        <w:t>1.Puede una entidad del estado contratar un servicio de logística con una ESAL a través de un Convenio de Asociación regido por el Decreto 092 de 2017?</w:t>
      </w:r>
    </w:p>
    <w:p w14:paraId="3BD1D2F3"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p>
    <w:p w14:paraId="7B967610" w14:textId="258C59E9"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r w:rsidRPr="00EE5B8D">
        <w:rPr>
          <w:rStyle w:val="normaltextrun"/>
          <w:rFonts w:ascii="Verdana" w:hAnsi="Verdana" w:cs="Arial"/>
          <w:sz w:val="20"/>
          <w:szCs w:val="20"/>
          <w:shd w:val="clear" w:color="auto" w:fill="FFFFFF"/>
          <w:lang w:val="es-ES"/>
        </w:rPr>
        <w:lastRenderedPageBreak/>
        <w:t>2. Los contratos de colaboración o de interés público se suscriben con el fin impulsar programas y actividades de interés público de acuerdo con el Plan Nacional o los planes seccionales de desarrollo, sin embargo, se solicita ejemplificar y definir que tipo de programas o actividades pueden considerarse de interés público?</w:t>
      </w:r>
    </w:p>
    <w:p w14:paraId="563C3015"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p>
    <w:p w14:paraId="5E0D8199"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r w:rsidRPr="00EE5B8D">
        <w:rPr>
          <w:rStyle w:val="normaltextrun"/>
          <w:rFonts w:ascii="Verdana" w:hAnsi="Verdana" w:cs="Arial"/>
          <w:sz w:val="20"/>
          <w:szCs w:val="20"/>
          <w:shd w:val="clear" w:color="auto" w:fill="FFFFFF"/>
          <w:lang w:val="es-ES"/>
        </w:rPr>
        <w:t>3. Los convenios de asociación se suscriben para el desarrollo conjunto de actividades relacionadas con las funciones de las entidades estatales, en desarrollo del artículo 96 de la Ley 489 de 1998, sin embargo, se solicita ejemplificar y definir las actividades que deben ser consideradas como función de la Entidad.</w:t>
      </w:r>
    </w:p>
    <w:p w14:paraId="4731C0F8" w14:textId="77777777" w:rsidR="00EC529F" w:rsidRPr="00EE5B8D" w:rsidRDefault="00EC529F" w:rsidP="00EC529F">
      <w:pPr>
        <w:spacing w:after="0" w:line="240" w:lineRule="auto"/>
        <w:ind w:left="709" w:right="709"/>
        <w:jc w:val="both"/>
        <w:rPr>
          <w:rStyle w:val="normaltextrun"/>
          <w:rFonts w:ascii="Verdana" w:hAnsi="Verdana" w:cs="Arial"/>
          <w:sz w:val="20"/>
          <w:szCs w:val="20"/>
          <w:shd w:val="clear" w:color="auto" w:fill="FFFFFF"/>
          <w:lang w:val="es-ES"/>
        </w:rPr>
      </w:pPr>
    </w:p>
    <w:p w14:paraId="5AC4C3A2" w14:textId="77777777" w:rsidR="00EC529F" w:rsidRPr="00EE5B8D" w:rsidRDefault="00EC529F" w:rsidP="00EC529F">
      <w:pPr>
        <w:spacing w:after="0" w:line="240" w:lineRule="auto"/>
        <w:ind w:left="709" w:right="709"/>
        <w:jc w:val="both"/>
        <w:rPr>
          <w:rFonts w:ascii="Verdana" w:eastAsia="Century Gothic" w:hAnsi="Verdana" w:cs="Century Gothic"/>
          <w:sz w:val="20"/>
          <w:szCs w:val="20"/>
          <w:lang w:val="es-ES"/>
        </w:rPr>
      </w:pPr>
      <w:r w:rsidRPr="00EE5B8D">
        <w:rPr>
          <w:rStyle w:val="normaltextrun"/>
          <w:rFonts w:ascii="Verdana" w:hAnsi="Verdana" w:cs="Arial"/>
          <w:sz w:val="20"/>
          <w:szCs w:val="20"/>
          <w:shd w:val="clear" w:color="auto" w:fill="FFFFFF"/>
          <w:lang w:val="es-ES"/>
        </w:rPr>
        <w:t>4. Que tipo de factores de escogencia (puntuables) puede aplicar una Entidad en el marco de un proceso competitivo regulado por los artículos 4 y 5 del Decreto 092 de 2017?</w:t>
      </w:r>
      <w:r w:rsidRPr="00EE5B8D">
        <w:rPr>
          <w:rFonts w:ascii="Verdana" w:eastAsia="Century Gothic" w:hAnsi="Verdana" w:cs="Century Gothic"/>
          <w:sz w:val="20"/>
          <w:szCs w:val="20"/>
          <w:lang w:val="es-ES"/>
        </w:rPr>
        <w:t>”</w:t>
      </w:r>
      <w:bookmarkEnd w:id="1"/>
      <w:r w:rsidRPr="00EE5B8D">
        <w:rPr>
          <w:rFonts w:ascii="Verdana" w:eastAsia="Century Gothic" w:hAnsi="Verdana" w:cs="Century Gothic"/>
          <w:sz w:val="20"/>
          <w:szCs w:val="20"/>
          <w:lang w:val="es-ES"/>
        </w:rPr>
        <w:t>.</w:t>
      </w:r>
    </w:p>
    <w:p w14:paraId="4991FA03" w14:textId="77777777" w:rsidR="00EC529F" w:rsidRPr="00EE5B8D" w:rsidRDefault="00EC529F" w:rsidP="00490F30">
      <w:pPr>
        <w:pStyle w:val="Prrafodelista"/>
        <w:tabs>
          <w:tab w:val="left" w:pos="142"/>
          <w:tab w:val="left" w:pos="284"/>
        </w:tabs>
        <w:spacing w:after="0" w:line="276" w:lineRule="auto"/>
        <w:ind w:left="0"/>
        <w:jc w:val="both"/>
        <w:rPr>
          <w:rFonts w:ascii="Verdana" w:eastAsia="Century Gothic" w:hAnsi="Verdana" w:cs="Century Gothic"/>
          <w:b/>
          <w:bCs/>
        </w:rPr>
      </w:pPr>
    </w:p>
    <w:p w14:paraId="00312EF8" w14:textId="284927F0" w:rsidR="00EC529F" w:rsidRPr="00EE5B8D" w:rsidRDefault="00EC529F" w:rsidP="00EC529F">
      <w:pPr>
        <w:spacing w:after="120" w:line="276" w:lineRule="auto"/>
        <w:ind w:firstLine="709"/>
        <w:jc w:val="both"/>
        <w:rPr>
          <w:rFonts w:ascii="Verdana" w:eastAsia="Calibri" w:hAnsi="Verdana" w:cs="Arial"/>
          <w:szCs w:val="24"/>
          <w:lang w:val="es-ES_tradnl" w:eastAsia="es-ES_tradnl"/>
        </w:rPr>
      </w:pPr>
      <w:r w:rsidRPr="00EE5B8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w:t>
      </w:r>
      <w:r w:rsidR="00BF623B">
        <w:rPr>
          <w:rFonts w:ascii="Verdana" w:eastAsia="Calibri" w:hAnsi="Verdana" w:cs="Arial"/>
          <w:lang w:val="es-ES" w:eastAsia="es-ES"/>
        </w:rPr>
        <w:t xml:space="preserve">la Agencia Nacional de Contratación Pública – </w:t>
      </w:r>
      <w:r w:rsidRPr="00EE5B8D">
        <w:rPr>
          <w:rFonts w:ascii="Verdana" w:eastAsia="Calibri" w:hAnsi="Verdana" w:cs="Arial"/>
          <w:lang w:val="es-ES" w:eastAsia="es-ES"/>
        </w:rPr>
        <w:t>Colombia</w:t>
      </w:r>
      <w:r w:rsidR="00BF623B">
        <w:rPr>
          <w:rFonts w:ascii="Verdana" w:eastAsia="Calibri" w:hAnsi="Verdana" w:cs="Arial"/>
          <w:lang w:val="es-ES" w:eastAsia="es-ES"/>
        </w:rPr>
        <w:t xml:space="preserve"> </w:t>
      </w:r>
      <w:r w:rsidRPr="00EE5B8D">
        <w:rPr>
          <w:rFonts w:ascii="Verdana" w:eastAsia="Calibri" w:hAnsi="Verdana" w:cs="Arial"/>
          <w:lang w:val="es-ES" w:eastAsia="es-ES"/>
        </w:rPr>
        <w:t xml:space="preserve">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E5B8D">
        <w:rPr>
          <w:rFonts w:ascii="Verdana" w:eastAsia="Calibri" w:hAnsi="Verdana" w:cs="Arial"/>
          <w:szCs w:val="24"/>
          <w:lang w:val="es-ES_tradnl" w:eastAsia="es-ES_tradnl"/>
        </w:rPr>
        <w:tab/>
      </w:r>
    </w:p>
    <w:p w14:paraId="79E38674" w14:textId="77777777" w:rsidR="00EC529F" w:rsidRPr="00EE5B8D" w:rsidRDefault="00EC529F" w:rsidP="00EC529F">
      <w:pPr>
        <w:spacing w:after="0" w:line="276" w:lineRule="auto"/>
        <w:ind w:firstLine="709"/>
        <w:jc w:val="both"/>
        <w:rPr>
          <w:rFonts w:ascii="Verdana" w:eastAsia="Calibri" w:hAnsi="Verdana" w:cs="Arial"/>
          <w:lang w:val="es-ES" w:eastAsia="es-ES"/>
        </w:rPr>
      </w:pPr>
      <w:r w:rsidRPr="00EE5B8D">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8AA1059" w14:textId="77777777" w:rsidR="00EC529F" w:rsidRPr="00441ED6" w:rsidRDefault="00EC529F" w:rsidP="006C171A">
      <w:pPr>
        <w:spacing w:after="0" w:line="276" w:lineRule="auto"/>
        <w:ind w:firstLine="709"/>
        <w:jc w:val="both"/>
        <w:rPr>
          <w:rFonts w:ascii="Verdana" w:eastAsia="Calibri" w:hAnsi="Verdana" w:cs="Arial"/>
          <w:lang w:val="es-ES" w:eastAsia="es-ES"/>
        </w:rPr>
      </w:pPr>
    </w:p>
    <w:p w14:paraId="1F41E01B" w14:textId="77777777" w:rsidR="00EC529F" w:rsidRPr="00441ED6" w:rsidRDefault="00EC529F" w:rsidP="006C171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41ED6">
        <w:rPr>
          <w:rFonts w:ascii="Verdana" w:eastAsia="Century Gothic" w:hAnsi="Verdana" w:cs="Century Gothic"/>
          <w:b/>
          <w:bCs/>
        </w:rPr>
        <w:t>Problema planteado:</w:t>
      </w:r>
    </w:p>
    <w:p w14:paraId="3D3F2102" w14:textId="77777777" w:rsidR="00EC529F" w:rsidRPr="00441ED6" w:rsidRDefault="00EC529F" w:rsidP="006C171A">
      <w:pPr>
        <w:tabs>
          <w:tab w:val="left" w:pos="426"/>
        </w:tabs>
        <w:spacing w:after="0" w:line="276" w:lineRule="auto"/>
        <w:jc w:val="both"/>
        <w:rPr>
          <w:rFonts w:ascii="Verdana" w:eastAsia="Century Gothic" w:hAnsi="Verdana" w:cs="Century Gothic"/>
          <w:lang w:val="es-ES"/>
        </w:rPr>
      </w:pPr>
    </w:p>
    <w:p w14:paraId="39E22238" w14:textId="77777777" w:rsidR="00EC529F" w:rsidRPr="00441ED6" w:rsidRDefault="00EC529F" w:rsidP="006C171A">
      <w:pPr>
        <w:spacing w:after="0" w:line="276" w:lineRule="auto"/>
        <w:jc w:val="both"/>
        <w:rPr>
          <w:rFonts w:ascii="Verdana" w:eastAsia="Century Gothic" w:hAnsi="Verdana" w:cs="Century Gothic"/>
        </w:rPr>
      </w:pPr>
      <w:r w:rsidRPr="00441ED6">
        <w:rPr>
          <w:rFonts w:ascii="Verdana" w:eastAsia="Century Gothic" w:hAnsi="Verdana" w:cs="Century Gothic"/>
        </w:rPr>
        <w:t xml:space="preserve">De acuerdo con el contenido de su solicitud, esta Agencia resolverá el (los) siguientes problemas jurídicos: </w:t>
      </w:r>
    </w:p>
    <w:p w14:paraId="048691C9" w14:textId="77777777" w:rsidR="00EC529F" w:rsidRPr="00441ED6" w:rsidRDefault="00EC529F" w:rsidP="006C171A">
      <w:pPr>
        <w:spacing w:after="0" w:line="276" w:lineRule="auto"/>
        <w:jc w:val="both"/>
        <w:rPr>
          <w:rFonts w:ascii="Verdana" w:eastAsia="Century Gothic" w:hAnsi="Verdana" w:cs="Century Gothic"/>
        </w:rPr>
      </w:pPr>
    </w:p>
    <w:p w14:paraId="76A7E9F9" w14:textId="033D8704" w:rsidR="0059284B" w:rsidRPr="00441ED6" w:rsidRDefault="0059284B" w:rsidP="006C171A">
      <w:pPr>
        <w:pStyle w:val="Prrafodelista"/>
        <w:numPr>
          <w:ilvl w:val="0"/>
          <w:numId w:val="18"/>
        </w:numPr>
        <w:spacing w:after="0" w:line="276" w:lineRule="auto"/>
        <w:contextualSpacing w:val="0"/>
        <w:jc w:val="both"/>
        <w:rPr>
          <w:rFonts w:ascii="Verdana" w:eastAsia="Century Gothic" w:hAnsi="Verdana" w:cs="Century Gothic"/>
        </w:rPr>
      </w:pPr>
      <w:r w:rsidRPr="00441ED6">
        <w:rPr>
          <w:rFonts w:ascii="Verdana" w:eastAsia="Century Gothic" w:hAnsi="Verdana" w:cs="Century Gothic"/>
        </w:rPr>
        <w:lastRenderedPageBreak/>
        <w:t xml:space="preserve">¿Qué objetos contractuales se pueden ejecutar a través de un contrato de colaboración regido por el Decreto 092 de 2017? </w:t>
      </w:r>
    </w:p>
    <w:p w14:paraId="22C7EDDE" w14:textId="77777777" w:rsidR="0059284B" w:rsidRPr="00441ED6" w:rsidRDefault="0059284B" w:rsidP="006C171A">
      <w:pPr>
        <w:pStyle w:val="Prrafodelista"/>
        <w:spacing w:after="0" w:line="276" w:lineRule="auto"/>
        <w:contextualSpacing w:val="0"/>
        <w:rPr>
          <w:rFonts w:ascii="Verdana" w:eastAsia="Century Gothic" w:hAnsi="Verdana" w:cs="Century Gothic"/>
        </w:rPr>
      </w:pPr>
    </w:p>
    <w:p w14:paraId="39938A6F" w14:textId="79957B4B" w:rsidR="00EC529F" w:rsidRPr="00441ED6" w:rsidRDefault="00EC529F" w:rsidP="006C171A">
      <w:pPr>
        <w:pStyle w:val="Prrafodelista"/>
        <w:numPr>
          <w:ilvl w:val="0"/>
          <w:numId w:val="18"/>
        </w:numPr>
        <w:spacing w:after="0" w:line="276" w:lineRule="auto"/>
        <w:contextualSpacing w:val="0"/>
        <w:jc w:val="both"/>
        <w:rPr>
          <w:rFonts w:ascii="Verdana" w:eastAsia="Century Gothic" w:hAnsi="Verdana" w:cs="Century Gothic"/>
        </w:rPr>
      </w:pPr>
      <w:r w:rsidRPr="00441ED6">
        <w:rPr>
          <w:rFonts w:ascii="Verdana" w:eastAsia="Century Gothic" w:hAnsi="Verdana" w:cs="Century Gothic"/>
        </w:rPr>
        <w:t xml:space="preserve">¿Qué objetos contractuales se pueden </w:t>
      </w:r>
      <w:r w:rsidR="002B2FD8" w:rsidRPr="00441ED6">
        <w:rPr>
          <w:rFonts w:ascii="Verdana" w:eastAsia="Century Gothic" w:hAnsi="Verdana" w:cs="Century Gothic"/>
        </w:rPr>
        <w:t>ejecutar</w:t>
      </w:r>
      <w:r w:rsidRPr="00441ED6">
        <w:rPr>
          <w:rFonts w:ascii="Verdana" w:eastAsia="Century Gothic" w:hAnsi="Verdana" w:cs="Century Gothic"/>
        </w:rPr>
        <w:t xml:space="preserve"> a través de un convenio de asociación regido por el Decreto 092 de 2017? </w:t>
      </w:r>
    </w:p>
    <w:p w14:paraId="4848E27D" w14:textId="77777777" w:rsidR="00441ED6" w:rsidRPr="00441ED6" w:rsidRDefault="00441ED6" w:rsidP="006C171A">
      <w:pPr>
        <w:spacing w:after="0" w:line="276" w:lineRule="auto"/>
        <w:jc w:val="both"/>
        <w:rPr>
          <w:rFonts w:ascii="Verdana" w:eastAsia="Century Gothic" w:hAnsi="Verdana" w:cs="Century Gothic"/>
        </w:rPr>
      </w:pPr>
    </w:p>
    <w:p w14:paraId="68AF1F4A" w14:textId="5ED7BEB0" w:rsidR="00441ED6" w:rsidRPr="00441ED6" w:rsidRDefault="00441ED6" w:rsidP="006C171A">
      <w:pPr>
        <w:pStyle w:val="Prrafodelista"/>
        <w:numPr>
          <w:ilvl w:val="0"/>
          <w:numId w:val="18"/>
        </w:numPr>
        <w:spacing w:after="0" w:line="276" w:lineRule="auto"/>
        <w:contextualSpacing w:val="0"/>
        <w:jc w:val="both"/>
        <w:rPr>
          <w:rFonts w:ascii="Verdana" w:eastAsia="Century Gothic" w:hAnsi="Verdana" w:cs="Century Gothic"/>
        </w:rPr>
      </w:pPr>
      <w:r w:rsidRPr="00441ED6">
        <w:rPr>
          <w:rFonts w:ascii="Verdana" w:eastAsia="Century Gothic" w:hAnsi="Verdana" w:cs="Century Gothic"/>
        </w:rPr>
        <w:t>¿</w:t>
      </w:r>
      <w:r w:rsidR="00D10EFE">
        <w:rPr>
          <w:rFonts w:ascii="Verdana" w:eastAsia="Century Gothic" w:hAnsi="Verdana" w:cs="Century Gothic"/>
        </w:rPr>
        <w:t>La contratación de c</w:t>
      </w:r>
      <w:r w:rsidRPr="00441ED6">
        <w:rPr>
          <w:rFonts w:ascii="Verdana" w:eastAsia="Century Gothic" w:hAnsi="Verdana" w:cs="Century Gothic"/>
        </w:rPr>
        <w:t xml:space="preserve">ualquier objeto contractual que una Entidad Estatal pretenda suscribir con una Entidad sin Ánimo de Lucro </w:t>
      </w:r>
      <w:r>
        <w:rPr>
          <w:rFonts w:ascii="Verdana" w:eastAsia="Century Gothic" w:hAnsi="Verdana" w:cs="Century Gothic"/>
        </w:rPr>
        <w:t xml:space="preserve">– en adelante ESAL – </w:t>
      </w:r>
      <w:r w:rsidRPr="00441ED6">
        <w:rPr>
          <w:rFonts w:ascii="Verdana" w:eastAsia="Century Gothic" w:hAnsi="Verdana" w:cs="Century Gothic"/>
        </w:rPr>
        <w:t>se</w:t>
      </w:r>
      <w:r>
        <w:rPr>
          <w:rFonts w:ascii="Verdana" w:eastAsia="Century Gothic" w:hAnsi="Verdana" w:cs="Century Gothic"/>
        </w:rPr>
        <w:t xml:space="preserve"> </w:t>
      </w:r>
      <w:r w:rsidRPr="00441ED6">
        <w:rPr>
          <w:rFonts w:ascii="Verdana" w:eastAsia="Century Gothic" w:hAnsi="Verdana" w:cs="Century Gothic"/>
        </w:rPr>
        <w:t xml:space="preserve">rige por el Decreto 092 de 2017 o lo qué define la aplicación del referido Decreto es el objeto que se va a desarrollar y no el sujeto con el que se pretende celebrar el negocio jurídico? </w:t>
      </w:r>
    </w:p>
    <w:p w14:paraId="1CDCAEC3" w14:textId="77777777" w:rsidR="00EC529F" w:rsidRPr="00441ED6" w:rsidRDefault="00EC529F" w:rsidP="006C171A">
      <w:pPr>
        <w:spacing w:after="0" w:line="276" w:lineRule="auto"/>
        <w:jc w:val="both"/>
        <w:rPr>
          <w:rFonts w:ascii="Verdana" w:eastAsia="Century Gothic" w:hAnsi="Verdana" w:cs="Century Gothic"/>
        </w:rPr>
      </w:pPr>
    </w:p>
    <w:p w14:paraId="59293233" w14:textId="562A1423" w:rsidR="00EC529F" w:rsidRPr="00441ED6" w:rsidRDefault="00EC529F" w:rsidP="006C171A">
      <w:pPr>
        <w:pStyle w:val="Prrafodelista"/>
        <w:numPr>
          <w:ilvl w:val="0"/>
          <w:numId w:val="18"/>
        </w:numPr>
        <w:spacing w:after="0" w:line="276" w:lineRule="auto"/>
        <w:contextualSpacing w:val="0"/>
        <w:jc w:val="both"/>
        <w:rPr>
          <w:rFonts w:ascii="Verdana" w:eastAsia="Century Gothic" w:hAnsi="Verdana" w:cs="Century Gothic"/>
        </w:rPr>
      </w:pPr>
      <w:r w:rsidRPr="00441ED6">
        <w:rPr>
          <w:rFonts w:ascii="Verdana" w:eastAsia="Century Gothic" w:hAnsi="Verdana" w:cs="Century Gothic"/>
        </w:rPr>
        <w:t>¿Cuáles son los</w:t>
      </w:r>
      <w:r w:rsidRPr="00441ED6">
        <w:rPr>
          <w:rStyle w:val="TextonotapieCar"/>
          <w:rFonts w:ascii="Verdana" w:hAnsi="Verdana" w:cs="Arial"/>
          <w:sz w:val="22"/>
          <w:szCs w:val="22"/>
          <w:shd w:val="clear" w:color="auto" w:fill="FFFFFF"/>
        </w:rPr>
        <w:t xml:space="preserve"> </w:t>
      </w:r>
      <w:r w:rsidRPr="00441ED6">
        <w:rPr>
          <w:rStyle w:val="normaltextrun"/>
          <w:rFonts w:ascii="Verdana" w:hAnsi="Verdana" w:cs="Arial"/>
          <w:shd w:val="clear" w:color="auto" w:fill="FFFFFF"/>
        </w:rPr>
        <w:t xml:space="preserve">factores de escogencia </w:t>
      </w:r>
      <w:r w:rsidR="00441ED6">
        <w:rPr>
          <w:rStyle w:val="normaltextrun"/>
          <w:rFonts w:ascii="Verdana" w:hAnsi="Verdana" w:cs="Arial"/>
          <w:shd w:val="clear" w:color="auto" w:fill="FFFFFF"/>
        </w:rPr>
        <w:t xml:space="preserve">que </w:t>
      </w:r>
      <w:r w:rsidRPr="00441ED6">
        <w:rPr>
          <w:rStyle w:val="normaltextrun"/>
          <w:rFonts w:ascii="Verdana" w:hAnsi="Verdana" w:cs="Arial"/>
          <w:shd w:val="clear" w:color="auto" w:fill="FFFFFF"/>
        </w:rPr>
        <w:t>puede aplicar una Entidad</w:t>
      </w:r>
      <w:r w:rsidR="00441ED6">
        <w:rPr>
          <w:rStyle w:val="normaltextrun"/>
          <w:rFonts w:ascii="Verdana" w:hAnsi="Verdana" w:cs="Arial"/>
          <w:shd w:val="clear" w:color="auto" w:fill="FFFFFF"/>
        </w:rPr>
        <w:t xml:space="preserve"> Estatal</w:t>
      </w:r>
      <w:r w:rsidRPr="00441ED6">
        <w:rPr>
          <w:rStyle w:val="normaltextrun"/>
          <w:rFonts w:ascii="Verdana" w:hAnsi="Verdana" w:cs="Arial"/>
          <w:shd w:val="clear" w:color="auto" w:fill="FFFFFF"/>
        </w:rPr>
        <w:t xml:space="preserve"> en el marco de un proceso competitivo regulado por los artículos 4 y 5 del Decreto 092 de 2017</w:t>
      </w:r>
      <w:r w:rsidRPr="00441ED6">
        <w:rPr>
          <w:rFonts w:ascii="Verdana" w:eastAsia="Century Gothic" w:hAnsi="Verdana" w:cs="Century Gothic"/>
        </w:rPr>
        <w:t>?</w:t>
      </w:r>
    </w:p>
    <w:p w14:paraId="1C77B3AF" w14:textId="77777777" w:rsidR="00EC529F" w:rsidRPr="00441ED6" w:rsidRDefault="00EC529F" w:rsidP="006C171A">
      <w:pPr>
        <w:spacing w:after="0" w:line="276" w:lineRule="auto"/>
        <w:jc w:val="both"/>
        <w:rPr>
          <w:rFonts w:ascii="Verdana" w:eastAsia="Calibri" w:hAnsi="Verdana" w:cs="Arial"/>
          <w:lang w:val="es-ES"/>
        </w:rPr>
      </w:pPr>
    </w:p>
    <w:p w14:paraId="3734FC4B" w14:textId="77777777" w:rsidR="00EC529F" w:rsidRPr="00441ED6" w:rsidRDefault="00EC529F" w:rsidP="006C171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41ED6">
        <w:rPr>
          <w:rFonts w:ascii="Verdana" w:eastAsia="Century Gothic" w:hAnsi="Verdana" w:cs="Century Gothic"/>
          <w:b/>
          <w:bCs/>
        </w:rPr>
        <w:t>Respuesta:</w:t>
      </w:r>
    </w:p>
    <w:p w14:paraId="06BF9A2C" w14:textId="77777777" w:rsidR="00EC529F" w:rsidRPr="00441ED6" w:rsidRDefault="00EC529F" w:rsidP="006C171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C529F" w:rsidRPr="00EE5B8D" w14:paraId="7C84B227" w14:textId="77777777" w:rsidTr="004854EE">
        <w:tc>
          <w:tcPr>
            <w:tcW w:w="8828" w:type="dxa"/>
            <w:shd w:val="clear" w:color="auto" w:fill="auto"/>
          </w:tcPr>
          <w:p w14:paraId="7F8A440D" w14:textId="6D977271" w:rsidR="00EC529F" w:rsidRPr="00612F2F" w:rsidRDefault="00EC529F" w:rsidP="00A22BE4">
            <w:pPr>
              <w:pStyle w:val="Prrafodelista"/>
              <w:numPr>
                <w:ilvl w:val="0"/>
                <w:numId w:val="17"/>
              </w:numPr>
              <w:spacing w:line="276" w:lineRule="auto"/>
              <w:ind w:left="357" w:hanging="357"/>
              <w:contextualSpacing w:val="0"/>
              <w:jc w:val="both"/>
              <w:rPr>
                <w:rFonts w:ascii="Verdana" w:eastAsia="Calibri" w:hAnsi="Verdana" w:cs="Arial"/>
              </w:rPr>
            </w:pPr>
            <w:r w:rsidRPr="00612F2F">
              <w:rPr>
                <w:rFonts w:ascii="Verdana" w:eastAsia="Calibri" w:hAnsi="Verdana" w:cs="Arial"/>
              </w:rPr>
              <w:t xml:space="preserve">Los </w:t>
            </w:r>
            <w:r w:rsidRPr="0048108D">
              <w:rPr>
                <w:rFonts w:ascii="Verdana" w:eastAsia="Calibri" w:hAnsi="Verdana" w:cs="Arial"/>
              </w:rPr>
              <w:t>contratos del artículo 355 de la Constitución Política</w:t>
            </w:r>
            <w:r w:rsidR="003E5816" w:rsidRPr="00512DD2">
              <w:rPr>
                <w:rFonts w:ascii="Verdana" w:eastAsia="Calibri" w:hAnsi="Verdana" w:cs="Arial"/>
              </w:rPr>
              <w:t xml:space="preserve">, denominados </w:t>
            </w:r>
            <w:r w:rsidR="00512DD2" w:rsidRPr="0048108D">
              <w:rPr>
                <w:rFonts w:ascii="Verdana" w:eastAsia="Calibri" w:hAnsi="Verdana" w:cs="Arial"/>
                <w:i/>
                <w:iCs/>
              </w:rPr>
              <w:t xml:space="preserve">contratos de </w:t>
            </w:r>
            <w:r w:rsidR="007977AB" w:rsidRPr="0048108D">
              <w:rPr>
                <w:rFonts w:ascii="Verdana" w:eastAsia="Calibri" w:hAnsi="Verdana" w:cs="Arial"/>
                <w:i/>
                <w:iCs/>
              </w:rPr>
              <w:t>colaboración</w:t>
            </w:r>
            <w:r w:rsidR="00512DD2" w:rsidRPr="00512DD2">
              <w:rPr>
                <w:rFonts w:ascii="Verdana" w:eastAsia="Calibri" w:hAnsi="Verdana" w:cs="Arial"/>
              </w:rPr>
              <w:t xml:space="preserve"> </w:t>
            </w:r>
            <w:r w:rsidRPr="00612F2F">
              <w:rPr>
                <w:rFonts w:ascii="Verdana" w:eastAsia="Calibri" w:hAnsi="Verdana" w:cs="Arial"/>
              </w:rPr>
              <w:t xml:space="preserve">tienen como objeto promover acciones de fomento social en beneficio de los sectores más desprotegidos de la población, siempre que estén previstas en los planes de desarrollo. </w:t>
            </w:r>
            <w:r w:rsidR="0048108D">
              <w:rPr>
                <w:rFonts w:ascii="Verdana" w:eastAsia="Calibri" w:hAnsi="Verdana" w:cs="Arial"/>
              </w:rPr>
              <w:t>En ese sentido, e</w:t>
            </w:r>
            <w:r w:rsidRPr="00612F2F">
              <w:rPr>
                <w:rFonts w:ascii="Verdana" w:eastAsia="Calibri" w:hAnsi="Verdana" w:cs="Arial"/>
              </w:rPr>
              <w:t>l objeto de los contratos que autoriza el inciso segundo del artículo 355 Superior, se limita a la realización de actividades o programas de interés público que, conforme a los planes de desarrollo, adelanten instituciones privadas sin ánimo de lucro. De este modo, e</w:t>
            </w:r>
            <w:r w:rsidRPr="00612F2F">
              <w:rPr>
                <w:rFonts w:ascii="Verdana" w:eastAsia="Times New Roman" w:hAnsi="Verdana" w:cs="Times New Roman"/>
                <w:shd w:val="clear" w:color="auto" w:fill="FFFFFF"/>
                <w:lang w:eastAsia="es-ES_tradnl"/>
              </w:rPr>
              <w:t xml:space="preserve">l constituyente estableció como requisito para la celebración de este tipo convenios que los programas o actividades de interés público sean acordes con el Plan Nacional y los planes seccionales de desarrollo. </w:t>
            </w:r>
          </w:p>
          <w:p w14:paraId="4F0FAE9B" w14:textId="77777777" w:rsidR="00612F2F" w:rsidRPr="00612F2F" w:rsidRDefault="00612F2F" w:rsidP="00A22BE4">
            <w:pPr>
              <w:pStyle w:val="Prrafodelista"/>
              <w:spacing w:line="276" w:lineRule="auto"/>
              <w:ind w:left="357"/>
              <w:contextualSpacing w:val="0"/>
              <w:jc w:val="both"/>
              <w:rPr>
                <w:rFonts w:ascii="Verdana" w:eastAsia="Calibri" w:hAnsi="Verdana" w:cs="Arial"/>
              </w:rPr>
            </w:pPr>
          </w:p>
          <w:p w14:paraId="76619E28" w14:textId="65C333F3" w:rsidR="00EC529F" w:rsidRDefault="00EC529F" w:rsidP="00A22BE4">
            <w:pPr>
              <w:pStyle w:val="Prrafodelista"/>
              <w:numPr>
                <w:ilvl w:val="0"/>
                <w:numId w:val="17"/>
              </w:numPr>
              <w:spacing w:line="276" w:lineRule="auto"/>
              <w:ind w:left="357" w:hanging="357"/>
              <w:contextualSpacing w:val="0"/>
              <w:jc w:val="both"/>
              <w:rPr>
                <w:rFonts w:ascii="Verdana" w:eastAsia="Calibri" w:hAnsi="Verdana" w:cs="Arial"/>
              </w:rPr>
            </w:pPr>
            <w:r w:rsidRPr="00612F2F">
              <w:rPr>
                <w:rFonts w:ascii="Verdana" w:eastAsia="Calibri" w:hAnsi="Verdana" w:cs="Arial"/>
              </w:rPr>
              <w:t xml:space="preserve">Los </w:t>
            </w:r>
            <w:r w:rsidRPr="00612F2F">
              <w:rPr>
                <w:rFonts w:ascii="Verdana" w:eastAsia="Calibri" w:hAnsi="Verdana" w:cs="Arial"/>
                <w:i/>
                <w:iCs/>
              </w:rPr>
              <w:t>convenios de asociación</w:t>
            </w:r>
            <w:r w:rsidR="0048108D" w:rsidRPr="002F2619">
              <w:rPr>
                <w:rFonts w:ascii="Verdana" w:eastAsia="Calibri" w:hAnsi="Verdana" w:cs="Arial"/>
              </w:rPr>
              <w:t xml:space="preserve">, establecidos en el artículo 96 de la Ley </w:t>
            </w:r>
            <w:r w:rsidR="002F2619" w:rsidRPr="002F2619">
              <w:rPr>
                <w:rFonts w:ascii="Verdana" w:eastAsia="Calibri" w:hAnsi="Verdana" w:cs="Arial"/>
              </w:rPr>
              <w:t xml:space="preserve">489 de </w:t>
            </w:r>
            <w:r w:rsidR="00B96B79" w:rsidRPr="002F2619">
              <w:rPr>
                <w:rFonts w:ascii="Verdana" w:eastAsia="Calibri" w:hAnsi="Verdana" w:cs="Arial"/>
              </w:rPr>
              <w:t>1998,</w:t>
            </w:r>
            <w:r w:rsidR="00B96B79">
              <w:rPr>
                <w:rFonts w:ascii="Verdana" w:eastAsia="Calibri" w:hAnsi="Verdana" w:cs="Arial"/>
                <w:i/>
                <w:iCs/>
              </w:rPr>
              <w:t xml:space="preserve"> </w:t>
            </w:r>
            <w:r w:rsidR="00B96B79" w:rsidRPr="00612F2F">
              <w:rPr>
                <w:rFonts w:ascii="Verdana" w:eastAsia="Calibri" w:hAnsi="Verdana" w:cs="Arial"/>
              </w:rPr>
              <w:t>tienen</w:t>
            </w:r>
            <w:r w:rsidRPr="00612F2F">
              <w:rPr>
                <w:rFonts w:ascii="Verdana" w:eastAsia="Calibri" w:hAnsi="Verdana" w:cs="Aria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B96B79">
              <w:rPr>
                <w:rFonts w:ascii="Verdana" w:eastAsia="Calibri" w:hAnsi="Verdana" w:cs="Arial"/>
              </w:rPr>
              <w:t xml:space="preserve"> Así las cosas, el objeto de los convenios de asociación se circunscribe </w:t>
            </w:r>
            <w:r w:rsidR="00A071D8">
              <w:rPr>
                <w:rFonts w:ascii="Verdana" w:eastAsia="Calibri" w:hAnsi="Verdana" w:cs="Arial"/>
              </w:rPr>
              <w:t xml:space="preserve">al desarrollo de funciones y cometidos de la Entidad Estatal que lo celebra. </w:t>
            </w:r>
          </w:p>
          <w:p w14:paraId="4B026471" w14:textId="77777777" w:rsidR="00612F2F" w:rsidRPr="00612F2F" w:rsidRDefault="00612F2F" w:rsidP="00A22BE4">
            <w:pPr>
              <w:spacing w:line="276" w:lineRule="auto"/>
              <w:jc w:val="both"/>
              <w:rPr>
                <w:rFonts w:ascii="Verdana" w:eastAsia="Calibri" w:hAnsi="Verdana" w:cs="Arial"/>
              </w:rPr>
            </w:pPr>
          </w:p>
          <w:p w14:paraId="19FD530E" w14:textId="5244E3BF" w:rsidR="00EC529F" w:rsidRPr="00612F2F" w:rsidRDefault="00EC529F" w:rsidP="00A22BE4">
            <w:pPr>
              <w:pStyle w:val="Prrafodelista"/>
              <w:numPr>
                <w:ilvl w:val="0"/>
                <w:numId w:val="17"/>
              </w:numPr>
              <w:spacing w:line="276" w:lineRule="auto"/>
              <w:ind w:left="357" w:hanging="357"/>
              <w:contextualSpacing w:val="0"/>
              <w:jc w:val="both"/>
              <w:rPr>
                <w:rFonts w:ascii="Verdana" w:eastAsia="Calibri" w:hAnsi="Verdana" w:cs="Arial"/>
              </w:rPr>
            </w:pPr>
            <w:r w:rsidRPr="00612F2F">
              <w:rPr>
                <w:rFonts w:ascii="Verdana" w:hAnsi="Verdana" w:cs="Arial"/>
              </w:rPr>
              <w:t xml:space="preserve">Los negocios jurídicos que regula el Decreto 092 de 2017 son esencialmente distintos a los contratos para la adquisición y aprovisionamiento de bienes, obras o servicios regulados por el </w:t>
            </w:r>
            <w:r w:rsidR="00A22BE4">
              <w:rPr>
                <w:rFonts w:ascii="Verdana" w:hAnsi="Verdana" w:cs="Arial"/>
              </w:rPr>
              <w:t>E</w:t>
            </w:r>
            <w:r w:rsidRPr="00612F2F">
              <w:rPr>
                <w:rFonts w:ascii="Verdana" w:hAnsi="Verdana" w:cs="Arial"/>
              </w:rPr>
              <w:t>statuto</w:t>
            </w:r>
            <w:r w:rsidR="00A22BE4">
              <w:rPr>
                <w:rFonts w:ascii="Verdana" w:hAnsi="Verdana" w:cs="Arial"/>
              </w:rPr>
              <w:t xml:space="preserve"> General de</w:t>
            </w:r>
            <w:r w:rsidRPr="00612F2F">
              <w:rPr>
                <w:rFonts w:ascii="Verdana" w:hAnsi="Verdana" w:cs="Arial"/>
              </w:rPr>
              <w:t xml:space="preserve"> </w:t>
            </w:r>
            <w:r w:rsidR="00A22BE4">
              <w:rPr>
                <w:rFonts w:ascii="Verdana" w:hAnsi="Verdana" w:cs="Arial"/>
              </w:rPr>
              <w:t>C</w:t>
            </w:r>
            <w:r w:rsidRPr="00612F2F">
              <w:rPr>
                <w:rFonts w:ascii="Verdana" w:hAnsi="Verdana" w:cs="Arial"/>
              </w:rPr>
              <w:t>ontratación</w:t>
            </w:r>
            <w:r w:rsidR="00A22BE4">
              <w:rPr>
                <w:rFonts w:ascii="Verdana" w:hAnsi="Verdana" w:cs="Arial"/>
              </w:rPr>
              <w:t xml:space="preserve"> de la Administración Pública – en adelante </w:t>
            </w:r>
            <w:r w:rsidR="00D749C2">
              <w:rPr>
                <w:rFonts w:ascii="Verdana" w:hAnsi="Verdana" w:cs="Arial"/>
              </w:rPr>
              <w:t>EGCAP</w:t>
            </w:r>
            <w:r w:rsidRPr="00612F2F">
              <w:rPr>
                <w:rFonts w:ascii="Verdana" w:hAnsi="Verdana" w:cs="Arial"/>
              </w:rPr>
              <w:t xml:space="preserve">. Por lo anterior, si la </w:t>
            </w:r>
            <w:r w:rsidR="00563A8C" w:rsidRPr="00612F2F">
              <w:rPr>
                <w:rFonts w:ascii="Verdana" w:hAnsi="Verdana" w:cs="Arial"/>
              </w:rPr>
              <w:t xml:space="preserve">Entidad Estatal </w:t>
            </w:r>
            <w:r w:rsidRPr="00612F2F">
              <w:rPr>
                <w:rFonts w:ascii="Verdana" w:hAnsi="Verdana" w:cs="Arial"/>
              </w:rPr>
              <w:t>adquiere o se abastece de un bien, obra o servicio en un contrato conmutativo en el cual el proveedor es una ESAL, debe aplicar el régimen contenido en las Leyes 80 de 1993 y 1150 de 2007, y no el Decreto 092 de 2017</w:t>
            </w:r>
            <w:r w:rsidR="00612F2F">
              <w:rPr>
                <w:rFonts w:ascii="Verdana" w:hAnsi="Verdana" w:cs="Arial"/>
              </w:rPr>
              <w:t xml:space="preserve">. </w:t>
            </w:r>
            <w:r w:rsidR="007D06A9">
              <w:rPr>
                <w:rFonts w:ascii="Verdana" w:hAnsi="Verdana" w:cs="Arial"/>
              </w:rPr>
              <w:t xml:space="preserve">En consecuencia, la aplicación del Decreto 092 de 2017 depende del objeto </w:t>
            </w:r>
            <w:r w:rsidR="006066DF">
              <w:rPr>
                <w:rFonts w:ascii="Verdana" w:hAnsi="Verdana" w:cs="Arial"/>
              </w:rPr>
              <w:t xml:space="preserve">que se pretenda contratar, el cual debe ceñirse al desarrollo de </w:t>
            </w:r>
            <w:r w:rsidR="006066DF" w:rsidRPr="00612F2F">
              <w:rPr>
                <w:rFonts w:ascii="Verdana" w:eastAsia="Times New Roman" w:hAnsi="Verdana" w:cs="Times New Roman"/>
                <w:shd w:val="clear" w:color="auto" w:fill="FFFFFF"/>
                <w:lang w:eastAsia="es-ES_tradnl"/>
              </w:rPr>
              <w:t xml:space="preserve">programas o actividades de interés público </w:t>
            </w:r>
            <w:r w:rsidR="0095430C">
              <w:rPr>
                <w:rFonts w:ascii="Verdana" w:eastAsia="Times New Roman" w:hAnsi="Verdana" w:cs="Times New Roman"/>
                <w:shd w:val="clear" w:color="auto" w:fill="FFFFFF"/>
                <w:lang w:eastAsia="es-ES_tradnl"/>
              </w:rPr>
              <w:t xml:space="preserve">que </w:t>
            </w:r>
            <w:r w:rsidR="006066DF" w:rsidRPr="00612F2F">
              <w:rPr>
                <w:rFonts w:ascii="Verdana" w:eastAsia="Times New Roman" w:hAnsi="Verdana" w:cs="Times New Roman"/>
                <w:shd w:val="clear" w:color="auto" w:fill="FFFFFF"/>
                <w:lang w:eastAsia="es-ES_tradnl"/>
              </w:rPr>
              <w:t>sean acordes con el Plan Nacional y los planes seccionales de desarrollo</w:t>
            </w:r>
            <w:r w:rsidR="001A0787">
              <w:rPr>
                <w:rFonts w:ascii="Verdana" w:eastAsia="Times New Roman" w:hAnsi="Verdana" w:cs="Times New Roman"/>
                <w:shd w:val="clear" w:color="auto" w:fill="FFFFFF"/>
                <w:lang w:eastAsia="es-ES_tradnl"/>
              </w:rPr>
              <w:t xml:space="preserve"> o </w:t>
            </w:r>
            <w:r w:rsidR="00521130">
              <w:rPr>
                <w:rFonts w:ascii="Verdana" w:eastAsia="Times New Roman" w:hAnsi="Verdana" w:cs="Times New Roman"/>
                <w:shd w:val="clear" w:color="auto" w:fill="FFFFFF"/>
                <w:lang w:eastAsia="es-ES_tradnl"/>
              </w:rPr>
              <w:t xml:space="preserve">al </w:t>
            </w:r>
            <w:r w:rsidR="004F7AE0">
              <w:rPr>
                <w:rFonts w:ascii="Verdana" w:eastAsia="Times New Roman" w:hAnsi="Verdana" w:cs="Times New Roman"/>
                <w:shd w:val="clear" w:color="auto" w:fill="FFFFFF"/>
                <w:lang w:eastAsia="es-ES_tradnl"/>
              </w:rPr>
              <w:t>adelanto</w:t>
            </w:r>
            <w:r w:rsidR="00521130">
              <w:rPr>
                <w:rFonts w:ascii="Verdana" w:eastAsia="Times New Roman" w:hAnsi="Verdana" w:cs="Times New Roman"/>
                <w:shd w:val="clear" w:color="auto" w:fill="FFFFFF"/>
                <w:lang w:eastAsia="es-ES_tradnl"/>
              </w:rPr>
              <w:t xml:space="preserve"> </w:t>
            </w:r>
            <w:r w:rsidR="004F7AE0">
              <w:rPr>
                <w:rFonts w:ascii="Verdana" w:eastAsia="Times New Roman" w:hAnsi="Verdana" w:cs="Times New Roman"/>
                <w:shd w:val="clear" w:color="auto" w:fill="FFFFFF"/>
                <w:lang w:eastAsia="es-ES_tradnl"/>
              </w:rPr>
              <w:t xml:space="preserve">conjunto </w:t>
            </w:r>
            <w:r w:rsidR="001A0787">
              <w:rPr>
                <w:rFonts w:ascii="Verdana" w:eastAsia="Calibri" w:hAnsi="Verdana" w:cs="Arial"/>
              </w:rPr>
              <w:t>de funciones y cometidos de la Entidad Estatal que lo celebra</w:t>
            </w:r>
            <w:r w:rsidR="00521130">
              <w:rPr>
                <w:rFonts w:ascii="Verdana" w:eastAsia="Calibri" w:hAnsi="Verdana" w:cs="Arial"/>
              </w:rPr>
              <w:t xml:space="preserve">. En consecuencia, </w:t>
            </w:r>
            <w:r w:rsidR="007D06A9">
              <w:rPr>
                <w:rFonts w:ascii="Verdana" w:hAnsi="Verdana" w:cs="Arial"/>
              </w:rPr>
              <w:t>no</w:t>
            </w:r>
            <w:r w:rsidR="001A0787">
              <w:rPr>
                <w:rFonts w:ascii="Verdana" w:hAnsi="Verdana" w:cs="Arial"/>
              </w:rPr>
              <w:t xml:space="preserve"> basta con</w:t>
            </w:r>
            <w:r w:rsidR="007D06A9">
              <w:rPr>
                <w:rFonts w:ascii="Verdana" w:hAnsi="Verdana" w:cs="Arial"/>
              </w:rPr>
              <w:t xml:space="preserve"> que el extremo de la relación </w:t>
            </w:r>
            <w:r w:rsidR="00521130">
              <w:rPr>
                <w:rFonts w:ascii="Verdana" w:hAnsi="Verdana" w:cs="Arial"/>
              </w:rPr>
              <w:t xml:space="preserve">contractual </w:t>
            </w:r>
            <w:r w:rsidR="007D06A9">
              <w:rPr>
                <w:rFonts w:ascii="Verdana" w:hAnsi="Verdana" w:cs="Arial"/>
              </w:rPr>
              <w:t>sea una ESAL</w:t>
            </w:r>
            <w:r w:rsidR="001A0787">
              <w:rPr>
                <w:rFonts w:ascii="Verdana" w:hAnsi="Verdana" w:cs="Arial"/>
              </w:rPr>
              <w:t xml:space="preserve"> para que sea procedente </w:t>
            </w:r>
            <w:r w:rsidR="00A967E1">
              <w:rPr>
                <w:rFonts w:ascii="Verdana" w:hAnsi="Verdana" w:cs="Arial"/>
              </w:rPr>
              <w:t>la</w:t>
            </w:r>
            <w:r w:rsidR="001A0787">
              <w:rPr>
                <w:rFonts w:ascii="Verdana" w:hAnsi="Verdana" w:cs="Arial"/>
              </w:rPr>
              <w:t xml:space="preserve"> aplicación</w:t>
            </w:r>
            <w:r w:rsidR="00A967E1">
              <w:rPr>
                <w:rFonts w:ascii="Verdana" w:hAnsi="Verdana" w:cs="Arial"/>
              </w:rPr>
              <w:t xml:space="preserve"> del Decreto referido</w:t>
            </w:r>
            <w:r w:rsidR="007D06A9">
              <w:rPr>
                <w:rFonts w:ascii="Verdana" w:hAnsi="Verdana" w:cs="Arial"/>
              </w:rPr>
              <w:t xml:space="preserve">. </w:t>
            </w:r>
          </w:p>
          <w:p w14:paraId="486A5907" w14:textId="77777777" w:rsidR="00612F2F" w:rsidRPr="00521130" w:rsidRDefault="00612F2F" w:rsidP="00A22BE4">
            <w:pPr>
              <w:spacing w:line="276" w:lineRule="auto"/>
              <w:jc w:val="both"/>
              <w:rPr>
                <w:rFonts w:ascii="Verdana" w:eastAsia="Calibri" w:hAnsi="Verdana" w:cs="Arial"/>
                <w:lang w:val="es-ES"/>
              </w:rPr>
            </w:pPr>
          </w:p>
          <w:p w14:paraId="2667F091" w14:textId="77777777" w:rsidR="00EC529F" w:rsidRPr="00EE5B8D" w:rsidRDefault="00EC529F" w:rsidP="00A22BE4">
            <w:pPr>
              <w:pStyle w:val="Prrafodelista"/>
              <w:numPr>
                <w:ilvl w:val="0"/>
                <w:numId w:val="17"/>
              </w:numPr>
              <w:spacing w:line="276" w:lineRule="auto"/>
              <w:ind w:left="357" w:hanging="357"/>
              <w:contextualSpacing w:val="0"/>
              <w:jc w:val="both"/>
              <w:rPr>
                <w:rFonts w:ascii="Verdana" w:eastAsia="Calibri" w:hAnsi="Verdana" w:cs="Arial"/>
                <w:lang w:val="es-CO"/>
              </w:rPr>
            </w:pPr>
            <w:r w:rsidRPr="00612F2F">
              <w:rPr>
                <w:rFonts w:ascii="Verdana" w:eastAsia="Arial" w:hAnsi="Verdana" w:cs="Arial"/>
                <w:lang w:eastAsia="es-ES_tradnl"/>
              </w:rPr>
              <w:t>Las Entidades Estatales son autónomas en la configuración del proceso competitivo en desarrollo de los artículos 4 y 5 del Decreto 092 de 2017. En todo caso, el proceso competitivo que definan las Entidades Estatales para sus contratos de colaboración y sus convenios de asociación debe garantizar la libre concurrencia, la pluralidad de interesados y la comparación objetiva de las ofertas. Este procedimiento puede ser análogo a otros donde existe competencia, como la licitación pública</w:t>
            </w:r>
            <w:r w:rsidRPr="00612F2F">
              <w:rPr>
                <w:rFonts w:ascii="Verdana" w:eastAsia="Calibri" w:hAnsi="Verdana" w:cs="Arial"/>
                <w:lang w:eastAsia="es-ES_tradnl"/>
              </w:rPr>
              <w:t>.</w:t>
            </w:r>
          </w:p>
        </w:tc>
      </w:tr>
    </w:tbl>
    <w:p w14:paraId="09B38D50" w14:textId="77777777" w:rsidR="00EC529F" w:rsidRPr="00EE5B8D" w:rsidRDefault="00EC529F" w:rsidP="006C171A">
      <w:pPr>
        <w:tabs>
          <w:tab w:val="left" w:pos="142"/>
          <w:tab w:val="left" w:pos="284"/>
        </w:tabs>
        <w:spacing w:after="0" w:line="276" w:lineRule="auto"/>
        <w:jc w:val="both"/>
        <w:rPr>
          <w:rFonts w:ascii="Verdana" w:eastAsia="Century Gothic" w:hAnsi="Verdana" w:cs="Century Gothic"/>
          <w:b/>
          <w:bCs/>
          <w:lang w:val="es-ES"/>
        </w:rPr>
      </w:pPr>
    </w:p>
    <w:p w14:paraId="4840F560" w14:textId="77777777" w:rsidR="00EC529F" w:rsidRPr="00EE5B8D" w:rsidRDefault="00EC529F" w:rsidP="007165C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E5B8D">
        <w:rPr>
          <w:rFonts w:ascii="Verdana" w:eastAsia="Century Gothic" w:hAnsi="Verdana" w:cs="Century Gothic"/>
          <w:b/>
          <w:bCs/>
        </w:rPr>
        <w:t>Razones de la respuesta:</w:t>
      </w:r>
    </w:p>
    <w:p w14:paraId="7F12505E" w14:textId="77777777" w:rsidR="00EC529F" w:rsidRPr="00EE5B8D" w:rsidRDefault="00EC529F" w:rsidP="007165CC">
      <w:pPr>
        <w:spacing w:after="0" w:line="276" w:lineRule="auto"/>
        <w:jc w:val="both"/>
        <w:rPr>
          <w:rFonts w:ascii="Verdana" w:eastAsia="Calibri" w:hAnsi="Verdana" w:cs="Arial"/>
          <w:lang w:val="es-ES"/>
        </w:rPr>
      </w:pPr>
    </w:p>
    <w:p w14:paraId="7CA226F2" w14:textId="77777777" w:rsidR="00EC529F" w:rsidRPr="00EE5B8D" w:rsidRDefault="00EC529F" w:rsidP="007165CC">
      <w:pPr>
        <w:spacing w:after="0" w:line="276" w:lineRule="auto"/>
        <w:jc w:val="both"/>
        <w:rPr>
          <w:rFonts w:ascii="Verdana" w:eastAsia="Calibri" w:hAnsi="Verdana" w:cs="Arial"/>
          <w:lang w:val="es-ES"/>
        </w:rPr>
      </w:pPr>
      <w:r w:rsidRPr="00EE5B8D">
        <w:rPr>
          <w:rFonts w:ascii="Verdana" w:eastAsia="Calibri" w:hAnsi="Verdana" w:cs="Arial"/>
          <w:lang w:val="es-ES"/>
        </w:rPr>
        <w:t xml:space="preserve">Lo anterior se sustenta en las siguientes consideraciones: </w:t>
      </w:r>
    </w:p>
    <w:p w14:paraId="73BD1B68" w14:textId="77777777" w:rsidR="00EC529F" w:rsidRPr="00EE5B8D" w:rsidRDefault="00EC529F" w:rsidP="007165CC">
      <w:pPr>
        <w:widowControl w:val="0"/>
        <w:autoSpaceDE w:val="0"/>
        <w:autoSpaceDN w:val="0"/>
        <w:spacing w:after="0" w:line="276" w:lineRule="auto"/>
        <w:jc w:val="both"/>
        <w:rPr>
          <w:rFonts w:ascii="Verdana" w:eastAsia="Calibri" w:hAnsi="Verdana" w:cs="Arial"/>
          <w:lang w:val="es-ES"/>
        </w:rPr>
      </w:pPr>
    </w:p>
    <w:p w14:paraId="38D14A9C" w14:textId="31CFEEF0" w:rsidR="00EC529F" w:rsidRPr="00700A2F" w:rsidRDefault="00EC529F" w:rsidP="007165CC">
      <w:pPr>
        <w:pStyle w:val="Prrafodelista"/>
        <w:numPr>
          <w:ilvl w:val="0"/>
          <w:numId w:val="20"/>
        </w:numPr>
        <w:spacing w:after="0" w:line="276" w:lineRule="auto"/>
        <w:ind w:left="360"/>
        <w:contextualSpacing w:val="0"/>
        <w:jc w:val="both"/>
        <w:rPr>
          <w:rFonts w:ascii="Verdana" w:hAnsi="Verdana" w:cs="Arial"/>
        </w:rPr>
      </w:pPr>
      <w:r w:rsidRPr="00700A2F">
        <w:rPr>
          <w:rFonts w:ascii="Verdana" w:hAnsi="Verdana" w:cs="Ari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w:t>
      </w:r>
      <w:r w:rsidR="00753D99">
        <w:rPr>
          <w:rFonts w:ascii="Verdana" w:hAnsi="Verdana" w:cs="Arial"/>
        </w:rPr>
        <w:t>,</w:t>
      </w:r>
      <w:r w:rsidRPr="00700A2F">
        <w:rPr>
          <w:rFonts w:ascii="Verdana" w:hAnsi="Verdana" w:cs="Arial"/>
        </w:rPr>
        <w:t xml:space="preserve"> con el fin de impulsar programas y actividades de interés público acordes con el plan nacional y los planes seccionales de desarrollo</w:t>
      </w:r>
      <w:r w:rsidRPr="005079FD">
        <w:rPr>
          <w:rFonts w:ascii="Verdana" w:hAnsi="Verdana" w:cs="Arial"/>
          <w:vertAlign w:val="superscript"/>
        </w:rPr>
        <w:footnoteReference w:id="2"/>
      </w:r>
      <w:r w:rsidRPr="00700A2F">
        <w:rPr>
          <w:rFonts w:ascii="Verdana" w:hAnsi="Verdana" w:cs="Arial"/>
        </w:rPr>
        <w:t xml:space="preserve">. </w:t>
      </w:r>
      <w:bookmarkStart w:id="2" w:name="_Hlk164688501"/>
      <w:r w:rsidRPr="00700A2F">
        <w:rPr>
          <w:rFonts w:ascii="Verdana" w:hAnsi="Verdana" w:cs="Arial"/>
        </w:rPr>
        <w:lastRenderedPageBreak/>
        <w:t>Por otra parte, el artículo 96 de la Ley 489 de 1998</w:t>
      </w:r>
      <w:r w:rsidRPr="005B7397">
        <w:rPr>
          <w:rFonts w:ascii="Verdana" w:hAnsi="Verdana" w:cs="Arial"/>
          <w:vertAlign w:val="superscript"/>
        </w:rPr>
        <w:footnoteReference w:id="3"/>
      </w:r>
      <w:r w:rsidRPr="00700A2F">
        <w:rPr>
          <w:rFonts w:ascii="Verdana" w:hAnsi="Verdana" w:cs="Arial"/>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2"/>
      <w:r w:rsidRPr="00700A2F">
        <w:rPr>
          <w:rFonts w:ascii="Verdana" w:hAnsi="Verdana" w:cs="Arial"/>
        </w:rPr>
        <w:t>.</w:t>
      </w:r>
      <w:bookmarkStart w:id="4" w:name="_Hlk38819155"/>
    </w:p>
    <w:p w14:paraId="502816D1" w14:textId="77777777" w:rsidR="00EC529F" w:rsidRPr="00EE5B8D" w:rsidRDefault="00EC529F" w:rsidP="007165CC">
      <w:pPr>
        <w:pStyle w:val="Prrafodelista"/>
        <w:spacing w:after="0" w:line="276" w:lineRule="auto"/>
        <w:ind w:left="0"/>
        <w:contextualSpacing w:val="0"/>
        <w:jc w:val="both"/>
        <w:rPr>
          <w:rFonts w:ascii="Verdana" w:eastAsia="Calibri" w:hAnsi="Verdana" w:cs="Arial"/>
        </w:rPr>
      </w:pPr>
    </w:p>
    <w:p w14:paraId="2D002918" w14:textId="77777777" w:rsidR="00EC529F" w:rsidRPr="00EE5B8D" w:rsidRDefault="00EC529F" w:rsidP="007165CC">
      <w:pPr>
        <w:pStyle w:val="Prrafodelista"/>
        <w:numPr>
          <w:ilvl w:val="0"/>
          <w:numId w:val="20"/>
        </w:numPr>
        <w:spacing w:after="0" w:line="276" w:lineRule="auto"/>
        <w:ind w:left="360"/>
        <w:contextualSpacing w:val="0"/>
        <w:jc w:val="both"/>
        <w:rPr>
          <w:rFonts w:ascii="Verdana" w:eastAsia="Calibri" w:hAnsi="Verdana" w:cs="Arial"/>
        </w:rPr>
      </w:pPr>
      <w:bookmarkStart w:id="5" w:name="_Hlk171946092"/>
      <w:r w:rsidRPr="00EE5B8D">
        <w:rPr>
          <w:rFonts w:ascii="Verdana" w:hAnsi="Verdana" w:cs="Arial"/>
        </w:rPr>
        <w:t>El Gobierno Nacional, en desarrollo del artículo 355 de la Constitución Política, expidió el Decreto 092 de 2017, q</w:t>
      </w:r>
      <w:r w:rsidRPr="00EE5B8D">
        <w:rPr>
          <w:rFonts w:ascii="Verdana" w:eastAsia="Calibri" w:hAnsi="Verdana" w:cs="Arial"/>
        </w:rPr>
        <w:t xml:space="preserve">ue dispone las reglas para las contrataciones que realicen las Entidades Estatales con las ESAL. El Decreto regula dos (2) eventos: i) </w:t>
      </w:r>
      <w:r w:rsidRPr="00EE5B8D">
        <w:rPr>
          <w:rFonts w:ascii="Verdana" w:eastAsia="Calibri" w:hAnsi="Verdana" w:cs="Arial"/>
          <w:lang w:eastAsia="es-ES_tradnl"/>
        </w:rPr>
        <w:t xml:space="preserve">los </w:t>
      </w:r>
      <w:r w:rsidRPr="00EE5B8D">
        <w:rPr>
          <w:rFonts w:ascii="Verdana" w:eastAsia="Calibri" w:hAnsi="Verdana" w:cs="Arial"/>
          <w:i/>
          <w:iCs/>
          <w:lang w:eastAsia="es-ES_tradnl"/>
        </w:rPr>
        <w:t>contratos de colaboración</w:t>
      </w:r>
      <w:r w:rsidRPr="00EE5B8D">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EE5B8D">
        <w:rPr>
          <w:rFonts w:ascii="Verdana" w:eastAsia="Calibri" w:hAnsi="Verdana" w:cs="Arial"/>
        </w:rPr>
        <w:t xml:space="preserve"> y; ii) los </w:t>
      </w:r>
      <w:r w:rsidRPr="00EE5B8D">
        <w:rPr>
          <w:rFonts w:ascii="Verdana" w:eastAsia="Calibri" w:hAnsi="Verdana" w:cs="Arial"/>
          <w:i/>
          <w:iCs/>
        </w:rPr>
        <w:t>convenios de asociación</w:t>
      </w:r>
      <w:r w:rsidRPr="00EE5B8D">
        <w:rPr>
          <w:rFonts w:ascii="Verdana" w:eastAsia="Calibri" w:hAnsi="Verdana" w:cs="Arial"/>
        </w:rPr>
        <w:t xml:space="preserve">, para el desarrollo conjunto de actividades relacionadas con las funciones de las Entidades Estatales, en desarrollo del artículo 96 de la Ley 489 de 1998. </w:t>
      </w:r>
      <w:r w:rsidRPr="00EE5B8D">
        <w:rPr>
          <w:rFonts w:ascii="Verdana" w:eastAsia="Calibri" w:hAnsi="Verdana" w:cs="Arial"/>
          <w:lang w:eastAsia="es-ES_tradnl"/>
        </w:rPr>
        <w:t xml:space="preserve">Los primeros están regulados en el artículo 2 del Decreto 092 de 2017, mientras que los segundos en los artículos 5, 6, 7 y 8 </w:t>
      </w:r>
      <w:r w:rsidRPr="00EE5B8D">
        <w:rPr>
          <w:rFonts w:ascii="Verdana" w:eastAsia="Calibri" w:hAnsi="Verdana" w:cs="Arial"/>
          <w:i/>
          <w:iCs/>
          <w:lang w:eastAsia="es-ES_tradnl"/>
        </w:rPr>
        <w:t>ibidem</w:t>
      </w:r>
      <w:r w:rsidRPr="00EE5B8D">
        <w:rPr>
          <w:rFonts w:ascii="Verdana" w:eastAsia="Calibri" w:hAnsi="Verdana" w:cs="Arial"/>
          <w:lang w:eastAsia="es-ES_tradnl"/>
        </w:rPr>
        <w:t xml:space="preserve">. </w:t>
      </w:r>
      <w:bookmarkEnd w:id="5"/>
      <w:r w:rsidRPr="00EE5B8D">
        <w:rPr>
          <w:rFonts w:ascii="Verdana" w:eastAsia="Calibri" w:hAnsi="Verdana" w:cs="Arial"/>
          <w:lang w:eastAsia="es-ES_tradnl"/>
        </w:rPr>
        <w:t xml:space="preserve">Es posible diferenciar, pues, los </w:t>
      </w:r>
      <w:r w:rsidRPr="00EE5B8D">
        <w:rPr>
          <w:rFonts w:ascii="Verdana" w:eastAsia="Calibri" w:hAnsi="Verdana" w:cs="Arial"/>
          <w:i/>
          <w:iCs/>
          <w:lang w:eastAsia="es-ES_tradnl"/>
        </w:rPr>
        <w:t>convenios de asociación</w:t>
      </w:r>
      <w:r w:rsidRPr="00EE5B8D">
        <w:rPr>
          <w:rFonts w:ascii="Verdana" w:eastAsia="Calibri" w:hAnsi="Verdana" w:cs="Arial"/>
          <w:lang w:eastAsia="es-ES_tradnl"/>
        </w:rPr>
        <w:t xml:space="preserve">, regulados en el artículo 5, de los </w:t>
      </w:r>
      <w:r w:rsidRPr="00EE5B8D">
        <w:rPr>
          <w:rFonts w:ascii="Verdana" w:eastAsia="Calibri" w:hAnsi="Verdana" w:cs="Arial"/>
          <w:i/>
          <w:iCs/>
          <w:lang w:eastAsia="es-ES_tradnl"/>
        </w:rPr>
        <w:t>contratos de colaboración</w:t>
      </w:r>
      <w:r w:rsidRPr="00EE5B8D">
        <w:rPr>
          <w:rFonts w:ascii="Verdana" w:eastAsia="Calibri" w:hAnsi="Verdana" w:cs="Arial"/>
          <w:lang w:eastAsia="es-ES_tradnl"/>
        </w:rPr>
        <w:t>, establecidos en el artículo 2 del Decreto 092 de 2017</w:t>
      </w:r>
      <w:r w:rsidRPr="00EE5B8D">
        <w:rPr>
          <w:rFonts w:ascii="Verdana" w:hAnsi="Verdana"/>
          <w:vertAlign w:val="superscript"/>
          <w:lang w:eastAsia="es-ES_tradnl"/>
        </w:rPr>
        <w:footnoteReference w:id="4"/>
      </w:r>
      <w:r w:rsidRPr="00EE5B8D">
        <w:rPr>
          <w:rFonts w:ascii="Verdana" w:eastAsia="Calibri" w:hAnsi="Verdana" w:cs="Arial"/>
          <w:lang w:eastAsia="es-ES_tradnl"/>
        </w:rPr>
        <w:t>.</w:t>
      </w:r>
      <w:bookmarkEnd w:id="4"/>
    </w:p>
    <w:p w14:paraId="7A353709" w14:textId="77777777" w:rsidR="00EC529F" w:rsidRPr="00EE5B8D" w:rsidRDefault="00EC529F" w:rsidP="007165CC">
      <w:pPr>
        <w:pStyle w:val="Prrafodelista"/>
        <w:spacing w:after="0" w:line="276" w:lineRule="auto"/>
        <w:ind w:left="0"/>
        <w:contextualSpacing w:val="0"/>
        <w:rPr>
          <w:rFonts w:ascii="Verdana" w:eastAsia="Calibri" w:hAnsi="Verdana" w:cs="Arial"/>
        </w:rPr>
      </w:pPr>
    </w:p>
    <w:p w14:paraId="668D52BF" w14:textId="77777777" w:rsidR="00EC529F" w:rsidRPr="00EE5B8D" w:rsidRDefault="00EC529F" w:rsidP="007165CC">
      <w:pPr>
        <w:pStyle w:val="Prrafodelista"/>
        <w:numPr>
          <w:ilvl w:val="0"/>
          <w:numId w:val="20"/>
        </w:numPr>
        <w:spacing w:after="0" w:line="276" w:lineRule="auto"/>
        <w:ind w:left="360"/>
        <w:contextualSpacing w:val="0"/>
        <w:jc w:val="both"/>
        <w:rPr>
          <w:rFonts w:ascii="Verdana" w:eastAsia="Calibri" w:hAnsi="Verdana" w:cs="Arial"/>
        </w:rPr>
      </w:pPr>
      <w:bookmarkStart w:id="6" w:name="_Hlk171946110"/>
      <w:r w:rsidRPr="00EE5B8D">
        <w:rPr>
          <w:rFonts w:ascii="Verdana" w:eastAsia="Calibri" w:hAnsi="Verdana" w:cs="Arial"/>
        </w:rPr>
        <w:t xml:space="preserve">De un lado, los </w:t>
      </w:r>
      <w:r w:rsidRPr="00EE5B8D">
        <w:rPr>
          <w:rFonts w:ascii="Verdana" w:eastAsia="Calibri" w:hAnsi="Verdana" w:cs="Arial"/>
          <w:i/>
          <w:iCs/>
        </w:rPr>
        <w:t>contratos del artículo 355 de la Constitución Política</w:t>
      </w:r>
      <w:r w:rsidRPr="00EE5B8D">
        <w:rPr>
          <w:rFonts w:ascii="Verdana" w:eastAsia="Calibri" w:hAnsi="Verdana" w:cs="Aria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w:t>
      </w:r>
      <w:r w:rsidRPr="00EE5B8D">
        <w:rPr>
          <w:rFonts w:ascii="Verdana" w:eastAsia="Calibri" w:hAnsi="Verdana" w:cs="Arial"/>
        </w:rPr>
        <w:lastRenderedPageBreak/>
        <w:t xml:space="preserve">2017, por regla general, la entidad debe adelantar un proceso competitivo para seleccionar la ESAL contratista. </w:t>
      </w:r>
    </w:p>
    <w:bookmarkEnd w:id="6"/>
    <w:p w14:paraId="56AC5A9A" w14:textId="77777777" w:rsidR="00EC529F" w:rsidRPr="00EE5B8D" w:rsidRDefault="00EC529F" w:rsidP="007165CC">
      <w:pPr>
        <w:pStyle w:val="Prrafodelista"/>
        <w:spacing w:after="0" w:line="276" w:lineRule="auto"/>
        <w:ind w:left="0"/>
        <w:contextualSpacing w:val="0"/>
        <w:rPr>
          <w:rFonts w:ascii="Verdana" w:eastAsia="Calibri" w:hAnsi="Verdana" w:cs="Arial"/>
        </w:rPr>
      </w:pPr>
    </w:p>
    <w:p w14:paraId="2D1CB165" w14:textId="77777777" w:rsidR="00EC529F" w:rsidRPr="00EE5B8D" w:rsidRDefault="00EC529F" w:rsidP="007165CC">
      <w:pPr>
        <w:pStyle w:val="Prrafodelista"/>
        <w:numPr>
          <w:ilvl w:val="0"/>
          <w:numId w:val="20"/>
        </w:numPr>
        <w:spacing w:after="0" w:line="276" w:lineRule="auto"/>
        <w:ind w:left="360"/>
        <w:contextualSpacing w:val="0"/>
        <w:jc w:val="both"/>
        <w:rPr>
          <w:rFonts w:ascii="Verdana" w:eastAsia="Calibri" w:hAnsi="Verdana" w:cs="Arial"/>
        </w:rPr>
      </w:pPr>
      <w:bookmarkStart w:id="7" w:name="_Hlk171946189"/>
      <w:r w:rsidRPr="00EE5B8D">
        <w:rPr>
          <w:rFonts w:ascii="Verdana" w:eastAsia="Calibri" w:hAnsi="Verdana" w:cs="Arial"/>
        </w:rPr>
        <w:t xml:space="preserve">De otro lado, los </w:t>
      </w:r>
      <w:r w:rsidRPr="00EE5B8D">
        <w:rPr>
          <w:rFonts w:ascii="Verdana" w:eastAsia="Calibri" w:hAnsi="Verdana" w:cs="Arial"/>
          <w:i/>
          <w:iCs/>
        </w:rPr>
        <w:t>convenios de asociación</w:t>
      </w:r>
      <w:r w:rsidRPr="00EE5B8D">
        <w:rPr>
          <w:rFonts w:ascii="Verdana" w:eastAsia="Calibri" w:hAnsi="Verdana" w:cs="Arial"/>
        </w:rPr>
        <w:t xml:space="preserve"> “[…]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E5B8D">
        <w:rPr>
          <w:rFonts w:ascii="Verdana" w:hAnsi="Verdana"/>
          <w:vertAlign w:val="superscript"/>
        </w:rPr>
        <w:footnoteReference w:id="5"/>
      </w:r>
      <w:r w:rsidRPr="00EE5B8D">
        <w:rPr>
          <w:rFonts w:ascii="Verdana" w:eastAsia="Calibri" w:hAnsi="Verdana" w:cs="Arial"/>
        </w:rPr>
        <w:t xml:space="preserve">. </w:t>
      </w:r>
      <w:bookmarkEnd w:id="7"/>
      <w:r w:rsidRPr="00EE5B8D">
        <w:rPr>
          <w:rFonts w:ascii="Verdana" w:eastAsia="Calibri" w:hAnsi="Verdana" w:cs="Arial"/>
          <w:lang w:eastAsia="es-ES_tradnl"/>
        </w:rPr>
        <w:t xml:space="preserve">De conformidad con el inciso segundo del </w:t>
      </w:r>
      <w:bookmarkStart w:id="8" w:name="_Hlk171946223"/>
      <w:r w:rsidRPr="00EE5B8D">
        <w:rPr>
          <w:rFonts w:ascii="Verdana" w:eastAsia="Calibri" w:hAnsi="Verdana" w:cs="Arial"/>
          <w:lang w:eastAsia="es-ES_tradnl"/>
        </w:rPr>
        <w:t>artículo 96 de la Ley 489 de 1998</w:t>
      </w:r>
      <w:bookmarkEnd w:id="8"/>
      <w:r w:rsidRPr="00EE5B8D">
        <w:rPr>
          <w:rFonts w:ascii="Verdana" w:eastAsia="Calibri" w:hAnsi="Verdana" w:cs="Arial"/>
          <w:lang w:eastAsia="es-ES_tradnl"/>
        </w:rPr>
        <w:t xml:space="preserve">, en estos convenios debe determinarse “con precisión su objeto, término, obligaciones de las partes, aportes, coordinación y todos aquellos aspectos que se consideren pertinentes”. </w:t>
      </w:r>
      <w:r w:rsidRPr="00EE5B8D">
        <w:rPr>
          <w:rFonts w:ascii="Verdana" w:eastAsia="Calibri" w:hAnsi="Verdana" w:cs="Arial"/>
        </w:rPr>
        <w:t xml:space="preserve">En estos convenios no existe contraprestación o pago, sino aportes, los cuales están dirigidos, exclusivamente, a lograr la ejecución del convenio no a remunerar la actividad o actuaciones del asociado. </w:t>
      </w:r>
    </w:p>
    <w:p w14:paraId="40CE354D" w14:textId="77777777" w:rsidR="00EC529F" w:rsidRPr="00EE5B8D" w:rsidRDefault="00EC529F" w:rsidP="007165CC">
      <w:pPr>
        <w:spacing w:after="0" w:line="276" w:lineRule="auto"/>
        <w:jc w:val="both"/>
        <w:rPr>
          <w:rFonts w:ascii="Verdana" w:eastAsia="Calibri" w:hAnsi="Verdana" w:cs="Arial"/>
          <w:lang w:val="es-ES"/>
        </w:rPr>
      </w:pPr>
    </w:p>
    <w:p w14:paraId="41DF9AFF" w14:textId="37EDE7F2" w:rsidR="00EC529F" w:rsidRPr="00EE5B8D" w:rsidRDefault="00EC529F" w:rsidP="007165CC">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Teniendo en cuenta lo expuesto y en atención a su pregunta número uno</w:t>
      </w:r>
      <w:r w:rsidR="00D80870">
        <w:rPr>
          <w:rFonts w:ascii="Verdana" w:eastAsia="Calibri" w:hAnsi="Verdana" w:cs="Arial"/>
        </w:rPr>
        <w:t xml:space="preserve"> de su consulta y el problema jurídico planteado por esta Agencia</w:t>
      </w:r>
      <w:r w:rsidRPr="00EE5B8D">
        <w:rPr>
          <w:rFonts w:ascii="Verdana" w:eastAsia="Calibri" w:hAnsi="Verdana" w:cs="Arial"/>
        </w:rPr>
        <w:t xml:space="preserve">, es importante señalar que, </w:t>
      </w:r>
      <w:bookmarkStart w:id="9" w:name="_Hlk171946202"/>
      <w:r w:rsidRPr="00EE5B8D">
        <w:rPr>
          <w:rFonts w:ascii="Verdana" w:hAnsi="Verdana" w:cs="Arial"/>
        </w:rPr>
        <w:t>los negocios jurídicos que regula el Decreto 092 de 2017 “[…] son esencialmente distintos a los contratos para la adquisición y aprovisionamiento de bienes, obras o servicios regulados por el estatuto de contratación y [, como tal,] no hacen parte del sistema de compra pública. […]</w:t>
      </w:r>
      <w:r w:rsidR="00DF148E">
        <w:rPr>
          <w:rFonts w:ascii="Verdana" w:hAnsi="Verdana" w:cs="Arial"/>
        </w:rPr>
        <w:t>.</w:t>
      </w:r>
      <w:r w:rsidRPr="00EE5B8D">
        <w:rPr>
          <w:rFonts w:ascii="Verdana" w:hAnsi="Verdana" w:cs="Arial"/>
        </w:rPr>
        <w:t xml:space="preserve"> De acuerdo con lo anterior, si la entidad estatal adquiere o se abastece de un bien, obra o servicio en un contrato conmutativo en el cual el proveedor es una [ESAL], debe aplicar el régimen contenido en las Leyes 80 de 1993 y 1150 de 2007, y no el Decreto 092 de 2017</w:t>
      </w:r>
      <w:bookmarkEnd w:id="9"/>
      <w:r w:rsidRPr="00EE5B8D">
        <w:rPr>
          <w:rFonts w:ascii="Verdana" w:hAnsi="Verdana" w:cs="Arial"/>
        </w:rPr>
        <w:t>”</w:t>
      </w:r>
      <w:r w:rsidRPr="00EE5B8D">
        <w:rPr>
          <w:rStyle w:val="Refdenotaalpie"/>
          <w:rFonts w:ascii="Verdana" w:hAnsi="Verdana" w:cs="Arial"/>
        </w:rPr>
        <w:footnoteReference w:id="6"/>
      </w:r>
      <w:r w:rsidRPr="00EE5B8D">
        <w:rPr>
          <w:rFonts w:ascii="Verdana" w:hAnsi="Verdana" w:cs="Arial"/>
        </w:rPr>
        <w:t xml:space="preserve">. Así lo consideró la </w:t>
      </w:r>
      <w:bookmarkStart w:id="10" w:name="_Hlk171946251"/>
      <w:r w:rsidRPr="00EE5B8D">
        <w:rPr>
          <w:rFonts w:ascii="Verdana" w:hAnsi="Verdana" w:cs="Arial"/>
        </w:rPr>
        <w:t>Sala de Consulta y Servicio Civil del Consejo de Estado</w:t>
      </w:r>
      <w:bookmarkEnd w:id="10"/>
      <w:r w:rsidRPr="00EE5B8D">
        <w:rPr>
          <w:rStyle w:val="Refdenotaalpie"/>
          <w:rFonts w:ascii="Verdana" w:hAnsi="Verdana" w:cs="Arial"/>
        </w:rPr>
        <w:footnoteReference w:id="7"/>
      </w:r>
      <w:r w:rsidRPr="00EE5B8D">
        <w:rPr>
          <w:rFonts w:ascii="Verdana" w:hAnsi="Verdana" w:cs="Arial"/>
        </w:rPr>
        <w:t>:</w:t>
      </w:r>
    </w:p>
    <w:p w14:paraId="3A4A022D" w14:textId="77777777" w:rsidR="00EC529F" w:rsidRPr="00EE5B8D" w:rsidRDefault="00EC529F" w:rsidP="007165CC">
      <w:pPr>
        <w:pStyle w:val="Sinespaciado"/>
        <w:spacing w:line="276" w:lineRule="auto"/>
        <w:jc w:val="both"/>
        <w:rPr>
          <w:rFonts w:ascii="Verdana" w:hAnsi="Verdana" w:cs="Arial"/>
          <w:sz w:val="22"/>
        </w:rPr>
      </w:pPr>
    </w:p>
    <w:p w14:paraId="772BB652"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 xml:space="preserve">“Como ya se indicó, </w:t>
      </w:r>
      <w:bookmarkStart w:id="12" w:name="_Hlk171946287"/>
      <w:r w:rsidRPr="007D1E3B">
        <w:rPr>
          <w:rFonts w:ascii="Verdana" w:eastAsia="Calibri" w:hAnsi="Verdana" w:cs="Arial"/>
          <w:sz w:val="20"/>
          <w:szCs w:val="20"/>
        </w:rPr>
        <w:t xml:space="preserve">el objeto de los contratos que autoriza el inciso segundo del artículo 355 Superior, se limita a la realización de actividades o programas de interés público que, conforme a los planes de desarrollo, adelanten instituciones privadas sin ánimo de lucro. </w:t>
      </w:r>
      <w:bookmarkEnd w:id="12"/>
      <w:r w:rsidRPr="007D1E3B">
        <w:rPr>
          <w:rFonts w:ascii="Verdana" w:eastAsia="Calibri" w:hAnsi="Verdana" w:cs="Arial"/>
          <w:sz w:val="20"/>
          <w:szCs w:val="20"/>
        </w:rPr>
        <w:t xml:space="preserve">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w:t>
      </w:r>
      <w:r w:rsidRPr="007D1E3B">
        <w:rPr>
          <w:rFonts w:ascii="Verdana" w:eastAsia="Calibri" w:hAnsi="Verdana" w:cs="Arial"/>
          <w:sz w:val="20"/>
          <w:szCs w:val="20"/>
        </w:rPr>
        <w:lastRenderedPageBreak/>
        <w:t>80 de 1.993, debiendo sujetarse a los procedimientos allí previstos, en especial los de escogencia del contratista.</w:t>
      </w:r>
    </w:p>
    <w:p w14:paraId="3FB0E91A" w14:textId="77777777" w:rsidR="00EC529F" w:rsidRPr="007D1E3B" w:rsidRDefault="00EC529F" w:rsidP="00EC529F">
      <w:pPr>
        <w:spacing w:after="0" w:line="240" w:lineRule="auto"/>
        <w:ind w:left="709" w:right="709"/>
        <w:jc w:val="both"/>
        <w:rPr>
          <w:rFonts w:ascii="Verdana" w:eastAsia="Calibri" w:hAnsi="Verdana" w:cs="Arial"/>
          <w:sz w:val="20"/>
          <w:szCs w:val="20"/>
        </w:rPr>
      </w:pPr>
    </w:p>
    <w:p w14:paraId="00EB572D"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5F7C0CD2" w14:textId="77777777" w:rsidR="00EC529F" w:rsidRPr="007D1E3B" w:rsidRDefault="00EC529F" w:rsidP="007372BB">
      <w:pPr>
        <w:spacing w:after="0" w:line="276" w:lineRule="auto"/>
        <w:jc w:val="both"/>
        <w:rPr>
          <w:rFonts w:ascii="Verdana" w:eastAsia="Calibri" w:hAnsi="Verdana" w:cs="Arial"/>
        </w:rPr>
      </w:pPr>
    </w:p>
    <w:p w14:paraId="3504CC54"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bookmarkStart w:id="13" w:name="_Hlk95756200"/>
      <w:r w:rsidRPr="00EE5B8D">
        <w:rPr>
          <w:rFonts w:ascii="Verdana" w:eastAsia="Calibri" w:hAnsi="Verdana" w:cs="Arial"/>
        </w:rPr>
        <w:t xml:space="preserve">De acuerdo con lo anterior, </w:t>
      </w:r>
      <w:bookmarkStart w:id="14" w:name="_Hlk171937920"/>
      <w:r w:rsidRPr="00EE5B8D">
        <w:rPr>
          <w:rFonts w:ascii="Verdana" w:eastAsia="Calibri" w:hAnsi="Verdana" w:cs="Arial"/>
        </w:rPr>
        <w:t>no todas las actividades que las Entidades Estatales deben desarrollar para alcanzar sus objetivos misionales deben ejecutarse a través de la celebración de contratos del artículo 355 superior o convenios de asociación. Sobre el particular,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w:t>
      </w:r>
      <w:bookmarkEnd w:id="14"/>
      <w:r w:rsidRPr="00EE5B8D">
        <w:rPr>
          <w:rFonts w:ascii="Verdana" w:eastAsia="Calibri" w:hAnsi="Verdana" w:cs="Arial"/>
        </w:rPr>
        <w:t xml:space="preserve"> </w:t>
      </w:r>
      <w:bookmarkEnd w:id="13"/>
      <w:r w:rsidRPr="00EE5B8D">
        <w:rPr>
          <w:rFonts w:ascii="Verdana" w:eastAsia="Calibri" w:hAnsi="Verdana" w:cs="Arial"/>
        </w:rPr>
        <w:t xml:space="preserve">Así lo reconoció la </w:t>
      </w:r>
      <w:bookmarkStart w:id="15" w:name="_Hlk171946330"/>
      <w:r w:rsidRPr="00EE5B8D">
        <w:rPr>
          <w:rFonts w:ascii="Verdana" w:eastAsia="Calibri" w:hAnsi="Verdana" w:cs="Arial"/>
        </w:rPr>
        <w:t>Corte Constitucional en la sentencia C-287 del 18 de abril de 2012</w:t>
      </w:r>
      <w:bookmarkEnd w:id="15"/>
      <w:r w:rsidRPr="00EE5B8D">
        <w:rPr>
          <w:rFonts w:ascii="Verdana" w:eastAsia="Calibri" w:hAnsi="Verdana" w:cs="Arial"/>
        </w:rPr>
        <w:t>, en la que sostuvo lo siguiente:</w:t>
      </w:r>
    </w:p>
    <w:p w14:paraId="141F7102" w14:textId="77777777" w:rsidR="00EC529F" w:rsidRPr="007D1E3B" w:rsidRDefault="00EC529F" w:rsidP="007372BB">
      <w:pPr>
        <w:spacing w:after="0" w:line="276" w:lineRule="auto"/>
        <w:ind w:firstLine="708"/>
        <w:jc w:val="both"/>
        <w:rPr>
          <w:rFonts w:ascii="Verdana" w:eastAsia="Calibri" w:hAnsi="Verdana" w:cs="Arial"/>
        </w:rPr>
      </w:pPr>
    </w:p>
    <w:p w14:paraId="153F1FF0"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31B8F53B" w14:textId="77777777" w:rsidR="00EC529F" w:rsidRPr="007D1E3B" w:rsidRDefault="00EC529F" w:rsidP="00EC529F">
      <w:pPr>
        <w:spacing w:after="0" w:line="240" w:lineRule="auto"/>
        <w:ind w:left="709" w:right="709"/>
        <w:jc w:val="both"/>
        <w:rPr>
          <w:rFonts w:ascii="Verdana" w:eastAsia="Calibri" w:hAnsi="Verdana" w:cs="Arial"/>
          <w:sz w:val="20"/>
          <w:szCs w:val="20"/>
        </w:rPr>
      </w:pPr>
    </w:p>
    <w:p w14:paraId="62FE4D2A"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i/>
          <w:sz w:val="20"/>
          <w:szCs w:val="20"/>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7D1E3B">
        <w:rPr>
          <w:rFonts w:ascii="Verdana" w:eastAsia="Calibri" w:hAnsi="Verdana" w:cs="Arial"/>
          <w:sz w:val="20"/>
          <w:szCs w:val="20"/>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[Énfasis fuera del texto original]</w:t>
      </w:r>
    </w:p>
    <w:p w14:paraId="0D1B7050" w14:textId="77777777" w:rsidR="00EC529F" w:rsidRPr="00EE5B8D" w:rsidRDefault="00EC529F" w:rsidP="00EC529F">
      <w:pPr>
        <w:spacing w:after="0" w:line="276" w:lineRule="auto"/>
        <w:ind w:firstLine="709"/>
        <w:jc w:val="both"/>
        <w:rPr>
          <w:rFonts w:ascii="Verdana" w:eastAsia="Calibri" w:hAnsi="Verdana" w:cs="Arial"/>
        </w:rPr>
      </w:pPr>
    </w:p>
    <w:p w14:paraId="70B05466"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w:t>
      </w:r>
      <w:bookmarkStart w:id="16" w:name="_Hlk171937934"/>
    </w:p>
    <w:p w14:paraId="37A2B4C2" w14:textId="77777777" w:rsidR="00EC529F" w:rsidRPr="00EE5B8D" w:rsidRDefault="00EC529F" w:rsidP="0010108F">
      <w:pPr>
        <w:pStyle w:val="Prrafodelista"/>
        <w:spacing w:after="0" w:line="276" w:lineRule="auto"/>
        <w:ind w:left="0"/>
        <w:contextualSpacing w:val="0"/>
        <w:jc w:val="both"/>
        <w:rPr>
          <w:rFonts w:ascii="Verdana" w:eastAsia="Calibri" w:hAnsi="Verdana" w:cs="Arial"/>
        </w:rPr>
      </w:pPr>
    </w:p>
    <w:p w14:paraId="77FD38EF"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lastRenderedPageBreak/>
        <w:t>Sin perjuicio de lo anterior, es menester resaltar que las ESAL pueden participar en igualdad de condiciones en Procesos de Contratación regidos por la Ley 80 de 1993, la Ley 1150 de 2007 y el Decreto 1082 de 2015, siempre y cuando cumplan con los requisitos exigidos en los Documentos del Proceso.</w:t>
      </w:r>
      <w:bookmarkEnd w:id="16"/>
      <w:r w:rsidRPr="00EE5B8D">
        <w:rPr>
          <w:rFonts w:ascii="Verdana" w:eastAsia="Calibri" w:hAnsi="Verdana" w:cs="Arial"/>
        </w:rPr>
        <w:t xml:space="preserve">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487E2D72" w14:textId="77777777" w:rsidR="00EC529F" w:rsidRPr="00EE5B8D" w:rsidRDefault="00EC529F" w:rsidP="00700A2F">
      <w:pPr>
        <w:pStyle w:val="Prrafodelista"/>
        <w:spacing w:after="0" w:line="276" w:lineRule="auto"/>
        <w:ind w:left="360"/>
        <w:contextualSpacing w:val="0"/>
        <w:jc w:val="both"/>
        <w:rPr>
          <w:rFonts w:ascii="Verdana" w:eastAsia="Calibri" w:hAnsi="Verdana" w:cs="Arial"/>
        </w:rPr>
      </w:pPr>
    </w:p>
    <w:p w14:paraId="2BA25BBC" w14:textId="32DE07A8"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Ahora bien, con el fin de resolver las cuestiones planteadas en las preguntas </w:t>
      </w:r>
      <w:r w:rsidR="00C60D7C">
        <w:rPr>
          <w:rFonts w:ascii="Verdana" w:eastAsia="Calibri" w:hAnsi="Verdana" w:cs="Arial"/>
        </w:rPr>
        <w:t>dos</w:t>
      </w:r>
      <w:r w:rsidRPr="00EE5B8D">
        <w:rPr>
          <w:rFonts w:ascii="Verdana" w:eastAsia="Calibri" w:hAnsi="Verdana" w:cs="Arial"/>
        </w:rPr>
        <w:t xml:space="preserve"> y </w:t>
      </w:r>
      <w:r w:rsidR="00C60D7C">
        <w:rPr>
          <w:rFonts w:ascii="Verdana" w:eastAsia="Calibri" w:hAnsi="Verdana" w:cs="Arial"/>
        </w:rPr>
        <w:t>tres</w:t>
      </w:r>
      <w:r w:rsidRPr="00EE5B8D">
        <w:rPr>
          <w:rFonts w:ascii="Verdana" w:eastAsia="Calibri" w:hAnsi="Verdana" w:cs="Arial"/>
        </w:rPr>
        <w:t xml:space="preserve"> de su consulta</w:t>
      </w:r>
      <w:r w:rsidR="00124D8B">
        <w:rPr>
          <w:rFonts w:ascii="Verdana" w:eastAsia="Calibri" w:hAnsi="Verdana" w:cs="Arial"/>
        </w:rPr>
        <w:t xml:space="preserve"> y los problemas jurídicos que delimitó la Agencia</w:t>
      </w:r>
      <w:r w:rsidRPr="00EE5B8D">
        <w:rPr>
          <w:rFonts w:ascii="Verdana" w:eastAsia="Calibri" w:hAnsi="Verdana" w:cs="Arial"/>
        </w:rPr>
        <w:t>, resulta pertinente analizar los objetos contractuales que se</w:t>
      </w:r>
      <w:r w:rsidR="005F4E04">
        <w:rPr>
          <w:rFonts w:ascii="Verdana" w:eastAsia="Calibri" w:hAnsi="Verdana" w:cs="Arial"/>
        </w:rPr>
        <w:t xml:space="preserve"> habilitan</w:t>
      </w:r>
      <w:r w:rsidRPr="00EE5B8D">
        <w:rPr>
          <w:rFonts w:ascii="Verdana" w:eastAsia="Calibri" w:hAnsi="Verdana" w:cs="Arial"/>
        </w:rPr>
        <w:t xml:space="preserve"> celebrar a través de los contratos de colaboración y los convenios de asociación. </w:t>
      </w:r>
    </w:p>
    <w:p w14:paraId="0EA615AA" w14:textId="77777777" w:rsidR="00EC529F" w:rsidRPr="00EE5B8D" w:rsidRDefault="00EC529F" w:rsidP="00700A2F">
      <w:pPr>
        <w:pStyle w:val="Prrafodelista"/>
        <w:spacing w:after="0" w:line="276" w:lineRule="auto"/>
        <w:ind w:left="360"/>
        <w:contextualSpacing w:val="0"/>
        <w:jc w:val="both"/>
        <w:rPr>
          <w:rFonts w:ascii="Verdana" w:eastAsia="Calibri" w:hAnsi="Verdana" w:cs="Arial"/>
        </w:rPr>
      </w:pPr>
    </w:p>
    <w:p w14:paraId="1499D07C" w14:textId="77777777" w:rsidR="00EC529F" w:rsidRPr="00700A2F"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El primer lugar, una característica esencial de los convenios a los que se refiere el inciso segundo del artículo 355 Constitucional – contratos de colaboración – es que su objeto esté determinado por la realización de programas y actividades de interés público acordes con el Plan Nacional de Desarrollo y los planes seccionales de desarrollo</w:t>
      </w:r>
      <w:r w:rsidRPr="00F9562B">
        <w:rPr>
          <w:rFonts w:ascii="Verdana" w:eastAsia="Calibri" w:hAnsi="Verdana" w:cs="Arial"/>
          <w:vertAlign w:val="superscript"/>
        </w:rPr>
        <w:footnoteReference w:id="8"/>
      </w:r>
      <w:r w:rsidRPr="00EE5B8D">
        <w:rPr>
          <w:rFonts w:ascii="Verdana" w:eastAsia="Calibri" w:hAnsi="Verdana" w:cs="Arial"/>
        </w:rPr>
        <w:t xml:space="preserve">, </w:t>
      </w:r>
      <w:r w:rsidRPr="007372BB">
        <w:rPr>
          <w:rFonts w:ascii="Verdana" w:eastAsia="Calibri" w:hAnsi="Verdana" w:cs="Arial"/>
        </w:rPr>
        <w:t>los cuales se encuentran regulados en los artículos 339 a 344 de la Constitución Política. Sobre este aspecto, la Corte Constitucional ha indicado que el objeto de estos convenios es el "desarrollo de actividades esencialmente benéficas, no como instrumento económico, sino con un propósito meramente asistencial y altruista, en el que, a diferencia del pasado, no se privilegia la arbitrariedad y unilateralidad del gasto público, sino que se exige un grado aceptable de reciprocidad por parte del beneficiario de la ayuda"</w:t>
      </w:r>
      <w:r w:rsidRPr="00F9562B">
        <w:rPr>
          <w:rFonts w:ascii="Verdana" w:eastAsia="Calibri" w:hAnsi="Verdana" w:cs="Arial"/>
          <w:vertAlign w:val="superscript"/>
        </w:rPr>
        <w:footnoteReference w:id="9"/>
      </w:r>
      <w:r w:rsidRPr="00700A2F">
        <w:rPr>
          <w:rFonts w:ascii="Verdana" w:eastAsia="Calibri" w:hAnsi="Verdana" w:cs="Arial"/>
        </w:rPr>
        <w:t>.</w:t>
      </w:r>
    </w:p>
    <w:p w14:paraId="6BDFE196" w14:textId="77777777" w:rsidR="00EC529F" w:rsidRPr="007372BB" w:rsidRDefault="00EC529F" w:rsidP="00700A2F">
      <w:pPr>
        <w:pStyle w:val="Prrafodelista"/>
        <w:spacing w:after="0" w:line="276" w:lineRule="auto"/>
        <w:ind w:left="360"/>
        <w:contextualSpacing w:val="0"/>
        <w:jc w:val="both"/>
        <w:rPr>
          <w:rFonts w:ascii="Verdana" w:eastAsia="Calibri" w:hAnsi="Verdana" w:cs="Arial"/>
        </w:rPr>
      </w:pPr>
    </w:p>
    <w:p w14:paraId="06DE2EB5" w14:textId="2AFC4963" w:rsidR="00EC529F" w:rsidRPr="00EE5B8D" w:rsidRDefault="006B0595" w:rsidP="00700A2F">
      <w:pPr>
        <w:pStyle w:val="Prrafodelista"/>
        <w:numPr>
          <w:ilvl w:val="0"/>
          <w:numId w:val="20"/>
        </w:numPr>
        <w:spacing w:after="0" w:line="276" w:lineRule="auto"/>
        <w:ind w:left="360"/>
        <w:contextualSpacing w:val="0"/>
        <w:jc w:val="both"/>
        <w:rPr>
          <w:rFonts w:ascii="Verdana" w:eastAsia="Calibri" w:hAnsi="Verdana" w:cs="Arial"/>
        </w:rPr>
      </w:pPr>
      <w:r>
        <w:rPr>
          <w:rFonts w:ascii="Verdana" w:eastAsia="Calibri" w:hAnsi="Verdana" w:cs="Arial"/>
        </w:rPr>
        <w:t>Para ilustrar lo anterior, se propone el siguiente ejemplo</w:t>
      </w:r>
      <w:r w:rsidR="0064335C">
        <w:rPr>
          <w:rFonts w:ascii="Verdana" w:eastAsia="Calibri" w:hAnsi="Verdana" w:cs="Arial"/>
        </w:rPr>
        <w:t>,</w:t>
      </w:r>
      <w:r w:rsidR="00EC529F" w:rsidRPr="007372BB">
        <w:rPr>
          <w:rFonts w:ascii="Verdana" w:eastAsia="Calibri" w:hAnsi="Verdana" w:cs="Arial"/>
        </w:rPr>
        <w:t xml:space="preserve"> si una Alcaldía municipal desea impulsar un programa de atención integral a los ancianos y quiere definir si puede recurrir o no a la contratación de interés público, deberá identificar primero si el desarrollo de esa actividad está </w:t>
      </w:r>
      <w:r w:rsidR="008E4D4B" w:rsidRPr="007372BB">
        <w:rPr>
          <w:rFonts w:ascii="Verdana" w:eastAsia="Calibri" w:hAnsi="Verdana" w:cs="Arial"/>
        </w:rPr>
        <w:t>incluid</w:t>
      </w:r>
      <w:r w:rsidR="008E4D4B">
        <w:rPr>
          <w:rFonts w:ascii="Verdana" w:eastAsia="Calibri" w:hAnsi="Verdana" w:cs="Arial"/>
        </w:rPr>
        <w:t>o</w:t>
      </w:r>
      <w:r w:rsidR="00EC529F" w:rsidRPr="007372BB">
        <w:rPr>
          <w:rFonts w:ascii="Verdana" w:eastAsia="Calibri" w:hAnsi="Verdana" w:cs="Arial"/>
        </w:rPr>
        <w:t xml:space="preserve"> en el </w:t>
      </w:r>
      <w:r w:rsidR="00EC529F" w:rsidRPr="007372BB">
        <w:rPr>
          <w:rFonts w:ascii="Verdana" w:eastAsia="Calibri" w:hAnsi="Verdana" w:cs="Arial"/>
        </w:rPr>
        <w:lastRenderedPageBreak/>
        <w:t>plan de desarrollo municipal</w:t>
      </w:r>
      <w:r w:rsidR="00F565C9">
        <w:rPr>
          <w:rFonts w:ascii="Verdana" w:eastAsia="Calibri" w:hAnsi="Verdana" w:cs="Arial"/>
        </w:rPr>
        <w:t xml:space="preserve"> o acorde con este</w:t>
      </w:r>
      <w:r w:rsidR="00EC529F" w:rsidRPr="007372BB">
        <w:rPr>
          <w:rFonts w:ascii="Verdana" w:eastAsia="Calibri" w:hAnsi="Verdana" w:cs="Arial"/>
        </w:rPr>
        <w:t>. Si la respuesta es positiva, se tendrá por satisfecho el precitado requisito.</w:t>
      </w:r>
    </w:p>
    <w:p w14:paraId="203BEEA0" w14:textId="77777777" w:rsidR="00EC529F" w:rsidRPr="00700A2F" w:rsidRDefault="00EC529F" w:rsidP="00700A2F">
      <w:pPr>
        <w:pStyle w:val="Prrafodelista"/>
        <w:spacing w:after="0" w:line="276" w:lineRule="auto"/>
        <w:ind w:left="360"/>
        <w:contextualSpacing w:val="0"/>
        <w:jc w:val="both"/>
        <w:rPr>
          <w:rFonts w:ascii="Verdana" w:eastAsia="Calibri" w:hAnsi="Verdana" w:cs="Arial"/>
        </w:rPr>
      </w:pPr>
    </w:p>
    <w:p w14:paraId="363E33A3" w14:textId="072C3D13"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7372BB">
        <w:rPr>
          <w:rFonts w:ascii="Verdana" w:eastAsia="Calibri" w:hAnsi="Verdana" w:cs="Arial"/>
        </w:rPr>
        <w:t xml:space="preserve">Respecto del objeto de los contratos de colaboración, el Consejo de Estado, </w:t>
      </w:r>
      <w:r w:rsidRPr="00EE5B8D">
        <w:rPr>
          <w:rFonts w:ascii="Verdana" w:eastAsia="Calibri" w:hAnsi="Verdana" w:cs="Arial"/>
        </w:rPr>
        <w:t>en el auto del 6 de agosto de 2019, estudió el literal a), del artículo 2, del Decreto 092, que establece que únicamente se podrá contratar con ESAL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F9562B">
        <w:rPr>
          <w:rFonts w:ascii="Verdana" w:eastAsia="Calibri" w:hAnsi="Verdana" w:cs="Arial"/>
          <w:vertAlign w:val="superscript"/>
        </w:rPr>
        <w:footnoteReference w:id="10"/>
      </w:r>
      <w:r w:rsidRPr="00EE5B8D">
        <w:rPr>
          <w:rFonts w:ascii="Verdana" w:eastAsia="Calibri" w:hAnsi="Verdana" w:cs="Arial"/>
        </w:rPr>
        <w:t xml:space="preserve">. </w:t>
      </w:r>
      <w:bookmarkStart w:id="18" w:name="_Hlk95756502"/>
      <w:r w:rsidRPr="00EE5B8D">
        <w:rPr>
          <w:rFonts w:ascii="Verdana" w:eastAsia="Calibri" w:hAnsi="Verdana" w:cs="Arial"/>
        </w:rPr>
        <w:t xml:space="preserve"> </w:t>
      </w:r>
    </w:p>
    <w:p w14:paraId="0B4FC0F2" w14:textId="77777777" w:rsidR="00EC529F" w:rsidRPr="00EE5B8D" w:rsidRDefault="00EC529F" w:rsidP="00700A2F">
      <w:pPr>
        <w:pStyle w:val="Prrafodelista"/>
        <w:spacing w:after="0" w:line="276" w:lineRule="auto"/>
        <w:ind w:left="360"/>
        <w:contextualSpacing w:val="0"/>
        <w:jc w:val="both"/>
        <w:rPr>
          <w:rFonts w:ascii="Verdana" w:eastAsia="Calibri" w:hAnsi="Verdana" w:cs="Arial"/>
        </w:rPr>
      </w:pPr>
    </w:p>
    <w:p w14:paraId="0DA9B765"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En relación con esta norma, encontró que el literal a) del artículo 2 establece dos (2) condiciones contrarias al artículo 355 de la Constitución Política: </w:t>
      </w:r>
      <w:r w:rsidRPr="007372BB">
        <w:rPr>
          <w:rFonts w:ascii="Verdana" w:eastAsia="Calibri" w:hAnsi="Verdana" w:cs="Arial"/>
        </w:rPr>
        <w:t>primero</w:t>
      </w:r>
      <w:r w:rsidRPr="00EE5B8D">
        <w:rPr>
          <w:rFonts w:ascii="Verdana" w:eastAsia="Calibri" w:hAnsi="Verdana" w:cs="Arial"/>
        </w:rPr>
        <w:t xml:space="preserve">,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18"/>
      <w:r w:rsidRPr="00EE5B8D">
        <w:rPr>
          <w:rFonts w:ascii="Verdana" w:eastAsia="Calibri" w:hAnsi="Verdana" w:cs="Arial"/>
        </w:rPr>
        <w:t xml:space="preserve">En relación con lo anterior, el auto del Consejo de Estado explica que: </w:t>
      </w:r>
    </w:p>
    <w:p w14:paraId="42ED4900" w14:textId="77777777" w:rsidR="00EC529F" w:rsidRPr="00EE5B8D" w:rsidRDefault="00EC529F" w:rsidP="00700A2F">
      <w:pPr>
        <w:pStyle w:val="Prrafodelista"/>
        <w:spacing w:after="0" w:line="276" w:lineRule="auto"/>
        <w:ind w:left="360"/>
        <w:contextualSpacing w:val="0"/>
        <w:jc w:val="both"/>
        <w:rPr>
          <w:rFonts w:ascii="Verdana" w:eastAsia="Calibri" w:hAnsi="Verdana" w:cs="Arial"/>
        </w:rPr>
      </w:pPr>
    </w:p>
    <w:p w14:paraId="50E33B51" w14:textId="77777777" w:rsidR="00EC529F" w:rsidRPr="007D1E3B" w:rsidRDefault="00EC529F" w:rsidP="00EC529F">
      <w:pPr>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92FF08F" w14:textId="77777777" w:rsidR="00EC529F" w:rsidRPr="007D1E3B" w:rsidRDefault="00EC529F" w:rsidP="00EC529F">
      <w:pPr>
        <w:spacing w:after="0" w:line="276" w:lineRule="auto"/>
        <w:jc w:val="both"/>
        <w:rPr>
          <w:rFonts w:ascii="Verdana" w:eastAsia="Calibri" w:hAnsi="Verdana" w:cs="Arial"/>
        </w:rPr>
      </w:pPr>
    </w:p>
    <w:p w14:paraId="0F2C4357" w14:textId="77777777" w:rsidR="00EC529F" w:rsidRPr="00EE5B8D" w:rsidRDefault="00EC529F" w:rsidP="00700A2F">
      <w:pPr>
        <w:pStyle w:val="Prrafodelista"/>
        <w:numPr>
          <w:ilvl w:val="0"/>
          <w:numId w:val="20"/>
        </w:numPr>
        <w:spacing w:after="0" w:line="276" w:lineRule="auto"/>
        <w:ind w:left="360"/>
        <w:contextualSpacing w:val="0"/>
        <w:jc w:val="both"/>
        <w:rPr>
          <w:rFonts w:ascii="Verdana" w:eastAsia="Calibri" w:hAnsi="Verdana" w:cs="Arial"/>
        </w:rPr>
      </w:pPr>
      <w:r w:rsidRPr="00EE5B8D">
        <w:rPr>
          <w:rFonts w:ascii="Verdana" w:eastAsia="Calibri" w:hAnsi="Verdana" w:cs="Arial"/>
        </w:rPr>
        <w:t xml:space="preserve">Asimismo, el Consejo de Estado consideró que el literal a) del artículo 2, al establecer que los programas y actividades de interés público deben buscar la promoción de los derechos de personas en situaciones de debilidad </w:t>
      </w:r>
      <w:r w:rsidRPr="00EE5B8D">
        <w:rPr>
          <w:rFonts w:ascii="Verdana" w:eastAsia="Calibri" w:hAnsi="Verdana" w:cs="Arial"/>
        </w:rPr>
        <w:lastRenderedPageBreak/>
        <w:t xml:space="preserve">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30202C96" w14:textId="77777777" w:rsidR="00EC529F" w:rsidRPr="007D1E3B" w:rsidRDefault="00EC529F" w:rsidP="00EC529F">
      <w:pPr>
        <w:spacing w:after="0" w:line="276" w:lineRule="auto"/>
        <w:jc w:val="both"/>
        <w:rPr>
          <w:rFonts w:ascii="Verdana" w:eastAsia="Calibri" w:hAnsi="Verdana" w:cs="Arial"/>
        </w:rPr>
      </w:pPr>
    </w:p>
    <w:p w14:paraId="38678451" w14:textId="77777777" w:rsidR="00EC529F" w:rsidRPr="007D1E3B" w:rsidRDefault="00EC529F" w:rsidP="00EC529F">
      <w:pPr>
        <w:tabs>
          <w:tab w:val="left" w:pos="8080"/>
        </w:tabs>
        <w:spacing w:after="0" w:line="240" w:lineRule="auto"/>
        <w:ind w:left="709" w:right="709"/>
        <w:jc w:val="both"/>
        <w:rPr>
          <w:rFonts w:ascii="Verdana" w:eastAsia="Calibri" w:hAnsi="Verdana" w:cs="Arial"/>
          <w:sz w:val="20"/>
          <w:szCs w:val="20"/>
        </w:rPr>
      </w:pPr>
      <w:r w:rsidRPr="007D1E3B">
        <w:rPr>
          <w:rFonts w:ascii="Verdana" w:eastAsia="Calibri" w:hAnsi="Verdana" w:cs="Arial"/>
          <w:sz w:val="20"/>
          <w:szCs w:val="20"/>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0E74149D" w14:textId="77777777" w:rsidR="00EC529F" w:rsidRPr="0010108F" w:rsidRDefault="00EC529F" w:rsidP="00011CCB">
      <w:pPr>
        <w:spacing w:after="0" w:line="276" w:lineRule="auto"/>
        <w:jc w:val="both"/>
        <w:rPr>
          <w:rFonts w:ascii="Verdana" w:eastAsia="Calibri" w:hAnsi="Verdana" w:cs="Arial"/>
        </w:rPr>
      </w:pPr>
      <w:r w:rsidRPr="007D1E3B">
        <w:rPr>
          <w:rFonts w:ascii="Verdana" w:eastAsia="Calibri" w:hAnsi="Verdana" w:cs="Arial"/>
        </w:rPr>
        <w:t xml:space="preserve"> </w:t>
      </w:r>
    </w:p>
    <w:p w14:paraId="16477A51" w14:textId="7777777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Por las anteriores razones,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p w14:paraId="4F2C4081"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6FB36ED9" w14:textId="7777777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 xml:space="preserve">En segundo lugar, el objeto del convenio de asociación es el desarrollo de cometidos y/o funciones públicas propias de las Entidades Estatales. De lo anterior se concluye que, el interés perseguido con la contratación debe ser de carácter general o colectivo, materializado en los cometidos y funciones que le han sido asignados en el ordenamiento jurídico a la Entidad Estatal contratante. 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w:t>
      </w:r>
      <w:r w:rsidRPr="0010108F">
        <w:rPr>
          <w:rFonts w:ascii="Verdana" w:eastAsia="Calibri" w:hAnsi="Verdana" w:cs="Arial"/>
        </w:rPr>
        <w:lastRenderedPageBreak/>
        <w:t>planes de desarrollo, para garantizar el cumplimiento de los mismos a través del convenio a celebrarse</w:t>
      </w:r>
      <w:r w:rsidRPr="00F9562B">
        <w:rPr>
          <w:rFonts w:ascii="Verdana" w:eastAsia="Calibri" w:hAnsi="Verdana" w:cs="Arial"/>
          <w:vertAlign w:val="superscript"/>
        </w:rPr>
        <w:footnoteReference w:id="11"/>
      </w:r>
      <w:r w:rsidRPr="0010108F">
        <w:rPr>
          <w:rFonts w:ascii="Verdana" w:eastAsia="Calibri" w:hAnsi="Verdana" w:cs="Arial"/>
        </w:rPr>
        <w:t>.</w:t>
      </w:r>
    </w:p>
    <w:p w14:paraId="51B080CE"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7B4A2FFB" w14:textId="0BD960AA" w:rsidR="00EC529F" w:rsidRPr="001F21BE"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F21BE">
        <w:rPr>
          <w:rFonts w:ascii="Verdana" w:eastAsia="Calibri" w:hAnsi="Verdana" w:cs="Arial"/>
        </w:rPr>
        <w:t xml:space="preserve">Finalmente, frente a la pregunta número </w:t>
      </w:r>
      <w:r w:rsidR="00815EFC" w:rsidRPr="001F21BE">
        <w:rPr>
          <w:rFonts w:ascii="Verdana" w:eastAsia="Calibri" w:hAnsi="Verdana" w:cs="Arial"/>
        </w:rPr>
        <w:t>cuatro</w:t>
      </w:r>
      <w:r w:rsidRPr="001F21BE">
        <w:rPr>
          <w:rFonts w:ascii="Verdana" w:eastAsia="Calibri" w:hAnsi="Verdana" w:cs="Arial"/>
        </w:rPr>
        <w:t xml:space="preserve"> de su consulta, debe señalarse que, por un lado, el artículo 4 del Decreto 092 de 2027, dispone que la escogencia de la ESAL debe realizarse a través de proceso competitivo cuando haya pluralidad de ellas en condiciones de idoneidad para desarrollar un programa o una actividad de interés público. El Decreto 092 de 2017 y la </w:t>
      </w:r>
      <w:r w:rsidR="001F21BE" w:rsidRPr="001F21BE">
        <w:rPr>
          <w:rFonts w:ascii="Verdana" w:eastAsia="Calibri" w:hAnsi="Verdana" w:cs="Arial"/>
        </w:rPr>
        <w:t>“</w:t>
      </w:r>
      <w:r w:rsidR="001F21BE" w:rsidRPr="001F21BE">
        <w:rPr>
          <w:rFonts w:ascii="Verdana" w:hAnsi="Verdana"/>
        </w:rPr>
        <w:t>Guía para la contratación con entidades privadas sin ánimo de lucro y de reconocida idoneidad”</w:t>
      </w:r>
      <w:r w:rsidRPr="001F21BE">
        <w:rPr>
          <w:rFonts w:ascii="Verdana" w:eastAsia="Calibri" w:hAnsi="Verdana" w:cs="Arial"/>
        </w:rPr>
        <w:t xml:space="preserve"> </w:t>
      </w:r>
      <w:r w:rsidR="001F21BE">
        <w:rPr>
          <w:rFonts w:ascii="Verdana" w:eastAsia="Calibri" w:hAnsi="Verdana" w:cs="Arial"/>
        </w:rPr>
        <w:t xml:space="preserve">expedida por la Agencia Nacional de Contratación </w:t>
      </w:r>
      <w:r w:rsidR="001A452D">
        <w:rPr>
          <w:rFonts w:ascii="Verdana" w:eastAsia="Calibri" w:hAnsi="Verdana" w:cs="Arial"/>
        </w:rPr>
        <w:t>Pública –</w:t>
      </w:r>
      <w:r w:rsidRPr="001F21BE">
        <w:rPr>
          <w:rFonts w:ascii="Verdana" w:eastAsia="Calibri" w:hAnsi="Verdana" w:cs="Arial"/>
        </w:rPr>
        <w:t xml:space="preserve"> Colombia</w:t>
      </w:r>
      <w:r w:rsidR="001A452D">
        <w:rPr>
          <w:rFonts w:ascii="Verdana" w:eastAsia="Calibri" w:hAnsi="Verdana" w:cs="Arial"/>
        </w:rPr>
        <w:t xml:space="preserve"> </w:t>
      </w:r>
      <w:r w:rsidRPr="001F21BE">
        <w:rPr>
          <w:rFonts w:ascii="Verdana" w:eastAsia="Calibri" w:hAnsi="Verdana" w:cs="Arial"/>
        </w:rPr>
        <w:t xml:space="preserve">Compra Eficiente no prevén reglas particulares para el trámite del proceso competitivo, por lo que queda a consideración de la Entidad Estatal en cada caso concreto, aunque </w:t>
      </w:r>
      <w:r w:rsidR="001A452D">
        <w:rPr>
          <w:rFonts w:ascii="Verdana" w:eastAsia="Calibri" w:hAnsi="Verdana" w:cs="Arial"/>
        </w:rPr>
        <w:t xml:space="preserve">los dos instrumentos normativos </w:t>
      </w:r>
      <w:r w:rsidRPr="001F21BE">
        <w:rPr>
          <w:rFonts w:ascii="Verdana" w:eastAsia="Calibri" w:hAnsi="Verdana" w:cs="Arial"/>
        </w:rPr>
        <w:t xml:space="preserve">sí contemplan unas etapas obligatorias. </w:t>
      </w:r>
    </w:p>
    <w:p w14:paraId="681FA585" w14:textId="77777777" w:rsidR="00EC529F" w:rsidRPr="001F21BE" w:rsidRDefault="00EC529F" w:rsidP="00011CCB">
      <w:pPr>
        <w:pStyle w:val="Prrafodelista"/>
        <w:spacing w:after="0" w:line="276" w:lineRule="auto"/>
        <w:ind w:left="360"/>
        <w:contextualSpacing w:val="0"/>
        <w:jc w:val="both"/>
        <w:rPr>
          <w:rFonts w:ascii="Verdana" w:eastAsia="Calibri" w:hAnsi="Verdana" w:cs="Arial"/>
        </w:rPr>
      </w:pPr>
    </w:p>
    <w:p w14:paraId="762F746F" w14:textId="4F051C31" w:rsidR="0093725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El artículo 4 del Decreto 092 de 2017, prevé</w:t>
      </w:r>
      <w:r w:rsidR="0093725F">
        <w:rPr>
          <w:rFonts w:ascii="Verdana" w:eastAsia="Calibri" w:hAnsi="Verdana" w:cs="Arial"/>
        </w:rPr>
        <w:t xml:space="preserve"> que</w:t>
      </w:r>
      <w:r w:rsidR="00A870AC">
        <w:rPr>
          <w:rFonts w:ascii="Verdana" w:eastAsia="Calibri" w:hAnsi="Verdana" w:cs="Arial"/>
        </w:rPr>
        <w:t>:</w:t>
      </w:r>
      <w:r w:rsidR="0093725F">
        <w:rPr>
          <w:rFonts w:ascii="Verdana" w:eastAsia="Calibri" w:hAnsi="Verdana" w:cs="Arial"/>
        </w:rPr>
        <w:t xml:space="preserve"> </w:t>
      </w:r>
      <w:r w:rsidR="00A870AC">
        <w:rPr>
          <w:rFonts w:ascii="Verdana" w:eastAsia="Calibri" w:hAnsi="Verdana" w:cs="Arial"/>
        </w:rPr>
        <w:t>“E</w:t>
      </w:r>
      <w:r w:rsidRPr="0010108F">
        <w:rPr>
          <w:rFonts w:ascii="Verdana" w:eastAsia="Calibri" w:hAnsi="Verdana" w:cs="Arial"/>
        </w:rPr>
        <w:t>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r w:rsidR="00A870AC">
        <w:rPr>
          <w:rFonts w:ascii="Verdana" w:eastAsia="Calibri" w:hAnsi="Verdana" w:cs="Arial"/>
        </w:rPr>
        <w:t>”</w:t>
      </w:r>
      <w:r w:rsidRPr="0010108F">
        <w:rPr>
          <w:rFonts w:ascii="Verdana" w:eastAsia="Calibri" w:hAnsi="Verdana" w:cs="Arial"/>
        </w:rPr>
        <w:t xml:space="preserve">. </w:t>
      </w:r>
    </w:p>
    <w:p w14:paraId="1592BB84" w14:textId="77777777" w:rsidR="0093725F" w:rsidRPr="0093725F" w:rsidRDefault="0093725F" w:rsidP="0093725F">
      <w:pPr>
        <w:pStyle w:val="Prrafodelista"/>
        <w:rPr>
          <w:rFonts w:ascii="Verdana" w:eastAsia="Calibri" w:hAnsi="Verdana" w:cs="Arial"/>
        </w:rPr>
      </w:pPr>
    </w:p>
    <w:p w14:paraId="211DCA8A" w14:textId="07D0663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 xml:space="preserve">La </w:t>
      </w:r>
      <w:r w:rsidR="00A870AC" w:rsidRPr="001F21BE">
        <w:rPr>
          <w:rFonts w:ascii="Verdana" w:eastAsia="Calibri" w:hAnsi="Verdana" w:cs="Arial"/>
        </w:rPr>
        <w:t>“</w:t>
      </w:r>
      <w:r w:rsidR="00A870AC" w:rsidRPr="001F21BE">
        <w:rPr>
          <w:rFonts w:ascii="Verdana" w:hAnsi="Verdana"/>
        </w:rPr>
        <w:t>Guía para la contratación con entidades privadas sin ánimo de lucro y de reconocida idoneidad”</w:t>
      </w:r>
      <w:r w:rsidR="00A870AC">
        <w:rPr>
          <w:rFonts w:ascii="Verdana" w:hAnsi="Verdana"/>
        </w:rPr>
        <w:t xml:space="preserve"> </w:t>
      </w:r>
      <w:r w:rsidRPr="0010108F">
        <w:rPr>
          <w:rFonts w:ascii="Verdana" w:eastAsia="Calibri" w:hAnsi="Verdana" w:cs="Arial"/>
        </w:rPr>
        <w:t xml:space="preserve">señala: "Documentos del Proceso son: (a) </w:t>
      </w:r>
      <w:r w:rsidR="00EB77D9">
        <w:rPr>
          <w:rFonts w:ascii="Verdana" w:eastAsia="Calibri" w:hAnsi="Verdana" w:cs="Arial"/>
        </w:rPr>
        <w:t>l</w:t>
      </w:r>
      <w:r w:rsidRPr="0010108F">
        <w:rPr>
          <w:rFonts w:ascii="Verdana" w:eastAsia="Calibri" w:hAnsi="Verdana" w:cs="Arial"/>
        </w:rPr>
        <w:t xml:space="preserve">os estudios y documentos elaborados en la etapa de planeación; (b) los documentos en los cuales la Entidad Estatal establece los términos y condiciones para seleccionar la entidad privada sin ánimo de lucro cuando hay lugar a competencia de acuerdo con el artículo 4° del Decreto 092 de 2017; (c) la explicación que contenga la correspondencia entre las Entidades Estatales y las entidades privadas sin ánimo de lucro interesadas en el Proceso de Contratación sobre el mismo; (d) las ofertas presentadas por las entidades privadas sin ánimo de lucro cuando hay lugar a competencia de acuerdo con </w:t>
      </w:r>
      <w:r w:rsidRPr="0010108F">
        <w:rPr>
          <w:rFonts w:ascii="Verdana" w:eastAsia="Calibri" w:hAnsi="Verdana" w:cs="Arial"/>
        </w:rPr>
        <w:lastRenderedPageBreak/>
        <w:t>el artículo 4° del Decreto 092 de 2017,: (e) los informes de evaluación de las ofertas cuando hay lugar a competencia de acuerdo con el artículo 4° del Decreto 092 de 2017; (f) el contrato y sus modificaciones”.</w:t>
      </w:r>
    </w:p>
    <w:p w14:paraId="0EEFE734"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24856BEA" w14:textId="5F13F01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Por otro lado</w:t>
      </w:r>
      <w:r w:rsidR="00AA2DB9">
        <w:rPr>
          <w:rFonts w:ascii="Verdana" w:eastAsia="Calibri" w:hAnsi="Verdana" w:cs="Arial"/>
        </w:rPr>
        <w:t>,</w:t>
      </w:r>
      <w:r w:rsidRPr="0010108F">
        <w:rPr>
          <w:rFonts w:ascii="Verdana" w:eastAsia="Calibri" w:hAnsi="Verdana" w:cs="Arial"/>
        </w:rPr>
        <w:t xml:space="preserv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2D89C86D"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19DABDF7" w14:textId="7777777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La noción “seleccionar de forma objetiva”, contenida en el artículo 5 del Decreto 092 de 2017 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77B66154" w14:textId="77777777" w:rsidR="00EC529F" w:rsidRPr="0010108F" w:rsidRDefault="00EC529F" w:rsidP="00011CCB">
      <w:pPr>
        <w:pStyle w:val="Prrafodelista"/>
        <w:spacing w:after="0" w:line="276" w:lineRule="auto"/>
        <w:ind w:left="360"/>
        <w:contextualSpacing w:val="0"/>
        <w:jc w:val="both"/>
        <w:rPr>
          <w:rFonts w:ascii="Verdana" w:eastAsia="Calibri" w:hAnsi="Verdana" w:cs="Arial"/>
        </w:rPr>
      </w:pPr>
    </w:p>
    <w:p w14:paraId="2AC0C0FD" w14:textId="77777777" w:rsidR="00EC529F" w:rsidRPr="0010108F" w:rsidRDefault="00EC529F" w:rsidP="00011CCB">
      <w:pPr>
        <w:pStyle w:val="Prrafodelista"/>
        <w:numPr>
          <w:ilvl w:val="0"/>
          <w:numId w:val="20"/>
        </w:numPr>
        <w:spacing w:after="0" w:line="276" w:lineRule="auto"/>
        <w:ind w:left="360"/>
        <w:contextualSpacing w:val="0"/>
        <w:jc w:val="both"/>
        <w:rPr>
          <w:rFonts w:ascii="Verdana" w:eastAsia="Calibri" w:hAnsi="Verdana" w:cs="Arial"/>
        </w:rPr>
      </w:pPr>
      <w:r w:rsidRPr="0010108F">
        <w:rPr>
          <w:rFonts w:ascii="Verdana" w:eastAsia="Calibri" w:hAnsi="Verdana" w:cs="Arial"/>
        </w:rPr>
        <w:t>En suma, las Entidades Estatales son autónomas en la configuración del proceso competitivo en desarrollo de los artículos 4 y 5 del Decreto 092 de 2017. En todo caso, el proceso competitivo que definan las Entidades Estatales para sus contratos de colaboración y sus convenios de asociación debe garantizar la libre concurrencia, la pluralidad de interesados y la comparación objetiva de las ofertas. Este procedimiento puede ser análogo a otros donde existe competencia, como la licitación pública.</w:t>
      </w:r>
    </w:p>
    <w:p w14:paraId="3FB86BEC" w14:textId="77777777" w:rsidR="00EC529F" w:rsidRPr="0010108F" w:rsidRDefault="00EC529F" w:rsidP="00011CCB">
      <w:pPr>
        <w:widowControl w:val="0"/>
        <w:autoSpaceDE w:val="0"/>
        <w:autoSpaceDN w:val="0"/>
        <w:spacing w:after="0" w:line="276" w:lineRule="auto"/>
        <w:jc w:val="both"/>
        <w:rPr>
          <w:rFonts w:ascii="Verdana" w:hAnsi="Verdana" w:cs="Arial"/>
          <w:lang w:val="es-ES_tradnl"/>
        </w:rPr>
      </w:pPr>
    </w:p>
    <w:p w14:paraId="2111178D" w14:textId="77777777" w:rsidR="00EC529F" w:rsidRPr="0010108F" w:rsidRDefault="00EC529F" w:rsidP="00EC529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0108F">
        <w:rPr>
          <w:rFonts w:ascii="Verdana" w:eastAsia="Century Gothic" w:hAnsi="Verdana" w:cs="Century Gothic"/>
          <w:b/>
          <w:bCs/>
        </w:rPr>
        <w:lastRenderedPageBreak/>
        <w:t>Referencias normativas, jurisprudenciales y otras fuentes:</w:t>
      </w:r>
    </w:p>
    <w:p w14:paraId="27C13565" w14:textId="77777777" w:rsidR="00EC529F" w:rsidRPr="0010108F" w:rsidRDefault="00EC529F" w:rsidP="00EC529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C529F" w:rsidRPr="00EE5B8D" w14:paraId="421ED143" w14:textId="77777777" w:rsidTr="00925A42">
        <w:trPr>
          <w:trHeight w:val="5306"/>
        </w:trPr>
        <w:tc>
          <w:tcPr>
            <w:tcW w:w="8647" w:type="dxa"/>
          </w:tcPr>
          <w:p w14:paraId="3A2A2DDF" w14:textId="77777777" w:rsidR="00EC529F" w:rsidRPr="00EE5B8D" w:rsidRDefault="00EC529F" w:rsidP="0010108F">
            <w:pPr>
              <w:pStyle w:val="Prrafodelista"/>
              <w:numPr>
                <w:ilvl w:val="0"/>
                <w:numId w:val="19"/>
              </w:numPr>
              <w:spacing w:line="276" w:lineRule="auto"/>
              <w:ind w:left="360"/>
              <w:jc w:val="both"/>
              <w:rPr>
                <w:rFonts w:ascii="Verdana" w:hAnsi="Verdana" w:cs="Arial"/>
              </w:rPr>
            </w:pPr>
            <w:r w:rsidRPr="00EE5B8D">
              <w:rPr>
                <w:rFonts w:ascii="Verdana" w:hAnsi="Verdana" w:cs="Arial"/>
              </w:rPr>
              <w:t>Constitución Política: Artículo 355.</w:t>
            </w:r>
          </w:p>
          <w:p w14:paraId="7F2E971B" w14:textId="77777777" w:rsidR="00EC529F" w:rsidRPr="00EE5B8D" w:rsidRDefault="00EC529F" w:rsidP="0010108F">
            <w:pPr>
              <w:pStyle w:val="Prrafodelista"/>
              <w:spacing w:line="276" w:lineRule="auto"/>
              <w:ind w:left="360"/>
              <w:jc w:val="both"/>
              <w:rPr>
                <w:rFonts w:ascii="Verdana" w:eastAsia="Calibri" w:hAnsi="Verdana" w:cs="Arial"/>
                <w:lang w:eastAsia="es-ES_tradnl"/>
              </w:rPr>
            </w:pPr>
          </w:p>
          <w:p w14:paraId="3967D182" w14:textId="77777777" w:rsidR="00EC529F" w:rsidRPr="00EE5B8D" w:rsidRDefault="00EC529F" w:rsidP="0010108F">
            <w:pPr>
              <w:pStyle w:val="Prrafodelista"/>
              <w:numPr>
                <w:ilvl w:val="0"/>
                <w:numId w:val="19"/>
              </w:numPr>
              <w:spacing w:line="276" w:lineRule="auto"/>
              <w:ind w:left="360"/>
              <w:jc w:val="both"/>
              <w:rPr>
                <w:rFonts w:ascii="Verdana" w:eastAsia="Calibri" w:hAnsi="Verdana" w:cs="Arial"/>
                <w:lang w:eastAsia="es-ES_tradnl"/>
              </w:rPr>
            </w:pPr>
            <w:r w:rsidRPr="00EE5B8D">
              <w:rPr>
                <w:rFonts w:ascii="Verdana" w:eastAsia="Calibri" w:hAnsi="Verdana" w:cs="Arial"/>
                <w:lang w:eastAsia="es-ES_tradnl"/>
              </w:rPr>
              <w:t xml:space="preserve">Ley 489 de 1998: Artículo 96. </w:t>
            </w:r>
          </w:p>
          <w:p w14:paraId="7A9A2C76" w14:textId="77777777" w:rsidR="00EC529F" w:rsidRPr="00EE5B8D" w:rsidRDefault="00EC529F" w:rsidP="0010108F">
            <w:pPr>
              <w:spacing w:line="276" w:lineRule="auto"/>
              <w:jc w:val="both"/>
              <w:rPr>
                <w:rFonts w:ascii="Verdana" w:eastAsia="Calibri" w:hAnsi="Verdana" w:cs="Arial"/>
                <w:lang w:val="es-ES"/>
              </w:rPr>
            </w:pPr>
          </w:p>
          <w:p w14:paraId="07A8AA40" w14:textId="77777777" w:rsidR="00EC529F" w:rsidRPr="00EE5B8D" w:rsidRDefault="00EC529F" w:rsidP="0010108F">
            <w:pPr>
              <w:pStyle w:val="Prrafodelista"/>
              <w:numPr>
                <w:ilvl w:val="0"/>
                <w:numId w:val="19"/>
              </w:numPr>
              <w:spacing w:line="276" w:lineRule="auto"/>
              <w:ind w:left="360"/>
              <w:jc w:val="both"/>
              <w:rPr>
                <w:rFonts w:ascii="Verdana" w:hAnsi="Verdana"/>
              </w:rPr>
            </w:pPr>
            <w:r w:rsidRPr="00EE5B8D">
              <w:rPr>
                <w:rFonts w:ascii="Verdana" w:hAnsi="Verdana"/>
              </w:rPr>
              <w:t>Decreto 092 de 2017: Artículos 4 y 5.</w:t>
            </w:r>
          </w:p>
          <w:p w14:paraId="6C9804A2" w14:textId="77777777" w:rsidR="00EC529F" w:rsidRPr="00EE5B8D" w:rsidRDefault="00EC529F" w:rsidP="0010108F">
            <w:pPr>
              <w:pStyle w:val="Prrafodelista"/>
              <w:ind w:left="360"/>
              <w:jc w:val="both"/>
              <w:rPr>
                <w:rFonts w:ascii="Verdana" w:eastAsia="Times New Roman" w:hAnsi="Verdana" w:cs="Times New Roman"/>
                <w:shd w:val="clear" w:color="auto" w:fill="FFFFFF"/>
                <w:lang w:eastAsia="es-ES_tradnl"/>
              </w:rPr>
            </w:pPr>
          </w:p>
          <w:p w14:paraId="2FDB3B4B" w14:textId="1D607B87" w:rsidR="00E01B93" w:rsidRDefault="00EC529F" w:rsidP="00E01B93">
            <w:pPr>
              <w:pStyle w:val="Prrafodelista"/>
              <w:numPr>
                <w:ilvl w:val="0"/>
                <w:numId w:val="19"/>
              </w:numPr>
              <w:spacing w:line="276" w:lineRule="auto"/>
              <w:ind w:left="360"/>
              <w:jc w:val="both"/>
              <w:rPr>
                <w:rFonts w:ascii="Verdana" w:eastAsia="Calibri" w:hAnsi="Verdana" w:cs="Arial"/>
              </w:rPr>
            </w:pPr>
            <w:r w:rsidRPr="00EE5B8D">
              <w:rPr>
                <w:rFonts w:ascii="Verdana" w:eastAsia="Times New Roman" w:hAnsi="Verdana" w:cs="Times New Roman"/>
                <w:shd w:val="clear" w:color="auto" w:fill="FFFFFF"/>
                <w:lang w:eastAsia="es-ES_tradnl"/>
              </w:rPr>
              <w:t xml:space="preserve">Corte Constitucional. </w:t>
            </w:r>
            <w:r w:rsidR="004E224E">
              <w:rPr>
                <w:rFonts w:ascii="Verdana" w:eastAsia="Times New Roman" w:hAnsi="Verdana" w:cs="Times New Roman"/>
                <w:shd w:val="clear" w:color="auto" w:fill="FFFFFF"/>
                <w:lang w:eastAsia="es-ES_tradnl"/>
              </w:rPr>
              <w:t xml:space="preserve">Sala Plena. </w:t>
            </w:r>
            <w:r w:rsidRPr="00EE5B8D">
              <w:rPr>
                <w:rFonts w:ascii="Verdana" w:eastAsia="Times New Roman" w:hAnsi="Verdana" w:cs="Times New Roman"/>
                <w:shd w:val="clear" w:color="auto" w:fill="FFFFFF"/>
                <w:lang w:eastAsia="es-ES_tradnl"/>
              </w:rPr>
              <w:t>Sentencia C-324 de 2009.</w:t>
            </w:r>
            <w:r w:rsidR="00E01B93" w:rsidRPr="00EE5B8D">
              <w:rPr>
                <w:rFonts w:ascii="Verdana" w:eastAsia="Calibri" w:hAnsi="Verdana" w:cs="Arial"/>
              </w:rPr>
              <w:t xml:space="preserve"> </w:t>
            </w:r>
          </w:p>
          <w:p w14:paraId="087E7FF2" w14:textId="77777777" w:rsidR="00E01B93" w:rsidRPr="00E01B93" w:rsidRDefault="00E01B93" w:rsidP="00E01B93">
            <w:pPr>
              <w:pStyle w:val="Prrafodelista"/>
              <w:rPr>
                <w:rFonts w:ascii="Verdana" w:eastAsia="Calibri" w:hAnsi="Verdana" w:cs="Arial"/>
              </w:rPr>
            </w:pPr>
          </w:p>
          <w:p w14:paraId="13EE862C" w14:textId="4B0ACB80" w:rsidR="00E01B93" w:rsidRPr="00EE5B8D" w:rsidRDefault="00E01B93" w:rsidP="00E01B93">
            <w:pPr>
              <w:pStyle w:val="Prrafodelista"/>
              <w:numPr>
                <w:ilvl w:val="0"/>
                <w:numId w:val="19"/>
              </w:numPr>
              <w:spacing w:line="276" w:lineRule="auto"/>
              <w:ind w:left="360"/>
              <w:jc w:val="both"/>
              <w:rPr>
                <w:rFonts w:ascii="Verdana" w:eastAsia="Calibri" w:hAnsi="Verdana" w:cs="Arial"/>
              </w:rPr>
            </w:pPr>
            <w:r w:rsidRPr="00EE5B8D">
              <w:rPr>
                <w:rFonts w:ascii="Verdana" w:eastAsia="Calibri" w:hAnsi="Verdana" w:cs="Arial"/>
              </w:rPr>
              <w:t>Corte Constitucional</w:t>
            </w:r>
            <w:r>
              <w:rPr>
                <w:rFonts w:ascii="Verdana" w:eastAsia="Calibri" w:hAnsi="Verdana" w:cs="Arial"/>
              </w:rPr>
              <w:t xml:space="preserve">. </w:t>
            </w:r>
            <w:r w:rsidR="004E224E">
              <w:rPr>
                <w:rFonts w:ascii="Verdana" w:eastAsia="Times New Roman" w:hAnsi="Verdana" w:cs="Times New Roman"/>
                <w:shd w:val="clear" w:color="auto" w:fill="FFFFFF"/>
                <w:lang w:eastAsia="es-ES_tradnl"/>
              </w:rPr>
              <w:t xml:space="preserve">Sala Plena. </w:t>
            </w:r>
            <w:r>
              <w:rPr>
                <w:rFonts w:ascii="Verdana" w:eastAsia="Calibri" w:hAnsi="Verdana" w:cs="Arial"/>
              </w:rPr>
              <w:t>S</w:t>
            </w:r>
            <w:r w:rsidRPr="00EE5B8D">
              <w:rPr>
                <w:rFonts w:ascii="Verdana" w:eastAsia="Calibri" w:hAnsi="Verdana" w:cs="Arial"/>
              </w:rPr>
              <w:t xml:space="preserve">entencia C-287 de 2012. </w:t>
            </w:r>
          </w:p>
          <w:p w14:paraId="75AD30DE" w14:textId="77777777" w:rsidR="00EC529F" w:rsidRPr="00EE5B8D" w:rsidRDefault="00EC529F" w:rsidP="0010108F">
            <w:pPr>
              <w:spacing w:line="276" w:lineRule="auto"/>
              <w:ind w:left="-360"/>
              <w:jc w:val="both"/>
              <w:rPr>
                <w:rFonts w:ascii="Verdana" w:hAnsi="Verdana"/>
                <w:lang w:val="es-ES"/>
              </w:rPr>
            </w:pPr>
          </w:p>
          <w:p w14:paraId="1038B514" w14:textId="1FF2DD75" w:rsidR="00EC529F" w:rsidRPr="00EE5B8D" w:rsidRDefault="004E224E" w:rsidP="0010108F">
            <w:pPr>
              <w:pStyle w:val="Prrafodelista"/>
              <w:numPr>
                <w:ilvl w:val="0"/>
                <w:numId w:val="19"/>
              </w:numPr>
              <w:spacing w:line="276" w:lineRule="auto"/>
              <w:ind w:left="360"/>
              <w:jc w:val="both"/>
              <w:rPr>
                <w:rFonts w:ascii="Verdana" w:hAnsi="Verdana" w:cs="Arial"/>
              </w:rPr>
            </w:pPr>
            <w:r w:rsidRPr="00EE5B8D">
              <w:rPr>
                <w:rFonts w:ascii="Verdana" w:hAnsi="Verdana" w:cs="Arial"/>
              </w:rPr>
              <w:t>Consejo de Estado</w:t>
            </w:r>
            <w:r>
              <w:rPr>
                <w:rFonts w:ascii="Verdana" w:hAnsi="Verdana" w:cs="Arial"/>
              </w:rPr>
              <w:t xml:space="preserve">. </w:t>
            </w:r>
            <w:r w:rsidR="00EC529F" w:rsidRPr="00EE5B8D">
              <w:rPr>
                <w:rFonts w:ascii="Verdana" w:hAnsi="Verdana" w:cs="Arial"/>
              </w:rPr>
              <w:t>Sala de Consulta y Servicio Civil</w:t>
            </w:r>
            <w:r>
              <w:rPr>
                <w:rFonts w:ascii="Verdana" w:hAnsi="Verdana" w:cs="Arial"/>
              </w:rPr>
              <w:t xml:space="preserve">. </w:t>
            </w:r>
            <w:r w:rsidR="00EC529F" w:rsidRPr="00EE5B8D">
              <w:rPr>
                <w:rFonts w:ascii="Verdana" w:hAnsi="Verdana" w:cs="Arial"/>
              </w:rPr>
              <w:t xml:space="preserve">Concepto del 24 de febrero de 2005, con radicado No. 1626. </w:t>
            </w:r>
          </w:p>
          <w:p w14:paraId="6A8780A0" w14:textId="77777777" w:rsidR="00EC529F" w:rsidRPr="00EE5B8D" w:rsidRDefault="00EC529F" w:rsidP="00925A42">
            <w:pPr>
              <w:pStyle w:val="Prrafodelista"/>
              <w:spacing w:line="276" w:lineRule="auto"/>
              <w:ind w:left="357"/>
              <w:jc w:val="both"/>
              <w:rPr>
                <w:rFonts w:ascii="Verdana" w:hAnsi="Verdana" w:cs="Arial"/>
              </w:rPr>
            </w:pPr>
          </w:p>
          <w:p w14:paraId="22B2D840" w14:textId="321F1517" w:rsidR="00EC529F" w:rsidRPr="0010108F" w:rsidRDefault="00925A42" w:rsidP="00925A42">
            <w:pPr>
              <w:pStyle w:val="Prrafodelista"/>
              <w:widowControl w:val="0"/>
              <w:numPr>
                <w:ilvl w:val="0"/>
                <w:numId w:val="19"/>
              </w:numPr>
              <w:autoSpaceDE w:val="0"/>
              <w:autoSpaceDN w:val="0"/>
              <w:spacing w:line="276" w:lineRule="auto"/>
              <w:ind w:left="357"/>
              <w:contextualSpacing w:val="0"/>
              <w:jc w:val="both"/>
              <w:rPr>
                <w:rFonts w:ascii="Verdana" w:hAnsi="Verdana" w:cs="Arial"/>
              </w:rPr>
            </w:pPr>
            <w:r w:rsidRPr="001F21BE">
              <w:rPr>
                <w:rFonts w:ascii="Verdana" w:hAnsi="Verdana"/>
              </w:rPr>
              <w:t>Guía para la contratación con entidades privadas sin ánimo de lucro y de reconocida idoneidad</w:t>
            </w:r>
            <w:r>
              <w:rPr>
                <w:rFonts w:ascii="Verdana" w:hAnsi="Verdana"/>
              </w:rPr>
              <w:t xml:space="preserve">, expedida por </w:t>
            </w:r>
            <w:r w:rsidR="007D1E3B">
              <w:rPr>
                <w:rFonts w:ascii="Verdana" w:hAnsi="Verdana"/>
              </w:rPr>
              <w:t>la</w:t>
            </w:r>
            <w:r>
              <w:rPr>
                <w:rFonts w:ascii="Verdana" w:hAnsi="Verdana"/>
              </w:rPr>
              <w:t xml:space="preserve"> Agencia Nacional de Contratación Pública – Colombia Compra Eficiente.</w:t>
            </w:r>
            <w:r w:rsidR="00EC529F" w:rsidRPr="00EE5B8D">
              <w:rPr>
                <w:rFonts w:ascii="Verdana" w:hAnsi="Verdana" w:cs="Arial"/>
              </w:rPr>
              <w:t xml:space="preserve"> Disponible en:</w:t>
            </w:r>
            <w:r w:rsidR="00EC529F" w:rsidRPr="00EE5B8D">
              <w:rPr>
                <w:rFonts w:ascii="Verdana" w:hAnsi="Verdana"/>
              </w:rPr>
              <w:t xml:space="preserve"> </w:t>
            </w:r>
            <w:hyperlink r:id="rId12" w:history="1">
              <w:r w:rsidRPr="003B0890">
                <w:rPr>
                  <w:rStyle w:val="Hipervnculo"/>
                  <w:rFonts w:ascii="Verdana" w:hAnsi="Verdana" w:cs="Arial"/>
                </w:rPr>
                <w:t>https://www.colombiacompra.gov.co/manuales-guias-y-pliegos-tipo/manuales-y-guias</w:t>
              </w:r>
            </w:hyperlink>
            <w:r>
              <w:rPr>
                <w:rStyle w:val="Hipervnculo"/>
                <w:rFonts w:ascii="Verdana" w:hAnsi="Verdana" w:cs="Arial"/>
                <w:color w:val="auto"/>
              </w:rPr>
              <w:t xml:space="preserve">  </w:t>
            </w:r>
            <w:r w:rsidR="00EC529F" w:rsidRPr="00EE5B8D">
              <w:rPr>
                <w:rFonts w:ascii="Verdana" w:hAnsi="Verdana" w:cs="Arial"/>
              </w:rPr>
              <w:t xml:space="preserve"> </w:t>
            </w:r>
            <w:r>
              <w:rPr>
                <w:rFonts w:ascii="Verdana" w:hAnsi="Verdana" w:cs="Arial"/>
              </w:rPr>
              <w:t xml:space="preserve"> </w:t>
            </w:r>
          </w:p>
        </w:tc>
      </w:tr>
    </w:tbl>
    <w:p w14:paraId="334ED227" w14:textId="77777777" w:rsidR="00EC529F" w:rsidRPr="00925A42" w:rsidRDefault="00EC529F" w:rsidP="00925A42">
      <w:pPr>
        <w:widowControl w:val="0"/>
        <w:autoSpaceDE w:val="0"/>
        <w:autoSpaceDN w:val="0"/>
        <w:spacing w:after="0" w:line="276" w:lineRule="auto"/>
        <w:jc w:val="both"/>
        <w:rPr>
          <w:rFonts w:ascii="Verdana" w:hAnsi="Verdana" w:cs="Arial"/>
        </w:rPr>
      </w:pPr>
    </w:p>
    <w:p w14:paraId="71E101B3" w14:textId="77777777" w:rsidR="00EC529F" w:rsidRPr="00925A42" w:rsidRDefault="00EC529F" w:rsidP="00925A4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925A42">
        <w:rPr>
          <w:rFonts w:ascii="Verdana" w:eastAsia="Century Gothic" w:hAnsi="Verdana" w:cs="Century Gothic"/>
          <w:b/>
          <w:bCs/>
        </w:rPr>
        <w:t>Doctrina de la Agencia Nacional de Contratación Pública:</w:t>
      </w:r>
    </w:p>
    <w:p w14:paraId="600B2091" w14:textId="77777777" w:rsidR="00EC529F" w:rsidRPr="00925A42" w:rsidRDefault="00EC529F" w:rsidP="00925A42">
      <w:pPr>
        <w:widowControl w:val="0"/>
        <w:autoSpaceDE w:val="0"/>
        <w:autoSpaceDN w:val="0"/>
        <w:spacing w:after="0" w:line="276" w:lineRule="auto"/>
        <w:jc w:val="both"/>
        <w:rPr>
          <w:rFonts w:ascii="Verdana" w:hAnsi="Verdana" w:cs="Arial"/>
        </w:rPr>
      </w:pPr>
    </w:p>
    <w:p w14:paraId="25ED5449" w14:textId="5BAA2EB5" w:rsidR="00EC529F" w:rsidRPr="00925A42" w:rsidRDefault="00EC529F" w:rsidP="00925A42">
      <w:pPr>
        <w:widowControl w:val="0"/>
        <w:autoSpaceDE w:val="0"/>
        <w:autoSpaceDN w:val="0"/>
        <w:spacing w:after="0" w:line="276" w:lineRule="auto"/>
        <w:jc w:val="both"/>
        <w:rPr>
          <w:rStyle w:val="normaltextrun"/>
          <w:rFonts w:ascii="Verdana" w:hAnsi="Verdana" w:cs="Arial"/>
          <w:shd w:val="clear" w:color="auto" w:fill="FFFFFF"/>
          <w:lang w:val="es-ES"/>
        </w:rPr>
      </w:pPr>
      <w:r w:rsidRPr="00925A42">
        <w:rPr>
          <w:rFonts w:ascii="Verdana" w:eastAsia="Calibri" w:hAnsi="Verdana" w:cs="Arial"/>
          <w:lang w:val="es-ES_tradnl" w:eastAsia="es-ES_tradnl"/>
        </w:rPr>
        <w:t xml:space="preserve">La Agencia Nacional de Contratación Pública – Colombia Compra Eficiente analizó </w:t>
      </w:r>
      <w:r w:rsidRPr="00925A42">
        <w:rPr>
          <w:rFonts w:ascii="Verdana" w:eastAsia="Calibri" w:hAnsi="Verdana" w:cs="Arial"/>
          <w:bCs/>
          <w:lang w:val="es-ES_tradnl" w:eastAsia="es-ES_tradnl"/>
        </w:rPr>
        <w:t xml:space="preserve">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w:t>
      </w:r>
      <w:r w:rsidRPr="00925A42">
        <w:rPr>
          <w:rFonts w:ascii="Verdana" w:eastAsia="Calibri" w:hAnsi="Verdana" w:cs="Arial"/>
          <w:bCs/>
          <w:lang w:val="es-ES_tradnl" w:eastAsia="es-ES_tradnl"/>
        </w:rPr>
        <w:lastRenderedPageBreak/>
        <w:t>marzo de 2022, C-274 del 05 de mayo de 2022 y C,-045 del 25 de abril de 2024</w:t>
      </w:r>
      <w:r w:rsidRPr="00925A42">
        <w:rPr>
          <w:rFonts w:ascii="Verdana" w:eastAsia="Century Gothic" w:hAnsi="Verdana" w:cs="Century Gothic"/>
          <w:vertAlign w:val="superscript"/>
          <w:lang w:val="es-ES" w:eastAsia="es-ES_tradnl"/>
        </w:rPr>
        <w:footnoteReference w:id="12"/>
      </w:r>
      <w:r w:rsidRPr="00925A42">
        <w:rPr>
          <w:rStyle w:val="normaltextrun"/>
          <w:rFonts w:ascii="Verdana" w:hAnsi="Verdana" w:cs="Arial"/>
          <w:shd w:val="clear" w:color="auto" w:fill="FFFFFF"/>
          <w:lang w:val="es-ES"/>
        </w:rPr>
        <w:t>. Es</w:t>
      </w:r>
      <w:r w:rsidRPr="00925A42">
        <w:rPr>
          <w:rFonts w:ascii="Verdana" w:hAnsi="Verdana"/>
        </w:rPr>
        <w:t>tos y otros conceptos se encuentran disponibles para consulta en el Sistema de relatoría de la Agencia, al cual se puede acceder a través del siguiente enlace:</w:t>
      </w:r>
      <w:r w:rsidRPr="00925A42">
        <w:rPr>
          <w:rStyle w:val="normaltextrun"/>
          <w:rFonts w:ascii="Verdana" w:hAnsi="Verdana" w:cs="Arial"/>
          <w:shd w:val="clear" w:color="auto" w:fill="FFFFFF"/>
          <w:lang w:val="es-ES"/>
        </w:rPr>
        <w:t xml:space="preserve"> </w:t>
      </w:r>
      <w:hyperlink r:id="rId13" w:history="1">
        <w:r w:rsidR="00925A42" w:rsidRPr="003B0890">
          <w:rPr>
            <w:rStyle w:val="Hipervnculo"/>
            <w:rFonts w:ascii="Verdana" w:hAnsi="Verdana" w:cs="Arial"/>
            <w:shd w:val="clear" w:color="auto" w:fill="FFFFFF"/>
            <w:lang w:val="es-ES"/>
          </w:rPr>
          <w:t>https://relatoria.colombiacompra.gov.co/busqueda/conceptos</w:t>
        </w:r>
      </w:hyperlink>
      <w:r w:rsidRPr="00925A42">
        <w:rPr>
          <w:rStyle w:val="normaltextrun"/>
          <w:rFonts w:ascii="Verdana" w:hAnsi="Verdana" w:cs="Arial"/>
          <w:shd w:val="clear" w:color="auto" w:fill="FFFFFF"/>
          <w:lang w:val="es-ES"/>
        </w:rPr>
        <w:t xml:space="preserve">. </w:t>
      </w:r>
    </w:p>
    <w:p w14:paraId="1CC746CB" w14:textId="77777777" w:rsidR="00EC529F" w:rsidRPr="00925A42" w:rsidRDefault="00EC529F" w:rsidP="00925A42">
      <w:pPr>
        <w:widowControl w:val="0"/>
        <w:autoSpaceDE w:val="0"/>
        <w:autoSpaceDN w:val="0"/>
        <w:spacing w:after="0" w:line="276" w:lineRule="auto"/>
        <w:jc w:val="both"/>
        <w:rPr>
          <w:rStyle w:val="normaltextrun"/>
          <w:rFonts w:ascii="Verdana" w:hAnsi="Verdana" w:cs="Arial"/>
          <w:shd w:val="clear" w:color="auto" w:fill="FFFFFF"/>
          <w:lang w:val="es-ES"/>
        </w:rPr>
      </w:pPr>
    </w:p>
    <w:p w14:paraId="23F39E28" w14:textId="6D78E83F" w:rsidR="00EC529F" w:rsidRPr="00925A42" w:rsidRDefault="00EC529F" w:rsidP="00925A42">
      <w:pPr>
        <w:widowControl w:val="0"/>
        <w:autoSpaceDE w:val="0"/>
        <w:autoSpaceDN w:val="0"/>
        <w:spacing w:after="0" w:line="276" w:lineRule="auto"/>
        <w:jc w:val="both"/>
        <w:rPr>
          <w:rStyle w:val="normaltextrun"/>
          <w:rFonts w:ascii="Verdana" w:hAnsi="Verdana" w:cs="Arial"/>
          <w:shd w:val="clear" w:color="auto" w:fill="FFFFFF"/>
          <w:lang w:val="es-MX"/>
        </w:rPr>
      </w:pPr>
      <w:r w:rsidRPr="00925A42">
        <w:rPr>
          <w:rStyle w:val="normaltextrun"/>
          <w:rFonts w:ascii="Verdana"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4" w:history="1">
        <w:r w:rsidR="00925A42" w:rsidRPr="003B0890">
          <w:rPr>
            <w:rStyle w:val="Hipervnculo"/>
            <w:rFonts w:ascii="Verdana" w:hAnsi="Verdana" w:cs="Arial"/>
            <w:shd w:val="clear" w:color="auto" w:fill="FFFFFF"/>
            <w:lang w:val="es-ES"/>
          </w:rPr>
          <w:t>https://www.colombiacompra.gov.co/sala-de-prensa/boletin-digital</w:t>
        </w:r>
      </w:hyperlink>
      <w:r w:rsidR="00925A42">
        <w:rPr>
          <w:rStyle w:val="Hipervnculo"/>
          <w:rFonts w:ascii="Verdana" w:hAnsi="Verdana" w:cs="Arial"/>
          <w:color w:val="auto"/>
          <w:shd w:val="clear" w:color="auto" w:fill="FFFFFF"/>
          <w:lang w:val="es-ES"/>
        </w:rPr>
        <w:t xml:space="preserve"> </w:t>
      </w:r>
      <w:r w:rsidR="00760870">
        <w:rPr>
          <w:rStyle w:val="normaltextrun"/>
          <w:rFonts w:ascii="Verdana" w:hAnsi="Verdana" w:cs="Arial"/>
          <w:shd w:val="clear" w:color="auto" w:fill="FFFFFF"/>
          <w:lang w:val="es-ES"/>
        </w:rPr>
        <w:t>.</w:t>
      </w:r>
      <w:r w:rsidR="001E4DA2">
        <w:rPr>
          <w:rStyle w:val="normaltextrun"/>
          <w:rFonts w:ascii="Verdana" w:hAnsi="Verdana" w:cs="Arial"/>
          <w:shd w:val="clear" w:color="auto" w:fill="FFFFFF"/>
          <w:lang w:val="es-ES"/>
        </w:rPr>
        <w:t xml:space="preserve"> </w:t>
      </w:r>
    </w:p>
    <w:p w14:paraId="54073826" w14:textId="77777777" w:rsidR="00EC529F" w:rsidRPr="00925A42" w:rsidRDefault="00EC529F" w:rsidP="00925A42">
      <w:pPr>
        <w:widowControl w:val="0"/>
        <w:autoSpaceDE w:val="0"/>
        <w:autoSpaceDN w:val="0"/>
        <w:spacing w:after="0" w:line="276" w:lineRule="auto"/>
        <w:jc w:val="both"/>
        <w:rPr>
          <w:rFonts w:ascii="Verdana" w:hAnsi="Verdana" w:cs="Arial"/>
        </w:rPr>
      </w:pPr>
    </w:p>
    <w:p w14:paraId="3401FEEB" w14:textId="77777777" w:rsidR="00EC529F" w:rsidRPr="00925A42" w:rsidRDefault="00EC529F" w:rsidP="00925A42">
      <w:pPr>
        <w:widowControl w:val="0"/>
        <w:autoSpaceDE w:val="0"/>
        <w:autoSpaceDN w:val="0"/>
        <w:spacing w:after="0" w:line="276" w:lineRule="auto"/>
        <w:jc w:val="both"/>
        <w:rPr>
          <w:rFonts w:ascii="Verdana" w:hAnsi="Verdana" w:cs="Arial"/>
          <w:lang w:val="es-ES_tradnl"/>
        </w:rPr>
      </w:pPr>
      <w:r w:rsidRPr="00925A42">
        <w:rPr>
          <w:rFonts w:ascii="Verdana" w:hAnsi="Verdana" w:cs="Arial"/>
        </w:rPr>
        <w:t xml:space="preserve">Este concepto tiene el alcance previsto en el artículo 28 del Código de Procedimiento Administrativo y de lo Contencioso Administrativo </w:t>
      </w:r>
      <w:r w:rsidRPr="00925A42">
        <w:rPr>
          <w:rFonts w:ascii="Verdana" w:hAnsi="Verdana" w:cs="Arial"/>
          <w:lang w:val="es-ES_tradnl"/>
        </w:rPr>
        <w:t>y las expresiones aquí utilizadas con mayúscula inicial deben ser entendidas con el significado que les otorga el artículo 2.2.1.1.1.3.1. del Decreto 1082 de 2015.</w:t>
      </w:r>
    </w:p>
    <w:p w14:paraId="4B9D538A" w14:textId="77777777" w:rsidR="00EC529F" w:rsidRPr="00925A42" w:rsidRDefault="00EC529F" w:rsidP="00925A42">
      <w:pPr>
        <w:widowControl w:val="0"/>
        <w:autoSpaceDE w:val="0"/>
        <w:autoSpaceDN w:val="0"/>
        <w:spacing w:after="0" w:line="276" w:lineRule="auto"/>
        <w:jc w:val="both"/>
        <w:rPr>
          <w:rFonts w:ascii="Verdana" w:hAnsi="Verdana" w:cs="Arial"/>
        </w:rPr>
      </w:pPr>
    </w:p>
    <w:p w14:paraId="6D9AAAA0" w14:textId="77777777" w:rsidR="00EC529F" w:rsidRPr="00925A42" w:rsidRDefault="00EC529F" w:rsidP="00925A42">
      <w:pPr>
        <w:spacing w:after="0" w:line="276" w:lineRule="auto"/>
        <w:rPr>
          <w:rFonts w:ascii="Verdana" w:hAnsi="Verdana" w:cs="Arial"/>
          <w:lang w:eastAsia="es-CO"/>
        </w:rPr>
      </w:pPr>
      <w:r w:rsidRPr="00925A42">
        <w:rPr>
          <w:rFonts w:ascii="Verdana" w:eastAsia="Times New Roman" w:hAnsi="Verdana" w:cs="Arial"/>
          <w:lang w:eastAsia="es-CO"/>
        </w:rPr>
        <w:t>Atentamente,</w:t>
      </w:r>
      <w:r w:rsidRPr="00925A42">
        <w:rPr>
          <w:rFonts w:ascii="Verdana" w:hAnsi="Verdana" w:cs="Arial"/>
          <w:lang w:eastAsia="es-CO"/>
        </w:rPr>
        <w:t xml:space="preserve"> </w:t>
      </w:r>
    </w:p>
    <w:p w14:paraId="61909FA1" w14:textId="32DDB73E" w:rsidR="00EC529F" w:rsidRPr="00EE5B8D" w:rsidRDefault="00D81097" w:rsidP="00EC529F">
      <w:pPr>
        <w:spacing w:line="276" w:lineRule="auto"/>
        <w:jc w:val="center"/>
        <w:rPr>
          <w:rFonts w:ascii="Verdana" w:hAnsi="Verdana" w:cs="Arial"/>
          <w:lang w:val="es-ES_tradnl" w:eastAsia="es-CO"/>
        </w:rPr>
      </w:pPr>
      <w:r w:rsidRPr="002C3AD6">
        <w:rPr>
          <w:rFonts w:ascii="Century Gothic" w:hAnsi="Century Gothic"/>
          <w:noProof/>
        </w:rPr>
        <w:drawing>
          <wp:inline distT="0" distB="0" distL="0" distR="0" wp14:anchorId="7ECB84FC" wp14:editId="60B9B1F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00BB9" w:rsidRPr="0008528F" w14:paraId="60668605" w14:textId="77777777" w:rsidTr="004854EE">
        <w:trPr>
          <w:trHeight w:val="315"/>
        </w:trPr>
        <w:tc>
          <w:tcPr>
            <w:tcW w:w="893" w:type="dxa"/>
            <w:vAlign w:val="center"/>
            <w:hideMark/>
          </w:tcPr>
          <w:p w14:paraId="76D8C388" w14:textId="77777777" w:rsidR="00800BB9" w:rsidRPr="0008528F" w:rsidRDefault="00800BB9" w:rsidP="004854EE">
            <w:pPr>
              <w:contextualSpacing/>
              <w:rPr>
                <w:rFonts w:ascii="Verdana" w:hAnsi="Verdana" w:cs="Arial"/>
                <w:sz w:val="16"/>
                <w:szCs w:val="16"/>
                <w:lang w:val="es-ES" w:eastAsia="es-ES"/>
              </w:rPr>
            </w:pPr>
            <w:r w:rsidRPr="0008528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4D21F5B" w14:textId="77777777" w:rsidR="00800BB9" w:rsidRPr="0008528F" w:rsidRDefault="00800BB9" w:rsidP="004854EE">
            <w:pPr>
              <w:rPr>
                <w:rFonts w:ascii="Verdana" w:eastAsia="Arial" w:hAnsi="Verdana" w:cs="Arial"/>
                <w:sz w:val="16"/>
                <w:szCs w:val="16"/>
              </w:rPr>
            </w:pPr>
            <w:r w:rsidRPr="0008528F">
              <w:rPr>
                <w:rFonts w:ascii="Verdana" w:eastAsia="Arial" w:hAnsi="Verdana" w:cs="Arial"/>
                <w:sz w:val="16"/>
                <w:szCs w:val="16"/>
              </w:rPr>
              <w:t>Diana Lucia Saavedra Castañeda </w:t>
            </w:r>
          </w:p>
          <w:p w14:paraId="3C09D614" w14:textId="77777777" w:rsidR="00800BB9" w:rsidRPr="0008528F" w:rsidRDefault="00800BB9" w:rsidP="004854EE">
            <w:pPr>
              <w:contextualSpacing/>
              <w:rPr>
                <w:rFonts w:ascii="Verdana" w:eastAsia="Arial" w:hAnsi="Verdana" w:cs="Arial"/>
                <w:sz w:val="16"/>
                <w:szCs w:val="16"/>
              </w:rPr>
            </w:pPr>
            <w:r w:rsidRPr="0008528F">
              <w:rPr>
                <w:rFonts w:ascii="Verdana" w:eastAsia="Arial" w:hAnsi="Verdana" w:cs="Arial"/>
                <w:sz w:val="16"/>
                <w:szCs w:val="16"/>
              </w:rPr>
              <w:t>Contratista de la Subdirección de Gestión Contractual </w:t>
            </w:r>
          </w:p>
        </w:tc>
      </w:tr>
      <w:tr w:rsidR="00800BB9" w:rsidRPr="0008528F" w14:paraId="2C81B89C" w14:textId="77777777" w:rsidTr="004854EE">
        <w:trPr>
          <w:trHeight w:val="330"/>
        </w:trPr>
        <w:tc>
          <w:tcPr>
            <w:tcW w:w="893" w:type="dxa"/>
            <w:vAlign w:val="center"/>
            <w:hideMark/>
          </w:tcPr>
          <w:p w14:paraId="583055F7" w14:textId="77777777" w:rsidR="00800BB9" w:rsidRPr="0008528F" w:rsidRDefault="00800BB9" w:rsidP="004854EE">
            <w:pPr>
              <w:contextualSpacing/>
              <w:rPr>
                <w:rFonts w:ascii="Verdana" w:hAnsi="Verdana" w:cs="Arial"/>
                <w:sz w:val="16"/>
                <w:szCs w:val="16"/>
                <w:lang w:val="es-ES" w:eastAsia="es-ES"/>
              </w:rPr>
            </w:pPr>
            <w:r w:rsidRPr="0008528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15ED100" w14:textId="77777777" w:rsidR="00800BB9" w:rsidRDefault="00800BB9" w:rsidP="004854EE">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 xml:space="preserve">Alejandro Raúl Sarmiento Cantillo </w:t>
            </w:r>
          </w:p>
          <w:p w14:paraId="3D84D8E6" w14:textId="77777777" w:rsidR="00800BB9" w:rsidRPr="0008528F" w:rsidRDefault="00800BB9" w:rsidP="004854EE">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 xml:space="preserve">Gestor T1-15 </w:t>
            </w:r>
            <w:r w:rsidRPr="0008528F">
              <w:rPr>
                <w:rFonts w:ascii="Verdana" w:eastAsia="Arial" w:hAnsi="Verdana" w:cs="Arial"/>
                <w:sz w:val="16"/>
                <w:szCs w:val="16"/>
              </w:rPr>
              <w:t>de la Subdirección de Gestión Contractual </w:t>
            </w:r>
          </w:p>
        </w:tc>
      </w:tr>
      <w:tr w:rsidR="00800BB9" w:rsidRPr="0008528F" w14:paraId="38B4EA80" w14:textId="77777777" w:rsidTr="004854EE">
        <w:trPr>
          <w:trHeight w:val="300"/>
        </w:trPr>
        <w:tc>
          <w:tcPr>
            <w:tcW w:w="893" w:type="dxa"/>
            <w:vAlign w:val="center"/>
          </w:tcPr>
          <w:p w14:paraId="07941656" w14:textId="77777777" w:rsidR="00800BB9" w:rsidRPr="0008528F" w:rsidRDefault="00800BB9" w:rsidP="004854EE">
            <w:pPr>
              <w:contextualSpacing/>
              <w:rPr>
                <w:rFonts w:ascii="Verdana" w:hAnsi="Verdana" w:cs="Arial"/>
                <w:sz w:val="16"/>
                <w:szCs w:val="16"/>
                <w:lang w:val="es-ES" w:eastAsia="es-ES"/>
              </w:rPr>
            </w:pPr>
            <w:r w:rsidRPr="0008528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72996AA" w14:textId="77777777" w:rsidR="00800BB9" w:rsidRPr="0008528F" w:rsidRDefault="00800BB9" w:rsidP="004854EE">
            <w:pPr>
              <w:contextualSpacing/>
              <w:rPr>
                <w:rFonts w:ascii="Verdana" w:eastAsia="Calibri" w:hAnsi="Verdana" w:cs="Arial"/>
                <w:sz w:val="16"/>
                <w:szCs w:val="16"/>
                <w:lang w:val="pt-BR" w:eastAsia="es-ES"/>
              </w:rPr>
            </w:pPr>
            <w:r w:rsidRPr="0008528F">
              <w:rPr>
                <w:rFonts w:ascii="Verdana" w:eastAsia="Calibri" w:hAnsi="Verdana" w:cs="Arial"/>
                <w:sz w:val="16"/>
                <w:szCs w:val="16"/>
                <w:lang w:val="pt-BR" w:eastAsia="es-ES"/>
              </w:rPr>
              <w:t>Carolina Quintero Gacharná</w:t>
            </w:r>
          </w:p>
          <w:p w14:paraId="7185E527" w14:textId="77777777" w:rsidR="00800BB9" w:rsidRPr="0008528F" w:rsidRDefault="00800BB9" w:rsidP="004854EE">
            <w:pPr>
              <w:contextualSpacing/>
              <w:rPr>
                <w:rFonts w:ascii="Verdana" w:eastAsia="Calibri" w:hAnsi="Verdana" w:cs="Arial"/>
                <w:sz w:val="16"/>
                <w:szCs w:val="16"/>
                <w:lang w:val="pt-BR" w:eastAsia="es-ES"/>
              </w:rPr>
            </w:pPr>
            <w:r w:rsidRPr="0008528F">
              <w:rPr>
                <w:rFonts w:ascii="Verdana" w:eastAsia="Calibri" w:hAnsi="Verdana" w:cs="Arial"/>
                <w:sz w:val="16"/>
                <w:szCs w:val="16"/>
                <w:lang w:eastAsia="es-ES"/>
              </w:rPr>
              <w:t>Subdirectora</w:t>
            </w:r>
            <w:r w:rsidRPr="0008528F">
              <w:rPr>
                <w:rFonts w:ascii="Verdana" w:eastAsia="Calibri" w:hAnsi="Verdana" w:cs="Arial"/>
                <w:sz w:val="16"/>
                <w:szCs w:val="16"/>
                <w:lang w:val="pt-BR" w:eastAsia="es-ES"/>
              </w:rPr>
              <w:t xml:space="preserve"> de Gestión Contractual ANCP – CCE</w:t>
            </w:r>
          </w:p>
        </w:tc>
      </w:tr>
    </w:tbl>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941D7" w14:textId="77777777" w:rsidR="00205079" w:rsidRDefault="00205079" w:rsidP="004A1847">
      <w:pPr>
        <w:spacing w:after="0" w:line="240" w:lineRule="auto"/>
      </w:pPr>
      <w:r>
        <w:separator/>
      </w:r>
    </w:p>
  </w:endnote>
  <w:endnote w:type="continuationSeparator" w:id="0">
    <w:p w14:paraId="1C206354" w14:textId="77777777" w:rsidR="00205079" w:rsidRDefault="00205079" w:rsidP="004A1847">
      <w:pPr>
        <w:spacing w:after="0" w:line="240" w:lineRule="auto"/>
      </w:pPr>
      <w:r>
        <w:continuationSeparator/>
      </w:r>
    </w:p>
  </w:endnote>
  <w:endnote w:type="continuationNotice" w:id="1">
    <w:p w14:paraId="1163AEF0" w14:textId="77777777" w:rsidR="00CD0079" w:rsidRDefault="00CD0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F57D88">
      <w:rPr>
        <w:rFonts w:ascii="Verdana" w:eastAsia="Times New Roman" w:hAnsi="Verdana" w:cs="Times New Roman"/>
        <w:b/>
        <w:bCs/>
        <w:sz w:val="16"/>
        <w:szCs w:val="16"/>
        <w:lang w:val="es-ES"/>
      </w:rPr>
      <w:t xml:space="preserve">pág. </w:t>
    </w:r>
    <w:r w:rsidRPr="00F57D88">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F57D88">
      <w:rPr>
        <w:rFonts w:ascii="Verdana" w:eastAsia="Times New Roman" w:hAnsi="Verdana"/>
        <w:b/>
        <w:bCs/>
        <w:sz w:val="16"/>
        <w:szCs w:val="16"/>
      </w:rPr>
      <w:fldChar w:fldCharType="separate"/>
    </w:r>
    <w:r w:rsidRPr="00F57D88">
      <w:rPr>
        <w:rFonts w:ascii="Verdana" w:eastAsia="Times New Roman" w:hAnsi="Verdana"/>
        <w:b/>
        <w:bCs/>
        <w:sz w:val="16"/>
        <w:szCs w:val="16"/>
      </w:rPr>
      <w:t>1</w:t>
    </w:r>
    <w:r w:rsidRPr="00F57D88">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A6CB" w14:textId="77777777" w:rsidR="00205079" w:rsidRDefault="00205079" w:rsidP="004A1847">
      <w:pPr>
        <w:spacing w:after="0" w:line="240" w:lineRule="auto"/>
      </w:pPr>
      <w:r>
        <w:separator/>
      </w:r>
    </w:p>
  </w:footnote>
  <w:footnote w:type="continuationSeparator" w:id="0">
    <w:p w14:paraId="102055E2" w14:textId="77777777" w:rsidR="00205079" w:rsidRDefault="00205079" w:rsidP="004A1847">
      <w:pPr>
        <w:spacing w:after="0" w:line="240" w:lineRule="auto"/>
      </w:pPr>
      <w:r>
        <w:continuationSeparator/>
      </w:r>
    </w:p>
  </w:footnote>
  <w:footnote w:type="continuationNotice" w:id="1">
    <w:p w14:paraId="591EB945" w14:textId="77777777" w:rsidR="00CD0079" w:rsidRDefault="00CD0079">
      <w:pPr>
        <w:spacing w:after="0" w:line="240" w:lineRule="auto"/>
      </w:pPr>
    </w:p>
  </w:footnote>
  <w:footnote w:id="2">
    <w:p w14:paraId="5D0C29A9" w14:textId="7E07804D" w:rsidR="00EC529F" w:rsidRPr="009D3B82" w:rsidRDefault="00EC529F" w:rsidP="009D3B82">
      <w:pPr>
        <w:pStyle w:val="Textonotapie"/>
        <w:ind w:firstLine="709"/>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w:t>
      </w:r>
      <w:r w:rsidR="00E315DE" w:rsidRPr="009D3B82">
        <w:rPr>
          <w:rFonts w:ascii="Verdana" w:hAnsi="Verdana" w:cs="Arial"/>
          <w:color w:val="000000" w:themeColor="text1"/>
          <w:sz w:val="16"/>
          <w:szCs w:val="16"/>
        </w:rPr>
        <w:t xml:space="preserve">, dictado por la Agencia Nacional de Contratación Pública – Colombia Compra Eficiente. </w:t>
      </w:r>
    </w:p>
  </w:footnote>
  <w:footnote w:id="3">
    <w:p w14:paraId="36A72FC2" w14:textId="77777777" w:rsidR="00EC529F" w:rsidRPr="009D3B82" w:rsidRDefault="00EC529F" w:rsidP="00E01B93">
      <w:pPr>
        <w:pStyle w:val="Textonotapie"/>
        <w:ind w:firstLine="709"/>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896E6A9" w14:textId="14D0B911" w:rsidR="00EC529F" w:rsidRPr="009D3B82" w:rsidRDefault="00EC529F" w:rsidP="009D3B82">
      <w:pPr>
        <w:pStyle w:val="Textonotapie"/>
        <w:ind w:firstLine="709"/>
        <w:jc w:val="both"/>
        <w:rPr>
          <w:rFonts w:ascii="Verdana" w:hAnsi="Verdana" w:cs="Arial"/>
          <w:color w:val="000000" w:themeColor="text1"/>
          <w:sz w:val="16"/>
          <w:szCs w:val="16"/>
        </w:rPr>
      </w:pPr>
      <w:r w:rsidRPr="009D3B82">
        <w:rPr>
          <w:rFonts w:ascii="Verdana" w:hAnsi="Verdana" w:cs="Arial"/>
          <w:color w:val="000000" w:themeColor="text1"/>
          <w:sz w:val="16"/>
          <w:szCs w:val="16"/>
        </w:rPr>
        <w:t xml:space="preserve">Los convenios de asociación a que se refiere el presente artículo </w:t>
      </w:r>
      <w:bookmarkStart w:id="3" w:name="_Hlk36023315"/>
      <w:r w:rsidRPr="009D3B82">
        <w:rPr>
          <w:rFonts w:ascii="Verdana" w:hAnsi="Verdana" w:cs="Arial"/>
          <w:color w:val="000000" w:themeColor="text1"/>
          <w:sz w:val="16"/>
          <w:szCs w:val="16"/>
        </w:rPr>
        <w:t>se celebrarán de conformidad con lo dispuesto en el artículo 355 de la Constitución Política</w:t>
      </w:r>
      <w:bookmarkEnd w:id="3"/>
      <w:r w:rsidRPr="009D3B82">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footnote>
  <w:footnote w:id="4">
    <w:p w14:paraId="3596DFB1" w14:textId="3FCFDA01" w:rsidR="00EC529F" w:rsidRPr="009D3B82" w:rsidRDefault="00EC529F" w:rsidP="009D3B82">
      <w:pPr>
        <w:pStyle w:val="Textonotapie"/>
        <w:ind w:firstLine="708"/>
        <w:jc w:val="both"/>
        <w:rPr>
          <w:rFonts w:ascii="Verdana" w:hAnsi="Verdana" w:cs="Arial"/>
          <w:color w:val="000000"/>
          <w:sz w:val="16"/>
          <w:szCs w:val="16"/>
        </w:rPr>
      </w:pPr>
      <w:r w:rsidRPr="009D3B82">
        <w:rPr>
          <w:rStyle w:val="Refdenotaalpie"/>
          <w:rFonts w:ascii="Verdana" w:hAnsi="Verdana" w:cs="Arial"/>
          <w:color w:val="000000"/>
          <w:sz w:val="16"/>
          <w:szCs w:val="16"/>
        </w:rPr>
        <w:footnoteRef/>
      </w:r>
      <w:r w:rsidRPr="009D3B82">
        <w:rPr>
          <w:rFonts w:ascii="Verdana" w:hAnsi="Verdana"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5">
    <w:p w14:paraId="24655408" w14:textId="501EC5A5" w:rsidR="00EC529F" w:rsidRPr="009D3B82" w:rsidRDefault="00EC529F" w:rsidP="009D3B82">
      <w:pPr>
        <w:pStyle w:val="Textonotapie"/>
        <w:ind w:firstLine="709"/>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Concepto del 3 de septiembre de 2019, con radicado No. 2201913000006512</w:t>
      </w:r>
      <w:r w:rsidR="00E315DE" w:rsidRPr="009D3B82">
        <w:rPr>
          <w:rFonts w:ascii="Verdana" w:hAnsi="Verdana" w:cs="Arial"/>
          <w:color w:val="000000" w:themeColor="text1"/>
          <w:sz w:val="16"/>
          <w:szCs w:val="16"/>
        </w:rPr>
        <w:t>, dictado por la Agencia Nacional de Contratación Pública – Colombia Compra Eficiente.</w:t>
      </w:r>
    </w:p>
  </w:footnote>
  <w:footnote w:id="6">
    <w:p w14:paraId="6FFEE763" w14:textId="3AD462A3" w:rsidR="00D33D41" w:rsidRPr="009D3B82" w:rsidRDefault="00EC529F" w:rsidP="009D3B82">
      <w:pPr>
        <w:pStyle w:val="Textonotapie"/>
        <w:ind w:firstLine="708"/>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Cfr. Concepto del 21 de agosto de 2019, dictado dentro del radicado No. 2201913000006047.</w:t>
      </w:r>
    </w:p>
  </w:footnote>
  <w:footnote w:id="7">
    <w:p w14:paraId="0D4F2FA2" w14:textId="5FECA167" w:rsidR="00D33D41" w:rsidRPr="009D3B82" w:rsidRDefault="00EC529F" w:rsidP="009D3B82">
      <w:pPr>
        <w:pStyle w:val="Textonotapie"/>
        <w:ind w:firstLine="708"/>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w:t>
      </w:r>
      <w:bookmarkStart w:id="11" w:name="_Hlk171946243"/>
      <w:r w:rsidR="00DC60CC" w:rsidRPr="009D3B82">
        <w:rPr>
          <w:rFonts w:ascii="Verdana" w:hAnsi="Verdana" w:cs="Arial"/>
          <w:color w:val="000000" w:themeColor="text1"/>
          <w:sz w:val="16"/>
          <w:szCs w:val="16"/>
        </w:rPr>
        <w:t xml:space="preserve">Consejo de Estado. Sala de Consulta y del Servicio Civil. </w:t>
      </w:r>
      <w:r w:rsidRPr="009D3B82">
        <w:rPr>
          <w:rFonts w:ascii="Verdana" w:hAnsi="Verdana" w:cs="Arial"/>
          <w:color w:val="000000" w:themeColor="text1"/>
          <w:sz w:val="16"/>
          <w:szCs w:val="16"/>
        </w:rPr>
        <w:t>Concepto del 24 de febrero de 2005</w:t>
      </w:r>
      <w:r w:rsidR="00E315DE" w:rsidRPr="009D3B82">
        <w:rPr>
          <w:rFonts w:ascii="Verdana" w:hAnsi="Verdana" w:cs="Arial"/>
          <w:color w:val="000000" w:themeColor="text1"/>
          <w:sz w:val="16"/>
          <w:szCs w:val="16"/>
        </w:rPr>
        <w:t>. R</w:t>
      </w:r>
      <w:r w:rsidRPr="009D3B82">
        <w:rPr>
          <w:rFonts w:ascii="Verdana" w:hAnsi="Verdana" w:cs="Arial"/>
          <w:color w:val="000000" w:themeColor="text1"/>
          <w:sz w:val="16"/>
          <w:szCs w:val="16"/>
        </w:rPr>
        <w:t>adicado No. 1626</w:t>
      </w:r>
      <w:r w:rsidR="00E315DE" w:rsidRPr="009D3B82">
        <w:rPr>
          <w:rFonts w:ascii="Verdana" w:hAnsi="Verdana" w:cs="Arial"/>
          <w:color w:val="000000" w:themeColor="text1"/>
          <w:sz w:val="16"/>
          <w:szCs w:val="16"/>
        </w:rPr>
        <w:t>.</w:t>
      </w:r>
      <w:r w:rsidRPr="009D3B82">
        <w:rPr>
          <w:rFonts w:ascii="Verdana" w:hAnsi="Verdana" w:cs="Arial"/>
          <w:color w:val="000000" w:themeColor="text1"/>
          <w:sz w:val="16"/>
          <w:szCs w:val="16"/>
        </w:rPr>
        <w:t xml:space="preserve"> C</w:t>
      </w:r>
      <w:r w:rsidR="00E315DE" w:rsidRPr="009D3B82">
        <w:rPr>
          <w:rFonts w:ascii="Verdana" w:hAnsi="Verdana" w:cs="Arial"/>
          <w:color w:val="000000" w:themeColor="text1"/>
          <w:sz w:val="16"/>
          <w:szCs w:val="16"/>
        </w:rPr>
        <w:t xml:space="preserve">onsejera </w:t>
      </w:r>
      <w:r w:rsidRPr="009D3B82">
        <w:rPr>
          <w:rFonts w:ascii="Verdana" w:hAnsi="Verdana" w:cs="Arial"/>
          <w:color w:val="000000" w:themeColor="text1"/>
          <w:sz w:val="16"/>
          <w:szCs w:val="16"/>
        </w:rPr>
        <w:t>P</w:t>
      </w:r>
      <w:r w:rsidR="00E315DE" w:rsidRPr="009D3B82">
        <w:rPr>
          <w:rFonts w:ascii="Verdana" w:hAnsi="Verdana" w:cs="Arial"/>
          <w:color w:val="000000" w:themeColor="text1"/>
          <w:sz w:val="16"/>
          <w:szCs w:val="16"/>
        </w:rPr>
        <w:t>onente:</w:t>
      </w:r>
      <w:r w:rsidRPr="009D3B82">
        <w:rPr>
          <w:rFonts w:ascii="Verdana" w:hAnsi="Verdana" w:cs="Arial"/>
          <w:color w:val="000000" w:themeColor="text1"/>
          <w:sz w:val="16"/>
          <w:szCs w:val="16"/>
        </w:rPr>
        <w:t xml:space="preserve"> Dra. Gloria Duque Hernández</w:t>
      </w:r>
      <w:bookmarkEnd w:id="11"/>
      <w:r w:rsidR="008827B8" w:rsidRPr="009D3B82">
        <w:rPr>
          <w:rFonts w:ascii="Verdana" w:hAnsi="Verdana" w:cs="Arial"/>
          <w:color w:val="000000" w:themeColor="text1"/>
          <w:sz w:val="16"/>
          <w:szCs w:val="16"/>
        </w:rPr>
        <w:t>.</w:t>
      </w:r>
    </w:p>
  </w:footnote>
  <w:footnote w:id="8">
    <w:p w14:paraId="6DA00B67" w14:textId="3FE64E89" w:rsidR="00D33D41" w:rsidRPr="009D3B82" w:rsidRDefault="00EC529F" w:rsidP="009D3B82">
      <w:pPr>
        <w:spacing w:after="0" w:line="240" w:lineRule="auto"/>
        <w:ind w:firstLine="708"/>
        <w:jc w:val="both"/>
        <w:rPr>
          <w:rFonts w:ascii="Verdana" w:eastAsia="Times New Roman" w:hAnsi="Verdana" w:cs="Times New Roman"/>
          <w:color w:val="000000" w:themeColor="text1"/>
          <w:sz w:val="16"/>
          <w:szCs w:val="16"/>
          <w:shd w:val="clear" w:color="auto" w:fill="FFFFFF"/>
          <w:lang w:eastAsia="es-ES_tradnl"/>
        </w:rPr>
      </w:pPr>
      <w:r w:rsidRPr="009D3B82">
        <w:rPr>
          <w:rStyle w:val="Refdenotaalpie"/>
          <w:rFonts w:ascii="Verdana" w:hAnsi="Verdana"/>
          <w:color w:val="000000" w:themeColor="text1"/>
          <w:sz w:val="16"/>
          <w:szCs w:val="16"/>
        </w:rPr>
        <w:footnoteRef/>
      </w:r>
      <w:r w:rsidRPr="009D3B82">
        <w:rPr>
          <w:rFonts w:ascii="Verdana" w:hAnsi="Verdana"/>
          <w:color w:val="000000" w:themeColor="text1"/>
          <w:sz w:val="16"/>
          <w:szCs w:val="16"/>
        </w:rPr>
        <w:t xml:space="preserve"> </w:t>
      </w:r>
      <w:r w:rsidRPr="009D3B82">
        <w:rPr>
          <w:rStyle w:val="author-name"/>
          <w:rFonts w:ascii="Verdana" w:hAnsi="Verdana"/>
          <w:color w:val="000000" w:themeColor="text1"/>
          <w:sz w:val="16"/>
          <w:szCs w:val="16"/>
        </w:rPr>
        <w:t xml:space="preserve">GÓMEZ Velásquez, Alejandro y DÍAZ Díez Cristian Andrés. </w:t>
      </w:r>
      <w:r w:rsidRPr="009D3B82">
        <w:rPr>
          <w:rFonts w:ascii="Verdana" w:eastAsia="Times New Roman" w:hAnsi="Verdana"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9D3B82">
        <w:rPr>
          <w:rFonts w:ascii="Verdana" w:eastAsia="Times New Roman" w:hAnsi="Verdana" w:cs="Times New Roman"/>
          <w:color w:val="000000" w:themeColor="text1"/>
          <w:sz w:val="16"/>
          <w:szCs w:val="16"/>
          <w:shd w:val="clear" w:color="auto" w:fill="FFFFFF"/>
          <w:lang w:eastAsia="es-ES_tradnl"/>
        </w:rPr>
        <w:t xml:space="preserve"> Revista Derecho del Estad. Universidad Externado de Colombia.</w:t>
      </w:r>
      <w:r w:rsidRPr="009D3B82">
        <w:rPr>
          <w:rFonts w:ascii="Verdana" w:eastAsia="Times New Roman" w:hAnsi="Verdana" w:cs="Times New Roman"/>
          <w:i/>
          <w:iCs/>
          <w:color w:val="000000" w:themeColor="text1"/>
          <w:sz w:val="16"/>
          <w:szCs w:val="16"/>
          <w:shd w:val="clear" w:color="auto" w:fill="FFFFFF"/>
          <w:lang w:eastAsia="es-ES_tradnl"/>
        </w:rPr>
        <w:t xml:space="preserve"> </w:t>
      </w:r>
      <w:r w:rsidRPr="009D3B82">
        <w:rPr>
          <w:rFonts w:ascii="Verdana" w:eastAsia="Times New Roman" w:hAnsi="Verdana" w:cs="Times New Roman"/>
          <w:color w:val="000000" w:themeColor="text1"/>
          <w:sz w:val="16"/>
          <w:szCs w:val="16"/>
          <w:shd w:val="clear" w:color="auto" w:fill="FFFFFF"/>
          <w:lang w:eastAsia="es-ES_tradnl"/>
        </w:rPr>
        <w:t xml:space="preserve">Se puede consultar en el siguiente enlace: </w:t>
      </w:r>
      <w:hyperlink r:id="rId1" w:anchor="figures" w:history="1">
        <w:r w:rsidRPr="009D3B82">
          <w:rPr>
            <w:rStyle w:val="Hipervnculo"/>
            <w:rFonts w:ascii="Verdana" w:eastAsia="Times New Roman" w:hAnsi="Verdana" w:cs="Times New Roman"/>
            <w:color w:val="000000" w:themeColor="text1"/>
            <w:sz w:val="16"/>
            <w:szCs w:val="16"/>
            <w:shd w:val="clear" w:color="auto" w:fill="FFFFFF"/>
            <w:lang w:eastAsia="es-ES_tradnl"/>
          </w:rPr>
          <w:t>https://revistas.uexternado.edu.co/index.php/derest/article/view/6151/8606#figures</w:t>
        </w:r>
      </w:hyperlink>
      <w:r w:rsidRPr="009D3B82">
        <w:rPr>
          <w:rFonts w:ascii="Verdana" w:eastAsia="Times New Roman" w:hAnsi="Verdana" w:cs="Times New Roman"/>
          <w:color w:val="000000" w:themeColor="text1"/>
          <w:sz w:val="16"/>
          <w:szCs w:val="16"/>
          <w:shd w:val="clear" w:color="auto" w:fill="FFFFFF"/>
          <w:lang w:eastAsia="es-ES_tradnl"/>
        </w:rPr>
        <w:t xml:space="preserve"> </w:t>
      </w:r>
    </w:p>
  </w:footnote>
  <w:footnote w:id="9">
    <w:p w14:paraId="19B55E60" w14:textId="7A1D5ED1" w:rsidR="00D33D41" w:rsidRPr="009D3B82" w:rsidRDefault="00EC529F" w:rsidP="009D3B82">
      <w:pPr>
        <w:spacing w:after="0" w:line="240" w:lineRule="auto"/>
        <w:ind w:firstLine="708"/>
        <w:jc w:val="both"/>
        <w:rPr>
          <w:rFonts w:ascii="Verdana" w:eastAsia="Times New Roman" w:hAnsi="Verdana" w:cs="Times New Roman"/>
          <w:color w:val="000000"/>
          <w:sz w:val="16"/>
          <w:szCs w:val="16"/>
          <w:shd w:val="clear" w:color="auto" w:fill="FFFFFF"/>
          <w:lang w:eastAsia="es-ES_tradnl"/>
        </w:rPr>
      </w:pPr>
      <w:r w:rsidRPr="009D3B82">
        <w:rPr>
          <w:rStyle w:val="Refdenotaalpie"/>
          <w:rFonts w:ascii="Verdana" w:hAnsi="Verdana"/>
          <w:sz w:val="16"/>
          <w:szCs w:val="16"/>
        </w:rPr>
        <w:footnoteRef/>
      </w:r>
      <w:r w:rsidRPr="009D3B82">
        <w:rPr>
          <w:rFonts w:ascii="Verdana" w:hAnsi="Verdana"/>
          <w:sz w:val="16"/>
          <w:szCs w:val="16"/>
        </w:rPr>
        <w:t xml:space="preserve"> </w:t>
      </w:r>
      <w:bookmarkStart w:id="17" w:name="_Hlk171946540"/>
      <w:r w:rsidRPr="009D3B82">
        <w:rPr>
          <w:rFonts w:ascii="Verdana" w:eastAsia="Times New Roman" w:hAnsi="Verdana" w:cs="Times New Roman"/>
          <w:color w:val="000000"/>
          <w:sz w:val="16"/>
          <w:szCs w:val="16"/>
          <w:shd w:val="clear" w:color="auto" w:fill="FFFFFF"/>
          <w:lang w:eastAsia="es-ES_tradnl"/>
        </w:rPr>
        <w:t>Corte Constitucional</w:t>
      </w:r>
      <w:r w:rsidR="00E315DE" w:rsidRPr="009D3B82">
        <w:rPr>
          <w:rFonts w:ascii="Verdana" w:eastAsia="Times New Roman" w:hAnsi="Verdana" w:cs="Times New Roman"/>
          <w:color w:val="000000"/>
          <w:sz w:val="16"/>
          <w:szCs w:val="16"/>
          <w:shd w:val="clear" w:color="auto" w:fill="FFFFFF"/>
          <w:lang w:eastAsia="es-ES_tradnl"/>
        </w:rPr>
        <w:t xml:space="preserve">. </w:t>
      </w:r>
      <w:r w:rsidRPr="009D3B82">
        <w:rPr>
          <w:rFonts w:ascii="Verdana" w:eastAsia="Times New Roman" w:hAnsi="Verdana" w:cs="Times New Roman"/>
          <w:color w:val="000000"/>
          <w:sz w:val="16"/>
          <w:szCs w:val="16"/>
          <w:shd w:val="clear" w:color="auto" w:fill="FFFFFF"/>
          <w:lang w:eastAsia="es-ES_tradnl"/>
        </w:rPr>
        <w:t xml:space="preserve"> Sala Plena. Sentencia C-324 de 2009. M.P.: Juan Carlos Henao Pérez. En igual sentido, véase Corte Constitucional, Sala Plena. Sentencia C-027 de 2016.</w:t>
      </w:r>
      <w:bookmarkEnd w:id="17"/>
    </w:p>
  </w:footnote>
  <w:footnote w:id="10">
    <w:p w14:paraId="326F29F2" w14:textId="5317F450" w:rsidR="00D33D41" w:rsidRPr="009D3B82" w:rsidRDefault="00EC529F" w:rsidP="00603C9B">
      <w:pPr>
        <w:spacing w:after="0" w:line="240" w:lineRule="auto"/>
        <w:ind w:firstLine="708"/>
        <w:jc w:val="both"/>
        <w:rPr>
          <w:rFonts w:ascii="Verdana" w:hAnsi="Verdana" w:cs="Arial"/>
          <w:color w:val="000000" w:themeColor="text1"/>
          <w:sz w:val="16"/>
          <w:szCs w:val="16"/>
        </w:rPr>
      </w:pPr>
      <w:r w:rsidRPr="009D3B82">
        <w:rPr>
          <w:rStyle w:val="Refdenotaalpie"/>
          <w:rFonts w:ascii="Verdana" w:hAnsi="Verdana" w:cs="Arial"/>
          <w:color w:val="000000" w:themeColor="text1"/>
          <w:sz w:val="16"/>
          <w:szCs w:val="16"/>
        </w:rPr>
        <w:footnoteRef/>
      </w:r>
      <w:r w:rsidRPr="009D3B82">
        <w:rPr>
          <w:rFonts w:ascii="Verdana" w:hAnsi="Verdana" w:cs="Arial"/>
          <w:color w:val="000000" w:themeColor="text1"/>
          <w:sz w:val="16"/>
          <w:szCs w:val="16"/>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1">
    <w:p w14:paraId="0418831D" w14:textId="563A30DE" w:rsidR="00D33D41" w:rsidRPr="00603C9B" w:rsidRDefault="00EC529F" w:rsidP="00603C9B">
      <w:pPr>
        <w:pStyle w:val="Textonotapie"/>
        <w:ind w:firstLine="708"/>
        <w:jc w:val="both"/>
        <w:rPr>
          <w:rFonts w:ascii="Verdana" w:eastAsia="Times New Roman" w:hAnsi="Verdana" w:cs="Times New Roman"/>
          <w:color w:val="000000" w:themeColor="text1"/>
          <w:sz w:val="16"/>
          <w:szCs w:val="16"/>
          <w:u w:val="single"/>
          <w:shd w:val="clear" w:color="auto" w:fill="FFFFFF"/>
          <w:lang w:eastAsia="es-ES_tradnl"/>
        </w:rPr>
      </w:pPr>
      <w:r w:rsidRPr="009D3B82">
        <w:rPr>
          <w:rStyle w:val="Refdenotaalpie"/>
          <w:rFonts w:ascii="Verdana" w:hAnsi="Verdana"/>
          <w:sz w:val="16"/>
          <w:szCs w:val="16"/>
        </w:rPr>
        <w:footnoteRef/>
      </w:r>
      <w:r w:rsidRPr="009D3B82">
        <w:rPr>
          <w:rFonts w:ascii="Verdana" w:hAnsi="Verdana"/>
          <w:sz w:val="16"/>
          <w:szCs w:val="16"/>
        </w:rPr>
        <w:t xml:space="preserve"> </w:t>
      </w:r>
      <w:r w:rsidRPr="009D3B82">
        <w:rPr>
          <w:rStyle w:val="author-name"/>
          <w:rFonts w:ascii="Verdana" w:hAnsi="Verdana"/>
          <w:color w:val="000000" w:themeColor="text1"/>
          <w:sz w:val="16"/>
          <w:szCs w:val="16"/>
        </w:rPr>
        <w:t xml:space="preserve">GÓMEZ Velásquez, Alejandro y DÍAZ Díez Cristian Andrés. </w:t>
      </w:r>
      <w:r w:rsidRPr="009D3B82">
        <w:rPr>
          <w:rFonts w:ascii="Verdana" w:eastAsia="Times New Roman" w:hAnsi="Verdana"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9D3B82">
        <w:rPr>
          <w:rFonts w:ascii="Verdana" w:eastAsia="Times New Roman" w:hAnsi="Verdana" w:cs="Times New Roman"/>
          <w:color w:val="000000" w:themeColor="text1"/>
          <w:sz w:val="16"/>
          <w:szCs w:val="16"/>
          <w:shd w:val="clear" w:color="auto" w:fill="FFFFFF"/>
          <w:lang w:eastAsia="es-ES_tradnl"/>
        </w:rPr>
        <w:t xml:space="preserve"> Revista Derecho del Estad. Universidad Externado de Colombia.</w:t>
      </w:r>
      <w:r w:rsidRPr="009D3B82">
        <w:rPr>
          <w:rFonts w:ascii="Verdana" w:eastAsia="Times New Roman" w:hAnsi="Verdana" w:cs="Times New Roman"/>
          <w:i/>
          <w:iCs/>
          <w:color w:val="000000" w:themeColor="text1"/>
          <w:sz w:val="16"/>
          <w:szCs w:val="16"/>
          <w:shd w:val="clear" w:color="auto" w:fill="FFFFFF"/>
          <w:lang w:eastAsia="es-ES_tradnl"/>
        </w:rPr>
        <w:t xml:space="preserve"> </w:t>
      </w:r>
      <w:r w:rsidRPr="009D3B82">
        <w:rPr>
          <w:rFonts w:ascii="Verdana" w:eastAsia="Times New Roman" w:hAnsi="Verdana" w:cs="Times New Roman"/>
          <w:color w:val="000000" w:themeColor="text1"/>
          <w:sz w:val="16"/>
          <w:szCs w:val="16"/>
          <w:shd w:val="clear" w:color="auto" w:fill="FFFFFF"/>
          <w:lang w:eastAsia="es-ES_tradnl"/>
        </w:rPr>
        <w:t xml:space="preserve">Se puede consultar en el siguiente enlace: </w:t>
      </w:r>
      <w:hyperlink r:id="rId2" w:anchor="figures" w:history="1">
        <w:r w:rsidRPr="009D3B82">
          <w:rPr>
            <w:rStyle w:val="Hipervnculo"/>
            <w:rFonts w:ascii="Verdana" w:eastAsia="Times New Roman" w:hAnsi="Verdana" w:cs="Times New Roman"/>
            <w:color w:val="000000" w:themeColor="text1"/>
            <w:sz w:val="16"/>
            <w:szCs w:val="16"/>
            <w:shd w:val="clear" w:color="auto" w:fill="FFFFFF"/>
            <w:lang w:eastAsia="es-ES_tradnl"/>
          </w:rPr>
          <w:t>https://revistas.uexternado.edu.co/index.php/derest/article/view/6151/8606#figures</w:t>
        </w:r>
      </w:hyperlink>
    </w:p>
  </w:footnote>
  <w:footnote w:id="12">
    <w:p w14:paraId="62434A37" w14:textId="77777777" w:rsidR="00EC529F" w:rsidRPr="009D3B82" w:rsidRDefault="00EC529F" w:rsidP="00E01B93">
      <w:pPr>
        <w:pStyle w:val="Textonotapie"/>
        <w:ind w:firstLine="708"/>
        <w:jc w:val="both"/>
        <w:rPr>
          <w:rFonts w:ascii="Verdana" w:hAnsi="Verdana" w:cs="Arial"/>
          <w:color w:val="000000" w:themeColor="text1"/>
          <w:sz w:val="16"/>
          <w:szCs w:val="16"/>
          <w:shd w:val="clear" w:color="auto" w:fill="E6E6E6"/>
        </w:rPr>
      </w:pPr>
      <w:r w:rsidRPr="009D3B82">
        <w:rPr>
          <w:rFonts w:ascii="Verdana" w:hAnsi="Verdana" w:cs="Arial"/>
          <w:color w:val="000000" w:themeColor="text1"/>
          <w:sz w:val="16"/>
          <w:szCs w:val="16"/>
          <w:vertAlign w:val="superscript"/>
        </w:rPr>
        <w:footnoteRef/>
      </w:r>
      <w:r w:rsidRPr="009D3B82">
        <w:rPr>
          <w:rFonts w:ascii="Verdana" w:hAnsi="Verdana" w:cs="Arial"/>
          <w:color w:val="000000" w:themeColor="text1"/>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3" w:history="1">
        <w:r w:rsidRPr="009D3B82">
          <w:rPr>
            <w:rStyle w:val="Hipervnculo"/>
            <w:rFonts w:ascii="Verdana" w:hAnsi="Verdana" w:cs="Arial"/>
            <w:color w:val="000000" w:themeColor="text1"/>
            <w:sz w:val="16"/>
            <w:szCs w:val="16"/>
          </w:rPr>
          <w:t>https://relatoria.colombiacompra.gov.co/busqueda/conceptos</w:t>
        </w:r>
      </w:hyperlink>
      <w:r w:rsidRPr="009D3B82">
        <w:rPr>
          <w:rStyle w:val="Hipervnculo"/>
          <w:rFonts w:ascii="Verdana" w:hAnsi="Verdana" w:cs="Arial"/>
          <w:color w:val="000000" w:themeColor="text1"/>
          <w:sz w:val="16"/>
          <w:szCs w:val="16"/>
        </w:rPr>
        <w:t xml:space="preserve"> </w:t>
      </w:r>
      <w:r w:rsidRPr="009D3B82">
        <w:rPr>
          <w:rFonts w:ascii="Verdana" w:hAnsi="Verdana" w:cs="Arial"/>
          <w:color w:val="000000" w:themeColor="text1"/>
          <w:sz w:val="16"/>
          <w:szCs w:val="16"/>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C23291E"/>
    <w:multiLevelType w:val="hybridMultilevel"/>
    <w:tmpl w:val="352C3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A2108"/>
    <w:multiLevelType w:val="hybridMultilevel"/>
    <w:tmpl w:val="DEF02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0542C4"/>
    <w:multiLevelType w:val="hybridMultilevel"/>
    <w:tmpl w:val="232828B0"/>
    <w:lvl w:ilvl="0" w:tplc="FFFFFFFF">
      <w:start w:val="1"/>
      <w:numFmt w:val="decimal"/>
      <w:lvlText w:val="%1."/>
      <w:lvlJc w:val="left"/>
      <w:pPr>
        <w:ind w:left="2061"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DC14E4"/>
    <w:multiLevelType w:val="hybridMultilevel"/>
    <w:tmpl w:val="232828B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330140246">
    <w:abstractNumId w:val="0"/>
  </w:num>
  <w:num w:numId="17" w16cid:durableId="1293442513">
    <w:abstractNumId w:val="17"/>
  </w:num>
  <w:num w:numId="18" w16cid:durableId="1882672048">
    <w:abstractNumId w:val="10"/>
  </w:num>
  <w:num w:numId="19" w16cid:durableId="94400953">
    <w:abstractNumId w:val="3"/>
  </w:num>
  <w:num w:numId="20" w16cid:durableId="3983601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493"/>
    <w:rsid w:val="00005BCB"/>
    <w:rsid w:val="00011CCB"/>
    <w:rsid w:val="00013DDC"/>
    <w:rsid w:val="00061B2A"/>
    <w:rsid w:val="00082362"/>
    <w:rsid w:val="00086671"/>
    <w:rsid w:val="000A683E"/>
    <w:rsid w:val="000B19B9"/>
    <w:rsid w:val="000D0334"/>
    <w:rsid w:val="000F6486"/>
    <w:rsid w:val="0010108F"/>
    <w:rsid w:val="00124D8B"/>
    <w:rsid w:val="00125105"/>
    <w:rsid w:val="00127233"/>
    <w:rsid w:val="0013196B"/>
    <w:rsid w:val="0018120D"/>
    <w:rsid w:val="001A0787"/>
    <w:rsid w:val="001A452D"/>
    <w:rsid w:val="001D73AB"/>
    <w:rsid w:val="001E4177"/>
    <w:rsid w:val="001E4DA2"/>
    <w:rsid w:val="001F21BE"/>
    <w:rsid w:val="001F7DC6"/>
    <w:rsid w:val="002034E3"/>
    <w:rsid w:val="00205079"/>
    <w:rsid w:val="002421BB"/>
    <w:rsid w:val="00254F66"/>
    <w:rsid w:val="0025796E"/>
    <w:rsid w:val="002707A2"/>
    <w:rsid w:val="002951A0"/>
    <w:rsid w:val="002962BC"/>
    <w:rsid w:val="002A093D"/>
    <w:rsid w:val="002A0DD0"/>
    <w:rsid w:val="002A49AC"/>
    <w:rsid w:val="002A64FD"/>
    <w:rsid w:val="002B2FD8"/>
    <w:rsid w:val="002C7A84"/>
    <w:rsid w:val="002E4FD9"/>
    <w:rsid w:val="002F2619"/>
    <w:rsid w:val="00322A85"/>
    <w:rsid w:val="00324168"/>
    <w:rsid w:val="003448F4"/>
    <w:rsid w:val="00374F5E"/>
    <w:rsid w:val="00377E3E"/>
    <w:rsid w:val="003A26D1"/>
    <w:rsid w:val="003A6A9B"/>
    <w:rsid w:val="003A779E"/>
    <w:rsid w:val="003C6A73"/>
    <w:rsid w:val="003D0F4D"/>
    <w:rsid w:val="003D5B0D"/>
    <w:rsid w:val="003E0499"/>
    <w:rsid w:val="003E5816"/>
    <w:rsid w:val="003F3941"/>
    <w:rsid w:val="00406575"/>
    <w:rsid w:val="00407CFA"/>
    <w:rsid w:val="0042722E"/>
    <w:rsid w:val="00441ED6"/>
    <w:rsid w:val="0044441E"/>
    <w:rsid w:val="0044528D"/>
    <w:rsid w:val="00467965"/>
    <w:rsid w:val="0048108D"/>
    <w:rsid w:val="00490F30"/>
    <w:rsid w:val="004A1847"/>
    <w:rsid w:val="004A305D"/>
    <w:rsid w:val="004C7D96"/>
    <w:rsid w:val="004E224E"/>
    <w:rsid w:val="004F21C4"/>
    <w:rsid w:val="004F2FF7"/>
    <w:rsid w:val="004F685F"/>
    <w:rsid w:val="004F6997"/>
    <w:rsid w:val="004F7AE0"/>
    <w:rsid w:val="005079FD"/>
    <w:rsid w:val="00512DD2"/>
    <w:rsid w:val="00521130"/>
    <w:rsid w:val="005566E8"/>
    <w:rsid w:val="00563A8C"/>
    <w:rsid w:val="00574867"/>
    <w:rsid w:val="00591460"/>
    <w:rsid w:val="00592628"/>
    <w:rsid w:val="0059284B"/>
    <w:rsid w:val="005B7397"/>
    <w:rsid w:val="005C3777"/>
    <w:rsid w:val="005C4E7F"/>
    <w:rsid w:val="005C5CDC"/>
    <w:rsid w:val="005D476C"/>
    <w:rsid w:val="005F4E04"/>
    <w:rsid w:val="0060298D"/>
    <w:rsid w:val="00603C9B"/>
    <w:rsid w:val="006066DF"/>
    <w:rsid w:val="00610812"/>
    <w:rsid w:val="00612F2F"/>
    <w:rsid w:val="006219F8"/>
    <w:rsid w:val="0064335C"/>
    <w:rsid w:val="00650FF7"/>
    <w:rsid w:val="00654E56"/>
    <w:rsid w:val="00665D70"/>
    <w:rsid w:val="00671DAC"/>
    <w:rsid w:val="006769FA"/>
    <w:rsid w:val="0068647A"/>
    <w:rsid w:val="006900D9"/>
    <w:rsid w:val="00692DC2"/>
    <w:rsid w:val="006A7E2B"/>
    <w:rsid w:val="006B0595"/>
    <w:rsid w:val="006C171A"/>
    <w:rsid w:val="006D12F8"/>
    <w:rsid w:val="006D5DFF"/>
    <w:rsid w:val="006D6C17"/>
    <w:rsid w:val="006F5195"/>
    <w:rsid w:val="00700A2F"/>
    <w:rsid w:val="00706C16"/>
    <w:rsid w:val="007165CC"/>
    <w:rsid w:val="00721199"/>
    <w:rsid w:val="007372BB"/>
    <w:rsid w:val="00753D99"/>
    <w:rsid w:val="00756841"/>
    <w:rsid w:val="00760870"/>
    <w:rsid w:val="007649AB"/>
    <w:rsid w:val="00771D0C"/>
    <w:rsid w:val="00772E43"/>
    <w:rsid w:val="00776F6D"/>
    <w:rsid w:val="007833AC"/>
    <w:rsid w:val="007977AB"/>
    <w:rsid w:val="007B268C"/>
    <w:rsid w:val="007B3B89"/>
    <w:rsid w:val="007B7171"/>
    <w:rsid w:val="007C0C0F"/>
    <w:rsid w:val="007C3DC2"/>
    <w:rsid w:val="007D06A9"/>
    <w:rsid w:val="007D1E3B"/>
    <w:rsid w:val="007E5497"/>
    <w:rsid w:val="00800BB9"/>
    <w:rsid w:val="00806F5F"/>
    <w:rsid w:val="0081243B"/>
    <w:rsid w:val="00815EFC"/>
    <w:rsid w:val="00820278"/>
    <w:rsid w:val="008827B8"/>
    <w:rsid w:val="008843B6"/>
    <w:rsid w:val="008909AB"/>
    <w:rsid w:val="00891928"/>
    <w:rsid w:val="008925DD"/>
    <w:rsid w:val="008A446D"/>
    <w:rsid w:val="008D180B"/>
    <w:rsid w:val="008D6A33"/>
    <w:rsid w:val="008E4D4B"/>
    <w:rsid w:val="008F0EA7"/>
    <w:rsid w:val="00901BD7"/>
    <w:rsid w:val="00923EEF"/>
    <w:rsid w:val="00925A42"/>
    <w:rsid w:val="00931B15"/>
    <w:rsid w:val="00932A89"/>
    <w:rsid w:val="0093725F"/>
    <w:rsid w:val="009419F9"/>
    <w:rsid w:val="0095430C"/>
    <w:rsid w:val="0095685E"/>
    <w:rsid w:val="00961B09"/>
    <w:rsid w:val="00965334"/>
    <w:rsid w:val="0097093E"/>
    <w:rsid w:val="00995031"/>
    <w:rsid w:val="009A0DFA"/>
    <w:rsid w:val="009B2D26"/>
    <w:rsid w:val="009C71FA"/>
    <w:rsid w:val="009C72E7"/>
    <w:rsid w:val="009D3058"/>
    <w:rsid w:val="009D3B82"/>
    <w:rsid w:val="009F3A13"/>
    <w:rsid w:val="00A071D8"/>
    <w:rsid w:val="00A122D3"/>
    <w:rsid w:val="00A17F13"/>
    <w:rsid w:val="00A20739"/>
    <w:rsid w:val="00A22BE4"/>
    <w:rsid w:val="00A33C78"/>
    <w:rsid w:val="00A870AC"/>
    <w:rsid w:val="00A967E1"/>
    <w:rsid w:val="00AA2DB9"/>
    <w:rsid w:val="00AB0ADB"/>
    <w:rsid w:val="00AE48A6"/>
    <w:rsid w:val="00B01B1A"/>
    <w:rsid w:val="00B3365A"/>
    <w:rsid w:val="00B41ACE"/>
    <w:rsid w:val="00B64834"/>
    <w:rsid w:val="00B67989"/>
    <w:rsid w:val="00B72CD3"/>
    <w:rsid w:val="00B72FFF"/>
    <w:rsid w:val="00B9606D"/>
    <w:rsid w:val="00B96B79"/>
    <w:rsid w:val="00BB5250"/>
    <w:rsid w:val="00BC3D36"/>
    <w:rsid w:val="00BD03D4"/>
    <w:rsid w:val="00BD7F72"/>
    <w:rsid w:val="00BF364B"/>
    <w:rsid w:val="00BF623B"/>
    <w:rsid w:val="00C04FB3"/>
    <w:rsid w:val="00C330EB"/>
    <w:rsid w:val="00C375DB"/>
    <w:rsid w:val="00C60D7C"/>
    <w:rsid w:val="00C754BE"/>
    <w:rsid w:val="00C76B1C"/>
    <w:rsid w:val="00CB6357"/>
    <w:rsid w:val="00CC1B26"/>
    <w:rsid w:val="00CD0079"/>
    <w:rsid w:val="00D10EFE"/>
    <w:rsid w:val="00D20A30"/>
    <w:rsid w:val="00D33D41"/>
    <w:rsid w:val="00D423A2"/>
    <w:rsid w:val="00D520D8"/>
    <w:rsid w:val="00D63AC2"/>
    <w:rsid w:val="00D7383B"/>
    <w:rsid w:val="00D749C2"/>
    <w:rsid w:val="00D80870"/>
    <w:rsid w:val="00D81097"/>
    <w:rsid w:val="00D94833"/>
    <w:rsid w:val="00DA231B"/>
    <w:rsid w:val="00DA23A0"/>
    <w:rsid w:val="00DB2273"/>
    <w:rsid w:val="00DC39FC"/>
    <w:rsid w:val="00DC60CC"/>
    <w:rsid w:val="00DD5F2B"/>
    <w:rsid w:val="00DF148E"/>
    <w:rsid w:val="00DF5254"/>
    <w:rsid w:val="00E01B93"/>
    <w:rsid w:val="00E16408"/>
    <w:rsid w:val="00E20894"/>
    <w:rsid w:val="00E245AB"/>
    <w:rsid w:val="00E2764C"/>
    <w:rsid w:val="00E27F2E"/>
    <w:rsid w:val="00E315DE"/>
    <w:rsid w:val="00E35C0B"/>
    <w:rsid w:val="00E413EA"/>
    <w:rsid w:val="00E50AFE"/>
    <w:rsid w:val="00E75C92"/>
    <w:rsid w:val="00E771DC"/>
    <w:rsid w:val="00E8772A"/>
    <w:rsid w:val="00E90F6B"/>
    <w:rsid w:val="00E92C27"/>
    <w:rsid w:val="00EA0E3D"/>
    <w:rsid w:val="00EB7104"/>
    <w:rsid w:val="00EB77D9"/>
    <w:rsid w:val="00EC38A7"/>
    <w:rsid w:val="00EC529F"/>
    <w:rsid w:val="00EE1AA8"/>
    <w:rsid w:val="00F31EDC"/>
    <w:rsid w:val="00F462B3"/>
    <w:rsid w:val="00F565C9"/>
    <w:rsid w:val="00F5664F"/>
    <w:rsid w:val="00F57D88"/>
    <w:rsid w:val="00F666C4"/>
    <w:rsid w:val="00F76AFC"/>
    <w:rsid w:val="00F9562B"/>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C529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C529F"/>
    <w:rPr>
      <w:rFonts w:ascii="Geomanist Light" w:hAnsi="Geomanist Light"/>
      <w:lang w:val="es-ES"/>
    </w:rPr>
  </w:style>
  <w:style w:type="paragraph" w:styleId="Sinespaciado">
    <w:name w:val="No Spacing"/>
    <w:aliases w:val="No Indent"/>
    <w:uiPriority w:val="3"/>
    <w:qFormat/>
    <w:rsid w:val="00EC529F"/>
    <w:pPr>
      <w:spacing w:after="0" w:line="240" w:lineRule="auto"/>
    </w:pPr>
    <w:rPr>
      <w:sz w:val="24"/>
      <w:lang w:val="es-MX"/>
    </w:rPr>
  </w:style>
  <w:style w:type="character" w:customStyle="1" w:styleId="annotation">
    <w:name w:val="annotation"/>
    <w:basedOn w:val="Fuentedeprrafopredeter"/>
    <w:rsid w:val="00EC529F"/>
  </w:style>
  <w:style w:type="character" w:customStyle="1" w:styleId="author-name">
    <w:name w:val="author-name"/>
    <w:basedOn w:val="Fuentedeprrafopredeter"/>
    <w:rsid w:val="00EC529F"/>
  </w:style>
  <w:style w:type="character" w:customStyle="1" w:styleId="text">
    <w:name w:val="text"/>
    <w:basedOn w:val="Fuentedeprrafopredeter"/>
    <w:rsid w:val="00EC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busqueda/conceptos" TargetMode="External"/><Relationship Id="rId2" Type="http://schemas.openxmlformats.org/officeDocument/2006/relationships/hyperlink" Target="https://revistas.uexternado.edu.co/index.php/derest/article/view/6151/8606" TargetMode="External"/><Relationship Id="rId1" Type="http://schemas.openxmlformats.org/officeDocument/2006/relationships/hyperlink" Target="https://revistas.uexternado.edu.co/index.php/derest/article/view/6151/860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Diana Lucia Saavedra</DisplayName>
        <AccountId>452</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0D6F49A4-0CF1-48A3-A86A-BB2F87743A95}"/>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8B1AC653-FDB8-47DC-91AC-49B0F08AE821}">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www.w3.org/XML/1998/namespace"/>
    <ds:schemaRef ds:uri="http://schemas.microsoft.com/office/2006/documentManagement/types"/>
    <ds:schemaRef ds:uri="http://purl.org/dc/dcmitype/"/>
    <ds:schemaRef ds:uri="http://purl.org/dc/elements/1.1/"/>
    <ds:schemaRef ds:uri="8ae15d26-076e-464e-81a7-6f76a0fb3917"/>
    <ds:schemaRef ds:uri="http://schemas.microsoft.com/office/infopath/2007/PartnerControls"/>
    <ds:schemaRef ds:uri="http://schemas.openxmlformats.org/package/2006/metadata/core-properties"/>
    <ds:schemaRef ds:uri="36c82cfe-0eda-494d-b392-a9281b89aaf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5456</Words>
  <Characters>30008</Characters>
  <Application>Microsoft Office Word</Application>
  <DocSecurity>0</DocSecurity>
  <Lines>250</Lines>
  <Paragraphs>70</Paragraphs>
  <ScaleCrop>false</ScaleCrop>
  <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6</cp:revision>
  <cp:lastPrinted>2023-01-10T21:18:00Z</cp:lastPrinted>
  <dcterms:created xsi:type="dcterms:W3CDTF">2024-07-23T12:52:00Z</dcterms:created>
  <dcterms:modified xsi:type="dcterms:W3CDTF">2024-07-26T05:03:00Z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