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EE4F5" w14:textId="77777777" w:rsidR="00614A06" w:rsidRDefault="00614A06" w:rsidP="00E245AB">
      <w:pPr>
        <w:spacing w:after="0"/>
        <w:rPr>
          <w:rFonts w:ascii="Century Gothic" w:hAnsi="Century Gothic"/>
        </w:rPr>
      </w:pPr>
      <w:bookmarkStart w:id="0" w:name="_Hlk143780582"/>
    </w:p>
    <w:p w14:paraId="10EDB6E6" w14:textId="77777777" w:rsidR="003276D6" w:rsidRDefault="003276D6" w:rsidP="00E245AB">
      <w:pPr>
        <w:spacing w:after="0"/>
        <w:rPr>
          <w:rFonts w:ascii="Century Gothic" w:hAnsi="Century Gothic"/>
        </w:rPr>
      </w:pPr>
    </w:p>
    <w:p w14:paraId="59F3A75F" w14:textId="77777777" w:rsidR="00681219" w:rsidRPr="00681219" w:rsidRDefault="00681219" w:rsidP="00681219">
      <w:pPr>
        <w:spacing w:after="0" w:line="240" w:lineRule="auto"/>
        <w:jc w:val="both"/>
        <w:rPr>
          <w:rFonts w:ascii="Century Gothic" w:eastAsia="Times New Roman" w:hAnsi="Century Gothic" w:cs="Arial"/>
          <w:b/>
          <w:bCs/>
          <w:sz w:val="20"/>
          <w:szCs w:val="20"/>
          <w:lang w:val="es-MX"/>
        </w:rPr>
      </w:pPr>
      <w:r w:rsidRPr="00681219">
        <w:rPr>
          <w:rFonts w:ascii="Century Gothic" w:eastAsia="Times New Roman" w:hAnsi="Century Gothic" w:cs="Arial"/>
          <w:b/>
          <w:bCs/>
          <w:sz w:val="20"/>
          <w:szCs w:val="20"/>
          <w:lang w:val="es-MX"/>
        </w:rPr>
        <w:t>PUBLICIDAD SECOP – Entidades exceptuadas – Estatuto general de contratación – Modificación del artículo 53 – Ley 2195 de 2022</w:t>
      </w:r>
    </w:p>
    <w:p w14:paraId="7368D820" w14:textId="77777777" w:rsidR="00681219" w:rsidRPr="00681219" w:rsidRDefault="00681219" w:rsidP="00681219">
      <w:pPr>
        <w:spacing w:after="0" w:line="240" w:lineRule="auto"/>
        <w:jc w:val="both"/>
        <w:rPr>
          <w:rFonts w:ascii="Century Gothic" w:eastAsia="Times New Roman" w:hAnsi="Century Gothic" w:cs="Arial"/>
          <w:b/>
          <w:bCs/>
          <w:sz w:val="20"/>
          <w:szCs w:val="20"/>
          <w:lang w:val="es-MX"/>
        </w:rPr>
      </w:pPr>
    </w:p>
    <w:p w14:paraId="1838440E" w14:textId="77777777" w:rsidR="00681219" w:rsidRPr="00681219" w:rsidRDefault="00681219" w:rsidP="00681219">
      <w:pPr>
        <w:spacing w:after="0" w:line="240" w:lineRule="auto"/>
        <w:jc w:val="both"/>
        <w:rPr>
          <w:rFonts w:ascii="Century Gothic" w:eastAsia="Times New Roman" w:hAnsi="Century Gothic" w:cs="Arial"/>
          <w:sz w:val="20"/>
          <w:szCs w:val="20"/>
          <w:lang w:val="es-MX"/>
        </w:rPr>
      </w:pPr>
      <w:r w:rsidRPr="00681219">
        <w:rPr>
          <w:rFonts w:ascii="Century Gothic" w:eastAsia="Times New Roman" w:hAnsi="Century Gothic" w:cs="Arial"/>
          <w:sz w:val="20"/>
          <w:szCs w:val="20"/>
          <w:lang w:val="es-MX"/>
        </w:rPr>
        <w:t>El principio de publicidad impone a las autoridades el deber de dar a conocer sus actos, contratos y decisiones, para que se divulguen y eventualmente se controlen dichas actuaciones. Es por eso que, en materia de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p>
    <w:p w14:paraId="41978D73" w14:textId="77777777" w:rsidR="00681219" w:rsidRPr="00681219" w:rsidRDefault="00681219" w:rsidP="00681219">
      <w:pPr>
        <w:spacing w:after="0" w:line="240" w:lineRule="auto"/>
        <w:jc w:val="both"/>
        <w:rPr>
          <w:rFonts w:ascii="Century Gothic" w:eastAsia="Times New Roman" w:hAnsi="Century Gothic" w:cs="Arial"/>
          <w:sz w:val="20"/>
          <w:szCs w:val="20"/>
          <w:lang w:val="es-MX"/>
        </w:rPr>
      </w:pPr>
    </w:p>
    <w:p w14:paraId="6E1A4FBD" w14:textId="77777777" w:rsidR="00681219" w:rsidRPr="00681219" w:rsidRDefault="00681219" w:rsidP="00681219">
      <w:pPr>
        <w:spacing w:after="0" w:line="240" w:lineRule="auto"/>
        <w:jc w:val="both"/>
        <w:rPr>
          <w:rFonts w:ascii="Century Gothic" w:eastAsia="Times New Roman" w:hAnsi="Century Gothic" w:cs="Arial"/>
          <w:sz w:val="20"/>
          <w:szCs w:val="20"/>
          <w:lang w:val="es-MX"/>
        </w:rPr>
      </w:pPr>
      <w:r w:rsidRPr="00681219">
        <w:rPr>
          <w:rFonts w:ascii="Century Gothic" w:eastAsia="Times New Roman" w:hAnsi="Century Gothic" w:cs="Arial"/>
          <w:sz w:val="20"/>
          <w:szCs w:val="20"/>
          <w:lang w:val="es-MX"/>
        </w:rPr>
        <w:t>La Ley 2195 de 2022, por medio de la cual se adoptan medidas en materia de transparencia, prevención y lucha contra la corrupción. Según lo dispone su artículo 1, esta Ley “[…]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 el artículo 53, mediante el cual se adiciona el artículo 13 de la Ley 1150 de 2007. La referida disposición les asigna la obligación a las entidades estatales que por disposición legal cuenten con un régimen contractual excepcional al del Estatuto General de Contratación de la Administración Pública de publicar los documentos relacionados con su actividad contractual en el Sistema Electrónico para la Contratación Pública –SECOP II- o la plataforma transaccional que haga sus veces.</w:t>
      </w:r>
    </w:p>
    <w:p w14:paraId="0271F322" w14:textId="77777777" w:rsidR="00681219" w:rsidRPr="00681219" w:rsidRDefault="00681219" w:rsidP="00681219">
      <w:pPr>
        <w:spacing w:after="0" w:line="240" w:lineRule="auto"/>
        <w:jc w:val="both"/>
        <w:rPr>
          <w:rFonts w:ascii="Century Gothic" w:eastAsia="Times New Roman" w:hAnsi="Century Gothic" w:cs="Arial"/>
          <w:sz w:val="20"/>
          <w:szCs w:val="20"/>
          <w:lang w:val="es-MX"/>
        </w:rPr>
      </w:pPr>
    </w:p>
    <w:p w14:paraId="6889215C" w14:textId="77777777" w:rsidR="00681219" w:rsidRPr="00681219" w:rsidRDefault="00681219" w:rsidP="00681219">
      <w:pPr>
        <w:spacing w:after="0" w:line="240" w:lineRule="auto"/>
        <w:jc w:val="both"/>
        <w:rPr>
          <w:rFonts w:ascii="Century Gothic" w:eastAsia="Times New Roman" w:hAnsi="Century Gothic" w:cs="Arial"/>
          <w:b/>
          <w:bCs/>
          <w:sz w:val="20"/>
          <w:szCs w:val="20"/>
          <w:lang w:val="es-MX"/>
        </w:rPr>
      </w:pPr>
      <w:r w:rsidRPr="00681219">
        <w:rPr>
          <w:rFonts w:ascii="Century Gothic" w:eastAsia="Times New Roman" w:hAnsi="Century Gothic" w:cs="Arial"/>
          <w:b/>
          <w:bCs/>
          <w:sz w:val="20"/>
          <w:szCs w:val="20"/>
          <w:lang w:val="es-MX"/>
        </w:rPr>
        <w:t>SECOP II – Deber de publicidad – Entidades exceptuadas – Documentos relacionados con la actividad contractual</w:t>
      </w:r>
    </w:p>
    <w:p w14:paraId="6FD1C799" w14:textId="77777777" w:rsidR="00681219" w:rsidRPr="00681219" w:rsidRDefault="00681219" w:rsidP="00681219">
      <w:pPr>
        <w:spacing w:after="0" w:line="240" w:lineRule="auto"/>
        <w:jc w:val="both"/>
        <w:rPr>
          <w:rFonts w:ascii="Century Gothic" w:eastAsia="Times New Roman" w:hAnsi="Century Gothic" w:cs="Arial"/>
          <w:b/>
          <w:bCs/>
          <w:sz w:val="20"/>
          <w:szCs w:val="20"/>
          <w:lang w:val="es-MX"/>
        </w:rPr>
      </w:pPr>
    </w:p>
    <w:p w14:paraId="5DE32F1E" w14:textId="77777777" w:rsidR="00681219" w:rsidRPr="00681219" w:rsidRDefault="00681219" w:rsidP="00681219">
      <w:pPr>
        <w:spacing w:after="0" w:line="240" w:lineRule="auto"/>
        <w:jc w:val="both"/>
        <w:rPr>
          <w:rFonts w:ascii="Century Gothic" w:eastAsia="Times New Roman" w:hAnsi="Century Gothic" w:cs="Arial"/>
          <w:sz w:val="20"/>
          <w:szCs w:val="20"/>
          <w:lang w:val="es-MX"/>
        </w:rPr>
      </w:pPr>
      <w:r w:rsidRPr="00681219">
        <w:rPr>
          <w:rFonts w:ascii="Century Gothic" w:eastAsia="Times New Roman" w:hAnsi="Century Gothic" w:cs="Arial"/>
          <w:sz w:val="20"/>
          <w:szCs w:val="20"/>
          <w:lang w:val="es-MX"/>
        </w:rPr>
        <w:t>El mencionado deber de publicidad debe cumplirse en el SECOP II o “la plataforma transaccional que haga sus veces”, esta expresión debe interpretarse bajo el entendido de que si bien el SECOP II es la plataforma oficial que actualmente se utiliza como mecanismo transaccional, en caso de que dicha plataforma sea remplazada por otra que tenga una denominación distinta, las entidades que tienen un régimen exceptuado deben continuar publicando la documentación de su actividad contractual en la nueva plataforma. En ese sentido, la locución “la plataforma que haga sus veces” no puede interpretarse como una autorización para que las entidades obligadas en virtud del artículo 53 de la Ley 2195 de 2022 pueden emplear sus páginas web o sus propios portales electrónicos para cumplir con el deber de publicidad que les asiste. Con esto se logra que la ciudadanía pueda encontrar en un mismo sistema la gestión de la actividad contractual del Estado, garantizándose en mayor grado la transparencia y el acceso a la documentación pública.</w:t>
      </w:r>
    </w:p>
    <w:p w14:paraId="6F937986" w14:textId="77777777" w:rsidR="00681219" w:rsidRPr="00681219" w:rsidRDefault="00681219" w:rsidP="00681219">
      <w:pPr>
        <w:spacing w:after="0" w:line="240" w:lineRule="auto"/>
        <w:jc w:val="both"/>
        <w:rPr>
          <w:rFonts w:ascii="Century Gothic" w:eastAsia="Times New Roman" w:hAnsi="Century Gothic" w:cs="Arial"/>
          <w:sz w:val="20"/>
          <w:szCs w:val="20"/>
          <w:lang w:val="es-MX"/>
        </w:rPr>
      </w:pPr>
    </w:p>
    <w:p w14:paraId="07A9EB8A" w14:textId="77777777" w:rsidR="00681219" w:rsidRDefault="00681219" w:rsidP="00681219">
      <w:pPr>
        <w:spacing w:after="0" w:line="240" w:lineRule="auto"/>
        <w:jc w:val="both"/>
        <w:rPr>
          <w:rFonts w:ascii="Century Gothic" w:eastAsia="Times New Roman" w:hAnsi="Century Gothic" w:cs="Arial"/>
          <w:sz w:val="20"/>
          <w:szCs w:val="20"/>
          <w:lang w:val="es-MX"/>
        </w:rPr>
      </w:pPr>
      <w:r w:rsidRPr="00681219">
        <w:rPr>
          <w:rFonts w:ascii="Century Gothic" w:eastAsia="Times New Roman" w:hAnsi="Century Gothic" w:cs="Arial"/>
          <w:sz w:val="20"/>
          <w:szCs w:val="20"/>
          <w:lang w:val="es-MX"/>
        </w:rPr>
        <w:t>En cuanto a los documentos que deben ser publicados en el SECOP II a efectos de dar cumplimiento al mandato consagrado en el artículo 53 de la Ley 2195 de 2022, es preciso advertir que la disposición hace referencia a los documentos relacionados con su actividad contractual, la cual define como “[…] los documentos, contratos, actos e información generada por oferentes, contratista, contratante, supervisor o interventor, tanto en la etapa precontractual, como en la contractual y la postcontractual”. En ese sentido, el artículo 53 de la Ley 2195 de 2022 establece el deber de publicar toda aquella información relacionada con el respectivo contrato, sin incluir ninguna excepción relacionada con la naturaleza u objeto contractual, por lo que no puede colegirse que los procesos de contratación relacionados con asuntos “no misionales” estén per se excluidos del deber de publicidad.</w:t>
      </w:r>
    </w:p>
    <w:p w14:paraId="6BE5EC59" w14:textId="77777777" w:rsidR="00312A08" w:rsidRDefault="00312A08" w:rsidP="00681219">
      <w:pPr>
        <w:spacing w:after="0" w:line="240" w:lineRule="auto"/>
        <w:jc w:val="both"/>
        <w:rPr>
          <w:rFonts w:ascii="Century Gothic" w:eastAsia="Times New Roman" w:hAnsi="Century Gothic" w:cs="Arial"/>
          <w:sz w:val="20"/>
          <w:szCs w:val="20"/>
          <w:lang w:val="es-MX"/>
        </w:rPr>
      </w:pPr>
    </w:p>
    <w:p w14:paraId="00D183F3" w14:textId="77777777" w:rsidR="00312A08" w:rsidRPr="00312A08" w:rsidRDefault="00312A08" w:rsidP="00312A08">
      <w:pPr>
        <w:spacing w:after="0" w:line="240" w:lineRule="auto"/>
        <w:rPr>
          <w:rFonts w:ascii="Century Gothic" w:eastAsia="Times New Roman" w:hAnsi="Century Gothic" w:cs="Arial"/>
        </w:rPr>
      </w:pPr>
      <w:r w:rsidRPr="00312A08">
        <w:rPr>
          <w:rFonts w:ascii="Century Gothic" w:eastAsia="Times New Roman" w:hAnsi="Century Gothic" w:cs="Arial"/>
          <w:b/>
          <w:bCs/>
          <w:lang w:val="es-ES"/>
        </w:rPr>
        <w:t>PRINCIPIO DE PUBLICIDAD - Naturaleza</w:t>
      </w:r>
      <w:r w:rsidRPr="00312A08">
        <w:rPr>
          <w:rFonts w:ascii="Century Gothic" w:eastAsia="Times New Roman" w:hAnsi="Century Gothic" w:cs="Arial"/>
        </w:rPr>
        <w:t xml:space="preserve"> </w:t>
      </w:r>
    </w:p>
    <w:p w14:paraId="00BFBF19" w14:textId="77777777" w:rsidR="00312A08" w:rsidRPr="00312A08" w:rsidRDefault="00312A08" w:rsidP="00312A08">
      <w:pPr>
        <w:spacing w:after="0" w:line="240" w:lineRule="auto"/>
        <w:rPr>
          <w:rFonts w:ascii="Century Gothic" w:eastAsia="Times New Roman" w:hAnsi="Century Gothic" w:cs="Arial"/>
          <w:sz w:val="20"/>
          <w:szCs w:val="20"/>
        </w:rPr>
      </w:pPr>
    </w:p>
    <w:p w14:paraId="5712CFF0" w14:textId="77777777" w:rsidR="00312A08" w:rsidRPr="00312A08" w:rsidRDefault="00312A08" w:rsidP="08937EA5">
      <w:pPr>
        <w:spacing w:after="0" w:line="240" w:lineRule="auto"/>
        <w:jc w:val="both"/>
        <w:rPr>
          <w:rFonts w:ascii="Century Gothic" w:eastAsia="Times New Roman" w:hAnsi="Century Gothic" w:cs="Arial"/>
          <w:color w:val="000000" w:themeColor="text1"/>
          <w:sz w:val="20"/>
          <w:szCs w:val="20"/>
          <w:lang w:val="es-ES" w:eastAsia="es-ES"/>
        </w:rPr>
      </w:pPr>
      <w:r w:rsidRPr="08937EA5">
        <w:rPr>
          <w:rFonts w:ascii="Century Gothic" w:eastAsia="Times New Roman" w:hAnsi="Century Gothic" w:cs="Arial"/>
          <w:sz w:val="20"/>
          <w:szCs w:val="20"/>
          <w:lang w:val="es-ES" w:eastAsia="es-ES"/>
        </w:rPr>
        <w:t xml:space="preserve">Uno de los postulados más importantes de un Estado Social y Democrático de Derecho es el principio de </w:t>
      </w:r>
      <w:r w:rsidRPr="08937EA5">
        <w:rPr>
          <w:rFonts w:ascii="Century Gothic" w:eastAsia="Times New Roman" w:hAnsi="Century Gothic" w:cs="Arial"/>
          <w:i/>
          <w:iCs/>
          <w:sz w:val="20"/>
          <w:szCs w:val="20"/>
          <w:lang w:val="es-ES" w:eastAsia="es-ES"/>
        </w:rPr>
        <w:t>publicidad</w:t>
      </w:r>
      <w:r w:rsidRPr="08937EA5">
        <w:rPr>
          <w:rFonts w:ascii="Century Gothic" w:eastAsia="Times New Roman" w:hAnsi="Century Gothic" w:cs="Arial"/>
          <w:sz w:val="20"/>
          <w:szCs w:val="20"/>
          <w:lang w:val="es-ES" w:eastAsia="es-ES"/>
        </w:rPr>
        <w:t xml:space="preserve">, pues este permite que las actuaciones de las autoridades gocen de visibilidad. La Constitución Política de 1991 consagra en varios artículos la publicidad como un principio rector del Estado colombiano. Entre </w:t>
      </w:r>
      <w:r w:rsidRPr="08937EA5">
        <w:rPr>
          <w:rFonts w:ascii="Century Gothic" w:eastAsia="Times New Roman" w:hAnsi="Century Gothic" w:cs="Arial"/>
          <w:color w:val="000000" w:themeColor="text1"/>
          <w:sz w:val="20"/>
          <w:szCs w:val="20"/>
          <w:lang w:val="es-ES" w:eastAsia="es-ES"/>
        </w:rPr>
        <w:t xml:space="preserve">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w:t>
      </w:r>
    </w:p>
    <w:p w14:paraId="07C015D3" w14:textId="77777777" w:rsidR="00312A08" w:rsidRPr="00312A08" w:rsidRDefault="00312A08" w:rsidP="00312A08">
      <w:pPr>
        <w:spacing w:after="0" w:line="240" w:lineRule="auto"/>
        <w:jc w:val="both"/>
        <w:rPr>
          <w:rFonts w:ascii="Century Gothic" w:eastAsia="Times New Roman" w:hAnsi="Century Gothic" w:cs="Arial"/>
          <w:color w:val="000000" w:themeColor="text1"/>
          <w:sz w:val="20"/>
          <w:szCs w:val="20"/>
          <w:lang w:val="es-ES_tradnl"/>
        </w:rPr>
      </w:pPr>
    </w:p>
    <w:p w14:paraId="6F11EC88" w14:textId="77777777" w:rsidR="00312A08" w:rsidRPr="00312A08" w:rsidRDefault="00312A08" w:rsidP="00312A08">
      <w:pPr>
        <w:spacing w:after="0" w:line="240" w:lineRule="auto"/>
        <w:jc w:val="both"/>
        <w:rPr>
          <w:rFonts w:ascii="Century Gothic" w:eastAsia="Times New Roman" w:hAnsi="Century Gothic" w:cs="Arial"/>
          <w:b/>
          <w:color w:val="000000"/>
        </w:rPr>
      </w:pPr>
      <w:r w:rsidRPr="00312A08">
        <w:rPr>
          <w:rFonts w:ascii="Century Gothic" w:eastAsia="Times New Roman" w:hAnsi="Century Gothic" w:cs="Arial"/>
          <w:b/>
          <w:color w:val="000000"/>
        </w:rPr>
        <w:t xml:space="preserve">ACCESO A DOCUMENTACIÓN PÚBLICA – Derecho fundamental – Transparencia – Información contractual </w:t>
      </w:r>
    </w:p>
    <w:p w14:paraId="1DAC160B" w14:textId="77777777" w:rsidR="00312A08" w:rsidRPr="00312A08" w:rsidRDefault="00312A08" w:rsidP="00312A08">
      <w:pPr>
        <w:tabs>
          <w:tab w:val="left" w:pos="1816"/>
        </w:tabs>
        <w:spacing w:after="0" w:line="240" w:lineRule="auto"/>
        <w:jc w:val="both"/>
        <w:rPr>
          <w:rFonts w:ascii="Century Gothic" w:eastAsia="Times New Roman" w:hAnsi="Century Gothic" w:cs="Arial"/>
          <w:b/>
          <w:color w:val="000000"/>
          <w:sz w:val="20"/>
          <w:szCs w:val="20"/>
        </w:rPr>
      </w:pPr>
      <w:r w:rsidRPr="00312A08">
        <w:rPr>
          <w:rFonts w:ascii="Century Gothic" w:eastAsia="Times New Roman" w:hAnsi="Century Gothic" w:cs="Arial"/>
          <w:b/>
          <w:color w:val="000000"/>
          <w:sz w:val="20"/>
          <w:szCs w:val="20"/>
        </w:rPr>
        <w:t xml:space="preserve"> </w:t>
      </w:r>
      <w:r w:rsidRPr="00312A08">
        <w:rPr>
          <w:rFonts w:ascii="Century Gothic" w:eastAsia="Times New Roman" w:hAnsi="Century Gothic" w:cs="Arial"/>
          <w:b/>
          <w:color w:val="000000"/>
          <w:sz w:val="20"/>
          <w:szCs w:val="20"/>
        </w:rPr>
        <w:tab/>
      </w:r>
      <w:r w:rsidRPr="00312A08">
        <w:rPr>
          <w:rFonts w:ascii="Century Gothic" w:eastAsia="Times New Roman" w:hAnsi="Century Gothic" w:cs="Arial"/>
          <w:color w:val="000000"/>
          <w:sz w:val="20"/>
          <w:szCs w:val="20"/>
        </w:rPr>
        <w:t xml:space="preserve"> </w:t>
      </w:r>
    </w:p>
    <w:p w14:paraId="6DD6688E" w14:textId="77777777" w:rsidR="00312A08" w:rsidRPr="00312A08" w:rsidRDefault="00312A08" w:rsidP="08937EA5">
      <w:pPr>
        <w:spacing w:after="0" w:line="240" w:lineRule="auto"/>
        <w:jc w:val="both"/>
        <w:rPr>
          <w:rFonts w:ascii="Century Gothic" w:eastAsia="Times New Roman" w:hAnsi="Century Gothic" w:cs="Arial"/>
          <w:color w:val="000000" w:themeColor="text1"/>
          <w:sz w:val="20"/>
          <w:szCs w:val="20"/>
          <w:lang w:val="es-ES"/>
        </w:rPr>
      </w:pPr>
      <w:r w:rsidRPr="08937EA5">
        <w:rPr>
          <w:rFonts w:ascii="Century Gothic" w:eastAsia="Times New Roman" w:hAnsi="Century Gothic" w:cs="Arial"/>
          <w:color w:val="000000" w:themeColor="text1"/>
          <w:sz w:val="20"/>
          <w:szCs w:val="20"/>
          <w:lang w:val="es-ES" w:eastAsia="es-ES"/>
        </w:rPr>
        <w:t>El principio de publicidad impone a las autoridades administrativas el deber de dar a conocer sus actos, contratos y decisiones, para que se divulguen y, eventualmente, se controlen dichas actuaciones. Es por eso que, en la contratación estatal, el literal c) del artículo 3 de la Ley 1150 de 2007 establece el Sistema Electrónico para la Contratación Pública – en adelante SECOP– como un mecanismo que “contará con la información oficial de la contratación realizada con dineros públicos, para lo cual establecerá los patrones a que haya lugar y se encargará de su difusión a través de canales electrónicos”</w:t>
      </w:r>
      <w:r w:rsidRPr="08937EA5">
        <w:rPr>
          <w:rFonts w:ascii="Century Gothic" w:eastAsia="Times New Roman" w:hAnsi="Century Gothic" w:cs="Arial"/>
          <w:color w:val="000000" w:themeColor="text1"/>
          <w:sz w:val="20"/>
          <w:szCs w:val="20"/>
          <w:lang w:val="es-ES"/>
        </w:rPr>
        <w:t xml:space="preserve">. </w:t>
      </w:r>
    </w:p>
    <w:p w14:paraId="659AF623" w14:textId="77777777" w:rsidR="00312A08" w:rsidRPr="00681219" w:rsidRDefault="00312A08" w:rsidP="00681219">
      <w:pPr>
        <w:spacing w:after="0" w:line="240" w:lineRule="auto"/>
        <w:jc w:val="both"/>
        <w:rPr>
          <w:rFonts w:ascii="Century Gothic" w:eastAsia="Times New Roman" w:hAnsi="Century Gothic" w:cs="Arial"/>
          <w:sz w:val="20"/>
          <w:szCs w:val="20"/>
          <w:lang w:val="es-ES_tradnl"/>
        </w:rPr>
      </w:pPr>
    </w:p>
    <w:p w14:paraId="1CBDC94D" w14:textId="77777777" w:rsidR="00681219" w:rsidRPr="00681219" w:rsidRDefault="00681219" w:rsidP="00681219">
      <w:pPr>
        <w:spacing w:after="0"/>
        <w:rPr>
          <w:rFonts w:ascii="Century Gothic" w:eastAsia="Times New Roman" w:hAnsi="Century Gothic" w:cs="Times New Roman"/>
        </w:rPr>
      </w:pPr>
    </w:p>
    <w:p w14:paraId="37E06358" w14:textId="77777777" w:rsidR="00681219" w:rsidRPr="00681219" w:rsidRDefault="00681219" w:rsidP="00681219">
      <w:pPr>
        <w:spacing w:after="0"/>
        <w:rPr>
          <w:rFonts w:ascii="Century Gothic" w:eastAsia="Times New Roman" w:hAnsi="Century Gothic" w:cs="Times New Roman"/>
        </w:rPr>
      </w:pPr>
    </w:p>
    <w:p w14:paraId="364FEEAD" w14:textId="77777777" w:rsidR="00681219" w:rsidRPr="00681219" w:rsidRDefault="00681219" w:rsidP="00681219">
      <w:pPr>
        <w:spacing w:after="0"/>
        <w:rPr>
          <w:rFonts w:ascii="Century Gothic" w:eastAsia="Times New Roman" w:hAnsi="Century Gothic" w:cs="Times New Roman"/>
        </w:rPr>
      </w:pPr>
    </w:p>
    <w:p w14:paraId="11C2307E" w14:textId="77777777" w:rsidR="003276D6" w:rsidRDefault="003276D6" w:rsidP="00E245AB">
      <w:pPr>
        <w:spacing w:after="0"/>
        <w:rPr>
          <w:rFonts w:ascii="Century Gothic" w:hAnsi="Century Gothic"/>
        </w:rPr>
      </w:pPr>
    </w:p>
    <w:p w14:paraId="456FB018" w14:textId="77777777" w:rsidR="003276D6" w:rsidRDefault="003276D6" w:rsidP="00E245AB">
      <w:pPr>
        <w:spacing w:after="0"/>
        <w:rPr>
          <w:rFonts w:ascii="Century Gothic" w:hAnsi="Century Gothic"/>
        </w:rPr>
      </w:pPr>
    </w:p>
    <w:p w14:paraId="29A62543" w14:textId="77777777" w:rsidR="003276D6" w:rsidRDefault="003276D6" w:rsidP="00E245AB">
      <w:pPr>
        <w:spacing w:after="0"/>
        <w:rPr>
          <w:rFonts w:ascii="Century Gothic" w:hAnsi="Century Gothic"/>
        </w:rPr>
      </w:pPr>
    </w:p>
    <w:p w14:paraId="4E06AE25" w14:textId="77777777" w:rsidR="003276D6" w:rsidRDefault="003276D6" w:rsidP="00E245AB">
      <w:pPr>
        <w:spacing w:after="0"/>
        <w:rPr>
          <w:rFonts w:ascii="Century Gothic" w:hAnsi="Century Gothic"/>
        </w:rPr>
      </w:pPr>
    </w:p>
    <w:p w14:paraId="2EDDB1D0" w14:textId="77777777" w:rsidR="003276D6" w:rsidRDefault="003276D6" w:rsidP="00E245AB">
      <w:pPr>
        <w:spacing w:after="0"/>
        <w:rPr>
          <w:rFonts w:ascii="Century Gothic" w:hAnsi="Century Gothic"/>
        </w:rPr>
      </w:pPr>
    </w:p>
    <w:p w14:paraId="085E9910" w14:textId="77777777" w:rsidR="003276D6" w:rsidRDefault="003276D6" w:rsidP="00E245AB">
      <w:pPr>
        <w:spacing w:after="0"/>
        <w:rPr>
          <w:rFonts w:ascii="Century Gothic" w:hAnsi="Century Gothic"/>
        </w:rPr>
      </w:pPr>
    </w:p>
    <w:p w14:paraId="3B2979B7" w14:textId="77777777" w:rsidR="003276D6" w:rsidRDefault="003276D6" w:rsidP="00E245AB">
      <w:pPr>
        <w:spacing w:after="0"/>
        <w:rPr>
          <w:rFonts w:ascii="Century Gothic" w:hAnsi="Century Gothic"/>
        </w:rPr>
      </w:pPr>
    </w:p>
    <w:p w14:paraId="4968A877" w14:textId="77777777" w:rsidR="003276D6" w:rsidRDefault="003276D6" w:rsidP="00E245AB">
      <w:pPr>
        <w:spacing w:after="0"/>
        <w:rPr>
          <w:rFonts w:ascii="Century Gothic" w:hAnsi="Century Gothic"/>
        </w:rPr>
      </w:pPr>
    </w:p>
    <w:p w14:paraId="41DEC529" w14:textId="77777777" w:rsidR="003276D6" w:rsidRDefault="003276D6" w:rsidP="00E245AB">
      <w:pPr>
        <w:spacing w:after="0"/>
        <w:rPr>
          <w:rFonts w:ascii="Century Gothic" w:hAnsi="Century Gothic"/>
        </w:rPr>
      </w:pPr>
    </w:p>
    <w:p w14:paraId="6CB5759F" w14:textId="77777777" w:rsidR="003276D6" w:rsidRDefault="003276D6" w:rsidP="00E245AB">
      <w:pPr>
        <w:spacing w:after="0"/>
        <w:rPr>
          <w:rFonts w:ascii="Century Gothic" w:hAnsi="Century Gothic"/>
        </w:rPr>
      </w:pPr>
    </w:p>
    <w:p w14:paraId="648CECE4" w14:textId="77777777" w:rsidR="00614A06" w:rsidRDefault="00614A06" w:rsidP="00E245AB">
      <w:pPr>
        <w:spacing w:after="0"/>
        <w:rPr>
          <w:rFonts w:ascii="Century Gothic" w:hAnsi="Century Gothic"/>
        </w:rPr>
      </w:pPr>
    </w:p>
    <w:p w14:paraId="6349E446" w14:textId="77777777" w:rsidR="00C6607A" w:rsidRDefault="00C6607A" w:rsidP="00E245AB">
      <w:pPr>
        <w:spacing w:after="0"/>
        <w:rPr>
          <w:rFonts w:ascii="Century Gothic" w:hAnsi="Century Gothic"/>
        </w:rPr>
      </w:pPr>
    </w:p>
    <w:p w14:paraId="3FE2184B" w14:textId="7DFEFE94" w:rsidR="00E245AB" w:rsidRPr="00A45A38" w:rsidRDefault="00E245AB" w:rsidP="00E245AB">
      <w:pPr>
        <w:spacing w:after="0"/>
        <w:rPr>
          <w:rFonts w:ascii="Century Gothic" w:hAnsi="Century Gothic"/>
        </w:rPr>
      </w:pPr>
      <w:r w:rsidRPr="00A45A38">
        <w:rPr>
          <w:rFonts w:ascii="Century Gothic" w:hAnsi="Century Gothic"/>
        </w:rPr>
        <w:t xml:space="preserve">Bogotá D.C., </w:t>
      </w:r>
      <w:r w:rsidR="00891928" w:rsidRPr="00A45A38">
        <w:rPr>
          <w:rFonts w:ascii="Century Gothic" w:hAnsi="Century Gothic"/>
        </w:rPr>
        <w:t>[Día]</w:t>
      </w:r>
      <w:r w:rsidR="005A2340" w:rsidRPr="00A45A38">
        <w:rPr>
          <w:rFonts w:ascii="Century Gothic" w:hAnsi="Century Gothic"/>
        </w:rPr>
        <w:t xml:space="preserve"> </w:t>
      </w:r>
      <w:r w:rsidR="00891928" w:rsidRPr="00A45A38">
        <w:rPr>
          <w:rFonts w:ascii="Century Gothic" w:hAnsi="Century Gothic"/>
        </w:rPr>
        <w:t>[Mes</w:t>
      </w:r>
      <w:r w:rsidR="005A2340" w:rsidRPr="00A45A38">
        <w:rPr>
          <w:rFonts w:ascii="Century Gothic" w:hAnsi="Century Gothic"/>
        </w:rPr>
        <w:t>.</w:t>
      </w:r>
      <w:r w:rsidR="00891928" w:rsidRPr="00A45A38">
        <w:rPr>
          <w:rFonts w:ascii="Century Gothic" w:hAnsi="Century Gothic"/>
        </w:rPr>
        <w:t>NombreCapitalizado]</w:t>
      </w:r>
      <w:r w:rsidR="005A2340" w:rsidRPr="00A45A38">
        <w:rPr>
          <w:rFonts w:ascii="Century Gothic" w:hAnsi="Century Gothic"/>
        </w:rPr>
        <w:t xml:space="preserve"> </w:t>
      </w:r>
      <w:r w:rsidR="00891928" w:rsidRPr="00A45A38">
        <w:rPr>
          <w:rFonts w:ascii="Century Gothic" w:hAnsi="Century Gothic"/>
        </w:rPr>
        <w:t>[Año]</w:t>
      </w:r>
      <w:r w:rsidR="00891928" w:rsidRPr="00A45A38">
        <w:rPr>
          <w:rFonts w:ascii="Century Gothic" w:hAnsi="Century Gothic"/>
        </w:rPr>
        <w:tab/>
      </w:r>
    </w:p>
    <w:p w14:paraId="5FCADBF9" w14:textId="77777777" w:rsidR="00E245AB" w:rsidRPr="00A45A38" w:rsidRDefault="00E245AB" w:rsidP="00E245AB">
      <w:pPr>
        <w:spacing w:after="0"/>
        <w:rPr>
          <w:rFonts w:ascii="Century Gothic" w:hAnsi="Century Gothic"/>
        </w:rPr>
      </w:pPr>
    </w:p>
    <w:p w14:paraId="4327E65A" w14:textId="06A9B442" w:rsidR="007959BC" w:rsidRDefault="00F02B16" w:rsidP="007959BC">
      <w:pPr>
        <w:spacing w:after="0"/>
        <w:rPr>
          <w:rFonts w:ascii="Century Gothic" w:eastAsia="Calibri" w:hAnsi="Century Gothic" w:cs="Arial"/>
        </w:rPr>
      </w:pPr>
      <w:r w:rsidRPr="00F02B16">
        <w:rPr>
          <w:rFonts w:ascii="Century Gothic" w:eastAsia="Calibri" w:hAnsi="Century Gothic" w:cs="Arial"/>
          <w:noProof/>
        </w:rPr>
        <w:drawing>
          <wp:inline distT="0" distB="0" distL="0" distR="0" wp14:anchorId="3774F11D" wp14:editId="1C52B4A9">
            <wp:extent cx="4114800" cy="1200150"/>
            <wp:effectExtent l="0" t="0" r="0" b="0"/>
            <wp:docPr id="7678724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72457" name=""/>
                    <pic:cNvPicPr/>
                  </pic:nvPicPr>
                  <pic:blipFill>
                    <a:blip r:embed="rId11"/>
                    <a:stretch>
                      <a:fillRect/>
                    </a:stretch>
                  </pic:blipFill>
                  <pic:spPr>
                    <a:xfrm>
                      <a:off x="0" y="0"/>
                      <a:ext cx="4114800" cy="1200150"/>
                    </a:xfrm>
                    <a:prstGeom prst="rect">
                      <a:avLst/>
                    </a:prstGeom>
                  </pic:spPr>
                </pic:pic>
              </a:graphicData>
            </a:graphic>
          </wp:inline>
        </w:drawing>
      </w:r>
    </w:p>
    <w:p w14:paraId="5E47992F" w14:textId="77777777" w:rsidR="00F02B16" w:rsidRDefault="00F02B16" w:rsidP="007959BC">
      <w:pPr>
        <w:spacing w:after="0"/>
        <w:rPr>
          <w:rFonts w:ascii="Century Gothic" w:eastAsia="Calibri" w:hAnsi="Century Gothic" w:cs="Arial"/>
        </w:rPr>
      </w:pPr>
    </w:p>
    <w:p w14:paraId="6F2B8F24" w14:textId="77777777" w:rsidR="00F02B16" w:rsidRDefault="00F02B16" w:rsidP="007959BC">
      <w:pPr>
        <w:spacing w:after="0"/>
        <w:rPr>
          <w:rFonts w:ascii="Century Gothic" w:eastAsia="Calibri" w:hAnsi="Century Gothic" w:cs="Arial"/>
        </w:rPr>
      </w:pPr>
    </w:p>
    <w:p w14:paraId="4DF51AA1" w14:textId="77777777" w:rsidR="00F02B16" w:rsidRPr="00A45A38" w:rsidRDefault="00F02B16" w:rsidP="007959BC">
      <w:pPr>
        <w:spacing w:after="0"/>
        <w:rPr>
          <w:rFonts w:ascii="Century Gothic" w:eastAsia="Calibri" w:hAnsi="Century Gothic" w:cs="Arial"/>
        </w:rPr>
      </w:pPr>
    </w:p>
    <w:p w14:paraId="6CBCDF96" w14:textId="515122FF" w:rsidR="007959BC" w:rsidRDefault="007959BC" w:rsidP="007959BC">
      <w:pPr>
        <w:spacing w:after="0"/>
        <w:rPr>
          <w:rFonts w:ascii="Century Gothic" w:eastAsia="Calibri" w:hAnsi="Century Gothic" w:cs="Arial"/>
        </w:rPr>
      </w:pPr>
      <w:r w:rsidRPr="00A45A38">
        <w:rPr>
          <w:rFonts w:ascii="Century Gothic" w:eastAsia="Calibri" w:hAnsi="Century Gothic" w:cs="Arial"/>
        </w:rPr>
        <w:t>Señor</w:t>
      </w:r>
    </w:p>
    <w:p w14:paraId="2D276403" w14:textId="1591BD50" w:rsidR="00A64969" w:rsidRPr="00BD579D" w:rsidRDefault="00B97BEE" w:rsidP="007959BC">
      <w:pPr>
        <w:spacing w:after="0"/>
        <w:rPr>
          <w:rFonts w:ascii="Century Gothic" w:eastAsia="Calibri" w:hAnsi="Century Gothic" w:cs="Arial"/>
        </w:rPr>
      </w:pPr>
      <w:r w:rsidRPr="00BD579D">
        <w:rPr>
          <w:rFonts w:ascii="Century Gothic" w:eastAsia="Calibri" w:hAnsi="Century Gothic" w:cs="Arial"/>
        </w:rPr>
        <w:t>Joaquín</w:t>
      </w:r>
      <w:r w:rsidR="00A64969" w:rsidRPr="00BD579D">
        <w:rPr>
          <w:rFonts w:ascii="Century Gothic" w:eastAsia="Calibri" w:hAnsi="Century Gothic" w:cs="Arial"/>
        </w:rPr>
        <w:t xml:space="preserve"> Andres Cuellar Salas</w:t>
      </w:r>
    </w:p>
    <w:p w14:paraId="61EAFB1A" w14:textId="6FD37E89" w:rsidR="00912700" w:rsidRDefault="006255AC" w:rsidP="006255AC">
      <w:pPr>
        <w:spacing w:after="0"/>
        <w:rPr>
          <w:rFonts w:ascii="Century Gothic" w:eastAsia="Calibri" w:hAnsi="Century Gothic" w:cs="Arial"/>
        </w:rPr>
      </w:pPr>
      <w:r w:rsidRPr="006255AC">
        <w:rPr>
          <w:rFonts w:ascii="Century Gothic" w:eastAsia="Calibri" w:hAnsi="Century Gothic" w:cs="Arial"/>
        </w:rPr>
        <w:t>Popayán, Ca</w:t>
      </w:r>
      <w:r>
        <w:rPr>
          <w:rFonts w:ascii="Century Gothic" w:eastAsia="Calibri" w:hAnsi="Century Gothic" w:cs="Arial"/>
        </w:rPr>
        <w:t>uca</w:t>
      </w:r>
      <w:r w:rsidR="00912700">
        <w:rPr>
          <w:rFonts w:ascii="Century Gothic" w:eastAsia="Calibri" w:hAnsi="Century Gothic" w:cs="Arial"/>
        </w:rPr>
        <w:t xml:space="preserve"> </w:t>
      </w:r>
    </w:p>
    <w:p w14:paraId="4B2F0588" w14:textId="77777777" w:rsidR="00342ACD" w:rsidRDefault="00342ACD" w:rsidP="00342ACD">
      <w:pPr>
        <w:spacing w:after="0"/>
        <w:rPr>
          <w:rFonts w:ascii="Century Gothic" w:eastAsia="Calibri" w:hAnsi="Century Gothic" w:cs="Arial"/>
          <w:bCs/>
        </w:rPr>
      </w:pPr>
    </w:p>
    <w:p w14:paraId="60750850" w14:textId="77777777" w:rsidR="00342ACD" w:rsidRPr="00A45A38" w:rsidRDefault="00342ACD" w:rsidP="00342ACD">
      <w:pPr>
        <w:spacing w:after="0"/>
        <w:rPr>
          <w:rFonts w:ascii="Century Gothic" w:eastAsia="Calibri" w:hAnsi="Century Gothic" w:cs="Arial"/>
        </w:rPr>
      </w:pPr>
    </w:p>
    <w:p w14:paraId="5EA67B57" w14:textId="21E2F080" w:rsidR="007959BC" w:rsidRPr="00A45A38" w:rsidRDefault="007959BC" w:rsidP="00426158">
      <w:pPr>
        <w:jc w:val="center"/>
        <w:rPr>
          <w:rFonts w:ascii="Century Gothic" w:eastAsia="Calibri" w:hAnsi="Century Gothic" w:cs="Arial"/>
          <w:b/>
        </w:rPr>
      </w:pPr>
      <w:r w:rsidRPr="00A45A38">
        <w:rPr>
          <w:rFonts w:ascii="Century Gothic" w:eastAsia="Calibri" w:hAnsi="Century Gothic" w:cs="Arial"/>
          <w:b/>
        </w:rPr>
        <w:t xml:space="preserve">Concepto C </w:t>
      </w:r>
      <w:r w:rsidR="00470B30" w:rsidRPr="00A45A38">
        <w:rPr>
          <w:rFonts w:ascii="Century Gothic" w:eastAsia="Calibri" w:hAnsi="Century Gothic" w:cs="Arial"/>
          <w:b/>
        </w:rPr>
        <w:t>─</w:t>
      </w:r>
      <w:r w:rsidR="00426158">
        <w:rPr>
          <w:rFonts w:ascii="Century Gothic" w:eastAsia="Calibri" w:hAnsi="Century Gothic" w:cs="Arial"/>
          <w:b/>
        </w:rPr>
        <w:t xml:space="preserve"> </w:t>
      </w:r>
      <w:r w:rsidR="006D4727">
        <w:rPr>
          <w:rFonts w:ascii="Century Gothic" w:eastAsia="Calibri" w:hAnsi="Century Gothic" w:cs="Arial"/>
          <w:b/>
        </w:rPr>
        <w:t>083 de</w:t>
      </w:r>
      <w:r w:rsidRPr="00A45A38">
        <w:rPr>
          <w:rFonts w:ascii="Century Gothic" w:eastAsia="Calibri" w:hAnsi="Century Gothic" w:cs="Arial"/>
          <w:b/>
        </w:rPr>
        <w:t xml:space="preserve"> 202</w:t>
      </w:r>
      <w:r w:rsidR="00470B30">
        <w:rPr>
          <w:rFonts w:ascii="Century Gothic" w:eastAsia="Calibri" w:hAnsi="Century Gothic" w:cs="Arial"/>
          <w:b/>
        </w:rPr>
        <w:t>4</w:t>
      </w: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959BC" w:rsidRPr="00A45A38" w14:paraId="04E5D6DF" w14:textId="77777777">
        <w:tc>
          <w:tcPr>
            <w:tcW w:w="2689" w:type="dxa"/>
            <w:hideMark/>
          </w:tcPr>
          <w:p w14:paraId="4C57D315" w14:textId="77777777" w:rsidR="007959BC" w:rsidRPr="00A45A38" w:rsidRDefault="007959BC">
            <w:pPr>
              <w:rPr>
                <w:rFonts w:ascii="Century Gothic" w:eastAsia="Calibri" w:hAnsi="Century Gothic" w:cs="Arial"/>
              </w:rPr>
            </w:pPr>
            <w:r w:rsidRPr="00A45A38">
              <w:rPr>
                <w:rFonts w:ascii="Century Gothic" w:eastAsia="Calibri" w:hAnsi="Century Gothic" w:cs="Arial"/>
                <w:b/>
              </w:rPr>
              <w:t>Temas:</w:t>
            </w:r>
            <w:r w:rsidRPr="00A45A38">
              <w:rPr>
                <w:rFonts w:ascii="Century Gothic" w:eastAsia="Calibri" w:hAnsi="Century Gothic" w:cs="Arial"/>
              </w:rPr>
              <w:t xml:space="preserve">           </w:t>
            </w:r>
          </w:p>
        </w:tc>
        <w:tc>
          <w:tcPr>
            <w:tcW w:w="6237" w:type="dxa"/>
            <w:hideMark/>
          </w:tcPr>
          <w:p w14:paraId="51E2F745" w14:textId="68BC27C8" w:rsidR="00DC3F30" w:rsidRDefault="002630EA" w:rsidP="007032EE">
            <w:pPr>
              <w:jc w:val="both"/>
              <w:rPr>
                <w:rFonts w:ascii="Century Gothic" w:eastAsia="Arial" w:hAnsi="Century Gothic" w:cs="Arial"/>
                <w:color w:val="000000"/>
                <w:lang w:val="es-MX" w:eastAsia="es-ES_tradnl"/>
              </w:rPr>
            </w:pPr>
            <w:r w:rsidRPr="004204E3">
              <w:rPr>
                <w:rFonts w:ascii="Century Gothic" w:hAnsi="Century Gothic" w:cs="Arial"/>
                <w:bCs/>
                <w:lang w:val="es-MX" w:eastAsia="es-ES_tradnl"/>
              </w:rPr>
              <w:t>PUBLICIDAD SECOP – Entidades exceptuadas – Estatuto general de contratación – Modificación del artículo 53 – Ley 2195 de 2022 /</w:t>
            </w:r>
            <w:r w:rsidRPr="004204E3">
              <w:rPr>
                <w:rFonts w:ascii="Century Gothic" w:hAnsi="Century Gothic"/>
              </w:rPr>
              <w:t xml:space="preserve"> </w:t>
            </w:r>
            <w:r w:rsidRPr="004204E3">
              <w:rPr>
                <w:rFonts w:ascii="Century Gothic" w:hAnsi="Century Gothic" w:cs="Arial"/>
                <w:bCs/>
                <w:lang w:val="es-MX" w:eastAsia="es-ES_tradnl"/>
              </w:rPr>
              <w:t>SECOP II – Deber de publicidad – Entidades exceptuadas – Documentos relacionados con la actividad contractual</w:t>
            </w:r>
            <w:r w:rsidR="006D4727">
              <w:rPr>
                <w:rFonts w:ascii="Century Gothic" w:hAnsi="Century Gothic" w:cs="Arial"/>
                <w:bCs/>
                <w:lang w:val="es-MX" w:eastAsia="es-ES_tradnl"/>
              </w:rPr>
              <w:t xml:space="preserve"> – Reserva de la información pública.</w:t>
            </w:r>
          </w:p>
          <w:p w14:paraId="6FD0833C" w14:textId="77777777" w:rsidR="00342ACD" w:rsidRPr="00A45A38" w:rsidRDefault="00342ACD" w:rsidP="007032EE">
            <w:pPr>
              <w:jc w:val="both"/>
              <w:rPr>
                <w:rFonts w:ascii="Century Gothic" w:eastAsia="Calibri" w:hAnsi="Century Gothic" w:cs="Arial"/>
              </w:rPr>
            </w:pPr>
          </w:p>
          <w:p w14:paraId="6049A904" w14:textId="487F6A70" w:rsidR="007959BC" w:rsidRPr="00A45A38" w:rsidRDefault="007959BC" w:rsidP="00C71270">
            <w:pPr>
              <w:jc w:val="both"/>
              <w:rPr>
                <w:rFonts w:ascii="Century Gothic" w:eastAsia="Calibri" w:hAnsi="Century Gothic" w:cs="Arial"/>
                <w:highlight w:val="yellow"/>
              </w:rPr>
            </w:pPr>
          </w:p>
        </w:tc>
      </w:tr>
      <w:tr w:rsidR="007959BC" w:rsidRPr="00A45A38" w14:paraId="0ACC1938" w14:textId="77777777">
        <w:tc>
          <w:tcPr>
            <w:tcW w:w="2689" w:type="dxa"/>
          </w:tcPr>
          <w:p w14:paraId="0070E961" w14:textId="77777777" w:rsidR="007959BC" w:rsidRPr="00A45A38" w:rsidRDefault="007959BC">
            <w:pPr>
              <w:rPr>
                <w:rFonts w:ascii="Century Gothic" w:eastAsia="Calibri" w:hAnsi="Century Gothic" w:cs="Arial"/>
                <w:b/>
              </w:rPr>
            </w:pPr>
            <w:r w:rsidRPr="00A45A38">
              <w:rPr>
                <w:rFonts w:ascii="Century Gothic" w:eastAsia="Calibri" w:hAnsi="Century Gothic" w:cs="Arial"/>
                <w:b/>
              </w:rPr>
              <w:t>Radicación:</w:t>
            </w:r>
            <w:r w:rsidRPr="00A45A38">
              <w:rPr>
                <w:rFonts w:ascii="Century Gothic" w:eastAsia="Calibri" w:hAnsi="Century Gothic" w:cs="Arial"/>
              </w:rPr>
              <w:t xml:space="preserve">                              </w:t>
            </w:r>
          </w:p>
        </w:tc>
        <w:tc>
          <w:tcPr>
            <w:tcW w:w="6237" w:type="dxa"/>
          </w:tcPr>
          <w:p w14:paraId="06B5E2D7" w14:textId="7832D638" w:rsidR="007959BC" w:rsidRPr="00A45A38" w:rsidRDefault="007959BC" w:rsidP="00624AD9">
            <w:pPr>
              <w:jc w:val="right"/>
              <w:rPr>
                <w:rFonts w:ascii="Century Gothic" w:eastAsia="Calibri" w:hAnsi="Century Gothic" w:cs="Arial"/>
              </w:rPr>
            </w:pPr>
            <w:r w:rsidRPr="00A45A38">
              <w:rPr>
                <w:rFonts w:ascii="Century Gothic" w:eastAsia="Calibri" w:hAnsi="Century Gothic" w:cs="Arial"/>
              </w:rPr>
              <w:t xml:space="preserve">Respuesta a consulta No. </w:t>
            </w:r>
            <w:r w:rsidR="00F36044" w:rsidRPr="00A45A38">
              <w:rPr>
                <w:rFonts w:ascii="Century Gothic" w:eastAsia="Calibri" w:hAnsi="Century Gothic" w:cs="Arial"/>
              </w:rPr>
              <w:t>P202</w:t>
            </w:r>
            <w:r w:rsidR="00342ACD">
              <w:rPr>
                <w:rFonts w:ascii="Century Gothic" w:eastAsia="Calibri" w:hAnsi="Century Gothic" w:cs="Arial"/>
              </w:rPr>
              <w:t>4</w:t>
            </w:r>
            <w:r w:rsidR="00A64969">
              <w:rPr>
                <w:rFonts w:ascii="Century Gothic" w:eastAsia="Calibri" w:hAnsi="Century Gothic" w:cs="Arial"/>
              </w:rPr>
              <w:t>0425004322</w:t>
            </w:r>
          </w:p>
        </w:tc>
      </w:tr>
    </w:tbl>
    <w:p w14:paraId="52F0206B" w14:textId="77777777" w:rsidR="007959BC" w:rsidRDefault="007959BC" w:rsidP="007959BC">
      <w:pPr>
        <w:jc w:val="both"/>
        <w:rPr>
          <w:rFonts w:ascii="Century Gothic" w:eastAsia="Calibri" w:hAnsi="Century Gothic" w:cs="Arial"/>
        </w:rPr>
      </w:pPr>
    </w:p>
    <w:p w14:paraId="3847530B" w14:textId="77777777" w:rsidR="00624AD9" w:rsidRPr="00A45A38" w:rsidRDefault="00624AD9" w:rsidP="007959BC">
      <w:pPr>
        <w:jc w:val="both"/>
        <w:rPr>
          <w:rFonts w:ascii="Century Gothic" w:eastAsia="Calibri" w:hAnsi="Century Gothic" w:cs="Arial"/>
        </w:rPr>
      </w:pPr>
    </w:p>
    <w:p w14:paraId="61188B5D" w14:textId="7B290218" w:rsidR="007959BC" w:rsidRPr="00A45A38" w:rsidRDefault="007959BC" w:rsidP="007959BC">
      <w:pPr>
        <w:rPr>
          <w:rFonts w:ascii="Century Gothic" w:eastAsia="Calibri" w:hAnsi="Century Gothic" w:cs="Arial"/>
        </w:rPr>
      </w:pPr>
      <w:r w:rsidRPr="00A45A38">
        <w:rPr>
          <w:rFonts w:ascii="Century Gothic" w:eastAsia="Calibri" w:hAnsi="Century Gothic" w:cs="Arial"/>
        </w:rPr>
        <w:t>Estimad</w:t>
      </w:r>
      <w:r w:rsidR="00E16E33">
        <w:rPr>
          <w:rFonts w:ascii="Century Gothic" w:eastAsia="Calibri" w:hAnsi="Century Gothic" w:cs="Arial"/>
        </w:rPr>
        <w:t>o señor Cuellar</w:t>
      </w:r>
      <w:r w:rsidRPr="00A45A38">
        <w:rPr>
          <w:rFonts w:ascii="Century Gothic" w:eastAsia="Calibri" w:hAnsi="Century Gothic" w:cs="Arial"/>
        </w:rPr>
        <w:t>,</w:t>
      </w:r>
    </w:p>
    <w:p w14:paraId="145341C8" w14:textId="4DB1601B" w:rsidR="00E64CCD" w:rsidRDefault="007959BC" w:rsidP="00E64CCD">
      <w:pPr>
        <w:spacing w:line="276" w:lineRule="auto"/>
        <w:ind w:right="49"/>
        <w:jc w:val="both"/>
        <w:rPr>
          <w:rFonts w:ascii="Century Gothic" w:eastAsia="Calibri" w:hAnsi="Century Gothic" w:cs="Arial"/>
        </w:rPr>
      </w:pPr>
      <w:r w:rsidRPr="00A45A38">
        <w:rPr>
          <w:rFonts w:ascii="Century Gothic" w:eastAsia="Calibri" w:hAnsi="Century Gothic" w:cs="Arial"/>
        </w:rPr>
        <w:t xml:space="preserve">En ejercicio de la competencia otorgada por el numeral 8 del artículo 11 y el numeral 5 del artículo 3 del Decreto Ley 4170 de 2011, la Agencia Nacional de Contratación Pública – Colombia Compra Eficiente responde la consulta realizada el </w:t>
      </w:r>
      <w:r w:rsidR="00DE00D3">
        <w:rPr>
          <w:rFonts w:ascii="Century Gothic" w:eastAsia="Calibri" w:hAnsi="Century Gothic" w:cs="Arial"/>
        </w:rPr>
        <w:t>25</w:t>
      </w:r>
      <w:r w:rsidRPr="00A45A38">
        <w:rPr>
          <w:rFonts w:ascii="Century Gothic" w:eastAsia="Calibri" w:hAnsi="Century Gothic" w:cs="Arial"/>
        </w:rPr>
        <w:t xml:space="preserve"> de</w:t>
      </w:r>
      <w:r w:rsidR="00E64CCD">
        <w:rPr>
          <w:rFonts w:ascii="Century Gothic" w:eastAsia="Calibri" w:hAnsi="Century Gothic" w:cs="Arial"/>
        </w:rPr>
        <w:t xml:space="preserve"> </w:t>
      </w:r>
      <w:r w:rsidR="00FA4784">
        <w:rPr>
          <w:rFonts w:ascii="Century Gothic" w:eastAsia="Calibri" w:hAnsi="Century Gothic" w:cs="Arial"/>
        </w:rPr>
        <w:t xml:space="preserve">abril </w:t>
      </w:r>
      <w:r w:rsidR="00E64CCD" w:rsidRPr="009619D5">
        <w:rPr>
          <w:rFonts w:ascii="Century Gothic" w:eastAsia="Calibri" w:hAnsi="Century Gothic" w:cs="Arial"/>
        </w:rPr>
        <w:t>de</w:t>
      </w:r>
      <w:r w:rsidRPr="009619D5">
        <w:rPr>
          <w:rFonts w:ascii="Century Gothic" w:eastAsia="Calibri" w:hAnsi="Century Gothic" w:cs="Arial"/>
        </w:rPr>
        <w:t xml:space="preserve"> 202</w:t>
      </w:r>
      <w:r w:rsidR="00E64CCD">
        <w:rPr>
          <w:rFonts w:ascii="Century Gothic" w:eastAsia="Calibri" w:hAnsi="Century Gothic" w:cs="Arial"/>
        </w:rPr>
        <w:t>4</w:t>
      </w:r>
      <w:r w:rsidR="00587B4F">
        <w:rPr>
          <w:rFonts w:ascii="Century Gothic" w:eastAsia="Calibri" w:hAnsi="Century Gothic" w:cs="Arial"/>
        </w:rPr>
        <w:t xml:space="preserve">. </w:t>
      </w:r>
    </w:p>
    <w:p w14:paraId="14EC49E1" w14:textId="77777777" w:rsidR="00587B4F" w:rsidRDefault="00587B4F" w:rsidP="00E64CCD">
      <w:pPr>
        <w:spacing w:line="276" w:lineRule="auto"/>
        <w:ind w:right="49"/>
        <w:jc w:val="both"/>
        <w:rPr>
          <w:rFonts w:ascii="Century Gothic" w:eastAsia="Calibri" w:hAnsi="Century Gothic" w:cs="Arial"/>
        </w:rPr>
      </w:pPr>
    </w:p>
    <w:p w14:paraId="42E592A7" w14:textId="4B1589C6" w:rsidR="007959BC" w:rsidRPr="00A45A38" w:rsidRDefault="007959BC" w:rsidP="00E64CCD">
      <w:pPr>
        <w:spacing w:line="276" w:lineRule="auto"/>
        <w:ind w:right="49"/>
        <w:jc w:val="both"/>
        <w:rPr>
          <w:rFonts w:ascii="Century Gothic" w:eastAsia="Calibri" w:hAnsi="Century Gothic" w:cs="Arial"/>
          <w:b/>
        </w:rPr>
      </w:pPr>
      <w:r w:rsidRPr="00A45A38">
        <w:rPr>
          <w:rFonts w:ascii="Century Gothic" w:eastAsia="Calibri" w:hAnsi="Century Gothic" w:cs="Arial"/>
          <w:b/>
        </w:rPr>
        <w:t xml:space="preserve"> Problemas planteados </w:t>
      </w:r>
    </w:p>
    <w:p w14:paraId="7C37FA9D" w14:textId="634CF4BD" w:rsidR="007959BC" w:rsidRPr="00A45A38" w:rsidRDefault="007959BC" w:rsidP="007959BC">
      <w:pPr>
        <w:tabs>
          <w:tab w:val="left" w:pos="426"/>
        </w:tabs>
        <w:spacing w:line="276" w:lineRule="auto"/>
        <w:jc w:val="both"/>
        <w:rPr>
          <w:rFonts w:ascii="Century Gothic" w:eastAsia="Calibri" w:hAnsi="Century Gothic" w:cs="Arial"/>
        </w:rPr>
      </w:pPr>
      <w:r w:rsidRPr="00A45A38">
        <w:rPr>
          <w:rFonts w:ascii="Century Gothic" w:eastAsia="Calibri" w:hAnsi="Century Gothic" w:cs="Arial"/>
        </w:rPr>
        <w:t xml:space="preserve">En la consulta Usted </w:t>
      </w:r>
      <w:r w:rsidR="00740F5B" w:rsidRPr="00A45A38">
        <w:rPr>
          <w:rFonts w:ascii="Century Gothic" w:eastAsia="Calibri" w:hAnsi="Century Gothic" w:cs="Arial"/>
        </w:rPr>
        <w:t>formula la siguiente pregunta:</w:t>
      </w:r>
    </w:p>
    <w:p w14:paraId="76A3CE7C" w14:textId="2A6E5153" w:rsidR="00932868" w:rsidRPr="000F2337" w:rsidRDefault="00932868" w:rsidP="000F2337">
      <w:pPr>
        <w:pStyle w:val="NormalWeb"/>
        <w:spacing w:line="270" w:lineRule="atLeast"/>
        <w:ind w:left="709" w:right="709"/>
        <w:jc w:val="both"/>
        <w:rPr>
          <w:rFonts w:ascii="Century Gothic" w:hAnsi="Century Gothic" w:cs="Calibri"/>
          <w:sz w:val="20"/>
          <w:szCs w:val="20"/>
          <w:lang w:val="es-ES" w:eastAsia="es-ES"/>
        </w:rPr>
      </w:pPr>
      <w:r w:rsidRPr="000F2337">
        <w:rPr>
          <w:rFonts w:ascii="Century Gothic" w:hAnsi="Century Gothic" w:cs="Arial"/>
          <w:sz w:val="20"/>
          <w:szCs w:val="20"/>
        </w:rPr>
        <w:t>“solicito</w:t>
      </w:r>
      <w:r w:rsidRPr="000F2337">
        <w:rPr>
          <w:rFonts w:ascii="Century Gothic" w:hAnsi="Century Gothic" w:cs="Calibri"/>
          <w:sz w:val="20"/>
          <w:szCs w:val="20"/>
          <w:lang w:val="es-ES" w:eastAsia="es-ES"/>
        </w:rPr>
        <w:t xml:space="preserve"> se aclare la respuesta dada en concepto   C 460 de 2003, por medio de la cual se indica que las entidades co</w:t>
      </w:r>
      <w:r w:rsidR="00BD113C">
        <w:rPr>
          <w:rFonts w:ascii="Century Gothic" w:hAnsi="Century Gothic" w:cs="Calibri"/>
          <w:sz w:val="20"/>
          <w:szCs w:val="20"/>
          <w:lang w:val="es-ES" w:eastAsia="es-ES"/>
        </w:rPr>
        <w:t>m</w:t>
      </w:r>
      <w:r w:rsidRPr="000F2337">
        <w:rPr>
          <w:rFonts w:ascii="Century Gothic" w:hAnsi="Century Gothic" w:cs="Calibri"/>
          <w:sz w:val="20"/>
          <w:szCs w:val="20"/>
          <w:lang w:val="es-ES" w:eastAsia="es-ES"/>
        </w:rPr>
        <w:t xml:space="preserve">o régimen exceptuado están en libertad para utilizar discrecionalmente la plataforma SECOP 2 de manera transaccional, sosteniendo que la misma puede ser utilizada simplemente como mecanismo de publicidad. </w:t>
      </w:r>
    </w:p>
    <w:p w14:paraId="5EEBA6AF" w14:textId="56ED5E9C" w:rsidR="009028A8" w:rsidRPr="000F2337" w:rsidRDefault="003D72CA" w:rsidP="000F2337">
      <w:pPr>
        <w:pStyle w:val="NormalWeb"/>
        <w:spacing w:line="270" w:lineRule="atLeast"/>
        <w:ind w:left="709" w:right="709"/>
        <w:jc w:val="both"/>
        <w:rPr>
          <w:rFonts w:ascii="Century Gothic" w:hAnsi="Century Gothic" w:cstheme="minorHAnsi"/>
          <w:sz w:val="20"/>
          <w:szCs w:val="20"/>
          <w:shd w:val="clear" w:color="auto" w:fill="FFFFFF"/>
        </w:rPr>
      </w:pPr>
      <w:r>
        <w:rPr>
          <w:rFonts w:ascii="Century Gothic" w:hAnsi="Century Gothic" w:cstheme="minorHAnsi"/>
          <w:sz w:val="20"/>
          <w:szCs w:val="20"/>
          <w:shd w:val="clear" w:color="auto" w:fill="FFFFFF"/>
        </w:rPr>
        <w:t xml:space="preserve">Por lo </w:t>
      </w:r>
      <w:r w:rsidR="00BD579D">
        <w:rPr>
          <w:rFonts w:ascii="Century Gothic" w:hAnsi="Century Gothic" w:cstheme="minorHAnsi"/>
          <w:sz w:val="20"/>
          <w:szCs w:val="20"/>
          <w:shd w:val="clear" w:color="auto" w:fill="FFFFFF"/>
        </w:rPr>
        <w:t>anterior y</w:t>
      </w:r>
      <w:r w:rsidR="00751EF2">
        <w:rPr>
          <w:rFonts w:ascii="Century Gothic" w:hAnsi="Century Gothic" w:cstheme="minorHAnsi"/>
          <w:sz w:val="20"/>
          <w:szCs w:val="20"/>
          <w:shd w:val="clear" w:color="auto" w:fill="FFFFFF"/>
        </w:rPr>
        <w:t xml:space="preserve"> previamente a la interposición de una acción popular por </w:t>
      </w:r>
      <w:r w:rsidR="007953BA">
        <w:rPr>
          <w:rFonts w:ascii="Century Gothic" w:hAnsi="Century Gothic" w:cstheme="minorHAnsi"/>
          <w:sz w:val="20"/>
          <w:szCs w:val="20"/>
          <w:shd w:val="clear" w:color="auto" w:fill="FFFFFF"/>
        </w:rPr>
        <w:t>moralidad</w:t>
      </w:r>
      <w:r w:rsidR="00751EF2">
        <w:rPr>
          <w:rFonts w:ascii="Century Gothic" w:hAnsi="Century Gothic" w:cstheme="minorHAnsi"/>
          <w:sz w:val="20"/>
          <w:szCs w:val="20"/>
          <w:shd w:val="clear" w:color="auto" w:fill="FFFFFF"/>
        </w:rPr>
        <w:t xml:space="preserve"> administrativa y </w:t>
      </w:r>
      <w:r w:rsidR="009028A8" w:rsidRPr="000F2337">
        <w:rPr>
          <w:rFonts w:ascii="Century Gothic" w:hAnsi="Century Gothic" w:cstheme="minorHAnsi"/>
          <w:sz w:val="20"/>
          <w:szCs w:val="20"/>
          <w:shd w:val="clear" w:color="auto" w:fill="FFFFFF"/>
        </w:rPr>
        <w:t>transparencia contra el DAPRE y la Agencia Colombia Compra Eficiente, solicito:</w:t>
      </w:r>
    </w:p>
    <w:p w14:paraId="116668AF" w14:textId="77777777" w:rsidR="009028A8" w:rsidRPr="000F2337" w:rsidRDefault="009028A8" w:rsidP="000F2337">
      <w:pPr>
        <w:pStyle w:val="NormalWeb"/>
        <w:numPr>
          <w:ilvl w:val="0"/>
          <w:numId w:val="18"/>
        </w:numPr>
        <w:spacing w:line="270" w:lineRule="atLeast"/>
        <w:ind w:left="709" w:right="709"/>
        <w:jc w:val="both"/>
        <w:rPr>
          <w:rFonts w:ascii="Century Gothic" w:hAnsi="Century Gothic" w:cstheme="minorHAnsi"/>
          <w:sz w:val="20"/>
          <w:szCs w:val="20"/>
          <w:shd w:val="clear" w:color="auto" w:fill="FFFFFF"/>
        </w:rPr>
      </w:pPr>
      <w:r w:rsidRPr="000F2337">
        <w:rPr>
          <w:rFonts w:ascii="Century Gothic" w:hAnsi="Century Gothic" w:cstheme="minorHAnsi"/>
          <w:sz w:val="20"/>
          <w:szCs w:val="20"/>
          <w:shd w:val="clear" w:color="auto" w:fill="FFFFFF"/>
        </w:rPr>
        <w:t xml:space="preserve"> Se aclare si la Agencia Colombia Compra considera que las entidades exceptuadas de conformidad con el art. 53 de la ley 2195 pueden </w:t>
      </w:r>
      <w:r w:rsidRPr="000F2337">
        <w:rPr>
          <w:rFonts w:ascii="Century Gothic" w:hAnsi="Century Gothic" w:cstheme="minorHAnsi"/>
          <w:b/>
          <w:sz w:val="20"/>
          <w:szCs w:val="20"/>
          <w:shd w:val="clear" w:color="auto" w:fill="FFFFFF"/>
        </w:rPr>
        <w:t>discrecionalmente</w:t>
      </w:r>
      <w:r w:rsidRPr="000F2337">
        <w:rPr>
          <w:rFonts w:ascii="Century Gothic" w:hAnsi="Century Gothic" w:cstheme="minorHAnsi"/>
          <w:sz w:val="20"/>
          <w:szCs w:val="20"/>
          <w:shd w:val="clear" w:color="auto" w:fill="FFFFFF"/>
        </w:rPr>
        <w:t xml:space="preserve"> utilizar o no la plataforma SECOP 2 de manera transaccional o simplemente como plataforma de publicidad.  </w:t>
      </w:r>
    </w:p>
    <w:p w14:paraId="2DBAE385" w14:textId="259C7639" w:rsidR="00D13025" w:rsidRPr="000F2337" w:rsidRDefault="009028A8" w:rsidP="000F2337">
      <w:pPr>
        <w:pStyle w:val="NormalWeb"/>
        <w:numPr>
          <w:ilvl w:val="0"/>
          <w:numId w:val="18"/>
        </w:numPr>
        <w:tabs>
          <w:tab w:val="left" w:pos="426"/>
        </w:tabs>
        <w:spacing w:line="276" w:lineRule="auto"/>
        <w:ind w:left="709" w:right="709"/>
        <w:jc w:val="both"/>
        <w:rPr>
          <w:rFonts w:ascii="Century Gothic" w:hAnsi="Century Gothic" w:cs="Arial"/>
          <w:sz w:val="20"/>
          <w:szCs w:val="20"/>
        </w:rPr>
      </w:pPr>
      <w:r w:rsidRPr="000F2337">
        <w:rPr>
          <w:rFonts w:ascii="Century Gothic" w:hAnsi="Century Gothic" w:cstheme="minorHAnsi"/>
          <w:sz w:val="20"/>
          <w:szCs w:val="20"/>
          <w:shd w:val="clear" w:color="auto" w:fill="FFFFFF"/>
        </w:rPr>
        <w:t>Si se considera que el uso es simplemente de publicidad, la publicación de la gestión contractual de dichas entidades exceptuadas se puede realizar en físico o en correos electrónicos y luego de celebrado el contrato publicar en SECOP 2 o si dicha publicación de cada actuación (presentación propuesta, evaluación, subsanación, ¿</w:t>
      </w:r>
      <w:r w:rsidR="00F41FA4" w:rsidRPr="000F2337">
        <w:rPr>
          <w:rFonts w:ascii="Century Gothic" w:hAnsi="Century Gothic" w:cstheme="minorHAnsi"/>
          <w:sz w:val="20"/>
          <w:szCs w:val="20"/>
          <w:shd w:val="clear" w:color="auto" w:fill="FFFFFF"/>
        </w:rPr>
        <w:t>etc.</w:t>
      </w:r>
      <w:r w:rsidRPr="000F2337">
        <w:rPr>
          <w:rFonts w:ascii="Century Gothic" w:hAnsi="Century Gothic" w:cstheme="minorHAnsi"/>
          <w:sz w:val="20"/>
          <w:szCs w:val="20"/>
          <w:shd w:val="clear" w:color="auto" w:fill="FFFFFF"/>
        </w:rPr>
        <w:t>) debe hacerse automáticamente</w:t>
      </w:r>
      <w:r w:rsidR="00F41FA4" w:rsidRPr="000F2337">
        <w:rPr>
          <w:rFonts w:ascii="Century Gothic" w:hAnsi="Century Gothic" w:cstheme="minorHAnsi"/>
          <w:sz w:val="20"/>
          <w:szCs w:val="20"/>
          <w:shd w:val="clear" w:color="auto" w:fill="FFFFFF"/>
        </w:rPr>
        <w:t>?”</w:t>
      </w:r>
      <w:r w:rsidR="00FD37EC" w:rsidRPr="000F2337">
        <w:rPr>
          <w:rFonts w:ascii="Century Gothic" w:hAnsi="Century Gothic" w:cs="Arial"/>
          <w:sz w:val="20"/>
          <w:szCs w:val="20"/>
        </w:rPr>
        <w:t xml:space="preserve"> </w:t>
      </w:r>
      <w:r w:rsidR="00F41FA4" w:rsidRPr="000F2337">
        <w:rPr>
          <w:rFonts w:ascii="Century Gothic" w:hAnsi="Century Gothic" w:cs="Arial"/>
          <w:sz w:val="20"/>
          <w:szCs w:val="20"/>
        </w:rPr>
        <w:t>(SIC) […]</w:t>
      </w:r>
      <w:bookmarkStart w:id="1" w:name="_Hlk38500171"/>
    </w:p>
    <w:p w14:paraId="18BA9B9B" w14:textId="78674B26" w:rsidR="007959BC" w:rsidRPr="00A45A38" w:rsidRDefault="007959BC" w:rsidP="007959BC">
      <w:pPr>
        <w:tabs>
          <w:tab w:val="left" w:pos="426"/>
        </w:tabs>
        <w:spacing w:line="276" w:lineRule="auto"/>
        <w:jc w:val="both"/>
        <w:rPr>
          <w:rFonts w:ascii="Century Gothic" w:eastAsia="Calibri" w:hAnsi="Century Gothic" w:cs="Arial"/>
          <w:b/>
        </w:rPr>
      </w:pPr>
      <w:r w:rsidRPr="00A45A38">
        <w:rPr>
          <w:rFonts w:ascii="Century Gothic" w:eastAsia="Calibri" w:hAnsi="Century Gothic" w:cs="Arial"/>
          <w:b/>
        </w:rPr>
        <w:t>2. Consideraciones</w:t>
      </w:r>
    </w:p>
    <w:p w14:paraId="49F05B0E" w14:textId="77777777" w:rsidR="007959BC" w:rsidRPr="00A45A38" w:rsidRDefault="007959BC" w:rsidP="007959BC">
      <w:pPr>
        <w:shd w:val="clear" w:color="auto" w:fill="FFFFFF" w:themeFill="background1"/>
        <w:spacing w:line="276" w:lineRule="auto"/>
        <w:jc w:val="both"/>
        <w:rPr>
          <w:rFonts w:ascii="Century Gothic" w:eastAsia="Calibri" w:hAnsi="Century Gothic" w:cs="Arial"/>
          <w:color w:val="000000" w:themeColor="text1"/>
        </w:rPr>
      </w:pPr>
      <w:r w:rsidRPr="00A45A38">
        <w:rPr>
          <w:rFonts w:ascii="Century Gothic" w:eastAsia="Calibri" w:hAnsi="Century Gothic" w:cs="Arial"/>
          <w:color w:val="000000" w:themeColor="text1"/>
        </w:rPr>
        <w:t>La Agencia Nacional de Contratación Pública – Colombia Compra Eficiente resuelve consultas sobre 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 de todos los partícipes de la contratación estatal ni para interpretar el alcance de cualquier norma vigente en el ordenamiento jurídico.</w:t>
      </w:r>
    </w:p>
    <w:p w14:paraId="24E20872" w14:textId="77777777" w:rsidR="007959BC" w:rsidRPr="00A45A38" w:rsidRDefault="007959BC" w:rsidP="007959BC">
      <w:pPr>
        <w:shd w:val="clear" w:color="auto" w:fill="FFFFFF" w:themeFill="background1"/>
        <w:spacing w:line="276" w:lineRule="auto"/>
        <w:ind w:firstLine="708"/>
        <w:jc w:val="both"/>
        <w:rPr>
          <w:rFonts w:ascii="Century Gothic" w:eastAsia="Calibri" w:hAnsi="Century Gothic" w:cs="Arial"/>
          <w:color w:val="000000" w:themeColor="text1"/>
        </w:rPr>
      </w:pPr>
      <w:r w:rsidRPr="00A45A38">
        <w:rPr>
          <w:rFonts w:ascii="Century Gothic" w:eastAsia="Calibri" w:hAnsi="Century Gothic" w:cs="Arial"/>
          <w:color w:val="000000" w:themeColor="text1"/>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brindar asesorías sobre casos puntuales ni interpretar normas ajenas al sistema de compras públicas. </w:t>
      </w:r>
    </w:p>
    <w:p w14:paraId="5CAC1226" w14:textId="3481FE46" w:rsidR="00D74FA9" w:rsidRDefault="007959BC" w:rsidP="007959BC">
      <w:pPr>
        <w:spacing w:line="276" w:lineRule="auto"/>
        <w:jc w:val="both"/>
        <w:rPr>
          <w:rFonts w:ascii="Century Gothic" w:hAnsi="Century Gothic" w:cs="Arial"/>
          <w:color w:val="000000" w:themeColor="text1"/>
          <w:lang w:val="es-ES"/>
        </w:rPr>
      </w:pPr>
      <w:r w:rsidRPr="00A45A38">
        <w:rPr>
          <w:rFonts w:ascii="Century Gothic" w:eastAsia="Calibri" w:hAnsi="Century Gothic" w:cs="Arial"/>
          <w:color w:val="000000" w:themeColor="text1"/>
        </w:rPr>
        <w:tab/>
      </w:r>
      <w:r w:rsidRPr="003167C7">
        <w:rPr>
          <w:rFonts w:ascii="Century Gothic" w:eastAsia="Calibri" w:hAnsi="Century Gothic" w:cs="Arial"/>
          <w:color w:val="000000" w:themeColor="text1"/>
        </w:rPr>
        <w:t>En este contexto, la Subdirección de Gestión Contractual, dentro de los límites de sus atribuciones, esto es, haciendo abstracción a las preguntas de casos particulares expuestos, resolverá la consulta conforme a las normas generales en materia de contratación estatal. Con este objetivo se analizarán</w:t>
      </w:r>
      <w:r w:rsidRPr="003167C7">
        <w:rPr>
          <w:rFonts w:ascii="Century Gothic" w:eastAsia="Calibri" w:hAnsi="Century Gothic" w:cs="Arial"/>
          <w:color w:val="000000" w:themeColor="text1"/>
          <w:lang w:val="es-ES"/>
        </w:rPr>
        <w:t xml:space="preserve"> los siguientes temas</w:t>
      </w:r>
      <w:r w:rsidRPr="003167C7">
        <w:rPr>
          <w:rFonts w:ascii="Century Gothic" w:hAnsi="Century Gothic" w:cs="Arial"/>
          <w:color w:val="000000" w:themeColor="text1"/>
          <w:lang w:val="es-ES"/>
        </w:rPr>
        <w:t>:</w:t>
      </w:r>
      <w:r w:rsidR="00D74FA9">
        <w:rPr>
          <w:rFonts w:ascii="Century Gothic" w:hAnsi="Century Gothic" w:cs="Arial"/>
          <w:color w:val="000000" w:themeColor="text1"/>
          <w:lang w:val="es-ES"/>
        </w:rPr>
        <w:t xml:space="preserve">  </w:t>
      </w:r>
      <w:r w:rsidR="006058EA">
        <w:rPr>
          <w:rFonts w:ascii="Century Gothic" w:hAnsi="Century Gothic" w:cs="Arial"/>
          <w:color w:val="000000" w:themeColor="text1"/>
          <w:lang w:val="es-ES"/>
        </w:rPr>
        <w:t xml:space="preserve">El deber </w:t>
      </w:r>
      <w:r w:rsidR="00C53CE9">
        <w:rPr>
          <w:rFonts w:ascii="Century Gothic" w:hAnsi="Century Gothic" w:cs="Arial"/>
          <w:color w:val="000000" w:themeColor="text1"/>
          <w:lang w:val="es-ES"/>
        </w:rPr>
        <w:t xml:space="preserve">y alcance de las </w:t>
      </w:r>
      <w:r w:rsidR="00C10C72">
        <w:rPr>
          <w:rFonts w:ascii="Century Gothic" w:hAnsi="Century Gothic" w:cs="Arial"/>
          <w:color w:val="000000" w:themeColor="text1"/>
          <w:lang w:val="es-ES"/>
        </w:rPr>
        <w:t>entidades exceptuadas</w:t>
      </w:r>
      <w:r w:rsidR="00C53CE9">
        <w:rPr>
          <w:rFonts w:ascii="Century Gothic" w:hAnsi="Century Gothic" w:cs="Arial"/>
          <w:color w:val="000000" w:themeColor="text1"/>
          <w:lang w:val="es-ES"/>
        </w:rPr>
        <w:t xml:space="preserve"> del</w:t>
      </w:r>
      <w:r w:rsidR="008D1A0A">
        <w:rPr>
          <w:rFonts w:ascii="Century Gothic" w:hAnsi="Century Gothic" w:cs="Arial"/>
          <w:color w:val="000000" w:themeColor="text1"/>
          <w:lang w:val="es-ES"/>
        </w:rPr>
        <w:t xml:space="preserve"> Estatuto </w:t>
      </w:r>
      <w:r w:rsidR="00CC7D06">
        <w:rPr>
          <w:rFonts w:ascii="Century Gothic" w:hAnsi="Century Gothic" w:cs="Arial"/>
          <w:color w:val="000000" w:themeColor="text1"/>
          <w:lang w:val="es-ES"/>
        </w:rPr>
        <w:t xml:space="preserve">General de Contratación de la Administración </w:t>
      </w:r>
      <w:r w:rsidR="00764CCB">
        <w:rPr>
          <w:rFonts w:ascii="Century Gothic" w:hAnsi="Century Gothic" w:cs="Arial"/>
          <w:color w:val="000000" w:themeColor="text1"/>
          <w:lang w:val="es-ES"/>
        </w:rPr>
        <w:t>Pública de</w:t>
      </w:r>
      <w:r w:rsidR="00597C3B">
        <w:rPr>
          <w:rFonts w:ascii="Century Gothic" w:hAnsi="Century Gothic" w:cs="Arial"/>
          <w:color w:val="000000" w:themeColor="text1"/>
          <w:lang w:val="es-ES"/>
        </w:rPr>
        <w:t xml:space="preserve"> publicar </w:t>
      </w:r>
      <w:r w:rsidR="00074CE9" w:rsidRPr="00074CE9">
        <w:rPr>
          <w:rFonts w:ascii="Century Gothic" w:hAnsi="Century Gothic" w:cs="Arial"/>
          <w:bCs/>
          <w:lang w:val="es-MX"/>
        </w:rPr>
        <w:t>los documentos relacionados con su actividad contractual en el SECOP II</w:t>
      </w:r>
      <w:r w:rsidR="00E01A53" w:rsidRPr="00074CE9">
        <w:rPr>
          <w:rFonts w:ascii="Century Gothic" w:hAnsi="Century Gothic" w:cs="Arial"/>
          <w:bCs/>
          <w:color w:val="000000" w:themeColor="text1"/>
          <w:lang w:val="es-ES"/>
        </w:rPr>
        <w:t>,</w:t>
      </w:r>
      <w:r w:rsidR="00E01A53">
        <w:rPr>
          <w:rFonts w:ascii="Century Gothic" w:hAnsi="Century Gothic" w:cs="Arial"/>
          <w:color w:val="000000" w:themeColor="text1"/>
          <w:lang w:val="es-ES"/>
        </w:rPr>
        <w:t xml:space="preserve"> est</w:t>
      </w:r>
      <w:r w:rsidR="004151F8">
        <w:rPr>
          <w:rFonts w:ascii="Century Gothic" w:hAnsi="Century Gothic" w:cs="Arial"/>
          <w:color w:val="000000" w:themeColor="text1"/>
          <w:lang w:val="es-ES"/>
        </w:rPr>
        <w:t xml:space="preserve">os fueron objeto de </w:t>
      </w:r>
      <w:r w:rsidR="003167C7">
        <w:rPr>
          <w:rFonts w:ascii="Century Gothic" w:hAnsi="Century Gothic" w:cs="Arial"/>
          <w:color w:val="000000" w:themeColor="text1"/>
          <w:lang w:val="es-ES"/>
        </w:rPr>
        <w:t>análisis y</w:t>
      </w:r>
      <w:r w:rsidR="004151F8">
        <w:rPr>
          <w:rFonts w:ascii="Century Gothic" w:hAnsi="Century Gothic" w:cs="Arial"/>
          <w:color w:val="000000" w:themeColor="text1"/>
          <w:lang w:val="es-ES"/>
        </w:rPr>
        <w:t xml:space="preserve"> de estudio en los siguientes conceptos por parte de esta agencia</w:t>
      </w:r>
      <w:r w:rsidR="003167C7">
        <w:rPr>
          <w:rFonts w:ascii="Century Gothic" w:hAnsi="Century Gothic" w:cs="Arial"/>
          <w:color w:val="000000" w:themeColor="text1"/>
          <w:lang w:val="es-ES"/>
        </w:rPr>
        <w:t>:</w:t>
      </w:r>
    </w:p>
    <w:p w14:paraId="332F40CC" w14:textId="29E224D4" w:rsidR="00894BBF" w:rsidRPr="00B50BC5" w:rsidRDefault="00B50BC5" w:rsidP="00257652">
      <w:pPr>
        <w:spacing w:line="276" w:lineRule="auto"/>
        <w:jc w:val="both"/>
        <w:rPr>
          <w:rFonts w:ascii="Century Gothic" w:hAnsi="Century Gothic" w:cs="Arial"/>
          <w:color w:val="000000" w:themeColor="text1"/>
          <w:lang w:val="es-ES"/>
        </w:rPr>
      </w:pPr>
      <w:r>
        <w:rPr>
          <w:rFonts w:ascii="Century Gothic" w:hAnsi="Century Gothic" w:cs="Arial"/>
          <w:color w:val="000000" w:themeColor="text1"/>
          <w:lang w:val="es-ES"/>
        </w:rPr>
        <w:t xml:space="preserve">C- 909 del 05 de enero de 2023, </w:t>
      </w:r>
      <w:r w:rsidR="009F4C28">
        <w:rPr>
          <w:rFonts w:ascii="Century Gothic" w:hAnsi="Century Gothic" w:cs="Arial"/>
          <w:color w:val="000000" w:themeColor="text1"/>
          <w:lang w:val="es-ES"/>
        </w:rPr>
        <w:t xml:space="preserve">C- 071 del 28 de marzo de 2023, </w:t>
      </w:r>
      <w:r w:rsidR="003255DD">
        <w:rPr>
          <w:rFonts w:ascii="Century Gothic" w:hAnsi="Century Gothic" w:cs="Arial"/>
          <w:color w:val="000000" w:themeColor="text1"/>
          <w:lang w:val="es-ES"/>
        </w:rPr>
        <w:t xml:space="preserve">C- 055 del 19 de abril de 2023, C- 130 del 18 de mayo de 2023, </w:t>
      </w:r>
      <w:r w:rsidR="00AC69D1">
        <w:rPr>
          <w:rFonts w:ascii="Century Gothic" w:hAnsi="Century Gothic" w:cs="Arial"/>
          <w:color w:val="000000" w:themeColor="text1"/>
          <w:lang w:val="es-ES"/>
        </w:rPr>
        <w:t xml:space="preserve">C- 196 del 15 de junio de 2023, </w:t>
      </w:r>
      <w:r w:rsidR="004E2851">
        <w:rPr>
          <w:rFonts w:ascii="Century Gothic" w:hAnsi="Century Gothic" w:cs="Arial"/>
          <w:color w:val="000000" w:themeColor="text1"/>
          <w:lang w:val="es-ES"/>
        </w:rPr>
        <w:t xml:space="preserve">C- 260 del 10 de julio de 2023, C- 270 del 12 de julio de 2023, </w:t>
      </w:r>
      <w:r w:rsidR="00FB011F">
        <w:rPr>
          <w:rFonts w:ascii="Century Gothic" w:hAnsi="Century Gothic" w:cs="Arial"/>
          <w:color w:val="000000" w:themeColor="text1"/>
          <w:lang w:val="es-ES"/>
        </w:rPr>
        <w:t xml:space="preserve">C- </w:t>
      </w:r>
      <w:r w:rsidR="004E2851">
        <w:rPr>
          <w:rFonts w:ascii="Century Gothic" w:hAnsi="Century Gothic" w:cs="Arial"/>
          <w:color w:val="000000" w:themeColor="text1"/>
          <w:lang w:val="es-ES"/>
        </w:rPr>
        <w:t>284 del</w:t>
      </w:r>
      <w:r w:rsidR="00235106">
        <w:rPr>
          <w:rFonts w:ascii="Century Gothic" w:hAnsi="Century Gothic" w:cs="Arial"/>
          <w:color w:val="000000" w:themeColor="text1"/>
          <w:lang w:val="es-ES"/>
        </w:rPr>
        <w:t xml:space="preserve"> 17 de julio de 2023, </w:t>
      </w:r>
      <w:r w:rsidR="00FB011F">
        <w:rPr>
          <w:rFonts w:ascii="Century Gothic" w:hAnsi="Century Gothic" w:cs="Arial"/>
          <w:color w:val="000000" w:themeColor="text1"/>
          <w:lang w:val="es-ES"/>
        </w:rPr>
        <w:t xml:space="preserve">C- 229 del 27 de julio de 2023, </w:t>
      </w:r>
      <w:r w:rsidR="00107516">
        <w:rPr>
          <w:rFonts w:ascii="Century Gothic" w:hAnsi="Century Gothic" w:cs="Arial"/>
          <w:color w:val="000000" w:themeColor="text1"/>
          <w:lang w:val="es-ES"/>
        </w:rPr>
        <w:t xml:space="preserve">C- 326 del 11 de agosto de 2023, </w:t>
      </w:r>
      <w:r w:rsidR="00FF268B">
        <w:rPr>
          <w:rFonts w:ascii="Century Gothic" w:hAnsi="Century Gothic" w:cs="Arial"/>
          <w:color w:val="000000" w:themeColor="text1"/>
          <w:lang w:val="es-ES"/>
        </w:rPr>
        <w:t xml:space="preserve">C- 195 del 24 de agosto de 2023, </w:t>
      </w:r>
      <w:r w:rsidR="00A70BDB">
        <w:rPr>
          <w:rFonts w:ascii="Century Gothic" w:hAnsi="Century Gothic" w:cs="Arial"/>
          <w:color w:val="000000" w:themeColor="text1"/>
          <w:lang w:val="es-ES"/>
        </w:rPr>
        <w:t xml:space="preserve">C- 422 del 10 de octubre de 2023, </w:t>
      </w:r>
      <w:r w:rsidR="001C5DB3">
        <w:rPr>
          <w:rFonts w:ascii="Century Gothic" w:hAnsi="Century Gothic" w:cs="Arial"/>
          <w:color w:val="000000" w:themeColor="text1"/>
          <w:lang w:val="es-ES"/>
        </w:rPr>
        <w:t xml:space="preserve">C- 457 del 24 de octubre de 2023, C- 438 del 31 de octubre de 2023, </w:t>
      </w:r>
      <w:r w:rsidR="00803344">
        <w:rPr>
          <w:rFonts w:ascii="Century Gothic" w:hAnsi="Century Gothic" w:cs="Arial"/>
          <w:color w:val="000000" w:themeColor="text1"/>
          <w:lang w:val="es-ES"/>
        </w:rPr>
        <w:t xml:space="preserve">C- 391 del 14 de noviembre de 2023, </w:t>
      </w:r>
      <w:r w:rsidR="00D2516C">
        <w:rPr>
          <w:rFonts w:ascii="Century Gothic" w:hAnsi="Century Gothic" w:cs="Arial"/>
          <w:color w:val="000000" w:themeColor="text1"/>
          <w:lang w:val="es-ES"/>
        </w:rPr>
        <w:t xml:space="preserve">C- 460 </w:t>
      </w:r>
      <w:r w:rsidR="00AA378E">
        <w:rPr>
          <w:rFonts w:ascii="Century Gothic" w:hAnsi="Century Gothic" w:cs="Arial"/>
          <w:color w:val="000000" w:themeColor="text1"/>
          <w:lang w:val="es-ES"/>
        </w:rPr>
        <w:t xml:space="preserve">del 30 de noviembre de 2023, </w:t>
      </w:r>
      <w:r w:rsidR="0007291E">
        <w:rPr>
          <w:rFonts w:ascii="Century Gothic" w:hAnsi="Century Gothic" w:cs="Arial"/>
          <w:color w:val="000000" w:themeColor="text1"/>
          <w:lang w:val="es-ES"/>
        </w:rPr>
        <w:t xml:space="preserve">CU- 007 del 16 de enero de 2024, </w:t>
      </w:r>
      <w:r w:rsidR="004D7782">
        <w:rPr>
          <w:rFonts w:ascii="Century Gothic" w:hAnsi="Century Gothic" w:cs="Arial"/>
          <w:color w:val="000000" w:themeColor="text1"/>
          <w:lang w:val="es-ES"/>
        </w:rPr>
        <w:t xml:space="preserve">C- 294 del 18 de enero de 2024, </w:t>
      </w:r>
      <w:r w:rsidR="00AD3EDD">
        <w:rPr>
          <w:rFonts w:ascii="Century Gothic" w:hAnsi="Century Gothic" w:cs="Arial"/>
          <w:color w:val="000000" w:themeColor="text1"/>
          <w:lang w:val="es-ES"/>
        </w:rPr>
        <w:t xml:space="preserve">C- </w:t>
      </w:r>
      <w:r w:rsidR="00FF268B">
        <w:rPr>
          <w:rFonts w:ascii="Century Gothic" w:hAnsi="Century Gothic" w:cs="Arial"/>
          <w:color w:val="000000" w:themeColor="text1"/>
          <w:lang w:val="es-ES"/>
        </w:rPr>
        <w:t>017 del</w:t>
      </w:r>
      <w:r w:rsidR="00AD3EDD">
        <w:rPr>
          <w:rFonts w:ascii="Century Gothic" w:hAnsi="Century Gothic" w:cs="Arial"/>
          <w:color w:val="000000" w:themeColor="text1"/>
          <w:lang w:val="es-ES"/>
        </w:rPr>
        <w:t xml:space="preserve"> 26 de febrero de 2024, </w:t>
      </w:r>
      <w:r w:rsidR="00C22FDC">
        <w:rPr>
          <w:rFonts w:ascii="Century Gothic" w:hAnsi="Century Gothic" w:cs="Arial"/>
          <w:color w:val="000000" w:themeColor="text1"/>
          <w:lang w:val="es-ES"/>
        </w:rPr>
        <w:t>C</w:t>
      </w:r>
      <w:r w:rsidR="00AD295D">
        <w:rPr>
          <w:rFonts w:ascii="Century Gothic" w:hAnsi="Century Gothic" w:cs="Arial"/>
          <w:color w:val="000000" w:themeColor="text1"/>
          <w:lang w:val="es-ES"/>
        </w:rPr>
        <w:t>- 041 del 29 de mayo de 2024, C</w:t>
      </w:r>
      <w:r w:rsidR="00F279D1">
        <w:rPr>
          <w:rFonts w:ascii="Century Gothic" w:hAnsi="Century Gothic" w:cs="Arial"/>
          <w:color w:val="000000" w:themeColor="text1"/>
          <w:lang w:val="es-ES"/>
        </w:rPr>
        <w:t>-</w:t>
      </w:r>
      <w:r w:rsidR="00C22FDC">
        <w:rPr>
          <w:rFonts w:ascii="Century Gothic" w:hAnsi="Century Gothic" w:cs="Arial"/>
          <w:color w:val="000000" w:themeColor="text1"/>
          <w:lang w:val="es-ES"/>
        </w:rPr>
        <w:t xml:space="preserve"> 055 del 09 de junio de 2024</w:t>
      </w:r>
      <w:bookmarkEnd w:id="1"/>
      <w:r w:rsidR="007A6E93" w:rsidRPr="00DE3ED4">
        <w:rPr>
          <w:rStyle w:val="FootnoteReference"/>
          <w:rFonts w:ascii="Century Gothic" w:eastAsia="Times New Roman" w:hAnsi="Century Gothic" w:cs="Arial"/>
          <w:lang w:eastAsia="es-CO"/>
        </w:rPr>
        <w:footnoteReference w:id="2"/>
      </w:r>
      <w:r w:rsidR="007A6E93" w:rsidRPr="00DE3ED4">
        <w:rPr>
          <w:rFonts w:ascii="Century Gothic" w:eastAsia="Times New Roman" w:hAnsi="Century Gothic" w:cs="Arial"/>
          <w:lang w:eastAsia="es-CO"/>
        </w:rPr>
        <w:t xml:space="preserve">. </w:t>
      </w:r>
      <w:r w:rsidR="00894BBF" w:rsidRPr="00DE3ED4">
        <w:rPr>
          <w:rFonts w:ascii="Century Gothic" w:eastAsia="Calibri" w:hAnsi="Century Gothic" w:cs="Arial"/>
          <w:color w:val="000000"/>
        </w:rPr>
        <w:t xml:space="preserve">Las tesis expuestas en estos conceptos se reiteran y se complementan en lo pertinente para dar respuesta a su </w:t>
      </w:r>
      <w:r w:rsidR="009E54A5" w:rsidRPr="00DE3ED4">
        <w:rPr>
          <w:rFonts w:ascii="Century Gothic" w:eastAsia="Calibri" w:hAnsi="Century Gothic" w:cs="Arial"/>
          <w:color w:val="000000"/>
        </w:rPr>
        <w:t>consulta.</w:t>
      </w:r>
    </w:p>
    <w:p w14:paraId="1BE7B740" w14:textId="77777777" w:rsidR="00C96336" w:rsidRPr="00A45A38" w:rsidRDefault="00C96336" w:rsidP="00894BBF">
      <w:pPr>
        <w:spacing w:after="0" w:line="276" w:lineRule="auto"/>
        <w:ind w:firstLine="709"/>
        <w:jc w:val="both"/>
        <w:rPr>
          <w:rFonts w:ascii="Century Gothic" w:eastAsia="Calibri" w:hAnsi="Century Gothic" w:cs="Arial"/>
          <w:color w:val="000000"/>
        </w:rPr>
      </w:pPr>
    </w:p>
    <w:p w14:paraId="7793B0B1" w14:textId="6DDAA1FA" w:rsidR="00977A67" w:rsidRPr="004204E3" w:rsidRDefault="00977A67" w:rsidP="00977A67">
      <w:pPr>
        <w:spacing w:after="0" w:line="276" w:lineRule="auto"/>
        <w:contextualSpacing/>
        <w:jc w:val="both"/>
        <w:rPr>
          <w:rFonts w:ascii="Century Gothic" w:hAnsi="Century Gothic" w:cs="Arial"/>
          <w:b/>
          <w:lang w:val="es-MX"/>
        </w:rPr>
      </w:pPr>
      <w:r w:rsidRPr="004204E3">
        <w:rPr>
          <w:rFonts w:ascii="Century Gothic" w:hAnsi="Century Gothic" w:cs="Arial"/>
          <w:b/>
          <w:lang w:val="es-MX"/>
        </w:rPr>
        <w:t>2.</w:t>
      </w:r>
      <w:r w:rsidR="00CC0BA1">
        <w:rPr>
          <w:rFonts w:ascii="Century Gothic" w:hAnsi="Century Gothic" w:cs="Arial"/>
          <w:b/>
          <w:lang w:val="es-MX"/>
        </w:rPr>
        <w:t>1</w:t>
      </w:r>
      <w:r w:rsidRPr="004204E3">
        <w:rPr>
          <w:rFonts w:ascii="Century Gothic" w:hAnsi="Century Gothic" w:cs="Arial"/>
          <w:b/>
          <w:lang w:val="es-MX"/>
        </w:rPr>
        <w:t>. Deber de las Entidades Estatales, exceptuadas del Estatuto General de Contratación de la Administración Pública, de publicar los documentos relacionados con su actividad contractual en el SECOP II. Modificación introducida por el artículo 53 de la Ley 2195 de 2022</w:t>
      </w:r>
    </w:p>
    <w:p w14:paraId="77EE7527" w14:textId="77777777" w:rsidR="00977A67" w:rsidRPr="004204E3" w:rsidRDefault="00977A67" w:rsidP="00977A67">
      <w:pPr>
        <w:spacing w:after="0" w:line="276" w:lineRule="auto"/>
        <w:contextualSpacing/>
        <w:jc w:val="both"/>
        <w:rPr>
          <w:rFonts w:ascii="Century Gothic" w:hAnsi="Century Gothic" w:cs="Arial"/>
          <w:bCs/>
          <w:lang w:val="es-MX"/>
        </w:rPr>
      </w:pPr>
    </w:p>
    <w:p w14:paraId="121146F1" w14:textId="77777777" w:rsidR="00977A67" w:rsidRPr="004204E3" w:rsidRDefault="00977A67" w:rsidP="00977A67">
      <w:pPr>
        <w:spacing w:after="0" w:line="276" w:lineRule="auto"/>
        <w:contextualSpacing/>
        <w:jc w:val="both"/>
        <w:rPr>
          <w:rFonts w:ascii="Century Gothic" w:hAnsi="Century Gothic" w:cs="Arial"/>
          <w:bCs/>
          <w:lang w:val="es-MX"/>
        </w:rPr>
      </w:pPr>
      <w:r w:rsidRPr="004204E3">
        <w:rPr>
          <w:rFonts w:ascii="Century Gothic" w:hAnsi="Century Gothic" w:cs="Arial"/>
          <w:bCs/>
          <w:lang w:val="es-MX"/>
        </w:rPr>
        <w:t xml:space="preserve">Uno de los postulados más importantes de un Estado Social y Democrático de Derecho es el </w:t>
      </w:r>
      <w:r w:rsidRPr="004204E3">
        <w:rPr>
          <w:rFonts w:ascii="Century Gothic" w:hAnsi="Century Gothic" w:cs="Arial"/>
          <w:bCs/>
          <w:i/>
          <w:iCs/>
          <w:lang w:val="es-MX"/>
        </w:rPr>
        <w:t>principio de publicidad</w:t>
      </w:r>
      <w:r w:rsidRPr="004204E3">
        <w:rPr>
          <w:rFonts w:ascii="Century Gothic" w:hAnsi="Century Gothic" w:cs="Arial"/>
          <w:bCs/>
          <w:lang w:val="es-MX"/>
        </w:rPr>
        <w:t>, pues este permite que las actuaciones de las autoridades gocen de visibilidad.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artículo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explica:</w:t>
      </w:r>
    </w:p>
    <w:p w14:paraId="3BDB4313" w14:textId="77777777" w:rsidR="00977A67" w:rsidRPr="004204E3" w:rsidRDefault="00977A67" w:rsidP="00977A67">
      <w:pPr>
        <w:spacing w:after="0" w:line="276" w:lineRule="auto"/>
        <w:ind w:firstLine="709"/>
        <w:contextualSpacing/>
        <w:jc w:val="both"/>
        <w:rPr>
          <w:rFonts w:ascii="Century Gothic" w:hAnsi="Century Gothic" w:cs="Arial"/>
          <w:bCs/>
          <w:lang w:val="es-MX"/>
        </w:rPr>
      </w:pPr>
    </w:p>
    <w:p w14:paraId="65A8FA3B" w14:textId="77777777" w:rsidR="00977A67" w:rsidRPr="004204E3" w:rsidRDefault="00977A67" w:rsidP="00977A67">
      <w:pPr>
        <w:tabs>
          <w:tab w:val="left" w:pos="3885"/>
        </w:tabs>
        <w:spacing w:after="0" w:line="240" w:lineRule="auto"/>
        <w:ind w:left="709" w:right="709"/>
        <w:contextualSpacing/>
        <w:jc w:val="both"/>
        <w:rPr>
          <w:rFonts w:ascii="Century Gothic" w:hAnsi="Century Gothic" w:cs="Arial"/>
          <w:bCs/>
          <w:sz w:val="21"/>
          <w:szCs w:val="21"/>
          <w:lang w:val="es-MX"/>
        </w:rPr>
      </w:pPr>
      <m:oMath>
        <m:r>
          <m:rPr>
            <m:sty m:val="p"/>
          </m:rPr>
          <w:rPr>
            <w:rFonts w:ascii="Cambria Math" w:hAnsi="Cambria Math" w:cs="Arial"/>
            <w:sz w:val="21"/>
            <w:szCs w:val="21"/>
            <w:lang w:val="es-MX"/>
          </w:rPr>
          <m:t>"</m:t>
        </m:r>
      </m:oMath>
      <w:r w:rsidRPr="004204E3">
        <w:rPr>
          <w:rFonts w:ascii="Century Gothic" w:hAnsi="Century Gothic" w:cs="Arial"/>
          <w:bCs/>
          <w:sz w:val="21"/>
          <w:szCs w:val="21"/>
          <w:lang w:val="es-MX"/>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1E948A78" w14:textId="77777777" w:rsidR="00977A67" w:rsidRPr="004204E3" w:rsidRDefault="00977A67" w:rsidP="00977A67">
      <w:pPr>
        <w:tabs>
          <w:tab w:val="left" w:pos="3885"/>
        </w:tabs>
        <w:spacing w:after="0" w:line="240" w:lineRule="auto"/>
        <w:ind w:left="709" w:right="709"/>
        <w:contextualSpacing/>
        <w:jc w:val="both"/>
        <w:rPr>
          <w:rFonts w:ascii="Century Gothic" w:hAnsi="Century Gothic" w:cs="Arial"/>
          <w:bCs/>
          <w:sz w:val="21"/>
          <w:szCs w:val="21"/>
          <w:lang w:val="es-MX"/>
        </w:rPr>
      </w:pPr>
    </w:p>
    <w:p w14:paraId="4390D9B0" w14:textId="77777777" w:rsidR="00977A67" w:rsidRPr="004204E3" w:rsidRDefault="00977A67" w:rsidP="00977A67">
      <w:pPr>
        <w:tabs>
          <w:tab w:val="left" w:pos="3885"/>
          <w:tab w:val="left" w:pos="8222"/>
        </w:tabs>
        <w:spacing w:after="0" w:line="240" w:lineRule="auto"/>
        <w:ind w:left="709" w:right="709"/>
        <w:contextualSpacing/>
        <w:jc w:val="both"/>
        <w:rPr>
          <w:rFonts w:ascii="Century Gothic" w:hAnsi="Century Gothic" w:cs="Arial"/>
          <w:bCs/>
          <w:sz w:val="21"/>
          <w:szCs w:val="21"/>
          <w:lang w:val="es-MX"/>
        </w:rPr>
      </w:pPr>
      <w:r w:rsidRPr="004204E3">
        <w:rPr>
          <w:rFonts w:ascii="Century Gothic" w:hAnsi="Century Gothic" w:cs="Arial"/>
          <w:bCs/>
          <w:sz w:val="21"/>
          <w:szCs w:val="21"/>
          <w:lang w:val="es-MX"/>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4204E3">
        <w:rPr>
          <w:rFonts w:ascii="Century Gothic" w:hAnsi="Century Gothic" w:cs="Arial"/>
          <w:bCs/>
          <w:sz w:val="21"/>
          <w:szCs w:val="21"/>
          <w:vertAlign w:val="superscript"/>
          <w:lang w:val="es-MX"/>
        </w:rPr>
        <w:footnoteReference w:id="3"/>
      </w:r>
    </w:p>
    <w:p w14:paraId="26FC0257" w14:textId="77777777" w:rsidR="00977A67" w:rsidRPr="004204E3" w:rsidRDefault="00977A67" w:rsidP="00977A67">
      <w:pPr>
        <w:spacing w:after="0" w:line="276" w:lineRule="auto"/>
        <w:ind w:firstLine="709"/>
        <w:contextualSpacing/>
        <w:jc w:val="both"/>
        <w:rPr>
          <w:rFonts w:ascii="Century Gothic" w:hAnsi="Century Gothic" w:cs="Arial"/>
          <w:bCs/>
          <w:lang w:val="es-MX"/>
        </w:rPr>
      </w:pPr>
    </w:p>
    <w:p w14:paraId="2CF28F6F" w14:textId="77777777" w:rsidR="00977A67" w:rsidRPr="004204E3" w:rsidRDefault="00977A67" w:rsidP="00977A67">
      <w:pPr>
        <w:spacing w:after="120" w:line="276" w:lineRule="auto"/>
        <w:ind w:firstLine="709"/>
        <w:jc w:val="both"/>
        <w:rPr>
          <w:rFonts w:ascii="Century Gothic" w:hAnsi="Century Gothic" w:cs="Arial"/>
          <w:bCs/>
          <w:lang w:val="es-MX"/>
        </w:rPr>
      </w:pPr>
      <w:r w:rsidRPr="004204E3">
        <w:rPr>
          <w:rFonts w:ascii="Century Gothic" w:hAnsi="Century Gothic" w:cs="Arial"/>
          <w:bCs/>
          <w:lang w:val="es-MX"/>
        </w:rPr>
        <w:t>El principio de publicidad impone a las autoridades el deber de dar a conocer sus actos, contratos y decisiones, para que se divulguen y, eventualmente, se controlen dichas actuaciones. Es por eso que, en materia de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sidRPr="004204E3">
        <w:rPr>
          <w:rFonts w:ascii="Century Gothic" w:hAnsi="Century Gothic" w:cs="Arial"/>
          <w:bCs/>
          <w:vertAlign w:val="superscript"/>
          <w:lang w:val="es-MX"/>
        </w:rPr>
        <w:footnoteReference w:id="4"/>
      </w:r>
      <w:r w:rsidRPr="004204E3">
        <w:rPr>
          <w:rFonts w:ascii="Century Gothic" w:hAnsi="Century Gothic" w:cs="Arial"/>
          <w:bCs/>
          <w:lang w:val="es-MX"/>
        </w:rPr>
        <w:t xml:space="preserve">. </w:t>
      </w:r>
    </w:p>
    <w:p w14:paraId="70756844" w14:textId="77777777" w:rsidR="00977A67" w:rsidRPr="004204E3" w:rsidRDefault="00977A67" w:rsidP="00977A67">
      <w:pPr>
        <w:spacing w:after="120" w:line="276" w:lineRule="auto"/>
        <w:ind w:firstLine="708"/>
        <w:jc w:val="both"/>
        <w:rPr>
          <w:rFonts w:ascii="Century Gothic" w:hAnsi="Century Gothic" w:cs="Arial"/>
          <w:bCs/>
          <w:lang w:val="es-MX"/>
        </w:rPr>
      </w:pPr>
      <w:r w:rsidRPr="004204E3">
        <w:rPr>
          <w:rFonts w:ascii="Century Gothic" w:hAnsi="Century Gothic" w:cs="Arial"/>
          <w:bCs/>
          <w:lang w:val="es-MX"/>
        </w:rPr>
        <w:t>De otra parte, la Ley 1712 de 2014, “</w:t>
      </w:r>
      <w:r w:rsidRPr="004204E3">
        <w:rPr>
          <w:rFonts w:ascii="Century Gothic" w:hAnsi="Century Gothic" w:cs="Arial"/>
        </w:rPr>
        <w:t>P</w:t>
      </w:r>
      <w:r w:rsidRPr="004204E3">
        <w:rPr>
          <w:rFonts w:ascii="Century Gothic" w:hAnsi="Century Gothic" w:cs="Arial"/>
          <w:lang w:eastAsia="es-CO"/>
        </w:rPr>
        <w:t>or medio de la cual se crea la Ley de Transparencia y del Derecho de Acceso a la Información Pública Nacional y se dictan otras disposiciones</w:t>
      </w:r>
      <w:r w:rsidRPr="004204E3">
        <w:rPr>
          <w:rFonts w:ascii="Century Gothic" w:hAnsi="Century Gothic" w:cs="Arial"/>
          <w:bCs/>
          <w:lang w:val="es-MX"/>
        </w:rPr>
        <w:t xml:space="preserve">”, identifica como principios que orientan el derecho de acceso a la información pública, el principio de máxima publicidad, el principio de transparencia en la información y el principio de buena fe. El principio de </w:t>
      </w:r>
      <w:r w:rsidRPr="004204E3">
        <w:rPr>
          <w:rFonts w:ascii="Century Gothic" w:hAnsi="Century Gothic" w:cs="Arial"/>
          <w:bCs/>
          <w:i/>
          <w:iCs/>
          <w:lang w:val="es-MX"/>
        </w:rPr>
        <w:t>máxima publicidad</w:t>
      </w:r>
      <w:r w:rsidRPr="004204E3">
        <w:rPr>
          <w:rFonts w:ascii="Century Gothic" w:hAnsi="Century Gothic" w:cs="Arial"/>
          <w:bCs/>
          <w:lang w:val="es-MX"/>
        </w:rPr>
        <w:t xml:space="preserve"> establece que “toda información en posesión, bajo control o custodia de un sujeto obligado es pública y no podrá ser reservada o limitada sino por disposición constitucional o legal”</w:t>
      </w:r>
      <w:r w:rsidRPr="004204E3">
        <w:rPr>
          <w:rFonts w:ascii="Century Gothic" w:hAnsi="Century Gothic" w:cs="Arial"/>
          <w:bCs/>
          <w:vertAlign w:val="superscript"/>
          <w:lang w:val="es-MX"/>
        </w:rPr>
        <w:footnoteReference w:id="5"/>
      </w:r>
      <w:r w:rsidRPr="004204E3">
        <w:rPr>
          <w:rFonts w:ascii="Century Gothic" w:hAnsi="Century Gothic" w:cs="Arial"/>
          <w:bCs/>
          <w:lang w:val="es-MX"/>
        </w:rPr>
        <w:t xml:space="preserve">. El </w:t>
      </w:r>
      <w:r w:rsidRPr="004204E3">
        <w:rPr>
          <w:rFonts w:ascii="Century Gothic" w:hAnsi="Century Gothic" w:cs="Arial"/>
          <w:bCs/>
          <w:i/>
          <w:iCs/>
          <w:lang w:val="es-MX"/>
        </w:rPr>
        <w:t>principio de transparencia</w:t>
      </w:r>
      <w:r w:rsidRPr="004204E3">
        <w:rPr>
          <w:rFonts w:ascii="Century Gothic" w:hAnsi="Century Gothic" w:cs="Arial"/>
          <w:bCs/>
          <w:lang w:val="es-MX"/>
        </w:rPr>
        <w:t xml:space="preserve"> en la información alude al deber de los sujetos de proporcionar y facilitar el acceso a la misma en los términos más amplios posibles, a través de los medios y procedimientos legales</w:t>
      </w:r>
      <w:r w:rsidRPr="004204E3">
        <w:rPr>
          <w:rFonts w:ascii="Century Gothic" w:hAnsi="Century Gothic" w:cs="Arial"/>
          <w:vertAlign w:val="superscript"/>
          <w:lang w:eastAsia="es-CO"/>
        </w:rPr>
        <w:footnoteReference w:id="6"/>
      </w:r>
      <w:r w:rsidRPr="004204E3">
        <w:rPr>
          <w:rFonts w:ascii="Century Gothic" w:hAnsi="Century Gothic" w:cs="Arial"/>
          <w:bCs/>
          <w:lang w:val="es-MX"/>
        </w:rPr>
        <w:t xml:space="preserve">. Y el </w:t>
      </w:r>
      <w:r w:rsidRPr="004204E3">
        <w:rPr>
          <w:rFonts w:ascii="Century Gothic" w:hAnsi="Century Gothic" w:cs="Arial"/>
          <w:bCs/>
          <w:i/>
          <w:iCs/>
          <w:lang w:val="es-MX"/>
        </w:rPr>
        <w:t>principio de buena fe</w:t>
      </w:r>
      <w:r w:rsidRPr="004204E3">
        <w:rPr>
          <w:rFonts w:ascii="Century Gothic" w:hAnsi="Century Gothic" w:cs="Arial"/>
          <w:bCs/>
          <w:lang w:val="es-MX"/>
        </w:rPr>
        <w:t xml:space="preserve"> hace referencia al deber de todo sujeto obligado de cumplir con las obligaciones derivadas del derecho de acceso a la información pública con motivación honesta, leal y desprovista de cualquier intención dolosa o culposa</w:t>
      </w:r>
      <w:r w:rsidRPr="004204E3">
        <w:rPr>
          <w:rFonts w:ascii="Century Gothic" w:hAnsi="Century Gothic" w:cs="Arial"/>
          <w:bCs/>
          <w:vertAlign w:val="superscript"/>
          <w:lang w:val="es-MX"/>
        </w:rPr>
        <w:footnoteReference w:id="7"/>
      </w:r>
      <w:r w:rsidRPr="004204E3">
        <w:rPr>
          <w:rFonts w:ascii="Century Gothic" w:hAnsi="Century Gothic" w:cs="Arial"/>
          <w:bCs/>
          <w:lang w:val="es-MX"/>
        </w:rPr>
        <w:t xml:space="preserve">. </w:t>
      </w:r>
    </w:p>
    <w:p w14:paraId="632DFBD3" w14:textId="77777777" w:rsidR="00977A67" w:rsidRPr="004204E3" w:rsidRDefault="00977A67" w:rsidP="00977A67">
      <w:pPr>
        <w:spacing w:after="120" w:line="276" w:lineRule="auto"/>
        <w:ind w:firstLine="709"/>
        <w:jc w:val="both"/>
        <w:rPr>
          <w:rFonts w:ascii="Century Gothic" w:hAnsi="Century Gothic" w:cs="Arial"/>
          <w:lang w:eastAsia="es-CO"/>
        </w:rPr>
      </w:pPr>
      <w:r w:rsidRPr="004204E3">
        <w:rPr>
          <w:rFonts w:ascii="Century Gothic" w:hAnsi="Century Gothic" w:cs="Arial"/>
          <w:bCs/>
          <w:lang w:val="es-MX"/>
        </w:rPr>
        <w:t xml:space="preserve">La citada Ley establece, </w:t>
      </w:r>
      <w:bookmarkStart w:id="3" w:name="_Hlk112225357"/>
      <w:r w:rsidRPr="004204E3">
        <w:rPr>
          <w:rFonts w:ascii="Century Gothic" w:hAnsi="Century Gothic" w:cs="Arial"/>
          <w:bCs/>
          <w:lang w:val="es-MX"/>
        </w:rPr>
        <w:t xml:space="preserve">en el literal e) del artículo 9, que los </w:t>
      </w:r>
      <w:r w:rsidRPr="004204E3">
        <w:rPr>
          <w:rFonts w:ascii="Century Gothic" w:hAnsi="Century Gothic" w:cs="Arial"/>
          <w:bCs/>
          <w:i/>
          <w:iCs/>
          <w:lang w:val="es-MX"/>
        </w:rPr>
        <w:t>sujetos obligados</w:t>
      </w:r>
      <w:r w:rsidRPr="004204E3">
        <w:rPr>
          <w:rFonts w:ascii="Century Gothic" w:hAnsi="Century Gothic" w:cs="Arial"/>
          <w:bCs/>
          <w:lang w:val="es-MX"/>
        </w:rPr>
        <w:t xml:space="preserve"> deben publicar la información relativa a su contratación</w:t>
      </w:r>
      <w:r w:rsidRPr="004204E3">
        <w:rPr>
          <w:rFonts w:ascii="Century Gothic" w:hAnsi="Century Gothic" w:cs="Arial"/>
          <w:vertAlign w:val="superscript"/>
          <w:lang w:eastAsia="es-CO"/>
        </w:rPr>
        <w:footnoteReference w:id="8"/>
      </w:r>
      <w:r w:rsidRPr="004204E3">
        <w:rPr>
          <w:rFonts w:ascii="Century Gothic" w:hAnsi="Century Gothic" w:cs="Arial"/>
          <w:bCs/>
          <w:lang w:val="es-MX"/>
        </w:rPr>
        <w:t xml:space="preserve">. El artículo 5 ibidem, al describir qué se entiende por sujetos obligados, consagra una lista cuyo propósito es incluir a cualquier entidad, órgano, organismo, o persona natural que desempeñe funciones públicas o administre recursos públicos. </w:t>
      </w:r>
      <w:r w:rsidRPr="004204E3">
        <w:rPr>
          <w:rFonts w:ascii="Century Gothic" w:hAnsi="Century Gothic" w:cs="Arial"/>
          <w:lang w:val="es-ES"/>
        </w:rPr>
        <w:t>Igualmente, establece que son sujetos obligados las empresas públicas, las empresas del Estado y las sociedades en las que el Estado tenga participación, sin que importe su monto</w:t>
      </w:r>
      <w:r w:rsidRPr="004204E3">
        <w:rPr>
          <w:rFonts w:ascii="Century Gothic" w:hAnsi="Century Gothic" w:cs="Arial"/>
          <w:vertAlign w:val="superscript"/>
          <w:lang w:eastAsia="es-CO"/>
        </w:rPr>
        <w:footnoteReference w:id="9"/>
      </w:r>
      <w:r w:rsidRPr="004204E3">
        <w:rPr>
          <w:rFonts w:ascii="Century Gothic" w:hAnsi="Century Gothic" w:cs="Arial"/>
          <w:lang w:val="es-ES"/>
        </w:rPr>
        <w:t>.</w:t>
      </w:r>
      <w:r w:rsidRPr="004204E3">
        <w:rPr>
          <w:rFonts w:ascii="Century Gothic" w:hAnsi="Century Gothic" w:cs="Arial"/>
          <w:lang w:eastAsia="es-CO"/>
        </w:rPr>
        <w:t xml:space="preserve"> 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bookmarkEnd w:id="3"/>
    <w:p w14:paraId="7622C90E" w14:textId="77777777" w:rsidR="00977A67" w:rsidRPr="004204E3" w:rsidRDefault="00977A67" w:rsidP="00977A67">
      <w:pPr>
        <w:spacing w:after="120" w:line="276" w:lineRule="auto"/>
        <w:ind w:firstLine="708"/>
        <w:jc w:val="both"/>
        <w:rPr>
          <w:rFonts w:ascii="Century Gothic" w:hAnsi="Century Gothic" w:cs="Arial"/>
          <w:bCs/>
          <w:lang w:val="es-MX"/>
        </w:rPr>
      </w:pPr>
      <w:r w:rsidRPr="004204E3">
        <w:rPr>
          <w:rFonts w:ascii="Century Gothic" w:hAnsi="Century Gothic" w:cs="Arial"/>
          <w:bCs/>
          <w:lang w:val="es-MX"/>
        </w:rPr>
        <w:t>Esta obligación fue desarrollada por el artículo 2.1.1.2.1.7. del Decreto Único Reglamentario 1081 de 2015</w:t>
      </w:r>
      <w:r w:rsidRPr="004204E3">
        <w:rPr>
          <w:rFonts w:ascii="Century Gothic" w:hAnsi="Century Gothic" w:cs="Arial"/>
          <w:bCs/>
          <w:vertAlign w:val="superscript"/>
          <w:lang w:val="es-MX"/>
        </w:rPr>
        <w:footnoteReference w:id="10"/>
      </w:r>
      <w:r w:rsidRPr="004204E3">
        <w:rPr>
          <w:rFonts w:ascii="Century Gothic" w:hAnsi="Century Gothic" w:cs="Arial"/>
          <w:bCs/>
          <w:lang w:val="es-MX"/>
        </w:rPr>
        <w:t>, el cual dispuso que la publicación de la información contractual de los sujetos obligados, que contratan con cargo a recursos públicos, debe hacerse en el Sistema Electrónico para la Contratación Pública ─</w:t>
      </w:r>
      <w:r w:rsidRPr="004204E3">
        <w:rPr>
          <w:rFonts w:ascii="Century Gothic" w:hAnsi="Century Gothic" w:cs="Arial"/>
          <w:bCs/>
          <w:lang w:val="es-MX"/>
        </w:rPr>
        <w:softHyphen/>
        <w:t xml:space="preserve"> </w:t>
      </w:r>
      <w:r w:rsidRPr="004204E3">
        <w:rPr>
          <w:rFonts w:ascii="Century Gothic" w:hAnsi="Century Gothic" w:cs="Arial"/>
          <w:bCs/>
          <w:lang w:val="es-MX"/>
        </w:rPr>
        <w:softHyphen/>
        <w:t>SECOP–.</w:t>
      </w:r>
    </w:p>
    <w:p w14:paraId="2F882482" w14:textId="77777777" w:rsidR="00977A67" w:rsidRPr="004204E3" w:rsidRDefault="00977A67" w:rsidP="00977A67">
      <w:pPr>
        <w:spacing w:after="0" w:line="276" w:lineRule="auto"/>
        <w:ind w:firstLine="709"/>
        <w:contextualSpacing/>
        <w:jc w:val="both"/>
        <w:rPr>
          <w:rFonts w:ascii="Century Gothic" w:hAnsi="Century Gothic" w:cs="Arial"/>
          <w:bCs/>
          <w:lang w:val="es-MX"/>
        </w:rPr>
      </w:pPr>
      <w:r w:rsidRPr="004204E3">
        <w:rPr>
          <w:rFonts w:ascii="Century Gothic" w:hAnsi="Century Gothic" w:cs="Arial"/>
          <w:bCs/>
          <w:lang w:val="es-MX"/>
        </w:rPr>
        <w:t xml:space="preserve">Las anteriores disposiciones normativas fueron complementadas con la expedición de la </w:t>
      </w:r>
      <w:bookmarkStart w:id="4" w:name="_Hlk109111930"/>
      <w:r w:rsidRPr="004204E3">
        <w:rPr>
          <w:rFonts w:ascii="Century Gothic" w:hAnsi="Century Gothic" w:cs="Arial"/>
          <w:bCs/>
          <w:lang w:val="es-MX"/>
        </w:rPr>
        <w:t xml:space="preserve">Ley 2195 de 2022, “Por medio de la cual se adoptan medidas en materia de transparencia, prevención y lucha contra la corrupción”. Según lo dispone su artículo 1, esta Ley “[…]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 el artículo 53, mediante el cual se adiciona el artículo 13 de la Ley 1150 de 2007. La referida disposición les asigna la obligación a las entidades estatales que por disposición legal cuenten con un régimen contractual excepcional al del EGCAP de publicar los documentos relacionados con su actividad contractual en el Sistema Electrónico para la Contratación Pública –SECOP II- o la plataforma transaccional que haga sus veces. </w:t>
      </w:r>
      <w:bookmarkEnd w:id="4"/>
      <w:r w:rsidRPr="004204E3">
        <w:rPr>
          <w:rFonts w:ascii="Century Gothic" w:hAnsi="Century Gothic" w:cs="Arial"/>
          <w:bCs/>
          <w:lang w:val="es-MX"/>
        </w:rPr>
        <w:t>Al respecto, la norma citada, de manera expresa, señala:</w:t>
      </w:r>
    </w:p>
    <w:p w14:paraId="14ED63F9" w14:textId="77777777" w:rsidR="00977A67" w:rsidRPr="004204E3" w:rsidRDefault="00977A67" w:rsidP="00977A67">
      <w:pPr>
        <w:spacing w:after="0" w:line="240" w:lineRule="auto"/>
        <w:ind w:firstLine="301"/>
        <w:contextualSpacing/>
        <w:rPr>
          <w:rFonts w:ascii="Century Gothic" w:hAnsi="Century Gothic" w:cs="Arial"/>
          <w:bCs/>
          <w:lang w:val="es-MX"/>
        </w:rPr>
      </w:pPr>
    </w:p>
    <w:p w14:paraId="72210BA4" w14:textId="77777777" w:rsidR="00977A67" w:rsidRPr="004204E3" w:rsidRDefault="00977A67" w:rsidP="00977A67">
      <w:pPr>
        <w:spacing w:after="0" w:line="240" w:lineRule="auto"/>
        <w:ind w:left="709" w:right="709"/>
        <w:contextualSpacing/>
        <w:jc w:val="both"/>
        <w:rPr>
          <w:rFonts w:ascii="Century Gothic" w:hAnsi="Century Gothic" w:cs="Arial"/>
          <w:bCs/>
          <w:sz w:val="21"/>
          <w:szCs w:val="21"/>
          <w:lang w:val="es-MX"/>
        </w:rPr>
      </w:pPr>
      <w:r w:rsidRPr="004204E3">
        <w:rPr>
          <w:rFonts w:ascii="Century Gothic" w:hAnsi="Century Gothic" w:cs="Arial"/>
          <w:bCs/>
          <w:sz w:val="21"/>
          <w:szCs w:val="21"/>
          <w:lang w:val="es-MX"/>
        </w:rPr>
        <w:t>“Adiciónese los siguientes incisos al artículo 13 de la Ley 1150 de 2007, el cual quedará así:</w:t>
      </w:r>
    </w:p>
    <w:p w14:paraId="78C877A7" w14:textId="77777777" w:rsidR="00977A67" w:rsidRPr="004204E3" w:rsidRDefault="00977A67" w:rsidP="00977A67">
      <w:pPr>
        <w:spacing w:after="0" w:line="240" w:lineRule="auto"/>
        <w:ind w:left="709" w:right="709"/>
        <w:contextualSpacing/>
        <w:jc w:val="both"/>
        <w:rPr>
          <w:rFonts w:ascii="Century Gothic" w:hAnsi="Century Gothic" w:cs="Arial"/>
          <w:bCs/>
          <w:sz w:val="21"/>
          <w:szCs w:val="21"/>
          <w:lang w:val="es-MX"/>
        </w:rPr>
      </w:pPr>
    </w:p>
    <w:p w14:paraId="3DA34338" w14:textId="77777777" w:rsidR="00977A67" w:rsidRPr="004204E3" w:rsidRDefault="00977A67" w:rsidP="00977A67">
      <w:pPr>
        <w:spacing w:after="0" w:line="240" w:lineRule="auto"/>
        <w:ind w:left="709" w:right="709"/>
        <w:contextualSpacing/>
        <w:jc w:val="both"/>
        <w:rPr>
          <w:rFonts w:ascii="Century Gothic" w:hAnsi="Century Gothic" w:cs="Arial"/>
          <w:bCs/>
          <w:sz w:val="21"/>
          <w:szCs w:val="21"/>
          <w:lang w:val="es-MX"/>
        </w:rPr>
      </w:pPr>
      <w:r w:rsidRPr="004204E3">
        <w:rPr>
          <w:rFonts w:ascii="Century Gothic" w:hAnsi="Century Gothic" w:cs="Arial"/>
          <w:bCs/>
          <w:sz w:val="21"/>
          <w:szCs w:val="21"/>
          <w:lang w:val="es-MX"/>
        </w:rPr>
        <w:t>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3B56976E" w14:textId="77777777" w:rsidR="00977A67" w:rsidRPr="004204E3" w:rsidRDefault="00977A67" w:rsidP="00977A67">
      <w:pPr>
        <w:spacing w:after="0" w:line="240" w:lineRule="auto"/>
        <w:ind w:left="709" w:right="709"/>
        <w:contextualSpacing/>
        <w:jc w:val="both"/>
        <w:rPr>
          <w:rFonts w:ascii="Century Gothic" w:hAnsi="Century Gothic" w:cs="Arial"/>
          <w:bCs/>
          <w:sz w:val="21"/>
          <w:szCs w:val="21"/>
          <w:lang w:val="es-MX"/>
        </w:rPr>
      </w:pPr>
    </w:p>
    <w:p w14:paraId="03FC39DF" w14:textId="77777777" w:rsidR="00977A67" w:rsidRPr="004204E3" w:rsidRDefault="00977A67" w:rsidP="00977A67">
      <w:pPr>
        <w:spacing w:after="0" w:line="240" w:lineRule="auto"/>
        <w:ind w:left="709" w:right="709"/>
        <w:contextualSpacing/>
        <w:jc w:val="both"/>
        <w:rPr>
          <w:rFonts w:ascii="Century Gothic" w:hAnsi="Century Gothic" w:cs="Arial"/>
          <w:bCs/>
          <w:i/>
          <w:iCs/>
          <w:sz w:val="21"/>
          <w:szCs w:val="21"/>
          <w:lang w:val="es-MX"/>
        </w:rPr>
      </w:pPr>
      <w:r w:rsidRPr="004204E3">
        <w:rPr>
          <w:rFonts w:ascii="Century Gothic" w:hAnsi="Century Gothic" w:cs="Arial"/>
          <w:bCs/>
          <w:i/>
          <w:iCs/>
          <w:sz w:val="21"/>
          <w:szCs w:val="21"/>
          <w:lang w:val="es-MX"/>
        </w:rPr>
        <w:t>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postcontractual.</w:t>
      </w:r>
    </w:p>
    <w:p w14:paraId="7E44CA7E" w14:textId="77777777" w:rsidR="00977A67" w:rsidRPr="004204E3" w:rsidRDefault="00977A67" w:rsidP="00977A67">
      <w:pPr>
        <w:spacing w:after="0" w:line="240" w:lineRule="auto"/>
        <w:ind w:left="709" w:right="709"/>
        <w:contextualSpacing/>
        <w:jc w:val="both"/>
        <w:rPr>
          <w:rFonts w:ascii="Century Gothic" w:hAnsi="Century Gothic" w:cs="Arial"/>
          <w:bCs/>
          <w:sz w:val="21"/>
          <w:szCs w:val="21"/>
          <w:lang w:val="es-MX"/>
        </w:rPr>
      </w:pPr>
    </w:p>
    <w:p w14:paraId="3019439A" w14:textId="6B21A587" w:rsidR="00977A67" w:rsidRPr="004204E3" w:rsidRDefault="00977A67" w:rsidP="00977A67">
      <w:pPr>
        <w:spacing w:after="0" w:line="240" w:lineRule="auto"/>
        <w:ind w:left="709" w:right="709"/>
        <w:contextualSpacing/>
        <w:jc w:val="both"/>
        <w:rPr>
          <w:rFonts w:ascii="Century Gothic" w:hAnsi="Century Gothic" w:cs="Arial"/>
          <w:bCs/>
          <w:sz w:val="21"/>
          <w:szCs w:val="21"/>
          <w:lang w:val="es-MX"/>
        </w:rPr>
      </w:pPr>
      <w:r w:rsidRPr="004204E3">
        <w:rPr>
          <w:rFonts w:ascii="Century Gothic" w:hAnsi="Century Gothic" w:cs="Arial"/>
          <w:bCs/>
          <w:sz w:val="21"/>
          <w:szCs w:val="21"/>
          <w:lang w:val="es-MX"/>
        </w:rPr>
        <w:t xml:space="preserve">A partir de la </w:t>
      </w:r>
      <w:r w:rsidR="002B60FD" w:rsidRPr="004204E3">
        <w:rPr>
          <w:rFonts w:ascii="Century Gothic" w:hAnsi="Century Gothic" w:cs="Arial"/>
          <w:bCs/>
          <w:sz w:val="21"/>
          <w:szCs w:val="21"/>
          <w:lang w:val="es-MX"/>
        </w:rPr>
        <w:t>entrada en vigor</w:t>
      </w:r>
      <w:r w:rsidRPr="004204E3">
        <w:rPr>
          <w:rFonts w:ascii="Century Gothic" w:hAnsi="Century Gothic" w:cs="Arial"/>
          <w:bCs/>
          <w:sz w:val="21"/>
          <w:szCs w:val="21"/>
          <w:lang w:val="es-MX"/>
        </w:rPr>
        <w:t xml:space="preserve"> de la presente Ley, se establecerá un periodo de transición de seis (6) meses, para que las entidades den cumplimiento efectivo a lo aquí establecido”. [Énfasis fuera de texto].</w:t>
      </w:r>
    </w:p>
    <w:p w14:paraId="5443404A" w14:textId="77777777" w:rsidR="00977A67" w:rsidRPr="004204E3" w:rsidRDefault="00977A67" w:rsidP="00977A67">
      <w:pPr>
        <w:spacing w:after="0" w:line="276" w:lineRule="auto"/>
        <w:ind w:firstLine="709"/>
        <w:contextualSpacing/>
        <w:jc w:val="both"/>
        <w:rPr>
          <w:rFonts w:ascii="Century Gothic" w:hAnsi="Century Gothic" w:cs="Arial"/>
          <w:bCs/>
          <w:lang w:val="es-MX"/>
        </w:rPr>
      </w:pPr>
    </w:p>
    <w:p w14:paraId="33062C74" w14:textId="77777777" w:rsidR="00977A67" w:rsidRPr="004204E3" w:rsidRDefault="00977A67" w:rsidP="08937EA5">
      <w:pPr>
        <w:spacing w:after="120" w:line="276" w:lineRule="auto"/>
        <w:ind w:firstLine="709"/>
        <w:jc w:val="both"/>
        <w:rPr>
          <w:rFonts w:ascii="Century Gothic" w:hAnsi="Century Gothic" w:cs="Arial"/>
          <w:lang w:val="es-ES"/>
        </w:rPr>
      </w:pPr>
      <w:r w:rsidRPr="08937EA5">
        <w:rPr>
          <w:rFonts w:ascii="Century Gothic" w:hAnsi="Century Gothic" w:cs="Arial"/>
          <w:lang w:val="es-ES"/>
        </w:rPr>
        <w:t xml:space="preserve">Como puede observarse, aunque la publicación en el SECOP de los documentos relacionados con la actividad contractual ya era obligatoria para las entidades que cuentan con un régimen especial, el artículo 53 de la Ley 2195 de 2022 –que modifica el artículo 13 de la Ley 1150 de 2007– establece con mayor precisión esta obligación y la complementa con la exigencia de emplear el SECOP II. En otras palabras, a través del artículo 53 de la Ley 2195 de 2022, el Congreso de la República dispone que las entidades estatales exceptuadas del EGCAP deben publicar en el SECOP II –es decir en la plataforma transaccional vigente– su actividad contractual. </w:t>
      </w:r>
    </w:p>
    <w:p w14:paraId="0EE42241" w14:textId="77777777" w:rsidR="00977A67" w:rsidRPr="004204E3" w:rsidRDefault="00977A67" w:rsidP="00977A67">
      <w:pPr>
        <w:spacing w:after="120" w:line="276" w:lineRule="auto"/>
        <w:ind w:firstLine="709"/>
        <w:jc w:val="both"/>
        <w:rPr>
          <w:rFonts w:ascii="Century Gothic" w:hAnsi="Century Gothic" w:cs="Arial"/>
          <w:bCs/>
          <w:lang w:val="es-MX"/>
        </w:rPr>
      </w:pPr>
      <w:r w:rsidRPr="004204E3">
        <w:rPr>
          <w:rFonts w:ascii="Century Gothic" w:hAnsi="Century Gothic" w:cs="Arial"/>
          <w:bCs/>
          <w:lang w:val="es-MX"/>
        </w:rPr>
        <w:t>Ahora bien, cabe destacar que cuando la norma trascrita hace referencia a que el mencionado deber de publicidad debe cumplirse en el SECOP II o “la plataforma transaccional que haga sus veces”, esta expresión debe interpretarse bajo el entendido de que si bien el SECOP II es la plataforma oficial que actualmente se utiliza como mecanismo transaccional, en caso de que en el futuro dicha plataforma sea remplazada por otra que tenga una denominación distinta, las entidades que tienen un régimen exceptuado deben continuar publicando la documentación de su actividad contractual en la nueva plataforma transaccional que para el efecto se cree. En ese sentido, la locución “la plataforma que haga sus veces” no puede interpretarse como una autorización para que las entidades obligadas en virtud del artículo 53 de la Ley 2195 de 2022 empleen sus páginas web o sus propios portales electrónicos para cumplir con el deber de publicidad que les asiste. Con esto se logra que la ciudadanía pueda encontrar en un mismo sistema la gestión de la actividad contractual del Estado, garantizándose en mayor grado la transparencia y el acceso a la documentación pública.</w:t>
      </w:r>
    </w:p>
    <w:p w14:paraId="6102CF5C" w14:textId="77777777" w:rsidR="00977A67" w:rsidRPr="004204E3" w:rsidRDefault="00977A67" w:rsidP="00977A67">
      <w:pPr>
        <w:spacing w:after="120" w:line="276" w:lineRule="auto"/>
        <w:ind w:firstLine="709"/>
        <w:jc w:val="both"/>
        <w:rPr>
          <w:rFonts w:ascii="Century Gothic" w:hAnsi="Century Gothic" w:cs="Arial"/>
          <w:bCs/>
          <w:lang w:val="es-MX"/>
        </w:rPr>
      </w:pPr>
      <w:bookmarkStart w:id="5" w:name="_Hlk109111956"/>
      <w:r w:rsidRPr="004204E3">
        <w:rPr>
          <w:rFonts w:ascii="Century Gothic" w:hAnsi="Century Gothic" w:cs="Arial"/>
          <w:bCs/>
          <w:lang w:val="es-MX"/>
        </w:rPr>
        <w:t xml:space="preserve">En cuanto a los documentos que deben ser publicados en el SECOP II a efectos de dar cumplimiento al mandato consagrado en el artículo 53 de la Ley 2195 de 2022, es preciso advertir que la disposición hace referencia a los documentos relacionados con su </w:t>
      </w:r>
      <w:r w:rsidRPr="004204E3">
        <w:rPr>
          <w:rFonts w:ascii="Century Gothic" w:hAnsi="Century Gothic" w:cs="Arial"/>
          <w:bCs/>
          <w:i/>
          <w:iCs/>
          <w:lang w:val="es-MX"/>
        </w:rPr>
        <w:t>actividad contractual</w:t>
      </w:r>
      <w:r w:rsidRPr="004204E3">
        <w:rPr>
          <w:rFonts w:ascii="Century Gothic" w:hAnsi="Century Gothic" w:cs="Arial"/>
          <w:bCs/>
          <w:lang w:val="es-MX"/>
        </w:rPr>
        <w:t xml:space="preserve">, la cual define como “[…] los documentos, contratos, actos e información generada por oferentes, contratista, contratante, supervisor o interventor, tanto en la etapa precontractual, como en la contractual y la postcontractual”. En ese sentido, el artículo 53 de la Ley 2195 de 2022 establece el deber de publicar toda aquella información relacionada con el respectivo contrato, sin incluir ninguna excepción relacionada con la naturaleza u objeto contractual. Por lo tanto, </w:t>
      </w:r>
      <w:bookmarkEnd w:id="5"/>
      <w:r w:rsidRPr="004204E3">
        <w:rPr>
          <w:rFonts w:ascii="Century Gothic" w:hAnsi="Century Gothic" w:cs="Arial"/>
          <w:bCs/>
          <w:lang w:val="es-MX"/>
        </w:rPr>
        <w:t xml:space="preserve">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w:t>
      </w:r>
    </w:p>
    <w:p w14:paraId="43D9DBA8" w14:textId="77777777" w:rsidR="00977A67" w:rsidRPr="004204E3" w:rsidRDefault="00977A67" w:rsidP="00977A67">
      <w:pPr>
        <w:spacing w:after="120" w:line="276" w:lineRule="auto"/>
        <w:ind w:firstLine="709"/>
        <w:jc w:val="both"/>
        <w:rPr>
          <w:rFonts w:ascii="Century Gothic" w:hAnsi="Century Gothic" w:cs="Arial"/>
          <w:bCs/>
          <w:lang w:val="es-MX"/>
        </w:rPr>
      </w:pPr>
      <w:r w:rsidRPr="004204E3">
        <w:rPr>
          <w:rFonts w:ascii="Century Gothic" w:hAnsi="Century Gothic" w:cs="Arial"/>
          <w:bCs/>
          <w:lang w:val="es-MX"/>
        </w:rPr>
        <w:t>Sin perjuicio de lo anterior, vale la pena aclarar que el cumplimiento del deber de publicación de la documentación contractual debe armonizarse con las normas aplicables al tipo de información que estas contienen</w:t>
      </w:r>
      <w:r w:rsidRPr="004204E3">
        <w:rPr>
          <w:rFonts w:ascii="Century Gothic" w:hAnsi="Century Gothic" w:cs="Arial"/>
          <w:bCs/>
          <w:vertAlign w:val="superscript"/>
          <w:lang w:val="es-MX"/>
        </w:rPr>
        <w:footnoteReference w:id="11"/>
      </w:r>
      <w:r w:rsidRPr="004204E3">
        <w:rPr>
          <w:rFonts w:ascii="Century Gothic" w:hAnsi="Century Gothic" w:cs="Arial"/>
          <w:bCs/>
          <w:lang w:val="es-MX"/>
        </w:rPr>
        <w:t xml:space="preserve">. Lo anterior significa que, respecto de datos sensibles, información sometida a reserva o de la cual proceda un tratamiento especial que impida su publicidad, las entidades deberán proceder de conformidad con el tratamiento que impongan tales normas. </w:t>
      </w:r>
    </w:p>
    <w:p w14:paraId="17CC90B4" w14:textId="77777777" w:rsidR="00977A67" w:rsidRPr="004204E3" w:rsidRDefault="00977A67" w:rsidP="00977A67">
      <w:pPr>
        <w:spacing w:after="120" w:line="276" w:lineRule="auto"/>
        <w:ind w:firstLine="709"/>
        <w:jc w:val="both"/>
        <w:rPr>
          <w:rFonts w:ascii="Century Gothic" w:hAnsi="Century Gothic" w:cs="Arial"/>
          <w:bCs/>
          <w:lang w:val="es-MX"/>
        </w:rPr>
      </w:pPr>
      <w:bookmarkStart w:id="6" w:name="_Hlk109111976"/>
      <w:r w:rsidRPr="004204E3">
        <w:rPr>
          <w:rFonts w:ascii="Century Gothic" w:hAnsi="Century Gothic" w:cs="Arial"/>
          <w:bCs/>
          <w:lang w:val="es-MX"/>
        </w:rPr>
        <w:t>Por otro lado, el inciso final del artículo 53 dispone que “A partir de la entrada en vigencia de la presente Ley, se establecerá un periodo de transición de seis (6) meses, para que las entidades den cumplimiento efectivo a lo aquí establecido”. Es decir, que se trataba un período concedido por el Legislador a las entidades con régimen especial de contratación para adelantar las gestiones administrativas, técnicas y jurídicas pertinentes, a fin de cumplir lo establecido en el artículo citado. Este período de transición estaba comprendido entre el 18 de enero y el 18 de julio de 2022.</w:t>
      </w:r>
      <w:bookmarkEnd w:id="6"/>
      <w:r w:rsidRPr="004204E3">
        <w:rPr>
          <w:rFonts w:ascii="Century Gothic" w:hAnsi="Century Gothic" w:cs="Arial"/>
          <w:bCs/>
          <w:lang w:val="es-MX"/>
        </w:rPr>
        <w:t xml:space="preserve"> Si bien la norma materia de estudio no hace referencia a los contratos suscritos con anterioridad a su entrada en vigencia, de acuerdo con el artículo 38 de la Ley 153 de 1887, el cual dispone que en todo contrato se entenderán incorporadas las leyes vigentes al tiempo de su celebración, la obligación para las entidades estatales exceptuadas de publicar los documentos relacionados con su actividad contractual en el SECOP II aplica para los contratos suscritos con posterioridad al término dispuesto en el artículo 53 de la Ley 2195 de 2022, esto es, el 18 de julio de 2022</w:t>
      </w:r>
      <w:r w:rsidRPr="004204E3">
        <w:rPr>
          <w:rFonts w:ascii="Century Gothic" w:hAnsi="Century Gothic" w:cs="Arial"/>
          <w:bCs/>
          <w:vertAlign w:val="superscript"/>
          <w:lang w:val="es-MX"/>
        </w:rPr>
        <w:footnoteReference w:id="12"/>
      </w:r>
      <w:r w:rsidRPr="004204E3">
        <w:rPr>
          <w:rFonts w:ascii="Century Gothic" w:hAnsi="Century Gothic" w:cs="Arial"/>
          <w:bCs/>
          <w:lang w:val="es-MX"/>
        </w:rPr>
        <w:t xml:space="preserve">. </w:t>
      </w:r>
    </w:p>
    <w:p w14:paraId="1DD8069C" w14:textId="77777777" w:rsidR="00977A67" w:rsidRPr="004204E3" w:rsidRDefault="00977A67" w:rsidP="00977A67">
      <w:pPr>
        <w:spacing w:after="120" w:line="276" w:lineRule="auto"/>
        <w:ind w:firstLine="709"/>
        <w:jc w:val="both"/>
        <w:rPr>
          <w:rFonts w:ascii="Century Gothic" w:hAnsi="Century Gothic" w:cs="Arial"/>
          <w:bCs/>
          <w:lang w:val="es-MX"/>
        </w:rPr>
      </w:pPr>
      <w:r w:rsidRPr="004204E3">
        <w:rPr>
          <w:rFonts w:ascii="Century Gothic" w:hAnsi="Century Gothic" w:cs="Arial"/>
          <w:bCs/>
          <w:lang w:val="es-MX"/>
        </w:rPr>
        <w:t>Teniendo en cuenta el marco normativo antes reseñado, la Circular Externa Única expedida por la Agencia Nacional de Contratación Pública - Colombia Compra Eficiente estableció que todas las entidades del Estado tienen el deber de publicar oportunamente la información oficial de la contratación en el SECOP, sin distinción de su régimen jurídico, naturaleza jurídica o la pertenencia a una u otra rama del poder público</w:t>
      </w:r>
      <w:r w:rsidRPr="004204E3">
        <w:rPr>
          <w:rFonts w:ascii="Century Gothic" w:hAnsi="Century Gothic" w:cs="Arial"/>
          <w:bCs/>
          <w:vertAlign w:val="superscript"/>
          <w:lang w:val="es-MX"/>
        </w:rPr>
        <w:footnoteReference w:id="13"/>
      </w:r>
      <w:r w:rsidRPr="004204E3">
        <w:rPr>
          <w:rFonts w:ascii="Century Gothic" w:hAnsi="Century Gothic" w:cs="Arial"/>
          <w:bCs/>
          <w:lang w:val="es-MX"/>
        </w:rPr>
        <w:t xml:space="preserve">. </w:t>
      </w:r>
    </w:p>
    <w:p w14:paraId="03825183" w14:textId="77777777" w:rsidR="00977A67" w:rsidRPr="004204E3" w:rsidRDefault="00977A67" w:rsidP="00977A67">
      <w:pPr>
        <w:spacing w:after="120" w:line="276" w:lineRule="auto"/>
        <w:ind w:firstLine="709"/>
        <w:jc w:val="both"/>
        <w:rPr>
          <w:rFonts w:ascii="Century Gothic" w:hAnsi="Century Gothic" w:cs="Arial"/>
          <w:bCs/>
          <w:lang w:val="es-MX"/>
        </w:rPr>
      </w:pPr>
      <w:r w:rsidRPr="004204E3">
        <w:rPr>
          <w:rFonts w:ascii="Century Gothic" w:hAnsi="Century Gothic" w:cs="Arial"/>
          <w:bCs/>
          <w:lang w:val="es-MX"/>
        </w:rPr>
        <w:t xml:space="preserve">De lo expuesto en los considerandos de este concepto, de cara a la consulta planteada acerca de la obligación de publicación de las empresas de servicios públicos, se concluye que estas empresas, independientemente de que el régimen contractual que les aplica sea el derecho privado, deben publicar su actividad en el SECOP II o la plataforma transaccional que haga sus veces, de acuerdo con lo establecido en el artículo 53 de la Ley 2195 de 2022. La disposición citada no consagra ninguna excepción respecto a su aplicación, por lo cual todas las entidades que no se encuentran sometidas al EGCAP deberán cumplir con el deber de publicación analizado en el presente concepto, sin que sea posible modular sus efectos.   </w:t>
      </w:r>
    </w:p>
    <w:p w14:paraId="397DC2F7" w14:textId="77777777" w:rsidR="00977A67" w:rsidRPr="004204E3" w:rsidRDefault="00977A67" w:rsidP="00977A67">
      <w:pPr>
        <w:spacing w:before="120" w:after="0" w:line="276" w:lineRule="auto"/>
        <w:ind w:firstLine="709"/>
        <w:jc w:val="both"/>
        <w:rPr>
          <w:rFonts w:ascii="Century Gothic" w:hAnsi="Century Gothic" w:cs="Arial"/>
          <w:bCs/>
          <w:lang w:val="es-MX"/>
        </w:rPr>
      </w:pPr>
      <w:r w:rsidRPr="004204E3">
        <w:rPr>
          <w:rFonts w:ascii="Century Gothic" w:hAnsi="Century Gothic" w:cs="Arial"/>
          <w:bCs/>
          <w:lang w:val="es-MX"/>
        </w:rPr>
        <w:t xml:space="preserve">La anterior conclusión se refuerza si se tiene en cuenta que, de conformidad con el literal e) del artículo 9 y el literal g) del artículo 11 de la Ley 1712 de 2014, desarrollados en el artículo 7 del Decreto 103 de 2015 –compilado en el artículo 2.1.1.2.1.7. del Decreto 1081 de 2015–a los cuales se ha hecho mención en el presente concepto, las entidades estatales –incluidas las que se rigen generalmente por el derecho privado en materia contractual–, al ser </w:t>
      </w:r>
      <w:r w:rsidRPr="004204E3">
        <w:rPr>
          <w:rFonts w:ascii="Century Gothic" w:hAnsi="Century Gothic" w:cs="Arial"/>
          <w:bCs/>
          <w:i/>
          <w:iCs/>
          <w:lang w:val="es-MX"/>
        </w:rPr>
        <w:t>sujetos obligados</w:t>
      </w:r>
      <w:r w:rsidRPr="004204E3">
        <w:rPr>
          <w:rFonts w:ascii="Century Gothic" w:hAnsi="Century Gothic" w:cs="Arial"/>
          <w:bCs/>
          <w:lang w:val="es-MX"/>
        </w:rPr>
        <w:t xml:space="preserve"> a garantizar el derecho de acceso a la información y a los documentos públicos, deben publicar en el SECOP los documentos relacionados con su gestión contractual.</w:t>
      </w:r>
    </w:p>
    <w:p w14:paraId="28AD564C" w14:textId="77777777" w:rsidR="00977A67" w:rsidRPr="004204E3" w:rsidRDefault="00977A67" w:rsidP="00977A67">
      <w:pPr>
        <w:spacing w:after="0" w:line="276" w:lineRule="auto"/>
        <w:contextualSpacing/>
        <w:jc w:val="both"/>
        <w:rPr>
          <w:rFonts w:ascii="Century Gothic" w:hAnsi="Century Gothic" w:cs="Arial"/>
          <w:b/>
          <w:lang w:val="es-MX"/>
        </w:rPr>
      </w:pPr>
    </w:p>
    <w:p w14:paraId="1CD46FE9" w14:textId="4078D409" w:rsidR="00977A67" w:rsidRPr="004204E3" w:rsidRDefault="00977A67" w:rsidP="00977A67">
      <w:pPr>
        <w:spacing w:after="0" w:line="276" w:lineRule="auto"/>
        <w:contextualSpacing/>
        <w:jc w:val="both"/>
        <w:rPr>
          <w:rFonts w:ascii="Century Gothic" w:hAnsi="Century Gothic" w:cs="Arial"/>
          <w:b/>
          <w:bCs/>
          <w:lang w:val="es-ES_tradnl" w:eastAsia="es-ES_tradnl"/>
        </w:rPr>
      </w:pPr>
      <w:r w:rsidRPr="004204E3">
        <w:rPr>
          <w:rFonts w:ascii="Century Gothic" w:hAnsi="Century Gothic" w:cs="Arial"/>
          <w:b/>
          <w:lang w:val="es-MX"/>
        </w:rPr>
        <w:t>2.</w:t>
      </w:r>
      <w:r w:rsidR="00CC0BA1">
        <w:rPr>
          <w:rFonts w:ascii="Century Gothic" w:hAnsi="Century Gothic" w:cs="Arial"/>
          <w:b/>
          <w:lang w:val="es-MX"/>
        </w:rPr>
        <w:t>2</w:t>
      </w:r>
      <w:r w:rsidRPr="004204E3">
        <w:rPr>
          <w:rFonts w:ascii="Century Gothic" w:hAnsi="Century Gothic" w:cs="Arial"/>
          <w:b/>
          <w:lang w:val="es-MX"/>
        </w:rPr>
        <w:t xml:space="preserve">. </w:t>
      </w:r>
      <w:r w:rsidRPr="004204E3">
        <w:rPr>
          <w:rFonts w:ascii="Century Gothic" w:hAnsi="Century Gothic" w:cs="Arial"/>
          <w:b/>
          <w:bCs/>
          <w:lang w:val="es-ES_tradnl" w:eastAsia="es-ES_tradnl"/>
        </w:rPr>
        <w:t>Alcance del deber de las entidades con regímenes especiales de publicar en el SECOP II la información concerniente a su actividad contractual</w:t>
      </w:r>
    </w:p>
    <w:p w14:paraId="1CD6105E" w14:textId="77777777" w:rsidR="00977A67" w:rsidRPr="004204E3" w:rsidRDefault="00977A67" w:rsidP="00977A67">
      <w:pPr>
        <w:spacing w:after="0" w:line="276" w:lineRule="auto"/>
        <w:contextualSpacing/>
        <w:jc w:val="both"/>
        <w:rPr>
          <w:rFonts w:ascii="Century Gothic" w:hAnsi="Century Gothic" w:cs="Arial"/>
          <w:b/>
          <w:bCs/>
          <w:lang w:val="es-ES_tradnl" w:eastAsia="es-ES_tradnl"/>
        </w:rPr>
      </w:pPr>
    </w:p>
    <w:p w14:paraId="5B3EAE01" w14:textId="77777777" w:rsidR="00977A67" w:rsidRPr="004204E3" w:rsidRDefault="00977A67" w:rsidP="08937EA5">
      <w:pPr>
        <w:spacing w:after="120" w:line="276" w:lineRule="auto"/>
        <w:jc w:val="both"/>
        <w:rPr>
          <w:rFonts w:ascii="Century Gothic" w:hAnsi="Century Gothic" w:cs="Arial"/>
          <w:lang w:val="es-ES" w:eastAsia="es-ES"/>
        </w:rPr>
      </w:pPr>
      <w:r w:rsidRPr="08937EA5">
        <w:rPr>
          <w:rFonts w:ascii="Century Gothic" w:hAnsi="Century Gothic" w:cs="Arial"/>
          <w:lang w:val="es-ES" w:eastAsia="es-ES"/>
        </w:rPr>
        <w:t xml:space="preserve">Una vez explicada la obligación que les asiste a las entidades con regímenes exceptuados de publicar en el SECOP II lo concerniente a su actividad contractual y, teniendo en cuenta la consulta planteada, debe analizarse el alcance de esta obligación para determinar si esta aplica a toda la actividad contractual de este tipo de entidades. </w:t>
      </w:r>
    </w:p>
    <w:p w14:paraId="0EA63DA0" w14:textId="77777777" w:rsidR="00977A67" w:rsidRPr="004204E3" w:rsidRDefault="00977A67" w:rsidP="00977A67">
      <w:pPr>
        <w:spacing w:after="120" w:line="276" w:lineRule="auto"/>
        <w:ind w:firstLine="708"/>
        <w:jc w:val="both"/>
        <w:rPr>
          <w:rFonts w:ascii="Century Gothic" w:hAnsi="Century Gothic" w:cs="Arial"/>
          <w:lang w:val="es-ES_tradnl" w:eastAsia="es-ES_tradnl"/>
        </w:rPr>
      </w:pPr>
      <w:r w:rsidRPr="004204E3">
        <w:rPr>
          <w:rFonts w:ascii="Century Gothic" w:hAnsi="Century Gothic" w:cs="Arial"/>
          <w:lang w:val="es-ES_tradnl" w:eastAsia="es-ES_tradnl"/>
        </w:rPr>
        <w:t>El artículo 53 de la Ley 2195 de 2022 dispone que las entidades con regímenes especiales “</w:t>
      </w:r>
      <w:r w:rsidRPr="004204E3">
        <w:rPr>
          <w:rStyle w:val="normaltextrun"/>
          <w:rFonts w:ascii="Century Gothic" w:hAnsi="Century Gothic" w:cs="Arial"/>
          <w:shd w:val="clear" w:color="auto" w:fill="FFFFFF"/>
        </w:rPr>
        <w:t>deberán publicar los documentos relacionados con su actividad contractual en el Sistema Electrónico para la Contratación Pública –SECOP II– o la plataforma transaccional que haga sus veces”</w:t>
      </w:r>
      <w:r w:rsidRPr="004204E3">
        <w:rPr>
          <w:rFonts w:ascii="Century Gothic" w:hAnsi="Century Gothic" w:cs="Arial"/>
          <w:lang w:val="es-ES_tradnl"/>
        </w:rPr>
        <w:t>. Como</w:t>
      </w:r>
      <w:r w:rsidRPr="004204E3">
        <w:rPr>
          <w:rStyle w:val="normaltextrun"/>
          <w:rFonts w:ascii="Century Gothic" w:hAnsi="Century Gothic" w:cs="Arial"/>
          <w:shd w:val="clear" w:color="auto" w:fill="FFFFFF"/>
        </w:rPr>
        <w:t xml:space="preserve"> puede observarse, la disposición objeto de estudio </w:t>
      </w:r>
      <w:r w:rsidRPr="004204E3">
        <w:rPr>
          <w:rFonts w:ascii="Century Gothic" w:hAnsi="Century Gothic" w:cs="Arial"/>
          <w:lang w:val="es-ES_tradnl" w:eastAsia="es-ES_tradnl"/>
        </w:rPr>
        <w:t xml:space="preserve">no señala de forma expresa si el deber de las entidades exceptuadas de publicar todos los documentos relacionados con su actividad contractual aplica para todos los contratos que celebren o si, por el contrario, esta obligación solo se impone respecto de aquellos contratos cuya fuente de financiación proviene de </w:t>
      </w:r>
      <w:r w:rsidRPr="004204E3">
        <w:rPr>
          <w:rFonts w:ascii="Century Gothic" w:hAnsi="Century Gothic" w:cs="Arial"/>
          <w:i/>
          <w:iCs/>
          <w:lang w:val="es-ES_tradnl" w:eastAsia="es-ES_tradnl"/>
        </w:rPr>
        <w:t>recursos públicos</w:t>
      </w:r>
      <w:r w:rsidRPr="004204E3">
        <w:rPr>
          <w:rFonts w:ascii="Century Gothic" w:hAnsi="Century Gothic" w:cs="Arial"/>
          <w:lang w:val="es-ES_tradnl" w:eastAsia="es-ES_tradnl"/>
        </w:rPr>
        <w:t xml:space="preserve">.  </w:t>
      </w:r>
    </w:p>
    <w:p w14:paraId="1A96CDC3" w14:textId="77777777" w:rsidR="00977A67" w:rsidRPr="004204E3" w:rsidRDefault="00977A67" w:rsidP="00977A67">
      <w:pPr>
        <w:spacing w:after="120" w:line="276" w:lineRule="auto"/>
        <w:ind w:firstLine="708"/>
        <w:jc w:val="both"/>
        <w:rPr>
          <w:rFonts w:ascii="Century Gothic" w:hAnsi="Century Gothic" w:cs="Arial"/>
          <w:lang w:val="es-ES_tradnl" w:eastAsia="es-ES_tradnl"/>
        </w:rPr>
      </w:pPr>
      <w:r w:rsidRPr="004204E3">
        <w:rPr>
          <w:rFonts w:ascii="Century Gothic" w:hAnsi="Century Gothic" w:cs="Arial"/>
          <w:lang w:val="es-ES_tradnl" w:eastAsia="es-ES_tradnl"/>
        </w:rPr>
        <w:t>D</w:t>
      </w:r>
      <w:r w:rsidRPr="004204E3">
        <w:rPr>
          <w:rStyle w:val="normaltextrun"/>
          <w:rFonts w:ascii="Century Gothic" w:hAnsi="Century Gothic" w:cs="Arial"/>
          <w:shd w:val="clear" w:color="auto" w:fill="FFFFFF"/>
        </w:rPr>
        <w:t xml:space="preserve">e la lectura del artículo antes citado se pueden extraer al menos dos posturas contrapuestas relacionadas con la interpretación que se realice de la norma. </w:t>
      </w:r>
      <w:r w:rsidRPr="004204E3">
        <w:rPr>
          <w:rFonts w:ascii="Century Gothic" w:hAnsi="Century Gothic" w:cs="Arial"/>
          <w:lang w:val="es-ES_tradnl" w:eastAsia="es-ES_tradnl"/>
        </w:rPr>
        <w:t xml:space="preserve">En primer lugar, una interpretación </w:t>
      </w:r>
      <w:r w:rsidRPr="004204E3">
        <w:rPr>
          <w:rFonts w:ascii="Century Gothic" w:hAnsi="Century Gothic" w:cs="Arial"/>
          <w:i/>
          <w:iCs/>
          <w:lang w:val="es-ES_tradnl" w:eastAsia="es-ES_tradnl"/>
        </w:rPr>
        <w:t>exegética</w:t>
      </w:r>
      <w:r w:rsidRPr="004204E3">
        <w:rPr>
          <w:rFonts w:ascii="Century Gothic" w:hAnsi="Century Gothic" w:cs="Arial"/>
          <w:lang w:val="es-ES_tradnl" w:eastAsia="es-ES_tradnl"/>
        </w:rPr>
        <w:t xml:space="preserve"> de la disposición plantearía que, dado que el artículo 53 no señala que la obligación de publicar en el SECOP II recae solamente sobre la contratación que se realice con dineros públicos, por tanto, esta aplica para toda la actividad contractual que ejecute la entidad, indistintamente del origen de los recursos. En segundo lugar, una interpretación </w:t>
      </w:r>
      <w:r w:rsidRPr="004204E3">
        <w:rPr>
          <w:rFonts w:ascii="Century Gothic" w:hAnsi="Century Gothic" w:cs="Arial"/>
          <w:i/>
          <w:iCs/>
          <w:lang w:val="es-ES_tradnl" w:eastAsia="es-ES_tradnl"/>
        </w:rPr>
        <w:t>sistemática</w:t>
      </w:r>
      <w:r w:rsidRPr="004204E3">
        <w:rPr>
          <w:rFonts w:ascii="Century Gothic" w:hAnsi="Century Gothic" w:cs="Arial"/>
          <w:lang w:val="es-ES_tradnl" w:eastAsia="es-ES_tradnl"/>
        </w:rPr>
        <w:t xml:space="preserve"> de la norma concluiría que el artículo 53, al modificar una disposición de la Ley 1150 de 2007, debe armonizarse con todo el cuerpo normativo consagrado en dicha Ley y, dado que este se refiere a la contratación que se realiza </w:t>
      </w:r>
      <w:r w:rsidRPr="004204E3">
        <w:rPr>
          <w:rFonts w:ascii="Century Gothic" w:hAnsi="Century Gothic" w:cs="Arial"/>
          <w:i/>
          <w:iCs/>
          <w:lang w:val="es-ES_tradnl" w:eastAsia="es-ES_tradnl"/>
        </w:rPr>
        <w:t>con dineros públicos</w:t>
      </w:r>
      <w:r w:rsidRPr="004204E3">
        <w:rPr>
          <w:rFonts w:ascii="Century Gothic" w:hAnsi="Century Gothic" w:cs="Arial"/>
          <w:lang w:val="es-ES_tradnl" w:eastAsia="es-ES_tradnl"/>
        </w:rPr>
        <w:t>, esto también debe extenderse a la obligación de publicar los documentos en el SECOP II en cabeza de las entidades con regímenes exceptuados. En otras palabras, el deber consagrado en el artículo 53 de la Ley 2195 de 2022 debe armonizarse con el conjunto de normas que delimitan el deber de publicar en el SECOP solo la información relacionada con la actividad contractual efectuada con recursos públicos.</w:t>
      </w:r>
    </w:p>
    <w:p w14:paraId="266072E1" w14:textId="77777777" w:rsidR="00977A67" w:rsidRPr="004204E3" w:rsidRDefault="00977A67" w:rsidP="00977A67">
      <w:pPr>
        <w:spacing w:after="120" w:line="276" w:lineRule="auto"/>
        <w:ind w:firstLine="709"/>
        <w:jc w:val="both"/>
        <w:rPr>
          <w:rStyle w:val="normaltextrun"/>
          <w:rFonts w:ascii="Century Gothic" w:hAnsi="Century Gothic" w:cs="Arial"/>
          <w:shd w:val="clear" w:color="auto" w:fill="FFFFFF"/>
        </w:rPr>
      </w:pPr>
      <w:bookmarkStart w:id="7" w:name="_Hlk110869120"/>
      <w:r w:rsidRPr="004204E3">
        <w:rPr>
          <w:rFonts w:ascii="Century Gothic" w:hAnsi="Century Gothic" w:cs="Arial"/>
          <w:lang w:val="es-ES_tradnl" w:eastAsia="es-ES_tradnl"/>
        </w:rPr>
        <w:t xml:space="preserve">Esta Agencia considera que, la obligación de publicar en el SECOP II todos los documentos relacionados con la actividad contractual de las entidades con regímenes especiales contenida en el artículo 53 de la </w:t>
      </w:r>
      <w:r w:rsidRPr="004204E3">
        <w:rPr>
          <w:rStyle w:val="normaltextrun"/>
          <w:rFonts w:ascii="Century Gothic" w:hAnsi="Century Gothic" w:cs="Arial"/>
          <w:shd w:val="clear" w:color="auto" w:fill="FFFFFF"/>
          <w:lang w:val="es-ES"/>
        </w:rPr>
        <w:t xml:space="preserve">Ley 2195 de 2022 debe interpretarse de forma sistemática con </w:t>
      </w:r>
      <w:r w:rsidRPr="004204E3">
        <w:rPr>
          <w:rStyle w:val="normaltextrun"/>
          <w:rFonts w:ascii="Century Gothic" w:hAnsi="Century Gothic" w:cs="Arial"/>
          <w:shd w:val="clear" w:color="auto" w:fill="FFFFFF"/>
        </w:rPr>
        <w:t xml:space="preserve">los preceptos que existen sobre la materia, como, entre otros, los siguientes enunciados normativos: i) los artículos 74 y 209 de la Constitución, ii) el artículo 3, literal c) de la Ley 1150 de 2007, iii) los artículos 3, 9, literal e) y 11, literal g), de la Ley 1712 de 2014, y iv) los artículos 7 al 10 del Decreto 103 de 2015 –compilado en los artículos 2.1.1.1.1. al 2.1.1.6.1. del Decreto 1081 de 2015–. </w:t>
      </w:r>
    </w:p>
    <w:p w14:paraId="5D23EEB0" w14:textId="77777777" w:rsidR="00977A67" w:rsidRPr="004204E3" w:rsidRDefault="00977A67" w:rsidP="00977A67">
      <w:pPr>
        <w:spacing w:after="120" w:line="276" w:lineRule="auto"/>
        <w:ind w:firstLine="709"/>
        <w:jc w:val="both"/>
        <w:rPr>
          <w:rFonts w:ascii="Century Gothic" w:hAnsi="Century Gothic" w:cs="Arial"/>
          <w:shd w:val="clear" w:color="auto" w:fill="FFFFFF"/>
          <w:lang w:val="es-ES"/>
        </w:rPr>
      </w:pPr>
      <w:r w:rsidRPr="004204E3">
        <w:rPr>
          <w:rStyle w:val="normaltextrun"/>
          <w:rFonts w:ascii="Century Gothic" w:hAnsi="Century Gothic" w:cs="Arial"/>
          <w:shd w:val="clear" w:color="auto" w:fill="FFFFFF"/>
          <w:lang w:val="es-ES"/>
        </w:rPr>
        <w:t xml:space="preserve">Así las cosas, dado que el artículo 53 de la Ley 2195 de 2022 complementó las disposiciones ya establecidas en la Ley 1150 de 2007, la lectura que se haga de dicho artículo debe efectuarse de forma sistemática. </w:t>
      </w:r>
      <w:r w:rsidRPr="004204E3">
        <w:rPr>
          <w:rStyle w:val="eop"/>
          <w:rFonts w:ascii="Century Gothic" w:hAnsi="Century Gothic" w:cs="Arial"/>
          <w:shd w:val="clear" w:color="auto" w:fill="FFFFFF"/>
        </w:rPr>
        <w:t xml:space="preserve"> En este sentido, debe </w:t>
      </w:r>
      <w:r w:rsidRPr="004204E3">
        <w:rPr>
          <w:rFonts w:ascii="Century Gothic" w:hAnsi="Century Gothic" w:cs="Arial"/>
          <w:lang w:val="es-ES_tradnl" w:eastAsia="es-ES_tradnl"/>
        </w:rPr>
        <w:t xml:space="preserve">señalarse que </w:t>
      </w:r>
      <w:r w:rsidRPr="004204E3">
        <w:rPr>
          <w:rFonts w:ascii="Century Gothic" w:hAnsi="Century Gothic" w:cs="Arial"/>
          <w:i/>
          <w:iCs/>
          <w:lang w:val="es-ES_tradnl" w:eastAsia="es-CO"/>
        </w:rPr>
        <w:t>contratación con cargo a recursos públicos</w:t>
      </w:r>
      <w:r w:rsidRPr="004204E3">
        <w:rPr>
          <w:rFonts w:ascii="Century Gothic" w:hAnsi="Century Gothic" w:cs="Arial"/>
          <w:lang w:val="es-ES_tradnl" w:eastAsia="es-CO"/>
        </w:rPr>
        <w:t xml:space="preserve"> es un concepto al que alude expresamente la Ley 1150 de 2007, incluso desde el mismo título, pues este indica que dicha Ley es </w:t>
      </w:r>
      <w:r w:rsidRPr="004204E3">
        <w:rPr>
          <w:rFonts w:ascii="Century Gothic" w:hAnsi="Century Gothic" w:cs="Arial"/>
          <w:lang w:val="es-ES_tradnl"/>
        </w:rPr>
        <w:t>“</w:t>
      </w:r>
      <w:r w:rsidRPr="004204E3">
        <w:rPr>
          <w:rFonts w:ascii="Century Gothic" w:hAnsi="Century Gothic" w:cs="Arial"/>
        </w:rPr>
        <w:t>Por medio de la cual se introducen medidas para la eficiencia y la transparencia en la Ley </w:t>
      </w:r>
      <w:hyperlink r:id="rId12" w:anchor="1" w:history="1">
        <w:r w:rsidRPr="004204E3">
          <w:rPr>
            <w:rStyle w:val="Hyperlink"/>
            <w:rFonts w:ascii="Century Gothic" w:hAnsi="Century Gothic" w:cs="Arial"/>
          </w:rPr>
          <w:t>80</w:t>
        </w:r>
      </w:hyperlink>
      <w:r w:rsidRPr="004204E3">
        <w:rPr>
          <w:rFonts w:ascii="Century Gothic" w:hAnsi="Century Gothic" w:cs="Arial"/>
        </w:rPr>
        <w:t xml:space="preserve"> de 1993 y se dictan otras disposiciones generales sobre la contratación con </w:t>
      </w:r>
      <w:r w:rsidRPr="004204E3">
        <w:rPr>
          <w:rFonts w:ascii="Century Gothic" w:hAnsi="Century Gothic" w:cs="Arial"/>
          <w:i/>
          <w:iCs/>
        </w:rPr>
        <w:t>Recursos Públicos</w:t>
      </w:r>
      <w:r w:rsidRPr="004204E3">
        <w:rPr>
          <w:rFonts w:ascii="Century Gothic" w:hAnsi="Century Gothic" w:cs="Arial"/>
          <w:lang w:val="es-ES_tradnl"/>
        </w:rPr>
        <w:t>”</w:t>
      </w:r>
      <w:r w:rsidRPr="004204E3">
        <w:rPr>
          <w:rFonts w:ascii="Century Gothic" w:hAnsi="Century Gothic" w:cs="Arial"/>
        </w:rPr>
        <w:t>.</w:t>
      </w:r>
      <w:r w:rsidRPr="004204E3">
        <w:rPr>
          <w:rFonts w:ascii="Century Gothic" w:hAnsi="Century Gothic" w:cs="Arial"/>
          <w:lang w:val="es-ES_tradnl" w:eastAsia="es-CO"/>
        </w:rPr>
        <w:t xml:space="preserve"> Asimismo, la terminología </w:t>
      </w:r>
      <w:r w:rsidRPr="004204E3">
        <w:rPr>
          <w:rFonts w:ascii="Century Gothic" w:hAnsi="Century Gothic" w:cs="Arial"/>
          <w:i/>
          <w:iCs/>
          <w:lang w:val="es-ES_tradnl" w:eastAsia="es-CO"/>
        </w:rPr>
        <w:t xml:space="preserve">contratación con cargo recursos públicos </w:t>
      </w:r>
      <w:r w:rsidRPr="004204E3">
        <w:rPr>
          <w:rFonts w:ascii="Century Gothic" w:hAnsi="Century Gothic" w:cs="Arial"/>
          <w:lang w:val="es-ES_tradnl" w:eastAsia="es-CO"/>
        </w:rPr>
        <w:t>se encuentra en el artículo primero, al definir el ámbito de aplicación de sus disposiciones</w:t>
      </w:r>
      <w:r w:rsidRPr="004204E3">
        <w:rPr>
          <w:rFonts w:ascii="Century Gothic" w:hAnsi="Century Gothic" w:cs="Arial"/>
          <w:vertAlign w:val="superscript"/>
          <w:lang w:val="es-ES_tradnl" w:eastAsia="es-CO"/>
        </w:rPr>
        <w:footnoteReference w:id="14"/>
      </w:r>
      <w:r w:rsidRPr="004204E3">
        <w:rPr>
          <w:rFonts w:ascii="Century Gothic" w:hAnsi="Century Gothic" w:cs="Arial"/>
          <w:lang w:val="es-ES_tradnl" w:eastAsia="es-CO"/>
        </w:rPr>
        <w:t xml:space="preserve"> y en el literal c) del artículo 3 –del que surge el deber de publicar en el SECOP–, que expresamente </w:t>
      </w:r>
      <w:r w:rsidRPr="004204E3">
        <w:rPr>
          <w:rStyle w:val="normaltextrun"/>
          <w:rFonts w:ascii="Century Gothic" w:hAnsi="Century Gothic" w:cs="Arial"/>
          <w:shd w:val="clear" w:color="auto" w:fill="FFFFFF"/>
          <w:lang w:val="es-ES"/>
        </w:rPr>
        <w:t xml:space="preserve">establece que ese aparte del artículo se aplica a la “contratación realizada con dineros públicos”. </w:t>
      </w:r>
      <w:r w:rsidRPr="004204E3">
        <w:rPr>
          <w:rStyle w:val="normaltextrun"/>
          <w:rFonts w:ascii="Century Gothic" w:hAnsi="Century Gothic" w:cs="Arial"/>
          <w:shd w:val="clear" w:color="auto" w:fill="FFFFFF"/>
        </w:rPr>
        <w:t>Esta interpretación concuerda con el ámbito al que se encuentran destinadas las disposiciones del Título II de dicha norma, titulado “DISPOSICIONES GENERALES PARA LA CONTRATACION CON RECURSOS PUBLICOS”, en el cual se ubica el artículo 13 que fue modificado por el artículo 53 de la Ley 2195 de 2022.</w:t>
      </w:r>
    </w:p>
    <w:bookmarkEnd w:id="7"/>
    <w:p w14:paraId="4688C4AE" w14:textId="77777777" w:rsidR="00977A67" w:rsidRPr="004204E3" w:rsidRDefault="00977A67" w:rsidP="00977A67">
      <w:pPr>
        <w:spacing w:after="0" w:line="276" w:lineRule="auto"/>
        <w:ind w:firstLine="709"/>
        <w:jc w:val="both"/>
        <w:rPr>
          <w:rFonts w:ascii="Century Gothic" w:hAnsi="Century Gothic" w:cs="Arial"/>
        </w:rPr>
      </w:pPr>
      <w:r w:rsidRPr="004204E3">
        <w:rPr>
          <w:rFonts w:ascii="Century Gothic" w:hAnsi="Century Gothic" w:cs="Arial"/>
          <w:lang w:val="es-ES_tradnl" w:eastAsia="es-CO"/>
        </w:rPr>
        <w:t xml:space="preserve">Por otro lado, </w:t>
      </w:r>
      <w:r w:rsidRPr="004204E3">
        <w:rPr>
          <w:rFonts w:ascii="Century Gothic" w:hAnsi="Century Gothic" w:cs="Arial"/>
        </w:rPr>
        <w:t xml:space="preserve">el Decreto 103, mediante el cual se reglamentó la Ley 1712 de 2014, y que fue compilado </w:t>
      </w:r>
      <w:r w:rsidRPr="004204E3">
        <w:rPr>
          <w:rStyle w:val="normaltextrun"/>
          <w:rFonts w:ascii="Century Gothic" w:hAnsi="Century Gothic" w:cs="Arial"/>
          <w:shd w:val="clear" w:color="auto" w:fill="FFFFFF"/>
        </w:rPr>
        <w:t xml:space="preserve">en los artículos 2.1.1.1.1. al 2.1.1.6.1. del Decreto 1081 de 2015–.  </w:t>
      </w:r>
      <w:r w:rsidRPr="004204E3">
        <w:rPr>
          <w:rFonts w:ascii="Century Gothic" w:hAnsi="Century Gothic" w:cs="Arial"/>
        </w:rPr>
        <w:t>señala:</w:t>
      </w:r>
    </w:p>
    <w:p w14:paraId="07EE32E3" w14:textId="77777777" w:rsidR="00977A67" w:rsidRPr="004204E3" w:rsidRDefault="00977A67" w:rsidP="00977A67">
      <w:pPr>
        <w:spacing w:after="0" w:line="240" w:lineRule="auto"/>
        <w:ind w:firstLine="709"/>
        <w:contextualSpacing/>
        <w:jc w:val="both"/>
        <w:rPr>
          <w:rFonts w:ascii="Century Gothic" w:hAnsi="Century Gothic" w:cs="Arial"/>
        </w:rPr>
      </w:pPr>
      <w:r w:rsidRPr="004204E3">
        <w:rPr>
          <w:rFonts w:ascii="Century Gothic" w:hAnsi="Century Gothic" w:cs="Arial"/>
        </w:rPr>
        <w:t xml:space="preserve"> </w:t>
      </w:r>
    </w:p>
    <w:p w14:paraId="5822E29D" w14:textId="77777777" w:rsidR="00977A67" w:rsidRPr="004204E3" w:rsidRDefault="00977A67" w:rsidP="00977A67">
      <w:pPr>
        <w:spacing w:after="0" w:line="240" w:lineRule="auto"/>
        <w:ind w:left="709" w:right="709"/>
        <w:contextualSpacing/>
        <w:jc w:val="both"/>
        <w:rPr>
          <w:rFonts w:ascii="Century Gothic" w:hAnsi="Century Gothic" w:cs="Arial"/>
          <w:sz w:val="21"/>
          <w:szCs w:val="21"/>
          <w:lang w:eastAsia="es-CO"/>
        </w:rPr>
      </w:pPr>
      <w:r w:rsidRPr="004204E3">
        <w:rPr>
          <w:rFonts w:ascii="Century Gothic" w:hAnsi="Century Gothic" w:cs="Arial"/>
          <w:sz w:val="21"/>
          <w:szCs w:val="21"/>
          <w:lang w:eastAsia="es-CO"/>
        </w:rPr>
        <w:t>“Artículo 7°.</w:t>
      </w:r>
      <w:r w:rsidRPr="004204E3">
        <w:rPr>
          <w:rFonts w:ascii="Century Gothic" w:hAnsi="Century Gothic" w:cs="Arial"/>
          <w:i/>
          <w:iCs/>
          <w:sz w:val="21"/>
          <w:szCs w:val="21"/>
          <w:lang w:eastAsia="es-CO"/>
        </w:rPr>
        <w:t xml:space="preserve"> Publicación de la información contractual. </w:t>
      </w:r>
      <w:r w:rsidRPr="004204E3">
        <w:rPr>
          <w:rFonts w:ascii="Century Gothic" w:hAnsi="Century Gothic" w:cs="Arial"/>
          <w:sz w:val="21"/>
          <w:szCs w:val="21"/>
          <w:lang w:eastAsia="es-CO"/>
        </w:rPr>
        <w:t xml:space="preserve">De conformidad con el literal (c) del artículo 3° de la Ley 1150 de 2007, el sistema de información del Estado en el cual los sujetos obligados que contratan </w:t>
      </w:r>
      <w:r w:rsidRPr="004204E3">
        <w:rPr>
          <w:rFonts w:ascii="Century Gothic" w:hAnsi="Century Gothic" w:cs="Arial"/>
          <w:i/>
          <w:iCs/>
          <w:sz w:val="21"/>
          <w:szCs w:val="21"/>
          <w:lang w:eastAsia="es-CO"/>
        </w:rPr>
        <w:t>con cargo a recursos públicos</w:t>
      </w:r>
      <w:r w:rsidRPr="004204E3">
        <w:rPr>
          <w:rFonts w:ascii="Century Gothic" w:hAnsi="Century Gothic" w:cs="Arial"/>
          <w:sz w:val="21"/>
          <w:szCs w:val="21"/>
          <w:lang w:eastAsia="es-CO"/>
        </w:rPr>
        <w:t xml:space="preserve"> deben cumplir la obligación de publicar la información de su gestión contractual es el Sistema Electrónico para la Contratación Pública (Secop). </w:t>
      </w:r>
    </w:p>
    <w:p w14:paraId="4D5C8B0F" w14:textId="77777777" w:rsidR="00977A67" w:rsidRPr="004204E3" w:rsidRDefault="00977A67" w:rsidP="00977A67">
      <w:pPr>
        <w:spacing w:after="0" w:line="240" w:lineRule="auto"/>
        <w:ind w:left="709" w:right="709"/>
        <w:contextualSpacing/>
        <w:jc w:val="both"/>
        <w:rPr>
          <w:rFonts w:ascii="Century Gothic" w:hAnsi="Century Gothic" w:cs="Arial"/>
          <w:sz w:val="21"/>
          <w:szCs w:val="21"/>
          <w:lang w:eastAsia="es-CO"/>
        </w:rPr>
      </w:pPr>
      <w:r w:rsidRPr="004204E3">
        <w:rPr>
          <w:rFonts w:ascii="Century Gothic" w:hAnsi="Century Gothic" w:cs="Arial"/>
          <w:sz w:val="21"/>
          <w:szCs w:val="21"/>
          <w:lang w:eastAsia="es-CO"/>
        </w:rPr>
        <w:t>  </w:t>
      </w:r>
    </w:p>
    <w:p w14:paraId="724F991C" w14:textId="77777777" w:rsidR="00977A67" w:rsidRPr="004204E3" w:rsidRDefault="00977A67" w:rsidP="00977A67">
      <w:pPr>
        <w:spacing w:after="0" w:line="240" w:lineRule="auto"/>
        <w:ind w:left="709" w:right="709"/>
        <w:contextualSpacing/>
        <w:jc w:val="both"/>
        <w:rPr>
          <w:rFonts w:ascii="Century Gothic" w:hAnsi="Century Gothic" w:cs="Arial"/>
          <w:sz w:val="21"/>
          <w:szCs w:val="21"/>
          <w:lang w:eastAsia="es-CO"/>
        </w:rPr>
      </w:pPr>
      <w:r w:rsidRPr="004204E3">
        <w:rPr>
          <w:rFonts w:ascii="Century Gothic" w:hAnsi="Century Gothic" w:cs="Arial"/>
          <w:sz w:val="21"/>
          <w:szCs w:val="21"/>
          <w:lang w:eastAsia="es-CO"/>
        </w:rPr>
        <w:t xml:space="preserve">Los sujetos obligados que contratan </w:t>
      </w:r>
      <w:r w:rsidRPr="004204E3">
        <w:rPr>
          <w:rFonts w:ascii="Century Gothic" w:hAnsi="Century Gothic" w:cs="Arial"/>
          <w:i/>
          <w:iCs/>
          <w:sz w:val="21"/>
          <w:szCs w:val="21"/>
          <w:lang w:eastAsia="es-CO"/>
        </w:rPr>
        <w:t>con cargo a recursos públicos</w:t>
      </w:r>
      <w:r w:rsidRPr="004204E3">
        <w:rPr>
          <w:rFonts w:ascii="Century Gothic" w:hAnsi="Century Gothic" w:cs="Arial"/>
          <w:sz w:val="21"/>
          <w:szCs w:val="21"/>
          <w:lang w:eastAsia="es-CO"/>
        </w:rPr>
        <w:t xml:space="preserve"> deben publicar la información de su gestión contractual en el plazo previsto en el artículo 19 del Decreto 1510 de 2013, o el que lo modifique, sustituya o adicione. </w:t>
      </w:r>
    </w:p>
    <w:p w14:paraId="72B1BF21" w14:textId="77777777" w:rsidR="00977A67" w:rsidRPr="004204E3" w:rsidRDefault="00977A67" w:rsidP="00977A67">
      <w:pPr>
        <w:spacing w:after="0" w:line="240" w:lineRule="auto"/>
        <w:ind w:left="709" w:right="709"/>
        <w:contextualSpacing/>
        <w:jc w:val="both"/>
        <w:rPr>
          <w:rFonts w:ascii="Century Gothic" w:hAnsi="Century Gothic" w:cs="Arial"/>
          <w:sz w:val="21"/>
          <w:szCs w:val="21"/>
          <w:lang w:eastAsia="es-CO"/>
        </w:rPr>
      </w:pPr>
      <w:r w:rsidRPr="004204E3">
        <w:rPr>
          <w:rFonts w:ascii="Century Gothic" w:hAnsi="Century Gothic" w:cs="Arial"/>
          <w:sz w:val="21"/>
          <w:szCs w:val="21"/>
          <w:lang w:eastAsia="es-CO"/>
        </w:rPr>
        <w:t>  </w:t>
      </w:r>
    </w:p>
    <w:p w14:paraId="27FE4DD9" w14:textId="77777777" w:rsidR="00977A67" w:rsidRPr="004204E3" w:rsidRDefault="00977A67" w:rsidP="00977A67">
      <w:pPr>
        <w:spacing w:after="0" w:line="240" w:lineRule="auto"/>
        <w:ind w:left="709" w:right="709"/>
        <w:contextualSpacing/>
        <w:jc w:val="both"/>
        <w:rPr>
          <w:rFonts w:ascii="Century Gothic" w:hAnsi="Century Gothic" w:cs="Arial"/>
          <w:sz w:val="21"/>
          <w:szCs w:val="21"/>
          <w:lang w:eastAsia="es-CO"/>
        </w:rPr>
      </w:pPr>
      <w:r w:rsidRPr="004204E3">
        <w:rPr>
          <w:rFonts w:ascii="Century Gothic" w:hAnsi="Century Gothic" w:cs="Arial"/>
          <w:sz w:val="21"/>
          <w:szCs w:val="21"/>
          <w:lang w:eastAsia="es-CO"/>
        </w:rPr>
        <w:t xml:space="preserve">Los sujetos obligados que contratan con recursos públicos y recursos privados, deben publicar la información de su gestión contractual con cargo a recursos públicos en el Sistema Electrónico para la Contratación Pública (Secop)”. (Énfasis fuera del texto original). </w:t>
      </w:r>
    </w:p>
    <w:p w14:paraId="61FD5738" w14:textId="77777777" w:rsidR="00977A67" w:rsidRPr="004204E3" w:rsidRDefault="00977A67" w:rsidP="00977A67">
      <w:pPr>
        <w:spacing w:after="0" w:line="240" w:lineRule="auto"/>
        <w:ind w:left="709" w:right="709"/>
        <w:contextualSpacing/>
        <w:jc w:val="both"/>
        <w:rPr>
          <w:rFonts w:ascii="Century Gothic" w:hAnsi="Century Gothic" w:cs="Arial"/>
          <w:lang w:eastAsia="es-CO"/>
        </w:rPr>
      </w:pPr>
      <w:r w:rsidRPr="004204E3">
        <w:rPr>
          <w:rFonts w:ascii="Century Gothic" w:hAnsi="Century Gothic" w:cs="Arial"/>
          <w:lang w:eastAsia="es-CO"/>
        </w:rPr>
        <w:t>  </w:t>
      </w:r>
    </w:p>
    <w:p w14:paraId="4F07F3EE" w14:textId="77777777" w:rsidR="00977A67" w:rsidRPr="004204E3" w:rsidRDefault="00977A67" w:rsidP="00977A67">
      <w:pPr>
        <w:spacing w:after="120" w:line="276" w:lineRule="auto"/>
        <w:ind w:firstLine="709"/>
        <w:jc w:val="both"/>
        <w:rPr>
          <w:rFonts w:ascii="Century Gothic" w:hAnsi="Century Gothic" w:cs="Arial"/>
          <w:lang w:val="es-ES_tradnl" w:eastAsia="es-ES_tradnl"/>
        </w:rPr>
      </w:pPr>
      <w:bookmarkStart w:id="8" w:name="_Hlk110869205"/>
      <w:r w:rsidRPr="004204E3">
        <w:rPr>
          <w:rFonts w:ascii="Century Gothic" w:hAnsi="Century Gothic" w:cs="Arial"/>
          <w:lang w:val="es-ES_tradnl" w:eastAsia="es-ES_tradnl"/>
        </w:rPr>
        <w:t xml:space="preserve">De las normas antes citadas es posible establecer que la obligación de publicar la actividad contractual siempre ha estado encaminada a que se publique aquella información relacionada con la ejecución de dineros públicos. Por tal razón, puede concluirse, a la luz de las disposiciones que regulan la materia, que el artículo 53 –al ampliar la obligación de las entidades con regímenes especiales de publicar su actividad contractual en el SECOP II– se refiere a aquella actividad contractual cuya fuente de financiación provenga de recursos públicos. </w:t>
      </w:r>
    </w:p>
    <w:bookmarkEnd w:id="8"/>
    <w:p w14:paraId="7F25E393" w14:textId="77777777" w:rsidR="00977A67" w:rsidRPr="004204E3" w:rsidRDefault="00977A67" w:rsidP="00977A67">
      <w:pPr>
        <w:spacing w:after="0" w:line="276" w:lineRule="auto"/>
        <w:ind w:firstLine="709"/>
        <w:jc w:val="both"/>
        <w:rPr>
          <w:rFonts w:ascii="Century Gothic" w:hAnsi="Century Gothic" w:cs="Arial"/>
          <w:lang w:val="es-ES"/>
        </w:rPr>
      </w:pPr>
      <w:r w:rsidRPr="004204E3">
        <w:rPr>
          <w:rStyle w:val="normaltextrun"/>
          <w:rFonts w:ascii="Century Gothic" w:hAnsi="Century Gothic" w:cs="Arial"/>
          <w:shd w:val="clear" w:color="auto" w:fill="FFFFFF"/>
          <w:lang w:val="es-ES"/>
        </w:rPr>
        <w:t xml:space="preserve">En consonancia con la interpretación antes expuesta, </w:t>
      </w:r>
      <w:r w:rsidRPr="004204E3">
        <w:rPr>
          <w:rFonts w:ascii="Century Gothic" w:hAnsi="Century Gothic" w:cs="Arial"/>
          <w:lang w:val="es-ES"/>
        </w:rPr>
        <w:t>la Circular 002 del 1 de junio de 2022</w:t>
      </w:r>
      <w:r w:rsidRPr="004204E3">
        <w:rPr>
          <w:rFonts w:ascii="Century Gothic" w:hAnsi="Century Gothic" w:cs="Arial"/>
          <w:vertAlign w:val="superscript"/>
          <w:lang w:val="es-ES"/>
        </w:rPr>
        <w:footnoteReference w:id="15"/>
      </w:r>
      <w:r w:rsidRPr="004204E3">
        <w:rPr>
          <w:rFonts w:ascii="Century Gothic" w:hAnsi="Century Gothic" w:cs="Arial"/>
          <w:lang w:val="es-ES"/>
        </w:rPr>
        <w:t xml:space="preserve">, dictada por el Departamento Administrativo de la Presidencia de la República, a través de la cual fueron impartidas instrucciones relacionadas con la aplicación del artículo 53 de la Ley 2195 de 2022, en el numeral I –denominado “Publicación de los documentos contractuales en el SECOP II”–, señala: </w:t>
      </w:r>
    </w:p>
    <w:p w14:paraId="6B9870BE" w14:textId="77777777" w:rsidR="00977A67" w:rsidRPr="004204E3" w:rsidRDefault="00977A67" w:rsidP="00977A67">
      <w:pPr>
        <w:spacing w:after="0" w:line="240" w:lineRule="auto"/>
        <w:ind w:left="709" w:right="709"/>
        <w:contextualSpacing/>
        <w:jc w:val="both"/>
        <w:rPr>
          <w:rFonts w:ascii="Century Gothic" w:hAnsi="Century Gothic" w:cs="Arial"/>
          <w:lang w:val="es-ES_tradnl" w:eastAsia="es-ES_tradnl"/>
        </w:rPr>
      </w:pPr>
    </w:p>
    <w:p w14:paraId="522A0A0E" w14:textId="77777777" w:rsidR="00977A67" w:rsidRPr="004204E3" w:rsidRDefault="00977A67" w:rsidP="08937EA5">
      <w:pPr>
        <w:spacing w:after="0" w:line="240" w:lineRule="auto"/>
        <w:ind w:left="709" w:right="709"/>
        <w:contextualSpacing/>
        <w:jc w:val="both"/>
        <w:rPr>
          <w:rFonts w:ascii="Century Gothic" w:hAnsi="Century Gothic" w:cs="Arial"/>
          <w:sz w:val="21"/>
          <w:szCs w:val="21"/>
          <w:lang w:val="es-ES" w:eastAsia="es-ES"/>
        </w:rPr>
      </w:pPr>
      <w:r w:rsidRPr="08937EA5">
        <w:rPr>
          <w:rFonts w:ascii="Century Gothic" w:hAnsi="Century Gothic" w:cs="Arial"/>
          <w:sz w:val="21"/>
          <w:szCs w:val="21"/>
          <w:lang w:val="es-ES" w:eastAsia="es-ES"/>
        </w:rPr>
        <w:t xml:space="preserve">“El Sistema Electrónico de Contratación Pública – SECOP – es una herramienta tecnológica de apoyo a la contratación pública, en la cual se encuentra la información oficial de la contratación realizada </w:t>
      </w:r>
      <w:r w:rsidRPr="08937EA5">
        <w:rPr>
          <w:rFonts w:ascii="Century Gothic" w:hAnsi="Century Gothic" w:cs="Arial"/>
          <w:i/>
          <w:iCs/>
          <w:sz w:val="21"/>
          <w:szCs w:val="21"/>
          <w:lang w:val="es-ES" w:eastAsia="es-ES"/>
        </w:rPr>
        <w:t>con dineros públicos</w:t>
      </w:r>
      <w:r w:rsidRPr="08937EA5">
        <w:rPr>
          <w:rFonts w:ascii="Century Gothic" w:hAnsi="Century Gothic" w:cs="Arial"/>
          <w:sz w:val="21"/>
          <w:szCs w:val="21"/>
          <w:lang w:val="es-ES" w:eastAsia="es-ES"/>
        </w:rPr>
        <w:t xml:space="preserve">. Lo anterior, de conformidad con lo establecido en el literal c) del artículo 3 de la Ley 1150 de 2007. </w:t>
      </w:r>
    </w:p>
    <w:p w14:paraId="31D09D9E" w14:textId="77777777" w:rsidR="00977A67" w:rsidRPr="004204E3" w:rsidRDefault="00977A67" w:rsidP="00977A67">
      <w:pPr>
        <w:spacing w:after="0" w:line="240" w:lineRule="auto"/>
        <w:ind w:left="709" w:right="709"/>
        <w:contextualSpacing/>
        <w:jc w:val="both"/>
        <w:rPr>
          <w:rFonts w:ascii="Century Gothic" w:hAnsi="Century Gothic" w:cs="Arial"/>
          <w:sz w:val="21"/>
          <w:szCs w:val="21"/>
          <w:lang w:val="es-ES_tradnl" w:eastAsia="es-ES_tradnl"/>
        </w:rPr>
      </w:pPr>
    </w:p>
    <w:p w14:paraId="2B3B8AC5" w14:textId="77777777" w:rsidR="00977A67" w:rsidRPr="004204E3" w:rsidRDefault="00977A67" w:rsidP="00977A67">
      <w:pPr>
        <w:spacing w:after="0" w:line="240" w:lineRule="auto"/>
        <w:ind w:left="709" w:right="709"/>
        <w:contextualSpacing/>
        <w:jc w:val="both"/>
        <w:rPr>
          <w:rFonts w:ascii="Century Gothic" w:hAnsi="Century Gothic" w:cs="Arial"/>
          <w:sz w:val="21"/>
          <w:szCs w:val="21"/>
          <w:lang w:val="es-ES_tradnl" w:eastAsia="es-ES_tradnl"/>
        </w:rPr>
      </w:pPr>
      <w:r w:rsidRPr="004204E3">
        <w:rPr>
          <w:rFonts w:ascii="Century Gothic" w:hAnsi="Century Gothic" w:cs="Arial"/>
          <w:sz w:val="21"/>
          <w:szCs w:val="21"/>
          <w:lang w:val="es-ES_tradnl" w:eastAsia="es-ES_tradnl"/>
        </w:rPr>
        <w:t xml:space="preserve">En ese sentido, las entidades obligadas en virtud del artículo 53 de la Ley 2195 de 2022, deberán realizar la publicación en el SECOP II </w:t>
      </w:r>
      <w:r w:rsidRPr="004204E3">
        <w:rPr>
          <w:rFonts w:ascii="Century Gothic" w:hAnsi="Century Gothic" w:cs="Arial"/>
          <w:i/>
          <w:iCs/>
          <w:sz w:val="21"/>
          <w:szCs w:val="21"/>
          <w:lang w:val="es-ES_tradnl" w:eastAsia="es-ES_tradnl"/>
        </w:rPr>
        <w:t>de aquellos documentos relacionados con la actividad contractual que se realice con dineros públicos”</w:t>
      </w:r>
      <w:r w:rsidRPr="004204E3">
        <w:rPr>
          <w:rFonts w:ascii="Century Gothic" w:hAnsi="Century Gothic" w:cs="Arial"/>
          <w:sz w:val="21"/>
          <w:szCs w:val="21"/>
          <w:lang w:val="es-ES_tradnl" w:eastAsia="es-ES_tradnl"/>
        </w:rPr>
        <w:t xml:space="preserve"> […] </w:t>
      </w:r>
      <w:r w:rsidRPr="004204E3">
        <w:rPr>
          <w:rFonts w:ascii="Century Gothic" w:hAnsi="Century Gothic" w:cs="Arial"/>
          <w:sz w:val="21"/>
          <w:szCs w:val="21"/>
          <w:lang w:val="es-ES"/>
        </w:rPr>
        <w:t>(Énfasis fuera del texto original).</w:t>
      </w:r>
    </w:p>
    <w:p w14:paraId="26476F46" w14:textId="77777777" w:rsidR="00977A67" w:rsidRPr="004204E3" w:rsidRDefault="00977A67" w:rsidP="00977A67">
      <w:pPr>
        <w:spacing w:after="0" w:line="276" w:lineRule="auto"/>
        <w:ind w:firstLine="709"/>
        <w:contextualSpacing/>
        <w:jc w:val="both"/>
        <w:rPr>
          <w:rFonts w:ascii="Century Gothic" w:hAnsi="Century Gothic" w:cs="Arial"/>
          <w:lang w:val="es-ES_tradnl" w:eastAsia="es-ES_tradnl"/>
        </w:rPr>
      </w:pPr>
    </w:p>
    <w:p w14:paraId="1D84A3C1" w14:textId="77777777" w:rsidR="00977A67" w:rsidRDefault="00977A67" w:rsidP="00977A67">
      <w:pPr>
        <w:spacing w:after="0" w:line="276" w:lineRule="auto"/>
        <w:ind w:firstLine="709"/>
        <w:jc w:val="both"/>
        <w:rPr>
          <w:rStyle w:val="normaltextrun"/>
          <w:rFonts w:ascii="Century Gothic" w:hAnsi="Century Gothic" w:cs="Arial"/>
          <w:shd w:val="clear" w:color="auto" w:fill="FFFFFF"/>
          <w:lang w:val="es-ES"/>
        </w:rPr>
      </w:pPr>
      <w:r w:rsidRPr="004204E3">
        <w:rPr>
          <w:rFonts w:ascii="Century Gothic" w:hAnsi="Century Gothic" w:cs="Arial"/>
          <w:lang w:val="es-ES"/>
        </w:rPr>
        <w:t xml:space="preserve">De conformidad con lo expuesto, teniendo en cuenta que el artículo 53 complementa la disposición contenida en el artículo 3 de la Ley 1150 de 2007, debe entenderse que la contratación a la que se refiere es aquella realizada con recursos públicos, cuya información es la que debe publicarse en el SECOP II, acorde con la interpretación sistemática que permite armonizar el referido artículo 53 de la Ley 2195 de 2022 con todo el contexto normativo que establece que en dicha plataforma se debe publicar solo la información relativa a la actividad contractual con dineros públicos. </w:t>
      </w:r>
      <w:r w:rsidRPr="004204E3">
        <w:rPr>
          <w:rStyle w:val="normaltextrun"/>
          <w:rFonts w:ascii="Century Gothic" w:hAnsi="Century Gothic" w:cs="Arial"/>
          <w:shd w:val="clear" w:color="auto" w:fill="FFFFFF"/>
        </w:rPr>
        <w:t xml:space="preserve">Así las cosas, la Agencia Nacional de Contratación Pública – Colombia Compra Eficiente considera que la modificación introducida por el artículo 53 de la Ley 2195 de 2022 no afecta la interpretación adoptada hasta el momento, en el sentido de que la </w:t>
      </w:r>
      <w:r w:rsidRPr="004204E3">
        <w:rPr>
          <w:rStyle w:val="normaltextrun"/>
          <w:rFonts w:ascii="Century Gothic" w:hAnsi="Century Gothic" w:cs="Arial"/>
          <w:shd w:val="clear" w:color="auto" w:fill="FFFFFF"/>
          <w:lang w:val="es-ES"/>
        </w:rPr>
        <w:t xml:space="preserve">publicación de la información oficial de la contratación en el SECOP debe realizarse si los negocios jurídicos adelantados fueron financiados con recursos públicos. </w:t>
      </w:r>
    </w:p>
    <w:p w14:paraId="057A5544" w14:textId="77777777" w:rsidR="00A42316" w:rsidRDefault="00A42316" w:rsidP="00977A67">
      <w:pPr>
        <w:spacing w:after="0" w:line="276" w:lineRule="auto"/>
        <w:ind w:firstLine="709"/>
        <w:jc w:val="both"/>
        <w:rPr>
          <w:rStyle w:val="normaltextrun"/>
          <w:rFonts w:ascii="Century Gothic" w:hAnsi="Century Gothic" w:cs="Arial"/>
          <w:shd w:val="clear" w:color="auto" w:fill="FFFFFF"/>
          <w:lang w:val="es-ES"/>
        </w:rPr>
      </w:pPr>
    </w:p>
    <w:p w14:paraId="54E528BC" w14:textId="7F2A1A80" w:rsidR="00A42316" w:rsidRPr="00A42316" w:rsidRDefault="00A42316" w:rsidP="00A42316">
      <w:pPr>
        <w:tabs>
          <w:tab w:val="left" w:pos="426"/>
        </w:tabs>
        <w:spacing w:after="0" w:line="276" w:lineRule="auto"/>
        <w:jc w:val="both"/>
        <w:rPr>
          <w:rFonts w:ascii="Century Gothic" w:eastAsia="Times New Roman" w:hAnsi="Century Gothic" w:cs="Arial"/>
          <w:b/>
          <w:bCs/>
          <w:color w:val="000000"/>
          <w:szCs w:val="24"/>
          <w:lang w:val="es-ES_tradnl" w:eastAsia="en-GB"/>
        </w:rPr>
      </w:pPr>
      <w:r w:rsidRPr="00A42316">
        <w:rPr>
          <w:rFonts w:ascii="Century Gothic" w:eastAsia="Times New Roman" w:hAnsi="Century Gothic" w:cs="Arial"/>
          <w:b/>
          <w:bCs/>
          <w:color w:val="000000"/>
          <w:szCs w:val="24"/>
          <w:lang w:val="es-ES_tradnl" w:eastAsia="en-GB"/>
        </w:rPr>
        <w:t>2.</w:t>
      </w:r>
      <w:r>
        <w:rPr>
          <w:rFonts w:ascii="Century Gothic" w:eastAsia="Times New Roman" w:hAnsi="Century Gothic" w:cs="Arial"/>
          <w:b/>
          <w:bCs/>
          <w:color w:val="000000"/>
          <w:szCs w:val="24"/>
          <w:lang w:val="es-ES_tradnl" w:eastAsia="en-GB"/>
        </w:rPr>
        <w:t>3</w:t>
      </w:r>
      <w:r w:rsidRPr="00A42316">
        <w:rPr>
          <w:rFonts w:ascii="Century Gothic" w:eastAsia="Times New Roman" w:hAnsi="Century Gothic" w:cs="Arial"/>
          <w:b/>
          <w:bCs/>
          <w:color w:val="000000"/>
          <w:szCs w:val="24"/>
          <w:lang w:val="es-ES_tradnl" w:eastAsia="en-GB"/>
        </w:rPr>
        <w:t>. La reserva de información pública como límite al deber de divulgación proactiva de la información en la contratación estatal</w:t>
      </w:r>
    </w:p>
    <w:p w14:paraId="7658945A" w14:textId="77777777" w:rsidR="00A42316" w:rsidRPr="00A42316" w:rsidRDefault="00A42316" w:rsidP="00A42316">
      <w:pPr>
        <w:spacing w:after="0" w:line="276" w:lineRule="auto"/>
        <w:jc w:val="both"/>
        <w:rPr>
          <w:rFonts w:ascii="Century Gothic" w:eastAsia="Times New Roman" w:hAnsi="Century Gothic" w:cs="Century Gothic"/>
          <w:b/>
          <w:bCs/>
          <w:lang w:val="es-ES_tradnl" w:eastAsia="es-ES_tradnl"/>
        </w:rPr>
      </w:pPr>
    </w:p>
    <w:p w14:paraId="3F403BA7" w14:textId="77777777" w:rsidR="00A42316" w:rsidRPr="00A42316" w:rsidRDefault="00A42316" w:rsidP="00A42316">
      <w:pPr>
        <w:tabs>
          <w:tab w:val="left" w:pos="426"/>
        </w:tabs>
        <w:spacing w:after="120" w:line="276" w:lineRule="auto"/>
        <w:jc w:val="both"/>
        <w:rPr>
          <w:rFonts w:ascii="Century Gothic" w:eastAsia="Times New Roman" w:hAnsi="Century Gothic" w:cs="Arial"/>
          <w:color w:val="000000"/>
          <w:lang w:val="es-ES_tradnl" w:eastAsia="en-GB"/>
        </w:rPr>
      </w:pPr>
      <w:r w:rsidRPr="00A42316">
        <w:rPr>
          <w:rFonts w:ascii="Century Gothic" w:eastAsia="Times New Roman" w:hAnsi="Century Gothic" w:cs="Arial"/>
          <w:lang w:val="es-ES" w:eastAsia="es-ES_tradnl"/>
        </w:rPr>
        <w:t xml:space="preserve">No obstante, lo expresado en el numeral anterior, vale la pena aclarar que el cumplimiento del deber de publicación de la documentación contractual debe armonizarse con las normas aplicables al tipo de información que estas contienen. Lo anterior significa que, respecto de la información sometida a reserva o de la cual proceda un tratamiento especial que impida su publicidad, las entidades deberán actuar de conformidad con el tratamiento que impongan tales normas, absteniéndose, de ser el caso, de publicar los documentos del proceso, algunos de ellos o algunos apartes de dichos documentos en los que se evidencie este tipo de información. </w:t>
      </w:r>
    </w:p>
    <w:p w14:paraId="1E3D525B" w14:textId="77777777" w:rsidR="00A42316" w:rsidRPr="00A42316" w:rsidRDefault="00A42316" w:rsidP="08937EA5">
      <w:pPr>
        <w:spacing w:after="120" w:line="276" w:lineRule="auto"/>
        <w:ind w:firstLine="709"/>
        <w:jc w:val="both"/>
        <w:rPr>
          <w:rFonts w:ascii="Century Gothic" w:eastAsia="Times New Roman" w:hAnsi="Century Gothic" w:cs="Arial"/>
          <w:color w:val="000000"/>
          <w:lang w:val="es-ES" w:eastAsia="en-GB"/>
        </w:rPr>
      </w:pPr>
      <w:r w:rsidRPr="08937EA5">
        <w:rPr>
          <w:rFonts w:ascii="Century Gothic" w:eastAsia="Times New Roman" w:hAnsi="Century Gothic" w:cs="Arial"/>
          <w:color w:val="000000" w:themeColor="text1"/>
          <w:lang w:val="es-ES" w:eastAsia="en-GB"/>
        </w:rPr>
        <w:t xml:space="preserve">En otras palabras, aunque el artículo 74 de la Constitución establezca que la información pública debe ser dada a conocer a la ciudadanía y así los documentos que hagan parte de la actividad contractual puedan catalogarse, </w:t>
      </w:r>
      <w:r w:rsidRPr="08937EA5">
        <w:rPr>
          <w:rFonts w:ascii="Century Gothic" w:eastAsia="Times New Roman" w:hAnsi="Century Gothic" w:cs="Arial"/>
          <w:i/>
          <w:iCs/>
          <w:color w:val="000000" w:themeColor="text1"/>
          <w:lang w:val="es-ES" w:eastAsia="en-GB"/>
        </w:rPr>
        <w:t>prima facie,</w:t>
      </w:r>
      <w:r w:rsidRPr="08937EA5">
        <w:rPr>
          <w:rFonts w:ascii="Century Gothic" w:eastAsia="Times New Roman" w:hAnsi="Century Gothic" w:cs="Arial"/>
          <w:color w:val="000000" w:themeColor="text1"/>
          <w:lang w:val="es-ES" w:eastAsia="en-GB"/>
        </w:rPr>
        <w:t xml:space="preserve"> como información pública, cuando dicha documentación contenga información sometida a alguna reserva, que establezca la Constitución o la ley, operan algunas restricciones a su publicidad. Sin embargo, esto no necesariamente convierte el documento completo en reservado, es decir, en un documento que no puede publicarse. </w:t>
      </w:r>
    </w:p>
    <w:p w14:paraId="318D3AFC" w14:textId="77777777" w:rsidR="00A42316" w:rsidRPr="00A42316" w:rsidRDefault="00A42316" w:rsidP="08937EA5">
      <w:pPr>
        <w:spacing w:after="120" w:line="276" w:lineRule="auto"/>
        <w:ind w:firstLine="709"/>
        <w:jc w:val="both"/>
        <w:rPr>
          <w:rFonts w:ascii="Century Gothic" w:eastAsia="Times New Roman" w:hAnsi="Century Gothic" w:cs="Arial"/>
          <w:color w:val="000000"/>
          <w:lang w:val="es-ES" w:eastAsia="en-GB"/>
        </w:rPr>
      </w:pPr>
      <w:r w:rsidRPr="08937EA5">
        <w:rPr>
          <w:rFonts w:ascii="Century Gothic" w:eastAsia="Times New Roman" w:hAnsi="Century Gothic" w:cs="Arial"/>
          <w:color w:val="000000"/>
          <w:lang w:val="es-ES" w:eastAsia="en-GB"/>
        </w:rPr>
        <w:t>En efecto, el principio o regla general consiste en la máxima publicidad de la información pública y lo excepcional es la reserva, razón por la cual el artículo 21 de la Ley 1712 de 2014 incluso exige la divulgación parcial de la información contenida en un documento, cuando este contenga parte de información sometida a reserva, pero también incluya información que no esté afectada por la reserva. Además, dicha disposición establece que la reserva de acceso a la información opera respecto al contenido de un documento público, pero no respecto de su existencia</w:t>
      </w:r>
      <w:r w:rsidRPr="08937EA5">
        <w:rPr>
          <w:rFonts w:ascii="Century Gothic" w:eastAsia="Times New Roman" w:hAnsi="Century Gothic" w:cs="Arial"/>
          <w:color w:val="000000"/>
          <w:vertAlign w:val="superscript"/>
          <w:lang w:val="es-ES" w:eastAsia="en-GB"/>
        </w:rPr>
        <w:footnoteReference w:id="16"/>
      </w:r>
      <w:r w:rsidRPr="08937EA5">
        <w:rPr>
          <w:rFonts w:ascii="Century Gothic" w:eastAsia="Times New Roman" w:hAnsi="Century Gothic" w:cs="Arial"/>
          <w:color w:val="000000"/>
          <w:lang w:val="es-ES" w:eastAsia="en-GB"/>
        </w:rPr>
        <w:t>. Sin perjuicio de lo anterior, es posible que el contenido de todo el documento o expediente no deba ser objeto de publicidad por estar amparado de forma íntegra por la reserva, dada su conexión con las causales establecidas en la Constitución o la ley.</w:t>
      </w:r>
    </w:p>
    <w:p w14:paraId="121CABCB" w14:textId="77777777" w:rsidR="00A42316" w:rsidRPr="00A42316" w:rsidRDefault="00A42316" w:rsidP="00A42316">
      <w:pPr>
        <w:tabs>
          <w:tab w:val="left" w:pos="426"/>
        </w:tabs>
        <w:spacing w:after="120" w:line="276" w:lineRule="auto"/>
        <w:ind w:firstLine="709"/>
        <w:jc w:val="both"/>
        <w:rPr>
          <w:rFonts w:ascii="Century Gothic" w:eastAsia="Times New Roman" w:hAnsi="Century Gothic" w:cs="Arial"/>
          <w:color w:val="000000"/>
          <w:lang w:val="es-ES_tradnl" w:eastAsia="en-GB"/>
        </w:rPr>
      </w:pPr>
      <w:r w:rsidRPr="00A42316">
        <w:rPr>
          <w:rFonts w:ascii="Century Gothic" w:eastAsia="Times New Roman" w:hAnsi="Century Gothic" w:cs="Arial"/>
          <w:color w:val="000000"/>
          <w:lang w:val="es-ES_tradnl" w:eastAsia="en-GB"/>
        </w:rPr>
        <w:t>Por ello, el artículo 74 de la Constitución, en armonía con los artículos 18 y 19 de la Ley 1712 de 2014 y los artículos 24 y 25 de la Ley 1437 de 2011 –de acuerdo con la modificación realizada por la Ley 1755 de 2015–, establecen que el derecho de acceso a la información o documentación pública no es absoluto, sino que puede exceptuarse cuando se configuren causales de reserva. Así mismo, hay información que goza de protección especial y no puede divulgarse. La información pública que contiene datos semiprivados o privados, definidos en los literales g) y h) del artículo 3° de la Ley 1266 de 2008; clasificados o reservados, según los artículos 18 y 19 de la Ley 1712 de 2014; o datos personales o sensibles, según lo previsto en los artículos 3° y 5° de la Ley 1581 de 2012 y en el artículo 2.2.2.25.1.3., numeral 3 –que compiló al Decreto 1377 de 2013 (art. 3)–, solo podrá divulgarse según las reglas establecidas en dichas normas.</w:t>
      </w:r>
    </w:p>
    <w:p w14:paraId="70F740D7" w14:textId="77777777" w:rsidR="00A42316" w:rsidRPr="00A42316" w:rsidRDefault="00A42316" w:rsidP="00A42316">
      <w:pPr>
        <w:tabs>
          <w:tab w:val="left" w:pos="426"/>
        </w:tabs>
        <w:spacing w:after="120" w:line="276" w:lineRule="auto"/>
        <w:ind w:firstLine="709"/>
        <w:jc w:val="both"/>
        <w:rPr>
          <w:rFonts w:ascii="Century Gothic" w:eastAsia="Times New Roman" w:hAnsi="Century Gothic" w:cs="Arial"/>
          <w:color w:val="000000"/>
          <w:lang w:val="es-ES_tradnl" w:eastAsia="en-GB"/>
        </w:rPr>
      </w:pPr>
      <w:r w:rsidRPr="00A42316">
        <w:rPr>
          <w:rFonts w:ascii="Century Gothic" w:eastAsia="Times New Roman" w:hAnsi="Century Gothic" w:cs="Arial"/>
          <w:color w:val="000000"/>
          <w:lang w:val="es-ES_tradnl" w:eastAsia="en-GB"/>
        </w:rPr>
        <w:t>Cuando el documento contractual tenga información sensible, clasificada o reservada, para proteger la reserva de información, las autoridades deben abstenerse de publicar en el SECOP la información que tiene protección especial o está sometida a reserva. Sin embargo, de acuerdo con el segundo inciso del artículo 25 de la Ley 1437 de 2011 “La restricción por reserva legal no se extenderá a otras piezas del respectivo expediente o actuación que no estén cubiertas por ella”. Por ello, la Entidad Estatal puede dejar de publicar algún documento del proceso o aparte del mismo que contenga datos sensibles, clasificados o reservados, para no divulgarla, pero debe publicar los demás documentos o los apartados de estos, en caso de que estos no gocen de reserva. Lo anterior, sin perjuicio de que dependiendo de la información en específico todo el documento o expediente deba dejar de publicarse, por ampararse en su integridad en alguna causal de reserva, dada la conexión de su contenido con la información que el constituyente o el legislador decidió limitar en cuanto a su publicidad.</w:t>
      </w:r>
    </w:p>
    <w:p w14:paraId="587F7DDA" w14:textId="77777777" w:rsidR="00A42316" w:rsidRPr="00A42316" w:rsidRDefault="00A42316" w:rsidP="08937EA5">
      <w:pPr>
        <w:tabs>
          <w:tab w:val="left" w:pos="426"/>
        </w:tabs>
        <w:spacing w:after="0" w:line="276" w:lineRule="auto"/>
        <w:ind w:firstLine="709"/>
        <w:jc w:val="both"/>
        <w:rPr>
          <w:rFonts w:ascii="Century Gothic" w:eastAsia="Times New Roman" w:hAnsi="Century Gothic" w:cs="Arial"/>
          <w:color w:val="000000"/>
          <w:lang w:val="es-ES" w:eastAsia="en-GB"/>
        </w:rPr>
      </w:pPr>
      <w:r w:rsidRPr="08937EA5">
        <w:rPr>
          <w:rFonts w:ascii="Century Gothic" w:eastAsia="Times New Roman" w:hAnsi="Century Gothic" w:cs="Arial"/>
          <w:color w:val="000000" w:themeColor="text1"/>
          <w:lang w:val="es-ES" w:eastAsia="en-GB"/>
        </w:rPr>
        <w:t xml:space="preserve">En efecto, de conformidad con la Constitución y la jurisprudencia de las altas cortes, la reserva de información pública solo puede crearla el constituyente o el legislador. Además, como se viene explicando, para efectos de la consulta realizada a la Agencia, las Leyes estatutarias 1712 de 2014 y la 1755 de 2015 –que sustituyó los artículos 13 a 33 de la Ley 1437 de 2011– establecen reservas particulares de información pública. En armonía con lo anterior, cabe reiterar lo que se afirmó anteriormente en el sentido de que la creación de reservas de información pública es un asunto reservado al constituyente o al legislador. </w:t>
      </w:r>
    </w:p>
    <w:p w14:paraId="5F5B1AC8" w14:textId="77777777" w:rsidR="00A42316" w:rsidRPr="00A42316" w:rsidRDefault="00A42316" w:rsidP="00977A67">
      <w:pPr>
        <w:spacing w:after="0" w:line="276" w:lineRule="auto"/>
        <w:ind w:firstLine="709"/>
        <w:jc w:val="both"/>
        <w:rPr>
          <w:rFonts w:ascii="Century Gothic" w:hAnsi="Century Gothic" w:cs="Arial"/>
          <w:shd w:val="clear" w:color="auto" w:fill="FFFFFF"/>
          <w:lang w:val="es-ES_tradnl"/>
        </w:rPr>
      </w:pPr>
    </w:p>
    <w:p w14:paraId="048AD5FE" w14:textId="77777777" w:rsidR="00977A67" w:rsidRPr="004204E3" w:rsidRDefault="00977A67" w:rsidP="00977A67">
      <w:pPr>
        <w:spacing w:after="0" w:line="276" w:lineRule="auto"/>
        <w:contextualSpacing/>
        <w:jc w:val="both"/>
        <w:rPr>
          <w:rFonts w:ascii="Century Gothic" w:hAnsi="Century Gothic" w:cs="Arial"/>
          <w:bCs/>
          <w:lang w:val="es-MX"/>
        </w:rPr>
      </w:pPr>
    </w:p>
    <w:p w14:paraId="5D40318F" w14:textId="4D480CAC" w:rsidR="00977A67" w:rsidRDefault="00977A67" w:rsidP="002B60FD">
      <w:pPr>
        <w:pStyle w:val="ListParagraph"/>
        <w:numPr>
          <w:ilvl w:val="0"/>
          <w:numId w:val="18"/>
        </w:numPr>
        <w:tabs>
          <w:tab w:val="left" w:pos="284"/>
        </w:tabs>
        <w:spacing w:after="0" w:line="276" w:lineRule="auto"/>
        <w:jc w:val="both"/>
        <w:rPr>
          <w:rFonts w:ascii="Century Gothic" w:hAnsi="Century Gothic" w:cs="Arial"/>
          <w:b/>
          <w:lang w:val="es-MX"/>
        </w:rPr>
      </w:pPr>
      <w:r w:rsidRPr="002B60FD">
        <w:rPr>
          <w:rFonts w:ascii="Century Gothic" w:hAnsi="Century Gothic" w:cs="Arial"/>
          <w:b/>
          <w:lang w:val="es-MX"/>
        </w:rPr>
        <w:t>Respuesta</w:t>
      </w:r>
    </w:p>
    <w:p w14:paraId="0C47B7C2" w14:textId="77777777" w:rsidR="005045BB" w:rsidRDefault="005045BB" w:rsidP="005045BB">
      <w:pPr>
        <w:tabs>
          <w:tab w:val="left" w:pos="284"/>
        </w:tabs>
        <w:spacing w:after="0" w:line="276" w:lineRule="auto"/>
        <w:jc w:val="both"/>
        <w:rPr>
          <w:rFonts w:ascii="Century Gothic" w:hAnsi="Century Gothic" w:cs="Arial"/>
          <w:b/>
          <w:lang w:val="es-MX"/>
        </w:rPr>
      </w:pPr>
    </w:p>
    <w:p w14:paraId="0979C669" w14:textId="77777777" w:rsidR="00373B0C" w:rsidRPr="000F2337" w:rsidRDefault="00373B0C" w:rsidP="00373B0C">
      <w:pPr>
        <w:pStyle w:val="NormalWeb"/>
        <w:spacing w:line="270" w:lineRule="atLeast"/>
        <w:ind w:left="709" w:right="709"/>
        <w:jc w:val="both"/>
        <w:rPr>
          <w:rFonts w:ascii="Century Gothic" w:hAnsi="Century Gothic" w:cs="Calibri"/>
          <w:sz w:val="20"/>
          <w:szCs w:val="20"/>
          <w:lang w:val="es-ES" w:eastAsia="es-ES"/>
        </w:rPr>
      </w:pPr>
      <w:r w:rsidRPr="000F2337">
        <w:rPr>
          <w:rFonts w:ascii="Century Gothic" w:hAnsi="Century Gothic" w:cs="Arial"/>
          <w:sz w:val="20"/>
          <w:szCs w:val="20"/>
        </w:rPr>
        <w:t>“solicito</w:t>
      </w:r>
      <w:r w:rsidRPr="000F2337">
        <w:rPr>
          <w:rFonts w:ascii="Century Gothic" w:hAnsi="Century Gothic" w:cs="Calibri"/>
          <w:sz w:val="20"/>
          <w:szCs w:val="20"/>
          <w:lang w:val="es-ES" w:eastAsia="es-ES"/>
        </w:rPr>
        <w:t xml:space="preserve"> se aclare la respuesta dada en concepto   C 460 de 2003, por medio de la cual se indica que las entidades co</w:t>
      </w:r>
      <w:r>
        <w:rPr>
          <w:rFonts w:ascii="Century Gothic" w:hAnsi="Century Gothic" w:cs="Calibri"/>
          <w:sz w:val="20"/>
          <w:szCs w:val="20"/>
          <w:lang w:val="es-ES" w:eastAsia="es-ES"/>
        </w:rPr>
        <w:t>m</w:t>
      </w:r>
      <w:r w:rsidRPr="000F2337">
        <w:rPr>
          <w:rFonts w:ascii="Century Gothic" w:hAnsi="Century Gothic" w:cs="Calibri"/>
          <w:sz w:val="20"/>
          <w:szCs w:val="20"/>
          <w:lang w:val="es-ES" w:eastAsia="es-ES"/>
        </w:rPr>
        <w:t xml:space="preserve">o régimen exceptuado están en libertad para utilizar discrecionalmente la plataforma SECOP 2 de manera transaccional, sosteniendo que la misma puede ser utilizada simplemente como mecanismo de publicidad. </w:t>
      </w:r>
    </w:p>
    <w:p w14:paraId="1FBD7081" w14:textId="77777777" w:rsidR="00373B0C" w:rsidRPr="000F2337" w:rsidRDefault="00373B0C" w:rsidP="00373B0C">
      <w:pPr>
        <w:pStyle w:val="NormalWeb"/>
        <w:spacing w:line="270" w:lineRule="atLeast"/>
        <w:ind w:left="709" w:right="709"/>
        <w:jc w:val="both"/>
        <w:rPr>
          <w:rFonts w:ascii="Century Gothic" w:hAnsi="Century Gothic" w:cstheme="minorHAnsi"/>
          <w:sz w:val="20"/>
          <w:szCs w:val="20"/>
          <w:shd w:val="clear" w:color="auto" w:fill="FFFFFF"/>
        </w:rPr>
      </w:pPr>
      <w:r>
        <w:rPr>
          <w:rFonts w:ascii="Century Gothic" w:hAnsi="Century Gothic" w:cstheme="minorHAnsi"/>
          <w:sz w:val="20"/>
          <w:szCs w:val="20"/>
          <w:shd w:val="clear" w:color="auto" w:fill="FFFFFF"/>
        </w:rPr>
        <w:t xml:space="preserve">Por lo anterior y previamente a la interposición de una acción popular por moralidad administrativa y </w:t>
      </w:r>
      <w:r w:rsidRPr="000F2337">
        <w:rPr>
          <w:rFonts w:ascii="Century Gothic" w:hAnsi="Century Gothic" w:cstheme="minorHAnsi"/>
          <w:sz w:val="20"/>
          <w:szCs w:val="20"/>
          <w:shd w:val="clear" w:color="auto" w:fill="FFFFFF"/>
        </w:rPr>
        <w:t>transparencia contra el DAPRE y la Agencia Colombia Compra Eficiente, solicito:</w:t>
      </w:r>
    </w:p>
    <w:p w14:paraId="4191CDD8" w14:textId="77777777" w:rsidR="00373B0C" w:rsidRPr="000F2337" w:rsidRDefault="00373B0C" w:rsidP="00373B0C">
      <w:pPr>
        <w:pStyle w:val="NormalWeb"/>
        <w:numPr>
          <w:ilvl w:val="0"/>
          <w:numId w:val="18"/>
        </w:numPr>
        <w:spacing w:line="270" w:lineRule="atLeast"/>
        <w:ind w:left="709" w:right="709"/>
        <w:jc w:val="both"/>
        <w:rPr>
          <w:rFonts w:ascii="Century Gothic" w:hAnsi="Century Gothic" w:cstheme="minorHAnsi"/>
          <w:sz w:val="20"/>
          <w:szCs w:val="20"/>
          <w:shd w:val="clear" w:color="auto" w:fill="FFFFFF"/>
        </w:rPr>
      </w:pPr>
      <w:r w:rsidRPr="000F2337">
        <w:rPr>
          <w:rFonts w:ascii="Century Gothic" w:hAnsi="Century Gothic" w:cstheme="minorHAnsi"/>
          <w:sz w:val="20"/>
          <w:szCs w:val="20"/>
          <w:shd w:val="clear" w:color="auto" w:fill="FFFFFF"/>
        </w:rPr>
        <w:t xml:space="preserve"> Se aclare si la Agencia Colombia Compra considera que las entidades exceptuadas de conformidad con el art. 53 de la ley 2195 pueden </w:t>
      </w:r>
      <w:r w:rsidRPr="000F2337">
        <w:rPr>
          <w:rFonts w:ascii="Century Gothic" w:hAnsi="Century Gothic" w:cstheme="minorHAnsi"/>
          <w:b/>
          <w:sz w:val="20"/>
          <w:szCs w:val="20"/>
          <w:shd w:val="clear" w:color="auto" w:fill="FFFFFF"/>
        </w:rPr>
        <w:t>discrecionalmente</w:t>
      </w:r>
      <w:r w:rsidRPr="000F2337">
        <w:rPr>
          <w:rFonts w:ascii="Century Gothic" w:hAnsi="Century Gothic" w:cstheme="minorHAnsi"/>
          <w:sz w:val="20"/>
          <w:szCs w:val="20"/>
          <w:shd w:val="clear" w:color="auto" w:fill="FFFFFF"/>
        </w:rPr>
        <w:t xml:space="preserve"> utilizar o no la plataforma SECOP 2 de manera transaccional o simplemente como plataforma de publicidad.  </w:t>
      </w:r>
    </w:p>
    <w:p w14:paraId="1192AE2A" w14:textId="77777777" w:rsidR="00373B0C" w:rsidRPr="000F2337" w:rsidRDefault="00373B0C" w:rsidP="00373B0C">
      <w:pPr>
        <w:pStyle w:val="NormalWeb"/>
        <w:numPr>
          <w:ilvl w:val="0"/>
          <w:numId w:val="18"/>
        </w:numPr>
        <w:tabs>
          <w:tab w:val="left" w:pos="426"/>
        </w:tabs>
        <w:spacing w:line="276" w:lineRule="auto"/>
        <w:ind w:left="709" w:right="709"/>
        <w:jc w:val="both"/>
        <w:rPr>
          <w:rFonts w:ascii="Century Gothic" w:hAnsi="Century Gothic" w:cs="Arial"/>
          <w:sz w:val="20"/>
          <w:szCs w:val="20"/>
        </w:rPr>
      </w:pPr>
      <w:r w:rsidRPr="000F2337">
        <w:rPr>
          <w:rFonts w:ascii="Century Gothic" w:hAnsi="Century Gothic" w:cstheme="minorHAnsi"/>
          <w:sz w:val="20"/>
          <w:szCs w:val="20"/>
          <w:shd w:val="clear" w:color="auto" w:fill="FFFFFF"/>
        </w:rPr>
        <w:t>Si se considera que el uso es simplemente de publicidad, la publicación de la gestión contractual de dichas entidades exceptuadas se puede realizar en físico o en correos electrónicos y luego de celebrado el contrato publicar en SECOP 2 o si dicha publicación de cada actuación (presentación propuesta, evaluación, subsanación, ¿etc.) debe hacerse automáticamente?”</w:t>
      </w:r>
      <w:r w:rsidRPr="000F2337">
        <w:rPr>
          <w:rFonts w:ascii="Century Gothic" w:hAnsi="Century Gothic" w:cs="Arial"/>
          <w:sz w:val="20"/>
          <w:szCs w:val="20"/>
        </w:rPr>
        <w:t xml:space="preserve"> (SIC) […]</w:t>
      </w:r>
    </w:p>
    <w:p w14:paraId="742B78ED" w14:textId="77777777" w:rsidR="00650E70" w:rsidRDefault="00650E70" w:rsidP="00650E70">
      <w:pPr>
        <w:spacing w:after="120" w:line="276" w:lineRule="auto"/>
        <w:jc w:val="both"/>
        <w:rPr>
          <w:rFonts w:ascii="Century Gothic" w:hAnsi="Century Gothic" w:cs="Arial"/>
        </w:rPr>
      </w:pPr>
    </w:p>
    <w:p w14:paraId="01AB2E85" w14:textId="77777777" w:rsidR="00650E70" w:rsidRDefault="00650E70" w:rsidP="00650E70">
      <w:pPr>
        <w:spacing w:after="120" w:line="276" w:lineRule="auto"/>
        <w:jc w:val="both"/>
        <w:rPr>
          <w:rFonts w:ascii="Century Gothic" w:hAnsi="Century Gothic" w:cs="Arial"/>
        </w:rPr>
      </w:pPr>
    </w:p>
    <w:p w14:paraId="6D90E9C1" w14:textId="42CB05D2" w:rsidR="00650E70" w:rsidRPr="00650E70" w:rsidRDefault="00650E70" w:rsidP="00650E70">
      <w:pPr>
        <w:spacing w:after="120" w:line="276" w:lineRule="auto"/>
        <w:ind w:firstLine="349"/>
        <w:jc w:val="both"/>
        <w:rPr>
          <w:rFonts w:ascii="Century Gothic" w:hAnsi="Century Gothic" w:cs="Arial"/>
        </w:rPr>
      </w:pPr>
      <w:r w:rsidRPr="00650E70">
        <w:rPr>
          <w:rFonts w:ascii="Century Gothic" w:hAnsi="Century Gothic" w:cs="Arial"/>
        </w:rPr>
        <w:t>De acuerdo con lo explicado supra, en virtud de lo dispuesto en los artículos 3, numeral 5° y 11, numeral 8° del Decreto Ley 4170 de 2011, la Agencia Nacional de Contratación Pública –Colombia Compra Eficiente– resuelve las consultas sobre los asuntos de su competencia, esto es, sobre las temáticas de la contratación estatal y compras públicas relacionadas en la aplicación de normas de alcance general. Dicha competencia no puede extenderse a la resolución de casos particulares, brindar asesorías o validar actuaciones de Entidades Estatales, toda vez que ello desborda las atribuciones asignadas por el legislador extraordinario.</w:t>
      </w:r>
    </w:p>
    <w:p w14:paraId="29CEFBC1" w14:textId="46ECE8C7" w:rsidR="005045BB" w:rsidRPr="00233B93" w:rsidRDefault="00233B93" w:rsidP="005045BB">
      <w:pPr>
        <w:tabs>
          <w:tab w:val="left" w:pos="284"/>
        </w:tabs>
        <w:spacing w:after="0" w:line="276" w:lineRule="auto"/>
        <w:jc w:val="both"/>
        <w:rPr>
          <w:rFonts w:ascii="Century Gothic" w:hAnsi="Century Gothic" w:cs="Arial"/>
          <w:bCs/>
          <w:lang w:val="es-ES"/>
        </w:rPr>
      </w:pPr>
      <w:r w:rsidRPr="00233B93">
        <w:rPr>
          <w:rFonts w:ascii="Century Gothic" w:hAnsi="Century Gothic" w:cs="Arial"/>
          <w:bCs/>
          <w:lang w:val="es-ES"/>
        </w:rPr>
        <w:t>Así las cosas,</w:t>
      </w:r>
      <w:r>
        <w:rPr>
          <w:rFonts w:ascii="Century Gothic" w:hAnsi="Century Gothic" w:cs="Arial"/>
          <w:bCs/>
          <w:lang w:val="es-ES"/>
        </w:rPr>
        <w:t xml:space="preserve"> con relación al deber de publicidad que les asiste a las </w:t>
      </w:r>
      <w:r w:rsidR="004E1DB9">
        <w:rPr>
          <w:rFonts w:ascii="Century Gothic" w:hAnsi="Century Gothic" w:cs="Arial"/>
          <w:bCs/>
          <w:lang w:val="es-ES"/>
        </w:rPr>
        <w:t xml:space="preserve">entidades </w:t>
      </w:r>
      <w:r w:rsidR="00464B21">
        <w:rPr>
          <w:rFonts w:ascii="Century Gothic" w:hAnsi="Century Gothic" w:cs="Arial"/>
          <w:bCs/>
          <w:lang w:val="es-ES"/>
        </w:rPr>
        <w:t>no sometida</w:t>
      </w:r>
      <w:r w:rsidR="00D7311B">
        <w:rPr>
          <w:rFonts w:ascii="Century Gothic" w:hAnsi="Century Gothic" w:cs="Arial"/>
          <w:bCs/>
          <w:lang w:val="es-ES"/>
        </w:rPr>
        <w:t xml:space="preserve">s </w:t>
      </w:r>
      <w:r w:rsidR="00CB53AB">
        <w:rPr>
          <w:rFonts w:ascii="Century Gothic" w:hAnsi="Century Gothic" w:cs="Arial"/>
          <w:bCs/>
          <w:lang w:val="es-ES"/>
        </w:rPr>
        <w:t>y obligadas por el Estatuto General de</w:t>
      </w:r>
      <w:r w:rsidR="002E4818">
        <w:rPr>
          <w:rFonts w:ascii="Century Gothic" w:hAnsi="Century Gothic" w:cs="Arial"/>
          <w:bCs/>
          <w:lang w:val="es-ES"/>
        </w:rPr>
        <w:t xml:space="preserve"> </w:t>
      </w:r>
      <w:r w:rsidR="009A79A1">
        <w:rPr>
          <w:rFonts w:ascii="Century Gothic" w:hAnsi="Century Gothic" w:cs="Arial"/>
          <w:bCs/>
          <w:lang w:val="es-ES"/>
        </w:rPr>
        <w:t>C</w:t>
      </w:r>
      <w:r w:rsidR="002E4818">
        <w:rPr>
          <w:rFonts w:ascii="Century Gothic" w:hAnsi="Century Gothic" w:cs="Arial"/>
          <w:bCs/>
          <w:lang w:val="es-ES"/>
        </w:rPr>
        <w:t xml:space="preserve">ontratación de la </w:t>
      </w:r>
      <w:r w:rsidR="00CB53AB">
        <w:rPr>
          <w:rFonts w:ascii="Century Gothic" w:hAnsi="Century Gothic" w:cs="Arial"/>
          <w:bCs/>
          <w:lang w:val="es-ES"/>
        </w:rPr>
        <w:t xml:space="preserve"> Administración </w:t>
      </w:r>
      <w:r w:rsidR="004E1DB9">
        <w:rPr>
          <w:rFonts w:ascii="Century Gothic" w:hAnsi="Century Gothic" w:cs="Arial"/>
          <w:bCs/>
          <w:lang w:val="es-ES"/>
        </w:rPr>
        <w:t>pública</w:t>
      </w:r>
      <w:r w:rsidR="00CB53AB">
        <w:rPr>
          <w:rFonts w:ascii="Century Gothic" w:hAnsi="Century Gothic" w:cs="Arial"/>
          <w:bCs/>
          <w:lang w:val="es-ES"/>
        </w:rPr>
        <w:t xml:space="preserve"> </w:t>
      </w:r>
      <w:r w:rsidR="00F24AB2">
        <w:rPr>
          <w:rFonts w:ascii="Century Gothic" w:hAnsi="Century Gothic" w:cs="Arial"/>
          <w:bCs/>
          <w:lang w:val="es-ES"/>
        </w:rPr>
        <w:t>– Ley 80 de 1993</w:t>
      </w:r>
      <w:r w:rsidR="004E1DB9">
        <w:rPr>
          <w:rFonts w:ascii="Century Gothic" w:hAnsi="Century Gothic" w:cs="Arial"/>
          <w:bCs/>
          <w:lang w:val="es-ES"/>
        </w:rPr>
        <w:t xml:space="preserve"> es menester resaltar que este es un </w:t>
      </w:r>
      <w:r w:rsidR="00213990">
        <w:rPr>
          <w:rFonts w:ascii="Century Gothic" w:hAnsi="Century Gothic" w:cs="Arial"/>
          <w:bCs/>
          <w:lang w:val="es-ES"/>
        </w:rPr>
        <w:t xml:space="preserve"> principio constitucional </w:t>
      </w:r>
      <w:r w:rsidR="006E4DC5">
        <w:rPr>
          <w:rFonts w:ascii="Century Gothic" w:hAnsi="Century Gothic" w:cs="Arial"/>
          <w:bCs/>
          <w:lang w:val="es-ES"/>
        </w:rPr>
        <w:t>el cual ha sido desarrollado en parte por la Ley 2195 de 2022</w:t>
      </w:r>
      <w:r w:rsidR="00815699">
        <w:rPr>
          <w:rFonts w:ascii="Century Gothic" w:hAnsi="Century Gothic" w:cs="Arial"/>
          <w:bCs/>
          <w:lang w:val="es-ES"/>
        </w:rPr>
        <w:t xml:space="preserve">, en </w:t>
      </w:r>
      <w:r w:rsidR="00564A06">
        <w:rPr>
          <w:rFonts w:ascii="Century Gothic" w:hAnsi="Century Gothic" w:cs="Arial"/>
          <w:bCs/>
          <w:lang w:val="es-ES"/>
        </w:rPr>
        <w:t>consecuencia</w:t>
      </w:r>
      <w:r w:rsidR="00865F91">
        <w:rPr>
          <w:rFonts w:ascii="Century Gothic" w:hAnsi="Century Gothic" w:cs="Arial"/>
          <w:bCs/>
          <w:lang w:val="es-ES"/>
        </w:rPr>
        <w:t>,</w:t>
      </w:r>
      <w:r w:rsidR="00564A06">
        <w:rPr>
          <w:rFonts w:ascii="Century Gothic" w:hAnsi="Century Gothic" w:cs="Arial"/>
          <w:bCs/>
          <w:lang w:val="es-ES"/>
        </w:rPr>
        <w:t xml:space="preserve"> </w:t>
      </w:r>
      <w:r w:rsidR="000A2CC6">
        <w:rPr>
          <w:rFonts w:ascii="Century Gothic" w:hAnsi="Century Gothic" w:cs="Arial"/>
          <w:bCs/>
          <w:lang w:val="es-ES"/>
        </w:rPr>
        <w:t xml:space="preserve">la obligatoriedad </w:t>
      </w:r>
      <w:r w:rsidR="004344A8">
        <w:rPr>
          <w:rFonts w:ascii="Century Gothic" w:hAnsi="Century Gothic" w:cs="Arial"/>
          <w:bCs/>
          <w:lang w:val="es-ES"/>
        </w:rPr>
        <w:t xml:space="preserve">para las entidades no sometidas al Estatuto </w:t>
      </w:r>
      <w:r w:rsidR="000A2CC6">
        <w:rPr>
          <w:rFonts w:ascii="Century Gothic" w:hAnsi="Century Gothic" w:cs="Arial"/>
          <w:bCs/>
          <w:lang w:val="es-ES"/>
        </w:rPr>
        <w:t xml:space="preserve">recae sobre la publicación de los documentos relacionados con la actividad contractual en el Sistema </w:t>
      </w:r>
      <w:r w:rsidR="00BD6062">
        <w:rPr>
          <w:rFonts w:ascii="Century Gothic" w:hAnsi="Century Gothic" w:cs="Arial"/>
          <w:bCs/>
          <w:lang w:val="es-ES"/>
        </w:rPr>
        <w:t>Electrónico</w:t>
      </w:r>
      <w:r w:rsidR="000A2CC6">
        <w:rPr>
          <w:rFonts w:ascii="Century Gothic" w:hAnsi="Century Gothic" w:cs="Arial"/>
          <w:bCs/>
          <w:lang w:val="es-ES"/>
        </w:rPr>
        <w:t xml:space="preserve"> para la </w:t>
      </w:r>
      <w:r w:rsidR="00BD6062">
        <w:rPr>
          <w:rFonts w:ascii="Century Gothic" w:hAnsi="Century Gothic" w:cs="Arial"/>
          <w:bCs/>
          <w:lang w:val="es-ES"/>
        </w:rPr>
        <w:t>Contratación</w:t>
      </w:r>
      <w:r w:rsidR="000A2CC6">
        <w:rPr>
          <w:rFonts w:ascii="Century Gothic" w:hAnsi="Century Gothic" w:cs="Arial"/>
          <w:bCs/>
          <w:lang w:val="es-ES"/>
        </w:rPr>
        <w:t xml:space="preserve"> </w:t>
      </w:r>
      <w:r w:rsidR="00BD6062">
        <w:rPr>
          <w:rFonts w:ascii="Century Gothic" w:hAnsi="Century Gothic" w:cs="Arial"/>
          <w:bCs/>
          <w:lang w:val="es-ES"/>
        </w:rPr>
        <w:t>Pública</w:t>
      </w:r>
      <w:r w:rsidR="000A2CC6">
        <w:rPr>
          <w:rFonts w:ascii="Century Gothic" w:hAnsi="Century Gothic" w:cs="Arial"/>
          <w:bCs/>
          <w:lang w:val="es-ES"/>
        </w:rPr>
        <w:t xml:space="preserve"> ( SECOP</w:t>
      </w:r>
      <w:r w:rsidR="00BD6062">
        <w:rPr>
          <w:rFonts w:ascii="Century Gothic" w:hAnsi="Century Gothic" w:cs="Arial"/>
          <w:bCs/>
          <w:lang w:val="es-ES"/>
        </w:rPr>
        <w:t xml:space="preserve"> II) o la plataforma que haga sus veces. </w:t>
      </w:r>
      <w:r w:rsidR="00024870">
        <w:rPr>
          <w:rFonts w:ascii="Century Gothic" w:hAnsi="Century Gothic" w:cs="Arial"/>
          <w:bCs/>
          <w:lang w:val="es-ES"/>
        </w:rPr>
        <w:t>Ahora bien, con todo y lo anterior</w:t>
      </w:r>
      <w:r w:rsidR="00CB5586">
        <w:rPr>
          <w:rFonts w:ascii="Century Gothic" w:hAnsi="Century Gothic" w:cs="Arial"/>
          <w:bCs/>
          <w:lang w:val="es-ES"/>
        </w:rPr>
        <w:t xml:space="preserve"> es importante resaltar </w:t>
      </w:r>
      <w:r w:rsidR="00ED7F08">
        <w:rPr>
          <w:rFonts w:ascii="Century Gothic" w:hAnsi="Century Gothic" w:cs="Arial"/>
          <w:bCs/>
          <w:lang w:val="es-ES"/>
        </w:rPr>
        <w:t>que las</w:t>
      </w:r>
      <w:r w:rsidR="00672B47">
        <w:rPr>
          <w:rFonts w:ascii="Century Gothic" w:hAnsi="Century Gothic" w:cs="Arial"/>
          <w:bCs/>
          <w:lang w:val="es-ES"/>
        </w:rPr>
        <w:t xml:space="preserve"> entidades </w:t>
      </w:r>
      <w:r w:rsidR="005F46BA">
        <w:rPr>
          <w:rFonts w:ascii="Century Gothic" w:hAnsi="Century Gothic" w:cs="Arial"/>
          <w:bCs/>
          <w:lang w:val="es-ES"/>
        </w:rPr>
        <w:t>pueden hacer</w:t>
      </w:r>
      <w:r w:rsidR="009A7226">
        <w:rPr>
          <w:rFonts w:ascii="Century Gothic" w:hAnsi="Century Gothic" w:cs="Arial"/>
          <w:bCs/>
          <w:lang w:val="es-ES"/>
        </w:rPr>
        <w:t xml:space="preserve"> transacciones en</w:t>
      </w:r>
      <w:r w:rsidR="005F46BA">
        <w:rPr>
          <w:rFonts w:ascii="Century Gothic" w:hAnsi="Century Gothic" w:cs="Arial"/>
          <w:bCs/>
          <w:lang w:val="es-ES"/>
        </w:rPr>
        <w:t xml:space="preserve"> la </w:t>
      </w:r>
      <w:r w:rsidR="00EB52B0">
        <w:rPr>
          <w:rFonts w:ascii="Century Gothic" w:hAnsi="Century Gothic" w:cs="Arial"/>
          <w:bCs/>
          <w:lang w:val="es-ES"/>
        </w:rPr>
        <w:t xml:space="preserve">plataforma </w:t>
      </w:r>
      <w:r w:rsidR="00CB5586">
        <w:rPr>
          <w:rFonts w:ascii="Century Gothic" w:hAnsi="Century Gothic" w:cs="Arial"/>
          <w:bCs/>
          <w:lang w:val="es-ES"/>
        </w:rPr>
        <w:t xml:space="preserve">lo cual se </w:t>
      </w:r>
      <w:r w:rsidR="00E50ACF">
        <w:rPr>
          <w:rFonts w:ascii="Century Gothic" w:hAnsi="Century Gothic" w:cs="Arial"/>
          <w:bCs/>
          <w:lang w:val="es-ES"/>
        </w:rPr>
        <w:t xml:space="preserve">contemplaría como una buena </w:t>
      </w:r>
      <w:r w:rsidR="00ED7F08">
        <w:rPr>
          <w:rFonts w:ascii="Century Gothic" w:hAnsi="Century Gothic" w:cs="Arial"/>
          <w:bCs/>
          <w:lang w:val="es-ES"/>
        </w:rPr>
        <w:t>práctica</w:t>
      </w:r>
      <w:r w:rsidR="00E50ACF">
        <w:rPr>
          <w:rFonts w:ascii="Century Gothic" w:hAnsi="Century Gothic" w:cs="Arial"/>
          <w:bCs/>
          <w:lang w:val="es-ES"/>
        </w:rPr>
        <w:t xml:space="preserve"> contractual. </w:t>
      </w:r>
    </w:p>
    <w:p w14:paraId="722695A7" w14:textId="77777777" w:rsidR="002B60FD" w:rsidRDefault="002B60FD" w:rsidP="002B60FD">
      <w:pPr>
        <w:tabs>
          <w:tab w:val="left" w:pos="284"/>
        </w:tabs>
        <w:spacing w:after="0" w:line="276" w:lineRule="auto"/>
        <w:jc w:val="both"/>
        <w:rPr>
          <w:rFonts w:ascii="Century Gothic" w:hAnsi="Century Gothic" w:cs="Arial"/>
          <w:b/>
          <w:lang w:val="es-MX"/>
        </w:rPr>
      </w:pPr>
    </w:p>
    <w:p w14:paraId="46E79D2D" w14:textId="77777777" w:rsidR="00A35B95" w:rsidRPr="00977A67" w:rsidRDefault="00A35B95" w:rsidP="00ED7F08">
      <w:pPr>
        <w:tabs>
          <w:tab w:val="left" w:pos="0"/>
        </w:tabs>
        <w:spacing w:line="276" w:lineRule="auto"/>
        <w:jc w:val="both"/>
        <w:rPr>
          <w:rFonts w:ascii="Century Gothic" w:hAnsi="Century Gothic" w:cs="Arial"/>
          <w:lang w:val="es-MX"/>
        </w:rPr>
      </w:pPr>
    </w:p>
    <w:p w14:paraId="31656C5C" w14:textId="45B2394F" w:rsidR="007959BC" w:rsidRPr="00A45A38" w:rsidRDefault="007959BC" w:rsidP="00B01695">
      <w:pPr>
        <w:shd w:val="clear" w:color="auto" w:fill="FFFFFF" w:themeFill="background1"/>
        <w:spacing w:after="0" w:line="276" w:lineRule="auto"/>
        <w:ind w:firstLine="708"/>
        <w:jc w:val="both"/>
        <w:textAlignment w:val="baseline"/>
        <w:rPr>
          <w:rFonts w:ascii="Century Gothic" w:hAnsi="Century Gothic" w:cs="Arial"/>
          <w:color w:val="000000" w:themeColor="text1"/>
          <w:lang w:eastAsia="es-MX"/>
        </w:rPr>
      </w:pPr>
      <w:r w:rsidRPr="00A45A38">
        <w:rPr>
          <w:rFonts w:ascii="Century Gothic" w:hAnsi="Century Gothic" w:cs="Arial"/>
          <w:color w:val="000000" w:themeColor="text1"/>
          <w:lang w:eastAsia="es-MX"/>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1AFAC856" w14:textId="77777777" w:rsidR="007959BC" w:rsidRPr="00A45A38" w:rsidRDefault="007959BC" w:rsidP="007959BC">
      <w:pPr>
        <w:spacing w:after="0" w:line="276" w:lineRule="auto"/>
        <w:contextualSpacing/>
        <w:jc w:val="both"/>
        <w:textAlignment w:val="baseline"/>
        <w:rPr>
          <w:rFonts w:ascii="Century Gothic" w:hAnsi="Century Gothic" w:cs="Arial"/>
          <w:lang w:val="es-ES"/>
        </w:rPr>
      </w:pPr>
    </w:p>
    <w:p w14:paraId="21E44696" w14:textId="77777777" w:rsidR="007959BC" w:rsidRPr="00A45A38" w:rsidRDefault="007959BC" w:rsidP="007959BC">
      <w:pPr>
        <w:spacing w:after="0" w:line="276" w:lineRule="auto"/>
        <w:contextualSpacing/>
        <w:jc w:val="both"/>
        <w:textAlignment w:val="baseline"/>
        <w:rPr>
          <w:rFonts w:ascii="Century Gothic" w:eastAsia="Times New Roman" w:hAnsi="Century Gothic" w:cs="Arial"/>
          <w:lang w:eastAsia="es-CO"/>
        </w:rPr>
      </w:pPr>
      <w:r w:rsidRPr="00A45A38">
        <w:rPr>
          <w:rFonts w:ascii="Century Gothic" w:hAnsi="Century Gothic" w:cs="Arial"/>
          <w:lang w:val="es-ES"/>
        </w:rPr>
        <w:t>Atentamente</w:t>
      </w:r>
      <w:r w:rsidRPr="00A45A38">
        <w:rPr>
          <w:rFonts w:ascii="Century Gothic" w:eastAsia="Times New Roman" w:hAnsi="Century Gothic" w:cs="Arial"/>
          <w:lang w:val="es-MX" w:eastAsia="es-CO"/>
        </w:rPr>
        <w:t>,</w:t>
      </w:r>
      <w:r w:rsidRPr="00A45A38">
        <w:rPr>
          <w:rFonts w:ascii="Century Gothic" w:eastAsia="Times New Roman" w:hAnsi="Century Gothic" w:cs="Arial"/>
          <w:lang w:eastAsia="es-CO"/>
        </w:rPr>
        <w:t> </w:t>
      </w:r>
    </w:p>
    <w:p w14:paraId="06D09903" w14:textId="77777777" w:rsidR="00F03B99" w:rsidRDefault="00F03B99" w:rsidP="007959BC">
      <w:pPr>
        <w:spacing w:after="0" w:line="276" w:lineRule="auto"/>
        <w:jc w:val="center"/>
        <w:textAlignment w:val="baseline"/>
        <w:rPr>
          <w:rFonts w:ascii="Century Gothic" w:eastAsia="Times New Roman" w:hAnsi="Century Gothic" w:cs="Arial"/>
          <w:sz w:val="18"/>
          <w:szCs w:val="18"/>
          <w:lang w:eastAsia="es-CO"/>
        </w:rPr>
      </w:pPr>
    </w:p>
    <w:p w14:paraId="254217D4" w14:textId="42E59649" w:rsidR="0066747D" w:rsidRDefault="00705C5A" w:rsidP="00705C5A">
      <w:pPr>
        <w:spacing w:after="0" w:line="276" w:lineRule="auto"/>
        <w:jc w:val="center"/>
        <w:textAlignment w:val="baseline"/>
        <w:rPr>
          <w:rFonts w:ascii="Century Gothic" w:eastAsia="Times New Roman" w:hAnsi="Century Gothic" w:cs="Arial"/>
          <w:sz w:val="18"/>
          <w:szCs w:val="18"/>
          <w:lang w:eastAsia="es-CO"/>
        </w:rPr>
      </w:pPr>
      <w:r w:rsidRPr="00705C5A">
        <w:rPr>
          <w:rFonts w:ascii="Century Gothic" w:eastAsia="Times New Roman" w:hAnsi="Century Gothic" w:cs="Arial"/>
          <w:noProof/>
          <w:sz w:val="18"/>
          <w:szCs w:val="18"/>
          <w:lang w:eastAsia="es-CO"/>
        </w:rPr>
        <w:drawing>
          <wp:inline distT="0" distB="0" distL="0" distR="0" wp14:anchorId="5501012A" wp14:editId="77BA5897">
            <wp:extent cx="3154680" cy="1211580"/>
            <wp:effectExtent l="0" t="0" r="7620" b="7620"/>
            <wp:docPr id="1145605376" name="Imagen 1" descr="C:\Users\ghinestroza\AppData\Local\Microsoft\Windows\INetCache\Content.MSO\9A8B54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hinestroza\AppData\Local\Microsoft\Windows\INetCache\Content.MSO\9A8B54F8.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4680" cy="1211580"/>
                    </a:xfrm>
                    <a:prstGeom prst="rect">
                      <a:avLst/>
                    </a:prstGeom>
                    <a:noFill/>
                    <a:ln>
                      <a:noFill/>
                    </a:ln>
                  </pic:spPr>
                </pic:pic>
              </a:graphicData>
            </a:graphic>
          </wp:inline>
        </w:drawing>
      </w:r>
      <w:r w:rsidRPr="00705C5A">
        <w:rPr>
          <w:rFonts w:ascii="Century Gothic" w:eastAsia="Times New Roman" w:hAnsi="Century Gothic" w:cs="Arial"/>
          <w:sz w:val="18"/>
          <w:szCs w:val="18"/>
          <w:lang w:eastAsia="es-CO"/>
        </w:rPr>
        <w:br/>
      </w:r>
    </w:p>
    <w:p w14:paraId="4B5A9EE6" w14:textId="77777777" w:rsidR="0066747D" w:rsidRPr="00A45A38" w:rsidRDefault="0066747D" w:rsidP="007959BC">
      <w:pPr>
        <w:spacing w:after="0" w:line="276" w:lineRule="auto"/>
        <w:jc w:val="center"/>
        <w:textAlignment w:val="baseline"/>
        <w:rPr>
          <w:rFonts w:ascii="Century Gothic" w:eastAsia="Times New Roman" w:hAnsi="Century Gothic" w:cs="Arial"/>
          <w:sz w:val="18"/>
          <w:szCs w:val="18"/>
          <w:lang w:eastAsia="es-CO"/>
        </w:rPr>
      </w:pPr>
    </w:p>
    <w:tbl>
      <w:tblPr>
        <w:tblW w:w="74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2"/>
        <w:gridCol w:w="6287"/>
      </w:tblGrid>
      <w:tr w:rsidR="007959BC" w:rsidRPr="00A45A38" w14:paraId="1F2D786F" w14:textId="77777777">
        <w:trPr>
          <w:trHeight w:val="441"/>
        </w:trPr>
        <w:tc>
          <w:tcPr>
            <w:tcW w:w="1122" w:type="dxa"/>
            <w:tcBorders>
              <w:top w:val="nil"/>
              <w:left w:val="nil"/>
              <w:bottom w:val="nil"/>
              <w:right w:val="nil"/>
            </w:tcBorders>
            <w:vAlign w:val="center"/>
            <w:hideMark/>
          </w:tcPr>
          <w:p w14:paraId="7C971A7B" w14:textId="77777777" w:rsidR="007959BC" w:rsidRPr="00A45A38" w:rsidRDefault="007959BC">
            <w:pPr>
              <w:spacing w:after="0" w:line="276" w:lineRule="auto"/>
              <w:jc w:val="both"/>
              <w:textAlignment w:val="baseline"/>
              <w:rPr>
                <w:rFonts w:ascii="Century Gothic" w:eastAsia="Times New Roman" w:hAnsi="Century Gothic" w:cs="Arial"/>
                <w:sz w:val="18"/>
                <w:szCs w:val="18"/>
                <w:lang w:eastAsia="es-CO"/>
              </w:rPr>
            </w:pPr>
            <w:r w:rsidRPr="00A45A38">
              <w:rPr>
                <w:rFonts w:ascii="Century Gothic" w:eastAsia="Times New Roman" w:hAnsi="Century Gothic" w:cs="Arial"/>
                <w:sz w:val="18"/>
                <w:szCs w:val="18"/>
                <w:lang w:val="es-MX" w:eastAsia="es-CO"/>
              </w:rPr>
              <w:t>Elaboró:</w:t>
            </w:r>
            <w:r w:rsidRPr="00A45A38">
              <w:rPr>
                <w:rFonts w:ascii="Century Gothic" w:eastAsia="Times New Roman" w:hAnsi="Century Gothic" w:cs="Arial"/>
                <w:sz w:val="18"/>
                <w:szCs w:val="18"/>
                <w:lang w:eastAsia="es-CO"/>
              </w:rPr>
              <w:t> </w:t>
            </w:r>
          </w:p>
        </w:tc>
        <w:tc>
          <w:tcPr>
            <w:tcW w:w="6287" w:type="dxa"/>
            <w:tcBorders>
              <w:top w:val="nil"/>
              <w:left w:val="nil"/>
              <w:bottom w:val="dotted" w:sz="6" w:space="0" w:color="7F7F7F"/>
              <w:right w:val="nil"/>
            </w:tcBorders>
            <w:vAlign w:val="center"/>
            <w:hideMark/>
          </w:tcPr>
          <w:p w14:paraId="4BDFE0A9" w14:textId="1D41D699" w:rsidR="007959BC" w:rsidRPr="00591C74" w:rsidRDefault="0066747D">
            <w:pPr>
              <w:spacing w:after="0" w:line="240" w:lineRule="auto"/>
              <w:jc w:val="both"/>
              <w:textAlignment w:val="baseline"/>
              <w:rPr>
                <w:rFonts w:ascii="Century Gothic" w:eastAsia="Times New Roman" w:hAnsi="Century Gothic" w:cs="Arial"/>
                <w:sz w:val="16"/>
                <w:szCs w:val="16"/>
                <w:lang w:eastAsia="es-ES"/>
              </w:rPr>
            </w:pPr>
            <w:r w:rsidRPr="00591C74">
              <w:rPr>
                <w:rFonts w:ascii="Century Gothic" w:eastAsia="Times New Roman" w:hAnsi="Century Gothic" w:cs="Arial"/>
                <w:sz w:val="16"/>
                <w:szCs w:val="16"/>
                <w:lang w:eastAsia="es-ES"/>
              </w:rPr>
              <w:t>Hector Luis Quiñones Quiñones</w:t>
            </w:r>
          </w:p>
          <w:p w14:paraId="66BA9686" w14:textId="1724B83C" w:rsidR="007959BC" w:rsidRPr="00591C74" w:rsidRDefault="003F18EA">
            <w:pPr>
              <w:spacing w:after="0" w:line="240" w:lineRule="auto"/>
              <w:jc w:val="both"/>
              <w:textAlignment w:val="baseline"/>
              <w:rPr>
                <w:rFonts w:ascii="Century Gothic" w:eastAsia="Times New Roman" w:hAnsi="Century Gothic" w:cs="Arial"/>
                <w:sz w:val="16"/>
                <w:szCs w:val="16"/>
                <w:lang w:eastAsia="es-CO"/>
              </w:rPr>
            </w:pPr>
            <w:r w:rsidRPr="00591C74">
              <w:rPr>
                <w:rFonts w:ascii="Century Gothic" w:eastAsia="Times New Roman" w:hAnsi="Century Gothic" w:cs="Arial"/>
                <w:sz w:val="16"/>
                <w:szCs w:val="16"/>
                <w:lang w:eastAsia="es-ES"/>
              </w:rPr>
              <w:t>Analista T2-02</w:t>
            </w:r>
            <w:r w:rsidR="007959BC" w:rsidRPr="00591C74">
              <w:rPr>
                <w:rFonts w:ascii="Century Gothic" w:eastAsia="Times New Roman" w:hAnsi="Century Gothic" w:cs="Arial"/>
                <w:sz w:val="16"/>
                <w:szCs w:val="16"/>
                <w:lang w:eastAsia="es-ES"/>
              </w:rPr>
              <w:t xml:space="preserve"> de</w:t>
            </w:r>
            <w:r w:rsidRPr="00591C74">
              <w:rPr>
                <w:rFonts w:ascii="Century Gothic" w:eastAsia="Times New Roman" w:hAnsi="Century Gothic" w:cs="Arial"/>
                <w:sz w:val="16"/>
                <w:szCs w:val="16"/>
                <w:lang w:eastAsia="es-ES"/>
              </w:rPr>
              <w:t xml:space="preserve"> la Subdirección de Gestión</w:t>
            </w:r>
            <w:r w:rsidR="007959BC" w:rsidRPr="00591C74">
              <w:rPr>
                <w:rFonts w:ascii="Century Gothic" w:eastAsia="Times New Roman" w:hAnsi="Century Gothic" w:cs="Arial"/>
                <w:sz w:val="16"/>
                <w:szCs w:val="16"/>
                <w:lang w:eastAsia="es-ES"/>
              </w:rPr>
              <w:t xml:space="preserve"> Contractual</w:t>
            </w:r>
          </w:p>
        </w:tc>
      </w:tr>
      <w:tr w:rsidR="007959BC" w:rsidRPr="00A45A38" w14:paraId="44192DF3" w14:textId="77777777">
        <w:trPr>
          <w:trHeight w:val="441"/>
        </w:trPr>
        <w:tc>
          <w:tcPr>
            <w:tcW w:w="1122" w:type="dxa"/>
            <w:tcBorders>
              <w:top w:val="nil"/>
              <w:left w:val="nil"/>
              <w:bottom w:val="nil"/>
              <w:right w:val="nil"/>
            </w:tcBorders>
            <w:vAlign w:val="center"/>
            <w:hideMark/>
          </w:tcPr>
          <w:p w14:paraId="2E72076D" w14:textId="77777777" w:rsidR="007959BC" w:rsidRPr="00A45A38" w:rsidRDefault="007959BC">
            <w:pPr>
              <w:spacing w:after="0" w:line="276" w:lineRule="auto"/>
              <w:jc w:val="both"/>
              <w:textAlignment w:val="baseline"/>
              <w:rPr>
                <w:rFonts w:ascii="Century Gothic" w:eastAsia="Times New Roman" w:hAnsi="Century Gothic" w:cs="Arial"/>
                <w:sz w:val="18"/>
                <w:szCs w:val="18"/>
                <w:lang w:eastAsia="es-CO"/>
              </w:rPr>
            </w:pPr>
            <w:r w:rsidRPr="00A45A38">
              <w:rPr>
                <w:rFonts w:ascii="Century Gothic" w:eastAsia="Times New Roman" w:hAnsi="Century Gothic" w:cs="Arial"/>
                <w:sz w:val="18"/>
                <w:szCs w:val="18"/>
                <w:lang w:val="es-MX" w:eastAsia="es-CO"/>
              </w:rPr>
              <w:t>Revisó:</w:t>
            </w:r>
            <w:r w:rsidRPr="00A45A38">
              <w:rPr>
                <w:rFonts w:ascii="Century Gothic" w:eastAsia="Times New Roman" w:hAnsi="Century Gothic" w:cs="Arial"/>
                <w:sz w:val="18"/>
                <w:szCs w:val="18"/>
                <w:lang w:eastAsia="es-CO"/>
              </w:rPr>
              <w:t> </w:t>
            </w:r>
          </w:p>
        </w:tc>
        <w:tc>
          <w:tcPr>
            <w:tcW w:w="6287" w:type="dxa"/>
            <w:tcBorders>
              <w:top w:val="dotted" w:sz="6" w:space="0" w:color="7F7F7F"/>
              <w:left w:val="nil"/>
              <w:bottom w:val="dotted" w:sz="6" w:space="0" w:color="7F7F7F"/>
              <w:right w:val="nil"/>
            </w:tcBorders>
            <w:vAlign w:val="center"/>
            <w:hideMark/>
          </w:tcPr>
          <w:p w14:paraId="6793B6EA" w14:textId="5BA5287C" w:rsidR="007959BC" w:rsidRPr="00591C74" w:rsidRDefault="00CC0BA1">
            <w:pPr>
              <w:spacing w:after="0" w:line="276" w:lineRule="auto"/>
              <w:rPr>
                <w:rFonts w:ascii="Century Gothic" w:eastAsia="Times New Roman" w:hAnsi="Century Gothic" w:cs="Arial"/>
                <w:sz w:val="16"/>
                <w:szCs w:val="16"/>
                <w:lang w:eastAsia="es-ES"/>
              </w:rPr>
            </w:pPr>
            <w:r>
              <w:rPr>
                <w:rFonts w:ascii="Century Gothic" w:eastAsia="Times New Roman" w:hAnsi="Century Gothic" w:cs="Arial"/>
                <w:sz w:val="16"/>
                <w:szCs w:val="16"/>
                <w:lang w:eastAsia="es-ES"/>
              </w:rPr>
              <w:t>Juan David Cabeza</w:t>
            </w:r>
          </w:p>
          <w:p w14:paraId="28DD1270" w14:textId="1725BB7F" w:rsidR="007959BC" w:rsidRPr="00591C74" w:rsidRDefault="00CB1EF0">
            <w:pPr>
              <w:spacing w:after="0" w:line="276" w:lineRule="auto"/>
              <w:rPr>
                <w:rFonts w:ascii="Century Gothic" w:eastAsia="Times New Roman" w:hAnsi="Century Gothic" w:cs="Arial"/>
                <w:sz w:val="16"/>
                <w:szCs w:val="16"/>
                <w:lang w:eastAsia="es-CO"/>
              </w:rPr>
            </w:pPr>
            <w:r w:rsidRPr="00591C74">
              <w:rPr>
                <w:rFonts w:ascii="Century Gothic" w:eastAsia="Times New Roman" w:hAnsi="Century Gothic" w:cs="Arial"/>
                <w:sz w:val="16"/>
                <w:szCs w:val="16"/>
                <w:lang w:eastAsia="es-ES"/>
              </w:rPr>
              <w:t>Contratista</w:t>
            </w:r>
            <w:r w:rsidR="007959BC" w:rsidRPr="00591C74">
              <w:rPr>
                <w:rFonts w:ascii="Century Gothic" w:eastAsia="Times New Roman" w:hAnsi="Century Gothic" w:cs="Arial"/>
                <w:sz w:val="16"/>
                <w:szCs w:val="16"/>
                <w:lang w:eastAsia="es-ES"/>
              </w:rPr>
              <w:t xml:space="preserve"> de la Subdirección de Gestión Contractual</w:t>
            </w:r>
          </w:p>
        </w:tc>
      </w:tr>
      <w:tr w:rsidR="007959BC" w:rsidRPr="00A45A38" w14:paraId="541BF5FF" w14:textId="77777777">
        <w:trPr>
          <w:trHeight w:val="420"/>
        </w:trPr>
        <w:tc>
          <w:tcPr>
            <w:tcW w:w="1122" w:type="dxa"/>
            <w:tcBorders>
              <w:top w:val="nil"/>
              <w:left w:val="nil"/>
              <w:bottom w:val="nil"/>
              <w:right w:val="nil"/>
            </w:tcBorders>
            <w:vAlign w:val="center"/>
            <w:hideMark/>
          </w:tcPr>
          <w:p w14:paraId="1504A643" w14:textId="77777777" w:rsidR="007959BC" w:rsidRPr="00A45A38" w:rsidRDefault="007959BC">
            <w:pPr>
              <w:spacing w:after="0" w:line="276" w:lineRule="auto"/>
              <w:jc w:val="both"/>
              <w:textAlignment w:val="baseline"/>
              <w:rPr>
                <w:rFonts w:ascii="Century Gothic" w:eastAsia="Times New Roman" w:hAnsi="Century Gothic" w:cs="Arial"/>
                <w:sz w:val="18"/>
                <w:szCs w:val="18"/>
                <w:lang w:eastAsia="es-CO"/>
              </w:rPr>
            </w:pPr>
            <w:r w:rsidRPr="00A45A38">
              <w:rPr>
                <w:rFonts w:ascii="Century Gothic" w:eastAsia="Times New Roman" w:hAnsi="Century Gothic" w:cs="Arial"/>
                <w:sz w:val="18"/>
                <w:szCs w:val="18"/>
                <w:lang w:val="es-MX" w:eastAsia="es-CO"/>
              </w:rPr>
              <w:t>Aprobó:</w:t>
            </w:r>
            <w:r w:rsidRPr="00A45A38">
              <w:rPr>
                <w:rFonts w:ascii="Century Gothic" w:eastAsia="Times New Roman" w:hAnsi="Century Gothic" w:cs="Arial"/>
                <w:sz w:val="18"/>
                <w:szCs w:val="18"/>
                <w:lang w:eastAsia="es-CO"/>
              </w:rPr>
              <w:t> </w:t>
            </w:r>
          </w:p>
        </w:tc>
        <w:tc>
          <w:tcPr>
            <w:tcW w:w="6287" w:type="dxa"/>
            <w:tcBorders>
              <w:top w:val="dotted" w:sz="6" w:space="0" w:color="7F7F7F"/>
              <w:left w:val="nil"/>
              <w:bottom w:val="dotted" w:sz="6" w:space="0" w:color="7F7F7F"/>
              <w:right w:val="nil"/>
            </w:tcBorders>
            <w:vAlign w:val="center"/>
            <w:hideMark/>
          </w:tcPr>
          <w:p w14:paraId="6E6B09CA" w14:textId="77777777" w:rsidR="007959BC" w:rsidRPr="00591C74" w:rsidRDefault="007959BC">
            <w:pPr>
              <w:spacing w:after="0" w:line="240" w:lineRule="auto"/>
              <w:jc w:val="both"/>
              <w:textAlignment w:val="baseline"/>
              <w:rPr>
                <w:rFonts w:ascii="Century Gothic" w:eastAsia="Times New Roman" w:hAnsi="Century Gothic" w:cs="Arial"/>
                <w:sz w:val="16"/>
                <w:szCs w:val="16"/>
                <w:lang w:val="es-ES_tradnl" w:eastAsia="es-CO"/>
              </w:rPr>
            </w:pPr>
            <w:r w:rsidRPr="00591C74">
              <w:rPr>
                <w:rFonts w:ascii="Century Gothic" w:eastAsia="Times New Roman" w:hAnsi="Century Gothic" w:cs="Arial"/>
                <w:sz w:val="16"/>
                <w:szCs w:val="16"/>
                <w:lang w:val="es-ES_tradnl" w:eastAsia="es-CO"/>
              </w:rPr>
              <w:t>Nohelia del Carmen Zawady Palacio</w:t>
            </w:r>
          </w:p>
          <w:p w14:paraId="1B638618" w14:textId="77777777" w:rsidR="007959BC" w:rsidRPr="00591C74" w:rsidRDefault="007959BC">
            <w:pPr>
              <w:spacing w:after="0" w:line="240" w:lineRule="auto"/>
              <w:jc w:val="both"/>
              <w:textAlignment w:val="baseline"/>
              <w:rPr>
                <w:rFonts w:ascii="Century Gothic" w:eastAsia="Times New Roman" w:hAnsi="Century Gothic" w:cs="Arial"/>
                <w:sz w:val="16"/>
                <w:szCs w:val="16"/>
                <w:lang w:eastAsia="es-CO"/>
              </w:rPr>
            </w:pPr>
            <w:r w:rsidRPr="00591C74">
              <w:rPr>
                <w:rFonts w:ascii="Century Gothic" w:eastAsia="Times New Roman" w:hAnsi="Century Gothic" w:cs="Arial"/>
                <w:sz w:val="16"/>
                <w:szCs w:val="16"/>
                <w:lang w:val="es-ES_tradnl" w:eastAsia="es-CO"/>
              </w:rPr>
              <w:t>Subdirectora de Gestión Contractual ANCP-CCE</w:t>
            </w:r>
          </w:p>
        </w:tc>
      </w:tr>
      <w:bookmarkEnd w:id="0"/>
    </w:tbl>
    <w:p w14:paraId="0F293BF4" w14:textId="7BBFAB11" w:rsidR="00127233" w:rsidRPr="00A45A38" w:rsidRDefault="00127233" w:rsidP="007959BC">
      <w:pPr>
        <w:spacing w:after="0"/>
        <w:jc w:val="both"/>
        <w:rPr>
          <w:rFonts w:ascii="Century Gothic" w:hAnsi="Century Gothic"/>
        </w:rPr>
      </w:pPr>
    </w:p>
    <w:sectPr w:rsidR="00127233" w:rsidRPr="00A45A38" w:rsidSect="0039380E">
      <w:headerReference w:type="default" r:id="rId14"/>
      <w:footerReference w:type="default" r:id="rId15"/>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CF559" w14:textId="77777777" w:rsidR="00D00576" w:rsidRDefault="00D00576" w:rsidP="004A1847">
      <w:pPr>
        <w:spacing w:after="0" w:line="240" w:lineRule="auto"/>
      </w:pPr>
      <w:r>
        <w:separator/>
      </w:r>
    </w:p>
  </w:endnote>
  <w:endnote w:type="continuationSeparator" w:id="0">
    <w:p w14:paraId="32684533" w14:textId="77777777" w:rsidR="00D00576" w:rsidRDefault="00D00576" w:rsidP="004A1847">
      <w:pPr>
        <w:spacing w:after="0" w:line="240" w:lineRule="auto"/>
      </w:pPr>
      <w:r>
        <w:continuationSeparator/>
      </w:r>
    </w:p>
  </w:endnote>
  <w:endnote w:type="continuationNotice" w:id="1">
    <w:p w14:paraId="031BDCD6" w14:textId="77777777" w:rsidR="00D00576" w:rsidRDefault="00D005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altName w:val="Calibri"/>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4A1847" w:rsidRDefault="009419F9">
    <w:pPr>
      <w:pStyle w:val="Footer"/>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Footer"/>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Footer"/>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Footer"/>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Footer"/>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C84AC" w14:textId="77777777" w:rsidR="00D00576" w:rsidRDefault="00D00576" w:rsidP="004A1847">
      <w:pPr>
        <w:spacing w:after="0" w:line="240" w:lineRule="auto"/>
      </w:pPr>
      <w:r>
        <w:separator/>
      </w:r>
    </w:p>
  </w:footnote>
  <w:footnote w:type="continuationSeparator" w:id="0">
    <w:p w14:paraId="6F9C8D95" w14:textId="77777777" w:rsidR="00D00576" w:rsidRDefault="00D00576" w:rsidP="004A1847">
      <w:pPr>
        <w:spacing w:after="0" w:line="240" w:lineRule="auto"/>
      </w:pPr>
      <w:r>
        <w:continuationSeparator/>
      </w:r>
    </w:p>
  </w:footnote>
  <w:footnote w:type="continuationNotice" w:id="1">
    <w:p w14:paraId="1B292D22" w14:textId="77777777" w:rsidR="00D00576" w:rsidRDefault="00D00576">
      <w:pPr>
        <w:spacing w:after="0" w:line="240" w:lineRule="auto"/>
      </w:pPr>
    </w:p>
  </w:footnote>
  <w:footnote w:id="2">
    <w:p w14:paraId="1371A85C" w14:textId="77777777" w:rsidR="007A6E93" w:rsidRPr="00A45A38" w:rsidRDefault="007A6E93" w:rsidP="00A45A38">
      <w:pPr>
        <w:spacing w:after="0" w:line="240" w:lineRule="auto"/>
        <w:ind w:firstLine="708"/>
        <w:jc w:val="both"/>
        <w:rPr>
          <w:rFonts w:ascii="Century Gothic" w:eastAsia="Times New Roman" w:hAnsi="Century Gothic" w:cs="Arial"/>
          <w:sz w:val="18"/>
          <w:szCs w:val="18"/>
          <w:lang w:eastAsia="es-CO"/>
        </w:rPr>
      </w:pPr>
      <w:r w:rsidRPr="00A45A38">
        <w:rPr>
          <w:rStyle w:val="FootnoteReference"/>
          <w:rFonts w:ascii="Century Gothic" w:hAnsi="Century Gothic" w:cs="Arial"/>
          <w:sz w:val="18"/>
          <w:szCs w:val="18"/>
        </w:rPr>
        <w:footnoteRef/>
      </w:r>
      <w:r w:rsidRPr="00A45A38">
        <w:rPr>
          <w:rFonts w:ascii="Century Gothic" w:hAnsi="Century Gothic" w:cs="Arial"/>
          <w:sz w:val="18"/>
          <w:szCs w:val="18"/>
        </w:rPr>
        <w:t xml:space="preserve"> </w:t>
      </w:r>
      <w:r w:rsidRPr="00A45A38">
        <w:rPr>
          <w:rFonts w:ascii="Century Gothic" w:eastAsia="Times New Roman" w:hAnsi="Century Gothic" w:cs="Arial"/>
          <w:sz w:val="18"/>
          <w:szCs w:val="18"/>
          <w:lang w:eastAsia="es-CO"/>
        </w:rPr>
        <w:t>Estos conceptos pueden ser consultados en la relatoría de Colombia Compra Eficiente en el siguiente enlace:</w:t>
      </w:r>
      <w:r w:rsidRPr="00A45A38">
        <w:rPr>
          <w:rFonts w:ascii="Century Gothic" w:eastAsia="Times New Roman" w:hAnsi="Century Gothic" w:cs="Arial"/>
          <w:sz w:val="18"/>
          <w:szCs w:val="18"/>
          <w:lang w:eastAsia="es-CO"/>
        </w:rPr>
        <w:br/>
      </w:r>
      <w:hyperlink r:id="rId1" w:history="1">
        <w:r w:rsidRPr="00A45A38">
          <w:rPr>
            <w:rStyle w:val="Hyperlink"/>
            <w:rFonts w:ascii="Century Gothic" w:eastAsia="Times New Roman" w:hAnsi="Century Gothic" w:cs="Arial"/>
            <w:sz w:val="18"/>
            <w:szCs w:val="18"/>
            <w:lang w:eastAsia="es-CO"/>
          </w:rPr>
          <w:t>http://relatoria.colombiacompra.gov.co/busqueda/conceptos</w:t>
        </w:r>
      </w:hyperlink>
      <w:r w:rsidRPr="00A45A38">
        <w:rPr>
          <w:rFonts w:ascii="Century Gothic" w:eastAsia="Times New Roman" w:hAnsi="Century Gothic" w:cs="Arial"/>
          <w:sz w:val="18"/>
          <w:szCs w:val="18"/>
          <w:lang w:eastAsia="es-CO"/>
        </w:rPr>
        <w:t xml:space="preserve"> </w:t>
      </w:r>
    </w:p>
  </w:footnote>
  <w:footnote w:id="3">
    <w:p w14:paraId="02BA3550" w14:textId="77777777" w:rsidR="00977A67" w:rsidRPr="00246CE2" w:rsidRDefault="00977A67" w:rsidP="00977A67">
      <w:pPr>
        <w:pStyle w:val="FootnoteText"/>
        <w:ind w:firstLine="708"/>
        <w:contextualSpacing/>
        <w:jc w:val="both"/>
        <w:rPr>
          <w:rFonts w:ascii="Century Gothic" w:hAnsi="Century Gothic" w:cs="Arial"/>
          <w:color w:val="000000"/>
          <w:sz w:val="18"/>
          <w:szCs w:val="18"/>
        </w:rPr>
      </w:pPr>
      <w:r w:rsidRPr="00246CE2">
        <w:rPr>
          <w:rFonts w:ascii="Century Gothic" w:hAnsi="Century Gothic" w:cs="Arial"/>
          <w:color w:val="000000"/>
          <w:sz w:val="18"/>
          <w:szCs w:val="18"/>
          <w:vertAlign w:val="superscript"/>
        </w:rPr>
        <w:footnoteRef/>
      </w:r>
      <w:r w:rsidRPr="00246CE2">
        <w:rPr>
          <w:rFonts w:ascii="Century Gothic" w:hAnsi="Century Gothic" w:cs="Arial"/>
          <w:color w:val="000000"/>
          <w:sz w:val="18"/>
          <w:szCs w:val="18"/>
        </w:rPr>
        <w:t xml:space="preserve"> Corte Constitucional. Sentencia C- 341 del 4 de junio de 2014. M. P. Mauricio González Cuervo.</w:t>
      </w:r>
    </w:p>
    <w:p w14:paraId="3C9BE2EE" w14:textId="77777777" w:rsidR="00977A67" w:rsidRDefault="00977A67" w:rsidP="00977A67">
      <w:pPr>
        <w:pStyle w:val="FootnoteText"/>
        <w:ind w:firstLine="708"/>
        <w:contextualSpacing/>
        <w:jc w:val="both"/>
      </w:pPr>
    </w:p>
  </w:footnote>
  <w:footnote w:id="4">
    <w:p w14:paraId="435D8607" w14:textId="77777777" w:rsidR="00977A67" w:rsidRDefault="00977A67" w:rsidP="00977A67">
      <w:pPr>
        <w:pStyle w:val="FootnoteText"/>
        <w:ind w:firstLine="709"/>
        <w:contextualSpacing/>
        <w:jc w:val="both"/>
        <w:rPr>
          <w:rFonts w:ascii="Century Gothic" w:hAnsi="Century Gothic" w:cs="Arial"/>
          <w:color w:val="000000"/>
          <w:sz w:val="18"/>
          <w:szCs w:val="18"/>
        </w:rPr>
      </w:pPr>
      <w:r w:rsidRPr="00246CE2">
        <w:rPr>
          <w:rFonts w:ascii="Century Gothic" w:hAnsi="Century Gothic" w:cs="Arial"/>
          <w:color w:val="000000"/>
          <w:sz w:val="18"/>
          <w:szCs w:val="18"/>
          <w:vertAlign w:val="superscript"/>
        </w:rPr>
        <w:footnoteRef/>
      </w:r>
      <w:r w:rsidRPr="00246CE2">
        <w:rPr>
          <w:rFonts w:ascii="Century Gothic" w:hAnsi="Century Gothic" w:cs="Arial"/>
          <w:color w:val="000000"/>
          <w:sz w:val="18"/>
          <w:szCs w:val="18"/>
        </w:rPr>
        <w:t xml:space="preserve"> Ley 1150 de 2007: </w:t>
      </w:r>
      <w:r>
        <w:rPr>
          <w:rFonts w:ascii="Century Gothic" w:hAnsi="Century Gothic" w:cs="Arial"/>
          <w:color w:val="000000"/>
          <w:sz w:val="18"/>
          <w:szCs w:val="18"/>
        </w:rPr>
        <w:t>“</w:t>
      </w:r>
      <w:r w:rsidRPr="00246CE2">
        <w:rPr>
          <w:rFonts w:ascii="Century Gothic" w:hAnsi="Century Gothic" w:cs="Arial"/>
          <w:color w:val="000000"/>
          <w:sz w:val="18"/>
          <w:szCs w:val="18"/>
        </w:rPr>
        <w:t>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75EB828C" w14:textId="77777777" w:rsidR="00977A67" w:rsidRPr="00246CE2" w:rsidRDefault="00977A67" w:rsidP="00977A67">
      <w:pPr>
        <w:pStyle w:val="FootnoteText"/>
        <w:ind w:firstLine="709"/>
        <w:contextualSpacing/>
        <w:jc w:val="both"/>
        <w:rPr>
          <w:rFonts w:ascii="Century Gothic" w:hAnsi="Century Gothic" w:cs="Arial"/>
          <w:color w:val="000000"/>
          <w:sz w:val="18"/>
          <w:szCs w:val="18"/>
        </w:rPr>
      </w:pPr>
    </w:p>
    <w:p w14:paraId="66FC240D" w14:textId="77777777" w:rsidR="00977A67" w:rsidRPr="00246CE2" w:rsidRDefault="00977A67" w:rsidP="00977A67">
      <w:pPr>
        <w:pStyle w:val="FootnoteText"/>
        <w:ind w:firstLine="709"/>
        <w:contextualSpacing/>
        <w:jc w:val="both"/>
        <w:rPr>
          <w:rFonts w:ascii="Century Gothic" w:hAnsi="Century Gothic" w:cs="Arial"/>
          <w:color w:val="000000"/>
          <w:sz w:val="18"/>
          <w:szCs w:val="18"/>
        </w:rPr>
      </w:pPr>
      <w:r>
        <w:rPr>
          <w:rFonts w:ascii="Century Gothic" w:hAnsi="Century Gothic" w:cs="Arial"/>
          <w:color w:val="000000"/>
          <w:sz w:val="18"/>
          <w:szCs w:val="18"/>
        </w:rPr>
        <w:t>“</w:t>
      </w:r>
      <w:r w:rsidRPr="00246CE2">
        <w:rPr>
          <w:rFonts w:ascii="Century Gothic" w:hAnsi="Century Gothic" w:cs="Arial"/>
          <w:color w:val="000000"/>
          <w:sz w:val="18"/>
          <w:szCs w:val="18"/>
        </w:rPr>
        <w:t>Lo anterior, sin perjuicio de las publicaciones previstas en el numeral 3 del artículo 30 de la Ley 80 de 1993.</w:t>
      </w:r>
    </w:p>
    <w:p w14:paraId="71FFF5D7" w14:textId="77777777" w:rsidR="00977A67" w:rsidRPr="00246CE2" w:rsidRDefault="00977A67" w:rsidP="00977A67">
      <w:pPr>
        <w:pStyle w:val="FootnoteText"/>
        <w:ind w:firstLine="709"/>
        <w:contextualSpacing/>
        <w:jc w:val="both"/>
        <w:rPr>
          <w:rFonts w:ascii="Century Gothic" w:hAnsi="Century Gothic" w:cs="Arial"/>
          <w:color w:val="000000"/>
          <w:sz w:val="18"/>
          <w:szCs w:val="18"/>
        </w:rPr>
      </w:pPr>
      <w:r>
        <w:rPr>
          <w:rFonts w:ascii="Century Gothic" w:hAnsi="Century Gothic" w:cs="Arial"/>
          <w:color w:val="000000"/>
          <w:sz w:val="18"/>
          <w:szCs w:val="18"/>
        </w:rPr>
        <w:t>“</w:t>
      </w:r>
      <w:r w:rsidRPr="00246CE2">
        <w:rPr>
          <w:rFonts w:ascii="Century Gothic" w:hAnsi="Century Gothic" w:cs="Arial"/>
          <w:color w:val="000000"/>
          <w:sz w:val="18"/>
          <w:szCs w:val="18"/>
        </w:rPr>
        <w:t xml:space="preserve">Con el fin de materializar los objetivos a que se refiere el inciso anterior, el Gobierno Nacional desarrollará el Sistema Electrónico para la Contratación Pública, Secop, el cual: </w:t>
      </w:r>
    </w:p>
    <w:p w14:paraId="03872143" w14:textId="77777777" w:rsidR="00977A67" w:rsidRPr="00246CE2" w:rsidRDefault="00977A67" w:rsidP="00977A67">
      <w:pPr>
        <w:pStyle w:val="FootnoteText"/>
        <w:ind w:firstLine="709"/>
        <w:contextualSpacing/>
        <w:jc w:val="both"/>
        <w:rPr>
          <w:rFonts w:ascii="Century Gothic" w:hAnsi="Century Gothic" w:cs="Arial"/>
          <w:color w:val="000000"/>
          <w:sz w:val="18"/>
          <w:szCs w:val="18"/>
        </w:rPr>
      </w:pPr>
      <w:r w:rsidRPr="00246CE2">
        <w:rPr>
          <w:rFonts w:ascii="Century Gothic" w:hAnsi="Century Gothic" w:cs="Arial"/>
          <w:color w:val="000000"/>
          <w:sz w:val="18"/>
          <w:szCs w:val="18"/>
        </w:rPr>
        <w:t>[…]</w:t>
      </w:r>
    </w:p>
    <w:p w14:paraId="7213A708" w14:textId="77777777" w:rsidR="00977A67" w:rsidRDefault="00977A67" w:rsidP="00977A67">
      <w:pPr>
        <w:pStyle w:val="FootnoteText"/>
        <w:ind w:firstLine="709"/>
        <w:contextualSpacing/>
        <w:jc w:val="both"/>
      </w:pPr>
      <w:r>
        <w:rPr>
          <w:rFonts w:ascii="Century Gothic" w:hAnsi="Century Gothic" w:cs="Arial"/>
          <w:color w:val="000000"/>
          <w:sz w:val="18"/>
          <w:szCs w:val="18"/>
        </w:rPr>
        <w:t>“</w:t>
      </w:r>
      <w:r w:rsidRPr="00246CE2">
        <w:rPr>
          <w:rFonts w:ascii="Century Gothic" w:hAnsi="Century Gothic" w:cs="Arial"/>
          <w:color w:val="000000"/>
          <w:sz w:val="18"/>
          <w:szCs w:val="18"/>
        </w:rPr>
        <w:t>c) Contará con la información oficial de la contratación realizada con dineros públicos, para lo cual establecerá los patrones a que haya lugar y se encargará de su difusión a través de canales electrónico</w:t>
      </w:r>
      <w:r>
        <w:rPr>
          <w:rFonts w:ascii="Century Gothic" w:hAnsi="Century Gothic" w:cs="Arial"/>
          <w:color w:val="000000"/>
          <w:sz w:val="18"/>
          <w:szCs w:val="18"/>
        </w:rPr>
        <w:t>”</w:t>
      </w:r>
      <w:r w:rsidRPr="00246CE2">
        <w:rPr>
          <w:rFonts w:ascii="Century Gothic" w:hAnsi="Century Gothic" w:cs="Arial"/>
          <w:color w:val="000000"/>
          <w:sz w:val="18"/>
          <w:szCs w:val="18"/>
        </w:rPr>
        <w:t xml:space="preserve">. </w:t>
      </w:r>
    </w:p>
  </w:footnote>
  <w:footnote w:id="5">
    <w:p w14:paraId="76FBD7BD" w14:textId="77777777" w:rsidR="00977A67" w:rsidRDefault="00977A67" w:rsidP="00977A67">
      <w:pPr>
        <w:pStyle w:val="FootnoteText"/>
        <w:ind w:firstLine="709"/>
        <w:contextualSpacing/>
        <w:jc w:val="both"/>
      </w:pPr>
      <w:r w:rsidRPr="00246CE2">
        <w:rPr>
          <w:rFonts w:ascii="Century Gothic" w:hAnsi="Century Gothic" w:cs="Arial"/>
          <w:color w:val="000000"/>
          <w:sz w:val="18"/>
          <w:szCs w:val="18"/>
          <w:vertAlign w:val="superscript"/>
        </w:rPr>
        <w:footnoteRef/>
      </w:r>
      <w:r w:rsidRPr="00246CE2">
        <w:rPr>
          <w:rFonts w:ascii="Century Gothic" w:hAnsi="Century Gothic" w:cs="Arial"/>
          <w:color w:val="000000"/>
          <w:sz w:val="18"/>
          <w:szCs w:val="18"/>
        </w:rPr>
        <w:t xml:space="preserve"> Ley 1712 de 2014: </w:t>
      </w:r>
      <w:r>
        <w:rPr>
          <w:rFonts w:ascii="Century Gothic" w:hAnsi="Century Gothic" w:cs="Arial"/>
          <w:color w:val="000000"/>
          <w:sz w:val="18"/>
          <w:szCs w:val="18"/>
        </w:rPr>
        <w:t>“</w:t>
      </w:r>
      <w:r w:rsidRPr="00246CE2">
        <w:rPr>
          <w:rFonts w:ascii="Century Gothic" w:hAnsi="Century Gothic" w:cs="Arial"/>
          <w:color w:val="000000"/>
          <w:sz w:val="18"/>
          <w:szCs w:val="18"/>
        </w:rPr>
        <w:t>Artículo 2. Toda información en posesión, bajo control o custodia de un sujeto obligado es pública y no podrá ser reservada o limitada sino por disposición constitucional o legal, de conformidad con la presente ley</w:t>
      </w:r>
      <w:r>
        <w:rPr>
          <w:rFonts w:ascii="Century Gothic" w:hAnsi="Century Gothic" w:cs="Arial"/>
          <w:color w:val="000000"/>
          <w:sz w:val="18"/>
          <w:szCs w:val="18"/>
        </w:rPr>
        <w:t>”</w:t>
      </w:r>
      <w:r w:rsidRPr="00246CE2">
        <w:rPr>
          <w:rFonts w:ascii="Century Gothic" w:hAnsi="Century Gothic" w:cs="Arial"/>
          <w:color w:val="000000"/>
          <w:sz w:val="18"/>
          <w:szCs w:val="18"/>
        </w:rPr>
        <w:t>.</w:t>
      </w:r>
    </w:p>
  </w:footnote>
  <w:footnote w:id="6">
    <w:p w14:paraId="369054FD" w14:textId="77777777" w:rsidR="00977A67" w:rsidRPr="00246CE2" w:rsidRDefault="00977A67" w:rsidP="00977A67">
      <w:pPr>
        <w:pStyle w:val="FootnoteText"/>
        <w:ind w:firstLine="707"/>
        <w:contextualSpacing/>
        <w:jc w:val="both"/>
        <w:rPr>
          <w:rFonts w:ascii="Century Gothic" w:hAnsi="Century Gothic" w:cs="Arial"/>
          <w:sz w:val="18"/>
          <w:szCs w:val="18"/>
          <w:lang w:val="es-CO"/>
        </w:rPr>
      </w:pPr>
      <w:r w:rsidRPr="00246CE2">
        <w:rPr>
          <w:rFonts w:ascii="Century Gothic" w:hAnsi="Century Gothic" w:cs="Arial"/>
          <w:sz w:val="18"/>
          <w:szCs w:val="18"/>
          <w:vertAlign w:val="superscript"/>
        </w:rPr>
        <w:footnoteRef/>
      </w:r>
      <w:r w:rsidRPr="00246CE2">
        <w:rPr>
          <w:rFonts w:ascii="Century Gothic" w:hAnsi="Century Gothic" w:cs="Arial"/>
          <w:sz w:val="18"/>
          <w:szCs w:val="18"/>
          <w:vertAlign w:val="superscript"/>
        </w:rPr>
        <w:t xml:space="preserve"> </w:t>
      </w:r>
      <w:r w:rsidRPr="00246CE2">
        <w:rPr>
          <w:rFonts w:ascii="Century Gothic" w:hAnsi="Century Gothic" w:cs="Arial"/>
          <w:sz w:val="18"/>
          <w:szCs w:val="18"/>
        </w:rPr>
        <w:t xml:space="preserve">Ley 1712 de 2014: «Artículo 3. </w:t>
      </w:r>
      <w:bookmarkStart w:id="2" w:name="3"/>
      <w:bookmarkEnd w:id="2"/>
      <w:r w:rsidRPr="00246CE2">
        <w:rPr>
          <w:rFonts w:ascii="Century Gothic" w:hAnsi="Century Gothic" w:cs="Arial"/>
          <w:sz w:val="18"/>
          <w:szCs w:val="18"/>
          <w:lang w:val="es-CO"/>
        </w:rPr>
        <w:t>Otros principios de la transparencia y acceso a la información pública. </w:t>
      </w:r>
    </w:p>
    <w:p w14:paraId="5A1933F8" w14:textId="77777777" w:rsidR="00977A67" w:rsidRPr="00246CE2" w:rsidRDefault="00977A67" w:rsidP="00977A67">
      <w:pPr>
        <w:pStyle w:val="FootnoteText"/>
        <w:ind w:firstLine="707"/>
        <w:contextualSpacing/>
        <w:jc w:val="both"/>
        <w:rPr>
          <w:rFonts w:ascii="Century Gothic" w:hAnsi="Century Gothic" w:cs="Arial"/>
          <w:sz w:val="18"/>
          <w:szCs w:val="18"/>
          <w:lang w:val="es-CO"/>
        </w:rPr>
      </w:pPr>
      <w:r w:rsidRPr="00246CE2">
        <w:rPr>
          <w:rFonts w:ascii="Century Gothic" w:hAnsi="Century Gothic" w:cs="Arial"/>
          <w:sz w:val="18"/>
          <w:szCs w:val="18"/>
          <w:lang w:val="es-CO"/>
        </w:rPr>
        <w:t>[…]</w:t>
      </w:r>
    </w:p>
    <w:p w14:paraId="13EB8491" w14:textId="77777777" w:rsidR="00977A67" w:rsidRPr="00246CE2" w:rsidRDefault="00977A67" w:rsidP="00977A67">
      <w:pPr>
        <w:pStyle w:val="FootnoteText"/>
        <w:ind w:firstLine="707"/>
        <w:contextualSpacing/>
        <w:jc w:val="both"/>
        <w:rPr>
          <w:rFonts w:ascii="Century Gothic" w:hAnsi="Century Gothic" w:cs="Arial"/>
          <w:sz w:val="18"/>
          <w:szCs w:val="18"/>
        </w:rPr>
      </w:pPr>
      <w:r w:rsidRPr="00246CE2">
        <w:rPr>
          <w:rStyle w:val="baj"/>
          <w:rFonts w:ascii="Century Gothic" w:hAnsi="Century Gothic" w:cs="Arial"/>
          <w:sz w:val="18"/>
          <w:szCs w:val="18"/>
        </w:rPr>
        <w:t>Principio de transparencia</w:t>
      </w:r>
      <w:r w:rsidRPr="00246CE2">
        <w:rPr>
          <w:rFonts w:ascii="Century Gothic" w:hAnsi="Century Gothic" w:cs="Arial"/>
          <w:sz w:val="18"/>
          <w:szCs w:val="18"/>
        </w:rPr>
        <w:t>.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p>
    <w:p w14:paraId="4D496F7D" w14:textId="77777777" w:rsidR="00977A67" w:rsidRDefault="00977A67" w:rsidP="00977A67">
      <w:pPr>
        <w:pStyle w:val="FootnoteText"/>
        <w:ind w:firstLine="707"/>
        <w:contextualSpacing/>
        <w:jc w:val="both"/>
      </w:pPr>
    </w:p>
  </w:footnote>
  <w:footnote w:id="7">
    <w:p w14:paraId="1546ECD3" w14:textId="77777777" w:rsidR="00977A67" w:rsidRPr="00246CE2" w:rsidRDefault="00977A67" w:rsidP="00977A67">
      <w:pPr>
        <w:pStyle w:val="FootnoteText"/>
        <w:ind w:firstLine="707"/>
        <w:contextualSpacing/>
        <w:jc w:val="both"/>
        <w:rPr>
          <w:rFonts w:ascii="Century Gothic" w:hAnsi="Century Gothic" w:cs="Arial"/>
          <w:sz w:val="18"/>
          <w:szCs w:val="18"/>
          <w:lang w:val="es-CO"/>
        </w:rPr>
      </w:pPr>
      <w:r w:rsidRPr="00246CE2">
        <w:rPr>
          <w:rFonts w:ascii="Century Gothic" w:hAnsi="Century Gothic" w:cs="Arial"/>
          <w:sz w:val="18"/>
          <w:szCs w:val="18"/>
          <w:vertAlign w:val="superscript"/>
        </w:rPr>
        <w:footnoteRef/>
      </w:r>
      <w:r w:rsidRPr="00246CE2">
        <w:rPr>
          <w:rFonts w:ascii="Century Gothic" w:hAnsi="Century Gothic" w:cs="Arial"/>
          <w:sz w:val="18"/>
          <w:szCs w:val="18"/>
          <w:vertAlign w:val="superscript"/>
        </w:rPr>
        <w:t xml:space="preserve"> </w:t>
      </w:r>
      <w:r w:rsidRPr="00246CE2">
        <w:rPr>
          <w:rFonts w:ascii="Century Gothic" w:hAnsi="Century Gothic" w:cs="Arial"/>
          <w:sz w:val="18"/>
          <w:szCs w:val="18"/>
        </w:rPr>
        <w:t xml:space="preserve">Ley 1712 de 2014: «Artículo 3. </w:t>
      </w:r>
      <w:r w:rsidRPr="00246CE2">
        <w:rPr>
          <w:rFonts w:ascii="Century Gothic" w:hAnsi="Century Gothic" w:cs="Arial"/>
          <w:sz w:val="18"/>
          <w:szCs w:val="18"/>
          <w:lang w:val="es-CO"/>
        </w:rPr>
        <w:t>Otros principios de la transparencia y acceso a la información pública. </w:t>
      </w:r>
    </w:p>
    <w:p w14:paraId="5CF80908" w14:textId="77777777" w:rsidR="00977A67" w:rsidRPr="00246CE2" w:rsidRDefault="00977A67" w:rsidP="00977A67">
      <w:pPr>
        <w:pStyle w:val="FootnoteText"/>
        <w:ind w:firstLine="707"/>
        <w:contextualSpacing/>
        <w:jc w:val="both"/>
        <w:rPr>
          <w:rFonts w:ascii="Century Gothic" w:hAnsi="Century Gothic" w:cs="Arial"/>
          <w:sz w:val="18"/>
          <w:szCs w:val="18"/>
          <w:lang w:val="es-ES"/>
        </w:rPr>
      </w:pPr>
      <w:r w:rsidRPr="00246CE2">
        <w:rPr>
          <w:rFonts w:ascii="Century Gothic" w:hAnsi="Century Gothic" w:cs="Arial"/>
          <w:sz w:val="18"/>
          <w:szCs w:val="18"/>
          <w:lang w:val="es-ES"/>
        </w:rPr>
        <w:t>[…]</w:t>
      </w:r>
    </w:p>
    <w:p w14:paraId="327F6275" w14:textId="77777777" w:rsidR="00977A67" w:rsidRDefault="00977A67" w:rsidP="00977A67">
      <w:pPr>
        <w:pStyle w:val="FootnoteText"/>
        <w:ind w:firstLine="707"/>
        <w:contextualSpacing/>
        <w:jc w:val="both"/>
      </w:pPr>
      <w:r w:rsidRPr="00246CE2">
        <w:rPr>
          <w:rStyle w:val="baj"/>
          <w:rFonts w:ascii="Century Gothic" w:hAnsi="Century Gothic" w:cs="Arial"/>
          <w:b/>
          <w:bCs/>
          <w:sz w:val="18"/>
          <w:szCs w:val="18"/>
        </w:rPr>
        <w:t>Principio de buena fe</w:t>
      </w:r>
      <w:r w:rsidRPr="00246CE2">
        <w:rPr>
          <w:rFonts w:ascii="Century Gothic" w:hAnsi="Century Gothic" w:cs="Arial"/>
          <w:sz w:val="18"/>
          <w:szCs w:val="18"/>
        </w:rPr>
        <w:t>. En virtud del cual todo sujeto obligado, al cumplir con las obligaciones derivadas del derecho de acceso a la información pública, lo hará con motivación honesta, leal y desprovista de cualquier intención dolosa o culposa.</w:t>
      </w:r>
    </w:p>
  </w:footnote>
  <w:footnote w:id="8">
    <w:p w14:paraId="5BF0E138" w14:textId="77777777" w:rsidR="00977A67" w:rsidRPr="00246CE2" w:rsidRDefault="00977A67" w:rsidP="00977A67">
      <w:pPr>
        <w:pStyle w:val="FootnoteText"/>
        <w:ind w:firstLine="707"/>
        <w:contextualSpacing/>
        <w:jc w:val="both"/>
        <w:rPr>
          <w:rFonts w:ascii="Century Gothic" w:hAnsi="Century Gothic" w:cs="Arial"/>
          <w:sz w:val="18"/>
          <w:szCs w:val="18"/>
          <w:shd w:val="clear" w:color="auto" w:fill="FFFFFF"/>
        </w:rPr>
      </w:pPr>
      <w:r w:rsidRPr="00246CE2">
        <w:rPr>
          <w:rFonts w:ascii="Century Gothic" w:hAnsi="Century Gothic" w:cs="Arial"/>
          <w:sz w:val="18"/>
          <w:szCs w:val="18"/>
          <w:vertAlign w:val="superscript"/>
        </w:rPr>
        <w:footnoteRef/>
      </w:r>
      <w:r w:rsidRPr="00246CE2">
        <w:rPr>
          <w:rFonts w:ascii="Century Gothic" w:hAnsi="Century Gothic" w:cs="Arial"/>
          <w:sz w:val="18"/>
          <w:szCs w:val="18"/>
        </w:rPr>
        <w:t xml:space="preserve"> Ley 1712 de 2014: </w:t>
      </w:r>
      <w:r>
        <w:rPr>
          <w:rFonts w:ascii="Century Gothic" w:hAnsi="Century Gothic" w:cs="Arial"/>
          <w:sz w:val="18"/>
          <w:szCs w:val="18"/>
        </w:rPr>
        <w:t>“</w:t>
      </w:r>
      <w:r w:rsidRPr="00246CE2">
        <w:rPr>
          <w:rFonts w:ascii="Century Gothic" w:hAnsi="Century Gothic" w:cs="Arial"/>
          <w:sz w:val="18"/>
          <w:szCs w:val="18"/>
        </w:rPr>
        <w:t xml:space="preserve">Artículo 9. </w:t>
      </w:r>
      <w:r w:rsidRPr="00246CE2">
        <w:rPr>
          <w:rFonts w:ascii="Century Gothic" w:hAnsi="Century Gothic" w:cs="Arial"/>
          <w:sz w:val="18"/>
          <w:szCs w:val="18"/>
          <w:shd w:val="clear" w:color="auto" w:fill="FFFFFF"/>
        </w:rPr>
        <w:t> </w:t>
      </w:r>
      <w:r w:rsidRPr="00246CE2">
        <w:rPr>
          <w:rStyle w:val="Emphasis"/>
          <w:rFonts w:ascii="Century Gothic" w:hAnsi="Century Gothic" w:cs="Arial"/>
          <w:sz w:val="18"/>
          <w:szCs w:val="18"/>
          <w:shd w:val="clear" w:color="auto" w:fill="FFFFFF"/>
        </w:rPr>
        <w:t>Información mínima obligatoria respecto a la estructura del sujeto obligado. </w:t>
      </w:r>
      <w:r w:rsidRPr="00246CE2">
        <w:rPr>
          <w:rFonts w:ascii="Century Gothic" w:hAnsi="Century Gothic" w:cs="Arial"/>
          <w:sz w:val="18"/>
          <w:szCs w:val="18"/>
          <w:shd w:val="clear" w:color="auto" w:fill="FFFFFF"/>
        </w:rPr>
        <w:t>Todo sujeto obligado deberá publicar la siguiente información mínima obligatoria de manera proactiva en los sistemas de información del Estado o herramientas que lo sustituyan:</w:t>
      </w:r>
    </w:p>
    <w:p w14:paraId="42FCFC75" w14:textId="77777777" w:rsidR="00977A67" w:rsidRPr="00246CE2" w:rsidRDefault="00977A67" w:rsidP="00977A67">
      <w:pPr>
        <w:pStyle w:val="FootnoteText"/>
        <w:ind w:firstLine="707"/>
        <w:contextualSpacing/>
        <w:jc w:val="both"/>
        <w:rPr>
          <w:rFonts w:ascii="Century Gothic" w:hAnsi="Century Gothic" w:cs="Arial"/>
          <w:sz w:val="18"/>
          <w:szCs w:val="18"/>
          <w:shd w:val="clear" w:color="auto" w:fill="FFFFFF"/>
        </w:rPr>
      </w:pPr>
      <w:r w:rsidRPr="00246CE2">
        <w:rPr>
          <w:rFonts w:ascii="Century Gothic" w:hAnsi="Century Gothic" w:cs="Arial"/>
          <w:sz w:val="18"/>
          <w:szCs w:val="18"/>
          <w:shd w:val="clear" w:color="auto" w:fill="FFFFFF"/>
        </w:rPr>
        <w:t>[…]</w:t>
      </w:r>
    </w:p>
    <w:p w14:paraId="7E6DE98B" w14:textId="77777777" w:rsidR="00977A67" w:rsidRDefault="00977A67" w:rsidP="00977A67">
      <w:pPr>
        <w:pStyle w:val="FootnoteText"/>
        <w:ind w:firstLine="707"/>
        <w:contextualSpacing/>
        <w:jc w:val="both"/>
      </w:pPr>
      <w:r w:rsidRPr="00246CE2">
        <w:rPr>
          <w:rFonts w:ascii="Century Gothic" w:hAnsi="Century Gothic" w:cs="Arial"/>
          <w:sz w:val="18"/>
          <w:szCs w:val="18"/>
          <w:shd w:val="clear" w:color="auto" w:fill="FFFFFF"/>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w:t>
      </w:r>
      <w:r w:rsidRPr="00246CE2">
        <w:rPr>
          <w:rFonts w:ascii="Century Gothic" w:hAnsi="Century Gothic" w:cs="Arial"/>
          <w:sz w:val="18"/>
          <w:szCs w:val="18"/>
        </w:rPr>
        <w:t xml:space="preserve"> </w:t>
      </w:r>
      <w:r w:rsidRPr="00246CE2">
        <w:rPr>
          <w:rFonts w:ascii="Century Gothic" w:hAnsi="Century Gothic" w:cs="Arial"/>
          <w:sz w:val="18"/>
          <w:szCs w:val="18"/>
          <w:shd w:val="clear" w:color="auto" w:fill="FFFFFF"/>
        </w:rPr>
        <w:t>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w:t>
      </w:r>
      <w:r>
        <w:rPr>
          <w:rFonts w:ascii="Century Gothic" w:hAnsi="Century Gothic" w:cs="Arial"/>
          <w:sz w:val="18"/>
          <w:szCs w:val="18"/>
        </w:rPr>
        <w:t>”</w:t>
      </w:r>
      <w:r w:rsidRPr="00246CE2">
        <w:rPr>
          <w:rFonts w:ascii="Century Gothic" w:hAnsi="Century Gothic" w:cs="Arial"/>
          <w:sz w:val="18"/>
          <w:szCs w:val="18"/>
        </w:rPr>
        <w:t>.</w:t>
      </w:r>
    </w:p>
  </w:footnote>
  <w:footnote w:id="9">
    <w:p w14:paraId="59A57FEB" w14:textId="77777777" w:rsidR="00977A67" w:rsidRPr="00246CE2" w:rsidRDefault="00977A67" w:rsidP="00977A67">
      <w:pPr>
        <w:spacing w:after="0" w:line="240" w:lineRule="auto"/>
        <w:ind w:firstLine="707"/>
        <w:contextualSpacing/>
        <w:jc w:val="both"/>
        <w:rPr>
          <w:rFonts w:ascii="Century Gothic" w:hAnsi="Century Gothic" w:cs="Arial"/>
          <w:sz w:val="18"/>
          <w:szCs w:val="18"/>
        </w:rPr>
      </w:pPr>
      <w:r w:rsidRPr="00246CE2">
        <w:rPr>
          <w:rFonts w:ascii="Century Gothic" w:hAnsi="Century Gothic" w:cs="Arial"/>
          <w:sz w:val="18"/>
          <w:szCs w:val="18"/>
          <w:vertAlign w:val="superscript"/>
        </w:rPr>
        <w:footnoteRef/>
      </w:r>
      <w:r w:rsidRPr="00246CE2">
        <w:rPr>
          <w:rFonts w:ascii="Century Gothic" w:hAnsi="Century Gothic" w:cs="Arial"/>
          <w:sz w:val="18"/>
          <w:szCs w:val="18"/>
        </w:rPr>
        <w:t xml:space="preserve"> Ley 1712 de 2014: </w:t>
      </w:r>
      <w:r>
        <w:rPr>
          <w:rFonts w:ascii="Century Gothic" w:hAnsi="Century Gothic" w:cs="Arial"/>
          <w:sz w:val="18"/>
          <w:szCs w:val="18"/>
        </w:rPr>
        <w:t>“</w:t>
      </w:r>
      <w:r w:rsidRPr="00246CE2">
        <w:rPr>
          <w:rFonts w:ascii="Century Gothic" w:hAnsi="Century Gothic" w:cs="Arial"/>
          <w:sz w:val="18"/>
          <w:szCs w:val="18"/>
        </w:rPr>
        <w:t>Artículo 5. Ámbito de aplicación. Las disposiciones de esta ley serán aplicables a las siguientes personas en calidad de sujetos obligados:</w:t>
      </w:r>
    </w:p>
    <w:p w14:paraId="3D292F1E" w14:textId="77777777" w:rsidR="00977A67" w:rsidRDefault="00977A67" w:rsidP="00977A67">
      <w:pPr>
        <w:spacing w:after="0" w:line="240" w:lineRule="auto"/>
        <w:ind w:firstLine="707"/>
        <w:contextualSpacing/>
        <w:jc w:val="both"/>
      </w:pPr>
      <w:r>
        <w:rPr>
          <w:rFonts w:ascii="Century Gothic" w:hAnsi="Century Gothic" w:cs="Arial"/>
          <w:sz w:val="18"/>
          <w:szCs w:val="18"/>
        </w:rPr>
        <w:t>“</w:t>
      </w:r>
      <w:r w:rsidRPr="00246CE2">
        <w:rPr>
          <w:rFonts w:ascii="Century Gothic" w:hAnsi="Century Gothic" w:cs="Arial"/>
          <w:sz w:val="18"/>
          <w:szCs w:val="18"/>
        </w:rPr>
        <w:t>a) Toda entidad pública, incluyendo las pertenecientes a todas las Ramas del Poder Público, en todos los niveles de la estructura estatal, central o descentralizada por servicios o territorialmente, en los órdenes nacional, departamental, municipal y distrital</w:t>
      </w:r>
      <w:r>
        <w:rPr>
          <w:rFonts w:ascii="Century Gothic" w:hAnsi="Century Gothic" w:cs="Arial"/>
          <w:sz w:val="18"/>
          <w:szCs w:val="18"/>
        </w:rPr>
        <w:t>”</w:t>
      </w:r>
      <w:r w:rsidRPr="00246CE2">
        <w:rPr>
          <w:rFonts w:ascii="Century Gothic" w:hAnsi="Century Gothic" w:cs="Arial"/>
          <w:sz w:val="18"/>
          <w:szCs w:val="18"/>
        </w:rPr>
        <w:t>.</w:t>
      </w:r>
    </w:p>
  </w:footnote>
  <w:footnote w:id="10">
    <w:p w14:paraId="70015615" w14:textId="77777777" w:rsidR="00977A67" w:rsidRPr="00246CE2" w:rsidRDefault="00977A67" w:rsidP="00977A67">
      <w:pPr>
        <w:pStyle w:val="FootnoteText"/>
        <w:ind w:firstLine="707"/>
        <w:contextualSpacing/>
        <w:jc w:val="both"/>
        <w:rPr>
          <w:rFonts w:ascii="Century Gothic" w:hAnsi="Century Gothic" w:cs="Arial"/>
          <w:color w:val="000000"/>
          <w:sz w:val="18"/>
          <w:szCs w:val="18"/>
        </w:rPr>
      </w:pPr>
      <w:r w:rsidRPr="00246CE2">
        <w:rPr>
          <w:rFonts w:ascii="Century Gothic" w:hAnsi="Century Gothic" w:cs="Arial"/>
          <w:color w:val="000000"/>
          <w:sz w:val="18"/>
          <w:szCs w:val="18"/>
          <w:vertAlign w:val="superscript"/>
          <w:lang w:val="es-ES" w:eastAsia="es-ES"/>
        </w:rPr>
        <w:footnoteRef/>
      </w:r>
      <w:r w:rsidRPr="00246CE2">
        <w:rPr>
          <w:rFonts w:ascii="Century Gothic" w:hAnsi="Century Gothic" w:cs="Arial"/>
          <w:color w:val="000000"/>
          <w:sz w:val="18"/>
          <w:szCs w:val="18"/>
          <w:vertAlign w:val="superscript"/>
          <w:lang w:val="es-ES" w:eastAsia="es-ES"/>
        </w:rPr>
        <w:t xml:space="preserve"> </w:t>
      </w:r>
      <w:r>
        <w:rPr>
          <w:rFonts w:ascii="Century Gothic" w:hAnsi="Century Gothic" w:cs="Arial"/>
          <w:color w:val="000000"/>
          <w:sz w:val="18"/>
          <w:szCs w:val="18"/>
          <w:lang w:val="es-ES" w:eastAsia="es-ES"/>
        </w:rPr>
        <w:t>“</w:t>
      </w:r>
      <w:r w:rsidRPr="00246CE2">
        <w:rPr>
          <w:rFonts w:ascii="Century Gothic" w:hAnsi="Century Gothic" w:cs="Arial"/>
          <w:color w:val="000000"/>
          <w:sz w:val="18"/>
          <w:szCs w:val="18"/>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7E5048B4" w14:textId="77777777" w:rsidR="00977A67" w:rsidRPr="00246CE2" w:rsidRDefault="00977A67" w:rsidP="00977A67">
      <w:pPr>
        <w:pStyle w:val="FootnoteText"/>
        <w:ind w:firstLine="709"/>
        <w:contextualSpacing/>
        <w:jc w:val="both"/>
        <w:rPr>
          <w:rFonts w:ascii="Century Gothic" w:hAnsi="Century Gothic" w:cs="Arial"/>
          <w:color w:val="000000"/>
          <w:sz w:val="18"/>
          <w:szCs w:val="18"/>
          <w:lang w:val="es-ES" w:eastAsia="es-ES"/>
        </w:rPr>
      </w:pPr>
      <w:r w:rsidRPr="00246CE2">
        <w:rPr>
          <w:rFonts w:ascii="Century Gothic" w:hAnsi="Century Gothic" w:cs="Arial"/>
          <w:color w:val="000000"/>
          <w:sz w:val="18"/>
          <w:szCs w:val="18"/>
        </w:rPr>
        <w:t>[…].</w:t>
      </w:r>
    </w:p>
    <w:p w14:paraId="690222F1" w14:textId="77777777" w:rsidR="00977A67" w:rsidRPr="00246CE2" w:rsidRDefault="00977A67" w:rsidP="00977A67">
      <w:pPr>
        <w:pStyle w:val="FootnoteText"/>
        <w:ind w:firstLine="709"/>
        <w:contextualSpacing/>
        <w:jc w:val="both"/>
        <w:rPr>
          <w:rFonts w:ascii="Century Gothic" w:hAnsi="Century Gothic" w:cs="Arial"/>
          <w:color w:val="000000"/>
          <w:sz w:val="18"/>
          <w:szCs w:val="18"/>
          <w:lang w:val="es-ES" w:eastAsia="es-ES"/>
        </w:rPr>
      </w:pPr>
      <w:r>
        <w:rPr>
          <w:rFonts w:ascii="Century Gothic" w:hAnsi="Century Gothic" w:cs="Arial"/>
          <w:color w:val="000000"/>
          <w:sz w:val="18"/>
          <w:szCs w:val="18"/>
          <w:lang w:val="es-ES" w:eastAsia="es-ES"/>
        </w:rPr>
        <w:t>“</w:t>
      </w:r>
      <w:r w:rsidRPr="00246CE2">
        <w:rPr>
          <w:rFonts w:ascii="Century Gothic" w:hAnsi="Century Gothic" w:cs="Arial"/>
          <w:color w:val="000000"/>
          <w:sz w:val="18"/>
          <w:szCs w:val="18"/>
          <w:lang w:val="es-ES" w:eastAsia="es-ES"/>
        </w:rPr>
        <w:t>Los sujetos obligados que contratan con recursos públicos y recursos privados, deben publicar la información de su gestión contractual con cargo a recursos públicos en el Sistema Electrónico para la Contratación Pública [SECOP]</w:t>
      </w:r>
      <w:r>
        <w:rPr>
          <w:rFonts w:ascii="Century Gothic" w:hAnsi="Century Gothic" w:cs="Arial"/>
          <w:color w:val="000000"/>
          <w:sz w:val="18"/>
          <w:szCs w:val="18"/>
          <w:lang w:val="es-ES" w:eastAsia="es-ES"/>
        </w:rPr>
        <w:t>”</w:t>
      </w:r>
      <w:r w:rsidRPr="00246CE2">
        <w:rPr>
          <w:rFonts w:ascii="Century Gothic" w:hAnsi="Century Gothic" w:cs="Arial"/>
          <w:color w:val="000000"/>
          <w:sz w:val="18"/>
          <w:szCs w:val="18"/>
          <w:lang w:val="es-ES" w:eastAsia="es-ES"/>
        </w:rPr>
        <w:t>.</w:t>
      </w:r>
    </w:p>
    <w:p w14:paraId="120353A4" w14:textId="77777777" w:rsidR="00977A67" w:rsidRDefault="00977A67" w:rsidP="00977A67">
      <w:pPr>
        <w:pStyle w:val="FootnoteText"/>
        <w:ind w:firstLine="709"/>
        <w:contextualSpacing/>
        <w:jc w:val="both"/>
      </w:pPr>
    </w:p>
  </w:footnote>
  <w:footnote w:id="11">
    <w:p w14:paraId="24AC771F" w14:textId="77777777" w:rsidR="00977A67" w:rsidRPr="00246CE2" w:rsidRDefault="00977A67" w:rsidP="00977A67">
      <w:pPr>
        <w:pStyle w:val="FootnoteText"/>
        <w:ind w:firstLine="709"/>
        <w:contextualSpacing/>
        <w:jc w:val="both"/>
        <w:rPr>
          <w:rFonts w:ascii="Century Gothic" w:hAnsi="Century Gothic" w:cs="Arial"/>
          <w:sz w:val="18"/>
          <w:szCs w:val="18"/>
        </w:rPr>
      </w:pPr>
      <w:r w:rsidRPr="00246CE2">
        <w:rPr>
          <w:rFonts w:ascii="Century Gothic" w:hAnsi="Century Gothic" w:cs="Arial"/>
          <w:sz w:val="18"/>
          <w:szCs w:val="18"/>
          <w:vertAlign w:val="superscript"/>
        </w:rPr>
        <w:footnoteRef/>
      </w:r>
      <w:r w:rsidRPr="00246CE2">
        <w:rPr>
          <w:rFonts w:ascii="Century Gothic" w:hAnsi="Century Gothic" w:cs="Arial"/>
          <w:sz w:val="18"/>
          <w:szCs w:val="18"/>
        </w:rPr>
        <w:t xml:space="preserve"> Ley 1437 de 2011: </w:t>
      </w:r>
      <w:r>
        <w:rPr>
          <w:rFonts w:ascii="Century Gothic" w:hAnsi="Century Gothic" w:cs="Arial"/>
          <w:sz w:val="18"/>
          <w:szCs w:val="18"/>
        </w:rPr>
        <w:t>“</w:t>
      </w:r>
      <w:r w:rsidRPr="00246CE2">
        <w:rPr>
          <w:rFonts w:ascii="Century Gothic" w:hAnsi="Century Gothic" w:cs="Arial"/>
          <w:sz w:val="18"/>
          <w:szCs w:val="18"/>
        </w:rPr>
        <w:t xml:space="preserve">Artículo 24. Informaciones y documentos reservados. Solo tendrán carácter reservado las informaciones y documentos expresamente sometidos a reserva por la Constitución Política o la ley, y en especial:  </w:t>
      </w:r>
    </w:p>
    <w:p w14:paraId="0762B11D" w14:textId="77777777" w:rsidR="00977A67" w:rsidRPr="00246CE2" w:rsidRDefault="00977A67" w:rsidP="00977A67">
      <w:pPr>
        <w:pStyle w:val="FootnoteText"/>
        <w:ind w:firstLine="709"/>
        <w:contextualSpacing/>
        <w:jc w:val="both"/>
        <w:rPr>
          <w:rFonts w:ascii="Century Gothic" w:hAnsi="Century Gothic" w:cs="Arial"/>
          <w:sz w:val="18"/>
          <w:szCs w:val="18"/>
        </w:rPr>
      </w:pPr>
      <w:r>
        <w:rPr>
          <w:rFonts w:ascii="Century Gothic" w:hAnsi="Century Gothic" w:cs="Arial"/>
          <w:sz w:val="18"/>
          <w:szCs w:val="18"/>
        </w:rPr>
        <w:t>“</w:t>
      </w:r>
      <w:r w:rsidRPr="00246CE2">
        <w:rPr>
          <w:rFonts w:ascii="Century Gothic" w:hAnsi="Century Gothic" w:cs="Arial"/>
          <w:sz w:val="18"/>
          <w:szCs w:val="18"/>
        </w:rPr>
        <w:t xml:space="preserve">1. Los relacionados con la defensa o seguridad nacionales.  </w:t>
      </w:r>
    </w:p>
    <w:p w14:paraId="703158A2" w14:textId="77777777" w:rsidR="00977A67" w:rsidRPr="00246CE2" w:rsidRDefault="00977A67" w:rsidP="00977A67">
      <w:pPr>
        <w:pStyle w:val="FootnoteText"/>
        <w:ind w:firstLine="709"/>
        <w:contextualSpacing/>
        <w:jc w:val="both"/>
        <w:rPr>
          <w:rFonts w:ascii="Century Gothic" w:hAnsi="Century Gothic" w:cs="Arial"/>
          <w:sz w:val="18"/>
          <w:szCs w:val="18"/>
        </w:rPr>
      </w:pPr>
      <w:r>
        <w:rPr>
          <w:rFonts w:ascii="Century Gothic" w:hAnsi="Century Gothic" w:cs="Arial"/>
          <w:sz w:val="18"/>
          <w:szCs w:val="18"/>
        </w:rPr>
        <w:t>“</w:t>
      </w:r>
      <w:r w:rsidRPr="00246CE2">
        <w:rPr>
          <w:rFonts w:ascii="Century Gothic" w:hAnsi="Century Gothic" w:cs="Arial"/>
          <w:sz w:val="18"/>
          <w:szCs w:val="18"/>
        </w:rPr>
        <w:t xml:space="preserve">2. Las instrucciones en materia diplomática o sobre negociaciones reservadas.  </w:t>
      </w:r>
    </w:p>
    <w:p w14:paraId="30223A69" w14:textId="77777777" w:rsidR="00977A67" w:rsidRPr="00246CE2" w:rsidRDefault="00977A67" w:rsidP="00977A67">
      <w:pPr>
        <w:pStyle w:val="FootnoteText"/>
        <w:ind w:firstLine="709"/>
        <w:contextualSpacing/>
        <w:jc w:val="both"/>
        <w:rPr>
          <w:rFonts w:ascii="Century Gothic" w:hAnsi="Century Gothic" w:cs="Arial"/>
          <w:sz w:val="18"/>
          <w:szCs w:val="18"/>
        </w:rPr>
      </w:pPr>
      <w:r>
        <w:rPr>
          <w:rFonts w:ascii="Century Gothic" w:hAnsi="Century Gothic" w:cs="Arial"/>
          <w:sz w:val="18"/>
          <w:szCs w:val="18"/>
        </w:rPr>
        <w:t>“</w:t>
      </w:r>
      <w:r w:rsidRPr="00246CE2">
        <w:rPr>
          <w:rFonts w:ascii="Century Gothic" w:hAnsi="Century Gothic" w:cs="Arial"/>
          <w:sz w:val="18"/>
          <w:szCs w:val="18"/>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2C2795DA" w14:textId="77777777" w:rsidR="00977A67" w:rsidRPr="00246CE2" w:rsidRDefault="00977A67" w:rsidP="00977A67">
      <w:pPr>
        <w:pStyle w:val="FootnoteText"/>
        <w:ind w:firstLine="709"/>
        <w:contextualSpacing/>
        <w:jc w:val="both"/>
        <w:rPr>
          <w:rFonts w:ascii="Century Gothic" w:hAnsi="Century Gothic" w:cs="Arial"/>
          <w:sz w:val="18"/>
          <w:szCs w:val="18"/>
        </w:rPr>
      </w:pPr>
      <w:r>
        <w:rPr>
          <w:rFonts w:ascii="Century Gothic" w:hAnsi="Century Gothic" w:cs="Arial"/>
          <w:sz w:val="18"/>
          <w:szCs w:val="18"/>
        </w:rPr>
        <w:t>“</w:t>
      </w:r>
      <w:r w:rsidRPr="00246CE2">
        <w:rPr>
          <w:rFonts w:ascii="Century Gothic" w:hAnsi="Century Gothic" w:cs="Arial"/>
          <w:sz w:val="18"/>
          <w:szCs w:val="18"/>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05AC9F85" w14:textId="77777777" w:rsidR="00977A67" w:rsidRPr="00246CE2" w:rsidRDefault="00977A67" w:rsidP="00977A67">
      <w:pPr>
        <w:pStyle w:val="FootnoteText"/>
        <w:ind w:firstLine="709"/>
        <w:contextualSpacing/>
        <w:jc w:val="both"/>
        <w:rPr>
          <w:rFonts w:ascii="Century Gothic" w:hAnsi="Century Gothic" w:cs="Arial"/>
          <w:sz w:val="18"/>
          <w:szCs w:val="18"/>
        </w:rPr>
      </w:pPr>
      <w:r>
        <w:rPr>
          <w:rFonts w:ascii="Century Gothic" w:hAnsi="Century Gothic" w:cs="Arial"/>
          <w:sz w:val="18"/>
          <w:szCs w:val="18"/>
        </w:rPr>
        <w:t>“</w:t>
      </w:r>
      <w:r w:rsidRPr="00246CE2">
        <w:rPr>
          <w:rFonts w:ascii="Century Gothic" w:hAnsi="Century Gothic" w:cs="Arial"/>
          <w:sz w:val="18"/>
          <w:szCs w:val="18"/>
        </w:rPr>
        <w:t xml:space="preserve">5. Los datos referentes a la información financiera y comercial, en los términos de la Ley Estatutaria 1266 de 2008.  </w:t>
      </w:r>
    </w:p>
    <w:p w14:paraId="4A706431" w14:textId="77777777" w:rsidR="00977A67" w:rsidRPr="00246CE2" w:rsidRDefault="00977A67" w:rsidP="00977A67">
      <w:pPr>
        <w:pStyle w:val="FootnoteText"/>
        <w:ind w:firstLine="709"/>
        <w:contextualSpacing/>
        <w:jc w:val="both"/>
        <w:rPr>
          <w:rFonts w:ascii="Century Gothic" w:hAnsi="Century Gothic" w:cs="Arial"/>
          <w:sz w:val="18"/>
          <w:szCs w:val="18"/>
        </w:rPr>
      </w:pPr>
      <w:r>
        <w:rPr>
          <w:rFonts w:ascii="Century Gothic" w:hAnsi="Century Gothic" w:cs="Arial"/>
          <w:sz w:val="18"/>
          <w:szCs w:val="18"/>
        </w:rPr>
        <w:t>“</w:t>
      </w:r>
      <w:r w:rsidRPr="00246CE2">
        <w:rPr>
          <w:rFonts w:ascii="Century Gothic" w:hAnsi="Century Gothic" w:cs="Arial"/>
          <w:sz w:val="18"/>
          <w:szCs w:val="18"/>
        </w:rPr>
        <w:t xml:space="preserve">6. Los protegidos por el secreto comercial o industrial, así como los planes estratégicos de las empresas públicas de servicios públicos.  </w:t>
      </w:r>
    </w:p>
    <w:p w14:paraId="54C09274" w14:textId="77777777" w:rsidR="00977A67" w:rsidRPr="00246CE2" w:rsidRDefault="00977A67" w:rsidP="00977A67">
      <w:pPr>
        <w:pStyle w:val="FootnoteText"/>
        <w:ind w:firstLine="709"/>
        <w:contextualSpacing/>
        <w:jc w:val="both"/>
        <w:rPr>
          <w:rFonts w:ascii="Century Gothic" w:hAnsi="Century Gothic" w:cs="Arial"/>
          <w:sz w:val="18"/>
          <w:szCs w:val="18"/>
        </w:rPr>
      </w:pPr>
      <w:r>
        <w:rPr>
          <w:rFonts w:ascii="Century Gothic" w:hAnsi="Century Gothic" w:cs="Arial"/>
          <w:sz w:val="18"/>
          <w:szCs w:val="18"/>
        </w:rPr>
        <w:t>“</w:t>
      </w:r>
      <w:r w:rsidRPr="00246CE2">
        <w:rPr>
          <w:rFonts w:ascii="Century Gothic" w:hAnsi="Century Gothic" w:cs="Arial"/>
          <w:sz w:val="18"/>
          <w:szCs w:val="18"/>
        </w:rPr>
        <w:t xml:space="preserve">7. Los amparados por el secreto profesional.  </w:t>
      </w:r>
    </w:p>
    <w:p w14:paraId="7ABF4022" w14:textId="77777777" w:rsidR="00977A67" w:rsidRPr="00246CE2" w:rsidRDefault="00977A67" w:rsidP="00977A67">
      <w:pPr>
        <w:pStyle w:val="FootnoteText"/>
        <w:ind w:firstLine="709"/>
        <w:contextualSpacing/>
        <w:jc w:val="both"/>
        <w:rPr>
          <w:rFonts w:ascii="Century Gothic" w:hAnsi="Century Gothic" w:cs="Arial"/>
          <w:sz w:val="18"/>
          <w:szCs w:val="18"/>
        </w:rPr>
      </w:pPr>
      <w:r>
        <w:rPr>
          <w:rFonts w:ascii="Century Gothic" w:hAnsi="Century Gothic" w:cs="Arial"/>
          <w:sz w:val="18"/>
          <w:szCs w:val="18"/>
        </w:rPr>
        <w:t>“</w:t>
      </w:r>
      <w:r w:rsidRPr="00246CE2">
        <w:rPr>
          <w:rFonts w:ascii="Century Gothic" w:hAnsi="Century Gothic" w:cs="Arial"/>
          <w:sz w:val="18"/>
          <w:szCs w:val="18"/>
        </w:rPr>
        <w:t xml:space="preserve">8. Los datos genéticos humanos.  </w:t>
      </w:r>
    </w:p>
    <w:p w14:paraId="160C49F2" w14:textId="77777777" w:rsidR="00977A67" w:rsidRDefault="00977A67" w:rsidP="00977A67">
      <w:pPr>
        <w:pStyle w:val="FootnoteText"/>
        <w:ind w:firstLine="709"/>
        <w:contextualSpacing/>
        <w:jc w:val="both"/>
      </w:pPr>
      <w:r>
        <w:rPr>
          <w:rFonts w:ascii="Century Gothic" w:hAnsi="Century Gothic" w:cs="Arial"/>
          <w:sz w:val="18"/>
          <w:szCs w:val="18"/>
        </w:rPr>
        <w:t>“</w:t>
      </w:r>
      <w:r w:rsidRPr="00246CE2">
        <w:rPr>
          <w:rFonts w:ascii="Century Gothic" w:hAnsi="Century Gothic" w:cs="Arial"/>
          <w:sz w:val="18"/>
          <w:szCs w:val="18"/>
        </w:rPr>
        <w:t>Parágrafo. Para efecto de la solicitud de información de carácter reservado, enunciada en los numerales 3, 5, 6 y 7 solo podrá ser solicitada por el titular de la información, por sus apoderados o por personas autorizadas con facultad expresa para acceder a esa información</w:t>
      </w:r>
      <w:r>
        <w:rPr>
          <w:rFonts w:ascii="Century Gothic" w:hAnsi="Century Gothic" w:cs="Arial"/>
          <w:sz w:val="18"/>
          <w:szCs w:val="18"/>
        </w:rPr>
        <w:t>”</w:t>
      </w:r>
      <w:r w:rsidRPr="00246CE2">
        <w:rPr>
          <w:rFonts w:ascii="Century Gothic" w:hAnsi="Century Gothic" w:cs="Arial"/>
          <w:sz w:val="18"/>
          <w:szCs w:val="18"/>
        </w:rPr>
        <w:t xml:space="preserve">.  </w:t>
      </w:r>
    </w:p>
  </w:footnote>
  <w:footnote w:id="12">
    <w:p w14:paraId="707D8A79" w14:textId="77777777" w:rsidR="00977A67" w:rsidRDefault="00977A67" w:rsidP="00977A67">
      <w:pPr>
        <w:pStyle w:val="FootnoteText"/>
        <w:ind w:firstLine="708"/>
        <w:contextualSpacing/>
        <w:jc w:val="both"/>
      </w:pPr>
      <w:r w:rsidRPr="00246CE2">
        <w:rPr>
          <w:rFonts w:ascii="Century Gothic" w:hAnsi="Century Gothic" w:cs="Arial"/>
          <w:sz w:val="18"/>
          <w:szCs w:val="18"/>
          <w:vertAlign w:val="superscript"/>
        </w:rPr>
        <w:footnoteRef/>
      </w:r>
      <w:r w:rsidRPr="00246CE2">
        <w:rPr>
          <w:rFonts w:ascii="Century Gothic" w:hAnsi="Century Gothic" w:cs="Arial"/>
          <w:sz w:val="18"/>
          <w:szCs w:val="18"/>
        </w:rPr>
        <w:t xml:space="preserve"> </w:t>
      </w:r>
      <w:r w:rsidRPr="00246CE2">
        <w:rPr>
          <w:rFonts w:ascii="Century Gothic" w:hAnsi="Century Gothic" w:cs="Arial"/>
          <w:sz w:val="18"/>
          <w:szCs w:val="18"/>
          <w:lang w:val="es-ES_tradnl"/>
        </w:rPr>
        <w:t xml:space="preserve">En armonía con lo anterior, en la Circular Externa 002 de esta Agencia se establece, que: </w:t>
      </w:r>
      <w:r>
        <w:rPr>
          <w:rFonts w:ascii="Century Gothic" w:hAnsi="Century Gothic" w:cs="Arial"/>
          <w:sz w:val="18"/>
          <w:szCs w:val="18"/>
          <w:lang w:val="es-ES_tradnl"/>
        </w:rPr>
        <w:t>“</w:t>
      </w:r>
      <w:r w:rsidRPr="00246CE2">
        <w:rPr>
          <w:rFonts w:ascii="Century Gothic" w:hAnsi="Century Gothic" w:cs="Arial"/>
          <w:sz w:val="18"/>
          <w:szCs w:val="18"/>
          <w:lang w:val="es-ES_tradnl"/>
        </w:rPr>
        <w:t>Todos los procesos de contratación creados en el SECOP I antes del 18 de julio de 2022, 23:59 horas, por parte de estas entidades estatales, podrán continuar siendo gestionados en esta plataforma</w:t>
      </w:r>
      <w:r>
        <w:rPr>
          <w:rFonts w:ascii="Century Gothic" w:hAnsi="Century Gothic" w:cs="Arial"/>
          <w:sz w:val="18"/>
          <w:szCs w:val="18"/>
          <w:lang w:val="es-ES_tradnl"/>
        </w:rPr>
        <w:t>”</w:t>
      </w:r>
      <w:r w:rsidRPr="00246CE2">
        <w:rPr>
          <w:rFonts w:ascii="Century Gothic" w:hAnsi="Century Gothic" w:cs="Arial"/>
          <w:sz w:val="18"/>
          <w:szCs w:val="18"/>
          <w:lang w:val="es-ES_tradnl"/>
        </w:rPr>
        <w:t>.</w:t>
      </w:r>
    </w:p>
  </w:footnote>
  <w:footnote w:id="13">
    <w:p w14:paraId="1B3641B0" w14:textId="77777777" w:rsidR="00977A67" w:rsidRPr="00246CE2" w:rsidRDefault="00977A67" w:rsidP="00977A67">
      <w:pPr>
        <w:pStyle w:val="FootnoteText"/>
        <w:ind w:firstLine="709"/>
        <w:contextualSpacing/>
        <w:jc w:val="both"/>
        <w:rPr>
          <w:rFonts w:ascii="Century Gothic" w:hAnsi="Century Gothic" w:cs="Arial"/>
          <w:color w:val="000000"/>
          <w:sz w:val="18"/>
          <w:szCs w:val="18"/>
        </w:rPr>
      </w:pPr>
      <w:r w:rsidRPr="00246CE2">
        <w:rPr>
          <w:rFonts w:ascii="Century Gothic" w:hAnsi="Century Gothic" w:cs="Arial"/>
          <w:color w:val="000000"/>
          <w:sz w:val="18"/>
          <w:szCs w:val="18"/>
          <w:vertAlign w:val="superscript"/>
        </w:rPr>
        <w:footnoteRef/>
      </w:r>
      <w:r w:rsidRPr="00246CE2">
        <w:rPr>
          <w:rFonts w:ascii="Century Gothic" w:hAnsi="Century Gothic" w:cs="Arial"/>
          <w:color w:val="000000"/>
          <w:sz w:val="18"/>
          <w:szCs w:val="18"/>
        </w:rPr>
        <w:t xml:space="preserve"> </w:t>
      </w:r>
      <w:r>
        <w:rPr>
          <w:rFonts w:ascii="Century Gothic" w:hAnsi="Century Gothic" w:cs="Arial"/>
          <w:color w:val="000000"/>
          <w:sz w:val="18"/>
          <w:szCs w:val="18"/>
        </w:rPr>
        <w:t>“</w:t>
      </w:r>
      <w:r w:rsidRPr="00246CE2">
        <w:rPr>
          <w:rFonts w:ascii="Century Gothic" w:hAnsi="Century Gothic" w:cs="Arial"/>
          <w:color w:val="000000"/>
          <w:sz w:val="18"/>
          <w:szCs w:val="18"/>
        </w:rPr>
        <w:t>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 Esta obligación deberá cumplirse, inclusive, si la ejecución del contrato no implica erogación presupuestal</w:t>
      </w:r>
      <w:r>
        <w:rPr>
          <w:rFonts w:ascii="Century Gothic" w:hAnsi="Century Gothic" w:cs="Arial"/>
          <w:color w:val="000000"/>
          <w:sz w:val="18"/>
          <w:szCs w:val="18"/>
        </w:rPr>
        <w:t>”</w:t>
      </w:r>
      <w:r w:rsidRPr="00246CE2">
        <w:rPr>
          <w:rFonts w:ascii="Century Gothic" w:hAnsi="Century Gothic" w:cs="Arial"/>
          <w:color w:val="000000"/>
          <w:sz w:val="18"/>
          <w:szCs w:val="18"/>
        </w:rPr>
        <w:t>.</w:t>
      </w:r>
    </w:p>
    <w:p w14:paraId="0B82CEFD" w14:textId="77777777" w:rsidR="00977A67" w:rsidRDefault="00977A67" w:rsidP="00977A67">
      <w:pPr>
        <w:pStyle w:val="FootnoteText"/>
        <w:ind w:firstLine="709"/>
        <w:contextualSpacing/>
        <w:jc w:val="both"/>
      </w:pPr>
    </w:p>
  </w:footnote>
  <w:footnote w:id="14">
    <w:p w14:paraId="344B6F6A" w14:textId="77777777" w:rsidR="00977A67" w:rsidRDefault="00977A67" w:rsidP="00977A67">
      <w:pPr>
        <w:pStyle w:val="FootnoteText"/>
        <w:ind w:firstLine="708"/>
        <w:contextualSpacing/>
        <w:jc w:val="both"/>
      </w:pPr>
      <w:r w:rsidRPr="00246CE2">
        <w:rPr>
          <w:rFonts w:ascii="Century Gothic" w:hAnsi="Century Gothic" w:cs="Arial"/>
          <w:sz w:val="18"/>
          <w:szCs w:val="18"/>
          <w:vertAlign w:val="superscript"/>
        </w:rPr>
        <w:footnoteRef/>
      </w:r>
      <w:r w:rsidRPr="00246CE2">
        <w:rPr>
          <w:rFonts w:ascii="Century Gothic" w:hAnsi="Century Gothic" w:cs="Arial"/>
          <w:sz w:val="18"/>
          <w:szCs w:val="18"/>
        </w:rPr>
        <w:t xml:space="preserve"> Ley 1150 de 2007. </w:t>
      </w:r>
      <w:r>
        <w:rPr>
          <w:rFonts w:ascii="Century Gothic" w:hAnsi="Century Gothic" w:cs="Arial"/>
          <w:sz w:val="18"/>
          <w:szCs w:val="18"/>
        </w:rPr>
        <w:t>“</w:t>
      </w:r>
      <w:r w:rsidRPr="00246CE2">
        <w:rPr>
          <w:rFonts w:ascii="Century Gothic" w:hAnsi="Century Gothic" w:cs="Arial"/>
          <w:sz w:val="18"/>
          <w:szCs w:val="18"/>
        </w:rPr>
        <w:t>Artículo 1. Objeto. La presente ley tiene por objeto introducir modificaciones en la Ley 80 de 1993, así como dictar otras disposiciones generales aplicables a toda contratación con recursos públicos</w:t>
      </w:r>
      <w:r>
        <w:rPr>
          <w:rFonts w:ascii="Century Gothic" w:hAnsi="Century Gothic" w:cs="Arial"/>
          <w:sz w:val="18"/>
          <w:szCs w:val="18"/>
        </w:rPr>
        <w:t>”</w:t>
      </w:r>
      <w:r w:rsidRPr="00246CE2">
        <w:rPr>
          <w:rFonts w:ascii="Century Gothic" w:hAnsi="Century Gothic" w:cs="Arial"/>
          <w:sz w:val="18"/>
          <w:szCs w:val="18"/>
        </w:rPr>
        <w:t>.</w:t>
      </w:r>
    </w:p>
  </w:footnote>
  <w:footnote w:id="15">
    <w:p w14:paraId="4CFE157E" w14:textId="77777777" w:rsidR="00977A67" w:rsidRPr="00246CE2" w:rsidRDefault="00977A67" w:rsidP="00977A67">
      <w:pPr>
        <w:autoSpaceDE w:val="0"/>
        <w:autoSpaceDN w:val="0"/>
        <w:adjustRightInd w:val="0"/>
        <w:spacing w:after="0" w:line="240" w:lineRule="auto"/>
        <w:ind w:firstLine="708"/>
        <w:contextualSpacing/>
        <w:jc w:val="both"/>
        <w:rPr>
          <w:rFonts w:ascii="Century Gothic" w:hAnsi="Century Gothic" w:cs="Arial"/>
          <w:sz w:val="18"/>
          <w:szCs w:val="18"/>
          <w:lang w:val="es-ES" w:eastAsia="es-ES_tradnl"/>
        </w:rPr>
      </w:pPr>
      <w:r w:rsidRPr="00246CE2">
        <w:rPr>
          <w:rFonts w:ascii="Century Gothic" w:hAnsi="Century Gothic" w:cs="Arial"/>
          <w:sz w:val="18"/>
          <w:szCs w:val="18"/>
          <w:vertAlign w:val="superscript"/>
        </w:rPr>
        <w:footnoteRef/>
      </w:r>
      <w:r w:rsidRPr="00246CE2">
        <w:rPr>
          <w:rFonts w:ascii="Century Gothic" w:hAnsi="Century Gothic" w:cs="Arial"/>
          <w:sz w:val="18"/>
          <w:szCs w:val="18"/>
        </w:rPr>
        <w:t xml:space="preserve"> E</w:t>
      </w:r>
      <w:r w:rsidRPr="00246CE2">
        <w:rPr>
          <w:rFonts w:ascii="Century Gothic" w:hAnsi="Century Gothic" w:cs="Arial"/>
          <w:sz w:val="18"/>
          <w:szCs w:val="18"/>
          <w:lang w:val="es-ES_tradnl" w:eastAsia="es-ES_tradnl"/>
        </w:rPr>
        <w:t xml:space="preserve">l pasado </w:t>
      </w:r>
      <w:r w:rsidRPr="00246CE2">
        <w:rPr>
          <w:rFonts w:ascii="Century Gothic" w:hAnsi="Century Gothic" w:cs="Arial"/>
          <w:sz w:val="18"/>
          <w:szCs w:val="18"/>
          <w:lang w:val="es-ES" w:eastAsia="es-ES_tradnl"/>
        </w:rPr>
        <w:t xml:space="preserve">1 de junio, el Departamento Administrativo de la Presidencia de la Republica profirió la Circular 02 del 2022, mediante la cual se imparten instrucciones sobre la aplicación del artículo 53 de la Ley 2195 de 2022, en los siguientes aspectos: i) publicación de los documentos contractuales en el SECOP II; ii) reserva de los documentos relacionados con la actividad contractual y; iii) régimen de transición de los contratos celebrados con anterioridad a la entrada en vigencia de la obligación consagrada en el artículo 53 de la Ley 2195 de 2022. La mencionada Circular contiene una serie de instrucciones con miras a garantizar el cumplimiento del deber legal por parte de las entidades estatales exceptuadas del Estatuto General de Contratación Pública. </w:t>
      </w:r>
    </w:p>
    <w:p w14:paraId="4A8B5066" w14:textId="77777777" w:rsidR="00977A67" w:rsidRDefault="00977A67" w:rsidP="00977A67">
      <w:pPr>
        <w:autoSpaceDE w:val="0"/>
        <w:autoSpaceDN w:val="0"/>
        <w:adjustRightInd w:val="0"/>
        <w:spacing w:after="0" w:line="240" w:lineRule="auto"/>
        <w:ind w:firstLine="708"/>
        <w:contextualSpacing/>
        <w:jc w:val="both"/>
      </w:pPr>
    </w:p>
  </w:footnote>
  <w:footnote w:id="16">
    <w:p w14:paraId="2E0BF6E1" w14:textId="4A4480C9" w:rsidR="00A42316" w:rsidRDefault="00A42316" w:rsidP="00A42316">
      <w:pPr>
        <w:pStyle w:val="FootnoteText"/>
        <w:ind w:firstLine="708"/>
        <w:contextualSpacing/>
        <w:jc w:val="both"/>
        <w:rPr>
          <w:rFonts w:ascii="Century Gothic" w:hAnsi="Century Gothic" w:cs="Arial"/>
          <w:sz w:val="18"/>
          <w:szCs w:val="18"/>
        </w:rPr>
      </w:pPr>
      <w:r w:rsidRPr="007716E6">
        <w:rPr>
          <w:rFonts w:ascii="Century Gothic" w:hAnsi="Century Gothic" w:cs="Arial"/>
          <w:sz w:val="18"/>
          <w:szCs w:val="18"/>
          <w:vertAlign w:val="superscript"/>
        </w:rPr>
        <w:footnoteRef/>
      </w:r>
      <w:r w:rsidRPr="007716E6">
        <w:rPr>
          <w:rFonts w:ascii="Century Gothic" w:hAnsi="Century Gothic" w:cs="Arial"/>
          <w:sz w:val="18"/>
          <w:szCs w:val="18"/>
        </w:rPr>
        <w:t xml:space="preserve"> </w:t>
      </w:r>
      <w:r>
        <w:rPr>
          <w:rFonts w:ascii="Century Gothic" w:hAnsi="Century Gothic" w:cs="Arial"/>
          <w:sz w:val="18"/>
          <w:szCs w:val="18"/>
        </w:rPr>
        <w:t>“</w:t>
      </w:r>
      <w:r w:rsidRPr="007716E6">
        <w:rPr>
          <w:rFonts w:ascii="Century Gothic" w:hAnsi="Century Gothic" w:cs="Arial"/>
          <w:sz w:val="18"/>
          <w:szCs w:val="18"/>
        </w:rPr>
        <w:t xml:space="preserve">Artículo 21. DIVULGACIÓN PARCIAL Y OTRAS REGLAS. En aquellas circunstancias en que la totalidad de la información contenida en un documento no esté protegida por una excepción contenida en la presente ley, debe hacerse una versión pública que mantenga la reserva únicamente de la parte indispensable. La información pública que no cae en ningún supuesto de excepción deberá ser entregada a la parte solicitante, así como ser de conocimiento público. La reserva de acceso a la información opera respecto del contenido de un documento </w:t>
      </w:r>
      <w:r w:rsidR="005E0222" w:rsidRPr="007716E6">
        <w:rPr>
          <w:rFonts w:ascii="Century Gothic" w:hAnsi="Century Gothic" w:cs="Arial"/>
          <w:sz w:val="18"/>
          <w:szCs w:val="18"/>
        </w:rPr>
        <w:t>público,</w:t>
      </w:r>
      <w:r w:rsidRPr="007716E6">
        <w:rPr>
          <w:rFonts w:ascii="Century Gothic" w:hAnsi="Century Gothic" w:cs="Arial"/>
          <w:sz w:val="18"/>
          <w:szCs w:val="18"/>
        </w:rPr>
        <w:t xml:space="preserve"> pero no de su existencia.</w:t>
      </w:r>
    </w:p>
    <w:p w14:paraId="1C0AD1AF" w14:textId="19EB585B" w:rsidR="00A42316" w:rsidRDefault="00A42316" w:rsidP="00A42316">
      <w:pPr>
        <w:pStyle w:val="FootnoteText"/>
        <w:ind w:firstLine="708"/>
        <w:contextualSpacing/>
        <w:jc w:val="both"/>
        <w:rPr>
          <w:rFonts w:ascii="Century Gothic" w:hAnsi="Century Gothic" w:cs="Arial"/>
          <w:sz w:val="18"/>
          <w:szCs w:val="18"/>
        </w:rPr>
      </w:pPr>
      <w:r w:rsidRPr="007716E6">
        <w:rPr>
          <w:rFonts w:ascii="Century Gothic" w:hAnsi="Century Gothic" w:cs="Arial"/>
          <w:sz w:val="18"/>
          <w:szCs w:val="18"/>
        </w:rPr>
        <w:t xml:space="preserve">Ninguna </w:t>
      </w:r>
      <w:r w:rsidR="005E0222" w:rsidRPr="007716E6">
        <w:rPr>
          <w:rFonts w:ascii="Century Gothic" w:hAnsi="Century Gothic" w:cs="Arial"/>
          <w:sz w:val="18"/>
          <w:szCs w:val="18"/>
        </w:rPr>
        <w:t>autoridad</w:t>
      </w:r>
      <w:r w:rsidRPr="007716E6">
        <w:rPr>
          <w:rFonts w:ascii="Century Gothic" w:hAnsi="Century Gothic" w:cs="Arial"/>
          <w:sz w:val="18"/>
          <w:szCs w:val="18"/>
        </w:rPr>
        <w:t xml:space="preserve"> puede negarse a indicar si un documento obra o no en su poder o negar la divulgación de un documento, salvo que el daño causado al interés protegido sea mayor al interés público de obtener acceso a la información.</w:t>
      </w:r>
    </w:p>
    <w:p w14:paraId="661AE609" w14:textId="77777777" w:rsidR="00A42316" w:rsidRDefault="00A42316" w:rsidP="00A42316">
      <w:pPr>
        <w:pStyle w:val="FootnoteText"/>
        <w:ind w:firstLine="708"/>
        <w:contextualSpacing/>
        <w:jc w:val="both"/>
      </w:pPr>
      <w:r w:rsidRPr="007716E6">
        <w:rPr>
          <w:rFonts w:ascii="Century Gothic" w:hAnsi="Century Gothic" w:cs="Arial"/>
          <w:sz w:val="18"/>
          <w:szCs w:val="18"/>
        </w:rPr>
        <w:t>Las excepciones de acceso a la información contenidas en la presente ley no aplican en casos de violación de derechos humanos o delitos de lesa humanidad, y en todo caso deberán protegerse los derechos de las víctimas de dichas violaciones</w:t>
      </w:r>
      <w:r>
        <w:rPr>
          <w:rFonts w:ascii="Century Gothic" w:hAnsi="Century Gothic" w:cs="Arial"/>
          <w:sz w:val="18"/>
          <w:szCs w:val="18"/>
        </w:rPr>
        <w:t>”</w:t>
      </w:r>
      <w:r w:rsidRPr="007716E6">
        <w:rPr>
          <w:rFonts w:ascii="Century Gothic" w:hAnsi="Century Gothic"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43B6B0B6" w:rsidR="00756841" w:rsidRDefault="00961B09">
    <w:pPr>
      <w:pStyle w:val="Header"/>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Header"/>
    </w:pPr>
  </w:p>
  <w:p w14:paraId="1BE2B9AE" w14:textId="4B94DB3B" w:rsidR="00756841" w:rsidRDefault="00756841">
    <w:pPr>
      <w:pStyle w:val="Header"/>
    </w:pPr>
  </w:p>
  <w:p w14:paraId="7FE1230C" w14:textId="77777777" w:rsidR="004A305D" w:rsidRPr="00F02B16" w:rsidRDefault="004A305D" w:rsidP="004A305D">
    <w:pPr>
      <w:spacing w:after="0"/>
      <w:rPr>
        <w:rFonts w:ascii="Century Gothic" w:hAnsi="Century Gothic"/>
        <w:color w:val="002060"/>
        <w:sz w:val="16"/>
        <w:szCs w:val="16"/>
        <w:lang w:val="pt-BR"/>
      </w:rPr>
    </w:pPr>
    <w:r w:rsidRPr="00F02B16">
      <w:rPr>
        <w:rFonts w:ascii="Century Gothic" w:hAnsi="Century Gothic"/>
        <w:color w:val="002060"/>
        <w:sz w:val="16"/>
        <w:szCs w:val="16"/>
        <w:lang w:val="pt-BR"/>
      </w:rPr>
      <w:t>FORMATO PQRSD</w:t>
    </w:r>
  </w:p>
  <w:p w14:paraId="7B0A8834" w14:textId="3D6F55FC" w:rsidR="004A305D" w:rsidRPr="00F02B16"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val="pt-BR" w:eastAsia="es-CO"/>
      </w:rPr>
    </w:pPr>
    <w:r w:rsidRPr="00F02B16">
      <w:rPr>
        <w:rFonts w:ascii="Century Gothic" w:eastAsia="Geo" w:hAnsi="Century Gothic" w:cs="Geo"/>
        <w:b/>
        <w:color w:val="000000"/>
        <w:sz w:val="16"/>
        <w:szCs w:val="16"/>
        <w:lang w:val="pt-BR" w:eastAsia="es-CO"/>
      </w:rPr>
      <w:t xml:space="preserve">Código: </w:t>
    </w:r>
    <w:r w:rsidRPr="00F02B16">
      <w:rPr>
        <w:rFonts w:ascii="Century Gothic" w:eastAsia="Geo" w:hAnsi="Century Gothic" w:cs="Geo"/>
        <w:bCs/>
        <w:color w:val="000000"/>
        <w:sz w:val="16"/>
        <w:szCs w:val="16"/>
        <w:lang w:val="pt-BR" w:eastAsia="es-CO"/>
      </w:rPr>
      <w:t>CCE-</w:t>
    </w:r>
    <w:r w:rsidR="00CB6357" w:rsidRPr="00F02B16">
      <w:rPr>
        <w:rFonts w:ascii="Century Gothic" w:eastAsia="Geo" w:hAnsi="Century Gothic" w:cs="Geo"/>
        <w:bCs/>
        <w:color w:val="000000"/>
        <w:sz w:val="16"/>
        <w:szCs w:val="16"/>
        <w:lang w:val="pt-BR" w:eastAsia="es-CO"/>
      </w:rPr>
      <w:t>REC</w:t>
    </w:r>
    <w:r w:rsidRPr="00F02B16">
      <w:rPr>
        <w:rFonts w:ascii="Century Gothic" w:eastAsia="Geo" w:hAnsi="Century Gothic" w:cs="Geo"/>
        <w:bCs/>
        <w:color w:val="000000"/>
        <w:sz w:val="16"/>
        <w:szCs w:val="16"/>
        <w:lang w:val="pt-BR" w:eastAsia="es-CO"/>
      </w:rPr>
      <w:t>-FM-</w:t>
    </w:r>
    <w:r w:rsidR="00CB6357" w:rsidRPr="00F02B16">
      <w:rPr>
        <w:rFonts w:ascii="Century Gothic" w:eastAsia="Geo" w:hAnsi="Century Gothic" w:cs="Geo"/>
        <w:bCs/>
        <w:color w:val="000000"/>
        <w:sz w:val="16"/>
        <w:szCs w:val="16"/>
        <w:lang w:val="pt-BR" w:eastAsia="es-CO"/>
      </w:rPr>
      <w:t>1</w:t>
    </w:r>
    <w:r w:rsidR="00061B2A" w:rsidRPr="00F02B16">
      <w:rPr>
        <w:rFonts w:ascii="Century Gothic" w:eastAsia="Geo" w:hAnsi="Century Gothic" w:cs="Geo"/>
        <w:bCs/>
        <w:color w:val="000000"/>
        <w:sz w:val="16"/>
        <w:szCs w:val="16"/>
        <w:lang w:val="pt-BR"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Header"/>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55F"/>
    <w:multiLevelType w:val="multilevel"/>
    <w:tmpl w:val="97C0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A573C0C"/>
    <w:multiLevelType w:val="hybridMultilevel"/>
    <w:tmpl w:val="9EC8E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84E4628"/>
    <w:multiLevelType w:val="hybridMultilevel"/>
    <w:tmpl w:val="6944DE94"/>
    <w:lvl w:ilvl="0" w:tplc="F4CAB266">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4202804">
    <w:abstractNumId w:val="7"/>
  </w:num>
  <w:num w:numId="2" w16cid:durableId="2138595451">
    <w:abstractNumId w:val="2"/>
  </w:num>
  <w:num w:numId="3" w16cid:durableId="1119177380">
    <w:abstractNumId w:val="5"/>
  </w:num>
  <w:num w:numId="4" w16cid:durableId="4110486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4615800">
    <w:abstractNumId w:val="2"/>
  </w:num>
  <w:num w:numId="6" w16cid:durableId="1736972793">
    <w:abstractNumId w:val="14"/>
  </w:num>
  <w:num w:numId="7" w16cid:durableId="807239573">
    <w:abstractNumId w:val="6"/>
  </w:num>
  <w:num w:numId="8" w16cid:durableId="488711543">
    <w:abstractNumId w:val="13"/>
  </w:num>
  <w:num w:numId="9" w16cid:durableId="643241845">
    <w:abstractNumId w:val="8"/>
  </w:num>
  <w:num w:numId="10" w16cid:durableId="1179320593">
    <w:abstractNumId w:val="12"/>
  </w:num>
  <w:num w:numId="11" w16cid:durableId="598803929">
    <w:abstractNumId w:val="9"/>
  </w:num>
  <w:num w:numId="12" w16cid:durableId="1961108719">
    <w:abstractNumId w:val="1"/>
  </w:num>
  <w:num w:numId="13" w16cid:durableId="603001266">
    <w:abstractNumId w:val="4"/>
  </w:num>
  <w:num w:numId="14" w16cid:durableId="836118555">
    <w:abstractNumId w:val="15"/>
  </w:num>
  <w:num w:numId="15" w16cid:durableId="700131612">
    <w:abstractNumId w:val="10"/>
  </w:num>
  <w:num w:numId="16" w16cid:durableId="750927637">
    <w:abstractNumId w:val="0"/>
  </w:num>
  <w:num w:numId="17" w16cid:durableId="1191382049">
    <w:abstractNumId w:val="11"/>
  </w:num>
  <w:num w:numId="18" w16cid:durableId="12853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998"/>
    <w:rsid w:val="000010C4"/>
    <w:rsid w:val="000021D3"/>
    <w:rsid w:val="00003CE8"/>
    <w:rsid w:val="00004E30"/>
    <w:rsid w:val="0000763D"/>
    <w:rsid w:val="00013659"/>
    <w:rsid w:val="00024870"/>
    <w:rsid w:val="000248F5"/>
    <w:rsid w:val="000310B7"/>
    <w:rsid w:val="0004082E"/>
    <w:rsid w:val="00043DB0"/>
    <w:rsid w:val="000447C6"/>
    <w:rsid w:val="00061B2A"/>
    <w:rsid w:val="00062934"/>
    <w:rsid w:val="00064801"/>
    <w:rsid w:val="00067221"/>
    <w:rsid w:val="0007053F"/>
    <w:rsid w:val="00072054"/>
    <w:rsid w:val="0007291E"/>
    <w:rsid w:val="00074CE9"/>
    <w:rsid w:val="00076662"/>
    <w:rsid w:val="00081C27"/>
    <w:rsid w:val="00081C36"/>
    <w:rsid w:val="00082362"/>
    <w:rsid w:val="000833EB"/>
    <w:rsid w:val="00083C60"/>
    <w:rsid w:val="00085E74"/>
    <w:rsid w:val="0009346B"/>
    <w:rsid w:val="000961F4"/>
    <w:rsid w:val="000A2CC6"/>
    <w:rsid w:val="000A3B5F"/>
    <w:rsid w:val="000A4593"/>
    <w:rsid w:val="000A683E"/>
    <w:rsid w:val="000A7971"/>
    <w:rsid w:val="000B19B9"/>
    <w:rsid w:val="000B5289"/>
    <w:rsid w:val="000B7EC5"/>
    <w:rsid w:val="000C60A3"/>
    <w:rsid w:val="000C690B"/>
    <w:rsid w:val="000D0334"/>
    <w:rsid w:val="000D3EE5"/>
    <w:rsid w:val="000D5F85"/>
    <w:rsid w:val="000E078B"/>
    <w:rsid w:val="000E0A56"/>
    <w:rsid w:val="000E1B4C"/>
    <w:rsid w:val="000E1F9B"/>
    <w:rsid w:val="000E4556"/>
    <w:rsid w:val="000E70F3"/>
    <w:rsid w:val="000F053C"/>
    <w:rsid w:val="000F2337"/>
    <w:rsid w:val="000F366A"/>
    <w:rsid w:val="000F6486"/>
    <w:rsid w:val="0010457A"/>
    <w:rsid w:val="00105C8D"/>
    <w:rsid w:val="001071AE"/>
    <w:rsid w:val="00107516"/>
    <w:rsid w:val="00125105"/>
    <w:rsid w:val="00125BAB"/>
    <w:rsid w:val="00127233"/>
    <w:rsid w:val="001276DB"/>
    <w:rsid w:val="00132AA8"/>
    <w:rsid w:val="00133981"/>
    <w:rsid w:val="0014008D"/>
    <w:rsid w:val="00150F27"/>
    <w:rsid w:val="00151FD3"/>
    <w:rsid w:val="001542A3"/>
    <w:rsid w:val="00156046"/>
    <w:rsid w:val="00157DE5"/>
    <w:rsid w:val="0016558E"/>
    <w:rsid w:val="00166419"/>
    <w:rsid w:val="0017407C"/>
    <w:rsid w:val="0018361B"/>
    <w:rsid w:val="001A1441"/>
    <w:rsid w:val="001A2914"/>
    <w:rsid w:val="001A44FE"/>
    <w:rsid w:val="001A5A3E"/>
    <w:rsid w:val="001C06EA"/>
    <w:rsid w:val="001C5A63"/>
    <w:rsid w:val="001C5DB3"/>
    <w:rsid w:val="001D43B9"/>
    <w:rsid w:val="001E2661"/>
    <w:rsid w:val="001E2CE3"/>
    <w:rsid w:val="001E3CB4"/>
    <w:rsid w:val="001E4177"/>
    <w:rsid w:val="001F403F"/>
    <w:rsid w:val="001F42FE"/>
    <w:rsid w:val="001F4595"/>
    <w:rsid w:val="001F6027"/>
    <w:rsid w:val="001F7DC6"/>
    <w:rsid w:val="0020148F"/>
    <w:rsid w:val="00202914"/>
    <w:rsid w:val="00203AC1"/>
    <w:rsid w:val="00204D5A"/>
    <w:rsid w:val="00210A8F"/>
    <w:rsid w:val="00213990"/>
    <w:rsid w:val="00216BCE"/>
    <w:rsid w:val="0021702B"/>
    <w:rsid w:val="00217397"/>
    <w:rsid w:val="00233B93"/>
    <w:rsid w:val="00235106"/>
    <w:rsid w:val="002421BB"/>
    <w:rsid w:val="0024536F"/>
    <w:rsid w:val="00247823"/>
    <w:rsid w:val="00253214"/>
    <w:rsid w:val="00255300"/>
    <w:rsid w:val="0025572D"/>
    <w:rsid w:val="0025656A"/>
    <w:rsid w:val="00257652"/>
    <w:rsid w:val="002620E4"/>
    <w:rsid w:val="002630EA"/>
    <w:rsid w:val="002707A2"/>
    <w:rsid w:val="0027110F"/>
    <w:rsid w:val="00274EEA"/>
    <w:rsid w:val="00275678"/>
    <w:rsid w:val="0028302F"/>
    <w:rsid w:val="00283593"/>
    <w:rsid w:val="00292E59"/>
    <w:rsid w:val="002951A0"/>
    <w:rsid w:val="002962BC"/>
    <w:rsid w:val="00296469"/>
    <w:rsid w:val="00296682"/>
    <w:rsid w:val="002A093D"/>
    <w:rsid w:val="002A0CC1"/>
    <w:rsid w:val="002A0DD0"/>
    <w:rsid w:val="002A3F32"/>
    <w:rsid w:val="002A49AC"/>
    <w:rsid w:val="002A64FD"/>
    <w:rsid w:val="002B3448"/>
    <w:rsid w:val="002B3C8F"/>
    <w:rsid w:val="002B4865"/>
    <w:rsid w:val="002B48E6"/>
    <w:rsid w:val="002B60FD"/>
    <w:rsid w:val="002B6F6C"/>
    <w:rsid w:val="002C4A15"/>
    <w:rsid w:val="002C4A2E"/>
    <w:rsid w:val="002C7A84"/>
    <w:rsid w:val="002D39B0"/>
    <w:rsid w:val="002D7080"/>
    <w:rsid w:val="002E1A57"/>
    <w:rsid w:val="002E1DD4"/>
    <w:rsid w:val="002E34B4"/>
    <w:rsid w:val="002E4818"/>
    <w:rsid w:val="002E4FD9"/>
    <w:rsid w:val="002E58F1"/>
    <w:rsid w:val="002E5907"/>
    <w:rsid w:val="002E5A54"/>
    <w:rsid w:val="002F03A6"/>
    <w:rsid w:val="002F1AB4"/>
    <w:rsid w:val="002F43E1"/>
    <w:rsid w:val="002F519D"/>
    <w:rsid w:val="002F6600"/>
    <w:rsid w:val="002F7588"/>
    <w:rsid w:val="00312A08"/>
    <w:rsid w:val="00315F8D"/>
    <w:rsid w:val="003167C7"/>
    <w:rsid w:val="003200E8"/>
    <w:rsid w:val="0032179C"/>
    <w:rsid w:val="00322907"/>
    <w:rsid w:val="00322A85"/>
    <w:rsid w:val="003255DD"/>
    <w:rsid w:val="00326A10"/>
    <w:rsid w:val="003276D6"/>
    <w:rsid w:val="0033249D"/>
    <w:rsid w:val="00333EDB"/>
    <w:rsid w:val="003368F1"/>
    <w:rsid w:val="00342ACD"/>
    <w:rsid w:val="00342DE5"/>
    <w:rsid w:val="003436F7"/>
    <w:rsid w:val="00343A37"/>
    <w:rsid w:val="003448F4"/>
    <w:rsid w:val="0035074A"/>
    <w:rsid w:val="00354E47"/>
    <w:rsid w:val="00360C26"/>
    <w:rsid w:val="00364F67"/>
    <w:rsid w:val="003663E7"/>
    <w:rsid w:val="00373B0C"/>
    <w:rsid w:val="0037438B"/>
    <w:rsid w:val="00374F5E"/>
    <w:rsid w:val="00377E3E"/>
    <w:rsid w:val="00390C94"/>
    <w:rsid w:val="0039380E"/>
    <w:rsid w:val="003A779E"/>
    <w:rsid w:val="003B2424"/>
    <w:rsid w:val="003D0F4D"/>
    <w:rsid w:val="003D5B0D"/>
    <w:rsid w:val="003D72CA"/>
    <w:rsid w:val="003E0499"/>
    <w:rsid w:val="003E1F8D"/>
    <w:rsid w:val="003E44B8"/>
    <w:rsid w:val="003E490B"/>
    <w:rsid w:val="003F18EA"/>
    <w:rsid w:val="003F3288"/>
    <w:rsid w:val="003F3941"/>
    <w:rsid w:val="00400C31"/>
    <w:rsid w:val="004015B9"/>
    <w:rsid w:val="00403896"/>
    <w:rsid w:val="004057C9"/>
    <w:rsid w:val="00406575"/>
    <w:rsid w:val="00412F56"/>
    <w:rsid w:val="004151F8"/>
    <w:rsid w:val="00420B61"/>
    <w:rsid w:val="00420EBC"/>
    <w:rsid w:val="00422266"/>
    <w:rsid w:val="00425357"/>
    <w:rsid w:val="00426158"/>
    <w:rsid w:val="0042722E"/>
    <w:rsid w:val="004344A8"/>
    <w:rsid w:val="0043455E"/>
    <w:rsid w:val="00435659"/>
    <w:rsid w:val="00464B21"/>
    <w:rsid w:val="00464BDD"/>
    <w:rsid w:val="0046717B"/>
    <w:rsid w:val="004702AD"/>
    <w:rsid w:val="00470B30"/>
    <w:rsid w:val="0047434B"/>
    <w:rsid w:val="004752D5"/>
    <w:rsid w:val="00477698"/>
    <w:rsid w:val="00480453"/>
    <w:rsid w:val="00487453"/>
    <w:rsid w:val="00492F5D"/>
    <w:rsid w:val="0049409F"/>
    <w:rsid w:val="00494B11"/>
    <w:rsid w:val="004A1847"/>
    <w:rsid w:val="004A305D"/>
    <w:rsid w:val="004B4892"/>
    <w:rsid w:val="004B512C"/>
    <w:rsid w:val="004B5A88"/>
    <w:rsid w:val="004C1F15"/>
    <w:rsid w:val="004C2C98"/>
    <w:rsid w:val="004C3931"/>
    <w:rsid w:val="004C423F"/>
    <w:rsid w:val="004C59C3"/>
    <w:rsid w:val="004D33B9"/>
    <w:rsid w:val="004D39DB"/>
    <w:rsid w:val="004D69D9"/>
    <w:rsid w:val="004D7782"/>
    <w:rsid w:val="004E1DB9"/>
    <w:rsid w:val="004E1E3B"/>
    <w:rsid w:val="004E1EB0"/>
    <w:rsid w:val="004E2851"/>
    <w:rsid w:val="004F06E0"/>
    <w:rsid w:val="004F1557"/>
    <w:rsid w:val="004F21C4"/>
    <w:rsid w:val="004F5C9B"/>
    <w:rsid w:val="004F685F"/>
    <w:rsid w:val="005012A9"/>
    <w:rsid w:val="005045BB"/>
    <w:rsid w:val="00506091"/>
    <w:rsid w:val="00510895"/>
    <w:rsid w:val="005130E4"/>
    <w:rsid w:val="00514878"/>
    <w:rsid w:val="00521455"/>
    <w:rsid w:val="00522CD1"/>
    <w:rsid w:val="00522FB5"/>
    <w:rsid w:val="00530EE8"/>
    <w:rsid w:val="00530F69"/>
    <w:rsid w:val="00536E9C"/>
    <w:rsid w:val="005479E0"/>
    <w:rsid w:val="005566E8"/>
    <w:rsid w:val="005608E3"/>
    <w:rsid w:val="0056325A"/>
    <w:rsid w:val="005632F8"/>
    <w:rsid w:val="00564A06"/>
    <w:rsid w:val="00574867"/>
    <w:rsid w:val="005765F3"/>
    <w:rsid w:val="00581B21"/>
    <w:rsid w:val="00587B4F"/>
    <w:rsid w:val="00591460"/>
    <w:rsid w:val="00591C74"/>
    <w:rsid w:val="00597C3B"/>
    <w:rsid w:val="005A2340"/>
    <w:rsid w:val="005A289A"/>
    <w:rsid w:val="005A4FBB"/>
    <w:rsid w:val="005A560C"/>
    <w:rsid w:val="005C3777"/>
    <w:rsid w:val="005C38E6"/>
    <w:rsid w:val="005C4160"/>
    <w:rsid w:val="005C5CDC"/>
    <w:rsid w:val="005C7CE6"/>
    <w:rsid w:val="005D476C"/>
    <w:rsid w:val="005E0222"/>
    <w:rsid w:val="005F3FA3"/>
    <w:rsid w:val="005F46BA"/>
    <w:rsid w:val="00602D16"/>
    <w:rsid w:val="00602F8F"/>
    <w:rsid w:val="00603889"/>
    <w:rsid w:val="006058EA"/>
    <w:rsid w:val="00606B01"/>
    <w:rsid w:val="00614A06"/>
    <w:rsid w:val="006219F8"/>
    <w:rsid w:val="0062339D"/>
    <w:rsid w:val="00624AD9"/>
    <w:rsid w:val="006255AC"/>
    <w:rsid w:val="00632BAF"/>
    <w:rsid w:val="0064519C"/>
    <w:rsid w:val="00645D63"/>
    <w:rsid w:val="00650E70"/>
    <w:rsid w:val="00664260"/>
    <w:rsid w:val="00665D70"/>
    <w:rsid w:val="0066747D"/>
    <w:rsid w:val="006716B3"/>
    <w:rsid w:val="00672B47"/>
    <w:rsid w:val="00681219"/>
    <w:rsid w:val="0068164C"/>
    <w:rsid w:val="0068782F"/>
    <w:rsid w:val="006900D9"/>
    <w:rsid w:val="0069037E"/>
    <w:rsid w:val="00691D3E"/>
    <w:rsid w:val="00695865"/>
    <w:rsid w:val="006A3680"/>
    <w:rsid w:val="006A64ED"/>
    <w:rsid w:val="006B148C"/>
    <w:rsid w:val="006B262B"/>
    <w:rsid w:val="006B561C"/>
    <w:rsid w:val="006B68D6"/>
    <w:rsid w:val="006D3729"/>
    <w:rsid w:val="006D4727"/>
    <w:rsid w:val="006E4DC5"/>
    <w:rsid w:val="006E7889"/>
    <w:rsid w:val="006F0726"/>
    <w:rsid w:val="006F3297"/>
    <w:rsid w:val="006F566A"/>
    <w:rsid w:val="006F6651"/>
    <w:rsid w:val="006F705D"/>
    <w:rsid w:val="007032EE"/>
    <w:rsid w:val="007046C3"/>
    <w:rsid w:val="00705C5A"/>
    <w:rsid w:val="00706C16"/>
    <w:rsid w:val="0072042E"/>
    <w:rsid w:val="0072199A"/>
    <w:rsid w:val="00730DED"/>
    <w:rsid w:val="00731BB5"/>
    <w:rsid w:val="00740AB4"/>
    <w:rsid w:val="00740F5B"/>
    <w:rsid w:val="007441D7"/>
    <w:rsid w:val="00744F96"/>
    <w:rsid w:val="00751E36"/>
    <w:rsid w:val="00751EF2"/>
    <w:rsid w:val="00752BE3"/>
    <w:rsid w:val="00756841"/>
    <w:rsid w:val="007649AB"/>
    <w:rsid w:val="00764CCB"/>
    <w:rsid w:val="00766515"/>
    <w:rsid w:val="00767D1A"/>
    <w:rsid w:val="00771D0C"/>
    <w:rsid w:val="00782AA7"/>
    <w:rsid w:val="007833AC"/>
    <w:rsid w:val="00783FBC"/>
    <w:rsid w:val="007845D3"/>
    <w:rsid w:val="00793CE7"/>
    <w:rsid w:val="00794973"/>
    <w:rsid w:val="007953BA"/>
    <w:rsid w:val="007959BC"/>
    <w:rsid w:val="007A2D8A"/>
    <w:rsid w:val="007A47C1"/>
    <w:rsid w:val="007A6E93"/>
    <w:rsid w:val="007B0B3C"/>
    <w:rsid w:val="007B268C"/>
    <w:rsid w:val="007B4D4E"/>
    <w:rsid w:val="007B5D94"/>
    <w:rsid w:val="007B7171"/>
    <w:rsid w:val="007C3DC2"/>
    <w:rsid w:val="007D14A8"/>
    <w:rsid w:val="007D4A47"/>
    <w:rsid w:val="007D6CCB"/>
    <w:rsid w:val="007D77D6"/>
    <w:rsid w:val="007E15E5"/>
    <w:rsid w:val="007E3517"/>
    <w:rsid w:val="007E5497"/>
    <w:rsid w:val="007E5AA0"/>
    <w:rsid w:val="007E5C9A"/>
    <w:rsid w:val="007F14AA"/>
    <w:rsid w:val="0080035F"/>
    <w:rsid w:val="00803344"/>
    <w:rsid w:val="00806E4B"/>
    <w:rsid w:val="00806F5F"/>
    <w:rsid w:val="0080722F"/>
    <w:rsid w:val="00807323"/>
    <w:rsid w:val="0081512B"/>
    <w:rsid w:val="00815699"/>
    <w:rsid w:val="00820278"/>
    <w:rsid w:val="00823726"/>
    <w:rsid w:val="0082444F"/>
    <w:rsid w:val="00824BCF"/>
    <w:rsid w:val="00826B1C"/>
    <w:rsid w:val="0083021D"/>
    <w:rsid w:val="008332FA"/>
    <w:rsid w:val="00844A51"/>
    <w:rsid w:val="00853613"/>
    <w:rsid w:val="00865F91"/>
    <w:rsid w:val="0087282A"/>
    <w:rsid w:val="00881A7B"/>
    <w:rsid w:val="008832F1"/>
    <w:rsid w:val="008843B6"/>
    <w:rsid w:val="00891928"/>
    <w:rsid w:val="00894BBF"/>
    <w:rsid w:val="00897527"/>
    <w:rsid w:val="008A054D"/>
    <w:rsid w:val="008A446D"/>
    <w:rsid w:val="008A5A09"/>
    <w:rsid w:val="008A6174"/>
    <w:rsid w:val="008B04C7"/>
    <w:rsid w:val="008B1C8C"/>
    <w:rsid w:val="008B28F6"/>
    <w:rsid w:val="008B4D3D"/>
    <w:rsid w:val="008C1C96"/>
    <w:rsid w:val="008C7F93"/>
    <w:rsid w:val="008D180B"/>
    <w:rsid w:val="008D1A0A"/>
    <w:rsid w:val="008D34EE"/>
    <w:rsid w:val="008D41D3"/>
    <w:rsid w:val="008D5ABE"/>
    <w:rsid w:val="008D67E2"/>
    <w:rsid w:val="008E4029"/>
    <w:rsid w:val="008E4DF8"/>
    <w:rsid w:val="008E70D4"/>
    <w:rsid w:val="008F0EA7"/>
    <w:rsid w:val="008F2D5D"/>
    <w:rsid w:val="008F6921"/>
    <w:rsid w:val="009007C6"/>
    <w:rsid w:val="00902794"/>
    <w:rsid w:val="009028A8"/>
    <w:rsid w:val="00906D8C"/>
    <w:rsid w:val="009104DD"/>
    <w:rsid w:val="00912081"/>
    <w:rsid w:val="00912700"/>
    <w:rsid w:val="00921CB4"/>
    <w:rsid w:val="00923EEF"/>
    <w:rsid w:val="00926D95"/>
    <w:rsid w:val="00932868"/>
    <w:rsid w:val="0093465A"/>
    <w:rsid w:val="009419F9"/>
    <w:rsid w:val="00943998"/>
    <w:rsid w:val="009532A4"/>
    <w:rsid w:val="00956E00"/>
    <w:rsid w:val="009619D5"/>
    <w:rsid w:val="00961B09"/>
    <w:rsid w:val="00962E4E"/>
    <w:rsid w:val="00965334"/>
    <w:rsid w:val="00965A85"/>
    <w:rsid w:val="0097093E"/>
    <w:rsid w:val="00971D68"/>
    <w:rsid w:val="00976272"/>
    <w:rsid w:val="00976F50"/>
    <w:rsid w:val="00977A67"/>
    <w:rsid w:val="009802E8"/>
    <w:rsid w:val="00981AC6"/>
    <w:rsid w:val="009950B4"/>
    <w:rsid w:val="009A6976"/>
    <w:rsid w:val="009A7226"/>
    <w:rsid w:val="009A79A1"/>
    <w:rsid w:val="009B7784"/>
    <w:rsid w:val="009C511A"/>
    <w:rsid w:val="009C71FA"/>
    <w:rsid w:val="009C72E7"/>
    <w:rsid w:val="009D035A"/>
    <w:rsid w:val="009D0ACB"/>
    <w:rsid w:val="009D71BF"/>
    <w:rsid w:val="009D7203"/>
    <w:rsid w:val="009E2C0B"/>
    <w:rsid w:val="009E54A5"/>
    <w:rsid w:val="009F2696"/>
    <w:rsid w:val="009F3A13"/>
    <w:rsid w:val="009F4C28"/>
    <w:rsid w:val="009F7337"/>
    <w:rsid w:val="00A055B6"/>
    <w:rsid w:val="00A0573E"/>
    <w:rsid w:val="00A122D3"/>
    <w:rsid w:val="00A13247"/>
    <w:rsid w:val="00A14EAB"/>
    <w:rsid w:val="00A17F13"/>
    <w:rsid w:val="00A20739"/>
    <w:rsid w:val="00A33C78"/>
    <w:rsid w:val="00A35B95"/>
    <w:rsid w:val="00A42316"/>
    <w:rsid w:val="00A44342"/>
    <w:rsid w:val="00A45A38"/>
    <w:rsid w:val="00A527D4"/>
    <w:rsid w:val="00A5421B"/>
    <w:rsid w:val="00A54D0A"/>
    <w:rsid w:val="00A5509F"/>
    <w:rsid w:val="00A555F2"/>
    <w:rsid w:val="00A56BFB"/>
    <w:rsid w:val="00A63051"/>
    <w:rsid w:val="00A64367"/>
    <w:rsid w:val="00A64969"/>
    <w:rsid w:val="00A66653"/>
    <w:rsid w:val="00A70BDB"/>
    <w:rsid w:val="00A72330"/>
    <w:rsid w:val="00A84461"/>
    <w:rsid w:val="00A9190B"/>
    <w:rsid w:val="00A93A9B"/>
    <w:rsid w:val="00A96EFF"/>
    <w:rsid w:val="00A972FF"/>
    <w:rsid w:val="00A975F2"/>
    <w:rsid w:val="00A9776B"/>
    <w:rsid w:val="00AA378E"/>
    <w:rsid w:val="00AA678D"/>
    <w:rsid w:val="00AB02C6"/>
    <w:rsid w:val="00AB0944"/>
    <w:rsid w:val="00AB0ADB"/>
    <w:rsid w:val="00AB628B"/>
    <w:rsid w:val="00AB63E1"/>
    <w:rsid w:val="00AC6584"/>
    <w:rsid w:val="00AC69D1"/>
    <w:rsid w:val="00AC6CA2"/>
    <w:rsid w:val="00AC782F"/>
    <w:rsid w:val="00AD295D"/>
    <w:rsid w:val="00AD3EDD"/>
    <w:rsid w:val="00AD4D03"/>
    <w:rsid w:val="00AD5941"/>
    <w:rsid w:val="00AD65DF"/>
    <w:rsid w:val="00AE00E7"/>
    <w:rsid w:val="00AE0136"/>
    <w:rsid w:val="00AE5E65"/>
    <w:rsid w:val="00AE6BDD"/>
    <w:rsid w:val="00AF5C51"/>
    <w:rsid w:val="00B01695"/>
    <w:rsid w:val="00B0526B"/>
    <w:rsid w:val="00B05CB2"/>
    <w:rsid w:val="00B066E1"/>
    <w:rsid w:val="00B15F23"/>
    <w:rsid w:val="00B17BF9"/>
    <w:rsid w:val="00B2343E"/>
    <w:rsid w:val="00B36627"/>
    <w:rsid w:val="00B40FA5"/>
    <w:rsid w:val="00B50BC5"/>
    <w:rsid w:val="00B5772E"/>
    <w:rsid w:val="00B72CD3"/>
    <w:rsid w:val="00B72FFF"/>
    <w:rsid w:val="00B738E4"/>
    <w:rsid w:val="00B7538B"/>
    <w:rsid w:val="00B75B5E"/>
    <w:rsid w:val="00B75C64"/>
    <w:rsid w:val="00B77AE9"/>
    <w:rsid w:val="00B77FF8"/>
    <w:rsid w:val="00B848BD"/>
    <w:rsid w:val="00B85E1E"/>
    <w:rsid w:val="00B913BA"/>
    <w:rsid w:val="00B936D9"/>
    <w:rsid w:val="00B95016"/>
    <w:rsid w:val="00B97BEE"/>
    <w:rsid w:val="00BA2F2B"/>
    <w:rsid w:val="00BA50D0"/>
    <w:rsid w:val="00BB4AF2"/>
    <w:rsid w:val="00BB741A"/>
    <w:rsid w:val="00BC2073"/>
    <w:rsid w:val="00BC3D36"/>
    <w:rsid w:val="00BC5A28"/>
    <w:rsid w:val="00BD113C"/>
    <w:rsid w:val="00BD579D"/>
    <w:rsid w:val="00BD6062"/>
    <w:rsid w:val="00BD7F72"/>
    <w:rsid w:val="00BE4798"/>
    <w:rsid w:val="00BE5C5D"/>
    <w:rsid w:val="00BE6574"/>
    <w:rsid w:val="00BF1483"/>
    <w:rsid w:val="00BF73CC"/>
    <w:rsid w:val="00C04FB3"/>
    <w:rsid w:val="00C058CC"/>
    <w:rsid w:val="00C0645D"/>
    <w:rsid w:val="00C06A3F"/>
    <w:rsid w:val="00C1044D"/>
    <w:rsid w:val="00C10C72"/>
    <w:rsid w:val="00C13E51"/>
    <w:rsid w:val="00C1434F"/>
    <w:rsid w:val="00C162EF"/>
    <w:rsid w:val="00C22FDC"/>
    <w:rsid w:val="00C32214"/>
    <w:rsid w:val="00C330EB"/>
    <w:rsid w:val="00C33BDD"/>
    <w:rsid w:val="00C34063"/>
    <w:rsid w:val="00C368F8"/>
    <w:rsid w:val="00C40E3B"/>
    <w:rsid w:val="00C42F48"/>
    <w:rsid w:val="00C4502A"/>
    <w:rsid w:val="00C477D8"/>
    <w:rsid w:val="00C53CE9"/>
    <w:rsid w:val="00C633A0"/>
    <w:rsid w:val="00C65CB6"/>
    <w:rsid w:val="00C6607A"/>
    <w:rsid w:val="00C679EB"/>
    <w:rsid w:val="00C71270"/>
    <w:rsid w:val="00C732CC"/>
    <w:rsid w:val="00C754BE"/>
    <w:rsid w:val="00C76B1C"/>
    <w:rsid w:val="00C77821"/>
    <w:rsid w:val="00C8319D"/>
    <w:rsid w:val="00C92BBC"/>
    <w:rsid w:val="00C93A6A"/>
    <w:rsid w:val="00C96336"/>
    <w:rsid w:val="00C97EFD"/>
    <w:rsid w:val="00CA1B96"/>
    <w:rsid w:val="00CA21CC"/>
    <w:rsid w:val="00CA5DB7"/>
    <w:rsid w:val="00CA783B"/>
    <w:rsid w:val="00CB1EF0"/>
    <w:rsid w:val="00CB2A2F"/>
    <w:rsid w:val="00CB53AB"/>
    <w:rsid w:val="00CB5586"/>
    <w:rsid w:val="00CB6357"/>
    <w:rsid w:val="00CC0BA1"/>
    <w:rsid w:val="00CC1B26"/>
    <w:rsid w:val="00CC7D06"/>
    <w:rsid w:val="00CF18C7"/>
    <w:rsid w:val="00CF2527"/>
    <w:rsid w:val="00CF5683"/>
    <w:rsid w:val="00CF5891"/>
    <w:rsid w:val="00CF74D3"/>
    <w:rsid w:val="00D00576"/>
    <w:rsid w:val="00D00CB8"/>
    <w:rsid w:val="00D06760"/>
    <w:rsid w:val="00D13025"/>
    <w:rsid w:val="00D21915"/>
    <w:rsid w:val="00D2516C"/>
    <w:rsid w:val="00D2599D"/>
    <w:rsid w:val="00D26A42"/>
    <w:rsid w:val="00D41EC6"/>
    <w:rsid w:val="00D423A2"/>
    <w:rsid w:val="00D46A9F"/>
    <w:rsid w:val="00D51190"/>
    <w:rsid w:val="00D522A8"/>
    <w:rsid w:val="00D56CD6"/>
    <w:rsid w:val="00D614F0"/>
    <w:rsid w:val="00D63AC2"/>
    <w:rsid w:val="00D64D1B"/>
    <w:rsid w:val="00D6560C"/>
    <w:rsid w:val="00D7311B"/>
    <w:rsid w:val="00D7383B"/>
    <w:rsid w:val="00D74836"/>
    <w:rsid w:val="00D74FA9"/>
    <w:rsid w:val="00D77B33"/>
    <w:rsid w:val="00D8139F"/>
    <w:rsid w:val="00D823E0"/>
    <w:rsid w:val="00DA231B"/>
    <w:rsid w:val="00DA7211"/>
    <w:rsid w:val="00DB2E5B"/>
    <w:rsid w:val="00DB4AA2"/>
    <w:rsid w:val="00DB672C"/>
    <w:rsid w:val="00DC3F30"/>
    <w:rsid w:val="00DD2D28"/>
    <w:rsid w:val="00DD47DB"/>
    <w:rsid w:val="00DD5095"/>
    <w:rsid w:val="00DD601A"/>
    <w:rsid w:val="00DE00D3"/>
    <w:rsid w:val="00DE1E8F"/>
    <w:rsid w:val="00DE3ED4"/>
    <w:rsid w:val="00DF1D65"/>
    <w:rsid w:val="00DF5254"/>
    <w:rsid w:val="00E01A53"/>
    <w:rsid w:val="00E01F40"/>
    <w:rsid w:val="00E053CF"/>
    <w:rsid w:val="00E16408"/>
    <w:rsid w:val="00E16E33"/>
    <w:rsid w:val="00E20100"/>
    <w:rsid w:val="00E20894"/>
    <w:rsid w:val="00E245AB"/>
    <w:rsid w:val="00E26AF2"/>
    <w:rsid w:val="00E2764C"/>
    <w:rsid w:val="00E27F2E"/>
    <w:rsid w:val="00E30FCA"/>
    <w:rsid w:val="00E42FF1"/>
    <w:rsid w:val="00E45FCF"/>
    <w:rsid w:val="00E46C6C"/>
    <w:rsid w:val="00E478E0"/>
    <w:rsid w:val="00E50ACF"/>
    <w:rsid w:val="00E50AFE"/>
    <w:rsid w:val="00E56626"/>
    <w:rsid w:val="00E56DF6"/>
    <w:rsid w:val="00E57542"/>
    <w:rsid w:val="00E57D3D"/>
    <w:rsid w:val="00E64CCD"/>
    <w:rsid w:val="00E64E8A"/>
    <w:rsid w:val="00E7141E"/>
    <w:rsid w:val="00E714FE"/>
    <w:rsid w:val="00E771DC"/>
    <w:rsid w:val="00E80BA6"/>
    <w:rsid w:val="00E832DA"/>
    <w:rsid w:val="00E83F46"/>
    <w:rsid w:val="00E8772A"/>
    <w:rsid w:val="00E90F6B"/>
    <w:rsid w:val="00E912D8"/>
    <w:rsid w:val="00E919A2"/>
    <w:rsid w:val="00E92C27"/>
    <w:rsid w:val="00E9414B"/>
    <w:rsid w:val="00E96A5D"/>
    <w:rsid w:val="00E97D30"/>
    <w:rsid w:val="00EA0E3D"/>
    <w:rsid w:val="00EB52B0"/>
    <w:rsid w:val="00EB5D44"/>
    <w:rsid w:val="00EC09E0"/>
    <w:rsid w:val="00EC303E"/>
    <w:rsid w:val="00EC6BB9"/>
    <w:rsid w:val="00ED209E"/>
    <w:rsid w:val="00ED3F85"/>
    <w:rsid w:val="00ED7D71"/>
    <w:rsid w:val="00ED7F08"/>
    <w:rsid w:val="00EE0B51"/>
    <w:rsid w:val="00EE1AA8"/>
    <w:rsid w:val="00EF0336"/>
    <w:rsid w:val="00F003C3"/>
    <w:rsid w:val="00F02B16"/>
    <w:rsid w:val="00F03B99"/>
    <w:rsid w:val="00F0593B"/>
    <w:rsid w:val="00F118DC"/>
    <w:rsid w:val="00F15F18"/>
    <w:rsid w:val="00F24827"/>
    <w:rsid w:val="00F24AB2"/>
    <w:rsid w:val="00F279D1"/>
    <w:rsid w:val="00F31EDC"/>
    <w:rsid w:val="00F3368E"/>
    <w:rsid w:val="00F36044"/>
    <w:rsid w:val="00F40B8A"/>
    <w:rsid w:val="00F41FA4"/>
    <w:rsid w:val="00F462B3"/>
    <w:rsid w:val="00F51292"/>
    <w:rsid w:val="00F547BB"/>
    <w:rsid w:val="00F5664F"/>
    <w:rsid w:val="00F569BF"/>
    <w:rsid w:val="00F56F5F"/>
    <w:rsid w:val="00F631E8"/>
    <w:rsid w:val="00F666C4"/>
    <w:rsid w:val="00F67F62"/>
    <w:rsid w:val="00F706F5"/>
    <w:rsid w:val="00F7391C"/>
    <w:rsid w:val="00F76AFC"/>
    <w:rsid w:val="00F8137F"/>
    <w:rsid w:val="00F82D41"/>
    <w:rsid w:val="00F86B75"/>
    <w:rsid w:val="00F90ED8"/>
    <w:rsid w:val="00FA4784"/>
    <w:rsid w:val="00FB011F"/>
    <w:rsid w:val="00FB5DD1"/>
    <w:rsid w:val="00FC2B5D"/>
    <w:rsid w:val="00FC2F1A"/>
    <w:rsid w:val="00FC3844"/>
    <w:rsid w:val="00FD37EC"/>
    <w:rsid w:val="00FD49C8"/>
    <w:rsid w:val="00FD6265"/>
    <w:rsid w:val="00FD7183"/>
    <w:rsid w:val="00FF1449"/>
    <w:rsid w:val="00FF268B"/>
    <w:rsid w:val="00FF57AF"/>
    <w:rsid w:val="08937EA5"/>
    <w:rsid w:val="1629CCB3"/>
    <w:rsid w:val="1C69E5A6"/>
    <w:rsid w:val="276504BA"/>
    <w:rsid w:val="29BEF383"/>
    <w:rsid w:val="2DAC8686"/>
    <w:rsid w:val="301EEC12"/>
    <w:rsid w:val="380EBE75"/>
    <w:rsid w:val="3C00DBA2"/>
    <w:rsid w:val="3D87E757"/>
    <w:rsid w:val="40A8037B"/>
    <w:rsid w:val="4624F1D7"/>
    <w:rsid w:val="4DD82FCA"/>
    <w:rsid w:val="6162D00D"/>
    <w:rsid w:val="680F7C78"/>
    <w:rsid w:val="6A999FAD"/>
    <w:rsid w:val="6AA97D3F"/>
    <w:rsid w:val="6C7CE11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9869364E-27CB-42DD-A589-CC519358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847"/>
    <w:pPr>
      <w:tabs>
        <w:tab w:val="center" w:pos="4419"/>
        <w:tab w:val="right" w:pos="8838"/>
      </w:tabs>
      <w:spacing w:after="0" w:line="240" w:lineRule="auto"/>
    </w:pPr>
  </w:style>
  <w:style w:type="character" w:customStyle="1" w:styleId="HeaderChar">
    <w:name w:val="Header Char"/>
    <w:basedOn w:val="DefaultParagraphFont"/>
    <w:link w:val="Header"/>
    <w:uiPriority w:val="99"/>
    <w:rsid w:val="004A1847"/>
  </w:style>
  <w:style w:type="paragraph" w:styleId="Footer">
    <w:name w:val="footer"/>
    <w:basedOn w:val="Normal"/>
    <w:link w:val="FooterChar"/>
    <w:uiPriority w:val="99"/>
    <w:unhideWhenUsed/>
    <w:rsid w:val="004A1847"/>
    <w:pPr>
      <w:tabs>
        <w:tab w:val="center" w:pos="4419"/>
        <w:tab w:val="right" w:pos="8838"/>
      </w:tabs>
      <w:spacing w:after="0" w:line="240" w:lineRule="auto"/>
    </w:pPr>
  </w:style>
  <w:style w:type="character" w:customStyle="1" w:styleId="FooterChar">
    <w:name w:val="Footer Char"/>
    <w:basedOn w:val="DefaultParagraphFont"/>
    <w:link w:val="Footer"/>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locked/>
    <w:rsid w:val="006219F8"/>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FootnoteTextChar"/>
    <w:uiPriority w:val="99"/>
    <w:unhideWhenUsed/>
    <w:qFormat/>
    <w:rsid w:val="006219F8"/>
    <w:pPr>
      <w:spacing w:after="0" w:line="240" w:lineRule="auto"/>
    </w:pPr>
    <w:rPr>
      <w:sz w:val="20"/>
      <w:szCs w:val="20"/>
      <w:lang w:val="es-MX"/>
    </w:rPr>
  </w:style>
  <w:style w:type="character" w:customStyle="1" w:styleId="TextonotapieCar1">
    <w:name w:val="Texto nota pie Car1"/>
    <w:basedOn w:val="DefaultParagraphFont"/>
    <w:uiPriority w:val="99"/>
    <w:semiHidden/>
    <w:rsid w:val="006219F8"/>
    <w:rPr>
      <w:sz w:val="20"/>
      <w:szCs w:val="20"/>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symbol,Footnote,Ref. de nota al pie2,F"/>
    <w:basedOn w:val="DefaultParagraphFont"/>
    <w:link w:val="Appelnotedebasde"/>
    <w:uiPriority w:val="99"/>
    <w:unhideWhenUsed/>
    <w:qFormat/>
    <w:rsid w:val="006219F8"/>
    <w:rPr>
      <w:vertAlign w:val="superscript"/>
    </w:rPr>
  </w:style>
  <w:style w:type="character" w:customStyle="1" w:styleId="normaltextrun">
    <w:name w:val="normaltextrun"/>
    <w:basedOn w:val="DefaultParagraphFont"/>
    <w:rsid w:val="006219F8"/>
  </w:style>
  <w:style w:type="table" w:styleId="TableGrid">
    <w:name w:val="Table Grid"/>
    <w:basedOn w:val="Table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
    <w:basedOn w:val="Normal"/>
    <w:link w:val="ListParagraphChar"/>
    <w:uiPriority w:val="34"/>
    <w:qFormat/>
    <w:rsid w:val="005566E8"/>
    <w:pPr>
      <w:ind w:left="720"/>
      <w:contextualSpacing/>
    </w:pPr>
    <w:rPr>
      <w:rFonts w:ascii="Geomanist Light" w:hAnsi="Geomanist Light"/>
      <w:lang w:val="es-ES"/>
    </w:rPr>
  </w:style>
  <w:style w:type="paragraph" w:styleId="Title">
    <w:name w:val="Title"/>
    <w:basedOn w:val="Normal"/>
    <w:next w:val="Normal"/>
    <w:link w:val="TitleCh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itleChar">
    <w:name w:val="Title Char"/>
    <w:basedOn w:val="DefaultParagraphFont"/>
    <w:link w:val="Title"/>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DefaultParagraphFont"/>
    <w:rsid w:val="00DA231B"/>
  </w:style>
  <w:style w:type="character" w:styleId="Hyperlink">
    <w:name w:val="Hyperlink"/>
    <w:basedOn w:val="DefaultParagraphFont"/>
    <w:uiPriority w:val="99"/>
    <w:unhideWhenUsed/>
    <w:rsid w:val="00125105"/>
    <w:rPr>
      <w:color w:val="0000FF"/>
      <w:u w:val="single"/>
    </w:rPr>
  </w:style>
  <w:style w:type="character" w:styleId="FollowedHyperlink">
    <w:name w:val="FollowedHyperlink"/>
    <w:basedOn w:val="DefaultParagraphFont"/>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DefaultParagraphFont"/>
    <w:rsid w:val="00322A85"/>
  </w:style>
  <w:style w:type="character" w:customStyle="1" w:styleId="eop">
    <w:name w:val="eop"/>
    <w:basedOn w:val="DefaultParagraphFont"/>
    <w:rsid w:val="00322A85"/>
  </w:style>
  <w:style w:type="character" w:styleId="UnresolvedMention">
    <w:name w:val="Unresolved Mention"/>
    <w:basedOn w:val="DefaultParagraphFont"/>
    <w:uiPriority w:val="99"/>
    <w:semiHidden/>
    <w:unhideWhenUsed/>
    <w:rsid w:val="001F7DC6"/>
    <w:rPr>
      <w:color w:val="605E5C"/>
      <w:shd w:val="clear" w:color="auto" w:fill="E1DFDD"/>
    </w:rPr>
  </w:style>
  <w:style w:type="paragraph" w:styleId="NormalWeb">
    <w:name w:val="Normal (Web)"/>
    <w:basedOn w:val="Normal"/>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on">
    <w:name w:val="Revision"/>
    <w:hidden/>
    <w:uiPriority w:val="99"/>
    <w:semiHidden/>
    <w:rsid w:val="009F3A13"/>
    <w:pPr>
      <w:spacing w:after="0" w:line="240" w:lineRule="auto"/>
    </w:pPr>
  </w:style>
  <w:style w:type="character" w:customStyle="1" w:styleId="ListParagraphChar">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7959BC"/>
    <w:rPr>
      <w:rFonts w:ascii="Geomanist Light" w:hAnsi="Geomanist Light"/>
      <w:lang w:val="es-ES"/>
    </w:rPr>
  </w:style>
  <w:style w:type="paragraph" w:styleId="BodyText">
    <w:name w:val="Body Text"/>
    <w:basedOn w:val="Normal"/>
    <w:link w:val="BodyTextChar"/>
    <w:uiPriority w:val="1"/>
    <w:unhideWhenUsed/>
    <w:qFormat/>
    <w:rsid w:val="007959BC"/>
    <w:pPr>
      <w:widowControl w:val="0"/>
      <w:autoSpaceDE w:val="0"/>
      <w:autoSpaceDN w:val="0"/>
      <w:spacing w:after="0" w:line="240" w:lineRule="auto"/>
    </w:pPr>
    <w:rPr>
      <w:rFonts w:ascii="Arial" w:eastAsia="Arial" w:hAnsi="Arial" w:cs="Arial"/>
      <w:lang w:val="es-ES" w:eastAsia="es-ES" w:bidi="es-ES"/>
    </w:rPr>
  </w:style>
  <w:style w:type="character" w:customStyle="1" w:styleId="BodyTextChar">
    <w:name w:val="Body Text Char"/>
    <w:basedOn w:val="DefaultParagraphFont"/>
    <w:link w:val="BodyText"/>
    <w:uiPriority w:val="1"/>
    <w:rsid w:val="007959BC"/>
    <w:rPr>
      <w:rFonts w:ascii="Arial" w:eastAsia="Arial" w:hAnsi="Arial" w:cs="Arial"/>
      <w:lang w:val="es-ES" w:eastAsia="es-ES" w:bidi="es-ES"/>
    </w:rPr>
  </w:style>
  <w:style w:type="paragraph" w:customStyle="1" w:styleId="Appelnotedebasde">
    <w:name w:val="Appel note de bas de..."/>
    <w:basedOn w:val="Normal"/>
    <w:link w:val="FootnoteReference"/>
    <w:uiPriority w:val="99"/>
    <w:rsid w:val="007959BC"/>
    <w:pPr>
      <w:spacing w:line="240" w:lineRule="exact"/>
    </w:pPr>
    <w:rPr>
      <w:vertAlign w:val="superscript"/>
    </w:rPr>
  </w:style>
  <w:style w:type="paragraph" w:customStyle="1" w:styleId="xmsonospacing">
    <w:name w:val="x_msonospacing"/>
    <w:basedOn w:val="Normal"/>
    <w:rsid w:val="007959B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Emphasis">
    <w:name w:val="Emphasis"/>
    <w:basedOn w:val="DefaultParagraphFont"/>
    <w:uiPriority w:val="20"/>
    <w:qFormat/>
    <w:rsid w:val="000E078B"/>
    <w:rPr>
      <w:i/>
      <w:iCs/>
    </w:rPr>
  </w:style>
  <w:style w:type="character" w:styleId="CommentReference">
    <w:name w:val="annotation reference"/>
    <w:basedOn w:val="DefaultParagraphFont"/>
    <w:uiPriority w:val="99"/>
    <w:semiHidden/>
    <w:unhideWhenUsed/>
    <w:rsid w:val="007D14A8"/>
    <w:rPr>
      <w:sz w:val="16"/>
      <w:szCs w:val="16"/>
    </w:rPr>
  </w:style>
  <w:style w:type="paragraph" w:styleId="CommentText">
    <w:name w:val="annotation text"/>
    <w:basedOn w:val="Normal"/>
    <w:link w:val="CommentTextChar"/>
    <w:uiPriority w:val="99"/>
    <w:unhideWhenUsed/>
    <w:rsid w:val="007D14A8"/>
    <w:pPr>
      <w:spacing w:line="240" w:lineRule="auto"/>
    </w:pPr>
    <w:rPr>
      <w:sz w:val="20"/>
      <w:szCs w:val="20"/>
    </w:rPr>
  </w:style>
  <w:style w:type="character" w:customStyle="1" w:styleId="CommentTextChar">
    <w:name w:val="Comment Text Char"/>
    <w:basedOn w:val="DefaultParagraphFont"/>
    <w:link w:val="CommentText"/>
    <w:uiPriority w:val="99"/>
    <w:rsid w:val="007D14A8"/>
    <w:rPr>
      <w:sz w:val="20"/>
      <w:szCs w:val="20"/>
    </w:rPr>
  </w:style>
  <w:style w:type="paragraph" w:styleId="CommentSubject">
    <w:name w:val="annotation subject"/>
    <w:basedOn w:val="CommentText"/>
    <w:next w:val="CommentText"/>
    <w:link w:val="CommentSubjectChar"/>
    <w:uiPriority w:val="99"/>
    <w:semiHidden/>
    <w:unhideWhenUsed/>
    <w:rsid w:val="007D14A8"/>
    <w:rPr>
      <w:b/>
      <w:bCs/>
    </w:rPr>
  </w:style>
  <w:style w:type="character" w:customStyle="1" w:styleId="CommentSubjectChar">
    <w:name w:val="Comment Subject Char"/>
    <w:basedOn w:val="CommentTextChar"/>
    <w:link w:val="CommentSubject"/>
    <w:uiPriority w:val="99"/>
    <w:semiHidden/>
    <w:rsid w:val="007D14A8"/>
    <w:rPr>
      <w:b/>
      <w:bCs/>
      <w:sz w:val="20"/>
      <w:szCs w:val="20"/>
    </w:rPr>
  </w:style>
  <w:style w:type="character" w:styleId="Strong">
    <w:name w:val="Strong"/>
    <w:basedOn w:val="DefaultParagraphFont"/>
    <w:uiPriority w:val="22"/>
    <w:qFormat/>
    <w:rsid w:val="00C13E51"/>
    <w:rPr>
      <w:b/>
      <w:bCs/>
    </w:rPr>
  </w:style>
  <w:style w:type="paragraph" w:styleId="NoSpacing">
    <w:name w:val="No Spacing"/>
    <w:uiPriority w:val="1"/>
    <w:qFormat/>
    <w:rsid w:val="008A5A09"/>
    <w:pPr>
      <w:spacing w:after="0" w:line="240" w:lineRule="auto"/>
    </w:pPr>
  </w:style>
  <w:style w:type="character" w:customStyle="1" w:styleId="Hipervnculo1">
    <w:name w:val="Hipervínculo1"/>
    <w:basedOn w:val="DefaultParagraphFont"/>
    <w:uiPriority w:val="99"/>
    <w:unhideWhenUsed/>
    <w:rsid w:val="003E44B8"/>
    <w:rPr>
      <w:color w:val="F2F2F2"/>
      <w:u w:val="single"/>
    </w:rPr>
  </w:style>
  <w:style w:type="character" w:customStyle="1" w:styleId="baj">
    <w:name w:val="b_aj"/>
    <w:basedOn w:val="DefaultParagraphFont"/>
    <w:rsid w:val="00977A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76745">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71188094">
      <w:bodyDiv w:val="1"/>
      <w:marLeft w:val="0"/>
      <w:marRight w:val="0"/>
      <w:marTop w:val="0"/>
      <w:marBottom w:val="0"/>
      <w:divBdr>
        <w:top w:val="none" w:sz="0" w:space="0" w:color="auto"/>
        <w:left w:val="none" w:sz="0" w:space="0" w:color="auto"/>
        <w:bottom w:val="none" w:sz="0" w:space="0" w:color="auto"/>
        <w:right w:val="none" w:sz="0" w:space="0" w:color="auto"/>
      </w:divBdr>
      <w:divsChild>
        <w:div w:id="429007679">
          <w:marLeft w:val="0"/>
          <w:marRight w:val="0"/>
          <w:marTop w:val="0"/>
          <w:marBottom w:val="0"/>
          <w:divBdr>
            <w:top w:val="none" w:sz="0" w:space="0" w:color="auto"/>
            <w:left w:val="none" w:sz="0" w:space="0" w:color="auto"/>
            <w:bottom w:val="none" w:sz="0" w:space="0" w:color="auto"/>
            <w:right w:val="none" w:sz="0" w:space="0" w:color="auto"/>
          </w:divBdr>
        </w:div>
        <w:div w:id="591822019">
          <w:marLeft w:val="0"/>
          <w:marRight w:val="0"/>
          <w:marTop w:val="0"/>
          <w:marBottom w:val="0"/>
          <w:divBdr>
            <w:top w:val="none" w:sz="0" w:space="0" w:color="auto"/>
            <w:left w:val="none" w:sz="0" w:space="0" w:color="auto"/>
            <w:bottom w:val="none" w:sz="0" w:space="0" w:color="auto"/>
            <w:right w:val="none" w:sz="0" w:space="0" w:color="auto"/>
          </w:divBdr>
        </w:div>
        <w:div w:id="854225939">
          <w:marLeft w:val="0"/>
          <w:marRight w:val="0"/>
          <w:marTop w:val="0"/>
          <w:marBottom w:val="0"/>
          <w:divBdr>
            <w:top w:val="none" w:sz="0" w:space="0" w:color="auto"/>
            <w:left w:val="none" w:sz="0" w:space="0" w:color="auto"/>
            <w:bottom w:val="none" w:sz="0" w:space="0" w:color="auto"/>
            <w:right w:val="none" w:sz="0" w:space="0" w:color="auto"/>
          </w:divBdr>
        </w:div>
        <w:div w:id="1243679342">
          <w:marLeft w:val="0"/>
          <w:marRight w:val="0"/>
          <w:marTop w:val="0"/>
          <w:marBottom w:val="0"/>
          <w:divBdr>
            <w:top w:val="none" w:sz="0" w:space="0" w:color="auto"/>
            <w:left w:val="none" w:sz="0" w:space="0" w:color="auto"/>
            <w:bottom w:val="none" w:sz="0" w:space="0" w:color="auto"/>
            <w:right w:val="none" w:sz="0" w:space="0" w:color="auto"/>
          </w:divBdr>
        </w:div>
        <w:div w:id="1447430903">
          <w:marLeft w:val="0"/>
          <w:marRight w:val="0"/>
          <w:marTop w:val="0"/>
          <w:marBottom w:val="0"/>
          <w:divBdr>
            <w:top w:val="none" w:sz="0" w:space="0" w:color="auto"/>
            <w:left w:val="none" w:sz="0" w:space="0" w:color="auto"/>
            <w:bottom w:val="none" w:sz="0" w:space="0" w:color="auto"/>
            <w:right w:val="none" w:sz="0" w:space="0" w:color="auto"/>
          </w:divBdr>
        </w:div>
        <w:div w:id="1860658836">
          <w:marLeft w:val="0"/>
          <w:marRight w:val="0"/>
          <w:marTop w:val="0"/>
          <w:marBottom w:val="0"/>
          <w:divBdr>
            <w:top w:val="none" w:sz="0" w:space="0" w:color="auto"/>
            <w:left w:val="none" w:sz="0" w:space="0" w:color="auto"/>
            <w:bottom w:val="none" w:sz="0" w:space="0" w:color="auto"/>
            <w:right w:val="none" w:sz="0" w:space="0" w:color="auto"/>
          </w:divBdr>
        </w:div>
        <w:div w:id="1888760207">
          <w:marLeft w:val="0"/>
          <w:marRight w:val="0"/>
          <w:marTop w:val="0"/>
          <w:marBottom w:val="0"/>
          <w:divBdr>
            <w:top w:val="none" w:sz="0" w:space="0" w:color="auto"/>
            <w:left w:val="none" w:sz="0" w:space="0" w:color="auto"/>
            <w:bottom w:val="none" w:sz="0" w:space="0" w:color="auto"/>
            <w:right w:val="none" w:sz="0" w:space="0" w:color="auto"/>
          </w:divBdr>
        </w:div>
      </w:divsChild>
    </w:div>
    <w:div w:id="890002207">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25822097">
      <w:bodyDiv w:val="1"/>
      <w:marLeft w:val="0"/>
      <w:marRight w:val="0"/>
      <w:marTop w:val="0"/>
      <w:marBottom w:val="0"/>
      <w:divBdr>
        <w:top w:val="none" w:sz="0" w:space="0" w:color="auto"/>
        <w:left w:val="none" w:sz="0" w:space="0" w:color="auto"/>
        <w:bottom w:val="none" w:sz="0" w:space="0" w:color="auto"/>
        <w:right w:val="none" w:sz="0" w:space="0" w:color="auto"/>
      </w:divBdr>
    </w:div>
    <w:div w:id="1403529917">
      <w:bodyDiv w:val="1"/>
      <w:marLeft w:val="0"/>
      <w:marRight w:val="0"/>
      <w:marTop w:val="0"/>
      <w:marBottom w:val="0"/>
      <w:divBdr>
        <w:top w:val="none" w:sz="0" w:space="0" w:color="auto"/>
        <w:left w:val="none" w:sz="0" w:space="0" w:color="auto"/>
        <w:bottom w:val="none" w:sz="0" w:space="0" w:color="auto"/>
        <w:right w:val="none" w:sz="0" w:space="0" w:color="auto"/>
      </w:divBdr>
      <w:divsChild>
        <w:div w:id="105122983">
          <w:marLeft w:val="0"/>
          <w:marRight w:val="0"/>
          <w:marTop w:val="0"/>
          <w:marBottom w:val="0"/>
          <w:divBdr>
            <w:top w:val="none" w:sz="0" w:space="0" w:color="auto"/>
            <w:left w:val="none" w:sz="0" w:space="0" w:color="auto"/>
            <w:bottom w:val="none" w:sz="0" w:space="0" w:color="auto"/>
            <w:right w:val="none" w:sz="0" w:space="0" w:color="auto"/>
          </w:divBdr>
        </w:div>
        <w:div w:id="280958949">
          <w:marLeft w:val="0"/>
          <w:marRight w:val="0"/>
          <w:marTop w:val="0"/>
          <w:marBottom w:val="0"/>
          <w:divBdr>
            <w:top w:val="none" w:sz="0" w:space="0" w:color="auto"/>
            <w:left w:val="none" w:sz="0" w:space="0" w:color="auto"/>
            <w:bottom w:val="none" w:sz="0" w:space="0" w:color="auto"/>
            <w:right w:val="none" w:sz="0" w:space="0" w:color="auto"/>
          </w:divBdr>
        </w:div>
        <w:div w:id="789321740">
          <w:marLeft w:val="0"/>
          <w:marRight w:val="0"/>
          <w:marTop w:val="0"/>
          <w:marBottom w:val="0"/>
          <w:divBdr>
            <w:top w:val="none" w:sz="0" w:space="0" w:color="auto"/>
            <w:left w:val="none" w:sz="0" w:space="0" w:color="auto"/>
            <w:bottom w:val="none" w:sz="0" w:space="0" w:color="auto"/>
            <w:right w:val="none" w:sz="0" w:space="0" w:color="auto"/>
          </w:divBdr>
        </w:div>
        <w:div w:id="1347945658">
          <w:marLeft w:val="0"/>
          <w:marRight w:val="0"/>
          <w:marTop w:val="0"/>
          <w:marBottom w:val="0"/>
          <w:divBdr>
            <w:top w:val="none" w:sz="0" w:space="0" w:color="auto"/>
            <w:left w:val="none" w:sz="0" w:space="0" w:color="auto"/>
            <w:bottom w:val="none" w:sz="0" w:space="0" w:color="auto"/>
            <w:right w:val="none" w:sz="0" w:space="0" w:color="auto"/>
          </w:divBdr>
        </w:div>
        <w:div w:id="1556115920">
          <w:marLeft w:val="0"/>
          <w:marRight w:val="0"/>
          <w:marTop w:val="0"/>
          <w:marBottom w:val="0"/>
          <w:divBdr>
            <w:top w:val="none" w:sz="0" w:space="0" w:color="auto"/>
            <w:left w:val="none" w:sz="0" w:space="0" w:color="auto"/>
            <w:bottom w:val="none" w:sz="0" w:space="0" w:color="auto"/>
            <w:right w:val="none" w:sz="0" w:space="0" w:color="auto"/>
          </w:divBdr>
        </w:div>
        <w:div w:id="2033533023">
          <w:marLeft w:val="0"/>
          <w:marRight w:val="0"/>
          <w:marTop w:val="0"/>
          <w:marBottom w:val="0"/>
          <w:divBdr>
            <w:top w:val="none" w:sz="0" w:space="0" w:color="auto"/>
            <w:left w:val="none" w:sz="0" w:space="0" w:color="auto"/>
            <w:bottom w:val="none" w:sz="0" w:space="0" w:color="auto"/>
            <w:right w:val="none" w:sz="0" w:space="0" w:color="auto"/>
          </w:divBdr>
        </w:div>
        <w:div w:id="2105572032">
          <w:marLeft w:val="0"/>
          <w:marRight w:val="0"/>
          <w:marTop w:val="0"/>
          <w:marBottom w:val="0"/>
          <w:divBdr>
            <w:top w:val="none" w:sz="0" w:space="0" w:color="auto"/>
            <w:left w:val="none" w:sz="0" w:space="0" w:color="auto"/>
            <w:bottom w:val="none" w:sz="0" w:space="0" w:color="auto"/>
            <w:right w:val="none" w:sz="0" w:space="0" w:color="auto"/>
          </w:divBdr>
        </w:div>
      </w:divsChild>
    </w:div>
    <w:div w:id="1449934837">
      <w:bodyDiv w:val="1"/>
      <w:marLeft w:val="0"/>
      <w:marRight w:val="0"/>
      <w:marTop w:val="0"/>
      <w:marBottom w:val="0"/>
      <w:divBdr>
        <w:top w:val="none" w:sz="0" w:space="0" w:color="auto"/>
        <w:left w:val="none" w:sz="0" w:space="0" w:color="auto"/>
        <w:bottom w:val="none" w:sz="0" w:space="0" w:color="auto"/>
        <w:right w:val="none" w:sz="0" w:space="0" w:color="auto"/>
      </w:divBdr>
    </w:div>
    <w:div w:id="1627276350">
      <w:bodyDiv w:val="1"/>
      <w:marLeft w:val="0"/>
      <w:marRight w:val="0"/>
      <w:marTop w:val="0"/>
      <w:marBottom w:val="0"/>
      <w:divBdr>
        <w:top w:val="none" w:sz="0" w:space="0" w:color="auto"/>
        <w:left w:val="none" w:sz="0" w:space="0" w:color="auto"/>
        <w:bottom w:val="none" w:sz="0" w:space="0" w:color="auto"/>
        <w:right w:val="none" w:sz="0" w:space="0" w:color="auto"/>
      </w:divBdr>
      <w:divsChild>
        <w:div w:id="169103044">
          <w:marLeft w:val="0"/>
          <w:marRight w:val="0"/>
          <w:marTop w:val="0"/>
          <w:marBottom w:val="0"/>
          <w:divBdr>
            <w:top w:val="none" w:sz="0" w:space="0" w:color="auto"/>
            <w:left w:val="none" w:sz="0" w:space="0" w:color="auto"/>
            <w:bottom w:val="none" w:sz="0" w:space="0" w:color="auto"/>
            <w:right w:val="none" w:sz="0" w:space="0" w:color="auto"/>
          </w:divBdr>
        </w:div>
        <w:div w:id="413017600">
          <w:marLeft w:val="0"/>
          <w:marRight w:val="0"/>
          <w:marTop w:val="0"/>
          <w:marBottom w:val="0"/>
          <w:divBdr>
            <w:top w:val="none" w:sz="0" w:space="0" w:color="auto"/>
            <w:left w:val="none" w:sz="0" w:space="0" w:color="auto"/>
            <w:bottom w:val="none" w:sz="0" w:space="0" w:color="auto"/>
            <w:right w:val="none" w:sz="0" w:space="0" w:color="auto"/>
          </w:divBdr>
        </w:div>
        <w:div w:id="701712410">
          <w:marLeft w:val="0"/>
          <w:marRight w:val="0"/>
          <w:marTop w:val="0"/>
          <w:marBottom w:val="0"/>
          <w:divBdr>
            <w:top w:val="none" w:sz="0" w:space="0" w:color="auto"/>
            <w:left w:val="none" w:sz="0" w:space="0" w:color="auto"/>
            <w:bottom w:val="none" w:sz="0" w:space="0" w:color="auto"/>
            <w:right w:val="none" w:sz="0" w:space="0" w:color="auto"/>
          </w:divBdr>
        </w:div>
        <w:div w:id="1420981105">
          <w:marLeft w:val="0"/>
          <w:marRight w:val="0"/>
          <w:marTop w:val="0"/>
          <w:marBottom w:val="0"/>
          <w:divBdr>
            <w:top w:val="none" w:sz="0" w:space="0" w:color="auto"/>
            <w:left w:val="none" w:sz="0" w:space="0" w:color="auto"/>
            <w:bottom w:val="none" w:sz="0" w:space="0" w:color="auto"/>
            <w:right w:val="none" w:sz="0" w:space="0" w:color="auto"/>
          </w:divBdr>
        </w:div>
        <w:div w:id="1432778460">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0080_1993.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SharedWithUsers xmlns="a6cb9e4b-f1d1-4245-83ec-6cad768d538a">
      <UserInfo>
        <DisplayName>Any Alejandra Tovar Castillo</DisplayName>
        <AccountId>539</AccountId>
        <AccountType/>
      </UserInfo>
      <UserInfo>
        <DisplayName>Ximena Ríos López</DisplayName>
        <AccountId>48</AccountId>
        <AccountType/>
      </UserInfo>
      <UserInfo>
        <DisplayName>Nohelia Del Carmen Zawady Palacio</DisplayName>
        <AccountId>289</AccountId>
        <AccountType/>
      </UserInfo>
    </SharedWithUsers>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553C0842-C34E-464B-A4B3-5EF1492E5B86}">
  <ds:schemaRefs>
    <ds:schemaRef ds:uri="http://schemas.openxmlformats.org/officeDocument/2006/bibliography"/>
  </ds:schemaRefs>
</ds:datastoreItem>
</file>

<file path=customXml/itemProps3.xml><?xml version="1.0" encoding="utf-8"?>
<ds:datastoreItem xmlns:ds="http://schemas.openxmlformats.org/officeDocument/2006/customXml" ds:itemID="{4C872193-A59E-4B12-9EF8-50D777385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Normal.dotm</Template>
  <TotalTime>5700</TotalTime>
  <Pages>1</Pages>
  <Words>5960</Words>
  <Characters>33972</Characters>
  <Application>Microsoft Office Word</Application>
  <DocSecurity>4</DocSecurity>
  <Lines>283</Lines>
  <Paragraphs>79</Paragraphs>
  <ScaleCrop>false</ScaleCrop>
  <Company/>
  <LinksUpToDate>false</LinksUpToDate>
  <CharactersWithSpaces>39853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Andrés Ricardo Cabarcas Thorne</cp:lastModifiedBy>
  <cp:revision>454</cp:revision>
  <cp:lastPrinted>2023-01-11T00:18:00Z</cp:lastPrinted>
  <dcterms:created xsi:type="dcterms:W3CDTF">2024-04-10T17:37:00Z</dcterms:created>
  <dcterms:modified xsi:type="dcterms:W3CDTF">2024-07-09T18:03:00Z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