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23CD4" w:rsidR="0040332D" w:rsidP="002C2552" w:rsidRDefault="0040332D" w14:paraId="6B55267B" w14:textId="3E3466E2">
      <w:pPr>
        <w:jc w:val="both"/>
        <w:rPr>
          <w:rFonts w:ascii="Century Gothic" w:hAnsi="Century Gothic" w:eastAsia="Calibri" w:cs="Arial"/>
          <w:b/>
          <w:lang w:val="es-ES_tradnl"/>
        </w:rPr>
      </w:pPr>
      <w:r w:rsidRPr="00C23CD4">
        <w:rPr>
          <w:rFonts w:ascii="Century Gothic" w:hAnsi="Century Gothic" w:eastAsia="Calibri" w:cs="Arial"/>
          <w:b/>
          <w:lang w:val="es-ES_tradnl"/>
        </w:rPr>
        <w:t>LEY 2069 DE 2020 – Finalidad</w:t>
      </w:r>
    </w:p>
    <w:p w:rsidRPr="00C23CD4" w:rsidR="0040332D" w:rsidP="002C2552" w:rsidRDefault="00C23CD4" w14:paraId="1A587EED" w14:textId="452E9D37">
      <w:pPr>
        <w:jc w:val="both"/>
        <w:rPr>
          <w:rFonts w:ascii="Century Gothic" w:hAnsi="Century Gothic"/>
          <w:sz w:val="20"/>
          <w:szCs w:val="20"/>
        </w:rPr>
      </w:pPr>
      <w:r w:rsidRPr="00C23CD4">
        <w:rPr>
          <w:rFonts w:ascii="Century Gothic" w:hAnsi="Century Gothic"/>
          <w:sz w:val="20"/>
          <w:szCs w:val="20"/>
        </w:rPr>
        <w:t>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w:t>
      </w:r>
    </w:p>
    <w:p w:rsidR="00C23CD4" w:rsidP="002C2552" w:rsidRDefault="00C23CD4" w14:paraId="20C44F47" w14:textId="77777777">
      <w:pPr>
        <w:jc w:val="both"/>
        <w:rPr>
          <w:rFonts w:ascii="Century Gothic" w:hAnsi="Century Gothic" w:eastAsia="Calibri" w:cs="Arial"/>
          <w:b/>
          <w:highlight w:val="yellow"/>
          <w:lang w:val="es-ES_tradnl"/>
        </w:rPr>
      </w:pPr>
    </w:p>
    <w:p w:rsidRPr="00BA3E7E" w:rsidR="002C2552" w:rsidP="002C2552" w:rsidRDefault="002C2552" w14:paraId="5E70CA5E" w14:textId="021CAA77">
      <w:pPr>
        <w:jc w:val="both"/>
        <w:rPr>
          <w:rFonts w:ascii="Century Gothic" w:hAnsi="Century Gothic" w:eastAsia="Calibri" w:cs="Arial"/>
          <w:b/>
          <w:lang w:val="es-ES_tradnl"/>
        </w:rPr>
      </w:pPr>
      <w:r w:rsidRPr="00BA3E7E">
        <w:rPr>
          <w:rFonts w:ascii="Century Gothic" w:hAnsi="Century Gothic" w:eastAsia="Calibri" w:cs="Arial"/>
          <w:b/>
          <w:lang w:val="es-ES_tradnl"/>
        </w:rPr>
        <w:t>MIPYMES – Convocatorias limitadas – Ley 2069 de 2020 – Artículo 34</w:t>
      </w:r>
    </w:p>
    <w:p w:rsidRPr="00BA3E7E" w:rsidR="00BA3E7E" w:rsidP="00BA3E7E" w:rsidRDefault="002C2552" w14:paraId="5F9C92E2" w14:textId="07725BF9">
      <w:pPr>
        <w:spacing w:after="120" w:line="276" w:lineRule="auto"/>
        <w:jc w:val="both"/>
        <w:rPr>
          <w:rFonts w:ascii="Century Gothic" w:hAnsi="Century Gothic"/>
          <w:sz w:val="20"/>
          <w:szCs w:val="20"/>
        </w:rPr>
      </w:pPr>
      <w:r w:rsidRPr="00BA3E7E">
        <w:rPr>
          <w:rFonts w:ascii="Century Gothic" w:hAnsi="Century Gothic"/>
          <w:sz w:val="20"/>
          <w:szCs w:val="20"/>
        </w:rPr>
        <w:t xml:space="preserve">[…] </w:t>
      </w:r>
      <w:r w:rsidRPr="00BA3E7E" w:rsidR="00BA3E7E">
        <w:rPr>
          <w:rFonts w:ascii="Century Gothic" w:hAnsi="Century Gothic"/>
          <w:sz w:val="20"/>
          <w:szCs w:val="20"/>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o el que haga sus veces de acuerdo con la normativa aplicable a cada proceso de contratación. Además, la norma señala que, tratándose de personas jurídicas, las solicitudes sólo 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rsidRPr="00BA3E7E" w:rsidR="002C2552" w:rsidP="002C2552" w:rsidRDefault="002C2552" w14:paraId="6F6061F0" w14:textId="6AFEE5A0">
      <w:pPr>
        <w:jc w:val="both"/>
        <w:rPr>
          <w:rFonts w:ascii="Century Gothic" w:hAnsi="Century Gothic"/>
          <w:sz w:val="20"/>
          <w:szCs w:val="20"/>
        </w:rPr>
      </w:pPr>
    </w:p>
    <w:p w:rsidRPr="00BA3E7E" w:rsidR="00D72CB7" w:rsidP="00D72CB7" w:rsidRDefault="00D72CB7" w14:paraId="297F5E83" w14:textId="3C8E1BBB">
      <w:pPr>
        <w:jc w:val="both"/>
        <w:rPr>
          <w:rFonts w:ascii="Century Gothic" w:hAnsi="Century Gothic" w:eastAsia="Calibri" w:cs="Arial"/>
          <w:b/>
          <w:lang w:val="es-ES_tradnl"/>
        </w:rPr>
      </w:pPr>
      <w:r w:rsidRPr="00BA3E7E">
        <w:rPr>
          <w:rFonts w:ascii="Century Gothic" w:hAnsi="Century Gothic" w:eastAsia="Calibri" w:cs="Arial"/>
          <w:b/>
          <w:lang w:val="es-ES_tradnl"/>
        </w:rPr>
        <w:t xml:space="preserve">MIPYMES – </w:t>
      </w:r>
      <w:r>
        <w:rPr>
          <w:rFonts w:ascii="Century Gothic" w:hAnsi="Century Gothic" w:eastAsia="Calibri" w:cs="Arial"/>
          <w:b/>
          <w:lang w:val="es-ES_tradnl"/>
        </w:rPr>
        <w:t>Criterios diferenciales</w:t>
      </w:r>
    </w:p>
    <w:p w:rsidRPr="00D72CB7" w:rsidR="00D72CB7" w:rsidP="00D72CB7" w:rsidRDefault="00D72CB7" w14:paraId="25210DC9" w14:textId="77777777">
      <w:pPr>
        <w:spacing w:after="120" w:line="276" w:lineRule="auto"/>
        <w:jc w:val="both"/>
        <w:rPr>
          <w:rFonts w:ascii="Century Gothic" w:hAnsi="Century Gothic"/>
          <w:sz w:val="20"/>
          <w:szCs w:val="20"/>
        </w:rPr>
      </w:pPr>
      <w:r w:rsidRPr="00D72CB7">
        <w:rPr>
          <w:rFonts w:ascii="Century Gothic" w:hAnsi="Century Gothic"/>
          <w:sz w:val="20"/>
          <w:szCs w:val="20"/>
        </w:rPr>
        <w:t xml:space="preserve">El artículo 3 del Decreto 1860 de 2021, que adicionó el artículo 2.2.1.2.4.2.18 al Decreto 1082 de 2015 reguló los criterios diferenciales para Mipyme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w:t>
      </w:r>
    </w:p>
    <w:p w:rsidR="00D72CB7" w:rsidP="002C2552" w:rsidRDefault="00D72CB7" w14:paraId="4FBC2961" w14:textId="77777777">
      <w:pPr>
        <w:jc w:val="both"/>
        <w:rPr>
          <w:rFonts w:ascii="Century Gothic" w:hAnsi="Century Gothic"/>
          <w:sz w:val="20"/>
          <w:szCs w:val="20"/>
        </w:rPr>
      </w:pPr>
    </w:p>
    <w:p w:rsidRPr="00BA3E7E" w:rsidR="002C2552" w:rsidP="002C2552" w:rsidRDefault="002C2552" w14:paraId="184544A2" w14:textId="5F9A27CD">
      <w:pPr>
        <w:jc w:val="both"/>
        <w:rPr>
          <w:rFonts w:ascii="Century Gothic" w:hAnsi="Century Gothic" w:eastAsia="Calibri" w:cs="Arial"/>
          <w:b/>
          <w:lang w:val="es-ES"/>
        </w:rPr>
      </w:pPr>
      <w:r w:rsidRPr="0825949C">
        <w:rPr>
          <w:rFonts w:ascii="Century Gothic" w:hAnsi="Century Gothic" w:eastAsia="Calibri" w:cs="Arial"/>
          <w:b/>
          <w:lang w:val="es-ES"/>
        </w:rPr>
        <w:t>ESAL – Convocatorias limitadas</w:t>
      </w:r>
      <w:r w:rsidRPr="0825949C" w:rsidR="00330F73">
        <w:rPr>
          <w:rFonts w:ascii="Century Gothic" w:hAnsi="Century Gothic" w:eastAsia="Calibri" w:cs="Arial"/>
          <w:b/>
          <w:lang w:val="es-ES"/>
        </w:rPr>
        <w:t xml:space="preserve"> a Mipyme</w:t>
      </w:r>
      <w:r w:rsidRPr="0825949C">
        <w:rPr>
          <w:rFonts w:ascii="Century Gothic" w:hAnsi="Century Gothic" w:eastAsia="Calibri" w:cs="Arial"/>
          <w:b/>
          <w:lang w:val="es-ES"/>
        </w:rPr>
        <w:t xml:space="preserve"> – Imposibilidad – Participación – Reiteración – Excepción</w:t>
      </w:r>
    </w:p>
    <w:p w:rsidR="00D72CB7" w:rsidP="00BA3E7E" w:rsidRDefault="00BA3E7E" w14:paraId="29F27A23" w14:textId="77777777">
      <w:pPr>
        <w:spacing w:after="120" w:line="276" w:lineRule="auto"/>
        <w:jc w:val="both"/>
        <w:rPr>
          <w:rFonts w:ascii="Century Gothic" w:hAnsi="Century Gothic"/>
          <w:sz w:val="20"/>
          <w:szCs w:val="20"/>
        </w:rPr>
      </w:pPr>
      <w:r w:rsidRPr="00BA3E7E">
        <w:rPr>
          <w:rFonts w:ascii="Century Gothic" w:hAnsi="Century Gothic"/>
          <w:sz w:val="20"/>
          <w:szCs w:val="20"/>
        </w:rPr>
        <w:t>Retomando la postura indicada, debe aclararse que en virtud del artículo 43 de la Ley 1450 de 2011, que modificó el artículo 2 de la Ley 590 de 2000, y a la luz de las consideraciones contenidas en los párrafos precedentes, puede decirse que solo podrán ser Mipymes  las empresas, entendidas estas como las unidades de explotación económica que buscan el reparto de utilidades entre los miembros de la empresa, en razón a que las ESAL no persiguen el reparto de utilidades entre sus miembros, y por regla general, no podrían participar en los procesos de contratación limitados a Mipymes; lo anterior no quiere significar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Mipymes.</w:t>
      </w:r>
    </w:p>
    <w:p w:rsidR="00D72CB7" w:rsidP="00BA3E7E" w:rsidRDefault="00D72CB7" w14:paraId="1700FA8F" w14:textId="77777777">
      <w:pPr>
        <w:spacing w:after="120" w:line="276" w:lineRule="auto"/>
        <w:jc w:val="both"/>
        <w:rPr>
          <w:rFonts w:ascii="Century Gothic" w:hAnsi="Century Gothic"/>
          <w:sz w:val="20"/>
          <w:szCs w:val="20"/>
          <w:highlight w:val="yellow"/>
        </w:rPr>
      </w:pPr>
    </w:p>
    <w:p w:rsidRPr="002C2552" w:rsidR="002034E5" w:rsidP="00BA3E7E" w:rsidRDefault="002034E5" w14:paraId="231CA39C" w14:textId="5644586C">
      <w:pPr>
        <w:spacing w:after="120" w:line="276" w:lineRule="auto"/>
        <w:jc w:val="both"/>
        <w:rPr>
          <w:rFonts w:ascii="Century Gothic" w:hAnsi="Century Gothic"/>
          <w:sz w:val="20"/>
          <w:szCs w:val="20"/>
          <w:highlight w:val="yellow"/>
        </w:rPr>
      </w:pPr>
      <w:r w:rsidRPr="002C2552">
        <w:rPr>
          <w:rFonts w:ascii="Century Gothic" w:hAnsi="Century Gothic"/>
          <w:sz w:val="20"/>
          <w:szCs w:val="20"/>
          <w:highlight w:val="yellow"/>
        </w:rPr>
        <w:br w:type="page"/>
      </w:r>
    </w:p>
    <w:p w:rsidR="005D2ACF" w:rsidP="002034E5" w:rsidRDefault="00F551C6" w14:paraId="7DC16703" w14:textId="4030E77F">
      <w:pPr>
        <w:spacing w:after="0" w:line="240" w:lineRule="auto"/>
        <w:jc w:val="both"/>
        <w:rPr>
          <w:rFonts w:ascii="Century Gothic" w:hAnsi="Century Gothic" w:eastAsia="Calibri" w:cs="Arial"/>
          <w:lang w:val="es-ES" w:eastAsia="es-ES"/>
        </w:rPr>
      </w:pPr>
      <w:r w:rsidRPr="00F551C6">
        <w:rPr>
          <w:rFonts w:ascii="Century Gothic" w:hAnsi="Century Gothic" w:eastAsia="Calibri" w:cs="Arial"/>
          <w:lang w:val="es-ES" w:eastAsia="es-ES"/>
        </w:rPr>
        <w:t>Bogotá D.C., 19 Junio 2024</w:t>
      </w:r>
    </w:p>
    <w:p w:rsidR="00F551C6" w:rsidP="00F551C6" w:rsidRDefault="00F551C6" w14:paraId="2F2DC3FC" w14:textId="5F9C023A">
      <w:pPr>
        <w:spacing w:after="0" w:line="240" w:lineRule="auto"/>
        <w:jc w:val="right"/>
        <w:rPr>
          <w:rFonts w:ascii="Century Gothic" w:hAnsi="Century Gothic" w:eastAsia="Calibri" w:cs="Arial"/>
          <w:lang w:val="es-ES" w:eastAsia="es-ES"/>
        </w:rPr>
      </w:pPr>
      <w:r w:rsidRPr="00F551C6">
        <w:rPr>
          <w:rFonts w:ascii="Century Gothic" w:hAnsi="Century Gothic" w:eastAsia="Calibri" w:cs="Arial"/>
          <w:lang w:val="es-ES" w:eastAsia="es-ES"/>
        </w:rPr>
        <w:drawing>
          <wp:inline distT="0" distB="0" distL="0" distR="0" wp14:anchorId="7F0E47E7" wp14:editId="61E96B24">
            <wp:extent cx="3419952" cy="1019317"/>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952" cy="1019317"/>
                    </a:xfrm>
                    <a:prstGeom prst="rect">
                      <a:avLst/>
                    </a:prstGeom>
                  </pic:spPr>
                </pic:pic>
              </a:graphicData>
            </a:graphic>
          </wp:inline>
        </w:drawing>
      </w:r>
    </w:p>
    <w:p w:rsidRPr="00383512" w:rsidR="002034E5" w:rsidP="002034E5" w:rsidRDefault="002034E5" w14:paraId="1CBD6081" w14:textId="7D6A99A4">
      <w:pPr>
        <w:spacing w:after="0" w:line="240" w:lineRule="auto"/>
        <w:jc w:val="both"/>
        <w:rPr>
          <w:rFonts w:ascii="Century Gothic" w:hAnsi="Century Gothic" w:eastAsia="Calibri" w:cs="Arial"/>
          <w:lang w:val="es-ES" w:eastAsia="es-ES"/>
        </w:rPr>
      </w:pPr>
      <w:r w:rsidRPr="00383512">
        <w:rPr>
          <w:rFonts w:ascii="Century Gothic" w:hAnsi="Century Gothic" w:eastAsia="Calibri" w:cs="Arial"/>
          <w:lang w:val="es-ES" w:eastAsia="es-ES"/>
        </w:rPr>
        <w:t>Señor</w:t>
      </w:r>
      <w:r w:rsidR="00C46297">
        <w:rPr>
          <w:rFonts w:ascii="Century Gothic" w:hAnsi="Century Gothic" w:eastAsia="Calibri" w:cs="Arial"/>
          <w:lang w:val="es-ES" w:eastAsia="es-ES"/>
        </w:rPr>
        <w:t>a</w:t>
      </w:r>
    </w:p>
    <w:p w:rsidRPr="0001412B" w:rsidR="002034E5" w:rsidP="002034E5" w:rsidRDefault="00C46297" w14:paraId="282BFD9F" w14:textId="2B33F6C2">
      <w:pPr>
        <w:spacing w:after="0" w:line="240" w:lineRule="auto"/>
        <w:jc w:val="both"/>
        <w:rPr>
          <w:rFonts w:ascii="Century Gothic" w:hAnsi="Century Gothic" w:eastAsia="Calibri" w:cs="Arial"/>
          <w:b/>
          <w:lang w:eastAsia="es-ES"/>
        </w:rPr>
      </w:pPr>
      <w:r w:rsidRPr="0001412B">
        <w:rPr>
          <w:rFonts w:ascii="Century Gothic" w:hAnsi="Century Gothic" w:eastAsia="Calibri" w:cs="Arial"/>
          <w:b/>
          <w:lang w:val="es-ES" w:eastAsia="es-ES"/>
        </w:rPr>
        <w:t>Karen Liceth Rodriguez Rivera</w:t>
      </w:r>
    </w:p>
    <w:p w:rsidR="00C46297" w:rsidP="002034E5" w:rsidRDefault="003749D3" w14:paraId="1AA56942" w14:textId="4F4C596C">
      <w:pPr>
        <w:spacing w:after="0" w:line="240" w:lineRule="auto"/>
        <w:rPr>
          <w:rFonts w:ascii="Century Gothic" w:hAnsi="Century Gothic"/>
          <w:color w:val="000000"/>
        </w:rPr>
      </w:pPr>
      <w:hyperlink w:history="1" r:id="rId12">
        <w:r w:rsidRPr="00C330D2" w:rsidR="00C46297">
          <w:rPr>
            <w:rStyle w:val="Hipervnculo"/>
            <w:rFonts w:ascii="Century Gothic" w:hAnsi="Century Gothic"/>
          </w:rPr>
          <w:t>karenliceth92@gmail.com</w:t>
        </w:r>
      </w:hyperlink>
    </w:p>
    <w:p w:rsidRPr="00383512" w:rsidR="002034E5" w:rsidP="002034E5" w:rsidRDefault="00C46297" w14:paraId="28EAB6E3" w14:textId="7251D08F">
      <w:pPr>
        <w:spacing w:after="0" w:line="240" w:lineRule="auto"/>
        <w:rPr>
          <w:rFonts w:ascii="Century Gothic" w:hAnsi="Century Gothic"/>
          <w:color w:val="000000"/>
        </w:rPr>
      </w:pPr>
      <w:r w:rsidRPr="00C46297">
        <w:rPr>
          <w:rFonts w:ascii="Century Gothic" w:hAnsi="Century Gothic"/>
          <w:color w:val="000000"/>
        </w:rPr>
        <w:t xml:space="preserve">La Jagua </w:t>
      </w:r>
      <w:r>
        <w:rPr>
          <w:rFonts w:ascii="Century Gothic" w:hAnsi="Century Gothic"/>
          <w:color w:val="000000"/>
        </w:rPr>
        <w:t>d</w:t>
      </w:r>
      <w:r w:rsidRPr="00C46297">
        <w:rPr>
          <w:rFonts w:ascii="Century Gothic" w:hAnsi="Century Gothic"/>
          <w:color w:val="000000"/>
        </w:rPr>
        <w:t>e Ibirico</w:t>
      </w:r>
      <w:r>
        <w:rPr>
          <w:rFonts w:ascii="Century Gothic" w:hAnsi="Century Gothic"/>
          <w:color w:val="000000"/>
        </w:rPr>
        <w:t>, Cesar</w:t>
      </w:r>
    </w:p>
    <w:p w:rsidR="00363751" w:rsidP="002034E5" w:rsidRDefault="002034E5" w14:paraId="034C86EB" w14:textId="77777777">
      <w:pPr>
        <w:spacing w:after="0" w:line="240" w:lineRule="auto"/>
        <w:rPr>
          <w:rFonts w:ascii="Century Gothic" w:hAnsi="Century Gothic"/>
          <w:color w:val="000000"/>
        </w:rPr>
      </w:pPr>
      <w:r w:rsidRPr="00383512">
        <w:rPr>
          <w:rFonts w:ascii="Century Gothic" w:hAnsi="Century Gothic"/>
          <w:color w:val="000000"/>
        </w:rPr>
        <w:tab/>
      </w:r>
      <w:r w:rsidRPr="00383512">
        <w:rPr>
          <w:rFonts w:ascii="Century Gothic" w:hAnsi="Century Gothic"/>
          <w:color w:val="000000"/>
        </w:rPr>
        <w:tab/>
      </w:r>
      <w:r w:rsidRPr="00383512">
        <w:rPr>
          <w:rFonts w:ascii="Century Gothic" w:hAnsi="Century Gothic"/>
          <w:color w:val="000000"/>
        </w:rPr>
        <w:tab/>
      </w:r>
      <w:r w:rsidRPr="00383512">
        <w:rPr>
          <w:rFonts w:ascii="Century Gothic" w:hAnsi="Century Gothic"/>
          <w:color w:val="000000"/>
        </w:rPr>
        <w:tab/>
      </w:r>
    </w:p>
    <w:p w:rsidR="00363751" w:rsidP="002034E5" w:rsidRDefault="00363751" w14:paraId="26B6A122" w14:textId="77777777">
      <w:pPr>
        <w:spacing w:after="0" w:line="240" w:lineRule="auto"/>
        <w:rPr>
          <w:rFonts w:ascii="Century Gothic" w:hAnsi="Century Gothic"/>
          <w:color w:val="000000"/>
        </w:rPr>
      </w:pPr>
    </w:p>
    <w:p w:rsidRPr="00383512" w:rsidR="002034E5" w:rsidP="00363751" w:rsidRDefault="002034E5" w14:paraId="4F76EB85" w14:textId="29E08E0F">
      <w:pPr>
        <w:spacing w:after="0" w:line="240" w:lineRule="auto"/>
        <w:ind w:left="2124" w:firstLine="708"/>
        <w:rPr>
          <w:rFonts w:ascii="Century Gothic" w:hAnsi="Century Gothic" w:eastAsia="Calibri" w:cs="Arial"/>
          <w:b/>
          <w:bCs/>
          <w:color w:val="000000"/>
          <w:lang w:val="es-ES_tradnl" w:eastAsia="es-ES_tradnl"/>
        </w:rPr>
      </w:pPr>
      <w:r w:rsidRPr="00383512">
        <w:rPr>
          <w:rFonts w:ascii="Century Gothic" w:hAnsi="Century Gothic" w:eastAsia="Calibri" w:cs="Arial"/>
          <w:b/>
          <w:lang w:val="es-ES_tradnl" w:eastAsia="es-ES_tradnl"/>
        </w:rPr>
        <w:t xml:space="preserve">Concepto C – </w:t>
      </w:r>
      <w:r w:rsidR="00C46297">
        <w:rPr>
          <w:rFonts w:ascii="Century Gothic" w:hAnsi="Century Gothic" w:eastAsia="Calibri" w:cs="Arial"/>
          <w:b/>
          <w:lang w:val="es-ES_tradnl" w:eastAsia="es-ES_tradnl"/>
        </w:rPr>
        <w:t>094</w:t>
      </w:r>
      <w:r w:rsidRPr="00383512">
        <w:rPr>
          <w:rFonts w:ascii="Century Gothic" w:hAnsi="Century Gothic" w:eastAsia="Calibri" w:cs="Arial"/>
          <w:b/>
          <w:lang w:val="es-ES_tradnl" w:eastAsia="es-ES_tradnl"/>
        </w:rPr>
        <w:t xml:space="preserve"> de 2024</w:t>
      </w:r>
    </w:p>
    <w:p w:rsidRPr="00383512" w:rsidR="002034E5" w:rsidP="002034E5" w:rsidRDefault="002034E5" w14:paraId="20362AFB" w14:textId="77777777">
      <w:pPr>
        <w:spacing w:after="0" w:line="240" w:lineRule="auto"/>
        <w:rPr>
          <w:rFonts w:ascii="Century Gothic" w:hAnsi="Century Gothic" w:eastAsia="Calibri" w:cs="Arial"/>
          <w:b/>
          <w:bCs/>
          <w:color w:val="000000"/>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83512" w:rsidR="002034E5" w:rsidTr="007D042C" w14:paraId="13FF39BA" w14:textId="77777777">
        <w:trPr>
          <w:trHeight w:val="884"/>
        </w:trPr>
        <w:tc>
          <w:tcPr>
            <w:tcW w:w="2689" w:type="dxa"/>
          </w:tcPr>
          <w:p w:rsidRPr="003458C0" w:rsidR="002034E5" w:rsidP="007D042C" w:rsidRDefault="002034E5" w14:paraId="591B949B" w14:textId="77777777">
            <w:pPr>
              <w:jc w:val="both"/>
              <w:rPr>
                <w:rFonts w:ascii="Century Gothic" w:hAnsi="Century Gothic" w:eastAsia="Calibri" w:cs="Arial"/>
                <w:color w:val="000000"/>
                <w:lang w:val="es-ES_tradnl" w:eastAsia="es-ES_tradnl"/>
              </w:rPr>
            </w:pPr>
            <w:r w:rsidRPr="003458C0">
              <w:rPr>
                <w:rFonts w:ascii="Century Gothic" w:hAnsi="Century Gothic" w:eastAsia="Calibri" w:cs="Arial"/>
                <w:b/>
                <w:color w:val="000000"/>
                <w:lang w:val="es-ES_tradnl" w:eastAsia="es-ES_tradnl"/>
              </w:rPr>
              <w:t>Temas:</w:t>
            </w:r>
            <w:r w:rsidRPr="003458C0">
              <w:rPr>
                <w:rFonts w:ascii="Century Gothic" w:hAnsi="Century Gothic" w:eastAsia="Calibri" w:cs="Arial"/>
                <w:color w:val="000000"/>
                <w:lang w:val="es-ES_tradnl" w:eastAsia="es-ES_tradnl"/>
              </w:rPr>
              <w:t xml:space="preserve">                   </w:t>
            </w:r>
          </w:p>
        </w:tc>
        <w:tc>
          <w:tcPr>
            <w:tcW w:w="6237" w:type="dxa"/>
          </w:tcPr>
          <w:p w:rsidRPr="002470B8" w:rsidR="009949A6" w:rsidP="009949A6" w:rsidRDefault="000306FC" w14:paraId="72A555E0" w14:textId="4DD67813">
            <w:pPr>
              <w:jc w:val="both"/>
              <w:rPr>
                <w:rFonts w:ascii="Century Gothic" w:hAnsi="Century Gothic" w:eastAsia="Calibri" w:cs="Arial"/>
                <w:bCs/>
                <w:lang w:val="es-ES_tradnl"/>
              </w:rPr>
            </w:pPr>
            <w:r w:rsidRPr="009949A6">
              <w:rPr>
                <w:rFonts w:ascii="Century Gothic" w:hAnsi="Century Gothic" w:eastAsia="Calibri" w:cs="Arial"/>
                <w:bCs/>
                <w:lang w:val="es-ES_tradnl"/>
              </w:rPr>
              <w:t>LEY 2069 DE 2020 – Finalidad</w:t>
            </w:r>
            <w:r w:rsidR="002470B8">
              <w:rPr>
                <w:rFonts w:ascii="Century Gothic" w:hAnsi="Century Gothic" w:eastAsia="Calibri" w:cs="Arial"/>
                <w:bCs/>
                <w:lang w:val="es-ES_tradnl"/>
              </w:rPr>
              <w:t xml:space="preserve"> </w:t>
            </w:r>
            <w:r w:rsidRPr="009949A6" w:rsidR="004415D3">
              <w:rPr>
                <w:rFonts w:ascii="Century Gothic" w:hAnsi="Century Gothic" w:eastAsia="Calibri" w:cs="Arial"/>
                <w:bCs/>
                <w:lang w:val="es-ES_tradnl"/>
              </w:rPr>
              <w:t>/</w:t>
            </w:r>
            <w:r w:rsidR="002470B8">
              <w:rPr>
                <w:rFonts w:ascii="Century Gothic" w:hAnsi="Century Gothic" w:eastAsia="Calibri" w:cs="Arial"/>
                <w:bCs/>
                <w:lang w:val="es-ES_tradnl"/>
              </w:rPr>
              <w:t xml:space="preserve"> </w:t>
            </w:r>
            <w:r w:rsidRPr="003458C0" w:rsidR="003458C0">
              <w:rPr>
                <w:rFonts w:ascii="Century Gothic" w:hAnsi="Century Gothic" w:cs="Arial"/>
              </w:rPr>
              <w:t xml:space="preserve">MIPYMES – Convocatorias limitadas – Ley </w:t>
            </w:r>
            <w:r w:rsidRPr="002470B8" w:rsidR="003458C0">
              <w:rPr>
                <w:rFonts w:ascii="Century Gothic" w:hAnsi="Century Gothic" w:eastAsia="Calibri" w:cs="Arial"/>
                <w:bCs/>
                <w:lang w:val="es-ES_tradnl"/>
              </w:rPr>
              <w:t>2069 de 2020 – Artículo 34</w:t>
            </w:r>
            <w:r w:rsidR="002470B8">
              <w:rPr>
                <w:rFonts w:ascii="Century Gothic" w:hAnsi="Century Gothic" w:eastAsia="Calibri" w:cs="Arial"/>
                <w:bCs/>
                <w:lang w:val="es-ES_tradnl"/>
              </w:rPr>
              <w:t xml:space="preserve"> </w:t>
            </w:r>
            <w:r w:rsidRPr="002470B8" w:rsidR="003458C0">
              <w:rPr>
                <w:rFonts w:ascii="Century Gothic" w:hAnsi="Century Gothic" w:eastAsia="Calibri" w:cs="Arial"/>
                <w:bCs/>
                <w:lang w:val="es-ES_tradnl"/>
              </w:rPr>
              <w:t>/</w:t>
            </w:r>
            <w:r w:rsidRPr="002470B8" w:rsidR="001143C9">
              <w:rPr>
                <w:rFonts w:ascii="Century Gothic" w:hAnsi="Century Gothic" w:eastAsia="Calibri" w:cs="Arial"/>
                <w:bCs/>
                <w:lang w:val="es-ES_tradnl"/>
              </w:rPr>
              <w:t xml:space="preserve"> </w:t>
            </w:r>
            <w:r w:rsidRPr="00A0593A" w:rsidR="00A0593A">
              <w:rPr>
                <w:rFonts w:ascii="Century Gothic" w:hAnsi="Century Gothic" w:eastAsia="Calibri" w:cs="Arial"/>
                <w:bCs/>
                <w:lang w:val="es-ES_tradnl"/>
              </w:rPr>
              <w:t>MIPYMES – Criterios diferenciales</w:t>
            </w:r>
            <w:r w:rsidR="00DE2F39">
              <w:rPr>
                <w:rFonts w:ascii="Century Gothic" w:hAnsi="Century Gothic" w:eastAsia="Calibri" w:cs="Arial"/>
                <w:bCs/>
                <w:lang w:val="es-ES_tradnl"/>
              </w:rPr>
              <w:t xml:space="preserve"> </w:t>
            </w:r>
            <w:r w:rsidRPr="002470B8" w:rsidR="004C339F">
              <w:rPr>
                <w:rFonts w:ascii="Century Gothic" w:hAnsi="Century Gothic" w:eastAsia="Calibri" w:cs="Arial"/>
                <w:bCs/>
                <w:lang w:val="es-ES_tradnl"/>
              </w:rPr>
              <w:t>/</w:t>
            </w:r>
            <w:r w:rsidRPr="002470B8" w:rsidR="003458C0">
              <w:rPr>
                <w:rFonts w:ascii="Century Gothic" w:hAnsi="Century Gothic" w:eastAsia="Calibri" w:cs="Arial"/>
                <w:bCs/>
                <w:lang w:val="es-ES_tradnl"/>
              </w:rPr>
              <w:t xml:space="preserve"> ESAL</w:t>
            </w:r>
            <w:r w:rsidR="00DE2F39">
              <w:rPr>
                <w:rFonts w:ascii="Century Gothic" w:hAnsi="Century Gothic" w:eastAsia="Calibri" w:cs="Arial"/>
                <w:bCs/>
                <w:lang w:val="es-ES_tradnl"/>
              </w:rPr>
              <w:t xml:space="preserve"> </w:t>
            </w:r>
            <w:r w:rsidRPr="002470B8" w:rsidR="003458C0">
              <w:rPr>
                <w:rFonts w:ascii="Century Gothic" w:hAnsi="Century Gothic" w:eastAsia="Calibri" w:cs="Arial"/>
                <w:bCs/>
                <w:lang w:val="es-ES_tradnl"/>
              </w:rPr>
              <w:t>–</w:t>
            </w:r>
            <w:r w:rsidR="00DE2F39">
              <w:rPr>
                <w:rFonts w:ascii="Century Gothic" w:hAnsi="Century Gothic" w:eastAsia="Calibri" w:cs="Arial"/>
                <w:bCs/>
                <w:lang w:val="es-ES_tradnl"/>
              </w:rPr>
              <w:t xml:space="preserve"> </w:t>
            </w:r>
            <w:r w:rsidRPr="002470B8" w:rsidR="00E22F85">
              <w:rPr>
                <w:rFonts w:ascii="Century Gothic" w:hAnsi="Century Gothic" w:eastAsia="Calibri" w:cs="Arial"/>
                <w:bCs/>
                <w:lang w:val="es-ES_tradnl"/>
              </w:rPr>
              <w:t>Convocatorias limitadas a Mipyme – Imposibilidad – Participación – Reiteración – Excepción</w:t>
            </w:r>
          </w:p>
          <w:p w:rsidRPr="003458C0" w:rsidR="00363751" w:rsidP="007D042C" w:rsidRDefault="00E22F85" w14:paraId="1220EBB5" w14:textId="74621AA6">
            <w:pPr>
              <w:jc w:val="both"/>
              <w:rPr>
                <w:rFonts w:ascii="Century Gothic" w:hAnsi="Century Gothic" w:eastAsia="Calibri" w:cs="Arial"/>
                <w:lang w:val="es-ES" w:eastAsia="es-ES"/>
              </w:rPr>
            </w:pPr>
            <w:r w:rsidRPr="003458C0" w:rsidDel="00E22F85">
              <w:rPr>
                <w:rFonts w:ascii="Century Gothic" w:hAnsi="Century Gothic" w:cs="Arial"/>
              </w:rPr>
              <w:t xml:space="preserve"> </w:t>
            </w:r>
          </w:p>
        </w:tc>
      </w:tr>
      <w:tr w:rsidRPr="00383512" w:rsidR="002034E5" w:rsidTr="007D042C" w14:paraId="0DD7A308" w14:textId="77777777">
        <w:tc>
          <w:tcPr>
            <w:tcW w:w="2689" w:type="dxa"/>
          </w:tcPr>
          <w:p w:rsidRPr="003458C0" w:rsidR="002034E5" w:rsidP="007D042C" w:rsidRDefault="002034E5" w14:paraId="4156462C" w14:textId="77777777">
            <w:pPr>
              <w:jc w:val="both"/>
              <w:rPr>
                <w:rFonts w:ascii="Century Gothic" w:hAnsi="Century Gothic" w:eastAsia="Calibri" w:cs="Arial"/>
                <w:b/>
                <w:color w:val="000000"/>
                <w:lang w:val="es-ES_tradnl" w:eastAsia="es-ES_tradnl"/>
              </w:rPr>
            </w:pPr>
            <w:r w:rsidRPr="003458C0">
              <w:rPr>
                <w:rFonts w:ascii="Century Gothic" w:hAnsi="Century Gothic" w:eastAsia="Calibri" w:cs="Arial"/>
                <w:b/>
                <w:color w:val="000000"/>
                <w:lang w:val="es-ES_tradnl" w:eastAsia="es-ES_tradnl"/>
              </w:rPr>
              <w:t>Radicación:</w:t>
            </w:r>
            <w:r w:rsidRPr="003458C0">
              <w:rPr>
                <w:rFonts w:ascii="Century Gothic" w:hAnsi="Century Gothic" w:eastAsia="Calibri" w:cs="Arial"/>
                <w:color w:val="000000"/>
                <w:lang w:val="es-ES_tradnl" w:eastAsia="es-ES_tradnl"/>
              </w:rPr>
              <w:t xml:space="preserve">               </w:t>
            </w:r>
          </w:p>
        </w:tc>
        <w:tc>
          <w:tcPr>
            <w:tcW w:w="6237" w:type="dxa"/>
          </w:tcPr>
          <w:p w:rsidRPr="003458C0" w:rsidR="002034E5" w:rsidP="007D042C" w:rsidRDefault="002034E5" w14:paraId="25CEE944" w14:textId="79CA6D47">
            <w:pPr>
              <w:jc w:val="both"/>
              <w:rPr>
                <w:rFonts w:ascii="Century Gothic" w:hAnsi="Century Gothic" w:eastAsia="Calibri" w:cs="Arial"/>
                <w:lang w:val="es-ES_tradnl" w:eastAsia="es-ES_tradnl"/>
              </w:rPr>
            </w:pPr>
            <w:r w:rsidRPr="003458C0">
              <w:rPr>
                <w:rFonts w:ascii="Century Gothic" w:hAnsi="Century Gothic" w:eastAsia="Calibri" w:cs="Arial"/>
                <w:lang w:val="es-ES_tradnl" w:eastAsia="es-ES_tradnl"/>
              </w:rPr>
              <w:t xml:space="preserve">Respuesta a consulta con radicado No. </w:t>
            </w:r>
            <w:r w:rsidRPr="003458C0" w:rsidR="003340E6">
              <w:rPr>
                <w:rFonts w:ascii="Century Gothic" w:hAnsi="Century Gothic" w:eastAsia="Calibri" w:cs="Arial"/>
                <w:lang w:val="es-ES_tradnl" w:eastAsia="es-ES_tradnl"/>
              </w:rPr>
              <w:t>P20240503004637</w:t>
            </w:r>
          </w:p>
        </w:tc>
      </w:tr>
    </w:tbl>
    <w:p w:rsidRPr="00383512" w:rsidR="002034E5" w:rsidP="002034E5" w:rsidRDefault="002034E5" w14:paraId="24962EC4" w14:textId="77777777">
      <w:pPr>
        <w:spacing w:after="0" w:line="240" w:lineRule="auto"/>
        <w:jc w:val="both"/>
        <w:rPr>
          <w:rFonts w:ascii="Century Gothic" w:hAnsi="Century Gothic" w:eastAsia="Calibri" w:cs="Arial"/>
          <w:color w:val="000000"/>
          <w:lang w:val="es-ES_tradnl" w:eastAsia="es-ES_tradnl"/>
        </w:rPr>
      </w:pPr>
    </w:p>
    <w:p w:rsidRPr="00383512" w:rsidR="002034E5" w:rsidP="002034E5" w:rsidRDefault="002034E5" w14:paraId="308CEC45" w14:textId="222225BD">
      <w:pPr>
        <w:spacing w:after="0" w:line="276" w:lineRule="auto"/>
        <w:jc w:val="both"/>
        <w:rPr>
          <w:rFonts w:ascii="Century Gothic" w:hAnsi="Century Gothic" w:eastAsia="Calibri" w:cs="Arial"/>
          <w:lang w:val="es-ES" w:eastAsia="es-ES"/>
        </w:rPr>
      </w:pPr>
      <w:r w:rsidRPr="00383512">
        <w:rPr>
          <w:rFonts w:ascii="Century Gothic" w:hAnsi="Century Gothic" w:eastAsia="Calibri" w:cs="Arial"/>
          <w:lang w:val="es-ES" w:eastAsia="es-ES"/>
        </w:rPr>
        <w:t>Estimad</w:t>
      </w:r>
      <w:r w:rsidR="00C46297">
        <w:rPr>
          <w:rFonts w:ascii="Century Gothic" w:hAnsi="Century Gothic" w:eastAsia="Calibri" w:cs="Arial"/>
          <w:lang w:val="es-ES" w:eastAsia="es-ES"/>
        </w:rPr>
        <w:t xml:space="preserve">a </w:t>
      </w:r>
      <w:r w:rsidR="00675023">
        <w:rPr>
          <w:rFonts w:ascii="Century Gothic" w:hAnsi="Century Gothic" w:eastAsia="Calibri" w:cs="Arial"/>
          <w:lang w:val="es-ES" w:eastAsia="es-ES"/>
        </w:rPr>
        <w:t xml:space="preserve">señora </w:t>
      </w:r>
      <w:r w:rsidR="00C46297">
        <w:rPr>
          <w:rFonts w:ascii="Century Gothic" w:hAnsi="Century Gothic" w:eastAsia="Calibri" w:cs="Arial"/>
          <w:lang w:val="es-ES" w:eastAsia="es-ES"/>
        </w:rPr>
        <w:t>Karen</w:t>
      </w:r>
      <w:r w:rsidRPr="00383512">
        <w:rPr>
          <w:rFonts w:ascii="Century Gothic" w:hAnsi="Century Gothic" w:eastAsia="Calibri" w:cs="Arial"/>
          <w:lang w:val="es-ES" w:eastAsia="es-ES"/>
        </w:rPr>
        <w:t xml:space="preserve">: </w:t>
      </w:r>
    </w:p>
    <w:p w:rsidRPr="00383512" w:rsidR="002034E5" w:rsidP="002034E5" w:rsidRDefault="002034E5" w14:paraId="2950EF74" w14:textId="77777777">
      <w:pPr>
        <w:spacing w:after="0" w:line="276" w:lineRule="auto"/>
        <w:jc w:val="both"/>
        <w:rPr>
          <w:rFonts w:ascii="Century Gothic" w:hAnsi="Century Gothic" w:eastAsia="Calibri" w:cs="Arial"/>
          <w:color w:val="000000"/>
          <w:lang w:val="es-ES_tradnl" w:eastAsia="es-ES_tradnl"/>
        </w:rPr>
      </w:pPr>
    </w:p>
    <w:p w:rsidRPr="00383512" w:rsidR="002034E5" w:rsidP="002034E5" w:rsidRDefault="002034E5" w14:paraId="20FF0D8F" w14:textId="0EAE9B13">
      <w:pPr>
        <w:spacing w:after="0" w:line="276" w:lineRule="auto"/>
        <w:jc w:val="both"/>
        <w:rPr>
          <w:rFonts w:ascii="Century Gothic" w:hAnsi="Century Gothic" w:eastAsia="Calibri" w:cs="Arial"/>
          <w:color w:val="000000" w:themeColor="text1"/>
          <w:lang w:val="es-ES" w:eastAsia="es-ES"/>
        </w:rPr>
      </w:pPr>
      <w:r w:rsidRPr="00383512">
        <w:rPr>
          <w:rFonts w:ascii="Century Gothic" w:hAnsi="Century Gothic" w:eastAsia="Calibri" w:cs="Arial"/>
          <w:color w:val="000000" w:themeColor="text1"/>
          <w:lang w:val="es-ES" w:eastAsia="es-ES"/>
        </w:rPr>
        <w:t xml:space="preserve">En ejercicio de la competencia otorgada por el numeral 8 del artículo 11 y el numeral 5 del artículo 3 del Decreto Ley 4170 de 2011, la Agencia Nacional de Contratación Pública ― Colombia Compra Eficiente responde su consulta del </w:t>
      </w:r>
      <w:r w:rsidR="00C46297">
        <w:rPr>
          <w:rFonts w:ascii="Century Gothic" w:hAnsi="Century Gothic" w:eastAsia="Calibri" w:cs="Arial"/>
          <w:color w:val="000000" w:themeColor="text1"/>
          <w:lang w:val="es-ES" w:eastAsia="es-ES"/>
        </w:rPr>
        <w:t>03</w:t>
      </w:r>
      <w:r w:rsidRPr="00383512">
        <w:rPr>
          <w:rFonts w:ascii="Century Gothic" w:hAnsi="Century Gothic" w:eastAsia="Calibri" w:cs="Arial"/>
          <w:color w:val="000000" w:themeColor="text1"/>
          <w:lang w:val="es-ES" w:eastAsia="es-ES"/>
        </w:rPr>
        <w:t xml:space="preserve"> de </w:t>
      </w:r>
      <w:r w:rsidR="00C46297">
        <w:rPr>
          <w:rFonts w:ascii="Century Gothic" w:hAnsi="Century Gothic" w:eastAsia="Calibri" w:cs="Arial"/>
          <w:color w:val="000000" w:themeColor="text1"/>
          <w:lang w:val="es-ES" w:eastAsia="es-ES"/>
        </w:rPr>
        <w:t>mayo</w:t>
      </w:r>
      <w:r w:rsidRPr="00383512">
        <w:rPr>
          <w:rFonts w:ascii="Century Gothic" w:hAnsi="Century Gothic" w:eastAsia="Calibri" w:cs="Arial"/>
          <w:color w:val="000000" w:themeColor="text1"/>
          <w:lang w:val="es-ES" w:eastAsia="es-ES"/>
        </w:rPr>
        <w:t xml:space="preserve"> de 2024.</w:t>
      </w:r>
    </w:p>
    <w:p w:rsidRPr="00383512" w:rsidR="002034E5" w:rsidP="002034E5" w:rsidRDefault="002034E5" w14:paraId="73B7E74F" w14:textId="77777777">
      <w:pPr>
        <w:spacing w:after="0" w:line="276" w:lineRule="auto"/>
        <w:jc w:val="both"/>
        <w:rPr>
          <w:rFonts w:ascii="Century Gothic" w:hAnsi="Century Gothic" w:eastAsia="Calibri" w:cs="Arial"/>
          <w:color w:val="000000"/>
          <w:lang w:val="es-ES_tradnl" w:eastAsia="es-ES_tradnl"/>
        </w:rPr>
      </w:pPr>
    </w:p>
    <w:p w:rsidRPr="00383512" w:rsidR="002034E5" w:rsidP="002034E5" w:rsidRDefault="002034E5" w14:paraId="7131C306" w14:textId="77777777">
      <w:pPr>
        <w:pStyle w:val="Prrafodelista"/>
        <w:numPr>
          <w:ilvl w:val="0"/>
          <w:numId w:val="6"/>
        </w:numPr>
        <w:spacing w:after="0" w:line="276" w:lineRule="auto"/>
        <w:ind w:left="284" w:hanging="284"/>
        <w:jc w:val="both"/>
        <w:rPr>
          <w:rFonts w:ascii="Century Gothic" w:hAnsi="Century Gothic" w:eastAsia="Calibri" w:cs="Arial"/>
          <w:lang w:eastAsia="es-ES"/>
        </w:rPr>
      </w:pPr>
      <w:r w:rsidRPr="00383512">
        <w:rPr>
          <w:rFonts w:ascii="Century Gothic" w:hAnsi="Century Gothic" w:eastAsia="Calibri" w:cs="Arial"/>
          <w:b/>
          <w:bCs/>
          <w:lang w:eastAsia="es-ES"/>
        </w:rPr>
        <w:t>Problema planteado</w:t>
      </w:r>
    </w:p>
    <w:p w:rsidRPr="00383512" w:rsidR="002034E5" w:rsidP="002034E5" w:rsidRDefault="002034E5" w14:paraId="1D13AACD" w14:textId="77777777">
      <w:pPr>
        <w:spacing w:after="0" w:line="276" w:lineRule="auto"/>
        <w:jc w:val="both"/>
        <w:rPr>
          <w:rFonts w:ascii="Century Gothic" w:hAnsi="Century Gothic" w:eastAsia="Calibri" w:cs="Arial"/>
          <w:lang w:val="es-ES" w:eastAsia="es-ES"/>
        </w:rPr>
      </w:pPr>
    </w:p>
    <w:p w:rsidRPr="00383512" w:rsidR="002034E5" w:rsidP="002034E5" w:rsidRDefault="002034E5" w14:paraId="168C4A6D" w14:textId="77777777">
      <w:pPr>
        <w:spacing w:after="0" w:line="276" w:lineRule="auto"/>
        <w:jc w:val="both"/>
        <w:rPr>
          <w:rFonts w:ascii="Century Gothic" w:hAnsi="Century Gothic" w:eastAsia="Calibri" w:cs="Arial"/>
          <w:color w:val="000000" w:themeColor="text1"/>
          <w:lang w:val="es-ES" w:eastAsia="es-ES"/>
        </w:rPr>
      </w:pPr>
      <w:r w:rsidRPr="00383512">
        <w:rPr>
          <w:rFonts w:ascii="Century Gothic" w:hAnsi="Century Gothic" w:eastAsia="Calibri" w:cs="Arial"/>
          <w:color w:val="000000" w:themeColor="text1"/>
          <w:lang w:val="es-ES" w:eastAsia="es-ES"/>
        </w:rPr>
        <w:t>Usted formula la siguiente consulta sobre la limitación de convocatoria</w:t>
      </w:r>
      <w:r>
        <w:rPr>
          <w:rFonts w:ascii="Century Gothic" w:hAnsi="Century Gothic" w:eastAsia="Calibri" w:cs="Arial"/>
          <w:color w:val="000000" w:themeColor="text1"/>
          <w:lang w:val="es-ES" w:eastAsia="es-ES"/>
        </w:rPr>
        <w:t>s</w:t>
      </w:r>
      <w:r w:rsidRPr="00383512">
        <w:rPr>
          <w:rFonts w:ascii="Century Gothic" w:hAnsi="Century Gothic" w:eastAsia="Calibri" w:cs="Arial"/>
          <w:color w:val="000000" w:themeColor="text1"/>
          <w:lang w:val="es-ES" w:eastAsia="es-ES"/>
        </w:rPr>
        <w:t xml:space="preserve"> a Mipymes</w:t>
      </w:r>
      <w:r>
        <w:rPr>
          <w:rFonts w:ascii="Century Gothic" w:hAnsi="Century Gothic" w:eastAsia="Calibri" w:cs="Arial"/>
          <w:color w:val="000000" w:themeColor="text1"/>
          <w:lang w:val="es-ES" w:eastAsia="es-ES"/>
        </w:rPr>
        <w:t xml:space="preserve"> </w:t>
      </w:r>
      <w:r w:rsidRPr="00383512">
        <w:rPr>
          <w:rFonts w:ascii="Century Gothic" w:hAnsi="Century Gothic" w:eastAsia="Calibri" w:cs="Arial"/>
          <w:color w:val="000000" w:themeColor="text1"/>
          <w:lang w:val="es-ES" w:eastAsia="es-ES"/>
        </w:rPr>
        <w:t>de la siguiente manera:</w:t>
      </w:r>
    </w:p>
    <w:p w:rsidRPr="00383512" w:rsidR="002034E5" w:rsidP="002034E5" w:rsidRDefault="002034E5" w14:paraId="1F0FE3CF" w14:textId="77777777">
      <w:pPr>
        <w:spacing w:after="0" w:line="240" w:lineRule="auto"/>
        <w:ind w:left="709" w:right="709"/>
        <w:jc w:val="both"/>
        <w:rPr>
          <w:rFonts w:ascii="Century Gothic" w:hAnsi="Century Gothic" w:eastAsia="Calibri" w:cs="Arial"/>
          <w:sz w:val="20"/>
          <w:szCs w:val="20"/>
          <w:lang w:val="es-ES" w:eastAsia="es-ES"/>
        </w:rPr>
      </w:pPr>
    </w:p>
    <w:p w:rsidRPr="00E03F69" w:rsidR="00C46297" w:rsidP="00E03F69" w:rsidRDefault="002034E5" w14:paraId="3F0D46F9" w14:textId="5F6214AE">
      <w:pPr>
        <w:spacing w:after="0" w:line="240" w:lineRule="auto"/>
        <w:ind w:left="709" w:right="900"/>
        <w:jc w:val="both"/>
        <w:rPr>
          <w:rFonts w:ascii="Century Gothic" w:hAnsi="Century Gothic" w:eastAsia="Calibri" w:cs="Arial"/>
          <w:sz w:val="20"/>
          <w:szCs w:val="20"/>
          <w:lang w:val="es-ES" w:eastAsia="es-ES"/>
        </w:rPr>
      </w:pPr>
      <w:r w:rsidRPr="00BD1790">
        <w:rPr>
          <w:rFonts w:ascii="Century Gothic" w:hAnsi="Century Gothic" w:eastAsia="Calibri" w:cs="Arial"/>
          <w:sz w:val="21"/>
          <w:szCs w:val="21"/>
          <w:lang w:val="es-ES" w:eastAsia="es-ES"/>
        </w:rPr>
        <w:t>“</w:t>
      </w:r>
      <w:r w:rsidRPr="00E03F69" w:rsidR="00C46297">
        <w:rPr>
          <w:rFonts w:ascii="Century Gothic" w:hAnsi="Century Gothic" w:eastAsia="Calibri" w:cs="Arial"/>
          <w:sz w:val="20"/>
          <w:szCs w:val="20"/>
          <w:lang w:val="es-ES" w:eastAsia="es-ES"/>
        </w:rPr>
        <w:t>1. Una ESAL o entidad sin ánimo de Lucro (Fundaciones), inscrita en el certificado de existencia y representación legal con objeto social y tamaño empresarial, ¿puede solicitar y participar en convocatoria limitadas a</w:t>
      </w:r>
      <w:r w:rsidR="00AF7662">
        <w:rPr>
          <w:rFonts w:ascii="Century Gothic" w:hAnsi="Century Gothic" w:eastAsia="Calibri" w:cs="Arial"/>
          <w:sz w:val="20"/>
          <w:szCs w:val="20"/>
          <w:lang w:val="es-ES" w:eastAsia="es-ES"/>
        </w:rPr>
        <w:t xml:space="preserve"> </w:t>
      </w:r>
      <w:r w:rsidRPr="00E03F69" w:rsidR="00C46297">
        <w:rPr>
          <w:rFonts w:ascii="Century Gothic" w:hAnsi="Century Gothic" w:eastAsia="Calibri" w:cs="Arial"/>
          <w:sz w:val="20"/>
          <w:szCs w:val="20"/>
          <w:lang w:val="es-ES" w:eastAsia="es-ES"/>
        </w:rPr>
        <w:t>MIPYMES?</w:t>
      </w:r>
    </w:p>
    <w:p w:rsidRPr="00E03F69" w:rsidR="00C46297" w:rsidP="00E03F69" w:rsidRDefault="00C46297" w14:paraId="0699CEF8" w14:textId="77777777">
      <w:pPr>
        <w:spacing w:after="0" w:line="240" w:lineRule="auto"/>
        <w:ind w:left="709" w:right="900"/>
        <w:jc w:val="both"/>
        <w:rPr>
          <w:rFonts w:ascii="Century Gothic" w:hAnsi="Century Gothic" w:eastAsia="Calibri" w:cs="Arial"/>
          <w:sz w:val="20"/>
          <w:szCs w:val="20"/>
          <w:lang w:val="es-ES" w:eastAsia="es-ES"/>
        </w:rPr>
      </w:pPr>
    </w:p>
    <w:p w:rsidRPr="00E03F69" w:rsidR="00C46297" w:rsidP="00E03F69" w:rsidRDefault="00C46297" w14:paraId="7B68912D" w14:textId="44A0C448">
      <w:pPr>
        <w:spacing w:after="0" w:line="240" w:lineRule="auto"/>
        <w:ind w:left="709" w:right="900"/>
        <w:jc w:val="both"/>
        <w:rPr>
          <w:rFonts w:ascii="Century Gothic" w:hAnsi="Century Gothic" w:eastAsia="Calibri" w:cs="Arial"/>
          <w:sz w:val="20"/>
          <w:szCs w:val="20"/>
          <w:lang w:val="es-ES" w:eastAsia="es-ES"/>
        </w:rPr>
      </w:pPr>
      <w:r w:rsidRPr="00E03F69">
        <w:rPr>
          <w:rFonts w:ascii="Century Gothic" w:hAnsi="Century Gothic" w:eastAsia="Calibri" w:cs="Arial"/>
          <w:sz w:val="20"/>
          <w:szCs w:val="20"/>
          <w:lang w:val="es-ES" w:eastAsia="es-ES"/>
        </w:rPr>
        <w:t>2. Si la respuesta es afirmativa, ¿Qué herramientas jurídicas tiene la entidad</w:t>
      </w:r>
    </w:p>
    <w:p w:rsidRPr="00E03F69" w:rsidR="00C46297" w:rsidP="00E03F69" w:rsidRDefault="00C46297" w14:paraId="3E189674" w14:textId="1894EB07">
      <w:pPr>
        <w:spacing w:after="0" w:line="240" w:lineRule="auto"/>
        <w:ind w:left="709" w:right="900"/>
        <w:jc w:val="both"/>
        <w:rPr>
          <w:rFonts w:ascii="Century Gothic" w:hAnsi="Century Gothic" w:eastAsia="Calibri" w:cs="Arial"/>
          <w:sz w:val="20"/>
          <w:szCs w:val="20"/>
          <w:lang w:val="es-ES" w:eastAsia="es-ES"/>
        </w:rPr>
      </w:pPr>
      <w:r w:rsidRPr="00E03F69">
        <w:rPr>
          <w:rFonts w:ascii="Century Gothic" w:hAnsi="Century Gothic" w:eastAsia="Calibri" w:cs="Arial"/>
          <w:sz w:val="20"/>
          <w:szCs w:val="20"/>
          <w:lang w:val="es-ES" w:eastAsia="es-ES"/>
        </w:rPr>
        <w:t>estatal para rechazar una solicitud de limitación o propuesta de una Fundación que cumple con cada uno de los requisitos de acreditación establecidos en el decreto 1860/2021 ARTÍCULO 2.2.1.2.4.2.4. en caso de limitar el proceso a Mipyme?</w:t>
      </w:r>
    </w:p>
    <w:p w:rsidRPr="00E03F69" w:rsidR="00C46297" w:rsidP="00E03F69" w:rsidRDefault="00C46297" w14:paraId="5181F2BA" w14:textId="77777777">
      <w:pPr>
        <w:spacing w:after="0" w:line="240" w:lineRule="auto"/>
        <w:ind w:left="709" w:right="900"/>
        <w:jc w:val="both"/>
        <w:rPr>
          <w:rFonts w:ascii="Century Gothic" w:hAnsi="Century Gothic" w:eastAsia="Calibri" w:cs="Arial"/>
          <w:sz w:val="20"/>
          <w:szCs w:val="20"/>
          <w:lang w:val="es-ES" w:eastAsia="es-ES"/>
        </w:rPr>
      </w:pPr>
    </w:p>
    <w:p w:rsidRPr="00E03F69" w:rsidR="00C46297" w:rsidP="00E03F69" w:rsidRDefault="00C46297" w14:paraId="32755DB3" w14:textId="714E2D0C">
      <w:pPr>
        <w:spacing w:after="0" w:line="240" w:lineRule="auto"/>
        <w:ind w:left="709" w:right="900"/>
        <w:jc w:val="both"/>
        <w:rPr>
          <w:rFonts w:ascii="Century Gothic" w:hAnsi="Century Gothic" w:eastAsia="Calibri" w:cs="Arial"/>
          <w:sz w:val="20"/>
          <w:szCs w:val="20"/>
          <w:lang w:val="es-ES" w:eastAsia="es-ES"/>
        </w:rPr>
      </w:pPr>
      <w:r w:rsidRPr="00E03F69">
        <w:rPr>
          <w:rFonts w:ascii="Century Gothic" w:hAnsi="Century Gothic" w:eastAsia="Calibri" w:cs="Arial"/>
          <w:sz w:val="20"/>
          <w:szCs w:val="20"/>
          <w:lang w:val="es-ES" w:eastAsia="es-ES"/>
        </w:rPr>
        <w:t>3. ¿Cómo debe proceder una entidad estatal para no permitir que una ESAL – Fundación, participe como Mipyme para obtener el puntaje, en el entendido que el certificado de existencia y representación legal y RUP establece esta condición y según la normativa indica, estos son documentos idóneos para acreditar la calidad de Mipyme?</w:t>
      </w:r>
    </w:p>
    <w:p w:rsidRPr="00E03F69" w:rsidR="00C43CDD" w:rsidP="00E03F69" w:rsidRDefault="00C43CDD" w14:paraId="4AA598CD" w14:textId="77777777">
      <w:pPr>
        <w:spacing w:after="0" w:line="240" w:lineRule="auto"/>
        <w:ind w:left="709" w:right="900"/>
        <w:jc w:val="both"/>
        <w:rPr>
          <w:rFonts w:ascii="Century Gothic" w:hAnsi="Century Gothic" w:eastAsia="Calibri" w:cs="Arial"/>
          <w:sz w:val="20"/>
          <w:szCs w:val="20"/>
          <w:lang w:val="es-ES" w:eastAsia="es-ES"/>
        </w:rPr>
      </w:pPr>
    </w:p>
    <w:p w:rsidRPr="00BD1790" w:rsidR="002034E5" w:rsidP="00E03F69" w:rsidRDefault="00C46297" w14:paraId="197BFA9D" w14:textId="6269894A">
      <w:pPr>
        <w:spacing w:after="0" w:line="240" w:lineRule="auto"/>
        <w:ind w:left="709" w:right="900"/>
        <w:jc w:val="both"/>
        <w:rPr>
          <w:rFonts w:ascii="Century Gothic" w:hAnsi="Century Gothic" w:eastAsia="Calibri" w:cs="Arial"/>
          <w:sz w:val="21"/>
          <w:szCs w:val="21"/>
          <w:lang w:val="es-ES" w:eastAsia="es-ES"/>
        </w:rPr>
      </w:pPr>
      <w:r w:rsidRPr="00E03F69">
        <w:rPr>
          <w:rFonts w:ascii="Century Gothic" w:hAnsi="Century Gothic" w:eastAsia="Calibri" w:cs="Arial"/>
          <w:sz w:val="20"/>
          <w:szCs w:val="20"/>
          <w:lang w:val="es-ES" w:eastAsia="es-ES"/>
        </w:rPr>
        <w:t xml:space="preserve">4. ¿Puede la entidad estatal de forma autónoma y basada en precedentes,  decidir si acepta o no la solicitud de limitar a Mipyme y posterior participación de este tipo de ESAL en un proceso de contratación, diferentes a los establecidos en el decreto 092/2017? </w:t>
      </w:r>
      <w:r w:rsidRPr="00E03F69" w:rsidR="002034E5">
        <w:rPr>
          <w:rFonts w:ascii="Century Gothic" w:hAnsi="Century Gothic" w:eastAsia="Calibri" w:cs="Arial"/>
          <w:sz w:val="20"/>
          <w:szCs w:val="20"/>
          <w:lang w:val="es-ES" w:eastAsia="es-ES"/>
        </w:rPr>
        <w:t>[…]”</w:t>
      </w:r>
      <w:r w:rsidRPr="00BD1790" w:rsidR="002034E5">
        <w:rPr>
          <w:rFonts w:ascii="Century Gothic" w:hAnsi="Century Gothic" w:eastAsia="Calibri" w:cs="Arial"/>
          <w:sz w:val="21"/>
          <w:szCs w:val="21"/>
          <w:lang w:val="es-ES" w:eastAsia="es-ES"/>
        </w:rPr>
        <w:t xml:space="preserve"> (SIC)</w:t>
      </w:r>
    </w:p>
    <w:p w:rsidRPr="00383512" w:rsidR="002034E5" w:rsidP="002034E5" w:rsidRDefault="002034E5" w14:paraId="444A0910" w14:textId="77777777">
      <w:pPr>
        <w:spacing w:after="0" w:line="276" w:lineRule="auto"/>
        <w:jc w:val="both"/>
        <w:rPr>
          <w:rFonts w:ascii="Century Gothic" w:hAnsi="Century Gothic" w:eastAsia="Calibri" w:cs="Arial"/>
          <w:lang w:val="es-ES_tradnl" w:eastAsia="es-ES_tradnl"/>
        </w:rPr>
      </w:pPr>
    </w:p>
    <w:p w:rsidRPr="00383512" w:rsidR="002034E5" w:rsidP="002034E5" w:rsidRDefault="002034E5" w14:paraId="674A9535" w14:textId="77777777">
      <w:pPr>
        <w:pStyle w:val="Prrafodelista"/>
        <w:numPr>
          <w:ilvl w:val="0"/>
          <w:numId w:val="6"/>
        </w:numPr>
        <w:spacing w:after="120" w:line="276" w:lineRule="auto"/>
        <w:ind w:left="284" w:hanging="284"/>
        <w:jc w:val="both"/>
        <w:rPr>
          <w:rFonts w:ascii="Century Gothic" w:hAnsi="Century Gothic" w:eastAsia="Calibri" w:cs="Arial"/>
          <w:color w:val="000000"/>
          <w:lang w:val="es-ES_tradnl" w:eastAsia="es-ES_tradnl"/>
        </w:rPr>
      </w:pPr>
      <w:r w:rsidRPr="00383512">
        <w:rPr>
          <w:rFonts w:ascii="Century Gothic" w:hAnsi="Century Gothic" w:eastAsia="Calibri" w:cs="Arial"/>
          <w:b/>
          <w:bCs/>
          <w:lang w:eastAsia="es-ES"/>
        </w:rPr>
        <w:t>Consideraciones</w:t>
      </w:r>
      <w:r w:rsidRPr="00383512">
        <w:rPr>
          <w:rFonts w:ascii="Century Gothic" w:hAnsi="Century Gothic" w:eastAsia="Calibri" w:cs="Arial"/>
          <w:color w:val="000000"/>
          <w:lang w:val="es-ES_tradnl" w:eastAsia="es-ES_tradnl"/>
        </w:rPr>
        <w:tab/>
      </w:r>
    </w:p>
    <w:p w:rsidRPr="00383512" w:rsidR="002034E5" w:rsidP="002034E5" w:rsidRDefault="002034E5" w14:paraId="334B0FC3" w14:textId="77777777">
      <w:pPr>
        <w:spacing w:after="120" w:line="276" w:lineRule="auto"/>
        <w:jc w:val="both"/>
        <w:rPr>
          <w:rFonts w:ascii="Century Gothic" w:hAnsi="Century Gothic" w:eastAsia="Calibri" w:cs="Arial"/>
          <w:color w:val="000000" w:themeColor="text1"/>
          <w:lang w:val="es-ES" w:eastAsia="es-ES"/>
        </w:rPr>
      </w:pPr>
      <w:r w:rsidRPr="00383512">
        <w:rPr>
          <w:rFonts w:ascii="Century Gothic" w:hAnsi="Century Gothic" w:eastAsia="Calibri" w:cs="Arial"/>
          <w:color w:val="000000" w:themeColor="text1"/>
          <w:lang w:val="es-ES" w:eastAsia="es-ES"/>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w:t>
      </w:r>
    </w:p>
    <w:p w:rsidRPr="00383512" w:rsidR="002034E5" w:rsidP="002034E5" w:rsidRDefault="002034E5" w14:paraId="61A868D4" w14:textId="77777777">
      <w:pPr>
        <w:spacing w:after="120" w:line="276" w:lineRule="auto"/>
        <w:ind w:firstLine="708"/>
        <w:jc w:val="both"/>
        <w:rPr>
          <w:rFonts w:ascii="Century Gothic" w:hAnsi="Century Gothic" w:eastAsia="Calibri" w:cs="Arial"/>
          <w:color w:val="000000" w:themeColor="text1"/>
          <w:lang w:val="es-ES" w:eastAsia="es-ES"/>
        </w:rPr>
      </w:pPr>
      <w:r w:rsidRPr="00383512">
        <w:rPr>
          <w:rFonts w:ascii="Century Gothic" w:hAnsi="Century Gothic" w:eastAsia="Calibri" w:cs="Arial"/>
          <w:color w:val="000000" w:themeColor="text1"/>
          <w:lang w:val="es-ES"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rsidRPr="00383512" w:rsidR="002034E5" w:rsidP="002034E5" w:rsidRDefault="002034E5" w14:paraId="14CA87AD" w14:textId="77777777">
      <w:pPr>
        <w:spacing w:after="120" w:line="276" w:lineRule="auto"/>
        <w:ind w:firstLine="708"/>
        <w:jc w:val="both"/>
        <w:rPr>
          <w:rFonts w:ascii="Century Gothic" w:hAnsi="Century Gothic" w:eastAsia="Calibri" w:cs="Arial"/>
          <w:color w:val="000000" w:themeColor="text1"/>
          <w:lang w:val="es-ES" w:eastAsia="es-ES"/>
        </w:rPr>
      </w:pPr>
      <w:r w:rsidRPr="00383512">
        <w:rPr>
          <w:rFonts w:ascii="Century Gothic" w:hAnsi="Century Gothic" w:eastAsia="Calibri" w:cs="Arial"/>
          <w:color w:val="000000" w:themeColor="text1"/>
          <w:lang w:val="es-ES" w:eastAsia="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383512">
        <w:rPr>
          <w:rFonts w:ascii="Century Gothic" w:hAnsi="Century Gothic" w:eastAsia="Calibri" w:cs="Arial"/>
          <w:color w:val="000000" w:themeColor="text1"/>
          <w:lang w:val="es-ES" w:eastAsia="es-ES"/>
        </w:rPr>
        <w:t>contratación pública</w:t>
      </w:r>
      <w:r w:rsidRPr="00383512">
        <w:rPr>
          <w:rStyle w:val="Refdenotaalpie"/>
          <w:rFonts w:ascii="Century Gothic" w:hAnsi="Century Gothic" w:eastAsia="Calibri" w:cs="Arial"/>
          <w:color w:val="000000" w:themeColor="text1"/>
          <w:lang w:val="es-ES" w:eastAsia="es-ES"/>
        </w:rPr>
        <w:footnoteReference w:id="2"/>
      </w:r>
      <w:r w:rsidRPr="00383512">
        <w:rPr>
          <w:rFonts w:ascii="Century Gothic" w:hAnsi="Century Gothic" w:eastAsia="Calibri" w:cs="Arial"/>
          <w:color w:val="000000" w:themeColor="text1"/>
          <w:lang w:val="es-ES" w:eastAsia="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rsidRPr="00383512" w:rsidR="002034E5" w:rsidP="002034E5" w:rsidRDefault="002034E5" w14:paraId="38C3B896" w14:textId="2F28144A">
      <w:pPr>
        <w:spacing w:after="120" w:line="276" w:lineRule="auto"/>
        <w:ind w:firstLine="708"/>
        <w:jc w:val="both"/>
        <w:rPr>
          <w:rFonts w:ascii="Century Gothic" w:hAnsi="Century Gothic" w:eastAsia="Calibri" w:cs="Arial"/>
          <w:color w:val="000000"/>
          <w:lang w:val="es-ES" w:eastAsia="es-ES"/>
        </w:rPr>
      </w:pPr>
      <w:r w:rsidRPr="00383512">
        <w:rPr>
          <w:rFonts w:ascii="Century Gothic" w:hAnsi="Century Gothic" w:eastAsia="Calibri" w:cs="Arial"/>
          <w:color w:val="000000"/>
          <w:lang w:val="es-ES" w:eastAsia="es-ES"/>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w:t>
      </w:r>
      <w:r w:rsidRPr="00086C4D">
        <w:rPr>
          <w:rFonts w:ascii="Century Gothic" w:hAnsi="Century Gothic" w:eastAsia="Calibri" w:cs="Arial"/>
          <w:color w:val="000000"/>
          <w:lang w:val="es-ES" w:eastAsia="es-ES"/>
        </w:rPr>
        <w:t>i) regulación de las convocatorias limitadas a Mipymes en la Ley 2069 de 2020 y el Decreto 1860 de 2021</w:t>
      </w:r>
      <w:r w:rsidRPr="00BA3E7E">
        <w:rPr>
          <w:rFonts w:ascii="Century Gothic" w:hAnsi="Century Gothic" w:eastAsia="Calibri" w:cs="Arial"/>
          <w:color w:val="000000"/>
          <w:lang w:val="es-ES" w:eastAsia="es-ES"/>
        </w:rPr>
        <w:t xml:space="preserve">; </w:t>
      </w:r>
      <w:proofErr w:type="spellStart"/>
      <w:r w:rsidRPr="00BC10E2" w:rsidR="007C17A5">
        <w:rPr>
          <w:rFonts w:ascii="Century Gothic" w:hAnsi="Century Gothic" w:eastAsia="Calibri" w:cs="Arial"/>
          <w:color w:val="000000"/>
          <w:lang w:val="es-ES" w:eastAsia="es-ES"/>
        </w:rPr>
        <w:t>ii</w:t>
      </w:r>
      <w:proofErr w:type="spellEnd"/>
      <w:r w:rsidRPr="00BC10E2" w:rsidR="007C17A5">
        <w:rPr>
          <w:rFonts w:ascii="Century Gothic" w:hAnsi="Century Gothic" w:eastAsia="Calibri" w:cs="Arial"/>
          <w:color w:val="000000"/>
          <w:lang w:val="es-ES" w:eastAsia="es-ES"/>
        </w:rPr>
        <w:t xml:space="preserve">) </w:t>
      </w:r>
      <w:r w:rsidRPr="00BC10E2" w:rsidR="003B6864">
        <w:rPr>
          <w:rFonts w:ascii="Century Gothic" w:hAnsi="Century Gothic" w:eastAsia="Calibri" w:cs="Arial"/>
          <w:color w:val="000000" w:themeColor="text1"/>
          <w:lang w:val="es-ES" w:eastAsia="es-ES_tradnl"/>
        </w:rPr>
        <w:t xml:space="preserve">criterios diferenciales </w:t>
      </w:r>
      <w:r w:rsidRPr="00BC10E2" w:rsidR="00321994">
        <w:rPr>
          <w:rFonts w:ascii="Century Gothic" w:hAnsi="Century Gothic" w:eastAsia="Calibri" w:cs="Arial"/>
          <w:color w:val="000000" w:themeColor="text1"/>
          <w:lang w:val="es-ES" w:eastAsia="es-ES_tradnl"/>
        </w:rPr>
        <w:t xml:space="preserve">a </w:t>
      </w:r>
      <w:r w:rsidRPr="00BC10E2" w:rsidR="00321994">
        <w:rPr>
          <w:rFonts w:ascii="Century Gothic" w:hAnsi="Century Gothic" w:eastAsia="Calibri" w:cs="Arial"/>
          <w:color w:val="000000"/>
          <w:lang w:val="es-ES" w:eastAsia="es-ES"/>
        </w:rPr>
        <w:t>Mipymes</w:t>
      </w:r>
      <w:r w:rsidRPr="00BC10E2" w:rsidR="00321994">
        <w:rPr>
          <w:rFonts w:ascii="Century Gothic" w:hAnsi="Century Gothic" w:eastAsia="Calibri" w:cs="Arial"/>
          <w:color w:val="000000" w:themeColor="text1"/>
          <w:lang w:val="es-ES" w:eastAsia="es-ES_tradnl"/>
        </w:rPr>
        <w:t xml:space="preserve"> </w:t>
      </w:r>
      <w:r w:rsidRPr="00BC10E2" w:rsidR="003B6864">
        <w:rPr>
          <w:rFonts w:ascii="Century Gothic" w:hAnsi="Century Gothic" w:eastAsia="Calibri" w:cs="Arial"/>
          <w:color w:val="000000" w:themeColor="text1"/>
          <w:lang w:val="es-ES" w:eastAsia="es-ES_tradnl"/>
        </w:rPr>
        <w:t>y su reglamentación</w:t>
      </w:r>
      <w:r w:rsidRPr="00BC10E2">
        <w:rPr>
          <w:rFonts w:ascii="Century Gothic" w:hAnsi="Century Gothic" w:eastAsia="Calibri" w:cs="Arial"/>
          <w:color w:val="000000"/>
          <w:lang w:val="es-ES" w:eastAsia="es-ES"/>
        </w:rPr>
        <w:t xml:space="preserve"> y </w:t>
      </w:r>
      <w:proofErr w:type="spellStart"/>
      <w:r w:rsidRPr="00BC10E2">
        <w:rPr>
          <w:rFonts w:ascii="Century Gothic" w:hAnsi="Century Gothic" w:eastAsia="Calibri" w:cs="Arial"/>
          <w:color w:val="000000"/>
          <w:lang w:val="es-ES" w:eastAsia="es-ES"/>
        </w:rPr>
        <w:t>ii</w:t>
      </w:r>
      <w:proofErr w:type="spellEnd"/>
      <w:r w:rsidRPr="00BC10E2">
        <w:rPr>
          <w:rFonts w:ascii="Century Gothic" w:hAnsi="Century Gothic" w:eastAsia="Calibri" w:cs="Arial"/>
          <w:color w:val="000000"/>
          <w:lang w:val="es-ES" w:eastAsia="es-ES"/>
        </w:rPr>
        <w:t>)</w:t>
      </w:r>
      <w:r w:rsidRPr="00BC10E2" w:rsidR="00BA3E7E">
        <w:rPr>
          <w:rFonts w:ascii="Century Gothic" w:hAnsi="Century Gothic"/>
        </w:rPr>
        <w:t xml:space="preserve"> </w:t>
      </w:r>
      <w:r w:rsidRPr="00BC10E2" w:rsidR="004167E3">
        <w:rPr>
          <w:rFonts w:ascii="Century Gothic" w:hAnsi="Century Gothic" w:eastAsia="Calibri" w:cs="Arial"/>
          <w:color w:val="000000"/>
          <w:lang w:val="es-ES" w:eastAsia="es-ES"/>
        </w:rPr>
        <w:t>p</w:t>
      </w:r>
      <w:r w:rsidRPr="00BC10E2" w:rsidR="00BA3E7E">
        <w:rPr>
          <w:rFonts w:ascii="Century Gothic" w:hAnsi="Century Gothic" w:eastAsia="Calibri" w:cs="Arial"/>
          <w:color w:val="000000"/>
          <w:lang w:val="es-ES" w:eastAsia="es-ES"/>
        </w:rPr>
        <w:t>articipación</w:t>
      </w:r>
      <w:r w:rsidRPr="00BA3E7E" w:rsidR="00BA3E7E">
        <w:rPr>
          <w:rFonts w:ascii="Century Gothic" w:hAnsi="Century Gothic" w:eastAsia="Calibri" w:cs="Arial"/>
          <w:color w:val="000000"/>
          <w:lang w:val="es-ES" w:eastAsia="es-ES"/>
        </w:rPr>
        <w:t xml:space="preserve"> de las ESAL en los procesos contractuales limitados a Mipyme</w:t>
      </w:r>
      <w:r w:rsidR="00BA3E7E">
        <w:rPr>
          <w:rFonts w:ascii="Century Gothic" w:hAnsi="Century Gothic" w:eastAsia="Calibri" w:cs="Arial"/>
          <w:color w:val="000000"/>
          <w:lang w:val="es-ES" w:eastAsia="es-ES"/>
        </w:rPr>
        <w:t>.</w:t>
      </w:r>
    </w:p>
    <w:p w:rsidRPr="00BC10E2" w:rsidR="00A01415" w:rsidP="00E03F69" w:rsidRDefault="002034E5" w14:paraId="2292EBDB" w14:textId="1FB5ABA6">
      <w:pPr>
        <w:spacing w:after="120" w:line="276" w:lineRule="auto"/>
        <w:ind w:firstLine="708"/>
        <w:jc w:val="both"/>
        <w:rPr>
          <w:rFonts w:ascii="Century Gothic" w:hAnsi="Century Gothic" w:eastAsia="Calibri" w:cs="Arial"/>
        </w:rPr>
      </w:pPr>
      <w:r w:rsidRPr="00383512">
        <w:rPr>
          <w:rFonts w:ascii="Century Gothic" w:hAnsi="Century Gothic" w:eastAsia="Calibri" w:cs="Arial"/>
          <w:color w:val="000000"/>
          <w:lang w:val="es-ES" w:eastAsia="es-ES"/>
        </w:rPr>
        <w:t xml:space="preserve">La Agencia Nacional de Contratación Pública -Colombia Compra Eficiente- se ha referido previamente a la regulación de la promoción del desarrollo en la contratación estatal contenida en el artículo 34 de la Ley 2069 de 2020 en los conceptos C-043 del 9 de febrero de 2021, C-005 del 16 de febrero de 2021, C-081 del 23 de febrero de 2021, C-087 del 23 de febrero de 2021, C-025 del 25 de febrero de 2021, C-037 del 26 de febrero de 2021, C-035 del 2 de marzo de 2021, C-040 del 2 de marzo de 2021, C-044 del 3 de marzo de 2021, C-102 del 25 de marzo de 2021, C−189 del 26 de abril de 2021, C-206 del 3 de mayo de 2021, C-208 del 10 de mayo de 2021, C-211 del 11 de mayo de 2021, </w:t>
      </w:r>
      <w:r w:rsidRPr="00BC10E2">
        <w:rPr>
          <w:rFonts w:ascii="Century Gothic" w:hAnsi="Century Gothic" w:eastAsia="Calibri" w:cs="Arial"/>
          <w:color w:val="000000"/>
          <w:lang w:val="es-ES" w:eastAsia="es-ES"/>
        </w:rPr>
        <w:t>C</w:t>
      </w:r>
      <w:r w:rsidRPr="00BC10E2" w:rsidR="007E049A">
        <w:rPr>
          <w:rFonts w:ascii="Century Gothic" w:hAnsi="Century Gothic" w:eastAsia="Calibri" w:cs="Arial"/>
          <w:color w:val="000000"/>
          <w:lang w:val="es-ES" w:eastAsia="es-ES"/>
        </w:rPr>
        <w:t>-</w:t>
      </w:r>
      <w:r w:rsidRPr="00BC10E2">
        <w:rPr>
          <w:rFonts w:ascii="Century Gothic" w:hAnsi="Century Gothic" w:eastAsia="Calibri" w:cs="Arial"/>
          <w:color w:val="000000"/>
          <w:lang w:val="es-ES" w:eastAsia="es-ES"/>
        </w:rPr>
        <w:t>234</w:t>
      </w:r>
      <w:r w:rsidRPr="00383512">
        <w:rPr>
          <w:rFonts w:ascii="Century Gothic" w:hAnsi="Century Gothic" w:eastAsia="Calibri" w:cs="Arial"/>
          <w:color w:val="000000"/>
          <w:lang w:val="es-ES" w:eastAsia="es-ES"/>
        </w:rPr>
        <w:t xml:space="preserve"> del 24 de mayo de 2021, C-271 del 9 de junio de 2021, C-306 del 28 de junio de 2021, C-426 del 18 de agosto de 2021, </w:t>
      </w:r>
      <w:r w:rsidRPr="00383512">
        <w:rPr>
          <w:rFonts w:ascii="Century Gothic" w:hAnsi="Century Gothic" w:eastAsia="Calibri" w:cs="Arial"/>
          <w:color w:val="000000"/>
          <w:lang w:val="es-ES" w:eastAsia="es-ES"/>
        </w:rPr>
        <w:t>C-455 del 31 de agosto de 2021, entre otros.</w:t>
      </w:r>
      <w:r w:rsidRPr="00BC10E2">
        <w:rPr>
          <w:rFonts w:ascii="Century Gothic" w:hAnsi="Century Gothic" w:eastAsia="Calibri" w:cs="Arial"/>
          <w:vertAlign w:val="superscript"/>
        </w:rPr>
        <w:footnoteReference w:id="3"/>
      </w:r>
      <w:r w:rsidRPr="00BC10E2" w:rsidR="00A01415">
        <w:rPr>
          <w:rFonts w:ascii="Century Gothic" w:hAnsi="Century Gothic" w:eastAsia="Calibri" w:cs="Arial"/>
          <w:color w:val="000000"/>
          <w:lang w:val="es-ES" w:eastAsia="es-ES"/>
        </w:rPr>
        <w:t>;</w:t>
      </w:r>
      <w:r w:rsidRPr="00BC10E2" w:rsidR="009171E1">
        <w:rPr>
          <w:rFonts w:ascii="Century Gothic" w:hAnsi="Century Gothic" w:eastAsia="Calibri" w:cs="Arial"/>
          <w:color w:val="000000"/>
          <w:lang w:val="es-ES" w:eastAsia="es-ES"/>
        </w:rPr>
        <w:t xml:space="preserve"> a su turno, </w:t>
      </w:r>
      <w:r w:rsidRPr="00BC10E2" w:rsidR="001F501A">
        <w:rPr>
          <w:rFonts w:ascii="Century Gothic" w:hAnsi="Century Gothic" w:eastAsia="Calibri" w:cs="Arial"/>
          <w:color w:val="000000"/>
          <w:lang w:val="es-ES" w:eastAsia="es-ES"/>
        </w:rPr>
        <w:t xml:space="preserve">la </w:t>
      </w:r>
      <w:r w:rsidRPr="00C64D3A" w:rsidR="001F501A">
        <w:rPr>
          <w:rFonts w:ascii="Century Gothic" w:hAnsi="Century Gothic" w:eastAsia="Calibri" w:cs="Arial"/>
          <w:color w:val="000000" w:themeColor="text1"/>
          <w:lang w:val="es-ES" w:eastAsia="es-ES_tradnl"/>
        </w:rPr>
        <w:t>Agencia Nacional de Contratación Pública – Colombia Compra Eficiente se ha pronunciado, en términos generales, sobre el contenido de la Ley de Emprendimiento en diferentes conceptos</w:t>
      </w:r>
      <w:r w:rsidRPr="00C64D3A" w:rsidR="001F501A">
        <w:rPr>
          <w:rFonts w:ascii="Century Gothic" w:hAnsi="Century Gothic" w:eastAsia="Calibri" w:cs="Arial"/>
          <w:color w:val="000000" w:themeColor="text1"/>
          <w:vertAlign w:val="superscript"/>
          <w:lang w:val="es-ES" w:eastAsia="es-ES_tradnl"/>
        </w:rPr>
        <w:footnoteReference w:id="4"/>
      </w:r>
      <w:r w:rsidRPr="00C64D3A" w:rsidR="001F501A">
        <w:rPr>
          <w:rFonts w:ascii="Century Gothic" w:hAnsi="Century Gothic" w:eastAsia="Calibri" w:cs="Arial"/>
          <w:color w:val="000000" w:themeColor="text1"/>
          <w:lang w:val="es-ES" w:eastAsia="es-ES_tradnl"/>
        </w:rPr>
        <w:t xml:space="preserve">, refiriéndose a los criterios diferenciales para emprendimientos y empresas de mujeres y </w:t>
      </w:r>
      <w:r w:rsidRPr="00BC10E2" w:rsidR="001F501A">
        <w:rPr>
          <w:rFonts w:ascii="Century Gothic" w:hAnsi="Century Gothic" w:eastAsia="Calibri" w:cs="Arial"/>
          <w:color w:val="000000" w:themeColor="text1"/>
          <w:lang w:val="es-ES" w:eastAsia="es-ES_tradnl"/>
        </w:rPr>
        <w:t>M</w:t>
      </w:r>
      <w:r w:rsidRPr="00C64D3A" w:rsidR="001F501A">
        <w:rPr>
          <w:rFonts w:ascii="Century Gothic" w:hAnsi="Century Gothic" w:eastAsia="Calibri" w:cs="Arial"/>
          <w:color w:val="000000" w:themeColor="text1"/>
          <w:lang w:val="es-ES" w:eastAsia="es-ES_tradnl"/>
        </w:rPr>
        <w:t xml:space="preserve">ipymes y su reglamentación, en los conceptos </w:t>
      </w:r>
      <w:r w:rsidRPr="00C64D3A" w:rsidR="001F501A">
        <w:rPr>
          <w:rFonts w:ascii="Century Gothic" w:hAnsi="Century Gothic" w:eastAsia="Times New Roman" w:cs="Arial"/>
          <w:color w:val="000000" w:themeColor="text1"/>
          <w:shd w:val="clear" w:color="auto" w:fill="FFFFFF"/>
          <w:lang w:eastAsia="es-ES_tradnl"/>
        </w:rPr>
        <w:t xml:space="preserve">C-029 de 21 de febrero de 2021, C-037 del 26 de febrero de 2021, C-141 del 8 de abril de 2021, C-114 del 13 de abril de 2021 y C-031 del 1 de marzo de 2022, </w:t>
      </w:r>
      <w:r w:rsidRPr="00C64D3A" w:rsidR="001F501A">
        <w:rPr>
          <w:rFonts w:ascii="Century Gothic" w:hAnsi="Century Gothic" w:eastAsia="Times New Roman" w:cs="Arial"/>
          <w:shd w:val="clear" w:color="auto" w:fill="FFFFFF"/>
          <w:lang w:eastAsia="es-ES_tradnl"/>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y C-696 de 26 de octubre de 2022, </w:t>
      </w:r>
      <w:r w:rsidRPr="00C64D3A" w:rsidR="001F501A">
        <w:rPr>
          <w:rFonts w:ascii="Century Gothic" w:hAnsi="Century Gothic" w:eastAsia="Times New Roman" w:cs="Arial"/>
          <w:color w:val="000000" w:themeColor="text1"/>
          <w:shd w:val="clear" w:color="auto" w:fill="FFFFFF"/>
          <w:lang w:eastAsia="es-ES_tradnl"/>
        </w:rPr>
        <w:t>entre otros</w:t>
      </w:r>
      <w:r w:rsidRPr="00BC10E2" w:rsidR="001F501A">
        <w:rPr>
          <w:rFonts w:ascii="Century Gothic" w:hAnsi="Century Gothic" w:eastAsia="Times New Roman" w:cs="Arial"/>
          <w:color w:val="000000" w:themeColor="text1"/>
          <w:shd w:val="clear" w:color="auto" w:fill="FFFFFF"/>
          <w:lang w:eastAsia="es-ES_tradnl"/>
        </w:rPr>
        <w:t>;</w:t>
      </w:r>
      <w:r w:rsidRPr="00BC10E2">
        <w:rPr>
          <w:rFonts w:ascii="Century Gothic" w:hAnsi="Century Gothic" w:eastAsia="Calibri" w:cs="Arial"/>
          <w:color w:val="000000"/>
          <w:lang w:val="es-ES" w:eastAsia="es-ES"/>
        </w:rPr>
        <w:t xml:space="preserve"> </w:t>
      </w:r>
      <w:r w:rsidRPr="00BC10E2" w:rsidR="00C03EB2">
        <w:rPr>
          <w:rFonts w:ascii="Century Gothic" w:hAnsi="Century Gothic" w:eastAsia="Calibri" w:cs="Arial"/>
          <w:color w:val="000000"/>
          <w:lang w:val="es-ES" w:eastAsia="es-ES"/>
        </w:rPr>
        <w:t>d</w:t>
      </w:r>
      <w:r w:rsidRPr="00BC10E2" w:rsidR="00A01415">
        <w:rPr>
          <w:rFonts w:ascii="Century Gothic" w:hAnsi="Century Gothic" w:cs="Arial"/>
        </w:rPr>
        <w:t xml:space="preserve">e otra parte, esta Agencia también se ha pronunciado en diferentes conceptos sobre la participación de las entidades sin ánimo de lucro – desde ahora ESAL – en procesos contractuales limitados a MiPymes. Al respecto expidió el </w:t>
      </w:r>
      <w:r w:rsidRPr="00BC10E2" w:rsidR="005A2FFF">
        <w:rPr>
          <w:rFonts w:ascii="Century Gothic" w:hAnsi="Century Gothic" w:cs="Arial"/>
        </w:rPr>
        <w:t>c</w:t>
      </w:r>
      <w:r w:rsidRPr="00BC10E2" w:rsidR="00A01415">
        <w:rPr>
          <w:rFonts w:ascii="Century Gothic" w:hAnsi="Century Gothic" w:cs="Arial"/>
        </w:rPr>
        <w:t>oncepto</w:t>
      </w:r>
      <w:r w:rsidRPr="00A01415" w:rsidR="00A01415">
        <w:rPr>
          <w:rFonts w:ascii="Century Gothic" w:hAnsi="Century Gothic" w:cs="Arial"/>
        </w:rPr>
        <w:t xml:space="preserve"> del 21 de julio de 2016 −radicado No. E20161300000072−, reiterado en los </w:t>
      </w:r>
      <w:r w:rsidRPr="00BC10E2" w:rsidR="005A2FFF">
        <w:rPr>
          <w:rFonts w:ascii="Century Gothic" w:hAnsi="Century Gothic" w:cs="Arial"/>
        </w:rPr>
        <w:t>c</w:t>
      </w:r>
      <w:r w:rsidRPr="00BC10E2" w:rsidR="00A01415">
        <w:rPr>
          <w:rFonts w:ascii="Century Gothic" w:hAnsi="Century Gothic" w:cs="Arial"/>
        </w:rPr>
        <w:t>onceptos</w:t>
      </w:r>
      <w:r w:rsidRPr="00A01415" w:rsidR="00A01415">
        <w:rPr>
          <w:rFonts w:ascii="Century Gothic" w:hAnsi="Century Gothic" w:cs="Arial"/>
        </w:rPr>
        <w:t xml:space="preserve"> del 20, 21 y 22 de agosto y el 17 de septiembre de 2019 −radicados Nos. 2201913000006007, </w:t>
      </w:r>
      <w:r w:rsidRPr="00A01415" w:rsidR="00A01415">
        <w:rPr>
          <w:rFonts w:ascii="Century Gothic" w:hAnsi="Century Gothic" w:cs="Arial"/>
        </w:rPr>
        <w:t>2201913000006081, 2201913000006151 y 2201913000006895−, C-258 del 17 de abril, C-413 de 30 de junio de 2020, C-705 del 7 de diciembre de 2020, C-728 del 14 de diciembre de 2020, C-160 del 20 de abril de 2021, C-474 del 26 de julio de 2022</w:t>
      </w:r>
      <w:r w:rsidR="0002269F">
        <w:rPr>
          <w:rFonts w:ascii="Century Gothic" w:hAnsi="Century Gothic" w:cs="Arial"/>
        </w:rPr>
        <w:t>,</w:t>
      </w:r>
      <w:r w:rsidRPr="00A01415" w:rsidR="00A01415">
        <w:rPr>
          <w:rFonts w:ascii="Century Gothic" w:hAnsi="Century Gothic" w:cs="Arial"/>
        </w:rPr>
        <w:t xml:space="preserve"> C-020 del 14 de febrero de 2023</w:t>
      </w:r>
      <w:r w:rsidR="0002269F">
        <w:rPr>
          <w:rFonts w:ascii="Century Gothic" w:hAnsi="Century Gothic" w:cs="Arial"/>
        </w:rPr>
        <w:t xml:space="preserve"> y</w:t>
      </w:r>
      <w:r w:rsidRPr="00A01415" w:rsidR="00A01415">
        <w:rPr>
          <w:rFonts w:ascii="Century Gothic" w:hAnsi="Century Gothic" w:cs="Arial"/>
        </w:rPr>
        <w:t>, en lo pertinente, dichas tesis se reiteran a continuación, precisando su alcance de acuerdo con la consulta planteada</w:t>
      </w:r>
      <w:r w:rsidRPr="00BC10E2" w:rsidR="00A01415">
        <w:rPr>
          <w:rFonts w:ascii="Century Gothic" w:hAnsi="Century Gothic" w:eastAsia="Calibri" w:cs="Arial"/>
        </w:rPr>
        <w:t>.</w:t>
      </w:r>
    </w:p>
    <w:p w:rsidR="002034E5" w:rsidP="002034E5" w:rsidRDefault="002034E5" w14:paraId="3104E01D" w14:textId="77777777">
      <w:pPr>
        <w:spacing w:after="120" w:line="276" w:lineRule="auto"/>
        <w:jc w:val="both"/>
        <w:rPr>
          <w:rFonts w:ascii="Century Gothic" w:hAnsi="Century Gothic" w:eastAsia="Calibri" w:cs="Arial"/>
          <w:b/>
          <w:lang w:eastAsia="es-ES"/>
        </w:rPr>
      </w:pPr>
      <w:r>
        <w:rPr>
          <w:rFonts w:ascii="Century Gothic" w:hAnsi="Century Gothic" w:eastAsia="Calibri" w:cs="Arial"/>
          <w:b/>
          <w:bCs/>
          <w:lang w:eastAsia="es-ES"/>
        </w:rPr>
        <w:t xml:space="preserve">2.1 </w:t>
      </w:r>
      <w:r w:rsidRPr="00BD1790">
        <w:rPr>
          <w:rFonts w:ascii="Century Gothic" w:hAnsi="Century Gothic" w:eastAsia="Calibri" w:cs="Arial"/>
          <w:b/>
          <w:lang w:eastAsia="es-ES"/>
        </w:rPr>
        <w:t>Regulación de las convocatorias limitadas a Mipyme en la Ley 2069 de 2020 y en el Decreto 1860 de 2021</w:t>
      </w:r>
    </w:p>
    <w:p w:rsidRPr="00BD1790" w:rsidR="00795F76" w:rsidP="002034E5" w:rsidRDefault="00795F76" w14:paraId="60741717" w14:textId="77777777">
      <w:pPr>
        <w:spacing w:after="120" w:line="276" w:lineRule="auto"/>
        <w:jc w:val="both"/>
        <w:rPr>
          <w:rFonts w:ascii="Century Gothic" w:hAnsi="Century Gothic" w:eastAsia="Calibri" w:cs="Arial"/>
          <w:b/>
          <w:lang w:eastAsia="es-ES"/>
        </w:rPr>
      </w:pPr>
    </w:p>
    <w:p w:rsidRPr="00383512" w:rsidR="002034E5" w:rsidP="002034E5" w:rsidRDefault="002034E5" w14:paraId="3070C749" w14:textId="601A1CAA">
      <w:pPr>
        <w:spacing w:after="120" w:line="276" w:lineRule="auto"/>
        <w:jc w:val="both"/>
        <w:rPr>
          <w:rFonts w:ascii="Century Gothic" w:hAnsi="Century Gothic"/>
        </w:rPr>
      </w:pPr>
      <w:r w:rsidRPr="00383512">
        <w:rPr>
          <w:rFonts w:ascii="Century Gothic" w:hAnsi="Century Gothic"/>
        </w:rPr>
        <w:t>El 31 de diciembre de 2020 se promulgó la Ley 2069, “</w:t>
      </w:r>
      <w:r w:rsidRPr="00E03F69">
        <w:rPr>
          <w:rFonts w:ascii="Century Gothic" w:hAnsi="Century Gothic"/>
          <w:i/>
          <w:iCs/>
        </w:rPr>
        <w:t>Por medio de la cual se impulsa el emprendimiento en Colombia</w:t>
      </w:r>
      <w:r w:rsidRPr="00383512">
        <w:rPr>
          <w:rFonts w:ascii="Century Gothic" w:hAnsi="Century Gothic"/>
        </w:rPr>
        <w:t>”.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383512">
        <w:rPr>
          <w:rStyle w:val="Refdenotaalpie"/>
          <w:rFonts w:ascii="Century Gothic" w:hAnsi="Century Gothic"/>
        </w:rPr>
        <w:footnoteReference w:id="5"/>
      </w:r>
      <w:r w:rsidRPr="00383512">
        <w:rPr>
          <w:rFonts w:ascii="Century Gothic" w:hAnsi="Century Gothic"/>
        </w:rPr>
        <w:t xml:space="preserve"> , así como incentivos a favor de aquellas dentro del sistema de compras y contratación pública</w:t>
      </w:r>
      <w:r w:rsidRPr="00383512">
        <w:rPr>
          <w:rStyle w:val="Refdenotaalpie"/>
          <w:rFonts w:ascii="Century Gothic" w:hAnsi="Century Gothic"/>
        </w:rPr>
        <w:footnoteReference w:id="6"/>
      </w:r>
      <w:r w:rsidRPr="00383512">
        <w:rPr>
          <w:rFonts w:ascii="Century Gothic" w:hAnsi="Century Gothic"/>
        </w:rPr>
        <w:t>.</w:t>
      </w:r>
    </w:p>
    <w:p w:rsidRPr="00383512" w:rsidR="002034E5" w:rsidP="002034E5" w:rsidRDefault="002034E5" w14:paraId="719A0EB0" w14:textId="77777777">
      <w:pPr>
        <w:spacing w:after="120" w:line="276" w:lineRule="auto"/>
        <w:ind w:firstLine="708"/>
        <w:jc w:val="both"/>
        <w:rPr>
          <w:rFonts w:ascii="Century Gothic" w:hAnsi="Century Gothic"/>
        </w:rPr>
      </w:pPr>
      <w:r w:rsidRPr="00383512">
        <w:rPr>
          <w:rFonts w:ascii="Century Gothic" w:hAnsi="Century Gothic" w:cs="Arial"/>
        </w:rPr>
        <w:t>Según lo ha reiterado esta Agencia en múltiples conceptos sobre la materia, el artículo 34</w:t>
      </w:r>
      <w:r w:rsidRPr="00383512">
        <w:rPr>
          <w:rFonts w:ascii="Century Gothic" w:hAnsi="Century Gothic"/>
        </w:rPr>
        <w:t xml:space="preserve"> de la Ley 2069 de 2020 dispuso nuevas reglas sobre la promoción al desarrollo en la contratación estatal. En particular, la citada disposición modificó el contenido del artículo 12 de la Ley 1150 de 2007, prescribiendo lo que se indica a continuación:</w:t>
      </w:r>
    </w:p>
    <w:p w:rsidRPr="00383512" w:rsidR="002034E5" w:rsidP="002034E5" w:rsidRDefault="002034E5" w14:paraId="3E32679B" w14:textId="77777777">
      <w:pPr>
        <w:spacing w:after="120" w:line="276" w:lineRule="auto"/>
        <w:ind w:firstLine="708"/>
        <w:jc w:val="both"/>
        <w:rPr>
          <w:rFonts w:ascii="Century Gothic" w:hAnsi="Century Gothic"/>
        </w:rPr>
      </w:pPr>
      <w:r w:rsidRPr="00383512">
        <w:rPr>
          <w:rFonts w:ascii="Century Gothic" w:hAnsi="Century Gothic"/>
        </w:rPr>
        <w:t xml:space="preserve">(i) Encomienda al Gobierno Nacional, con carácter imperativo,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no sin antes agregar que estas </w:t>
      </w:r>
      <w:r w:rsidRPr="00383512">
        <w:rPr>
          <w:rFonts w:ascii="Century Gothic" w:hAnsi="Century Gothic"/>
        </w:rPr>
        <w:t xml:space="preserve">convocatorias se pueden realizar también en el ámbito municipal o departamental correspondiente al de la ejecución del contrato. </w:t>
      </w:r>
    </w:p>
    <w:p w:rsidRPr="00383512" w:rsidR="002034E5" w:rsidP="002034E5" w:rsidRDefault="002034E5" w14:paraId="2EBD6DEA" w14:textId="77777777">
      <w:pPr>
        <w:spacing w:after="120" w:line="276" w:lineRule="auto"/>
        <w:ind w:firstLine="708"/>
        <w:jc w:val="both"/>
        <w:rPr>
          <w:rFonts w:ascii="Century Gothic" w:hAnsi="Century Gothic"/>
        </w:rPr>
      </w:pPr>
      <w:r w:rsidRPr="00383512">
        <w:rPr>
          <w:rFonts w:ascii="Century Gothic" w:hAnsi="Century Gothic"/>
        </w:rPr>
        <w:t>(</w:t>
      </w:r>
      <w:proofErr w:type="spellStart"/>
      <w:r w:rsidRPr="00383512">
        <w:rPr>
          <w:rFonts w:ascii="Century Gothic" w:hAnsi="Century Gothic"/>
        </w:rPr>
        <w:t>ii</w:t>
      </w:r>
      <w:proofErr w:type="spellEnd"/>
      <w:r w:rsidRPr="00383512">
        <w:rPr>
          <w:rFonts w:ascii="Century Gothic" w:hAnsi="Century Gothic"/>
        </w:rPr>
        <w:t xml:space="preserve">) Establece que dichas convocatorias limitadas se deben efectuar, siempre y cuando antes del acto administrativo de apertura del respectivo proceso de selección, por lo menos dos (2) Mipymes hayan manifestado su interés. </w:t>
      </w:r>
    </w:p>
    <w:p w:rsidRPr="00383512" w:rsidR="002034E5" w:rsidP="002034E5" w:rsidRDefault="002034E5" w14:paraId="342E8439" w14:textId="77777777">
      <w:pPr>
        <w:spacing w:after="120" w:line="276" w:lineRule="auto"/>
        <w:ind w:firstLine="708"/>
        <w:jc w:val="both"/>
        <w:rPr>
          <w:rFonts w:ascii="Century Gothic" w:hAnsi="Century Gothic"/>
        </w:rPr>
      </w:pPr>
      <w:r w:rsidRPr="00383512">
        <w:rPr>
          <w:rFonts w:ascii="Century Gothic" w:hAnsi="Century Gothic"/>
        </w:rPr>
        <w:t>(</w:t>
      </w:r>
      <w:proofErr w:type="spellStart"/>
      <w:r w:rsidRPr="00383512">
        <w:rPr>
          <w:rFonts w:ascii="Century Gothic" w:hAnsi="Century Gothic"/>
        </w:rPr>
        <w:t>iii</w:t>
      </w:r>
      <w:proofErr w:type="spellEnd"/>
      <w:r w:rsidRPr="00383512">
        <w:rPr>
          <w:rFonts w:ascii="Century Gothic" w:hAnsi="Century Gothic"/>
        </w:rPr>
        <w:t xml:space="preserve">) Establece que, en el reglamento, el Gobierno Nacional podría establecer condiciones preferenciales para los bienes y servicios producidos por las Mipymes, sin contrariar los compromisos internacionales vigentes, cuando estos fuesen aplicables. </w:t>
      </w:r>
    </w:p>
    <w:p w:rsidRPr="00383512" w:rsidR="002034E5" w:rsidP="002034E5" w:rsidRDefault="002034E5" w14:paraId="77934CDB" w14:textId="77777777">
      <w:pPr>
        <w:spacing w:after="120" w:line="276" w:lineRule="auto"/>
        <w:ind w:firstLine="708"/>
        <w:jc w:val="both"/>
        <w:rPr>
          <w:rFonts w:ascii="Century Gothic" w:hAnsi="Century Gothic"/>
        </w:rPr>
      </w:pPr>
      <w:r w:rsidRPr="00383512">
        <w:rPr>
          <w:rFonts w:ascii="Century Gothic" w:hAnsi="Century Gothic"/>
        </w:rPr>
        <w:t>(</w:t>
      </w:r>
      <w:proofErr w:type="spellStart"/>
      <w:r w:rsidRPr="00383512">
        <w:rPr>
          <w:rFonts w:ascii="Century Gothic" w:hAnsi="Century Gothic"/>
        </w:rPr>
        <w:t>iv</w:t>
      </w:r>
      <w:proofErr w:type="spellEnd"/>
      <w:r w:rsidRPr="00383512">
        <w:rPr>
          <w:rFonts w:ascii="Century Gothic" w:hAnsi="Century Gothic"/>
        </w:rPr>
        <w:t>)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rsidRPr="00383512" w:rsidR="002034E5" w:rsidP="002034E5" w:rsidRDefault="002034E5" w14:paraId="68F858B4" w14:textId="77777777">
      <w:pPr>
        <w:pStyle w:val="Prrafodelista"/>
        <w:spacing w:after="120" w:line="276" w:lineRule="auto"/>
        <w:ind w:left="0" w:firstLine="708"/>
        <w:jc w:val="both"/>
        <w:rPr>
          <w:rFonts w:ascii="Century Gothic" w:hAnsi="Century Gothic"/>
        </w:rPr>
      </w:pPr>
      <w:r w:rsidRPr="00383512">
        <w:rPr>
          <w:rFonts w:ascii="Century Gothic" w:hAnsi="Century Gothic"/>
        </w:rPr>
        <w:t>A partir de lo anterior, el artículo 34 de la Ley 2069 de 2020 sustituyó íntegramente el contenido del artículo 12 de la Ley 1150 de 2007. En este sentido, frente a esta última norma se produjo el fenómeno de la subrogación, fenómeno que ha sido entendido esencialmente como el acto de sustituir una norma por otra</w:t>
      </w:r>
      <w:r w:rsidRPr="00383512">
        <w:rPr>
          <w:rStyle w:val="Refdenotaalpie"/>
          <w:rFonts w:ascii="Century Gothic" w:hAnsi="Century Gothic"/>
        </w:rPr>
        <w:footnoteReference w:id="7"/>
      </w:r>
      <w:r w:rsidRPr="00383512">
        <w:rPr>
          <w:rFonts w:ascii="Century Gothic" w:hAnsi="Century Gothic"/>
        </w:rPr>
        <w:t>.</w:t>
      </w:r>
    </w:p>
    <w:p w:rsidRPr="00383512" w:rsidR="002034E5" w:rsidP="002034E5" w:rsidRDefault="002034E5" w14:paraId="1A6FE801" w14:textId="77777777">
      <w:pPr>
        <w:spacing w:after="120" w:line="276" w:lineRule="auto"/>
        <w:ind w:firstLine="708"/>
        <w:jc w:val="both"/>
        <w:rPr>
          <w:rFonts w:ascii="Century Gothic" w:hAnsi="Century Gothic"/>
        </w:rPr>
      </w:pPr>
      <w:r w:rsidRPr="00383512">
        <w:rPr>
          <w:rFonts w:ascii="Century Gothic" w:hAnsi="Century Gothic"/>
        </w:rPr>
        <w:t>Teniendo en cuenta el efecto de subrogación, conviene revisar la vigencia del artículo 2.2.1.2.4.2.2. del Decreto 1082 de 2015 que hasta la fecha de expedición de la Ley 2069 de 2020, regía las convocatorias limitadas a Mipymes. En criterio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dejan de ser obligatorios o decaen “cuando desaparezcan sus fundamentos de hecho o de derecho”.</w:t>
      </w:r>
    </w:p>
    <w:p w:rsidRPr="00383512" w:rsidR="002034E5" w:rsidP="002034E5" w:rsidRDefault="002034E5" w14:paraId="52243672" w14:textId="77777777">
      <w:pPr>
        <w:spacing w:after="120" w:line="276" w:lineRule="auto"/>
        <w:ind w:firstLine="708"/>
        <w:jc w:val="both"/>
        <w:rPr>
          <w:rFonts w:ascii="Century Gothic" w:hAnsi="Century Gothic"/>
        </w:rPr>
      </w:pPr>
      <w:r w:rsidRPr="00383512">
        <w:rPr>
          <w:rFonts w:ascii="Century Gothic" w:hAnsi="Century Gothic"/>
        </w:rPr>
        <w:t xml:space="preserve">Esto último, se ve consolidado con la expedición del Decreto 1860 de 2021, reglamento que modificó, entre otros aspectos, la Subsección 5 de la Sección 1 del </w:t>
      </w:r>
      <w:r w:rsidRPr="00383512">
        <w:rPr>
          <w:rFonts w:ascii="Century Gothic" w:hAnsi="Century Gothic"/>
        </w:rPr>
        <w:t xml:space="preserve">Capítulo 2 del Título 1 de la Parte 2 del Libro 2 y los artículos 2.2.1.2.4.2.2. y 2.2.1.2.4.2.3. y siguientes del Decreto 1082 de 2015. </w:t>
      </w:r>
    </w:p>
    <w:p w:rsidRPr="00383512" w:rsidR="002034E5" w:rsidP="002034E5" w:rsidRDefault="002034E5" w14:paraId="52498336" w14:textId="77777777">
      <w:pPr>
        <w:spacing w:after="120" w:line="276" w:lineRule="auto"/>
        <w:ind w:firstLine="708"/>
        <w:jc w:val="both"/>
        <w:rPr>
          <w:rFonts w:ascii="Century Gothic" w:hAnsi="Century Gothic"/>
        </w:rPr>
      </w:pPr>
      <w:r w:rsidRPr="00383512">
        <w:rPr>
          <w:rFonts w:ascii="Century Gothic" w:hAnsi="Century Gothic"/>
        </w:rPr>
        <w:t xml:space="preserve">Por otra parte, en cuanto a lo dispuesto por el artículo 2.2.1.2.4.2.3. del Decreto 1082 de 2015, en donde se regulaba la posibilidad de limitar convocatorias a Mipymes domiciliadas en un determinado ámbito territorial, se estima que este, al igual que el artículo 2.2.1.2.4.2.2., también está cobijado por el fenómeno del decaimiento y, actualmente, fue sustituido en su integridad por lo dispuesto en el Decreto 1860 de 2021. En efecto, con fundamento en lo previsto en el artículo 34 de la Ley 2069 de 2020, en su artículo 5 se dispuso expresamente la modificación de los artículos 2.2.1.2.4.2.2., 2.2.1.2.4.2.3. y 2.2.1.2.4.2.4. de la Subsección 2 de la Sección 4 del Capítulo 2 del Título 1 de la Parte 2 del Libro 2 del Decreto 1082 de 2015. </w:t>
      </w:r>
    </w:p>
    <w:p w:rsidRPr="00383512" w:rsidR="002034E5" w:rsidP="002034E5" w:rsidRDefault="002034E5" w14:paraId="693B999D" w14:textId="77777777">
      <w:pPr>
        <w:spacing w:after="120" w:line="276" w:lineRule="auto"/>
        <w:ind w:firstLine="708"/>
        <w:jc w:val="both"/>
        <w:rPr>
          <w:rFonts w:ascii="Century Gothic" w:hAnsi="Century Gothic"/>
        </w:rPr>
      </w:pPr>
      <w:r w:rsidRPr="00383512">
        <w:rPr>
          <w:rFonts w:ascii="Century Gothic" w:hAnsi="Century Gothic"/>
        </w:rPr>
        <w:t>La Subsección 2 modificada, contiene los siguientes artículos (i) 2.2.1.2.4.2.2. que consagra los requisitos para limitar la convocatoria de los procesos de contratación con pluralidad de oferentes a las Mipyme colombianas con mínimo un (1) año de existencia; (</w:t>
      </w:r>
      <w:proofErr w:type="spellStart"/>
      <w:r w:rsidRPr="00383512">
        <w:rPr>
          <w:rFonts w:ascii="Century Gothic" w:hAnsi="Century Gothic"/>
        </w:rPr>
        <w:t>ii</w:t>
      </w:r>
      <w:proofErr w:type="spellEnd"/>
      <w:r w:rsidRPr="00383512">
        <w:rPr>
          <w:rFonts w:ascii="Century Gothic" w:hAnsi="Century Gothic"/>
        </w:rPr>
        <w:t>) 2.2.1.2.4.2.3. que desarrolla las convocatorias limitadas a Mipyme colombianas que tengan domicilio en los departamentos o municipios en donde se va a ejecutar el contrato; y (</w:t>
      </w:r>
      <w:proofErr w:type="spellStart"/>
      <w:r w:rsidRPr="00383512">
        <w:rPr>
          <w:rFonts w:ascii="Century Gothic" w:hAnsi="Century Gothic"/>
        </w:rPr>
        <w:t>iii</w:t>
      </w:r>
      <w:proofErr w:type="spellEnd"/>
      <w:r w:rsidRPr="00383512">
        <w:rPr>
          <w:rFonts w:ascii="Century Gothic" w:hAnsi="Century Gothic"/>
        </w:rPr>
        <w:t xml:space="preserve">) 2.2.1.2.4.2.4. que regula la acreditación de requisitos para participar en convocatorias limitadas. De este modo, interesa precisar que el artículo 5 del Decreto 1860 de 2021, que modifica los artículos del Decreto 1082 de 2015 expuestos en el párrafo anterior, constituye la reglamentación del artículo 34 de la Ley 2069 de 2020, al desarrollar las reglas aplicables a las convocatorias limitadas a Mipyme como se verá a continuación. </w:t>
      </w:r>
    </w:p>
    <w:p w:rsidRPr="00383512" w:rsidR="002034E5" w:rsidP="00E03F69" w:rsidRDefault="002034E5" w14:paraId="2E810490" w14:textId="77777777">
      <w:pPr>
        <w:spacing w:after="120" w:line="276" w:lineRule="auto"/>
        <w:ind w:firstLine="708"/>
        <w:jc w:val="both"/>
        <w:rPr>
          <w:rFonts w:ascii="Century Gothic" w:hAnsi="Century Gothic" w:cs="Arial"/>
          <w:lang w:val="es-ES" w:eastAsia="es-ES"/>
        </w:rPr>
      </w:pPr>
      <w:r w:rsidRPr="00383512">
        <w:rPr>
          <w:rFonts w:ascii="Century Gothic" w:hAnsi="Century Gothic" w:cs="Arial"/>
          <w:lang w:val="es-ES" w:eastAsia="es-ES"/>
        </w:rPr>
        <w:t>Respecto a lo señalado en el inciso primero del artículo 2.2.1.2.4.2.2. del Decreto 1082 de 2015, modificado por el artículo 5 del Decreto 1860 de 2021, se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el referido artículo indica lo siguiente:</w:t>
      </w:r>
    </w:p>
    <w:p w:rsidRPr="00E03F69" w:rsidR="002034E5" w:rsidP="00017816" w:rsidRDefault="002034E5" w14:paraId="2698CAB3" w14:textId="77777777">
      <w:pPr>
        <w:spacing w:after="0" w:line="240" w:lineRule="auto"/>
        <w:ind w:left="709" w:right="900"/>
        <w:jc w:val="both"/>
        <w:rPr>
          <w:rFonts w:ascii="Century Gothic" w:hAnsi="Century Gothic" w:cs="Arial"/>
          <w:sz w:val="20"/>
          <w:szCs w:val="20"/>
          <w:lang w:val="es-ES" w:eastAsia="es-ES"/>
        </w:rPr>
      </w:pPr>
      <w:r w:rsidRPr="00383512">
        <w:rPr>
          <w:rFonts w:ascii="Century Gothic" w:hAnsi="Century Gothic" w:cs="Arial"/>
          <w:sz w:val="21"/>
          <w:szCs w:val="21"/>
          <w:lang w:val="es-ES" w:eastAsia="es-ES"/>
        </w:rPr>
        <w:t>“</w:t>
      </w:r>
      <w:r w:rsidRPr="00E03F69">
        <w:rPr>
          <w:rFonts w:ascii="Century Gothic" w:hAnsi="Century Gothic" w:cs="Arial"/>
          <w:sz w:val="20"/>
          <w:szCs w:val="20"/>
          <w:lang w:val="es-ES" w:eastAsia="es-ES"/>
        </w:rPr>
        <w:t xml:space="preserve">Artículo 2.2.1.2.4.2.2. Convocatorias Imitadas a Mipyme. Las Entidades Estatales independientemente de su régimen de contratación, los patrimonios autónomos constituidos por Entidades Estatales y los </w:t>
      </w:r>
      <w:r w:rsidRPr="00E03F69">
        <w:rPr>
          <w:rFonts w:ascii="Century Gothic" w:hAnsi="Century Gothic" w:cs="Arial"/>
          <w:sz w:val="20"/>
          <w:szCs w:val="20"/>
          <w:lang w:val="es-ES" w:eastAsia="es-ES"/>
        </w:rPr>
        <w:t xml:space="preserve">particulares que ejecuten recursos públicos, deben limitar la convocatoria de los Procesos de Contratación con pluralidad de oferentes, cuando concurran los siguientes requisitos: </w:t>
      </w:r>
    </w:p>
    <w:p w:rsidRPr="00E03F69" w:rsidR="002034E5" w:rsidP="00017816" w:rsidRDefault="002034E5" w14:paraId="4EA50C51" w14:textId="77777777">
      <w:pPr>
        <w:spacing w:before="120" w:after="0" w:line="240" w:lineRule="auto"/>
        <w:ind w:left="709" w:right="900"/>
        <w:jc w:val="both"/>
        <w:rPr>
          <w:rFonts w:ascii="Century Gothic" w:hAnsi="Century Gothic" w:cs="Arial"/>
          <w:bCs/>
          <w:sz w:val="20"/>
          <w:szCs w:val="20"/>
          <w:lang w:val="es-ES_tradnl" w:eastAsia="es-ES"/>
        </w:rPr>
      </w:pPr>
      <w:r w:rsidRPr="00E03F69">
        <w:rPr>
          <w:rFonts w:ascii="Century Gothic" w:hAnsi="Century Gothic" w:cs="Arial"/>
          <w:bCs/>
          <w:sz w:val="20"/>
          <w:szCs w:val="20"/>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rsidRPr="00E03F69" w:rsidR="002034E5" w:rsidP="00017816" w:rsidRDefault="002034E5" w14:paraId="2CD670B8" w14:textId="77777777">
      <w:pPr>
        <w:spacing w:before="120" w:after="0" w:line="240" w:lineRule="auto"/>
        <w:ind w:left="709" w:right="900"/>
        <w:jc w:val="both"/>
        <w:rPr>
          <w:rFonts w:ascii="Century Gothic" w:hAnsi="Century Gothic" w:cs="Arial"/>
          <w:sz w:val="20"/>
          <w:szCs w:val="20"/>
          <w:lang w:val="es-ES" w:eastAsia="es-ES"/>
        </w:rPr>
      </w:pPr>
      <w:r w:rsidRPr="00E03F69">
        <w:rPr>
          <w:rFonts w:ascii="Century Gothic" w:hAnsi="Century Gothic" w:cs="Arial"/>
          <w:sz w:val="20"/>
          <w:szCs w:val="20"/>
          <w:lang w:val="es-ES" w:eastAsia="es-ES"/>
        </w:rPr>
        <w:t xml:space="preserve">2. </w:t>
      </w:r>
      <w:r w:rsidRPr="00E03F69">
        <w:rPr>
          <w:rFonts w:ascii="Century Gothic" w:hAnsi="Century Gothic" w:cs="Arial"/>
          <w:i/>
          <w:iCs/>
          <w:sz w:val="20"/>
          <w:szCs w:val="20"/>
          <w:u w:val="single"/>
          <w:lang w:val="es-ES" w:eastAsia="es-ES"/>
        </w:rPr>
        <w:t>Se hayan recibido solicitudes de por lo menos dos (2) Mipyme colombianas para limitar la convocatoria a Mipyme colombianas</w:t>
      </w:r>
      <w:r w:rsidRPr="00E03F69">
        <w:rPr>
          <w:rFonts w:ascii="Century Gothic" w:hAnsi="Century Gothic" w:cs="Arial"/>
          <w:sz w:val="20"/>
          <w:szCs w:val="20"/>
          <w:lang w:val="es-ES" w:eastAsia="es-ES"/>
        </w:rPr>
        <w:t xml:space="preserve">. Las Entidades Estatales independientemente de su régimen de contratación, los patrimonios autónomos constituidos por Entidades Estatales y los particulares que ejecuten recursos públicos, </w:t>
      </w:r>
      <w:r w:rsidRPr="00E03F69">
        <w:rPr>
          <w:rFonts w:ascii="Century Gothic" w:hAnsi="Century Gothic" w:cs="Arial"/>
          <w:i/>
          <w:iCs/>
          <w:sz w:val="20"/>
          <w:szCs w:val="20"/>
          <w:u w:val="single"/>
          <w:lang w:val="es-ES" w:eastAsia="es-ES"/>
        </w:rPr>
        <w:t>deben recibir estas solicitudes por lo menos un (1) día hábil antes de la expedición del acto administrativo de apertura, o el que haga sus veces</w:t>
      </w:r>
      <w:r w:rsidRPr="00E03F69">
        <w:rPr>
          <w:rFonts w:ascii="Century Gothic" w:hAnsi="Century Gothic" w:cs="Arial"/>
          <w:sz w:val="20"/>
          <w:szCs w:val="20"/>
          <w:lang w:val="es-ES" w:eastAsia="es-ES"/>
        </w:rPr>
        <w:t xml:space="preserve"> de acuerdo con la normativa aplicable a cada Proceso de Contratación. </w:t>
      </w:r>
      <w:r w:rsidRPr="00E03F69">
        <w:rPr>
          <w:rFonts w:ascii="Century Gothic" w:hAnsi="Century Gothic" w:cs="Arial"/>
          <w:i/>
          <w:iCs/>
          <w:sz w:val="20"/>
          <w:szCs w:val="20"/>
          <w:u w:val="single"/>
          <w:lang w:val="es-ES" w:eastAsia="es-ES"/>
        </w:rPr>
        <w:t>Tratándose de personas jurídicas, las solicitudes solo las podrán realizar Mipyme, cuyo objeto social les permita ejecutar el contrato relacionado con el proceso contractual</w:t>
      </w:r>
      <w:r w:rsidRPr="00E03F69">
        <w:rPr>
          <w:rFonts w:ascii="Century Gothic" w:hAnsi="Century Gothic" w:cs="Arial"/>
          <w:sz w:val="20"/>
          <w:szCs w:val="20"/>
          <w:lang w:val="es-ES" w:eastAsia="es-ES"/>
        </w:rPr>
        <w:t>.</w:t>
      </w:r>
    </w:p>
    <w:p w:rsidR="002034E5" w:rsidP="00017816" w:rsidRDefault="002034E5" w14:paraId="39AF0EE6" w14:textId="77777777">
      <w:pPr>
        <w:spacing w:before="120" w:after="0" w:line="240" w:lineRule="auto"/>
        <w:ind w:left="709" w:right="900"/>
        <w:jc w:val="both"/>
        <w:rPr>
          <w:rFonts w:ascii="Century Gothic" w:hAnsi="Century Gothic" w:cs="Arial"/>
          <w:sz w:val="21"/>
          <w:szCs w:val="21"/>
          <w:lang w:val="es-ES" w:eastAsia="es-ES"/>
        </w:rPr>
      </w:pPr>
      <w:r w:rsidRPr="00E03F69">
        <w:rPr>
          <w:rFonts w:ascii="Century Gothic" w:hAnsi="Century Gothic" w:cs="Arial"/>
          <w:sz w:val="20"/>
          <w:szCs w:val="20"/>
          <w:lang w:val="es-ES" w:eastAsia="es-ES"/>
        </w:rPr>
        <w:t>Parágrafo. Las cooperativas y demás entidades de economía solidaria, siempre que tengan la calidad de Mipyme, podrán solicitar y participar en las convocatorias limitadas en las mismas condiciones dispuestas en el presente artículo</w:t>
      </w:r>
      <w:r w:rsidRPr="00383512">
        <w:rPr>
          <w:rFonts w:ascii="Century Gothic" w:hAnsi="Century Gothic" w:cs="Arial"/>
          <w:sz w:val="21"/>
          <w:szCs w:val="21"/>
          <w:lang w:val="es-ES" w:eastAsia="es-ES"/>
        </w:rPr>
        <w:t>”. [Énfasis fuera de texto]</w:t>
      </w:r>
    </w:p>
    <w:p w:rsidRPr="00383512" w:rsidR="00363751" w:rsidP="00017816" w:rsidRDefault="00363751" w14:paraId="4A055DC5" w14:textId="77777777">
      <w:pPr>
        <w:spacing w:before="120" w:after="0" w:line="240" w:lineRule="auto"/>
        <w:ind w:left="709" w:right="900"/>
        <w:jc w:val="both"/>
        <w:rPr>
          <w:rFonts w:ascii="Century Gothic" w:hAnsi="Century Gothic" w:cs="Arial"/>
          <w:sz w:val="21"/>
          <w:szCs w:val="21"/>
          <w:lang w:val="es-ES" w:eastAsia="es-ES"/>
        </w:rPr>
      </w:pPr>
    </w:p>
    <w:p w:rsidR="002034E5" w:rsidP="002034E5" w:rsidRDefault="002034E5" w14:paraId="77742964" w14:textId="77777777">
      <w:pPr>
        <w:spacing w:after="120" w:line="276" w:lineRule="auto"/>
        <w:ind w:firstLine="709"/>
        <w:jc w:val="both"/>
        <w:rPr>
          <w:rFonts w:ascii="Century Gothic" w:hAnsi="Century Gothic" w:eastAsia="Arial" w:cs="Arial"/>
          <w:color w:val="000000"/>
          <w:lang w:eastAsia="es-ES_tradnl"/>
        </w:rPr>
      </w:pPr>
      <w:r w:rsidRPr="00383512">
        <w:rPr>
          <w:rFonts w:ascii="Century Gothic" w:hAnsi="Century Gothic" w:cs="Arial"/>
          <w:bCs/>
          <w:lang w:val="es-ES_tradnl" w:eastAsia="es-ES"/>
        </w:rPr>
        <w:t xml:space="preserve">Según se evidencia, el numeral primero limita cuantitativamente los procesos contractuales en los que se puede hacer esa convocatoria limitada a Mipymes, en la medida en que el valor del proceso de contratación tendrá que ser “menor a veinticinco mil dólares de los Estados Unidos </w:t>
      </w:r>
      <w:r w:rsidRPr="00383512">
        <w:rPr>
          <w:rFonts w:ascii="Century Gothic" w:hAnsi="Century Gothic" w:eastAsia="Arial" w:cs="Arial"/>
          <w:color w:val="000000"/>
          <w:lang w:eastAsia="es-ES_tradnl"/>
        </w:rPr>
        <w:t>de América”. Esta limitante, valga la pena aclarar, es establecida de acuerdo con la tasa que, para el efecto, determine cada dos (2) años el Ministerio de Comercio, Industria y Turismo</w:t>
      </w:r>
      <w:r w:rsidRPr="00383512">
        <w:rPr>
          <w:rFonts w:ascii="Century Gothic" w:hAnsi="Century Gothic" w:eastAsia="Arial" w:cs="Arial"/>
          <w:color w:val="000000"/>
          <w:vertAlign w:val="superscript"/>
          <w:lang w:eastAsia="es-ES_tradnl"/>
        </w:rPr>
        <w:footnoteReference w:id="8"/>
      </w:r>
      <w:r w:rsidRPr="00383512">
        <w:rPr>
          <w:rFonts w:ascii="Century Gothic" w:hAnsi="Century Gothic" w:eastAsia="Arial" w:cs="Arial"/>
          <w:color w:val="000000"/>
          <w:lang w:eastAsia="es-ES_tradnl"/>
        </w:rPr>
        <w:t xml:space="preserve">. </w:t>
      </w:r>
    </w:p>
    <w:p w:rsidRPr="00383512" w:rsidR="002034E5" w:rsidP="002034E5" w:rsidRDefault="002034E5" w14:paraId="3E64DDB6" w14:textId="77777777">
      <w:pPr>
        <w:spacing w:after="120" w:line="276" w:lineRule="auto"/>
        <w:ind w:firstLine="708"/>
        <w:jc w:val="both"/>
        <w:rPr>
          <w:rFonts w:ascii="Century Gothic" w:hAnsi="Century Gothic" w:eastAsia="Arial" w:cs="Arial"/>
          <w:color w:val="000000"/>
          <w:sz w:val="21"/>
          <w:szCs w:val="21"/>
          <w:lang w:val="es-ES_tradnl" w:eastAsia="es-ES_tradnl"/>
        </w:rPr>
      </w:pPr>
      <w:r w:rsidRPr="00383512">
        <w:rPr>
          <w:rFonts w:ascii="Century Gothic" w:hAnsi="Century Gothic" w:eastAsia="Arial" w:cs="Arial"/>
          <w:color w:val="000000"/>
          <w:lang w:eastAsia="es-ES_tradnl"/>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383512">
        <w:rPr>
          <w:rFonts w:ascii="Century Gothic" w:hAnsi="Century Gothic" w:eastAsia="Arial" w:cs="Arial"/>
          <w:color w:val="000000"/>
          <w:lang w:val="es-ES_tradnl" w:eastAsia="es-ES_tradnl"/>
        </w:rPr>
        <w:t>o el que haga sus veces de acuerdo con la normativa aplicable a cada proceso de contratación</w:t>
      </w:r>
      <w:r w:rsidRPr="00383512">
        <w:rPr>
          <w:rFonts w:ascii="Century Gothic" w:hAnsi="Century Gothic" w:eastAsia="Arial" w:cs="Arial"/>
          <w:color w:val="000000"/>
          <w:lang w:eastAsia="es-ES_tradnl"/>
        </w:rPr>
        <w:t xml:space="preserve">. Además, la norma señala que, </w:t>
      </w:r>
      <w:r w:rsidRPr="00383512">
        <w:rPr>
          <w:rFonts w:ascii="Century Gothic" w:hAnsi="Century Gothic" w:eastAsia="Arial" w:cs="Arial"/>
          <w:color w:val="000000"/>
          <w:lang w:val="es-ES_tradnl" w:eastAsia="es-ES_tradnl"/>
        </w:rPr>
        <w:t xml:space="preserve">tratándose de personas jurídicas, las solicitudes sólo </w:t>
      </w:r>
      <w:r w:rsidRPr="00383512">
        <w:rPr>
          <w:rFonts w:ascii="Century Gothic" w:hAnsi="Century Gothic" w:eastAsia="Arial" w:cs="Arial"/>
          <w:color w:val="000000"/>
          <w:lang w:val="es-ES_tradnl" w:eastAsia="es-ES_tradnl"/>
        </w:rPr>
        <w:t>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w:t>
      </w:r>
      <w:r w:rsidRPr="00383512">
        <w:rPr>
          <w:rFonts w:ascii="Century Gothic" w:hAnsi="Century Gothic" w:eastAsia="Arial" w:cs="Arial"/>
          <w:color w:val="000000"/>
          <w:sz w:val="21"/>
          <w:szCs w:val="21"/>
          <w:lang w:val="es-ES_tradnl" w:eastAsia="es-ES_tradnl"/>
        </w:rPr>
        <w:t xml:space="preserve"> </w:t>
      </w:r>
    </w:p>
    <w:p w:rsidRPr="00383512" w:rsidR="002034E5" w:rsidP="002034E5" w:rsidRDefault="002034E5" w14:paraId="417146A6" w14:textId="60FBDE2C">
      <w:pPr>
        <w:spacing w:after="0" w:line="276" w:lineRule="auto"/>
        <w:jc w:val="both"/>
        <w:rPr>
          <w:rFonts w:ascii="Century Gothic" w:hAnsi="Century Gothic" w:eastAsia="Arial" w:cs="Arial"/>
          <w:color w:val="000000"/>
          <w:lang w:val="es-ES" w:eastAsia="es-ES"/>
        </w:rPr>
      </w:pPr>
      <w:r w:rsidRPr="00383512">
        <w:rPr>
          <w:rFonts w:ascii="Century Gothic" w:hAnsi="Century Gothic" w:eastAsia="Arial" w:cs="Arial"/>
          <w:color w:val="000000"/>
          <w:lang w:val="es-ES_tradnl" w:eastAsia="es-ES_tradnl"/>
        </w:rPr>
        <w:tab/>
      </w:r>
      <w:r w:rsidRPr="00383512">
        <w:rPr>
          <w:rFonts w:ascii="Century Gothic" w:hAnsi="Century Gothic" w:eastAsia="Arial" w:cs="Arial"/>
          <w:color w:val="000000"/>
          <w:lang w:val="es-ES" w:eastAsia="es-ES"/>
        </w:rPr>
        <w:t xml:space="preserve">En ese orden, en caso de que una Mipyme se encuentre interesada en solicitar la limitación de la convocatoria, deberá junto con su respectiva solicitud, las cual podrá presentar a la entidad por lo menos un (1) día hábil antes de la expedición del acto administrativo de apertura del proceso de contratación, acreditar: </w:t>
      </w:r>
      <w:r w:rsidRPr="00383512">
        <w:rPr>
          <w:rFonts w:ascii="Century Gothic" w:hAnsi="Century Gothic" w:eastAsia="Arial" w:cs="Arial"/>
          <w:i/>
          <w:iCs/>
          <w:color w:val="000000"/>
          <w:lang w:val="es-ES" w:eastAsia="es-ES"/>
        </w:rPr>
        <w:t xml:space="preserve">i) </w:t>
      </w:r>
      <w:r w:rsidRPr="00383512">
        <w:rPr>
          <w:rFonts w:ascii="Century Gothic" w:hAnsi="Century Gothic" w:eastAsia="Arial" w:cs="Arial"/>
          <w:color w:val="000000"/>
          <w:lang w:val="es-ES" w:eastAsia="es-ES"/>
        </w:rPr>
        <w:t xml:space="preserve">que tiene el tamaño empresarial establecido por la ley para ser considerada </w:t>
      </w:r>
      <w:proofErr w:type="spellStart"/>
      <w:r w:rsidRPr="00383512">
        <w:rPr>
          <w:rFonts w:ascii="Century Gothic" w:hAnsi="Century Gothic" w:eastAsia="Arial" w:cs="Arial"/>
          <w:color w:val="000000"/>
          <w:lang w:val="es-ES" w:eastAsia="es-ES"/>
        </w:rPr>
        <w:t>Mipyme</w:t>
      </w:r>
      <w:proofErr w:type="spellEnd"/>
      <w:r w:rsidRPr="00383512">
        <w:rPr>
          <w:rFonts w:ascii="Century Gothic" w:hAnsi="Century Gothic" w:eastAsia="Arial" w:cs="Arial"/>
          <w:i/>
          <w:iCs/>
          <w:color w:val="000000"/>
          <w:lang w:val="es-ES" w:eastAsia="es-ES"/>
        </w:rPr>
        <w:t xml:space="preserve">, </w:t>
      </w:r>
      <w:proofErr w:type="spellStart"/>
      <w:r w:rsidRPr="00383512">
        <w:rPr>
          <w:rFonts w:ascii="Century Gothic" w:hAnsi="Century Gothic" w:eastAsia="Arial" w:cs="Arial"/>
          <w:i/>
          <w:iCs/>
          <w:color w:val="000000"/>
          <w:lang w:val="es-ES" w:eastAsia="es-ES"/>
        </w:rPr>
        <w:t>ii</w:t>
      </w:r>
      <w:proofErr w:type="spellEnd"/>
      <w:r w:rsidRPr="00383512">
        <w:rPr>
          <w:rFonts w:ascii="Century Gothic" w:hAnsi="Century Gothic" w:eastAsia="Arial" w:cs="Arial"/>
          <w:i/>
          <w:iCs/>
          <w:color w:val="000000"/>
          <w:lang w:val="es-ES" w:eastAsia="es-ES"/>
        </w:rPr>
        <w:t xml:space="preserve">) </w:t>
      </w:r>
      <w:r w:rsidRPr="00383512">
        <w:rPr>
          <w:rFonts w:ascii="Century Gothic" w:hAnsi="Century Gothic" w:eastAsia="Arial" w:cs="Arial"/>
          <w:color w:val="000000"/>
          <w:lang w:val="es-ES" w:eastAsia="es-ES"/>
        </w:rPr>
        <w:t>que cuenta mínimo, con un (1) año de existencia y, en caso de que se trate una persona jurídica</w:t>
      </w:r>
      <w:r w:rsidRPr="00383512">
        <w:rPr>
          <w:rFonts w:ascii="Century Gothic" w:hAnsi="Century Gothic" w:eastAsia="Arial" w:cs="Arial"/>
          <w:i/>
          <w:iCs/>
          <w:color w:val="000000"/>
          <w:lang w:val="es-ES" w:eastAsia="es-ES"/>
        </w:rPr>
        <w:t xml:space="preserve">, </w:t>
      </w:r>
      <w:proofErr w:type="spellStart"/>
      <w:r w:rsidRPr="00383512">
        <w:rPr>
          <w:rFonts w:ascii="Century Gothic" w:hAnsi="Century Gothic" w:eastAsia="Arial" w:cs="Arial"/>
          <w:i/>
          <w:iCs/>
          <w:color w:val="000000"/>
          <w:lang w:val="es-ES" w:eastAsia="es-ES"/>
        </w:rPr>
        <w:t>iii</w:t>
      </w:r>
      <w:proofErr w:type="spellEnd"/>
      <w:r w:rsidRPr="00383512">
        <w:rPr>
          <w:rFonts w:ascii="Century Gothic" w:hAnsi="Century Gothic" w:eastAsia="Arial" w:cs="Arial"/>
          <w:i/>
          <w:iCs/>
          <w:color w:val="000000"/>
          <w:lang w:val="es-ES" w:eastAsia="es-ES"/>
        </w:rPr>
        <w:t xml:space="preserve">) </w:t>
      </w:r>
      <w:r w:rsidRPr="00383512">
        <w:rPr>
          <w:rFonts w:ascii="Century Gothic" w:hAnsi="Century Gothic" w:eastAsia="Arial" w:cs="Arial"/>
          <w:color w:val="000000"/>
          <w:lang w:val="es-ES" w:eastAsia="es-ES"/>
        </w:rPr>
        <w:t xml:space="preserve">que su objeto social le permite ejecutar el contrato relacionado con el proceso contractual. Información esta, que verificará la Entidad Estatal que adelanta el respectivo proceso de contratación, para así determinar si procede o no a efectuar la limitación de la convocaría. Sin embargo, debe aclararse, que las entidades en el marco del principio de </w:t>
      </w:r>
      <w:r w:rsidRPr="00383512" w:rsidDel="00D62425">
        <w:rPr>
          <w:rFonts w:ascii="Century Gothic" w:hAnsi="Century Gothic" w:eastAsia="Arial" w:cs="Arial"/>
          <w:color w:val="000000"/>
          <w:lang w:val="es-ES" w:eastAsia="es-ES"/>
        </w:rPr>
        <w:t>autonomía</w:t>
      </w:r>
      <w:r w:rsidRPr="00383512">
        <w:rPr>
          <w:rFonts w:ascii="Century Gothic" w:hAnsi="Century Gothic" w:eastAsia="Arial" w:cs="Arial"/>
          <w:color w:val="000000"/>
          <w:lang w:val="es-ES" w:eastAsia="es-ES"/>
        </w:rPr>
        <w:t xml:space="preserve"> están facultadas para establecer en el pliego de condiciones, las reglas a través de las cuales se acreditarán dichas situaciones, esto, bajo la observación de lo señalado en el artículo 2.2.1.2.4.2.4 del Decreto 1082 de 2015, modificado por el artículo 5 del Decreto 1860 de 2021. Dicha norma, en su tenor literal dispone:</w:t>
      </w:r>
    </w:p>
    <w:p w:rsidRPr="00383512" w:rsidR="002034E5" w:rsidP="002034E5" w:rsidRDefault="002034E5" w14:paraId="31B0327C" w14:textId="77777777">
      <w:pPr>
        <w:spacing w:after="0" w:line="276" w:lineRule="auto"/>
        <w:jc w:val="both"/>
        <w:rPr>
          <w:rFonts w:ascii="Century Gothic" w:hAnsi="Century Gothic" w:eastAsia="Arial" w:cs="Arial"/>
          <w:color w:val="000000"/>
        </w:rPr>
      </w:pPr>
    </w:p>
    <w:p w:rsidRPr="00383512" w:rsidR="002034E5" w:rsidP="00E03F69" w:rsidRDefault="002034E5" w14:paraId="4F8D9344"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r w:rsidRPr="00BC10E2">
        <w:rPr>
          <w:rFonts w:ascii="Century Gothic" w:hAnsi="Century Gothic" w:eastAsia="Calibri" w:cs="Arial"/>
          <w:sz w:val="20"/>
          <w:szCs w:val="20"/>
          <w:lang w:eastAsia="es-ES_tradnl"/>
        </w:rPr>
        <w:t>“</w:t>
      </w:r>
      <w:r w:rsidRPr="00383512">
        <w:rPr>
          <w:rFonts w:ascii="Century Gothic" w:hAnsi="Century Gothic" w:eastAsia="Calibri" w:cs="Arial"/>
          <w:bCs/>
          <w:sz w:val="20"/>
          <w:szCs w:val="20"/>
          <w:lang w:val="es-ES_tradnl" w:eastAsia="es-ES_tradnl"/>
        </w:rPr>
        <w:t>Artículo 2.2.1.2.4.2.4. Acreditación de requisitos para participar en convocatorias limitadas.</w:t>
      </w:r>
      <w:r w:rsidRPr="00383512">
        <w:rPr>
          <w:rFonts w:ascii="Century Gothic" w:hAnsi="Century Gothic" w:eastAsia="Calibri" w:cs="Arial"/>
          <w:sz w:val="20"/>
          <w:szCs w:val="20"/>
          <w:lang w:val="es-ES_tradnl" w:eastAsia="es-ES_tradnl"/>
        </w:rPr>
        <w:t xml:space="preserve"> La Mipyme colombianas deben acreditar que tiene el tamaño empresarial establecido por la ley de la siguiente manera: </w:t>
      </w:r>
    </w:p>
    <w:p w:rsidRPr="00383512" w:rsidR="002034E5" w:rsidP="00E03F69" w:rsidRDefault="002034E5" w14:paraId="055777D7"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p>
    <w:p w:rsidRPr="00383512" w:rsidR="002034E5" w:rsidP="00E03F69" w:rsidRDefault="002034E5" w14:paraId="079D284F"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r w:rsidRPr="00383512">
        <w:rPr>
          <w:rFonts w:ascii="Century Gothic" w:hAnsi="Century Gothic" w:eastAsia="Calibri" w:cs="Arial"/>
          <w:sz w:val="20"/>
          <w:szCs w:val="20"/>
          <w:lang w:val="es-ES_tradnl" w:eastAsia="es-ES_tradnl"/>
        </w:rPr>
        <w:t xml:space="preserve">1. Las personas naturales mediante certificación expedida por ellos y un contador público, adjuntando copia del registro mercantil. </w:t>
      </w:r>
    </w:p>
    <w:p w:rsidRPr="00383512" w:rsidR="002034E5" w:rsidP="00E03F69" w:rsidRDefault="002034E5" w14:paraId="332010D4" w14:textId="77777777">
      <w:pPr>
        <w:tabs>
          <w:tab w:val="left" w:pos="7938"/>
        </w:tabs>
        <w:spacing w:before="120" w:after="0" w:line="240" w:lineRule="auto"/>
        <w:ind w:left="709" w:right="900"/>
        <w:contextualSpacing/>
        <w:jc w:val="both"/>
        <w:rPr>
          <w:rFonts w:ascii="Century Gothic" w:hAnsi="Century Gothic" w:eastAsia="Calibri" w:cs="Arial"/>
          <w:sz w:val="20"/>
          <w:szCs w:val="20"/>
          <w:lang w:val="es-ES_tradnl" w:eastAsia="es-ES_tradnl"/>
        </w:rPr>
      </w:pPr>
    </w:p>
    <w:p w:rsidRPr="00383512" w:rsidR="002034E5" w:rsidP="00E03F69" w:rsidRDefault="002034E5" w14:paraId="70325C58" w14:textId="77777777">
      <w:pPr>
        <w:tabs>
          <w:tab w:val="left" w:pos="7938"/>
        </w:tabs>
        <w:spacing w:before="120" w:after="0" w:line="240" w:lineRule="auto"/>
        <w:ind w:left="709" w:right="900"/>
        <w:contextualSpacing/>
        <w:jc w:val="both"/>
        <w:rPr>
          <w:rFonts w:ascii="Century Gothic" w:hAnsi="Century Gothic" w:eastAsia="Calibri" w:cs="Arial"/>
          <w:sz w:val="20"/>
          <w:szCs w:val="20"/>
          <w:lang w:val="es-ES_tradnl" w:eastAsia="es-ES_tradnl"/>
        </w:rPr>
      </w:pPr>
      <w:r w:rsidRPr="00383512">
        <w:rPr>
          <w:rFonts w:ascii="Century Gothic" w:hAnsi="Century Gothic" w:eastAsia="Calibri" w:cs="Arial"/>
          <w:sz w:val="20"/>
          <w:szCs w:val="20"/>
          <w:lang w:val="es-ES_tradnl" w:eastAsia="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rsidRPr="00383512" w:rsidR="002034E5" w:rsidP="00E03F69" w:rsidRDefault="002034E5" w14:paraId="570D992C" w14:textId="77777777">
      <w:pPr>
        <w:tabs>
          <w:tab w:val="left" w:pos="6660"/>
          <w:tab w:val="left" w:pos="7938"/>
        </w:tabs>
        <w:spacing w:after="0" w:line="240" w:lineRule="auto"/>
        <w:ind w:left="709" w:right="900"/>
        <w:contextualSpacing/>
        <w:jc w:val="both"/>
        <w:rPr>
          <w:rFonts w:ascii="Century Gothic" w:hAnsi="Century Gothic" w:eastAsia="Calibri" w:cs="Arial"/>
          <w:b/>
          <w:bCs/>
          <w:sz w:val="20"/>
          <w:szCs w:val="20"/>
          <w:lang w:val="es-ES_tradnl" w:eastAsia="es-ES_tradnl"/>
        </w:rPr>
      </w:pPr>
    </w:p>
    <w:p w:rsidRPr="00383512" w:rsidR="002034E5" w:rsidP="00E03F69" w:rsidRDefault="002034E5" w14:paraId="3FBA1AE8" w14:textId="77777777">
      <w:pPr>
        <w:tabs>
          <w:tab w:val="left" w:pos="7938"/>
        </w:tabs>
        <w:spacing w:after="0" w:line="240" w:lineRule="auto"/>
        <w:ind w:left="709" w:right="900"/>
        <w:contextualSpacing/>
        <w:jc w:val="both"/>
        <w:rPr>
          <w:rFonts w:ascii="Century Gothic" w:hAnsi="Century Gothic" w:eastAsia="Calibri" w:cs="Arial"/>
          <w:sz w:val="20"/>
          <w:szCs w:val="20"/>
          <w:lang w:val="es-ES" w:eastAsia="es-ES"/>
        </w:rPr>
      </w:pPr>
      <w:r w:rsidRPr="00383512">
        <w:rPr>
          <w:rFonts w:ascii="Century Gothic" w:hAnsi="Century Gothic" w:eastAsia="Calibri" w:cs="Arial"/>
          <w:sz w:val="20"/>
          <w:szCs w:val="20"/>
          <w:lang w:val="es-ES" w:eastAsia="es-ES"/>
        </w:rPr>
        <w:t>Parágrafo 1. En todo caso, las Mipyme también podrán acreditar esta condición con la copia del certificado del Registro Único de Proponentes, el cual deberá encontrarse vigente y en firme al momento de su presentación.</w:t>
      </w:r>
    </w:p>
    <w:p w:rsidRPr="00383512" w:rsidR="002034E5" w:rsidP="00E03F69" w:rsidRDefault="002034E5" w14:paraId="61A6FBAA"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p>
    <w:p w:rsidRPr="00383512" w:rsidR="002034E5" w:rsidP="00E03F69" w:rsidRDefault="002034E5" w14:paraId="5E118A3D" w14:textId="77777777">
      <w:pPr>
        <w:tabs>
          <w:tab w:val="left" w:pos="7938"/>
        </w:tabs>
        <w:spacing w:after="0" w:line="240" w:lineRule="auto"/>
        <w:ind w:left="709" w:right="900"/>
        <w:contextualSpacing/>
        <w:jc w:val="both"/>
        <w:rPr>
          <w:rFonts w:ascii="Century Gothic" w:hAnsi="Century Gothic" w:eastAsia="Calibri" w:cs="Arial"/>
          <w:sz w:val="20"/>
          <w:szCs w:val="20"/>
          <w:lang w:val="es-ES" w:eastAsia="es-ES"/>
        </w:rPr>
      </w:pPr>
      <w:r w:rsidRPr="00383512">
        <w:rPr>
          <w:rFonts w:ascii="Century Gothic" w:hAnsi="Century Gothic" w:eastAsia="Calibri" w:cs="Arial"/>
          <w:sz w:val="20"/>
          <w:szCs w:val="20"/>
          <w:lang w:val="es-ES" w:eastAsia="es-ES"/>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rsidRPr="00383512" w:rsidR="002034E5" w:rsidP="00E03F69" w:rsidRDefault="002034E5" w14:paraId="61F12C10"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p>
    <w:p w:rsidRPr="00383512" w:rsidR="002034E5" w:rsidP="00E03F69" w:rsidRDefault="002034E5" w14:paraId="7C343CD9" w14:textId="77777777">
      <w:pPr>
        <w:tabs>
          <w:tab w:val="left" w:pos="7938"/>
        </w:tabs>
        <w:spacing w:after="0" w:line="240" w:lineRule="auto"/>
        <w:ind w:left="709" w:right="900"/>
        <w:contextualSpacing/>
        <w:jc w:val="both"/>
        <w:rPr>
          <w:rFonts w:ascii="Century Gothic" w:hAnsi="Century Gothic" w:eastAsia="Calibri" w:cs="Arial"/>
          <w:sz w:val="20"/>
          <w:szCs w:val="20"/>
          <w:lang w:val="es-ES" w:eastAsia="es-ES"/>
        </w:rPr>
      </w:pPr>
      <w:r w:rsidRPr="00383512">
        <w:rPr>
          <w:rFonts w:ascii="Century Gothic" w:hAnsi="Century Gothic" w:eastAsia="Calibri" w:cs="Arial"/>
          <w:sz w:val="20"/>
          <w:szCs w:val="20"/>
          <w:lang w:val="es-ES" w:eastAsia="es-ES"/>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rsidRPr="00383512" w:rsidR="002034E5" w:rsidP="00E03F69" w:rsidRDefault="002034E5" w14:paraId="7B0F4544"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p>
    <w:p w:rsidRPr="00BC10E2" w:rsidR="002034E5" w:rsidP="00E03F69" w:rsidRDefault="002034E5" w14:paraId="13E14C66" w14:textId="77777777">
      <w:pPr>
        <w:tabs>
          <w:tab w:val="left" w:pos="7938"/>
        </w:tabs>
        <w:spacing w:after="0" w:line="240" w:lineRule="auto"/>
        <w:ind w:left="709" w:right="900"/>
        <w:contextualSpacing/>
        <w:jc w:val="both"/>
        <w:rPr>
          <w:rFonts w:ascii="Century Gothic" w:hAnsi="Century Gothic" w:eastAsia="Calibri" w:cs="Arial"/>
          <w:sz w:val="20"/>
          <w:szCs w:val="20"/>
          <w:lang w:val="es-ES_tradnl" w:eastAsia="es-ES_tradnl"/>
        </w:rPr>
      </w:pPr>
      <w:r w:rsidRPr="00383512">
        <w:rPr>
          <w:rFonts w:ascii="Century Gothic" w:hAnsi="Century Gothic" w:eastAsia="Calibri" w:cs="Arial"/>
          <w:sz w:val="20"/>
          <w:szCs w:val="20"/>
          <w:lang w:val="es-ES_tradnl" w:eastAsia="es-ES_tradnl"/>
        </w:rPr>
        <w:t>Parágrafo 4. Los incentivos previstos en los artículos 2.2.1.2.4.2.2 y 2.2.1.2.4.2.3 de este Decreto no excluyen la aplicación de los criterios diferenciales para los emprendimientos y empresas de mujeres en el sistema de compras públicas</w:t>
      </w:r>
      <w:r w:rsidRPr="00BC10E2">
        <w:rPr>
          <w:rFonts w:ascii="Century Gothic" w:hAnsi="Century Gothic" w:eastAsia="Times New Roman" w:cs="Arial"/>
          <w:sz w:val="20"/>
          <w:szCs w:val="20"/>
          <w:lang w:eastAsia="es-ES_tradnl"/>
        </w:rPr>
        <w:t>”</w:t>
      </w:r>
      <w:r w:rsidRPr="00BC10E2">
        <w:rPr>
          <w:rFonts w:ascii="Century Gothic" w:hAnsi="Century Gothic" w:eastAsia="Calibri" w:cs="Arial"/>
          <w:sz w:val="20"/>
          <w:szCs w:val="20"/>
          <w:lang w:val="es-ES_tradnl" w:eastAsia="es-ES_tradnl"/>
        </w:rPr>
        <w:t>.</w:t>
      </w:r>
    </w:p>
    <w:p w:rsidRPr="00383512" w:rsidR="002034E5" w:rsidP="002034E5" w:rsidRDefault="002034E5" w14:paraId="453CA0EC" w14:textId="77777777">
      <w:pPr>
        <w:spacing w:after="0" w:line="276" w:lineRule="auto"/>
        <w:jc w:val="both"/>
        <w:rPr>
          <w:rFonts w:ascii="Century Gothic" w:hAnsi="Century Gothic" w:cs="Arial"/>
          <w:bCs/>
          <w:lang w:val="es-ES_tradnl" w:eastAsia="es-ES"/>
        </w:rPr>
      </w:pPr>
    </w:p>
    <w:p w:rsidR="002034E5" w:rsidP="00EA7809" w:rsidRDefault="002034E5" w14:paraId="1DD64FF4" w14:textId="74221776">
      <w:pPr>
        <w:spacing w:after="120" w:line="276" w:lineRule="auto"/>
        <w:jc w:val="both"/>
        <w:rPr>
          <w:rFonts w:ascii="Century Gothic" w:hAnsi="Century Gothic" w:cs="Arial"/>
          <w:bCs/>
          <w:lang w:val="es-ES_tradnl" w:eastAsia="es-ES"/>
        </w:rPr>
      </w:pPr>
      <w:r w:rsidRPr="00383512">
        <w:rPr>
          <w:rFonts w:ascii="Century Gothic" w:hAnsi="Century Gothic" w:cs="Arial"/>
          <w:bCs/>
          <w:lang w:val="es-ES_tradnl" w:eastAsia="es-ES"/>
        </w:rPr>
        <w:tab/>
      </w:r>
      <w:r w:rsidRPr="00383512">
        <w:rPr>
          <w:rFonts w:ascii="Century Gothic" w:hAnsi="Century Gothic" w:cs="Arial"/>
          <w:lang w:val="es-ES" w:eastAsia="es-ES"/>
        </w:rPr>
        <w:t>En tal sentido, la norma precitada señala las formas en las que las Mipyme colombianas deben acreditar el tamaño empresarial establecido por la ley; de este modo, las entidades deben dar cumplimiento expreso a las distintas posibilidades que otorga el Decreto 1082 de 2015, para que las Mipyme acrediten que tienen el tamaño empresarial dispuesto en la norma. Esto, sin perjuicio de que las entidades determinen en cada caso concreto, si los particulares partícipes de sus procesos de contratación cumplen o no las condiciones antes explicadas, para así dilucidar si limitan o no la convocatoria a Mipymes.</w:t>
      </w:r>
      <w:r>
        <w:rPr>
          <w:rFonts w:ascii="Century Gothic" w:hAnsi="Century Gothic" w:cs="Arial"/>
          <w:bCs/>
          <w:lang w:val="es-ES_tradnl" w:eastAsia="es-ES"/>
        </w:rPr>
        <w:t xml:space="preserve"> </w:t>
      </w:r>
    </w:p>
    <w:p w:rsidRPr="00D6409B" w:rsidR="004E2EED" w:rsidP="00D6409B" w:rsidRDefault="004E2EED" w14:paraId="54F755BF" w14:textId="77777777">
      <w:pPr>
        <w:spacing w:after="120" w:line="276" w:lineRule="auto"/>
        <w:ind w:firstLine="567"/>
        <w:jc w:val="both"/>
        <w:rPr>
          <w:rFonts w:ascii="Century Gothic" w:hAnsi="Century Gothic" w:cs="Arial"/>
          <w:lang w:val="es-ES" w:eastAsia="es-ES"/>
        </w:rPr>
      </w:pPr>
    </w:p>
    <w:p w:rsidRPr="000A1659" w:rsidR="0041484C" w:rsidP="0041484C" w:rsidRDefault="002034E5" w14:paraId="720FF55B" w14:textId="77777777">
      <w:pPr>
        <w:spacing w:after="0" w:line="276" w:lineRule="auto"/>
        <w:jc w:val="both"/>
        <w:rPr>
          <w:rFonts w:ascii="Arial" w:hAnsi="Arial" w:cs="Arial"/>
          <w:b/>
          <w:bCs/>
          <w:lang w:val="es-ES"/>
        </w:rPr>
      </w:pPr>
      <w:r w:rsidRPr="00C64D3A">
        <w:rPr>
          <w:rFonts w:ascii="Century Gothic" w:hAnsi="Century Gothic" w:eastAsia="Calibri" w:cs="Arial"/>
          <w:b/>
          <w:lang w:eastAsia="es-ES"/>
        </w:rPr>
        <w:t xml:space="preserve">2.2 </w:t>
      </w:r>
      <w:r w:rsidRPr="00C64D3A" w:rsidR="0041484C">
        <w:rPr>
          <w:rFonts w:ascii="Century Gothic" w:hAnsi="Century Gothic" w:eastAsia="Calibri" w:cs="Arial"/>
          <w:b/>
          <w:lang w:eastAsia="es-ES"/>
        </w:rPr>
        <w:t>Regulación de los criterios diferenciales en favor de las Mipyme nacionales en el Decreto 1860 de 2021</w:t>
      </w:r>
    </w:p>
    <w:p w:rsidRPr="000A1659" w:rsidR="0041484C" w:rsidP="0041484C" w:rsidRDefault="0041484C" w14:paraId="69448E14" w14:textId="77777777">
      <w:pPr>
        <w:spacing w:after="0" w:line="276" w:lineRule="auto"/>
        <w:jc w:val="both"/>
        <w:rPr>
          <w:rFonts w:ascii="Arial" w:hAnsi="Arial" w:eastAsia="Times New Roman" w:cs="Arial"/>
          <w:color w:val="000000" w:themeColor="text1"/>
          <w:lang w:eastAsia="es-MX"/>
        </w:rPr>
      </w:pPr>
    </w:p>
    <w:p w:rsidRPr="00C64D3A" w:rsidR="0041484C" w:rsidP="0041484C" w:rsidRDefault="0041484C" w14:paraId="060B965F" w14:textId="08E772F0">
      <w:pPr>
        <w:spacing w:after="120" w:line="276" w:lineRule="auto"/>
        <w:jc w:val="both"/>
        <w:rPr>
          <w:rFonts w:ascii="Century Gothic" w:hAnsi="Century Gothic" w:eastAsia="Arial" w:cs="Arial"/>
          <w:lang w:eastAsia="es-MX"/>
        </w:rPr>
      </w:pPr>
      <w:bookmarkStart w:name="_Hlk110840316" w:id="0"/>
      <w:r w:rsidRPr="00C64D3A">
        <w:rPr>
          <w:rFonts w:ascii="Century Gothic" w:hAnsi="Century Gothic" w:eastAsia="Times New Roman" w:cs="Arial"/>
          <w:color w:val="000000" w:themeColor="text1"/>
          <w:lang w:eastAsia="es-MX"/>
        </w:rPr>
        <w:t xml:space="preserve">El artículo 3 del Decreto 1860 de 2021, que adicionó </w:t>
      </w:r>
      <w:r w:rsidRPr="00C64D3A">
        <w:rPr>
          <w:rFonts w:ascii="Century Gothic" w:hAnsi="Century Gothic" w:eastAsia="Times New Roman" w:cs="Arial"/>
          <w:bCs/>
          <w:color w:val="000000" w:themeColor="text1"/>
          <w:lang w:eastAsia="es-MX"/>
        </w:rPr>
        <w:t xml:space="preserve">el artículo 2.2.1.2.4.2.18 al </w:t>
      </w:r>
      <w:r w:rsidRPr="00C64D3A">
        <w:rPr>
          <w:rFonts w:ascii="Century Gothic" w:hAnsi="Century Gothic" w:eastAsia="Times New Roman" w:cs="Arial"/>
          <w:lang w:eastAsia="es-MX"/>
        </w:rPr>
        <w:t>Decreto 1082 de 2015 regul</w:t>
      </w:r>
      <w:r w:rsidR="009004C7">
        <w:rPr>
          <w:rFonts w:ascii="Century Gothic" w:hAnsi="Century Gothic" w:eastAsia="Times New Roman" w:cs="Arial"/>
          <w:lang w:eastAsia="es-MX"/>
        </w:rPr>
        <w:t>ó</w:t>
      </w:r>
      <w:r w:rsidRPr="00C64D3A">
        <w:rPr>
          <w:rFonts w:ascii="Century Gothic" w:hAnsi="Century Gothic" w:eastAsia="Times New Roman" w:cs="Arial"/>
          <w:lang w:eastAsia="es-MX"/>
        </w:rPr>
        <w:t xml:space="preserve"> los criterios diferenciales para Mipyme en el sistema de compras públicas. Conforme a esta norma las entidades estatales </w:t>
      </w:r>
      <w:r w:rsidRPr="00C64D3A">
        <w:rPr>
          <w:rFonts w:ascii="Century Gothic" w:hAnsi="Century Gothic" w:eastAsia="Times New Roman" w:cs="Arial"/>
          <w:lang w:eastAsia="es-MX"/>
        </w:rPr>
        <w:t xml:space="preserve">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w:t>
      </w:r>
    </w:p>
    <w:p w:rsidRPr="00C64D3A" w:rsidR="0041484C" w:rsidP="0041484C" w:rsidRDefault="0041484C" w14:paraId="05946CB8" w14:textId="77777777">
      <w:pPr>
        <w:spacing w:after="120" w:line="276" w:lineRule="auto"/>
        <w:jc w:val="both"/>
        <w:rPr>
          <w:rFonts w:ascii="Century Gothic" w:hAnsi="Century Gothic" w:eastAsia="Times New Roman" w:cs="Arial"/>
          <w:color w:val="000000" w:themeColor="text1"/>
          <w:lang w:eastAsia="es-MX"/>
        </w:rPr>
      </w:pPr>
      <w:r w:rsidRPr="00C64D3A">
        <w:rPr>
          <w:rFonts w:ascii="Century Gothic" w:hAnsi="Century Gothic" w:eastAsia="Arial" w:cs="Arial"/>
          <w:lang w:eastAsia="es-MX"/>
        </w:rPr>
        <w:tab/>
      </w:r>
      <w:r w:rsidRPr="00C64D3A">
        <w:rPr>
          <w:rFonts w:ascii="Century Gothic" w:hAnsi="Century Gothic" w:eastAsia="Times New Roman" w:cs="Arial"/>
          <w:lang w:eastAsia="es-MX"/>
        </w:rPr>
        <w:t xml:space="preserve">Estos criterios en favor de las Mipyme buscan reducir las asimetrías entre estas y las grandes empresas para vincularse como proveedoras al mercado de compras públicas y, en consecuencia, promover y facilitar la participación en los procedimientos de selección competitivos de las Mipyme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C64D3A">
        <w:rPr>
          <w:rFonts w:ascii="Century Gothic" w:hAnsi="Century Gothic" w:eastAsia="Times New Roman" w:cs="Arial"/>
          <w:color w:val="000000" w:themeColor="text1"/>
          <w:lang w:eastAsia="es-MX"/>
        </w:rPr>
        <w:t xml:space="preserve">requisitos habilitantes diferenciales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rsidRPr="00C64D3A" w:rsidR="0041484C" w:rsidP="0041484C" w:rsidRDefault="0041484C" w14:paraId="2A1B76C8" w14:textId="77777777">
      <w:pPr>
        <w:spacing w:after="120" w:line="276" w:lineRule="auto"/>
        <w:ind w:firstLine="708"/>
        <w:jc w:val="both"/>
        <w:rPr>
          <w:rFonts w:ascii="Century Gothic" w:hAnsi="Century Gothic" w:eastAsia="Times New Roman" w:cs="Arial"/>
          <w:lang w:eastAsia="es-MX"/>
        </w:rPr>
      </w:pPr>
      <w:r w:rsidRPr="00C64D3A">
        <w:rPr>
          <w:rFonts w:ascii="Century Gothic" w:hAnsi="Century Gothic" w:eastAsia="Times New Roman" w:cs="Arial"/>
          <w:color w:val="000000" w:themeColor="text1"/>
          <w:lang w:eastAsia="es-MX"/>
        </w:rPr>
        <w:t xml:space="preserve">Lo anterior significa que para la determinación de los criterios diferenciales para Mipyme,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Mipyme. </w:t>
      </w:r>
    </w:p>
    <w:bookmarkEnd w:id="0"/>
    <w:p w:rsidRPr="00C64D3A" w:rsidR="0041484C" w:rsidP="0041484C" w:rsidRDefault="0041484C" w14:paraId="7AA8A960" w14:textId="276BDEC1">
      <w:pPr>
        <w:spacing w:after="120" w:line="276" w:lineRule="auto"/>
        <w:ind w:firstLine="708"/>
        <w:jc w:val="both"/>
        <w:rPr>
          <w:rFonts w:ascii="Century Gothic" w:hAnsi="Century Gothic" w:eastAsia="Times New Roman" w:cs="Arial"/>
          <w:color w:val="000000" w:themeColor="text1"/>
          <w:lang w:eastAsia="es-MX"/>
        </w:rPr>
      </w:pPr>
      <w:r w:rsidRPr="00C64D3A">
        <w:rPr>
          <w:rFonts w:ascii="Century Gothic" w:hAnsi="Century Gothic" w:eastAsia="Times New Roman" w:cs="Arial"/>
          <w:lang w:eastAsia="es-MX"/>
        </w:rPr>
        <w:t>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w:t>
      </w:r>
      <w:r w:rsidR="00D72857">
        <w:rPr>
          <w:rFonts w:ascii="Century Gothic" w:hAnsi="Century Gothic" w:eastAsia="Times New Roman" w:cs="Arial"/>
          <w:lang w:eastAsia="es-MX"/>
        </w:rPr>
        <w:t>; e</w:t>
      </w:r>
      <w:r w:rsidRPr="00C64D3A">
        <w:rPr>
          <w:rFonts w:ascii="Century Gothic" w:hAnsi="Century Gothic" w:eastAsia="Times New Roman" w:cs="Arial"/>
          <w:color w:val="000000" w:themeColor="text1"/>
          <w:lang w:eastAsia="es-MX"/>
        </w:rPr>
        <w:t xml:space="preserve">sto con el objeto de que la aplicación del incentivo no vaya en desmedro de la </w:t>
      </w:r>
      <w:r w:rsidRPr="00C64D3A">
        <w:rPr>
          <w:rFonts w:ascii="Century Gothic" w:hAnsi="Century Gothic" w:eastAsia="Times New Roman" w:cs="Arial"/>
          <w:color w:val="000000" w:themeColor="text1"/>
          <w:lang w:eastAsia="es-MX"/>
        </w:rPr>
        <w:t xml:space="preserve">escogencia de la oferta más favorable para la entidad, conforme el deber de selección objetiva exige, por lo que el reglamento estimó como adecuado el porcentaje señalado. </w:t>
      </w:r>
    </w:p>
    <w:p w:rsidRPr="00C64D3A" w:rsidR="0041484C" w:rsidP="00B900D9" w:rsidRDefault="0041484C" w14:paraId="3376B618" w14:textId="77777777">
      <w:pPr>
        <w:spacing w:after="120" w:line="276" w:lineRule="auto"/>
        <w:ind w:firstLine="708"/>
        <w:jc w:val="both"/>
        <w:rPr>
          <w:rFonts w:ascii="Century Gothic" w:hAnsi="Century Gothic" w:eastAsia="Times New Roman" w:cs="Arial"/>
          <w:color w:val="000000" w:themeColor="text1"/>
          <w:lang w:eastAsia="es-MX"/>
        </w:rPr>
      </w:pPr>
      <w:r w:rsidRPr="00C64D3A">
        <w:rPr>
          <w:rFonts w:ascii="Century Gothic" w:hAnsi="Century Gothic" w:eastAsia="Times New Roman" w:cs="Arial"/>
          <w:lang w:eastAsia="es-MX"/>
        </w:rPr>
        <w:t>En lo relativo a la aplicación de los criterios diferenciales y puntajes adicionales para proponentes plurales solo se aplicarán si por lo menos uno de los integrantes acredita la calidad de Mipyme y tiene una participación igual o superior al diez por ciento (10%) en el consorcio o en la unión temporal. Así mismo, de conformidad con el parágrafo 3 del artículo 2.2.1.2.4.2.18 del Decreto 1082 de 2015 los criterios diferenciales y puntajes adicionales en favor de las micro, pequeñas y medianas empresas no</w:t>
      </w:r>
      <w:r w:rsidRPr="00C64D3A">
        <w:rPr>
          <w:rFonts w:ascii="Century Gothic" w:hAnsi="Century Gothic" w:eastAsia="Times New Roman" w:cs="Arial"/>
          <w:color w:val="000000" w:themeColor="text1"/>
          <w:lang w:eastAsia="es-MX"/>
        </w:rPr>
        <w:t xml:space="preserve"> se aplicarán cuando se limiten las convocatorias a Mipyme en los términos de los artículos 2.2.1.2.4.2.2 y 2.2.1.2.4.2.3 de este Decreto. </w:t>
      </w:r>
    </w:p>
    <w:p w:rsidRPr="00D6409B" w:rsidR="003D58EF" w:rsidP="00B900D9" w:rsidRDefault="003D58EF" w14:paraId="46E717AC" w14:textId="3F2074AE">
      <w:pPr>
        <w:spacing w:after="120" w:line="276" w:lineRule="auto"/>
        <w:ind w:firstLine="567"/>
        <w:jc w:val="both"/>
        <w:rPr>
          <w:rFonts w:ascii="Century Gothic" w:hAnsi="Century Gothic" w:cs="Arial"/>
          <w:lang w:val="es-ES" w:eastAsia="es-ES"/>
        </w:rPr>
      </w:pPr>
      <w:r w:rsidRPr="00D6409B">
        <w:rPr>
          <w:rFonts w:ascii="Century Gothic" w:hAnsi="Century Gothic" w:cs="Arial"/>
          <w:lang w:val="es-ES" w:eastAsia="es-ES"/>
        </w:rPr>
        <w:t xml:space="preserve">Teniendo en cuenta lo anterior, </w:t>
      </w:r>
      <w:r>
        <w:rPr>
          <w:rFonts w:ascii="Century Gothic" w:hAnsi="Century Gothic" w:cs="Arial"/>
          <w:lang w:val="es-ES" w:eastAsia="es-ES"/>
        </w:rPr>
        <w:t xml:space="preserve">en donde se describió lo referente a la </w:t>
      </w:r>
      <w:r w:rsidR="00180047">
        <w:rPr>
          <w:rFonts w:ascii="Century Gothic" w:hAnsi="Century Gothic" w:cs="Arial"/>
          <w:lang w:val="es-ES" w:eastAsia="es-ES"/>
        </w:rPr>
        <w:t xml:space="preserve">aplicación de </w:t>
      </w:r>
      <w:r w:rsidRPr="00C64D3A" w:rsidR="00180047">
        <w:rPr>
          <w:rFonts w:ascii="Century Gothic" w:hAnsi="Century Gothic" w:eastAsia="Times New Roman" w:cs="Arial"/>
          <w:lang w:eastAsia="es-MX"/>
        </w:rPr>
        <w:t>criterios diferenciales y puntajes adicionales</w:t>
      </w:r>
      <w:r w:rsidR="00180047">
        <w:rPr>
          <w:rFonts w:ascii="Century Gothic" w:hAnsi="Century Gothic" w:eastAsia="Times New Roman" w:cs="Arial"/>
          <w:lang w:eastAsia="es-MX"/>
        </w:rPr>
        <w:t xml:space="preserve"> para</w:t>
      </w:r>
      <w:r>
        <w:rPr>
          <w:rFonts w:ascii="Century Gothic" w:hAnsi="Century Gothic" w:cs="Arial"/>
          <w:lang w:val="es-ES" w:eastAsia="es-ES"/>
        </w:rPr>
        <w:t xml:space="preserve"> Mipyme</w:t>
      </w:r>
      <w:r w:rsidRPr="00D6409B">
        <w:rPr>
          <w:rFonts w:ascii="Century Gothic" w:hAnsi="Century Gothic" w:cs="Arial"/>
          <w:lang w:val="es-ES" w:eastAsia="es-ES"/>
        </w:rPr>
        <w:t>, se analizará la participación de las ESAL en procesos contractuales limitados a Mipyme, reiterando y precisando la postura adoptada por esta Agencia en conceptos anteriores.</w:t>
      </w:r>
    </w:p>
    <w:p w:rsidRPr="003D58EF" w:rsidR="0041484C" w:rsidP="002034E5" w:rsidRDefault="0041484C" w14:paraId="70D337C8" w14:textId="6C34980C">
      <w:pPr>
        <w:jc w:val="both"/>
        <w:rPr>
          <w:rFonts w:ascii="Century Gothic" w:hAnsi="Century Gothic" w:eastAsia="Calibri" w:cs="Arial"/>
          <w:b/>
          <w:bCs/>
          <w:lang w:val="es-ES"/>
        </w:rPr>
      </w:pPr>
    </w:p>
    <w:p w:rsidRPr="00E03F69" w:rsidR="002034E5" w:rsidP="002034E5" w:rsidRDefault="007446FA" w14:paraId="41C5FB50" w14:textId="2ADEA589">
      <w:pPr>
        <w:jc w:val="both"/>
        <w:rPr>
          <w:rFonts w:ascii="Century Gothic" w:hAnsi="Century Gothic" w:eastAsia="Calibri" w:cs="Arial"/>
          <w:b/>
        </w:rPr>
      </w:pPr>
      <w:r>
        <w:rPr>
          <w:rFonts w:ascii="Century Gothic" w:hAnsi="Century Gothic" w:cs="Arial"/>
          <w:b/>
          <w:bCs/>
          <w:lang w:val="es-ES_tradnl"/>
        </w:rPr>
        <w:t>2.3</w:t>
      </w:r>
      <w:r w:rsidR="002034E5">
        <w:rPr>
          <w:rFonts w:ascii="Century Gothic" w:hAnsi="Century Gothic" w:cs="Arial"/>
          <w:b/>
          <w:lang w:val="es-ES_tradnl"/>
        </w:rPr>
        <w:t xml:space="preserve"> </w:t>
      </w:r>
      <w:r w:rsidRPr="00E03F69" w:rsidR="00E03F69">
        <w:rPr>
          <w:rFonts w:ascii="Century Gothic" w:hAnsi="Century Gothic" w:cs="Arial"/>
          <w:b/>
          <w:bCs/>
          <w:lang w:val="es-ES_tradnl"/>
        </w:rPr>
        <w:t>Participación de las ESAL en los procesos contractuales limitados a Mipyme</w:t>
      </w:r>
    </w:p>
    <w:p w:rsidR="00363751" w:rsidP="00363751" w:rsidRDefault="00363751" w14:paraId="5110B8CF" w14:textId="77777777">
      <w:pPr>
        <w:spacing w:after="120" w:line="276" w:lineRule="auto"/>
        <w:jc w:val="both"/>
        <w:rPr>
          <w:rFonts w:ascii="Century Gothic" w:hAnsi="Century Gothic" w:cs="Arial"/>
          <w:lang w:val="es-ES_tradnl"/>
        </w:rPr>
      </w:pPr>
    </w:p>
    <w:p w:rsidRPr="00BC10E2" w:rsidR="00F404A7" w:rsidP="00363751" w:rsidRDefault="00F404A7" w14:paraId="244676D9" w14:textId="39BBEFA1">
      <w:pPr>
        <w:spacing w:after="120" w:line="276" w:lineRule="auto"/>
        <w:jc w:val="both"/>
        <w:rPr>
          <w:rFonts w:ascii="Century Gothic" w:hAnsi="Century Gothic" w:cs="Arial"/>
          <w:lang w:val="es-ES_tradnl"/>
        </w:rPr>
      </w:pPr>
      <w:r w:rsidRPr="00F404A7">
        <w:rPr>
          <w:rFonts w:ascii="Century Gothic" w:hAnsi="Century Gothic" w:cs="Arial"/>
          <w:lang w:val="es-ES_tradnl"/>
        </w:rPr>
        <w:t>El artículo 43 de la Ley 1450 de 2011</w:t>
      </w:r>
      <w:r w:rsidR="00E37EE2">
        <w:rPr>
          <w:rFonts w:ascii="Century Gothic" w:hAnsi="Century Gothic" w:cs="Arial"/>
          <w:lang w:val="es-ES_tradnl"/>
        </w:rPr>
        <w:t xml:space="preserve"> que modificó el </w:t>
      </w:r>
      <w:r w:rsidRPr="00F404A7" w:rsidR="00E37EE2">
        <w:rPr>
          <w:rFonts w:ascii="Century Gothic" w:hAnsi="Century Gothic" w:cs="Arial"/>
          <w:lang w:val="es-ES_tradnl"/>
        </w:rPr>
        <w:t xml:space="preserve">artículo 2 de la Ley 590 de 2000, </w:t>
      </w:r>
      <w:r w:rsidRPr="00F404A7">
        <w:rPr>
          <w:rFonts w:ascii="Century Gothic" w:hAnsi="Century Gothic" w:cs="Arial"/>
          <w:lang w:val="es-ES_tradnl"/>
        </w:rPr>
        <w:t>define la empresa como toda unidad de explotación económica que realiza una persona natural o jurídica en actividades agropecuarias, industriales, comerciales o de servicios</w:t>
      </w:r>
      <w:r w:rsidRPr="00BC10E2">
        <w:rPr>
          <w:rStyle w:val="Refdenotaalpie"/>
          <w:rFonts w:ascii="Century Gothic" w:hAnsi="Century Gothic" w:cs="Arial"/>
          <w:lang w:val="es-ES_tradnl"/>
        </w:rPr>
        <w:footnoteReference w:id="9"/>
      </w:r>
      <w:r w:rsidRPr="00BC10E2">
        <w:rPr>
          <w:rFonts w:ascii="Century Gothic" w:hAnsi="Century Gothic" w:cs="Arial"/>
          <w:lang w:val="es-ES_tradnl"/>
        </w:rPr>
        <w:t xml:space="preserve">. </w:t>
      </w:r>
      <w:r w:rsidRPr="00F404A7">
        <w:rPr>
          <w:rFonts w:ascii="Century Gothic" w:hAnsi="Century Gothic" w:cs="Arial"/>
          <w:lang w:val="es-ES_tradnl"/>
        </w:rPr>
        <w:t xml:space="preserve">Además, establece que estas se clasifican en micro, pequeña, </w:t>
      </w:r>
      <w:r w:rsidRPr="00F404A7">
        <w:rPr>
          <w:rFonts w:ascii="Century Gothic" w:hAnsi="Century Gothic" w:cs="Arial"/>
          <w:lang w:val="es-ES_tradnl"/>
        </w:rPr>
        <w:t>mediana y gran empresa, de acuerdo con los criterios del número de trabajadores totales, el valor de ventas brutales anuales y el valor de activos totales. Ahora bien, el artículo 2.2.1.13.2.2. del Decreto 1074 de 2015, adicionado por el Decreto 957 de 2019, establece que:</w:t>
      </w:r>
      <w:r w:rsidRPr="00BC10E2">
        <w:rPr>
          <w:rFonts w:ascii="Century Gothic" w:hAnsi="Century Gothic" w:cs="Arial"/>
          <w:lang w:val="es-ES_tradnl"/>
        </w:rPr>
        <w:t xml:space="preserve"> </w:t>
      </w:r>
    </w:p>
    <w:p w:rsidR="00716BC7" w:rsidP="00070F38" w:rsidRDefault="00716BC7" w14:paraId="679A2CBC" w14:textId="6863154E">
      <w:pPr>
        <w:pStyle w:val="Prrafodelista"/>
        <w:numPr>
          <w:ilvl w:val="0"/>
          <w:numId w:val="7"/>
        </w:numPr>
        <w:tabs>
          <w:tab w:val="left" w:pos="993"/>
        </w:tabs>
        <w:spacing w:after="120" w:line="276" w:lineRule="auto"/>
        <w:ind w:left="0" w:firstLine="851"/>
        <w:jc w:val="both"/>
        <w:rPr>
          <w:rFonts w:ascii="Century Gothic" w:hAnsi="Century Gothic" w:cs="Arial"/>
          <w:lang w:val="es-ES_tradnl"/>
        </w:rPr>
      </w:pPr>
      <w:r w:rsidRPr="00716BC7">
        <w:rPr>
          <w:rFonts w:ascii="Century Gothic" w:hAnsi="Century Gothic" w:cs="Arial"/>
          <w:lang w:val="es-ES_tradnl"/>
        </w:rPr>
        <w:t>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p>
    <w:p w:rsidRPr="00716BC7" w:rsidR="00070F38" w:rsidP="00070F38" w:rsidRDefault="00070F38" w14:paraId="1A0AF578" w14:textId="77777777">
      <w:pPr>
        <w:pStyle w:val="Prrafodelista"/>
        <w:tabs>
          <w:tab w:val="left" w:pos="993"/>
        </w:tabs>
        <w:spacing w:after="120" w:line="276" w:lineRule="auto"/>
        <w:ind w:left="851"/>
        <w:jc w:val="both"/>
        <w:rPr>
          <w:rFonts w:ascii="Century Gothic" w:hAnsi="Century Gothic" w:cs="Arial"/>
          <w:lang w:val="es-ES_tradnl"/>
        </w:rPr>
      </w:pPr>
    </w:p>
    <w:p w:rsidR="00F404A7" w:rsidP="00070F38" w:rsidRDefault="00F404A7" w14:paraId="3B6C04B1" w14:textId="72B632D2">
      <w:pPr>
        <w:pStyle w:val="Prrafodelista"/>
        <w:numPr>
          <w:ilvl w:val="0"/>
          <w:numId w:val="7"/>
        </w:numPr>
        <w:tabs>
          <w:tab w:val="left" w:pos="993"/>
        </w:tabs>
        <w:spacing w:after="120" w:line="276" w:lineRule="auto"/>
        <w:ind w:left="0" w:firstLine="851"/>
        <w:jc w:val="both"/>
        <w:rPr>
          <w:rFonts w:ascii="Century Gothic" w:hAnsi="Century Gothic" w:cs="Arial"/>
          <w:lang w:val="es-ES_tradnl"/>
        </w:rPr>
      </w:pPr>
      <w:r w:rsidRPr="00F404A7">
        <w:rPr>
          <w:rFonts w:ascii="Century Gothic" w:hAnsi="Century Gothic" w:cs="Arial"/>
          <w:lang w:val="es-ES_tradnl"/>
        </w:rPr>
        <w:t>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rsidRPr="00F404A7" w:rsidR="00070F38" w:rsidP="00070F38" w:rsidRDefault="00070F38" w14:paraId="42B2F78A" w14:textId="77777777">
      <w:pPr>
        <w:pStyle w:val="Prrafodelista"/>
        <w:tabs>
          <w:tab w:val="left" w:pos="993"/>
        </w:tabs>
        <w:spacing w:after="120" w:line="276" w:lineRule="auto"/>
        <w:ind w:left="851"/>
        <w:jc w:val="both"/>
        <w:rPr>
          <w:rFonts w:ascii="Century Gothic" w:hAnsi="Century Gothic" w:cs="Arial"/>
          <w:lang w:val="es-ES_tradnl"/>
        </w:rPr>
      </w:pPr>
    </w:p>
    <w:p w:rsidR="00F404A7" w:rsidP="0001412B" w:rsidRDefault="00070F38" w14:paraId="39FCC47B" w14:textId="372C244F">
      <w:pPr>
        <w:pStyle w:val="Prrafodelista"/>
        <w:numPr>
          <w:ilvl w:val="0"/>
          <w:numId w:val="7"/>
        </w:numPr>
        <w:tabs>
          <w:tab w:val="left" w:pos="993"/>
        </w:tabs>
        <w:spacing w:before="120" w:after="120" w:line="276" w:lineRule="auto"/>
        <w:ind w:left="0" w:firstLine="709"/>
        <w:jc w:val="both"/>
        <w:rPr>
          <w:rFonts w:ascii="Century Gothic" w:hAnsi="Century Gothic" w:cs="Arial"/>
          <w:lang w:val="es-ES_tradnl"/>
        </w:rPr>
      </w:pPr>
      <w:r w:rsidRPr="00070F38">
        <w:rPr>
          <w:rFonts w:ascii="Century Gothic" w:hAnsi="Century Gothic" w:cs="Arial"/>
          <w:lang w:val="es-ES_tradnl"/>
        </w:rPr>
        <w:t xml:space="preserve">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w:t>
      </w:r>
      <w:r w:rsidRPr="00070F38">
        <w:rPr>
          <w:rFonts w:ascii="Century Gothic" w:hAnsi="Century Gothic" w:cs="Arial"/>
          <w:lang w:val="es-ES_tradnl"/>
        </w:rPr>
        <w:t>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00F404A7" w:rsidR="00F404A7">
        <w:rPr>
          <w:rStyle w:val="Refdenotaalpie"/>
          <w:rFonts w:ascii="Century Gothic" w:hAnsi="Century Gothic" w:cs="Arial"/>
          <w:lang w:val="es-ES_tradnl"/>
        </w:rPr>
        <w:footnoteReference w:id="10"/>
      </w:r>
      <w:r w:rsidRPr="00070F38" w:rsidR="00F404A7">
        <w:rPr>
          <w:rFonts w:ascii="Century Gothic" w:hAnsi="Century Gothic" w:cs="Arial"/>
          <w:lang w:val="es-ES_tradnl"/>
        </w:rPr>
        <w:t>”.</w:t>
      </w:r>
    </w:p>
    <w:p w:rsidRPr="00F404A7" w:rsidR="00F404A7" w:rsidP="0001412B" w:rsidRDefault="00F404A7" w14:paraId="310A75C8" w14:textId="67D67414">
      <w:pPr>
        <w:spacing w:before="120" w:after="120" w:line="276" w:lineRule="auto"/>
        <w:ind w:firstLine="709"/>
        <w:jc w:val="both"/>
        <w:rPr>
          <w:rFonts w:ascii="Century Gothic" w:hAnsi="Century Gothic" w:cs="Arial"/>
          <w:lang w:val="es-ES"/>
        </w:rPr>
      </w:pPr>
      <w:r w:rsidRPr="13797D34">
        <w:rPr>
          <w:rFonts w:ascii="Century Gothic" w:hAnsi="Century Gothic" w:cs="Arial"/>
          <w:lang w:val="es-ES"/>
        </w:rPr>
        <w:t>Teniendo en cuenta lo anterior, es importante precisar que esta Agencia ha sostenido de forma reiterada la tesis</w:t>
      </w:r>
      <w:r w:rsidRPr="13797D34" w:rsidR="00890BDE">
        <w:rPr>
          <w:rStyle w:val="Refdenotaalpie"/>
          <w:rFonts w:ascii="Century Gothic" w:hAnsi="Century Gothic" w:cs="Arial"/>
          <w:lang w:val="es-ES"/>
        </w:rPr>
        <w:footnoteReference w:id="11"/>
      </w:r>
      <w:r w:rsidRPr="13797D34">
        <w:rPr>
          <w:rFonts w:ascii="Century Gothic" w:hAnsi="Century Gothic" w:cs="Arial"/>
          <w:lang w:val="es-ES"/>
        </w:rPr>
        <w:t xml:space="preserve"> consistente en que las ESAL no pueden </w:t>
      </w:r>
      <w:r w:rsidRPr="13797D34" w:rsidR="000A6A8C">
        <w:rPr>
          <w:rFonts w:ascii="Century Gothic" w:hAnsi="Century Gothic" w:cs="Arial"/>
          <w:lang w:val="es-ES"/>
        </w:rPr>
        <w:t xml:space="preserve">solicitar la limitación </w:t>
      </w:r>
      <w:r w:rsidRPr="13797D34" w:rsidR="002556C3">
        <w:rPr>
          <w:rFonts w:ascii="Century Gothic" w:hAnsi="Century Gothic" w:cs="Arial"/>
          <w:lang w:val="es-ES"/>
        </w:rPr>
        <w:t>de los</w:t>
      </w:r>
      <w:r w:rsidRPr="13797D34">
        <w:rPr>
          <w:rFonts w:ascii="Century Gothic" w:hAnsi="Century Gothic" w:cs="Arial"/>
          <w:lang w:val="es-ES"/>
        </w:rPr>
        <w:t xml:space="preserve"> procesos contractuales Mipyme</w:t>
      </w:r>
      <w:r w:rsidRPr="13797D34" w:rsidR="003A2DAB">
        <w:rPr>
          <w:rFonts w:ascii="Century Gothic" w:hAnsi="Century Gothic" w:cs="Arial"/>
          <w:lang w:val="es-ES"/>
        </w:rPr>
        <w:t>,</w:t>
      </w:r>
      <w:r w:rsidRPr="13797D34" w:rsidR="002556C3">
        <w:rPr>
          <w:rFonts w:ascii="Century Gothic" w:hAnsi="Century Gothic" w:cs="Arial"/>
          <w:lang w:val="es-ES"/>
        </w:rPr>
        <w:t xml:space="preserve"> ni participar en procesos en los que se hubiese realizado la limitación</w:t>
      </w:r>
      <w:r w:rsidRPr="13797D34">
        <w:rPr>
          <w:rFonts w:ascii="Century Gothic" w:hAnsi="Century Gothic" w:cs="Arial"/>
          <w:lang w:val="es-ES"/>
        </w:rPr>
        <w:t xml:space="preserve">, considerando que en </w:t>
      </w:r>
      <w:r w:rsidRPr="13797D34" w:rsidR="00E34413">
        <w:rPr>
          <w:rFonts w:ascii="Century Gothic" w:hAnsi="Century Gothic" w:cs="Arial"/>
          <w:lang w:val="es-ES"/>
        </w:rPr>
        <w:t>atención</w:t>
      </w:r>
      <w:r w:rsidRPr="13797D34">
        <w:rPr>
          <w:rFonts w:ascii="Century Gothic" w:hAnsi="Century Gothic" w:cs="Arial"/>
          <w:lang w:val="es-ES"/>
        </w:rPr>
        <w:t xml:space="preserve"> del artículo 43 de la Ley 1450 de 20</w:t>
      </w:r>
      <w:r w:rsidRPr="13797D34" w:rsidR="00B14D94">
        <w:rPr>
          <w:rFonts w:ascii="Century Gothic" w:hAnsi="Century Gothic" w:cs="Arial"/>
          <w:lang w:val="es-ES"/>
        </w:rPr>
        <w:t>11</w:t>
      </w:r>
      <w:r w:rsidRPr="13797D34">
        <w:rPr>
          <w:rFonts w:ascii="Century Gothic" w:hAnsi="Century Gothic" w:cs="Arial"/>
          <w:lang w:val="es-ES"/>
        </w:rPr>
        <w:t xml:space="preserve">, que modificó el artículo 2 de la Ley 590 de 2000, puede decirse que solo podrán ser Mipymes las empresas, entendidas estas como las unidades de explotación económica que buscan el reparto de utilidades entre los miembros de la empresa. De esta forma, en razón a que las ESAL no persiguen el reparto de utilidades entre sus miembros, </w:t>
      </w:r>
      <w:r w:rsidRPr="13797D34" w:rsidR="00001D5E">
        <w:rPr>
          <w:rFonts w:ascii="Century Gothic" w:hAnsi="Century Gothic" w:cs="Arial"/>
          <w:lang w:val="es-ES"/>
        </w:rPr>
        <w:t xml:space="preserve">en el entendido en que no </w:t>
      </w:r>
      <w:r w:rsidRPr="13797D34" w:rsidR="00C44DE9">
        <w:rPr>
          <w:rFonts w:ascii="Century Gothic" w:hAnsi="Century Gothic" w:cs="Arial"/>
          <w:lang w:val="es-ES"/>
        </w:rPr>
        <w:t xml:space="preserve">tienen ánimo de lucro, y </w:t>
      </w:r>
      <w:r w:rsidRPr="13797D34" w:rsidR="00E34413">
        <w:rPr>
          <w:rFonts w:ascii="Century Gothic" w:hAnsi="Century Gothic" w:cs="Arial"/>
          <w:lang w:val="es-ES"/>
        </w:rPr>
        <w:t xml:space="preserve">que </w:t>
      </w:r>
      <w:r w:rsidRPr="13797D34">
        <w:rPr>
          <w:rFonts w:ascii="Century Gothic" w:hAnsi="Century Gothic" w:cs="Arial"/>
          <w:lang w:val="es-ES"/>
        </w:rPr>
        <w:t xml:space="preserve">su objeto está destinado a realizar </w:t>
      </w:r>
      <w:r w:rsidRPr="13797D34" w:rsidR="00C44DE9">
        <w:rPr>
          <w:rFonts w:ascii="Century Gothic" w:hAnsi="Century Gothic" w:cs="Arial"/>
          <w:lang w:val="es-ES"/>
        </w:rPr>
        <w:t>actividades</w:t>
      </w:r>
      <w:r w:rsidRPr="13797D34">
        <w:rPr>
          <w:rFonts w:ascii="Century Gothic" w:hAnsi="Century Gothic" w:cs="Arial"/>
          <w:lang w:val="es-ES"/>
        </w:rPr>
        <w:t xml:space="preserve"> de interés general sin esperar a cambio un reparto de ganancia en proporción a sus utilidades, lo cierto es que estas no podrán participar en los procesos de contratación limitado a </w:t>
      </w:r>
      <w:r w:rsidRPr="13797D34" w:rsidR="00E1090F">
        <w:rPr>
          <w:rFonts w:ascii="Century Gothic" w:hAnsi="Century Gothic" w:cs="Arial"/>
          <w:lang w:val="es-ES"/>
        </w:rPr>
        <w:t>M</w:t>
      </w:r>
      <w:r w:rsidRPr="13797D34">
        <w:rPr>
          <w:rFonts w:ascii="Century Gothic" w:hAnsi="Century Gothic" w:cs="Arial"/>
          <w:lang w:val="es-ES"/>
        </w:rPr>
        <w:t xml:space="preserve">ipymes. Lo anterior teniendo en cuenta que no responden al concepto de empresa que involucra dicha categoría, por lo que no resulta jurídicamente válido aplicar a las ESAL las normas dirigidas a las Mipymes. </w:t>
      </w:r>
    </w:p>
    <w:p w:rsidR="00F404A7" w:rsidP="22F23A06" w:rsidRDefault="00F404A7" w14:paraId="71350AC1" w14:textId="2819C52D" w14:noSpellErr="1">
      <w:pPr>
        <w:spacing w:after="120" w:line="276" w:lineRule="auto"/>
        <w:ind w:firstLine="708"/>
        <w:jc w:val="both"/>
        <w:rPr>
          <w:rFonts w:ascii="Century Gothic" w:hAnsi="Century Gothic" w:cs="Arial"/>
          <w:lang w:val="es-ES"/>
        </w:rPr>
      </w:pPr>
      <w:r w:rsidRPr="22F23A06" w:rsidR="00F404A7">
        <w:rPr>
          <w:rFonts w:ascii="Century Gothic" w:hAnsi="Century Gothic" w:cs="Arial"/>
          <w:lang w:val="es-ES"/>
        </w:rPr>
        <w:t>Retomando la postura indicada, debe aclararse que en virtud del artículo 43 de la Ley 1450 de 2011, que modificó el artículo 2 de la Ley 590 de 2000, y a la luz de las consideraciones contenidas en los párrafos precedentes, puede decirse que solo podrán ser Mipymes</w:t>
      </w:r>
      <w:r w:rsidRPr="22F23A06" w:rsidR="00F404A7">
        <w:rPr>
          <w:rFonts w:ascii="Century Gothic" w:hAnsi="Century Gothic" w:cs="Arial"/>
          <w:lang w:val="es-ES"/>
        </w:rPr>
        <w:t xml:space="preserve"> </w:t>
      </w:r>
      <w:r w:rsidRPr="22F23A06" w:rsidR="00F404A7">
        <w:rPr>
          <w:rFonts w:ascii="Century Gothic" w:hAnsi="Century Gothic" w:cs="Arial"/>
          <w:lang w:val="es-ES"/>
        </w:rPr>
        <w:t xml:space="preserve">las empresas, entendidas estas como las unidades de </w:t>
      </w:r>
      <w:r w:rsidRPr="22F23A06" w:rsidR="00F404A7">
        <w:rPr>
          <w:rFonts w:ascii="Century Gothic" w:hAnsi="Century Gothic" w:cs="Arial"/>
          <w:lang w:val="es-ES"/>
        </w:rPr>
        <w:t>explotación económica que buscan el reparto de utilidades entre los miembros de la empresa</w:t>
      </w:r>
      <w:r w:rsidRPr="22F23A06" w:rsidR="0090699B">
        <w:rPr>
          <w:rFonts w:ascii="Century Gothic" w:hAnsi="Century Gothic" w:cs="Arial"/>
          <w:lang w:val="es-ES"/>
        </w:rPr>
        <w:t>,</w:t>
      </w:r>
      <w:r w:rsidRPr="22F23A06" w:rsidR="00F404A7">
        <w:rPr>
          <w:rFonts w:ascii="Century Gothic" w:hAnsi="Century Gothic" w:cs="Arial"/>
          <w:lang w:val="es-ES"/>
        </w:rPr>
        <w:t xml:space="preserve"> en razón a que las ESAL no persiguen el reparto de utilidades entre sus miembros, </w:t>
      </w:r>
      <w:r w:rsidRPr="22F23A06" w:rsidR="00132CD0">
        <w:rPr>
          <w:rFonts w:ascii="Century Gothic" w:hAnsi="Century Gothic" w:cs="Arial"/>
          <w:lang w:val="es-ES"/>
        </w:rPr>
        <w:t>y</w:t>
      </w:r>
      <w:r w:rsidRPr="22F23A06" w:rsidR="00F404A7">
        <w:rPr>
          <w:rFonts w:ascii="Century Gothic" w:hAnsi="Century Gothic" w:cs="Arial"/>
          <w:lang w:val="es-ES"/>
        </w:rPr>
        <w:t xml:space="preserve"> por regla general, no </w:t>
      </w:r>
      <w:r w:rsidRPr="22F23A06" w:rsidR="00D43230">
        <w:rPr>
          <w:rFonts w:ascii="Century Gothic" w:hAnsi="Century Gothic" w:cs="Arial"/>
          <w:lang w:val="es-ES"/>
        </w:rPr>
        <w:t>podr</w:t>
      </w:r>
      <w:r w:rsidRPr="22F23A06" w:rsidR="00D43230">
        <w:rPr>
          <w:rFonts w:ascii="Century Gothic" w:hAnsi="Century Gothic" w:cs="Arial"/>
          <w:lang w:val="es-ES"/>
        </w:rPr>
        <w:t>í</w:t>
      </w:r>
      <w:r w:rsidRPr="22F23A06" w:rsidR="00D43230">
        <w:rPr>
          <w:rFonts w:ascii="Century Gothic" w:hAnsi="Century Gothic" w:cs="Arial"/>
          <w:lang w:val="es-ES"/>
        </w:rPr>
        <w:t>an</w:t>
      </w:r>
      <w:r w:rsidRPr="22F23A06" w:rsidR="00F404A7">
        <w:rPr>
          <w:rFonts w:ascii="Century Gothic" w:hAnsi="Century Gothic" w:cs="Arial"/>
          <w:lang w:val="es-ES"/>
        </w:rPr>
        <w:t xml:space="preserve"> participar en los procesos de contratación limitados a Mipymes</w:t>
      </w:r>
      <w:r w:rsidRPr="22F23A06" w:rsidR="00132CD0">
        <w:rPr>
          <w:rFonts w:ascii="Century Gothic" w:hAnsi="Century Gothic" w:cs="Arial"/>
          <w:lang w:val="es-ES"/>
        </w:rPr>
        <w:t>; l</w:t>
      </w:r>
      <w:r w:rsidRPr="22F23A06" w:rsidR="00F404A7">
        <w:rPr>
          <w:rFonts w:ascii="Century Gothic" w:hAnsi="Century Gothic" w:cs="Arial"/>
          <w:lang w:val="es-ES"/>
        </w:rPr>
        <w:t xml:space="preserve">o anterior no quiere </w:t>
      </w:r>
      <w:r w:rsidRPr="22F23A06" w:rsidR="00132CD0">
        <w:rPr>
          <w:rFonts w:ascii="Century Gothic" w:hAnsi="Century Gothic" w:cs="Arial"/>
          <w:lang w:val="es-ES"/>
        </w:rPr>
        <w:t>significar</w:t>
      </w:r>
      <w:r w:rsidRPr="22F23A06" w:rsidR="00F404A7">
        <w:rPr>
          <w:rFonts w:ascii="Century Gothic" w:hAnsi="Century Gothic" w:cs="Arial"/>
          <w:lang w:val="es-ES"/>
        </w:rPr>
        <w:t xml:space="preserve"> que las ESAL no sean personas jurídicas o que no tengan capacidad contractual. De hecho, el Decreto </w:t>
      </w:r>
      <w:r w:rsidRPr="22F23A06" w:rsidR="005A0060">
        <w:rPr>
          <w:rFonts w:ascii="Century Gothic" w:hAnsi="Century Gothic" w:cs="Arial"/>
          <w:lang w:val="es-ES"/>
        </w:rPr>
        <w:t>0</w:t>
      </w:r>
      <w:r w:rsidRPr="22F23A06" w:rsidR="00F404A7">
        <w:rPr>
          <w:rFonts w:ascii="Century Gothic" w:hAnsi="Century Gothic" w:cs="Arial"/>
          <w:lang w:val="es-ES"/>
        </w:rPr>
        <w:t>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Mipymes</w:t>
      </w:r>
      <w:r w:rsidRPr="22F23A06" w:rsidR="00F025CB">
        <w:rPr>
          <w:rFonts w:ascii="Century Gothic" w:hAnsi="Century Gothic" w:cs="Arial"/>
          <w:lang w:val="es-ES"/>
        </w:rPr>
        <w:t>.</w:t>
      </w:r>
    </w:p>
    <w:p w:rsidR="000E3FC0" w:rsidP="00F404A7" w:rsidRDefault="000E3FC0" w14:paraId="5E8CFED2" w14:textId="77777777">
      <w:pPr>
        <w:spacing w:after="120" w:line="276" w:lineRule="auto"/>
        <w:ind w:firstLine="708"/>
        <w:jc w:val="both"/>
        <w:rPr>
          <w:rFonts w:ascii="Century Gothic" w:hAnsi="Century Gothic" w:cs="Arial"/>
          <w:lang w:val="es-ES_tradnl"/>
        </w:rPr>
      </w:pPr>
    </w:p>
    <w:p w:rsidRPr="00383512" w:rsidR="002034E5" w:rsidP="002034E5" w:rsidRDefault="002034E5" w14:paraId="12A6DB4B" w14:textId="77777777">
      <w:pPr>
        <w:pStyle w:val="Prrafodelista"/>
        <w:numPr>
          <w:ilvl w:val="0"/>
          <w:numId w:val="6"/>
        </w:numPr>
        <w:spacing w:after="0" w:line="276" w:lineRule="auto"/>
        <w:ind w:left="284" w:hanging="284"/>
        <w:jc w:val="both"/>
        <w:rPr>
          <w:rFonts w:ascii="Century Gothic" w:hAnsi="Century Gothic" w:eastAsia="Calibri" w:cs="Arial"/>
          <w:lang w:eastAsia="es-ES"/>
        </w:rPr>
      </w:pPr>
      <w:r w:rsidRPr="00383512">
        <w:rPr>
          <w:rFonts w:ascii="Century Gothic" w:hAnsi="Century Gothic" w:eastAsia="Calibri" w:cs="Arial"/>
          <w:b/>
          <w:bCs/>
          <w:lang w:eastAsia="es-ES"/>
        </w:rPr>
        <w:t>Respuestas</w:t>
      </w:r>
    </w:p>
    <w:p w:rsidRPr="00383512" w:rsidR="002034E5" w:rsidP="002034E5" w:rsidRDefault="002034E5" w14:paraId="26378EB6" w14:textId="77777777">
      <w:pPr>
        <w:spacing w:after="0" w:line="240" w:lineRule="auto"/>
        <w:ind w:left="709" w:right="709"/>
        <w:jc w:val="both"/>
        <w:rPr>
          <w:rFonts w:ascii="Century Gothic" w:hAnsi="Century Gothic" w:eastAsia="Calibri"/>
          <w:bCs/>
          <w:i/>
          <w:iCs/>
          <w:sz w:val="20"/>
          <w:szCs w:val="20"/>
        </w:rPr>
      </w:pPr>
    </w:p>
    <w:p w:rsidRPr="00E03F69" w:rsidR="00630C75" w:rsidP="00630C75" w:rsidRDefault="002034E5" w14:paraId="1996FE3D" w14:textId="58D2E45F">
      <w:pPr>
        <w:spacing w:after="0" w:line="240" w:lineRule="auto"/>
        <w:ind w:left="709" w:right="900"/>
        <w:jc w:val="both"/>
        <w:rPr>
          <w:rFonts w:ascii="Century Gothic" w:hAnsi="Century Gothic" w:eastAsia="Calibri" w:cs="Arial"/>
          <w:sz w:val="20"/>
          <w:szCs w:val="20"/>
          <w:lang w:val="es-ES" w:eastAsia="es-ES"/>
        </w:rPr>
      </w:pPr>
      <w:r w:rsidRPr="00383512">
        <w:rPr>
          <w:rFonts w:ascii="Century Gothic" w:hAnsi="Century Gothic" w:eastAsia="Calibri"/>
          <w:bCs/>
          <w:i/>
          <w:iCs/>
          <w:sz w:val="20"/>
          <w:szCs w:val="20"/>
        </w:rPr>
        <w:t>“</w:t>
      </w:r>
      <w:r w:rsidRPr="00E03F69" w:rsidR="00630C75">
        <w:rPr>
          <w:rFonts w:ascii="Century Gothic" w:hAnsi="Century Gothic" w:eastAsia="Calibri" w:cs="Arial"/>
          <w:sz w:val="20"/>
          <w:szCs w:val="20"/>
          <w:lang w:val="es-ES" w:eastAsia="es-ES"/>
        </w:rPr>
        <w:t>1. Una ESAL o entidad sin ánimo de Lucro (Fundaciones), inscrita en el certificado de existencia y representación legal con objeto social y tamaño empresarial, ¿puede solicitar y participar en convocatoria limitadas a MIPYMES?</w:t>
      </w:r>
    </w:p>
    <w:p w:rsidRPr="00E03F69" w:rsidR="00630C75" w:rsidP="00630C75" w:rsidRDefault="00630C75" w14:paraId="50A4214F" w14:textId="77777777">
      <w:pPr>
        <w:spacing w:after="0" w:line="240" w:lineRule="auto"/>
        <w:ind w:left="709" w:right="900"/>
        <w:jc w:val="both"/>
        <w:rPr>
          <w:rFonts w:ascii="Century Gothic" w:hAnsi="Century Gothic" w:eastAsia="Calibri" w:cs="Arial"/>
          <w:sz w:val="20"/>
          <w:szCs w:val="20"/>
          <w:lang w:val="es-ES" w:eastAsia="es-ES"/>
        </w:rPr>
      </w:pPr>
    </w:p>
    <w:p w:rsidR="00CF2155" w:rsidP="00E1090F" w:rsidRDefault="002034E5" w14:paraId="2690879E" w14:textId="77777777">
      <w:pPr>
        <w:spacing w:before="120" w:line="276" w:lineRule="auto"/>
        <w:ind w:right="49"/>
        <w:jc w:val="both"/>
        <w:rPr>
          <w:rFonts w:ascii="Century Gothic" w:hAnsi="Century Gothic" w:cs="Arial"/>
          <w:lang w:val="es-ES_tradnl"/>
        </w:rPr>
      </w:pPr>
      <w:r w:rsidRPr="00383512">
        <w:rPr>
          <w:rFonts w:ascii="Century Gothic" w:hAnsi="Century Gothic"/>
        </w:rPr>
        <w:t>Respecto al primer interrogante, se precisa</w:t>
      </w:r>
      <w:r w:rsidR="002556C3">
        <w:rPr>
          <w:rFonts w:ascii="Century Gothic" w:hAnsi="Century Gothic"/>
        </w:rPr>
        <w:t xml:space="preserve"> que </w:t>
      </w:r>
      <w:r w:rsidRPr="00F404A7" w:rsidR="002556C3">
        <w:rPr>
          <w:rFonts w:ascii="Century Gothic" w:hAnsi="Century Gothic" w:cs="Arial"/>
          <w:lang w:val="es-ES_tradnl"/>
        </w:rPr>
        <w:t xml:space="preserve">las ESAL no pueden </w:t>
      </w:r>
      <w:r w:rsidR="002556C3">
        <w:rPr>
          <w:rFonts w:ascii="Century Gothic" w:hAnsi="Century Gothic" w:cs="Arial"/>
          <w:lang w:val="es-ES_tradnl"/>
        </w:rPr>
        <w:t>solicitar la limitación de los</w:t>
      </w:r>
      <w:r w:rsidRPr="00F404A7" w:rsidR="002556C3">
        <w:rPr>
          <w:rFonts w:ascii="Century Gothic" w:hAnsi="Century Gothic" w:cs="Arial"/>
          <w:lang w:val="es-ES_tradnl"/>
        </w:rPr>
        <w:t xml:space="preserve"> procesos contractuales Mipyme</w:t>
      </w:r>
      <w:r w:rsidR="002556C3">
        <w:rPr>
          <w:rFonts w:ascii="Century Gothic" w:hAnsi="Century Gothic" w:cs="Arial"/>
          <w:lang w:val="es-ES_tradnl"/>
        </w:rPr>
        <w:t>, ni participar en procesos en los que se hubiese realizado la limitación</w:t>
      </w:r>
      <w:r w:rsidRPr="00F404A7" w:rsidR="002556C3">
        <w:rPr>
          <w:rFonts w:ascii="Century Gothic" w:hAnsi="Century Gothic" w:cs="Arial"/>
          <w:lang w:val="es-ES_tradnl"/>
        </w:rPr>
        <w:t xml:space="preserve">, considerando que en </w:t>
      </w:r>
      <w:r w:rsidR="002556C3">
        <w:rPr>
          <w:rFonts w:ascii="Century Gothic" w:hAnsi="Century Gothic" w:cs="Arial"/>
          <w:lang w:val="es-ES_tradnl"/>
        </w:rPr>
        <w:t>atención</w:t>
      </w:r>
      <w:r w:rsidRPr="00F404A7" w:rsidR="002556C3">
        <w:rPr>
          <w:rFonts w:ascii="Century Gothic" w:hAnsi="Century Gothic" w:cs="Arial"/>
          <w:lang w:val="es-ES_tradnl"/>
        </w:rPr>
        <w:t xml:space="preserve"> del artículo 43 de la Ley 1450 de 20</w:t>
      </w:r>
      <w:r w:rsidR="002556C3">
        <w:rPr>
          <w:rFonts w:ascii="Century Gothic" w:hAnsi="Century Gothic" w:cs="Arial"/>
          <w:lang w:val="es-ES_tradnl"/>
        </w:rPr>
        <w:t>11</w:t>
      </w:r>
      <w:r w:rsidRPr="00F404A7" w:rsidR="002556C3">
        <w:rPr>
          <w:rFonts w:ascii="Century Gothic" w:hAnsi="Century Gothic" w:cs="Arial"/>
          <w:lang w:val="es-ES_tradnl"/>
        </w:rPr>
        <w:t>, que modificó el artículo 2 de la Ley 590 de 2000, puede decirse que solo podrán ser Mipymes las empresas, entendidas estas como las unidades de explotación económica que buscan el reparto de utilidades entre los miembros de la empresa</w:t>
      </w:r>
      <w:r w:rsidR="002556C3">
        <w:rPr>
          <w:rFonts w:ascii="Century Gothic" w:hAnsi="Century Gothic" w:cs="Arial"/>
          <w:lang w:val="es-ES_tradnl"/>
        </w:rPr>
        <w:t xml:space="preserve">. </w:t>
      </w:r>
    </w:p>
    <w:p w:rsidRPr="00383512" w:rsidR="002034E5" w:rsidP="00CF2155" w:rsidRDefault="002556C3" w14:paraId="014F4589" w14:textId="1A074047">
      <w:pPr>
        <w:spacing w:before="120" w:line="276" w:lineRule="auto"/>
        <w:ind w:right="49" w:firstLine="708"/>
        <w:jc w:val="both"/>
        <w:rPr>
          <w:rFonts w:ascii="Century Gothic" w:hAnsi="Century Gothic"/>
        </w:rPr>
      </w:pPr>
      <w:r w:rsidRPr="00F404A7">
        <w:rPr>
          <w:rFonts w:ascii="Century Gothic" w:hAnsi="Century Gothic" w:cs="Arial"/>
          <w:lang w:val="es-ES_tradnl"/>
        </w:rPr>
        <w:t xml:space="preserve">De esta forma, en razón a que las ESAL no persiguen el reparto de utilidades entre sus miembros, </w:t>
      </w:r>
      <w:r>
        <w:rPr>
          <w:rFonts w:ascii="Century Gothic" w:hAnsi="Century Gothic" w:cs="Arial"/>
          <w:lang w:val="es-ES_tradnl"/>
        </w:rPr>
        <w:t xml:space="preserve">en el entendido en que no tienen ánimo de lucro, y que </w:t>
      </w:r>
      <w:r w:rsidRPr="00F404A7">
        <w:rPr>
          <w:rFonts w:ascii="Century Gothic" w:hAnsi="Century Gothic" w:cs="Arial"/>
          <w:lang w:val="es-ES_tradnl"/>
        </w:rPr>
        <w:t xml:space="preserve">su objeto está destinado a realizar </w:t>
      </w:r>
      <w:r>
        <w:rPr>
          <w:rFonts w:ascii="Century Gothic" w:hAnsi="Century Gothic" w:cs="Arial"/>
          <w:lang w:val="es-ES_tradnl"/>
        </w:rPr>
        <w:t>actividades</w:t>
      </w:r>
      <w:r w:rsidRPr="00F404A7">
        <w:rPr>
          <w:rFonts w:ascii="Century Gothic" w:hAnsi="Century Gothic" w:cs="Arial"/>
          <w:lang w:val="es-ES_tradnl"/>
        </w:rPr>
        <w:t xml:space="preserve"> de interés general sin esperar a cambio un reparto de ganancia en proporción a sus utilidades, lo cierto es que estas no podrán participar en los procesos de contratación limitado</w:t>
      </w:r>
      <w:r w:rsidR="00940E87">
        <w:rPr>
          <w:rFonts w:ascii="Century Gothic" w:hAnsi="Century Gothic" w:cs="Arial"/>
          <w:lang w:val="es-ES_tradnl"/>
        </w:rPr>
        <w:t>s</w:t>
      </w:r>
      <w:r w:rsidRPr="00F404A7">
        <w:rPr>
          <w:rFonts w:ascii="Century Gothic" w:hAnsi="Century Gothic" w:cs="Arial"/>
          <w:lang w:val="es-ES_tradnl"/>
        </w:rPr>
        <w:t xml:space="preserve"> a </w:t>
      </w:r>
      <w:r>
        <w:rPr>
          <w:rFonts w:ascii="Century Gothic" w:hAnsi="Century Gothic" w:cs="Arial"/>
          <w:lang w:val="es-ES_tradnl"/>
        </w:rPr>
        <w:t>M</w:t>
      </w:r>
      <w:r w:rsidRPr="00F404A7">
        <w:rPr>
          <w:rFonts w:ascii="Century Gothic" w:hAnsi="Century Gothic" w:cs="Arial"/>
          <w:lang w:val="es-ES_tradnl"/>
        </w:rPr>
        <w:t>ipymes. Lo anterior teniendo en cuenta que no responden al concepto de empresa que involucra dicha categoría, por lo que no resulta jurídicamente válido aplicar a las ESAL las normas dirigidas a las Mipymes.</w:t>
      </w:r>
    </w:p>
    <w:p w:rsidRPr="00117302" w:rsidR="00117302" w:rsidP="00117302" w:rsidRDefault="00117302" w14:paraId="30F4FAAE" w14:textId="77777777">
      <w:pPr>
        <w:spacing w:after="0" w:line="240" w:lineRule="auto"/>
        <w:ind w:left="709" w:right="900"/>
        <w:jc w:val="both"/>
        <w:rPr>
          <w:rFonts w:ascii="Century Gothic" w:hAnsi="Century Gothic" w:eastAsia="Calibri"/>
          <w:bCs/>
          <w:i/>
          <w:iCs/>
          <w:sz w:val="20"/>
          <w:szCs w:val="20"/>
        </w:rPr>
      </w:pPr>
      <w:r w:rsidRPr="00117302">
        <w:rPr>
          <w:rFonts w:ascii="Century Gothic" w:hAnsi="Century Gothic" w:eastAsia="Calibri"/>
          <w:bCs/>
          <w:i/>
          <w:iCs/>
          <w:sz w:val="20"/>
          <w:szCs w:val="20"/>
        </w:rPr>
        <w:t>2. Si la respuesta es afirmativa, ¿Qué herramientas jurídicas tiene la entidad</w:t>
      </w:r>
    </w:p>
    <w:p w:rsidRPr="00117302" w:rsidR="00117302" w:rsidP="00117302" w:rsidRDefault="00117302" w14:paraId="4141A8CC" w14:textId="77777777">
      <w:pPr>
        <w:spacing w:after="0" w:line="240" w:lineRule="auto"/>
        <w:ind w:left="709" w:right="900"/>
        <w:jc w:val="both"/>
        <w:rPr>
          <w:rFonts w:ascii="Century Gothic" w:hAnsi="Century Gothic" w:eastAsia="Calibri"/>
          <w:bCs/>
          <w:i/>
          <w:iCs/>
          <w:sz w:val="20"/>
          <w:szCs w:val="20"/>
        </w:rPr>
      </w:pPr>
      <w:r w:rsidRPr="00117302">
        <w:rPr>
          <w:rFonts w:ascii="Century Gothic" w:hAnsi="Century Gothic" w:eastAsia="Calibri"/>
          <w:bCs/>
          <w:i/>
          <w:iCs/>
          <w:sz w:val="20"/>
          <w:szCs w:val="20"/>
        </w:rPr>
        <w:t>estatal para rechazar una solicitud de limitación o propuesta de una Fundación que cumple con cada uno de los requisitos de acreditación establecidos en el decreto 1860/2021 ARTÍCULO 2.2.1.2.4.2.4. en caso de limitar el proceso a Mipyme?</w:t>
      </w:r>
    </w:p>
    <w:p w:rsidRPr="004A2B52" w:rsidR="002034E5" w:rsidP="002034E5" w:rsidRDefault="002034E5" w14:paraId="6E5AD013" w14:textId="39C4B99A">
      <w:pPr>
        <w:spacing w:before="120" w:line="276" w:lineRule="auto"/>
        <w:ind w:right="49"/>
        <w:jc w:val="both"/>
        <w:rPr>
          <w:rFonts w:ascii="Century Gothic" w:hAnsi="Century Gothic" w:eastAsia="Calibri"/>
          <w:bCs/>
          <w:iCs/>
          <w:szCs w:val="20"/>
        </w:rPr>
      </w:pPr>
      <w:r w:rsidRPr="004A2B52">
        <w:rPr>
          <w:rFonts w:ascii="Century Gothic" w:hAnsi="Century Gothic" w:eastAsia="Calibri"/>
          <w:bCs/>
          <w:iCs/>
          <w:szCs w:val="20"/>
        </w:rPr>
        <w:t xml:space="preserve">Respecto al segundo interrogante, </w:t>
      </w:r>
      <w:r w:rsidRPr="004A2B52" w:rsidR="00392FEB">
        <w:rPr>
          <w:rFonts w:ascii="Century Gothic" w:hAnsi="Century Gothic" w:eastAsia="Calibri"/>
          <w:bCs/>
          <w:iCs/>
          <w:szCs w:val="20"/>
        </w:rPr>
        <w:t xml:space="preserve">no se pronunciará la Agencia en el entendido </w:t>
      </w:r>
      <w:r w:rsidRPr="004A2B52" w:rsidR="00195E19">
        <w:rPr>
          <w:rFonts w:ascii="Century Gothic" w:hAnsi="Century Gothic" w:eastAsia="Calibri"/>
          <w:bCs/>
          <w:iCs/>
          <w:szCs w:val="20"/>
        </w:rPr>
        <w:t xml:space="preserve">en que el supuesto planteado, no </w:t>
      </w:r>
      <w:r w:rsidRPr="004A2B52" w:rsidR="00F9618B">
        <w:rPr>
          <w:rFonts w:ascii="Century Gothic" w:hAnsi="Century Gothic" w:eastAsia="Calibri"/>
          <w:bCs/>
          <w:iCs/>
          <w:szCs w:val="20"/>
        </w:rPr>
        <w:t>tiene procedencia en atención a la respuesta dada en el primer interrogante.</w:t>
      </w:r>
    </w:p>
    <w:p w:rsidRPr="00117302" w:rsidR="002034E5" w:rsidP="00117302" w:rsidRDefault="00117302" w14:paraId="0A27D7A9" w14:textId="4C310D7E">
      <w:pPr>
        <w:spacing w:after="0" w:line="240" w:lineRule="auto"/>
        <w:ind w:left="709" w:right="900"/>
        <w:jc w:val="both"/>
        <w:rPr>
          <w:rFonts w:ascii="Century Gothic" w:hAnsi="Century Gothic" w:eastAsia="Calibri"/>
          <w:bCs/>
          <w:i/>
          <w:iCs/>
          <w:sz w:val="20"/>
          <w:szCs w:val="20"/>
        </w:rPr>
      </w:pPr>
      <w:r w:rsidRPr="00117302">
        <w:rPr>
          <w:rFonts w:ascii="Century Gothic" w:hAnsi="Century Gothic" w:eastAsia="Calibri" w:cs="Arial"/>
          <w:i/>
          <w:iCs/>
          <w:sz w:val="20"/>
          <w:szCs w:val="20"/>
          <w:lang w:val="es-ES" w:eastAsia="es-ES"/>
        </w:rPr>
        <w:t>3. ¿Cómo debe proceder una entidad estatal para no permitir que una ESAL – Fundación, participe como Mipyme para obtener el puntaje, en el entendido que el certificado de existencia y representación legal y RUP establece esta condición y según la normativa indica, estos son documentos idóneos para acreditar la calidad de Mipyme?</w:t>
      </w:r>
      <w:r w:rsidRPr="00117302" w:rsidR="002034E5">
        <w:rPr>
          <w:rFonts w:ascii="Century Gothic" w:hAnsi="Century Gothic" w:eastAsia="Calibri"/>
          <w:bCs/>
          <w:i/>
          <w:iCs/>
          <w:sz w:val="20"/>
          <w:szCs w:val="20"/>
        </w:rPr>
        <w:t xml:space="preserve"> </w:t>
      </w:r>
    </w:p>
    <w:p w:rsidR="002034E5" w:rsidP="00117302" w:rsidRDefault="002034E5" w14:paraId="47721C4F" w14:textId="77777777">
      <w:pPr>
        <w:spacing w:after="0" w:line="240" w:lineRule="auto"/>
        <w:ind w:left="709" w:right="900"/>
        <w:jc w:val="both"/>
        <w:rPr>
          <w:rFonts w:ascii="Century Gothic" w:hAnsi="Century Gothic" w:eastAsia="Calibri"/>
          <w:i/>
          <w:sz w:val="20"/>
          <w:szCs w:val="20"/>
        </w:rPr>
      </w:pPr>
    </w:p>
    <w:p w:rsidRPr="007A3A5C" w:rsidR="00083483" w:rsidP="00083483" w:rsidRDefault="00083483" w14:paraId="2F2ED3F5" w14:textId="77777777">
      <w:pPr>
        <w:spacing w:after="0" w:line="240" w:lineRule="auto"/>
        <w:ind w:left="709" w:right="900"/>
        <w:jc w:val="both"/>
        <w:rPr>
          <w:rFonts w:ascii="Century Gothic" w:hAnsi="Century Gothic" w:eastAsia="Calibri" w:cs="Arial"/>
          <w:i/>
          <w:iCs/>
          <w:sz w:val="20"/>
          <w:szCs w:val="20"/>
          <w:lang w:val="es-ES" w:eastAsia="es-ES"/>
        </w:rPr>
      </w:pPr>
      <w:r w:rsidRPr="007A3A5C">
        <w:rPr>
          <w:rFonts w:ascii="Century Gothic" w:hAnsi="Century Gothic" w:eastAsia="Calibri" w:cs="Arial"/>
          <w:i/>
          <w:iCs/>
          <w:sz w:val="20"/>
          <w:szCs w:val="20"/>
          <w:lang w:val="es-ES" w:eastAsia="es-ES"/>
        </w:rPr>
        <w:t>4. ¿Puede la entidad estatal de forma autónoma y basada en precedentes,  decidir si acepta o no la solicitud de limitar a Mipyme y posterior participación de este tipo de ESAL en un proceso de contratación, diferentes a los establecidos en el decreto 092/2017?</w:t>
      </w:r>
    </w:p>
    <w:p w:rsidRPr="00117302" w:rsidR="00083483" w:rsidP="00117302" w:rsidRDefault="00083483" w14:paraId="0E676232" w14:textId="77777777">
      <w:pPr>
        <w:spacing w:after="0" w:line="240" w:lineRule="auto"/>
        <w:ind w:left="709" w:right="900"/>
        <w:jc w:val="both"/>
        <w:rPr>
          <w:rFonts w:ascii="Century Gothic" w:hAnsi="Century Gothic" w:eastAsia="Calibri"/>
          <w:bCs/>
          <w:i/>
          <w:iCs/>
          <w:sz w:val="20"/>
          <w:szCs w:val="20"/>
        </w:rPr>
      </w:pPr>
    </w:p>
    <w:p w:rsidR="00A42878" w:rsidP="00A42878" w:rsidRDefault="002034E5" w14:paraId="25A9FD2A" w14:textId="7F8302F3">
      <w:pPr>
        <w:spacing w:before="120" w:line="276" w:lineRule="auto"/>
        <w:ind w:right="49"/>
        <w:jc w:val="both"/>
        <w:rPr>
          <w:rFonts w:ascii="Century Gothic" w:hAnsi="Century Gothic" w:eastAsia="Calibri"/>
          <w:bCs/>
          <w:iCs/>
          <w:szCs w:val="20"/>
        </w:rPr>
      </w:pPr>
      <w:r w:rsidRPr="00206CDE">
        <w:rPr>
          <w:rFonts w:ascii="Century Gothic" w:hAnsi="Century Gothic" w:eastAsia="Calibri"/>
          <w:bCs/>
          <w:iCs/>
          <w:szCs w:val="20"/>
        </w:rPr>
        <w:t xml:space="preserve">Respecto al tercer </w:t>
      </w:r>
      <w:r w:rsidRPr="00206CDE" w:rsidR="00A42878">
        <w:rPr>
          <w:rFonts w:ascii="Century Gothic" w:hAnsi="Century Gothic" w:eastAsia="Calibri"/>
          <w:bCs/>
          <w:iCs/>
          <w:szCs w:val="20"/>
        </w:rPr>
        <w:t xml:space="preserve">y cuarto interrogante </w:t>
      </w:r>
      <w:r w:rsidRPr="00206CDE">
        <w:rPr>
          <w:rFonts w:ascii="Century Gothic" w:hAnsi="Century Gothic" w:eastAsia="Calibri"/>
          <w:bCs/>
          <w:iCs/>
          <w:szCs w:val="20"/>
        </w:rPr>
        <w:t xml:space="preserve">se precisa </w:t>
      </w:r>
      <w:r w:rsidRPr="00206CDE" w:rsidR="00A42878">
        <w:rPr>
          <w:rFonts w:ascii="Century Gothic" w:hAnsi="Century Gothic" w:eastAsia="Calibri"/>
          <w:bCs/>
          <w:iCs/>
          <w:szCs w:val="20"/>
        </w:rPr>
        <w:t xml:space="preserve">que para la acreditación de la calidad de Mipyme </w:t>
      </w:r>
      <w:r w:rsidRPr="00206CDE" w:rsidR="00CC1D54">
        <w:rPr>
          <w:rFonts w:ascii="Century Gothic" w:hAnsi="Century Gothic" w:eastAsia="Calibri"/>
          <w:bCs/>
          <w:iCs/>
          <w:szCs w:val="20"/>
        </w:rPr>
        <w:t xml:space="preserve">de conformidad </w:t>
      </w:r>
      <w:r w:rsidR="00676844">
        <w:rPr>
          <w:rFonts w:ascii="Century Gothic" w:hAnsi="Century Gothic" w:eastAsia="Calibri"/>
          <w:bCs/>
          <w:iCs/>
          <w:szCs w:val="20"/>
        </w:rPr>
        <w:t>con e</w:t>
      </w:r>
      <w:r w:rsidRPr="00206CDE" w:rsidR="00CC1D54">
        <w:rPr>
          <w:rFonts w:ascii="Century Gothic" w:hAnsi="Century Gothic" w:eastAsia="Calibri"/>
          <w:bCs/>
          <w:iCs/>
          <w:szCs w:val="20"/>
        </w:rPr>
        <w:t>l artículo 2.2.1.2.4.2.4 del Decreto 1082 de 2015, se puede realizar para las persona</w:t>
      </w:r>
      <w:r w:rsidR="00522204">
        <w:rPr>
          <w:rFonts w:ascii="Century Gothic" w:hAnsi="Century Gothic" w:eastAsia="Calibri"/>
          <w:bCs/>
          <w:iCs/>
          <w:szCs w:val="20"/>
        </w:rPr>
        <w:t>s</w:t>
      </w:r>
      <w:r w:rsidRPr="00206CDE" w:rsidR="00CC1D54">
        <w:rPr>
          <w:rFonts w:ascii="Century Gothic" w:hAnsi="Century Gothic" w:eastAsia="Calibri"/>
          <w:bCs/>
          <w:iCs/>
          <w:szCs w:val="20"/>
        </w:rPr>
        <w:t xml:space="preserve"> jurídicas, mediante la presentación del certificado de existencia y representación legal o mediante </w:t>
      </w:r>
      <w:r w:rsidRPr="00206CDE" w:rsidR="00705C80">
        <w:rPr>
          <w:rFonts w:ascii="Century Gothic" w:hAnsi="Century Gothic" w:eastAsia="Calibri"/>
          <w:bCs/>
          <w:iCs/>
          <w:szCs w:val="20"/>
        </w:rPr>
        <w:t>el Regist</w:t>
      </w:r>
      <w:r w:rsidRPr="00206CDE" w:rsidR="00981900">
        <w:rPr>
          <w:rFonts w:ascii="Century Gothic" w:hAnsi="Century Gothic" w:eastAsia="Calibri"/>
          <w:bCs/>
          <w:iCs/>
          <w:szCs w:val="20"/>
        </w:rPr>
        <w:t xml:space="preserve">ro Único de Proponentes, </w:t>
      </w:r>
      <w:r w:rsidRPr="00206CDE" w:rsidR="00A057CC">
        <w:rPr>
          <w:rFonts w:ascii="Century Gothic" w:hAnsi="Century Gothic" w:eastAsia="Calibri"/>
          <w:bCs/>
          <w:iCs/>
          <w:szCs w:val="20"/>
        </w:rPr>
        <w:t>pero esa Mipyme debe ser entendida co</w:t>
      </w:r>
      <w:r w:rsidRPr="00206CDE" w:rsidR="00206CDE">
        <w:rPr>
          <w:rFonts w:ascii="Century Gothic" w:hAnsi="Century Gothic" w:eastAsia="Calibri"/>
          <w:bCs/>
          <w:iCs/>
          <w:szCs w:val="20"/>
        </w:rPr>
        <w:t xml:space="preserve">mo empresa a la luz de lo establecido en el </w:t>
      </w:r>
      <w:r w:rsidRPr="00206CDE" w:rsidR="00206CDE">
        <w:rPr>
          <w:rFonts w:ascii="Century Gothic" w:hAnsi="Century Gothic" w:cs="Arial"/>
          <w:lang w:val="es-ES_tradnl"/>
        </w:rPr>
        <w:t>artículo 43 de la Ley 1450 de 2011 que modificó el artículo 2 de la Ley 590 de 2000</w:t>
      </w:r>
      <w:r w:rsidR="00206CDE">
        <w:rPr>
          <w:rFonts w:ascii="Century Gothic" w:hAnsi="Century Gothic" w:eastAsia="Calibri"/>
          <w:bCs/>
          <w:iCs/>
          <w:szCs w:val="20"/>
        </w:rPr>
        <w:t xml:space="preserve">, a diferencia de las ESAL, pues a pesar de tener estos certificados, al no ser empresa, no pueden ser clasificadas como Mipyme. </w:t>
      </w:r>
    </w:p>
    <w:p w:rsidR="005A3F60" w:rsidP="00A42878" w:rsidRDefault="00206CDE" w14:paraId="3897222E" w14:textId="29EC198F">
      <w:pPr>
        <w:spacing w:before="120" w:line="276" w:lineRule="auto"/>
        <w:ind w:right="49"/>
        <w:jc w:val="both"/>
        <w:rPr>
          <w:rFonts w:ascii="Century Gothic" w:hAnsi="Century Gothic" w:eastAsia="Calibri"/>
          <w:bCs/>
          <w:iCs/>
          <w:szCs w:val="20"/>
        </w:rPr>
      </w:pPr>
      <w:r>
        <w:rPr>
          <w:rFonts w:ascii="Century Gothic" w:hAnsi="Century Gothic" w:eastAsia="Calibri"/>
          <w:bCs/>
          <w:iCs/>
          <w:szCs w:val="20"/>
        </w:rPr>
        <w:tab/>
      </w:r>
      <w:r>
        <w:rPr>
          <w:rFonts w:ascii="Century Gothic" w:hAnsi="Century Gothic" w:eastAsia="Calibri"/>
          <w:bCs/>
          <w:iCs/>
          <w:szCs w:val="20"/>
        </w:rPr>
        <w:t xml:space="preserve">Ahora bien, frente a la </w:t>
      </w:r>
      <w:r w:rsidR="00024FF0">
        <w:rPr>
          <w:rFonts w:ascii="Century Gothic" w:hAnsi="Century Gothic" w:eastAsia="Calibri"/>
          <w:bCs/>
          <w:iCs/>
          <w:szCs w:val="20"/>
        </w:rPr>
        <w:t>forma en la que debe proceder la Entidad</w:t>
      </w:r>
      <w:r w:rsidR="005A3F60">
        <w:rPr>
          <w:rFonts w:ascii="Century Gothic" w:hAnsi="Century Gothic" w:eastAsia="Calibri"/>
          <w:bCs/>
          <w:iCs/>
          <w:szCs w:val="20"/>
        </w:rPr>
        <w:t xml:space="preserve"> en las situaciones descritas</w:t>
      </w:r>
      <w:r w:rsidR="00EB7370">
        <w:rPr>
          <w:rFonts w:ascii="Century Gothic" w:hAnsi="Century Gothic" w:eastAsia="Calibri"/>
          <w:bCs/>
          <w:iCs/>
          <w:szCs w:val="20"/>
        </w:rPr>
        <w:t>, se informa que la Agencia Nacional</w:t>
      </w:r>
      <w:r w:rsidR="00F3435E">
        <w:rPr>
          <w:rFonts w:ascii="Century Gothic" w:hAnsi="Century Gothic" w:eastAsia="Calibri"/>
          <w:bCs/>
          <w:iCs/>
          <w:szCs w:val="20"/>
        </w:rPr>
        <w:t xml:space="preserve"> de Contratación Pública -</w:t>
      </w:r>
      <w:r w:rsidR="00EB7370">
        <w:rPr>
          <w:rFonts w:ascii="Century Gothic" w:hAnsi="Century Gothic" w:eastAsia="Calibri"/>
          <w:bCs/>
          <w:iCs/>
          <w:szCs w:val="20"/>
        </w:rPr>
        <w:t xml:space="preserve"> Colombia Compra Eficiente no tiene la competencia </w:t>
      </w:r>
      <w:r w:rsidR="005A3F60">
        <w:rPr>
          <w:rFonts w:ascii="Century Gothic" w:hAnsi="Century Gothic" w:eastAsia="Calibri"/>
          <w:bCs/>
          <w:iCs/>
          <w:szCs w:val="20"/>
        </w:rPr>
        <w:t>para establecer o definir la forma en la que deban actuar las entidades en el marco de los procesos de contratación que adelanten, lo cual no exonera a la responsabilidad que tienen las entidades de ceñirse a lo establecido en la normatividad vigente señalada en el presente concepto.</w:t>
      </w:r>
    </w:p>
    <w:p w:rsidR="007812C6" w:rsidP="005A3F60" w:rsidRDefault="007812C6" w14:paraId="600F96AA" w14:textId="77777777">
      <w:pPr>
        <w:spacing w:before="120" w:line="276" w:lineRule="auto"/>
        <w:ind w:right="49"/>
        <w:jc w:val="both"/>
        <w:rPr>
          <w:rFonts w:ascii="Century Gothic" w:hAnsi="Century Gothic" w:cs="Arial"/>
        </w:rPr>
      </w:pPr>
    </w:p>
    <w:p w:rsidRPr="00383512" w:rsidR="002034E5" w:rsidP="005A3F60" w:rsidRDefault="002034E5" w14:paraId="069C7745" w14:textId="5EC253A4">
      <w:pPr>
        <w:spacing w:before="120" w:line="276" w:lineRule="auto"/>
        <w:ind w:right="49"/>
        <w:jc w:val="both"/>
        <w:rPr>
          <w:rFonts w:ascii="Century Gothic" w:hAnsi="Century Gothic" w:cs="Arial"/>
          <w:lang w:val="es-ES_tradnl"/>
        </w:rPr>
      </w:pPr>
      <w:r w:rsidRPr="00383512">
        <w:rPr>
          <w:rFonts w:ascii="Century Gothic" w:hAnsi="Century Gothic" w:cs="Arial"/>
        </w:rPr>
        <w:t xml:space="preserve">Este concepto tiene el alcance previsto en el artículo 28 del Código de Procedimiento Administrativo y de lo Contencioso Administrativo </w:t>
      </w:r>
      <w:r w:rsidRPr="00383512">
        <w:rPr>
          <w:rFonts w:ascii="Century Gothic" w:hAnsi="Century Gothic" w:cs="Arial"/>
          <w:lang w:val="es-ES_tradnl"/>
        </w:rPr>
        <w:t>y las expresiones aquí utilizadas con mayúscula inicial deben ser entendidas con el significado que les otorga el artículo 2.2.1.1.1.3.1. del Decreto 1082 de 2015.</w:t>
      </w:r>
    </w:p>
    <w:p w:rsidRPr="00383512" w:rsidR="002034E5" w:rsidP="002034E5" w:rsidRDefault="002034E5" w14:paraId="3B9836EF" w14:textId="77777777">
      <w:pPr>
        <w:spacing w:after="0" w:line="240" w:lineRule="auto"/>
        <w:rPr>
          <w:rFonts w:ascii="Century Gothic" w:hAnsi="Century Gothic" w:cs="Arial"/>
        </w:rPr>
      </w:pPr>
    </w:p>
    <w:p w:rsidRPr="00383512" w:rsidR="002034E5" w:rsidP="002034E5" w:rsidRDefault="002034E5" w14:paraId="59803063" w14:textId="77777777">
      <w:pPr>
        <w:spacing w:after="0" w:line="240" w:lineRule="auto"/>
        <w:rPr>
          <w:rFonts w:ascii="Century Gothic" w:hAnsi="Century Gothic" w:eastAsia="Times New Roman" w:cs="Arial"/>
          <w:lang w:eastAsia="es-CO"/>
        </w:rPr>
      </w:pPr>
      <w:r w:rsidRPr="00383512">
        <w:rPr>
          <w:rFonts w:ascii="Century Gothic" w:hAnsi="Century Gothic" w:eastAsia="Times New Roman" w:cs="Arial"/>
          <w:lang w:eastAsia="es-CO"/>
        </w:rPr>
        <w:t>Atentamente,</w:t>
      </w:r>
    </w:p>
    <w:p w:rsidR="002034E5" w:rsidP="002034E5" w:rsidRDefault="002034E5" w14:paraId="25CD1D55" w14:textId="210684DF">
      <w:pPr>
        <w:spacing w:after="0" w:line="276" w:lineRule="auto"/>
        <w:jc w:val="center"/>
        <w:rPr>
          <w:rFonts w:ascii="Century Gothic" w:hAnsi="Century Gothic" w:eastAsia="Times New Roman" w:cs="Arial"/>
          <w:color w:val="000000"/>
          <w:sz w:val="24"/>
          <w:szCs w:val="24"/>
          <w:lang w:val="es-ES_tradnl" w:eastAsia="es-CO"/>
        </w:rPr>
      </w:pPr>
    </w:p>
    <w:p w:rsidR="00F551C6" w:rsidP="002034E5" w:rsidRDefault="00F551C6" w14:paraId="6802CA76" w14:textId="77777777">
      <w:pPr>
        <w:spacing w:after="0" w:line="276" w:lineRule="auto"/>
        <w:jc w:val="center"/>
        <w:rPr>
          <w:noProof/>
        </w:rPr>
      </w:pPr>
    </w:p>
    <w:p w:rsidRPr="00383512" w:rsidR="002034E5" w:rsidP="002034E5" w:rsidRDefault="00F551C6" w14:paraId="48EB17C6" w14:textId="4FEFEA94">
      <w:pPr>
        <w:spacing w:after="0" w:line="276" w:lineRule="auto"/>
        <w:jc w:val="center"/>
        <w:rPr>
          <w:rFonts w:ascii="Century Gothic" w:hAnsi="Century Gothic" w:eastAsia="Times New Roman" w:cs="Arial"/>
          <w:color w:val="000000"/>
          <w:sz w:val="24"/>
          <w:szCs w:val="24"/>
          <w:lang w:val="es-ES_tradnl" w:eastAsia="es-CO"/>
        </w:rPr>
      </w:pPr>
      <w:r w:rsidRPr="004D5C25">
        <w:rPr>
          <w:rFonts w:ascii="Century Gothic" w:hAnsi="Century Gothic"/>
          <w:noProof/>
        </w:rPr>
        <w:drawing>
          <wp:inline distT="0" distB="0" distL="0" distR="0" wp14:anchorId="42071CDD" wp14:editId="25EB0FB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3"/>
                    <a:stretch>
                      <a:fillRect/>
                    </a:stretch>
                  </pic:blipFill>
                  <pic:spPr>
                    <a:xfrm>
                      <a:off x="0" y="0"/>
                      <a:ext cx="3705742" cy="1590897"/>
                    </a:xfrm>
                    <a:prstGeom prst="rect">
                      <a:avLst/>
                    </a:prstGeom>
                  </pic:spPr>
                </pic:pic>
              </a:graphicData>
            </a:graphic>
          </wp:inline>
        </w:drawing>
      </w:r>
      <w:r w:rsidR="00611089">
        <w:rPr>
          <w:rFonts w:ascii="Century Gothic" w:hAnsi="Century Gothic"/>
          <w:color w:val="000000"/>
          <w:shd w:val="clear" w:color="auto" w:fill="FFFFFF"/>
          <w:lang w:val="es-ES"/>
        </w:rPr>
        <w:br/>
      </w:r>
    </w:p>
    <w:tbl>
      <w:tblPr>
        <w:tblStyle w:val="Tablaconcuadrcula"/>
        <w:tblW w:w="7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6602"/>
      </w:tblGrid>
      <w:tr w:rsidRPr="00B765C5" w:rsidR="002034E5" w:rsidTr="007D042C" w14:paraId="1675EEAD" w14:textId="77777777">
        <w:trPr>
          <w:trHeight w:val="315"/>
        </w:trPr>
        <w:tc>
          <w:tcPr>
            <w:tcW w:w="855" w:type="dxa"/>
            <w:vAlign w:val="center"/>
            <w:hideMark/>
          </w:tcPr>
          <w:p w:rsidRPr="00B765C5" w:rsidR="002034E5" w:rsidP="007D042C" w:rsidRDefault="002034E5" w14:paraId="7DFBF538" w14:textId="77777777">
            <w:pPr>
              <w:rPr>
                <w:rFonts w:ascii="Century Gothic" w:hAnsi="Century Gothic" w:eastAsia="Times New Roman" w:cs="Arial"/>
                <w:sz w:val="14"/>
                <w:szCs w:val="16"/>
                <w:lang w:val="es-ES" w:eastAsia="es-ES"/>
              </w:rPr>
            </w:pPr>
            <w:r w:rsidRPr="00B765C5">
              <w:rPr>
                <w:rFonts w:ascii="Century Gothic" w:hAnsi="Century Gothic" w:eastAsia="Times New Roman" w:cs="Arial"/>
                <w:sz w:val="14"/>
                <w:szCs w:val="16"/>
                <w:lang w:val="es-ES" w:eastAsia="es-ES"/>
              </w:rPr>
              <w:t>Elaboró:</w:t>
            </w:r>
          </w:p>
        </w:tc>
        <w:tc>
          <w:tcPr>
            <w:tcW w:w="6602" w:type="dxa"/>
            <w:tcBorders>
              <w:top w:val="nil"/>
              <w:left w:val="nil"/>
              <w:bottom w:val="dotted" w:color="7F7F7F" w:sz="4" w:space="0"/>
              <w:right w:val="nil"/>
            </w:tcBorders>
            <w:vAlign w:val="center"/>
            <w:hideMark/>
          </w:tcPr>
          <w:p w:rsidRPr="00B765C5" w:rsidR="002034E5" w:rsidP="007D042C" w:rsidRDefault="002034E5" w14:paraId="45FB73EF" w14:textId="77777777">
            <w:pPr>
              <w:rPr>
                <w:rFonts w:ascii="Century Gothic" w:hAnsi="Century Gothic" w:eastAsia="Arial" w:cs="Arial"/>
                <w:sz w:val="14"/>
                <w:szCs w:val="16"/>
              </w:rPr>
            </w:pPr>
            <w:r w:rsidRPr="00B765C5">
              <w:rPr>
                <w:rFonts w:ascii="Century Gothic" w:hAnsi="Century Gothic" w:eastAsia="Arial" w:cs="Arial"/>
                <w:kern w:val="2"/>
                <w:sz w:val="14"/>
                <w:szCs w:val="16"/>
                <w14:ligatures w14:val="standardContextual"/>
              </w:rPr>
              <w:t>Gustavo Hinestroza Martínez</w:t>
            </w:r>
          </w:p>
          <w:p w:rsidRPr="00B765C5" w:rsidR="002034E5" w:rsidP="007D042C" w:rsidRDefault="002034E5" w14:paraId="5A9B64C6" w14:textId="77777777">
            <w:pPr>
              <w:rPr>
                <w:rFonts w:ascii="Century Gothic" w:hAnsi="Century Gothic" w:eastAsia="Arial" w:cs="Arial"/>
                <w:sz w:val="14"/>
                <w:szCs w:val="16"/>
              </w:rPr>
            </w:pPr>
            <w:r w:rsidRPr="00B765C5">
              <w:rPr>
                <w:rFonts w:ascii="Century Gothic" w:hAnsi="Century Gothic" w:eastAsia="Arial" w:cs="Arial"/>
                <w:sz w:val="14"/>
                <w:szCs w:val="16"/>
              </w:rPr>
              <w:t>Contratista de la Subdirección de Gestión Contractual </w:t>
            </w:r>
          </w:p>
        </w:tc>
      </w:tr>
      <w:tr w:rsidRPr="00B765C5" w:rsidR="002034E5" w:rsidTr="007D042C" w14:paraId="2D94138E" w14:textId="77777777">
        <w:trPr>
          <w:trHeight w:val="330"/>
        </w:trPr>
        <w:tc>
          <w:tcPr>
            <w:tcW w:w="855" w:type="dxa"/>
            <w:vAlign w:val="center"/>
            <w:hideMark/>
          </w:tcPr>
          <w:p w:rsidRPr="00B765C5" w:rsidR="002034E5" w:rsidP="007D042C" w:rsidRDefault="002034E5" w14:paraId="45522828" w14:textId="77777777">
            <w:pPr>
              <w:rPr>
                <w:rFonts w:ascii="Century Gothic" w:hAnsi="Century Gothic" w:eastAsia="Times New Roman" w:cs="Arial"/>
                <w:sz w:val="14"/>
                <w:szCs w:val="16"/>
                <w:lang w:val="es-ES" w:eastAsia="es-ES"/>
              </w:rPr>
            </w:pPr>
            <w:r w:rsidRPr="00B765C5">
              <w:rPr>
                <w:rFonts w:ascii="Century Gothic" w:hAnsi="Century Gothic" w:eastAsia="Times New Roman" w:cs="Arial"/>
                <w:sz w:val="14"/>
                <w:szCs w:val="16"/>
                <w:lang w:val="es-ES" w:eastAsia="es-ES"/>
              </w:rPr>
              <w:t>Revisó:</w:t>
            </w:r>
          </w:p>
        </w:tc>
        <w:tc>
          <w:tcPr>
            <w:tcW w:w="6602" w:type="dxa"/>
            <w:tcBorders>
              <w:top w:val="dotted" w:color="7F7F7F" w:sz="4" w:space="0"/>
              <w:left w:val="nil"/>
              <w:bottom w:val="dotted" w:color="7F7F7F" w:sz="4" w:space="0"/>
              <w:right w:val="nil"/>
            </w:tcBorders>
            <w:vAlign w:val="center"/>
            <w:hideMark/>
          </w:tcPr>
          <w:p w:rsidRPr="00B765C5" w:rsidR="002034E5" w:rsidP="007D042C" w:rsidRDefault="002034E5" w14:paraId="7BDB610B" w14:textId="77777777">
            <w:pPr>
              <w:rPr>
                <w:rFonts w:ascii="Century Gothic" w:hAnsi="Century Gothic" w:eastAsia="Arial" w:cs="Arial"/>
                <w:kern w:val="2"/>
                <w:sz w:val="14"/>
                <w:szCs w:val="16"/>
                <w14:ligatures w14:val="standardContextual"/>
              </w:rPr>
            </w:pPr>
            <w:r w:rsidRPr="00B765C5">
              <w:rPr>
                <w:rFonts w:ascii="Century Gothic" w:hAnsi="Century Gothic" w:eastAsia="Arial" w:cs="Arial"/>
                <w:kern w:val="2"/>
                <w:sz w:val="14"/>
                <w:szCs w:val="16"/>
                <w14:ligatures w14:val="standardContextual"/>
              </w:rPr>
              <w:t>Ximena Ríos López</w:t>
            </w:r>
          </w:p>
          <w:p w:rsidRPr="00B765C5" w:rsidR="002034E5" w:rsidP="007D042C" w:rsidRDefault="002034E5" w14:paraId="2A26CD05" w14:textId="77777777">
            <w:pPr>
              <w:rPr>
                <w:rFonts w:ascii="Century Gothic" w:hAnsi="Century Gothic" w:eastAsia="Arial" w:cs="Arial"/>
                <w:sz w:val="14"/>
                <w:szCs w:val="16"/>
              </w:rPr>
            </w:pPr>
            <w:r w:rsidRPr="00B765C5">
              <w:rPr>
                <w:rFonts w:ascii="Century Gothic" w:hAnsi="Century Gothic" w:eastAsia="Arial" w:cs="Arial"/>
                <w:sz w:val="14"/>
                <w:szCs w:val="16"/>
              </w:rPr>
              <w:t>Gestor T1-11 de la Subdirección de Gestión Contractual </w:t>
            </w:r>
          </w:p>
        </w:tc>
      </w:tr>
      <w:tr w:rsidRPr="00B765C5" w:rsidR="002034E5" w:rsidTr="007D042C" w14:paraId="22433A49" w14:textId="77777777">
        <w:trPr>
          <w:trHeight w:val="300"/>
        </w:trPr>
        <w:tc>
          <w:tcPr>
            <w:tcW w:w="855" w:type="dxa"/>
            <w:vAlign w:val="center"/>
          </w:tcPr>
          <w:p w:rsidRPr="00B765C5" w:rsidR="002034E5" w:rsidP="007D042C" w:rsidRDefault="002034E5" w14:paraId="24BF0727" w14:textId="77777777">
            <w:pPr>
              <w:rPr>
                <w:rFonts w:ascii="Century Gothic" w:hAnsi="Century Gothic" w:eastAsia="Times New Roman" w:cs="Arial"/>
                <w:sz w:val="14"/>
                <w:szCs w:val="16"/>
                <w:lang w:val="es-ES" w:eastAsia="es-ES"/>
              </w:rPr>
            </w:pPr>
            <w:r w:rsidRPr="00B765C5">
              <w:rPr>
                <w:rFonts w:ascii="Century Gothic" w:hAnsi="Century Gothic" w:eastAsia="Times New Roman" w:cs="Arial"/>
                <w:sz w:val="14"/>
                <w:szCs w:val="16"/>
                <w:lang w:val="es-ES" w:eastAsia="es-ES"/>
              </w:rPr>
              <w:t>Aprobó:</w:t>
            </w:r>
          </w:p>
        </w:tc>
        <w:tc>
          <w:tcPr>
            <w:tcW w:w="6602" w:type="dxa"/>
            <w:tcBorders>
              <w:top w:val="dotted" w:color="7F7F7F" w:sz="4" w:space="0"/>
              <w:left w:val="nil"/>
              <w:bottom w:val="dotted" w:color="7F7F7F" w:sz="4" w:space="0"/>
              <w:right w:val="nil"/>
            </w:tcBorders>
            <w:vAlign w:val="center"/>
          </w:tcPr>
          <w:p w:rsidRPr="00B765C5" w:rsidR="002034E5" w:rsidP="007D042C" w:rsidRDefault="00EF591B" w14:paraId="4F823178" w14:textId="2A644673">
            <w:pPr>
              <w:rPr>
                <w:rFonts w:ascii="Century Gothic" w:hAnsi="Century Gothic" w:eastAsia="Calibri" w:cs="Arial"/>
                <w:sz w:val="14"/>
                <w:szCs w:val="16"/>
                <w:lang w:val="pt-BR" w:eastAsia="es-ES"/>
              </w:rPr>
            </w:pPr>
            <w:r>
              <w:rPr>
                <w:rFonts w:ascii="Century Gothic" w:hAnsi="Century Gothic" w:eastAsia="Calibri" w:cs="Arial"/>
                <w:sz w:val="14"/>
                <w:szCs w:val="16"/>
                <w:lang w:val="pt-BR" w:eastAsia="es-ES"/>
              </w:rPr>
              <w:t xml:space="preserve">Carolina Quintero </w:t>
            </w:r>
            <w:proofErr w:type="spellStart"/>
            <w:r>
              <w:rPr>
                <w:rFonts w:ascii="Century Gothic" w:hAnsi="Century Gothic" w:eastAsia="Calibri" w:cs="Arial"/>
                <w:sz w:val="14"/>
                <w:szCs w:val="16"/>
                <w:lang w:val="pt-BR" w:eastAsia="es-ES"/>
              </w:rPr>
              <w:t>Gacharn</w:t>
            </w:r>
            <w:r w:rsidR="00446AB6">
              <w:rPr>
                <w:rFonts w:ascii="Century Gothic" w:hAnsi="Century Gothic" w:eastAsia="Calibri" w:cs="Arial"/>
                <w:sz w:val="14"/>
                <w:szCs w:val="16"/>
                <w:lang w:val="pt-BR" w:eastAsia="es-ES"/>
              </w:rPr>
              <w:t>á</w:t>
            </w:r>
            <w:proofErr w:type="spellEnd"/>
          </w:p>
          <w:p w:rsidRPr="00B765C5" w:rsidR="002034E5" w:rsidP="007D042C" w:rsidRDefault="002034E5" w14:paraId="50B09B50" w14:textId="77777777">
            <w:pPr>
              <w:rPr>
                <w:rFonts w:ascii="Century Gothic" w:hAnsi="Century Gothic" w:eastAsia="Calibri" w:cs="Arial"/>
                <w:sz w:val="14"/>
                <w:szCs w:val="16"/>
                <w:lang w:val="pt-BR" w:eastAsia="es-ES"/>
              </w:rPr>
            </w:pPr>
            <w:r w:rsidRPr="00B765C5">
              <w:rPr>
                <w:rFonts w:ascii="Century Gothic" w:hAnsi="Century Gothic" w:eastAsia="Calibri" w:cs="Arial"/>
                <w:sz w:val="14"/>
                <w:szCs w:val="16"/>
                <w:lang w:eastAsia="es-ES"/>
              </w:rPr>
              <w:t>Subdirectora</w:t>
            </w:r>
            <w:r w:rsidRPr="00B765C5">
              <w:rPr>
                <w:rFonts w:ascii="Century Gothic" w:hAnsi="Century Gothic" w:eastAsia="Calibri" w:cs="Arial"/>
                <w:sz w:val="14"/>
                <w:szCs w:val="16"/>
                <w:lang w:val="pt-BR" w:eastAsia="es-ES"/>
              </w:rPr>
              <w:t xml:space="preserve"> de Gestión Contractual ANCP – CCE</w:t>
            </w:r>
          </w:p>
        </w:tc>
      </w:tr>
    </w:tbl>
    <w:p w:rsidRPr="00383512" w:rsidR="002034E5" w:rsidP="002034E5" w:rsidRDefault="002034E5" w14:paraId="081FBD6B" w14:textId="77777777">
      <w:pPr>
        <w:rPr>
          <w:rFonts w:ascii="Century Gothic" w:hAnsi="Century Gothic"/>
        </w:rPr>
      </w:pPr>
    </w:p>
    <w:p w:rsidRPr="002034E5" w:rsidR="00127233" w:rsidP="002034E5" w:rsidRDefault="00E245AB" w14:paraId="0F293BF4" w14:textId="4E630EB9">
      <w:r w:rsidRPr="002034E5">
        <w:t xml:space="preserve"> </w:t>
      </w:r>
    </w:p>
    <w:sectPr w:rsidRPr="002034E5" w:rsidR="00127233" w:rsidSect="004368BC">
      <w:headerReference w:type="default" r:id="rId14"/>
      <w:footerReference w:type="default" r:id="rId15"/>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9D3" w:rsidP="004A1847" w:rsidRDefault="003749D3" w14:paraId="793E597E" w14:textId="77777777">
      <w:pPr>
        <w:spacing w:after="0" w:line="240" w:lineRule="auto"/>
      </w:pPr>
      <w:r>
        <w:separator/>
      </w:r>
    </w:p>
  </w:endnote>
  <w:endnote w:type="continuationSeparator" w:id="0">
    <w:p w:rsidR="003749D3" w:rsidP="004A1847" w:rsidRDefault="003749D3" w14:paraId="5234C239" w14:textId="77777777">
      <w:pPr>
        <w:spacing w:after="0" w:line="240" w:lineRule="auto"/>
      </w:pPr>
      <w:r>
        <w:continuationSeparator/>
      </w:r>
    </w:p>
  </w:endnote>
  <w:endnote w:type="continuationNotice" w:id="1">
    <w:p w:rsidR="003749D3" w:rsidRDefault="003749D3" w14:paraId="5DF1F5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9D3" w:rsidP="004A1847" w:rsidRDefault="003749D3" w14:paraId="5CFF6FB8" w14:textId="77777777">
      <w:pPr>
        <w:spacing w:after="0" w:line="240" w:lineRule="auto"/>
      </w:pPr>
      <w:r>
        <w:separator/>
      </w:r>
    </w:p>
  </w:footnote>
  <w:footnote w:type="continuationSeparator" w:id="0">
    <w:p w:rsidR="003749D3" w:rsidP="004A1847" w:rsidRDefault="003749D3" w14:paraId="6409069D" w14:textId="77777777">
      <w:pPr>
        <w:spacing w:after="0" w:line="240" w:lineRule="auto"/>
      </w:pPr>
      <w:r>
        <w:continuationSeparator/>
      </w:r>
    </w:p>
  </w:footnote>
  <w:footnote w:type="continuationNotice" w:id="1">
    <w:p w:rsidR="003749D3" w:rsidRDefault="003749D3" w14:paraId="0FE62DFC" w14:textId="77777777">
      <w:pPr>
        <w:spacing w:after="0" w:line="240" w:lineRule="auto"/>
      </w:pPr>
    </w:p>
  </w:footnote>
  <w:footnote w:id="2">
    <w:p w:rsidRPr="009D124F" w:rsidR="002034E5" w:rsidP="002034E5" w:rsidRDefault="002034E5" w14:paraId="1E3C95D2" w14:textId="77777777">
      <w:pPr>
        <w:pStyle w:val="Textonotapie"/>
        <w:ind w:firstLine="708"/>
        <w:jc w:val="both"/>
        <w:rPr>
          <w:rFonts w:ascii="Century Gothic" w:hAnsi="Century Gothic"/>
          <w:sz w:val="16"/>
        </w:rPr>
      </w:pPr>
      <w:r>
        <w:rPr>
          <w:rStyle w:val="Refdenotaalpie"/>
        </w:rPr>
        <w:footnoteRef/>
      </w:r>
      <w:r>
        <w:t xml:space="preserve"> </w:t>
      </w:r>
      <w:r w:rsidRPr="00363751">
        <w:rPr>
          <w:rFonts w:ascii="Century Gothic" w:hAnsi="Century Gothic"/>
          <w:sz w:val="14"/>
          <w:szCs w:val="14"/>
        </w:rPr>
        <w:t xml:space="preserve">La Agencia Nacional de Contratación Pública </w:t>
      </w:r>
      <w:r w:rsidRPr="00363751">
        <w:rPr>
          <w:rFonts w:ascii="Arial" w:hAnsi="Arial" w:cs="Arial"/>
          <w:sz w:val="14"/>
          <w:szCs w:val="14"/>
        </w:rPr>
        <w:t>‒</w:t>
      </w:r>
      <w:r w:rsidRPr="00363751">
        <w:rPr>
          <w:rFonts w:ascii="Century Gothic" w:hAnsi="Century Gothic"/>
          <w:sz w:val="14"/>
          <w:szCs w:val="14"/>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r w:rsidRPr="009D124F">
        <w:rPr>
          <w:rFonts w:ascii="Century Gothic" w:hAnsi="Century Gothic"/>
          <w:sz w:val="12"/>
          <w:szCs w:val="16"/>
        </w:rPr>
        <w:t>”.</w:t>
      </w:r>
    </w:p>
  </w:footnote>
  <w:footnote w:id="3">
    <w:p w:rsidRPr="00936529" w:rsidR="002034E5" w:rsidP="002034E5" w:rsidRDefault="002034E5" w14:paraId="154C58E8" w14:textId="77777777">
      <w:pPr>
        <w:pStyle w:val="Textonotapie"/>
        <w:ind w:firstLine="708"/>
        <w:jc w:val="both"/>
        <w:rPr>
          <w:rFonts w:ascii="Century Gothic" w:hAnsi="Century Gothic" w:cs="Arial"/>
          <w:sz w:val="18"/>
          <w:szCs w:val="18"/>
          <w:shd w:val="clear" w:color="auto" w:fill="E6E6E6"/>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363751">
        <w:rPr>
          <w:rFonts w:ascii="Century Gothic" w:hAnsi="Century Gothic"/>
          <w:sz w:val="14"/>
          <w:szCs w:val="14"/>
        </w:rPr>
        <w:t>Los conceptos referenciados, así como otros expedidos por la Subdirección se encuentran disponibles para consulta pública en el portal de relatoría de la Agencia, al cual se puede acceder a través del siguiente enlace</w:t>
      </w:r>
      <w:r w:rsidRPr="00936529">
        <w:rPr>
          <w:rFonts w:ascii="Century Gothic" w:hAnsi="Century Gothic" w:cs="Arial"/>
          <w:sz w:val="18"/>
          <w:szCs w:val="18"/>
        </w:rPr>
        <w:t xml:space="preserve">: </w:t>
      </w:r>
      <w:hyperlink w:history="1" r:id="rId1">
        <w:r w:rsidRPr="00B765C5">
          <w:rPr>
            <w:rStyle w:val="Hipervnculo"/>
            <w:rFonts w:ascii="Century Gothic" w:hAnsi="Century Gothic" w:cs="Arial"/>
            <w:sz w:val="12"/>
            <w:szCs w:val="16"/>
          </w:rPr>
          <w:t>https://relatoria.colombiacompra.gov.co/busqueda/conceptos</w:t>
        </w:r>
      </w:hyperlink>
      <w:r w:rsidRPr="00B765C5">
        <w:rPr>
          <w:rStyle w:val="Hipervnculo"/>
          <w:rFonts w:ascii="Century Gothic" w:hAnsi="Century Gothic" w:cs="Arial"/>
          <w:sz w:val="12"/>
          <w:szCs w:val="16"/>
        </w:rPr>
        <w:t>.</w:t>
      </w:r>
      <w:r w:rsidRPr="00B765C5">
        <w:rPr>
          <w:rStyle w:val="Hipervnculo"/>
          <w:rFonts w:ascii="Century Gothic" w:hAnsi="Century Gothic" w:cs="Arial"/>
          <w:sz w:val="14"/>
          <w:szCs w:val="18"/>
        </w:rPr>
        <w:t xml:space="preserve"> </w:t>
      </w:r>
      <w:r w:rsidRPr="00B765C5">
        <w:rPr>
          <w:rFonts w:ascii="Century Gothic" w:hAnsi="Century Gothic" w:cs="Arial"/>
          <w:sz w:val="14"/>
          <w:szCs w:val="18"/>
          <w:shd w:val="clear" w:color="auto" w:fill="E6E6E6"/>
        </w:rPr>
        <w:t xml:space="preserve"> </w:t>
      </w:r>
    </w:p>
    <w:p w:rsidRPr="00936529" w:rsidR="002034E5" w:rsidP="002034E5" w:rsidRDefault="002034E5" w14:paraId="2CFB77ED" w14:textId="77777777">
      <w:pPr>
        <w:pStyle w:val="Textonotapie"/>
        <w:ind w:firstLine="708"/>
        <w:jc w:val="both"/>
        <w:rPr>
          <w:rFonts w:ascii="Century Gothic" w:hAnsi="Century Gothic" w:cs="Arial"/>
          <w:sz w:val="18"/>
          <w:szCs w:val="18"/>
        </w:rPr>
      </w:pPr>
    </w:p>
  </w:footnote>
  <w:footnote w:id="4">
    <w:p w:rsidRPr="00D72CB7" w:rsidR="001F501A" w:rsidP="001F501A" w:rsidRDefault="001F501A" w14:paraId="21026786" w14:textId="77777777">
      <w:pPr>
        <w:pStyle w:val="Textonotapie"/>
        <w:ind w:firstLine="708"/>
        <w:contextualSpacing/>
        <w:jc w:val="both"/>
        <w:rPr>
          <w:rFonts w:ascii="Century Gothic" w:hAnsi="Century Gothic" w:cs="Arial"/>
          <w:color w:val="000000" w:themeColor="text1"/>
          <w:sz w:val="16"/>
          <w:szCs w:val="16"/>
          <w:lang w:val="es-CO"/>
        </w:rPr>
      </w:pPr>
      <w:r w:rsidRPr="00B457B0">
        <w:rPr>
          <w:rStyle w:val="Refdenotaalpie"/>
          <w:rFonts w:hint="cs" w:ascii="Arial" w:hAnsi="Arial" w:cs="Arial"/>
          <w:color w:val="000000" w:themeColor="text1"/>
          <w:sz w:val="16"/>
          <w:szCs w:val="16"/>
        </w:rPr>
        <w:footnoteRef/>
      </w:r>
      <w:r w:rsidRPr="00B457B0">
        <w:rPr>
          <w:rFonts w:hint="cs" w:ascii="Arial" w:hAnsi="Arial" w:cs="Arial"/>
          <w:color w:val="000000" w:themeColor="text1"/>
          <w:sz w:val="16"/>
          <w:szCs w:val="16"/>
        </w:rPr>
        <w:t xml:space="preserve"> </w:t>
      </w:r>
      <w:r w:rsidRPr="00D72CB7">
        <w:rPr>
          <w:rFonts w:ascii="Century Gothic" w:hAnsi="Century Gothic" w:cs="Arial"/>
          <w:color w:val="000000" w:themeColor="text1"/>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rsidRPr="00B457B0" w:rsidR="001F501A" w:rsidP="001F501A" w:rsidRDefault="001F501A" w14:paraId="744A5518" w14:textId="77777777">
      <w:pPr>
        <w:pStyle w:val="Textonotapie"/>
        <w:ind w:firstLine="708"/>
        <w:contextualSpacing/>
        <w:jc w:val="both"/>
        <w:rPr>
          <w:rFonts w:ascii="Arial" w:hAnsi="Arial" w:cs="Arial"/>
          <w:color w:val="000000" w:themeColor="text1"/>
          <w:sz w:val="16"/>
          <w:szCs w:val="16"/>
        </w:rPr>
      </w:pPr>
    </w:p>
  </w:footnote>
  <w:footnote w:id="5">
    <w:p w:rsidRPr="00B765C5" w:rsidR="002034E5" w:rsidP="002034E5" w:rsidRDefault="002034E5" w14:paraId="4634890D" w14:textId="77777777">
      <w:pPr>
        <w:pStyle w:val="Textonotapie"/>
        <w:ind w:firstLine="708"/>
        <w:rPr>
          <w:sz w:val="14"/>
        </w:rPr>
      </w:pPr>
      <w:r>
        <w:rPr>
          <w:rStyle w:val="Refdenotaalpie"/>
        </w:rPr>
        <w:footnoteRef/>
      </w:r>
      <w:r>
        <w:t xml:space="preserve"> </w:t>
      </w:r>
      <w:r w:rsidRPr="00363751">
        <w:rPr>
          <w:rFonts w:ascii="Century Gothic" w:hAnsi="Century Gothic"/>
          <w:sz w:val="14"/>
          <w:szCs w:val="14"/>
        </w:rPr>
        <w:t>Ley 2069 de 2020, Artículos 2 al 29</w:t>
      </w:r>
    </w:p>
    <w:p w:rsidRPr="00462E8E" w:rsidR="002034E5" w:rsidP="002034E5" w:rsidRDefault="002034E5" w14:paraId="687A9C46" w14:textId="77777777">
      <w:pPr>
        <w:pStyle w:val="Textonotapie"/>
        <w:ind w:firstLine="708"/>
        <w:rPr>
          <w:lang w:val="es-CO"/>
        </w:rPr>
      </w:pPr>
    </w:p>
  </w:footnote>
  <w:footnote w:id="6">
    <w:p w:rsidRPr="00462E8E" w:rsidR="002034E5" w:rsidP="002034E5" w:rsidRDefault="002034E5" w14:paraId="42CA207E" w14:textId="77777777">
      <w:pPr>
        <w:pStyle w:val="Textonotapie"/>
        <w:ind w:firstLine="708"/>
        <w:rPr>
          <w:lang w:val="es-CO"/>
        </w:rPr>
      </w:pPr>
      <w:r>
        <w:rPr>
          <w:rStyle w:val="Refdenotaalpie"/>
        </w:rPr>
        <w:footnoteRef/>
      </w:r>
      <w:r>
        <w:t xml:space="preserve"> </w:t>
      </w:r>
      <w:r w:rsidRPr="00363751">
        <w:rPr>
          <w:rFonts w:ascii="Century Gothic" w:hAnsi="Century Gothic"/>
          <w:sz w:val="14"/>
          <w:szCs w:val="14"/>
        </w:rPr>
        <w:t>Ley 2069 de 2020, Artículos 30 al 36</w:t>
      </w:r>
    </w:p>
  </w:footnote>
  <w:footnote w:id="7">
    <w:p w:rsidRPr="00BB40B8" w:rsidR="002034E5" w:rsidP="002034E5" w:rsidRDefault="002034E5" w14:paraId="5F4D4D4D" w14:textId="77777777">
      <w:pPr>
        <w:pStyle w:val="Textonotapie"/>
        <w:ind w:firstLine="708"/>
        <w:jc w:val="both"/>
        <w:rPr>
          <w:lang w:val="es-CO"/>
        </w:rPr>
      </w:pPr>
      <w:r>
        <w:rPr>
          <w:rStyle w:val="Refdenotaalpie"/>
        </w:rPr>
        <w:footnoteRef/>
      </w:r>
      <w:r>
        <w:t xml:space="preserve"> </w:t>
      </w:r>
      <w:r w:rsidRPr="00363751">
        <w:rPr>
          <w:rFonts w:ascii="Century Gothic" w:hAnsi="Century Gothic"/>
          <w:sz w:val="14"/>
          <w:szCs w:val="14"/>
        </w:rPr>
        <w:t>Sentencia C-502 de 2012 de la Corte Constitucional, en donde señala: “como quiera que la primera, en lugar de abolir o anular una disposición del ordenamiento jurídico, lo que hace es reemplazar un texto normativo por otro. Por tanto, como resultado de la subrogación, las normas jurídicas preexistentes pueden ser derogadas, modificadas o sustituidas por otras nuevas, en todo o en parte ”</w:t>
      </w:r>
    </w:p>
  </w:footnote>
  <w:footnote w:id="8">
    <w:p w:rsidRPr="00936529" w:rsidR="002034E5" w:rsidP="002034E5" w:rsidRDefault="002034E5" w14:paraId="339B6069" w14:textId="77777777">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363751">
        <w:rPr>
          <w:rFonts w:ascii="Century Gothic" w:hAnsi="Century Gothic"/>
          <w:sz w:val="14"/>
          <w:szCs w:val="14"/>
        </w:rPr>
        <w:t xml:space="preserve">Este monto fue publicado por la Agencia Nacional de Contratación Pública – Colombia Compra Eficiente, de acuerdo con la información remitida por el Ministerio de Comercio Industria y Turismo, disponible en el siguiente enlace: </w:t>
      </w:r>
      <w:hyperlink w:history="1" r:id="rId2">
        <w:r w:rsidRPr="00363751">
          <w:rPr>
            <w:rFonts w:ascii="Century Gothic" w:hAnsi="Century Gothic"/>
            <w:sz w:val="14"/>
            <w:szCs w:val="14"/>
          </w:rPr>
          <w:t>https://www.colombiacompra.gov.co/sites/cce_public/files/files_2020/vf_umbrales_actualizaciones_2022_-_2023_1.pdf</w:t>
        </w:r>
      </w:hyperlink>
      <w:r w:rsidRPr="00363751">
        <w:rPr>
          <w:rFonts w:ascii="Century Gothic" w:hAnsi="Century Gothic"/>
          <w:sz w:val="14"/>
          <w:szCs w:val="14"/>
        </w:rPr>
        <w:t>. Allí se señala que el monto corresponde a $ 457.297.264.</w:t>
      </w:r>
    </w:p>
  </w:footnote>
  <w:footnote w:id="9">
    <w:p w:rsidRPr="00363751" w:rsidR="00F404A7" w:rsidP="00663E58" w:rsidRDefault="00F404A7" w14:paraId="1AEA895F" w14:textId="77777777">
      <w:pPr>
        <w:pStyle w:val="Textonotapie"/>
        <w:ind w:firstLine="708"/>
        <w:jc w:val="both"/>
        <w:rPr>
          <w:rFonts w:ascii="Century Gothic" w:hAnsi="Century Gothic"/>
          <w:sz w:val="14"/>
          <w:szCs w:val="14"/>
        </w:rPr>
      </w:pPr>
      <w:r w:rsidRPr="00BB19B4">
        <w:rPr>
          <w:rStyle w:val="Refdenotaalpie"/>
          <w:rFonts w:ascii="Arial" w:hAnsi="Arial" w:cs="Arial"/>
          <w:sz w:val="16"/>
          <w:szCs w:val="16"/>
        </w:rPr>
        <w:footnoteRef/>
      </w:r>
      <w:r w:rsidRPr="00BB19B4">
        <w:rPr>
          <w:rFonts w:ascii="Arial" w:hAnsi="Arial" w:cs="Arial"/>
          <w:sz w:val="16"/>
          <w:szCs w:val="16"/>
        </w:rPr>
        <w:t xml:space="preserve"> </w:t>
      </w:r>
      <w:r w:rsidRPr="00363751">
        <w:rPr>
          <w:rFonts w:ascii="Century Gothic" w:hAnsi="Century Gothic"/>
          <w:sz w:val="14"/>
          <w:szCs w:val="14"/>
        </w:rPr>
        <w:t xml:space="preserve">Ley 1450 de 2011. «Artículo 43. Definiciones de tamaño empresarial. El artículo 2° de la Ley 590 de 2000, quedará así: </w:t>
      </w:r>
    </w:p>
    <w:p w:rsidRPr="00BB19B4" w:rsidR="00663E58" w:rsidP="00663E58" w:rsidRDefault="00663E58" w14:paraId="3C495303" w14:textId="77777777">
      <w:pPr>
        <w:pStyle w:val="Textonotapie"/>
        <w:ind w:firstLine="708"/>
        <w:jc w:val="both"/>
        <w:rPr>
          <w:rFonts w:ascii="Arial" w:hAnsi="Arial" w:cs="Arial"/>
          <w:sz w:val="16"/>
          <w:szCs w:val="16"/>
        </w:rPr>
      </w:pPr>
    </w:p>
    <w:p w:rsidRPr="00363751" w:rsidR="00F404A7" w:rsidP="00F404A7" w:rsidRDefault="00F404A7" w14:paraId="785AAA8E" w14:textId="5F765E84">
      <w:pPr>
        <w:pStyle w:val="Textonotapie"/>
        <w:jc w:val="both"/>
        <w:rPr>
          <w:rFonts w:ascii="Century Gothic" w:hAnsi="Century Gothic"/>
          <w:sz w:val="14"/>
          <w:szCs w:val="14"/>
        </w:rPr>
      </w:pPr>
      <w:r w:rsidRPr="00BB19B4">
        <w:rPr>
          <w:rFonts w:ascii="Arial" w:hAnsi="Arial" w:cs="Arial"/>
          <w:sz w:val="16"/>
          <w:szCs w:val="16"/>
        </w:rPr>
        <w:t>"</w:t>
      </w:r>
      <w:r w:rsidRPr="00363751">
        <w:rPr>
          <w:rFonts w:ascii="Century Gothic" w:hAnsi="Century Gothic"/>
          <w:sz w:val="14"/>
          <w:szCs w:val="14"/>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r w:rsidR="008D6EF0">
        <w:rPr>
          <w:rFonts w:ascii="Century Gothic" w:hAnsi="Century Gothic"/>
          <w:sz w:val="14"/>
          <w:szCs w:val="14"/>
        </w:rPr>
        <w:t>“</w:t>
      </w:r>
      <w:r w:rsidRPr="00363751">
        <w:rPr>
          <w:rFonts w:ascii="Century Gothic" w:hAnsi="Century Gothic"/>
          <w:sz w:val="14"/>
          <w:szCs w:val="14"/>
        </w:rPr>
        <w:t xml:space="preserve">1. Número de trabajadores totales. </w:t>
      </w:r>
    </w:p>
    <w:p w:rsidRPr="00363751" w:rsidR="00F404A7" w:rsidP="00F404A7" w:rsidRDefault="00F404A7" w14:paraId="494E07B1" w14:textId="77777777">
      <w:pPr>
        <w:pStyle w:val="Textonotapie"/>
        <w:jc w:val="both"/>
        <w:rPr>
          <w:rFonts w:ascii="Century Gothic" w:hAnsi="Century Gothic"/>
          <w:sz w:val="14"/>
          <w:szCs w:val="14"/>
        </w:rPr>
      </w:pPr>
      <w:r w:rsidRPr="00363751">
        <w:rPr>
          <w:rFonts w:ascii="Century Gothic" w:hAnsi="Century Gothic"/>
          <w:sz w:val="14"/>
          <w:szCs w:val="14"/>
        </w:rPr>
        <w:t xml:space="preserve"> 2. Valor de ventas brutas anuales. </w:t>
      </w:r>
    </w:p>
    <w:p w:rsidRPr="00363751" w:rsidR="00F404A7" w:rsidP="00F404A7" w:rsidRDefault="00F404A7" w14:paraId="5189DFC0" w14:textId="77777777">
      <w:pPr>
        <w:pStyle w:val="Textonotapie"/>
        <w:jc w:val="both"/>
        <w:rPr>
          <w:rFonts w:ascii="Century Gothic" w:hAnsi="Century Gothic"/>
          <w:sz w:val="14"/>
          <w:szCs w:val="14"/>
        </w:rPr>
      </w:pPr>
      <w:r w:rsidRPr="00363751">
        <w:rPr>
          <w:rFonts w:ascii="Century Gothic" w:hAnsi="Century Gothic"/>
          <w:sz w:val="14"/>
          <w:szCs w:val="14"/>
        </w:rPr>
        <w:t xml:space="preserve"> 3. Valor activos totales. </w:t>
      </w:r>
    </w:p>
    <w:p w:rsidRPr="00363751" w:rsidR="00F404A7" w:rsidP="00F404A7" w:rsidRDefault="00F404A7" w14:paraId="3159A969" w14:textId="77777777">
      <w:pPr>
        <w:pStyle w:val="Textonotapie"/>
        <w:jc w:val="both"/>
        <w:rPr>
          <w:rFonts w:ascii="Century Gothic" w:hAnsi="Century Gothic"/>
          <w:sz w:val="14"/>
          <w:szCs w:val="14"/>
        </w:rPr>
      </w:pPr>
      <w:r w:rsidRPr="00363751">
        <w:rPr>
          <w:rFonts w:ascii="Century Gothic" w:hAnsi="Century Gothic"/>
          <w:sz w:val="14"/>
          <w:szCs w:val="14"/>
        </w:rPr>
        <w:t xml:space="preserve">Para efectos de los beneficios otorgados por el Gobierno nacional a las micro, pequeñas y medianas empresas el criterio determinante será </w:t>
      </w:r>
    </w:p>
    <w:p w:rsidRPr="00363751" w:rsidR="00F404A7" w:rsidP="00F404A7" w:rsidRDefault="00F404A7" w14:paraId="57C4E0C2" w14:textId="77777777">
      <w:pPr>
        <w:pStyle w:val="Textonotapie"/>
        <w:jc w:val="both"/>
        <w:rPr>
          <w:rFonts w:ascii="Century Gothic" w:hAnsi="Century Gothic"/>
          <w:sz w:val="14"/>
          <w:szCs w:val="14"/>
        </w:rPr>
      </w:pPr>
      <w:r w:rsidRPr="00363751">
        <w:rPr>
          <w:rFonts w:ascii="Century Gothic" w:hAnsi="Century Gothic"/>
          <w:sz w:val="14"/>
          <w:szCs w:val="14"/>
        </w:rPr>
        <w:t xml:space="preserve">el valor de ventas brutas anuales. </w:t>
      </w:r>
    </w:p>
    <w:p w:rsidRPr="00363751" w:rsidR="00F404A7" w:rsidP="00F404A7" w:rsidRDefault="00F404A7" w14:paraId="36EF547C" w14:textId="77777777">
      <w:pPr>
        <w:pStyle w:val="Textonotapie"/>
        <w:jc w:val="both"/>
        <w:rPr>
          <w:rFonts w:ascii="Century Gothic" w:hAnsi="Century Gothic"/>
          <w:sz w:val="14"/>
          <w:szCs w:val="14"/>
        </w:rPr>
      </w:pPr>
      <w:r w:rsidRPr="00363751">
        <w:rPr>
          <w:rFonts w:ascii="Century Gothic" w:hAnsi="Century Gothic"/>
          <w:sz w:val="14"/>
          <w:szCs w:val="14"/>
        </w:rPr>
        <w:t xml:space="preserve">Parágrafo 1°. El Gobierno Nacional reglamentará los rangos que aplicarán para los tres criterios e incluirá especificidades sectoriales en los </w:t>
      </w:r>
    </w:p>
    <w:p w:rsidRPr="00363751" w:rsidR="00F404A7" w:rsidP="00F404A7" w:rsidRDefault="00F404A7" w14:paraId="1688E301" w14:textId="77777777">
      <w:pPr>
        <w:pStyle w:val="Textonotapie"/>
        <w:jc w:val="both"/>
        <w:rPr>
          <w:rFonts w:ascii="Century Gothic" w:hAnsi="Century Gothic"/>
          <w:sz w:val="14"/>
          <w:szCs w:val="14"/>
        </w:rPr>
      </w:pPr>
      <w:r w:rsidRPr="00363751">
        <w:rPr>
          <w:rFonts w:ascii="Century Gothic" w:hAnsi="Century Gothic"/>
          <w:sz w:val="14"/>
          <w:szCs w:val="14"/>
        </w:rPr>
        <w:t xml:space="preserve">casos que considere necesario. </w:t>
      </w:r>
    </w:p>
    <w:p w:rsidRPr="00363751" w:rsidR="00F404A7" w:rsidP="00F404A7" w:rsidRDefault="00F404A7" w14:paraId="1C795B8E" w14:textId="77777777">
      <w:pPr>
        <w:pStyle w:val="Textonotapie"/>
        <w:jc w:val="both"/>
        <w:rPr>
          <w:rFonts w:ascii="Century Gothic" w:hAnsi="Century Gothic"/>
          <w:sz w:val="14"/>
          <w:szCs w:val="14"/>
        </w:rPr>
      </w:pPr>
      <w:r w:rsidRPr="00363751">
        <w:rPr>
          <w:rFonts w:ascii="Century Gothic" w:hAnsi="Century Gothic"/>
          <w:sz w:val="14"/>
          <w:szCs w:val="14"/>
        </w:rPr>
        <w:t xml:space="preserve">Parágrafo 2°. Las definiciones contenidas en el artículo 2° de la Ley 590 de 2000 continuarán vigentes hasta tanto entren a regir las normas </w:t>
      </w:r>
    </w:p>
    <w:p w:rsidRPr="00BB19B4" w:rsidR="00F404A7" w:rsidP="00F404A7" w:rsidRDefault="00F404A7" w14:paraId="76BA2748" w14:textId="77777777">
      <w:pPr>
        <w:pStyle w:val="Textonotapie"/>
        <w:jc w:val="both"/>
        <w:rPr>
          <w:rFonts w:ascii="Arial" w:hAnsi="Arial" w:cs="Arial"/>
          <w:sz w:val="16"/>
          <w:szCs w:val="16"/>
          <w:lang w:val="es-ES"/>
        </w:rPr>
      </w:pPr>
      <w:r w:rsidRPr="00363751">
        <w:rPr>
          <w:rFonts w:ascii="Century Gothic" w:hAnsi="Century Gothic"/>
          <w:sz w:val="14"/>
          <w:szCs w:val="14"/>
        </w:rPr>
        <w:t>reglamentarias que profiera el Gobierno Nacional en desarrollo de lo previsto en el presente artículo</w:t>
      </w:r>
      <w:r w:rsidRPr="00BB19B4">
        <w:rPr>
          <w:rFonts w:ascii="Arial" w:hAnsi="Arial" w:cs="Arial"/>
          <w:sz w:val="16"/>
          <w:szCs w:val="16"/>
        </w:rPr>
        <w:t>”.</w:t>
      </w:r>
    </w:p>
  </w:footnote>
  <w:footnote w:id="10">
    <w:p w:rsidR="00F404A7" w:rsidP="00363751" w:rsidRDefault="00F404A7" w14:paraId="5E81E70C" w14:textId="2242B6D2">
      <w:pPr>
        <w:pStyle w:val="Textonotapie"/>
        <w:ind w:firstLine="708"/>
        <w:rPr>
          <w:rFonts w:ascii="Century Gothic" w:hAnsi="Century Gothic"/>
          <w:sz w:val="14"/>
          <w:szCs w:val="14"/>
        </w:rPr>
      </w:pPr>
      <w:r w:rsidRPr="001B1B90">
        <w:rPr>
          <w:rStyle w:val="Refdenotaalpie"/>
          <w:rFonts w:ascii="Arial" w:hAnsi="Arial" w:cs="Arial"/>
          <w:sz w:val="16"/>
          <w:szCs w:val="16"/>
        </w:rPr>
        <w:footnoteRef/>
      </w:r>
      <w:r w:rsidRPr="001B1B90">
        <w:rPr>
          <w:rFonts w:ascii="Arial" w:hAnsi="Arial" w:cs="Arial"/>
          <w:sz w:val="16"/>
          <w:szCs w:val="16"/>
        </w:rPr>
        <w:t xml:space="preserve"> </w:t>
      </w:r>
      <w:r w:rsidRPr="00363751">
        <w:rPr>
          <w:rFonts w:ascii="Century Gothic" w:hAnsi="Century Gothic"/>
          <w:sz w:val="14"/>
          <w:szCs w:val="14"/>
        </w:rPr>
        <w:t>Artículo 2.2.1.13.2.2. del Decreto 1074 de 2015, adicionado por el Decreto 957 de 2019</w:t>
      </w:r>
      <w:r w:rsidR="00363751">
        <w:rPr>
          <w:rFonts w:ascii="Century Gothic" w:hAnsi="Century Gothic"/>
          <w:sz w:val="14"/>
          <w:szCs w:val="14"/>
        </w:rPr>
        <w:t>.</w:t>
      </w:r>
    </w:p>
    <w:p w:rsidRPr="001B1B90" w:rsidR="00363751" w:rsidP="00363751" w:rsidRDefault="00363751" w14:paraId="7A8A4809" w14:textId="77777777">
      <w:pPr>
        <w:pStyle w:val="Textonotapie"/>
        <w:ind w:firstLine="708"/>
        <w:rPr>
          <w:rFonts w:ascii="Arial" w:hAnsi="Arial" w:cs="Arial"/>
          <w:lang w:val="es-ES"/>
        </w:rPr>
      </w:pPr>
    </w:p>
  </w:footnote>
  <w:footnote w:id="11">
    <w:p w:rsidR="00890BDE" w:rsidP="00890BDE" w:rsidRDefault="00890BDE" w14:paraId="6A42953F" w14:textId="1F63980C">
      <w:pPr>
        <w:pStyle w:val="Textonotapie"/>
        <w:ind w:firstLine="708"/>
        <w:jc w:val="both"/>
        <w:rPr>
          <w:rFonts w:ascii="Arial" w:hAnsi="Arial" w:cs="Arial"/>
          <w:lang w:val="es-ES_tradnl"/>
        </w:rPr>
      </w:pPr>
      <w:r>
        <w:rPr>
          <w:rStyle w:val="Refdenotaalpie"/>
        </w:rPr>
        <w:footnoteRef/>
      </w:r>
      <w:r>
        <w:t xml:space="preserve"> </w:t>
      </w:r>
      <w:r w:rsidRPr="00890BDE">
        <w:rPr>
          <w:rFonts w:ascii="Century Gothic" w:hAnsi="Century Gothic"/>
          <w:sz w:val="14"/>
          <w:szCs w:val="14"/>
        </w:rPr>
        <w:t>Ver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w:t>
      </w:r>
      <w:r>
        <w:rPr>
          <w:rFonts w:ascii="Century Gothic" w:hAnsi="Century Gothic"/>
          <w:sz w:val="14"/>
          <w:szCs w:val="14"/>
        </w:rPr>
        <w:t>,</w:t>
      </w:r>
      <w:r w:rsidRPr="00890BDE">
        <w:rPr>
          <w:rFonts w:ascii="Century Gothic" w:hAnsi="Century Gothic"/>
          <w:sz w:val="14"/>
          <w:szCs w:val="14"/>
        </w:rPr>
        <w:t xml:space="preserve"> C-474 del 26 de julio de 2022</w:t>
      </w:r>
      <w:r>
        <w:rPr>
          <w:rFonts w:ascii="Century Gothic" w:hAnsi="Century Gothic"/>
          <w:sz w:val="14"/>
          <w:szCs w:val="14"/>
        </w:rPr>
        <w:t xml:space="preserve"> y </w:t>
      </w:r>
      <w:r w:rsidR="00F734E4">
        <w:rPr>
          <w:rFonts w:ascii="Century Gothic" w:hAnsi="Century Gothic"/>
          <w:sz w:val="14"/>
          <w:szCs w:val="14"/>
        </w:rPr>
        <w:t>C-338 de</w:t>
      </w:r>
      <w:r w:rsidR="008E394B">
        <w:rPr>
          <w:rFonts w:ascii="Century Gothic" w:hAnsi="Century Gothic"/>
          <w:sz w:val="14"/>
          <w:szCs w:val="14"/>
        </w:rPr>
        <w:t xml:space="preserve">l </w:t>
      </w:r>
      <w:r w:rsidR="00E34413">
        <w:rPr>
          <w:rFonts w:ascii="Century Gothic" w:hAnsi="Century Gothic"/>
          <w:sz w:val="14"/>
          <w:szCs w:val="14"/>
        </w:rPr>
        <w:t>17 de agosto de 2023.</w:t>
      </w:r>
    </w:p>
    <w:p w:rsidR="00890BDE" w:rsidP="00890BDE" w:rsidRDefault="00890BDE" w14:paraId="223D6014" w14:textId="77777777">
      <w:pPr>
        <w:pStyle w:val="Textonotapie"/>
        <w:ind w:firstLine="70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BD15D4" w:rsidP="005B5D8B" w:rsidRDefault="00BD15D4" w14:paraId="1593FC60" w14:textId="7702D566">
    <w:pPr>
      <w:spacing w:after="0"/>
      <w:rPr>
        <w:rFonts w:ascii="Century Gothic" w:hAnsi="Century Gothic" w:eastAsia="Geo" w:cs="Geo"/>
        <w:sz w:val="16"/>
        <w:szCs w:val="16"/>
        <w:lang w:eastAsia="es-CO"/>
      </w:rPr>
    </w:pPr>
  </w:p>
  <w:p w:rsidRPr="00C330EB" w:rsidR="00BD15D4" w:rsidP="00BD15D4" w:rsidRDefault="00BD15D4" w14:paraId="313E28CD" w14:textId="0EAE12F4">
    <w:pPr>
      <w:spacing w:after="0"/>
      <w:rPr>
        <w:rFonts w:ascii="Century Gothic" w:hAnsi="Century Gothic"/>
      </w:rPr>
    </w:pPr>
    <w:r>
      <w:tab/>
    </w:r>
  </w:p>
  <w:p w:rsidR="00BD15D4" w:rsidP="005B5D8B" w:rsidRDefault="00BD15D4" w14:paraId="42C1A9F5" w14:textId="77777777">
    <w:pPr>
      <w:spacing w:after="0"/>
      <w:rPr>
        <w:rFonts w:ascii="Century Gothic" w:hAnsi="Century Gothic" w:eastAsia="Geo" w:cs="Geo"/>
        <w:sz w:val="16"/>
        <w:szCs w:val="16"/>
        <w:lang w:eastAsia="es-CO"/>
      </w:rPr>
    </w:pP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1F0C3E8B"/>
    <w:multiLevelType w:val="hybridMultilevel"/>
    <w:tmpl w:val="5BECDFCE"/>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D74DDF"/>
    <w:multiLevelType w:val="multilevel"/>
    <w:tmpl w:val="240A001F"/>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E25448"/>
    <w:multiLevelType w:val="hybridMultilevel"/>
    <w:tmpl w:val="5BECDFCE"/>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1D5E"/>
    <w:rsid w:val="00003436"/>
    <w:rsid w:val="0001412B"/>
    <w:rsid w:val="00017816"/>
    <w:rsid w:val="00021E27"/>
    <w:rsid w:val="0002269F"/>
    <w:rsid w:val="00024FF0"/>
    <w:rsid w:val="000306FC"/>
    <w:rsid w:val="00062B9C"/>
    <w:rsid w:val="00070F38"/>
    <w:rsid w:val="00075DCA"/>
    <w:rsid w:val="00083483"/>
    <w:rsid w:val="00086C4D"/>
    <w:rsid w:val="000A5413"/>
    <w:rsid w:val="000A683E"/>
    <w:rsid w:val="000A6A8C"/>
    <w:rsid w:val="000B19B9"/>
    <w:rsid w:val="000D0334"/>
    <w:rsid w:val="000D3CC1"/>
    <w:rsid w:val="000E3FC0"/>
    <w:rsid w:val="000E4714"/>
    <w:rsid w:val="000F6486"/>
    <w:rsid w:val="00104D7B"/>
    <w:rsid w:val="001143C9"/>
    <w:rsid w:val="00115C31"/>
    <w:rsid w:val="00117302"/>
    <w:rsid w:val="00125105"/>
    <w:rsid w:val="00127233"/>
    <w:rsid w:val="00132CD0"/>
    <w:rsid w:val="001429FD"/>
    <w:rsid w:val="00171724"/>
    <w:rsid w:val="00180047"/>
    <w:rsid w:val="00195E19"/>
    <w:rsid w:val="001E4177"/>
    <w:rsid w:val="001F501A"/>
    <w:rsid w:val="002034E5"/>
    <w:rsid w:val="00206CDE"/>
    <w:rsid w:val="00231496"/>
    <w:rsid w:val="002405A4"/>
    <w:rsid w:val="002470B8"/>
    <w:rsid w:val="002556C3"/>
    <w:rsid w:val="00275009"/>
    <w:rsid w:val="002951A0"/>
    <w:rsid w:val="002962BC"/>
    <w:rsid w:val="002A093D"/>
    <w:rsid w:val="002A0DB2"/>
    <w:rsid w:val="002A49AC"/>
    <w:rsid w:val="002A64FD"/>
    <w:rsid w:val="002B1A3F"/>
    <w:rsid w:val="002B30B8"/>
    <w:rsid w:val="002C064D"/>
    <w:rsid w:val="002C2552"/>
    <w:rsid w:val="002C7A84"/>
    <w:rsid w:val="003108D4"/>
    <w:rsid w:val="00321994"/>
    <w:rsid w:val="00330F73"/>
    <w:rsid w:val="003340E6"/>
    <w:rsid w:val="003448F4"/>
    <w:rsid w:val="003458C0"/>
    <w:rsid w:val="00363751"/>
    <w:rsid w:val="003747D6"/>
    <w:rsid w:val="003749D3"/>
    <w:rsid w:val="00386B5E"/>
    <w:rsid w:val="00390E5E"/>
    <w:rsid w:val="00392FEB"/>
    <w:rsid w:val="003A2DAB"/>
    <w:rsid w:val="003A779E"/>
    <w:rsid w:val="003B6864"/>
    <w:rsid w:val="003D0F4D"/>
    <w:rsid w:val="003D58EF"/>
    <w:rsid w:val="003E0499"/>
    <w:rsid w:val="003F3941"/>
    <w:rsid w:val="00400548"/>
    <w:rsid w:val="0040332D"/>
    <w:rsid w:val="00405C16"/>
    <w:rsid w:val="0041484C"/>
    <w:rsid w:val="004167E3"/>
    <w:rsid w:val="004368BC"/>
    <w:rsid w:val="004415D3"/>
    <w:rsid w:val="00446AB6"/>
    <w:rsid w:val="0045227E"/>
    <w:rsid w:val="0048104E"/>
    <w:rsid w:val="004A1847"/>
    <w:rsid w:val="004A2B52"/>
    <w:rsid w:val="004A305D"/>
    <w:rsid w:val="004C339F"/>
    <w:rsid w:val="004C48CB"/>
    <w:rsid w:val="004E2EED"/>
    <w:rsid w:val="004E3105"/>
    <w:rsid w:val="004F21C4"/>
    <w:rsid w:val="004F685F"/>
    <w:rsid w:val="005169EE"/>
    <w:rsid w:val="005174D6"/>
    <w:rsid w:val="00522204"/>
    <w:rsid w:val="00533E8F"/>
    <w:rsid w:val="005566E8"/>
    <w:rsid w:val="00560B45"/>
    <w:rsid w:val="00566FB5"/>
    <w:rsid w:val="0057394A"/>
    <w:rsid w:val="00574867"/>
    <w:rsid w:val="005A0060"/>
    <w:rsid w:val="005A2FFF"/>
    <w:rsid w:val="005A3F60"/>
    <w:rsid w:val="005A6AA1"/>
    <w:rsid w:val="005B5D8B"/>
    <w:rsid w:val="005C0E76"/>
    <w:rsid w:val="005C4D9D"/>
    <w:rsid w:val="005C5CDC"/>
    <w:rsid w:val="005D2ACF"/>
    <w:rsid w:val="005D476C"/>
    <w:rsid w:val="005D5EE2"/>
    <w:rsid w:val="005E108B"/>
    <w:rsid w:val="00611089"/>
    <w:rsid w:val="00620AA4"/>
    <w:rsid w:val="006219F8"/>
    <w:rsid w:val="00630C75"/>
    <w:rsid w:val="00647957"/>
    <w:rsid w:val="00663E58"/>
    <w:rsid w:val="00665D70"/>
    <w:rsid w:val="00672446"/>
    <w:rsid w:val="00675023"/>
    <w:rsid w:val="00676844"/>
    <w:rsid w:val="00694ABE"/>
    <w:rsid w:val="006B233F"/>
    <w:rsid w:val="006F174B"/>
    <w:rsid w:val="006F66A7"/>
    <w:rsid w:val="00705C80"/>
    <w:rsid w:val="00706C16"/>
    <w:rsid w:val="0071365E"/>
    <w:rsid w:val="00716BC7"/>
    <w:rsid w:val="00722124"/>
    <w:rsid w:val="00727370"/>
    <w:rsid w:val="0073063D"/>
    <w:rsid w:val="007443B2"/>
    <w:rsid w:val="007446FA"/>
    <w:rsid w:val="00756841"/>
    <w:rsid w:val="00763C80"/>
    <w:rsid w:val="007649AB"/>
    <w:rsid w:val="007812C6"/>
    <w:rsid w:val="007820FA"/>
    <w:rsid w:val="007833AC"/>
    <w:rsid w:val="00795F76"/>
    <w:rsid w:val="007A3A5C"/>
    <w:rsid w:val="007B6F1D"/>
    <w:rsid w:val="007B7171"/>
    <w:rsid w:val="007C17A5"/>
    <w:rsid w:val="007C3DC2"/>
    <w:rsid w:val="007E049A"/>
    <w:rsid w:val="007E5497"/>
    <w:rsid w:val="00806F5F"/>
    <w:rsid w:val="00820278"/>
    <w:rsid w:val="00822825"/>
    <w:rsid w:val="00841026"/>
    <w:rsid w:val="008843B6"/>
    <w:rsid w:val="00890BDE"/>
    <w:rsid w:val="00891928"/>
    <w:rsid w:val="008936B3"/>
    <w:rsid w:val="00893886"/>
    <w:rsid w:val="00893CBD"/>
    <w:rsid w:val="0089458D"/>
    <w:rsid w:val="00896641"/>
    <w:rsid w:val="008A446D"/>
    <w:rsid w:val="008D6EF0"/>
    <w:rsid w:val="008E394B"/>
    <w:rsid w:val="008E48E7"/>
    <w:rsid w:val="008E6028"/>
    <w:rsid w:val="008F0EA7"/>
    <w:rsid w:val="008F6BCF"/>
    <w:rsid w:val="009004C7"/>
    <w:rsid w:val="0090699B"/>
    <w:rsid w:val="009171E1"/>
    <w:rsid w:val="00923EEF"/>
    <w:rsid w:val="00940E87"/>
    <w:rsid w:val="009419F9"/>
    <w:rsid w:val="0094520F"/>
    <w:rsid w:val="00961B09"/>
    <w:rsid w:val="0096264D"/>
    <w:rsid w:val="00963851"/>
    <w:rsid w:val="00965334"/>
    <w:rsid w:val="0097093E"/>
    <w:rsid w:val="00981900"/>
    <w:rsid w:val="009949A6"/>
    <w:rsid w:val="009A7592"/>
    <w:rsid w:val="009C71FA"/>
    <w:rsid w:val="009C72E7"/>
    <w:rsid w:val="009E037A"/>
    <w:rsid w:val="00A01415"/>
    <w:rsid w:val="00A045E2"/>
    <w:rsid w:val="00A057CC"/>
    <w:rsid w:val="00A0593A"/>
    <w:rsid w:val="00A17F13"/>
    <w:rsid w:val="00A20739"/>
    <w:rsid w:val="00A33C78"/>
    <w:rsid w:val="00A42878"/>
    <w:rsid w:val="00A46ECE"/>
    <w:rsid w:val="00A6538E"/>
    <w:rsid w:val="00A82020"/>
    <w:rsid w:val="00A97AB1"/>
    <w:rsid w:val="00AB0ADB"/>
    <w:rsid w:val="00AD439B"/>
    <w:rsid w:val="00AD5E99"/>
    <w:rsid w:val="00AE1091"/>
    <w:rsid w:val="00AF7662"/>
    <w:rsid w:val="00B12E28"/>
    <w:rsid w:val="00B14D94"/>
    <w:rsid w:val="00B36313"/>
    <w:rsid w:val="00B618D0"/>
    <w:rsid w:val="00B72CD3"/>
    <w:rsid w:val="00B72FFF"/>
    <w:rsid w:val="00B8172B"/>
    <w:rsid w:val="00B900D9"/>
    <w:rsid w:val="00B955F9"/>
    <w:rsid w:val="00B972B1"/>
    <w:rsid w:val="00BA3E7E"/>
    <w:rsid w:val="00BC10E2"/>
    <w:rsid w:val="00BC61EF"/>
    <w:rsid w:val="00BD15D4"/>
    <w:rsid w:val="00BD2E7A"/>
    <w:rsid w:val="00BD7F72"/>
    <w:rsid w:val="00C03EB2"/>
    <w:rsid w:val="00C04FB3"/>
    <w:rsid w:val="00C23CD4"/>
    <w:rsid w:val="00C250EA"/>
    <w:rsid w:val="00C330EB"/>
    <w:rsid w:val="00C43CDD"/>
    <w:rsid w:val="00C44DE9"/>
    <w:rsid w:val="00C46297"/>
    <w:rsid w:val="00C64D3A"/>
    <w:rsid w:val="00C754BE"/>
    <w:rsid w:val="00C907ED"/>
    <w:rsid w:val="00CB3DF3"/>
    <w:rsid w:val="00CB6357"/>
    <w:rsid w:val="00CC1B26"/>
    <w:rsid w:val="00CC1D54"/>
    <w:rsid w:val="00CE2488"/>
    <w:rsid w:val="00CF2155"/>
    <w:rsid w:val="00D04A47"/>
    <w:rsid w:val="00D423A2"/>
    <w:rsid w:val="00D43230"/>
    <w:rsid w:val="00D62425"/>
    <w:rsid w:val="00D63AC2"/>
    <w:rsid w:val="00D6409B"/>
    <w:rsid w:val="00D72857"/>
    <w:rsid w:val="00D72CB7"/>
    <w:rsid w:val="00D7383B"/>
    <w:rsid w:val="00D90F5E"/>
    <w:rsid w:val="00D91929"/>
    <w:rsid w:val="00D91F1B"/>
    <w:rsid w:val="00D963AD"/>
    <w:rsid w:val="00DA177D"/>
    <w:rsid w:val="00DA231B"/>
    <w:rsid w:val="00DE2F39"/>
    <w:rsid w:val="00E03F69"/>
    <w:rsid w:val="00E1090F"/>
    <w:rsid w:val="00E143A3"/>
    <w:rsid w:val="00E16408"/>
    <w:rsid w:val="00E20894"/>
    <w:rsid w:val="00E22F85"/>
    <w:rsid w:val="00E245AB"/>
    <w:rsid w:val="00E34413"/>
    <w:rsid w:val="00E37EE2"/>
    <w:rsid w:val="00E4706B"/>
    <w:rsid w:val="00E50AFE"/>
    <w:rsid w:val="00E535F1"/>
    <w:rsid w:val="00E771DC"/>
    <w:rsid w:val="00E8772A"/>
    <w:rsid w:val="00E90F6B"/>
    <w:rsid w:val="00E92C27"/>
    <w:rsid w:val="00EA0E3D"/>
    <w:rsid w:val="00EA18ED"/>
    <w:rsid w:val="00EA7809"/>
    <w:rsid w:val="00EB6901"/>
    <w:rsid w:val="00EB7370"/>
    <w:rsid w:val="00EE1AA8"/>
    <w:rsid w:val="00EF591B"/>
    <w:rsid w:val="00EF62E1"/>
    <w:rsid w:val="00F025CB"/>
    <w:rsid w:val="00F17039"/>
    <w:rsid w:val="00F204AB"/>
    <w:rsid w:val="00F22A83"/>
    <w:rsid w:val="00F31EDC"/>
    <w:rsid w:val="00F3435E"/>
    <w:rsid w:val="00F404A7"/>
    <w:rsid w:val="00F551C6"/>
    <w:rsid w:val="00F5664F"/>
    <w:rsid w:val="00F613A2"/>
    <w:rsid w:val="00F734E4"/>
    <w:rsid w:val="00F76AFC"/>
    <w:rsid w:val="00F8246F"/>
    <w:rsid w:val="00F9618B"/>
    <w:rsid w:val="00FB5DD1"/>
    <w:rsid w:val="00FC2B5D"/>
    <w:rsid w:val="00FC306D"/>
    <w:rsid w:val="00FD01CC"/>
    <w:rsid w:val="00FE54C4"/>
    <w:rsid w:val="00FF1449"/>
    <w:rsid w:val="0825949C"/>
    <w:rsid w:val="13797D34"/>
    <w:rsid w:val="22F23A06"/>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E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2034E5"/>
    <w:pPr>
      <w:spacing w:line="240" w:lineRule="exact"/>
    </w:pPr>
    <w:rPr>
      <w:vertAlign w:val="superscript"/>
    </w:rPr>
  </w:style>
  <w:style w:type="paragraph" w:styleId="NormalWeb">
    <w:name w:val="Normal (Web)"/>
    <w:basedOn w:val="Normal"/>
    <w:uiPriority w:val="99"/>
    <w:semiHidden/>
    <w:unhideWhenUsed/>
    <w:rsid w:val="002034E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C46297"/>
    <w:rPr>
      <w:color w:val="605E5C"/>
      <w:shd w:val="clear" w:color="auto" w:fill="E1DFDD"/>
    </w:rPr>
  </w:style>
  <w:style w:type="character" w:styleId="eop" w:customStyle="1">
    <w:name w:val="eop"/>
    <w:basedOn w:val="Fuentedeprrafopredeter"/>
    <w:rsid w:val="005D2ACF"/>
  </w:style>
  <w:style w:type="paragraph" w:styleId="Revisin">
    <w:name w:val="Revision"/>
    <w:hidden/>
    <w:uiPriority w:val="99"/>
    <w:semiHidden/>
    <w:rsid w:val="00330F73"/>
    <w:pPr>
      <w:spacing w:after="0" w:line="240" w:lineRule="auto"/>
    </w:pPr>
  </w:style>
  <w:style w:type="character" w:styleId="Refdecomentario">
    <w:name w:val="annotation reference"/>
    <w:basedOn w:val="Fuentedeprrafopredeter"/>
    <w:uiPriority w:val="99"/>
    <w:semiHidden/>
    <w:unhideWhenUsed/>
    <w:rsid w:val="00675023"/>
    <w:rPr>
      <w:sz w:val="16"/>
      <w:szCs w:val="16"/>
    </w:rPr>
  </w:style>
  <w:style w:type="paragraph" w:styleId="Textocomentario">
    <w:name w:val="annotation text"/>
    <w:basedOn w:val="Normal"/>
    <w:link w:val="TextocomentarioCar"/>
    <w:uiPriority w:val="99"/>
    <w:unhideWhenUsed/>
    <w:rsid w:val="00675023"/>
    <w:pPr>
      <w:spacing w:line="240" w:lineRule="auto"/>
    </w:pPr>
    <w:rPr>
      <w:sz w:val="20"/>
      <w:szCs w:val="20"/>
    </w:rPr>
  </w:style>
  <w:style w:type="character" w:styleId="TextocomentarioCar" w:customStyle="1">
    <w:name w:val="Texto comentario Car"/>
    <w:basedOn w:val="Fuentedeprrafopredeter"/>
    <w:link w:val="Textocomentario"/>
    <w:uiPriority w:val="99"/>
    <w:rsid w:val="00675023"/>
    <w:rPr>
      <w:sz w:val="20"/>
      <w:szCs w:val="20"/>
    </w:rPr>
  </w:style>
  <w:style w:type="paragraph" w:styleId="Asuntodelcomentario">
    <w:name w:val="annotation subject"/>
    <w:basedOn w:val="Textocomentario"/>
    <w:next w:val="Textocomentario"/>
    <w:link w:val="AsuntodelcomentarioCar"/>
    <w:uiPriority w:val="99"/>
    <w:semiHidden/>
    <w:unhideWhenUsed/>
    <w:rsid w:val="00675023"/>
    <w:rPr>
      <w:b/>
      <w:bCs/>
    </w:rPr>
  </w:style>
  <w:style w:type="character" w:styleId="AsuntodelcomentarioCar" w:customStyle="1">
    <w:name w:val="Asunto del comentario Car"/>
    <w:basedOn w:val="TextocomentarioCar"/>
    <w:link w:val="Asuntodelcomentario"/>
    <w:uiPriority w:val="99"/>
    <w:semiHidden/>
    <w:rsid w:val="00675023"/>
    <w:rPr>
      <w:b/>
      <w:bCs/>
      <w:sz w:val="20"/>
      <w:szCs w:val="20"/>
    </w:rPr>
  </w:style>
  <w:style w:type="paragraph" w:styleId="Textodeglobo">
    <w:name w:val="Balloon Text"/>
    <w:basedOn w:val="Normal"/>
    <w:link w:val="TextodegloboCar"/>
    <w:uiPriority w:val="99"/>
    <w:semiHidden/>
    <w:unhideWhenUsed/>
    <w:rsid w:val="005C4D9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C4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arenliceth92@gmail.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UserInfo>
        <DisplayName>Ximena Ríos López</DisplayName>
        <AccountId>48</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4639E847-8227-4B52-A922-40185AE8498E}"/>
</file>

<file path=customXml/itemProps4.xml><?xml version="1.0" encoding="utf-8"?>
<ds:datastoreItem xmlns:ds="http://schemas.openxmlformats.org/officeDocument/2006/customXml" ds:itemID="{97990B5A-2490-446C-8931-B6E4747070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Paula Andrea Manrique Sarmiento</cp:lastModifiedBy>
  <cp:revision>4</cp:revision>
  <cp:lastPrinted>2023-01-10T21:18:00Z</cp:lastPrinted>
  <dcterms:created xsi:type="dcterms:W3CDTF">2024-06-20T03:09:00Z</dcterms:created>
  <dcterms:modified xsi:type="dcterms:W3CDTF">2024-07-02T15:50:38Z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