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61E8D" w14:textId="77777777" w:rsidR="00CC63D1" w:rsidRPr="00C600FA" w:rsidRDefault="00CC63D1" w:rsidP="00CC63D1">
      <w:pPr>
        <w:spacing w:after="0" w:line="240" w:lineRule="auto"/>
        <w:contextualSpacing/>
        <w:jc w:val="both"/>
        <w:rPr>
          <w:rFonts w:ascii="Century Gothic" w:eastAsia="Calibri" w:hAnsi="Century Gothic"/>
          <w:b/>
          <w:bCs/>
          <w:color w:val="000000" w:themeColor="text1"/>
          <w:lang w:val="es-ES_tradnl" w:eastAsia="es-ES_tradnl"/>
        </w:rPr>
      </w:pPr>
      <w:r w:rsidRPr="00C600FA">
        <w:rPr>
          <w:rFonts w:ascii="Century Gothic" w:eastAsia="Times New Roman" w:hAnsi="Century Gothic"/>
          <w:b/>
          <w:bCs/>
          <w:color w:val="000000" w:themeColor="text1"/>
          <w:lang w:val="es-ES_tradnl" w:eastAsia="es-ES_tradnl"/>
        </w:rPr>
        <w:t>CONTRATOS CON ESAL</w:t>
      </w:r>
      <w:r w:rsidRPr="00C600FA">
        <w:rPr>
          <w:rFonts w:ascii="Century Gothic" w:eastAsia="Calibri" w:hAnsi="Century Gothic"/>
          <w:b/>
          <w:bCs/>
          <w:color w:val="000000" w:themeColor="text1"/>
          <w:lang w:val="es-ES_tradnl" w:eastAsia="es-ES_tradnl"/>
        </w:rPr>
        <w:t>–</w:t>
      </w:r>
      <w:r w:rsidRPr="00C600FA">
        <w:rPr>
          <w:rFonts w:ascii="Century Gothic" w:eastAsia="Times New Roman" w:hAnsi="Century Gothic"/>
          <w:b/>
          <w:bCs/>
          <w:color w:val="000000" w:themeColor="text1"/>
          <w:lang w:val="es-ES_tradnl" w:eastAsia="es-ES_tradnl"/>
        </w:rPr>
        <w:t xml:space="preserve"> Constitución </w:t>
      </w:r>
      <w:r w:rsidRPr="00C600FA">
        <w:rPr>
          <w:rFonts w:ascii="Century Gothic" w:eastAsia="Calibri" w:hAnsi="Century Gothic"/>
          <w:b/>
          <w:bCs/>
          <w:color w:val="000000" w:themeColor="text1"/>
          <w:lang w:val="es-ES_tradnl" w:eastAsia="es-ES_tradnl"/>
        </w:rPr>
        <w:t>–</w:t>
      </w:r>
      <w:r w:rsidRPr="00C600FA">
        <w:rPr>
          <w:rFonts w:ascii="Century Gothic" w:eastAsia="Times New Roman" w:hAnsi="Century Gothic"/>
          <w:b/>
          <w:bCs/>
          <w:color w:val="000000" w:themeColor="text1"/>
          <w:lang w:val="es-ES_tradnl" w:eastAsia="es-ES_tradnl"/>
        </w:rPr>
        <w:t xml:space="preserve"> Artículo 355 –</w:t>
      </w:r>
      <w:r w:rsidRPr="00C600FA">
        <w:rPr>
          <w:rFonts w:ascii="Century Gothic" w:eastAsia="Calibri" w:hAnsi="Century Gothic"/>
          <w:b/>
          <w:bCs/>
          <w:color w:val="000000" w:themeColor="text1"/>
          <w:lang w:val="es-ES_tradnl" w:eastAsia="es-ES_tradnl"/>
        </w:rPr>
        <w:t xml:space="preserve"> Fundamento </w:t>
      </w:r>
    </w:p>
    <w:p w14:paraId="0EEF009C" w14:textId="77777777" w:rsidR="00CC63D1" w:rsidRPr="00C600FA" w:rsidRDefault="00CC63D1" w:rsidP="00CC63D1">
      <w:pPr>
        <w:spacing w:after="0" w:line="240" w:lineRule="auto"/>
        <w:contextualSpacing/>
        <w:jc w:val="both"/>
        <w:rPr>
          <w:rFonts w:ascii="Century Gothic" w:eastAsia="Calibri" w:hAnsi="Century Gothic" w:cs="Arial"/>
          <w:color w:val="000000" w:themeColor="text1"/>
          <w:sz w:val="20"/>
          <w:szCs w:val="20"/>
          <w:lang w:val="es-ES"/>
        </w:rPr>
      </w:pPr>
    </w:p>
    <w:p w14:paraId="01F71E0B" w14:textId="77777777" w:rsidR="00CC63D1" w:rsidRPr="00C600FA" w:rsidRDefault="00CC63D1" w:rsidP="00CC63D1">
      <w:pPr>
        <w:spacing w:after="0" w:line="240" w:lineRule="auto"/>
        <w:contextualSpacing/>
        <w:jc w:val="both"/>
        <w:rPr>
          <w:rFonts w:ascii="Century Gothic" w:eastAsia="Calibri" w:hAnsi="Century Gothic" w:cs="Arial"/>
          <w:color w:val="000000" w:themeColor="text1"/>
          <w:sz w:val="20"/>
          <w:szCs w:val="20"/>
          <w:lang w:val="es-ES"/>
        </w:rPr>
      </w:pPr>
      <w:r w:rsidRPr="00C600FA">
        <w:rPr>
          <w:rFonts w:ascii="Century Gothic" w:eastAsia="Calibri" w:hAnsi="Century Gothic" w:cs="Arial"/>
          <w:color w:val="000000" w:themeColor="text1"/>
          <w:sz w:val="20"/>
          <w:szCs w:val="20"/>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00483669" w14:textId="77777777" w:rsidR="00CC63D1" w:rsidRPr="00C600FA" w:rsidRDefault="00CC63D1" w:rsidP="00CC63D1">
      <w:pPr>
        <w:spacing w:after="0" w:line="240" w:lineRule="auto"/>
        <w:contextualSpacing/>
        <w:jc w:val="both"/>
        <w:rPr>
          <w:rFonts w:ascii="Century Gothic" w:eastAsia="Calibri" w:hAnsi="Century Gothic" w:cs="Arial"/>
          <w:color w:val="000000" w:themeColor="text1"/>
          <w:sz w:val="20"/>
          <w:szCs w:val="20"/>
          <w:lang w:val="es-ES"/>
        </w:rPr>
      </w:pPr>
    </w:p>
    <w:p w14:paraId="6D5C0647" w14:textId="77777777" w:rsidR="00CC63D1" w:rsidRPr="00C600FA" w:rsidRDefault="00CC63D1" w:rsidP="00CC63D1">
      <w:pPr>
        <w:spacing w:after="0" w:line="240" w:lineRule="auto"/>
        <w:contextualSpacing/>
        <w:jc w:val="both"/>
        <w:rPr>
          <w:rFonts w:ascii="Century Gothic" w:eastAsia="Calibri" w:hAnsi="Century Gothic"/>
          <w:b/>
          <w:bCs/>
          <w:color w:val="000000" w:themeColor="text1"/>
          <w:lang w:val="es-ES_tradnl" w:eastAsia="es-ES_tradnl"/>
        </w:rPr>
      </w:pPr>
      <w:r w:rsidRPr="00C600FA">
        <w:rPr>
          <w:rFonts w:ascii="Century Gothic" w:eastAsia="Times New Roman" w:hAnsi="Century Gothic"/>
          <w:b/>
          <w:bCs/>
          <w:color w:val="000000" w:themeColor="text1"/>
          <w:lang w:val="es-ES_tradnl" w:eastAsia="es-ES_tradnl"/>
        </w:rPr>
        <w:t xml:space="preserve">TIPOS DE CONTRATOS </w:t>
      </w:r>
      <w:r w:rsidRPr="00C600FA">
        <w:rPr>
          <w:rFonts w:ascii="Century Gothic" w:eastAsia="Calibri" w:hAnsi="Century Gothic"/>
          <w:b/>
          <w:bCs/>
          <w:color w:val="000000" w:themeColor="text1"/>
          <w:lang w:val="es-ES_tradnl" w:eastAsia="es-ES_tradnl"/>
        </w:rPr>
        <w:t xml:space="preserve">– ESAL – Constitución Política – </w:t>
      </w:r>
      <w:r w:rsidRPr="00C600FA">
        <w:rPr>
          <w:rFonts w:ascii="Century Gothic" w:eastAsia="Times New Roman" w:hAnsi="Century Gothic"/>
          <w:b/>
          <w:bCs/>
          <w:color w:val="000000" w:themeColor="text1"/>
          <w:lang w:val="es-ES_tradnl" w:eastAsia="es-ES_tradnl"/>
        </w:rPr>
        <w:t xml:space="preserve">Artículo 355 </w:t>
      </w:r>
      <w:r w:rsidRPr="00C600FA">
        <w:rPr>
          <w:rFonts w:ascii="Century Gothic" w:eastAsia="Calibri" w:hAnsi="Century Gothic"/>
          <w:b/>
          <w:bCs/>
          <w:color w:val="000000" w:themeColor="text1"/>
          <w:lang w:val="es-ES_tradnl" w:eastAsia="es-ES_tradnl"/>
        </w:rPr>
        <w:t>– Ley 489 – Artículo 96</w:t>
      </w:r>
    </w:p>
    <w:p w14:paraId="7E69C21A" w14:textId="77777777" w:rsidR="00CC63D1" w:rsidRPr="00C600FA" w:rsidRDefault="00CC63D1" w:rsidP="00CC63D1">
      <w:pPr>
        <w:spacing w:after="0" w:line="240" w:lineRule="auto"/>
        <w:contextualSpacing/>
        <w:jc w:val="both"/>
        <w:rPr>
          <w:rFonts w:ascii="Century Gothic" w:eastAsia="Calibri" w:hAnsi="Century Gothic" w:cs="Arial"/>
          <w:color w:val="000000" w:themeColor="text1"/>
          <w:sz w:val="20"/>
          <w:szCs w:val="20"/>
          <w:lang w:val="es-ES"/>
        </w:rPr>
      </w:pPr>
    </w:p>
    <w:p w14:paraId="3A485A41" w14:textId="77777777" w:rsidR="00CC63D1" w:rsidRPr="00C600FA" w:rsidRDefault="00CC63D1" w:rsidP="00CC63D1">
      <w:pPr>
        <w:spacing w:after="0" w:line="240" w:lineRule="auto"/>
        <w:contextualSpacing/>
        <w:jc w:val="both"/>
        <w:rPr>
          <w:rFonts w:ascii="Century Gothic" w:eastAsia="Calibri" w:hAnsi="Century Gothic" w:cs="Arial"/>
          <w:color w:val="000000"/>
          <w:sz w:val="20"/>
          <w:szCs w:val="20"/>
          <w:lang w:val="es-MX" w:eastAsia="es-ES_tradnl"/>
        </w:rPr>
      </w:pPr>
      <w:r w:rsidRPr="00C600FA">
        <w:rPr>
          <w:rFonts w:ascii="Century Gothic" w:hAnsi="Century Gothic" w:cs="Arial"/>
          <w:sz w:val="20"/>
          <w:szCs w:val="20"/>
          <w:lang w:val="es-MX"/>
        </w:rPr>
        <w:t>El Gobierno Nacional, en desarrollo del artículo 355 de la Constitución Política, expidió el Decreto 092 de 2017, q</w:t>
      </w:r>
      <w:r w:rsidRPr="00C600FA">
        <w:rPr>
          <w:rFonts w:ascii="Century Gothic" w:eastAsia="Calibri" w:hAnsi="Century Gothic" w:cs="Arial"/>
          <w:sz w:val="20"/>
          <w:szCs w:val="20"/>
          <w:lang w:val="es-MX"/>
        </w:rPr>
        <w:t xml:space="preserve">ue dispone las reglas para las contrataciones que realicen las Entidades Estatales con las ESAL. </w:t>
      </w:r>
      <w:r w:rsidRPr="00C600FA">
        <w:rPr>
          <w:rFonts w:ascii="Century Gothic" w:eastAsia="Calibri" w:hAnsi="Century Gothic" w:cs="Arial"/>
          <w:color w:val="000000" w:themeColor="text1"/>
          <w:sz w:val="20"/>
          <w:szCs w:val="20"/>
          <w:lang w:val="es-ES"/>
        </w:rPr>
        <w:t xml:space="preserve">El Decreto regula dos (2) eventos: i) </w:t>
      </w:r>
      <w:r w:rsidRPr="00C600FA">
        <w:rPr>
          <w:rFonts w:ascii="Century Gothic" w:eastAsia="Calibri" w:hAnsi="Century Gothic" w:cs="Arial"/>
          <w:sz w:val="20"/>
          <w:szCs w:val="20"/>
          <w:lang w:eastAsia="es-ES_tradnl"/>
        </w:rPr>
        <w:t xml:space="preserve">los </w:t>
      </w:r>
      <w:r w:rsidRPr="00C600FA">
        <w:rPr>
          <w:rFonts w:ascii="Century Gothic" w:eastAsia="Calibri" w:hAnsi="Century Gothic" w:cs="Arial"/>
          <w:i/>
          <w:iCs/>
          <w:sz w:val="20"/>
          <w:szCs w:val="20"/>
          <w:lang w:eastAsia="es-ES_tradnl"/>
        </w:rPr>
        <w:t>contratos de colaboración</w:t>
      </w:r>
      <w:r w:rsidRPr="00C600FA">
        <w:rPr>
          <w:rFonts w:ascii="Century Gothic" w:eastAsia="Calibri" w:hAnsi="Century Gothic" w:cs="Arial"/>
          <w:sz w:val="20"/>
          <w:szCs w:val="20"/>
          <w:lang w:eastAsia="es-ES_tradnl"/>
        </w:rPr>
        <w:t xml:space="preserve"> o de interés público, con el fin impulsar programas y actividades de interés público de acuerdo con el Plan Nacional o los planes seccionales de desarrollo, en los términos del artículo 355 de la Constitución Política – a los cuales hace referencia en su consulta –</w:t>
      </w:r>
      <w:r w:rsidRPr="00C600FA">
        <w:rPr>
          <w:rFonts w:ascii="Century Gothic" w:eastAsia="Calibri" w:hAnsi="Century Gothic" w:cs="Arial"/>
          <w:color w:val="000000" w:themeColor="text1"/>
          <w:sz w:val="20"/>
          <w:szCs w:val="20"/>
          <w:lang w:val="es-ES"/>
        </w:rPr>
        <w:t xml:space="preserve"> y; </w:t>
      </w:r>
      <w:proofErr w:type="spellStart"/>
      <w:r w:rsidRPr="00C600FA">
        <w:rPr>
          <w:rFonts w:ascii="Century Gothic" w:eastAsia="Calibri" w:hAnsi="Century Gothic" w:cs="Arial"/>
          <w:color w:val="000000" w:themeColor="text1"/>
          <w:sz w:val="20"/>
          <w:szCs w:val="20"/>
          <w:lang w:val="es-ES"/>
        </w:rPr>
        <w:t>ii</w:t>
      </w:r>
      <w:proofErr w:type="spellEnd"/>
      <w:r w:rsidRPr="00C600FA">
        <w:rPr>
          <w:rFonts w:ascii="Century Gothic" w:eastAsia="Calibri" w:hAnsi="Century Gothic" w:cs="Arial"/>
          <w:color w:val="000000" w:themeColor="text1"/>
          <w:sz w:val="20"/>
          <w:szCs w:val="20"/>
          <w:lang w:val="es-ES"/>
        </w:rPr>
        <w:t xml:space="preserve">) los </w:t>
      </w:r>
      <w:r w:rsidRPr="00C600FA">
        <w:rPr>
          <w:rFonts w:ascii="Century Gothic" w:eastAsia="Calibri" w:hAnsi="Century Gothic" w:cs="Arial"/>
          <w:i/>
          <w:iCs/>
          <w:color w:val="000000" w:themeColor="text1"/>
          <w:sz w:val="20"/>
          <w:szCs w:val="20"/>
          <w:lang w:val="es-ES"/>
        </w:rPr>
        <w:t>convenios de asociación</w:t>
      </w:r>
      <w:r w:rsidRPr="00C600FA">
        <w:rPr>
          <w:rFonts w:ascii="Century Gothic" w:eastAsia="Calibri" w:hAnsi="Century Gothic" w:cs="Arial"/>
          <w:color w:val="000000" w:themeColor="text1"/>
          <w:sz w:val="20"/>
          <w:szCs w:val="20"/>
          <w:lang w:val="es-ES"/>
        </w:rPr>
        <w:t xml:space="preserve">, para el desarrollo conjunto de actividades relacionadas con las funciones de las Entidades Estatales, en desarrollo del artículo 96 de la Ley 489 de 1998. </w:t>
      </w:r>
      <w:r w:rsidRPr="00C600FA">
        <w:rPr>
          <w:rFonts w:ascii="Century Gothic" w:eastAsia="Calibri" w:hAnsi="Century Gothic" w:cs="Arial"/>
          <w:color w:val="000000"/>
          <w:sz w:val="20"/>
          <w:szCs w:val="20"/>
          <w:lang w:val="es-MX" w:eastAsia="es-ES_tradnl"/>
        </w:rPr>
        <w:t xml:space="preserve">Los primeros están regulados en el artículo 2 del Decreto 092 de 2017, mientras que los segundos en los artículos 5, 6, 7 y 8 </w:t>
      </w:r>
      <w:r w:rsidRPr="00C600FA">
        <w:rPr>
          <w:rFonts w:ascii="Century Gothic" w:eastAsia="Calibri" w:hAnsi="Century Gothic" w:cs="Arial"/>
          <w:i/>
          <w:iCs/>
          <w:color w:val="000000"/>
          <w:sz w:val="20"/>
          <w:szCs w:val="20"/>
          <w:lang w:val="es-MX" w:eastAsia="es-ES_tradnl"/>
        </w:rPr>
        <w:t>ibidem</w:t>
      </w:r>
      <w:r w:rsidRPr="00C600FA">
        <w:rPr>
          <w:rFonts w:ascii="Century Gothic" w:eastAsia="Calibri" w:hAnsi="Century Gothic" w:cs="Arial"/>
          <w:color w:val="000000"/>
          <w:sz w:val="20"/>
          <w:szCs w:val="20"/>
          <w:lang w:val="es-MX" w:eastAsia="es-ES_tradnl"/>
        </w:rPr>
        <w:t xml:space="preserve">. Es posible diferenciar, pues, los </w:t>
      </w:r>
      <w:r w:rsidRPr="00C600FA">
        <w:rPr>
          <w:rFonts w:ascii="Century Gothic" w:eastAsia="Calibri" w:hAnsi="Century Gothic" w:cs="Arial"/>
          <w:i/>
          <w:iCs/>
          <w:color w:val="000000"/>
          <w:sz w:val="20"/>
          <w:szCs w:val="20"/>
          <w:lang w:val="es-MX" w:eastAsia="es-ES_tradnl"/>
        </w:rPr>
        <w:t>contratos de colaboración</w:t>
      </w:r>
      <w:r w:rsidRPr="00C600FA">
        <w:rPr>
          <w:rFonts w:ascii="Century Gothic" w:eastAsia="Calibri" w:hAnsi="Century Gothic" w:cs="Arial"/>
          <w:color w:val="000000"/>
          <w:sz w:val="20"/>
          <w:szCs w:val="20"/>
          <w:lang w:val="es-MX" w:eastAsia="es-ES_tradnl"/>
        </w:rPr>
        <w:t xml:space="preserve">, establecidos en el artículo 2 del Decreto 092 de 2017, de los </w:t>
      </w:r>
      <w:r w:rsidRPr="00C600FA">
        <w:rPr>
          <w:rFonts w:ascii="Century Gothic" w:eastAsia="Calibri" w:hAnsi="Century Gothic" w:cs="Arial"/>
          <w:i/>
          <w:iCs/>
          <w:color w:val="000000"/>
          <w:sz w:val="20"/>
          <w:szCs w:val="20"/>
          <w:lang w:val="es-MX" w:eastAsia="es-ES_tradnl"/>
        </w:rPr>
        <w:t>convenios de asociación</w:t>
      </w:r>
      <w:r w:rsidRPr="00C600FA">
        <w:rPr>
          <w:rFonts w:ascii="Century Gothic" w:eastAsia="Calibri" w:hAnsi="Century Gothic" w:cs="Arial"/>
          <w:color w:val="000000"/>
          <w:sz w:val="20"/>
          <w:szCs w:val="20"/>
          <w:lang w:val="es-MX" w:eastAsia="es-ES_tradnl"/>
        </w:rPr>
        <w:t xml:space="preserve">, regulados en el artículo 5. </w:t>
      </w:r>
    </w:p>
    <w:p w14:paraId="04BB3E5E" w14:textId="77777777" w:rsidR="00CC63D1" w:rsidRDefault="00CC63D1" w:rsidP="00CC63D1">
      <w:pPr>
        <w:spacing w:after="0" w:line="240" w:lineRule="auto"/>
        <w:contextualSpacing/>
        <w:jc w:val="both"/>
        <w:rPr>
          <w:rFonts w:ascii="Century Gothic" w:eastAsia="Calibri" w:hAnsi="Century Gothic" w:cs="Arial"/>
          <w:color w:val="000000" w:themeColor="text1"/>
          <w:sz w:val="20"/>
          <w:szCs w:val="20"/>
          <w:lang w:val="es-ES"/>
        </w:rPr>
      </w:pPr>
    </w:p>
    <w:p w14:paraId="1E544BF4" w14:textId="77777777" w:rsidR="00CC63D1" w:rsidRPr="00C600FA" w:rsidRDefault="00CC63D1" w:rsidP="00CC63D1">
      <w:pPr>
        <w:spacing w:after="0" w:line="240" w:lineRule="auto"/>
        <w:contextualSpacing/>
        <w:jc w:val="both"/>
        <w:rPr>
          <w:rFonts w:ascii="Century Gothic" w:eastAsia="Calibri" w:hAnsi="Century Gothic" w:cs="Arial"/>
          <w:color w:val="000000" w:themeColor="text1"/>
          <w:sz w:val="20"/>
          <w:szCs w:val="20"/>
          <w:lang w:val="es-ES"/>
        </w:rPr>
      </w:pPr>
      <w:r w:rsidRPr="00C600FA">
        <w:rPr>
          <w:rFonts w:ascii="Century Gothic" w:eastAsia="Calibri" w:hAnsi="Century Gothic" w:cs="Arial"/>
          <w:color w:val="000000" w:themeColor="text1"/>
          <w:sz w:val="20"/>
          <w:szCs w:val="20"/>
          <w:lang w:val="es-ES"/>
        </w:rPr>
        <w:t xml:space="preserve">De un lado, los </w:t>
      </w:r>
      <w:r w:rsidRPr="00C600FA">
        <w:rPr>
          <w:rFonts w:ascii="Century Gothic" w:eastAsia="Calibri" w:hAnsi="Century Gothic" w:cs="Arial"/>
          <w:i/>
          <w:iCs/>
          <w:color w:val="000000" w:themeColor="text1"/>
          <w:sz w:val="20"/>
          <w:szCs w:val="20"/>
          <w:lang w:val="es-ES"/>
        </w:rPr>
        <w:t>contratos de colaboración del artículo 355 de la Constitución Política</w:t>
      </w:r>
      <w:r w:rsidRPr="00C600FA">
        <w:rPr>
          <w:rFonts w:ascii="Century Gothic" w:eastAsia="Calibri" w:hAnsi="Century Gothic" w:cs="Arial"/>
          <w:color w:val="000000" w:themeColor="text1"/>
          <w:sz w:val="20"/>
          <w:szCs w:val="20"/>
          <w:lang w:val="es-ES"/>
        </w:rPr>
        <w:t xml:space="preserve"> tienen como objeto promover acciones de fomento social en beneficio de los sectores más desprotegidos de la población, siempre que estén previstas o relacionado con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22F2A523" w14:textId="77777777" w:rsidR="00CC63D1" w:rsidRDefault="00CC63D1" w:rsidP="00CC63D1">
      <w:pPr>
        <w:spacing w:after="0" w:line="240" w:lineRule="auto"/>
        <w:contextualSpacing/>
        <w:jc w:val="both"/>
        <w:rPr>
          <w:rFonts w:ascii="Century Gothic" w:eastAsia="Calibri" w:hAnsi="Century Gothic" w:cs="Arial"/>
          <w:color w:val="000000" w:themeColor="text1"/>
          <w:sz w:val="20"/>
          <w:szCs w:val="20"/>
          <w:lang w:val="es-ES"/>
        </w:rPr>
      </w:pPr>
    </w:p>
    <w:p w14:paraId="51B5ECDB" w14:textId="77777777" w:rsidR="00CC63D1" w:rsidRPr="00C600FA" w:rsidRDefault="00CC63D1" w:rsidP="00CC63D1">
      <w:pPr>
        <w:spacing w:after="0" w:line="240" w:lineRule="auto"/>
        <w:contextualSpacing/>
        <w:jc w:val="both"/>
        <w:rPr>
          <w:rFonts w:ascii="Century Gothic" w:eastAsia="Calibri" w:hAnsi="Century Gothic" w:cs="Arial"/>
          <w:color w:val="000000" w:themeColor="text1"/>
          <w:sz w:val="20"/>
          <w:szCs w:val="20"/>
          <w:lang w:val="es-ES"/>
        </w:rPr>
      </w:pPr>
      <w:r w:rsidRPr="00C600FA">
        <w:rPr>
          <w:rFonts w:ascii="Century Gothic" w:eastAsia="Calibri" w:hAnsi="Century Gothic" w:cs="Arial"/>
          <w:color w:val="000000" w:themeColor="text1"/>
          <w:sz w:val="20"/>
          <w:szCs w:val="20"/>
          <w:lang w:val="es-ES"/>
        </w:rPr>
        <w:t xml:space="preserve">De otro lado, los </w:t>
      </w:r>
      <w:r w:rsidRPr="00C600FA">
        <w:rPr>
          <w:rFonts w:ascii="Century Gothic" w:eastAsia="Calibri" w:hAnsi="Century Gothic" w:cs="Arial"/>
          <w:i/>
          <w:iCs/>
          <w:color w:val="000000" w:themeColor="text1"/>
          <w:sz w:val="20"/>
          <w:szCs w:val="20"/>
          <w:lang w:val="es-ES"/>
        </w:rPr>
        <w:t>convenios de asociación</w:t>
      </w:r>
      <w:r w:rsidRPr="00C600FA">
        <w:rPr>
          <w:rFonts w:ascii="Century Gothic" w:eastAsia="Calibri" w:hAnsi="Century Gothic" w:cs="Arial"/>
          <w:color w:val="000000" w:themeColor="text1"/>
          <w:sz w:val="20"/>
          <w:szCs w:val="20"/>
          <w:lang w:val="es-ES"/>
        </w:rPr>
        <w:t xml:space="preserve"> “[…] [t]</w:t>
      </w:r>
      <w:proofErr w:type="spellStart"/>
      <w:r w:rsidRPr="00C600FA">
        <w:rPr>
          <w:rFonts w:ascii="Century Gothic" w:eastAsia="Calibri" w:hAnsi="Century Gothic" w:cs="Arial"/>
          <w:color w:val="000000" w:themeColor="text1"/>
          <w:sz w:val="20"/>
          <w:szCs w:val="20"/>
          <w:lang w:val="es-ES"/>
        </w:rPr>
        <w:t>ienen</w:t>
      </w:r>
      <w:proofErr w:type="spellEnd"/>
      <w:r w:rsidRPr="00C600FA">
        <w:rPr>
          <w:rFonts w:ascii="Century Gothic" w:eastAsia="Calibri" w:hAnsi="Century Gothic" w:cs="Arial"/>
          <w:color w:val="000000" w:themeColor="text1"/>
          <w:sz w:val="20"/>
          <w:szCs w:val="20"/>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p>
    <w:p w14:paraId="4B4C6FCA" w14:textId="77777777" w:rsidR="00CC63D1" w:rsidRPr="00C600FA" w:rsidRDefault="00CC63D1" w:rsidP="00CC63D1">
      <w:pPr>
        <w:spacing w:after="0" w:line="240" w:lineRule="auto"/>
        <w:contextualSpacing/>
        <w:jc w:val="both"/>
        <w:rPr>
          <w:rFonts w:ascii="Century Gothic" w:eastAsia="Calibri" w:hAnsi="Century Gothic" w:cs="Arial"/>
          <w:color w:val="000000" w:themeColor="text1"/>
          <w:sz w:val="20"/>
          <w:szCs w:val="20"/>
          <w:lang w:val="es-ES"/>
        </w:rPr>
      </w:pPr>
    </w:p>
    <w:p w14:paraId="4E69773E" w14:textId="77777777" w:rsidR="00CC63D1" w:rsidRPr="00C600FA" w:rsidRDefault="00CC63D1" w:rsidP="00CC63D1">
      <w:pPr>
        <w:spacing w:after="0" w:line="240" w:lineRule="auto"/>
        <w:contextualSpacing/>
        <w:rPr>
          <w:rFonts w:ascii="Century Gothic" w:eastAsia="Times New Roman" w:hAnsi="Century Gothic"/>
          <w:b/>
          <w:bCs/>
          <w:color w:val="000000" w:themeColor="text1"/>
          <w:lang w:val="es-ES_tradnl" w:eastAsia="es-ES_tradnl"/>
        </w:rPr>
      </w:pPr>
      <w:r w:rsidRPr="00C600FA">
        <w:rPr>
          <w:rFonts w:ascii="Century Gothic" w:eastAsia="Calibri" w:hAnsi="Century Gothic"/>
          <w:b/>
          <w:bCs/>
          <w:color w:val="000000" w:themeColor="text1"/>
          <w:lang w:val="es-ES_tradnl" w:eastAsia="es-ES_tradnl"/>
        </w:rPr>
        <w:t>CONTRATOS CON ESAL – Objeto – Actividades – Planes de Desarrollo</w:t>
      </w:r>
    </w:p>
    <w:p w14:paraId="3F105DB7" w14:textId="77777777" w:rsidR="00CC63D1" w:rsidRPr="00C600FA" w:rsidRDefault="00CC63D1" w:rsidP="00CC63D1">
      <w:pPr>
        <w:spacing w:after="0" w:line="240" w:lineRule="auto"/>
        <w:contextualSpacing/>
        <w:rPr>
          <w:rFonts w:ascii="Century Gothic" w:hAnsi="Century Gothic"/>
          <w:sz w:val="20"/>
          <w:szCs w:val="20"/>
          <w:lang w:val="es-ES_tradnl"/>
        </w:rPr>
      </w:pPr>
    </w:p>
    <w:p w14:paraId="71E8074D" w14:textId="77777777" w:rsidR="00CC63D1" w:rsidRPr="00C600FA" w:rsidRDefault="00CC63D1" w:rsidP="00CC63D1">
      <w:pPr>
        <w:spacing w:after="0" w:line="240" w:lineRule="auto"/>
        <w:contextualSpacing/>
        <w:jc w:val="both"/>
        <w:rPr>
          <w:rFonts w:ascii="Century Gothic" w:eastAsia="Calibri" w:hAnsi="Century Gothic" w:cs="Arial"/>
          <w:sz w:val="20"/>
          <w:szCs w:val="20"/>
          <w:lang w:val="es-ES_tradnl" w:eastAsia="es-ES_tradnl"/>
        </w:rPr>
      </w:pPr>
      <w:r w:rsidRPr="00C600FA">
        <w:rPr>
          <w:rFonts w:ascii="Century Gothic" w:eastAsia="Calibri" w:hAnsi="Century Gothic" w:cs="Arial"/>
          <w:sz w:val="20"/>
          <w:szCs w:val="20"/>
          <w:lang w:val="es-ES_tradnl" w:eastAsia="es-ES_tradnl"/>
        </w:rPr>
        <w:t xml:space="preserve">De lo expuesto, se concluye que, el constituyente previó como requisito para la suscripción de los contratos de interés público de que trata el artículo 355 de la Constitución Política que los programas o actividades que se pretendan promover por esa vía aparezcan incluidos en el plan de desarrollo respectivo y, por lo tanto, que resulten coherentes con dicho instrumento de planeación. En ese sentido, a juicio de esta Agencia, los convenios de colaboración deberán tener por objeto actividades relacionados con planes de desarrollo vigentes para el momento de celebración del contrato, es decir, que ya hayan surtido todo el procedimiento establecido en el ordenamiento jurídico. </w:t>
      </w:r>
      <w:r w:rsidRPr="00C600FA">
        <w:rPr>
          <w:rFonts w:ascii="Century Gothic" w:eastAsia="Calibri" w:hAnsi="Century Gothic" w:cs="Arial"/>
          <w:i/>
          <w:iCs/>
          <w:sz w:val="20"/>
          <w:szCs w:val="20"/>
          <w:lang w:val="es-ES_tradnl" w:eastAsia="es-ES_tradnl"/>
        </w:rPr>
        <w:t>Contrario sensu</w:t>
      </w:r>
      <w:r w:rsidRPr="00C600FA">
        <w:rPr>
          <w:rFonts w:ascii="Century Gothic" w:eastAsia="Calibri" w:hAnsi="Century Gothic" w:cs="Arial"/>
          <w:sz w:val="20"/>
          <w:szCs w:val="20"/>
          <w:lang w:val="es-ES_tradnl" w:eastAsia="es-ES_tradnl"/>
        </w:rPr>
        <w:t xml:space="preserve">, no podrán celebrarse convenios relacionados con actividades que constan en los proyectos de planes de desarrollo que se encuentren en trámite de aprobación. </w:t>
      </w:r>
    </w:p>
    <w:p w14:paraId="55CAAEF0" w14:textId="77777777" w:rsidR="00CC63D1" w:rsidRDefault="00CC63D1">
      <w:pPr>
        <w:rPr>
          <w:rFonts w:ascii="Century Gothic" w:hAnsi="Century Gothic"/>
        </w:rPr>
      </w:pPr>
      <w:r>
        <w:rPr>
          <w:rFonts w:ascii="Century Gothic" w:hAnsi="Century Gothic"/>
        </w:rPr>
        <w:br w:type="page"/>
      </w:r>
    </w:p>
    <w:p w14:paraId="44A06B17" w14:textId="75BFAFDD" w:rsidR="005A6AA1" w:rsidRDefault="005A6AA1" w:rsidP="00400548">
      <w:pPr>
        <w:spacing w:after="0"/>
        <w:rPr>
          <w:rFonts w:ascii="Century Gothic" w:hAnsi="Century Gothic"/>
          <w:lang w:val="es-MX"/>
        </w:rPr>
      </w:pPr>
      <w:r w:rsidRPr="687B05C8">
        <w:rPr>
          <w:rFonts w:ascii="Century Gothic" w:hAnsi="Century Gothic"/>
        </w:rPr>
        <w:lastRenderedPageBreak/>
        <w:t>Bogotá D.C.,</w:t>
      </w:r>
      <w:r w:rsidR="007845FD">
        <w:rPr>
          <w:rFonts w:ascii="Century Gothic" w:hAnsi="Century Gothic"/>
        </w:rPr>
        <w:t xml:space="preserve"> 27 </w:t>
      </w:r>
      <w:r w:rsidR="00514782">
        <w:rPr>
          <w:rFonts w:ascii="Century Gothic" w:hAnsi="Century Gothic"/>
        </w:rPr>
        <w:t>de junio de 2024</w:t>
      </w:r>
    </w:p>
    <w:p w14:paraId="0FAD395B" w14:textId="741DE90E" w:rsidR="00514782" w:rsidRDefault="00424BB4" w:rsidP="00424BB4">
      <w:pPr>
        <w:spacing w:after="0" w:line="240" w:lineRule="auto"/>
        <w:jc w:val="right"/>
        <w:rPr>
          <w:rFonts w:ascii="Century Gothic" w:eastAsia="Century Gothic" w:hAnsi="Century Gothic" w:cs="Century Gothic"/>
          <w:noProof/>
          <w:lang w:val="es-ES" w:eastAsia="es-ES_tradnl"/>
        </w:rPr>
      </w:pPr>
      <w:r>
        <w:rPr>
          <w:noProof/>
        </w:rPr>
        <w:drawing>
          <wp:inline distT="0" distB="0" distL="0" distR="0" wp14:anchorId="3A82B11A" wp14:editId="79083E05">
            <wp:extent cx="3381375" cy="1076325"/>
            <wp:effectExtent l="0" t="0" r="9525" b="9525"/>
            <wp:docPr id="17781636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63695" name="Imagen 1" descr="Texto&#10;&#10;Descripción generada automáticamente"/>
                    <pic:cNvPicPr/>
                  </pic:nvPicPr>
                  <pic:blipFill>
                    <a:blip r:embed="rId10"/>
                    <a:stretch>
                      <a:fillRect/>
                    </a:stretch>
                  </pic:blipFill>
                  <pic:spPr>
                    <a:xfrm>
                      <a:off x="0" y="0"/>
                      <a:ext cx="3381375" cy="1076325"/>
                    </a:xfrm>
                    <a:prstGeom prst="rect">
                      <a:avLst/>
                    </a:prstGeom>
                  </pic:spPr>
                </pic:pic>
              </a:graphicData>
            </a:graphic>
          </wp:inline>
        </w:drawing>
      </w:r>
    </w:p>
    <w:p w14:paraId="6EE2B237" w14:textId="77777777" w:rsidR="00B72B79" w:rsidRPr="00E901B0" w:rsidRDefault="00B72B79" w:rsidP="00B72B79">
      <w:pPr>
        <w:spacing w:after="0" w:line="240" w:lineRule="auto"/>
        <w:jc w:val="both"/>
        <w:rPr>
          <w:rFonts w:ascii="Century Gothic" w:eastAsia="Century Gothic" w:hAnsi="Century Gothic" w:cs="Century Gothic"/>
          <w:b/>
          <w:bCs/>
          <w:lang w:val="es-ES" w:eastAsia="es-ES_tradnl"/>
        </w:rPr>
      </w:pPr>
      <w:r w:rsidRPr="00E901B0">
        <w:rPr>
          <w:rFonts w:ascii="Century Gothic" w:eastAsia="Century Gothic" w:hAnsi="Century Gothic" w:cs="Century Gothic"/>
          <w:lang w:val="es-ES" w:eastAsia="es-ES_tradnl"/>
        </w:rPr>
        <w:t>Señora</w:t>
      </w:r>
    </w:p>
    <w:p w14:paraId="09DBDAC6" w14:textId="77777777" w:rsidR="00B72B79" w:rsidRPr="00E901B0" w:rsidRDefault="00B72B79" w:rsidP="00B72B79">
      <w:pPr>
        <w:spacing w:after="0" w:line="240" w:lineRule="auto"/>
        <w:jc w:val="both"/>
        <w:rPr>
          <w:rFonts w:ascii="Century Gothic" w:eastAsia="Century Gothic" w:hAnsi="Century Gothic" w:cs="Century Gothic"/>
          <w:b/>
          <w:bCs/>
          <w:lang w:val="es-ES" w:eastAsia="es-ES_tradnl"/>
        </w:rPr>
      </w:pPr>
      <w:r w:rsidRPr="00E901B0">
        <w:rPr>
          <w:rFonts w:ascii="Century Gothic" w:eastAsia="Century Gothic" w:hAnsi="Century Gothic" w:cs="Century Gothic"/>
          <w:b/>
          <w:bCs/>
          <w:lang w:val="es-ES" w:eastAsia="es-ES_tradnl"/>
        </w:rPr>
        <w:t xml:space="preserve">Nazly </w:t>
      </w:r>
      <w:proofErr w:type="spellStart"/>
      <w:r w:rsidRPr="00E901B0">
        <w:rPr>
          <w:rFonts w:ascii="Century Gothic" w:eastAsia="Century Gothic" w:hAnsi="Century Gothic" w:cs="Century Gothic"/>
          <w:b/>
          <w:bCs/>
          <w:lang w:val="es-ES" w:eastAsia="es-ES_tradnl"/>
        </w:rPr>
        <w:t>Yuleidy</w:t>
      </w:r>
      <w:proofErr w:type="spellEnd"/>
      <w:r w:rsidRPr="00E901B0">
        <w:rPr>
          <w:rFonts w:ascii="Century Gothic" w:eastAsia="Century Gothic" w:hAnsi="Century Gothic" w:cs="Century Gothic"/>
          <w:b/>
          <w:bCs/>
          <w:lang w:val="es-ES" w:eastAsia="es-ES_tradnl"/>
        </w:rPr>
        <w:t xml:space="preserve"> Rojas Pez</w:t>
      </w:r>
    </w:p>
    <w:p w14:paraId="52649BE5" w14:textId="77777777" w:rsidR="00B72B79" w:rsidRPr="00E901B0" w:rsidRDefault="00B72B79" w:rsidP="00B72B79">
      <w:pPr>
        <w:spacing w:after="0" w:line="240" w:lineRule="auto"/>
        <w:jc w:val="both"/>
        <w:rPr>
          <w:rFonts w:ascii="Century Gothic" w:eastAsia="Century Gothic" w:hAnsi="Century Gothic" w:cs="Century Gothic"/>
          <w:lang w:val="es-ES" w:eastAsia="es-ES_tradnl"/>
        </w:rPr>
      </w:pPr>
      <w:r w:rsidRPr="00E901B0">
        <w:rPr>
          <w:rFonts w:ascii="Century Gothic" w:eastAsia="Century Gothic" w:hAnsi="Century Gothic" w:cs="Century Gothic"/>
          <w:lang w:val="es-ES" w:eastAsia="es-ES_tradnl"/>
        </w:rPr>
        <w:t>Miranda, Cauca</w:t>
      </w:r>
    </w:p>
    <w:p w14:paraId="78BD8258" w14:textId="77777777" w:rsidR="00B72B79" w:rsidRPr="00E901B0" w:rsidRDefault="00B72B79" w:rsidP="00B72B79">
      <w:pPr>
        <w:spacing w:after="0" w:line="240" w:lineRule="auto"/>
        <w:jc w:val="both"/>
        <w:rPr>
          <w:rFonts w:ascii="Century Gothic" w:eastAsia="Century Gothic" w:hAnsi="Century Gothic" w:cs="Century Gothic"/>
          <w:lang w:val="es-ES" w:eastAsia="es-ES_tradnl"/>
        </w:rPr>
      </w:pPr>
    </w:p>
    <w:p w14:paraId="0A312F19" w14:textId="77777777" w:rsidR="00B72B79" w:rsidRPr="00E901B0" w:rsidRDefault="00B72B79" w:rsidP="00B72B79">
      <w:pPr>
        <w:spacing w:after="0" w:line="240" w:lineRule="auto"/>
        <w:ind w:left="2694"/>
        <w:jc w:val="both"/>
        <w:rPr>
          <w:rFonts w:ascii="Century Gothic" w:eastAsia="Century Gothic" w:hAnsi="Century Gothic" w:cs="Century Gothic"/>
          <w:b/>
          <w:bCs/>
          <w:lang w:val="es-ES" w:eastAsia="es-ES_tradnl"/>
        </w:rPr>
      </w:pPr>
      <w:r w:rsidRPr="00E901B0">
        <w:rPr>
          <w:rFonts w:ascii="Century Gothic" w:eastAsia="Century Gothic" w:hAnsi="Century Gothic" w:cs="Century Gothic"/>
          <w:b/>
          <w:bCs/>
          <w:lang w:val="es-ES" w:eastAsia="es-ES_tradnl"/>
        </w:rPr>
        <w:t>Concepto C-096 de 2024</w:t>
      </w:r>
    </w:p>
    <w:p w14:paraId="1BE88423" w14:textId="77777777" w:rsidR="00B72B79" w:rsidRPr="00E901B0" w:rsidRDefault="00B72B79" w:rsidP="00B72B79">
      <w:pPr>
        <w:spacing w:after="0" w:line="240" w:lineRule="auto"/>
        <w:jc w:val="both"/>
        <w:rPr>
          <w:rFonts w:ascii="Century Gothic" w:eastAsia="Century Gothic" w:hAnsi="Century Gothic" w:cs="Century Gothic"/>
          <w:lang w:val="es-ES"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B72B79" w:rsidRPr="00E901B0" w14:paraId="5A55E56F" w14:textId="77777777" w:rsidTr="0044122F">
        <w:trPr>
          <w:jc w:val="right"/>
        </w:trPr>
        <w:tc>
          <w:tcPr>
            <w:tcW w:w="1838" w:type="dxa"/>
          </w:tcPr>
          <w:p w14:paraId="4221F314" w14:textId="77777777" w:rsidR="00B72B79" w:rsidRPr="00E901B0" w:rsidRDefault="00B72B79" w:rsidP="0044122F">
            <w:pPr>
              <w:jc w:val="both"/>
              <w:rPr>
                <w:rFonts w:ascii="Century Gothic" w:eastAsia="Century Gothic" w:hAnsi="Century Gothic" w:cs="Century Gothic"/>
                <w:lang w:val="es-ES" w:eastAsia="es-ES_tradnl"/>
              </w:rPr>
            </w:pPr>
            <w:r w:rsidRPr="00E901B0">
              <w:rPr>
                <w:rFonts w:ascii="Century Gothic" w:eastAsia="Century Gothic" w:hAnsi="Century Gothic" w:cs="Century Gothic"/>
                <w:b/>
                <w:bCs/>
                <w:lang w:val="es-ES" w:eastAsia="es-ES_tradnl"/>
              </w:rPr>
              <w:t>Temas:</w:t>
            </w:r>
          </w:p>
        </w:tc>
        <w:tc>
          <w:tcPr>
            <w:tcW w:w="6237" w:type="dxa"/>
          </w:tcPr>
          <w:p w14:paraId="2B77213B" w14:textId="77777777" w:rsidR="00B72B79" w:rsidRPr="00E901B0" w:rsidRDefault="00B72B79" w:rsidP="007D6F48">
            <w:pPr>
              <w:spacing w:line="276" w:lineRule="auto"/>
              <w:jc w:val="both"/>
              <w:rPr>
                <w:rFonts w:ascii="Century Gothic" w:eastAsia="Times New Roman" w:hAnsi="Century Gothic"/>
                <w:shd w:val="clear" w:color="auto" w:fill="FFFFFF"/>
                <w:lang w:eastAsia="es-ES_tradnl"/>
              </w:rPr>
            </w:pPr>
            <w:r w:rsidRPr="00E901B0">
              <w:rPr>
                <w:rFonts w:ascii="Century Gothic" w:eastAsia="Times New Roman" w:hAnsi="Century Gothic"/>
                <w:color w:val="000000" w:themeColor="text1"/>
                <w:lang w:val="es-ES_tradnl" w:eastAsia="es-ES_tradnl"/>
              </w:rPr>
              <w:t xml:space="preserve">CONTRATOS CON ESAL </w:t>
            </w:r>
            <w:r w:rsidRPr="00E901B0">
              <w:rPr>
                <w:rFonts w:ascii="Century Gothic" w:eastAsia="Calibri" w:hAnsi="Century Gothic"/>
                <w:color w:val="000000" w:themeColor="text1"/>
                <w:lang w:val="es-ES_tradnl" w:eastAsia="es-ES_tradnl"/>
              </w:rPr>
              <w:t>–</w:t>
            </w:r>
            <w:r w:rsidRPr="00E901B0">
              <w:rPr>
                <w:rFonts w:ascii="Century Gothic" w:eastAsia="Times New Roman" w:hAnsi="Century Gothic"/>
                <w:color w:val="000000" w:themeColor="text1"/>
                <w:lang w:val="es-ES_tradnl" w:eastAsia="es-ES_tradnl"/>
              </w:rPr>
              <w:t xml:space="preserve"> Constitución </w:t>
            </w:r>
            <w:r w:rsidRPr="00E901B0">
              <w:rPr>
                <w:rFonts w:ascii="Century Gothic" w:eastAsia="Calibri" w:hAnsi="Century Gothic"/>
                <w:color w:val="000000" w:themeColor="text1"/>
                <w:lang w:val="es-ES_tradnl" w:eastAsia="es-ES_tradnl"/>
              </w:rPr>
              <w:t>–</w:t>
            </w:r>
            <w:r>
              <w:rPr>
                <w:rFonts w:ascii="Century Gothic" w:eastAsia="Calibri" w:hAnsi="Century Gothic"/>
                <w:color w:val="000000" w:themeColor="text1"/>
                <w:lang w:val="es-ES_tradnl" w:eastAsia="es-ES_tradnl"/>
              </w:rPr>
              <w:t xml:space="preserve"> </w:t>
            </w:r>
            <w:r w:rsidRPr="00E901B0">
              <w:rPr>
                <w:rFonts w:ascii="Century Gothic" w:eastAsia="Times New Roman" w:hAnsi="Century Gothic"/>
                <w:color w:val="000000" w:themeColor="text1"/>
                <w:lang w:val="es-ES_tradnl" w:eastAsia="es-ES_tradnl"/>
              </w:rPr>
              <w:t xml:space="preserve">Artículo 355 </w:t>
            </w:r>
            <w:r w:rsidRPr="00E901B0">
              <w:rPr>
                <w:rFonts w:ascii="Century Gothic" w:eastAsia="Calibri" w:hAnsi="Century Gothic"/>
                <w:color w:val="000000" w:themeColor="text1"/>
                <w:lang w:val="es-ES_tradnl" w:eastAsia="es-ES_tradnl"/>
              </w:rPr>
              <w:t>–</w:t>
            </w:r>
            <w:r>
              <w:rPr>
                <w:rFonts w:ascii="Century Gothic" w:eastAsia="Calibri" w:hAnsi="Century Gothic"/>
                <w:color w:val="000000" w:themeColor="text1"/>
                <w:lang w:val="es-ES_tradnl" w:eastAsia="es-ES_tradnl"/>
              </w:rPr>
              <w:t xml:space="preserve"> </w:t>
            </w:r>
            <w:r w:rsidRPr="00E901B0">
              <w:rPr>
                <w:rFonts w:ascii="Century Gothic" w:eastAsia="Calibri" w:hAnsi="Century Gothic"/>
                <w:color w:val="000000" w:themeColor="text1"/>
                <w:lang w:val="es-ES_tradnl" w:eastAsia="es-ES_tradnl"/>
              </w:rPr>
              <w:t xml:space="preserve">Fundamento / </w:t>
            </w:r>
            <w:r w:rsidRPr="00E901B0">
              <w:rPr>
                <w:rFonts w:ascii="Century Gothic" w:eastAsia="Times New Roman" w:hAnsi="Century Gothic"/>
                <w:color w:val="000000" w:themeColor="text1"/>
                <w:lang w:val="es-ES_tradnl" w:eastAsia="es-ES_tradnl"/>
              </w:rPr>
              <w:t xml:space="preserve">TIPOS DE CONTRATOS </w:t>
            </w:r>
            <w:r w:rsidRPr="00E901B0">
              <w:rPr>
                <w:rFonts w:ascii="Century Gothic" w:eastAsia="Calibri" w:hAnsi="Century Gothic"/>
                <w:color w:val="000000" w:themeColor="text1"/>
                <w:lang w:val="es-ES_tradnl" w:eastAsia="es-ES_tradnl"/>
              </w:rPr>
              <w:t>–</w:t>
            </w:r>
            <w:r>
              <w:rPr>
                <w:rFonts w:ascii="Century Gothic" w:eastAsia="Calibri" w:hAnsi="Century Gothic"/>
                <w:color w:val="000000" w:themeColor="text1"/>
                <w:lang w:val="es-ES_tradnl" w:eastAsia="es-ES_tradnl"/>
              </w:rPr>
              <w:t xml:space="preserve"> </w:t>
            </w:r>
            <w:r w:rsidRPr="00E901B0">
              <w:rPr>
                <w:rFonts w:ascii="Century Gothic" w:eastAsia="Calibri" w:hAnsi="Century Gothic"/>
                <w:color w:val="000000" w:themeColor="text1"/>
                <w:lang w:val="es-ES_tradnl" w:eastAsia="es-ES_tradnl"/>
              </w:rPr>
              <w:t xml:space="preserve">ESAL </w:t>
            </w:r>
            <w:r>
              <w:rPr>
                <w:rFonts w:ascii="Century Gothic" w:eastAsia="Calibri" w:hAnsi="Century Gothic"/>
                <w:color w:val="000000" w:themeColor="text1"/>
                <w:lang w:val="es-ES_tradnl" w:eastAsia="es-ES_tradnl"/>
              </w:rPr>
              <w:t xml:space="preserve">– Constitución Política – </w:t>
            </w:r>
            <w:r w:rsidRPr="00E901B0">
              <w:rPr>
                <w:rFonts w:ascii="Century Gothic" w:eastAsia="Times New Roman" w:hAnsi="Century Gothic"/>
                <w:color w:val="000000" w:themeColor="text1"/>
                <w:lang w:val="es-ES_tradnl" w:eastAsia="es-ES_tradnl"/>
              </w:rPr>
              <w:t xml:space="preserve">Artículo 355 </w:t>
            </w:r>
            <w:r w:rsidRPr="00E901B0">
              <w:rPr>
                <w:rFonts w:ascii="Century Gothic" w:eastAsia="Calibri" w:hAnsi="Century Gothic"/>
                <w:color w:val="000000" w:themeColor="text1"/>
                <w:lang w:val="es-ES_tradnl" w:eastAsia="es-ES_tradnl"/>
              </w:rPr>
              <w:t>–</w:t>
            </w:r>
            <w:r>
              <w:rPr>
                <w:rFonts w:ascii="Century Gothic" w:eastAsia="Calibri" w:hAnsi="Century Gothic"/>
                <w:color w:val="000000" w:themeColor="text1"/>
                <w:lang w:val="es-ES_tradnl" w:eastAsia="es-ES_tradnl"/>
              </w:rPr>
              <w:t xml:space="preserve"> </w:t>
            </w:r>
            <w:r w:rsidRPr="00E901B0">
              <w:rPr>
                <w:rFonts w:ascii="Century Gothic" w:eastAsia="Calibri" w:hAnsi="Century Gothic"/>
                <w:color w:val="000000" w:themeColor="text1"/>
                <w:lang w:val="es-ES_tradnl" w:eastAsia="es-ES_tradnl"/>
              </w:rPr>
              <w:t xml:space="preserve">Ley 489 – Artículo 96 / CONTRATOS CON ESAL – Objeto – </w:t>
            </w:r>
            <w:r>
              <w:rPr>
                <w:rFonts w:ascii="Century Gothic" w:eastAsia="Calibri" w:hAnsi="Century Gothic"/>
                <w:color w:val="000000" w:themeColor="text1"/>
                <w:lang w:val="es-ES_tradnl" w:eastAsia="es-ES_tradnl"/>
              </w:rPr>
              <w:t xml:space="preserve">Actividades – </w:t>
            </w:r>
            <w:r w:rsidRPr="00E901B0">
              <w:rPr>
                <w:rFonts w:ascii="Century Gothic" w:eastAsia="Calibri" w:hAnsi="Century Gothic"/>
                <w:color w:val="000000" w:themeColor="text1"/>
                <w:lang w:val="es-ES_tradnl" w:eastAsia="es-ES_tradnl"/>
              </w:rPr>
              <w:t>Planes de Desarrollo</w:t>
            </w:r>
          </w:p>
          <w:p w14:paraId="14429B8B" w14:textId="77777777" w:rsidR="00B72B79" w:rsidRPr="00E901B0" w:rsidRDefault="00B72B79" w:rsidP="0044122F">
            <w:pPr>
              <w:jc w:val="both"/>
              <w:rPr>
                <w:rFonts w:ascii="Century Gothic" w:eastAsia="Century Gothic" w:hAnsi="Century Gothic" w:cs="Century Gothic"/>
                <w:lang w:val="es-ES" w:eastAsia="es-ES_tradnl"/>
              </w:rPr>
            </w:pPr>
          </w:p>
        </w:tc>
      </w:tr>
      <w:tr w:rsidR="00B72B79" w:rsidRPr="00E901B0" w14:paraId="01906D9A" w14:textId="77777777" w:rsidTr="0044122F">
        <w:trPr>
          <w:jc w:val="right"/>
        </w:trPr>
        <w:tc>
          <w:tcPr>
            <w:tcW w:w="1838" w:type="dxa"/>
          </w:tcPr>
          <w:p w14:paraId="2C4FA72C" w14:textId="77777777" w:rsidR="00B72B79" w:rsidRPr="00E901B0" w:rsidRDefault="00B72B79" w:rsidP="0044122F">
            <w:pPr>
              <w:jc w:val="both"/>
              <w:rPr>
                <w:rFonts w:ascii="Century Gothic" w:eastAsia="Century Gothic" w:hAnsi="Century Gothic" w:cs="Century Gothic"/>
                <w:b/>
                <w:bCs/>
                <w:lang w:val="es-ES" w:eastAsia="es-ES_tradnl"/>
              </w:rPr>
            </w:pPr>
            <w:r w:rsidRPr="00E901B0">
              <w:rPr>
                <w:rFonts w:ascii="Century Gothic" w:eastAsia="Century Gothic" w:hAnsi="Century Gothic" w:cs="Century Gothic"/>
                <w:b/>
                <w:bCs/>
                <w:lang w:val="es-ES" w:eastAsia="es-ES_tradnl"/>
              </w:rPr>
              <w:t>Radicación:</w:t>
            </w:r>
          </w:p>
        </w:tc>
        <w:tc>
          <w:tcPr>
            <w:tcW w:w="6237" w:type="dxa"/>
          </w:tcPr>
          <w:p w14:paraId="06CD0048" w14:textId="77777777" w:rsidR="00B72B79" w:rsidRPr="00E901B0" w:rsidRDefault="00B72B79" w:rsidP="007D6F48">
            <w:pPr>
              <w:spacing w:line="276" w:lineRule="auto"/>
              <w:jc w:val="both"/>
              <w:rPr>
                <w:rFonts w:ascii="Century Gothic" w:eastAsia="Century Gothic" w:hAnsi="Century Gothic" w:cs="Century Gothic"/>
                <w:lang w:val="es-ES" w:eastAsia="es-ES_tradnl"/>
              </w:rPr>
            </w:pPr>
            <w:r w:rsidRPr="00E901B0">
              <w:rPr>
                <w:rFonts w:ascii="Century Gothic" w:eastAsia="Century Gothic" w:hAnsi="Century Gothic" w:cs="Century Gothic"/>
                <w:lang w:val="es-ES" w:eastAsia="es-ES_tradnl"/>
              </w:rPr>
              <w:t xml:space="preserve">Respuesta a consulta </w:t>
            </w:r>
            <w:r w:rsidRPr="00E901B0">
              <w:rPr>
                <w:rFonts w:ascii="Century Gothic" w:hAnsi="Century Gothic" w:cs="Calibri"/>
                <w:color w:val="000000"/>
              </w:rPr>
              <w:t xml:space="preserve">P20240504004664 </w:t>
            </w:r>
            <w:r w:rsidRPr="00E901B0">
              <w:rPr>
                <w:rFonts w:ascii="Century Gothic" w:eastAsia="Century Gothic" w:hAnsi="Century Gothic" w:cs="Century Gothic"/>
                <w:lang w:val="es-ES" w:eastAsia="es-ES_tradnl"/>
              </w:rPr>
              <w:t xml:space="preserve">– Acumulada </w:t>
            </w:r>
            <w:r w:rsidRPr="00E901B0">
              <w:rPr>
                <w:rFonts w:ascii="Century Gothic" w:hAnsi="Century Gothic" w:cs="Calibri"/>
                <w:color w:val="000000"/>
              </w:rPr>
              <w:t>P20240504004665</w:t>
            </w:r>
          </w:p>
        </w:tc>
      </w:tr>
    </w:tbl>
    <w:p w14:paraId="1CC95D34" w14:textId="77777777" w:rsidR="00B72B79" w:rsidRPr="00E901B0" w:rsidRDefault="00B72B79" w:rsidP="00B72B79">
      <w:pPr>
        <w:spacing w:after="0" w:line="276" w:lineRule="auto"/>
        <w:jc w:val="both"/>
        <w:rPr>
          <w:rFonts w:ascii="Century Gothic" w:eastAsia="Century Gothic" w:hAnsi="Century Gothic" w:cs="Century Gothic"/>
          <w:lang w:val="es-ES" w:eastAsia="es-ES_tradnl"/>
        </w:rPr>
      </w:pPr>
    </w:p>
    <w:p w14:paraId="74094677" w14:textId="77777777" w:rsidR="00B72B79" w:rsidRPr="00E901B0" w:rsidRDefault="00B72B79" w:rsidP="00B72B79">
      <w:pPr>
        <w:spacing w:after="0" w:line="276" w:lineRule="auto"/>
        <w:jc w:val="both"/>
        <w:rPr>
          <w:rFonts w:ascii="Century Gothic" w:eastAsia="Century Gothic" w:hAnsi="Century Gothic" w:cs="Century Gothic"/>
          <w:lang w:val="es-ES" w:eastAsia="es-ES_tradnl"/>
        </w:rPr>
      </w:pPr>
    </w:p>
    <w:p w14:paraId="22E13FE0" w14:textId="77777777" w:rsidR="00B72B79" w:rsidRPr="00E901B0" w:rsidRDefault="00B72B79" w:rsidP="00B72B79">
      <w:pPr>
        <w:spacing w:after="0" w:line="276" w:lineRule="auto"/>
        <w:jc w:val="both"/>
        <w:rPr>
          <w:rFonts w:ascii="Century Gothic" w:eastAsia="Century Gothic" w:hAnsi="Century Gothic" w:cs="Century Gothic"/>
          <w:lang w:val="es-ES" w:eastAsia="es-ES_tradnl"/>
        </w:rPr>
      </w:pPr>
      <w:r w:rsidRPr="00E901B0">
        <w:rPr>
          <w:rFonts w:ascii="Century Gothic" w:eastAsia="Century Gothic" w:hAnsi="Century Gothic" w:cs="Century Gothic"/>
          <w:lang w:val="es-ES" w:eastAsia="es-ES_tradnl"/>
        </w:rPr>
        <w:t>Estimada señora Rojas Pez:</w:t>
      </w:r>
    </w:p>
    <w:p w14:paraId="365C412D" w14:textId="77777777" w:rsidR="00B72B79" w:rsidRPr="00E901B0" w:rsidRDefault="00B72B79" w:rsidP="00B72B79">
      <w:pPr>
        <w:spacing w:after="0" w:line="276" w:lineRule="auto"/>
        <w:jc w:val="both"/>
        <w:rPr>
          <w:rFonts w:ascii="Century Gothic" w:eastAsia="Century Gothic" w:hAnsi="Century Gothic" w:cs="Century Gothic"/>
          <w:lang w:val="es-ES" w:eastAsia="es-ES_tradnl"/>
        </w:rPr>
      </w:pPr>
    </w:p>
    <w:p w14:paraId="0C3D3C29" w14:textId="77777777" w:rsidR="00B72B79" w:rsidRPr="00E901B0" w:rsidRDefault="00B72B79" w:rsidP="00B72B79">
      <w:pPr>
        <w:spacing w:after="0" w:line="276" w:lineRule="auto"/>
        <w:jc w:val="both"/>
        <w:rPr>
          <w:rFonts w:ascii="Century Gothic" w:eastAsia="Century Gothic" w:hAnsi="Century Gothic" w:cs="Century Gothic"/>
          <w:lang w:val="es-ES" w:eastAsia="es-ES_tradnl"/>
        </w:rPr>
      </w:pPr>
      <w:r w:rsidRPr="00E901B0">
        <w:rPr>
          <w:rFonts w:ascii="Century Gothic" w:eastAsia="Century Gothic" w:hAnsi="Century Gothic" w:cs="Century Gothic"/>
          <w:lang w:val="es-ES" w:eastAsia="es-ES_tradnl"/>
        </w:rPr>
        <w:t>En ejercicio de la competencia otorgada por el numeral 8° del artículo 11 y el numeral 5° del artículo 3 del Decreto Ley 4170 de 2011</w:t>
      </w:r>
      <w:r w:rsidRPr="00E901B0">
        <w:rPr>
          <w:rFonts w:ascii="Century Gothic" w:eastAsia="Century Gothic" w:hAnsi="Century Gothic" w:cs="Century Gothic"/>
          <w:lang w:eastAsia="es-ES_tradnl"/>
        </w:rPr>
        <w:t>, así como lo establecido en la Resolución 1707 de 2018 expedida por esta Entidad</w:t>
      </w:r>
      <w:r w:rsidRPr="00E901B0">
        <w:rPr>
          <w:rFonts w:ascii="Century Gothic" w:eastAsia="Century Gothic" w:hAnsi="Century Gothic" w:cs="Century Gothic"/>
          <w:lang w:val="es-ES" w:eastAsia="es-ES_tradnl"/>
        </w:rPr>
        <w:t>, la Agencia Nacional de Contratación Pública ― Colombia Compra Eficiente responde su</w:t>
      </w:r>
      <w:r>
        <w:rPr>
          <w:rFonts w:ascii="Century Gothic" w:eastAsia="Century Gothic" w:hAnsi="Century Gothic" w:cs="Century Gothic"/>
          <w:lang w:val="es-ES" w:eastAsia="es-ES_tradnl"/>
        </w:rPr>
        <w:t>s</w:t>
      </w:r>
      <w:r w:rsidRPr="00E901B0">
        <w:rPr>
          <w:rFonts w:ascii="Century Gothic" w:eastAsia="Century Gothic" w:hAnsi="Century Gothic" w:cs="Century Gothic"/>
          <w:lang w:val="es-ES" w:eastAsia="es-ES_tradnl"/>
        </w:rPr>
        <w:t xml:space="preserve"> consulta</w:t>
      </w:r>
      <w:r>
        <w:rPr>
          <w:rFonts w:ascii="Century Gothic" w:eastAsia="Century Gothic" w:hAnsi="Century Gothic" w:cs="Century Gothic"/>
          <w:lang w:val="es-ES" w:eastAsia="es-ES_tradnl"/>
        </w:rPr>
        <w:t>s</w:t>
      </w:r>
      <w:r w:rsidRPr="00E901B0">
        <w:rPr>
          <w:rFonts w:ascii="Century Gothic" w:eastAsia="Century Gothic" w:hAnsi="Century Gothic" w:cs="Century Gothic"/>
          <w:lang w:val="es-ES" w:eastAsia="es-ES_tradnl"/>
        </w:rPr>
        <w:t xml:space="preserve"> del 3 y 6 de mayo de 2024.</w:t>
      </w:r>
    </w:p>
    <w:p w14:paraId="24399816" w14:textId="77777777" w:rsidR="00B72B79" w:rsidRPr="00E901B0" w:rsidRDefault="00B72B79" w:rsidP="00B72B79">
      <w:pPr>
        <w:spacing w:after="0" w:line="276" w:lineRule="auto"/>
        <w:jc w:val="both"/>
        <w:rPr>
          <w:rFonts w:ascii="Century Gothic" w:eastAsia="Century Gothic" w:hAnsi="Century Gothic" w:cs="Century Gothic"/>
          <w:b/>
          <w:bCs/>
          <w:lang w:val="es-ES" w:eastAsia="es-ES_tradnl"/>
        </w:rPr>
      </w:pPr>
    </w:p>
    <w:p w14:paraId="508C3764" w14:textId="77777777" w:rsidR="00B72B79" w:rsidRPr="00E901B0" w:rsidRDefault="00B72B79" w:rsidP="00B72B79">
      <w:pPr>
        <w:numPr>
          <w:ilvl w:val="0"/>
          <w:numId w:val="6"/>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E901B0">
        <w:rPr>
          <w:rFonts w:ascii="Century Gothic" w:eastAsia="Century Gothic" w:hAnsi="Century Gothic" w:cs="Century Gothic"/>
          <w:b/>
          <w:bCs/>
          <w:lang w:val="es-ES"/>
        </w:rPr>
        <w:t xml:space="preserve">Problema planteado </w:t>
      </w:r>
    </w:p>
    <w:p w14:paraId="2E35E865" w14:textId="77777777" w:rsidR="00B72B79" w:rsidRPr="00E901B0" w:rsidRDefault="00B72B79" w:rsidP="00B72B79">
      <w:pPr>
        <w:spacing w:after="0" w:line="276" w:lineRule="auto"/>
        <w:jc w:val="both"/>
        <w:rPr>
          <w:rFonts w:ascii="Century Gothic" w:eastAsia="Century Gothic" w:hAnsi="Century Gothic" w:cs="Century Gothic"/>
          <w:lang w:eastAsia="es-ES_tradnl"/>
        </w:rPr>
      </w:pPr>
    </w:p>
    <w:p w14:paraId="317E084C" w14:textId="249C2712" w:rsidR="00B72B79" w:rsidRPr="00C70B4A" w:rsidRDefault="00B72B79" w:rsidP="00C70B4A">
      <w:pPr>
        <w:spacing w:after="0" w:line="276" w:lineRule="auto"/>
        <w:jc w:val="both"/>
        <w:rPr>
          <w:rFonts w:ascii="Century Gothic" w:eastAsia="Times New Roman" w:hAnsi="Century Gothic" w:cs="Times New Roman"/>
          <w:lang w:eastAsia="es-ES_tradnl"/>
        </w:rPr>
      </w:pPr>
      <w:r w:rsidRPr="00C70B4A">
        <w:rPr>
          <w:rFonts w:ascii="Century Gothic" w:eastAsia="Century Gothic" w:hAnsi="Century Gothic" w:cs="Century Gothic"/>
          <w:lang w:eastAsia="es-ES_tradnl"/>
        </w:rPr>
        <w:t>Respecto de los contratos celebrados en virtud del artículo 355 de la Constitución Política y el Decreto 092 de 2017, usted formula la siguiente consulta: “</w:t>
      </w:r>
      <w:r w:rsidRPr="00C70B4A">
        <w:rPr>
          <w:rFonts w:ascii="Century Gothic" w:eastAsia="Times New Roman" w:hAnsi="Century Gothic" w:cs="Times New Roman"/>
          <w:lang w:eastAsia="es-ES_tradnl"/>
        </w:rPr>
        <w:t>¿Es legalmente factible realizar contrataciones públicas bajo el amparo del Decreto 092 de 2017 en el caso de que el Plan de Desarrollo Municipal aún no haya sido aprobado? Además, ¿es posible utilizar los planes de desarrollo municipales anteriores para respaldar los procesos de contratación en los municipios?</w:t>
      </w:r>
      <w:r w:rsidRPr="00C70B4A">
        <w:rPr>
          <w:rFonts w:ascii="Century Gothic" w:eastAsia="Century Gothic" w:hAnsi="Century Gothic" w:cs="Century Gothic"/>
          <w:lang w:eastAsia="es-ES_tradnl"/>
        </w:rPr>
        <w:t>”</w:t>
      </w:r>
      <w:r w:rsidR="00C70B4A" w:rsidRPr="00C70B4A">
        <w:rPr>
          <w:rFonts w:ascii="Century Gothic" w:eastAsia="Century Gothic" w:hAnsi="Century Gothic" w:cs="Century Gothic"/>
          <w:lang w:eastAsia="es-ES_tradnl"/>
        </w:rPr>
        <w:t>.</w:t>
      </w:r>
      <w:r w:rsidRPr="00C70B4A">
        <w:rPr>
          <w:rFonts w:ascii="Century Gothic" w:eastAsia="Century Gothic" w:hAnsi="Century Gothic" w:cs="Century Gothic"/>
          <w:lang w:eastAsia="es-ES_tradnl"/>
        </w:rPr>
        <w:t xml:space="preserve"> (SIC).</w:t>
      </w:r>
    </w:p>
    <w:p w14:paraId="4B112C31" w14:textId="77777777" w:rsidR="00B72B79" w:rsidRPr="00E901B0" w:rsidRDefault="00B72B79" w:rsidP="00B72B79">
      <w:pPr>
        <w:spacing w:after="0" w:line="276" w:lineRule="auto"/>
        <w:ind w:left="709" w:right="709"/>
        <w:jc w:val="both"/>
        <w:rPr>
          <w:rFonts w:ascii="Century Gothic" w:eastAsia="Century Gothic" w:hAnsi="Century Gothic" w:cs="Century Gothic"/>
          <w:lang w:val="es-ES" w:eastAsia="es-ES_tradnl"/>
        </w:rPr>
      </w:pPr>
    </w:p>
    <w:p w14:paraId="6CD932CF" w14:textId="77777777" w:rsidR="00B72B79" w:rsidRPr="00E901B0" w:rsidRDefault="00B72B79" w:rsidP="00B72B79">
      <w:pPr>
        <w:numPr>
          <w:ilvl w:val="0"/>
          <w:numId w:val="6"/>
        </w:numPr>
        <w:tabs>
          <w:tab w:val="left" w:pos="284"/>
        </w:tabs>
        <w:spacing w:after="0" w:line="276" w:lineRule="auto"/>
        <w:ind w:left="0" w:firstLine="0"/>
        <w:jc w:val="both"/>
        <w:rPr>
          <w:rFonts w:ascii="Century Gothic" w:eastAsia="Century Gothic" w:hAnsi="Century Gothic" w:cs="Century Gothic"/>
          <w:b/>
          <w:bCs/>
          <w:lang w:val="es-ES"/>
        </w:rPr>
      </w:pPr>
      <w:r w:rsidRPr="00E901B0">
        <w:rPr>
          <w:rFonts w:ascii="Century Gothic" w:eastAsia="Century Gothic" w:hAnsi="Century Gothic" w:cs="Century Gothic"/>
          <w:b/>
          <w:bCs/>
          <w:lang w:val="es-ES"/>
        </w:rPr>
        <w:t>Consideraciones</w:t>
      </w:r>
    </w:p>
    <w:p w14:paraId="637F1553" w14:textId="77777777" w:rsidR="00B72B79" w:rsidRPr="00E901B0" w:rsidRDefault="00B72B79" w:rsidP="00B72B79">
      <w:pPr>
        <w:tabs>
          <w:tab w:val="left" w:pos="284"/>
        </w:tabs>
        <w:spacing w:after="0" w:line="276" w:lineRule="auto"/>
        <w:jc w:val="both"/>
        <w:rPr>
          <w:rFonts w:ascii="Century Gothic" w:eastAsia="Century Gothic" w:hAnsi="Century Gothic" w:cs="Century Gothic"/>
          <w:b/>
          <w:bCs/>
          <w:lang w:val="es-ES"/>
        </w:rPr>
      </w:pPr>
    </w:p>
    <w:p w14:paraId="1D62012C" w14:textId="77777777" w:rsidR="00B72B79" w:rsidRPr="00E901B0" w:rsidRDefault="00B72B79" w:rsidP="00B72B79">
      <w:pPr>
        <w:spacing w:after="120" w:line="276" w:lineRule="auto"/>
        <w:jc w:val="both"/>
        <w:rPr>
          <w:rFonts w:ascii="Century Gothic" w:eastAsia="Century Gothic" w:hAnsi="Century Gothic" w:cs="Century Gothic"/>
          <w:lang w:val="es-ES" w:eastAsia="es-ES_tradnl"/>
        </w:rPr>
      </w:pPr>
      <w:r w:rsidRPr="00E901B0">
        <w:rPr>
          <w:rFonts w:ascii="Century Gothic" w:eastAsia="Century Gothic" w:hAnsi="Century Gothic" w:cs="Century Gothic"/>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E901B0">
        <w:rPr>
          <w:rFonts w:ascii="Century Gothic" w:eastAsia="Century Gothic" w:hAnsi="Century Gothic" w:cs="Century Gothic"/>
          <w:lang w:eastAsia="es-ES_tradnl"/>
        </w:rPr>
        <w:t xml:space="preserve"> </w:t>
      </w:r>
      <w:r w:rsidRPr="00E901B0">
        <w:rPr>
          <w:rFonts w:ascii="Century Gothic" w:eastAsia="Century Gothic" w:hAnsi="Century Gothic" w:cs="Century Gothic"/>
          <w:lang w:val="es-ES" w:eastAsia="es-ES_tradnl"/>
        </w:rPr>
        <w:t xml:space="preserve">Es necesario tener en cuenta que </w:t>
      </w:r>
      <w:bookmarkStart w:id="2" w:name="_Hlk61026958"/>
      <w:r w:rsidRPr="00E901B0">
        <w:rPr>
          <w:rFonts w:ascii="Century Gothic" w:eastAsia="Century Gothic" w:hAnsi="Century Gothic" w:cs="Century Gothic"/>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901B0">
        <w:rPr>
          <w:rFonts w:ascii="Century Gothic" w:eastAsia="Century Gothic" w:hAnsi="Century Gothic" w:cs="Century Gothic"/>
          <w:lang w:eastAsia="es-ES_tradnl"/>
        </w:rPr>
        <w:t xml:space="preserve"> de todos los partícipes de la contratación estatal.</w:t>
      </w:r>
    </w:p>
    <w:p w14:paraId="53D3BDAA" w14:textId="77777777" w:rsidR="00B72B79" w:rsidRPr="00E901B0" w:rsidRDefault="00B72B79" w:rsidP="00B72B79">
      <w:pPr>
        <w:spacing w:after="120" w:line="276" w:lineRule="auto"/>
        <w:ind w:firstLine="708"/>
        <w:jc w:val="both"/>
        <w:rPr>
          <w:rFonts w:ascii="Century Gothic" w:eastAsia="Century Gothic" w:hAnsi="Century Gothic" w:cs="Century Gothic"/>
          <w:lang w:val="es-ES" w:eastAsia="es-ES_tradnl"/>
        </w:rPr>
      </w:pPr>
      <w:r w:rsidRPr="00E901B0">
        <w:rPr>
          <w:rFonts w:ascii="Century Gothic" w:eastAsia="Century Gothic" w:hAnsi="Century Gothic" w:cs="Century Gothic"/>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901B0">
        <w:rPr>
          <w:rFonts w:ascii="Century Gothic" w:eastAsia="Century Gothic" w:hAnsi="Century Gothic" w:cs="Century Gothic"/>
          <w:vertAlign w:val="superscript"/>
          <w:lang w:val="es-ES" w:eastAsia="es-ES_tradnl"/>
        </w:rPr>
        <w:footnoteReference w:id="2"/>
      </w:r>
      <w:r w:rsidRPr="00E901B0">
        <w:rPr>
          <w:rFonts w:ascii="Century Gothic" w:eastAsia="Century Gothic" w:hAnsi="Century Gothic" w:cs="Century Gothic"/>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2"/>
      <w:r w:rsidRPr="00E901B0">
        <w:rPr>
          <w:rFonts w:ascii="Century Gothic" w:eastAsia="Century Gothic" w:hAnsi="Century Gothic" w:cs="Century Gothic"/>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bookmarkEnd w:id="1"/>
    <w:p w14:paraId="7D2003F0" w14:textId="77777777" w:rsidR="00B72B79" w:rsidRPr="001550A9" w:rsidRDefault="00B72B79" w:rsidP="00B72B79">
      <w:pPr>
        <w:tabs>
          <w:tab w:val="left" w:pos="426"/>
        </w:tabs>
        <w:spacing w:after="120" w:line="276" w:lineRule="auto"/>
        <w:jc w:val="both"/>
        <w:rPr>
          <w:rFonts w:ascii="Century Gothic" w:eastAsia="Calibri" w:hAnsi="Century Gothic" w:cs="Arial"/>
          <w:color w:val="000000" w:themeColor="text1"/>
          <w:lang w:val="es-ES_tradnl"/>
        </w:rPr>
      </w:pPr>
      <w:r w:rsidRPr="00E901B0">
        <w:rPr>
          <w:rFonts w:ascii="Century Gothic" w:eastAsia="Times New Roman" w:hAnsi="Century Gothic" w:cs="Arial"/>
          <w:lang w:eastAsia="es-ES_tradnl"/>
        </w:rPr>
        <w:lastRenderedPageBreak/>
        <w:tab/>
      </w:r>
      <w:r w:rsidRPr="00E901B0">
        <w:rPr>
          <w:rFonts w:ascii="Century Gothic" w:eastAsia="Times New Roman" w:hAnsi="Century Gothic" w:cs="Arial"/>
          <w:lang w:eastAsia="es-ES_tradnl"/>
        </w:rPr>
        <w:tab/>
      </w:r>
      <w:r w:rsidRPr="00E901B0">
        <w:rPr>
          <w:rFonts w:ascii="Century Gothic" w:eastAsia="Century Gothic" w:hAnsi="Century Gothic" w:cs="Century Gothic"/>
          <w:lang w:eastAsia="es-ES_tradnl"/>
        </w:rPr>
        <w:t xml:space="preserve">En atención de lo anterior, la Subdirección de Gestión Contractual, dentro de los límites de sus atribuciones, resolverá la consulta conforme a las normas generales en materia de contratación estatal. Con este objetivo se analizarán </w:t>
      </w:r>
      <w:r w:rsidRPr="00E901B0">
        <w:rPr>
          <w:rFonts w:ascii="Century Gothic" w:eastAsia="Century Gothic" w:hAnsi="Century Gothic" w:cs="Century Gothic"/>
          <w:lang w:val="es-ES" w:eastAsia="es-ES_tradnl"/>
        </w:rPr>
        <w:t xml:space="preserve">los siguientes temas: </w:t>
      </w:r>
      <w:r w:rsidRPr="00E901B0">
        <w:rPr>
          <w:rFonts w:ascii="Century Gothic" w:eastAsia="Calibri" w:hAnsi="Century Gothic" w:cs="Arial"/>
          <w:color w:val="000000" w:themeColor="text1"/>
          <w:lang w:val="es-ES" w:eastAsia="es-ES_tradnl"/>
        </w:rPr>
        <w:t xml:space="preserve">i) </w:t>
      </w:r>
      <w:r w:rsidRPr="00E901B0">
        <w:rPr>
          <w:rFonts w:ascii="Century Gothic" w:eastAsia="Calibri" w:hAnsi="Century Gothic" w:cs="Arial"/>
          <w:color w:val="000000" w:themeColor="text1"/>
          <w:lang w:val="es-ES_tradnl"/>
        </w:rPr>
        <w:t xml:space="preserve">Régimen jurídico aplicable a los convenios regulados en el </w:t>
      </w:r>
      <w:r w:rsidRPr="001550A9">
        <w:rPr>
          <w:rFonts w:ascii="Century Gothic" w:eastAsia="Calibri" w:hAnsi="Century Gothic" w:cs="Arial"/>
          <w:color w:val="000000" w:themeColor="text1"/>
          <w:lang w:val="es-ES_tradnl"/>
        </w:rPr>
        <w:t>artículo 355 de la Constitución Política, en el artículo 96 de la Ley 489 de 1998 y en el Decreto 092 de 2017 y</w:t>
      </w:r>
      <w:r w:rsidRPr="001550A9">
        <w:rPr>
          <w:rFonts w:ascii="Century Gothic" w:eastAsia="Calibri" w:hAnsi="Century Gothic" w:cs="Arial"/>
          <w:noProof/>
          <w:lang w:val="es-ES_tradnl" w:eastAsia="es-ES_tradnl"/>
        </w:rPr>
        <w:t>; ii)</w:t>
      </w:r>
      <w:r w:rsidRPr="001550A9">
        <w:rPr>
          <w:rFonts w:ascii="Century Gothic" w:eastAsia="Calibri" w:hAnsi="Century Gothic" w:cs="Arial"/>
          <w:color w:val="000000" w:themeColor="text1"/>
          <w:lang w:val="es-ES_tradnl"/>
        </w:rPr>
        <w:t xml:space="preserve"> e</w:t>
      </w:r>
      <w:r w:rsidRPr="001550A9">
        <w:rPr>
          <w:rFonts w:ascii="Century Gothic" w:eastAsia="Calibri" w:hAnsi="Century Gothic" w:cs="Arial"/>
          <w:lang w:val="es-ES_tradnl" w:eastAsia="es-ES_tradnl"/>
        </w:rPr>
        <w:t xml:space="preserve">l objeto de los contratos celebrados en virtud del artículo del artículo 355 de la Constitución Política y la relevancia de los </w:t>
      </w:r>
      <w:r>
        <w:rPr>
          <w:rFonts w:ascii="Century Gothic" w:eastAsia="Calibri" w:hAnsi="Century Gothic" w:cs="Arial"/>
          <w:lang w:val="es-ES_tradnl" w:eastAsia="es-ES_tradnl"/>
        </w:rPr>
        <w:t>P</w:t>
      </w:r>
      <w:r w:rsidRPr="001550A9">
        <w:rPr>
          <w:rFonts w:ascii="Century Gothic" w:eastAsia="Calibri" w:hAnsi="Century Gothic" w:cs="Arial"/>
          <w:lang w:val="es-ES_tradnl" w:eastAsia="es-ES_tradnl"/>
        </w:rPr>
        <w:t xml:space="preserve">lanes de </w:t>
      </w:r>
      <w:r>
        <w:rPr>
          <w:rFonts w:ascii="Century Gothic" w:eastAsia="Calibri" w:hAnsi="Century Gothic" w:cs="Arial"/>
          <w:lang w:val="es-ES_tradnl" w:eastAsia="es-ES_tradnl"/>
        </w:rPr>
        <w:t>D</w:t>
      </w:r>
      <w:r w:rsidRPr="001550A9">
        <w:rPr>
          <w:rFonts w:ascii="Century Gothic" w:eastAsia="Calibri" w:hAnsi="Century Gothic" w:cs="Arial"/>
          <w:lang w:val="es-ES_tradnl" w:eastAsia="es-ES_tradnl"/>
        </w:rPr>
        <w:t>esarrollo</w:t>
      </w:r>
      <w:r w:rsidRPr="001550A9">
        <w:rPr>
          <w:rFonts w:ascii="Century Gothic" w:eastAsia="Calibri" w:hAnsi="Century Gothic" w:cs="Arial"/>
          <w:color w:val="000000" w:themeColor="text1"/>
          <w:lang w:val="es-ES_tradnl"/>
        </w:rPr>
        <w:t>.</w:t>
      </w:r>
    </w:p>
    <w:p w14:paraId="5043FE94" w14:textId="77777777" w:rsidR="00B72B79" w:rsidRPr="00E901B0" w:rsidRDefault="00B72B79" w:rsidP="00B72B79">
      <w:pPr>
        <w:spacing w:after="0" w:line="276" w:lineRule="auto"/>
        <w:ind w:firstLine="709"/>
        <w:jc w:val="both"/>
        <w:rPr>
          <w:rFonts w:ascii="Century Gothic" w:eastAsia="Century Gothic" w:hAnsi="Century Gothic" w:cs="Century Gothic"/>
          <w:lang w:val="es-ES" w:eastAsia="es-ES_tradnl"/>
        </w:rPr>
      </w:pPr>
      <w:r w:rsidRPr="00E901B0">
        <w:rPr>
          <w:rFonts w:ascii="Century Gothic" w:eastAsia="Calibri" w:hAnsi="Century Gothic" w:cs="Arial"/>
          <w:color w:val="000000" w:themeColor="text1"/>
          <w:lang w:val="es-ES_tradnl" w:eastAsia="es-ES_tradnl"/>
        </w:rPr>
        <w:t xml:space="preserve">La Agencia Nacional de Contratación Pública – Colombia Compra Eficiente analizó </w:t>
      </w:r>
      <w:r w:rsidRPr="00E901B0">
        <w:rPr>
          <w:rFonts w:ascii="Century Gothic" w:eastAsia="Calibri" w:hAnsi="Century Gothic" w:cs="Arial"/>
          <w:bCs/>
          <w:color w:val="000000" w:themeColor="text1"/>
          <w:lang w:val="es-ES_tradnl" w:eastAsia="es-ES_tradnl"/>
        </w:rPr>
        <w:t>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w:t>
      </w:r>
      <w:r>
        <w:rPr>
          <w:rFonts w:ascii="Century Gothic" w:eastAsia="Calibri" w:hAnsi="Century Gothic" w:cs="Arial"/>
          <w:bCs/>
          <w:color w:val="000000" w:themeColor="text1"/>
          <w:lang w:val="es-ES_tradnl" w:eastAsia="es-ES_tradnl"/>
        </w:rPr>
        <w:t xml:space="preserve">, </w:t>
      </w:r>
      <w:r w:rsidRPr="00E901B0">
        <w:rPr>
          <w:rFonts w:ascii="Century Gothic" w:eastAsia="Calibri" w:hAnsi="Century Gothic" w:cs="Arial"/>
          <w:bCs/>
          <w:color w:val="000000" w:themeColor="text1"/>
          <w:lang w:val="es-ES_tradnl" w:eastAsia="es-ES_tradnl"/>
        </w:rPr>
        <w:t>C-274 del 05 de mayo de 2022 y C,-045 del 25 de abril de 2024</w:t>
      </w:r>
      <w:r w:rsidRPr="00E901B0">
        <w:rPr>
          <w:rFonts w:ascii="Century Gothic" w:eastAsia="Century Gothic" w:hAnsi="Century Gothic" w:cs="Century Gothic"/>
          <w:vertAlign w:val="superscript"/>
          <w:lang w:val="es-ES" w:eastAsia="es-ES_tradnl"/>
        </w:rPr>
        <w:footnoteReference w:id="3"/>
      </w:r>
      <w:r w:rsidRPr="00E901B0">
        <w:rPr>
          <w:rFonts w:ascii="Century Gothic" w:eastAsia="Century Gothic" w:hAnsi="Century Gothic" w:cs="Century Gothic"/>
          <w:lang w:val="es-ES" w:eastAsia="es-ES_tradnl"/>
        </w:rPr>
        <w:t xml:space="preserve">. Las tesis expuestas en estos conceptos se reiteran a continuación y se complementan en lo pertinente, teniendo en cuenta los interrogantes planteados. </w:t>
      </w:r>
    </w:p>
    <w:p w14:paraId="5B8A5F49" w14:textId="77777777" w:rsidR="00B72B79" w:rsidRPr="00E901B0" w:rsidRDefault="00B72B79" w:rsidP="00B72B79">
      <w:pPr>
        <w:spacing w:after="0" w:line="276" w:lineRule="auto"/>
        <w:ind w:firstLine="709"/>
        <w:jc w:val="both"/>
        <w:rPr>
          <w:rFonts w:ascii="Century Gothic" w:eastAsia="Century Gothic" w:hAnsi="Century Gothic" w:cs="Century Gothic"/>
          <w:lang w:val="es-ES" w:eastAsia="es-ES_tradnl"/>
        </w:rPr>
      </w:pPr>
    </w:p>
    <w:p w14:paraId="66766675" w14:textId="77777777" w:rsidR="00B72B79" w:rsidRPr="00E901B0" w:rsidRDefault="00B72B79" w:rsidP="00B72B79">
      <w:pPr>
        <w:spacing w:after="0" w:line="276" w:lineRule="auto"/>
        <w:jc w:val="both"/>
        <w:rPr>
          <w:rFonts w:ascii="Century Gothic" w:eastAsia="Calibri" w:hAnsi="Century Gothic" w:cs="Arial"/>
          <w:b/>
          <w:bCs/>
          <w:color w:val="000000" w:themeColor="text1"/>
          <w:lang w:val="es-ES_tradnl"/>
        </w:rPr>
      </w:pPr>
      <w:bookmarkStart w:id="3" w:name="_Hlk117695077"/>
      <w:r w:rsidRPr="00E901B0">
        <w:rPr>
          <w:rFonts w:ascii="Century Gothic" w:eastAsia="Calibri" w:hAnsi="Century Gothic" w:cs="Arial"/>
          <w:b/>
          <w:bCs/>
          <w:color w:val="000000" w:themeColor="text1"/>
          <w:lang w:val="es-ES_tradnl"/>
        </w:rPr>
        <w:t xml:space="preserve">2.1. Régimen jurídico aplicable a los convenios regulados en el artículo 355 de la Constitución Política, en el artículo 96 de la Ley 489 de 1998 y en el Decreto 092 de 2017. Reiteración de línea </w:t>
      </w:r>
    </w:p>
    <w:p w14:paraId="674588C4" w14:textId="77777777" w:rsidR="00B72B79" w:rsidRPr="00E901B0" w:rsidRDefault="00B72B79" w:rsidP="00B72B79">
      <w:pPr>
        <w:spacing w:after="0" w:line="276" w:lineRule="auto"/>
        <w:jc w:val="both"/>
        <w:rPr>
          <w:rFonts w:ascii="Century Gothic" w:eastAsia="Calibri" w:hAnsi="Century Gothic" w:cs="Arial"/>
          <w:color w:val="000000" w:themeColor="text1"/>
          <w:lang w:val="es-ES_tradnl"/>
        </w:rPr>
      </w:pPr>
    </w:p>
    <w:p w14:paraId="719CC77A" w14:textId="77777777" w:rsidR="00B72B79" w:rsidRPr="00E901B0" w:rsidRDefault="00B72B79" w:rsidP="00B72B79">
      <w:pPr>
        <w:spacing w:after="120" w:line="276" w:lineRule="auto"/>
        <w:jc w:val="both"/>
        <w:rPr>
          <w:rFonts w:ascii="Century Gothic" w:eastAsia="Calibri" w:hAnsi="Century Gothic" w:cs="Arial"/>
          <w:color w:val="000000" w:themeColor="text1"/>
          <w:lang w:val="es-ES"/>
        </w:rPr>
      </w:pPr>
      <w:r w:rsidRPr="00E901B0">
        <w:rPr>
          <w:rFonts w:ascii="Century Gothic" w:eastAsia="Calibri" w:hAnsi="Century Gothic" w:cs="Arial"/>
          <w:color w:val="000000" w:themeColor="text1"/>
          <w:lang w:val="es-ES"/>
        </w:rPr>
        <w:t xml:space="preserve">El artículo 355 de la Constitución Política prohíbe a las ramas y órganos del poder público decretar auxilios o donaciones en favor de personas naturales o jurídicas. Igualmente, establece que las entidades del orden nacional, departamental, </w:t>
      </w:r>
      <w:r w:rsidRPr="00E901B0">
        <w:rPr>
          <w:rFonts w:ascii="Century Gothic" w:eastAsia="Calibri" w:hAnsi="Century Gothic" w:cs="Arial"/>
          <w:color w:val="000000" w:themeColor="text1"/>
          <w:lang w:val="es-ES"/>
        </w:rPr>
        <w:lastRenderedPageBreak/>
        <w:t xml:space="preserve">distrital y municipal podrán, con sus propios recursos, contratar con entidades sin ánimo de lucro – en adelante ESAL – con el fin de impulsar programas y actividades de interés público acordes con el </w:t>
      </w:r>
      <w:r>
        <w:rPr>
          <w:rFonts w:ascii="Century Gothic" w:eastAsia="Calibri" w:hAnsi="Century Gothic" w:cs="Arial"/>
          <w:color w:val="000000" w:themeColor="text1"/>
          <w:lang w:val="es-ES"/>
        </w:rPr>
        <w:t>P</w:t>
      </w:r>
      <w:r w:rsidRPr="00E901B0">
        <w:rPr>
          <w:rFonts w:ascii="Century Gothic" w:eastAsia="Calibri" w:hAnsi="Century Gothic" w:cs="Arial"/>
          <w:color w:val="000000" w:themeColor="text1"/>
          <w:lang w:val="es-ES"/>
        </w:rPr>
        <w:t xml:space="preserve">lan </w:t>
      </w:r>
      <w:r>
        <w:rPr>
          <w:rFonts w:ascii="Century Gothic" w:eastAsia="Calibri" w:hAnsi="Century Gothic" w:cs="Arial"/>
          <w:color w:val="000000" w:themeColor="text1"/>
          <w:lang w:val="es-ES"/>
        </w:rPr>
        <w:t>N</w:t>
      </w:r>
      <w:r w:rsidRPr="00E901B0">
        <w:rPr>
          <w:rFonts w:ascii="Century Gothic" w:eastAsia="Calibri" w:hAnsi="Century Gothic" w:cs="Arial"/>
          <w:color w:val="000000" w:themeColor="text1"/>
          <w:lang w:val="es-ES"/>
        </w:rPr>
        <w:t xml:space="preserve">acional y los </w:t>
      </w:r>
      <w:r>
        <w:rPr>
          <w:rFonts w:ascii="Century Gothic" w:eastAsia="Calibri" w:hAnsi="Century Gothic" w:cs="Arial"/>
          <w:color w:val="000000" w:themeColor="text1"/>
          <w:lang w:val="es-ES"/>
        </w:rPr>
        <w:t>p</w:t>
      </w:r>
      <w:r w:rsidRPr="00E901B0">
        <w:rPr>
          <w:rFonts w:ascii="Century Gothic" w:eastAsia="Calibri" w:hAnsi="Century Gothic" w:cs="Arial"/>
          <w:color w:val="000000" w:themeColor="text1"/>
          <w:lang w:val="es-ES"/>
        </w:rPr>
        <w:t xml:space="preserve">lanes </w:t>
      </w:r>
      <w:r>
        <w:rPr>
          <w:rFonts w:ascii="Century Gothic" w:eastAsia="Calibri" w:hAnsi="Century Gothic" w:cs="Arial"/>
          <w:color w:val="000000" w:themeColor="text1"/>
          <w:lang w:val="es-ES"/>
        </w:rPr>
        <w:t>s</w:t>
      </w:r>
      <w:r w:rsidRPr="00E901B0">
        <w:rPr>
          <w:rFonts w:ascii="Century Gothic" w:eastAsia="Calibri" w:hAnsi="Century Gothic" w:cs="Arial"/>
          <w:color w:val="000000" w:themeColor="text1"/>
          <w:lang w:val="es-ES"/>
        </w:rPr>
        <w:t xml:space="preserve">eccionales de </w:t>
      </w:r>
      <w:r>
        <w:rPr>
          <w:rFonts w:ascii="Century Gothic" w:eastAsia="Calibri" w:hAnsi="Century Gothic" w:cs="Arial"/>
          <w:color w:val="000000" w:themeColor="text1"/>
          <w:lang w:val="es-ES"/>
        </w:rPr>
        <w:t>d</w:t>
      </w:r>
      <w:r w:rsidRPr="00E901B0">
        <w:rPr>
          <w:rFonts w:ascii="Century Gothic" w:eastAsia="Calibri" w:hAnsi="Century Gothic" w:cs="Arial"/>
          <w:color w:val="000000" w:themeColor="text1"/>
          <w:lang w:val="es-ES"/>
        </w:rPr>
        <w:t>esarrollo</w:t>
      </w:r>
      <w:r w:rsidRPr="00E901B0">
        <w:rPr>
          <w:rFonts w:ascii="Century Gothic" w:hAnsi="Century Gothic" w:cs="Arial"/>
          <w:color w:val="000000" w:themeColor="text1"/>
          <w:vertAlign w:val="superscript"/>
          <w:lang w:val="es-ES"/>
        </w:rPr>
        <w:footnoteReference w:id="4"/>
      </w:r>
      <w:r w:rsidRPr="00E901B0">
        <w:rPr>
          <w:rFonts w:ascii="Century Gothic" w:eastAsia="Calibri" w:hAnsi="Century Gothic" w:cs="Arial"/>
          <w:color w:val="000000" w:themeColor="text1"/>
          <w:lang w:val="es-ES"/>
        </w:rPr>
        <w:t xml:space="preserve">. </w:t>
      </w:r>
      <w:bookmarkStart w:id="4" w:name="_Hlk164688501"/>
      <w:r w:rsidRPr="00E901B0">
        <w:rPr>
          <w:rFonts w:ascii="Century Gothic" w:eastAsia="Calibri" w:hAnsi="Century Gothic" w:cs="Arial"/>
          <w:color w:val="000000" w:themeColor="text1"/>
          <w:lang w:val="es-ES"/>
        </w:rPr>
        <w:t>Por otra parte, el artículo 96 de la Ley 489 de 1998</w:t>
      </w:r>
      <w:r w:rsidRPr="00E901B0">
        <w:rPr>
          <w:rFonts w:ascii="Century Gothic" w:eastAsia="Calibri" w:hAnsi="Century Gothic" w:cs="Arial"/>
          <w:color w:val="000000" w:themeColor="text1"/>
          <w:vertAlign w:val="superscript"/>
          <w:lang w:val="es-ES"/>
        </w:rPr>
        <w:footnoteReference w:id="5"/>
      </w:r>
      <w:r w:rsidRPr="00E901B0">
        <w:rPr>
          <w:rFonts w:ascii="Century Gothic" w:eastAsia="Calibri" w:hAnsi="Century Gothic" w:cs="Arial"/>
          <w:color w:val="000000" w:themeColor="text1"/>
          <w:lang w:val="es-ES"/>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4"/>
      <w:r w:rsidRPr="00E901B0">
        <w:rPr>
          <w:rFonts w:ascii="Century Gothic" w:eastAsia="Calibri" w:hAnsi="Century Gothic" w:cs="Arial"/>
          <w:color w:val="000000" w:themeColor="text1"/>
          <w:lang w:val="es-ES"/>
        </w:rPr>
        <w:t>.</w:t>
      </w:r>
    </w:p>
    <w:p w14:paraId="269D9253" w14:textId="77777777" w:rsidR="00B72B79" w:rsidRPr="00E901B0" w:rsidRDefault="00B72B79" w:rsidP="00B72B79">
      <w:pPr>
        <w:spacing w:after="120" w:line="276" w:lineRule="auto"/>
        <w:ind w:firstLine="708"/>
        <w:jc w:val="both"/>
        <w:rPr>
          <w:rFonts w:ascii="Century Gothic" w:eastAsia="Calibri" w:hAnsi="Century Gothic" w:cs="Arial"/>
          <w:color w:val="000000"/>
          <w:lang w:val="es-MX" w:eastAsia="es-ES_tradnl"/>
        </w:rPr>
      </w:pPr>
      <w:bookmarkStart w:id="6" w:name="_Hlk38819155"/>
      <w:r w:rsidRPr="00E901B0">
        <w:rPr>
          <w:rFonts w:ascii="Century Gothic" w:hAnsi="Century Gothic" w:cs="Arial"/>
          <w:lang w:val="es-MX"/>
        </w:rPr>
        <w:t>El Gobierno Nacional, en desarrollo del artículo 355 de la Constitución Política, expidió el Decreto 092 de 2017, q</w:t>
      </w:r>
      <w:r w:rsidRPr="00E901B0">
        <w:rPr>
          <w:rFonts w:ascii="Century Gothic" w:eastAsia="Calibri" w:hAnsi="Century Gothic" w:cs="Arial"/>
          <w:lang w:val="es-MX"/>
        </w:rPr>
        <w:t xml:space="preserve">ue dispone las reglas para las contrataciones que realicen las Entidades Estatales con las ESAL. </w:t>
      </w:r>
      <w:r w:rsidRPr="00E901B0">
        <w:rPr>
          <w:rFonts w:ascii="Century Gothic" w:eastAsia="Calibri" w:hAnsi="Century Gothic" w:cs="Arial"/>
          <w:color w:val="000000" w:themeColor="text1"/>
          <w:lang w:val="es-ES"/>
        </w:rPr>
        <w:t xml:space="preserve">El Decreto regula dos (2) eventos: i) </w:t>
      </w:r>
      <w:r w:rsidRPr="00E901B0">
        <w:rPr>
          <w:rFonts w:ascii="Century Gothic" w:eastAsia="Calibri" w:hAnsi="Century Gothic" w:cs="Arial"/>
          <w:lang w:eastAsia="es-ES_tradnl"/>
        </w:rPr>
        <w:t xml:space="preserve">los </w:t>
      </w:r>
      <w:r w:rsidRPr="00E901B0">
        <w:rPr>
          <w:rFonts w:ascii="Century Gothic" w:eastAsia="Calibri" w:hAnsi="Century Gothic" w:cs="Arial"/>
          <w:i/>
          <w:iCs/>
          <w:lang w:eastAsia="es-ES_tradnl"/>
        </w:rPr>
        <w:t>contratos de colaboración</w:t>
      </w:r>
      <w:r w:rsidRPr="00E901B0">
        <w:rPr>
          <w:rFonts w:ascii="Century Gothic" w:eastAsia="Calibri" w:hAnsi="Century Gothic"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 – a los cuales hace referencia en su consulta –</w:t>
      </w:r>
      <w:r w:rsidRPr="00E901B0">
        <w:rPr>
          <w:rFonts w:ascii="Century Gothic" w:eastAsia="Calibri" w:hAnsi="Century Gothic" w:cs="Arial"/>
          <w:color w:val="000000" w:themeColor="text1"/>
          <w:lang w:val="es-ES"/>
        </w:rPr>
        <w:t xml:space="preserve"> y; ii) los </w:t>
      </w:r>
      <w:r w:rsidRPr="00E901B0">
        <w:rPr>
          <w:rFonts w:ascii="Century Gothic" w:eastAsia="Calibri" w:hAnsi="Century Gothic" w:cs="Arial"/>
          <w:i/>
          <w:iCs/>
          <w:color w:val="000000" w:themeColor="text1"/>
          <w:lang w:val="es-ES"/>
        </w:rPr>
        <w:t>convenios de asociación</w:t>
      </w:r>
      <w:r w:rsidRPr="00E901B0">
        <w:rPr>
          <w:rFonts w:ascii="Century Gothic" w:eastAsia="Calibri" w:hAnsi="Century Gothic" w:cs="Arial"/>
          <w:color w:val="000000" w:themeColor="text1"/>
          <w:lang w:val="es-ES"/>
        </w:rPr>
        <w:t xml:space="preserve">, para el desarrollo conjunto de actividades relacionadas con las funciones de las Entidades Estatales, en desarrollo del artículo 96 de la Ley 489 de 1998. </w:t>
      </w:r>
      <w:r w:rsidRPr="00E901B0">
        <w:rPr>
          <w:rFonts w:ascii="Century Gothic" w:eastAsia="Calibri" w:hAnsi="Century Gothic" w:cs="Arial"/>
          <w:color w:val="000000"/>
          <w:lang w:val="es-MX" w:eastAsia="es-ES_tradnl"/>
        </w:rPr>
        <w:t xml:space="preserve">Los primeros están regulados en el artículo 2 del Decreto 092 de 2017, mientras que los segundos en los artículos 5, 6, 7 y 8 </w:t>
      </w:r>
      <w:r w:rsidRPr="00E901B0">
        <w:rPr>
          <w:rFonts w:ascii="Century Gothic" w:eastAsia="Calibri" w:hAnsi="Century Gothic" w:cs="Arial"/>
          <w:i/>
          <w:iCs/>
          <w:color w:val="000000"/>
          <w:lang w:val="es-MX" w:eastAsia="es-ES_tradnl"/>
        </w:rPr>
        <w:t>ibidem</w:t>
      </w:r>
      <w:r w:rsidRPr="00E901B0">
        <w:rPr>
          <w:rFonts w:ascii="Century Gothic" w:eastAsia="Calibri" w:hAnsi="Century Gothic" w:cs="Arial"/>
          <w:color w:val="000000"/>
          <w:lang w:val="es-MX" w:eastAsia="es-ES_tradnl"/>
        </w:rPr>
        <w:t xml:space="preserve">. Es posible diferenciar, pues, los </w:t>
      </w:r>
      <w:r w:rsidRPr="00E901B0">
        <w:rPr>
          <w:rFonts w:ascii="Century Gothic" w:eastAsia="Calibri" w:hAnsi="Century Gothic" w:cs="Arial"/>
          <w:i/>
          <w:iCs/>
          <w:color w:val="000000"/>
          <w:lang w:val="es-MX" w:eastAsia="es-ES_tradnl"/>
        </w:rPr>
        <w:t>contratos de colaboración</w:t>
      </w:r>
      <w:r w:rsidRPr="00E901B0">
        <w:rPr>
          <w:rFonts w:ascii="Century Gothic" w:eastAsia="Calibri" w:hAnsi="Century Gothic" w:cs="Arial"/>
          <w:color w:val="000000"/>
          <w:lang w:val="es-MX" w:eastAsia="es-ES_tradnl"/>
        </w:rPr>
        <w:t>, establecidos en el artículo 2 del Decreto 092 de 2017</w:t>
      </w:r>
      <w:r>
        <w:rPr>
          <w:rFonts w:ascii="Century Gothic" w:eastAsia="Calibri" w:hAnsi="Century Gothic" w:cs="Arial"/>
          <w:color w:val="000000"/>
          <w:lang w:val="es-MX" w:eastAsia="es-ES_tradnl"/>
        </w:rPr>
        <w:t xml:space="preserve">, de </w:t>
      </w:r>
      <w:r w:rsidRPr="00E901B0">
        <w:rPr>
          <w:rFonts w:ascii="Century Gothic" w:eastAsia="Calibri" w:hAnsi="Century Gothic" w:cs="Arial"/>
          <w:color w:val="000000"/>
          <w:lang w:val="es-MX" w:eastAsia="es-ES_tradnl"/>
        </w:rPr>
        <w:t xml:space="preserve">los </w:t>
      </w:r>
      <w:r w:rsidRPr="00E901B0">
        <w:rPr>
          <w:rFonts w:ascii="Century Gothic" w:eastAsia="Calibri" w:hAnsi="Century Gothic" w:cs="Arial"/>
          <w:i/>
          <w:iCs/>
          <w:color w:val="000000"/>
          <w:lang w:val="es-MX" w:eastAsia="es-ES_tradnl"/>
        </w:rPr>
        <w:t>convenios de asociación</w:t>
      </w:r>
      <w:r w:rsidRPr="00E901B0">
        <w:rPr>
          <w:rFonts w:ascii="Century Gothic" w:eastAsia="Calibri" w:hAnsi="Century Gothic" w:cs="Arial"/>
          <w:color w:val="000000"/>
          <w:lang w:val="es-MX" w:eastAsia="es-ES_tradnl"/>
        </w:rPr>
        <w:t>, regulados en el artículo 5</w:t>
      </w:r>
      <w:r w:rsidRPr="00E901B0">
        <w:rPr>
          <w:rFonts w:ascii="Century Gothic" w:eastAsia="Calibri" w:hAnsi="Century Gothic" w:cs="Arial"/>
          <w:color w:val="000000"/>
          <w:vertAlign w:val="superscript"/>
          <w:lang w:val="es-MX" w:eastAsia="es-ES_tradnl"/>
        </w:rPr>
        <w:footnoteReference w:id="6"/>
      </w:r>
      <w:r w:rsidRPr="00E901B0">
        <w:rPr>
          <w:rFonts w:ascii="Century Gothic" w:eastAsia="Calibri" w:hAnsi="Century Gothic" w:cs="Arial"/>
          <w:color w:val="000000"/>
          <w:lang w:val="es-MX" w:eastAsia="es-ES_tradnl"/>
        </w:rPr>
        <w:t xml:space="preserve">. </w:t>
      </w:r>
    </w:p>
    <w:bookmarkEnd w:id="6"/>
    <w:p w14:paraId="06034F80" w14:textId="77777777" w:rsidR="00B72B79" w:rsidRPr="00E901B0" w:rsidRDefault="00B72B79" w:rsidP="00B72B79">
      <w:pPr>
        <w:spacing w:after="120" w:line="276" w:lineRule="auto"/>
        <w:ind w:firstLine="709"/>
        <w:jc w:val="both"/>
        <w:rPr>
          <w:rFonts w:ascii="Century Gothic" w:eastAsia="Calibri" w:hAnsi="Century Gothic" w:cs="Arial"/>
          <w:color w:val="000000" w:themeColor="text1"/>
          <w:lang w:val="es-ES"/>
        </w:rPr>
      </w:pPr>
      <w:r w:rsidRPr="00E901B0">
        <w:rPr>
          <w:rFonts w:ascii="Century Gothic" w:eastAsia="Calibri" w:hAnsi="Century Gothic" w:cs="Arial"/>
          <w:color w:val="000000" w:themeColor="text1"/>
          <w:lang w:val="es-ES"/>
        </w:rPr>
        <w:t xml:space="preserve">De un lado, los </w:t>
      </w:r>
      <w:r w:rsidRPr="00E901B0">
        <w:rPr>
          <w:rFonts w:ascii="Century Gothic" w:eastAsia="Calibri" w:hAnsi="Century Gothic" w:cs="Arial"/>
          <w:i/>
          <w:iCs/>
          <w:color w:val="000000" w:themeColor="text1"/>
          <w:lang w:val="es-ES"/>
        </w:rPr>
        <w:t>contratos</w:t>
      </w:r>
      <w:r>
        <w:rPr>
          <w:rFonts w:ascii="Century Gothic" w:eastAsia="Calibri" w:hAnsi="Century Gothic" w:cs="Arial"/>
          <w:i/>
          <w:iCs/>
          <w:color w:val="000000" w:themeColor="text1"/>
          <w:lang w:val="es-ES"/>
        </w:rPr>
        <w:t xml:space="preserve"> de colaboración</w:t>
      </w:r>
      <w:r w:rsidRPr="00E901B0">
        <w:rPr>
          <w:rFonts w:ascii="Century Gothic" w:eastAsia="Calibri" w:hAnsi="Century Gothic" w:cs="Arial"/>
          <w:i/>
          <w:iCs/>
          <w:color w:val="000000" w:themeColor="text1"/>
          <w:lang w:val="es-ES"/>
        </w:rPr>
        <w:t xml:space="preserve"> del artículo 355 de la Constitución Política</w:t>
      </w:r>
      <w:r w:rsidRPr="00E901B0">
        <w:rPr>
          <w:rFonts w:ascii="Century Gothic" w:eastAsia="Calibri" w:hAnsi="Century Gothic" w:cs="Arial"/>
          <w:color w:val="000000" w:themeColor="text1"/>
          <w:lang w:val="es-ES"/>
        </w:rPr>
        <w:t xml:space="preserve"> tienen como objeto promover acciones de fomento social en beneficio de los sectores más desprotegidos de la población, siempre que estén previstas</w:t>
      </w:r>
      <w:r>
        <w:rPr>
          <w:rFonts w:ascii="Century Gothic" w:eastAsia="Calibri" w:hAnsi="Century Gothic" w:cs="Arial"/>
          <w:color w:val="000000" w:themeColor="text1"/>
          <w:lang w:val="es-ES"/>
        </w:rPr>
        <w:t xml:space="preserve"> o </w:t>
      </w:r>
      <w:r>
        <w:rPr>
          <w:rFonts w:ascii="Century Gothic" w:eastAsia="Calibri" w:hAnsi="Century Gothic" w:cs="Arial"/>
          <w:color w:val="000000" w:themeColor="text1"/>
          <w:lang w:val="es-ES"/>
        </w:rPr>
        <w:lastRenderedPageBreak/>
        <w:t>relacionado con</w:t>
      </w:r>
      <w:r w:rsidRPr="00E901B0">
        <w:rPr>
          <w:rFonts w:ascii="Century Gothic" w:eastAsia="Calibri" w:hAnsi="Century Gothic" w:cs="Arial"/>
          <w:color w:val="000000" w:themeColor="text1"/>
          <w:lang w:val="es-ES"/>
        </w:rPr>
        <w:t xml:space="preserve">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480D90B4" w14:textId="77777777" w:rsidR="00B72B79" w:rsidRPr="00E901B0" w:rsidRDefault="00B72B79" w:rsidP="00B72B79">
      <w:pPr>
        <w:spacing w:after="120" w:line="276" w:lineRule="auto"/>
        <w:ind w:firstLine="709"/>
        <w:jc w:val="both"/>
        <w:rPr>
          <w:rFonts w:ascii="Century Gothic" w:eastAsia="Calibri" w:hAnsi="Century Gothic" w:cs="Arial"/>
          <w:color w:val="000000" w:themeColor="text1"/>
          <w:lang w:val="es-ES"/>
        </w:rPr>
      </w:pPr>
      <w:r w:rsidRPr="00E901B0">
        <w:rPr>
          <w:rFonts w:ascii="Century Gothic" w:eastAsia="Calibri" w:hAnsi="Century Gothic" w:cs="Arial"/>
          <w:color w:val="000000" w:themeColor="text1"/>
          <w:lang w:val="es-ES"/>
        </w:rPr>
        <w:t xml:space="preserve">De otro lado, los </w:t>
      </w:r>
      <w:r w:rsidRPr="00E901B0">
        <w:rPr>
          <w:rFonts w:ascii="Century Gothic" w:eastAsia="Calibri" w:hAnsi="Century Gothic" w:cs="Arial"/>
          <w:i/>
          <w:iCs/>
          <w:color w:val="000000" w:themeColor="text1"/>
          <w:lang w:val="es-ES"/>
        </w:rPr>
        <w:t>convenios de asociación</w:t>
      </w:r>
      <w:r w:rsidRPr="00E901B0">
        <w:rPr>
          <w:rFonts w:ascii="Century Gothic" w:eastAsia="Calibri" w:hAnsi="Century Gothic" w:cs="Arial"/>
          <w:color w:val="000000" w:themeColor="text1"/>
          <w:lang w:val="es-ES"/>
        </w:rPr>
        <w:t xml:space="preserve"> “[…] [t]</w:t>
      </w:r>
      <w:proofErr w:type="spellStart"/>
      <w:r w:rsidRPr="00E901B0">
        <w:rPr>
          <w:rFonts w:ascii="Century Gothic" w:eastAsia="Calibri" w:hAnsi="Century Gothic" w:cs="Arial"/>
          <w:color w:val="000000" w:themeColor="text1"/>
          <w:lang w:val="es-ES"/>
        </w:rPr>
        <w:t>ienen</w:t>
      </w:r>
      <w:proofErr w:type="spellEnd"/>
      <w:r w:rsidRPr="00E901B0">
        <w:rPr>
          <w:rFonts w:ascii="Century Gothic" w:eastAsia="Calibri" w:hAnsi="Century Gothic" w:cs="Arial"/>
          <w:color w:val="000000" w:themeColor="text1"/>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E901B0">
        <w:rPr>
          <w:rFonts w:ascii="Century Gothic" w:hAnsi="Century Gothic" w:cs="Arial"/>
          <w:color w:val="000000" w:themeColor="text1"/>
          <w:vertAlign w:val="superscript"/>
          <w:lang w:val="es-ES"/>
        </w:rPr>
        <w:footnoteReference w:id="7"/>
      </w:r>
      <w:r w:rsidRPr="00E901B0">
        <w:rPr>
          <w:rFonts w:ascii="Century Gothic" w:eastAsia="Calibri" w:hAnsi="Century Gothic" w:cs="Arial"/>
          <w:color w:val="000000" w:themeColor="text1"/>
          <w:lang w:val="es-ES"/>
        </w:rPr>
        <w:t xml:space="preserve">. </w:t>
      </w:r>
    </w:p>
    <w:p w14:paraId="4B7533DD" w14:textId="77777777" w:rsidR="00B72B79" w:rsidRPr="00E901B0" w:rsidRDefault="00B72B79" w:rsidP="00B72B79">
      <w:pPr>
        <w:spacing w:after="120" w:line="276" w:lineRule="auto"/>
        <w:ind w:firstLine="708"/>
        <w:jc w:val="both"/>
        <w:rPr>
          <w:rFonts w:ascii="Century Gothic" w:eastAsia="Calibri" w:hAnsi="Century Gothic" w:cs="Arial"/>
          <w:color w:val="000000"/>
          <w:lang w:val="es-MX" w:eastAsia="es-ES_tradnl"/>
        </w:rPr>
      </w:pPr>
      <w:r w:rsidRPr="00E901B0">
        <w:rPr>
          <w:rFonts w:ascii="Century Gothic" w:eastAsia="Calibri" w:hAnsi="Century Gothic" w:cs="Arial"/>
          <w:color w:val="000000"/>
          <w:lang w:val="es-MX" w:eastAsia="es-ES_tradnl"/>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treinta por ciento (30%), o en especie, los cuales deben servir al desarrollo de los objetivos comunes de la asociación. </w:t>
      </w:r>
    </w:p>
    <w:p w14:paraId="6A538365" w14:textId="77777777" w:rsidR="00B72B79" w:rsidRPr="00E901B0" w:rsidRDefault="00B72B79" w:rsidP="00B72B79">
      <w:pPr>
        <w:spacing w:after="120" w:line="276" w:lineRule="auto"/>
        <w:ind w:firstLine="709"/>
        <w:jc w:val="both"/>
        <w:rPr>
          <w:rFonts w:ascii="Century Gothic" w:eastAsia="Calibri" w:hAnsi="Century Gothic" w:cs="Arial"/>
          <w:color w:val="000000" w:themeColor="text1"/>
          <w:lang w:val="es-ES"/>
        </w:rPr>
      </w:pPr>
      <w:r w:rsidRPr="00E901B0">
        <w:rPr>
          <w:rFonts w:ascii="Century Gothic" w:eastAsia="Calibri" w:hAnsi="Century Gothic" w:cs="Arial"/>
          <w:color w:val="000000" w:themeColor="text1"/>
          <w:lang w:val="es-ES"/>
        </w:rPr>
        <w:t>En estos convenios no existe contraprestación o pago, sino aportes, los cuales están dirigidos, exclusivamente, a lograr la ejecución del convenio no a remunerar la actividad o actuaciones del asociado. De todos modos, la entidad debe adelantar un proceso competitivo, salvo cuando la ESAL comprometa recursos en dinero para la ejecución de estas actividades, en una proporción no inferior al treinta por ciento (30%) del valor total del convenio.</w:t>
      </w:r>
    </w:p>
    <w:p w14:paraId="20E498ED" w14:textId="77777777" w:rsidR="00B72B79" w:rsidRPr="00E901B0" w:rsidRDefault="00B72B79" w:rsidP="00B72B79">
      <w:pPr>
        <w:spacing w:after="120" w:line="276" w:lineRule="auto"/>
        <w:ind w:firstLine="709"/>
        <w:jc w:val="both"/>
        <w:rPr>
          <w:rFonts w:ascii="Century Gothic" w:eastAsia="Calibri" w:hAnsi="Century Gothic" w:cs="Arial"/>
          <w:color w:val="000000" w:themeColor="text1"/>
          <w:lang w:val="es-ES"/>
        </w:rPr>
      </w:pPr>
      <w:r w:rsidRPr="00E901B0">
        <w:rPr>
          <w:rFonts w:ascii="Century Gothic" w:eastAsia="Calibri" w:hAnsi="Century Gothic" w:cs="Arial"/>
          <w:color w:val="000000" w:themeColor="text1"/>
          <w:lang w:val="es-ES"/>
        </w:rPr>
        <w:t xml:space="preserve">Igualmente, atendiendo a que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(30%), en dinero, del valor del convenio para celebrarlo directamente, pues de lo contrario deberá adelantarse un proceso competitivo. Además, en atención al inciso 2 del artículo 5 del Decreto 092 de 2017, deben “[…] asegurarse que no haya </w:t>
      </w:r>
      <w:r w:rsidRPr="00E901B0">
        <w:rPr>
          <w:rFonts w:ascii="Century Gothic" w:eastAsia="Calibri" w:hAnsi="Century Gothic" w:cs="Arial"/>
          <w:color w:val="000000" w:themeColor="text1"/>
          <w:lang w:val="es-ES"/>
        </w:rPr>
        <w:lastRenderedPageBreak/>
        <w:t>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7CCB90C3" w14:textId="77777777" w:rsidR="00B72B79" w:rsidRPr="00E901B0" w:rsidRDefault="00B72B79" w:rsidP="00B72B79">
      <w:pPr>
        <w:spacing w:after="120" w:line="276" w:lineRule="auto"/>
        <w:ind w:firstLine="708"/>
        <w:jc w:val="both"/>
        <w:rPr>
          <w:rFonts w:ascii="Century Gothic" w:eastAsia="Calibri" w:hAnsi="Century Gothic" w:cs="Arial"/>
          <w:color w:val="000000"/>
          <w:lang w:val="es-MX" w:eastAsia="es-ES_tradnl"/>
        </w:rPr>
      </w:pPr>
      <w:r w:rsidRPr="00E901B0">
        <w:rPr>
          <w:rFonts w:ascii="Century Gothic" w:eastAsia="Calibri" w:hAnsi="Century Gothic" w:cs="Arial"/>
          <w:color w:val="000000"/>
          <w:lang w:val="es-MX" w:eastAsia="es-ES_tradnl"/>
        </w:rPr>
        <w:t xml:space="preserve">La noción </w:t>
      </w:r>
      <w:r w:rsidRPr="00E901B0">
        <w:rPr>
          <w:rFonts w:ascii="Century Gothic" w:eastAsia="Calibri" w:hAnsi="Century Gothic" w:cs="Arial"/>
          <w:i/>
          <w:iCs/>
          <w:color w:val="000000"/>
          <w:lang w:val="es-MX" w:eastAsia="es-ES_tradnl"/>
        </w:rPr>
        <w:t>“seleccionar de forma objetiva”</w:t>
      </w:r>
      <w:r w:rsidRPr="00E901B0">
        <w:rPr>
          <w:rFonts w:ascii="Century Gothic" w:eastAsia="Calibri" w:hAnsi="Century Gothic" w:cs="Arial"/>
          <w:color w:val="000000"/>
          <w:lang w:val="es-MX" w:eastAsia="es-ES_tradnl"/>
        </w:rPr>
        <w:t xml:space="preserve">, contenida en la disposición </w:t>
      </w:r>
      <w:r w:rsidRPr="00E901B0">
        <w:rPr>
          <w:rFonts w:ascii="Century Gothic" w:eastAsia="Calibri" w:hAnsi="Century Gothic" w:cs="Arial"/>
          <w:i/>
          <w:iCs/>
          <w:color w:val="000000"/>
          <w:lang w:val="es-MX" w:eastAsia="es-ES_tradnl"/>
        </w:rPr>
        <w:t xml:space="preserve">sub examine </w:t>
      </w:r>
      <w:r w:rsidRPr="00E901B0">
        <w:rPr>
          <w:rFonts w:ascii="Century Gothic" w:eastAsia="Calibri" w:hAnsi="Century Gothic" w:cs="Arial"/>
          <w:color w:val="000000"/>
          <w:lang w:val="es-MX" w:eastAsia="es-ES_tradnl"/>
        </w:rPr>
        <w:t>no puede ser entendida como una remisión total a las Leyes 80 de 1993 y 1150 de 2007. A lo que se refiere la norma es a que la Entidad Estatal debe diseñar herramientas que permitan una comparación objetiva de las ESAL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w:t>
      </w:r>
    </w:p>
    <w:p w14:paraId="287D92C9" w14:textId="77777777" w:rsidR="00B72B79" w:rsidRPr="00E901B0" w:rsidRDefault="00B72B79" w:rsidP="00B72B79">
      <w:pPr>
        <w:spacing w:after="120" w:line="276" w:lineRule="auto"/>
        <w:ind w:firstLine="708"/>
        <w:jc w:val="both"/>
        <w:textAlignment w:val="baseline"/>
        <w:rPr>
          <w:rFonts w:ascii="Century Gothic" w:eastAsia="Calibri" w:hAnsi="Century Gothic" w:cs="Arial"/>
          <w:color w:val="000000"/>
          <w:lang w:val="es-MX" w:eastAsia="es-ES_tradnl"/>
        </w:rPr>
      </w:pPr>
      <w:r w:rsidRPr="00E901B0">
        <w:rPr>
          <w:rFonts w:ascii="Century Gothic" w:eastAsia="Arial" w:hAnsi="Century Gothic" w:cs="Arial"/>
          <w:color w:val="000000"/>
          <w:lang w:val="es-ES" w:eastAsia="es-ES_tradn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la pluralidad de interesados y la comparación objetiva de las ofertas. Este procedimiento puede ser análogo a otros donde existe competencia, como la licitación pública</w:t>
      </w:r>
      <w:r w:rsidRPr="00E901B0">
        <w:rPr>
          <w:rFonts w:ascii="Century Gothic" w:eastAsia="Calibri" w:hAnsi="Century Gothic" w:cs="Arial"/>
          <w:color w:val="000000"/>
          <w:lang w:val="es-MX" w:eastAsia="es-ES_tradnl"/>
        </w:rPr>
        <w:t>.</w:t>
      </w:r>
    </w:p>
    <w:p w14:paraId="7474EBED" w14:textId="77777777" w:rsidR="00B72B79" w:rsidRPr="00E901B0" w:rsidRDefault="00B72B79" w:rsidP="00B72B79">
      <w:pPr>
        <w:pStyle w:val="Sinespaciado"/>
        <w:spacing w:line="276" w:lineRule="auto"/>
        <w:ind w:firstLine="709"/>
        <w:jc w:val="both"/>
        <w:rPr>
          <w:rFonts w:ascii="Century Gothic" w:hAnsi="Century Gothic" w:cs="Arial"/>
          <w:color w:val="000000" w:themeColor="text1"/>
          <w:sz w:val="22"/>
        </w:rPr>
      </w:pPr>
      <w:r w:rsidRPr="00E901B0">
        <w:rPr>
          <w:rFonts w:ascii="Century Gothic" w:hAnsi="Century Gothic" w:cs="Arial"/>
          <w:color w:val="000000" w:themeColor="text1"/>
          <w:sz w:val="22"/>
        </w:rPr>
        <w:t>Es importante aclarar que</w:t>
      </w:r>
      <w:r>
        <w:rPr>
          <w:rFonts w:ascii="Century Gothic" w:hAnsi="Century Gothic" w:cs="Arial"/>
          <w:color w:val="000000" w:themeColor="text1"/>
          <w:sz w:val="22"/>
        </w:rPr>
        <w:t>,</w:t>
      </w:r>
      <w:r w:rsidRPr="00E901B0">
        <w:rPr>
          <w:rFonts w:ascii="Century Gothic" w:hAnsi="Century Gothic" w:cs="Arial"/>
          <w:color w:val="000000" w:themeColor="text1"/>
          <w:sz w:val="22"/>
        </w:rPr>
        <w:t xml:space="preserve"> los negocios jurídicos que regula el Decreto 092 de 2017 “[…] son esencialmente distintos a los contratos para la adquisición y aprovisionamiento de bienes, obras o servicios regulados por el estatuto de contratación y [,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E901B0">
        <w:rPr>
          <w:rStyle w:val="Refdenotaalpie"/>
          <w:rFonts w:ascii="Century Gothic" w:hAnsi="Century Gothic" w:cs="Arial"/>
          <w:color w:val="000000" w:themeColor="text1"/>
          <w:sz w:val="22"/>
        </w:rPr>
        <w:footnoteReference w:id="8"/>
      </w:r>
      <w:r w:rsidRPr="00E901B0">
        <w:rPr>
          <w:rFonts w:ascii="Century Gothic" w:hAnsi="Century Gothic" w:cs="Arial"/>
          <w:color w:val="000000" w:themeColor="text1"/>
          <w:sz w:val="22"/>
        </w:rPr>
        <w:t>. Así lo consideró la Sala de Consulta y Servicio Civil del Consejo de Estado</w:t>
      </w:r>
      <w:r w:rsidRPr="00E901B0">
        <w:rPr>
          <w:rStyle w:val="Refdenotaalpie"/>
          <w:rFonts w:ascii="Century Gothic" w:hAnsi="Century Gothic" w:cs="Arial"/>
          <w:color w:val="000000" w:themeColor="text1"/>
          <w:sz w:val="22"/>
        </w:rPr>
        <w:footnoteReference w:id="9"/>
      </w:r>
      <w:r w:rsidRPr="00E901B0">
        <w:rPr>
          <w:rFonts w:ascii="Century Gothic" w:hAnsi="Century Gothic" w:cs="Arial"/>
          <w:color w:val="000000" w:themeColor="text1"/>
          <w:sz w:val="22"/>
        </w:rPr>
        <w:t>:</w:t>
      </w:r>
    </w:p>
    <w:p w14:paraId="448BEB2B" w14:textId="77777777" w:rsidR="00B72B79" w:rsidRPr="00E901B0" w:rsidRDefault="00B72B79" w:rsidP="00B72B79">
      <w:pPr>
        <w:pStyle w:val="Sinespaciado"/>
        <w:spacing w:line="276" w:lineRule="auto"/>
        <w:jc w:val="both"/>
        <w:rPr>
          <w:rFonts w:ascii="Century Gothic" w:hAnsi="Century Gothic" w:cs="Arial"/>
          <w:color w:val="000000" w:themeColor="text1"/>
          <w:sz w:val="22"/>
        </w:rPr>
      </w:pPr>
    </w:p>
    <w:p w14:paraId="46C9A511" w14:textId="77777777" w:rsidR="00B72B79" w:rsidRPr="00E901B0" w:rsidRDefault="00B72B79" w:rsidP="00B72B79">
      <w:pPr>
        <w:spacing w:after="0" w:line="240" w:lineRule="auto"/>
        <w:ind w:left="709" w:right="709"/>
        <w:jc w:val="both"/>
        <w:rPr>
          <w:rFonts w:ascii="Century Gothic" w:eastAsia="Calibri" w:hAnsi="Century Gothic" w:cs="Arial"/>
          <w:color w:val="000000" w:themeColor="text1"/>
          <w:sz w:val="20"/>
          <w:szCs w:val="20"/>
        </w:rPr>
      </w:pPr>
      <w:r w:rsidRPr="00E901B0">
        <w:rPr>
          <w:rFonts w:ascii="Century Gothic" w:eastAsia="Calibri" w:hAnsi="Century Gothic" w:cs="Arial"/>
          <w:color w:val="000000" w:themeColor="text1"/>
          <w:sz w:val="20"/>
          <w:szCs w:val="20"/>
        </w:rPr>
        <w:t xml:space="preserve">“Como ya se indicó, el objeto de los contratos que autoriza el inciso segundo del artículo 355 Superior, se limita a la realización de actividades o programas </w:t>
      </w:r>
      <w:r w:rsidRPr="00E901B0">
        <w:rPr>
          <w:rFonts w:ascii="Century Gothic" w:eastAsia="Calibri" w:hAnsi="Century Gothic" w:cs="Arial"/>
          <w:color w:val="000000" w:themeColor="text1"/>
          <w:sz w:val="20"/>
          <w:szCs w:val="20"/>
        </w:rPr>
        <w:lastRenderedPageBreak/>
        <w:t>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14:paraId="40CE4BDA" w14:textId="77777777" w:rsidR="00B72B79" w:rsidRPr="00E901B0" w:rsidRDefault="00B72B79" w:rsidP="00B72B79">
      <w:pPr>
        <w:spacing w:after="0" w:line="240" w:lineRule="auto"/>
        <w:ind w:left="709" w:right="709"/>
        <w:jc w:val="both"/>
        <w:rPr>
          <w:rFonts w:ascii="Century Gothic" w:eastAsia="Calibri" w:hAnsi="Century Gothic" w:cs="Arial"/>
          <w:color w:val="000000" w:themeColor="text1"/>
          <w:sz w:val="20"/>
          <w:szCs w:val="20"/>
        </w:rPr>
      </w:pPr>
    </w:p>
    <w:p w14:paraId="4540B965" w14:textId="77777777" w:rsidR="00B72B79" w:rsidRPr="00E901B0" w:rsidRDefault="00B72B79" w:rsidP="00B72B79">
      <w:pPr>
        <w:spacing w:after="0" w:line="240" w:lineRule="auto"/>
        <w:ind w:left="709" w:right="709"/>
        <w:jc w:val="both"/>
        <w:rPr>
          <w:rFonts w:ascii="Century Gothic" w:eastAsia="Calibri" w:hAnsi="Century Gothic" w:cs="Arial"/>
          <w:color w:val="000000" w:themeColor="text1"/>
          <w:sz w:val="20"/>
          <w:szCs w:val="20"/>
        </w:rPr>
      </w:pPr>
      <w:r w:rsidRPr="00E901B0">
        <w:rPr>
          <w:rFonts w:ascii="Century Gothic" w:eastAsia="Calibri" w:hAnsi="Century Gothic" w:cs="Arial"/>
          <w:color w:val="000000" w:themeColor="text1"/>
          <w:sz w:val="20"/>
          <w:szCs w:val="20"/>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14:paraId="5F15314E" w14:textId="77777777" w:rsidR="00B72B79" w:rsidRPr="00E901B0" w:rsidRDefault="00B72B79" w:rsidP="00B72B79">
      <w:pPr>
        <w:spacing w:after="0" w:line="276" w:lineRule="auto"/>
        <w:jc w:val="both"/>
        <w:rPr>
          <w:rFonts w:ascii="Century Gothic" w:eastAsia="Calibri" w:hAnsi="Century Gothic" w:cs="Arial"/>
          <w:color w:val="000000" w:themeColor="text1"/>
        </w:rPr>
      </w:pPr>
    </w:p>
    <w:p w14:paraId="4B116077" w14:textId="77777777" w:rsidR="00B72B79" w:rsidRPr="00E901B0" w:rsidRDefault="00B72B79" w:rsidP="00B72B79">
      <w:pPr>
        <w:spacing w:after="0" w:line="276" w:lineRule="auto"/>
        <w:ind w:firstLine="708"/>
        <w:jc w:val="both"/>
        <w:rPr>
          <w:rFonts w:ascii="Century Gothic" w:eastAsia="Calibri" w:hAnsi="Century Gothic" w:cs="Arial"/>
          <w:color w:val="000000" w:themeColor="text1"/>
        </w:rPr>
      </w:pPr>
      <w:bookmarkStart w:id="7" w:name="_Hlk95756200"/>
      <w:r w:rsidRPr="00E901B0">
        <w:rPr>
          <w:rFonts w:ascii="Century Gothic" w:eastAsia="Calibri" w:hAnsi="Century Gothic" w:cs="Arial"/>
          <w:color w:val="000000" w:themeColor="text1"/>
        </w:rPr>
        <w:t>De acuerdo con lo anterior, no todas las actividades que las Entidades Estatales deben desarrollar para alcanzar sus objetivos misionales deben ejecutarse a través de la celebración de contratos del artículo 355 superior o convenios de asociación. Sobre el particular, debe tenerse en cuenta que lo que determina la aplicación del Decreto 092 de 2017 no es únicamente el carácter de las ESAL</w:t>
      </w:r>
      <w:r>
        <w:rPr>
          <w:rFonts w:ascii="Century Gothic" w:eastAsia="Calibri" w:hAnsi="Century Gothic" w:cs="Arial"/>
          <w:color w:val="000000" w:themeColor="text1"/>
        </w:rPr>
        <w:t>,</w:t>
      </w:r>
      <w:r w:rsidRPr="00E901B0">
        <w:rPr>
          <w:rFonts w:ascii="Century Gothic" w:eastAsia="Calibri" w:hAnsi="Century Gothic" w:cs="Arial"/>
          <w:color w:val="000000" w:themeColor="text1"/>
        </w:rPr>
        <w:t xml:space="preserve"> sino el objeto del contrato o convenio que la entidad pretende adelantar. Por tanto, el hecho de que se trate de una ESAL no implica que necesariamente deba celebrarse un contrato de colaboración o un convenio de asociación. </w:t>
      </w:r>
      <w:bookmarkEnd w:id="7"/>
      <w:r w:rsidRPr="00E901B0">
        <w:rPr>
          <w:rFonts w:ascii="Century Gothic" w:eastAsia="Calibri" w:hAnsi="Century Gothic" w:cs="Arial"/>
          <w:color w:val="000000" w:themeColor="text1"/>
        </w:rPr>
        <w:t>Así lo reconoció la Corte Constitucional en la sentencia C-287 del 18 de abril de 2012, en la que sostuvo lo siguiente:</w:t>
      </w:r>
    </w:p>
    <w:p w14:paraId="74AE9AFB" w14:textId="77777777" w:rsidR="00B72B79" w:rsidRPr="00E901B0" w:rsidRDefault="00B72B79" w:rsidP="00B72B79">
      <w:pPr>
        <w:spacing w:after="0" w:line="276" w:lineRule="auto"/>
        <w:ind w:firstLine="708"/>
        <w:jc w:val="both"/>
        <w:rPr>
          <w:rFonts w:ascii="Century Gothic" w:eastAsia="Calibri" w:hAnsi="Century Gothic" w:cs="Arial"/>
          <w:color w:val="000000" w:themeColor="text1"/>
        </w:rPr>
      </w:pPr>
    </w:p>
    <w:p w14:paraId="697C82A5" w14:textId="77777777" w:rsidR="00B72B79" w:rsidRPr="00E901B0" w:rsidRDefault="00B72B79" w:rsidP="00B72B79">
      <w:pPr>
        <w:spacing w:after="0" w:line="240" w:lineRule="auto"/>
        <w:ind w:left="709" w:right="709"/>
        <w:jc w:val="both"/>
        <w:rPr>
          <w:rFonts w:ascii="Century Gothic" w:eastAsia="Calibri" w:hAnsi="Century Gothic" w:cs="Arial"/>
          <w:color w:val="000000" w:themeColor="text1"/>
          <w:sz w:val="20"/>
          <w:szCs w:val="20"/>
        </w:rPr>
      </w:pPr>
      <w:r w:rsidRPr="00E901B0">
        <w:rPr>
          <w:rFonts w:ascii="Century Gothic" w:eastAsia="Calibri" w:hAnsi="Century Gothic" w:cs="Arial"/>
          <w:color w:val="000000" w:themeColor="text1"/>
          <w:sz w:val="20"/>
          <w:szCs w:val="20"/>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68ACF0B2" w14:textId="77777777" w:rsidR="00B72B79" w:rsidRPr="00E901B0" w:rsidRDefault="00B72B79" w:rsidP="00B72B79">
      <w:pPr>
        <w:spacing w:after="0" w:line="240" w:lineRule="auto"/>
        <w:ind w:left="709" w:right="709"/>
        <w:jc w:val="both"/>
        <w:rPr>
          <w:rFonts w:ascii="Century Gothic" w:eastAsia="Calibri" w:hAnsi="Century Gothic" w:cs="Arial"/>
          <w:color w:val="000000" w:themeColor="text1"/>
          <w:sz w:val="20"/>
          <w:szCs w:val="20"/>
        </w:rPr>
      </w:pPr>
    </w:p>
    <w:p w14:paraId="4D9AC710" w14:textId="77777777" w:rsidR="00B72B79" w:rsidRPr="00E901B0" w:rsidRDefault="00B72B79" w:rsidP="00B72B79">
      <w:pPr>
        <w:spacing w:after="0" w:line="240" w:lineRule="auto"/>
        <w:ind w:left="709" w:right="709"/>
        <w:jc w:val="both"/>
        <w:rPr>
          <w:rFonts w:ascii="Century Gothic" w:eastAsia="Calibri" w:hAnsi="Century Gothic" w:cs="Arial"/>
          <w:color w:val="000000" w:themeColor="text1"/>
          <w:sz w:val="20"/>
          <w:szCs w:val="20"/>
        </w:rPr>
      </w:pPr>
      <w:r w:rsidRPr="00E901B0">
        <w:rPr>
          <w:rFonts w:ascii="Century Gothic" w:eastAsia="Calibri" w:hAnsi="Century Gothic" w:cs="Arial"/>
          <w:i/>
          <w:iCs/>
          <w:color w:val="000000" w:themeColor="text1"/>
          <w:sz w:val="20"/>
          <w:szCs w:val="20"/>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E901B0">
        <w:rPr>
          <w:rFonts w:ascii="Century Gothic" w:eastAsia="Calibri" w:hAnsi="Century Gothic" w:cs="Arial"/>
          <w:color w:val="000000" w:themeColor="text1"/>
          <w:sz w:val="20"/>
          <w:szCs w:val="20"/>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[Énfasis fuera del texto original]</w:t>
      </w:r>
    </w:p>
    <w:p w14:paraId="45D387F4" w14:textId="77777777" w:rsidR="00B72B79" w:rsidRPr="00E901B0" w:rsidRDefault="00B72B79" w:rsidP="00B72B79">
      <w:pPr>
        <w:spacing w:after="0" w:line="276" w:lineRule="auto"/>
        <w:ind w:firstLine="709"/>
        <w:jc w:val="both"/>
        <w:rPr>
          <w:rFonts w:ascii="Century Gothic" w:eastAsia="Calibri" w:hAnsi="Century Gothic" w:cs="Arial"/>
          <w:color w:val="000000" w:themeColor="text1"/>
        </w:rPr>
      </w:pPr>
    </w:p>
    <w:p w14:paraId="5F137EFE" w14:textId="77777777" w:rsidR="00B72B79" w:rsidRPr="00E901B0" w:rsidRDefault="00B72B79" w:rsidP="00B72B79">
      <w:pPr>
        <w:spacing w:after="0" w:line="276" w:lineRule="auto"/>
        <w:ind w:firstLine="709"/>
        <w:jc w:val="both"/>
        <w:rPr>
          <w:rFonts w:ascii="Century Gothic" w:eastAsia="Calibri" w:hAnsi="Century Gothic" w:cs="Arial"/>
          <w:color w:val="000000" w:themeColor="text1"/>
        </w:rPr>
      </w:pPr>
      <w:r w:rsidRPr="00E901B0">
        <w:rPr>
          <w:rFonts w:ascii="Century Gothic" w:eastAsia="Calibri" w:hAnsi="Century Gothic" w:cs="Arial"/>
          <w:color w:val="000000" w:themeColor="text1"/>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09FBD0EF" w14:textId="77777777" w:rsidR="00B72B79" w:rsidRPr="00E901B0" w:rsidRDefault="00B72B79" w:rsidP="00B72B79">
      <w:pPr>
        <w:spacing w:after="0" w:line="276" w:lineRule="auto"/>
        <w:ind w:firstLine="709"/>
        <w:jc w:val="both"/>
        <w:rPr>
          <w:rFonts w:ascii="Century Gothic" w:eastAsia="Calibri" w:hAnsi="Century Gothic" w:cs="Arial"/>
          <w:color w:val="000000" w:themeColor="text1"/>
        </w:rPr>
      </w:pPr>
    </w:p>
    <w:p w14:paraId="1C8B2191" w14:textId="77777777" w:rsidR="00B72B79" w:rsidRPr="00E901B0" w:rsidRDefault="00B72B79" w:rsidP="00B72B79">
      <w:pPr>
        <w:spacing w:after="0" w:line="276" w:lineRule="auto"/>
        <w:jc w:val="both"/>
        <w:textAlignment w:val="baseline"/>
        <w:rPr>
          <w:rFonts w:ascii="Century Gothic" w:eastAsia="Calibri" w:hAnsi="Century Gothic" w:cs="Arial"/>
          <w:lang w:val="es-ES_tradnl" w:eastAsia="es-ES_tradnl"/>
        </w:rPr>
      </w:pPr>
      <w:r w:rsidRPr="00E901B0">
        <w:rPr>
          <w:rFonts w:ascii="Century Gothic" w:eastAsia="Calibri" w:hAnsi="Century Gothic" w:cs="Arial"/>
          <w:b/>
          <w:bCs/>
          <w:lang w:val="es-ES_tradnl" w:eastAsia="es-ES_tradnl"/>
        </w:rPr>
        <w:t xml:space="preserve">2.2. El objeto de los contratos </w:t>
      </w:r>
      <w:r>
        <w:rPr>
          <w:rFonts w:ascii="Century Gothic" w:eastAsia="Calibri" w:hAnsi="Century Gothic" w:cs="Arial"/>
          <w:b/>
          <w:bCs/>
          <w:lang w:val="es-ES_tradnl" w:eastAsia="es-ES_tradnl"/>
        </w:rPr>
        <w:t xml:space="preserve">de colaboración </w:t>
      </w:r>
      <w:r w:rsidRPr="00E901B0">
        <w:rPr>
          <w:rFonts w:ascii="Century Gothic" w:eastAsia="Calibri" w:hAnsi="Century Gothic" w:cs="Arial"/>
          <w:b/>
          <w:bCs/>
          <w:lang w:val="es-ES_tradnl" w:eastAsia="es-ES_tradnl"/>
        </w:rPr>
        <w:t xml:space="preserve">celebrados en virtud del artículo del artículo 355 de la Constitución Política. Relevancia </w:t>
      </w:r>
      <w:r>
        <w:rPr>
          <w:rFonts w:ascii="Century Gothic" w:eastAsia="Calibri" w:hAnsi="Century Gothic" w:cs="Arial"/>
          <w:b/>
          <w:bCs/>
          <w:lang w:val="es-ES_tradnl" w:eastAsia="es-ES_tradnl"/>
        </w:rPr>
        <w:t xml:space="preserve">que las actividades se enmarquen en </w:t>
      </w:r>
      <w:r w:rsidRPr="00E901B0">
        <w:rPr>
          <w:rFonts w:ascii="Century Gothic" w:eastAsia="Calibri" w:hAnsi="Century Gothic" w:cs="Arial"/>
          <w:b/>
          <w:bCs/>
          <w:lang w:val="es-ES_tradnl" w:eastAsia="es-ES_tradnl"/>
        </w:rPr>
        <w:t>los Planes de Desarrollo</w:t>
      </w:r>
    </w:p>
    <w:p w14:paraId="209368C2" w14:textId="77777777" w:rsidR="00B72B79" w:rsidRPr="00E901B0" w:rsidRDefault="00B72B79" w:rsidP="00B72B79">
      <w:pPr>
        <w:spacing w:after="0" w:line="276" w:lineRule="auto"/>
        <w:jc w:val="both"/>
        <w:textAlignment w:val="baseline"/>
        <w:rPr>
          <w:rFonts w:ascii="Century Gothic" w:eastAsia="Calibri" w:hAnsi="Century Gothic" w:cs="Arial"/>
          <w:lang w:val="es-ES_tradnl" w:eastAsia="es-ES_tradnl"/>
        </w:rPr>
      </w:pPr>
    </w:p>
    <w:p w14:paraId="52268CFA" w14:textId="77777777" w:rsidR="00B72B79" w:rsidRPr="00E901B0" w:rsidRDefault="00B72B79" w:rsidP="00B72B79">
      <w:pPr>
        <w:spacing w:after="120" w:line="276" w:lineRule="auto"/>
        <w:jc w:val="both"/>
        <w:textAlignment w:val="baseline"/>
        <w:rPr>
          <w:rFonts w:ascii="Century Gothic" w:eastAsia="Calibri" w:hAnsi="Century Gothic" w:cs="Arial"/>
          <w:lang w:val="es-ES_tradnl" w:eastAsia="es-ES_tradnl"/>
        </w:rPr>
      </w:pPr>
      <w:r w:rsidRPr="00E901B0">
        <w:rPr>
          <w:rFonts w:ascii="Century Gothic" w:eastAsia="Calibri" w:hAnsi="Century Gothic" w:cs="Arial"/>
          <w:lang w:val="es-ES_tradnl" w:eastAsia="es-ES_tradnl"/>
        </w:rPr>
        <w:t>Como se indicó,</w:t>
      </w:r>
      <w:bookmarkStart w:id="8" w:name="_Hlk95756032"/>
      <w:r w:rsidRPr="00E901B0">
        <w:rPr>
          <w:rFonts w:ascii="Century Gothic" w:eastAsia="Calibri" w:hAnsi="Century Gothic" w:cs="Arial"/>
          <w:lang w:val="es-ES_tradnl" w:eastAsia="es-ES_tradnl"/>
        </w:rPr>
        <w:t xml:space="preserve"> l</w:t>
      </w:r>
      <w:r w:rsidRPr="00E901B0">
        <w:rPr>
          <w:rFonts w:ascii="Century Gothic" w:eastAsia="Calibri" w:hAnsi="Century Gothic" w:cs="Arial"/>
          <w:lang w:val="es-ES"/>
        </w:rPr>
        <w:t xml:space="preserve">os </w:t>
      </w:r>
      <w:r w:rsidRPr="00E901B0">
        <w:rPr>
          <w:rFonts w:ascii="Century Gothic" w:eastAsia="Calibri" w:hAnsi="Century Gothic" w:cs="Arial"/>
          <w:i/>
          <w:iCs/>
          <w:lang w:val="es-ES"/>
        </w:rPr>
        <w:t>contratos del artículo 355 de la Constitución Política</w:t>
      </w:r>
      <w:r w:rsidRPr="00E901B0">
        <w:rPr>
          <w:rFonts w:ascii="Century Gothic" w:eastAsia="Calibri" w:hAnsi="Century Gothic" w:cs="Arial"/>
          <w:lang w:val="es-ES"/>
        </w:rPr>
        <w:t xml:space="preserve"> tienen como objeto promover acciones que estén previstas en los planes de desarrollo. Para celebrar estos contratos, según lo establece el artículo 3 del Decreto 092 de 2017, por regla general, la entidad debe adelantar un proceso competitivo para seleccionar la ESAL.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de la Administración Pública – en adelante EGCAP –, conforme se explicó en el numeral anterior de este concepto. Solo cuando se reúnan estas condiciones es procedente celebrar contratos del artículo 355 de la Constitución Política</w:t>
      </w:r>
      <w:r>
        <w:rPr>
          <w:rFonts w:ascii="Century Gothic" w:eastAsia="Calibri" w:hAnsi="Century Gothic" w:cs="Arial"/>
          <w:lang w:val="es-ES"/>
        </w:rPr>
        <w:t xml:space="preserve">, </w:t>
      </w:r>
      <w:r w:rsidRPr="00E901B0">
        <w:rPr>
          <w:rFonts w:ascii="Century Gothic" w:eastAsia="Calibri" w:hAnsi="Century Gothic" w:cs="Arial"/>
          <w:lang w:val="es-ES"/>
        </w:rPr>
        <w:t>de lo contrario, se aplicarán las normas del EGCAP.</w:t>
      </w:r>
      <w:bookmarkEnd w:id="8"/>
    </w:p>
    <w:p w14:paraId="2BFB3CFF" w14:textId="77777777" w:rsidR="00B72B79" w:rsidRPr="00E901B0" w:rsidRDefault="00B72B79" w:rsidP="0AA6A0FD">
      <w:pPr>
        <w:spacing w:after="120" w:line="276" w:lineRule="auto"/>
        <w:jc w:val="both"/>
        <w:textAlignment w:val="baseline"/>
        <w:rPr>
          <w:rFonts w:ascii="Century Gothic" w:eastAsia="Calibri" w:hAnsi="Century Gothic" w:cs="Arial"/>
          <w:lang w:val="es-ES" w:eastAsia="es-ES"/>
        </w:rPr>
      </w:pPr>
      <w:r w:rsidRPr="00E901B0">
        <w:rPr>
          <w:rFonts w:ascii="Century Gothic" w:eastAsia="Calibri" w:hAnsi="Century Gothic" w:cs="Arial"/>
          <w:lang w:val="es-ES_tradnl" w:eastAsia="es-ES_tradnl"/>
        </w:rPr>
        <w:tab/>
      </w:r>
      <w:r w:rsidRPr="0AA6A0FD">
        <w:rPr>
          <w:rFonts w:ascii="Century Gothic" w:eastAsia="Calibri" w:hAnsi="Century Gothic" w:cs="Arial"/>
          <w:lang w:val="es-ES" w:eastAsia="es-ES"/>
        </w:rPr>
        <w:t xml:space="preserve">Teniendo en cuenta el objeto de su consulta, es menester analizar el requisito referente al objeto que deben tener este tipo de contratos. Tal y como se ha señalado en este escrito, una característica esencial de los convenios a los que se </w:t>
      </w:r>
      <w:r w:rsidRPr="0AA6A0FD">
        <w:rPr>
          <w:rFonts w:ascii="Century Gothic" w:eastAsia="Calibri" w:hAnsi="Century Gothic" w:cs="Arial"/>
          <w:lang w:val="es-ES" w:eastAsia="es-ES"/>
        </w:rPr>
        <w:lastRenderedPageBreak/>
        <w:t>refiere el inciso segundo del artículo 355 Constitucional es que su objeto esté determinado por la realización de programas y actividades de interés público acordes con el Plan Nacional de Desarrollo y los planes seccionales de desarrollo</w:t>
      </w:r>
      <w:r w:rsidRPr="0AA6A0FD">
        <w:rPr>
          <w:rStyle w:val="Refdenotaalpie"/>
          <w:rFonts w:ascii="Century Gothic" w:eastAsia="Calibri" w:hAnsi="Century Gothic" w:cs="Arial"/>
          <w:lang w:val="es-ES" w:eastAsia="es-ES"/>
        </w:rPr>
        <w:footnoteReference w:id="10"/>
      </w:r>
      <w:r w:rsidRPr="0AA6A0FD">
        <w:rPr>
          <w:rFonts w:ascii="Century Gothic" w:eastAsia="Calibri" w:hAnsi="Century Gothic" w:cs="Arial"/>
          <w:lang w:val="es-ES" w:eastAsia="es-ES"/>
        </w:rPr>
        <w:t xml:space="preserve">.  </w:t>
      </w:r>
    </w:p>
    <w:p w14:paraId="605FC4DF" w14:textId="77777777" w:rsidR="00B72B79" w:rsidRPr="00E901B0" w:rsidRDefault="00B72B79" w:rsidP="00B72B79">
      <w:pPr>
        <w:spacing w:after="120" w:line="276" w:lineRule="auto"/>
        <w:ind w:firstLine="709"/>
        <w:jc w:val="both"/>
        <w:textAlignment w:val="baseline"/>
        <w:rPr>
          <w:rFonts w:ascii="Century Gothic" w:eastAsia="Calibri" w:hAnsi="Century Gothic" w:cs="Arial"/>
          <w:color w:val="000000" w:themeColor="text1"/>
          <w:lang w:val="es-ES_tradnl" w:eastAsia="es-ES_tradnl"/>
        </w:rPr>
      </w:pPr>
      <w:r w:rsidRPr="00E901B0">
        <w:rPr>
          <w:rFonts w:ascii="Century Gothic" w:hAnsi="Century Gothic"/>
          <w:color w:val="000000" w:themeColor="text1"/>
          <w:shd w:val="clear" w:color="auto" w:fill="FFFFFF"/>
        </w:rPr>
        <w:t>Sobre este aspecto, la Corte Constitucional ha indicado que el objeto de estos convenios es el "desarrollo de actividades esencialmente benéficas, no como instrumento económico, sino con un propósito meramente asistencial y altruista, en el que a diferencia del pasado, no se privilegia la arbitrariedad y unilateralidad del gasto público, sino que se exige un grado aceptable de reciprocidad por parte del beneficiario de la ayuda"</w:t>
      </w:r>
      <w:r w:rsidRPr="00E901B0">
        <w:rPr>
          <w:rStyle w:val="Refdenotaalpie"/>
          <w:rFonts w:ascii="Century Gothic" w:hAnsi="Century Gothic"/>
          <w:color w:val="000000" w:themeColor="text1"/>
          <w:shd w:val="clear" w:color="auto" w:fill="FFFFFF"/>
        </w:rPr>
        <w:footnoteReference w:id="11"/>
      </w:r>
      <w:r w:rsidRPr="00E901B0">
        <w:rPr>
          <w:rStyle w:val="annotation"/>
          <w:rFonts w:ascii="Century Gothic" w:hAnsi="Century Gothic"/>
          <w:color w:val="000000" w:themeColor="text1"/>
          <w:shd w:val="clear" w:color="auto" w:fill="FFFFFF"/>
          <w:vertAlign w:val="superscript"/>
        </w:rPr>
        <w:t>.</w:t>
      </w:r>
    </w:p>
    <w:p w14:paraId="55108EBB" w14:textId="77777777" w:rsidR="00B72B79" w:rsidRPr="00E901B0" w:rsidRDefault="00B72B79" w:rsidP="00B72B79">
      <w:pPr>
        <w:spacing w:after="120" w:line="276" w:lineRule="auto"/>
        <w:ind w:firstLine="708"/>
        <w:jc w:val="both"/>
        <w:rPr>
          <w:rFonts w:ascii="Century Gothic" w:eastAsia="Times New Roman" w:hAnsi="Century Gothic" w:cs="Times New Roman"/>
          <w:color w:val="000000" w:themeColor="text1"/>
          <w:shd w:val="clear" w:color="auto" w:fill="FFFFFF"/>
          <w:lang w:eastAsia="es-ES_tradnl"/>
        </w:rPr>
      </w:pPr>
      <w:r w:rsidRPr="00E901B0">
        <w:rPr>
          <w:rFonts w:ascii="Century Gothic" w:eastAsia="Times New Roman" w:hAnsi="Century Gothic" w:cs="Times New Roman"/>
          <w:color w:val="000000" w:themeColor="text1"/>
          <w:shd w:val="clear" w:color="auto" w:fill="FFFFFF"/>
          <w:lang w:eastAsia="es-ES_tradnl"/>
        </w:rPr>
        <w:t>Ahora bien, dado que el constituyente estableció como requisito</w:t>
      </w:r>
      <w:r w:rsidRPr="00F166C9">
        <w:rPr>
          <w:rFonts w:ascii="Century Gothic" w:eastAsia="Times New Roman" w:hAnsi="Century Gothic" w:cs="Times New Roman"/>
          <w:color w:val="000000" w:themeColor="text1"/>
          <w:shd w:val="clear" w:color="auto" w:fill="FFFFFF"/>
          <w:lang w:eastAsia="es-ES_tradnl"/>
        </w:rPr>
        <w:t xml:space="preserve"> para la celebración de </w:t>
      </w:r>
      <w:r w:rsidRPr="00E901B0">
        <w:rPr>
          <w:rFonts w:ascii="Century Gothic" w:eastAsia="Times New Roman" w:hAnsi="Century Gothic" w:cs="Times New Roman"/>
          <w:color w:val="000000" w:themeColor="text1"/>
          <w:shd w:val="clear" w:color="auto" w:fill="FFFFFF"/>
          <w:lang w:eastAsia="es-ES_tradnl"/>
        </w:rPr>
        <w:t>este tipo</w:t>
      </w:r>
      <w:r w:rsidRPr="00F166C9">
        <w:rPr>
          <w:rFonts w:ascii="Century Gothic" w:eastAsia="Times New Roman" w:hAnsi="Century Gothic" w:cs="Times New Roman"/>
          <w:color w:val="000000" w:themeColor="text1"/>
          <w:shd w:val="clear" w:color="auto" w:fill="FFFFFF"/>
          <w:lang w:eastAsia="es-ES_tradnl"/>
        </w:rPr>
        <w:t xml:space="preserve"> convenios que los programas o actividades de interés público sean acordes con el Plan Nacional y los planes seccionales de desarrollo</w:t>
      </w:r>
      <w:r w:rsidRPr="00E901B0">
        <w:rPr>
          <w:rFonts w:ascii="Century Gothic" w:eastAsia="Times New Roman" w:hAnsi="Century Gothic" w:cs="Times New Roman"/>
          <w:color w:val="000000" w:themeColor="text1"/>
          <w:shd w:val="clear" w:color="auto" w:fill="FFFFFF"/>
          <w:lang w:eastAsia="es-ES_tradnl"/>
        </w:rPr>
        <w:t xml:space="preserve">, es necesario interpretar tal requisito </w:t>
      </w:r>
      <w:r w:rsidRPr="00F166C9">
        <w:rPr>
          <w:rFonts w:ascii="Century Gothic" w:eastAsia="Times New Roman" w:hAnsi="Century Gothic" w:cs="Times New Roman"/>
          <w:color w:val="000000" w:themeColor="text1"/>
          <w:shd w:val="clear" w:color="auto" w:fill="FFFFFF"/>
          <w:lang w:eastAsia="es-ES_tradnl"/>
        </w:rPr>
        <w:t>en armonía con</w:t>
      </w:r>
      <w:r w:rsidRPr="00E901B0">
        <w:rPr>
          <w:rFonts w:ascii="Century Gothic" w:eastAsia="Times New Roman" w:hAnsi="Century Gothic" w:cs="Times New Roman"/>
          <w:color w:val="000000" w:themeColor="text1"/>
          <w:shd w:val="clear" w:color="auto" w:fill="FFFFFF"/>
          <w:lang w:eastAsia="es-ES_tradnl"/>
        </w:rPr>
        <w:t xml:space="preserve"> el capitulo 2 del Título XII de la Constitución </w:t>
      </w:r>
      <w:r>
        <w:rPr>
          <w:rFonts w:ascii="Century Gothic" w:eastAsia="Times New Roman" w:hAnsi="Century Gothic" w:cs="Times New Roman"/>
          <w:color w:val="000000" w:themeColor="text1"/>
          <w:shd w:val="clear" w:color="auto" w:fill="FFFFFF"/>
          <w:lang w:eastAsia="es-ES_tradnl"/>
        </w:rPr>
        <w:t xml:space="preserve">Política </w:t>
      </w:r>
      <w:r w:rsidRPr="00E901B0">
        <w:rPr>
          <w:rFonts w:ascii="Century Gothic" w:eastAsia="Times New Roman" w:hAnsi="Century Gothic" w:cs="Times New Roman"/>
          <w:color w:val="000000" w:themeColor="text1"/>
          <w:shd w:val="clear" w:color="auto" w:fill="FFFFFF"/>
          <w:lang w:eastAsia="es-ES_tradnl"/>
        </w:rPr>
        <w:t xml:space="preserve">– </w:t>
      </w:r>
      <w:r w:rsidRPr="00F166C9">
        <w:rPr>
          <w:rFonts w:ascii="Century Gothic" w:eastAsia="Times New Roman" w:hAnsi="Century Gothic" w:cs="Times New Roman"/>
          <w:color w:val="000000" w:themeColor="text1"/>
          <w:shd w:val="clear" w:color="auto" w:fill="FFFFFF"/>
          <w:lang w:eastAsia="es-ES_tradnl"/>
        </w:rPr>
        <w:t>artículos 339 a 344</w:t>
      </w:r>
      <w:r w:rsidRPr="00E901B0">
        <w:rPr>
          <w:rFonts w:ascii="Century Gothic" w:eastAsia="Times New Roman" w:hAnsi="Century Gothic" w:cs="Times New Roman"/>
          <w:color w:val="000000" w:themeColor="text1"/>
          <w:shd w:val="clear" w:color="auto" w:fill="FFFFFF"/>
          <w:lang w:eastAsia="es-ES_tradnl"/>
        </w:rPr>
        <w:t xml:space="preserve"> –</w:t>
      </w:r>
      <w:r w:rsidRPr="00F166C9">
        <w:rPr>
          <w:rFonts w:ascii="Century Gothic" w:eastAsia="Times New Roman" w:hAnsi="Century Gothic" w:cs="Times New Roman"/>
          <w:color w:val="000000" w:themeColor="text1"/>
          <w:shd w:val="clear" w:color="auto" w:fill="FFFFFF"/>
          <w:lang w:eastAsia="es-ES_tradnl"/>
        </w:rPr>
        <w:t xml:space="preserve">, que consagran la regulación de los </w:t>
      </w:r>
      <w:r>
        <w:rPr>
          <w:rFonts w:ascii="Century Gothic" w:eastAsia="Times New Roman" w:hAnsi="Century Gothic" w:cs="Times New Roman"/>
          <w:color w:val="000000" w:themeColor="text1"/>
          <w:shd w:val="clear" w:color="auto" w:fill="FFFFFF"/>
          <w:lang w:eastAsia="es-ES_tradnl"/>
        </w:rPr>
        <w:t>p</w:t>
      </w:r>
      <w:r w:rsidRPr="00F166C9">
        <w:rPr>
          <w:rFonts w:ascii="Century Gothic" w:eastAsia="Times New Roman" w:hAnsi="Century Gothic" w:cs="Times New Roman"/>
          <w:color w:val="000000" w:themeColor="text1"/>
          <w:shd w:val="clear" w:color="auto" w:fill="FFFFFF"/>
          <w:lang w:eastAsia="es-ES_tradnl"/>
        </w:rPr>
        <w:t xml:space="preserve">lanes de </w:t>
      </w:r>
      <w:r>
        <w:rPr>
          <w:rFonts w:ascii="Century Gothic" w:eastAsia="Times New Roman" w:hAnsi="Century Gothic" w:cs="Times New Roman"/>
          <w:color w:val="000000" w:themeColor="text1"/>
          <w:shd w:val="clear" w:color="auto" w:fill="FFFFFF"/>
          <w:lang w:eastAsia="es-ES_tradnl"/>
        </w:rPr>
        <w:t>d</w:t>
      </w:r>
      <w:r w:rsidRPr="00F166C9">
        <w:rPr>
          <w:rFonts w:ascii="Century Gothic" w:eastAsia="Times New Roman" w:hAnsi="Century Gothic" w:cs="Times New Roman"/>
          <w:color w:val="000000" w:themeColor="text1"/>
          <w:shd w:val="clear" w:color="auto" w:fill="FFFFFF"/>
          <w:lang w:eastAsia="es-ES_tradnl"/>
        </w:rPr>
        <w:t>esarrollo</w:t>
      </w:r>
      <w:r w:rsidRPr="00E901B0">
        <w:rPr>
          <w:rFonts w:ascii="Century Gothic" w:eastAsia="Times New Roman" w:hAnsi="Century Gothic" w:cs="Times New Roman"/>
          <w:color w:val="000000" w:themeColor="text1"/>
          <w:shd w:val="clear" w:color="auto" w:fill="FFFFFF"/>
          <w:lang w:eastAsia="es-ES_tradnl"/>
        </w:rPr>
        <w:t xml:space="preserve">. </w:t>
      </w:r>
    </w:p>
    <w:p w14:paraId="77406F1A" w14:textId="77777777" w:rsidR="00B72B79" w:rsidRPr="00E901B0" w:rsidRDefault="00B72B79" w:rsidP="00B72B79">
      <w:pPr>
        <w:spacing w:after="120" w:line="276" w:lineRule="auto"/>
        <w:ind w:firstLine="708"/>
        <w:jc w:val="both"/>
        <w:rPr>
          <w:rFonts w:ascii="Century Gothic" w:eastAsia="Times New Roman" w:hAnsi="Century Gothic" w:cs="Times New Roman"/>
          <w:color w:val="000000" w:themeColor="text1"/>
          <w:shd w:val="clear" w:color="auto" w:fill="FFFFFF"/>
          <w:lang w:eastAsia="es-ES_tradnl"/>
        </w:rPr>
      </w:pPr>
      <w:r w:rsidRPr="00E901B0">
        <w:rPr>
          <w:rFonts w:ascii="Century Gothic" w:eastAsia="Times New Roman" w:hAnsi="Century Gothic" w:cs="Times New Roman"/>
          <w:color w:val="000000" w:themeColor="text1"/>
          <w:shd w:val="clear" w:color="auto" w:fill="FFFFFF"/>
          <w:lang w:eastAsia="es-ES_tradnl"/>
        </w:rPr>
        <w:t>Los citados artículos contienen el mandato a la Nación y los entes territoriales de contar con planes de desarrollo, los cuales deben elaborarse de forma concertada entre las entidades y con la participación de todos los órganos, organismos, Entidades Estatales y ciudadanía.</w:t>
      </w:r>
    </w:p>
    <w:p w14:paraId="7DF32A1C" w14:textId="77777777" w:rsidR="00B72B79" w:rsidRPr="00E901B0" w:rsidRDefault="00B72B79" w:rsidP="00B72B79">
      <w:pPr>
        <w:spacing w:after="120" w:line="276" w:lineRule="auto"/>
        <w:ind w:firstLine="708"/>
        <w:jc w:val="both"/>
        <w:rPr>
          <w:rFonts w:ascii="Century Gothic" w:eastAsia="Times New Roman" w:hAnsi="Century Gothic" w:cs="Times New Roman"/>
          <w:color w:val="000000" w:themeColor="text1"/>
          <w:shd w:val="clear" w:color="auto" w:fill="FFFFFF"/>
          <w:lang w:eastAsia="es-ES_tradnl"/>
        </w:rPr>
      </w:pPr>
      <w:r w:rsidRPr="00E901B0">
        <w:rPr>
          <w:rFonts w:ascii="Century Gothic" w:eastAsia="Times New Roman" w:hAnsi="Century Gothic" w:cs="Times New Roman"/>
          <w:color w:val="000000" w:themeColor="text1"/>
          <w:shd w:val="clear" w:color="auto" w:fill="FFFFFF"/>
          <w:lang w:eastAsia="es-ES_tradnl"/>
        </w:rPr>
        <w:t xml:space="preserve">Tratándose del Plan Nacional de Desarrollo, la Constitución fija las competencias de las autoridades nacionales; esboza el procedimiento de elaboración, discusión y aprobación; establece el Sistema Nacional de Planeación; se refiere a las autoridades nacionales y territoriales responsables de la ejecución y evaluación y; ordena que mediante la ley orgánica se reglamente el procedimiento, los mecanismos de armonización y sujeción de los presupuestos oficiales a los planes de desarrollo y la efectiva participación ciudadana en su discusión. </w:t>
      </w:r>
    </w:p>
    <w:p w14:paraId="74A36323" w14:textId="77777777" w:rsidR="00B72B79" w:rsidRPr="00E901B0" w:rsidRDefault="00B72B79" w:rsidP="00B72B79">
      <w:pPr>
        <w:spacing w:after="120" w:line="276" w:lineRule="auto"/>
        <w:ind w:firstLine="708"/>
        <w:jc w:val="both"/>
        <w:rPr>
          <w:rFonts w:ascii="Century Gothic" w:eastAsia="Times New Roman" w:hAnsi="Century Gothic" w:cs="Times New Roman"/>
          <w:color w:val="000000" w:themeColor="text1"/>
          <w:shd w:val="clear" w:color="auto" w:fill="FFFFFF"/>
          <w:lang w:eastAsia="es-ES_tradnl"/>
        </w:rPr>
      </w:pPr>
      <w:r>
        <w:rPr>
          <w:rFonts w:ascii="Century Gothic" w:eastAsia="Times New Roman" w:hAnsi="Century Gothic" w:cs="Times New Roman"/>
          <w:color w:val="000000" w:themeColor="text1"/>
          <w:shd w:val="clear" w:color="auto" w:fill="FFFFFF"/>
          <w:lang w:eastAsia="es-ES_tradnl"/>
        </w:rPr>
        <w:t>E</w:t>
      </w:r>
      <w:r w:rsidRPr="00E901B0">
        <w:rPr>
          <w:rFonts w:ascii="Century Gothic" w:eastAsia="Times New Roman" w:hAnsi="Century Gothic" w:cs="Times New Roman"/>
          <w:color w:val="000000" w:themeColor="text1"/>
          <w:shd w:val="clear" w:color="auto" w:fill="FFFFFF"/>
          <w:lang w:eastAsia="es-ES_tradnl"/>
        </w:rPr>
        <w:t xml:space="preserve">l artículo 341 de la Carta asigna al Gobierno Nacional las funciones de: i) elaborar el proyecto, con participación de autoridades y ciudadanos; ii) someterlo al concepto del Consejo Nacional de Planeación y definir cuáles de sus </w:t>
      </w:r>
      <w:r w:rsidRPr="00E901B0">
        <w:rPr>
          <w:rFonts w:ascii="Century Gothic" w:eastAsia="Times New Roman" w:hAnsi="Century Gothic" w:cs="Times New Roman"/>
          <w:color w:val="000000" w:themeColor="text1"/>
          <w:shd w:val="clear" w:color="auto" w:fill="FFFFFF"/>
          <w:lang w:eastAsia="es-ES_tradnl"/>
        </w:rPr>
        <w:lastRenderedPageBreak/>
        <w:t>recomendaciones incorpora al proyecto; iii) presentarlo al Congreso de la República y dar visto bueno a las modificaciones que se den en los debates; iv) poner en vigencia el plan mediante decreto con fuerza de ley, si el Congreso no lo aprueba en el término improrrogable de tres (3) meses.</w:t>
      </w:r>
      <w:r>
        <w:rPr>
          <w:rFonts w:ascii="Century Gothic" w:eastAsia="Times New Roman" w:hAnsi="Century Gothic" w:cs="Times New Roman"/>
          <w:color w:val="000000" w:themeColor="text1"/>
          <w:shd w:val="clear" w:color="auto" w:fill="FFFFFF"/>
          <w:lang w:eastAsia="es-ES_tradnl"/>
        </w:rPr>
        <w:t xml:space="preserve"> Y de conformidad </w:t>
      </w:r>
      <w:r w:rsidRPr="00E901B0">
        <w:rPr>
          <w:rFonts w:ascii="Century Gothic" w:eastAsia="Times New Roman" w:hAnsi="Century Gothic" w:cs="Times New Roman"/>
          <w:color w:val="000000" w:themeColor="text1"/>
          <w:shd w:val="clear" w:color="auto" w:fill="FFFFFF"/>
          <w:lang w:eastAsia="es-ES_tradnl"/>
        </w:rPr>
        <w:t xml:space="preserve">con el numeral 3 del artículo 150 de la </w:t>
      </w:r>
      <w:r>
        <w:rPr>
          <w:rFonts w:ascii="Century Gothic" w:eastAsia="Times New Roman" w:hAnsi="Century Gothic" w:cs="Times New Roman"/>
          <w:color w:val="000000" w:themeColor="text1"/>
          <w:shd w:val="clear" w:color="auto" w:fill="FFFFFF"/>
          <w:lang w:eastAsia="es-ES_tradnl"/>
        </w:rPr>
        <w:t>Carta,</w:t>
      </w:r>
      <w:r w:rsidRPr="00E901B0">
        <w:rPr>
          <w:rFonts w:ascii="Century Gothic" w:eastAsia="Times New Roman" w:hAnsi="Century Gothic" w:cs="Times New Roman"/>
          <w:color w:val="000000" w:themeColor="text1"/>
          <w:shd w:val="clear" w:color="auto" w:fill="FFFFFF"/>
          <w:lang w:eastAsia="es-ES_tradnl"/>
        </w:rPr>
        <w:t xml:space="preserve"> le corresponde al Congreso de la República aprobar el Plan Nacional de Desarrollo y de inversiones públicas.    </w:t>
      </w:r>
    </w:p>
    <w:p w14:paraId="3B1F365E" w14:textId="77777777" w:rsidR="00B72B79" w:rsidRPr="00E901B0" w:rsidRDefault="00B72B79" w:rsidP="00B72B79">
      <w:pPr>
        <w:spacing w:after="120" w:line="276" w:lineRule="auto"/>
        <w:ind w:firstLine="708"/>
        <w:jc w:val="both"/>
        <w:rPr>
          <w:rFonts w:ascii="Century Gothic" w:eastAsia="Times New Roman" w:hAnsi="Century Gothic" w:cs="Times New Roman"/>
          <w:color w:val="000000" w:themeColor="text1"/>
          <w:shd w:val="clear" w:color="auto" w:fill="FFFFFF"/>
          <w:lang w:eastAsia="es-ES_tradnl"/>
        </w:rPr>
      </w:pPr>
      <w:r w:rsidRPr="00E901B0">
        <w:rPr>
          <w:rFonts w:ascii="Century Gothic" w:eastAsia="Times New Roman" w:hAnsi="Century Gothic" w:cs="Times New Roman"/>
          <w:color w:val="000000" w:themeColor="text1"/>
          <w:shd w:val="clear" w:color="auto" w:fill="FFFFFF"/>
          <w:lang w:eastAsia="es-ES_tradnl"/>
        </w:rPr>
        <w:t>Así las cosas, el Plan Nacional de Desarrollo se adopta una vez aprobado por el Congreso de la República y, en el caso</w:t>
      </w:r>
      <w:r>
        <w:rPr>
          <w:rFonts w:ascii="Century Gothic" w:eastAsia="Times New Roman" w:hAnsi="Century Gothic" w:cs="Times New Roman"/>
          <w:color w:val="000000" w:themeColor="text1"/>
          <w:shd w:val="clear" w:color="auto" w:fill="FFFFFF"/>
          <w:lang w:eastAsia="es-ES_tradnl"/>
        </w:rPr>
        <w:t>,</w:t>
      </w:r>
      <w:r w:rsidRPr="00E901B0">
        <w:rPr>
          <w:rFonts w:ascii="Century Gothic" w:eastAsia="Times New Roman" w:hAnsi="Century Gothic" w:cs="Times New Roman"/>
          <w:color w:val="000000" w:themeColor="text1"/>
          <w:shd w:val="clear" w:color="auto" w:fill="FFFFFF"/>
          <w:lang w:eastAsia="es-ES_tradnl"/>
        </w:rPr>
        <w:t xml:space="preserve"> de que no lo haga dentro del término constitucional</w:t>
      </w:r>
      <w:r>
        <w:rPr>
          <w:rFonts w:ascii="Century Gothic" w:eastAsia="Times New Roman" w:hAnsi="Century Gothic" w:cs="Times New Roman"/>
          <w:color w:val="000000" w:themeColor="text1"/>
          <w:shd w:val="clear" w:color="auto" w:fill="FFFFFF"/>
          <w:lang w:eastAsia="es-ES_tradnl"/>
        </w:rPr>
        <w:t>mente establecido</w:t>
      </w:r>
      <w:r w:rsidRPr="00E901B0">
        <w:rPr>
          <w:rFonts w:ascii="Century Gothic" w:eastAsia="Times New Roman" w:hAnsi="Century Gothic" w:cs="Times New Roman"/>
          <w:color w:val="000000" w:themeColor="text1"/>
          <w:shd w:val="clear" w:color="auto" w:fill="FFFFFF"/>
          <w:lang w:eastAsia="es-ES_tradnl"/>
        </w:rPr>
        <w:t xml:space="preserve">, una vez expedido el decreto con fuerza de ley por parte del Presidente de la República. </w:t>
      </w:r>
      <w:r>
        <w:rPr>
          <w:rFonts w:ascii="Century Gothic" w:eastAsia="Times New Roman" w:hAnsi="Century Gothic" w:cs="Times New Roman"/>
          <w:color w:val="000000" w:themeColor="text1"/>
          <w:shd w:val="clear" w:color="auto" w:fill="FFFFFF"/>
          <w:lang w:eastAsia="es-ES_tradnl"/>
        </w:rPr>
        <w:t xml:space="preserve">Nótese que, para la adopción del Plan Nacional de Desarrollo deben seguirse los procedimientos y mandatos establecidos en la Constitución y la ley y, solo una vez surtidos los procedimientos, se entiende adoptado y, por tanto, entra y vigencia y surte efectos. </w:t>
      </w:r>
    </w:p>
    <w:p w14:paraId="37758958" w14:textId="77777777" w:rsidR="00B72B79" w:rsidRPr="00E901B0" w:rsidRDefault="00B72B79" w:rsidP="00B72B79">
      <w:pPr>
        <w:spacing w:after="120" w:line="276" w:lineRule="auto"/>
        <w:ind w:firstLine="708"/>
        <w:jc w:val="both"/>
        <w:rPr>
          <w:rFonts w:ascii="Century Gothic" w:eastAsia="Times New Roman" w:hAnsi="Century Gothic" w:cs="Times New Roman"/>
          <w:color w:val="000000" w:themeColor="text1"/>
          <w:shd w:val="clear" w:color="auto" w:fill="FFFFFF"/>
          <w:lang w:eastAsia="es-ES_tradnl"/>
        </w:rPr>
      </w:pPr>
      <w:r>
        <w:rPr>
          <w:rFonts w:ascii="Century Gothic" w:eastAsia="Times New Roman" w:hAnsi="Century Gothic" w:cs="Times New Roman"/>
          <w:color w:val="000000" w:themeColor="text1"/>
          <w:shd w:val="clear" w:color="auto" w:fill="FFFFFF"/>
          <w:lang w:eastAsia="es-ES_tradnl"/>
        </w:rPr>
        <w:t>Por su parte, e</w:t>
      </w:r>
      <w:r w:rsidRPr="00E901B0">
        <w:rPr>
          <w:rFonts w:ascii="Century Gothic" w:eastAsia="Times New Roman" w:hAnsi="Century Gothic" w:cs="Times New Roman"/>
          <w:color w:val="000000" w:themeColor="text1"/>
          <w:shd w:val="clear" w:color="auto" w:fill="FFFFFF"/>
          <w:lang w:eastAsia="es-ES_tradnl"/>
        </w:rPr>
        <w:t>n el caso de los Planes Territoriales de Desarrollo, el inciso segundo del artículo 339 de la Carta contiene el mandato para las entidades territoriales de elaborar y adoptar sus planes de desarrollo. Dicho artículo señala que la elaboración y adopción de los planes territoriales debe hacerse “de manera concertada” entre las entidades territoriales y el Gobierno Nacional</w:t>
      </w:r>
      <w:r>
        <w:rPr>
          <w:rFonts w:ascii="Century Gothic" w:eastAsia="Times New Roman" w:hAnsi="Century Gothic" w:cs="Times New Roman"/>
          <w:color w:val="000000" w:themeColor="text1"/>
          <w:shd w:val="clear" w:color="auto" w:fill="FFFFFF"/>
          <w:lang w:eastAsia="es-ES_tradnl"/>
        </w:rPr>
        <w:t>.</w:t>
      </w:r>
    </w:p>
    <w:p w14:paraId="3322BC9A" w14:textId="77777777" w:rsidR="00B72B79" w:rsidRPr="00E901B0" w:rsidRDefault="00B72B79" w:rsidP="00B72B79">
      <w:pPr>
        <w:spacing w:after="120" w:line="276" w:lineRule="auto"/>
        <w:ind w:firstLine="708"/>
        <w:jc w:val="both"/>
        <w:rPr>
          <w:rFonts w:ascii="Century Gothic" w:eastAsia="Times New Roman" w:hAnsi="Century Gothic" w:cs="Times New Roman"/>
          <w:color w:val="000000" w:themeColor="text1"/>
          <w:shd w:val="clear" w:color="auto" w:fill="FFFFFF"/>
          <w:lang w:eastAsia="es-ES_tradnl"/>
        </w:rPr>
      </w:pPr>
      <w:r w:rsidRPr="00E901B0">
        <w:rPr>
          <w:rFonts w:ascii="Century Gothic" w:eastAsia="Times New Roman" w:hAnsi="Century Gothic" w:cs="Times New Roman"/>
          <w:color w:val="000000" w:themeColor="text1"/>
          <w:shd w:val="clear" w:color="auto" w:fill="FFFFFF"/>
          <w:lang w:eastAsia="es-ES_tradnl"/>
        </w:rPr>
        <w:t>La Constitución</w:t>
      </w:r>
      <w:r>
        <w:rPr>
          <w:rFonts w:ascii="Century Gothic" w:eastAsia="Times New Roman" w:hAnsi="Century Gothic" w:cs="Times New Roman"/>
          <w:color w:val="000000" w:themeColor="text1"/>
          <w:shd w:val="clear" w:color="auto" w:fill="FFFFFF"/>
          <w:lang w:eastAsia="es-ES_tradnl"/>
        </w:rPr>
        <w:t>, además,</w:t>
      </w:r>
      <w:r w:rsidRPr="00E901B0">
        <w:rPr>
          <w:rFonts w:ascii="Century Gothic" w:eastAsia="Times New Roman" w:hAnsi="Century Gothic" w:cs="Times New Roman"/>
          <w:color w:val="000000" w:themeColor="text1"/>
          <w:shd w:val="clear" w:color="auto" w:fill="FFFFFF"/>
          <w:lang w:eastAsia="es-ES_tradnl"/>
        </w:rPr>
        <w:t xml:space="preserve"> le asigna a los gobernadores y alcaldes la iniciativa para la presentación de proyectos de los planes de desarrollo y a las asambleas departamentales y concejos</w:t>
      </w:r>
      <w:r>
        <w:rPr>
          <w:rFonts w:ascii="Century Gothic" w:eastAsia="Times New Roman" w:hAnsi="Century Gothic" w:cs="Times New Roman"/>
          <w:color w:val="000000" w:themeColor="text1"/>
          <w:shd w:val="clear" w:color="auto" w:fill="FFFFFF"/>
          <w:lang w:eastAsia="es-ES_tradnl"/>
        </w:rPr>
        <w:t xml:space="preserve"> municipales y distritales</w:t>
      </w:r>
      <w:r w:rsidRPr="00E901B0">
        <w:rPr>
          <w:rFonts w:ascii="Century Gothic" w:eastAsia="Times New Roman" w:hAnsi="Century Gothic" w:cs="Times New Roman"/>
          <w:color w:val="000000" w:themeColor="text1"/>
          <w:shd w:val="clear" w:color="auto" w:fill="FFFFFF"/>
          <w:lang w:eastAsia="es-ES_tradnl"/>
        </w:rPr>
        <w:t xml:space="preserve"> su adopción. A nivel territorial, de forma análoga a lo que ocurre a nivel nacional, en caso de que las Asambleas y Concejos no aprueben</w:t>
      </w:r>
      <w:r>
        <w:rPr>
          <w:rFonts w:ascii="Century Gothic" w:eastAsia="Times New Roman" w:hAnsi="Century Gothic" w:cs="Times New Roman"/>
          <w:color w:val="000000" w:themeColor="text1"/>
          <w:shd w:val="clear" w:color="auto" w:fill="FFFFFF"/>
          <w:lang w:eastAsia="es-ES_tradnl"/>
        </w:rPr>
        <w:t xml:space="preserve"> los proyectos de planes</w:t>
      </w:r>
      <w:r w:rsidRPr="00E901B0">
        <w:rPr>
          <w:rFonts w:ascii="Century Gothic" w:eastAsia="Times New Roman" w:hAnsi="Century Gothic" w:cs="Times New Roman"/>
          <w:color w:val="000000" w:themeColor="text1"/>
          <w:shd w:val="clear" w:color="auto" w:fill="FFFFFF"/>
          <w:lang w:eastAsia="es-ES_tradnl"/>
        </w:rPr>
        <w:t xml:space="preserve"> dentro del mes siguiente a su presentación</w:t>
      </w:r>
      <w:r>
        <w:rPr>
          <w:rFonts w:ascii="Century Gothic" w:eastAsia="Times New Roman" w:hAnsi="Century Gothic" w:cs="Times New Roman"/>
          <w:color w:val="000000" w:themeColor="text1"/>
          <w:shd w:val="clear" w:color="auto" w:fill="FFFFFF"/>
          <w:lang w:eastAsia="es-ES_tradnl"/>
        </w:rPr>
        <w:t xml:space="preserve"> – el término es más corto respecto al del Plana Nacional de Desarrollo –</w:t>
      </w:r>
      <w:r w:rsidRPr="00E901B0">
        <w:rPr>
          <w:rFonts w:ascii="Century Gothic" w:eastAsia="Times New Roman" w:hAnsi="Century Gothic" w:cs="Times New Roman"/>
          <w:color w:val="000000" w:themeColor="text1"/>
          <w:shd w:val="clear" w:color="auto" w:fill="FFFFFF"/>
          <w:lang w:eastAsia="es-ES_tradnl"/>
        </w:rPr>
        <w:t xml:space="preserve">, el Gobernador o Alcalde podrán adoptarlo por decreto. </w:t>
      </w:r>
    </w:p>
    <w:p w14:paraId="56AA2C4C" w14:textId="77777777" w:rsidR="00B72B79" w:rsidRPr="00E901B0" w:rsidRDefault="00B72B79" w:rsidP="00B72B79">
      <w:pPr>
        <w:spacing w:after="120" w:line="276" w:lineRule="auto"/>
        <w:ind w:firstLine="708"/>
        <w:jc w:val="both"/>
        <w:rPr>
          <w:rFonts w:ascii="Century Gothic" w:eastAsia="Calibri" w:hAnsi="Century Gothic" w:cs="Arial"/>
          <w:lang w:val="es-ES_tradnl" w:eastAsia="es-ES_tradnl"/>
        </w:rPr>
      </w:pPr>
      <w:r>
        <w:rPr>
          <w:rFonts w:ascii="Century Gothic" w:eastAsia="Calibri" w:hAnsi="Century Gothic" w:cs="Arial"/>
          <w:lang w:val="es-ES_tradnl" w:eastAsia="es-ES_tradnl"/>
        </w:rPr>
        <w:t>De lo expuesto</w:t>
      </w:r>
      <w:r w:rsidRPr="00E901B0">
        <w:rPr>
          <w:rFonts w:ascii="Century Gothic" w:eastAsia="Calibri" w:hAnsi="Century Gothic" w:cs="Arial"/>
          <w:lang w:val="es-ES_tradnl" w:eastAsia="es-ES_tradnl"/>
        </w:rPr>
        <w:t xml:space="preserve">, se concluye que, el constituyente previó como requisito para la suscripción de los contratos de interés público </w:t>
      </w:r>
      <w:r>
        <w:rPr>
          <w:rFonts w:ascii="Century Gothic" w:eastAsia="Calibri" w:hAnsi="Century Gothic" w:cs="Arial"/>
          <w:lang w:val="es-ES_tradnl" w:eastAsia="es-ES_tradnl"/>
        </w:rPr>
        <w:t xml:space="preserve">de que trata el artículo 355 de la Constitución Política </w:t>
      </w:r>
      <w:r w:rsidRPr="00E901B0">
        <w:rPr>
          <w:rFonts w:ascii="Century Gothic" w:eastAsia="Calibri" w:hAnsi="Century Gothic" w:cs="Arial"/>
          <w:lang w:val="es-ES_tradnl" w:eastAsia="es-ES_tradnl"/>
        </w:rPr>
        <w:t>que los programas o actividades que se pretendan promover por esa vía aparezcan incluidos en el plan de desarrollo respectivo y, por lo tanto, que resulten coherentes con</w:t>
      </w:r>
      <w:r>
        <w:rPr>
          <w:rFonts w:ascii="Century Gothic" w:eastAsia="Calibri" w:hAnsi="Century Gothic" w:cs="Arial"/>
          <w:lang w:val="es-ES_tradnl" w:eastAsia="es-ES_tradnl"/>
        </w:rPr>
        <w:t xml:space="preserve"> </w:t>
      </w:r>
      <w:r w:rsidRPr="00E901B0">
        <w:rPr>
          <w:rFonts w:ascii="Century Gothic" w:eastAsia="Calibri" w:hAnsi="Century Gothic" w:cs="Arial"/>
          <w:lang w:val="es-ES_tradnl" w:eastAsia="es-ES_tradnl"/>
        </w:rPr>
        <w:t>dicho instrumento de planeación. En ese sentido, a juicio de esta Agencia</w:t>
      </w:r>
      <w:r>
        <w:rPr>
          <w:rFonts w:ascii="Century Gothic" w:eastAsia="Calibri" w:hAnsi="Century Gothic" w:cs="Arial"/>
          <w:lang w:val="es-ES_tradnl" w:eastAsia="es-ES_tradnl"/>
        </w:rPr>
        <w:t>,</w:t>
      </w:r>
      <w:r w:rsidRPr="00E901B0">
        <w:rPr>
          <w:rFonts w:ascii="Century Gothic" w:eastAsia="Calibri" w:hAnsi="Century Gothic" w:cs="Arial"/>
          <w:lang w:val="es-ES_tradnl" w:eastAsia="es-ES_tradnl"/>
        </w:rPr>
        <w:t xml:space="preserve"> los convenios </w:t>
      </w:r>
      <w:r>
        <w:rPr>
          <w:rFonts w:ascii="Century Gothic" w:eastAsia="Calibri" w:hAnsi="Century Gothic" w:cs="Arial"/>
          <w:lang w:val="es-ES_tradnl" w:eastAsia="es-ES_tradnl"/>
        </w:rPr>
        <w:t>de colaboración</w:t>
      </w:r>
      <w:r w:rsidRPr="00E901B0">
        <w:rPr>
          <w:rFonts w:ascii="Century Gothic" w:eastAsia="Calibri" w:hAnsi="Century Gothic" w:cs="Arial"/>
          <w:lang w:val="es-ES_tradnl" w:eastAsia="es-ES_tradnl"/>
        </w:rPr>
        <w:t xml:space="preserve"> deberán tener por objeto actividades relacionados con </w:t>
      </w:r>
      <w:r>
        <w:rPr>
          <w:rFonts w:ascii="Century Gothic" w:eastAsia="Calibri" w:hAnsi="Century Gothic" w:cs="Arial"/>
          <w:lang w:val="es-ES_tradnl" w:eastAsia="es-ES_tradnl"/>
        </w:rPr>
        <w:t>p</w:t>
      </w:r>
      <w:r w:rsidRPr="00E901B0">
        <w:rPr>
          <w:rFonts w:ascii="Century Gothic" w:eastAsia="Calibri" w:hAnsi="Century Gothic" w:cs="Arial"/>
          <w:lang w:val="es-ES_tradnl" w:eastAsia="es-ES_tradnl"/>
        </w:rPr>
        <w:t xml:space="preserve">lanes de </w:t>
      </w:r>
      <w:r>
        <w:rPr>
          <w:rFonts w:ascii="Century Gothic" w:eastAsia="Calibri" w:hAnsi="Century Gothic" w:cs="Arial"/>
          <w:lang w:val="es-ES_tradnl" w:eastAsia="es-ES_tradnl"/>
        </w:rPr>
        <w:t>d</w:t>
      </w:r>
      <w:r w:rsidRPr="00E901B0">
        <w:rPr>
          <w:rFonts w:ascii="Century Gothic" w:eastAsia="Calibri" w:hAnsi="Century Gothic" w:cs="Arial"/>
          <w:lang w:val="es-ES_tradnl" w:eastAsia="es-ES_tradnl"/>
        </w:rPr>
        <w:t xml:space="preserve">esarrollo vigentes para el momento de celebración del contrato, </w:t>
      </w:r>
      <w:r>
        <w:rPr>
          <w:rFonts w:ascii="Century Gothic" w:eastAsia="Calibri" w:hAnsi="Century Gothic" w:cs="Arial"/>
          <w:lang w:val="es-ES_tradnl" w:eastAsia="es-ES_tradnl"/>
        </w:rPr>
        <w:t xml:space="preserve">es decir, que ya hayan surtido todo el procedimiento establecido en el ordenamiento jurídico. </w:t>
      </w:r>
      <w:r>
        <w:rPr>
          <w:rFonts w:ascii="Century Gothic" w:eastAsia="Calibri" w:hAnsi="Century Gothic" w:cs="Arial"/>
          <w:i/>
          <w:iCs/>
          <w:lang w:val="es-ES_tradnl" w:eastAsia="es-ES_tradnl"/>
        </w:rPr>
        <w:t>C</w:t>
      </w:r>
      <w:r w:rsidRPr="008D55B6">
        <w:rPr>
          <w:rFonts w:ascii="Century Gothic" w:eastAsia="Calibri" w:hAnsi="Century Gothic" w:cs="Arial"/>
          <w:i/>
          <w:iCs/>
          <w:lang w:val="es-ES_tradnl" w:eastAsia="es-ES_tradnl"/>
        </w:rPr>
        <w:t>ontrario sensu</w:t>
      </w:r>
      <w:r>
        <w:rPr>
          <w:rFonts w:ascii="Century Gothic" w:eastAsia="Calibri" w:hAnsi="Century Gothic" w:cs="Arial"/>
          <w:lang w:val="es-ES_tradnl" w:eastAsia="es-ES_tradnl"/>
        </w:rPr>
        <w:t xml:space="preserve">, no podrán celebrarse </w:t>
      </w:r>
      <w:r>
        <w:rPr>
          <w:rFonts w:ascii="Century Gothic" w:eastAsia="Calibri" w:hAnsi="Century Gothic" w:cs="Arial"/>
          <w:lang w:val="es-ES_tradnl" w:eastAsia="es-ES_tradnl"/>
        </w:rPr>
        <w:lastRenderedPageBreak/>
        <w:t>convenios relacionados con actividades que constan en los</w:t>
      </w:r>
      <w:r w:rsidRPr="00E901B0">
        <w:rPr>
          <w:rFonts w:ascii="Century Gothic" w:eastAsia="Calibri" w:hAnsi="Century Gothic" w:cs="Arial"/>
          <w:lang w:val="es-ES_tradnl" w:eastAsia="es-ES_tradnl"/>
        </w:rPr>
        <w:t xml:space="preserve"> proyectos de planes de desarrollo que se encuentren en trámite de aprobación</w:t>
      </w:r>
      <w:r>
        <w:rPr>
          <w:rFonts w:ascii="Century Gothic" w:eastAsia="Calibri" w:hAnsi="Century Gothic" w:cs="Arial"/>
          <w:lang w:val="es-ES_tradnl" w:eastAsia="es-ES_tradnl"/>
        </w:rPr>
        <w:t xml:space="preserve">. </w:t>
      </w:r>
    </w:p>
    <w:p w14:paraId="59723CF8" w14:textId="77777777" w:rsidR="00B72B79" w:rsidRDefault="00B72B79" w:rsidP="00B72B79">
      <w:pPr>
        <w:spacing w:after="120" w:line="276" w:lineRule="auto"/>
        <w:ind w:firstLine="709"/>
        <w:jc w:val="both"/>
        <w:rPr>
          <w:rFonts w:ascii="Century Gothic" w:eastAsia="Calibri" w:hAnsi="Century Gothic" w:cs="Arial"/>
          <w:color w:val="000000" w:themeColor="text1"/>
        </w:rPr>
      </w:pPr>
      <w:r>
        <w:rPr>
          <w:rFonts w:ascii="Century Gothic" w:eastAsia="Times New Roman" w:hAnsi="Century Gothic" w:cs="Times New Roman"/>
          <w:color w:val="000000" w:themeColor="text1"/>
          <w:shd w:val="clear" w:color="auto" w:fill="FFFFFF"/>
          <w:lang w:eastAsia="es-ES_tradnl"/>
        </w:rPr>
        <w:t>Finalmente</w:t>
      </w:r>
      <w:r w:rsidRPr="00F166C9">
        <w:rPr>
          <w:rFonts w:ascii="Century Gothic" w:eastAsia="Times New Roman" w:hAnsi="Century Gothic" w:cs="Times New Roman"/>
          <w:color w:val="000000" w:themeColor="text1"/>
          <w:shd w:val="clear" w:color="auto" w:fill="FFFFFF"/>
          <w:lang w:eastAsia="es-ES_tradnl"/>
        </w:rPr>
        <w:t xml:space="preserve">, </w:t>
      </w:r>
      <w:r>
        <w:rPr>
          <w:rFonts w:ascii="Century Gothic" w:eastAsia="Times New Roman" w:hAnsi="Century Gothic" w:cs="Times New Roman"/>
          <w:color w:val="000000" w:themeColor="text1"/>
          <w:shd w:val="clear" w:color="auto" w:fill="FFFFFF"/>
          <w:lang w:eastAsia="es-ES_tradnl"/>
        </w:rPr>
        <w:t>resulta necesario</w:t>
      </w:r>
      <w:r w:rsidRPr="00F166C9">
        <w:rPr>
          <w:rFonts w:ascii="Century Gothic" w:eastAsia="Times New Roman" w:hAnsi="Century Gothic" w:cs="Times New Roman"/>
          <w:color w:val="000000" w:themeColor="text1"/>
          <w:shd w:val="clear" w:color="auto" w:fill="FFFFFF"/>
          <w:lang w:eastAsia="es-ES_tradnl"/>
        </w:rPr>
        <w:t xml:space="preserve"> anotar </w:t>
      </w:r>
      <w:r w:rsidRPr="008D55B6">
        <w:rPr>
          <w:rFonts w:ascii="Century Gothic" w:eastAsia="Calibri" w:hAnsi="Century Gothic" w:cs="Arial"/>
          <w:color w:val="000000" w:themeColor="text1"/>
          <w:lang w:val="es-ES_tradnl" w:eastAsia="es-ES_tradnl"/>
        </w:rPr>
        <w:t xml:space="preserve">que, el Consejo de Estado, </w:t>
      </w:r>
      <w:r w:rsidRPr="008D55B6">
        <w:rPr>
          <w:rFonts w:ascii="Century Gothic" w:eastAsia="Calibri" w:hAnsi="Century Gothic" w:cs="Arial"/>
          <w:color w:val="000000" w:themeColor="text1"/>
        </w:rPr>
        <w:t xml:space="preserve">en el auto del 6 de agosto de 2019, estudió  el literal a), del artículo 2, del Decreto 092, que establece que únicamente se podrá contratar con </w:t>
      </w:r>
      <w:r>
        <w:rPr>
          <w:rFonts w:ascii="Century Gothic" w:eastAsia="Calibri" w:hAnsi="Century Gothic" w:cs="Arial"/>
          <w:color w:val="000000" w:themeColor="text1"/>
        </w:rPr>
        <w:t>ESAL</w:t>
      </w:r>
      <w:r w:rsidRPr="008D55B6">
        <w:rPr>
          <w:rFonts w:ascii="Century Gothic" w:eastAsia="Calibri" w:hAnsi="Century Gothic" w:cs="Arial"/>
          <w:color w:val="000000" w:themeColor="text1"/>
        </w:rPr>
        <w:t xml:space="preserve">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8D55B6">
        <w:rPr>
          <w:rStyle w:val="Refdenotaalpie"/>
          <w:rFonts w:ascii="Century Gothic" w:hAnsi="Century Gothic" w:cs="Arial"/>
          <w:color w:val="000000" w:themeColor="text1"/>
        </w:rPr>
        <w:footnoteReference w:id="12"/>
      </w:r>
      <w:r w:rsidRPr="008D55B6">
        <w:rPr>
          <w:rFonts w:ascii="Century Gothic" w:eastAsia="Calibri" w:hAnsi="Century Gothic" w:cs="Arial"/>
          <w:color w:val="000000" w:themeColor="text1"/>
        </w:rPr>
        <w:t xml:space="preserve">. </w:t>
      </w:r>
      <w:bookmarkStart w:id="9" w:name="_Hlk95756502"/>
    </w:p>
    <w:p w14:paraId="0E99DC60" w14:textId="77777777" w:rsidR="00B72B79" w:rsidRPr="008D55B6" w:rsidRDefault="00B72B79" w:rsidP="00B72B79">
      <w:pPr>
        <w:spacing w:after="0" w:line="276" w:lineRule="auto"/>
        <w:ind w:firstLine="709"/>
        <w:jc w:val="both"/>
        <w:rPr>
          <w:rFonts w:ascii="Century Gothic" w:eastAsia="Calibri" w:hAnsi="Century Gothic" w:cs="Arial"/>
          <w:color w:val="000000" w:themeColor="text1"/>
          <w:lang w:val="es-ES_tradnl" w:eastAsia="es-ES_tradnl"/>
        </w:rPr>
      </w:pPr>
      <w:r w:rsidRPr="008D55B6">
        <w:rPr>
          <w:rFonts w:ascii="Century Gothic" w:eastAsia="Calibri" w:hAnsi="Century Gothic" w:cs="Arial"/>
          <w:color w:val="000000" w:themeColor="text1"/>
        </w:rPr>
        <w:t xml:space="preserve">En relación con esta norma, encontró que el literal a) del artículo 2 establece dos </w:t>
      </w:r>
      <w:r>
        <w:rPr>
          <w:rFonts w:ascii="Century Gothic" w:eastAsia="Calibri" w:hAnsi="Century Gothic" w:cs="Arial"/>
          <w:color w:val="000000" w:themeColor="text1"/>
        </w:rPr>
        <w:t xml:space="preserve">(2) </w:t>
      </w:r>
      <w:r w:rsidRPr="008D55B6">
        <w:rPr>
          <w:rFonts w:ascii="Century Gothic" w:eastAsia="Calibri" w:hAnsi="Century Gothic" w:cs="Arial"/>
          <w:color w:val="000000" w:themeColor="text1"/>
        </w:rPr>
        <w:t xml:space="preserve">condiciones contrarias al artículo 355 de la Constitución Política: </w:t>
      </w:r>
      <w:r w:rsidRPr="008D55B6">
        <w:rPr>
          <w:rFonts w:ascii="Century Gothic" w:eastAsia="Calibri" w:hAnsi="Century Gothic" w:cs="Arial"/>
          <w:i/>
          <w:iCs/>
          <w:color w:val="000000" w:themeColor="text1"/>
        </w:rPr>
        <w:t>primero</w:t>
      </w:r>
      <w:r w:rsidRPr="008D55B6">
        <w:rPr>
          <w:rFonts w:ascii="Century Gothic" w:eastAsia="Calibri" w:hAnsi="Century Gothic" w:cs="Arial"/>
          <w:color w:val="000000" w:themeColor="text1"/>
        </w:rPr>
        <w:t xml:space="preserve">,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9"/>
      <w:r w:rsidRPr="008D55B6">
        <w:rPr>
          <w:rFonts w:ascii="Century Gothic" w:eastAsia="Calibri" w:hAnsi="Century Gothic" w:cs="Arial"/>
          <w:color w:val="000000" w:themeColor="text1"/>
        </w:rPr>
        <w:t xml:space="preserve">En relación con lo anterior, el auto del Consejo de Estado explica que: </w:t>
      </w:r>
    </w:p>
    <w:p w14:paraId="3FA80007" w14:textId="77777777" w:rsidR="00B72B79" w:rsidRPr="00E901B0" w:rsidRDefault="00B72B79" w:rsidP="00B72B79">
      <w:pPr>
        <w:spacing w:after="0" w:line="276" w:lineRule="auto"/>
        <w:jc w:val="both"/>
        <w:rPr>
          <w:rFonts w:ascii="Century Gothic" w:eastAsia="Calibri" w:hAnsi="Century Gothic" w:cs="Arial"/>
          <w:color w:val="000000" w:themeColor="text1"/>
        </w:rPr>
      </w:pPr>
    </w:p>
    <w:p w14:paraId="2B15EC61" w14:textId="77777777" w:rsidR="00B72B79" w:rsidRPr="008D55B6" w:rsidRDefault="00B72B79" w:rsidP="00B72B79">
      <w:pPr>
        <w:spacing w:after="0" w:line="240" w:lineRule="auto"/>
        <w:ind w:left="709" w:right="709"/>
        <w:jc w:val="both"/>
        <w:rPr>
          <w:rFonts w:ascii="Century Gothic" w:eastAsia="Calibri" w:hAnsi="Century Gothic" w:cs="Arial"/>
          <w:color w:val="000000" w:themeColor="text1"/>
          <w:sz w:val="20"/>
          <w:szCs w:val="20"/>
        </w:rPr>
      </w:pPr>
      <w:r w:rsidRPr="008D55B6">
        <w:rPr>
          <w:rFonts w:ascii="Century Gothic" w:eastAsia="Calibri" w:hAnsi="Century Gothic" w:cs="Arial"/>
          <w:color w:val="000000" w:themeColor="text1"/>
          <w:sz w:val="20"/>
          <w:szCs w:val="20"/>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031A04EE" w14:textId="77777777" w:rsidR="00B72B79" w:rsidRPr="00E901B0" w:rsidRDefault="00B72B79" w:rsidP="00B72B79">
      <w:pPr>
        <w:spacing w:after="0" w:line="276" w:lineRule="auto"/>
        <w:jc w:val="both"/>
        <w:rPr>
          <w:rFonts w:ascii="Century Gothic" w:eastAsia="Calibri" w:hAnsi="Century Gothic" w:cs="Arial"/>
          <w:color w:val="000000" w:themeColor="text1"/>
        </w:rPr>
      </w:pPr>
    </w:p>
    <w:p w14:paraId="183BE113" w14:textId="77777777" w:rsidR="00B72B79" w:rsidRPr="00E901B0" w:rsidRDefault="00B72B79" w:rsidP="00B72B79">
      <w:pPr>
        <w:spacing w:after="0" w:line="276" w:lineRule="auto"/>
        <w:ind w:firstLine="708"/>
        <w:jc w:val="both"/>
        <w:rPr>
          <w:rFonts w:ascii="Century Gothic" w:eastAsia="Calibri" w:hAnsi="Century Gothic" w:cs="Arial"/>
          <w:color w:val="000000" w:themeColor="text1"/>
        </w:rPr>
      </w:pPr>
      <w:r w:rsidRPr="00E901B0">
        <w:rPr>
          <w:rFonts w:ascii="Century Gothic" w:eastAsia="Calibri" w:hAnsi="Century Gothic" w:cs="Arial"/>
          <w:color w:val="000000" w:themeColor="text1"/>
        </w:rPr>
        <w:t xml:space="preserve">Asimismo, el Consejo de Estado consideró que el literal a) del artículo 2, al establecer que los programas y actividades de interés público deben buscar la promoción de los derechos de personas en situaciones de debilidad manifiesta o </w:t>
      </w:r>
      <w:r w:rsidRPr="00E901B0">
        <w:rPr>
          <w:rFonts w:ascii="Century Gothic" w:eastAsia="Calibri" w:hAnsi="Century Gothic" w:cs="Arial"/>
          <w:color w:val="000000" w:themeColor="text1"/>
        </w:rPr>
        <w:lastRenderedPageBreak/>
        <w:t xml:space="preserve">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4C365BBD" w14:textId="77777777" w:rsidR="00B72B79" w:rsidRPr="00E901B0" w:rsidRDefault="00B72B79" w:rsidP="00B72B79">
      <w:pPr>
        <w:spacing w:after="0" w:line="276" w:lineRule="auto"/>
        <w:jc w:val="both"/>
        <w:rPr>
          <w:rFonts w:ascii="Century Gothic" w:eastAsia="Calibri" w:hAnsi="Century Gothic" w:cs="Arial"/>
          <w:color w:val="000000" w:themeColor="text1"/>
        </w:rPr>
      </w:pPr>
    </w:p>
    <w:p w14:paraId="5C6A373A" w14:textId="77777777" w:rsidR="00B72B79" w:rsidRPr="008112CD" w:rsidRDefault="00B72B79" w:rsidP="00B72B79">
      <w:pPr>
        <w:tabs>
          <w:tab w:val="left" w:pos="8080"/>
        </w:tabs>
        <w:spacing w:after="0" w:line="240" w:lineRule="auto"/>
        <w:ind w:left="709" w:right="709"/>
        <w:jc w:val="both"/>
        <w:rPr>
          <w:rFonts w:ascii="Century Gothic" w:eastAsia="Calibri" w:hAnsi="Century Gothic" w:cs="Arial"/>
          <w:color w:val="000000" w:themeColor="text1"/>
          <w:sz w:val="20"/>
          <w:szCs w:val="20"/>
        </w:rPr>
      </w:pPr>
      <w:r w:rsidRPr="008112CD">
        <w:rPr>
          <w:rFonts w:ascii="Century Gothic" w:eastAsia="Calibri" w:hAnsi="Century Gothic" w:cs="Arial"/>
          <w:color w:val="000000" w:themeColor="text1"/>
          <w:sz w:val="20"/>
          <w:szCs w:val="20"/>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71D5968A" w14:textId="77777777" w:rsidR="00B72B79" w:rsidRPr="00E901B0" w:rsidRDefault="00B72B79" w:rsidP="00B72B79">
      <w:pPr>
        <w:spacing w:after="0" w:line="276" w:lineRule="auto"/>
        <w:jc w:val="both"/>
        <w:rPr>
          <w:rFonts w:ascii="Century Gothic" w:eastAsia="Calibri" w:hAnsi="Century Gothic" w:cs="Arial"/>
          <w:color w:val="000000" w:themeColor="text1"/>
        </w:rPr>
      </w:pPr>
      <w:r w:rsidRPr="00E901B0">
        <w:rPr>
          <w:rFonts w:ascii="Century Gothic" w:eastAsia="Calibri" w:hAnsi="Century Gothic" w:cs="Arial"/>
          <w:color w:val="000000" w:themeColor="text1"/>
        </w:rPr>
        <w:t xml:space="preserve"> </w:t>
      </w:r>
    </w:p>
    <w:p w14:paraId="29FD309C" w14:textId="77777777" w:rsidR="00B72B79" w:rsidRPr="00E901B0" w:rsidRDefault="00B72B79" w:rsidP="00B72B79">
      <w:pPr>
        <w:spacing w:after="0" w:line="276" w:lineRule="auto"/>
        <w:ind w:firstLine="709"/>
        <w:jc w:val="both"/>
        <w:rPr>
          <w:rFonts w:ascii="Century Gothic" w:eastAsia="Calibri" w:hAnsi="Century Gothic" w:cs="Arial"/>
          <w:color w:val="000000" w:themeColor="text1"/>
        </w:rPr>
      </w:pPr>
      <w:bookmarkStart w:id="10" w:name="_Hlk95756534"/>
      <w:r w:rsidRPr="00E901B0">
        <w:rPr>
          <w:rFonts w:ascii="Century Gothic" w:eastAsia="Calibri" w:hAnsi="Century Gothic" w:cs="Arial"/>
          <w:color w:val="000000" w:themeColor="text1"/>
        </w:rPr>
        <w:t>Así las cosas,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bookmarkEnd w:id="10"/>
    <w:p w14:paraId="713E898A" w14:textId="77777777" w:rsidR="00B72B79" w:rsidRPr="00E901B0" w:rsidRDefault="00B72B79" w:rsidP="00B72B79">
      <w:pPr>
        <w:spacing w:after="0" w:line="276" w:lineRule="auto"/>
        <w:jc w:val="center"/>
        <w:textAlignment w:val="baseline"/>
        <w:rPr>
          <w:rFonts w:ascii="Century Gothic" w:eastAsia="Calibri" w:hAnsi="Century Gothic" w:cs="Arial"/>
          <w:lang w:val="es-ES_tradnl" w:eastAsia="es-ES_tradnl"/>
        </w:rPr>
      </w:pPr>
    </w:p>
    <w:p w14:paraId="072F6E2B" w14:textId="77777777" w:rsidR="00B72B79" w:rsidRPr="00E901B0" w:rsidRDefault="00B72B79" w:rsidP="00B72B79">
      <w:pPr>
        <w:spacing w:after="0" w:line="276" w:lineRule="auto"/>
        <w:jc w:val="both"/>
        <w:rPr>
          <w:rFonts w:ascii="Century Gothic" w:eastAsia="Century Gothic" w:hAnsi="Century Gothic" w:cs="Century Gothic"/>
          <w:b/>
          <w:bCs/>
          <w:lang w:val="es-ES" w:eastAsia="es-ES_tradnl"/>
        </w:rPr>
      </w:pPr>
      <w:r w:rsidRPr="00E901B0">
        <w:rPr>
          <w:rFonts w:ascii="Century Gothic" w:eastAsia="Century Gothic" w:hAnsi="Century Gothic" w:cs="Century Gothic"/>
          <w:b/>
          <w:bCs/>
          <w:lang w:val="es-ES" w:eastAsia="es-ES_tradnl"/>
        </w:rPr>
        <w:t>3. Respuesta</w:t>
      </w:r>
    </w:p>
    <w:p w14:paraId="41A224FD" w14:textId="77777777" w:rsidR="00B72B79" w:rsidRPr="00E901B0" w:rsidRDefault="00B72B79" w:rsidP="00B72B79">
      <w:pPr>
        <w:spacing w:after="0" w:line="276" w:lineRule="auto"/>
        <w:jc w:val="both"/>
        <w:rPr>
          <w:rFonts w:ascii="Century Gothic" w:eastAsia="Century Gothic" w:hAnsi="Century Gothic" w:cs="Century Gothic"/>
          <w:lang w:val="es-ES" w:eastAsia="es-ES_tradnl"/>
        </w:rPr>
      </w:pPr>
    </w:p>
    <w:p w14:paraId="0471CEB0" w14:textId="77777777" w:rsidR="00B72B79" w:rsidRPr="00E901B0" w:rsidRDefault="00B72B79" w:rsidP="00B72B79">
      <w:pPr>
        <w:spacing w:after="0" w:line="240" w:lineRule="auto"/>
        <w:ind w:left="709" w:right="709"/>
        <w:jc w:val="both"/>
        <w:rPr>
          <w:rFonts w:ascii="Century Gothic" w:eastAsia="Times New Roman" w:hAnsi="Century Gothic" w:cs="Times New Roman"/>
          <w:sz w:val="20"/>
          <w:szCs w:val="20"/>
          <w:lang w:eastAsia="es-ES_tradnl"/>
        </w:rPr>
      </w:pPr>
      <w:r w:rsidRPr="00E901B0">
        <w:rPr>
          <w:rFonts w:ascii="Century Gothic" w:eastAsia="Century Gothic" w:hAnsi="Century Gothic" w:cs="Century Gothic"/>
          <w:sz w:val="20"/>
          <w:szCs w:val="20"/>
          <w:lang w:eastAsia="es-ES_tradnl"/>
        </w:rPr>
        <w:t>“</w:t>
      </w:r>
      <w:r w:rsidRPr="00E901B0">
        <w:rPr>
          <w:rFonts w:ascii="Century Gothic" w:eastAsia="Times New Roman" w:hAnsi="Century Gothic" w:cs="Times New Roman"/>
          <w:sz w:val="20"/>
          <w:szCs w:val="20"/>
          <w:lang w:eastAsia="es-ES_tradnl"/>
        </w:rPr>
        <w:t>¿Es legalmente factible realizar contrataciones públicas bajo el amparo del Decreto 092 de 2017 en el caso de que el Plan de Desarrollo Municipal aún no haya sido aprobado? Además, ¿es posible utilizar los planes de desarrollo municipales anteriores para respaldar los procesos de contratación en los municipios?</w:t>
      </w:r>
      <w:r w:rsidRPr="00E901B0">
        <w:rPr>
          <w:rFonts w:ascii="Century Gothic" w:eastAsia="Century Gothic" w:hAnsi="Century Gothic" w:cs="Century Gothic"/>
          <w:sz w:val="20"/>
          <w:szCs w:val="20"/>
          <w:lang w:eastAsia="es-ES_tradnl"/>
        </w:rPr>
        <w:t>” (SIC).</w:t>
      </w:r>
    </w:p>
    <w:p w14:paraId="1D12E213" w14:textId="77777777" w:rsidR="00B72B79" w:rsidRPr="00E901B0" w:rsidRDefault="00B72B79" w:rsidP="00B72B79">
      <w:pPr>
        <w:spacing w:after="0" w:line="276" w:lineRule="auto"/>
        <w:ind w:right="709"/>
        <w:jc w:val="both"/>
        <w:rPr>
          <w:rFonts w:ascii="Century Gothic" w:eastAsia="Century Gothic" w:hAnsi="Century Gothic" w:cs="Century Gothic"/>
          <w:lang w:eastAsia="es-ES_tradnl"/>
        </w:rPr>
      </w:pPr>
    </w:p>
    <w:p w14:paraId="0C25AE02" w14:textId="17FE82E9" w:rsidR="00B72B79" w:rsidRPr="00E901B0" w:rsidRDefault="00B72B79" w:rsidP="007D6F48">
      <w:pPr>
        <w:spacing w:after="0" w:line="276" w:lineRule="auto"/>
        <w:jc w:val="both"/>
        <w:textAlignment w:val="baseline"/>
        <w:rPr>
          <w:rFonts w:ascii="Century Gothic" w:eastAsia="Calibri" w:hAnsi="Century Gothic" w:cs="Arial"/>
          <w:lang w:val="es-ES_tradnl" w:eastAsia="es-ES_tradnl"/>
        </w:rPr>
      </w:pPr>
      <w:r>
        <w:rPr>
          <w:rFonts w:ascii="Century Gothic" w:eastAsia="Calibri" w:hAnsi="Century Gothic" w:cs="Arial"/>
          <w:lang w:val="es-ES_tradnl" w:eastAsia="es-ES_tradnl"/>
        </w:rPr>
        <w:t>De</w:t>
      </w:r>
      <w:r w:rsidR="000D0E5F">
        <w:rPr>
          <w:rFonts w:ascii="Century Gothic" w:eastAsia="Calibri" w:hAnsi="Century Gothic" w:cs="Arial"/>
          <w:lang w:val="es-ES_tradnl" w:eastAsia="es-ES_tradnl"/>
        </w:rPr>
        <w:t xml:space="preserve"> acuerdo con </w:t>
      </w:r>
      <w:r>
        <w:rPr>
          <w:rFonts w:ascii="Century Gothic" w:eastAsia="Calibri" w:hAnsi="Century Gothic" w:cs="Arial"/>
          <w:lang w:val="es-ES_tradnl" w:eastAsia="es-ES_tradnl"/>
        </w:rPr>
        <w:t>lo expuesto</w:t>
      </w:r>
      <w:r w:rsidRPr="00E901B0">
        <w:rPr>
          <w:rFonts w:ascii="Century Gothic" w:eastAsia="Calibri" w:hAnsi="Century Gothic" w:cs="Arial"/>
          <w:lang w:val="es-ES_tradnl" w:eastAsia="es-ES_tradnl"/>
        </w:rPr>
        <w:t xml:space="preserve">, se concluye que, el constituyente previó como requisito para la suscripción de los contratos de interés público </w:t>
      </w:r>
      <w:r>
        <w:rPr>
          <w:rFonts w:ascii="Century Gothic" w:eastAsia="Calibri" w:hAnsi="Century Gothic" w:cs="Arial"/>
          <w:lang w:val="es-ES_tradnl" w:eastAsia="es-ES_tradnl"/>
        </w:rPr>
        <w:t xml:space="preserve">de que trata el artículo 355 de la Constitución Política </w:t>
      </w:r>
      <w:r w:rsidRPr="00E901B0">
        <w:rPr>
          <w:rFonts w:ascii="Century Gothic" w:eastAsia="Calibri" w:hAnsi="Century Gothic" w:cs="Arial"/>
          <w:lang w:val="es-ES_tradnl" w:eastAsia="es-ES_tradnl"/>
        </w:rPr>
        <w:t>que los programas o actividades que se pretendan promover por esa vía aparezcan incluidos en el plan de desarrollo respectivo y, por lo tanto, que resulten coherentes con</w:t>
      </w:r>
      <w:r>
        <w:rPr>
          <w:rFonts w:ascii="Century Gothic" w:eastAsia="Calibri" w:hAnsi="Century Gothic" w:cs="Arial"/>
          <w:lang w:val="es-ES_tradnl" w:eastAsia="es-ES_tradnl"/>
        </w:rPr>
        <w:t xml:space="preserve"> </w:t>
      </w:r>
      <w:r w:rsidRPr="00E901B0">
        <w:rPr>
          <w:rFonts w:ascii="Century Gothic" w:eastAsia="Calibri" w:hAnsi="Century Gothic" w:cs="Arial"/>
          <w:lang w:val="es-ES_tradnl" w:eastAsia="es-ES_tradnl"/>
        </w:rPr>
        <w:t>dicho instrumento de planeación. En ese sentido, a juicio de esta Agencia</w:t>
      </w:r>
      <w:r>
        <w:rPr>
          <w:rFonts w:ascii="Century Gothic" w:eastAsia="Calibri" w:hAnsi="Century Gothic" w:cs="Arial"/>
          <w:lang w:val="es-ES_tradnl" w:eastAsia="es-ES_tradnl"/>
        </w:rPr>
        <w:t>,</w:t>
      </w:r>
      <w:r w:rsidRPr="00E901B0">
        <w:rPr>
          <w:rFonts w:ascii="Century Gothic" w:eastAsia="Calibri" w:hAnsi="Century Gothic" w:cs="Arial"/>
          <w:lang w:val="es-ES_tradnl" w:eastAsia="es-ES_tradnl"/>
        </w:rPr>
        <w:t xml:space="preserve"> los convenios </w:t>
      </w:r>
      <w:r>
        <w:rPr>
          <w:rFonts w:ascii="Century Gothic" w:eastAsia="Calibri" w:hAnsi="Century Gothic" w:cs="Arial"/>
          <w:lang w:val="es-ES_tradnl" w:eastAsia="es-ES_tradnl"/>
        </w:rPr>
        <w:t>de colaboración</w:t>
      </w:r>
      <w:r w:rsidRPr="00E901B0">
        <w:rPr>
          <w:rFonts w:ascii="Century Gothic" w:eastAsia="Calibri" w:hAnsi="Century Gothic" w:cs="Arial"/>
          <w:lang w:val="es-ES_tradnl" w:eastAsia="es-ES_tradnl"/>
        </w:rPr>
        <w:t xml:space="preserve"> deberán tener por objeto actividades relacionados con </w:t>
      </w:r>
      <w:r>
        <w:rPr>
          <w:rFonts w:ascii="Century Gothic" w:eastAsia="Calibri" w:hAnsi="Century Gothic" w:cs="Arial"/>
          <w:lang w:val="es-ES_tradnl" w:eastAsia="es-ES_tradnl"/>
        </w:rPr>
        <w:t>p</w:t>
      </w:r>
      <w:r w:rsidRPr="00E901B0">
        <w:rPr>
          <w:rFonts w:ascii="Century Gothic" w:eastAsia="Calibri" w:hAnsi="Century Gothic" w:cs="Arial"/>
          <w:lang w:val="es-ES_tradnl" w:eastAsia="es-ES_tradnl"/>
        </w:rPr>
        <w:t xml:space="preserve">lanes de </w:t>
      </w:r>
      <w:r>
        <w:rPr>
          <w:rFonts w:ascii="Century Gothic" w:eastAsia="Calibri" w:hAnsi="Century Gothic" w:cs="Arial"/>
          <w:lang w:val="es-ES_tradnl" w:eastAsia="es-ES_tradnl"/>
        </w:rPr>
        <w:t>d</w:t>
      </w:r>
      <w:r w:rsidRPr="00E901B0">
        <w:rPr>
          <w:rFonts w:ascii="Century Gothic" w:eastAsia="Calibri" w:hAnsi="Century Gothic" w:cs="Arial"/>
          <w:lang w:val="es-ES_tradnl" w:eastAsia="es-ES_tradnl"/>
        </w:rPr>
        <w:t xml:space="preserve">esarrollo vigentes para el momento de celebración del contrato, </w:t>
      </w:r>
      <w:r>
        <w:rPr>
          <w:rFonts w:ascii="Century Gothic" w:eastAsia="Calibri" w:hAnsi="Century Gothic" w:cs="Arial"/>
          <w:lang w:val="es-ES_tradnl" w:eastAsia="es-ES_tradnl"/>
        </w:rPr>
        <w:t xml:space="preserve">es decir, que ya </w:t>
      </w:r>
      <w:r>
        <w:rPr>
          <w:rFonts w:ascii="Century Gothic" w:eastAsia="Calibri" w:hAnsi="Century Gothic" w:cs="Arial"/>
          <w:lang w:val="es-ES_tradnl" w:eastAsia="es-ES_tradnl"/>
        </w:rPr>
        <w:lastRenderedPageBreak/>
        <w:t xml:space="preserve">hayan surtido todo el procedimiento establecido en el ordenamiento jurídico. </w:t>
      </w:r>
      <w:r>
        <w:rPr>
          <w:rFonts w:ascii="Century Gothic" w:eastAsia="Calibri" w:hAnsi="Century Gothic" w:cs="Arial"/>
          <w:i/>
          <w:iCs/>
          <w:lang w:val="es-ES_tradnl" w:eastAsia="es-ES_tradnl"/>
        </w:rPr>
        <w:t>C</w:t>
      </w:r>
      <w:r w:rsidRPr="008D55B6">
        <w:rPr>
          <w:rFonts w:ascii="Century Gothic" w:eastAsia="Calibri" w:hAnsi="Century Gothic" w:cs="Arial"/>
          <w:i/>
          <w:iCs/>
          <w:lang w:val="es-ES_tradnl" w:eastAsia="es-ES_tradnl"/>
        </w:rPr>
        <w:t>ontrario sensu</w:t>
      </w:r>
      <w:r>
        <w:rPr>
          <w:rFonts w:ascii="Century Gothic" w:eastAsia="Calibri" w:hAnsi="Century Gothic" w:cs="Arial"/>
          <w:lang w:val="es-ES_tradnl" w:eastAsia="es-ES_tradnl"/>
        </w:rPr>
        <w:t>, no podrán celebrarse convenios relacionados con actividades que constan en los</w:t>
      </w:r>
      <w:r w:rsidRPr="00E901B0">
        <w:rPr>
          <w:rFonts w:ascii="Century Gothic" w:eastAsia="Calibri" w:hAnsi="Century Gothic" w:cs="Arial"/>
          <w:lang w:val="es-ES_tradnl" w:eastAsia="es-ES_tradnl"/>
        </w:rPr>
        <w:t xml:space="preserve"> proyectos de planes de desarrollo que se encuentren en trámite de aprobación</w:t>
      </w:r>
      <w:r>
        <w:rPr>
          <w:rFonts w:ascii="Century Gothic" w:eastAsia="Calibri" w:hAnsi="Century Gothic" w:cs="Arial"/>
          <w:lang w:val="es-ES_tradnl" w:eastAsia="es-ES_tradnl"/>
        </w:rPr>
        <w:t xml:space="preserve">. </w:t>
      </w:r>
    </w:p>
    <w:p w14:paraId="66BE5BF4" w14:textId="77777777" w:rsidR="00B72B79" w:rsidRPr="00E901B0" w:rsidRDefault="00B72B79" w:rsidP="00B72B79">
      <w:pPr>
        <w:spacing w:after="0" w:line="276" w:lineRule="auto"/>
        <w:jc w:val="both"/>
        <w:rPr>
          <w:rFonts w:ascii="Century Gothic" w:eastAsia="Century Gothic" w:hAnsi="Century Gothic" w:cs="Century Gothic"/>
          <w:lang w:eastAsia="es-ES_tradnl"/>
        </w:rPr>
      </w:pPr>
    </w:p>
    <w:p w14:paraId="2FDA9D8F" w14:textId="77777777" w:rsidR="00B72B79" w:rsidRPr="00E901B0" w:rsidRDefault="00B72B79" w:rsidP="00B72B79">
      <w:pPr>
        <w:spacing w:after="0" w:line="276" w:lineRule="auto"/>
        <w:jc w:val="both"/>
        <w:rPr>
          <w:rFonts w:ascii="Century Gothic" w:eastAsia="Century Gothic" w:hAnsi="Century Gothic" w:cs="Century Gothic"/>
          <w:lang w:val="es-ES" w:eastAsia="es-ES_tradnl"/>
        </w:rPr>
      </w:pPr>
      <w:r w:rsidRPr="00E901B0">
        <w:rPr>
          <w:rFonts w:ascii="Century Gothic" w:eastAsia="Century Gothic" w:hAnsi="Century Gothic" w:cs="Century Gothic"/>
          <w:lang w:val="es-ES"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0DB471F" w14:textId="77777777" w:rsidR="00B72B79" w:rsidRPr="00E901B0" w:rsidRDefault="00B72B79" w:rsidP="00B72B79">
      <w:pPr>
        <w:spacing w:after="0" w:line="276" w:lineRule="auto"/>
        <w:jc w:val="both"/>
        <w:rPr>
          <w:rFonts w:ascii="Century Gothic" w:eastAsia="Century Gothic" w:hAnsi="Century Gothic" w:cs="Century Gothic"/>
          <w:lang w:val="es-ES" w:eastAsia="es-CO"/>
        </w:rPr>
      </w:pPr>
    </w:p>
    <w:p w14:paraId="274457BD" w14:textId="77777777" w:rsidR="00B72B79" w:rsidRPr="00E901B0" w:rsidRDefault="00B72B79" w:rsidP="00B72B79">
      <w:pPr>
        <w:spacing w:after="0" w:line="276" w:lineRule="auto"/>
        <w:jc w:val="both"/>
        <w:rPr>
          <w:rFonts w:ascii="Century Gothic" w:eastAsia="Century Gothic" w:hAnsi="Century Gothic" w:cs="Century Gothic"/>
          <w:lang w:val="es-ES" w:eastAsia="es-CO"/>
        </w:rPr>
      </w:pPr>
      <w:r w:rsidRPr="00E901B0">
        <w:rPr>
          <w:rFonts w:ascii="Century Gothic" w:eastAsia="Century Gothic" w:hAnsi="Century Gothic" w:cs="Century Gothic"/>
          <w:lang w:val="es-ES" w:eastAsia="es-CO"/>
        </w:rPr>
        <w:t>Atentamente,</w:t>
      </w:r>
    </w:p>
    <w:bookmarkEnd w:id="3"/>
    <w:p w14:paraId="46A01542" w14:textId="26CF1F6E" w:rsidR="00B72B79" w:rsidRPr="009873D0" w:rsidRDefault="00925F39" w:rsidP="00B72B79">
      <w:pPr>
        <w:spacing w:line="276" w:lineRule="auto"/>
        <w:jc w:val="center"/>
        <w:rPr>
          <w:rFonts w:ascii="Century Gothic" w:hAnsi="Century Gothic" w:cs="Arial"/>
          <w:color w:val="000000"/>
          <w:lang w:val="es-ES_tradnl" w:eastAsia="es-CO"/>
        </w:rPr>
      </w:pPr>
      <w:r w:rsidRPr="004D5C25">
        <w:rPr>
          <w:rFonts w:ascii="Century Gothic" w:hAnsi="Century Gothic"/>
          <w:noProof/>
        </w:rPr>
        <w:drawing>
          <wp:inline distT="0" distB="0" distL="0" distR="0" wp14:anchorId="72F581A5" wp14:editId="75031DE1">
            <wp:extent cx="3704136" cy="1169581"/>
            <wp:effectExtent l="0" t="0" r="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rotWithShape="1">
                    <a:blip r:embed="rId11"/>
                    <a:srcRect t="14705" b="11745"/>
                    <a:stretch/>
                  </pic:blipFill>
                  <pic:spPr bwMode="auto">
                    <a:xfrm>
                      <a:off x="0" y="0"/>
                      <a:ext cx="3705742" cy="117008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6602"/>
      </w:tblGrid>
      <w:tr w:rsidR="00B72B79" w:rsidRPr="009873D0" w14:paraId="7E5C43CC" w14:textId="77777777" w:rsidTr="0044122F">
        <w:trPr>
          <w:trHeight w:val="315"/>
        </w:trPr>
        <w:tc>
          <w:tcPr>
            <w:tcW w:w="855" w:type="dxa"/>
            <w:vAlign w:val="center"/>
            <w:hideMark/>
          </w:tcPr>
          <w:p w14:paraId="065C6CE8" w14:textId="77777777" w:rsidR="00B72B79" w:rsidRPr="009873D0" w:rsidRDefault="00B72B79" w:rsidP="0044122F">
            <w:pPr>
              <w:contextualSpacing/>
              <w:rPr>
                <w:rFonts w:ascii="Century Gothic" w:hAnsi="Century Gothic" w:cs="Arial"/>
                <w:sz w:val="16"/>
                <w:szCs w:val="16"/>
                <w:lang w:val="es-ES" w:eastAsia="es-ES"/>
              </w:rPr>
            </w:pPr>
            <w:r w:rsidRPr="009873D0">
              <w:rPr>
                <w:rFonts w:ascii="Century Gothic" w:hAnsi="Century Gothic" w:cs="Arial"/>
                <w:sz w:val="16"/>
                <w:szCs w:val="16"/>
                <w:lang w:val="es-ES" w:eastAsia="es-ES"/>
              </w:rPr>
              <w:t>Elaboró:</w:t>
            </w:r>
          </w:p>
        </w:tc>
        <w:tc>
          <w:tcPr>
            <w:tcW w:w="6602" w:type="dxa"/>
            <w:tcBorders>
              <w:top w:val="nil"/>
              <w:left w:val="nil"/>
              <w:bottom w:val="dotted" w:sz="4" w:space="0" w:color="7F7F7F" w:themeColor="text1" w:themeTint="80"/>
              <w:right w:val="nil"/>
            </w:tcBorders>
            <w:vAlign w:val="center"/>
            <w:hideMark/>
          </w:tcPr>
          <w:p w14:paraId="22CAB149" w14:textId="77777777" w:rsidR="00B72B79" w:rsidRPr="009873D0" w:rsidRDefault="00B72B79" w:rsidP="0044122F">
            <w:pPr>
              <w:contextualSpacing/>
              <w:rPr>
                <w:rFonts w:ascii="Century Gothic" w:eastAsia="Arial" w:hAnsi="Century Gothic" w:cs="Arial"/>
                <w:sz w:val="16"/>
                <w:szCs w:val="16"/>
              </w:rPr>
            </w:pPr>
            <w:r w:rsidRPr="009873D0">
              <w:rPr>
                <w:rStyle w:val="normaltextrun"/>
                <w:rFonts w:ascii="Century Gothic" w:eastAsia="Arial" w:hAnsi="Century Gothic" w:cs="Arial"/>
                <w:sz w:val="16"/>
                <w:szCs w:val="16"/>
              </w:rPr>
              <w:t>Diana Lucia Saavedra Castañeda</w:t>
            </w:r>
          </w:p>
          <w:p w14:paraId="55000F6A" w14:textId="77777777" w:rsidR="00B72B79" w:rsidRPr="009873D0" w:rsidRDefault="00B72B79" w:rsidP="0044122F">
            <w:pPr>
              <w:contextualSpacing/>
              <w:rPr>
                <w:rFonts w:ascii="Century Gothic" w:eastAsia="Arial" w:hAnsi="Century Gothic" w:cs="Arial"/>
                <w:sz w:val="16"/>
                <w:szCs w:val="16"/>
              </w:rPr>
            </w:pPr>
            <w:r w:rsidRPr="009873D0">
              <w:rPr>
                <w:rStyle w:val="normaltextrun"/>
                <w:rFonts w:ascii="Century Gothic" w:eastAsia="Arial" w:hAnsi="Century Gothic" w:cs="Arial"/>
                <w:sz w:val="16"/>
                <w:szCs w:val="16"/>
              </w:rPr>
              <w:t>Contratista de la Subdirección de Gestión Contractual</w:t>
            </w:r>
          </w:p>
        </w:tc>
      </w:tr>
      <w:tr w:rsidR="00B72B79" w:rsidRPr="009873D0" w14:paraId="500FDAFC" w14:textId="77777777" w:rsidTr="0044122F">
        <w:trPr>
          <w:trHeight w:val="330"/>
        </w:trPr>
        <w:tc>
          <w:tcPr>
            <w:tcW w:w="855" w:type="dxa"/>
            <w:vAlign w:val="center"/>
            <w:hideMark/>
          </w:tcPr>
          <w:p w14:paraId="34A1F7B3" w14:textId="77777777" w:rsidR="00B72B79" w:rsidRPr="009873D0" w:rsidRDefault="00B72B79" w:rsidP="0044122F">
            <w:pPr>
              <w:contextualSpacing/>
              <w:rPr>
                <w:rFonts w:ascii="Century Gothic" w:hAnsi="Century Gothic" w:cs="Arial"/>
                <w:sz w:val="16"/>
                <w:szCs w:val="16"/>
                <w:lang w:val="es-ES" w:eastAsia="es-ES"/>
              </w:rPr>
            </w:pPr>
            <w:r w:rsidRPr="009873D0">
              <w:rPr>
                <w:rFonts w:ascii="Century Gothic" w:hAnsi="Century Gothic" w:cs="Arial"/>
                <w:sz w:val="16"/>
                <w:szCs w:val="16"/>
                <w:lang w:val="es-ES" w:eastAsia="es-ES"/>
              </w:rPr>
              <w:t>Revisó:</w:t>
            </w:r>
          </w:p>
        </w:tc>
        <w:tc>
          <w:tcPr>
            <w:tcW w:w="6602" w:type="dxa"/>
            <w:tcBorders>
              <w:top w:val="dotted" w:sz="4" w:space="0" w:color="7F7F7F" w:themeColor="text1" w:themeTint="80"/>
              <w:left w:val="nil"/>
              <w:bottom w:val="dotted" w:sz="4" w:space="0" w:color="7F7F7F" w:themeColor="text1" w:themeTint="80"/>
              <w:right w:val="nil"/>
            </w:tcBorders>
            <w:vAlign w:val="center"/>
            <w:hideMark/>
          </w:tcPr>
          <w:p w14:paraId="44A85AFB" w14:textId="77777777" w:rsidR="00B72B79" w:rsidRPr="009873D0" w:rsidRDefault="00B72B79" w:rsidP="0044122F">
            <w:pPr>
              <w:pStyle w:val="paragraph"/>
              <w:spacing w:before="0" w:beforeAutospacing="0" w:after="0" w:afterAutospacing="0"/>
              <w:contextualSpacing/>
              <w:textAlignment w:val="baseline"/>
              <w:rPr>
                <w:rFonts w:ascii="Century Gothic" w:hAnsi="Century Gothic" w:cs="Segoe UI"/>
                <w:sz w:val="16"/>
                <w:szCs w:val="16"/>
              </w:rPr>
            </w:pPr>
            <w:r w:rsidRPr="009873D0">
              <w:rPr>
                <w:rStyle w:val="normaltextrun"/>
                <w:rFonts w:ascii="Century Gothic" w:hAnsi="Century Gothic" w:cs="Arial"/>
                <w:sz w:val="16"/>
                <w:szCs w:val="16"/>
                <w:lang w:val="es-ES"/>
              </w:rPr>
              <w:t>Alejandro Raúl Sarmiento Cantillo</w:t>
            </w:r>
          </w:p>
          <w:p w14:paraId="09B71791" w14:textId="77777777" w:rsidR="00B72B79" w:rsidRPr="009873D0" w:rsidRDefault="00B72B79" w:rsidP="0044122F">
            <w:pPr>
              <w:pStyle w:val="paragraph"/>
              <w:spacing w:before="0" w:beforeAutospacing="0" w:after="0" w:afterAutospacing="0"/>
              <w:contextualSpacing/>
              <w:textAlignment w:val="baseline"/>
              <w:rPr>
                <w:rFonts w:ascii="Century Gothic" w:hAnsi="Century Gothic" w:cs="Segoe UI"/>
                <w:sz w:val="16"/>
                <w:szCs w:val="16"/>
              </w:rPr>
            </w:pPr>
            <w:r w:rsidRPr="009873D0">
              <w:rPr>
                <w:rStyle w:val="normaltextrun"/>
                <w:rFonts w:ascii="Century Gothic" w:hAnsi="Century Gothic" w:cs="Arial"/>
                <w:color w:val="000000"/>
                <w:sz w:val="16"/>
                <w:szCs w:val="16"/>
                <w:lang w:val="es-ES"/>
              </w:rPr>
              <w:t>Gestor T1-1</w:t>
            </w:r>
            <w:r>
              <w:rPr>
                <w:rStyle w:val="normaltextrun"/>
                <w:rFonts w:ascii="Century Gothic" w:hAnsi="Century Gothic" w:cs="Arial"/>
                <w:color w:val="000000"/>
                <w:sz w:val="16"/>
                <w:szCs w:val="16"/>
                <w:lang w:val="es-ES"/>
              </w:rPr>
              <w:t>5</w:t>
            </w:r>
            <w:r w:rsidRPr="009873D0">
              <w:rPr>
                <w:rStyle w:val="normaltextrun"/>
                <w:rFonts w:ascii="Century Gothic" w:hAnsi="Century Gothic" w:cs="Arial"/>
                <w:color w:val="000000"/>
                <w:sz w:val="16"/>
                <w:szCs w:val="16"/>
                <w:lang w:val="es-ES"/>
              </w:rPr>
              <w:t xml:space="preserve"> </w:t>
            </w:r>
            <w:r w:rsidRPr="009873D0">
              <w:rPr>
                <w:rStyle w:val="normaltextrun"/>
                <w:rFonts w:ascii="Century Gothic" w:hAnsi="Century Gothic" w:cs="Arial"/>
                <w:sz w:val="16"/>
                <w:szCs w:val="16"/>
                <w:lang w:val="es-ES"/>
              </w:rPr>
              <w:t>de la Subdirección de Gestión Contractual</w:t>
            </w:r>
            <w:r w:rsidRPr="009873D0">
              <w:rPr>
                <w:rStyle w:val="eop"/>
                <w:rFonts w:ascii="Century Gothic" w:hAnsi="Century Gothic" w:cs="Arial"/>
                <w:sz w:val="16"/>
                <w:szCs w:val="16"/>
              </w:rPr>
              <w:t> </w:t>
            </w:r>
          </w:p>
        </w:tc>
      </w:tr>
      <w:tr w:rsidR="00B72B79" w:rsidRPr="009873D0" w14:paraId="610E725B" w14:textId="77777777" w:rsidTr="0044122F">
        <w:trPr>
          <w:trHeight w:val="300"/>
        </w:trPr>
        <w:tc>
          <w:tcPr>
            <w:tcW w:w="855" w:type="dxa"/>
            <w:vAlign w:val="center"/>
          </w:tcPr>
          <w:p w14:paraId="0B50D010" w14:textId="77777777" w:rsidR="00B72B79" w:rsidRPr="009873D0" w:rsidRDefault="00B72B79" w:rsidP="0044122F">
            <w:pPr>
              <w:contextualSpacing/>
              <w:rPr>
                <w:rFonts w:ascii="Century Gothic" w:hAnsi="Century Gothic" w:cs="Arial"/>
                <w:sz w:val="16"/>
                <w:szCs w:val="16"/>
                <w:lang w:val="es-ES" w:eastAsia="es-ES"/>
              </w:rPr>
            </w:pPr>
            <w:r w:rsidRPr="009873D0">
              <w:rPr>
                <w:rFonts w:ascii="Century Gothic" w:hAnsi="Century Gothic" w:cs="Arial"/>
                <w:sz w:val="16"/>
                <w:szCs w:val="16"/>
                <w:lang w:val="es-ES" w:eastAsia="es-ES"/>
              </w:rPr>
              <w:t>Aprobó:</w:t>
            </w:r>
          </w:p>
        </w:tc>
        <w:tc>
          <w:tcPr>
            <w:tcW w:w="6602" w:type="dxa"/>
            <w:tcBorders>
              <w:top w:val="dotted" w:sz="4" w:space="0" w:color="7F7F7F" w:themeColor="text1" w:themeTint="80"/>
              <w:left w:val="nil"/>
              <w:bottom w:val="dotted" w:sz="4" w:space="0" w:color="7F7F7F" w:themeColor="text1" w:themeTint="80"/>
              <w:right w:val="nil"/>
            </w:tcBorders>
            <w:vAlign w:val="center"/>
          </w:tcPr>
          <w:p w14:paraId="364AB979" w14:textId="77777777" w:rsidR="00B72B79" w:rsidRPr="009873D0" w:rsidRDefault="00B72B79" w:rsidP="0044122F">
            <w:pPr>
              <w:contextualSpacing/>
              <w:rPr>
                <w:rFonts w:ascii="Century Gothic" w:eastAsia="Calibri" w:hAnsi="Century Gothic" w:cs="Arial"/>
                <w:sz w:val="16"/>
                <w:szCs w:val="16"/>
                <w:lang w:val="pt-BR" w:eastAsia="es-ES"/>
              </w:rPr>
            </w:pPr>
            <w:r w:rsidRPr="009873D0">
              <w:rPr>
                <w:rFonts w:ascii="Century Gothic" w:eastAsia="Calibri" w:hAnsi="Century Gothic" w:cs="Arial"/>
                <w:sz w:val="16"/>
                <w:szCs w:val="16"/>
                <w:lang w:val="pt-BR" w:eastAsia="es-ES"/>
              </w:rPr>
              <w:t xml:space="preserve">Carolina Quintero </w:t>
            </w:r>
            <w:proofErr w:type="spellStart"/>
            <w:r w:rsidRPr="009873D0">
              <w:rPr>
                <w:rFonts w:ascii="Century Gothic" w:eastAsia="Calibri" w:hAnsi="Century Gothic" w:cs="Arial"/>
                <w:sz w:val="16"/>
                <w:szCs w:val="16"/>
                <w:lang w:val="pt-BR" w:eastAsia="es-ES"/>
              </w:rPr>
              <w:t>Gacharná</w:t>
            </w:r>
            <w:proofErr w:type="spellEnd"/>
          </w:p>
          <w:p w14:paraId="6BBA319E" w14:textId="77777777" w:rsidR="00B72B79" w:rsidRPr="009873D0" w:rsidRDefault="00B72B79" w:rsidP="0044122F">
            <w:pPr>
              <w:contextualSpacing/>
              <w:rPr>
                <w:rFonts w:ascii="Century Gothic" w:eastAsia="Calibri" w:hAnsi="Century Gothic" w:cs="Arial"/>
                <w:sz w:val="16"/>
                <w:szCs w:val="16"/>
                <w:lang w:val="pt-BR" w:eastAsia="es-ES"/>
              </w:rPr>
            </w:pPr>
            <w:r w:rsidRPr="009873D0">
              <w:rPr>
                <w:rFonts w:ascii="Century Gothic" w:eastAsia="Calibri" w:hAnsi="Century Gothic" w:cs="Arial"/>
                <w:sz w:val="16"/>
                <w:szCs w:val="16"/>
                <w:lang w:eastAsia="es-ES"/>
              </w:rPr>
              <w:t>Subdirectora</w:t>
            </w:r>
            <w:r w:rsidRPr="009873D0">
              <w:rPr>
                <w:rFonts w:ascii="Century Gothic" w:eastAsia="Calibri" w:hAnsi="Century Gothic" w:cs="Arial"/>
                <w:sz w:val="16"/>
                <w:szCs w:val="16"/>
                <w:lang w:val="pt-BR" w:eastAsia="es-ES"/>
              </w:rPr>
              <w:t xml:space="preserve"> de Gestión Contractual ANCP – CCE</w:t>
            </w:r>
          </w:p>
        </w:tc>
      </w:tr>
    </w:tbl>
    <w:p w14:paraId="024605EC" w14:textId="77777777" w:rsidR="00B72B79" w:rsidRPr="000E66BA" w:rsidRDefault="00B72B79" w:rsidP="00B72B79">
      <w:pPr>
        <w:rPr>
          <w:rFonts w:ascii="Century Gothic" w:hAnsi="Century Gothic" w:cs="Arial"/>
          <w:lang w:eastAsia="es-ES"/>
        </w:rPr>
      </w:pPr>
    </w:p>
    <w:p w14:paraId="535DE1AF" w14:textId="77777777" w:rsidR="00B72B79" w:rsidRPr="00E901B0" w:rsidRDefault="00B72B79" w:rsidP="00B72B79">
      <w:pPr>
        <w:spacing w:after="0"/>
        <w:rPr>
          <w:rFonts w:ascii="Century Gothic" w:hAnsi="Century Gothic"/>
        </w:rPr>
      </w:pPr>
    </w:p>
    <w:p w14:paraId="7EBFAB6A" w14:textId="77777777" w:rsidR="005A6AA1" w:rsidRDefault="005A6AA1" w:rsidP="00400548">
      <w:pPr>
        <w:spacing w:after="0"/>
        <w:rPr>
          <w:rFonts w:ascii="Century Gothic" w:hAnsi="Century Gothic"/>
          <w:lang w:val="es-MX"/>
        </w:rPr>
      </w:pPr>
    </w:p>
    <w:sectPr w:rsidR="005A6AA1" w:rsidSect="004368BC">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3316C" w14:textId="77777777" w:rsidR="000349F6" w:rsidRDefault="000349F6" w:rsidP="004A1847">
      <w:pPr>
        <w:spacing w:after="0" w:line="240" w:lineRule="auto"/>
      </w:pPr>
      <w:r>
        <w:separator/>
      </w:r>
    </w:p>
  </w:endnote>
  <w:endnote w:type="continuationSeparator" w:id="0">
    <w:p w14:paraId="224A3D03" w14:textId="77777777" w:rsidR="000349F6" w:rsidRDefault="000349F6" w:rsidP="004A1847">
      <w:pPr>
        <w:spacing w:after="0" w:line="240" w:lineRule="auto"/>
      </w:pPr>
      <w:r>
        <w:continuationSeparator/>
      </w:r>
    </w:p>
  </w:endnote>
  <w:endnote w:type="continuationNotice" w:id="1">
    <w:p w14:paraId="20A6C1F0" w14:textId="77777777" w:rsidR="000349F6" w:rsidRDefault="00034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89B13" w14:textId="77777777" w:rsidR="000349F6" w:rsidRDefault="000349F6" w:rsidP="004A1847">
      <w:pPr>
        <w:spacing w:after="0" w:line="240" w:lineRule="auto"/>
      </w:pPr>
      <w:r>
        <w:separator/>
      </w:r>
    </w:p>
  </w:footnote>
  <w:footnote w:type="continuationSeparator" w:id="0">
    <w:p w14:paraId="05178045" w14:textId="77777777" w:rsidR="000349F6" w:rsidRDefault="000349F6" w:rsidP="004A1847">
      <w:pPr>
        <w:spacing w:after="0" w:line="240" w:lineRule="auto"/>
      </w:pPr>
      <w:r>
        <w:continuationSeparator/>
      </w:r>
    </w:p>
  </w:footnote>
  <w:footnote w:type="continuationNotice" w:id="1">
    <w:p w14:paraId="393A2DC9" w14:textId="77777777" w:rsidR="000349F6" w:rsidRDefault="000349F6">
      <w:pPr>
        <w:spacing w:after="0" w:line="240" w:lineRule="auto"/>
      </w:pPr>
    </w:p>
  </w:footnote>
  <w:footnote w:id="2">
    <w:p w14:paraId="369B1D89" w14:textId="77777777" w:rsidR="00B72B79" w:rsidRPr="001550A9" w:rsidRDefault="00B72B79" w:rsidP="00B72B79">
      <w:pPr>
        <w:pStyle w:val="Textonotapie"/>
        <w:ind w:firstLine="708"/>
        <w:jc w:val="both"/>
        <w:rPr>
          <w:rFonts w:ascii="Century Gothic" w:eastAsia="Calibri" w:hAnsi="Century Gothic" w:cs="Arial"/>
          <w:color w:val="000000" w:themeColor="text1"/>
          <w:sz w:val="18"/>
          <w:szCs w:val="18"/>
          <w:lang w:val="es-ES" w:eastAsia="es-ES_tradnl"/>
        </w:rPr>
      </w:pPr>
      <w:r w:rsidRPr="001550A9">
        <w:rPr>
          <w:rFonts w:ascii="Century Gothic" w:eastAsia="Calibri" w:hAnsi="Century Gothic" w:cs="Arial"/>
          <w:color w:val="000000" w:themeColor="text1"/>
          <w:sz w:val="18"/>
          <w:szCs w:val="18"/>
          <w:vertAlign w:val="superscript"/>
          <w:lang w:val="es-ES" w:eastAsia="es-ES_tradnl"/>
        </w:rPr>
        <w:footnoteRef/>
      </w:r>
      <w:r w:rsidRPr="001550A9">
        <w:rPr>
          <w:rFonts w:ascii="Century Gothic" w:eastAsia="Calibri" w:hAnsi="Century Gothic" w:cs="Arial"/>
          <w:color w:val="000000" w:themeColor="text1"/>
          <w:sz w:val="18"/>
          <w:szCs w:val="18"/>
          <w:lang w:val="es-ES" w:eastAsia="es-ES_tradnl"/>
        </w:rPr>
        <w:t xml:space="preserve"> La Agencia Nacional de Contratación Pública </w:t>
      </w:r>
      <w:r w:rsidRPr="001550A9">
        <w:rPr>
          <w:rFonts w:ascii="Arial" w:eastAsia="Calibri" w:hAnsi="Arial" w:cs="Arial"/>
          <w:color w:val="000000" w:themeColor="text1"/>
          <w:sz w:val="18"/>
          <w:szCs w:val="18"/>
          <w:lang w:val="es-ES" w:eastAsia="es-ES_tradnl"/>
        </w:rPr>
        <w:t>‒</w:t>
      </w:r>
      <w:r w:rsidRPr="001550A9">
        <w:rPr>
          <w:rFonts w:ascii="Century Gothic" w:eastAsia="Calibri" w:hAnsi="Century Gothic" w:cs="Arial"/>
          <w:color w:val="000000" w:themeColor="text1"/>
          <w:sz w:val="18"/>
          <w:szCs w:val="18"/>
          <w:lang w:val="es-ES" w:eastAsia="es-ES_tradnl"/>
        </w:rPr>
        <w:t xml:space="preserve"> Colombia Compra Eficiente fue creada por el Decreto Ley 4170 de 2011. Su objetivo es servir como ente rector de la pol</w:t>
      </w:r>
      <w:r w:rsidRPr="001550A9">
        <w:rPr>
          <w:rFonts w:ascii="Century Gothic" w:eastAsia="Calibri" w:hAnsi="Century Gothic" w:cs="Century Gothic"/>
          <w:color w:val="000000" w:themeColor="text1"/>
          <w:sz w:val="18"/>
          <w:szCs w:val="18"/>
          <w:lang w:val="es-ES" w:eastAsia="es-ES_tradnl"/>
        </w:rPr>
        <w:t>í</w:t>
      </w:r>
      <w:r w:rsidRPr="001550A9">
        <w:rPr>
          <w:rFonts w:ascii="Century Gothic" w:eastAsia="Calibri" w:hAnsi="Century Gothic" w:cs="Arial"/>
          <w:color w:val="000000" w:themeColor="text1"/>
          <w:sz w:val="18"/>
          <w:szCs w:val="18"/>
          <w:lang w:val="es-ES" w:eastAsia="es-ES_tradnl"/>
        </w:rPr>
        <w:t>tica de compras y contrataci</w:t>
      </w:r>
      <w:r w:rsidRPr="001550A9">
        <w:rPr>
          <w:rFonts w:ascii="Century Gothic" w:eastAsia="Calibri" w:hAnsi="Century Gothic" w:cs="Century Gothic"/>
          <w:color w:val="000000" w:themeColor="text1"/>
          <w:sz w:val="18"/>
          <w:szCs w:val="18"/>
          <w:lang w:val="es-ES" w:eastAsia="es-ES_tradnl"/>
        </w:rPr>
        <w:t>ó</w:t>
      </w:r>
      <w:r w:rsidRPr="001550A9">
        <w:rPr>
          <w:rFonts w:ascii="Century Gothic" w:eastAsia="Calibri" w:hAnsi="Century Gothic" w:cs="Arial"/>
          <w:color w:val="000000" w:themeColor="text1"/>
          <w:sz w:val="18"/>
          <w:szCs w:val="18"/>
          <w:lang w:val="es-ES" w:eastAsia="es-ES_tradnl"/>
        </w:rPr>
        <w:t xml:space="preserve">n del Estado. Para tales fines, como </w:t>
      </w:r>
      <w:r w:rsidRPr="001550A9">
        <w:rPr>
          <w:rFonts w:ascii="Century Gothic" w:eastAsia="Calibri" w:hAnsi="Century Gothic" w:cs="Century Gothic"/>
          <w:color w:val="000000" w:themeColor="text1"/>
          <w:sz w:val="18"/>
          <w:szCs w:val="18"/>
          <w:lang w:val="es-ES" w:eastAsia="es-ES_tradnl"/>
        </w:rPr>
        <w:t>ó</w:t>
      </w:r>
      <w:r w:rsidRPr="001550A9">
        <w:rPr>
          <w:rFonts w:ascii="Century Gothic" w:eastAsia="Calibri" w:hAnsi="Century Gothic" w:cs="Arial"/>
          <w:color w:val="000000" w:themeColor="text1"/>
          <w:sz w:val="18"/>
          <w:szCs w:val="18"/>
          <w:lang w:val="es-ES" w:eastAsia="es-ES_tradnl"/>
        </w:rPr>
        <w:t>rgano t</w:t>
      </w:r>
      <w:r w:rsidRPr="001550A9">
        <w:rPr>
          <w:rFonts w:ascii="Century Gothic" w:eastAsia="Calibri" w:hAnsi="Century Gothic" w:cs="Century Gothic"/>
          <w:color w:val="000000" w:themeColor="text1"/>
          <w:sz w:val="18"/>
          <w:szCs w:val="18"/>
          <w:lang w:val="es-ES" w:eastAsia="es-ES_tradnl"/>
        </w:rPr>
        <w:t>é</w:t>
      </w:r>
      <w:r w:rsidRPr="001550A9">
        <w:rPr>
          <w:rFonts w:ascii="Century Gothic" w:eastAsia="Calibri" w:hAnsi="Century Gothic" w:cs="Arial"/>
          <w:color w:val="000000" w:themeColor="text1"/>
          <w:sz w:val="18"/>
          <w:szCs w:val="18"/>
          <w:lang w:val="es-ES" w:eastAsia="es-ES_tradnl"/>
        </w:rPr>
        <w:t>cnico especializado, le corresponde formular pol</w:t>
      </w:r>
      <w:r w:rsidRPr="001550A9">
        <w:rPr>
          <w:rFonts w:ascii="Century Gothic" w:eastAsia="Calibri" w:hAnsi="Century Gothic" w:cs="Century Gothic"/>
          <w:color w:val="000000" w:themeColor="text1"/>
          <w:sz w:val="18"/>
          <w:szCs w:val="18"/>
          <w:lang w:val="es-ES" w:eastAsia="es-ES_tradnl"/>
        </w:rPr>
        <w:t>í</w:t>
      </w:r>
      <w:r w:rsidRPr="001550A9">
        <w:rPr>
          <w:rFonts w:ascii="Century Gothic" w:eastAsia="Calibri" w:hAnsi="Century Gothic" w:cs="Arial"/>
          <w:color w:val="000000" w:themeColor="text1"/>
          <w:sz w:val="18"/>
          <w:szCs w:val="18"/>
          <w:lang w:val="es-ES" w:eastAsia="es-ES_tradnl"/>
        </w:rPr>
        <w:t>ticas p</w:t>
      </w:r>
      <w:r w:rsidRPr="001550A9">
        <w:rPr>
          <w:rFonts w:ascii="Century Gothic" w:eastAsia="Calibri" w:hAnsi="Century Gothic" w:cs="Century Gothic"/>
          <w:color w:val="000000" w:themeColor="text1"/>
          <w:sz w:val="18"/>
          <w:szCs w:val="18"/>
          <w:lang w:val="es-ES" w:eastAsia="es-ES_tradnl"/>
        </w:rPr>
        <w:t>ú</w:t>
      </w:r>
      <w:r w:rsidRPr="001550A9">
        <w:rPr>
          <w:rFonts w:ascii="Century Gothic" w:eastAsia="Calibri" w:hAnsi="Century Gothic" w:cs="Arial"/>
          <w:color w:val="000000" w:themeColor="text1"/>
          <w:sz w:val="18"/>
          <w:szCs w:val="18"/>
          <w:lang w:val="es-ES" w:eastAsia="es-ES_tradnl"/>
        </w:rPr>
        <w:t>blicas y normas y unificar los procesos de contrataci</w:t>
      </w:r>
      <w:r w:rsidRPr="001550A9">
        <w:rPr>
          <w:rFonts w:ascii="Century Gothic" w:eastAsia="Calibri" w:hAnsi="Century Gothic" w:cs="Century Gothic"/>
          <w:color w:val="000000" w:themeColor="text1"/>
          <w:sz w:val="18"/>
          <w:szCs w:val="18"/>
          <w:lang w:val="es-ES" w:eastAsia="es-ES_tradnl"/>
        </w:rPr>
        <w:t>ó</w:t>
      </w:r>
      <w:r w:rsidRPr="001550A9">
        <w:rPr>
          <w:rFonts w:ascii="Century Gothic" w:eastAsia="Calibri" w:hAnsi="Century Gothic" w:cs="Arial"/>
          <w:color w:val="000000" w:themeColor="text1"/>
          <w:sz w:val="18"/>
          <w:szCs w:val="18"/>
          <w:lang w:val="es-ES" w:eastAsia="es-ES_tradnl"/>
        </w:rPr>
        <w:t>n estatal, con el fin de lograr una mayor eficiencia, transparencia y optimizaci</w:t>
      </w:r>
      <w:r w:rsidRPr="001550A9">
        <w:rPr>
          <w:rFonts w:ascii="Century Gothic" w:eastAsia="Calibri" w:hAnsi="Century Gothic" w:cs="Century Gothic"/>
          <w:color w:val="000000" w:themeColor="text1"/>
          <w:sz w:val="18"/>
          <w:szCs w:val="18"/>
          <w:lang w:val="es-ES" w:eastAsia="es-ES_tradnl"/>
        </w:rPr>
        <w:t>ó</w:t>
      </w:r>
      <w:r w:rsidRPr="001550A9">
        <w:rPr>
          <w:rFonts w:ascii="Century Gothic" w:eastAsia="Calibri" w:hAnsi="Century Gothic" w:cs="Arial"/>
          <w:color w:val="000000" w:themeColor="text1"/>
          <w:sz w:val="18"/>
          <w:szCs w:val="18"/>
          <w:lang w:val="es-ES" w:eastAsia="es-ES_tradnl"/>
        </w:rPr>
        <w:t>n de los recursos del Estado. El art</w:t>
      </w:r>
      <w:r w:rsidRPr="001550A9">
        <w:rPr>
          <w:rFonts w:ascii="Century Gothic" w:eastAsia="Calibri" w:hAnsi="Century Gothic" w:cs="Century Gothic"/>
          <w:color w:val="000000" w:themeColor="text1"/>
          <w:sz w:val="18"/>
          <w:szCs w:val="18"/>
          <w:lang w:val="es-ES" w:eastAsia="es-ES_tradnl"/>
        </w:rPr>
        <w:t>í</w:t>
      </w:r>
      <w:r w:rsidRPr="001550A9">
        <w:rPr>
          <w:rFonts w:ascii="Century Gothic" w:eastAsia="Calibri" w:hAnsi="Century Gothic" w:cs="Arial"/>
          <w:color w:val="000000" w:themeColor="text1"/>
          <w:sz w:val="18"/>
          <w:szCs w:val="18"/>
          <w:lang w:val="es-ES" w:eastAsia="es-ES_tradnl"/>
        </w:rPr>
        <w:t>culo 3 ibidem se</w:t>
      </w:r>
      <w:r w:rsidRPr="001550A9">
        <w:rPr>
          <w:rFonts w:ascii="Century Gothic" w:eastAsia="Calibri" w:hAnsi="Century Gothic" w:cs="Century Gothic"/>
          <w:color w:val="000000" w:themeColor="text1"/>
          <w:sz w:val="18"/>
          <w:szCs w:val="18"/>
          <w:lang w:val="es-ES" w:eastAsia="es-ES_tradnl"/>
        </w:rPr>
        <w:t>ñ</w:t>
      </w:r>
      <w:r w:rsidRPr="001550A9">
        <w:rPr>
          <w:rFonts w:ascii="Century Gothic" w:eastAsia="Calibri" w:hAnsi="Century Gothic" w:cs="Arial"/>
          <w:color w:val="000000" w:themeColor="text1"/>
          <w:sz w:val="18"/>
          <w:szCs w:val="18"/>
          <w:lang w:val="es-ES" w:eastAsia="es-ES_tradnl"/>
        </w:rPr>
        <w:t>ala, de manera precisa, las funciones de Colombia Compra Eficiente. Concretamente, el numeral 5º de este artículo establece que le corresponde a esta entidad: “[a]</w:t>
      </w:r>
      <w:proofErr w:type="spellStart"/>
      <w:r w:rsidRPr="001550A9">
        <w:rPr>
          <w:rFonts w:ascii="Century Gothic" w:eastAsia="Calibri" w:hAnsi="Century Gothic" w:cs="Arial"/>
          <w:color w:val="000000" w:themeColor="text1"/>
          <w:sz w:val="18"/>
          <w:szCs w:val="18"/>
          <w:lang w:val="es-ES" w:eastAsia="es-ES_tradnl"/>
        </w:rPr>
        <w:t>bsolver</w:t>
      </w:r>
      <w:proofErr w:type="spellEnd"/>
      <w:r w:rsidRPr="001550A9">
        <w:rPr>
          <w:rFonts w:ascii="Century Gothic" w:eastAsia="Calibri" w:hAnsi="Century Gothic" w:cs="Arial"/>
          <w:color w:val="000000" w:themeColor="text1"/>
          <w:sz w:val="18"/>
          <w:szCs w:val="18"/>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1550A9">
        <w:rPr>
          <w:rFonts w:ascii="Century Gothic" w:eastAsia="Calibri" w:hAnsi="Century Gothic" w:cs="Arial"/>
          <w:color w:val="000000" w:themeColor="text1"/>
          <w:sz w:val="18"/>
          <w:szCs w:val="18"/>
          <w:lang w:val="es-ES" w:eastAsia="es-ES_tradnl"/>
        </w:rPr>
        <w:t>bsolver</w:t>
      </w:r>
      <w:proofErr w:type="spellEnd"/>
      <w:r w:rsidRPr="001550A9">
        <w:rPr>
          <w:rFonts w:ascii="Century Gothic" w:eastAsia="Calibri" w:hAnsi="Century Gothic" w:cs="Arial"/>
          <w:color w:val="000000" w:themeColor="text1"/>
          <w:sz w:val="18"/>
          <w:szCs w:val="18"/>
          <w:lang w:val="es-ES" w:eastAsia="es-ES_tradnl"/>
        </w:rPr>
        <w:t xml:space="preserve"> consultas sobre la aplicación de normas de carácter general”.</w:t>
      </w:r>
    </w:p>
  </w:footnote>
  <w:footnote w:id="3">
    <w:p w14:paraId="77C8CFA2" w14:textId="77777777" w:rsidR="00B72B79" w:rsidRPr="001550A9" w:rsidRDefault="00B72B79" w:rsidP="00B72B79">
      <w:pPr>
        <w:pStyle w:val="Textonotapie"/>
        <w:ind w:firstLine="708"/>
        <w:jc w:val="both"/>
        <w:rPr>
          <w:rFonts w:ascii="Century Gothic" w:hAnsi="Century Gothic" w:cs="Arial"/>
          <w:color w:val="000000" w:themeColor="text1"/>
          <w:sz w:val="18"/>
          <w:szCs w:val="18"/>
          <w:shd w:val="clear" w:color="auto" w:fill="E6E6E6"/>
        </w:rPr>
      </w:pPr>
      <w:r w:rsidRPr="001550A9">
        <w:rPr>
          <w:rFonts w:ascii="Century Gothic" w:hAnsi="Century Gothic" w:cs="Arial"/>
          <w:color w:val="000000" w:themeColor="text1"/>
          <w:sz w:val="18"/>
          <w:szCs w:val="18"/>
          <w:vertAlign w:val="superscript"/>
        </w:rPr>
        <w:footnoteRef/>
      </w:r>
      <w:r w:rsidRPr="001550A9">
        <w:rPr>
          <w:rFonts w:ascii="Century Gothic" w:hAnsi="Century Gothic" w:cs="Arial"/>
          <w:color w:val="000000" w:themeColor="text1"/>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1550A9">
          <w:rPr>
            <w:rStyle w:val="Hipervnculo"/>
            <w:rFonts w:ascii="Century Gothic" w:hAnsi="Century Gothic" w:cs="Arial"/>
            <w:color w:val="000000" w:themeColor="text1"/>
            <w:sz w:val="18"/>
            <w:szCs w:val="18"/>
          </w:rPr>
          <w:t>https://relatoria.colombiacompra.gov.co/busqueda/conceptos</w:t>
        </w:r>
      </w:hyperlink>
      <w:r w:rsidRPr="001550A9">
        <w:rPr>
          <w:rStyle w:val="Hipervnculo"/>
          <w:rFonts w:ascii="Century Gothic" w:hAnsi="Century Gothic" w:cs="Arial"/>
          <w:color w:val="000000" w:themeColor="text1"/>
          <w:sz w:val="18"/>
          <w:szCs w:val="18"/>
        </w:rPr>
        <w:t xml:space="preserve"> </w:t>
      </w:r>
      <w:r w:rsidRPr="001550A9">
        <w:rPr>
          <w:rFonts w:ascii="Century Gothic" w:hAnsi="Century Gothic" w:cs="Arial"/>
          <w:color w:val="000000" w:themeColor="text1"/>
          <w:sz w:val="18"/>
          <w:szCs w:val="18"/>
          <w:shd w:val="clear" w:color="auto" w:fill="E6E6E6"/>
        </w:rPr>
        <w:t xml:space="preserve"> </w:t>
      </w:r>
    </w:p>
  </w:footnote>
  <w:footnote w:id="4">
    <w:p w14:paraId="6DD262E6" w14:textId="77777777" w:rsidR="00B72B79" w:rsidRPr="001550A9" w:rsidRDefault="00B72B79" w:rsidP="00B72B79">
      <w:pPr>
        <w:pStyle w:val="Textonotapie"/>
        <w:ind w:firstLine="709"/>
        <w:jc w:val="both"/>
        <w:rPr>
          <w:rFonts w:ascii="Century Gothic" w:hAnsi="Century Gothic" w:cs="Arial"/>
          <w:color w:val="000000" w:themeColor="text1"/>
          <w:sz w:val="18"/>
          <w:szCs w:val="18"/>
        </w:rPr>
      </w:pPr>
      <w:r w:rsidRPr="001550A9">
        <w:rPr>
          <w:rStyle w:val="Refdenotaalpie"/>
          <w:rFonts w:ascii="Century Gothic" w:hAnsi="Century Gothic" w:cs="Arial"/>
          <w:color w:val="000000" w:themeColor="text1"/>
          <w:sz w:val="18"/>
          <w:szCs w:val="18"/>
        </w:rPr>
        <w:footnoteRef/>
      </w:r>
      <w:r w:rsidRPr="001550A9">
        <w:rPr>
          <w:rFonts w:ascii="Century Gothic" w:hAnsi="Century Gothic" w:cs="Arial"/>
          <w:color w:val="000000" w:themeColor="text1"/>
          <w:sz w:val="18"/>
          <w:szCs w:val="18"/>
        </w:rPr>
        <w:t xml:space="preserve"> Sobre esta norma, consultar los conceptos del 8 de octubre de 2019, con radicado No. 2201913000007532, y del 20 de diciembre de 2019, con radicado No. 4201913000008240.</w:t>
      </w:r>
    </w:p>
  </w:footnote>
  <w:footnote w:id="5">
    <w:p w14:paraId="3B2904DF" w14:textId="77777777" w:rsidR="00B72B79" w:rsidRPr="001550A9" w:rsidRDefault="00B72B79" w:rsidP="00B72B79">
      <w:pPr>
        <w:pStyle w:val="Textonotapie"/>
        <w:ind w:firstLine="709"/>
        <w:jc w:val="both"/>
        <w:rPr>
          <w:rFonts w:ascii="Century Gothic" w:hAnsi="Century Gothic" w:cs="Arial"/>
          <w:color w:val="000000" w:themeColor="text1"/>
          <w:sz w:val="18"/>
          <w:szCs w:val="18"/>
        </w:rPr>
      </w:pPr>
      <w:r w:rsidRPr="001550A9">
        <w:rPr>
          <w:rStyle w:val="Refdenotaalpie"/>
          <w:rFonts w:ascii="Century Gothic" w:hAnsi="Century Gothic" w:cs="Arial"/>
          <w:color w:val="000000" w:themeColor="text1"/>
          <w:sz w:val="18"/>
          <w:szCs w:val="18"/>
        </w:rPr>
        <w:footnoteRef/>
      </w:r>
      <w:r w:rsidRPr="001550A9">
        <w:rPr>
          <w:rFonts w:ascii="Century Gothic" w:hAnsi="Century Gothic" w:cs="Arial"/>
          <w:color w:val="000000" w:themeColor="text1"/>
          <w:sz w:val="18"/>
          <w:szCs w:val="18"/>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FACA778" w14:textId="77777777" w:rsidR="00B72B79" w:rsidRPr="001550A9" w:rsidRDefault="00B72B79" w:rsidP="00B72B79">
      <w:pPr>
        <w:pStyle w:val="Textonotapie"/>
        <w:ind w:firstLine="709"/>
        <w:jc w:val="both"/>
        <w:rPr>
          <w:rFonts w:ascii="Century Gothic" w:hAnsi="Century Gothic" w:cs="Arial"/>
          <w:color w:val="000000" w:themeColor="text1"/>
          <w:sz w:val="18"/>
          <w:szCs w:val="18"/>
        </w:rPr>
      </w:pPr>
      <w:r w:rsidRPr="001550A9">
        <w:rPr>
          <w:rFonts w:ascii="Century Gothic" w:hAnsi="Century Gothic" w:cs="Arial"/>
          <w:color w:val="000000" w:themeColor="text1"/>
          <w:sz w:val="18"/>
          <w:szCs w:val="18"/>
        </w:rPr>
        <w:t xml:space="preserve">Los convenios de asociación a que se refiere el presente artículo </w:t>
      </w:r>
      <w:bookmarkStart w:id="5" w:name="_Hlk36023315"/>
      <w:r w:rsidRPr="001550A9">
        <w:rPr>
          <w:rFonts w:ascii="Century Gothic" w:hAnsi="Century Gothic" w:cs="Arial"/>
          <w:color w:val="000000" w:themeColor="text1"/>
          <w:sz w:val="18"/>
          <w:szCs w:val="18"/>
        </w:rPr>
        <w:t>se celebrarán de conformidad con lo dispuesto en el artículo 355 de la Constitución Política</w:t>
      </w:r>
      <w:bookmarkEnd w:id="5"/>
      <w:r w:rsidRPr="001550A9">
        <w:rPr>
          <w:rFonts w:ascii="Century Gothic" w:hAnsi="Century Gothic" w:cs="Arial"/>
          <w:color w:val="000000" w:themeColor="text1"/>
          <w:sz w:val="18"/>
          <w:szCs w:val="18"/>
        </w:rPr>
        <w:t>, en ellos se determinará con precisión su objeto, término, obligaciones de las partes, aportes, coordinación y todos aquellos aspectos que se consideren pertinentes”.</w:t>
      </w:r>
    </w:p>
  </w:footnote>
  <w:footnote w:id="6">
    <w:p w14:paraId="0DA172E0" w14:textId="77777777" w:rsidR="00B72B79" w:rsidRPr="001550A9" w:rsidRDefault="00B72B79" w:rsidP="00B72B79">
      <w:pPr>
        <w:pStyle w:val="Textonotapie"/>
        <w:ind w:firstLine="708"/>
        <w:jc w:val="both"/>
        <w:rPr>
          <w:rFonts w:ascii="Century Gothic" w:hAnsi="Century Gothic" w:cs="Arial"/>
          <w:color w:val="000000" w:themeColor="text1"/>
          <w:sz w:val="18"/>
          <w:szCs w:val="18"/>
        </w:rPr>
      </w:pPr>
      <w:r w:rsidRPr="001550A9">
        <w:rPr>
          <w:rStyle w:val="Refdenotaalpie"/>
          <w:rFonts w:ascii="Century Gothic" w:hAnsi="Century Gothic" w:cs="Arial"/>
          <w:color w:val="000000" w:themeColor="text1"/>
          <w:sz w:val="18"/>
          <w:szCs w:val="18"/>
        </w:rPr>
        <w:footnoteRef/>
      </w:r>
      <w:r w:rsidRPr="001550A9">
        <w:rPr>
          <w:rFonts w:ascii="Century Gothic" w:hAnsi="Century Gothic" w:cs="Arial"/>
          <w:color w:val="000000" w:themeColor="text1"/>
          <w:sz w:val="18"/>
          <w:szCs w:val="18"/>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7">
    <w:p w14:paraId="05C0AB68" w14:textId="77777777" w:rsidR="00B72B79" w:rsidRPr="001550A9" w:rsidRDefault="00B72B79" w:rsidP="00B72B79">
      <w:pPr>
        <w:pStyle w:val="Textonotapie"/>
        <w:ind w:firstLine="709"/>
        <w:jc w:val="both"/>
        <w:rPr>
          <w:rFonts w:ascii="Century Gothic" w:hAnsi="Century Gothic" w:cs="Arial"/>
          <w:color w:val="000000" w:themeColor="text1"/>
          <w:sz w:val="18"/>
          <w:szCs w:val="18"/>
        </w:rPr>
      </w:pPr>
      <w:r w:rsidRPr="001550A9">
        <w:rPr>
          <w:rStyle w:val="Refdenotaalpie"/>
          <w:rFonts w:ascii="Century Gothic" w:hAnsi="Century Gothic" w:cs="Arial"/>
          <w:color w:val="000000" w:themeColor="text1"/>
          <w:sz w:val="18"/>
          <w:szCs w:val="18"/>
        </w:rPr>
        <w:footnoteRef/>
      </w:r>
      <w:r w:rsidRPr="001550A9">
        <w:rPr>
          <w:rFonts w:ascii="Century Gothic" w:hAnsi="Century Gothic" w:cs="Arial"/>
          <w:color w:val="000000" w:themeColor="text1"/>
          <w:sz w:val="18"/>
          <w:szCs w:val="18"/>
        </w:rPr>
        <w:t xml:space="preserve"> Concepto del 3 de septiembre de 2019, con radicado No. 2201913000006512.</w:t>
      </w:r>
    </w:p>
  </w:footnote>
  <w:footnote w:id="8">
    <w:p w14:paraId="0133C112" w14:textId="47E49ED8" w:rsidR="00B72B79" w:rsidRPr="00D30FFB" w:rsidRDefault="00B72B79" w:rsidP="00D30FFB">
      <w:pPr>
        <w:pStyle w:val="Textonotapie"/>
        <w:ind w:firstLine="708"/>
        <w:jc w:val="both"/>
        <w:rPr>
          <w:rFonts w:ascii="Century Gothic" w:hAnsi="Century Gothic" w:cs="Arial"/>
          <w:color w:val="000000" w:themeColor="text1"/>
          <w:sz w:val="18"/>
          <w:szCs w:val="18"/>
        </w:rPr>
      </w:pPr>
      <w:r w:rsidRPr="001550A9">
        <w:rPr>
          <w:rStyle w:val="Refdenotaalpie"/>
          <w:rFonts w:ascii="Century Gothic" w:hAnsi="Century Gothic" w:cs="Arial"/>
          <w:color w:val="000000" w:themeColor="text1"/>
          <w:sz w:val="18"/>
          <w:szCs w:val="18"/>
        </w:rPr>
        <w:footnoteRef/>
      </w:r>
      <w:r w:rsidRPr="001550A9">
        <w:rPr>
          <w:rFonts w:ascii="Century Gothic" w:hAnsi="Century Gothic" w:cs="Arial"/>
          <w:color w:val="000000" w:themeColor="text1"/>
          <w:sz w:val="18"/>
          <w:szCs w:val="18"/>
        </w:rPr>
        <w:t xml:space="preserve"> Cfr. Concepto del 21 de agosto de 2019, dictado dentro del radicado No. 2201913000006047.</w:t>
      </w:r>
    </w:p>
  </w:footnote>
  <w:footnote w:id="9">
    <w:p w14:paraId="39828C88" w14:textId="77777777" w:rsidR="00B72B79" w:rsidRPr="001550A9" w:rsidRDefault="00B72B79" w:rsidP="00B72B79">
      <w:pPr>
        <w:pStyle w:val="Textonotapie"/>
        <w:ind w:firstLine="708"/>
        <w:jc w:val="both"/>
        <w:rPr>
          <w:rFonts w:ascii="Century Gothic" w:hAnsi="Century Gothic" w:cs="Arial"/>
          <w:color w:val="000000" w:themeColor="text1"/>
          <w:sz w:val="18"/>
          <w:szCs w:val="18"/>
          <w:lang w:val="es-ES"/>
        </w:rPr>
      </w:pPr>
      <w:r w:rsidRPr="001550A9">
        <w:rPr>
          <w:rStyle w:val="Refdenotaalpie"/>
          <w:rFonts w:ascii="Century Gothic" w:hAnsi="Century Gothic" w:cs="Arial"/>
          <w:color w:val="000000" w:themeColor="text1"/>
          <w:sz w:val="18"/>
          <w:szCs w:val="18"/>
        </w:rPr>
        <w:footnoteRef/>
      </w:r>
      <w:r w:rsidRPr="001550A9">
        <w:rPr>
          <w:rFonts w:ascii="Century Gothic" w:hAnsi="Century Gothic" w:cs="Arial"/>
          <w:color w:val="000000" w:themeColor="text1"/>
          <w:sz w:val="18"/>
          <w:szCs w:val="18"/>
        </w:rPr>
        <w:t xml:space="preserve"> Concepto del 24 de febrero de 2005, con radicado No. 1626, C.P. Dra. Gloria Duque Hernández</w:t>
      </w:r>
    </w:p>
  </w:footnote>
  <w:footnote w:id="10">
    <w:p w14:paraId="60F1F297" w14:textId="712E6E33" w:rsidR="00B72B79" w:rsidRPr="00D30FFB" w:rsidRDefault="00B72B79" w:rsidP="00D30FFB">
      <w:pPr>
        <w:spacing w:after="0" w:line="240" w:lineRule="auto"/>
        <w:ind w:firstLine="708"/>
        <w:jc w:val="both"/>
        <w:rPr>
          <w:rFonts w:ascii="Century Gothic" w:eastAsia="Times New Roman" w:hAnsi="Century Gothic" w:cs="Times New Roman"/>
          <w:color w:val="000000" w:themeColor="text1"/>
          <w:sz w:val="18"/>
          <w:szCs w:val="18"/>
          <w:lang w:eastAsia="es-ES_tradnl"/>
        </w:rPr>
      </w:pPr>
      <w:r w:rsidRPr="001550A9">
        <w:rPr>
          <w:rStyle w:val="Refdenotaalpie"/>
          <w:rFonts w:ascii="Century Gothic" w:hAnsi="Century Gothic"/>
          <w:color w:val="000000" w:themeColor="text1"/>
          <w:sz w:val="18"/>
          <w:szCs w:val="18"/>
        </w:rPr>
        <w:footnoteRef/>
      </w:r>
      <w:r w:rsidRPr="001550A9">
        <w:rPr>
          <w:rFonts w:ascii="Century Gothic" w:hAnsi="Century Gothic"/>
          <w:color w:val="000000" w:themeColor="text1"/>
          <w:sz w:val="18"/>
          <w:szCs w:val="18"/>
        </w:rPr>
        <w:t xml:space="preserve"> </w:t>
      </w:r>
      <w:r w:rsidRPr="001550A9">
        <w:rPr>
          <w:rStyle w:val="author-name"/>
          <w:rFonts w:ascii="Century Gothic" w:hAnsi="Century Gothic"/>
          <w:color w:val="000000" w:themeColor="text1"/>
          <w:sz w:val="18"/>
          <w:szCs w:val="18"/>
        </w:rPr>
        <w:t xml:space="preserve">GÓMEZ Velásquez, Alejandro y DÍAZ Díez Cristian Andrés. </w:t>
      </w:r>
      <w:r w:rsidRPr="001550A9">
        <w:rPr>
          <w:rFonts w:ascii="Century Gothic" w:eastAsia="Times New Roman" w:hAnsi="Century Gothic" w:cs="Times New Roman"/>
          <w:i/>
          <w:iCs/>
          <w:color w:val="000000" w:themeColor="text1"/>
          <w:sz w:val="18"/>
          <w:szCs w:val="18"/>
          <w:shd w:val="clear" w:color="auto" w:fill="FFFFFF"/>
          <w:lang w:eastAsia="es-ES_tradnl"/>
        </w:rPr>
        <w:t>Los convenios de interés público y de asociación en el régimen de contratación pública colombiana.</w:t>
      </w:r>
      <w:r w:rsidRPr="001550A9">
        <w:rPr>
          <w:rFonts w:ascii="Century Gothic" w:eastAsia="Times New Roman" w:hAnsi="Century Gothic" w:cs="Times New Roman"/>
          <w:color w:val="000000" w:themeColor="text1"/>
          <w:sz w:val="18"/>
          <w:szCs w:val="18"/>
          <w:shd w:val="clear" w:color="auto" w:fill="FFFFFF"/>
          <w:lang w:eastAsia="es-ES_tradnl"/>
        </w:rPr>
        <w:t xml:space="preserve"> Revista Derecho del Estad. Universidad Externado de Colombia.</w:t>
      </w:r>
      <w:r w:rsidRPr="001550A9">
        <w:rPr>
          <w:rFonts w:ascii="Century Gothic" w:eastAsia="Times New Roman" w:hAnsi="Century Gothic" w:cs="Times New Roman"/>
          <w:i/>
          <w:iCs/>
          <w:color w:val="000000" w:themeColor="text1"/>
          <w:sz w:val="18"/>
          <w:szCs w:val="18"/>
          <w:shd w:val="clear" w:color="auto" w:fill="FFFFFF"/>
          <w:lang w:eastAsia="es-ES_tradnl"/>
        </w:rPr>
        <w:t xml:space="preserve"> </w:t>
      </w:r>
      <w:r w:rsidRPr="001550A9">
        <w:rPr>
          <w:rFonts w:ascii="Century Gothic" w:eastAsia="Times New Roman" w:hAnsi="Century Gothic" w:cs="Times New Roman"/>
          <w:color w:val="000000" w:themeColor="text1"/>
          <w:sz w:val="18"/>
          <w:szCs w:val="18"/>
          <w:shd w:val="clear" w:color="auto" w:fill="FFFFFF"/>
          <w:lang w:eastAsia="es-ES_tradnl"/>
        </w:rPr>
        <w:t xml:space="preserve">Se puede consultar en el siguiente enlace: </w:t>
      </w:r>
      <w:hyperlink r:id="rId2" w:anchor="figures" w:history="1">
        <w:r w:rsidRPr="001550A9">
          <w:rPr>
            <w:rStyle w:val="Hipervnculo"/>
            <w:rFonts w:ascii="Century Gothic" w:eastAsia="Times New Roman" w:hAnsi="Century Gothic" w:cs="Times New Roman"/>
            <w:color w:val="000000" w:themeColor="text1"/>
            <w:sz w:val="18"/>
            <w:szCs w:val="18"/>
            <w:shd w:val="clear" w:color="auto" w:fill="FFFFFF"/>
            <w:lang w:eastAsia="es-ES_tradnl"/>
          </w:rPr>
          <w:t>https://revistas.uexternado.edu.co/index.php/derest/article/view/6151/8606#figures</w:t>
        </w:r>
      </w:hyperlink>
      <w:r w:rsidRPr="001550A9">
        <w:rPr>
          <w:rFonts w:ascii="Century Gothic" w:eastAsia="Times New Roman" w:hAnsi="Century Gothic" w:cs="Times New Roman"/>
          <w:color w:val="000000" w:themeColor="text1"/>
          <w:sz w:val="18"/>
          <w:szCs w:val="18"/>
          <w:shd w:val="clear" w:color="auto" w:fill="FFFFFF"/>
          <w:lang w:eastAsia="es-ES_tradnl"/>
        </w:rPr>
        <w:t xml:space="preserve"> </w:t>
      </w:r>
    </w:p>
  </w:footnote>
  <w:footnote w:id="11">
    <w:p w14:paraId="3CF480A5" w14:textId="77777777" w:rsidR="00B72B79" w:rsidRPr="001550A9" w:rsidRDefault="00B72B79" w:rsidP="00B72B79">
      <w:pPr>
        <w:spacing w:after="0" w:line="240" w:lineRule="auto"/>
        <w:ind w:firstLine="708"/>
        <w:rPr>
          <w:rFonts w:ascii="Century Gothic" w:eastAsia="Times New Roman" w:hAnsi="Century Gothic" w:cs="Times New Roman"/>
          <w:sz w:val="18"/>
          <w:szCs w:val="18"/>
          <w:lang w:eastAsia="es-ES_tradnl"/>
        </w:rPr>
      </w:pPr>
      <w:r w:rsidRPr="001550A9">
        <w:rPr>
          <w:rStyle w:val="Refdenotaalpie"/>
          <w:rFonts w:ascii="Century Gothic" w:hAnsi="Century Gothic"/>
          <w:sz w:val="18"/>
          <w:szCs w:val="18"/>
        </w:rPr>
        <w:footnoteRef/>
      </w:r>
      <w:r w:rsidRPr="001550A9">
        <w:rPr>
          <w:rFonts w:ascii="Century Gothic" w:hAnsi="Century Gothic"/>
          <w:sz w:val="18"/>
          <w:szCs w:val="18"/>
        </w:rPr>
        <w:t xml:space="preserve"> </w:t>
      </w:r>
      <w:r w:rsidRPr="001550A9">
        <w:rPr>
          <w:rFonts w:ascii="Century Gothic" w:eastAsia="Times New Roman" w:hAnsi="Century Gothic" w:cs="Times New Roman"/>
          <w:color w:val="000000"/>
          <w:sz w:val="18"/>
          <w:szCs w:val="18"/>
          <w:shd w:val="clear" w:color="auto" w:fill="FFFFFF"/>
          <w:lang w:eastAsia="es-ES_tradnl"/>
        </w:rPr>
        <w:t>Corte Constitucional, Sala Plena. Sentencia C-324 de 2009. M.P.: Juan Carlos Henao Pérez. En igual sentido, véase Corte Constitucional, Sala Plena. Sentencia C-027 de 2016.</w:t>
      </w:r>
    </w:p>
  </w:footnote>
  <w:footnote w:id="12">
    <w:p w14:paraId="0AF8021A" w14:textId="77777777" w:rsidR="00B72B79" w:rsidRPr="001550A9" w:rsidRDefault="00B72B79" w:rsidP="00B72B79">
      <w:pPr>
        <w:spacing w:after="0" w:line="240" w:lineRule="auto"/>
        <w:ind w:firstLine="708"/>
        <w:jc w:val="both"/>
        <w:rPr>
          <w:rFonts w:ascii="Century Gothic" w:hAnsi="Century Gothic" w:cs="Arial"/>
          <w:color w:val="000000" w:themeColor="text1"/>
          <w:sz w:val="18"/>
          <w:szCs w:val="18"/>
        </w:rPr>
      </w:pPr>
      <w:r w:rsidRPr="001550A9">
        <w:rPr>
          <w:rStyle w:val="Refdenotaalpie"/>
          <w:rFonts w:ascii="Century Gothic" w:hAnsi="Century Gothic" w:cs="Arial"/>
          <w:color w:val="000000" w:themeColor="text1"/>
          <w:sz w:val="18"/>
          <w:szCs w:val="18"/>
        </w:rPr>
        <w:footnoteRef/>
      </w:r>
      <w:r w:rsidRPr="001550A9">
        <w:rPr>
          <w:rFonts w:ascii="Century Gothic" w:hAnsi="Century Gothic" w:cs="Arial"/>
          <w:color w:val="000000" w:themeColor="text1"/>
          <w:sz w:val="18"/>
          <w:szCs w:val="18"/>
        </w:rPr>
        <w:t xml:space="preserve"> 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2E9AF871">
          <wp:simplePos x="0" y="0"/>
          <wp:positionH relativeFrom="margin">
            <wp:posOffset>3807460</wp:posOffset>
          </wp:positionH>
          <wp:positionV relativeFrom="margin">
            <wp:posOffset>-1093122</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3DBCDD3E" w14:textId="4A5C1408" w:rsidR="005B5D8B" w:rsidRPr="00B72B79" w:rsidRDefault="005B5D8B" w:rsidP="00B72B79">
    <w:pPr>
      <w:spacing w:after="0"/>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43881356">
    <w:abstractNumId w:val="3"/>
  </w:num>
  <w:num w:numId="2" w16cid:durableId="853305063">
    <w:abstractNumId w:val="1"/>
  </w:num>
  <w:num w:numId="3" w16cid:durableId="176234374">
    <w:abstractNumId w:val="2"/>
  </w:num>
  <w:num w:numId="4" w16cid:durableId="143359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6863793">
    <w:abstractNumId w:val="1"/>
  </w:num>
  <w:num w:numId="6" w16cid:durableId="14189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736E"/>
    <w:rsid w:val="000349F6"/>
    <w:rsid w:val="00046CEB"/>
    <w:rsid w:val="000A683E"/>
    <w:rsid w:val="000B19B9"/>
    <w:rsid w:val="000D0334"/>
    <w:rsid w:val="000D0E5F"/>
    <w:rsid w:val="000E4714"/>
    <w:rsid w:val="000F6486"/>
    <w:rsid w:val="0012406F"/>
    <w:rsid w:val="00125105"/>
    <w:rsid w:val="00127233"/>
    <w:rsid w:val="001E4177"/>
    <w:rsid w:val="0024059F"/>
    <w:rsid w:val="002951A0"/>
    <w:rsid w:val="002962BC"/>
    <w:rsid w:val="002A093D"/>
    <w:rsid w:val="002A49AC"/>
    <w:rsid w:val="002A64FD"/>
    <w:rsid w:val="002C7A84"/>
    <w:rsid w:val="003448F4"/>
    <w:rsid w:val="003A779E"/>
    <w:rsid w:val="003D0F4D"/>
    <w:rsid w:val="003E0499"/>
    <w:rsid w:val="003F3941"/>
    <w:rsid w:val="00400548"/>
    <w:rsid w:val="00424BB4"/>
    <w:rsid w:val="004368BC"/>
    <w:rsid w:val="004A1847"/>
    <w:rsid w:val="004A305D"/>
    <w:rsid w:val="004F21C4"/>
    <w:rsid w:val="004F685F"/>
    <w:rsid w:val="00514782"/>
    <w:rsid w:val="00533E8F"/>
    <w:rsid w:val="005566E8"/>
    <w:rsid w:val="00574867"/>
    <w:rsid w:val="005A6AA1"/>
    <w:rsid w:val="005B5D8B"/>
    <w:rsid w:val="005C5CDC"/>
    <w:rsid w:val="005D476C"/>
    <w:rsid w:val="006219F8"/>
    <w:rsid w:val="00665D70"/>
    <w:rsid w:val="00706C16"/>
    <w:rsid w:val="00727370"/>
    <w:rsid w:val="00756841"/>
    <w:rsid w:val="00763C80"/>
    <w:rsid w:val="007649AB"/>
    <w:rsid w:val="007833AC"/>
    <w:rsid w:val="007845FD"/>
    <w:rsid w:val="007B7171"/>
    <w:rsid w:val="007C3DC2"/>
    <w:rsid w:val="007D6F48"/>
    <w:rsid w:val="007E5497"/>
    <w:rsid w:val="00806F5F"/>
    <w:rsid w:val="00820278"/>
    <w:rsid w:val="00835F34"/>
    <w:rsid w:val="008843B6"/>
    <w:rsid w:val="00891928"/>
    <w:rsid w:val="008A446D"/>
    <w:rsid w:val="008F0EA7"/>
    <w:rsid w:val="00923EEF"/>
    <w:rsid w:val="00925F39"/>
    <w:rsid w:val="00935C3C"/>
    <w:rsid w:val="009419F9"/>
    <w:rsid w:val="00952524"/>
    <w:rsid w:val="00961B09"/>
    <w:rsid w:val="00965334"/>
    <w:rsid w:val="0097093E"/>
    <w:rsid w:val="0099704E"/>
    <w:rsid w:val="009A329D"/>
    <w:rsid w:val="009C71FA"/>
    <w:rsid w:val="009C72E7"/>
    <w:rsid w:val="00A17F13"/>
    <w:rsid w:val="00A20739"/>
    <w:rsid w:val="00A33C78"/>
    <w:rsid w:val="00A64F4E"/>
    <w:rsid w:val="00AB0ADB"/>
    <w:rsid w:val="00AC2343"/>
    <w:rsid w:val="00AD5E99"/>
    <w:rsid w:val="00AE0000"/>
    <w:rsid w:val="00B00BFD"/>
    <w:rsid w:val="00B72B79"/>
    <w:rsid w:val="00B72CD3"/>
    <w:rsid w:val="00B72FFF"/>
    <w:rsid w:val="00BD15D4"/>
    <w:rsid w:val="00BD2E7A"/>
    <w:rsid w:val="00BD7F72"/>
    <w:rsid w:val="00C02067"/>
    <w:rsid w:val="00C04FB3"/>
    <w:rsid w:val="00C330EB"/>
    <w:rsid w:val="00C5203F"/>
    <w:rsid w:val="00C70B4A"/>
    <w:rsid w:val="00C754BE"/>
    <w:rsid w:val="00CB6357"/>
    <w:rsid w:val="00CC1B26"/>
    <w:rsid w:val="00CC63D1"/>
    <w:rsid w:val="00D30FFB"/>
    <w:rsid w:val="00D423A2"/>
    <w:rsid w:val="00D63AC2"/>
    <w:rsid w:val="00D7383B"/>
    <w:rsid w:val="00D76019"/>
    <w:rsid w:val="00D86F3B"/>
    <w:rsid w:val="00DA231B"/>
    <w:rsid w:val="00E16408"/>
    <w:rsid w:val="00E20894"/>
    <w:rsid w:val="00E245AB"/>
    <w:rsid w:val="00E26A03"/>
    <w:rsid w:val="00E50AFE"/>
    <w:rsid w:val="00E50BDB"/>
    <w:rsid w:val="00E771DC"/>
    <w:rsid w:val="00E8772A"/>
    <w:rsid w:val="00E90F6B"/>
    <w:rsid w:val="00E92C27"/>
    <w:rsid w:val="00EA0E3D"/>
    <w:rsid w:val="00EA6154"/>
    <w:rsid w:val="00EE1AA8"/>
    <w:rsid w:val="00F17039"/>
    <w:rsid w:val="00F204AB"/>
    <w:rsid w:val="00F31EDC"/>
    <w:rsid w:val="00F5664F"/>
    <w:rsid w:val="00F613A2"/>
    <w:rsid w:val="00F76AFC"/>
    <w:rsid w:val="00FB5DD1"/>
    <w:rsid w:val="00FC2B5D"/>
    <w:rsid w:val="00FF1449"/>
    <w:rsid w:val="0AA6A0FD"/>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B72B79"/>
    <w:pPr>
      <w:spacing w:line="240" w:lineRule="exact"/>
    </w:pPr>
    <w:rPr>
      <w:vertAlign w:val="superscript"/>
    </w:rPr>
  </w:style>
  <w:style w:type="paragraph" w:styleId="Sinespaciado">
    <w:name w:val="No Spacing"/>
    <w:aliases w:val="No Indent"/>
    <w:uiPriority w:val="3"/>
    <w:qFormat/>
    <w:rsid w:val="00B72B79"/>
    <w:pPr>
      <w:spacing w:after="0" w:line="240" w:lineRule="auto"/>
    </w:pPr>
    <w:rPr>
      <w:sz w:val="24"/>
      <w:lang w:val="es-MX"/>
    </w:rPr>
  </w:style>
  <w:style w:type="character" w:customStyle="1" w:styleId="annotation">
    <w:name w:val="annotation"/>
    <w:basedOn w:val="Fuentedeprrafopredeter"/>
    <w:rsid w:val="00B72B79"/>
  </w:style>
  <w:style w:type="character" w:customStyle="1" w:styleId="author-name">
    <w:name w:val="author-name"/>
    <w:basedOn w:val="Fuentedeprrafopredeter"/>
    <w:rsid w:val="00B72B79"/>
  </w:style>
  <w:style w:type="character" w:customStyle="1" w:styleId="eop">
    <w:name w:val="eop"/>
    <w:basedOn w:val="Fuentedeprrafopredeter"/>
    <w:rsid w:val="00B72B79"/>
  </w:style>
  <w:style w:type="paragraph" w:customStyle="1" w:styleId="paragraph">
    <w:name w:val="paragraph"/>
    <w:basedOn w:val="Normal"/>
    <w:rsid w:val="00B72B7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Revisin">
    <w:name w:val="Revision"/>
    <w:hidden/>
    <w:uiPriority w:val="99"/>
    <w:semiHidden/>
    <w:rsid w:val="000D0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revistas.uexternado.edu.co/index.php/derest/article/view/6151/8606"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Diana Lucia Saavedra</DisplayName>
        <AccountId>452</AccountId>
        <AccountType/>
      </UserInfo>
      <UserInfo>
        <DisplayName>Alejandro Sarmiento</DisplayName>
        <AccountId>119</AccountId>
        <AccountType/>
      </UserInfo>
      <UserInfo>
        <DisplayName>Carolina Quintero Gacharná</DisplayName>
        <AccountId>11435</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AAF9CF26-84FB-42A5-B647-9291843DCE3E}"/>
</file>

<file path=docProps/app.xml><?xml version="1.0" encoding="utf-8"?>
<Properties xmlns="http://schemas.openxmlformats.org/officeDocument/2006/extended-properties" xmlns:vt="http://schemas.openxmlformats.org/officeDocument/2006/docPropsVTypes">
  <Template>Normal</Template>
  <TotalTime>8</TotalTime>
  <Pages>15</Pages>
  <Words>4956</Words>
  <Characters>27264</Characters>
  <Application>Microsoft Office Word</Application>
  <DocSecurity>0</DocSecurity>
  <Lines>227</Lines>
  <Paragraphs>64</Paragraphs>
  <ScaleCrop>false</ScaleCrop>
  <Company/>
  <LinksUpToDate>false</LinksUpToDate>
  <CharactersWithSpaces>32156</CharactersWithSpaces>
  <SharedDoc>false</SharedDoc>
  <HLinks>
    <vt:vector size="12" baseType="variant">
      <vt:variant>
        <vt:i4>6225931</vt:i4>
      </vt:variant>
      <vt:variant>
        <vt:i4>3</vt:i4>
      </vt:variant>
      <vt:variant>
        <vt:i4>0</vt:i4>
      </vt:variant>
      <vt:variant>
        <vt:i4>5</vt:i4>
      </vt:variant>
      <vt:variant>
        <vt:lpwstr>https://revistas.uexternado.edu.co/index.php/derest/article/view/6151/8606</vt:lpwstr>
      </vt:variant>
      <vt:variant>
        <vt:lpwstr>figures</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8</cp:revision>
  <cp:lastPrinted>2023-01-10T21:18:00Z</cp:lastPrinted>
  <dcterms:created xsi:type="dcterms:W3CDTF">2024-07-10T19:03:00Z</dcterms:created>
  <dcterms:modified xsi:type="dcterms:W3CDTF">2024-07-10T19:17:00Z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