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B98A0" w14:textId="77777777" w:rsidR="006D69C7" w:rsidRPr="00306CC0" w:rsidRDefault="006D69C7" w:rsidP="00306CC0">
      <w:pPr>
        <w:spacing w:after="0" w:line="240" w:lineRule="auto"/>
        <w:jc w:val="both"/>
        <w:rPr>
          <w:rFonts w:ascii="Verdana" w:eastAsia="Calibri" w:hAnsi="Verdana"/>
          <w:b/>
          <w:bCs/>
          <w:color w:val="000000" w:themeColor="text1"/>
          <w:lang w:val="es-ES_tradnl" w:eastAsia="es-ES_tradnl"/>
        </w:rPr>
      </w:pPr>
      <w:bookmarkStart w:id="0" w:name="_Hlk143780582"/>
      <w:r w:rsidRPr="00306CC0">
        <w:rPr>
          <w:rFonts w:ascii="Verdana" w:eastAsia="Times New Roman" w:hAnsi="Verdana"/>
          <w:b/>
          <w:bCs/>
          <w:color w:val="000000" w:themeColor="text1"/>
          <w:lang w:val="es-ES_tradnl" w:eastAsia="es-ES_tradnl"/>
        </w:rPr>
        <w:t>CONTRATOS CON ESAL</w:t>
      </w:r>
      <w:r w:rsidRPr="00306CC0">
        <w:rPr>
          <w:rFonts w:ascii="Verdana" w:eastAsia="Calibri" w:hAnsi="Verdana"/>
          <w:b/>
          <w:bCs/>
          <w:color w:val="000000" w:themeColor="text1"/>
          <w:lang w:val="es-ES_tradnl" w:eastAsia="es-ES_tradnl"/>
        </w:rPr>
        <w:t>–</w:t>
      </w:r>
      <w:r w:rsidRPr="00306CC0">
        <w:rPr>
          <w:rFonts w:ascii="Verdana" w:eastAsia="Times New Roman" w:hAnsi="Verdana"/>
          <w:b/>
          <w:bCs/>
          <w:color w:val="000000" w:themeColor="text1"/>
          <w:lang w:val="es-ES_tradnl" w:eastAsia="es-ES_tradnl"/>
        </w:rPr>
        <w:t xml:space="preserve"> Constitución </w:t>
      </w:r>
      <w:r w:rsidRPr="00306CC0">
        <w:rPr>
          <w:rFonts w:ascii="Verdana" w:eastAsia="Calibri" w:hAnsi="Verdana"/>
          <w:b/>
          <w:bCs/>
          <w:color w:val="000000" w:themeColor="text1"/>
          <w:lang w:val="es-ES_tradnl" w:eastAsia="es-ES_tradnl"/>
        </w:rPr>
        <w:t>–</w:t>
      </w:r>
      <w:r w:rsidRPr="00306CC0">
        <w:rPr>
          <w:rFonts w:ascii="Verdana" w:eastAsia="Times New Roman" w:hAnsi="Verdana"/>
          <w:b/>
          <w:bCs/>
          <w:color w:val="000000" w:themeColor="text1"/>
          <w:lang w:val="es-ES_tradnl" w:eastAsia="es-ES_tradnl"/>
        </w:rPr>
        <w:t xml:space="preserve"> Artículo 355 –</w:t>
      </w:r>
      <w:r w:rsidRPr="00306CC0">
        <w:rPr>
          <w:rFonts w:ascii="Verdana" w:eastAsia="Calibri" w:hAnsi="Verdana"/>
          <w:b/>
          <w:bCs/>
          <w:color w:val="000000" w:themeColor="text1"/>
          <w:lang w:val="es-ES_tradnl" w:eastAsia="es-ES_tradnl"/>
        </w:rPr>
        <w:t xml:space="preserve"> Fundamento </w:t>
      </w:r>
    </w:p>
    <w:p w14:paraId="774B29EF"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p>
    <w:p w14:paraId="1994A0AD"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r w:rsidRPr="00306CC0">
        <w:rPr>
          <w:rFonts w:ascii="Verdana" w:eastAsia="Calibri" w:hAnsi="Verdana" w:cs="Arial"/>
          <w:color w:val="000000" w:themeColor="text1"/>
          <w:sz w:val="20"/>
          <w:szCs w:val="20"/>
          <w:lang w:val="es-ES"/>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75E4C138"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p>
    <w:p w14:paraId="63D58045" w14:textId="77777777" w:rsidR="006D69C7" w:rsidRPr="00306CC0" w:rsidRDefault="006D69C7" w:rsidP="00306CC0">
      <w:pPr>
        <w:spacing w:after="0" w:line="240" w:lineRule="auto"/>
        <w:jc w:val="both"/>
        <w:rPr>
          <w:rFonts w:ascii="Verdana" w:eastAsia="Calibri" w:hAnsi="Verdana"/>
          <w:b/>
          <w:bCs/>
          <w:color w:val="000000" w:themeColor="text1"/>
          <w:lang w:val="es-ES_tradnl" w:eastAsia="es-ES_tradnl"/>
        </w:rPr>
      </w:pPr>
      <w:r w:rsidRPr="00306CC0">
        <w:rPr>
          <w:rFonts w:ascii="Verdana" w:eastAsia="Times New Roman" w:hAnsi="Verdana"/>
          <w:b/>
          <w:bCs/>
          <w:color w:val="000000" w:themeColor="text1"/>
          <w:lang w:val="es-ES_tradnl" w:eastAsia="es-ES_tradnl"/>
        </w:rPr>
        <w:t xml:space="preserve">TIPOS DE CONTRATOS </w:t>
      </w:r>
      <w:r w:rsidRPr="00306CC0">
        <w:rPr>
          <w:rFonts w:ascii="Verdana" w:eastAsia="Calibri" w:hAnsi="Verdana"/>
          <w:b/>
          <w:bCs/>
          <w:color w:val="000000" w:themeColor="text1"/>
          <w:lang w:val="es-ES_tradnl" w:eastAsia="es-ES_tradnl"/>
        </w:rPr>
        <w:t xml:space="preserve">– ESAL – Constitución Política – </w:t>
      </w:r>
      <w:r w:rsidRPr="00306CC0">
        <w:rPr>
          <w:rFonts w:ascii="Verdana" w:eastAsia="Times New Roman" w:hAnsi="Verdana"/>
          <w:b/>
          <w:bCs/>
          <w:color w:val="000000" w:themeColor="text1"/>
          <w:lang w:val="es-ES_tradnl" w:eastAsia="es-ES_tradnl"/>
        </w:rPr>
        <w:t xml:space="preserve">Artículo 355 </w:t>
      </w:r>
      <w:r w:rsidRPr="00306CC0">
        <w:rPr>
          <w:rFonts w:ascii="Verdana" w:eastAsia="Calibri" w:hAnsi="Verdana"/>
          <w:b/>
          <w:bCs/>
          <w:color w:val="000000" w:themeColor="text1"/>
          <w:lang w:val="es-ES_tradnl" w:eastAsia="es-ES_tradnl"/>
        </w:rPr>
        <w:t>– Ley 489 – Artículo 96</w:t>
      </w:r>
    </w:p>
    <w:p w14:paraId="10A6CBE2"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p>
    <w:p w14:paraId="69E85765" w14:textId="77777777" w:rsidR="006D69C7" w:rsidRPr="00306CC0" w:rsidRDefault="006D69C7" w:rsidP="00306CC0">
      <w:pPr>
        <w:spacing w:after="0" w:line="240" w:lineRule="auto"/>
        <w:jc w:val="both"/>
        <w:rPr>
          <w:rFonts w:ascii="Verdana" w:eastAsia="Calibri" w:hAnsi="Verdana" w:cs="Arial"/>
          <w:color w:val="000000"/>
          <w:sz w:val="20"/>
          <w:szCs w:val="20"/>
          <w:lang w:val="es-MX" w:eastAsia="es-ES_tradnl"/>
        </w:rPr>
      </w:pPr>
      <w:r w:rsidRPr="00306CC0">
        <w:rPr>
          <w:rFonts w:ascii="Verdana" w:hAnsi="Verdana" w:cs="Arial"/>
          <w:sz w:val="20"/>
          <w:szCs w:val="20"/>
          <w:lang w:val="es-MX"/>
        </w:rPr>
        <w:t>El Gobierno Nacional, en desarrollo del artículo 355 de la Constitución Política, expidió el Decreto 092 de 2017, q</w:t>
      </w:r>
      <w:r w:rsidRPr="00306CC0">
        <w:rPr>
          <w:rFonts w:ascii="Verdana" w:eastAsia="Calibri" w:hAnsi="Verdana" w:cs="Arial"/>
          <w:sz w:val="20"/>
          <w:szCs w:val="20"/>
          <w:lang w:val="es-MX"/>
        </w:rPr>
        <w:t xml:space="preserve">ue dispone las reglas para las contrataciones que realicen las Entidades Estatales con las ESAL. </w:t>
      </w:r>
      <w:r w:rsidRPr="00306CC0">
        <w:rPr>
          <w:rFonts w:ascii="Verdana" w:eastAsia="Calibri" w:hAnsi="Verdana" w:cs="Arial"/>
          <w:color w:val="000000" w:themeColor="text1"/>
          <w:sz w:val="20"/>
          <w:szCs w:val="20"/>
          <w:lang w:val="es-ES"/>
        </w:rPr>
        <w:t xml:space="preserve">El Decreto regula dos (2) eventos: i) </w:t>
      </w:r>
      <w:r w:rsidRPr="00306CC0">
        <w:rPr>
          <w:rFonts w:ascii="Verdana" w:eastAsia="Calibri" w:hAnsi="Verdana" w:cs="Arial"/>
          <w:sz w:val="20"/>
          <w:szCs w:val="20"/>
          <w:lang w:eastAsia="es-ES_tradnl"/>
        </w:rPr>
        <w:t xml:space="preserve">los </w:t>
      </w:r>
      <w:r w:rsidRPr="00306CC0">
        <w:rPr>
          <w:rFonts w:ascii="Verdana" w:eastAsia="Calibri" w:hAnsi="Verdana" w:cs="Arial"/>
          <w:i/>
          <w:iCs/>
          <w:sz w:val="20"/>
          <w:szCs w:val="20"/>
          <w:lang w:eastAsia="es-ES_tradnl"/>
        </w:rPr>
        <w:t>contratos de colaboración</w:t>
      </w:r>
      <w:r w:rsidRPr="00306CC0">
        <w:rPr>
          <w:rFonts w:ascii="Verdana" w:eastAsia="Calibri" w:hAnsi="Verdana" w:cs="Arial"/>
          <w:sz w:val="20"/>
          <w:szCs w:val="20"/>
          <w:lang w:eastAsia="es-ES_tradnl"/>
        </w:rPr>
        <w:t xml:space="preserve"> o de interés público, con el fin impulsar programas y actividades de interés público de acuerdo con el Plan Nacional o los planes seccionales de desarrollo, en los términos del artículo 355 de la Constitución Política – a los cuales hace referencia en su consulta –</w:t>
      </w:r>
      <w:r w:rsidRPr="00306CC0">
        <w:rPr>
          <w:rFonts w:ascii="Verdana" w:eastAsia="Calibri" w:hAnsi="Verdana" w:cs="Arial"/>
          <w:color w:val="000000" w:themeColor="text1"/>
          <w:sz w:val="20"/>
          <w:szCs w:val="20"/>
          <w:lang w:val="es-ES"/>
        </w:rPr>
        <w:t xml:space="preserve"> y; </w:t>
      </w:r>
      <w:proofErr w:type="spellStart"/>
      <w:r w:rsidRPr="00306CC0">
        <w:rPr>
          <w:rFonts w:ascii="Verdana" w:eastAsia="Calibri" w:hAnsi="Verdana" w:cs="Arial"/>
          <w:color w:val="000000" w:themeColor="text1"/>
          <w:sz w:val="20"/>
          <w:szCs w:val="20"/>
          <w:lang w:val="es-ES"/>
        </w:rPr>
        <w:t>ii</w:t>
      </w:r>
      <w:proofErr w:type="spellEnd"/>
      <w:r w:rsidRPr="00306CC0">
        <w:rPr>
          <w:rFonts w:ascii="Verdana" w:eastAsia="Calibri" w:hAnsi="Verdana" w:cs="Arial"/>
          <w:color w:val="000000" w:themeColor="text1"/>
          <w:sz w:val="20"/>
          <w:szCs w:val="20"/>
          <w:lang w:val="es-ES"/>
        </w:rPr>
        <w:t xml:space="preserve">) los </w:t>
      </w:r>
      <w:r w:rsidRPr="00306CC0">
        <w:rPr>
          <w:rFonts w:ascii="Verdana" w:eastAsia="Calibri" w:hAnsi="Verdana" w:cs="Arial"/>
          <w:i/>
          <w:iCs/>
          <w:color w:val="000000" w:themeColor="text1"/>
          <w:sz w:val="20"/>
          <w:szCs w:val="20"/>
          <w:lang w:val="es-ES"/>
        </w:rPr>
        <w:t>convenios de asociación</w:t>
      </w:r>
      <w:r w:rsidRPr="00306CC0">
        <w:rPr>
          <w:rFonts w:ascii="Verdana" w:eastAsia="Calibri" w:hAnsi="Verdana" w:cs="Arial"/>
          <w:color w:val="000000" w:themeColor="text1"/>
          <w:sz w:val="20"/>
          <w:szCs w:val="20"/>
          <w:lang w:val="es-ES"/>
        </w:rPr>
        <w:t xml:space="preserve">, para el desarrollo conjunto de actividades relacionadas con las funciones de las Entidades Estatales, en desarrollo del artículo 96 de la Ley 489 de 1998. </w:t>
      </w:r>
      <w:r w:rsidRPr="00306CC0">
        <w:rPr>
          <w:rFonts w:ascii="Verdana" w:eastAsia="Calibri" w:hAnsi="Verdana" w:cs="Arial"/>
          <w:color w:val="000000"/>
          <w:sz w:val="20"/>
          <w:szCs w:val="20"/>
          <w:lang w:val="es-MX" w:eastAsia="es-ES_tradnl"/>
        </w:rPr>
        <w:t xml:space="preserve">Los primeros están regulados en el artículo 2 del Decreto 092 de 2017, mientras que los segundos en los artículos 5, 6, 7 y 8 </w:t>
      </w:r>
      <w:r w:rsidRPr="00306CC0">
        <w:rPr>
          <w:rFonts w:ascii="Verdana" w:eastAsia="Calibri" w:hAnsi="Verdana" w:cs="Arial"/>
          <w:i/>
          <w:iCs/>
          <w:color w:val="000000"/>
          <w:sz w:val="20"/>
          <w:szCs w:val="20"/>
          <w:lang w:val="es-MX" w:eastAsia="es-ES_tradnl"/>
        </w:rPr>
        <w:t>ibidem</w:t>
      </w:r>
      <w:r w:rsidRPr="00306CC0">
        <w:rPr>
          <w:rFonts w:ascii="Verdana" w:eastAsia="Calibri" w:hAnsi="Verdana" w:cs="Arial"/>
          <w:color w:val="000000"/>
          <w:sz w:val="20"/>
          <w:szCs w:val="20"/>
          <w:lang w:val="es-MX" w:eastAsia="es-ES_tradnl"/>
        </w:rPr>
        <w:t xml:space="preserve">. Es posible diferenciar, pues, los </w:t>
      </w:r>
      <w:r w:rsidRPr="00306CC0">
        <w:rPr>
          <w:rFonts w:ascii="Verdana" w:eastAsia="Calibri" w:hAnsi="Verdana" w:cs="Arial"/>
          <w:i/>
          <w:iCs/>
          <w:color w:val="000000"/>
          <w:sz w:val="20"/>
          <w:szCs w:val="20"/>
          <w:lang w:val="es-MX" w:eastAsia="es-ES_tradnl"/>
        </w:rPr>
        <w:t>contratos de colaboración</w:t>
      </w:r>
      <w:r w:rsidRPr="00306CC0">
        <w:rPr>
          <w:rFonts w:ascii="Verdana" w:eastAsia="Calibri" w:hAnsi="Verdana" w:cs="Arial"/>
          <w:color w:val="000000"/>
          <w:sz w:val="20"/>
          <w:szCs w:val="20"/>
          <w:lang w:val="es-MX" w:eastAsia="es-ES_tradnl"/>
        </w:rPr>
        <w:t xml:space="preserve">, establecidos en el artículo 2 del Decreto 092 de 2017, de los </w:t>
      </w:r>
      <w:r w:rsidRPr="00306CC0">
        <w:rPr>
          <w:rFonts w:ascii="Verdana" w:eastAsia="Calibri" w:hAnsi="Verdana" w:cs="Arial"/>
          <w:i/>
          <w:iCs/>
          <w:color w:val="000000"/>
          <w:sz w:val="20"/>
          <w:szCs w:val="20"/>
          <w:lang w:val="es-MX" w:eastAsia="es-ES_tradnl"/>
        </w:rPr>
        <w:t>convenios de asociación</w:t>
      </w:r>
      <w:r w:rsidRPr="00306CC0">
        <w:rPr>
          <w:rFonts w:ascii="Verdana" w:eastAsia="Calibri" w:hAnsi="Verdana" w:cs="Arial"/>
          <w:color w:val="000000"/>
          <w:sz w:val="20"/>
          <w:szCs w:val="20"/>
          <w:lang w:val="es-MX" w:eastAsia="es-ES_tradnl"/>
        </w:rPr>
        <w:t xml:space="preserve">, regulados en el artículo 5. </w:t>
      </w:r>
    </w:p>
    <w:p w14:paraId="116DA3AC"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p>
    <w:p w14:paraId="362CB921"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r w:rsidRPr="00306CC0">
        <w:rPr>
          <w:rFonts w:ascii="Verdana" w:eastAsia="Calibri" w:hAnsi="Verdana" w:cs="Arial"/>
          <w:color w:val="000000" w:themeColor="text1"/>
          <w:sz w:val="20"/>
          <w:szCs w:val="20"/>
          <w:lang w:val="es-ES"/>
        </w:rPr>
        <w:t xml:space="preserve">De un lado, los </w:t>
      </w:r>
      <w:r w:rsidRPr="00306CC0">
        <w:rPr>
          <w:rFonts w:ascii="Verdana" w:eastAsia="Calibri" w:hAnsi="Verdana" w:cs="Arial"/>
          <w:i/>
          <w:iCs/>
          <w:color w:val="000000" w:themeColor="text1"/>
          <w:sz w:val="20"/>
          <w:szCs w:val="20"/>
          <w:lang w:val="es-ES"/>
        </w:rPr>
        <w:t>contratos de colaboración del artículo 355 de la Constitución Política</w:t>
      </w:r>
      <w:r w:rsidRPr="00306CC0">
        <w:rPr>
          <w:rFonts w:ascii="Verdana" w:eastAsia="Calibri" w:hAnsi="Verdana" w:cs="Arial"/>
          <w:color w:val="000000" w:themeColor="text1"/>
          <w:sz w:val="20"/>
          <w:szCs w:val="20"/>
          <w:lang w:val="es-ES"/>
        </w:rPr>
        <w:t xml:space="preserve"> tienen como objeto promover acciones de fomento social en beneficio de los sectores más desprotegidos de la población, siempre que estén previstas o relacionado con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6CC6F0F1"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p>
    <w:p w14:paraId="2716321B"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r w:rsidRPr="00306CC0">
        <w:rPr>
          <w:rFonts w:ascii="Verdana" w:eastAsia="Calibri" w:hAnsi="Verdana" w:cs="Arial"/>
          <w:color w:val="000000" w:themeColor="text1"/>
          <w:sz w:val="20"/>
          <w:szCs w:val="20"/>
          <w:lang w:val="es-ES"/>
        </w:rPr>
        <w:t xml:space="preserve">De otro lado, los </w:t>
      </w:r>
      <w:r w:rsidRPr="00306CC0">
        <w:rPr>
          <w:rFonts w:ascii="Verdana" w:eastAsia="Calibri" w:hAnsi="Verdana" w:cs="Arial"/>
          <w:i/>
          <w:iCs/>
          <w:color w:val="000000" w:themeColor="text1"/>
          <w:sz w:val="20"/>
          <w:szCs w:val="20"/>
          <w:lang w:val="es-ES"/>
        </w:rPr>
        <w:t>convenios de asociación</w:t>
      </w:r>
      <w:r w:rsidRPr="00306CC0">
        <w:rPr>
          <w:rFonts w:ascii="Verdana" w:eastAsia="Calibri" w:hAnsi="Verdana" w:cs="Arial"/>
          <w:color w:val="000000" w:themeColor="text1"/>
          <w:sz w:val="20"/>
          <w:szCs w:val="20"/>
          <w:lang w:val="es-ES"/>
        </w:rPr>
        <w:t xml:space="preserve"> “[…] [t]</w:t>
      </w:r>
      <w:proofErr w:type="spellStart"/>
      <w:r w:rsidRPr="00306CC0">
        <w:rPr>
          <w:rFonts w:ascii="Verdana" w:eastAsia="Calibri" w:hAnsi="Verdana" w:cs="Arial"/>
          <w:color w:val="000000" w:themeColor="text1"/>
          <w:sz w:val="20"/>
          <w:szCs w:val="20"/>
          <w:lang w:val="es-ES"/>
        </w:rPr>
        <w:t>ienen</w:t>
      </w:r>
      <w:proofErr w:type="spellEnd"/>
      <w:r w:rsidRPr="00306CC0">
        <w:rPr>
          <w:rFonts w:ascii="Verdana" w:eastAsia="Calibri" w:hAnsi="Verdana" w:cs="Arial"/>
          <w:color w:val="000000" w:themeColor="text1"/>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
    <w:p w14:paraId="198D06A9" w14:textId="77777777" w:rsidR="006D69C7" w:rsidRPr="00306CC0" w:rsidRDefault="006D69C7" w:rsidP="00306CC0">
      <w:pPr>
        <w:spacing w:after="0" w:line="240" w:lineRule="auto"/>
        <w:jc w:val="both"/>
        <w:rPr>
          <w:rFonts w:ascii="Verdana" w:eastAsia="Calibri" w:hAnsi="Verdana" w:cs="Arial"/>
          <w:color w:val="000000" w:themeColor="text1"/>
          <w:sz w:val="20"/>
          <w:szCs w:val="20"/>
          <w:lang w:val="es-ES"/>
        </w:rPr>
      </w:pPr>
    </w:p>
    <w:p w14:paraId="5245347F" w14:textId="77777777" w:rsidR="006D69C7" w:rsidRPr="00306CC0" w:rsidRDefault="006D69C7" w:rsidP="00306CC0">
      <w:pPr>
        <w:spacing w:after="0" w:line="240" w:lineRule="auto"/>
        <w:rPr>
          <w:rFonts w:ascii="Verdana" w:eastAsia="Times New Roman" w:hAnsi="Verdana"/>
          <w:b/>
          <w:bCs/>
          <w:color w:val="000000" w:themeColor="text1"/>
          <w:lang w:val="es-ES_tradnl" w:eastAsia="es-ES_tradnl"/>
        </w:rPr>
      </w:pPr>
      <w:r w:rsidRPr="00306CC0">
        <w:rPr>
          <w:rFonts w:ascii="Verdana" w:eastAsia="Calibri" w:hAnsi="Verdana"/>
          <w:b/>
          <w:bCs/>
          <w:color w:val="000000" w:themeColor="text1"/>
          <w:lang w:val="es-ES_tradnl" w:eastAsia="es-ES_tradnl"/>
        </w:rPr>
        <w:t>CONTRATOS CON ESAL – Objeto – Actividades – Planes de Desarrollo</w:t>
      </w:r>
    </w:p>
    <w:p w14:paraId="43FBC155" w14:textId="77777777" w:rsidR="006D69C7" w:rsidRPr="00306CC0" w:rsidRDefault="006D69C7" w:rsidP="00306CC0">
      <w:pPr>
        <w:spacing w:after="0" w:line="240" w:lineRule="auto"/>
        <w:rPr>
          <w:rFonts w:ascii="Verdana" w:hAnsi="Verdana"/>
          <w:sz w:val="20"/>
          <w:szCs w:val="20"/>
          <w:lang w:val="es-ES_tradnl"/>
        </w:rPr>
      </w:pPr>
    </w:p>
    <w:p w14:paraId="2C34A183" w14:textId="77777777" w:rsidR="006D69C7" w:rsidRPr="00306CC0" w:rsidRDefault="006D69C7" w:rsidP="72914A49">
      <w:pPr>
        <w:spacing w:after="0" w:line="240" w:lineRule="auto"/>
        <w:jc w:val="both"/>
        <w:rPr>
          <w:rFonts w:ascii="Verdana" w:eastAsia="Calibri" w:hAnsi="Verdana" w:cs="Arial"/>
          <w:sz w:val="20"/>
          <w:szCs w:val="20"/>
          <w:lang w:val="es-ES" w:eastAsia="es-ES"/>
        </w:rPr>
      </w:pPr>
      <w:r w:rsidRPr="72914A49">
        <w:rPr>
          <w:rFonts w:ascii="Verdana" w:eastAsia="Calibri" w:hAnsi="Verdana" w:cs="Arial"/>
          <w:sz w:val="20"/>
          <w:szCs w:val="20"/>
          <w:lang w:val="es-ES" w:eastAsia="es-ES"/>
        </w:rPr>
        <w:lastRenderedPageBreak/>
        <w:t xml:space="preserve">De lo expuesto, se concluye que, el constituyente previó como requisito para la suscripción de los contratos de interés público de que trata el artículo 355 de la Constitución Política que los programas o actividades que se pretendan promover por esa vía aparezcan incluidos en el plan de desarrollo respectivo y, por lo tanto, que resulten coherentes con dicho instrumento de planeación. En ese sentido, a juicio de esta Agencia, los convenios de colaboración deberán tener por objeto actividades relacionados con planes de desarrollo vigentes para el momento de celebración del contrato, es decir, que ya hayan surtido todo el procedimiento establecido en el ordenamiento jurídico. </w:t>
      </w:r>
      <w:r w:rsidRPr="72914A49">
        <w:rPr>
          <w:rFonts w:ascii="Verdana" w:eastAsia="Calibri" w:hAnsi="Verdana" w:cs="Arial"/>
          <w:i/>
          <w:iCs/>
          <w:sz w:val="20"/>
          <w:szCs w:val="20"/>
          <w:lang w:val="es-ES" w:eastAsia="es-ES"/>
        </w:rPr>
        <w:t>Contrario sensu</w:t>
      </w:r>
      <w:r w:rsidRPr="72914A49">
        <w:rPr>
          <w:rFonts w:ascii="Verdana" w:eastAsia="Calibri" w:hAnsi="Verdana" w:cs="Arial"/>
          <w:sz w:val="20"/>
          <w:szCs w:val="20"/>
          <w:lang w:val="es-ES" w:eastAsia="es-ES"/>
        </w:rPr>
        <w:t xml:space="preserve">, no podrán celebrarse convenios relacionados con actividades que constan en los proyectos de planes de desarrollo que se encuentren en trámite de aprobación. </w:t>
      </w:r>
    </w:p>
    <w:p w14:paraId="145B0788" w14:textId="77777777" w:rsidR="00532144" w:rsidRPr="00306CC0" w:rsidRDefault="00532144" w:rsidP="00306CC0">
      <w:pPr>
        <w:spacing w:after="0" w:line="240" w:lineRule="auto"/>
        <w:rPr>
          <w:rFonts w:ascii="Verdana" w:hAnsi="Verdana"/>
          <w:sz w:val="20"/>
          <w:szCs w:val="20"/>
        </w:rPr>
      </w:pPr>
    </w:p>
    <w:p w14:paraId="043081B9" w14:textId="77777777" w:rsidR="00306CC0" w:rsidRDefault="00306CC0" w:rsidP="00306CC0">
      <w:pPr>
        <w:spacing w:after="0" w:line="240" w:lineRule="auto"/>
        <w:jc w:val="both"/>
        <w:rPr>
          <w:rFonts w:ascii="Verdana" w:eastAsia="Calibri" w:hAnsi="Verdana"/>
          <w:b/>
          <w:bCs/>
          <w:lang w:val="es-ES_tradnl" w:eastAsia="es-ES_tradnl"/>
        </w:rPr>
      </w:pPr>
      <w:r w:rsidRPr="00306CC0">
        <w:rPr>
          <w:rFonts w:ascii="Verdana" w:eastAsia="Calibri" w:hAnsi="Verdana"/>
          <w:b/>
          <w:bCs/>
          <w:lang w:val="es-ES_tradnl" w:eastAsia="es-ES_tradnl"/>
        </w:rPr>
        <w:t xml:space="preserve">CONTRATOS CON ESAL – Objeto – Actividades – Funciones y cometidos </w:t>
      </w:r>
    </w:p>
    <w:p w14:paraId="505BEA33" w14:textId="77777777" w:rsidR="00306CC0" w:rsidRPr="00306CC0" w:rsidRDefault="00306CC0" w:rsidP="00306CC0">
      <w:pPr>
        <w:spacing w:after="0" w:line="240" w:lineRule="auto"/>
        <w:jc w:val="both"/>
        <w:rPr>
          <w:rFonts w:ascii="Verdana" w:eastAsia="Calibri" w:hAnsi="Verdana"/>
          <w:b/>
          <w:bCs/>
          <w:lang w:val="es-ES_tradnl" w:eastAsia="es-ES_tradnl"/>
        </w:rPr>
      </w:pPr>
    </w:p>
    <w:p w14:paraId="53ED4603" w14:textId="77777777" w:rsidR="00306CC0" w:rsidRPr="00306CC0" w:rsidRDefault="00306CC0" w:rsidP="00306CC0">
      <w:pPr>
        <w:spacing w:after="0" w:line="240" w:lineRule="auto"/>
        <w:jc w:val="both"/>
        <w:rPr>
          <w:rFonts w:ascii="Verdana" w:eastAsia="Calibri" w:hAnsi="Verdana"/>
          <w:b/>
          <w:bCs/>
          <w:sz w:val="20"/>
          <w:szCs w:val="20"/>
          <w:lang w:val="es-ES_tradnl" w:eastAsia="es-ES_tradnl"/>
        </w:rPr>
      </w:pPr>
      <w:r w:rsidRPr="00306CC0">
        <w:rPr>
          <w:rFonts w:ascii="Verdana" w:eastAsia="Calibri" w:hAnsi="Verdana" w:cs="Arial"/>
          <w:sz w:val="20"/>
          <w:szCs w:val="20"/>
        </w:rPr>
        <w:t xml:space="preserve">[…]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planes de desarrollo, para garantizar el cumplimiento de </w:t>
      </w:r>
      <w:proofErr w:type="gramStart"/>
      <w:r w:rsidRPr="00306CC0">
        <w:rPr>
          <w:rFonts w:ascii="Verdana" w:eastAsia="Calibri" w:hAnsi="Verdana" w:cs="Arial"/>
          <w:sz w:val="20"/>
          <w:szCs w:val="20"/>
        </w:rPr>
        <w:t>los mismos</w:t>
      </w:r>
      <w:proofErr w:type="gramEnd"/>
      <w:r w:rsidRPr="00306CC0">
        <w:rPr>
          <w:rFonts w:ascii="Verdana" w:eastAsia="Calibri" w:hAnsi="Verdana" w:cs="Arial"/>
          <w:sz w:val="20"/>
          <w:szCs w:val="20"/>
        </w:rPr>
        <w:t xml:space="preserve"> a través del convenio a celebrarse</w:t>
      </w:r>
    </w:p>
    <w:p w14:paraId="092FC52A" w14:textId="77777777" w:rsidR="00306CC0" w:rsidRDefault="00306CC0" w:rsidP="00306CC0">
      <w:pPr>
        <w:spacing w:after="0" w:line="240" w:lineRule="auto"/>
        <w:jc w:val="both"/>
        <w:rPr>
          <w:rFonts w:ascii="Verdana" w:eastAsia="Calibri" w:hAnsi="Verdana"/>
          <w:b/>
          <w:bCs/>
          <w:sz w:val="20"/>
          <w:szCs w:val="20"/>
          <w:lang w:val="es-ES_tradnl" w:eastAsia="es-ES_tradnl"/>
        </w:rPr>
      </w:pPr>
    </w:p>
    <w:p w14:paraId="50A3B695" w14:textId="71349472" w:rsidR="00306CC0" w:rsidRPr="00306CC0" w:rsidRDefault="00306CC0" w:rsidP="00306CC0">
      <w:pPr>
        <w:spacing w:after="0" w:line="240" w:lineRule="auto"/>
        <w:jc w:val="both"/>
        <w:rPr>
          <w:rFonts w:ascii="Verdana" w:eastAsia="Calibri" w:hAnsi="Verdana"/>
          <w:b/>
          <w:bCs/>
          <w:lang w:val="es-ES_tradnl" w:eastAsia="es-ES_tradnl"/>
        </w:rPr>
      </w:pPr>
      <w:r w:rsidRPr="00306CC0">
        <w:rPr>
          <w:rFonts w:ascii="Verdana" w:eastAsia="Calibri" w:hAnsi="Verdana"/>
          <w:b/>
          <w:bCs/>
          <w:lang w:val="es-ES_tradnl" w:eastAsia="es-ES_tradnl"/>
        </w:rPr>
        <w:t xml:space="preserve">DECRETO 092 – Ámbito de aplicación </w:t>
      </w:r>
    </w:p>
    <w:p w14:paraId="39E0E385" w14:textId="77777777" w:rsidR="00306CC0" w:rsidRDefault="00306CC0" w:rsidP="00306CC0">
      <w:pPr>
        <w:spacing w:after="0" w:line="240" w:lineRule="auto"/>
        <w:jc w:val="both"/>
        <w:rPr>
          <w:rFonts w:ascii="Verdana" w:hAnsi="Verdana" w:cs="Arial"/>
          <w:sz w:val="20"/>
          <w:szCs w:val="20"/>
        </w:rPr>
      </w:pPr>
    </w:p>
    <w:p w14:paraId="33A055A2" w14:textId="08AB9788" w:rsidR="00306CC0" w:rsidRPr="00306CC0" w:rsidRDefault="00306CC0" w:rsidP="00306CC0">
      <w:pPr>
        <w:spacing w:after="0" w:line="240" w:lineRule="auto"/>
        <w:jc w:val="both"/>
        <w:rPr>
          <w:rFonts w:ascii="Verdana" w:hAnsi="Verdana" w:cs="Arial"/>
          <w:sz w:val="20"/>
          <w:szCs w:val="20"/>
        </w:rPr>
      </w:pPr>
      <w:r w:rsidRPr="00306CC0">
        <w:rPr>
          <w:rFonts w:ascii="Verdana" w:hAnsi="Verdana" w:cs="Arial"/>
          <w:sz w:val="20"/>
          <w:szCs w:val="20"/>
        </w:rPr>
        <w:t xml:space="preserve">[…] los negocios jurídicos que regula el Decreto 092 de 2017 “[…] son esencialmente distintos a los contratos para la adquisición y aprovisionamiento de bienes, 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 </w:t>
      </w:r>
    </w:p>
    <w:p w14:paraId="29020A16" w14:textId="77777777" w:rsidR="00306CC0" w:rsidRPr="00306CC0" w:rsidRDefault="00306CC0" w:rsidP="00306CC0">
      <w:pPr>
        <w:spacing w:after="0" w:line="240" w:lineRule="auto"/>
        <w:jc w:val="both"/>
        <w:rPr>
          <w:rFonts w:ascii="Verdana" w:hAnsi="Verdana" w:cs="Arial"/>
          <w:sz w:val="20"/>
          <w:szCs w:val="20"/>
        </w:rPr>
      </w:pPr>
    </w:p>
    <w:p w14:paraId="4E49A67D" w14:textId="77777777" w:rsidR="00306CC0" w:rsidRPr="00306CC0" w:rsidRDefault="00306CC0" w:rsidP="00306CC0">
      <w:pPr>
        <w:spacing w:after="0" w:line="240" w:lineRule="auto"/>
        <w:jc w:val="both"/>
        <w:rPr>
          <w:rFonts w:ascii="Verdana" w:hAnsi="Verdana"/>
          <w:sz w:val="20"/>
          <w:szCs w:val="20"/>
        </w:rPr>
      </w:pPr>
      <w:r w:rsidRPr="00306CC0">
        <w:rPr>
          <w:rFonts w:ascii="Verdana" w:hAnsi="Verdana" w:cs="Arial"/>
          <w:sz w:val="20"/>
          <w:szCs w:val="20"/>
        </w:rPr>
        <w:t xml:space="preserve">[…] </w:t>
      </w:r>
      <w:r w:rsidRPr="00306CC0">
        <w:rPr>
          <w:rFonts w:ascii="Verdana" w:eastAsia="Calibri" w:hAnsi="Verdana" w:cs="Arial"/>
          <w:sz w:val="20"/>
          <w:szCs w:val="20"/>
        </w:rPr>
        <w:t>no todas las actividades que las Entidades Estatales deben desarrollar para alcanzar sus objetivos misionales deben ejecutarse a través de la celebración de contratos del artículo 355 superior o convenios de asociación. Sobre el particular,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w:t>
      </w:r>
    </w:p>
    <w:p w14:paraId="24A25F58" w14:textId="77777777" w:rsidR="00306CC0" w:rsidRDefault="00306CC0" w:rsidP="006D69C7">
      <w:pPr>
        <w:rPr>
          <w:rFonts w:ascii="Century Gothic" w:hAnsi="Century Gothic"/>
        </w:rPr>
      </w:pPr>
    </w:p>
    <w:p w14:paraId="7A24EAF0" w14:textId="4444897B" w:rsidR="006D69C7" w:rsidRPr="00CE0792" w:rsidRDefault="006D69C7" w:rsidP="006D69C7">
      <w:pPr>
        <w:rPr>
          <w:rFonts w:ascii="Century Gothic" w:hAnsi="Century Gothic"/>
          <w:b/>
          <w:bCs/>
        </w:rPr>
      </w:pPr>
      <w:r w:rsidRPr="00CE0792">
        <w:rPr>
          <w:rFonts w:ascii="Century Gothic" w:hAnsi="Century Gothic"/>
          <w:b/>
          <w:bCs/>
        </w:rPr>
        <w:br w:type="page"/>
      </w:r>
    </w:p>
    <w:p w14:paraId="3FE2184B" w14:textId="118C1BE9" w:rsidR="00E245AB" w:rsidRPr="0044528D" w:rsidRDefault="00FF4350" w:rsidP="00306CC0">
      <w:pPr>
        <w:rPr>
          <w:rFonts w:ascii="Verdana" w:hAnsi="Verdana"/>
        </w:rPr>
      </w:pPr>
      <w:r>
        <w:rPr>
          <w:rFonts w:ascii="Verdana" w:hAnsi="Verdana"/>
        </w:rPr>
        <w:lastRenderedPageBreak/>
        <w:t xml:space="preserve">Bogotá </w:t>
      </w:r>
      <w:r w:rsidR="00E245AB" w:rsidRPr="0044528D">
        <w:rPr>
          <w:rFonts w:ascii="Verdana" w:hAnsi="Verdana"/>
        </w:rPr>
        <w:t xml:space="preserve">D.C., </w:t>
      </w:r>
      <w:r w:rsidR="0005479C">
        <w:rPr>
          <w:rFonts w:ascii="Verdana" w:hAnsi="Verdana"/>
        </w:rPr>
        <w:t>16 de julio de 2024</w:t>
      </w:r>
      <w:r w:rsidR="00891928" w:rsidRPr="0044528D">
        <w:rPr>
          <w:rFonts w:ascii="Verdana" w:hAnsi="Verdana"/>
        </w:rPr>
        <w:tab/>
      </w:r>
    </w:p>
    <w:bookmarkEnd w:id="0"/>
    <w:p w14:paraId="7EECB86D" w14:textId="581AF48D" w:rsidR="00B93478" w:rsidRDefault="0005479C" w:rsidP="0005479C">
      <w:pPr>
        <w:spacing w:after="0" w:line="276" w:lineRule="auto"/>
        <w:jc w:val="right"/>
        <w:textAlignment w:val="baseline"/>
        <w:rPr>
          <w:rFonts w:ascii="Verdana" w:hAnsi="Verdana"/>
        </w:rPr>
      </w:pPr>
      <w:r>
        <w:rPr>
          <w:noProof/>
        </w:rPr>
        <w:drawing>
          <wp:inline distT="0" distB="0" distL="0" distR="0" wp14:anchorId="1D24BB76" wp14:editId="24AD20B4">
            <wp:extent cx="3343275" cy="990600"/>
            <wp:effectExtent l="0" t="0" r="9525" b="0"/>
            <wp:docPr id="182151422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14224" name="Imagen 1" descr="Texto&#10;&#10;Descripción generada automáticamente"/>
                    <pic:cNvPicPr/>
                  </pic:nvPicPr>
                  <pic:blipFill>
                    <a:blip r:embed="rId11"/>
                    <a:stretch>
                      <a:fillRect/>
                    </a:stretch>
                  </pic:blipFill>
                  <pic:spPr>
                    <a:xfrm>
                      <a:off x="0" y="0"/>
                      <a:ext cx="3343275" cy="990600"/>
                    </a:xfrm>
                    <a:prstGeom prst="rect">
                      <a:avLst/>
                    </a:prstGeom>
                  </pic:spPr>
                </pic:pic>
              </a:graphicData>
            </a:graphic>
          </wp:inline>
        </w:drawing>
      </w:r>
    </w:p>
    <w:p w14:paraId="3D453C42" w14:textId="72D560BA" w:rsidR="00B93478" w:rsidRPr="0015698C" w:rsidRDefault="00B93478" w:rsidP="00B93478">
      <w:pPr>
        <w:spacing w:after="0" w:line="276" w:lineRule="auto"/>
        <w:textAlignment w:val="baseline"/>
        <w:rPr>
          <w:rFonts w:ascii="Verdana" w:eastAsia="Calibri" w:hAnsi="Verdana" w:cs="Arial"/>
          <w:lang w:val="es-ES" w:eastAsia="es-ES"/>
        </w:rPr>
      </w:pPr>
      <w:r w:rsidRPr="0015698C">
        <w:rPr>
          <w:rFonts w:ascii="Verdana" w:eastAsia="Calibri" w:hAnsi="Verdana" w:cs="Arial"/>
          <w:lang w:val="es-ES" w:eastAsia="es-ES"/>
        </w:rPr>
        <w:t>Señora</w:t>
      </w:r>
    </w:p>
    <w:p w14:paraId="24257D88" w14:textId="77777777" w:rsidR="00B93478" w:rsidRPr="0015698C" w:rsidRDefault="00B93478" w:rsidP="00B93478">
      <w:pPr>
        <w:spacing w:after="0" w:line="276" w:lineRule="auto"/>
        <w:rPr>
          <w:rFonts w:ascii="Verdana" w:hAnsi="Verdana"/>
          <w:b/>
          <w:bCs/>
          <w:color w:val="000000"/>
        </w:rPr>
      </w:pPr>
      <w:r w:rsidRPr="0015698C">
        <w:rPr>
          <w:rFonts w:ascii="Verdana" w:hAnsi="Verdana"/>
          <w:b/>
          <w:bCs/>
          <w:color w:val="000000"/>
        </w:rPr>
        <w:t>Paula Remolina</w:t>
      </w:r>
    </w:p>
    <w:p w14:paraId="4D4D7DCE" w14:textId="77777777" w:rsidR="00B93478" w:rsidRDefault="00B93478" w:rsidP="00B93478">
      <w:pPr>
        <w:spacing w:after="0" w:line="276" w:lineRule="auto"/>
        <w:rPr>
          <w:rFonts w:ascii="Verdana" w:eastAsia="Calibri" w:hAnsi="Verdana" w:cs="Arial"/>
          <w:lang w:val="es-ES" w:eastAsia="es-ES"/>
        </w:rPr>
      </w:pPr>
      <w:r w:rsidRPr="0015698C">
        <w:rPr>
          <w:rFonts w:ascii="Verdana" w:eastAsia="Calibri" w:hAnsi="Verdana" w:cs="Arial"/>
          <w:lang w:val="es-ES" w:eastAsia="es-ES"/>
        </w:rPr>
        <w:t>Ciudad</w:t>
      </w:r>
    </w:p>
    <w:p w14:paraId="30E038E7" w14:textId="77777777" w:rsidR="00B93478" w:rsidRPr="0015698C" w:rsidRDefault="00B93478" w:rsidP="00B93478">
      <w:pPr>
        <w:spacing w:after="0" w:line="276" w:lineRule="auto"/>
        <w:rPr>
          <w:rFonts w:ascii="Verdana" w:eastAsia="Calibri" w:hAnsi="Verdana" w:cs="Arial"/>
          <w:b/>
          <w:bCs/>
          <w:lang w:val="es-ES" w:eastAsia="es-ES"/>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B93478" w:rsidRPr="0015698C" w14:paraId="40DD2AD6" w14:textId="77777777" w:rsidTr="00B3294C">
        <w:trPr>
          <w:trHeight w:val="884"/>
        </w:trPr>
        <w:tc>
          <w:tcPr>
            <w:tcW w:w="2689" w:type="dxa"/>
          </w:tcPr>
          <w:p w14:paraId="24F3D36E" w14:textId="77777777" w:rsidR="00B93478" w:rsidRPr="0015698C" w:rsidRDefault="00B93478" w:rsidP="00B3294C">
            <w:pPr>
              <w:spacing w:line="276" w:lineRule="auto"/>
              <w:jc w:val="both"/>
              <w:rPr>
                <w:rFonts w:ascii="Verdana" w:eastAsia="Calibri" w:hAnsi="Verdana" w:cs="Arial"/>
                <w:b/>
                <w:bCs/>
                <w:lang w:val="es-ES_tradnl" w:eastAsia="es-ES_tradnl"/>
              </w:rPr>
            </w:pPr>
          </w:p>
        </w:tc>
        <w:tc>
          <w:tcPr>
            <w:tcW w:w="6100" w:type="dxa"/>
          </w:tcPr>
          <w:p w14:paraId="3902F0D0" w14:textId="77777777" w:rsidR="00B93478" w:rsidRPr="0015698C" w:rsidRDefault="00B93478" w:rsidP="00B3294C">
            <w:pPr>
              <w:spacing w:line="276" w:lineRule="auto"/>
              <w:jc w:val="both"/>
              <w:rPr>
                <w:rFonts w:ascii="Verdana" w:eastAsia="Calibri" w:hAnsi="Verdana" w:cs="Arial"/>
                <w:b/>
                <w:bCs/>
                <w:lang w:val="es-ES" w:eastAsia="es-ES"/>
              </w:rPr>
            </w:pPr>
            <w:r w:rsidRPr="0015698C">
              <w:rPr>
                <w:rFonts w:ascii="Verdana" w:eastAsia="Calibri" w:hAnsi="Verdana" w:cs="Arial"/>
                <w:b/>
                <w:bCs/>
                <w:lang w:val="es-ES" w:eastAsia="es-ES"/>
              </w:rPr>
              <w:t>Concepto C-115 de 2024</w:t>
            </w:r>
          </w:p>
        </w:tc>
      </w:tr>
      <w:tr w:rsidR="00B93478" w:rsidRPr="0015698C" w14:paraId="7732B9C2" w14:textId="77777777" w:rsidTr="00B3294C">
        <w:trPr>
          <w:trHeight w:val="884"/>
        </w:trPr>
        <w:tc>
          <w:tcPr>
            <w:tcW w:w="2689" w:type="dxa"/>
          </w:tcPr>
          <w:p w14:paraId="7FC13452" w14:textId="77777777" w:rsidR="00B93478" w:rsidRPr="0015698C" w:rsidRDefault="00B93478" w:rsidP="00B3294C">
            <w:pPr>
              <w:spacing w:line="276" w:lineRule="auto"/>
              <w:jc w:val="both"/>
              <w:rPr>
                <w:rFonts w:ascii="Verdana" w:eastAsia="Calibri" w:hAnsi="Verdana" w:cs="Arial"/>
                <w:lang w:val="es-ES_tradnl" w:eastAsia="es-ES_tradnl"/>
              </w:rPr>
            </w:pPr>
            <w:r w:rsidRPr="0015698C">
              <w:rPr>
                <w:rFonts w:ascii="Verdana" w:eastAsia="Calibri" w:hAnsi="Verdana" w:cs="Arial"/>
                <w:b/>
                <w:lang w:val="es-ES_tradnl" w:eastAsia="es-ES_tradnl"/>
              </w:rPr>
              <w:t>Temas:</w:t>
            </w:r>
            <w:r w:rsidRPr="0015698C">
              <w:rPr>
                <w:rFonts w:ascii="Verdana" w:eastAsia="Calibri" w:hAnsi="Verdana" w:cs="Arial"/>
                <w:lang w:val="es-ES_tradnl" w:eastAsia="es-ES_tradnl"/>
              </w:rPr>
              <w:t xml:space="preserve">                   </w:t>
            </w:r>
          </w:p>
        </w:tc>
        <w:tc>
          <w:tcPr>
            <w:tcW w:w="6100" w:type="dxa"/>
          </w:tcPr>
          <w:p w14:paraId="3201332A" w14:textId="77777777" w:rsidR="00B93478" w:rsidRDefault="00B93478" w:rsidP="00B3294C">
            <w:pPr>
              <w:spacing w:line="276" w:lineRule="auto"/>
              <w:jc w:val="both"/>
              <w:rPr>
                <w:rFonts w:ascii="Verdana" w:eastAsia="Calibri" w:hAnsi="Verdana"/>
                <w:lang w:val="es-ES_tradnl" w:eastAsia="es-ES_tradnl"/>
              </w:rPr>
            </w:pPr>
            <w:r w:rsidRPr="00BE3931">
              <w:rPr>
                <w:rFonts w:ascii="Verdana" w:eastAsia="Times New Roman" w:hAnsi="Verdana"/>
                <w:lang w:val="es-ES_tradnl" w:eastAsia="es-ES_tradnl"/>
              </w:rPr>
              <w:t xml:space="preserve">CONTRATOS CON ESAL </w:t>
            </w:r>
            <w:r w:rsidRPr="00BE3931">
              <w:rPr>
                <w:rFonts w:ascii="Verdana" w:eastAsia="Calibri" w:hAnsi="Verdana"/>
                <w:lang w:val="es-ES_tradnl" w:eastAsia="es-ES_tradnl"/>
              </w:rPr>
              <w:t>–</w:t>
            </w:r>
            <w:r w:rsidRPr="00BE3931">
              <w:rPr>
                <w:rFonts w:ascii="Verdana" w:eastAsia="Times New Roman" w:hAnsi="Verdana"/>
                <w:lang w:val="es-ES_tradnl" w:eastAsia="es-ES_tradnl"/>
              </w:rPr>
              <w:t xml:space="preserve"> Constitución </w:t>
            </w:r>
            <w:r w:rsidRPr="00BE3931">
              <w:rPr>
                <w:rFonts w:ascii="Verdana" w:eastAsia="Calibri" w:hAnsi="Verdana"/>
                <w:lang w:val="es-ES_tradnl" w:eastAsia="es-ES_tradnl"/>
              </w:rPr>
              <w:t xml:space="preserve">– </w:t>
            </w:r>
            <w:r w:rsidRPr="00BE3931">
              <w:rPr>
                <w:rFonts w:ascii="Verdana" w:eastAsia="Times New Roman" w:hAnsi="Verdana"/>
                <w:lang w:val="es-ES_tradnl" w:eastAsia="es-ES_tradnl"/>
              </w:rPr>
              <w:t xml:space="preserve">Artículo 355 </w:t>
            </w:r>
            <w:r w:rsidRPr="00BE3931">
              <w:rPr>
                <w:rFonts w:ascii="Verdana" w:eastAsia="Calibri" w:hAnsi="Verdana"/>
                <w:lang w:val="es-ES_tradnl" w:eastAsia="es-ES_tradnl"/>
              </w:rPr>
              <w:t xml:space="preserve">– Fundamento / </w:t>
            </w:r>
            <w:r w:rsidRPr="00BE3931">
              <w:rPr>
                <w:rFonts w:ascii="Verdana" w:eastAsia="Times New Roman" w:hAnsi="Verdana"/>
                <w:lang w:val="es-ES_tradnl" w:eastAsia="es-ES_tradnl"/>
              </w:rPr>
              <w:t xml:space="preserve">TIPOS DE CONTRATOS </w:t>
            </w:r>
            <w:r w:rsidRPr="00BE3931">
              <w:rPr>
                <w:rFonts w:ascii="Verdana" w:eastAsia="Calibri" w:hAnsi="Verdana"/>
                <w:lang w:val="es-ES_tradnl" w:eastAsia="es-ES_tradnl"/>
              </w:rPr>
              <w:t xml:space="preserve">– ESAL – Constitución Política – </w:t>
            </w:r>
            <w:r w:rsidRPr="00BE3931">
              <w:rPr>
                <w:rFonts w:ascii="Verdana" w:eastAsia="Times New Roman" w:hAnsi="Verdana"/>
                <w:lang w:val="es-ES_tradnl" w:eastAsia="es-ES_tradnl"/>
              </w:rPr>
              <w:t xml:space="preserve">Artículo 355 </w:t>
            </w:r>
            <w:r w:rsidRPr="00BE3931">
              <w:rPr>
                <w:rFonts w:ascii="Verdana" w:eastAsia="Calibri" w:hAnsi="Verdana"/>
                <w:lang w:val="es-ES_tradnl" w:eastAsia="es-ES_tradnl"/>
              </w:rPr>
              <w:t xml:space="preserve">– Ley 489 – Artículo 96 / CONTRATOS CON ESAL – Objeto – Actividades – Planes de Desarrollo / CONTRATOS CON ESAL – Objeto – Actividades – Funciones y cometidos / DECRETO 092 – Ámbito de aplicación </w:t>
            </w:r>
          </w:p>
          <w:p w14:paraId="73149205" w14:textId="77777777" w:rsidR="00B93478" w:rsidRPr="0015698C" w:rsidRDefault="00B93478" w:rsidP="00B3294C">
            <w:pPr>
              <w:spacing w:line="276" w:lineRule="auto"/>
              <w:jc w:val="both"/>
              <w:rPr>
                <w:rFonts w:ascii="Verdana" w:eastAsia="Calibri" w:hAnsi="Verdana" w:cs="Arial"/>
                <w:lang w:eastAsia="es-ES"/>
              </w:rPr>
            </w:pPr>
          </w:p>
        </w:tc>
      </w:tr>
      <w:tr w:rsidR="00B93478" w:rsidRPr="0015698C" w14:paraId="26FDCD6D" w14:textId="77777777" w:rsidTr="00B3294C">
        <w:tc>
          <w:tcPr>
            <w:tcW w:w="2689" w:type="dxa"/>
          </w:tcPr>
          <w:p w14:paraId="700D2FB3" w14:textId="77777777" w:rsidR="00B93478" w:rsidRPr="0015698C" w:rsidRDefault="00B93478" w:rsidP="00B3294C">
            <w:pPr>
              <w:spacing w:line="276" w:lineRule="auto"/>
              <w:jc w:val="both"/>
              <w:rPr>
                <w:rFonts w:ascii="Verdana" w:eastAsia="Calibri" w:hAnsi="Verdana" w:cs="Arial"/>
                <w:b/>
                <w:lang w:val="es-ES_tradnl" w:eastAsia="es-ES_tradnl"/>
              </w:rPr>
            </w:pPr>
            <w:r w:rsidRPr="0015698C">
              <w:rPr>
                <w:rFonts w:ascii="Verdana" w:eastAsia="Calibri" w:hAnsi="Verdana" w:cs="Arial"/>
                <w:b/>
                <w:lang w:val="es-ES_tradnl" w:eastAsia="es-ES_tradnl"/>
              </w:rPr>
              <w:t>Radicación:</w:t>
            </w:r>
            <w:r w:rsidRPr="0015698C">
              <w:rPr>
                <w:rFonts w:ascii="Verdana" w:eastAsia="Calibri" w:hAnsi="Verdana" w:cs="Arial"/>
                <w:lang w:val="es-ES_tradnl" w:eastAsia="es-ES_tradnl"/>
              </w:rPr>
              <w:t xml:space="preserve">               </w:t>
            </w:r>
          </w:p>
        </w:tc>
        <w:tc>
          <w:tcPr>
            <w:tcW w:w="6100" w:type="dxa"/>
          </w:tcPr>
          <w:p w14:paraId="44EBD958" w14:textId="77777777" w:rsidR="00B93478" w:rsidRPr="0015698C" w:rsidRDefault="00B93478" w:rsidP="00B3294C">
            <w:pPr>
              <w:spacing w:line="276" w:lineRule="auto"/>
              <w:jc w:val="both"/>
              <w:rPr>
                <w:rFonts w:ascii="Verdana" w:eastAsia="Calibri" w:hAnsi="Verdana" w:cs="Arial"/>
                <w:lang w:val="es-ES_tradnl" w:eastAsia="es-ES_tradnl"/>
              </w:rPr>
            </w:pPr>
            <w:r w:rsidRPr="0015698C">
              <w:rPr>
                <w:rFonts w:ascii="Verdana" w:eastAsia="Calibri" w:hAnsi="Verdana" w:cs="Arial"/>
                <w:lang w:val="es-ES_tradnl" w:eastAsia="es-ES_tradnl"/>
              </w:rPr>
              <w:t>Respuesta a consulta con radicado No. P20240531005715</w:t>
            </w:r>
          </w:p>
        </w:tc>
      </w:tr>
    </w:tbl>
    <w:p w14:paraId="71BE9ADF" w14:textId="77777777" w:rsidR="00B93478" w:rsidRPr="0015698C" w:rsidRDefault="00B93478" w:rsidP="00B93478">
      <w:pPr>
        <w:spacing w:after="0" w:line="276" w:lineRule="auto"/>
        <w:jc w:val="both"/>
        <w:rPr>
          <w:rFonts w:ascii="Verdana" w:eastAsia="Calibri" w:hAnsi="Verdana" w:cs="Arial"/>
          <w:lang w:val="es-ES_tradnl" w:eastAsia="es-ES_tradnl"/>
        </w:rPr>
      </w:pPr>
    </w:p>
    <w:p w14:paraId="384859C5" w14:textId="77777777" w:rsidR="00B93478" w:rsidRPr="0015698C" w:rsidRDefault="00B93478" w:rsidP="00B93478">
      <w:pPr>
        <w:spacing w:after="0" w:line="276" w:lineRule="auto"/>
        <w:jc w:val="both"/>
        <w:rPr>
          <w:rFonts w:ascii="Verdana" w:eastAsia="Calibri" w:hAnsi="Verdana" w:cs="Arial"/>
          <w:lang w:val="es-ES_tradnl" w:eastAsia="es-ES_tradnl"/>
        </w:rPr>
      </w:pPr>
    </w:p>
    <w:p w14:paraId="4AA89EAD" w14:textId="77777777" w:rsidR="00B93478" w:rsidRPr="0015698C" w:rsidRDefault="00B93478" w:rsidP="00B93478">
      <w:pPr>
        <w:spacing w:after="0" w:line="276" w:lineRule="auto"/>
        <w:jc w:val="both"/>
        <w:rPr>
          <w:rFonts w:ascii="Verdana" w:eastAsia="Calibri" w:hAnsi="Verdana" w:cs="Arial"/>
          <w:lang w:val="es-ES" w:eastAsia="es-ES"/>
        </w:rPr>
      </w:pPr>
      <w:r w:rsidRPr="0015698C">
        <w:rPr>
          <w:rFonts w:ascii="Verdana" w:eastAsia="Calibri" w:hAnsi="Verdana" w:cs="Arial"/>
          <w:lang w:val="es-ES" w:eastAsia="es-ES"/>
        </w:rPr>
        <w:t xml:space="preserve">Estimada señora Remolina: </w:t>
      </w:r>
    </w:p>
    <w:p w14:paraId="41DC30F5" w14:textId="77777777" w:rsidR="00B93478" w:rsidRPr="0015698C" w:rsidRDefault="00B93478" w:rsidP="00B93478">
      <w:pPr>
        <w:tabs>
          <w:tab w:val="left" w:pos="3768"/>
        </w:tabs>
        <w:spacing w:after="0" w:line="276" w:lineRule="auto"/>
        <w:jc w:val="both"/>
        <w:rPr>
          <w:rFonts w:ascii="Verdana" w:eastAsia="Calibri" w:hAnsi="Verdana" w:cs="Arial"/>
          <w:lang w:val="es-ES" w:eastAsia="es-ES"/>
        </w:rPr>
      </w:pPr>
      <w:r w:rsidRPr="0015698C">
        <w:rPr>
          <w:rFonts w:ascii="Verdana" w:eastAsia="Calibri" w:hAnsi="Verdana" w:cs="Arial"/>
          <w:lang w:val="es-ES" w:eastAsia="es-ES"/>
        </w:rPr>
        <w:tab/>
      </w:r>
    </w:p>
    <w:p w14:paraId="374F063D" w14:textId="77777777" w:rsidR="00B93478" w:rsidRPr="0015698C" w:rsidRDefault="00B93478" w:rsidP="00B93478">
      <w:pPr>
        <w:spacing w:after="0" w:line="276" w:lineRule="auto"/>
        <w:jc w:val="both"/>
        <w:rPr>
          <w:rFonts w:ascii="Verdana" w:eastAsia="Calibri" w:hAnsi="Verdana" w:cs="Arial"/>
          <w:lang w:val="es-ES" w:eastAsia="es-ES"/>
        </w:rPr>
      </w:pPr>
      <w:r w:rsidRPr="0015698C">
        <w:rPr>
          <w:rFonts w:ascii="Verdana" w:eastAsia="Calibri" w:hAnsi="Verdana" w:cs="Arial"/>
          <w:lang w:val="es-ES" w:eastAsia="es-ES"/>
        </w:rPr>
        <w:t>En ejercicio de la competencia otorgada por los artículos 3, numeral 5º, y 11, numeral 8º, del Decreto Ley 4170 de 2011,</w:t>
      </w:r>
      <w:r w:rsidRPr="0015698C">
        <w:rPr>
          <w:rFonts w:ascii="Verdana" w:eastAsia="Arial MT" w:hAnsi="Verdana" w:cs="Arial MT"/>
          <w:lang w:val="es-ES" w:eastAsia="es-ES"/>
        </w:rPr>
        <w:t xml:space="preserve"> </w:t>
      </w:r>
      <w:r w:rsidRPr="0015698C">
        <w:rPr>
          <w:rFonts w:ascii="Verdana" w:hAnsi="Verdana" w:cs="Arial"/>
        </w:rPr>
        <w:t xml:space="preserve">así como lo establecido en el artículo 4 de la Resolución 1707 de 2018 expedida por esta Entidad, </w:t>
      </w:r>
      <w:r w:rsidRPr="0015698C">
        <w:rPr>
          <w:rFonts w:ascii="Verdana" w:eastAsia="Calibri" w:hAnsi="Verdana" w:cs="Arial"/>
          <w:lang w:val="es-ES" w:eastAsia="es-ES"/>
        </w:rPr>
        <w:t xml:space="preserve">la Agencia Nacional de Contratación Pública – Colombia Compra Eficiente– responde su solicitud de consulta de fecha 31 de mayo de 2024, en la cual manifiesta lo siguiente: </w:t>
      </w:r>
    </w:p>
    <w:p w14:paraId="6DAF26D4" w14:textId="77777777" w:rsidR="00B93478" w:rsidRPr="0015698C" w:rsidRDefault="00B93478" w:rsidP="00B9347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3717698" w14:textId="77777777" w:rsidR="00B93478" w:rsidRPr="00F06028" w:rsidRDefault="00B93478" w:rsidP="00B93478">
      <w:pPr>
        <w:spacing w:after="0" w:line="240" w:lineRule="auto"/>
        <w:ind w:left="709" w:right="709"/>
        <w:jc w:val="both"/>
        <w:rPr>
          <w:rFonts w:ascii="Verdana" w:eastAsia="Times New Roman" w:hAnsi="Verdana" w:cs="Calibri"/>
          <w:color w:val="000000"/>
          <w:sz w:val="20"/>
          <w:szCs w:val="20"/>
          <w:lang w:eastAsia="es-CO"/>
        </w:rPr>
      </w:pPr>
      <w:bookmarkStart w:id="1" w:name="_Hlk95313578"/>
      <w:r w:rsidRPr="00F06028">
        <w:rPr>
          <w:rFonts w:ascii="Verdana" w:eastAsia="Century Gothic" w:hAnsi="Verdana" w:cs="Century Gothic"/>
          <w:sz w:val="20"/>
          <w:szCs w:val="20"/>
          <w:lang w:val="es-ES"/>
        </w:rPr>
        <w:t>“</w:t>
      </w:r>
      <w:r w:rsidRPr="00F06028">
        <w:rPr>
          <w:rFonts w:ascii="Verdana" w:eastAsia="Times New Roman" w:hAnsi="Verdana" w:cs="Calibri"/>
          <w:color w:val="000000"/>
          <w:sz w:val="20"/>
          <w:szCs w:val="20"/>
          <w:lang w:eastAsia="es-CO"/>
        </w:rPr>
        <w:t>¿Puede una entidad pública, a través de la contratación con Entidades Sin Ánimo de Lucro regulada en el Decreto 092 de 2017, ejecutar proyectos propios o de bienestar laboral?</w:t>
      </w:r>
    </w:p>
    <w:p w14:paraId="62DF8E7E" w14:textId="77777777" w:rsidR="00B93478" w:rsidRPr="00F06028" w:rsidRDefault="00B93478" w:rsidP="00B93478">
      <w:pPr>
        <w:spacing w:after="0" w:line="240" w:lineRule="auto"/>
        <w:ind w:left="709" w:right="709"/>
        <w:jc w:val="both"/>
        <w:rPr>
          <w:rFonts w:ascii="Verdana" w:eastAsia="Times New Roman" w:hAnsi="Verdana" w:cs="Calibri"/>
          <w:color w:val="000000"/>
          <w:sz w:val="20"/>
          <w:szCs w:val="20"/>
          <w:lang w:eastAsia="es-CO"/>
        </w:rPr>
      </w:pPr>
    </w:p>
    <w:p w14:paraId="356A598E" w14:textId="77777777" w:rsidR="00B93478" w:rsidRPr="00F06028" w:rsidRDefault="00B93478" w:rsidP="00B93478">
      <w:pPr>
        <w:spacing w:after="0" w:line="240" w:lineRule="auto"/>
        <w:ind w:left="709" w:right="709"/>
        <w:jc w:val="both"/>
        <w:rPr>
          <w:rFonts w:ascii="Verdana" w:eastAsia="Times New Roman" w:hAnsi="Verdana" w:cs="Calibri"/>
          <w:color w:val="000000"/>
          <w:sz w:val="20"/>
          <w:szCs w:val="20"/>
          <w:lang w:eastAsia="es-CO"/>
        </w:rPr>
      </w:pPr>
      <w:r w:rsidRPr="00F06028">
        <w:rPr>
          <w:rFonts w:ascii="Verdana" w:eastAsia="Times New Roman" w:hAnsi="Verdana" w:cs="Calibri"/>
          <w:color w:val="000000"/>
          <w:sz w:val="20"/>
          <w:szCs w:val="20"/>
          <w:lang w:eastAsia="es-CO"/>
        </w:rPr>
        <w:t xml:space="preserve">¿Es viable celebrar un Convenio de Asociación con una entidad estatal para la ejecución de prestación de servicios de alquiler, logística o suministro </w:t>
      </w:r>
      <w:r w:rsidRPr="00F06028">
        <w:rPr>
          <w:rFonts w:ascii="Verdana" w:eastAsia="Times New Roman" w:hAnsi="Verdana" w:cs="Calibri"/>
          <w:color w:val="000000"/>
          <w:sz w:val="20"/>
          <w:szCs w:val="20"/>
          <w:lang w:eastAsia="es-CO"/>
        </w:rPr>
        <w:lastRenderedPageBreak/>
        <w:t xml:space="preserve">de equipos u alimentación con ESAL cuya objeto está relacionado con la organización de eventos y recibe una apreciación económica con el desarrollo del convenio? celebrar este tipo de convenios iría en contravía de </w:t>
      </w:r>
      <w:proofErr w:type="spellStart"/>
      <w:r w:rsidRPr="00F06028">
        <w:rPr>
          <w:rFonts w:ascii="Verdana" w:eastAsia="Times New Roman" w:hAnsi="Verdana" w:cs="Calibri"/>
          <w:color w:val="000000"/>
          <w:sz w:val="20"/>
          <w:szCs w:val="20"/>
          <w:lang w:eastAsia="es-CO"/>
        </w:rPr>
        <w:t>a</w:t>
      </w:r>
      <w:proofErr w:type="spellEnd"/>
      <w:r w:rsidRPr="00F06028">
        <w:rPr>
          <w:rFonts w:ascii="Verdana" w:eastAsia="Times New Roman" w:hAnsi="Verdana" w:cs="Calibri"/>
          <w:color w:val="000000"/>
          <w:sz w:val="20"/>
          <w:szCs w:val="20"/>
          <w:lang w:eastAsia="es-CO"/>
        </w:rPr>
        <w:t xml:space="preserve"> Ley 489 de 1998, dado que se entiende que la </w:t>
      </w:r>
      <w:proofErr w:type="spellStart"/>
      <w:r w:rsidRPr="00F06028">
        <w:rPr>
          <w:rFonts w:ascii="Verdana" w:eastAsia="Times New Roman" w:hAnsi="Verdana" w:cs="Calibri"/>
          <w:color w:val="000000"/>
          <w:sz w:val="20"/>
          <w:szCs w:val="20"/>
          <w:lang w:eastAsia="es-CO"/>
        </w:rPr>
        <w:t>IEs</w:t>
      </w:r>
      <w:proofErr w:type="spellEnd"/>
      <w:r w:rsidRPr="00F06028">
        <w:rPr>
          <w:rFonts w:ascii="Verdana" w:eastAsia="Times New Roman" w:hAnsi="Verdana" w:cs="Calibri"/>
          <w:color w:val="000000"/>
          <w:sz w:val="20"/>
          <w:szCs w:val="20"/>
          <w:lang w:eastAsia="es-CO"/>
        </w:rPr>
        <w:t xml:space="preserve"> no se asocia con el Estado con el motivo meramente lucrativo de obtener utilidades, por el contrario, el convenio de asociación pretende alcanzar objetivos de interés público.</w:t>
      </w:r>
    </w:p>
    <w:p w14:paraId="4BFA7800" w14:textId="77777777" w:rsidR="00B93478" w:rsidRPr="00F06028" w:rsidRDefault="00B93478" w:rsidP="00B93478">
      <w:pPr>
        <w:spacing w:after="0" w:line="240" w:lineRule="auto"/>
        <w:ind w:left="709" w:right="709"/>
        <w:jc w:val="both"/>
        <w:rPr>
          <w:rFonts w:ascii="Verdana" w:eastAsia="Times New Roman" w:hAnsi="Verdana" w:cs="Calibri"/>
          <w:color w:val="000000"/>
          <w:sz w:val="20"/>
          <w:szCs w:val="20"/>
          <w:lang w:eastAsia="es-CO"/>
        </w:rPr>
      </w:pPr>
    </w:p>
    <w:p w14:paraId="62DA628D" w14:textId="77777777" w:rsidR="00B93478" w:rsidRPr="00F06028" w:rsidRDefault="00B93478" w:rsidP="00B93478">
      <w:pPr>
        <w:spacing w:after="0" w:line="240" w:lineRule="auto"/>
        <w:ind w:left="709" w:right="709"/>
        <w:jc w:val="both"/>
        <w:rPr>
          <w:rFonts w:ascii="Verdana" w:eastAsia="Times New Roman" w:hAnsi="Verdana" w:cs="Calibri"/>
          <w:color w:val="000000"/>
          <w:sz w:val="20"/>
          <w:szCs w:val="20"/>
          <w:lang w:eastAsia="es-CO"/>
        </w:rPr>
      </w:pPr>
      <w:r w:rsidRPr="00F06028">
        <w:rPr>
          <w:rFonts w:ascii="Verdana" w:eastAsia="Times New Roman" w:hAnsi="Verdana" w:cs="Calibri"/>
          <w:color w:val="000000"/>
          <w:sz w:val="20"/>
          <w:szCs w:val="20"/>
          <w:lang w:eastAsia="es-CO"/>
        </w:rPr>
        <w:t xml:space="preserve">¿Es viable que la ESAL que suscribe el Convenio de Asociación realice por </w:t>
      </w:r>
      <w:proofErr w:type="spellStart"/>
      <w:r w:rsidRPr="00F06028">
        <w:rPr>
          <w:rFonts w:ascii="Verdana" w:eastAsia="Times New Roman" w:hAnsi="Verdana" w:cs="Calibri"/>
          <w:color w:val="000000"/>
          <w:sz w:val="20"/>
          <w:szCs w:val="20"/>
          <w:lang w:eastAsia="es-CO"/>
        </w:rPr>
        <w:t>si</w:t>
      </w:r>
      <w:proofErr w:type="spellEnd"/>
      <w:r w:rsidRPr="00F06028">
        <w:rPr>
          <w:rFonts w:ascii="Verdana" w:eastAsia="Times New Roman" w:hAnsi="Verdana" w:cs="Calibri"/>
          <w:color w:val="000000"/>
          <w:sz w:val="20"/>
          <w:szCs w:val="20"/>
          <w:lang w:eastAsia="es-CO"/>
        </w:rPr>
        <w:t xml:space="preserve"> misma la ejecución de las actividades del convenio en lugar de subcontratar, y como contratista ejecutora de las actividades pueda obtener un margen de utilidad o ganancia?</w:t>
      </w:r>
    </w:p>
    <w:p w14:paraId="6F03B128" w14:textId="77777777" w:rsidR="00B93478" w:rsidRPr="00F06028" w:rsidRDefault="00B93478" w:rsidP="00B93478">
      <w:pPr>
        <w:spacing w:after="0" w:line="240" w:lineRule="auto"/>
        <w:ind w:left="709" w:right="709"/>
        <w:jc w:val="both"/>
        <w:rPr>
          <w:rFonts w:ascii="Verdana" w:eastAsia="Times New Roman" w:hAnsi="Verdana" w:cs="Calibri"/>
          <w:color w:val="000000"/>
          <w:sz w:val="20"/>
          <w:szCs w:val="20"/>
          <w:lang w:eastAsia="es-CO"/>
        </w:rPr>
      </w:pPr>
    </w:p>
    <w:p w14:paraId="7BB047FC" w14:textId="77777777" w:rsidR="00B93478" w:rsidRPr="00F06028" w:rsidRDefault="00B93478" w:rsidP="00B93478">
      <w:pPr>
        <w:spacing w:after="0" w:line="240" w:lineRule="auto"/>
        <w:ind w:left="709" w:right="709"/>
        <w:jc w:val="both"/>
        <w:rPr>
          <w:rFonts w:ascii="Verdana" w:eastAsia="Times New Roman" w:hAnsi="Verdana" w:cs="Calibri"/>
          <w:color w:val="000000"/>
          <w:sz w:val="20"/>
          <w:szCs w:val="20"/>
          <w:lang w:eastAsia="es-CO"/>
        </w:rPr>
      </w:pPr>
      <w:r w:rsidRPr="00F06028">
        <w:rPr>
          <w:rFonts w:ascii="Verdana" w:eastAsia="Times New Roman" w:hAnsi="Verdana" w:cs="Calibri"/>
          <w:color w:val="000000"/>
          <w:sz w:val="20"/>
          <w:szCs w:val="20"/>
          <w:lang w:eastAsia="es-CO"/>
        </w:rPr>
        <w:t>Se puede considerar que el objeto de los contratos que autoriza el inciso segundo del artículo 355 Superior, se limita a la realización de actividades o programas de interés público que, conforme a los planes de desarrollo, adelanten instituciones privadas sin ánimo de lucro. y que Aquellos que tienen por objeto desarrollar proyectos específicos, corresponden al giro normal de las funciones propias de la entidad estatal, deben adelantarse por cualquiera de las</w:t>
      </w:r>
      <w:r>
        <w:rPr>
          <w:rFonts w:ascii="Verdana" w:eastAsia="Times New Roman" w:hAnsi="Verdana" w:cs="Calibri"/>
          <w:color w:val="000000"/>
          <w:sz w:val="20"/>
          <w:szCs w:val="20"/>
          <w:lang w:eastAsia="es-CO"/>
        </w:rPr>
        <w:t xml:space="preserve"> </w:t>
      </w:r>
      <w:r w:rsidRPr="00F06028">
        <w:rPr>
          <w:rFonts w:ascii="Verdana" w:eastAsia="Times New Roman" w:hAnsi="Verdana" w:cs="Calibri"/>
          <w:color w:val="000000"/>
          <w:sz w:val="20"/>
          <w:szCs w:val="20"/>
          <w:lang w:eastAsia="es-CO"/>
        </w:rPr>
        <w:t>modalidades de contratación de la ley 80 de 1.993, debiendo sujetarse a los procedimientos allí previstos, en especial los de escogencia del contratista?</w:t>
      </w:r>
      <w:r w:rsidRPr="00F06028">
        <w:rPr>
          <w:rFonts w:ascii="Verdana" w:eastAsia="Century Gothic" w:hAnsi="Verdana" w:cs="Century Gothic"/>
          <w:sz w:val="20"/>
          <w:szCs w:val="20"/>
          <w:lang w:val="es-ES"/>
        </w:rPr>
        <w:t>”</w:t>
      </w:r>
      <w:bookmarkEnd w:id="1"/>
      <w:r w:rsidRPr="00F06028">
        <w:rPr>
          <w:rFonts w:ascii="Verdana" w:eastAsia="Century Gothic" w:hAnsi="Verdana" w:cs="Century Gothic"/>
          <w:sz w:val="20"/>
          <w:szCs w:val="20"/>
          <w:lang w:val="es-ES"/>
        </w:rPr>
        <w:t>.</w:t>
      </w:r>
    </w:p>
    <w:p w14:paraId="34C68383" w14:textId="77777777" w:rsidR="00B93478" w:rsidRPr="00760870" w:rsidRDefault="00B93478" w:rsidP="00B93478">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3EB000E5" w14:textId="77777777" w:rsidR="00B93478" w:rsidRPr="004978BF" w:rsidRDefault="00B93478" w:rsidP="00B93478">
      <w:pPr>
        <w:spacing w:after="120" w:line="276" w:lineRule="auto"/>
        <w:ind w:firstLine="709"/>
        <w:jc w:val="both"/>
        <w:rPr>
          <w:rFonts w:ascii="Verdana" w:eastAsia="Calibri" w:hAnsi="Verdana" w:cs="Arial"/>
          <w:szCs w:val="24"/>
          <w:lang w:val="es-ES_tradnl" w:eastAsia="es-ES_tradnl"/>
        </w:rPr>
      </w:pPr>
      <w:r w:rsidRPr="004978B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la Agencia Nacional de Contratación Pública –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4978BF">
        <w:rPr>
          <w:rFonts w:ascii="Verdana" w:eastAsia="Calibri" w:hAnsi="Verdana" w:cs="Arial"/>
          <w:szCs w:val="24"/>
          <w:lang w:val="es-ES_tradnl" w:eastAsia="es-ES_tradnl"/>
        </w:rPr>
        <w:tab/>
      </w:r>
    </w:p>
    <w:p w14:paraId="011F35E6" w14:textId="77777777" w:rsidR="00B93478" w:rsidRPr="004978BF" w:rsidRDefault="00B93478" w:rsidP="00B93478">
      <w:pPr>
        <w:spacing w:after="0" w:line="276" w:lineRule="auto"/>
        <w:ind w:firstLine="709"/>
        <w:jc w:val="both"/>
        <w:rPr>
          <w:rFonts w:ascii="Verdana" w:eastAsia="Calibri" w:hAnsi="Verdana" w:cs="Arial"/>
          <w:lang w:val="es-ES" w:eastAsia="es-ES"/>
        </w:rPr>
      </w:pPr>
      <w:r w:rsidRPr="004978B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256370D4" w14:textId="77777777" w:rsidR="00B93478" w:rsidRPr="004978BF" w:rsidRDefault="00B93478" w:rsidP="00B93478">
      <w:pPr>
        <w:spacing w:after="0" w:line="276" w:lineRule="auto"/>
        <w:ind w:firstLine="709"/>
        <w:jc w:val="both"/>
        <w:rPr>
          <w:rFonts w:ascii="Verdana" w:eastAsia="Calibri" w:hAnsi="Verdana" w:cs="Arial"/>
          <w:lang w:val="es-ES" w:eastAsia="es-ES"/>
        </w:rPr>
      </w:pPr>
    </w:p>
    <w:p w14:paraId="72EC384D" w14:textId="77777777" w:rsidR="00B93478" w:rsidRPr="004978BF" w:rsidRDefault="00B93478" w:rsidP="00B934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978BF">
        <w:rPr>
          <w:rFonts w:ascii="Verdana" w:eastAsia="Century Gothic" w:hAnsi="Verdana" w:cs="Century Gothic"/>
          <w:b/>
          <w:bCs/>
        </w:rPr>
        <w:t>Problema</w:t>
      </w:r>
      <w:r>
        <w:rPr>
          <w:rFonts w:ascii="Verdana" w:eastAsia="Century Gothic" w:hAnsi="Verdana" w:cs="Century Gothic"/>
          <w:b/>
          <w:bCs/>
        </w:rPr>
        <w:t>s</w:t>
      </w:r>
      <w:r w:rsidRPr="004978BF">
        <w:rPr>
          <w:rFonts w:ascii="Verdana" w:eastAsia="Century Gothic" w:hAnsi="Verdana" w:cs="Century Gothic"/>
          <w:b/>
          <w:bCs/>
        </w:rPr>
        <w:t xml:space="preserve"> </w:t>
      </w:r>
      <w:r>
        <w:rPr>
          <w:rFonts w:ascii="Verdana" w:eastAsia="Century Gothic" w:hAnsi="Verdana" w:cs="Century Gothic"/>
          <w:b/>
          <w:bCs/>
        </w:rPr>
        <w:t xml:space="preserve">jurídicos </w:t>
      </w:r>
      <w:r w:rsidRPr="004978BF">
        <w:rPr>
          <w:rFonts w:ascii="Verdana" w:eastAsia="Century Gothic" w:hAnsi="Verdana" w:cs="Century Gothic"/>
          <w:b/>
          <w:bCs/>
        </w:rPr>
        <w:t>planteado</w:t>
      </w:r>
      <w:r>
        <w:rPr>
          <w:rFonts w:ascii="Verdana" w:eastAsia="Century Gothic" w:hAnsi="Verdana" w:cs="Century Gothic"/>
          <w:b/>
          <w:bCs/>
        </w:rPr>
        <w:t>s</w:t>
      </w:r>
      <w:r w:rsidRPr="004978BF">
        <w:rPr>
          <w:rFonts w:ascii="Verdana" w:eastAsia="Century Gothic" w:hAnsi="Verdana" w:cs="Century Gothic"/>
          <w:b/>
          <w:bCs/>
        </w:rPr>
        <w:t>:</w:t>
      </w:r>
    </w:p>
    <w:p w14:paraId="6B38CBA8" w14:textId="77777777" w:rsidR="00B93478" w:rsidRPr="004978BF" w:rsidRDefault="00B93478" w:rsidP="00B93478">
      <w:pPr>
        <w:tabs>
          <w:tab w:val="left" w:pos="426"/>
        </w:tabs>
        <w:spacing w:after="0" w:line="276" w:lineRule="auto"/>
        <w:jc w:val="both"/>
        <w:rPr>
          <w:rFonts w:ascii="Verdana" w:eastAsia="Century Gothic" w:hAnsi="Verdana" w:cs="Century Gothic"/>
          <w:lang w:val="es-ES"/>
        </w:rPr>
      </w:pPr>
    </w:p>
    <w:p w14:paraId="7CE9E0FE" w14:textId="77777777" w:rsidR="00B93478" w:rsidRPr="00DA0F90" w:rsidRDefault="00B93478" w:rsidP="00B93478">
      <w:pPr>
        <w:spacing w:after="0" w:line="276" w:lineRule="auto"/>
        <w:jc w:val="both"/>
        <w:rPr>
          <w:rFonts w:ascii="Verdana" w:eastAsia="Century Gothic" w:hAnsi="Verdana" w:cs="Century Gothic"/>
        </w:rPr>
      </w:pPr>
      <w:r w:rsidRPr="004978BF">
        <w:rPr>
          <w:rFonts w:ascii="Verdana" w:eastAsia="Century Gothic" w:hAnsi="Verdana" w:cs="Century Gothic"/>
        </w:rPr>
        <w:t xml:space="preserve">De acuerdo con el contenido de su solicitud, esta Agencia resolverá los </w:t>
      </w:r>
      <w:r w:rsidRPr="00DA0F90">
        <w:rPr>
          <w:rFonts w:ascii="Verdana" w:eastAsia="Century Gothic" w:hAnsi="Verdana" w:cs="Century Gothic"/>
        </w:rPr>
        <w:t xml:space="preserve">siguientes problemas jurídicos: </w:t>
      </w:r>
    </w:p>
    <w:p w14:paraId="33695EF2" w14:textId="77777777" w:rsidR="00B93478" w:rsidRPr="00DA0F90" w:rsidRDefault="00B93478" w:rsidP="00B93478">
      <w:pPr>
        <w:spacing w:after="0" w:line="276" w:lineRule="auto"/>
        <w:jc w:val="both"/>
        <w:rPr>
          <w:rFonts w:ascii="Verdana" w:eastAsia="Century Gothic" w:hAnsi="Verdana" w:cs="Century Gothic"/>
        </w:rPr>
      </w:pPr>
    </w:p>
    <w:p w14:paraId="6C6C2854" w14:textId="77777777" w:rsidR="00B93478" w:rsidRPr="005D4236" w:rsidRDefault="00B93478" w:rsidP="00B93478">
      <w:pPr>
        <w:pStyle w:val="Prrafodelista"/>
        <w:numPr>
          <w:ilvl w:val="0"/>
          <w:numId w:val="17"/>
        </w:numPr>
        <w:spacing w:after="0" w:line="276" w:lineRule="auto"/>
        <w:contextualSpacing w:val="0"/>
        <w:jc w:val="both"/>
        <w:rPr>
          <w:rFonts w:ascii="Verdana" w:eastAsia="Century Gothic" w:hAnsi="Verdana" w:cs="Century Gothic"/>
        </w:rPr>
      </w:pPr>
      <w:r w:rsidRPr="005D4236">
        <w:rPr>
          <w:rFonts w:ascii="Verdana" w:eastAsia="Century Gothic" w:hAnsi="Verdana" w:cs="Century Gothic"/>
        </w:rPr>
        <w:t xml:space="preserve">¿Qué objetos contractuales se pueden ejecutar a través de los contratos establecidos en el artículo 355 de la Constitución Política de Colombia, el artículo 96 de la Ley 489 de 1998 y regulados en el Decreto 092 de 2017? </w:t>
      </w:r>
    </w:p>
    <w:p w14:paraId="0C54041F" w14:textId="77777777" w:rsidR="00B93478" w:rsidRPr="005D4236" w:rsidRDefault="00B93478" w:rsidP="00B93478">
      <w:pPr>
        <w:spacing w:after="0" w:line="276" w:lineRule="auto"/>
        <w:jc w:val="both"/>
        <w:rPr>
          <w:rFonts w:ascii="Verdana" w:eastAsia="Century Gothic" w:hAnsi="Verdana" w:cs="Century Gothic"/>
        </w:rPr>
      </w:pPr>
    </w:p>
    <w:p w14:paraId="0E2ED86E" w14:textId="2AB751DB" w:rsidR="00B93478" w:rsidRPr="005D4236" w:rsidRDefault="00B93478" w:rsidP="00B93478">
      <w:pPr>
        <w:pStyle w:val="Prrafodelista"/>
        <w:numPr>
          <w:ilvl w:val="0"/>
          <w:numId w:val="17"/>
        </w:numPr>
        <w:spacing w:after="0" w:line="276" w:lineRule="auto"/>
        <w:contextualSpacing w:val="0"/>
        <w:jc w:val="both"/>
        <w:rPr>
          <w:rFonts w:ascii="Verdana" w:eastAsia="Century Gothic" w:hAnsi="Verdana" w:cs="Century Gothic"/>
        </w:rPr>
      </w:pPr>
      <w:r w:rsidRPr="005D4236">
        <w:rPr>
          <w:rFonts w:ascii="Verdana" w:eastAsia="Century Gothic" w:hAnsi="Verdana" w:cs="Century Gothic"/>
        </w:rPr>
        <w:t xml:space="preserve">¿La contratación de cualquier objeto contractual que una Entidad Estatal pretenda suscribir con una Entidad </w:t>
      </w:r>
      <w:r w:rsidR="002B6007" w:rsidRPr="005D4236">
        <w:rPr>
          <w:rFonts w:ascii="Verdana" w:eastAsia="Century Gothic" w:hAnsi="Verdana" w:cs="Century Gothic"/>
        </w:rPr>
        <w:t xml:space="preserve">Sin </w:t>
      </w:r>
      <w:r w:rsidRPr="005D4236">
        <w:rPr>
          <w:rFonts w:ascii="Verdana" w:eastAsia="Century Gothic" w:hAnsi="Verdana" w:cs="Century Gothic"/>
        </w:rPr>
        <w:t>Ánimo de Lucro – en adelante ESAL – se rige por el Decreto 092 de 2017 o lo qu</w:t>
      </w:r>
      <w:r w:rsidR="002B6007">
        <w:rPr>
          <w:rFonts w:ascii="Verdana" w:eastAsia="Century Gothic" w:hAnsi="Verdana" w:cs="Century Gothic"/>
        </w:rPr>
        <w:t>e</w:t>
      </w:r>
      <w:r w:rsidRPr="005D4236">
        <w:rPr>
          <w:rFonts w:ascii="Verdana" w:eastAsia="Century Gothic" w:hAnsi="Verdana" w:cs="Century Gothic"/>
        </w:rPr>
        <w:t xml:space="preserve"> define la aplicación del referido Decreto es el objeto que se va a desarrollar y no el sujeto con el que se pretende celebrar el negocio jurídico? </w:t>
      </w:r>
    </w:p>
    <w:p w14:paraId="3631AC28" w14:textId="77777777" w:rsidR="00B93478" w:rsidRPr="005D4236" w:rsidRDefault="00B93478" w:rsidP="00B93478">
      <w:pPr>
        <w:pStyle w:val="Prrafodelista"/>
        <w:spacing w:after="0" w:line="276" w:lineRule="auto"/>
        <w:jc w:val="both"/>
        <w:rPr>
          <w:rFonts w:ascii="Verdana" w:eastAsia="Times New Roman" w:hAnsi="Verdana" w:cs="Calibri"/>
          <w:color w:val="000000"/>
          <w:lang w:eastAsia="es-CO"/>
        </w:rPr>
      </w:pPr>
    </w:p>
    <w:p w14:paraId="2AA65D37" w14:textId="77777777" w:rsidR="00B93478" w:rsidRPr="005D4236" w:rsidRDefault="00B93478" w:rsidP="00B93478">
      <w:pPr>
        <w:pStyle w:val="Prrafodelista"/>
        <w:numPr>
          <w:ilvl w:val="0"/>
          <w:numId w:val="17"/>
        </w:numPr>
        <w:spacing w:after="0" w:line="276" w:lineRule="auto"/>
        <w:jc w:val="both"/>
        <w:rPr>
          <w:rFonts w:ascii="Verdana" w:eastAsia="Times New Roman" w:hAnsi="Verdana" w:cs="Calibri"/>
          <w:color w:val="000000"/>
          <w:lang w:eastAsia="es-CO"/>
        </w:rPr>
      </w:pPr>
      <w:r w:rsidRPr="005D4236">
        <w:rPr>
          <w:rFonts w:ascii="Verdana" w:eastAsia="Times New Roman" w:hAnsi="Verdana" w:cs="Calibri"/>
          <w:color w:val="000000"/>
          <w:lang w:eastAsia="es-CO"/>
        </w:rPr>
        <w:t>¿Aquellos contratos que tienen por objeto desarrollar proyectos específicos que corresponden al giro normal de las funciones propias de la Entidad Estatal, aun cuando se suscriban con ESAL, deben sujetarse a la Ley 80 de 1993?</w:t>
      </w:r>
    </w:p>
    <w:p w14:paraId="4B52C2EC" w14:textId="77777777" w:rsidR="00B93478" w:rsidRPr="005D4236" w:rsidRDefault="00B93478" w:rsidP="00B93478">
      <w:pPr>
        <w:spacing w:after="0" w:line="276" w:lineRule="auto"/>
        <w:jc w:val="both"/>
        <w:rPr>
          <w:rFonts w:ascii="Verdana" w:eastAsia="Century Gothic" w:hAnsi="Verdana" w:cs="Century Gothic"/>
        </w:rPr>
      </w:pPr>
    </w:p>
    <w:p w14:paraId="410CBD90" w14:textId="77777777" w:rsidR="00B93478" w:rsidRPr="005D4236" w:rsidRDefault="00B93478" w:rsidP="00B93478">
      <w:pPr>
        <w:pStyle w:val="Prrafodelista"/>
        <w:numPr>
          <w:ilvl w:val="0"/>
          <w:numId w:val="17"/>
        </w:numPr>
        <w:spacing w:after="0" w:line="276" w:lineRule="auto"/>
        <w:contextualSpacing w:val="0"/>
        <w:jc w:val="both"/>
        <w:rPr>
          <w:rFonts w:ascii="Verdana" w:eastAsia="Century Gothic" w:hAnsi="Verdana" w:cs="Century Gothic"/>
        </w:rPr>
      </w:pPr>
      <w:r w:rsidRPr="005D4236">
        <w:rPr>
          <w:rFonts w:ascii="Verdana" w:eastAsia="Century Gothic" w:hAnsi="Verdana" w:cs="Century Gothic"/>
        </w:rPr>
        <w:t xml:space="preserve">¿Los contratos regulados en el Decreto 042 de 2017 pueden tener implícito un </w:t>
      </w:r>
      <w:r w:rsidRPr="005D4236">
        <w:rPr>
          <w:rFonts w:ascii="Verdana" w:hAnsi="Verdana" w:cs="Calibri"/>
          <w:color w:val="000000"/>
        </w:rPr>
        <w:t>margen de utilidad o ganancia</w:t>
      </w:r>
      <w:r w:rsidRPr="005D4236">
        <w:rPr>
          <w:rFonts w:ascii="Verdana" w:eastAsia="Century Gothic" w:hAnsi="Verdana" w:cs="Century Gothic"/>
        </w:rPr>
        <w:t>?</w:t>
      </w:r>
    </w:p>
    <w:p w14:paraId="20D11162" w14:textId="77777777" w:rsidR="00B93478" w:rsidRPr="004978BF" w:rsidRDefault="00B93478" w:rsidP="00B93478">
      <w:pPr>
        <w:spacing w:after="0" w:line="276" w:lineRule="auto"/>
        <w:jc w:val="both"/>
        <w:rPr>
          <w:rFonts w:ascii="Verdana" w:eastAsia="Calibri" w:hAnsi="Verdana" w:cs="Arial"/>
          <w:lang w:val="es-ES"/>
        </w:rPr>
      </w:pPr>
    </w:p>
    <w:p w14:paraId="0F94AECD" w14:textId="77777777" w:rsidR="00B93478" w:rsidRPr="004978BF" w:rsidRDefault="00B93478" w:rsidP="00B934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978BF">
        <w:rPr>
          <w:rFonts w:ascii="Verdana" w:eastAsia="Century Gothic" w:hAnsi="Verdana" w:cs="Century Gothic"/>
          <w:b/>
          <w:bCs/>
        </w:rPr>
        <w:t>Respuesta:</w:t>
      </w:r>
    </w:p>
    <w:p w14:paraId="5602ABEA" w14:textId="77777777" w:rsidR="00B93478" w:rsidRPr="004978BF" w:rsidRDefault="00B93478" w:rsidP="00B9347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B93478" w:rsidRPr="004978BF" w14:paraId="4CAD0836" w14:textId="77777777" w:rsidTr="00B3294C">
        <w:tc>
          <w:tcPr>
            <w:tcW w:w="8828" w:type="dxa"/>
            <w:shd w:val="clear" w:color="auto" w:fill="auto"/>
          </w:tcPr>
          <w:p w14:paraId="3F8A07C0" w14:textId="77777777" w:rsidR="00B93478" w:rsidRDefault="00B93478" w:rsidP="00B93478">
            <w:pPr>
              <w:pStyle w:val="Prrafodelista"/>
              <w:numPr>
                <w:ilvl w:val="0"/>
                <w:numId w:val="20"/>
              </w:numPr>
              <w:spacing w:line="276" w:lineRule="auto"/>
              <w:jc w:val="both"/>
              <w:rPr>
                <w:rFonts w:ascii="Verdana" w:hAnsi="Verdana" w:cs="Arial"/>
              </w:rPr>
            </w:pPr>
            <w:r w:rsidRPr="00DA0F90">
              <w:rPr>
                <w:rFonts w:ascii="Verdana" w:hAnsi="Verdana" w:cs="Arial"/>
              </w:rPr>
              <w:t>El artículo 355 de la Constitución Política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2D581F20" w14:textId="77777777" w:rsidR="00B93478" w:rsidRDefault="00B93478" w:rsidP="00B3294C">
            <w:pPr>
              <w:pStyle w:val="Prrafodelista"/>
              <w:spacing w:line="276" w:lineRule="auto"/>
              <w:ind w:left="360"/>
              <w:jc w:val="both"/>
              <w:rPr>
                <w:rFonts w:ascii="Verdana" w:hAnsi="Verdana" w:cs="Arial"/>
              </w:rPr>
            </w:pPr>
          </w:p>
          <w:p w14:paraId="28AEE851" w14:textId="77777777" w:rsidR="00B93478" w:rsidRPr="00DA0F90" w:rsidRDefault="00B93478" w:rsidP="00B3294C">
            <w:pPr>
              <w:pStyle w:val="Prrafodelista"/>
              <w:spacing w:line="276" w:lineRule="auto"/>
              <w:ind w:left="360"/>
              <w:jc w:val="both"/>
              <w:rPr>
                <w:rFonts w:ascii="Verdana" w:hAnsi="Verdana" w:cs="Arial"/>
              </w:rPr>
            </w:pPr>
            <w:r w:rsidRPr="00DA0F90">
              <w:rPr>
                <w:rFonts w:ascii="Verdana" w:hAnsi="Verdana" w:cs="Arial"/>
              </w:rPr>
              <w:lastRenderedPageBreak/>
              <w:t>El Gobierno Nacional, en desarrollo de lo anterior, expidió el Decreto 092 de 2017, q</w:t>
            </w:r>
            <w:r w:rsidRPr="00DA0F90">
              <w:rPr>
                <w:rFonts w:ascii="Verdana" w:eastAsia="Calibri" w:hAnsi="Verdana" w:cs="Arial"/>
              </w:rPr>
              <w:t xml:space="preserve">ue dispone las reglas para las contrataciones que realicen las Entidades Estatales con las ESAL. El Decreto regula dos (2) eventos: i) </w:t>
            </w:r>
            <w:r w:rsidRPr="00DA0F90">
              <w:rPr>
                <w:rFonts w:ascii="Verdana" w:eastAsia="Calibri" w:hAnsi="Verdana" w:cs="Arial"/>
                <w:lang w:eastAsia="es-ES_tradnl"/>
              </w:rPr>
              <w:t xml:space="preserve">los </w:t>
            </w:r>
            <w:r w:rsidRPr="00DA0F90">
              <w:rPr>
                <w:rFonts w:ascii="Verdana" w:eastAsia="Calibri" w:hAnsi="Verdana" w:cs="Arial"/>
                <w:i/>
                <w:iCs/>
                <w:lang w:eastAsia="es-ES_tradnl"/>
              </w:rPr>
              <w:t>contratos de colaboración</w:t>
            </w:r>
            <w:r w:rsidRPr="00DA0F90">
              <w:rPr>
                <w:rFonts w:ascii="Verdana" w:eastAsia="Calibri" w:hAnsi="Verdana" w:cs="Arial"/>
                <w:lang w:eastAsia="es-ES_tradnl"/>
              </w:rPr>
              <w:t xml:space="preserve"> o de interés público, los cuales tienen </w:t>
            </w:r>
            <w:r w:rsidRPr="00DA0F90">
              <w:rPr>
                <w:rFonts w:ascii="Verdana" w:eastAsia="Calibri" w:hAnsi="Verdana" w:cs="Arial"/>
              </w:rPr>
              <w:t xml:space="preserve">como objeto promover acciones de fomento social en beneficio de los sectores más desprotegidos de la población, siempre que estén acordes con el Plan Nacional de Desarrollo y los planes seccionales de desarrollo; </w:t>
            </w:r>
            <w:proofErr w:type="spellStart"/>
            <w:r w:rsidRPr="00DA0F90">
              <w:rPr>
                <w:rFonts w:ascii="Verdana" w:eastAsia="Calibri" w:hAnsi="Verdana" w:cs="Arial"/>
              </w:rPr>
              <w:t>ii</w:t>
            </w:r>
            <w:proofErr w:type="spellEnd"/>
            <w:r w:rsidRPr="00DA0F90">
              <w:rPr>
                <w:rFonts w:ascii="Verdana" w:eastAsia="Calibri" w:hAnsi="Verdana" w:cs="Arial"/>
              </w:rPr>
              <w:t xml:space="preserve">) los </w:t>
            </w:r>
            <w:r w:rsidRPr="00DA0F90">
              <w:rPr>
                <w:rFonts w:ascii="Verdana" w:eastAsia="Calibri" w:hAnsi="Verdana" w:cs="Arial"/>
                <w:i/>
                <w:iCs/>
              </w:rPr>
              <w:t>convenios de asociación</w:t>
            </w:r>
            <w:r w:rsidRPr="00DA0F90">
              <w:rPr>
                <w:rFonts w:ascii="Verdana" w:eastAsia="Calibri" w:hAnsi="Verdana" w:cs="Arial"/>
              </w:rPr>
              <w:t xml:space="preserve">, tienen como finalidad que la Entidad Estatal, cualquiera que sea su naturaleza y orden administrativo, se asocie con personas jurídicas particulares para el desarrollo conjunto de actividades relacionadas con los cometidos y funciones asignadas a aquellas conforme a la Constitución y a la Ley. </w:t>
            </w:r>
          </w:p>
          <w:p w14:paraId="59132F29" w14:textId="77777777" w:rsidR="00B93478" w:rsidRPr="004978BF" w:rsidRDefault="00B93478" w:rsidP="00B3294C">
            <w:pPr>
              <w:pStyle w:val="Prrafodelista"/>
              <w:spacing w:line="276" w:lineRule="auto"/>
              <w:ind w:left="357"/>
              <w:contextualSpacing w:val="0"/>
              <w:jc w:val="both"/>
              <w:rPr>
                <w:rFonts w:ascii="Verdana" w:eastAsia="Calibri" w:hAnsi="Verdana" w:cs="Arial"/>
              </w:rPr>
            </w:pPr>
          </w:p>
          <w:p w14:paraId="50051987" w14:textId="77777777" w:rsidR="00B93478" w:rsidRDefault="00B93478" w:rsidP="00B93478">
            <w:pPr>
              <w:pStyle w:val="Prrafodelista"/>
              <w:numPr>
                <w:ilvl w:val="0"/>
                <w:numId w:val="20"/>
              </w:numPr>
              <w:spacing w:line="276" w:lineRule="auto"/>
              <w:jc w:val="both"/>
              <w:rPr>
                <w:rFonts w:ascii="Verdana" w:hAnsi="Verdana" w:cs="Arial"/>
              </w:rPr>
            </w:pPr>
            <w:r>
              <w:rPr>
                <w:rFonts w:ascii="Verdana" w:hAnsi="Verdana" w:cs="Arial"/>
              </w:rPr>
              <w:t>L</w:t>
            </w:r>
            <w:r w:rsidRPr="00DA0F90">
              <w:rPr>
                <w:rFonts w:ascii="Verdana" w:hAnsi="Verdana" w:cs="Arial"/>
              </w:rPr>
              <w:t xml:space="preserve">a aplicación del Decreto 092 de 2017 depende del objeto que se pretenda contratar, el cual debe ceñirse al desarrollo de </w:t>
            </w:r>
            <w:r w:rsidRPr="00DA0F90">
              <w:rPr>
                <w:rFonts w:ascii="Verdana" w:eastAsia="Times New Roman" w:hAnsi="Verdana" w:cs="Times New Roman"/>
                <w:shd w:val="clear" w:color="auto" w:fill="FFFFFF"/>
                <w:lang w:eastAsia="es-ES_tradnl"/>
              </w:rPr>
              <w:t xml:space="preserve">programas o actividades de interés público que sean acordes con el Plan Nacional y los planes seccionales de desarrollo o al adelanto conjunto </w:t>
            </w:r>
            <w:r w:rsidRPr="00DA0F90">
              <w:rPr>
                <w:rFonts w:ascii="Verdana" w:eastAsia="Calibri" w:hAnsi="Verdana" w:cs="Arial"/>
              </w:rPr>
              <w:t xml:space="preserve">de funciones y cometidos de la Entidad Estatal que lo celebra. En consecuencia, </w:t>
            </w:r>
            <w:r w:rsidRPr="00DA0F90">
              <w:rPr>
                <w:rFonts w:ascii="Verdana" w:hAnsi="Verdana" w:cs="Arial"/>
              </w:rPr>
              <w:t>no basta con que el extremo de la relación contractual sea una ESAL para que sea procedente la aplicación del Decreto referido</w:t>
            </w:r>
            <w:r>
              <w:rPr>
                <w:rFonts w:ascii="Verdana" w:hAnsi="Verdana" w:cs="Arial"/>
              </w:rPr>
              <w:t>, pues en cada caso deberá revisarse el objeto que se pretenda ejecutar</w:t>
            </w:r>
            <w:r w:rsidRPr="00DA0F90">
              <w:rPr>
                <w:rFonts w:ascii="Verdana" w:hAnsi="Verdana" w:cs="Arial"/>
              </w:rPr>
              <w:t>.</w:t>
            </w:r>
          </w:p>
          <w:p w14:paraId="6EB11D84" w14:textId="77777777" w:rsidR="00B93478" w:rsidRDefault="00B93478" w:rsidP="00B3294C">
            <w:pPr>
              <w:pStyle w:val="Prrafodelista"/>
              <w:spacing w:line="276" w:lineRule="auto"/>
              <w:ind w:left="360"/>
              <w:jc w:val="both"/>
              <w:rPr>
                <w:rFonts w:ascii="Verdana" w:hAnsi="Verdana" w:cs="Arial"/>
              </w:rPr>
            </w:pPr>
          </w:p>
          <w:p w14:paraId="1BC64A1D" w14:textId="77777777" w:rsidR="00B93478" w:rsidRDefault="00B93478" w:rsidP="00B93478">
            <w:pPr>
              <w:pStyle w:val="Prrafodelista"/>
              <w:numPr>
                <w:ilvl w:val="0"/>
                <w:numId w:val="20"/>
              </w:numPr>
              <w:spacing w:line="276" w:lineRule="auto"/>
              <w:jc w:val="both"/>
              <w:rPr>
                <w:rFonts w:ascii="Verdana" w:hAnsi="Verdana" w:cs="Arial"/>
              </w:rPr>
            </w:pPr>
            <w:r w:rsidRPr="005D4236">
              <w:rPr>
                <w:rFonts w:ascii="Verdana" w:hAnsi="Verdana" w:cs="Arial"/>
              </w:rPr>
              <w:t xml:space="preserve">Los negocios jurídicos que regula el Decreto 092 de 2017 son esencialmente distintos a los contratos para la adquisición y aprovisionamiento de bienes, obras o servicios regulados por el Estatuto General de Contratación de la Administración Pública – en adelante EGCAP, pues como se explicó en los numerales anteriores, el referido Decreto se circunscribe a los objetos descritos. </w:t>
            </w:r>
            <w:r w:rsidRPr="005D4236">
              <w:rPr>
                <w:rFonts w:ascii="Verdana" w:eastAsia="Calibri" w:hAnsi="Verdana" w:cs="Arial"/>
              </w:rPr>
              <w:t>De acuerdo con lo anterior, no todas las actividades que las Entidades Estatales deben desarrollar para alcanzar sus objetivos misionales deben ejecutarse a través de la celebración de contratos del artículo 355 superior o convenios de asociación. Sobre el particular, debe tenerse en cuenta que</w:t>
            </w:r>
            <w:r w:rsidRPr="005D4236">
              <w:rPr>
                <w:rFonts w:ascii="Verdana" w:hAnsi="Verdana" w:cs="Arial"/>
              </w:rPr>
              <w:t xml:space="preserve">, si la Entidad Estatal adquiere o se abastece de un bien, obra o servicio en un contrato conmutativo, aun cuando el proveedor sea una ESAL, debe aplicar el régimen contenido en las Leyes 80 de 1993 y 1150 de 2007, y no el Decreto 092 de 2017. </w:t>
            </w:r>
          </w:p>
          <w:p w14:paraId="21160970" w14:textId="77777777" w:rsidR="00B93478" w:rsidRDefault="00B93478" w:rsidP="00B3294C">
            <w:pPr>
              <w:pStyle w:val="Prrafodelista"/>
              <w:rPr>
                <w:rFonts w:ascii="Verdana" w:eastAsia="Calibri" w:hAnsi="Verdana" w:cs="Arial"/>
              </w:rPr>
            </w:pPr>
          </w:p>
          <w:p w14:paraId="32B2BE21" w14:textId="77777777" w:rsidR="0034559D" w:rsidRDefault="0034559D" w:rsidP="00B3294C">
            <w:pPr>
              <w:pStyle w:val="Prrafodelista"/>
              <w:rPr>
                <w:rFonts w:ascii="Verdana" w:eastAsia="Calibri" w:hAnsi="Verdana" w:cs="Arial"/>
              </w:rPr>
            </w:pPr>
          </w:p>
          <w:p w14:paraId="1AB32B94" w14:textId="77777777" w:rsidR="0034559D" w:rsidRPr="005D4236" w:rsidRDefault="0034559D" w:rsidP="00B3294C">
            <w:pPr>
              <w:pStyle w:val="Prrafodelista"/>
              <w:rPr>
                <w:rFonts w:ascii="Verdana" w:eastAsia="Calibri" w:hAnsi="Verdana" w:cs="Arial"/>
              </w:rPr>
            </w:pPr>
          </w:p>
          <w:p w14:paraId="6574CB6D" w14:textId="0662D33B" w:rsidR="00B93478" w:rsidRPr="005D4236" w:rsidRDefault="00B93478" w:rsidP="00B93478">
            <w:pPr>
              <w:pStyle w:val="Prrafodelista"/>
              <w:numPr>
                <w:ilvl w:val="0"/>
                <w:numId w:val="20"/>
              </w:numPr>
              <w:spacing w:line="276" w:lineRule="auto"/>
              <w:jc w:val="both"/>
              <w:rPr>
                <w:rFonts w:ascii="Verdana" w:hAnsi="Verdana" w:cs="Arial"/>
              </w:rPr>
            </w:pPr>
            <w:r w:rsidRPr="005D4236">
              <w:rPr>
                <w:rFonts w:ascii="Verdana" w:eastAsia="Calibri" w:hAnsi="Verdana" w:cs="Arial"/>
              </w:rPr>
              <w:lastRenderedPageBreak/>
              <w:t xml:space="preserve">Dado que los </w:t>
            </w:r>
            <w:r w:rsidRPr="005D4236">
              <w:rPr>
                <w:rFonts w:ascii="Verdana" w:eastAsia="Calibri" w:hAnsi="Verdana" w:cs="Arial"/>
                <w:i/>
                <w:iCs/>
              </w:rPr>
              <w:t>contratos colaboración del artículo 355 de la Constitución Política</w:t>
            </w:r>
            <w:r w:rsidRPr="005D4236">
              <w:rPr>
                <w:rFonts w:ascii="Verdana" w:eastAsia="Calibri" w:hAnsi="Verdana" w:cs="Arial"/>
              </w:rPr>
              <w:t xml:space="preserve"> tienen como objeto promover acciones de fomento social en beneficio de los sectores más desprotegidos de la población, no dan lugar a una contraprestación directa a favor de la entidad y tampoco a una relación conmutativa entre esta y la ESAL, toda vez que el beneficio directo lo recibirán, en últimas, los sectores de este tipo de acciones de fomento. Asimismo, en los </w:t>
            </w:r>
            <w:r w:rsidRPr="005D4236">
              <w:rPr>
                <w:rFonts w:ascii="Verdana" w:eastAsia="Calibri" w:hAnsi="Verdana" w:cs="Arial"/>
                <w:i/>
                <w:iCs/>
              </w:rPr>
              <w:t>convenios de asociación</w:t>
            </w:r>
            <w:r w:rsidRPr="005D4236">
              <w:rPr>
                <w:rFonts w:ascii="Verdana" w:eastAsia="Calibri" w:hAnsi="Verdana" w:cs="Arial"/>
              </w:rPr>
              <w:t xml:space="preserve"> no existe contraprestación o pago, sino aportes, los cuales están dirigidos, exclusivamente, a lograr la ejecución del convenio no a remunerar la actividad o actuaciones del asociado. Por lo tanto, l</w:t>
            </w:r>
            <w:r w:rsidRPr="005D4236">
              <w:rPr>
                <w:rFonts w:ascii="Verdana" w:eastAsia="Century Gothic" w:hAnsi="Verdana" w:cs="Century Gothic"/>
              </w:rPr>
              <w:t>os contratos regulados en el Decreto 0</w:t>
            </w:r>
            <w:r>
              <w:rPr>
                <w:rFonts w:ascii="Verdana" w:eastAsia="Century Gothic" w:hAnsi="Verdana" w:cs="Century Gothic"/>
              </w:rPr>
              <w:t>9</w:t>
            </w:r>
            <w:r w:rsidRPr="005D4236">
              <w:rPr>
                <w:rFonts w:ascii="Verdana" w:eastAsia="Century Gothic" w:hAnsi="Verdana" w:cs="Century Gothic"/>
              </w:rPr>
              <w:t xml:space="preserve">2 de 2017 no pueden tener implícito un </w:t>
            </w:r>
            <w:r w:rsidRPr="005D4236">
              <w:rPr>
                <w:rFonts w:ascii="Verdana" w:hAnsi="Verdana" w:cs="Calibri"/>
                <w:color w:val="000000"/>
              </w:rPr>
              <w:t xml:space="preserve">margen de utilidad o ganancia a favor de la ESAL. </w:t>
            </w:r>
            <w:r w:rsidRPr="005D4236">
              <w:rPr>
                <w:rFonts w:ascii="Verdana" w:eastAsia="Calibri" w:hAnsi="Verdana" w:cs="Arial"/>
              </w:rPr>
              <w:t xml:space="preserve">Aquellos </w:t>
            </w:r>
            <w:r w:rsidR="00FF3665">
              <w:rPr>
                <w:rFonts w:ascii="Verdana" w:eastAsia="Calibri" w:hAnsi="Verdana" w:cs="Arial"/>
              </w:rPr>
              <w:t xml:space="preserve">contratos </w:t>
            </w:r>
            <w:r w:rsidRPr="005D4236">
              <w:rPr>
                <w:rFonts w:ascii="Verdana" w:eastAsia="Calibri" w:hAnsi="Verdana" w:cs="Arial"/>
              </w:rPr>
              <w:t>que generan una contraprestación directa a favor de la ESAL contratista se tipifican dentro de cualquiera de las modalidades de contratación del EGCAP</w:t>
            </w:r>
            <w:r>
              <w:rPr>
                <w:rFonts w:ascii="Verdana" w:eastAsia="Calibri" w:hAnsi="Verdana" w:cs="Arial"/>
              </w:rPr>
              <w:t>, por lo que deberán sujetarse a las reglas contenidas en aquel</w:t>
            </w:r>
            <w:r w:rsidRPr="005D4236">
              <w:rPr>
                <w:rFonts w:ascii="Verdana" w:eastAsia="Calibri" w:hAnsi="Verdana" w:cs="Arial"/>
              </w:rPr>
              <w:t xml:space="preserve">. </w:t>
            </w:r>
          </w:p>
        </w:tc>
      </w:tr>
    </w:tbl>
    <w:p w14:paraId="2520E3E0" w14:textId="77777777" w:rsidR="00B93478" w:rsidRPr="00BE3931" w:rsidRDefault="00B93478" w:rsidP="00B93478">
      <w:pPr>
        <w:tabs>
          <w:tab w:val="left" w:pos="142"/>
          <w:tab w:val="left" w:pos="284"/>
        </w:tabs>
        <w:spacing w:after="0" w:line="276" w:lineRule="auto"/>
        <w:jc w:val="both"/>
        <w:rPr>
          <w:rFonts w:ascii="Verdana" w:eastAsia="Century Gothic" w:hAnsi="Verdana" w:cs="Century Gothic"/>
          <w:b/>
          <w:bCs/>
        </w:rPr>
      </w:pPr>
    </w:p>
    <w:p w14:paraId="79D2BD32" w14:textId="77777777" w:rsidR="00B93478" w:rsidRPr="004978BF" w:rsidRDefault="00B93478" w:rsidP="00B934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978BF">
        <w:rPr>
          <w:rFonts w:ascii="Verdana" w:eastAsia="Century Gothic" w:hAnsi="Verdana" w:cs="Century Gothic"/>
          <w:b/>
          <w:bCs/>
        </w:rPr>
        <w:t>Razones de la respuesta:</w:t>
      </w:r>
    </w:p>
    <w:p w14:paraId="24B1298B" w14:textId="77777777" w:rsidR="00B93478" w:rsidRPr="004978BF" w:rsidRDefault="00B93478" w:rsidP="00B93478">
      <w:pPr>
        <w:spacing w:after="0" w:line="276" w:lineRule="auto"/>
        <w:jc w:val="both"/>
        <w:rPr>
          <w:rFonts w:ascii="Verdana" w:eastAsia="Calibri" w:hAnsi="Verdana" w:cs="Arial"/>
          <w:lang w:val="es-ES"/>
        </w:rPr>
      </w:pPr>
    </w:p>
    <w:p w14:paraId="3B936F12" w14:textId="77777777" w:rsidR="00B93478" w:rsidRPr="004978BF" w:rsidRDefault="00B93478" w:rsidP="00B93478">
      <w:pPr>
        <w:spacing w:after="0" w:line="276" w:lineRule="auto"/>
        <w:jc w:val="both"/>
        <w:rPr>
          <w:rFonts w:ascii="Verdana" w:eastAsia="Calibri" w:hAnsi="Verdana" w:cs="Arial"/>
          <w:lang w:val="es-ES"/>
        </w:rPr>
      </w:pPr>
      <w:r w:rsidRPr="004978BF">
        <w:rPr>
          <w:rFonts w:ascii="Verdana" w:eastAsia="Calibri" w:hAnsi="Verdana" w:cs="Arial"/>
          <w:lang w:val="es-ES"/>
        </w:rPr>
        <w:t xml:space="preserve">Lo anterior se sustenta en las siguientes consideraciones: </w:t>
      </w:r>
    </w:p>
    <w:p w14:paraId="2218DA83" w14:textId="77777777" w:rsidR="00B93478" w:rsidRPr="004978BF" w:rsidRDefault="00B93478" w:rsidP="00B93478">
      <w:pPr>
        <w:widowControl w:val="0"/>
        <w:autoSpaceDE w:val="0"/>
        <w:autoSpaceDN w:val="0"/>
        <w:spacing w:after="0" w:line="276" w:lineRule="auto"/>
        <w:jc w:val="both"/>
        <w:rPr>
          <w:rFonts w:ascii="Verdana" w:eastAsia="Calibri" w:hAnsi="Verdana" w:cs="Arial"/>
          <w:lang w:val="es-ES"/>
        </w:rPr>
      </w:pPr>
    </w:p>
    <w:p w14:paraId="2E838651" w14:textId="77777777" w:rsidR="00B93478" w:rsidRPr="004978BF" w:rsidRDefault="00B93478" w:rsidP="00B93478">
      <w:pPr>
        <w:pStyle w:val="Prrafodelista"/>
        <w:numPr>
          <w:ilvl w:val="0"/>
          <w:numId w:val="19"/>
        </w:numPr>
        <w:spacing w:after="0" w:line="276" w:lineRule="auto"/>
        <w:ind w:left="360"/>
        <w:contextualSpacing w:val="0"/>
        <w:jc w:val="both"/>
        <w:rPr>
          <w:rFonts w:ascii="Verdana" w:hAnsi="Verdana" w:cs="Arial"/>
        </w:rPr>
      </w:pPr>
      <w:r w:rsidRPr="004978BF">
        <w:rPr>
          <w:rFonts w:ascii="Verdana" w:hAnsi="Verdana" w:cs="Aria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4978BF">
        <w:rPr>
          <w:rFonts w:ascii="Verdana" w:hAnsi="Verdana" w:cs="Arial"/>
          <w:vertAlign w:val="superscript"/>
        </w:rPr>
        <w:footnoteReference w:id="2"/>
      </w:r>
      <w:r w:rsidRPr="004978BF">
        <w:rPr>
          <w:rFonts w:ascii="Verdana" w:hAnsi="Verdana" w:cs="Arial"/>
        </w:rPr>
        <w:t xml:space="preserve">. </w:t>
      </w:r>
      <w:bookmarkStart w:id="2" w:name="_Hlk164688501"/>
      <w:r w:rsidRPr="004978BF">
        <w:rPr>
          <w:rFonts w:ascii="Verdana" w:hAnsi="Verdana" w:cs="Arial"/>
        </w:rPr>
        <w:t>Por otra parte, el artículo 96 de la Ley 489 de 1998</w:t>
      </w:r>
      <w:r w:rsidRPr="004978BF">
        <w:rPr>
          <w:rFonts w:ascii="Verdana" w:hAnsi="Verdana" w:cs="Arial"/>
          <w:vertAlign w:val="superscript"/>
        </w:rPr>
        <w:footnoteReference w:id="3"/>
      </w:r>
      <w:r w:rsidRPr="004978BF">
        <w:rPr>
          <w:rFonts w:ascii="Verdana" w:hAnsi="Verdana" w:cs="Arial"/>
        </w:rPr>
        <w:t xml:space="preserve"> permite a las Entidades Públicas en general, es decir, cualquiera sea su naturaleza y orden administrativo, asociarse con personas jurídicas particulares, mediante la celebración de convenios de asociación o la creación de personas jurídicas. </w:t>
      </w:r>
      <w:r w:rsidRPr="004978BF">
        <w:rPr>
          <w:rFonts w:ascii="Verdana" w:hAnsi="Verdana" w:cs="Arial"/>
        </w:rPr>
        <w:lastRenderedPageBreak/>
        <w:t>Ambas figuras tienen como fin desarrollar conjuntamente actividades relacionadas con los cometidos y funciones legales asignadas a la entidad</w:t>
      </w:r>
      <w:bookmarkEnd w:id="2"/>
      <w:r w:rsidRPr="004978BF">
        <w:rPr>
          <w:rFonts w:ascii="Verdana" w:hAnsi="Verdana" w:cs="Arial"/>
        </w:rPr>
        <w:t>.</w:t>
      </w:r>
      <w:bookmarkStart w:id="4" w:name="_Hlk38819155"/>
    </w:p>
    <w:p w14:paraId="06C4AA25" w14:textId="77777777" w:rsidR="00B93478" w:rsidRPr="004978BF" w:rsidRDefault="00B93478" w:rsidP="00B93478">
      <w:pPr>
        <w:pStyle w:val="Prrafodelista"/>
        <w:spacing w:after="0" w:line="276" w:lineRule="auto"/>
        <w:ind w:left="0"/>
        <w:contextualSpacing w:val="0"/>
        <w:jc w:val="both"/>
        <w:rPr>
          <w:rFonts w:ascii="Verdana" w:eastAsia="Calibri" w:hAnsi="Verdana" w:cs="Arial"/>
        </w:rPr>
      </w:pPr>
    </w:p>
    <w:p w14:paraId="41C00351" w14:textId="77777777" w:rsidR="00B93478" w:rsidRPr="004978BF" w:rsidRDefault="00B93478" w:rsidP="00B93478">
      <w:pPr>
        <w:pStyle w:val="Prrafodelista"/>
        <w:numPr>
          <w:ilvl w:val="0"/>
          <w:numId w:val="19"/>
        </w:numPr>
        <w:spacing w:after="0" w:line="276" w:lineRule="auto"/>
        <w:ind w:left="360"/>
        <w:contextualSpacing w:val="0"/>
        <w:jc w:val="both"/>
        <w:rPr>
          <w:rFonts w:ascii="Verdana" w:eastAsia="Calibri" w:hAnsi="Verdana" w:cs="Arial"/>
        </w:rPr>
      </w:pPr>
      <w:bookmarkStart w:id="5" w:name="_Hlk171946092"/>
      <w:r w:rsidRPr="004978BF">
        <w:rPr>
          <w:rFonts w:ascii="Verdana" w:hAnsi="Verdana" w:cs="Arial"/>
        </w:rPr>
        <w:t>El Gobierno Nacional, en desarrollo del artículo 355 de la Constitución Política, expidió el Decreto 092 de 2017, q</w:t>
      </w:r>
      <w:r w:rsidRPr="004978BF">
        <w:rPr>
          <w:rFonts w:ascii="Verdana" w:eastAsia="Calibri" w:hAnsi="Verdana" w:cs="Arial"/>
        </w:rPr>
        <w:t xml:space="preserve">ue dispone las reglas para las contrataciones que realicen las Entidades Estatales con las ESAL. El Decreto regula dos (2) eventos: i) </w:t>
      </w:r>
      <w:r w:rsidRPr="004978BF">
        <w:rPr>
          <w:rFonts w:ascii="Verdana" w:eastAsia="Calibri" w:hAnsi="Verdana" w:cs="Arial"/>
          <w:lang w:eastAsia="es-ES_tradnl"/>
        </w:rPr>
        <w:t xml:space="preserve">los </w:t>
      </w:r>
      <w:r w:rsidRPr="004978BF">
        <w:rPr>
          <w:rFonts w:ascii="Verdana" w:eastAsia="Calibri" w:hAnsi="Verdana" w:cs="Arial"/>
          <w:i/>
          <w:iCs/>
          <w:lang w:eastAsia="es-ES_tradnl"/>
        </w:rPr>
        <w:t>contratos de colaboración</w:t>
      </w:r>
      <w:r w:rsidRPr="004978BF">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4978BF">
        <w:rPr>
          <w:rFonts w:ascii="Verdana" w:eastAsia="Calibri" w:hAnsi="Verdana" w:cs="Arial"/>
        </w:rPr>
        <w:t xml:space="preserve"> y; </w:t>
      </w:r>
      <w:proofErr w:type="spellStart"/>
      <w:r w:rsidRPr="004978BF">
        <w:rPr>
          <w:rFonts w:ascii="Verdana" w:eastAsia="Calibri" w:hAnsi="Verdana" w:cs="Arial"/>
        </w:rPr>
        <w:t>ii</w:t>
      </w:r>
      <w:proofErr w:type="spellEnd"/>
      <w:r w:rsidRPr="004978BF">
        <w:rPr>
          <w:rFonts w:ascii="Verdana" w:eastAsia="Calibri" w:hAnsi="Verdana" w:cs="Arial"/>
        </w:rPr>
        <w:t xml:space="preserve">) los </w:t>
      </w:r>
      <w:r w:rsidRPr="004978BF">
        <w:rPr>
          <w:rFonts w:ascii="Verdana" w:eastAsia="Calibri" w:hAnsi="Verdana" w:cs="Arial"/>
          <w:i/>
          <w:iCs/>
        </w:rPr>
        <w:t>convenios de asociación</w:t>
      </w:r>
      <w:r w:rsidRPr="004978BF">
        <w:rPr>
          <w:rFonts w:ascii="Verdana" w:eastAsia="Calibri" w:hAnsi="Verdana" w:cs="Arial"/>
        </w:rPr>
        <w:t xml:space="preserve">, para el desarrollo conjunto de actividades relacionadas con las funciones de las Entidades Estatales, en desarrollo del artículo 96 de la Ley 489 de 1998. </w:t>
      </w:r>
      <w:r w:rsidRPr="004978BF">
        <w:rPr>
          <w:rFonts w:ascii="Verdana" w:eastAsia="Calibri" w:hAnsi="Verdana" w:cs="Arial"/>
          <w:lang w:eastAsia="es-ES_tradnl"/>
        </w:rPr>
        <w:t xml:space="preserve">Los </w:t>
      </w:r>
      <w:r w:rsidRPr="004978BF">
        <w:rPr>
          <w:rFonts w:ascii="Verdana" w:eastAsia="Calibri" w:hAnsi="Verdana" w:cs="Arial"/>
          <w:i/>
          <w:iCs/>
          <w:lang w:eastAsia="es-ES_tradnl"/>
        </w:rPr>
        <w:t>primeros</w:t>
      </w:r>
      <w:r w:rsidRPr="004978BF">
        <w:rPr>
          <w:rFonts w:ascii="Verdana" w:eastAsia="Calibri" w:hAnsi="Verdana" w:cs="Arial"/>
          <w:lang w:eastAsia="es-ES_tradnl"/>
        </w:rPr>
        <w:t xml:space="preserve"> están regulados en el artículo 2 del Decreto 092 de 2017, mientras que los </w:t>
      </w:r>
      <w:r w:rsidRPr="004978BF">
        <w:rPr>
          <w:rFonts w:ascii="Verdana" w:eastAsia="Calibri" w:hAnsi="Verdana" w:cs="Arial"/>
          <w:i/>
          <w:iCs/>
          <w:lang w:eastAsia="es-ES_tradnl"/>
        </w:rPr>
        <w:t>segundos</w:t>
      </w:r>
      <w:r w:rsidRPr="004978BF">
        <w:rPr>
          <w:rFonts w:ascii="Verdana" w:eastAsia="Calibri" w:hAnsi="Verdana" w:cs="Arial"/>
          <w:lang w:eastAsia="es-ES_tradnl"/>
        </w:rPr>
        <w:t xml:space="preserve"> en los artículos 5, 6, 7 y 8 </w:t>
      </w:r>
      <w:r w:rsidRPr="004978BF">
        <w:rPr>
          <w:rFonts w:ascii="Verdana" w:eastAsia="Calibri" w:hAnsi="Verdana" w:cs="Arial"/>
          <w:i/>
          <w:iCs/>
          <w:lang w:eastAsia="es-ES_tradnl"/>
        </w:rPr>
        <w:t>ibidem</w:t>
      </w:r>
      <w:r w:rsidRPr="004978BF">
        <w:rPr>
          <w:rFonts w:ascii="Verdana" w:eastAsia="Calibri" w:hAnsi="Verdana" w:cs="Arial"/>
          <w:lang w:eastAsia="es-ES_tradnl"/>
        </w:rPr>
        <w:t xml:space="preserve">. </w:t>
      </w:r>
      <w:bookmarkEnd w:id="5"/>
      <w:r w:rsidRPr="004978BF">
        <w:rPr>
          <w:rFonts w:ascii="Verdana" w:eastAsia="Calibri" w:hAnsi="Verdana" w:cs="Arial"/>
          <w:lang w:eastAsia="es-ES_tradnl"/>
        </w:rPr>
        <w:t xml:space="preserve">Así las cosas, es posible diferenciar, pues, los </w:t>
      </w:r>
      <w:r w:rsidRPr="004978BF">
        <w:rPr>
          <w:rFonts w:ascii="Verdana" w:eastAsia="Calibri" w:hAnsi="Verdana" w:cs="Arial"/>
          <w:i/>
          <w:iCs/>
          <w:lang w:eastAsia="es-ES_tradnl"/>
        </w:rPr>
        <w:t>contratos de colaboración</w:t>
      </w:r>
      <w:r w:rsidRPr="004978BF">
        <w:rPr>
          <w:rFonts w:ascii="Verdana" w:eastAsia="Calibri" w:hAnsi="Verdana" w:cs="Arial"/>
          <w:lang w:eastAsia="es-ES_tradnl"/>
        </w:rPr>
        <w:t>, establecidos en el artículo 2 del Decreto 092 de 2017</w:t>
      </w:r>
      <w:r>
        <w:rPr>
          <w:rFonts w:ascii="Verdana" w:eastAsia="Calibri" w:hAnsi="Verdana" w:cs="Arial"/>
          <w:lang w:eastAsia="es-ES_tradnl"/>
        </w:rPr>
        <w:t xml:space="preserve">, de </w:t>
      </w:r>
      <w:r w:rsidRPr="004978BF">
        <w:rPr>
          <w:rFonts w:ascii="Verdana" w:eastAsia="Calibri" w:hAnsi="Verdana" w:cs="Arial"/>
          <w:lang w:eastAsia="es-ES_tradnl"/>
        </w:rPr>
        <w:t xml:space="preserve">los </w:t>
      </w:r>
      <w:r w:rsidRPr="004978BF">
        <w:rPr>
          <w:rFonts w:ascii="Verdana" w:eastAsia="Calibri" w:hAnsi="Verdana" w:cs="Arial"/>
          <w:i/>
          <w:iCs/>
          <w:lang w:eastAsia="es-ES_tradnl"/>
        </w:rPr>
        <w:t>convenios de asociación</w:t>
      </w:r>
      <w:r w:rsidRPr="004978BF">
        <w:rPr>
          <w:rFonts w:ascii="Verdana" w:eastAsia="Calibri" w:hAnsi="Verdana" w:cs="Arial"/>
          <w:lang w:eastAsia="es-ES_tradnl"/>
        </w:rPr>
        <w:t>, regulados en el artículo 5</w:t>
      </w:r>
      <w:r w:rsidRPr="004978BF">
        <w:rPr>
          <w:rFonts w:ascii="Verdana" w:hAnsi="Verdana"/>
          <w:vertAlign w:val="superscript"/>
          <w:lang w:eastAsia="es-ES_tradnl"/>
        </w:rPr>
        <w:footnoteReference w:id="4"/>
      </w:r>
      <w:r w:rsidRPr="004978BF">
        <w:rPr>
          <w:rFonts w:ascii="Verdana" w:eastAsia="Calibri" w:hAnsi="Verdana" w:cs="Arial"/>
          <w:lang w:eastAsia="es-ES_tradnl"/>
        </w:rPr>
        <w:t>.</w:t>
      </w:r>
      <w:bookmarkEnd w:id="4"/>
    </w:p>
    <w:p w14:paraId="7E4C04E7" w14:textId="77777777" w:rsidR="00B93478" w:rsidRPr="004978BF" w:rsidRDefault="00B93478" w:rsidP="00B93478">
      <w:pPr>
        <w:pStyle w:val="Prrafodelista"/>
        <w:spacing w:after="0" w:line="276" w:lineRule="auto"/>
        <w:ind w:left="0"/>
        <w:contextualSpacing w:val="0"/>
        <w:rPr>
          <w:rFonts w:ascii="Verdana" w:eastAsia="Calibri" w:hAnsi="Verdana" w:cs="Arial"/>
        </w:rPr>
      </w:pPr>
    </w:p>
    <w:p w14:paraId="456500E3" w14:textId="77777777" w:rsidR="00B93478" w:rsidRPr="004978BF" w:rsidRDefault="00B93478" w:rsidP="00B93478">
      <w:pPr>
        <w:pStyle w:val="Prrafodelista"/>
        <w:numPr>
          <w:ilvl w:val="0"/>
          <w:numId w:val="19"/>
        </w:numPr>
        <w:spacing w:after="0" w:line="276" w:lineRule="auto"/>
        <w:ind w:left="360"/>
        <w:contextualSpacing w:val="0"/>
        <w:jc w:val="both"/>
        <w:rPr>
          <w:rFonts w:ascii="Verdana" w:eastAsia="Calibri" w:hAnsi="Verdana" w:cs="Arial"/>
        </w:rPr>
      </w:pPr>
      <w:bookmarkStart w:id="6" w:name="_Hlk171946110"/>
      <w:r w:rsidRPr="004978BF">
        <w:rPr>
          <w:rFonts w:ascii="Verdana" w:eastAsia="Calibri" w:hAnsi="Verdana" w:cs="Arial"/>
        </w:rPr>
        <w:t xml:space="preserve">De un lado, los </w:t>
      </w:r>
      <w:r w:rsidRPr="004978BF">
        <w:rPr>
          <w:rFonts w:ascii="Verdana" w:eastAsia="Calibri" w:hAnsi="Verdana" w:cs="Arial"/>
          <w:i/>
          <w:iCs/>
        </w:rPr>
        <w:t>contratos colaboración del artículo 355 de la Constitución Política</w:t>
      </w:r>
      <w:r w:rsidRPr="004978BF">
        <w:rPr>
          <w:rFonts w:ascii="Verdana" w:eastAsia="Calibri" w:hAnsi="Verdana" w:cs="Aria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w:t>
      </w:r>
    </w:p>
    <w:p w14:paraId="4EDFDEC1" w14:textId="77777777" w:rsidR="00B93478" w:rsidRPr="004978BF" w:rsidRDefault="00B93478" w:rsidP="00B93478">
      <w:pPr>
        <w:pStyle w:val="Prrafodelista"/>
        <w:spacing w:after="0" w:line="276" w:lineRule="auto"/>
        <w:contextualSpacing w:val="0"/>
        <w:rPr>
          <w:rFonts w:ascii="Verdana" w:eastAsia="Calibri" w:hAnsi="Verdana" w:cs="Arial"/>
        </w:rPr>
      </w:pPr>
    </w:p>
    <w:p w14:paraId="7D71673A" w14:textId="77777777" w:rsidR="00B93478" w:rsidRPr="004978BF"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4978BF">
        <w:rPr>
          <w:rFonts w:ascii="Verdana" w:eastAsia="Calibri" w:hAnsi="Verdana" w:cs="Arial"/>
        </w:rPr>
        <w:t>Conforme lo anterior, una característica esencial de los convenios a los que se refiere el inciso segundo del artículo 355 Constitucional – contratos de colaboración – es que su objeto esté determinado por la realización de programas y actividades de interés público acordes con el Plan Nacional de Desarrollo y los planes seccionales de desarrollo</w:t>
      </w:r>
      <w:r w:rsidRPr="004978BF">
        <w:rPr>
          <w:rFonts w:ascii="Verdana" w:eastAsia="Calibri" w:hAnsi="Verdana" w:cs="Arial"/>
          <w:vertAlign w:val="superscript"/>
        </w:rPr>
        <w:footnoteReference w:id="5"/>
      </w:r>
      <w:r w:rsidRPr="004978BF">
        <w:rPr>
          <w:rFonts w:ascii="Verdana" w:eastAsia="Calibri" w:hAnsi="Verdana" w:cs="Arial"/>
        </w:rPr>
        <w:t xml:space="preserve">, los cuales se encuentran regulados en los artículos 339 a 344 de la Constitución Política. Sobre este aspecto, la Corte Constitucional ha indicado que el objeto de estos convenios </w:t>
      </w:r>
      <w:r w:rsidRPr="004978BF">
        <w:rPr>
          <w:rFonts w:ascii="Verdana" w:eastAsia="Calibri" w:hAnsi="Verdana" w:cs="Arial"/>
        </w:rPr>
        <w:lastRenderedPageBreak/>
        <w:t xml:space="preserve">es el </w:t>
      </w:r>
      <w:r>
        <w:rPr>
          <w:rFonts w:ascii="Verdana" w:eastAsia="Calibri" w:hAnsi="Verdana" w:cs="Arial"/>
        </w:rPr>
        <w:t>“</w:t>
      </w:r>
      <w:r w:rsidRPr="004978BF">
        <w:rPr>
          <w:rFonts w:ascii="Verdana" w:eastAsia="Calibri" w:hAnsi="Verdana" w:cs="Arial"/>
        </w:rPr>
        <w:t>desarrollo de actividades esencialmente benéficas, no como instrumento económico, sino con un propósito meramente asistencial y altruista, en el que, a diferencia del pasado, no se privilegia la arbitrariedad y unilateralidad del gasto público, sino que se exige un grado aceptable de reciprocidad por parte del beneficiario de la ayuda"</w:t>
      </w:r>
      <w:r w:rsidRPr="004978BF">
        <w:rPr>
          <w:rFonts w:ascii="Verdana" w:eastAsia="Calibri" w:hAnsi="Verdana" w:cs="Arial"/>
          <w:vertAlign w:val="superscript"/>
        </w:rPr>
        <w:footnoteReference w:id="6"/>
      </w:r>
      <w:r w:rsidRPr="004978BF">
        <w:rPr>
          <w:rFonts w:ascii="Verdana" w:eastAsia="Calibri" w:hAnsi="Verdana" w:cs="Arial"/>
        </w:rPr>
        <w:t>.</w:t>
      </w:r>
    </w:p>
    <w:p w14:paraId="02922977" w14:textId="77777777" w:rsidR="00B93478" w:rsidRPr="004978BF" w:rsidRDefault="00B93478" w:rsidP="00B93478">
      <w:pPr>
        <w:pStyle w:val="Prrafodelista"/>
        <w:spacing w:after="0" w:line="276" w:lineRule="auto"/>
        <w:contextualSpacing w:val="0"/>
        <w:rPr>
          <w:rFonts w:ascii="Verdana" w:eastAsia="Calibri" w:hAnsi="Verdana" w:cs="Arial"/>
        </w:rPr>
      </w:pPr>
    </w:p>
    <w:p w14:paraId="3C4D646A" w14:textId="77777777" w:rsidR="00B93478" w:rsidRPr="004978BF"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4978BF">
        <w:rPr>
          <w:rFonts w:ascii="Verdana" w:eastAsia="Calibri" w:hAnsi="Verdana" w:cs="Arial"/>
        </w:rPr>
        <w:t>Para ilustrar lo anterior, se propone el siguiente ejemplo, si una Alcaldía municipal desea impulsar un programa de atención integral a los ancianos y quiere definir si puede recurrir o no a la contratación de interés público, deberá identificar primero si el desarrollo de esa actividad está incluido en el plan de desarrollo municipal o acorde con este. Si la respuesta es positiva, se tendrá por satisfecho el precitado requisito.</w:t>
      </w:r>
    </w:p>
    <w:p w14:paraId="00121A78" w14:textId="77777777" w:rsidR="00B93478" w:rsidRPr="004978BF" w:rsidRDefault="00B93478" w:rsidP="00B93478">
      <w:pPr>
        <w:pStyle w:val="Prrafodelista"/>
        <w:spacing w:after="0" w:line="276" w:lineRule="auto"/>
        <w:contextualSpacing w:val="0"/>
        <w:rPr>
          <w:rFonts w:ascii="Verdana" w:eastAsia="Calibri" w:hAnsi="Verdana" w:cs="Arial"/>
        </w:rPr>
      </w:pPr>
    </w:p>
    <w:p w14:paraId="518E1D8C" w14:textId="77777777" w:rsidR="00B93478" w:rsidRPr="004978BF"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4978BF">
        <w:rPr>
          <w:rFonts w:ascii="Verdana" w:eastAsia="Calibri" w:hAnsi="Verdana" w:cs="Arial"/>
        </w:rPr>
        <w:t>Respecto del objeto de los contratos de colaboración, el Consejo de Estado, en el auto del 6 de agosto de 2019, estudió el literal a), del artículo 2, del Decreto 092, que establece que únicamente se podrá contratar con ESAL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4978BF">
        <w:rPr>
          <w:rFonts w:ascii="Verdana" w:eastAsia="Calibri" w:hAnsi="Verdana" w:cs="Arial"/>
          <w:vertAlign w:val="superscript"/>
        </w:rPr>
        <w:footnoteReference w:id="7"/>
      </w:r>
      <w:r w:rsidRPr="004978BF">
        <w:rPr>
          <w:rFonts w:ascii="Verdana" w:eastAsia="Calibri" w:hAnsi="Verdana" w:cs="Arial"/>
        </w:rPr>
        <w:t xml:space="preserve">. </w:t>
      </w:r>
      <w:bookmarkStart w:id="8" w:name="_Hlk95756502"/>
      <w:r w:rsidRPr="004978BF">
        <w:rPr>
          <w:rFonts w:ascii="Verdana" w:eastAsia="Calibri" w:hAnsi="Verdana" w:cs="Arial"/>
        </w:rPr>
        <w:t xml:space="preserve"> </w:t>
      </w:r>
    </w:p>
    <w:p w14:paraId="5410674A" w14:textId="77777777" w:rsidR="00B93478" w:rsidRPr="004978BF" w:rsidRDefault="00B93478" w:rsidP="00B93478">
      <w:pPr>
        <w:pStyle w:val="Prrafodelista"/>
        <w:spacing w:after="0" w:line="276" w:lineRule="auto"/>
        <w:ind w:left="360"/>
        <w:contextualSpacing w:val="0"/>
        <w:jc w:val="both"/>
        <w:rPr>
          <w:rFonts w:ascii="Verdana" w:eastAsia="Calibri" w:hAnsi="Verdana" w:cs="Arial"/>
        </w:rPr>
      </w:pPr>
    </w:p>
    <w:p w14:paraId="14576AC9" w14:textId="77777777" w:rsidR="00B93478" w:rsidRPr="004978BF"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4978BF">
        <w:rPr>
          <w:rFonts w:ascii="Verdana" w:eastAsia="Calibri" w:hAnsi="Verdana" w:cs="Arial"/>
        </w:rPr>
        <w:t xml:space="preserve">En relación con esta norma, encontró que el literal a) del artículo 2 establece dos (2)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8"/>
      <w:r w:rsidRPr="004978BF">
        <w:rPr>
          <w:rFonts w:ascii="Verdana" w:eastAsia="Calibri" w:hAnsi="Verdana" w:cs="Arial"/>
        </w:rPr>
        <w:t xml:space="preserve">En relación con lo anterior, el auto del Consejo de Estado explica que: </w:t>
      </w:r>
    </w:p>
    <w:p w14:paraId="78A85FE2" w14:textId="77777777" w:rsidR="00B93478" w:rsidRPr="004978BF" w:rsidRDefault="00B93478" w:rsidP="00B93478">
      <w:pPr>
        <w:pStyle w:val="Prrafodelista"/>
        <w:spacing w:after="0" w:line="276" w:lineRule="auto"/>
        <w:ind w:left="360"/>
        <w:contextualSpacing w:val="0"/>
        <w:jc w:val="both"/>
        <w:rPr>
          <w:rFonts w:ascii="Verdana" w:eastAsia="Calibri" w:hAnsi="Verdana" w:cs="Arial"/>
        </w:rPr>
      </w:pPr>
    </w:p>
    <w:p w14:paraId="6E734A26" w14:textId="77777777" w:rsidR="00B93478" w:rsidRPr="00B3294C" w:rsidRDefault="00B93478" w:rsidP="00B93478">
      <w:pPr>
        <w:spacing w:after="0" w:line="240" w:lineRule="auto"/>
        <w:ind w:left="709" w:right="709"/>
        <w:jc w:val="both"/>
        <w:rPr>
          <w:rFonts w:ascii="Verdana" w:eastAsia="Calibri" w:hAnsi="Verdana" w:cs="Arial"/>
          <w:sz w:val="20"/>
          <w:szCs w:val="20"/>
        </w:rPr>
      </w:pPr>
      <w:r w:rsidRPr="00B3294C">
        <w:rPr>
          <w:rFonts w:ascii="Verdana" w:eastAsia="Calibri" w:hAnsi="Verdana" w:cs="Arial"/>
          <w:sz w:val="20"/>
          <w:szCs w:val="20"/>
        </w:rPr>
        <w:lastRenderedPageBreak/>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57F0871E" w14:textId="77777777" w:rsidR="00B93478" w:rsidRPr="00B3294C" w:rsidRDefault="00B93478" w:rsidP="00F12C99">
      <w:pPr>
        <w:spacing w:after="0" w:line="276" w:lineRule="auto"/>
        <w:jc w:val="both"/>
        <w:rPr>
          <w:rFonts w:ascii="Verdana" w:eastAsia="Calibri" w:hAnsi="Verdana" w:cs="Arial"/>
        </w:rPr>
      </w:pPr>
    </w:p>
    <w:p w14:paraId="417C78B8" w14:textId="77777777" w:rsidR="00B93478" w:rsidRPr="00760870" w:rsidRDefault="00B93478" w:rsidP="00F12C99">
      <w:pPr>
        <w:pStyle w:val="Prrafodelista"/>
        <w:numPr>
          <w:ilvl w:val="0"/>
          <w:numId w:val="19"/>
        </w:numPr>
        <w:spacing w:after="0" w:line="276" w:lineRule="auto"/>
        <w:ind w:left="360"/>
        <w:contextualSpacing w:val="0"/>
        <w:jc w:val="both"/>
        <w:rPr>
          <w:rFonts w:ascii="Verdana" w:eastAsia="Calibri" w:hAnsi="Verdana" w:cs="Arial"/>
        </w:rPr>
      </w:pPr>
      <w:r w:rsidRPr="00760870">
        <w:rPr>
          <w:rFonts w:ascii="Verdana" w:eastAsia="Calibri" w:hAnsi="Verdana" w:cs="Arial"/>
        </w:rPr>
        <w:t xml:space="preserve">Asimismo,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5F2FF71F" w14:textId="77777777" w:rsidR="00B93478" w:rsidRPr="00B3294C" w:rsidRDefault="00B93478" w:rsidP="00F12C99">
      <w:pPr>
        <w:spacing w:after="0" w:line="276" w:lineRule="auto"/>
        <w:jc w:val="both"/>
        <w:rPr>
          <w:rFonts w:ascii="Verdana" w:eastAsia="Calibri" w:hAnsi="Verdana" w:cs="Arial"/>
        </w:rPr>
      </w:pPr>
    </w:p>
    <w:p w14:paraId="4E2836A7" w14:textId="77777777" w:rsidR="00B93478" w:rsidRPr="00B3294C" w:rsidRDefault="00B93478" w:rsidP="00B93478">
      <w:pPr>
        <w:tabs>
          <w:tab w:val="left" w:pos="8080"/>
        </w:tabs>
        <w:spacing w:after="0" w:line="240" w:lineRule="auto"/>
        <w:ind w:left="709" w:right="709"/>
        <w:jc w:val="both"/>
        <w:rPr>
          <w:rFonts w:ascii="Verdana" w:eastAsia="Calibri" w:hAnsi="Verdana" w:cs="Arial"/>
          <w:sz w:val="20"/>
          <w:szCs w:val="20"/>
        </w:rPr>
      </w:pPr>
      <w:r w:rsidRPr="00B3294C">
        <w:rPr>
          <w:rFonts w:ascii="Verdana" w:eastAsia="Calibri" w:hAnsi="Verdana" w:cs="Arial"/>
          <w:sz w:val="20"/>
          <w:szCs w:val="20"/>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77C58F10" w14:textId="77777777" w:rsidR="00B93478" w:rsidRPr="00760870" w:rsidRDefault="00B93478" w:rsidP="00F12C99">
      <w:pPr>
        <w:spacing w:after="0" w:line="276" w:lineRule="auto"/>
        <w:jc w:val="both"/>
        <w:rPr>
          <w:rFonts w:ascii="Verdana" w:eastAsia="Calibri" w:hAnsi="Verdana" w:cs="Arial"/>
        </w:rPr>
      </w:pPr>
      <w:r w:rsidRPr="00B3294C">
        <w:rPr>
          <w:rFonts w:ascii="Verdana" w:eastAsia="Calibri" w:hAnsi="Verdana" w:cs="Arial"/>
        </w:rPr>
        <w:t xml:space="preserve"> </w:t>
      </w:r>
    </w:p>
    <w:p w14:paraId="710E5651" w14:textId="77777777" w:rsidR="00B93478" w:rsidRPr="00760870" w:rsidRDefault="00B93478" w:rsidP="00F12C99">
      <w:pPr>
        <w:pStyle w:val="Prrafodelista"/>
        <w:numPr>
          <w:ilvl w:val="0"/>
          <w:numId w:val="19"/>
        </w:numPr>
        <w:spacing w:after="0" w:line="276" w:lineRule="auto"/>
        <w:ind w:left="360"/>
        <w:contextualSpacing w:val="0"/>
        <w:jc w:val="both"/>
        <w:rPr>
          <w:rFonts w:ascii="Verdana" w:eastAsia="Calibri" w:hAnsi="Verdana" w:cs="Arial"/>
        </w:rPr>
      </w:pPr>
      <w:r w:rsidRPr="00760870">
        <w:rPr>
          <w:rFonts w:ascii="Verdana" w:eastAsia="Calibri" w:hAnsi="Verdana" w:cs="Arial"/>
        </w:rPr>
        <w:t>Por las anteriores razones,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6"/>
    <w:p w14:paraId="4E1244DB" w14:textId="77777777" w:rsidR="00B93478" w:rsidRPr="00760870" w:rsidRDefault="00B93478" w:rsidP="00F12C99">
      <w:pPr>
        <w:pStyle w:val="Prrafodelista"/>
        <w:spacing w:after="0" w:line="276" w:lineRule="auto"/>
        <w:ind w:left="0"/>
        <w:contextualSpacing w:val="0"/>
        <w:rPr>
          <w:rFonts w:ascii="Verdana" w:eastAsia="Calibri" w:hAnsi="Verdana" w:cs="Arial"/>
        </w:rPr>
      </w:pPr>
    </w:p>
    <w:p w14:paraId="2DE860E6" w14:textId="77777777" w:rsidR="00B93478" w:rsidRDefault="00B93478" w:rsidP="00B93478">
      <w:pPr>
        <w:pStyle w:val="Prrafodelista"/>
        <w:numPr>
          <w:ilvl w:val="0"/>
          <w:numId w:val="19"/>
        </w:numPr>
        <w:spacing w:after="0" w:line="276" w:lineRule="auto"/>
        <w:ind w:left="360"/>
        <w:contextualSpacing w:val="0"/>
        <w:jc w:val="both"/>
        <w:rPr>
          <w:rFonts w:ascii="Verdana" w:eastAsia="Calibri" w:hAnsi="Verdana" w:cs="Arial"/>
        </w:rPr>
      </w:pPr>
      <w:bookmarkStart w:id="9" w:name="_Hlk171946189"/>
      <w:r w:rsidRPr="00760870">
        <w:rPr>
          <w:rFonts w:ascii="Verdana" w:eastAsia="Calibri" w:hAnsi="Verdana" w:cs="Arial"/>
        </w:rPr>
        <w:t xml:space="preserve">De otro lado, los </w:t>
      </w:r>
      <w:r w:rsidRPr="00760870">
        <w:rPr>
          <w:rFonts w:ascii="Verdana" w:eastAsia="Calibri" w:hAnsi="Verdana" w:cs="Arial"/>
          <w:i/>
          <w:iCs/>
        </w:rPr>
        <w:t>convenios de asociación</w:t>
      </w:r>
      <w:r w:rsidRPr="00760870">
        <w:rPr>
          <w:rFonts w:ascii="Verdana" w:eastAsia="Calibri" w:hAnsi="Verdana" w:cs="Arial"/>
        </w:rPr>
        <w:t xml:space="preserve"> “[…] [t]</w:t>
      </w:r>
      <w:proofErr w:type="spellStart"/>
      <w:r w:rsidRPr="00760870">
        <w:rPr>
          <w:rFonts w:ascii="Verdana" w:eastAsia="Calibri" w:hAnsi="Verdana" w:cs="Arial"/>
        </w:rPr>
        <w:t>ienen</w:t>
      </w:r>
      <w:proofErr w:type="spellEnd"/>
      <w:r w:rsidRPr="00760870">
        <w:rPr>
          <w:rFonts w:ascii="Verdana" w:eastAsia="Calibri" w:hAnsi="Verdana" w:cs="Arial"/>
        </w:rPr>
        <w:t xml:space="preserve"> como finalidad que la entidad estatal, cualquiera que sea su naturaleza y orden administrativo, se asocien con personas jurídicas particulares para el desarrollo conjunto de actividades relacionadas con los cometidos y funciones asignadas a aquellas </w:t>
      </w:r>
      <w:r w:rsidRPr="00760870">
        <w:rPr>
          <w:rFonts w:ascii="Verdana" w:eastAsia="Calibri" w:hAnsi="Verdana" w:cs="Arial"/>
        </w:rPr>
        <w:lastRenderedPageBreak/>
        <w:t>conforme a la Constitución y a la Ley”</w:t>
      </w:r>
      <w:r w:rsidRPr="00760870">
        <w:rPr>
          <w:rFonts w:ascii="Verdana" w:hAnsi="Verdana"/>
          <w:vertAlign w:val="superscript"/>
        </w:rPr>
        <w:footnoteReference w:id="8"/>
      </w:r>
      <w:r w:rsidRPr="00760870">
        <w:rPr>
          <w:rFonts w:ascii="Verdana" w:eastAsia="Calibri" w:hAnsi="Verdana" w:cs="Arial"/>
        </w:rPr>
        <w:t xml:space="preserve">. </w:t>
      </w:r>
      <w:bookmarkEnd w:id="9"/>
      <w:r w:rsidRPr="00760870">
        <w:rPr>
          <w:rFonts w:ascii="Verdana" w:eastAsia="Calibri" w:hAnsi="Verdana" w:cs="Arial"/>
          <w:lang w:eastAsia="es-ES_tradnl"/>
        </w:rPr>
        <w:t xml:space="preserve">De conformidad con el inciso segundo del </w:t>
      </w:r>
      <w:bookmarkStart w:id="10" w:name="_Hlk171946223"/>
      <w:r w:rsidRPr="00760870">
        <w:rPr>
          <w:rFonts w:ascii="Verdana" w:eastAsia="Calibri" w:hAnsi="Verdana" w:cs="Arial"/>
          <w:lang w:eastAsia="es-ES_tradnl"/>
        </w:rPr>
        <w:t>artículo 96 de la Ley 489 de 1998</w:t>
      </w:r>
      <w:bookmarkEnd w:id="10"/>
      <w:r w:rsidRPr="00760870">
        <w:rPr>
          <w:rFonts w:ascii="Verdana" w:eastAsia="Calibri" w:hAnsi="Verdana" w:cs="Arial"/>
          <w:lang w:eastAsia="es-ES_tradnl"/>
        </w:rPr>
        <w:t xml:space="preserve">, en estos convenios debe determinarse “con precisión su objeto, término, obligaciones de las partes, aportes, coordinación y todos aquellos aspectos que se consideren pertinentes”. </w:t>
      </w:r>
      <w:r w:rsidRPr="00760870">
        <w:rPr>
          <w:rFonts w:ascii="Verdana" w:eastAsia="Calibri" w:hAnsi="Verdana" w:cs="Arial"/>
        </w:rPr>
        <w:t xml:space="preserve">En estos convenios </w:t>
      </w:r>
      <w:r>
        <w:rPr>
          <w:rFonts w:ascii="Verdana" w:eastAsia="Calibri" w:hAnsi="Verdana" w:cs="Arial"/>
        </w:rPr>
        <w:t xml:space="preserve">– al igual que los contratos de colaboración – </w:t>
      </w:r>
      <w:r w:rsidRPr="00760870">
        <w:rPr>
          <w:rFonts w:ascii="Verdana" w:eastAsia="Calibri" w:hAnsi="Verdana" w:cs="Arial"/>
        </w:rPr>
        <w:t>no</w:t>
      </w:r>
      <w:r>
        <w:rPr>
          <w:rFonts w:ascii="Verdana" w:eastAsia="Calibri" w:hAnsi="Verdana" w:cs="Arial"/>
        </w:rPr>
        <w:t xml:space="preserve"> </w:t>
      </w:r>
      <w:r w:rsidRPr="00760870">
        <w:rPr>
          <w:rFonts w:ascii="Verdana" w:eastAsia="Calibri" w:hAnsi="Verdana" w:cs="Arial"/>
        </w:rPr>
        <w:t xml:space="preserve">existe contraprestación o pago, sino aportes, los cuales están dirigidos, exclusivamente, a lograr la ejecución del convenio no a remunerar la actividad o actuaciones del asociado. </w:t>
      </w:r>
    </w:p>
    <w:p w14:paraId="46DA1B24" w14:textId="77777777" w:rsidR="00B93478" w:rsidRPr="004C4035" w:rsidRDefault="00B93478" w:rsidP="00B93478">
      <w:pPr>
        <w:pStyle w:val="Prrafodelista"/>
        <w:rPr>
          <w:rFonts w:ascii="Verdana" w:eastAsia="Calibri" w:hAnsi="Verdana" w:cs="Arial"/>
        </w:rPr>
      </w:pPr>
    </w:p>
    <w:p w14:paraId="385007C6" w14:textId="77777777" w:rsidR="00B93478" w:rsidRPr="00760870"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760870">
        <w:rPr>
          <w:rFonts w:ascii="Verdana" w:eastAsia="Calibri" w:hAnsi="Verdana" w:cs="Arial"/>
        </w:rPr>
        <w:t xml:space="preserve">De lo anterior se concluye que, el interés perseguido con la contratación debe ser de carácter general o colectivo, materializado en los cometidos y funciones que le han sido asignados en el ordenamiento jurídico a la Entidad Estatal contratante. Así, en el caso de una entidad territorial se debe garantizar que los fines del convenio de asociación a celebrarse sean acordes con los fines y funciones asignados en la Constitución, leyes orgánicas y ordinarias correspondientes, al igual que en sus correspondientes planes de desarrollo. Además, si se trata de cualquier otra Entidad Estatal, deberá indagarse igualmente por su finalidad y competencia en las normas legales correspondientes, incluyendo sus actos de creación y los asimilables a los planes de desarrollo, para garantizar el cumplimiento de </w:t>
      </w:r>
      <w:proofErr w:type="gramStart"/>
      <w:r w:rsidRPr="00760870">
        <w:rPr>
          <w:rFonts w:ascii="Verdana" w:eastAsia="Calibri" w:hAnsi="Verdana" w:cs="Arial"/>
        </w:rPr>
        <w:t>los mismos</w:t>
      </w:r>
      <w:proofErr w:type="gramEnd"/>
      <w:r w:rsidRPr="00760870">
        <w:rPr>
          <w:rFonts w:ascii="Verdana" w:eastAsia="Calibri" w:hAnsi="Verdana" w:cs="Arial"/>
        </w:rPr>
        <w:t xml:space="preserve"> a través del convenio a celebrarse</w:t>
      </w:r>
      <w:r w:rsidRPr="00760870">
        <w:rPr>
          <w:rFonts w:ascii="Verdana" w:eastAsia="Calibri" w:hAnsi="Verdana" w:cs="Arial"/>
          <w:vertAlign w:val="superscript"/>
        </w:rPr>
        <w:footnoteReference w:id="9"/>
      </w:r>
      <w:r w:rsidRPr="00760870">
        <w:rPr>
          <w:rFonts w:ascii="Verdana" w:eastAsia="Calibri" w:hAnsi="Verdana" w:cs="Arial"/>
        </w:rPr>
        <w:t>.</w:t>
      </w:r>
    </w:p>
    <w:p w14:paraId="71470CA5" w14:textId="77777777" w:rsidR="00B93478" w:rsidRPr="00760870" w:rsidRDefault="00B93478" w:rsidP="00B93478">
      <w:pPr>
        <w:spacing w:after="0" w:line="276" w:lineRule="auto"/>
        <w:jc w:val="both"/>
        <w:rPr>
          <w:rFonts w:ascii="Verdana" w:eastAsia="Calibri" w:hAnsi="Verdana" w:cs="Arial"/>
          <w:lang w:val="es-ES"/>
        </w:rPr>
      </w:pPr>
    </w:p>
    <w:p w14:paraId="4DBD0E5A" w14:textId="77777777" w:rsidR="00B93478" w:rsidRPr="00A53C2C"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A53C2C">
        <w:rPr>
          <w:rFonts w:ascii="Verdana" w:eastAsia="Calibri" w:hAnsi="Verdana" w:cs="Arial"/>
        </w:rPr>
        <w:t xml:space="preserve">Ahora bien, respecto a </w:t>
      </w:r>
      <w:r>
        <w:rPr>
          <w:rFonts w:ascii="Verdana" w:eastAsia="Calibri" w:hAnsi="Verdana" w:cs="Arial"/>
        </w:rPr>
        <w:t xml:space="preserve">los </w:t>
      </w:r>
      <w:r w:rsidRPr="00A53C2C">
        <w:rPr>
          <w:rFonts w:ascii="Verdana" w:eastAsia="Calibri" w:hAnsi="Verdana" w:cs="Arial"/>
        </w:rPr>
        <w:t>problema</w:t>
      </w:r>
      <w:r>
        <w:rPr>
          <w:rFonts w:ascii="Verdana" w:eastAsia="Calibri" w:hAnsi="Verdana" w:cs="Arial"/>
        </w:rPr>
        <w:t>s</w:t>
      </w:r>
      <w:r w:rsidRPr="00A53C2C">
        <w:rPr>
          <w:rFonts w:ascii="Verdana" w:eastAsia="Calibri" w:hAnsi="Verdana" w:cs="Arial"/>
        </w:rPr>
        <w:t xml:space="preserve"> jurídico</w:t>
      </w:r>
      <w:r>
        <w:rPr>
          <w:rFonts w:ascii="Verdana" w:eastAsia="Calibri" w:hAnsi="Verdana" w:cs="Arial"/>
        </w:rPr>
        <w:t>s dos, tres y cuatro</w:t>
      </w:r>
      <w:r w:rsidRPr="00A53C2C">
        <w:rPr>
          <w:rFonts w:ascii="Verdana" w:eastAsia="Calibri" w:hAnsi="Verdana" w:cs="Arial"/>
        </w:rPr>
        <w:t xml:space="preserve"> planteado</w:t>
      </w:r>
      <w:r>
        <w:rPr>
          <w:rFonts w:ascii="Verdana" w:eastAsia="Calibri" w:hAnsi="Verdana" w:cs="Arial"/>
        </w:rPr>
        <w:t>s</w:t>
      </w:r>
      <w:r w:rsidRPr="00A53C2C">
        <w:rPr>
          <w:rFonts w:ascii="Verdana" w:eastAsia="Calibri" w:hAnsi="Verdana" w:cs="Arial"/>
        </w:rPr>
        <w:t xml:space="preserve"> por esta Agencia es importante señalar que, </w:t>
      </w:r>
      <w:bookmarkStart w:id="11" w:name="_Hlk171946202"/>
      <w:r w:rsidRPr="00A53C2C">
        <w:rPr>
          <w:rFonts w:ascii="Verdana" w:hAnsi="Verdana" w:cs="Arial"/>
        </w:rPr>
        <w:t xml:space="preserve">los negocios jurídicos que regula el Decreto 092 de 2017 “[…] son esencialmente distintos a los contratos para la adquisición y aprovisionamiento de bienes, obras o servicios regulados por el estatuto de contratación y [, como tal,] no hacen parte del sistema de compra pública. […]. De acuerdo con lo anterior, si la entidad estatal adquiere o se abastece de un bien, obra o servicio en un contrato conmutativo en el cual el proveedor es una [ESAL], debe aplicar el régimen contenido en las </w:t>
      </w:r>
      <w:r w:rsidRPr="00A53C2C">
        <w:rPr>
          <w:rFonts w:ascii="Verdana" w:hAnsi="Verdana" w:cs="Arial"/>
        </w:rPr>
        <w:lastRenderedPageBreak/>
        <w:t>Leyes 80 de 1993 y 1150 de 2007, y no el Decreto 092 de 2017</w:t>
      </w:r>
      <w:bookmarkEnd w:id="11"/>
      <w:r w:rsidRPr="00A53C2C">
        <w:rPr>
          <w:rFonts w:ascii="Verdana" w:hAnsi="Verdana" w:cs="Arial"/>
        </w:rPr>
        <w:t>”</w:t>
      </w:r>
      <w:r w:rsidRPr="00A53C2C">
        <w:rPr>
          <w:rStyle w:val="Refdenotaalpie"/>
          <w:rFonts w:ascii="Verdana" w:hAnsi="Verdana" w:cs="Arial"/>
        </w:rPr>
        <w:footnoteReference w:id="10"/>
      </w:r>
      <w:r w:rsidRPr="00A53C2C">
        <w:rPr>
          <w:rFonts w:ascii="Verdana" w:hAnsi="Verdana" w:cs="Arial"/>
        </w:rPr>
        <w:t xml:space="preserve">. Así lo consideró la </w:t>
      </w:r>
      <w:bookmarkStart w:id="12" w:name="_Hlk171946251"/>
      <w:r w:rsidRPr="00A53C2C">
        <w:rPr>
          <w:rFonts w:ascii="Verdana" w:hAnsi="Verdana" w:cs="Arial"/>
        </w:rPr>
        <w:t>Sala de Consulta y Servicio Civil del Consejo de Estado</w:t>
      </w:r>
      <w:bookmarkEnd w:id="12"/>
      <w:r w:rsidRPr="00A53C2C">
        <w:rPr>
          <w:rStyle w:val="Refdenotaalpie"/>
          <w:rFonts w:ascii="Verdana" w:hAnsi="Verdana" w:cs="Arial"/>
        </w:rPr>
        <w:footnoteReference w:id="11"/>
      </w:r>
      <w:r w:rsidRPr="00A53C2C">
        <w:rPr>
          <w:rFonts w:ascii="Verdana" w:hAnsi="Verdana" w:cs="Arial"/>
        </w:rPr>
        <w:t>:</w:t>
      </w:r>
    </w:p>
    <w:p w14:paraId="68DC68A3" w14:textId="77777777" w:rsidR="00B93478" w:rsidRPr="00760870" w:rsidRDefault="00B93478" w:rsidP="00B93478">
      <w:pPr>
        <w:pStyle w:val="Sinespaciado"/>
        <w:spacing w:line="276" w:lineRule="auto"/>
        <w:jc w:val="both"/>
        <w:rPr>
          <w:rFonts w:ascii="Verdana" w:hAnsi="Verdana" w:cs="Arial"/>
          <w:sz w:val="22"/>
        </w:rPr>
      </w:pPr>
    </w:p>
    <w:p w14:paraId="6AA71C2A" w14:textId="77777777" w:rsidR="00B93478" w:rsidRPr="00B3294C" w:rsidRDefault="00B93478" w:rsidP="00B93478">
      <w:pPr>
        <w:spacing w:after="0" w:line="240" w:lineRule="auto"/>
        <w:ind w:left="709" w:right="709"/>
        <w:jc w:val="both"/>
        <w:rPr>
          <w:rFonts w:ascii="Verdana" w:eastAsia="Calibri" w:hAnsi="Verdana" w:cs="Arial"/>
          <w:sz w:val="20"/>
          <w:szCs w:val="20"/>
        </w:rPr>
      </w:pPr>
      <w:r w:rsidRPr="00B3294C">
        <w:rPr>
          <w:rFonts w:ascii="Verdana" w:eastAsia="Calibri" w:hAnsi="Verdana" w:cs="Arial"/>
          <w:sz w:val="20"/>
          <w:szCs w:val="20"/>
        </w:rPr>
        <w:t xml:space="preserve">“Como ya se indicó, </w:t>
      </w:r>
      <w:bookmarkStart w:id="14" w:name="_Hlk171946287"/>
      <w:r w:rsidRPr="00B3294C">
        <w:rPr>
          <w:rFonts w:ascii="Verdana" w:eastAsia="Calibri" w:hAnsi="Verdana" w:cs="Arial"/>
          <w:sz w:val="20"/>
          <w:szCs w:val="20"/>
        </w:rPr>
        <w:t xml:space="preserve">el objeto de los contratos que autoriza el inciso segundo del artículo 355 Superior, se limita a la realización de actividades o programas de interés público que, conforme a los planes de desarrollo, adelanten instituciones privadas sin ánimo de lucro. </w:t>
      </w:r>
      <w:bookmarkEnd w:id="14"/>
      <w:r w:rsidRPr="00B3294C">
        <w:rPr>
          <w:rFonts w:ascii="Verdana" w:eastAsia="Calibri" w:hAnsi="Verdana" w:cs="Arial"/>
          <w:sz w:val="20"/>
          <w:szCs w:val="20"/>
        </w:rPr>
        <w:t xml:space="preserve">Aquellos que generan una contraprestación directa a favor de la entidad contratante y los que tienen por objeto desarrollar proyectos específicos, corresponden al giro normal de las funciones propias de la entidad estatal, </w:t>
      </w:r>
      <w:proofErr w:type="gramStart"/>
      <w:r w:rsidRPr="00B3294C">
        <w:rPr>
          <w:rFonts w:ascii="Verdana" w:eastAsia="Calibri" w:hAnsi="Verdana" w:cs="Arial"/>
          <w:sz w:val="20"/>
          <w:szCs w:val="20"/>
        </w:rPr>
        <w:t>y</w:t>
      </w:r>
      <w:proofErr w:type="gramEnd"/>
      <w:r w:rsidRPr="00B3294C">
        <w:rPr>
          <w:rFonts w:ascii="Verdana" w:eastAsia="Calibri" w:hAnsi="Verdana" w:cs="Arial"/>
          <w:sz w:val="20"/>
          <w:szCs w:val="20"/>
        </w:rPr>
        <w:t xml:space="preserve"> por lo tanto, se tipifican dentro de cualquiera de las modalidades de contratación de la ley 80 de 1.993, debiendo sujetarse a los procedimientos allí previstos, en especial los de escogencia del contratista.</w:t>
      </w:r>
    </w:p>
    <w:p w14:paraId="27F06721" w14:textId="77777777" w:rsidR="00B93478" w:rsidRPr="00B3294C" w:rsidRDefault="00B93478" w:rsidP="00B93478">
      <w:pPr>
        <w:spacing w:after="0" w:line="240" w:lineRule="auto"/>
        <w:ind w:left="709" w:right="709"/>
        <w:jc w:val="both"/>
        <w:rPr>
          <w:rFonts w:ascii="Verdana" w:eastAsia="Calibri" w:hAnsi="Verdana" w:cs="Arial"/>
          <w:sz w:val="20"/>
          <w:szCs w:val="20"/>
        </w:rPr>
      </w:pPr>
    </w:p>
    <w:p w14:paraId="4CB117BB" w14:textId="77777777" w:rsidR="00B93478" w:rsidRPr="00B3294C" w:rsidRDefault="00B93478" w:rsidP="00B93478">
      <w:pPr>
        <w:spacing w:after="0" w:line="240" w:lineRule="auto"/>
        <w:ind w:left="709" w:right="709"/>
        <w:jc w:val="both"/>
        <w:rPr>
          <w:rFonts w:ascii="Verdana" w:eastAsia="Calibri" w:hAnsi="Verdana" w:cs="Arial"/>
          <w:sz w:val="20"/>
          <w:szCs w:val="20"/>
        </w:rPr>
      </w:pPr>
      <w:r w:rsidRPr="00B3294C">
        <w:rPr>
          <w:rFonts w:ascii="Verdana" w:eastAsia="Calibri" w:hAnsi="Verdana" w:cs="Arial"/>
          <w:sz w:val="20"/>
          <w:szCs w:val="20"/>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B3294C">
        <w:rPr>
          <w:rFonts w:ascii="Verdana" w:eastAsia="Calibri" w:hAnsi="Verdana" w:cs="Arial"/>
          <w:sz w:val="20"/>
          <w:szCs w:val="20"/>
        </w:rPr>
        <w:t>sería</w:t>
      </w:r>
      <w:proofErr w:type="gramEnd"/>
      <w:r w:rsidRPr="00B3294C">
        <w:rPr>
          <w:rFonts w:ascii="Verdana" w:eastAsia="Calibri" w:hAnsi="Verdana" w:cs="Arial"/>
          <w:sz w:val="20"/>
          <w:szCs w:val="20"/>
        </w:rPr>
        <w:t xml:space="preserve"> por ejemplo, contratos de prestación de servicios o de obra pública”.</w:t>
      </w:r>
    </w:p>
    <w:p w14:paraId="40E84A5C" w14:textId="77777777" w:rsidR="00B93478" w:rsidRPr="00B3294C" w:rsidRDefault="00B93478" w:rsidP="00B93478">
      <w:pPr>
        <w:spacing w:after="0" w:line="276" w:lineRule="auto"/>
        <w:jc w:val="both"/>
        <w:rPr>
          <w:rFonts w:ascii="Verdana" w:eastAsia="Calibri" w:hAnsi="Verdana" w:cs="Arial"/>
        </w:rPr>
      </w:pPr>
    </w:p>
    <w:p w14:paraId="2A7974B4" w14:textId="77777777" w:rsidR="00B93478" w:rsidRPr="00760870" w:rsidRDefault="00B93478" w:rsidP="00B93478">
      <w:pPr>
        <w:pStyle w:val="Prrafodelista"/>
        <w:numPr>
          <w:ilvl w:val="0"/>
          <w:numId w:val="19"/>
        </w:numPr>
        <w:spacing w:after="0" w:line="276" w:lineRule="auto"/>
        <w:ind w:left="360"/>
        <w:contextualSpacing w:val="0"/>
        <w:jc w:val="both"/>
        <w:rPr>
          <w:rFonts w:ascii="Verdana" w:eastAsia="Calibri" w:hAnsi="Verdana" w:cs="Arial"/>
        </w:rPr>
      </w:pPr>
      <w:bookmarkStart w:id="15" w:name="_Hlk95756200"/>
      <w:r>
        <w:rPr>
          <w:rFonts w:ascii="Verdana" w:eastAsia="Calibri" w:hAnsi="Verdana" w:cs="Arial"/>
        </w:rPr>
        <w:t>Conforme lo expuesto</w:t>
      </w:r>
      <w:r w:rsidRPr="00760870">
        <w:rPr>
          <w:rFonts w:ascii="Verdana" w:eastAsia="Calibri" w:hAnsi="Verdana" w:cs="Arial"/>
        </w:rPr>
        <w:t xml:space="preserve">, </w:t>
      </w:r>
      <w:bookmarkStart w:id="16" w:name="_Hlk171937920"/>
      <w:r w:rsidRPr="00760870">
        <w:rPr>
          <w:rFonts w:ascii="Verdana" w:eastAsia="Calibri" w:hAnsi="Verdana" w:cs="Arial"/>
        </w:rPr>
        <w:t>no todas las actividades que las Entidades Estatales deben desarrollar para alcanzar sus objetivos misionales deben ejecutarse a través de la celebración de contratos del artículo 355 superior o convenios de asociación. Sobre el particular, debe tenerse en cuenta que lo que determina la aplicación del Decreto 092 de 2017 no es únicamente el carácter de las ESAL, sino el objeto del contrato o convenio que la entidad pretende adelantar. Por tanto, el hecho de que se trate de una ESAL no implica que necesariamente deba celebrarse un contrato de colaboración o un convenio de asociación.</w:t>
      </w:r>
      <w:bookmarkEnd w:id="16"/>
      <w:r w:rsidRPr="00760870">
        <w:rPr>
          <w:rFonts w:ascii="Verdana" w:eastAsia="Calibri" w:hAnsi="Verdana" w:cs="Arial"/>
        </w:rPr>
        <w:t xml:space="preserve"> </w:t>
      </w:r>
      <w:bookmarkEnd w:id="15"/>
      <w:r w:rsidRPr="00760870">
        <w:rPr>
          <w:rFonts w:ascii="Verdana" w:eastAsia="Calibri" w:hAnsi="Verdana" w:cs="Arial"/>
        </w:rPr>
        <w:t xml:space="preserve">Así lo reconoció la </w:t>
      </w:r>
      <w:bookmarkStart w:id="17" w:name="_Hlk171946330"/>
      <w:r w:rsidRPr="00760870">
        <w:rPr>
          <w:rFonts w:ascii="Verdana" w:eastAsia="Calibri" w:hAnsi="Verdana" w:cs="Arial"/>
        </w:rPr>
        <w:t>Corte Constitucional en la sentencia C-287 del 18 de abril de 2012</w:t>
      </w:r>
      <w:bookmarkEnd w:id="17"/>
      <w:r w:rsidRPr="00760870">
        <w:rPr>
          <w:rFonts w:ascii="Verdana" w:eastAsia="Calibri" w:hAnsi="Verdana" w:cs="Arial"/>
        </w:rPr>
        <w:t>, en la que sostuvo lo siguiente:</w:t>
      </w:r>
    </w:p>
    <w:p w14:paraId="107EE999" w14:textId="77777777" w:rsidR="00B93478" w:rsidRPr="00B3294C" w:rsidRDefault="00B93478" w:rsidP="00B93478">
      <w:pPr>
        <w:spacing w:after="0" w:line="276" w:lineRule="auto"/>
        <w:ind w:firstLine="708"/>
        <w:jc w:val="both"/>
        <w:rPr>
          <w:rFonts w:ascii="Verdana" w:eastAsia="Calibri" w:hAnsi="Verdana" w:cs="Arial"/>
        </w:rPr>
      </w:pPr>
    </w:p>
    <w:p w14:paraId="6FD43BA4" w14:textId="77777777" w:rsidR="00B93478" w:rsidRPr="00B3294C" w:rsidRDefault="00B93478" w:rsidP="00B93478">
      <w:pPr>
        <w:spacing w:after="0" w:line="240" w:lineRule="auto"/>
        <w:ind w:left="709" w:right="709"/>
        <w:jc w:val="both"/>
        <w:rPr>
          <w:rFonts w:ascii="Verdana" w:eastAsia="Calibri" w:hAnsi="Verdana" w:cs="Arial"/>
          <w:sz w:val="20"/>
          <w:szCs w:val="20"/>
        </w:rPr>
      </w:pPr>
      <w:r w:rsidRPr="00B3294C">
        <w:rPr>
          <w:rFonts w:ascii="Verdana" w:eastAsia="Calibri" w:hAnsi="Verdana" w:cs="Arial"/>
          <w:sz w:val="20"/>
          <w:szCs w:val="20"/>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3C00F119" w14:textId="77777777" w:rsidR="00B93478" w:rsidRPr="00B3294C" w:rsidRDefault="00B93478" w:rsidP="00B93478">
      <w:pPr>
        <w:spacing w:after="0" w:line="240" w:lineRule="auto"/>
        <w:ind w:left="709" w:right="709"/>
        <w:jc w:val="both"/>
        <w:rPr>
          <w:rFonts w:ascii="Verdana" w:eastAsia="Calibri" w:hAnsi="Verdana" w:cs="Arial"/>
          <w:sz w:val="20"/>
          <w:szCs w:val="20"/>
        </w:rPr>
      </w:pPr>
    </w:p>
    <w:p w14:paraId="0B2E22ED" w14:textId="77777777" w:rsidR="00B93478" w:rsidRPr="00B3294C" w:rsidRDefault="00B93478" w:rsidP="00B93478">
      <w:pPr>
        <w:spacing w:after="0" w:line="240" w:lineRule="auto"/>
        <w:ind w:left="709" w:right="709"/>
        <w:jc w:val="both"/>
        <w:rPr>
          <w:rFonts w:ascii="Verdana" w:eastAsia="Calibri" w:hAnsi="Verdana" w:cs="Arial"/>
          <w:sz w:val="20"/>
          <w:szCs w:val="20"/>
        </w:rPr>
      </w:pPr>
      <w:r w:rsidRPr="00B3294C">
        <w:rPr>
          <w:rFonts w:ascii="Verdana" w:eastAsia="Calibri" w:hAnsi="Verdana" w:cs="Arial"/>
          <w:i/>
          <w:iCs/>
          <w:sz w:val="20"/>
          <w:szCs w:val="20"/>
        </w:rPr>
        <w:t xml:space="preserve">Sin embargo, el hecho que no persigan una finalidad </w:t>
      </w:r>
      <w:proofErr w:type="gramStart"/>
      <w:r w:rsidRPr="00B3294C">
        <w:rPr>
          <w:rFonts w:ascii="Verdana" w:eastAsia="Calibri" w:hAnsi="Verdana" w:cs="Arial"/>
          <w:i/>
          <w:iCs/>
          <w:sz w:val="20"/>
          <w:szCs w:val="20"/>
        </w:rPr>
        <w:t>lucrativa,</w:t>
      </w:r>
      <w:proofErr w:type="gramEnd"/>
      <w:r w:rsidRPr="00B3294C">
        <w:rPr>
          <w:rFonts w:ascii="Verdana" w:eastAsia="Calibri" w:hAnsi="Verdana" w:cs="Arial"/>
          <w:i/>
          <w:iCs/>
          <w:sz w:val="20"/>
          <w:szCs w:val="20"/>
        </w:rPr>
        <w:t xml:space="preserve"> no significa que no desarrollen actividades que generen utilidades, lo que pasa es que a diferencia de las sociedades, el lucro o ganancia obtenida no se reparte </w:t>
      </w:r>
      <w:r w:rsidRPr="00B3294C">
        <w:rPr>
          <w:rFonts w:ascii="Verdana" w:eastAsia="Calibri" w:hAnsi="Verdana" w:cs="Arial"/>
          <w:i/>
          <w:iCs/>
          <w:sz w:val="20"/>
          <w:szCs w:val="20"/>
        </w:rPr>
        <w:lastRenderedPageBreak/>
        <w:t>entre sus miembros sino que se integra al patrimonio de la asociación para la obtención del fin deseado</w:t>
      </w:r>
      <w:r w:rsidRPr="00B3294C">
        <w:rPr>
          <w:rFonts w:ascii="Verdana" w:eastAsia="Calibri" w:hAnsi="Verdana" w:cs="Arial"/>
          <w:sz w:val="20"/>
          <w:szCs w:val="20"/>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B3294C">
        <w:rPr>
          <w:rFonts w:ascii="Verdana" w:eastAsia="Calibri" w:hAnsi="Verdana" w:cs="Arial"/>
          <w:sz w:val="20"/>
          <w:szCs w:val="20"/>
        </w:rPr>
        <w:t>del mismo</w:t>
      </w:r>
      <w:proofErr w:type="gramEnd"/>
      <w:r w:rsidRPr="00B3294C">
        <w:rPr>
          <w:rFonts w:ascii="Verdana" w:eastAsia="Calibri" w:hAnsi="Verdana" w:cs="Arial"/>
          <w:sz w:val="20"/>
          <w:szCs w:val="20"/>
        </w:rPr>
        <w:t xml:space="preserve"> en el momento de su disolución o liquidación”. [Énfasis fuera del texto original]</w:t>
      </w:r>
    </w:p>
    <w:p w14:paraId="03FEA595" w14:textId="77777777" w:rsidR="00B93478" w:rsidRPr="00A53C2C" w:rsidRDefault="00B93478" w:rsidP="00B93478">
      <w:pPr>
        <w:spacing w:after="0" w:line="276" w:lineRule="auto"/>
        <w:ind w:firstLine="709"/>
        <w:jc w:val="both"/>
        <w:rPr>
          <w:rFonts w:ascii="Verdana" w:eastAsia="Calibri" w:hAnsi="Verdana" w:cs="Arial"/>
        </w:rPr>
      </w:pPr>
    </w:p>
    <w:p w14:paraId="5B23038B" w14:textId="77777777" w:rsidR="00B93478" w:rsidRPr="00A53C2C"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A53C2C">
        <w:rPr>
          <w:rFonts w:ascii="Verdana" w:eastAsia="Calibri" w:hAnsi="Verdana" w:cs="Arial"/>
        </w:rPr>
        <w:t xml:space="preserve">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w:t>
      </w:r>
      <w:bookmarkStart w:id="18" w:name="_Hlk171937934"/>
    </w:p>
    <w:p w14:paraId="694BD119" w14:textId="77777777" w:rsidR="00B93478" w:rsidRPr="00A53C2C" w:rsidRDefault="00B93478" w:rsidP="00B93478">
      <w:pPr>
        <w:pStyle w:val="Prrafodelista"/>
        <w:spacing w:after="0" w:line="276" w:lineRule="auto"/>
        <w:ind w:left="360"/>
        <w:contextualSpacing w:val="0"/>
        <w:jc w:val="both"/>
        <w:rPr>
          <w:rFonts w:ascii="Verdana" w:eastAsia="Calibri" w:hAnsi="Verdana" w:cs="Arial"/>
        </w:rPr>
      </w:pPr>
    </w:p>
    <w:p w14:paraId="1CA1919D" w14:textId="77777777" w:rsidR="00B93478" w:rsidRPr="00A53C2C"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A53C2C">
        <w:rPr>
          <w:rFonts w:ascii="Verdana" w:eastAsia="Calibri" w:hAnsi="Verdana" w:cs="Arial"/>
        </w:rPr>
        <w:t xml:space="preserve">En ese sentido, aquellos contratos que generan una contraprestación directa a favor de la </w:t>
      </w:r>
      <w:r>
        <w:rPr>
          <w:rFonts w:ascii="Verdana" w:eastAsia="Calibri" w:hAnsi="Verdana" w:cs="Arial"/>
        </w:rPr>
        <w:t>ESAL contratista</w:t>
      </w:r>
      <w:r w:rsidRPr="00A53C2C">
        <w:rPr>
          <w:rFonts w:ascii="Verdana" w:eastAsia="Calibri" w:hAnsi="Verdana" w:cs="Arial"/>
        </w:rPr>
        <w:t xml:space="preserve"> y los que tienen por objeto desarrollar proyectos específicos, corresponden al giro normal de las funciones propias de la Entidad Estatal y, por lo tanto, se sujetan al </w:t>
      </w:r>
      <w:r>
        <w:rPr>
          <w:rFonts w:ascii="Verdana" w:eastAsia="Calibri" w:hAnsi="Verdana" w:cs="Arial"/>
        </w:rPr>
        <w:t>EGCAP</w:t>
      </w:r>
      <w:r w:rsidRPr="00A53C2C">
        <w:rPr>
          <w:rFonts w:ascii="Verdana" w:eastAsia="Calibri" w:hAnsi="Verdana" w:cs="Arial"/>
        </w:rPr>
        <w:t>, es especial lo concerniente a las modalidades de escogencia del contratista.</w:t>
      </w:r>
    </w:p>
    <w:p w14:paraId="7D5BEC3A" w14:textId="77777777" w:rsidR="00B93478" w:rsidRPr="00A53C2C" w:rsidRDefault="00B93478" w:rsidP="00B93478">
      <w:pPr>
        <w:pStyle w:val="Prrafodelista"/>
        <w:spacing w:after="0" w:line="276" w:lineRule="auto"/>
        <w:ind w:left="0"/>
        <w:contextualSpacing w:val="0"/>
        <w:jc w:val="both"/>
        <w:rPr>
          <w:rFonts w:ascii="Verdana" w:eastAsia="Calibri" w:hAnsi="Verdana" w:cs="Arial"/>
        </w:rPr>
      </w:pPr>
    </w:p>
    <w:p w14:paraId="4A82761D" w14:textId="77777777" w:rsidR="00B93478" w:rsidRPr="00A53C2C" w:rsidRDefault="00B93478" w:rsidP="00B93478">
      <w:pPr>
        <w:pStyle w:val="Prrafodelista"/>
        <w:numPr>
          <w:ilvl w:val="0"/>
          <w:numId w:val="19"/>
        </w:numPr>
        <w:spacing w:after="0" w:line="276" w:lineRule="auto"/>
        <w:ind w:left="360"/>
        <w:contextualSpacing w:val="0"/>
        <w:jc w:val="both"/>
        <w:rPr>
          <w:rFonts w:ascii="Verdana" w:eastAsia="Calibri" w:hAnsi="Verdana" w:cs="Arial"/>
        </w:rPr>
      </w:pPr>
      <w:r w:rsidRPr="00A53C2C">
        <w:rPr>
          <w:rFonts w:ascii="Verdana" w:eastAsia="Calibri" w:hAnsi="Verdana" w:cs="Arial"/>
        </w:rPr>
        <w:t>Sin perjuicio de lo anterior, es menester resaltar que las ESAL pueden participar en igualdad de condiciones en Procesos de Contratación regidos por la Ley 80 de 1993, la Ley 1150 de 2007 y el Decreto 1082 de 2015, siempre y cuando cumplan con los requisitos exigidos en los Documentos del Proceso.</w:t>
      </w:r>
      <w:bookmarkEnd w:id="18"/>
      <w:r w:rsidRPr="00A53C2C">
        <w:rPr>
          <w:rFonts w:ascii="Verdana" w:eastAsia="Calibri" w:hAnsi="Verdana" w:cs="Arial"/>
        </w:rPr>
        <w:t xml:space="preserve">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09FA18EB" w14:textId="77777777" w:rsidR="00B93478" w:rsidRPr="00A53C2C" w:rsidRDefault="00B93478" w:rsidP="00B93478">
      <w:pPr>
        <w:widowControl w:val="0"/>
        <w:autoSpaceDE w:val="0"/>
        <w:autoSpaceDN w:val="0"/>
        <w:spacing w:after="0" w:line="276" w:lineRule="auto"/>
        <w:jc w:val="both"/>
        <w:rPr>
          <w:rFonts w:ascii="Verdana" w:hAnsi="Verdana" w:cs="Arial"/>
          <w:lang w:val="es-ES_tradnl"/>
        </w:rPr>
      </w:pPr>
    </w:p>
    <w:p w14:paraId="5A9AB5CD" w14:textId="77777777" w:rsidR="00B93478" w:rsidRPr="00A53C2C" w:rsidRDefault="00B93478" w:rsidP="00B934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53C2C">
        <w:rPr>
          <w:rFonts w:ascii="Verdana" w:eastAsia="Century Gothic" w:hAnsi="Verdana" w:cs="Century Gothic"/>
          <w:b/>
          <w:bCs/>
        </w:rPr>
        <w:t>Referencias normativas, jurisprudenciales y otras fuentes:</w:t>
      </w:r>
    </w:p>
    <w:p w14:paraId="7C3D6FC8" w14:textId="77777777" w:rsidR="00B93478" w:rsidRPr="00A53C2C" w:rsidRDefault="00B93478" w:rsidP="00B9347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93478" w:rsidRPr="00760870" w14:paraId="65F241AE" w14:textId="77777777" w:rsidTr="00B3294C">
        <w:trPr>
          <w:trHeight w:val="5306"/>
        </w:trPr>
        <w:tc>
          <w:tcPr>
            <w:tcW w:w="8647" w:type="dxa"/>
          </w:tcPr>
          <w:p w14:paraId="5BF64497" w14:textId="77777777" w:rsidR="00B93478" w:rsidRPr="00760870" w:rsidRDefault="00B93478" w:rsidP="00B93478">
            <w:pPr>
              <w:pStyle w:val="Prrafodelista"/>
              <w:numPr>
                <w:ilvl w:val="0"/>
                <w:numId w:val="18"/>
              </w:numPr>
              <w:spacing w:line="276" w:lineRule="auto"/>
              <w:ind w:left="360"/>
              <w:jc w:val="both"/>
              <w:rPr>
                <w:rFonts w:ascii="Verdana" w:hAnsi="Verdana" w:cs="Arial"/>
              </w:rPr>
            </w:pPr>
            <w:r w:rsidRPr="00760870">
              <w:rPr>
                <w:rFonts w:ascii="Verdana" w:hAnsi="Verdana" w:cs="Arial"/>
              </w:rPr>
              <w:lastRenderedPageBreak/>
              <w:t>Constitución Política: Artículo 355.</w:t>
            </w:r>
          </w:p>
          <w:p w14:paraId="11B2354B" w14:textId="77777777" w:rsidR="00B93478" w:rsidRPr="00760870" w:rsidRDefault="00B93478" w:rsidP="00B3294C">
            <w:pPr>
              <w:pStyle w:val="Prrafodelista"/>
              <w:spacing w:line="276" w:lineRule="auto"/>
              <w:ind w:left="360"/>
              <w:jc w:val="both"/>
              <w:rPr>
                <w:rFonts w:ascii="Verdana" w:eastAsia="Calibri" w:hAnsi="Verdana" w:cs="Arial"/>
                <w:lang w:eastAsia="es-ES_tradnl"/>
              </w:rPr>
            </w:pPr>
          </w:p>
          <w:p w14:paraId="7CB328F4" w14:textId="77777777" w:rsidR="00B93478" w:rsidRPr="00760870" w:rsidRDefault="00B93478" w:rsidP="00B93478">
            <w:pPr>
              <w:pStyle w:val="Prrafodelista"/>
              <w:numPr>
                <w:ilvl w:val="0"/>
                <w:numId w:val="18"/>
              </w:numPr>
              <w:spacing w:line="276" w:lineRule="auto"/>
              <w:ind w:left="360"/>
              <w:jc w:val="both"/>
              <w:rPr>
                <w:rFonts w:ascii="Verdana" w:eastAsia="Calibri" w:hAnsi="Verdana" w:cs="Arial"/>
                <w:lang w:eastAsia="es-ES_tradnl"/>
              </w:rPr>
            </w:pPr>
            <w:r w:rsidRPr="00760870">
              <w:rPr>
                <w:rFonts w:ascii="Verdana" w:eastAsia="Calibri" w:hAnsi="Verdana" w:cs="Arial"/>
                <w:lang w:eastAsia="es-ES_tradnl"/>
              </w:rPr>
              <w:t xml:space="preserve">Ley 489 de 1998: Artículo 96. </w:t>
            </w:r>
          </w:p>
          <w:p w14:paraId="00370704" w14:textId="77777777" w:rsidR="00B93478" w:rsidRPr="00760870" w:rsidRDefault="00B93478" w:rsidP="00B3294C">
            <w:pPr>
              <w:spacing w:line="276" w:lineRule="auto"/>
              <w:jc w:val="both"/>
              <w:rPr>
                <w:rFonts w:ascii="Verdana" w:eastAsia="Calibri" w:hAnsi="Verdana" w:cs="Arial"/>
                <w:lang w:val="es-ES"/>
              </w:rPr>
            </w:pPr>
          </w:p>
          <w:p w14:paraId="5A14C6FE" w14:textId="77777777" w:rsidR="00B93478" w:rsidRPr="00760870" w:rsidRDefault="00B93478" w:rsidP="00B93478">
            <w:pPr>
              <w:pStyle w:val="Prrafodelista"/>
              <w:numPr>
                <w:ilvl w:val="0"/>
                <w:numId w:val="18"/>
              </w:numPr>
              <w:spacing w:line="276" w:lineRule="auto"/>
              <w:ind w:left="360"/>
              <w:jc w:val="both"/>
              <w:rPr>
                <w:rFonts w:ascii="Verdana" w:hAnsi="Verdana"/>
              </w:rPr>
            </w:pPr>
            <w:r w:rsidRPr="00760870">
              <w:rPr>
                <w:rFonts w:ascii="Verdana" w:hAnsi="Verdana"/>
              </w:rPr>
              <w:t>Decreto 092 de 2017: Artículos</w:t>
            </w:r>
            <w:r>
              <w:rPr>
                <w:rFonts w:ascii="Verdana" w:hAnsi="Verdana"/>
              </w:rPr>
              <w:t xml:space="preserve"> 2,</w:t>
            </w:r>
            <w:r w:rsidRPr="00760870">
              <w:rPr>
                <w:rFonts w:ascii="Verdana" w:hAnsi="Verdana"/>
              </w:rPr>
              <w:t xml:space="preserve"> 4 y 5.</w:t>
            </w:r>
          </w:p>
          <w:p w14:paraId="6A22F45C" w14:textId="77777777" w:rsidR="00B93478" w:rsidRPr="00760870" w:rsidRDefault="00B93478" w:rsidP="00B3294C">
            <w:pPr>
              <w:pStyle w:val="Prrafodelista"/>
              <w:ind w:left="360"/>
              <w:jc w:val="both"/>
              <w:rPr>
                <w:rFonts w:ascii="Verdana" w:eastAsia="Times New Roman" w:hAnsi="Verdana" w:cs="Times New Roman"/>
                <w:shd w:val="clear" w:color="auto" w:fill="FFFFFF"/>
                <w:lang w:eastAsia="es-ES_tradnl"/>
              </w:rPr>
            </w:pPr>
          </w:p>
          <w:p w14:paraId="5A055FD6" w14:textId="77777777" w:rsidR="00B93478" w:rsidRPr="00760870" w:rsidRDefault="00B93478" w:rsidP="00B93478">
            <w:pPr>
              <w:pStyle w:val="Prrafodelista"/>
              <w:numPr>
                <w:ilvl w:val="0"/>
                <w:numId w:val="18"/>
              </w:numPr>
              <w:spacing w:line="276" w:lineRule="auto"/>
              <w:ind w:left="360"/>
              <w:jc w:val="both"/>
              <w:rPr>
                <w:rFonts w:ascii="Verdana" w:eastAsia="Calibri" w:hAnsi="Verdana" w:cs="Arial"/>
              </w:rPr>
            </w:pPr>
            <w:r w:rsidRPr="00760870">
              <w:rPr>
                <w:rFonts w:ascii="Verdana" w:eastAsia="Times New Roman" w:hAnsi="Verdana" w:cs="Times New Roman"/>
                <w:shd w:val="clear" w:color="auto" w:fill="FFFFFF"/>
                <w:lang w:eastAsia="es-ES_tradnl"/>
              </w:rPr>
              <w:t>Corte Constitucional. Sala Plena. Sentencia C-324 de 2009.</w:t>
            </w:r>
            <w:r w:rsidRPr="00760870">
              <w:rPr>
                <w:rFonts w:ascii="Verdana" w:eastAsia="Calibri" w:hAnsi="Verdana" w:cs="Arial"/>
              </w:rPr>
              <w:t xml:space="preserve"> </w:t>
            </w:r>
          </w:p>
          <w:p w14:paraId="1B3A7C98" w14:textId="77777777" w:rsidR="00B93478" w:rsidRPr="00760870" w:rsidRDefault="00B93478" w:rsidP="00B3294C">
            <w:pPr>
              <w:pStyle w:val="Prrafodelista"/>
              <w:rPr>
                <w:rFonts w:ascii="Verdana" w:eastAsia="Calibri" w:hAnsi="Verdana" w:cs="Arial"/>
              </w:rPr>
            </w:pPr>
          </w:p>
          <w:p w14:paraId="2DCAA39E" w14:textId="77777777" w:rsidR="00B93478" w:rsidRPr="00760870" w:rsidRDefault="00B93478" w:rsidP="00B93478">
            <w:pPr>
              <w:pStyle w:val="Prrafodelista"/>
              <w:numPr>
                <w:ilvl w:val="0"/>
                <w:numId w:val="18"/>
              </w:numPr>
              <w:spacing w:line="276" w:lineRule="auto"/>
              <w:ind w:left="360"/>
              <w:jc w:val="both"/>
              <w:rPr>
                <w:rFonts w:ascii="Verdana" w:eastAsia="Calibri" w:hAnsi="Verdana" w:cs="Arial"/>
              </w:rPr>
            </w:pPr>
            <w:r w:rsidRPr="00760870">
              <w:rPr>
                <w:rFonts w:ascii="Verdana" w:eastAsia="Calibri" w:hAnsi="Verdana" w:cs="Arial"/>
              </w:rPr>
              <w:t xml:space="preserve">Corte Constitucional. </w:t>
            </w:r>
            <w:r w:rsidRPr="00760870">
              <w:rPr>
                <w:rFonts w:ascii="Verdana" w:eastAsia="Times New Roman" w:hAnsi="Verdana" w:cs="Times New Roman"/>
                <w:shd w:val="clear" w:color="auto" w:fill="FFFFFF"/>
                <w:lang w:eastAsia="es-ES_tradnl"/>
              </w:rPr>
              <w:t xml:space="preserve">Sala Plena. </w:t>
            </w:r>
            <w:r w:rsidRPr="00760870">
              <w:rPr>
                <w:rFonts w:ascii="Verdana" w:eastAsia="Calibri" w:hAnsi="Verdana" w:cs="Arial"/>
              </w:rPr>
              <w:t xml:space="preserve">Sentencia C-287 de 2012. </w:t>
            </w:r>
          </w:p>
          <w:p w14:paraId="51F3BA6A" w14:textId="77777777" w:rsidR="00B93478" w:rsidRPr="00760870" w:rsidRDefault="00B93478" w:rsidP="00B3294C">
            <w:pPr>
              <w:spacing w:line="276" w:lineRule="auto"/>
              <w:ind w:left="-360"/>
              <w:jc w:val="both"/>
              <w:rPr>
                <w:rFonts w:ascii="Verdana" w:hAnsi="Verdana"/>
                <w:lang w:val="es-ES"/>
              </w:rPr>
            </w:pPr>
          </w:p>
          <w:p w14:paraId="0E43626E" w14:textId="77777777" w:rsidR="00B93478" w:rsidRPr="00760870" w:rsidRDefault="00B93478" w:rsidP="00B93478">
            <w:pPr>
              <w:pStyle w:val="Prrafodelista"/>
              <w:numPr>
                <w:ilvl w:val="0"/>
                <w:numId w:val="18"/>
              </w:numPr>
              <w:spacing w:line="276" w:lineRule="auto"/>
              <w:ind w:left="360"/>
              <w:jc w:val="both"/>
              <w:rPr>
                <w:rFonts w:ascii="Verdana" w:hAnsi="Verdana" w:cs="Arial"/>
              </w:rPr>
            </w:pPr>
            <w:r w:rsidRPr="00760870">
              <w:rPr>
                <w:rFonts w:ascii="Verdana" w:hAnsi="Verdana" w:cs="Arial"/>
              </w:rPr>
              <w:t xml:space="preserve">Consejo de Estado. Sala de Consulta y Servicio Civil. Concepto del 24 de febrero de 2005, con radicado No. 1626. </w:t>
            </w:r>
          </w:p>
          <w:p w14:paraId="4A23DB58" w14:textId="77777777" w:rsidR="00B93478" w:rsidRPr="00760870" w:rsidRDefault="00B93478" w:rsidP="00B3294C">
            <w:pPr>
              <w:pStyle w:val="Prrafodelista"/>
              <w:spacing w:line="276" w:lineRule="auto"/>
              <w:ind w:left="357"/>
              <w:jc w:val="both"/>
              <w:rPr>
                <w:rFonts w:ascii="Verdana" w:hAnsi="Verdana" w:cs="Arial"/>
              </w:rPr>
            </w:pPr>
          </w:p>
          <w:p w14:paraId="5CA2A073" w14:textId="77777777" w:rsidR="00B93478" w:rsidRPr="00760870" w:rsidRDefault="00B93478" w:rsidP="00B93478">
            <w:pPr>
              <w:pStyle w:val="Prrafodelista"/>
              <w:widowControl w:val="0"/>
              <w:numPr>
                <w:ilvl w:val="0"/>
                <w:numId w:val="18"/>
              </w:numPr>
              <w:autoSpaceDE w:val="0"/>
              <w:autoSpaceDN w:val="0"/>
              <w:spacing w:line="276" w:lineRule="auto"/>
              <w:ind w:left="357"/>
              <w:contextualSpacing w:val="0"/>
              <w:jc w:val="both"/>
              <w:rPr>
                <w:rFonts w:ascii="Verdana" w:hAnsi="Verdana" w:cs="Arial"/>
              </w:rPr>
            </w:pPr>
            <w:r w:rsidRPr="00760870">
              <w:rPr>
                <w:rFonts w:ascii="Verdana" w:hAnsi="Verdana"/>
              </w:rPr>
              <w:t>Guía para la contratación con entidades privadas sin ánimo de lucro y de reconocida idoneidad, expedida por la Agencia Nacional de Contratación Pública – Colombia Compra Eficiente.</w:t>
            </w:r>
            <w:r w:rsidRPr="00760870">
              <w:rPr>
                <w:rFonts w:ascii="Verdana" w:hAnsi="Verdana" w:cs="Arial"/>
              </w:rPr>
              <w:t xml:space="preserve"> Disponible en:</w:t>
            </w:r>
            <w:r w:rsidRPr="00760870">
              <w:rPr>
                <w:rFonts w:ascii="Verdana" w:hAnsi="Verdana"/>
              </w:rPr>
              <w:t xml:space="preserve"> </w:t>
            </w:r>
            <w:hyperlink r:id="rId12" w:history="1">
              <w:r w:rsidRPr="00760870">
                <w:rPr>
                  <w:rStyle w:val="Hipervnculo"/>
                  <w:rFonts w:ascii="Verdana" w:hAnsi="Verdana" w:cs="Arial"/>
                </w:rPr>
                <w:t>https://www.colombiacompra.gov.co/manuales-guias-y-pliegos-tipo/manuales-y-guias</w:t>
              </w:r>
            </w:hyperlink>
            <w:r w:rsidRPr="00760870">
              <w:rPr>
                <w:rStyle w:val="Hipervnculo"/>
                <w:rFonts w:ascii="Verdana" w:hAnsi="Verdana" w:cs="Arial"/>
                <w:color w:val="auto"/>
              </w:rPr>
              <w:t xml:space="preserve">  </w:t>
            </w:r>
            <w:r w:rsidRPr="00760870">
              <w:rPr>
                <w:rFonts w:ascii="Verdana" w:hAnsi="Verdana" w:cs="Arial"/>
              </w:rPr>
              <w:t xml:space="preserve">  </w:t>
            </w:r>
          </w:p>
        </w:tc>
      </w:tr>
    </w:tbl>
    <w:p w14:paraId="19CE8B40" w14:textId="77777777" w:rsidR="00B93478" w:rsidRPr="00760870" w:rsidRDefault="00B93478" w:rsidP="00B93478">
      <w:pPr>
        <w:widowControl w:val="0"/>
        <w:autoSpaceDE w:val="0"/>
        <w:autoSpaceDN w:val="0"/>
        <w:spacing w:after="0" w:line="276" w:lineRule="auto"/>
        <w:jc w:val="both"/>
        <w:rPr>
          <w:rFonts w:ascii="Verdana" w:hAnsi="Verdana" w:cs="Arial"/>
        </w:rPr>
      </w:pPr>
    </w:p>
    <w:p w14:paraId="23C0E454" w14:textId="77777777" w:rsidR="00B93478" w:rsidRPr="00760870" w:rsidRDefault="00B93478" w:rsidP="00B9347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60870">
        <w:rPr>
          <w:rFonts w:ascii="Verdana" w:eastAsia="Century Gothic" w:hAnsi="Verdana" w:cs="Century Gothic"/>
          <w:b/>
          <w:bCs/>
        </w:rPr>
        <w:t>Doctrina de la Agencia Nacional de Contratación Pública:</w:t>
      </w:r>
    </w:p>
    <w:p w14:paraId="3A042855" w14:textId="77777777" w:rsidR="00B93478" w:rsidRPr="00760870" w:rsidRDefault="00B93478" w:rsidP="00B93478">
      <w:pPr>
        <w:widowControl w:val="0"/>
        <w:autoSpaceDE w:val="0"/>
        <w:autoSpaceDN w:val="0"/>
        <w:spacing w:after="0" w:line="276" w:lineRule="auto"/>
        <w:jc w:val="both"/>
        <w:rPr>
          <w:rFonts w:ascii="Verdana" w:hAnsi="Verdana" w:cs="Arial"/>
        </w:rPr>
      </w:pPr>
    </w:p>
    <w:p w14:paraId="4C8C1919" w14:textId="77777777" w:rsidR="00B93478" w:rsidRPr="00760870" w:rsidRDefault="00B93478" w:rsidP="00B93478">
      <w:pPr>
        <w:widowControl w:val="0"/>
        <w:autoSpaceDE w:val="0"/>
        <w:autoSpaceDN w:val="0"/>
        <w:spacing w:after="0" w:line="276" w:lineRule="auto"/>
        <w:jc w:val="both"/>
        <w:rPr>
          <w:rStyle w:val="normaltextrun"/>
          <w:rFonts w:ascii="Verdana" w:hAnsi="Verdana" w:cs="Arial"/>
          <w:shd w:val="clear" w:color="auto" w:fill="FFFFFF"/>
          <w:lang w:val="es-ES"/>
        </w:rPr>
      </w:pPr>
      <w:r w:rsidRPr="00760870">
        <w:rPr>
          <w:rFonts w:ascii="Verdana" w:eastAsia="Calibri" w:hAnsi="Verdana" w:cs="Arial"/>
          <w:lang w:val="es-ES_tradnl" w:eastAsia="es-ES_tradnl"/>
        </w:rPr>
        <w:t xml:space="preserve">La Agencia Nacional de Contratación Pública – Colombia Compra Eficiente analizó </w:t>
      </w:r>
      <w:r w:rsidRPr="00760870">
        <w:rPr>
          <w:rFonts w:ascii="Verdana" w:eastAsia="Calibri" w:hAnsi="Verdana" w:cs="Arial"/>
          <w:bCs/>
          <w:lang w:val="es-ES_tradnl" w:eastAsia="es-ES_tradnl"/>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w:t>
      </w:r>
      <w:r w:rsidRPr="00760870">
        <w:rPr>
          <w:rFonts w:ascii="Verdana" w:eastAsia="Calibri" w:hAnsi="Verdana" w:cs="Arial"/>
          <w:bCs/>
          <w:lang w:val="es-ES_tradnl" w:eastAsia="es-ES_tradnl"/>
        </w:rPr>
        <w:lastRenderedPageBreak/>
        <w:t>marzo de 2022, C-274 del 05 de mayo de 2022 y C-045 del 25 de abril de 2024</w:t>
      </w:r>
      <w:r w:rsidRPr="00760870">
        <w:rPr>
          <w:rFonts w:ascii="Verdana" w:eastAsia="Century Gothic" w:hAnsi="Verdana" w:cs="Century Gothic"/>
          <w:vertAlign w:val="superscript"/>
          <w:lang w:val="es-ES" w:eastAsia="es-ES_tradnl"/>
        </w:rPr>
        <w:footnoteReference w:id="12"/>
      </w:r>
      <w:r w:rsidRPr="00760870">
        <w:rPr>
          <w:rStyle w:val="normaltextrun"/>
          <w:rFonts w:ascii="Verdana" w:hAnsi="Verdana" w:cs="Arial"/>
          <w:shd w:val="clear" w:color="auto" w:fill="FFFFFF"/>
          <w:lang w:val="es-ES"/>
        </w:rPr>
        <w:t>. Es</w:t>
      </w:r>
      <w:r w:rsidRPr="00760870">
        <w:rPr>
          <w:rFonts w:ascii="Verdana" w:hAnsi="Verdana"/>
        </w:rPr>
        <w:t>tos y otros conceptos se encuentran disponibles para consulta en el Sistema de relatoría de la Agencia, al cual se puede acceder a través del siguiente enlace:</w:t>
      </w:r>
      <w:r w:rsidRPr="00760870">
        <w:rPr>
          <w:rStyle w:val="normaltextrun"/>
          <w:rFonts w:ascii="Verdana" w:hAnsi="Verdana" w:cs="Arial"/>
          <w:shd w:val="clear" w:color="auto" w:fill="FFFFFF"/>
          <w:lang w:val="es-ES"/>
        </w:rPr>
        <w:t xml:space="preserve"> </w:t>
      </w:r>
      <w:hyperlink r:id="rId13" w:history="1">
        <w:r w:rsidRPr="00760870">
          <w:rPr>
            <w:rStyle w:val="Hipervnculo"/>
            <w:rFonts w:ascii="Verdana" w:hAnsi="Verdana" w:cs="Arial"/>
            <w:shd w:val="clear" w:color="auto" w:fill="FFFFFF"/>
            <w:lang w:val="es-ES"/>
          </w:rPr>
          <w:t>https://relatoria.colombiacompra.gov.co/busqueda/conceptos</w:t>
        </w:r>
      </w:hyperlink>
      <w:r w:rsidRPr="00760870">
        <w:rPr>
          <w:rStyle w:val="normaltextrun"/>
          <w:rFonts w:ascii="Verdana" w:hAnsi="Verdana" w:cs="Arial"/>
          <w:shd w:val="clear" w:color="auto" w:fill="FFFFFF"/>
          <w:lang w:val="es-ES"/>
        </w:rPr>
        <w:t xml:space="preserve">. </w:t>
      </w:r>
    </w:p>
    <w:p w14:paraId="35ABB437" w14:textId="77777777" w:rsidR="00B93478" w:rsidRPr="00760870" w:rsidRDefault="00B93478" w:rsidP="00B93478">
      <w:pPr>
        <w:widowControl w:val="0"/>
        <w:autoSpaceDE w:val="0"/>
        <w:autoSpaceDN w:val="0"/>
        <w:spacing w:after="0" w:line="276" w:lineRule="auto"/>
        <w:jc w:val="both"/>
        <w:rPr>
          <w:rStyle w:val="normaltextrun"/>
          <w:rFonts w:ascii="Verdana" w:hAnsi="Verdana" w:cs="Arial"/>
          <w:shd w:val="clear" w:color="auto" w:fill="FFFFFF"/>
          <w:lang w:val="es-ES"/>
        </w:rPr>
      </w:pPr>
    </w:p>
    <w:p w14:paraId="2357A288" w14:textId="77777777" w:rsidR="00A917A2" w:rsidRDefault="00A917A2" w:rsidP="00B93478">
      <w:pPr>
        <w:widowControl w:val="0"/>
        <w:autoSpaceDE w:val="0"/>
        <w:autoSpaceDN w:val="0"/>
        <w:spacing w:after="0" w:line="276" w:lineRule="auto"/>
        <w:jc w:val="both"/>
        <w:rPr>
          <w:rStyle w:val="normaltextrun"/>
          <w:rFonts w:ascii="Verdana" w:hAnsi="Verdana" w:cs="Arial"/>
          <w:shd w:val="clear" w:color="auto" w:fill="FFFFFF"/>
          <w:lang w:val="es-ES"/>
        </w:rPr>
      </w:pPr>
      <w:r w:rsidRPr="00A917A2">
        <w:rPr>
          <w:rStyle w:val="normaltextrun"/>
          <w:rFonts w:ascii="Verdana"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hyperlink r:id="rId14" w:history="1">
        <w:r w:rsidR="00B93478" w:rsidRPr="00760870">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shd w:val="clear" w:color="auto" w:fill="FFFFFF"/>
          <w:lang w:val="es-ES"/>
        </w:rPr>
        <w:t>.</w:t>
      </w:r>
    </w:p>
    <w:p w14:paraId="5EAE1FFF" w14:textId="77777777" w:rsidR="00A917A2" w:rsidRDefault="00A917A2" w:rsidP="00B93478">
      <w:pPr>
        <w:widowControl w:val="0"/>
        <w:autoSpaceDE w:val="0"/>
        <w:autoSpaceDN w:val="0"/>
        <w:spacing w:after="0" w:line="276" w:lineRule="auto"/>
        <w:jc w:val="both"/>
        <w:rPr>
          <w:rStyle w:val="normaltextrun"/>
          <w:rFonts w:ascii="Verdana" w:hAnsi="Verdana" w:cs="Arial"/>
          <w:shd w:val="clear" w:color="auto" w:fill="FFFFFF"/>
          <w:lang w:val="es-ES"/>
        </w:rPr>
      </w:pPr>
    </w:p>
    <w:p w14:paraId="70AB7192" w14:textId="77777777" w:rsidR="00A917A2" w:rsidRDefault="00A917A2" w:rsidP="00B93478">
      <w:pPr>
        <w:widowControl w:val="0"/>
        <w:autoSpaceDE w:val="0"/>
        <w:autoSpaceDN w:val="0"/>
        <w:spacing w:after="0" w:line="276" w:lineRule="auto"/>
        <w:jc w:val="both"/>
        <w:rPr>
          <w:rStyle w:val="normaltextrun"/>
          <w:rFonts w:ascii="Verdana" w:hAnsi="Verdana" w:cs="Arial"/>
          <w:shd w:val="clear" w:color="auto" w:fill="FFFFFF"/>
          <w:lang w:val="es-ES"/>
        </w:rPr>
      </w:pPr>
      <w:r w:rsidRPr="00A917A2">
        <w:rPr>
          <w:rStyle w:val="normaltextrun"/>
          <w:rFonts w:ascii="Verdana" w:hAnsi="Verdana" w:cs="Arial"/>
          <w:shd w:val="clear" w:color="auto" w:fill="FFFFFF"/>
          <w:lang w:val="es-ES"/>
        </w:rPr>
        <w:t xml:space="preserve">Por otro lado, le contamos que ampliamos hasta el 19 de julio de 2024 el periodo para recibir observaciones a los borradores de los próximas versiones de los documentos tipo para la contratación obras públicas de infraestructura de transporte en las modalidades de licitación pública, selección abreviada y mínima cuantía, por lo que le invitamos a realizar sus comentarios a través del siguiente enlace: </w:t>
      </w:r>
      <w:hyperlink r:id="rId15" w:history="1">
        <w:r w:rsidRPr="00F72F4E">
          <w:rPr>
            <w:rStyle w:val="Hipervnculo"/>
            <w:rFonts w:ascii="Verdana" w:hAnsi="Verdana" w:cs="Arial"/>
            <w:shd w:val="clear" w:color="auto" w:fill="FFFFFF"/>
            <w:lang w:val="es-ES"/>
          </w:rPr>
          <w:t>https://www.colombiacompra.gov.co/documentos-tipo/documentos-tipo</w:t>
        </w:r>
      </w:hyperlink>
      <w:r>
        <w:rPr>
          <w:rStyle w:val="normaltextrun"/>
          <w:rFonts w:ascii="Verdana" w:hAnsi="Verdana" w:cs="Arial"/>
          <w:shd w:val="clear" w:color="auto" w:fill="FFFFFF"/>
          <w:lang w:val="es-ES"/>
        </w:rPr>
        <w:t>.</w:t>
      </w:r>
    </w:p>
    <w:p w14:paraId="473615FC" w14:textId="1BE66488" w:rsidR="00B93478" w:rsidRPr="00760870" w:rsidRDefault="00A917A2" w:rsidP="00B93478">
      <w:pPr>
        <w:widowControl w:val="0"/>
        <w:autoSpaceDE w:val="0"/>
        <w:autoSpaceDN w:val="0"/>
        <w:spacing w:after="0" w:line="276" w:lineRule="auto"/>
        <w:jc w:val="both"/>
        <w:rPr>
          <w:rFonts w:ascii="Verdana" w:hAnsi="Verdana" w:cs="Arial"/>
        </w:rPr>
      </w:pPr>
      <w:r>
        <w:rPr>
          <w:rStyle w:val="normaltextrun"/>
          <w:rFonts w:ascii="Verdana" w:hAnsi="Verdana" w:cs="Arial"/>
          <w:shd w:val="clear" w:color="auto" w:fill="FFFFFF"/>
          <w:lang w:val="es-ES"/>
        </w:rPr>
        <w:t xml:space="preserve"> </w:t>
      </w:r>
    </w:p>
    <w:p w14:paraId="00F6523F" w14:textId="77777777" w:rsidR="00B93478" w:rsidRPr="00760870" w:rsidRDefault="00B93478" w:rsidP="00B93478">
      <w:pPr>
        <w:widowControl w:val="0"/>
        <w:autoSpaceDE w:val="0"/>
        <w:autoSpaceDN w:val="0"/>
        <w:spacing w:after="0" w:line="276" w:lineRule="auto"/>
        <w:jc w:val="both"/>
        <w:rPr>
          <w:rFonts w:ascii="Verdana" w:hAnsi="Verdana" w:cs="Arial"/>
          <w:lang w:val="es-ES_tradnl"/>
        </w:rPr>
      </w:pPr>
      <w:r w:rsidRPr="00760870">
        <w:rPr>
          <w:rFonts w:ascii="Verdana" w:hAnsi="Verdana" w:cs="Arial"/>
        </w:rPr>
        <w:t xml:space="preserve">Este concepto tiene el alcance previsto en el artículo 28 del Código de Procedimiento Administrativo y de lo Contencioso Administrativo </w:t>
      </w:r>
      <w:r w:rsidRPr="00760870">
        <w:rPr>
          <w:rFonts w:ascii="Verdana" w:hAnsi="Verdana" w:cs="Arial"/>
          <w:lang w:val="es-ES_tradnl"/>
        </w:rPr>
        <w:t>y las expresiones aquí utilizadas con mayúscula inicial deben ser entendidas con el significado que les otorga el artículo 2.2.1.1.1.3.1. del Decreto 1082 de 2015.</w:t>
      </w:r>
    </w:p>
    <w:p w14:paraId="04BDEB5F" w14:textId="77777777" w:rsidR="00B93478" w:rsidRPr="00760870" w:rsidRDefault="00B93478" w:rsidP="00B93478">
      <w:pPr>
        <w:widowControl w:val="0"/>
        <w:autoSpaceDE w:val="0"/>
        <w:autoSpaceDN w:val="0"/>
        <w:spacing w:after="0" w:line="276" w:lineRule="auto"/>
        <w:jc w:val="both"/>
        <w:rPr>
          <w:rFonts w:ascii="Verdana" w:hAnsi="Verdana" w:cs="Arial"/>
        </w:rPr>
      </w:pPr>
    </w:p>
    <w:p w14:paraId="04FB3CA3" w14:textId="77777777" w:rsidR="00B93478" w:rsidRPr="00760870" w:rsidRDefault="00B93478" w:rsidP="00B93478">
      <w:pPr>
        <w:spacing w:after="0" w:line="276" w:lineRule="auto"/>
        <w:rPr>
          <w:rFonts w:ascii="Verdana" w:hAnsi="Verdana" w:cs="Arial"/>
          <w:lang w:eastAsia="es-CO"/>
        </w:rPr>
      </w:pPr>
      <w:r w:rsidRPr="00760870">
        <w:rPr>
          <w:rFonts w:ascii="Verdana" w:eastAsia="Times New Roman" w:hAnsi="Verdana" w:cs="Arial"/>
          <w:lang w:eastAsia="es-CO"/>
        </w:rPr>
        <w:t>Atentamente,</w:t>
      </w:r>
      <w:r w:rsidRPr="00760870">
        <w:rPr>
          <w:rFonts w:ascii="Verdana" w:hAnsi="Verdana" w:cs="Arial"/>
          <w:lang w:eastAsia="es-CO"/>
        </w:rPr>
        <w:t xml:space="preserve"> </w:t>
      </w:r>
    </w:p>
    <w:p w14:paraId="3551DCC4" w14:textId="37120820" w:rsidR="00B93478" w:rsidRPr="00760870" w:rsidRDefault="00440675" w:rsidP="00B93478">
      <w:pPr>
        <w:spacing w:line="276" w:lineRule="auto"/>
        <w:jc w:val="center"/>
        <w:rPr>
          <w:rFonts w:ascii="Verdana" w:hAnsi="Verdana" w:cs="Arial"/>
          <w:lang w:val="es-ES_tradnl" w:eastAsia="es-CO"/>
        </w:rPr>
      </w:pPr>
      <w:r w:rsidRPr="002C3AD6">
        <w:rPr>
          <w:rFonts w:ascii="Century Gothic" w:hAnsi="Century Gothic"/>
          <w:noProof/>
        </w:rPr>
        <w:drawing>
          <wp:inline distT="0" distB="0" distL="0" distR="0" wp14:anchorId="49CE7FFA" wp14:editId="2656ACE3">
            <wp:extent cx="3209027" cy="119123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216948" cy="11941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B93478" w:rsidRPr="00760870" w14:paraId="7B095572" w14:textId="77777777" w:rsidTr="00B3294C">
        <w:trPr>
          <w:trHeight w:val="315"/>
        </w:trPr>
        <w:tc>
          <w:tcPr>
            <w:tcW w:w="893" w:type="dxa"/>
            <w:vAlign w:val="center"/>
            <w:hideMark/>
          </w:tcPr>
          <w:p w14:paraId="208F1177" w14:textId="77777777" w:rsidR="00B93478" w:rsidRPr="00760870" w:rsidRDefault="00B93478" w:rsidP="00B3294C">
            <w:pPr>
              <w:contextualSpacing/>
              <w:rPr>
                <w:rFonts w:ascii="Verdana" w:hAnsi="Verdana" w:cs="Arial"/>
                <w:sz w:val="16"/>
                <w:szCs w:val="16"/>
                <w:lang w:val="es-ES" w:eastAsia="es-ES"/>
              </w:rPr>
            </w:pPr>
            <w:r w:rsidRPr="0076087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B9DC478" w14:textId="77777777" w:rsidR="00B93478" w:rsidRPr="00760870" w:rsidRDefault="00B93478" w:rsidP="00B3294C">
            <w:pPr>
              <w:rPr>
                <w:rFonts w:ascii="Verdana" w:eastAsia="Arial" w:hAnsi="Verdana" w:cs="Arial"/>
                <w:sz w:val="16"/>
                <w:szCs w:val="16"/>
              </w:rPr>
            </w:pPr>
            <w:r w:rsidRPr="00760870">
              <w:rPr>
                <w:rFonts w:ascii="Verdana" w:eastAsia="Arial" w:hAnsi="Verdana" w:cs="Arial"/>
                <w:sz w:val="16"/>
                <w:szCs w:val="16"/>
              </w:rPr>
              <w:t>Diana Lucia Saavedra Castañeda </w:t>
            </w:r>
          </w:p>
          <w:p w14:paraId="5E86F8F2" w14:textId="77777777" w:rsidR="00B93478" w:rsidRPr="00760870" w:rsidRDefault="00B93478" w:rsidP="00B3294C">
            <w:pPr>
              <w:contextualSpacing/>
              <w:rPr>
                <w:rFonts w:ascii="Verdana" w:eastAsia="Arial" w:hAnsi="Verdana" w:cs="Arial"/>
                <w:sz w:val="16"/>
                <w:szCs w:val="16"/>
              </w:rPr>
            </w:pPr>
            <w:r w:rsidRPr="00760870">
              <w:rPr>
                <w:rFonts w:ascii="Verdana" w:eastAsia="Arial" w:hAnsi="Verdana" w:cs="Arial"/>
                <w:sz w:val="16"/>
                <w:szCs w:val="16"/>
              </w:rPr>
              <w:t>Contratista de la Subdirección de Gestión Contractual </w:t>
            </w:r>
          </w:p>
        </w:tc>
      </w:tr>
      <w:tr w:rsidR="00B93478" w:rsidRPr="00760870" w14:paraId="5A241F3D" w14:textId="77777777" w:rsidTr="00B3294C">
        <w:trPr>
          <w:trHeight w:val="330"/>
        </w:trPr>
        <w:tc>
          <w:tcPr>
            <w:tcW w:w="893" w:type="dxa"/>
            <w:vAlign w:val="center"/>
            <w:hideMark/>
          </w:tcPr>
          <w:p w14:paraId="301FE815" w14:textId="77777777" w:rsidR="00B93478" w:rsidRPr="00760870" w:rsidRDefault="00B93478" w:rsidP="00B3294C">
            <w:pPr>
              <w:contextualSpacing/>
              <w:rPr>
                <w:rFonts w:ascii="Verdana" w:hAnsi="Verdana" w:cs="Arial"/>
                <w:sz w:val="16"/>
                <w:szCs w:val="16"/>
                <w:lang w:val="es-ES" w:eastAsia="es-ES"/>
              </w:rPr>
            </w:pPr>
            <w:r w:rsidRPr="0076087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5317363C" w14:textId="7C30E8C5" w:rsidR="00B93478" w:rsidRPr="00760870" w:rsidRDefault="00B93478" w:rsidP="00B3294C">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Juan David Cardenas Cabeza</w:t>
            </w:r>
          </w:p>
          <w:p w14:paraId="3C887603" w14:textId="77777777" w:rsidR="00B93478" w:rsidRPr="00760870" w:rsidRDefault="00B93478" w:rsidP="00B3294C">
            <w:pPr>
              <w:pStyle w:val="paragraph"/>
              <w:spacing w:before="0" w:beforeAutospacing="0" w:after="0" w:afterAutospacing="0"/>
              <w:contextualSpacing/>
              <w:textAlignment w:val="baseline"/>
              <w:rPr>
                <w:rFonts w:ascii="Verdana" w:hAnsi="Verdana" w:cs="Segoe UI"/>
                <w:sz w:val="16"/>
                <w:szCs w:val="16"/>
              </w:rPr>
            </w:pPr>
            <w:r>
              <w:rPr>
                <w:rFonts w:ascii="Verdana" w:hAnsi="Verdana" w:cs="Segoe UI"/>
                <w:sz w:val="16"/>
                <w:szCs w:val="16"/>
              </w:rPr>
              <w:t>Contratista</w:t>
            </w:r>
            <w:r w:rsidRPr="00760870">
              <w:rPr>
                <w:rFonts w:ascii="Verdana" w:hAnsi="Verdana" w:cs="Segoe UI"/>
                <w:sz w:val="16"/>
                <w:szCs w:val="16"/>
              </w:rPr>
              <w:t xml:space="preserve"> </w:t>
            </w:r>
            <w:r w:rsidRPr="00760870">
              <w:rPr>
                <w:rFonts w:ascii="Verdana" w:eastAsia="Arial" w:hAnsi="Verdana" w:cs="Arial"/>
                <w:sz w:val="16"/>
                <w:szCs w:val="16"/>
              </w:rPr>
              <w:t>de la Subdirección de Gestión Contractual </w:t>
            </w:r>
          </w:p>
        </w:tc>
      </w:tr>
      <w:tr w:rsidR="00B93478" w:rsidRPr="00760870" w14:paraId="5FDDDF70" w14:textId="77777777" w:rsidTr="00B3294C">
        <w:trPr>
          <w:trHeight w:val="300"/>
        </w:trPr>
        <w:tc>
          <w:tcPr>
            <w:tcW w:w="893" w:type="dxa"/>
            <w:vAlign w:val="center"/>
          </w:tcPr>
          <w:p w14:paraId="36CF524F" w14:textId="77777777" w:rsidR="00B93478" w:rsidRPr="00760870" w:rsidRDefault="00B93478" w:rsidP="00B3294C">
            <w:pPr>
              <w:contextualSpacing/>
              <w:rPr>
                <w:rFonts w:ascii="Verdana" w:hAnsi="Verdana" w:cs="Arial"/>
                <w:sz w:val="16"/>
                <w:szCs w:val="16"/>
                <w:lang w:val="es-ES" w:eastAsia="es-ES"/>
              </w:rPr>
            </w:pPr>
            <w:r w:rsidRPr="0076087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A9570CC" w14:textId="77777777" w:rsidR="00B93478" w:rsidRPr="00760870" w:rsidRDefault="00B93478" w:rsidP="00B3294C">
            <w:pPr>
              <w:contextualSpacing/>
              <w:rPr>
                <w:rFonts w:ascii="Verdana" w:eastAsia="Calibri" w:hAnsi="Verdana" w:cs="Arial"/>
                <w:sz w:val="16"/>
                <w:szCs w:val="16"/>
                <w:lang w:val="pt-BR" w:eastAsia="es-ES"/>
              </w:rPr>
            </w:pPr>
            <w:r w:rsidRPr="00760870">
              <w:rPr>
                <w:rFonts w:ascii="Verdana" w:eastAsia="Calibri" w:hAnsi="Verdana" w:cs="Arial"/>
                <w:sz w:val="16"/>
                <w:szCs w:val="16"/>
                <w:lang w:val="pt-BR" w:eastAsia="es-ES"/>
              </w:rPr>
              <w:t>Carolina Quintero Gacharná</w:t>
            </w:r>
          </w:p>
          <w:p w14:paraId="6215229E" w14:textId="77777777" w:rsidR="00B93478" w:rsidRPr="00760870" w:rsidRDefault="00B93478" w:rsidP="00B3294C">
            <w:pPr>
              <w:contextualSpacing/>
              <w:rPr>
                <w:rFonts w:ascii="Verdana" w:eastAsia="Calibri" w:hAnsi="Verdana" w:cs="Arial"/>
                <w:sz w:val="16"/>
                <w:szCs w:val="16"/>
                <w:lang w:val="pt-BR" w:eastAsia="es-ES"/>
              </w:rPr>
            </w:pPr>
            <w:r w:rsidRPr="00760870">
              <w:rPr>
                <w:rFonts w:ascii="Verdana" w:eastAsia="Calibri" w:hAnsi="Verdana" w:cs="Arial"/>
                <w:sz w:val="16"/>
                <w:szCs w:val="16"/>
                <w:lang w:eastAsia="es-ES"/>
              </w:rPr>
              <w:t>Subdirectora</w:t>
            </w:r>
            <w:r w:rsidRPr="00760870">
              <w:rPr>
                <w:rFonts w:ascii="Verdana" w:eastAsia="Calibri" w:hAnsi="Verdana" w:cs="Arial"/>
                <w:sz w:val="16"/>
                <w:szCs w:val="16"/>
                <w:lang w:val="pt-BR" w:eastAsia="es-ES"/>
              </w:rPr>
              <w:t xml:space="preserve"> de Gestión Contractual ANCP – CCE</w:t>
            </w:r>
          </w:p>
        </w:tc>
      </w:tr>
    </w:tbl>
    <w:p w14:paraId="0F293BF4" w14:textId="7BBFAB11" w:rsidR="00127233" w:rsidRPr="0044528D" w:rsidRDefault="00127233" w:rsidP="00620DE8">
      <w:pPr>
        <w:spacing w:after="0"/>
        <w:jc w:val="both"/>
        <w:rPr>
          <w:rFonts w:ascii="Verdana" w:hAnsi="Verdana"/>
        </w:rPr>
      </w:pPr>
    </w:p>
    <w:sectPr w:rsidR="00127233"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BE67" w14:textId="77777777" w:rsidR="0003746A" w:rsidRDefault="0003746A" w:rsidP="004A1847">
      <w:pPr>
        <w:spacing w:after="0" w:line="240" w:lineRule="auto"/>
      </w:pPr>
      <w:r>
        <w:separator/>
      </w:r>
    </w:p>
  </w:endnote>
  <w:endnote w:type="continuationSeparator" w:id="0">
    <w:p w14:paraId="15E833F6" w14:textId="77777777" w:rsidR="0003746A" w:rsidRDefault="0003746A" w:rsidP="004A1847">
      <w:pPr>
        <w:spacing w:after="0" w:line="240" w:lineRule="auto"/>
      </w:pPr>
      <w:r>
        <w:continuationSeparator/>
      </w:r>
    </w:p>
  </w:endnote>
  <w:endnote w:type="continuationNotice" w:id="1">
    <w:p w14:paraId="077C9483" w14:textId="77777777" w:rsidR="0003746A" w:rsidRDefault="00037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39D88" w14:textId="77777777" w:rsidR="0003746A" w:rsidRDefault="0003746A" w:rsidP="004A1847">
      <w:pPr>
        <w:spacing w:after="0" w:line="240" w:lineRule="auto"/>
      </w:pPr>
      <w:r>
        <w:separator/>
      </w:r>
    </w:p>
  </w:footnote>
  <w:footnote w:type="continuationSeparator" w:id="0">
    <w:p w14:paraId="522EACFD" w14:textId="77777777" w:rsidR="0003746A" w:rsidRDefault="0003746A" w:rsidP="004A1847">
      <w:pPr>
        <w:spacing w:after="0" w:line="240" w:lineRule="auto"/>
      </w:pPr>
      <w:r>
        <w:continuationSeparator/>
      </w:r>
    </w:p>
  </w:footnote>
  <w:footnote w:type="continuationNotice" w:id="1">
    <w:p w14:paraId="5566F7D6" w14:textId="77777777" w:rsidR="0003746A" w:rsidRDefault="0003746A">
      <w:pPr>
        <w:spacing w:after="0" w:line="240" w:lineRule="auto"/>
      </w:pPr>
    </w:p>
  </w:footnote>
  <w:footnote w:id="2">
    <w:p w14:paraId="663E937E" w14:textId="1206858C" w:rsidR="00B93478" w:rsidRPr="008C6629" w:rsidRDefault="00B93478" w:rsidP="008C6629">
      <w:pPr>
        <w:pStyle w:val="Textonotapie"/>
        <w:ind w:firstLine="709"/>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Sobre esta norma, consultar los conceptos del 8 de octubre de 2019, con radicado No. 2201913000007532, y del 20 de diciembre de 2019, con radicado No. 4201913000008240, dictado por la Agencia Nacional de Contratación Pública – Colombia Compra Eficiente. </w:t>
      </w:r>
    </w:p>
  </w:footnote>
  <w:footnote w:id="3">
    <w:p w14:paraId="09AD4442" w14:textId="77777777" w:rsidR="00B93478" w:rsidRPr="002970C2" w:rsidRDefault="00B93478" w:rsidP="00B93478">
      <w:pPr>
        <w:pStyle w:val="Textonotapie"/>
        <w:ind w:firstLine="709"/>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75D93BB5" w14:textId="6BBD19A9" w:rsidR="00B93478" w:rsidRPr="008C6629" w:rsidRDefault="00B93478" w:rsidP="008C6629">
      <w:pPr>
        <w:pStyle w:val="Textonotapie"/>
        <w:ind w:firstLine="709"/>
        <w:jc w:val="both"/>
        <w:rPr>
          <w:rFonts w:ascii="Verdana" w:hAnsi="Verdana" w:cs="Arial"/>
          <w:color w:val="000000" w:themeColor="text1"/>
          <w:sz w:val="16"/>
          <w:szCs w:val="16"/>
        </w:rPr>
      </w:pPr>
      <w:r w:rsidRPr="002970C2">
        <w:rPr>
          <w:rFonts w:ascii="Verdana" w:hAnsi="Verdana" w:cs="Arial"/>
          <w:color w:val="000000" w:themeColor="text1"/>
          <w:sz w:val="16"/>
          <w:szCs w:val="16"/>
        </w:rPr>
        <w:t xml:space="preserve">Los convenios de asociación a que se refiere el presente artículo </w:t>
      </w:r>
      <w:bookmarkStart w:id="3" w:name="_Hlk36023315"/>
      <w:r w:rsidRPr="002970C2">
        <w:rPr>
          <w:rFonts w:ascii="Verdana" w:hAnsi="Verdana" w:cs="Arial"/>
          <w:color w:val="000000" w:themeColor="text1"/>
          <w:sz w:val="16"/>
          <w:szCs w:val="16"/>
        </w:rPr>
        <w:t>se celebrarán de conformidad con lo dispuesto en el artículo 355 de la Constitución Política</w:t>
      </w:r>
      <w:bookmarkEnd w:id="3"/>
      <w:r w:rsidRPr="002970C2">
        <w:rPr>
          <w:rFonts w:ascii="Verdana" w:hAnsi="Verdana" w:cs="Arial"/>
          <w:color w:val="000000" w:themeColor="text1"/>
          <w:sz w:val="16"/>
          <w:szCs w:val="16"/>
        </w:rPr>
        <w:t>, en ellos se determinará con precisión su objeto, término, obligaciones de las partes, aportes, coordinación y todos aquellos aspectos que se consideren pertinentes”.</w:t>
      </w:r>
    </w:p>
  </w:footnote>
  <w:footnote w:id="4">
    <w:p w14:paraId="5721A558" w14:textId="15D71668" w:rsidR="00B93478" w:rsidRPr="002970C2" w:rsidRDefault="00B93478" w:rsidP="00B42573">
      <w:pPr>
        <w:pStyle w:val="Textonotapie"/>
        <w:ind w:firstLine="708"/>
        <w:jc w:val="both"/>
        <w:rPr>
          <w:rFonts w:ascii="Verdana" w:hAnsi="Verdana" w:cs="Arial"/>
          <w:color w:val="000000"/>
          <w:sz w:val="16"/>
          <w:szCs w:val="16"/>
        </w:rPr>
      </w:pPr>
      <w:r w:rsidRPr="002970C2">
        <w:rPr>
          <w:rStyle w:val="Refdenotaalpie"/>
          <w:rFonts w:ascii="Verdana" w:hAnsi="Verdana" w:cs="Arial"/>
          <w:color w:val="000000"/>
          <w:sz w:val="16"/>
          <w:szCs w:val="16"/>
        </w:rPr>
        <w:footnoteRef/>
      </w:r>
      <w:r w:rsidRPr="002970C2">
        <w:rPr>
          <w:rFonts w:ascii="Verdana" w:hAnsi="Verdana" w:cs="Arial"/>
          <w:color w:val="000000"/>
          <w:sz w:val="16"/>
          <w:szCs w:val="16"/>
        </w:rPr>
        <w:t xml:space="preserve"> En el concepto emitido el 5 de febrero de 2019, dentro del radicado No. 2201913000000663, se dijo: “[l]os convenios de asociación del artículo 5 son distintos a los contratos de colaboración del artículo 2 del Decreto 092 de 2017”.</w:t>
      </w:r>
    </w:p>
  </w:footnote>
  <w:footnote w:id="5">
    <w:p w14:paraId="2CD0C1C2" w14:textId="0B44C56C" w:rsidR="00B93478" w:rsidRPr="00B42573" w:rsidRDefault="00B93478" w:rsidP="00B42573">
      <w:pPr>
        <w:spacing w:after="0" w:line="240" w:lineRule="auto"/>
        <w:ind w:firstLine="708"/>
        <w:jc w:val="both"/>
        <w:rPr>
          <w:rFonts w:ascii="Verdana" w:eastAsia="Times New Roman" w:hAnsi="Verdana" w:cs="Times New Roman"/>
          <w:color w:val="000000" w:themeColor="text1"/>
          <w:sz w:val="16"/>
          <w:szCs w:val="16"/>
          <w:shd w:val="clear" w:color="auto" w:fill="FFFFFF"/>
          <w:lang w:eastAsia="es-ES_tradnl"/>
        </w:rPr>
      </w:pPr>
      <w:r w:rsidRPr="002970C2">
        <w:rPr>
          <w:rStyle w:val="Refdenotaalpie"/>
          <w:rFonts w:ascii="Verdana" w:hAnsi="Verdana"/>
          <w:color w:val="000000" w:themeColor="text1"/>
          <w:sz w:val="16"/>
          <w:szCs w:val="16"/>
        </w:rPr>
        <w:footnoteRef/>
      </w:r>
      <w:r w:rsidRPr="002970C2">
        <w:rPr>
          <w:rFonts w:ascii="Verdana" w:hAnsi="Verdana"/>
          <w:color w:val="000000" w:themeColor="text1"/>
          <w:sz w:val="16"/>
          <w:szCs w:val="16"/>
        </w:rPr>
        <w:t xml:space="preserve"> </w:t>
      </w:r>
      <w:r w:rsidRPr="002970C2">
        <w:rPr>
          <w:rStyle w:val="author-name"/>
          <w:rFonts w:ascii="Verdana" w:hAnsi="Verdana"/>
          <w:color w:val="000000" w:themeColor="text1"/>
          <w:sz w:val="16"/>
          <w:szCs w:val="16"/>
        </w:rPr>
        <w:t xml:space="preserve">GÓMEZ Velásquez, Alejandro y DÍAZ Díez Cristian Andrés. </w:t>
      </w:r>
      <w:r w:rsidRPr="002970C2">
        <w:rPr>
          <w:rFonts w:ascii="Verdana" w:eastAsia="Times New Roman" w:hAnsi="Verdana"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2970C2">
        <w:rPr>
          <w:rFonts w:ascii="Verdana" w:eastAsia="Times New Roman" w:hAnsi="Verdana" w:cs="Times New Roman"/>
          <w:color w:val="000000" w:themeColor="text1"/>
          <w:sz w:val="16"/>
          <w:szCs w:val="16"/>
          <w:shd w:val="clear" w:color="auto" w:fill="FFFFFF"/>
          <w:lang w:eastAsia="es-ES_tradnl"/>
        </w:rPr>
        <w:t xml:space="preserve"> Revista Derecho del Estad. Universidad Externado de Colombia.</w:t>
      </w:r>
      <w:r w:rsidRPr="002970C2">
        <w:rPr>
          <w:rFonts w:ascii="Verdana" w:eastAsia="Times New Roman" w:hAnsi="Verdana" w:cs="Times New Roman"/>
          <w:i/>
          <w:iCs/>
          <w:color w:val="000000" w:themeColor="text1"/>
          <w:sz w:val="16"/>
          <w:szCs w:val="16"/>
          <w:shd w:val="clear" w:color="auto" w:fill="FFFFFF"/>
          <w:lang w:eastAsia="es-ES_tradnl"/>
        </w:rPr>
        <w:t xml:space="preserve"> </w:t>
      </w:r>
      <w:r w:rsidRPr="002970C2">
        <w:rPr>
          <w:rFonts w:ascii="Verdana" w:eastAsia="Times New Roman" w:hAnsi="Verdana" w:cs="Times New Roman"/>
          <w:color w:val="000000" w:themeColor="text1"/>
          <w:sz w:val="16"/>
          <w:szCs w:val="16"/>
          <w:shd w:val="clear" w:color="auto" w:fill="FFFFFF"/>
          <w:lang w:eastAsia="es-ES_tradnl"/>
        </w:rPr>
        <w:t xml:space="preserve">Se puede consultar en el siguiente enlace: </w:t>
      </w:r>
      <w:hyperlink r:id="rId1" w:anchor="figures" w:history="1">
        <w:r w:rsidRPr="002970C2">
          <w:rPr>
            <w:rStyle w:val="Hipervnculo"/>
            <w:rFonts w:ascii="Verdana" w:eastAsia="Times New Roman" w:hAnsi="Verdana" w:cs="Times New Roman"/>
            <w:color w:val="000000" w:themeColor="text1"/>
            <w:sz w:val="16"/>
            <w:szCs w:val="16"/>
            <w:shd w:val="clear" w:color="auto" w:fill="FFFFFF"/>
            <w:lang w:eastAsia="es-ES_tradnl"/>
          </w:rPr>
          <w:t>https://revistas.uexternado.edu.co/index.php/derest/article/view/6151/8606#figures</w:t>
        </w:r>
      </w:hyperlink>
      <w:r w:rsidRPr="002970C2">
        <w:rPr>
          <w:rFonts w:ascii="Verdana" w:eastAsia="Times New Roman" w:hAnsi="Verdana" w:cs="Times New Roman"/>
          <w:color w:val="000000" w:themeColor="text1"/>
          <w:sz w:val="16"/>
          <w:szCs w:val="16"/>
          <w:shd w:val="clear" w:color="auto" w:fill="FFFFFF"/>
          <w:lang w:eastAsia="es-ES_tradnl"/>
        </w:rPr>
        <w:t xml:space="preserve"> </w:t>
      </w:r>
    </w:p>
  </w:footnote>
  <w:footnote w:id="6">
    <w:p w14:paraId="003614CD" w14:textId="2989F930" w:rsidR="00B93478" w:rsidRPr="00B42573" w:rsidRDefault="00B93478" w:rsidP="00B42573">
      <w:pPr>
        <w:spacing w:after="0" w:line="240" w:lineRule="auto"/>
        <w:ind w:firstLine="708"/>
        <w:jc w:val="both"/>
        <w:rPr>
          <w:rFonts w:ascii="Verdana" w:eastAsia="Times New Roman" w:hAnsi="Verdana" w:cs="Times New Roman"/>
          <w:color w:val="000000"/>
          <w:sz w:val="16"/>
          <w:szCs w:val="16"/>
          <w:shd w:val="clear" w:color="auto" w:fill="FFFFFF"/>
          <w:lang w:eastAsia="es-ES_tradnl"/>
        </w:rPr>
      </w:pPr>
      <w:r w:rsidRPr="002970C2">
        <w:rPr>
          <w:rStyle w:val="Refdenotaalpie"/>
          <w:rFonts w:ascii="Verdana" w:hAnsi="Verdana"/>
          <w:sz w:val="16"/>
          <w:szCs w:val="16"/>
        </w:rPr>
        <w:footnoteRef/>
      </w:r>
      <w:r w:rsidRPr="002970C2">
        <w:rPr>
          <w:rFonts w:ascii="Verdana" w:hAnsi="Verdana"/>
          <w:sz w:val="16"/>
          <w:szCs w:val="16"/>
        </w:rPr>
        <w:t xml:space="preserve"> </w:t>
      </w:r>
      <w:bookmarkStart w:id="7" w:name="_Hlk171946540"/>
      <w:r w:rsidRPr="002970C2">
        <w:rPr>
          <w:rFonts w:ascii="Verdana" w:eastAsia="Times New Roman" w:hAnsi="Verdana" w:cs="Times New Roman"/>
          <w:color w:val="000000"/>
          <w:sz w:val="16"/>
          <w:szCs w:val="16"/>
          <w:shd w:val="clear" w:color="auto" w:fill="FFFFFF"/>
          <w:lang w:eastAsia="es-ES_tradnl"/>
        </w:rPr>
        <w:t>Corte Constitucional.  Sala Plena. Sentencia C-324 de 2009. M.P.: Juan Carlos Henao Pérez. En igual sentido, véase Corte Constitucional, Sala Plena. Sentencia C-027 de 2016.</w:t>
      </w:r>
      <w:bookmarkEnd w:id="7"/>
    </w:p>
  </w:footnote>
  <w:footnote w:id="7">
    <w:p w14:paraId="6CAE8A7F" w14:textId="542F28AD" w:rsidR="00B93478" w:rsidRPr="002970C2" w:rsidRDefault="00B93478" w:rsidP="00B42573">
      <w:pPr>
        <w:spacing w:after="0" w:line="240" w:lineRule="auto"/>
        <w:ind w:firstLine="708"/>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Decreto 092 de 2017, Artículo 2, literal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footnote>
  <w:footnote w:id="8">
    <w:p w14:paraId="5980AF53" w14:textId="3FED1555" w:rsidR="00B93478" w:rsidRPr="002970C2" w:rsidRDefault="00B93478" w:rsidP="00B42573">
      <w:pPr>
        <w:pStyle w:val="Textonotapie"/>
        <w:ind w:firstLine="709"/>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Concepto del 3 de septiembre de 2019, con radicado No. 2201913000006512, dictado por la Agencia Nacional de Contratación Pública – Colombia Compra Eficiente.</w:t>
      </w:r>
    </w:p>
  </w:footnote>
  <w:footnote w:id="9">
    <w:p w14:paraId="0FB0A8B4" w14:textId="0F002466" w:rsidR="00B93478" w:rsidRPr="00B42573" w:rsidRDefault="00B93478" w:rsidP="00B42573">
      <w:pPr>
        <w:pStyle w:val="Textonotapie"/>
        <w:ind w:firstLine="708"/>
        <w:jc w:val="both"/>
        <w:rPr>
          <w:rFonts w:ascii="Verdana" w:eastAsia="Times New Roman" w:hAnsi="Verdana" w:cs="Times New Roman"/>
          <w:color w:val="000000" w:themeColor="text1"/>
          <w:sz w:val="16"/>
          <w:szCs w:val="16"/>
          <w:u w:val="single"/>
          <w:shd w:val="clear" w:color="auto" w:fill="FFFFFF"/>
          <w:lang w:eastAsia="es-ES_tradnl"/>
        </w:rPr>
      </w:pPr>
      <w:r w:rsidRPr="002970C2">
        <w:rPr>
          <w:rStyle w:val="Refdenotaalpie"/>
          <w:rFonts w:ascii="Verdana" w:hAnsi="Verdana"/>
          <w:sz w:val="16"/>
          <w:szCs w:val="16"/>
        </w:rPr>
        <w:footnoteRef/>
      </w:r>
      <w:r w:rsidRPr="002970C2">
        <w:rPr>
          <w:rFonts w:ascii="Verdana" w:hAnsi="Verdana"/>
          <w:sz w:val="16"/>
          <w:szCs w:val="16"/>
        </w:rPr>
        <w:t xml:space="preserve"> </w:t>
      </w:r>
      <w:r w:rsidRPr="002970C2">
        <w:rPr>
          <w:rStyle w:val="author-name"/>
          <w:rFonts w:ascii="Verdana" w:hAnsi="Verdana"/>
          <w:color w:val="000000" w:themeColor="text1"/>
          <w:sz w:val="16"/>
          <w:szCs w:val="16"/>
        </w:rPr>
        <w:t xml:space="preserve">GÓMEZ Velásquez, Alejandro y DÍAZ Díez Cristian Andrés. </w:t>
      </w:r>
      <w:r w:rsidRPr="002970C2">
        <w:rPr>
          <w:rFonts w:ascii="Verdana" w:eastAsia="Times New Roman" w:hAnsi="Verdana" w:cs="Times New Roman"/>
          <w:i/>
          <w:iCs/>
          <w:color w:val="000000" w:themeColor="text1"/>
          <w:sz w:val="16"/>
          <w:szCs w:val="16"/>
          <w:shd w:val="clear" w:color="auto" w:fill="FFFFFF"/>
          <w:lang w:eastAsia="es-ES_tradnl"/>
        </w:rPr>
        <w:t>Los convenios de interés público y de asociación en el régimen de contratación pública colombiana.</w:t>
      </w:r>
      <w:r w:rsidRPr="002970C2">
        <w:rPr>
          <w:rFonts w:ascii="Verdana" w:eastAsia="Times New Roman" w:hAnsi="Verdana" w:cs="Times New Roman"/>
          <w:color w:val="000000" w:themeColor="text1"/>
          <w:sz w:val="16"/>
          <w:szCs w:val="16"/>
          <w:shd w:val="clear" w:color="auto" w:fill="FFFFFF"/>
          <w:lang w:eastAsia="es-ES_tradnl"/>
        </w:rPr>
        <w:t xml:space="preserve"> Revista Derecho del Estad. Universidad Externado de Colombia.</w:t>
      </w:r>
      <w:r w:rsidRPr="002970C2">
        <w:rPr>
          <w:rFonts w:ascii="Verdana" w:eastAsia="Times New Roman" w:hAnsi="Verdana" w:cs="Times New Roman"/>
          <w:i/>
          <w:iCs/>
          <w:color w:val="000000" w:themeColor="text1"/>
          <w:sz w:val="16"/>
          <w:szCs w:val="16"/>
          <w:shd w:val="clear" w:color="auto" w:fill="FFFFFF"/>
          <w:lang w:eastAsia="es-ES_tradnl"/>
        </w:rPr>
        <w:t xml:space="preserve"> </w:t>
      </w:r>
      <w:r w:rsidRPr="002970C2">
        <w:rPr>
          <w:rFonts w:ascii="Verdana" w:eastAsia="Times New Roman" w:hAnsi="Verdana" w:cs="Times New Roman"/>
          <w:color w:val="000000" w:themeColor="text1"/>
          <w:sz w:val="16"/>
          <w:szCs w:val="16"/>
          <w:shd w:val="clear" w:color="auto" w:fill="FFFFFF"/>
          <w:lang w:eastAsia="es-ES_tradnl"/>
        </w:rPr>
        <w:t xml:space="preserve">Se puede consultar en el siguiente enlace: </w:t>
      </w:r>
      <w:hyperlink r:id="rId2" w:anchor="figures" w:history="1">
        <w:r w:rsidRPr="002970C2">
          <w:rPr>
            <w:rStyle w:val="Hipervnculo"/>
            <w:rFonts w:ascii="Verdana" w:eastAsia="Times New Roman" w:hAnsi="Verdana" w:cs="Times New Roman"/>
            <w:color w:val="000000" w:themeColor="text1"/>
            <w:sz w:val="16"/>
            <w:szCs w:val="16"/>
            <w:shd w:val="clear" w:color="auto" w:fill="FFFFFF"/>
            <w:lang w:eastAsia="es-ES_tradnl"/>
          </w:rPr>
          <w:t>https://revistas.uexternado.edu.co/index.php/derest/article/view/6151/8606#figures</w:t>
        </w:r>
      </w:hyperlink>
    </w:p>
  </w:footnote>
  <w:footnote w:id="10">
    <w:p w14:paraId="722636F4" w14:textId="78212AEE" w:rsidR="00B93478" w:rsidRPr="002970C2" w:rsidRDefault="00B93478" w:rsidP="00B42573">
      <w:pPr>
        <w:pStyle w:val="Textonotapie"/>
        <w:ind w:firstLine="708"/>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Cfr. Concepto del 21 de agosto de 2019, dictado dentro del radicado No. 2201913000006047.</w:t>
      </w:r>
    </w:p>
  </w:footnote>
  <w:footnote w:id="11">
    <w:p w14:paraId="788C5948" w14:textId="70AE737D" w:rsidR="00B93478" w:rsidRPr="00B42573" w:rsidRDefault="00B93478" w:rsidP="00B42573">
      <w:pPr>
        <w:pStyle w:val="Textonotapie"/>
        <w:ind w:firstLine="708"/>
        <w:jc w:val="both"/>
        <w:rPr>
          <w:rFonts w:ascii="Verdana" w:hAnsi="Verdana" w:cs="Arial"/>
          <w:color w:val="000000" w:themeColor="text1"/>
          <w:sz w:val="16"/>
          <w:szCs w:val="16"/>
        </w:rPr>
      </w:pPr>
      <w:r w:rsidRPr="002970C2">
        <w:rPr>
          <w:rStyle w:val="Refdenotaalpie"/>
          <w:rFonts w:ascii="Verdana" w:hAnsi="Verdana" w:cs="Arial"/>
          <w:color w:val="000000" w:themeColor="text1"/>
          <w:sz w:val="16"/>
          <w:szCs w:val="16"/>
        </w:rPr>
        <w:footnoteRef/>
      </w:r>
      <w:r w:rsidRPr="002970C2">
        <w:rPr>
          <w:rFonts w:ascii="Verdana" w:hAnsi="Verdana" w:cs="Arial"/>
          <w:color w:val="000000" w:themeColor="text1"/>
          <w:sz w:val="16"/>
          <w:szCs w:val="16"/>
        </w:rPr>
        <w:t xml:space="preserve"> </w:t>
      </w:r>
      <w:bookmarkStart w:id="13" w:name="_Hlk171946243"/>
      <w:r w:rsidRPr="002970C2">
        <w:rPr>
          <w:rFonts w:ascii="Verdana" w:hAnsi="Verdana" w:cs="Arial"/>
          <w:color w:val="000000" w:themeColor="text1"/>
          <w:sz w:val="16"/>
          <w:szCs w:val="16"/>
        </w:rPr>
        <w:t>Consejo de Estado. Sala de Consulta y del Servicio Civil. Concepto del 24 de febrero de 2005. Radicado No. 1626. Consejera Ponente: Dra. Gloria Duque Hernández</w:t>
      </w:r>
      <w:bookmarkEnd w:id="13"/>
      <w:r w:rsidRPr="002970C2">
        <w:rPr>
          <w:rFonts w:ascii="Verdana" w:hAnsi="Verdana" w:cs="Arial"/>
          <w:color w:val="000000" w:themeColor="text1"/>
          <w:sz w:val="16"/>
          <w:szCs w:val="16"/>
        </w:rPr>
        <w:t>.</w:t>
      </w:r>
    </w:p>
  </w:footnote>
  <w:footnote w:id="12">
    <w:p w14:paraId="3B4A0968" w14:textId="77777777" w:rsidR="00B93478" w:rsidRPr="002970C2" w:rsidRDefault="00B93478" w:rsidP="00B93478">
      <w:pPr>
        <w:pStyle w:val="Textonotapie"/>
        <w:ind w:firstLine="708"/>
        <w:jc w:val="both"/>
        <w:rPr>
          <w:rFonts w:ascii="Verdana" w:hAnsi="Verdana" w:cs="Arial"/>
          <w:color w:val="000000" w:themeColor="text1"/>
          <w:sz w:val="16"/>
          <w:szCs w:val="16"/>
          <w:shd w:val="clear" w:color="auto" w:fill="E6E6E6"/>
        </w:rPr>
      </w:pPr>
      <w:r w:rsidRPr="002970C2">
        <w:rPr>
          <w:rFonts w:ascii="Verdana" w:hAnsi="Verdana" w:cs="Arial"/>
          <w:color w:val="000000" w:themeColor="text1"/>
          <w:sz w:val="16"/>
          <w:szCs w:val="16"/>
          <w:vertAlign w:val="superscript"/>
        </w:rPr>
        <w:footnoteRef/>
      </w:r>
      <w:r w:rsidRPr="002970C2">
        <w:rPr>
          <w:rFonts w:ascii="Verdana" w:hAnsi="Verdana" w:cs="Arial"/>
          <w:color w:val="000000" w:themeColor="text1"/>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3" w:history="1">
        <w:r w:rsidRPr="002970C2">
          <w:rPr>
            <w:rStyle w:val="Hipervnculo"/>
            <w:rFonts w:ascii="Verdana" w:hAnsi="Verdana" w:cs="Arial"/>
            <w:color w:val="000000" w:themeColor="text1"/>
            <w:sz w:val="16"/>
            <w:szCs w:val="16"/>
          </w:rPr>
          <w:t>https://relatoria.colombiacompra.gov.co/busqueda/conceptos</w:t>
        </w:r>
      </w:hyperlink>
      <w:r w:rsidRPr="002970C2">
        <w:rPr>
          <w:rStyle w:val="Hipervnculo"/>
          <w:rFonts w:ascii="Verdana" w:hAnsi="Verdana" w:cs="Arial"/>
          <w:color w:val="000000" w:themeColor="text1"/>
          <w:sz w:val="16"/>
          <w:szCs w:val="16"/>
        </w:rPr>
        <w:t xml:space="preserve"> </w:t>
      </w:r>
      <w:r w:rsidRPr="002970C2">
        <w:rPr>
          <w:rFonts w:ascii="Verdana" w:hAnsi="Verdana" w:cs="Arial"/>
          <w:color w:val="000000" w:themeColor="text1"/>
          <w:sz w:val="16"/>
          <w:szCs w:val="16"/>
          <w:shd w:val="clear" w:color="auto" w:fill="E6E6E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8pt;height:11.8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C23291E"/>
    <w:multiLevelType w:val="hybridMultilevel"/>
    <w:tmpl w:val="352C3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A2108"/>
    <w:multiLevelType w:val="hybridMultilevel"/>
    <w:tmpl w:val="DEF02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0542C4"/>
    <w:multiLevelType w:val="hybridMultilevel"/>
    <w:tmpl w:val="FD66D8DC"/>
    <w:lvl w:ilvl="0" w:tplc="1FF6893A">
      <w:start w:val="1"/>
      <w:numFmt w:val="decimal"/>
      <w:lvlText w:val="%1."/>
      <w:lvlJc w:val="left"/>
      <w:pPr>
        <w:ind w:left="1778"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BE2FA9"/>
    <w:multiLevelType w:val="hybridMultilevel"/>
    <w:tmpl w:val="5A340E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1330140246">
    <w:abstractNumId w:val="0"/>
  </w:num>
  <w:num w:numId="17" w16cid:durableId="1882672048">
    <w:abstractNumId w:val="10"/>
  </w:num>
  <w:num w:numId="18" w16cid:durableId="94400953">
    <w:abstractNumId w:val="3"/>
  </w:num>
  <w:num w:numId="19" w16cid:durableId="398360152">
    <w:abstractNumId w:val="16"/>
  </w:num>
  <w:num w:numId="20" w16cid:durableId="7476512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3746A"/>
    <w:rsid w:val="0005479C"/>
    <w:rsid w:val="00061B2A"/>
    <w:rsid w:val="00072AA7"/>
    <w:rsid w:val="00082362"/>
    <w:rsid w:val="000A683E"/>
    <w:rsid w:val="000B19B9"/>
    <w:rsid w:val="000D0334"/>
    <w:rsid w:val="000F6486"/>
    <w:rsid w:val="00100062"/>
    <w:rsid w:val="00125105"/>
    <w:rsid w:val="00127233"/>
    <w:rsid w:val="0015431A"/>
    <w:rsid w:val="001E4177"/>
    <w:rsid w:val="001F7DC6"/>
    <w:rsid w:val="002421BB"/>
    <w:rsid w:val="00252B05"/>
    <w:rsid w:val="0025796E"/>
    <w:rsid w:val="002707A2"/>
    <w:rsid w:val="002951A0"/>
    <w:rsid w:val="002962BC"/>
    <w:rsid w:val="002970C2"/>
    <w:rsid w:val="002A093D"/>
    <w:rsid w:val="002A0DD0"/>
    <w:rsid w:val="002A49AC"/>
    <w:rsid w:val="002A64FD"/>
    <w:rsid w:val="002B6007"/>
    <w:rsid w:val="002C7A84"/>
    <w:rsid w:val="002E4FD9"/>
    <w:rsid w:val="00306CC0"/>
    <w:rsid w:val="00322A85"/>
    <w:rsid w:val="00324168"/>
    <w:rsid w:val="003448F4"/>
    <w:rsid w:val="0034559D"/>
    <w:rsid w:val="00371FBB"/>
    <w:rsid w:val="00374F5E"/>
    <w:rsid w:val="003777A8"/>
    <w:rsid w:val="00377E3E"/>
    <w:rsid w:val="003A26D1"/>
    <w:rsid w:val="003A779E"/>
    <w:rsid w:val="003D0F4D"/>
    <w:rsid w:val="003D5B0D"/>
    <w:rsid w:val="003E0499"/>
    <w:rsid w:val="003F3941"/>
    <w:rsid w:val="00406575"/>
    <w:rsid w:val="0042722E"/>
    <w:rsid w:val="00434512"/>
    <w:rsid w:val="00440675"/>
    <w:rsid w:val="0044528D"/>
    <w:rsid w:val="004A1847"/>
    <w:rsid w:val="004A305D"/>
    <w:rsid w:val="004F21C4"/>
    <w:rsid w:val="004F685F"/>
    <w:rsid w:val="004F798F"/>
    <w:rsid w:val="00532144"/>
    <w:rsid w:val="005377F0"/>
    <w:rsid w:val="005566E8"/>
    <w:rsid w:val="00574867"/>
    <w:rsid w:val="00591460"/>
    <w:rsid w:val="00592628"/>
    <w:rsid w:val="005C3777"/>
    <w:rsid w:val="005C5CDC"/>
    <w:rsid w:val="005D476C"/>
    <w:rsid w:val="00610812"/>
    <w:rsid w:val="00620DE8"/>
    <w:rsid w:val="006219F8"/>
    <w:rsid w:val="00650FF7"/>
    <w:rsid w:val="00665D70"/>
    <w:rsid w:val="00671DAC"/>
    <w:rsid w:val="006900D9"/>
    <w:rsid w:val="006D12F8"/>
    <w:rsid w:val="006D69C7"/>
    <w:rsid w:val="00706C16"/>
    <w:rsid w:val="00756841"/>
    <w:rsid w:val="007649AB"/>
    <w:rsid w:val="00771D0C"/>
    <w:rsid w:val="007833AC"/>
    <w:rsid w:val="007B268C"/>
    <w:rsid w:val="007B7171"/>
    <w:rsid w:val="007C0C0F"/>
    <w:rsid w:val="007C3DC2"/>
    <w:rsid w:val="007E5497"/>
    <w:rsid w:val="00806F5F"/>
    <w:rsid w:val="00820278"/>
    <w:rsid w:val="008809C4"/>
    <w:rsid w:val="008843B6"/>
    <w:rsid w:val="00891928"/>
    <w:rsid w:val="008A446D"/>
    <w:rsid w:val="008C6629"/>
    <w:rsid w:val="008D180B"/>
    <w:rsid w:val="008E37D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917A2"/>
    <w:rsid w:val="00AB0ADB"/>
    <w:rsid w:val="00B01B1A"/>
    <w:rsid w:val="00B42573"/>
    <w:rsid w:val="00B44A6C"/>
    <w:rsid w:val="00B72CD3"/>
    <w:rsid w:val="00B72FFF"/>
    <w:rsid w:val="00B93478"/>
    <w:rsid w:val="00BC3D36"/>
    <w:rsid w:val="00BD7F72"/>
    <w:rsid w:val="00C04FB3"/>
    <w:rsid w:val="00C330EB"/>
    <w:rsid w:val="00C53A02"/>
    <w:rsid w:val="00C754BE"/>
    <w:rsid w:val="00C76B1C"/>
    <w:rsid w:val="00CB6357"/>
    <w:rsid w:val="00CC1B26"/>
    <w:rsid w:val="00CE0792"/>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41FD6"/>
    <w:rsid w:val="00E50AFE"/>
    <w:rsid w:val="00E748DA"/>
    <w:rsid w:val="00E75C92"/>
    <w:rsid w:val="00E771DC"/>
    <w:rsid w:val="00E8772A"/>
    <w:rsid w:val="00E90F6B"/>
    <w:rsid w:val="00E92C27"/>
    <w:rsid w:val="00EA0E3D"/>
    <w:rsid w:val="00EC38A7"/>
    <w:rsid w:val="00EE17F7"/>
    <w:rsid w:val="00EE1AA8"/>
    <w:rsid w:val="00F04B2F"/>
    <w:rsid w:val="00F12C99"/>
    <w:rsid w:val="00F31EDC"/>
    <w:rsid w:val="00F462B3"/>
    <w:rsid w:val="00F5664F"/>
    <w:rsid w:val="00F666C4"/>
    <w:rsid w:val="00F76AFC"/>
    <w:rsid w:val="00FA47C0"/>
    <w:rsid w:val="00FB5DD1"/>
    <w:rsid w:val="00FC2B5D"/>
    <w:rsid w:val="00FF1449"/>
    <w:rsid w:val="00FF3665"/>
    <w:rsid w:val="00FF4350"/>
    <w:rsid w:val="5CEADB7B"/>
    <w:rsid w:val="72914A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B93478"/>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93478"/>
    <w:rPr>
      <w:rFonts w:ascii="Geomanist Light" w:hAnsi="Geomanist Light"/>
      <w:lang w:val="es-ES"/>
    </w:rPr>
  </w:style>
  <w:style w:type="paragraph" w:styleId="Sinespaciado">
    <w:name w:val="No Spacing"/>
    <w:aliases w:val="No Indent"/>
    <w:uiPriority w:val="3"/>
    <w:qFormat/>
    <w:rsid w:val="00B93478"/>
    <w:pPr>
      <w:spacing w:after="0" w:line="240" w:lineRule="auto"/>
    </w:pPr>
    <w:rPr>
      <w:sz w:val="24"/>
      <w:lang w:val="es-MX"/>
      <w14:ligatures w14:val="standardContextual"/>
    </w:rPr>
  </w:style>
  <w:style w:type="character" w:customStyle="1" w:styleId="author-name">
    <w:name w:val="author-name"/>
    <w:basedOn w:val="Fuentedeprrafopredeter"/>
    <w:rsid w:val="00B9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documentos-tipo/documentos-tip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ala-de-prensa/boletin-digi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latoria.colombiacompra.gov.co/busqueda/conceptos" TargetMode="External"/><Relationship Id="rId2" Type="http://schemas.openxmlformats.org/officeDocument/2006/relationships/hyperlink" Target="https://revistas.uexternado.edu.co/index.php/derest/article/view/6151/8606" TargetMode="External"/><Relationship Id="rId1" Type="http://schemas.openxmlformats.org/officeDocument/2006/relationships/hyperlink" Target="https://revistas.uexternado.edu.co/index.php/derest/article/view/6151/860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Diana Lucia Saavedra</DisplayName>
        <AccountId>452</AccountId>
        <AccountType/>
      </UserInfo>
      <UserInfo>
        <DisplayName>Juan David Cárdenas Cabeza</DisplayName>
        <AccountId>659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4F47434A-AC99-4950-8B07-E761CE28A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CB43B-3FE1-430A-9BE3-FAD4FE4C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5130</Words>
  <Characters>28221</Characters>
  <Application>Microsoft Office Word</Application>
  <DocSecurity>0</DocSecurity>
  <Lines>235</Lines>
  <Paragraphs>66</Paragraphs>
  <ScaleCrop>false</ScaleCrop>
  <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6</cp:revision>
  <cp:lastPrinted>2023-01-10T21:18:00Z</cp:lastPrinted>
  <dcterms:created xsi:type="dcterms:W3CDTF">2024-07-16T20:25:00Z</dcterms:created>
  <dcterms:modified xsi:type="dcterms:W3CDTF">2024-07-24T05:31:00Z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