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F772E" w:rsidR="00FF772E" w:rsidP="00FF772E" w:rsidRDefault="00FF772E" w14:paraId="62EE7218" w14:textId="1A969EE2">
      <w:pPr>
        <w:spacing w:after="0"/>
        <w:rPr>
          <w:rFonts w:ascii="Verdana" w:hAnsi="Verdana"/>
        </w:rPr>
      </w:pPr>
      <w:bookmarkStart w:name="_Hlk143780582" w:id="0"/>
      <w:r w:rsidRPr="00FF772E">
        <w:rPr>
          <w:rFonts w:ascii="Verdana" w:hAnsi="Verdana" w:eastAsia="Calibri" w:cs="Arial"/>
          <w:b/>
          <w:bCs/>
          <w:lang w:val="es-ES" w:eastAsia="es-ES"/>
        </w:rPr>
        <w:t>CONTRATO DE OBRA – Obra pública – Definición – Artículo 32 de la Ley 80 de 1993</w:t>
      </w:r>
    </w:p>
    <w:p w:rsidRPr="00FF772E" w:rsidR="00FF772E" w:rsidP="00FF772E" w:rsidRDefault="00FF772E" w14:paraId="709BE28D" w14:textId="77777777">
      <w:pPr>
        <w:spacing w:after="0" w:line="240" w:lineRule="auto"/>
        <w:rPr>
          <w:rFonts w:ascii="Verdana" w:hAnsi="Verdana" w:eastAsia="Calibri" w:cs="Arial"/>
          <w:b/>
          <w:bCs/>
          <w:lang w:val="es-ES" w:eastAsia="es-ES"/>
        </w:rPr>
      </w:pPr>
    </w:p>
    <w:p w:rsidRPr="00FF772E" w:rsidR="00FF772E" w:rsidP="00FF772E" w:rsidRDefault="00510414" w14:paraId="274F2147" w14:textId="6B8D3451">
      <w:pPr>
        <w:spacing w:after="0" w:line="240" w:lineRule="auto"/>
        <w:jc w:val="both"/>
        <w:rPr>
          <w:rFonts w:ascii="Verdana" w:hAnsi="Verdana" w:eastAsia="Calibri" w:cs="Arial"/>
          <w:sz w:val="20"/>
          <w:szCs w:val="20"/>
          <w:lang w:val="es-ES"/>
        </w:rPr>
      </w:pPr>
      <w:r w:rsidRPr="00510414">
        <w:rPr>
          <w:rFonts w:ascii="Verdana" w:hAnsi="Verdana" w:eastAsia="Calibri" w:cs="Arial"/>
          <w:sz w:val="20"/>
          <w:szCs w:val="20"/>
          <w:lang w:val="es-ES"/>
        </w:rPr>
        <w:t>De conformidad con el artículo 32 de la Ley 80 de 1993, el contrato de obra se define como aquel celebrado por una entidad estatal para la construcción, el mantenimiento, la instalación y, en general, para la realización de cualquier otro trabajo material sobre bienes inmuebles, cualquiera que sea la modalidad de ejecución y pago.</w:t>
      </w:r>
    </w:p>
    <w:p w:rsidRPr="00FF772E" w:rsidR="00FF772E" w:rsidP="00FF772E" w:rsidRDefault="00FF772E" w14:paraId="21BC638E" w14:textId="77777777">
      <w:pPr>
        <w:spacing w:after="0" w:line="240" w:lineRule="auto"/>
        <w:jc w:val="both"/>
        <w:rPr>
          <w:rFonts w:ascii="Verdana" w:hAnsi="Verdana" w:eastAsia="Calibri" w:cs="Arial"/>
          <w:lang w:val="es-ES"/>
        </w:rPr>
      </w:pPr>
    </w:p>
    <w:p w:rsidRPr="00FF772E" w:rsidR="00FF772E" w:rsidP="00FF772E" w:rsidRDefault="00FF772E" w14:paraId="5344125B" w14:textId="77777777">
      <w:pPr>
        <w:shd w:val="clear" w:color="auto" w:fill="FFFFFF"/>
        <w:spacing w:after="0" w:line="240" w:lineRule="auto"/>
        <w:contextualSpacing/>
        <w:jc w:val="both"/>
        <w:rPr>
          <w:rFonts w:ascii="Verdana" w:hAnsi="Verdana" w:eastAsia="Calibri" w:cs="Arial"/>
          <w:b/>
          <w:kern w:val="2"/>
          <w:lang w:val="es-MX" w:eastAsia="es-ES_tradnl"/>
          <w14:ligatures w14:val="standardContextual"/>
        </w:rPr>
      </w:pPr>
      <w:r w:rsidRPr="00FF772E">
        <w:rPr>
          <w:rFonts w:ascii="Verdana" w:hAnsi="Verdana" w:eastAsia="Calibri" w:cs="Arial"/>
          <w:b/>
          <w:kern w:val="2"/>
          <w:lang w:val="es-MX" w:eastAsia="es-ES_tradnl"/>
          <w14:ligatures w14:val="standardContextual"/>
        </w:rPr>
        <w:t xml:space="preserve">CONTRATO DE OBRA – Precio global – Modificaciones – Obras adicionales – Mayores cantidades de obra </w:t>
      </w:r>
    </w:p>
    <w:p w:rsidR="00510414" w:rsidP="00510414" w:rsidRDefault="00510414" w14:paraId="2F551145" w14:textId="77777777">
      <w:pPr>
        <w:shd w:val="clear" w:color="auto" w:fill="FFFFFF" w:themeFill="background1"/>
        <w:spacing w:after="0" w:line="240" w:lineRule="auto"/>
        <w:contextualSpacing/>
        <w:jc w:val="both"/>
        <w:rPr>
          <w:rFonts w:ascii="Verdana" w:hAnsi="Verdana" w:eastAsia="Calibri" w:cs="Arial"/>
          <w:b/>
          <w:kern w:val="2"/>
          <w:lang w:val="es-MX" w:eastAsia="es-ES_tradnl"/>
          <w14:ligatures w14:val="standardContextual"/>
        </w:rPr>
      </w:pPr>
    </w:p>
    <w:p w:rsidRPr="00510414" w:rsidR="00510414" w:rsidP="0C888D57" w:rsidRDefault="00510414" w14:paraId="13B2EB35" w14:textId="15E5E37E">
      <w:pPr>
        <w:shd w:val="clear" w:color="auto" w:fill="FFFFFF" w:themeFill="background1"/>
        <w:spacing w:after="0" w:line="240" w:lineRule="auto"/>
        <w:contextualSpacing/>
        <w:jc w:val="both"/>
        <w:rPr>
          <w:rFonts w:ascii="Verdana" w:hAnsi="Verdana" w:eastAsia="Calibri" w:cs="Arial"/>
          <w:kern w:val="2"/>
          <w:sz w:val="20"/>
          <w:szCs w:val="20"/>
          <w:lang w:val="es-ES"/>
          <w14:ligatures w14:val="standardContextual"/>
        </w:rPr>
      </w:pPr>
      <w:r w:rsidRPr="0C888D57" w:rsidR="00510414">
        <w:rPr>
          <w:rFonts w:ascii="Verdana" w:hAnsi="Verdana" w:eastAsia="Calibri" w:cs="Arial"/>
          <w:kern w:val="2"/>
          <w:sz w:val="20"/>
          <w:szCs w:val="20"/>
          <w:lang w:val="es-ES"/>
          <w14:ligatures w14:val="standardContextua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r w:rsidRPr="0C888D57" w:rsidR="00510414">
        <w:rPr>
          <w:rFonts w:ascii="Verdana" w:hAnsi="Verdana" w:eastAsia="Calibri" w:cs="Arial"/>
          <w:kern w:val="2"/>
          <w:sz w:val="20"/>
          <w:szCs w:val="20"/>
          <w:lang w:val="es-ES"/>
          <w14:ligatures w14:val="standardContextual"/>
        </w:rPr>
        <w:t>ii</w:t>
      </w:r>
      <w:r w:rsidRPr="0C888D57" w:rsidR="00510414">
        <w:rPr>
          <w:rFonts w:ascii="Verdana" w:hAnsi="Verdana" w:eastAsia="Calibri" w:cs="Arial"/>
          <w:kern w:val="2"/>
          <w:sz w:val="20"/>
          <w:szCs w:val="20"/>
          <w:lang w:val="es-ES"/>
          <w14:ligatures w14:val="standardContextual"/>
        </w:rPr>
        <w:t xml:space="preserve">) el precio global –que equivale al monto total, sin discriminar unidades–, y </w:t>
      </w:r>
      <w:r w:rsidRPr="0C888D57" w:rsidR="00510414">
        <w:rPr>
          <w:rFonts w:ascii="Verdana" w:hAnsi="Verdana" w:eastAsia="Calibri" w:cs="Arial"/>
          <w:kern w:val="2"/>
          <w:sz w:val="20"/>
          <w:szCs w:val="20"/>
          <w:lang w:val="es-ES"/>
          <w14:ligatures w14:val="standardContextual"/>
        </w:rPr>
        <w:t>iii</w:t>
      </w:r>
      <w:r w:rsidRPr="0C888D57" w:rsidR="00510414">
        <w:rPr>
          <w:rFonts w:ascii="Verdana" w:hAnsi="Verdana" w:eastAsia="Calibri" w:cs="Arial"/>
          <w:kern w:val="2"/>
          <w:sz w:val="20"/>
          <w:szCs w:val="20"/>
          <w:lang w:val="es-ES"/>
          <w14:ligatures w14:val="standardContextual"/>
        </w:rPr>
        <w:t>) la administración delegada de recursos –en la que se distinguen los costos de inversión de los honorarios del administrador–.</w:t>
      </w:r>
    </w:p>
    <w:p w:rsidRPr="00510414" w:rsidR="00510414" w:rsidP="00510414" w:rsidRDefault="00510414" w14:paraId="51F61B8E" w14:textId="77777777">
      <w:pPr>
        <w:shd w:val="clear" w:color="auto" w:fill="FFFFFF" w:themeFill="background1"/>
        <w:spacing w:after="0" w:line="240" w:lineRule="auto"/>
        <w:contextualSpacing/>
        <w:jc w:val="both"/>
        <w:rPr>
          <w:rFonts w:ascii="Verdana" w:hAnsi="Verdana" w:eastAsia="Calibri" w:cs="Arial"/>
          <w:kern w:val="2"/>
          <w:sz w:val="20"/>
          <w:szCs w:val="20"/>
          <w:lang w:val="es-ES_tradnl"/>
          <w14:ligatures w14:val="standardContextual"/>
        </w:rPr>
      </w:pPr>
    </w:p>
    <w:p w:rsidRPr="00FF772E" w:rsidR="00FF772E" w:rsidP="00510414" w:rsidRDefault="00510414" w14:paraId="2AA89845" w14:textId="09D421CD">
      <w:pPr>
        <w:shd w:val="clear" w:color="auto" w:fill="FFFFFF" w:themeFill="background1"/>
        <w:spacing w:after="0" w:line="240" w:lineRule="auto"/>
        <w:contextualSpacing/>
        <w:jc w:val="both"/>
        <w:rPr>
          <w:rFonts w:ascii="Verdana" w:hAnsi="Verdana" w:eastAsia="Calibri" w:cs="Arial"/>
          <w:kern w:val="2"/>
          <w:sz w:val="20"/>
          <w:szCs w:val="20"/>
          <w:lang w:val="es-ES_tradnl"/>
          <w14:ligatures w14:val="standardContextual"/>
        </w:rPr>
      </w:pPr>
      <w:r w:rsidRPr="00510414">
        <w:rPr>
          <w:rFonts w:ascii="Verdana" w:hAnsi="Verdana" w:eastAsia="Calibri" w:cs="Arial"/>
          <w:kern w:val="2"/>
          <w:sz w:val="20"/>
          <w:szCs w:val="20"/>
          <w:lang w:val="es-ES_tradnl"/>
          <w14:ligatures w14:val="standardContextual"/>
        </w:rPr>
        <w:t>El pacto de un precio global fijo implica el acuerdo de un precio cerrado, cierto e inalterable, cuya única remuneración será el objeto contratado; así, las partes conocen con certeza el precio del contrato desde su celebración.</w:t>
      </w:r>
    </w:p>
    <w:p w:rsidR="00FF772E" w:rsidP="00FF772E" w:rsidRDefault="002B47CE" w14:paraId="20E66AC8" w14:textId="469B4B1F">
      <w:pPr>
        <w:shd w:val="clear" w:color="auto" w:fill="FFFFFF"/>
        <w:spacing w:after="0" w:line="240" w:lineRule="auto"/>
        <w:contextualSpacing/>
        <w:jc w:val="both"/>
        <w:rPr>
          <w:rFonts w:ascii="Verdana" w:hAnsi="Verdana" w:eastAsia="Calibri" w:cs="Arial"/>
          <w:bCs/>
          <w:kern w:val="2"/>
          <w:sz w:val="20"/>
          <w:szCs w:val="20"/>
          <w:lang w:val="es-MX" w:eastAsia="es-ES_tradnl"/>
          <w14:ligatures w14:val="standardContextual"/>
        </w:rPr>
      </w:pPr>
      <w:r>
        <w:rPr>
          <w:rFonts w:ascii="Verdana" w:hAnsi="Verdana" w:eastAsia="Calibri" w:cs="Arial"/>
          <w:bCs/>
          <w:kern w:val="2"/>
          <w:sz w:val="20"/>
          <w:szCs w:val="20"/>
          <w:lang w:val="es-MX" w:eastAsia="es-ES_tradnl"/>
          <w14:ligatures w14:val="standardContextual"/>
        </w:rPr>
        <w:t>[…]</w:t>
      </w:r>
    </w:p>
    <w:p w:rsidRPr="00FF772E" w:rsidR="002B47CE" w:rsidP="00FF772E" w:rsidRDefault="002B47CE" w14:paraId="15D1CEC4" w14:textId="28E5514E">
      <w:pPr>
        <w:shd w:val="clear" w:color="auto" w:fill="FFFFFF"/>
        <w:spacing w:after="0" w:line="240" w:lineRule="auto"/>
        <w:contextualSpacing/>
        <w:jc w:val="both"/>
        <w:rPr>
          <w:rFonts w:ascii="Verdana" w:hAnsi="Verdana" w:eastAsia="Calibri" w:cs="Arial"/>
          <w:bCs/>
          <w:kern w:val="2"/>
          <w:sz w:val="20"/>
          <w:szCs w:val="20"/>
          <w:lang w:val="es-MX" w:eastAsia="es-ES_tradnl"/>
          <w14:ligatures w14:val="standardContextual"/>
        </w:rPr>
      </w:pPr>
      <w:r>
        <w:rPr>
          <w:rFonts w:ascii="Verdana" w:hAnsi="Verdana" w:eastAsia="Calibri" w:cs="Arial"/>
          <w:bCs/>
          <w:kern w:val="2"/>
          <w:sz w:val="20"/>
          <w:szCs w:val="20"/>
          <w:lang w:val="es-MX" w:eastAsia="es-ES_tradnl"/>
          <w14:ligatures w14:val="standardContextual"/>
        </w:rPr>
        <w:t xml:space="preserve">[…] </w:t>
      </w:r>
      <w:r w:rsidRPr="002B47CE">
        <w:rPr>
          <w:rFonts w:ascii="Verdana" w:hAnsi="Verdana" w:eastAsia="Calibri" w:cs="Arial"/>
          <w:bCs/>
          <w:kern w:val="2"/>
          <w:sz w:val="20"/>
          <w:szCs w:val="20"/>
          <w:lang w:val="es-MX" w:eastAsia="es-ES_tradnl"/>
          <w14:ligatures w14:val="standardContextual"/>
        </w:rPr>
        <w:t>en los contratos de obra por precio global, en principio, no procede el reconocimiento de obras adicionales o mayores cantidades de obra no previstas inicialmente. Sin embargo, de acuerdo con las circunstancias particulares de cada contrato y las situaciones que puedan alterar la ecuación financiera del contrato, podrá evaluarse la pertinencia de modificar el precio global pactado.</w:t>
      </w:r>
    </w:p>
    <w:p w:rsidRPr="00FF772E" w:rsidR="00FF772E" w:rsidP="00FF772E" w:rsidRDefault="00FF772E" w14:paraId="429B3AB8" w14:textId="77777777">
      <w:pPr>
        <w:spacing w:after="0" w:line="240" w:lineRule="auto"/>
        <w:rPr>
          <w:rFonts w:ascii="Verdana" w:hAnsi="Verdana" w:eastAsia="Geomanist Light" w:cs="Arial"/>
          <w:lang w:val="es-MX"/>
        </w:rPr>
      </w:pPr>
    </w:p>
    <w:p w:rsidRPr="00FF772E" w:rsidR="00FF772E" w:rsidP="00FF772E" w:rsidRDefault="00FF772E" w14:paraId="58288A4C" w14:textId="77777777">
      <w:pPr>
        <w:spacing w:after="0" w:line="240" w:lineRule="auto"/>
        <w:rPr>
          <w:rFonts w:ascii="Verdana" w:hAnsi="Verdana" w:eastAsia="Geomanist Light" w:cs="Arial"/>
          <w:lang w:val="es-MX"/>
        </w:rPr>
      </w:pPr>
    </w:p>
    <w:p w:rsidRPr="00FF772E" w:rsidR="00FF772E" w:rsidP="00FF772E" w:rsidRDefault="00FF772E" w14:paraId="264E5D34" w14:textId="77777777">
      <w:pPr>
        <w:spacing w:after="0" w:line="240" w:lineRule="auto"/>
        <w:rPr>
          <w:rFonts w:ascii="Verdana" w:hAnsi="Verdana" w:eastAsia="Geomanist Light" w:cs="Arial"/>
          <w:lang w:val="es-MX"/>
        </w:rPr>
      </w:pPr>
    </w:p>
    <w:p w:rsidR="00FF772E" w:rsidP="00FF772E" w:rsidRDefault="00FF772E" w14:paraId="275A5455" w14:textId="77777777">
      <w:pPr>
        <w:spacing w:after="0" w:line="240" w:lineRule="auto"/>
        <w:rPr>
          <w:rFonts w:ascii="Verdana" w:hAnsi="Verdana" w:eastAsia="Geomanist Light" w:cs="Arial"/>
          <w:lang w:val="es-MX"/>
        </w:rPr>
      </w:pPr>
    </w:p>
    <w:p w:rsidR="003869AB" w:rsidP="00FF772E" w:rsidRDefault="003869AB" w14:paraId="57B0CF7F" w14:textId="77777777">
      <w:pPr>
        <w:spacing w:after="0" w:line="240" w:lineRule="auto"/>
        <w:rPr>
          <w:rFonts w:ascii="Verdana" w:hAnsi="Verdana" w:eastAsia="Geomanist Light" w:cs="Arial"/>
          <w:lang w:val="es-MX"/>
        </w:rPr>
      </w:pPr>
    </w:p>
    <w:p w:rsidR="003869AB" w:rsidP="00FF772E" w:rsidRDefault="003869AB" w14:paraId="062E5CD9" w14:textId="77777777">
      <w:pPr>
        <w:spacing w:after="0" w:line="240" w:lineRule="auto"/>
        <w:rPr>
          <w:rFonts w:ascii="Verdana" w:hAnsi="Verdana" w:eastAsia="Geomanist Light" w:cs="Arial"/>
          <w:lang w:val="es-MX"/>
        </w:rPr>
      </w:pPr>
    </w:p>
    <w:p w:rsidR="003869AB" w:rsidP="00FF772E" w:rsidRDefault="003869AB" w14:paraId="6919DD04" w14:textId="77777777">
      <w:pPr>
        <w:spacing w:after="0" w:line="240" w:lineRule="auto"/>
        <w:rPr>
          <w:rFonts w:ascii="Verdana" w:hAnsi="Verdana" w:eastAsia="Geomanist Light" w:cs="Arial"/>
          <w:lang w:val="es-MX"/>
        </w:rPr>
      </w:pPr>
    </w:p>
    <w:p w:rsidR="003869AB" w:rsidP="00FF772E" w:rsidRDefault="003869AB" w14:paraId="71899820" w14:textId="77777777">
      <w:pPr>
        <w:spacing w:after="0" w:line="240" w:lineRule="auto"/>
        <w:rPr>
          <w:rFonts w:ascii="Verdana" w:hAnsi="Verdana" w:eastAsia="Geomanist Light" w:cs="Arial"/>
          <w:lang w:val="es-MX"/>
        </w:rPr>
      </w:pPr>
    </w:p>
    <w:p w:rsidR="003869AB" w:rsidP="00FF772E" w:rsidRDefault="003869AB" w14:paraId="378CC7C3" w14:textId="77777777">
      <w:pPr>
        <w:spacing w:after="0" w:line="240" w:lineRule="auto"/>
        <w:rPr>
          <w:rFonts w:ascii="Verdana" w:hAnsi="Verdana" w:eastAsia="Geomanist Light" w:cs="Arial"/>
          <w:lang w:val="es-MX"/>
        </w:rPr>
      </w:pPr>
    </w:p>
    <w:p w:rsidR="003869AB" w:rsidP="00FF772E" w:rsidRDefault="003869AB" w14:paraId="398C7C0E" w14:textId="77777777">
      <w:pPr>
        <w:spacing w:after="0" w:line="240" w:lineRule="auto"/>
        <w:rPr>
          <w:rFonts w:ascii="Verdana" w:hAnsi="Verdana" w:eastAsia="Geomanist Light" w:cs="Arial"/>
          <w:lang w:val="es-MX"/>
        </w:rPr>
      </w:pPr>
    </w:p>
    <w:p w:rsidR="003869AB" w:rsidP="00FF772E" w:rsidRDefault="003869AB" w14:paraId="0E95279D" w14:textId="77777777">
      <w:pPr>
        <w:spacing w:after="0" w:line="240" w:lineRule="auto"/>
        <w:rPr>
          <w:rFonts w:ascii="Verdana" w:hAnsi="Verdana" w:eastAsia="Geomanist Light" w:cs="Arial"/>
          <w:lang w:val="es-MX"/>
        </w:rPr>
      </w:pPr>
    </w:p>
    <w:p w:rsidR="003869AB" w:rsidP="00FF772E" w:rsidRDefault="003869AB" w14:paraId="041F297F" w14:textId="77777777">
      <w:pPr>
        <w:spacing w:after="0" w:line="240" w:lineRule="auto"/>
        <w:rPr>
          <w:rFonts w:ascii="Verdana" w:hAnsi="Verdana" w:eastAsia="Geomanist Light" w:cs="Arial"/>
          <w:lang w:val="es-MX"/>
        </w:rPr>
      </w:pPr>
    </w:p>
    <w:p w:rsidRPr="00FF772E" w:rsidR="003869AB" w:rsidP="00FF772E" w:rsidRDefault="003869AB" w14:paraId="7EBC6921" w14:textId="77777777">
      <w:pPr>
        <w:spacing w:after="0" w:line="240" w:lineRule="auto"/>
        <w:rPr>
          <w:rFonts w:ascii="Verdana" w:hAnsi="Verdana" w:eastAsia="Geomanist Light" w:cs="Arial"/>
          <w:lang w:val="es-MX"/>
        </w:rPr>
      </w:pPr>
    </w:p>
    <w:p w:rsidR="00FF772E" w:rsidP="00FF772E" w:rsidRDefault="00FF772E" w14:paraId="4F61FC72" w14:textId="77777777">
      <w:pPr>
        <w:spacing w:after="0" w:line="240" w:lineRule="auto"/>
        <w:rPr>
          <w:rFonts w:ascii="Verdana" w:hAnsi="Verdana" w:eastAsia="Geomanist Light" w:cs="Arial"/>
          <w:lang w:val="es-MX"/>
        </w:rPr>
      </w:pPr>
    </w:p>
    <w:p w:rsidR="002B47CE" w:rsidP="00FF772E" w:rsidRDefault="002B47CE" w14:paraId="03DBCB62" w14:textId="77777777">
      <w:pPr>
        <w:spacing w:after="0" w:line="240" w:lineRule="auto"/>
        <w:rPr>
          <w:rFonts w:ascii="Verdana" w:hAnsi="Verdana" w:eastAsia="Geomanist Light" w:cs="Arial"/>
          <w:lang w:val="es-MX"/>
        </w:rPr>
      </w:pPr>
    </w:p>
    <w:p w:rsidR="002B47CE" w:rsidP="00FF772E" w:rsidRDefault="002B47CE" w14:paraId="46FAE15E" w14:textId="77777777">
      <w:pPr>
        <w:spacing w:after="0" w:line="240" w:lineRule="auto"/>
        <w:rPr>
          <w:rFonts w:ascii="Verdana" w:hAnsi="Verdana" w:eastAsia="Geomanist Light" w:cs="Arial"/>
          <w:lang w:val="es-MX"/>
        </w:rPr>
      </w:pPr>
    </w:p>
    <w:p w:rsidR="002B47CE" w:rsidP="00FF772E" w:rsidRDefault="002B47CE" w14:paraId="01BB29C6" w14:textId="77777777">
      <w:pPr>
        <w:spacing w:after="0" w:line="240" w:lineRule="auto"/>
        <w:rPr>
          <w:rFonts w:ascii="Verdana" w:hAnsi="Verdana" w:eastAsia="Geomanist Light" w:cs="Arial"/>
          <w:lang w:val="es-MX"/>
        </w:rPr>
      </w:pPr>
    </w:p>
    <w:p w:rsidRPr="00FF772E" w:rsidR="00FF772E" w:rsidP="002B47CE" w:rsidRDefault="003869AB" w14:paraId="7930EF59" w14:textId="3AFFC87D">
      <w:pPr>
        <w:spacing w:after="0" w:line="240" w:lineRule="auto"/>
        <w:jc w:val="both"/>
        <w:rPr>
          <w:rFonts w:ascii="Verdana" w:hAnsi="Verdana" w:eastAsia="Geomanist Light" w:cs="Arial"/>
          <w:lang w:val="es-MX"/>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p>
    <w:p w:rsidR="00FF772E" w:rsidP="00FF772E" w:rsidRDefault="00792B87" w14:paraId="09122E79" w14:textId="6215C5F7">
      <w:pPr>
        <w:spacing w:after="0" w:line="240" w:lineRule="auto"/>
        <w:jc w:val="both"/>
        <w:rPr>
          <w:rFonts w:ascii="Verdana" w:hAnsi="Verdana" w:eastAsia="Calibri" w:cs="Arial"/>
          <w:lang w:val="es-ES"/>
        </w:rPr>
      </w:pPr>
      <w:r w:rsidRPr="00792B87">
        <w:rPr>
          <w:rFonts w:ascii="Verdana" w:hAnsi="Verdana" w:eastAsia="Calibri" w:cs="Arial"/>
          <w:lang w:val="es-ES"/>
        </w:rPr>
        <w:drawing>
          <wp:anchor distT="0" distB="0" distL="114300" distR="114300" simplePos="0" relativeHeight="251658240" behindDoc="1" locked="0" layoutInCell="1" allowOverlap="1" wp14:anchorId="2E274090" wp14:editId="7FDD37B8">
            <wp:simplePos x="0" y="0"/>
            <wp:positionH relativeFrom="column">
              <wp:posOffset>2787015</wp:posOffset>
            </wp:positionH>
            <wp:positionV relativeFrom="paragraph">
              <wp:posOffset>99060</wp:posOffset>
            </wp:positionV>
            <wp:extent cx="3390900" cy="1085850"/>
            <wp:effectExtent l="0" t="0" r="0" b="0"/>
            <wp:wrapTight wrapText="bothSides">
              <wp:wrapPolygon edited="0">
                <wp:start x="0" y="0"/>
                <wp:lineTo x="0" y="21221"/>
                <wp:lineTo x="21479" y="21221"/>
                <wp:lineTo x="21479" y="0"/>
                <wp:lineTo x="0" y="0"/>
              </wp:wrapPolygon>
            </wp:wrapTight>
            <wp:docPr id="110219633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96334"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90900" cy="1085850"/>
                    </a:xfrm>
                    <a:prstGeom prst="rect">
                      <a:avLst/>
                    </a:prstGeom>
                  </pic:spPr>
                </pic:pic>
              </a:graphicData>
            </a:graphic>
          </wp:anchor>
        </w:drawing>
      </w:r>
    </w:p>
    <w:p w:rsidR="00792B87" w:rsidP="00FF772E" w:rsidRDefault="00792B87" w14:paraId="11203BB9" w14:textId="6FD1E39C">
      <w:pPr>
        <w:spacing w:after="0" w:line="240" w:lineRule="auto"/>
        <w:jc w:val="both"/>
        <w:rPr>
          <w:rFonts w:ascii="Verdana" w:hAnsi="Verdana" w:eastAsia="Calibri" w:cs="Arial"/>
          <w:lang w:val="es-ES"/>
        </w:rPr>
      </w:pPr>
    </w:p>
    <w:p w:rsidR="00792B87" w:rsidP="00FF772E" w:rsidRDefault="00792B87" w14:paraId="2DB750B7" w14:textId="77777777">
      <w:pPr>
        <w:spacing w:after="0" w:line="240" w:lineRule="auto"/>
        <w:jc w:val="both"/>
        <w:rPr>
          <w:rFonts w:ascii="Verdana" w:hAnsi="Verdana" w:eastAsia="Calibri" w:cs="Arial"/>
          <w:lang w:val="es-ES"/>
        </w:rPr>
      </w:pPr>
    </w:p>
    <w:p w:rsidR="00792B87" w:rsidP="00FF772E" w:rsidRDefault="00792B87" w14:paraId="5B33DAF4" w14:textId="77777777">
      <w:pPr>
        <w:spacing w:after="0" w:line="240" w:lineRule="auto"/>
        <w:jc w:val="both"/>
        <w:rPr>
          <w:rFonts w:ascii="Verdana" w:hAnsi="Verdana" w:eastAsia="Calibri" w:cs="Arial"/>
          <w:lang w:val="es-ES"/>
        </w:rPr>
      </w:pPr>
    </w:p>
    <w:p w:rsidR="00792B87" w:rsidP="00FF772E" w:rsidRDefault="00792B87" w14:paraId="6022B68E" w14:textId="77777777">
      <w:pPr>
        <w:spacing w:after="0" w:line="240" w:lineRule="auto"/>
        <w:jc w:val="both"/>
        <w:rPr>
          <w:rFonts w:ascii="Verdana" w:hAnsi="Verdana" w:eastAsia="Calibri" w:cs="Arial"/>
          <w:lang w:val="es-ES"/>
        </w:rPr>
      </w:pPr>
    </w:p>
    <w:p w:rsidR="00792B87" w:rsidP="00FF772E" w:rsidRDefault="00792B87" w14:paraId="6EC87618" w14:textId="77777777">
      <w:pPr>
        <w:spacing w:after="0" w:line="240" w:lineRule="auto"/>
        <w:jc w:val="both"/>
        <w:rPr>
          <w:rFonts w:ascii="Verdana" w:hAnsi="Verdana" w:eastAsia="Calibri" w:cs="Arial"/>
          <w:lang w:val="es-ES"/>
        </w:rPr>
      </w:pPr>
    </w:p>
    <w:p w:rsidR="00792B87" w:rsidP="00FF772E" w:rsidRDefault="00792B87" w14:paraId="66DD806F" w14:textId="77777777">
      <w:pPr>
        <w:spacing w:after="0" w:line="240" w:lineRule="auto"/>
        <w:jc w:val="both"/>
        <w:rPr>
          <w:rFonts w:ascii="Verdana" w:hAnsi="Verdana" w:eastAsia="Calibri" w:cs="Arial"/>
          <w:lang w:val="es-ES"/>
        </w:rPr>
      </w:pPr>
    </w:p>
    <w:p w:rsidRPr="00FF772E" w:rsidR="00792B87" w:rsidP="00FF772E" w:rsidRDefault="00792B87" w14:paraId="2371E836" w14:textId="77777777">
      <w:pPr>
        <w:spacing w:after="0" w:line="240" w:lineRule="auto"/>
        <w:jc w:val="both"/>
        <w:rPr>
          <w:rFonts w:ascii="Verdana" w:hAnsi="Verdana" w:eastAsia="Calibri" w:cs="Arial"/>
          <w:lang w:val="es-ES"/>
        </w:rPr>
      </w:pPr>
    </w:p>
    <w:p w:rsidRPr="00FF772E" w:rsidR="00FF772E" w:rsidP="00FF772E" w:rsidRDefault="00FF772E" w14:paraId="198D8464" w14:textId="77777777">
      <w:pPr>
        <w:spacing w:after="0" w:line="240" w:lineRule="auto"/>
        <w:jc w:val="both"/>
        <w:rPr>
          <w:rFonts w:ascii="Verdana" w:hAnsi="Verdana" w:eastAsia="Calibri" w:cs="Arial"/>
          <w:lang w:val="es-ES"/>
        </w:rPr>
      </w:pPr>
    </w:p>
    <w:p w:rsidRPr="00FF772E" w:rsidR="00FF772E" w:rsidP="00FF772E" w:rsidRDefault="00FF772E" w14:paraId="651CBF27" w14:textId="77777777">
      <w:pPr>
        <w:spacing w:after="0" w:line="240" w:lineRule="auto"/>
        <w:jc w:val="both"/>
        <w:rPr>
          <w:rFonts w:ascii="Verdana" w:hAnsi="Verdana" w:eastAsia="Calibri" w:cs="Arial"/>
          <w:lang w:val="es-ES" w:eastAsia="es-ES"/>
        </w:rPr>
      </w:pPr>
      <w:r w:rsidRPr="00FF772E">
        <w:rPr>
          <w:rFonts w:ascii="Verdana" w:hAnsi="Verdana" w:eastAsia="Calibri" w:cs="Arial"/>
          <w:lang w:val="es-ES" w:eastAsia="es-ES"/>
        </w:rPr>
        <w:t>Señora</w:t>
      </w:r>
    </w:p>
    <w:p w:rsidRPr="00FF772E" w:rsidR="00FF772E" w:rsidP="0A116B27" w:rsidRDefault="00FF772E" w14:paraId="1ADE184E" w14:textId="77777777">
      <w:pPr>
        <w:spacing w:after="0" w:line="240" w:lineRule="auto"/>
        <w:rPr>
          <w:rFonts w:ascii="Verdana" w:hAnsi="Verdana" w:eastAsia="Calibri" w:cs="Arial"/>
          <w:b/>
          <w:bCs/>
          <w:lang w:val="es-ES" w:eastAsia="es-ES"/>
        </w:rPr>
      </w:pPr>
      <w:r w:rsidRPr="0A116B27">
        <w:rPr>
          <w:rFonts w:ascii="Verdana" w:hAnsi="Verdana" w:eastAsia="Calibri" w:cs="Arial"/>
          <w:b/>
          <w:bCs/>
          <w:lang w:val="es-ES" w:eastAsia="es-ES"/>
        </w:rPr>
        <w:t>Jessica Sabbah Pechthalt</w:t>
      </w:r>
    </w:p>
    <w:p w:rsidRPr="00FF772E" w:rsidR="00FF772E" w:rsidP="00FF772E" w:rsidRDefault="00FF772E" w14:paraId="555739B5" w14:textId="77777777">
      <w:pPr>
        <w:spacing w:after="0" w:line="240" w:lineRule="auto"/>
        <w:rPr>
          <w:rFonts w:ascii="Verdana" w:hAnsi="Verdana" w:eastAsia="Calibri" w:cs="Arial"/>
          <w:lang w:val="es-ES" w:eastAsia="es-ES"/>
        </w:rPr>
      </w:pPr>
      <w:r w:rsidRPr="00FF772E">
        <w:rPr>
          <w:rFonts w:ascii="Verdana" w:hAnsi="Verdana" w:eastAsia="Calibri" w:cs="Arial"/>
          <w:lang w:val="es-ES" w:eastAsia="es-ES"/>
        </w:rPr>
        <w:t>Abogada Senior</w:t>
      </w:r>
    </w:p>
    <w:p w:rsidRPr="00FF772E" w:rsidR="00FF772E" w:rsidP="00FF772E" w:rsidRDefault="00FF772E" w14:paraId="0E4DB8A3" w14:textId="77777777">
      <w:pPr>
        <w:spacing w:after="0" w:line="240" w:lineRule="auto"/>
        <w:rPr>
          <w:rFonts w:ascii="Verdana" w:hAnsi="Verdana" w:eastAsia="Calibri" w:cs="Arial"/>
          <w:b/>
          <w:bCs/>
          <w:lang w:val="es-ES" w:eastAsia="es-ES"/>
        </w:rPr>
      </w:pPr>
      <w:r w:rsidRPr="00FF772E">
        <w:rPr>
          <w:rFonts w:ascii="Verdana" w:hAnsi="Verdana" w:eastAsia="Calibri" w:cs="Arial"/>
          <w:lang w:val="es-ES" w:eastAsia="es-ES"/>
        </w:rPr>
        <w:t>Bogotá, D.C.</w:t>
      </w:r>
    </w:p>
    <w:p w:rsidRPr="00FF772E" w:rsidR="00FF772E" w:rsidP="00FF772E" w:rsidRDefault="00FF772E" w14:paraId="56B0FD8F" w14:textId="77777777">
      <w:pPr>
        <w:spacing w:after="0" w:line="240" w:lineRule="auto"/>
        <w:rPr>
          <w:rFonts w:ascii="Verdana" w:hAnsi="Verdana" w:eastAsia="Calibri" w:cs="Arial"/>
          <w:b/>
          <w:bCs/>
          <w:lang w:val="es-ES_tradnl" w:eastAsia="es-ES_tradnl"/>
        </w:rPr>
      </w:pPr>
    </w:p>
    <w:p w:rsidRPr="00FF772E" w:rsidR="00FF772E" w:rsidP="00FF772E" w:rsidRDefault="00FF772E" w14:paraId="5EFC4791"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FF772E" w:rsidR="00FF772E" w:rsidTr="00563757" w14:paraId="50553D30" w14:textId="77777777">
        <w:trPr>
          <w:trHeight w:val="884"/>
        </w:trPr>
        <w:tc>
          <w:tcPr>
            <w:tcW w:w="2689" w:type="dxa"/>
          </w:tcPr>
          <w:p w:rsidRPr="00FF772E" w:rsidR="00FF772E" w:rsidP="00FF772E" w:rsidRDefault="00FF772E" w14:paraId="0F525FBE" w14:textId="77777777">
            <w:pPr>
              <w:jc w:val="both"/>
              <w:rPr>
                <w:rFonts w:ascii="Verdana" w:hAnsi="Verdana" w:eastAsia="Calibri" w:cs="Arial"/>
                <w:b/>
                <w:bCs/>
                <w:lang w:val="es-ES_tradnl" w:eastAsia="es-ES_tradnl"/>
              </w:rPr>
            </w:pPr>
          </w:p>
        </w:tc>
        <w:tc>
          <w:tcPr>
            <w:tcW w:w="6100" w:type="dxa"/>
          </w:tcPr>
          <w:p w:rsidRPr="00FF772E" w:rsidR="00FF772E" w:rsidP="00FF772E" w:rsidRDefault="00FF772E" w14:paraId="662FBC3C" w14:textId="77777777">
            <w:pPr>
              <w:jc w:val="both"/>
              <w:rPr>
                <w:rFonts w:ascii="Verdana" w:hAnsi="Verdana" w:eastAsia="Calibri" w:cs="Arial"/>
                <w:b/>
                <w:bCs/>
                <w:lang w:val="es-ES" w:eastAsia="es-ES"/>
              </w:rPr>
            </w:pPr>
            <w:r w:rsidRPr="00FF772E">
              <w:rPr>
                <w:rFonts w:ascii="Verdana" w:hAnsi="Verdana" w:eastAsia="Calibri" w:cs="Arial"/>
                <w:b/>
                <w:bCs/>
                <w:lang w:val="es-ES" w:eastAsia="es-ES"/>
              </w:rPr>
              <w:t>Concepto C – 119 de 2024</w:t>
            </w:r>
          </w:p>
        </w:tc>
      </w:tr>
      <w:tr w:rsidRPr="00FF772E" w:rsidR="00FF772E" w:rsidTr="00563757" w14:paraId="59519C6A" w14:textId="77777777">
        <w:trPr>
          <w:trHeight w:val="884"/>
        </w:trPr>
        <w:tc>
          <w:tcPr>
            <w:tcW w:w="2689" w:type="dxa"/>
          </w:tcPr>
          <w:p w:rsidRPr="00FF772E" w:rsidR="00FF772E" w:rsidP="00FF772E" w:rsidRDefault="00FF772E" w14:paraId="711929C9" w14:textId="77777777">
            <w:pPr>
              <w:jc w:val="both"/>
              <w:rPr>
                <w:rFonts w:ascii="Verdana" w:hAnsi="Verdana" w:eastAsia="Calibri" w:cs="Arial"/>
                <w:lang w:val="es-ES_tradnl" w:eastAsia="es-ES_tradnl"/>
              </w:rPr>
            </w:pPr>
            <w:r w:rsidRPr="00FF772E">
              <w:rPr>
                <w:rFonts w:ascii="Verdana" w:hAnsi="Verdana" w:eastAsia="Calibri" w:cs="Arial"/>
                <w:b/>
                <w:lang w:val="es-ES_tradnl" w:eastAsia="es-ES_tradnl"/>
              </w:rPr>
              <w:t>Temas:</w:t>
            </w:r>
            <w:r w:rsidRPr="00FF772E">
              <w:rPr>
                <w:rFonts w:ascii="Verdana" w:hAnsi="Verdana" w:eastAsia="Calibri" w:cs="Arial"/>
                <w:lang w:val="es-ES_tradnl" w:eastAsia="es-ES_tradnl"/>
              </w:rPr>
              <w:t xml:space="preserve">                   </w:t>
            </w:r>
          </w:p>
        </w:tc>
        <w:tc>
          <w:tcPr>
            <w:tcW w:w="6100" w:type="dxa"/>
          </w:tcPr>
          <w:p w:rsidRPr="00FF772E" w:rsidR="00FF772E" w:rsidP="00FF772E" w:rsidRDefault="00FF772E" w14:paraId="6D64EB91" w14:textId="77777777">
            <w:pPr>
              <w:spacing w:line="276" w:lineRule="auto"/>
              <w:jc w:val="both"/>
              <w:rPr>
                <w:rFonts w:ascii="Verdana" w:hAnsi="Verdana" w:eastAsia="Calibri" w:cs="Arial"/>
                <w:lang w:val="es-ES" w:eastAsia="es-ES"/>
              </w:rPr>
            </w:pPr>
            <w:r w:rsidRPr="00FF772E">
              <w:rPr>
                <w:rFonts w:ascii="Verdana" w:hAnsi="Verdana" w:eastAsia="Calibri" w:cs="Arial"/>
                <w:lang w:val="es-ES" w:eastAsia="es-ES"/>
              </w:rPr>
              <w:t>CONTRATO DE OBRA – Obra pública – Definición – Artículo 32 de la Ley 80 de 1993 / CONTRATO DE OBRA – Precio global – Modificaciones – Obras adicionales – Mayores cantidades de obra</w:t>
            </w:r>
          </w:p>
          <w:p w:rsidRPr="00FF772E" w:rsidR="00FF772E" w:rsidP="00FF772E" w:rsidRDefault="00FF772E" w14:paraId="53AE1B13" w14:textId="77777777">
            <w:pPr>
              <w:spacing w:line="276" w:lineRule="auto"/>
              <w:jc w:val="both"/>
              <w:rPr>
                <w:rFonts w:ascii="Verdana" w:hAnsi="Verdana" w:eastAsia="Calibri" w:cs="Arial"/>
                <w:lang w:val="es-ES" w:eastAsia="es-ES"/>
              </w:rPr>
            </w:pPr>
          </w:p>
        </w:tc>
      </w:tr>
      <w:tr w:rsidRPr="00FF772E" w:rsidR="00FF772E" w:rsidTr="00563757" w14:paraId="2FDABC7F" w14:textId="77777777">
        <w:tc>
          <w:tcPr>
            <w:tcW w:w="2689" w:type="dxa"/>
          </w:tcPr>
          <w:p w:rsidRPr="00FF772E" w:rsidR="00FF772E" w:rsidP="00FF772E" w:rsidRDefault="00FF772E" w14:paraId="2AEA79A8" w14:textId="77777777">
            <w:pPr>
              <w:jc w:val="both"/>
              <w:rPr>
                <w:rFonts w:ascii="Verdana" w:hAnsi="Verdana" w:eastAsia="Calibri" w:cs="Arial"/>
                <w:b/>
                <w:lang w:val="es-ES_tradnl" w:eastAsia="es-ES_tradnl"/>
              </w:rPr>
            </w:pPr>
            <w:r w:rsidRPr="00FF772E">
              <w:rPr>
                <w:rFonts w:ascii="Verdana" w:hAnsi="Verdana" w:eastAsia="Calibri" w:cs="Arial"/>
                <w:b/>
                <w:lang w:val="es-ES_tradnl" w:eastAsia="es-ES_tradnl"/>
              </w:rPr>
              <w:t>Radicación:</w:t>
            </w:r>
            <w:r w:rsidRPr="00FF772E">
              <w:rPr>
                <w:rFonts w:ascii="Verdana" w:hAnsi="Verdana" w:eastAsia="Calibri" w:cs="Arial"/>
                <w:lang w:val="es-ES_tradnl" w:eastAsia="es-ES_tradnl"/>
              </w:rPr>
              <w:t xml:space="preserve">               </w:t>
            </w:r>
          </w:p>
        </w:tc>
        <w:tc>
          <w:tcPr>
            <w:tcW w:w="6100" w:type="dxa"/>
          </w:tcPr>
          <w:p w:rsidRPr="00FF772E" w:rsidR="00FF772E" w:rsidP="00FF772E" w:rsidRDefault="00FF772E" w14:paraId="0049F222" w14:textId="77777777">
            <w:pPr>
              <w:jc w:val="both"/>
              <w:rPr>
                <w:rFonts w:ascii="Verdana" w:hAnsi="Verdana" w:eastAsia="Calibri" w:cs="Arial"/>
                <w:lang w:val="es-ES_tradnl" w:eastAsia="es-ES_tradnl"/>
              </w:rPr>
            </w:pPr>
            <w:r w:rsidRPr="00FF772E">
              <w:rPr>
                <w:rFonts w:ascii="Verdana" w:hAnsi="Verdana" w:eastAsia="Calibri" w:cs="Arial"/>
                <w:lang w:val="es-ES_tradnl" w:eastAsia="es-ES_tradnl"/>
              </w:rPr>
              <w:t>Respuesta a consulta con radicado No. P20240606005880</w:t>
            </w:r>
          </w:p>
        </w:tc>
      </w:tr>
    </w:tbl>
    <w:p w:rsidRPr="00FF772E" w:rsidR="00FF772E" w:rsidP="00FF772E" w:rsidRDefault="00FF772E" w14:paraId="757E2C2D" w14:textId="77777777">
      <w:pPr>
        <w:spacing w:after="0" w:line="240" w:lineRule="auto"/>
        <w:jc w:val="both"/>
        <w:rPr>
          <w:rFonts w:ascii="Verdana" w:hAnsi="Verdana" w:eastAsia="Calibri" w:cs="Arial"/>
          <w:lang w:val="es-ES_tradnl" w:eastAsia="es-ES_tradnl"/>
        </w:rPr>
      </w:pPr>
    </w:p>
    <w:p w:rsidRPr="00FF772E" w:rsidR="00FF772E" w:rsidP="00FF772E" w:rsidRDefault="00FF772E" w14:paraId="0471B2FC" w14:textId="77777777">
      <w:pPr>
        <w:spacing w:after="0" w:line="240" w:lineRule="auto"/>
        <w:jc w:val="both"/>
        <w:rPr>
          <w:rFonts w:ascii="Verdana" w:hAnsi="Verdana" w:eastAsia="Calibri" w:cs="Arial"/>
          <w:lang w:val="es-ES_tradnl" w:eastAsia="es-ES_tradnl"/>
        </w:rPr>
      </w:pPr>
    </w:p>
    <w:p w:rsidRPr="00FF772E" w:rsidR="00FF772E" w:rsidP="00FF772E" w:rsidRDefault="00FF772E" w14:paraId="18EC321C" w14:textId="77777777">
      <w:pPr>
        <w:spacing w:after="0" w:line="276" w:lineRule="auto"/>
        <w:jc w:val="both"/>
        <w:rPr>
          <w:rFonts w:ascii="Verdana" w:hAnsi="Verdana" w:eastAsia="Calibri" w:cs="Arial"/>
          <w:lang w:val="es-ES" w:eastAsia="es-ES"/>
        </w:rPr>
      </w:pPr>
      <w:r w:rsidRPr="00FF772E">
        <w:rPr>
          <w:rFonts w:ascii="Verdana" w:hAnsi="Verdana" w:eastAsia="Calibri" w:cs="Arial"/>
          <w:lang w:val="es-ES" w:eastAsia="es-ES"/>
        </w:rPr>
        <w:t xml:space="preserve">Estimada señora Sabbah: </w:t>
      </w:r>
    </w:p>
    <w:p w:rsidRPr="00FF772E" w:rsidR="00FF772E" w:rsidP="00FF772E" w:rsidRDefault="00FF772E" w14:paraId="384B175E" w14:textId="77777777">
      <w:pPr>
        <w:tabs>
          <w:tab w:val="left" w:pos="3768"/>
        </w:tabs>
        <w:spacing w:after="0" w:line="276" w:lineRule="auto"/>
        <w:jc w:val="both"/>
        <w:rPr>
          <w:rFonts w:ascii="Verdana" w:hAnsi="Verdana" w:eastAsia="Calibri" w:cs="Arial"/>
          <w:lang w:val="es-ES" w:eastAsia="es-ES"/>
        </w:rPr>
      </w:pPr>
      <w:r w:rsidRPr="00FF772E">
        <w:rPr>
          <w:rFonts w:ascii="Verdana" w:hAnsi="Verdana" w:eastAsia="Calibri" w:cs="Arial"/>
          <w:lang w:val="es-ES" w:eastAsia="es-ES"/>
        </w:rPr>
        <w:tab/>
      </w:r>
    </w:p>
    <w:p w:rsidRPr="00FF772E" w:rsidR="00FF772E" w:rsidP="00FF772E" w:rsidRDefault="00FF772E" w14:paraId="33CC37A8" w14:textId="77777777">
      <w:pPr>
        <w:spacing w:after="0" w:line="276" w:lineRule="auto"/>
        <w:jc w:val="both"/>
        <w:rPr>
          <w:rFonts w:ascii="Verdana" w:hAnsi="Verdana" w:eastAsia="Calibri" w:cs="Arial"/>
          <w:lang w:val="es-ES" w:eastAsia="es-ES"/>
        </w:rPr>
      </w:pPr>
      <w:r w:rsidRPr="00FF772E">
        <w:rPr>
          <w:rFonts w:ascii="Verdana" w:hAnsi="Verdana" w:eastAsia="Calibri" w:cs="Arial"/>
          <w:lang w:val="es-ES" w:eastAsia="es-ES"/>
        </w:rPr>
        <w:t>En ejercicio de la competencia otorgada por los artículos 3, numeral 5º, y 11, numeral 8º, del Decreto Ley 4170 de 2011,</w:t>
      </w:r>
      <w:r w:rsidRPr="00FF772E">
        <w:rPr>
          <w:rFonts w:ascii="Verdana" w:hAnsi="Verdana" w:eastAsia="Arial MT" w:cs="Arial MT"/>
          <w:lang w:val="es-ES" w:eastAsia="es-ES"/>
        </w:rPr>
        <w:t xml:space="preserve"> </w:t>
      </w:r>
      <w:r w:rsidRPr="00FF772E">
        <w:rPr>
          <w:rFonts w:ascii="Verdana" w:hAnsi="Verdana" w:eastAsia="Calibri" w:cs="Arial"/>
        </w:rPr>
        <w:t xml:space="preserve">así como lo establecido en el artículo 4 de la Resolución 1707 de 2018 expedida por esta Entidad, </w:t>
      </w:r>
      <w:r w:rsidRPr="00FF772E">
        <w:rPr>
          <w:rFonts w:ascii="Verdana" w:hAnsi="Verdana" w:eastAsia="Calibri" w:cs="Arial"/>
          <w:lang w:val="es-ES" w:eastAsia="es-ES"/>
        </w:rPr>
        <w:t>la Agencia Nacional de Contratación Pública – Colombia Compra Eficiente– responde su solicitud de consulta de fecha 5 de junio de 2024. Usted pregunta lo siguiente:</w:t>
      </w:r>
    </w:p>
    <w:p w:rsidRPr="00FF772E" w:rsidR="00FF772E" w:rsidP="00FF772E" w:rsidRDefault="00FF772E" w14:paraId="3C7FFEF3" w14:textId="77777777">
      <w:pPr>
        <w:tabs>
          <w:tab w:val="left" w:pos="142"/>
          <w:tab w:val="left" w:pos="284"/>
        </w:tabs>
        <w:spacing w:line="276" w:lineRule="auto"/>
        <w:contextualSpacing/>
        <w:jc w:val="both"/>
        <w:rPr>
          <w:rFonts w:ascii="Verdana" w:hAnsi="Verdana" w:eastAsia="Century Gothic" w:cs="Century Gothic"/>
          <w:b/>
          <w:bCs/>
          <w:lang w:val="es-ES"/>
        </w:rPr>
      </w:pPr>
    </w:p>
    <w:p w:rsidRPr="00FF772E" w:rsidR="00FF772E" w:rsidP="00FF772E" w:rsidRDefault="00FF772E" w14:paraId="15647EBB" w14:textId="77777777">
      <w:pPr>
        <w:spacing w:after="0" w:line="240" w:lineRule="auto"/>
        <w:ind w:left="709" w:right="709"/>
        <w:jc w:val="both"/>
        <w:rPr>
          <w:rFonts w:ascii="Verdana" w:hAnsi="Verdana" w:eastAsia="Calibri" w:cs="Arial"/>
          <w:sz w:val="20"/>
          <w:szCs w:val="20"/>
          <w:shd w:val="clear" w:color="auto" w:fill="FFFFFF"/>
          <w:lang w:val="es-ES"/>
        </w:rPr>
      </w:pPr>
      <w:r w:rsidRPr="00FF772E">
        <w:rPr>
          <w:rFonts w:ascii="Verdana" w:hAnsi="Verdana" w:eastAsia="Century Gothic" w:cs="Century Gothic"/>
          <w:sz w:val="20"/>
          <w:szCs w:val="20"/>
          <w:lang w:val="es-ES"/>
        </w:rPr>
        <w:t>“¿En qué eventos, situaciones o bajo qué criterios resulta viable o procedente el reconocimiento económico a un contratista que ejecuta un contrato de obra a precio global, cuando en la ejecución del mismo se presenta mayores cantidades, permanencia en la obra, y sobrecostos?</w:t>
      </w:r>
    </w:p>
    <w:p w:rsidRPr="00FF772E" w:rsidR="00FF772E" w:rsidP="00FF772E" w:rsidRDefault="00FF772E" w14:paraId="4B5E863A" w14:textId="77777777">
      <w:pPr>
        <w:tabs>
          <w:tab w:val="left" w:pos="142"/>
          <w:tab w:val="left" w:pos="284"/>
        </w:tabs>
        <w:spacing w:line="276" w:lineRule="auto"/>
        <w:contextualSpacing/>
        <w:jc w:val="both"/>
        <w:rPr>
          <w:rFonts w:ascii="Verdana" w:hAnsi="Verdana" w:eastAsia="Century Gothic" w:cs="Century Gothic"/>
          <w:b/>
          <w:bCs/>
          <w:lang w:val="es-ES"/>
        </w:rPr>
      </w:pPr>
    </w:p>
    <w:p w:rsidRPr="00FF772E" w:rsidR="00FF772E" w:rsidP="00FF772E" w:rsidRDefault="00FF772E" w14:paraId="0450450D" w14:textId="77777777">
      <w:pPr>
        <w:spacing w:after="120" w:line="276" w:lineRule="auto"/>
        <w:ind w:firstLine="709"/>
        <w:jc w:val="both"/>
        <w:rPr>
          <w:rFonts w:ascii="Verdana" w:hAnsi="Verdana" w:eastAsia="Calibri" w:cs="Arial"/>
          <w:szCs w:val="24"/>
          <w:lang w:val="es-ES_tradnl" w:eastAsia="es-ES_tradnl"/>
        </w:rPr>
      </w:pPr>
      <w:r w:rsidRPr="00FF772E">
        <w:rPr>
          <w:rFonts w:ascii="Verdana" w:hAnsi="Verdana" w:eastAsia="Calibri"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F772E">
        <w:rPr>
          <w:rFonts w:ascii="Verdana" w:hAnsi="Verdana" w:eastAsia="Calibri" w:cs="Arial"/>
          <w:szCs w:val="24"/>
          <w:lang w:val="es-ES_tradnl" w:eastAsia="es-ES_tradnl"/>
        </w:rPr>
        <w:tab/>
      </w:r>
    </w:p>
    <w:p w:rsidRPr="00FF772E" w:rsidR="00FF772E" w:rsidP="00FF772E" w:rsidRDefault="00FF772E" w14:paraId="1675BF5E" w14:textId="77777777">
      <w:pPr>
        <w:spacing w:after="0" w:line="276" w:lineRule="auto"/>
        <w:ind w:firstLine="709"/>
        <w:jc w:val="both"/>
        <w:rPr>
          <w:rFonts w:ascii="Verdana" w:hAnsi="Verdana" w:eastAsia="Calibri" w:cs="Arial"/>
          <w:lang w:val="es-ES" w:eastAsia="es-ES"/>
        </w:rPr>
      </w:pPr>
      <w:r w:rsidRPr="00FF772E">
        <w:rPr>
          <w:rFonts w:ascii="Verdana" w:hAnsi="Verdana" w:eastAsia="Calibri"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FF772E" w:rsidR="00FF772E" w:rsidP="00FF772E" w:rsidRDefault="00FF772E" w14:paraId="3E3B431A" w14:textId="77777777">
      <w:pPr>
        <w:spacing w:after="0" w:line="276" w:lineRule="auto"/>
        <w:ind w:firstLine="709"/>
        <w:jc w:val="both"/>
        <w:rPr>
          <w:rFonts w:ascii="Verdana" w:hAnsi="Verdana" w:eastAsia="Calibri" w:cs="Arial"/>
          <w:lang w:val="es-ES" w:eastAsia="es-ES"/>
        </w:rPr>
      </w:pPr>
    </w:p>
    <w:p w:rsidRPr="00FF772E" w:rsidR="00FF772E" w:rsidP="00FF772E" w:rsidRDefault="00FF772E" w14:paraId="028A2101" w14:textId="77777777">
      <w:pPr>
        <w:numPr>
          <w:ilvl w:val="0"/>
          <w:numId w:val="16"/>
        </w:numPr>
        <w:tabs>
          <w:tab w:val="left" w:pos="142"/>
          <w:tab w:val="left" w:pos="284"/>
        </w:tabs>
        <w:spacing w:after="0" w:line="276" w:lineRule="auto"/>
        <w:ind w:left="357" w:hanging="357"/>
        <w:contextualSpacing/>
        <w:jc w:val="both"/>
        <w:rPr>
          <w:rFonts w:ascii="Verdana" w:hAnsi="Verdana" w:eastAsia="Century Gothic" w:cs="Century Gothic"/>
          <w:b/>
          <w:bCs/>
          <w:lang w:val="es-ES"/>
        </w:rPr>
      </w:pPr>
      <w:r w:rsidRPr="00FF772E">
        <w:rPr>
          <w:rFonts w:ascii="Verdana" w:hAnsi="Verdana" w:eastAsia="Century Gothic" w:cs="Century Gothic"/>
          <w:b/>
          <w:bCs/>
          <w:lang w:val="es-ES"/>
        </w:rPr>
        <w:t>Problema planteado:</w:t>
      </w:r>
    </w:p>
    <w:p w:rsidRPr="00FF772E" w:rsidR="00FF772E" w:rsidP="00FF772E" w:rsidRDefault="00FF772E" w14:paraId="0820CDB4" w14:textId="77777777">
      <w:pPr>
        <w:tabs>
          <w:tab w:val="left" w:pos="426"/>
        </w:tabs>
        <w:spacing w:after="0" w:line="276" w:lineRule="auto"/>
        <w:jc w:val="both"/>
        <w:rPr>
          <w:rFonts w:ascii="Verdana" w:hAnsi="Verdana" w:eastAsia="Century Gothic" w:cs="Century Gothic"/>
          <w:lang w:val="es-ES"/>
        </w:rPr>
      </w:pPr>
    </w:p>
    <w:p w:rsidRPr="00FF772E" w:rsidR="00FF772E" w:rsidP="00FF772E" w:rsidRDefault="00FF772E" w14:paraId="6D80178E" w14:textId="77777777">
      <w:pPr>
        <w:snapToGrid w:val="0"/>
        <w:spacing w:after="0" w:line="276" w:lineRule="auto"/>
        <w:jc w:val="both"/>
        <w:rPr>
          <w:rFonts w:ascii="Verdana" w:hAnsi="Verdana" w:eastAsia="Century Gothic" w:cs="Century Gothic"/>
        </w:rPr>
      </w:pPr>
      <w:r w:rsidRPr="00FF772E">
        <w:rPr>
          <w:rFonts w:ascii="Verdana" w:hAnsi="Verdana" w:eastAsia="Century Gothic" w:cs="Century Gothic"/>
        </w:rPr>
        <w:t>De acuerdo con el contenido de su solicitud, esta Agencia resolverá el siguiente problema jurídico: ¿</w:t>
      </w:r>
      <w:r w:rsidRPr="00FF772E">
        <w:rPr>
          <w:rFonts w:ascii="Aptos" w:hAnsi="Aptos" w:eastAsia="Aptos" w:cs="Times New Roman"/>
          <w:kern w:val="2"/>
          <w:sz w:val="24"/>
          <w:szCs w:val="24"/>
          <w14:ligatures w14:val="standardContextual"/>
        </w:rPr>
        <w:t xml:space="preserve">cuándo o bajo cuáles circunstancias resulta </w:t>
      </w:r>
      <w:r w:rsidRPr="00FF772E">
        <w:rPr>
          <w:rFonts w:ascii="Verdana" w:hAnsi="Verdana" w:eastAsia="Century Gothic" w:cs="Century Gothic"/>
        </w:rPr>
        <w:t>procedente el reconocimiento de mayores cantidades de obra, permanencia en la obra y sobrecostos, en el caso de un contrato de obra por precio global?</w:t>
      </w:r>
    </w:p>
    <w:p w:rsidRPr="00FF772E" w:rsidR="00FF772E" w:rsidP="00FF772E" w:rsidRDefault="00FF772E" w14:paraId="66149703" w14:textId="77777777">
      <w:pPr>
        <w:snapToGrid w:val="0"/>
        <w:spacing w:after="0" w:line="276" w:lineRule="auto"/>
        <w:jc w:val="both"/>
        <w:rPr>
          <w:rFonts w:ascii="Verdana" w:hAnsi="Verdana" w:eastAsia="Calibri" w:cs="Arial"/>
          <w:lang w:val="es-ES"/>
        </w:rPr>
      </w:pPr>
    </w:p>
    <w:p w:rsidRPr="00FF772E" w:rsidR="00FF772E" w:rsidP="00FF772E" w:rsidRDefault="00FF772E" w14:paraId="3EF2497F"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FF772E">
        <w:rPr>
          <w:rFonts w:ascii="Verdana" w:hAnsi="Verdana" w:eastAsia="Century Gothic" w:cs="Century Gothic"/>
          <w:b/>
          <w:bCs/>
          <w:lang w:val="es-ES"/>
        </w:rPr>
        <w:t>Respuesta:</w:t>
      </w:r>
    </w:p>
    <w:p w:rsidRPr="00FF772E" w:rsidR="00FF772E" w:rsidP="00FF772E" w:rsidRDefault="00FF772E" w14:paraId="6FFA6D31" w14:textId="77777777">
      <w:pPr>
        <w:tabs>
          <w:tab w:val="left" w:pos="142"/>
          <w:tab w:val="left" w:pos="284"/>
        </w:tabs>
        <w:snapToGrid w:val="0"/>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FF772E" w:rsidR="00FF772E" w:rsidTr="00563757" w14:paraId="2BE01430" w14:textId="77777777">
        <w:tc>
          <w:tcPr>
            <w:tcW w:w="8828" w:type="dxa"/>
            <w:shd w:val="clear" w:color="auto" w:fill="auto"/>
          </w:tcPr>
          <w:p w:rsidRPr="00FF772E" w:rsidR="00FF772E" w:rsidP="00FF772E" w:rsidRDefault="00FF772E" w14:paraId="753BEBC1" w14:textId="77777777">
            <w:pPr>
              <w:snapToGrid w:val="0"/>
              <w:spacing w:line="276" w:lineRule="auto"/>
              <w:jc w:val="both"/>
              <w:rPr>
                <w:rFonts w:ascii="Verdana" w:hAnsi="Verdana" w:eastAsia="Calibri" w:cs="Arial"/>
              </w:rPr>
            </w:pPr>
            <w:r w:rsidRPr="00FF772E">
              <w:rPr>
                <w:rFonts w:ascii="Verdana" w:hAnsi="Verdana" w:eastAsia="Calibri" w:cs="Arial"/>
              </w:rPr>
              <w:t>Los contratos de obra por precio global son aquellos en los que el contratista, a cambio de las prestaciones a que se compromete, obtiene como remuneración una suma fija, siendo el único responsable de la vinculación de personal, de la elaboración de subcontratos y de la obtención de materiales. El pacto de un precio global fijo implica el acuerdo de un precio cerrado, cierto e inalterable, cuya única remuneración será el objeto contratado. En dicho precio quedan incluidos todos los costos en que deba incurrir el contratista para la ejecución de la obra.</w:t>
            </w:r>
          </w:p>
          <w:p w:rsidRPr="00FF772E" w:rsidR="00FF772E" w:rsidP="00FF772E" w:rsidRDefault="00FF772E" w14:paraId="16D04E2A" w14:textId="77777777">
            <w:pPr>
              <w:snapToGrid w:val="0"/>
              <w:spacing w:line="276" w:lineRule="auto"/>
              <w:jc w:val="both"/>
              <w:rPr>
                <w:rFonts w:ascii="Verdana" w:hAnsi="Verdana" w:eastAsia="Calibri" w:cs="Arial"/>
              </w:rPr>
            </w:pPr>
          </w:p>
          <w:p w:rsidRPr="00FF772E" w:rsidR="00FF772E" w:rsidP="00FF772E" w:rsidRDefault="00FF772E" w14:paraId="50536F42" w14:textId="77777777">
            <w:pPr>
              <w:snapToGrid w:val="0"/>
              <w:spacing w:line="276" w:lineRule="auto"/>
              <w:jc w:val="both"/>
              <w:rPr>
                <w:rFonts w:ascii="Verdana" w:hAnsi="Verdana" w:eastAsia="Calibri" w:cs="Arial"/>
              </w:rPr>
            </w:pPr>
            <w:r w:rsidRPr="00FF772E">
              <w:rPr>
                <w:rFonts w:ascii="Verdana" w:hAnsi="Verdana" w:eastAsia="Calibri" w:cs="Arial"/>
              </w:rPr>
              <w:lastRenderedPageBreak/>
              <w:t>Según la jurisprudencia del Consejo de Estado, en el contrato a precio global se incluyen todos los costos directos e indirectos en que incurrirá el contratista para la ejecución de la obra y, en principio, no origina el reconocimiento de obras adicionales o mayores cantidades de obra no previstas. Sin embargo, el contratista tiene el derecho a reclamar en oportunidad por las falencias atribuibles a la entidad sobre imprevistos en el proceso de selección o en el contrato, o por hechos que la administración debe conocer, que desequilibran la ecuación financiera y que están por fuera del control del contratista, cuando quiera que no se hayan adoptado las medidas encaminadas a restituir el contrato a sus condiciones económicas iniciales.</w:t>
            </w:r>
          </w:p>
        </w:tc>
      </w:tr>
    </w:tbl>
    <w:p w:rsidRPr="00FF772E" w:rsidR="00FF772E" w:rsidP="00FF772E" w:rsidRDefault="00FF772E" w14:paraId="4E734DC7" w14:textId="77777777">
      <w:pPr>
        <w:tabs>
          <w:tab w:val="left" w:pos="142"/>
          <w:tab w:val="left" w:pos="284"/>
        </w:tabs>
        <w:snapToGrid w:val="0"/>
        <w:spacing w:after="0" w:line="276" w:lineRule="auto"/>
        <w:jc w:val="both"/>
        <w:rPr>
          <w:rFonts w:ascii="Verdana" w:hAnsi="Verdana" w:eastAsia="Century Gothic" w:cs="Century Gothic"/>
          <w:b/>
          <w:bCs/>
          <w:lang w:val="es-ES"/>
        </w:rPr>
      </w:pPr>
    </w:p>
    <w:p w:rsidRPr="00FF772E" w:rsidR="00FF772E" w:rsidP="00FF772E" w:rsidRDefault="00FF772E" w14:paraId="387BAB0D"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FF772E">
        <w:rPr>
          <w:rFonts w:ascii="Verdana" w:hAnsi="Verdana" w:eastAsia="Century Gothic" w:cs="Century Gothic"/>
          <w:b/>
          <w:bCs/>
          <w:lang w:val="es-ES"/>
        </w:rPr>
        <w:t>Razones de la respuesta:</w:t>
      </w:r>
    </w:p>
    <w:p w:rsidRPr="00FF772E" w:rsidR="00FF772E" w:rsidP="00FF772E" w:rsidRDefault="00FF772E" w14:paraId="7B5DF0CE" w14:textId="77777777">
      <w:pPr>
        <w:tabs>
          <w:tab w:val="left" w:pos="142"/>
          <w:tab w:val="left" w:pos="284"/>
        </w:tabs>
        <w:snapToGrid w:val="0"/>
        <w:spacing w:after="0" w:line="276" w:lineRule="auto"/>
        <w:ind w:left="357"/>
        <w:jc w:val="both"/>
        <w:rPr>
          <w:rFonts w:ascii="Verdana" w:hAnsi="Verdana" w:eastAsia="Century Gothic" w:cs="Century Gothic"/>
          <w:b/>
          <w:bCs/>
          <w:lang w:val="es-ES"/>
        </w:rPr>
      </w:pPr>
    </w:p>
    <w:p w:rsidRPr="00FF772E" w:rsidR="00FF772E" w:rsidP="00FF772E" w:rsidRDefault="00FF772E" w14:paraId="5DEBFBEE" w14:textId="77777777">
      <w:pPr>
        <w:snapToGrid w:val="0"/>
        <w:spacing w:after="0" w:line="276" w:lineRule="auto"/>
        <w:jc w:val="both"/>
        <w:rPr>
          <w:rFonts w:ascii="Verdana" w:hAnsi="Verdana" w:eastAsia="Calibri" w:cs="Arial"/>
          <w:lang w:val="es-ES"/>
        </w:rPr>
      </w:pPr>
      <w:r w:rsidRPr="00FF772E">
        <w:rPr>
          <w:rFonts w:ascii="Verdana" w:hAnsi="Verdana" w:eastAsia="Calibri" w:cs="Arial"/>
          <w:lang w:val="es-ES"/>
        </w:rPr>
        <w:t xml:space="preserve">Lo anterior se sustenta en las siguientes consideraciones: </w:t>
      </w:r>
    </w:p>
    <w:p w:rsidRPr="00FF772E" w:rsidR="00FF772E" w:rsidP="00FF772E" w:rsidRDefault="00FF772E" w14:paraId="412CC548" w14:textId="77777777">
      <w:pPr>
        <w:spacing w:after="0" w:line="276" w:lineRule="auto"/>
        <w:jc w:val="both"/>
        <w:rPr>
          <w:rFonts w:ascii="Verdana" w:hAnsi="Verdana" w:eastAsia="Calibri" w:cs="Arial"/>
        </w:rPr>
      </w:pPr>
      <w:r w:rsidRPr="00FF772E">
        <w:rPr>
          <w:rFonts w:ascii="Verdana" w:hAnsi="Verdana" w:eastAsia="Calibri" w:cs="Arial"/>
          <w:color w:val="000000"/>
          <w:lang w:val="es-ES"/>
        </w:rPr>
        <w:t xml:space="preserve"> </w:t>
      </w:r>
    </w:p>
    <w:p w:rsidRPr="00FF772E" w:rsidR="00FF772E" w:rsidP="00FF772E" w:rsidRDefault="00FF772E" w14:paraId="6D99439B" w14:textId="77777777">
      <w:pPr>
        <w:numPr>
          <w:ilvl w:val="0"/>
          <w:numId w:val="18"/>
        </w:numPr>
        <w:spacing w:after="0" w:line="276" w:lineRule="auto"/>
        <w:jc w:val="both"/>
        <w:rPr>
          <w:rFonts w:ascii="Verdana" w:hAnsi="Verdana" w:eastAsia="Calibri" w:cs="Arial"/>
          <w:bCs/>
          <w:kern w:val="2"/>
          <w:lang w:val="es-ES_tradnl" w:eastAsia="es-ES_tradnl"/>
          <w14:ligatures w14:val="standardContextual"/>
        </w:rPr>
      </w:pPr>
      <w:r w:rsidRPr="00FF772E">
        <w:rPr>
          <w:rFonts w:ascii="Verdana" w:hAnsi="Verdana" w:eastAsia="Calibri" w:cs="Arial"/>
          <w:bCs/>
          <w:kern w:val="2"/>
          <w:lang w:val="es-ES_tradnl" w:eastAsia="es-ES_tradnl"/>
          <w14:ligatures w14:val="standardContextual"/>
        </w:rPr>
        <w:t xml:space="preserve">De conformidad con el artículo 32 de la Ley 80 de 1993, el contrato de obra se define como aquel celebrado por una entidad estatal para la construcción, el mantenimiento, la instalación y, en general, para la realización de cualquier otro trabajo material sobre bienes inmuebles, cualquiera que sea la modalidad de ejecución y pago. </w:t>
      </w:r>
    </w:p>
    <w:p w:rsidRPr="00FF772E" w:rsidR="00FF772E" w:rsidP="00FF772E" w:rsidRDefault="00FF772E" w14:paraId="2BC37317" w14:textId="77777777">
      <w:pPr>
        <w:spacing w:after="0" w:line="276" w:lineRule="auto"/>
        <w:ind w:left="720"/>
        <w:jc w:val="both"/>
        <w:rPr>
          <w:rFonts w:ascii="Verdana" w:hAnsi="Verdana" w:eastAsia="Calibri" w:cs="Arial"/>
          <w:bCs/>
          <w:kern w:val="2"/>
          <w:lang w:val="es-ES_tradnl" w:eastAsia="es-ES_tradnl"/>
          <w14:ligatures w14:val="standardContextual"/>
        </w:rPr>
      </w:pPr>
    </w:p>
    <w:p w:rsidRPr="00FF772E" w:rsidR="00FF772E" w:rsidP="00FF772E" w:rsidRDefault="00FF772E" w14:paraId="042314D9" w14:textId="77777777">
      <w:pPr>
        <w:numPr>
          <w:ilvl w:val="0"/>
          <w:numId w:val="18"/>
        </w:numPr>
        <w:spacing w:after="0" w:line="276" w:lineRule="auto"/>
        <w:jc w:val="both"/>
        <w:rPr>
          <w:rFonts w:ascii="Verdana" w:hAnsi="Verdana" w:eastAsia="Calibri" w:cs="Arial"/>
          <w:bCs/>
          <w:kern w:val="2"/>
          <w:lang w:val="es-ES_tradnl" w:eastAsia="es-ES_tradnl"/>
          <w14:ligatures w14:val="standardContextual"/>
        </w:rPr>
      </w:pPr>
      <w:r w:rsidRPr="00FF772E">
        <w:rPr>
          <w:rFonts w:ascii="Verdana" w:hAnsi="Verdana" w:eastAsia="Calibri" w:cs="Arial"/>
          <w:bCs/>
          <w:kern w:val="2"/>
          <w:lang w:val="es-ES_tradnl" w:eastAsia="es-ES_tradnl"/>
          <w14:ligatures w14:val="standardContextual"/>
        </w:rPr>
        <w:t xml:space="preserve">Uno de los elementos más comunes en los contratos estatales es el </w:t>
      </w:r>
      <w:r w:rsidRPr="00FF772E">
        <w:rPr>
          <w:rFonts w:ascii="Verdana" w:hAnsi="Verdana" w:eastAsia="Calibri" w:cs="Arial"/>
          <w:bCs/>
          <w:i/>
          <w:iCs/>
          <w:kern w:val="2"/>
          <w:lang w:val="es-ES_tradnl" w:eastAsia="es-ES_tradnl"/>
          <w14:ligatures w14:val="standardContextual"/>
        </w:rPr>
        <w:t>precio</w:t>
      </w:r>
      <w:r w:rsidRPr="00FF772E">
        <w:rPr>
          <w:rFonts w:ascii="Verdana" w:hAnsi="Verdana" w:eastAsia="Calibri" w:cs="Arial"/>
          <w:bCs/>
          <w:kern w:val="2"/>
          <w:lang w:val="es-ES_tradnl" w:eastAsia="es-ES_tradnl"/>
          <w14:ligatures w14:val="standardContextua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rsidRPr="00FF772E" w:rsidR="00FF772E" w:rsidP="00FF772E" w:rsidRDefault="00FF772E" w14:paraId="50E373FD" w14:textId="77777777">
      <w:pPr>
        <w:spacing w:after="0" w:line="276" w:lineRule="auto"/>
        <w:jc w:val="both"/>
        <w:rPr>
          <w:rFonts w:ascii="Verdana" w:hAnsi="Verdana" w:eastAsia="Calibri" w:cs="Arial"/>
          <w:bCs/>
          <w:kern w:val="2"/>
          <w:lang w:val="es-ES_tradnl" w:eastAsia="es-ES_tradnl"/>
          <w14:ligatures w14:val="standardContextual"/>
        </w:rPr>
      </w:pPr>
    </w:p>
    <w:p w:rsidRPr="00FF772E" w:rsidR="00FF772E" w:rsidP="00FF772E" w:rsidRDefault="00FF772E" w14:paraId="40E5A2BA" w14:textId="77777777">
      <w:pPr>
        <w:numPr>
          <w:ilvl w:val="0"/>
          <w:numId w:val="18"/>
        </w:numPr>
        <w:spacing w:after="0" w:line="276" w:lineRule="auto"/>
        <w:jc w:val="both"/>
        <w:rPr>
          <w:rFonts w:ascii="Verdana" w:hAnsi="Verdana" w:eastAsia="Calibri" w:cs="Arial"/>
          <w:bCs/>
          <w:kern w:val="2"/>
          <w:lang w:val="es-ES_tradnl" w:eastAsia="es-ES_tradnl"/>
          <w14:ligatures w14:val="standardContextual"/>
        </w:rPr>
      </w:pPr>
      <w:r w:rsidRPr="00FF772E">
        <w:rPr>
          <w:rFonts w:ascii="Verdana" w:hAnsi="Verdana" w:eastAsia="Calibri" w:cs="Arial"/>
          <w:bCs/>
          <w:kern w:val="2"/>
          <w:lang w:val="es-ES_tradnl" w:eastAsia="es-ES_tradnl"/>
          <w14:ligatures w14:val="standardContextua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w:t>
      </w:r>
      <w:r w:rsidRPr="00FF772E">
        <w:rPr>
          <w:rFonts w:ascii="Verdana" w:hAnsi="Verdana" w:eastAsia="Calibri" w:cs="Arial"/>
          <w:bCs/>
          <w:kern w:val="2"/>
          <w:lang w:val="es-ES_tradnl" w:eastAsia="es-ES_tradnl"/>
          <w14:ligatures w14:val="standardContextual"/>
        </w:rPr>
        <w:lastRenderedPageBreak/>
        <w:t>de servicios y otras más indicadas para los de concesión, por mencionar algunos ejemplos</w:t>
      </w:r>
      <w:r w:rsidRPr="00FF772E">
        <w:rPr>
          <w:rFonts w:ascii="Verdana" w:hAnsi="Verdana" w:eastAsia="Aptos" w:cs="Times New Roman"/>
          <w:kern w:val="2"/>
          <w:vertAlign w:val="superscript"/>
          <w:lang w:val="es-ES_tradnl" w:eastAsia="es-ES_tradnl"/>
          <w14:ligatures w14:val="standardContextual"/>
        </w:rPr>
        <w:footnoteReference w:id="1"/>
      </w:r>
      <w:r w:rsidRPr="00FF772E">
        <w:rPr>
          <w:rFonts w:ascii="Verdana" w:hAnsi="Verdana" w:eastAsia="Calibri" w:cs="Arial"/>
          <w:bCs/>
          <w:kern w:val="2"/>
          <w:lang w:val="es-ES_tradnl" w:eastAsia="es-ES_tradnl"/>
          <w14:ligatures w14:val="standardContextual"/>
        </w:rPr>
        <w:t>.</w:t>
      </w:r>
    </w:p>
    <w:p w:rsidRPr="00FF772E" w:rsidR="00FF772E" w:rsidP="00FF772E" w:rsidRDefault="00FF772E" w14:paraId="44A0900A" w14:textId="77777777">
      <w:pPr>
        <w:spacing w:after="0" w:line="276" w:lineRule="auto"/>
        <w:jc w:val="both"/>
        <w:rPr>
          <w:rFonts w:ascii="Verdana" w:hAnsi="Verdana" w:eastAsia="Calibri" w:cs="Arial"/>
          <w:bCs/>
          <w:kern w:val="2"/>
          <w:lang w:val="es-ES_tradnl" w:eastAsia="es-ES_tradnl"/>
          <w14:ligatures w14:val="standardContextual"/>
        </w:rPr>
      </w:pPr>
    </w:p>
    <w:p w:rsidRPr="00FF772E" w:rsidR="00FF772E" w:rsidP="0A116B27" w:rsidRDefault="00FF772E" w14:paraId="5EC29AA2" w14:textId="77777777">
      <w:pPr>
        <w:numPr>
          <w:ilvl w:val="0"/>
          <w:numId w:val="18"/>
        </w:numPr>
        <w:spacing w:after="0" w:line="276" w:lineRule="auto"/>
        <w:jc w:val="both"/>
        <w:rPr>
          <w:rFonts w:ascii="Verdana" w:hAnsi="Verdana" w:eastAsia="Calibri" w:cs="Arial"/>
          <w:kern w:val="2"/>
          <w:lang w:val="es-ES" w:eastAsia="es-ES"/>
          <w14:ligatures w14:val="standardContextual"/>
        </w:rPr>
      </w:pPr>
      <w:r w:rsidRPr="0A116B27">
        <w:rPr>
          <w:rFonts w:ascii="Verdana" w:hAnsi="Verdana" w:eastAsia="Calibri" w:cs="Arial"/>
          <w:kern w:val="2"/>
          <w:lang w:val="es-ES" w:eastAsia="es-ES"/>
          <w14:ligatures w14:val="standardContextua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rsidRPr="00FF772E" w:rsidR="00FF772E" w:rsidP="00FF772E" w:rsidRDefault="00FF772E" w14:paraId="6AB3323C" w14:textId="77777777">
      <w:pPr>
        <w:spacing w:after="0" w:line="276" w:lineRule="auto"/>
        <w:jc w:val="both"/>
        <w:rPr>
          <w:rFonts w:ascii="Verdana" w:hAnsi="Verdana" w:eastAsia="Calibri" w:cs="Arial"/>
          <w:bCs/>
          <w:kern w:val="2"/>
          <w:lang w:val="es-ES_tradnl" w:eastAsia="es-ES_tradnl"/>
          <w14:ligatures w14:val="standardContextual"/>
        </w:rPr>
      </w:pPr>
    </w:p>
    <w:p w:rsidRPr="00FF772E" w:rsidR="00FF772E" w:rsidP="00FF772E" w:rsidRDefault="00FF772E" w14:paraId="779B0B86" w14:textId="77777777">
      <w:pPr>
        <w:numPr>
          <w:ilvl w:val="0"/>
          <w:numId w:val="18"/>
        </w:numPr>
        <w:spacing w:after="0" w:line="276" w:lineRule="auto"/>
        <w:jc w:val="both"/>
        <w:rPr>
          <w:rFonts w:ascii="Verdana" w:hAnsi="Verdana" w:eastAsia="Calibri" w:cs="Arial"/>
        </w:rPr>
      </w:pPr>
      <w:r w:rsidRPr="00FF772E">
        <w:rPr>
          <w:rFonts w:ascii="Verdana" w:hAnsi="Verdana" w:eastAsia="Calibri" w:cs="Arial"/>
        </w:rPr>
        <w:t>El pacto de un precio global fijo implica el acuerdo de un precio cerrado, cierto e inalterable, cuya única remuneración será el objeto contratado; así, las partes conocen con certeza el precio del contrato desde su celebración.</w:t>
      </w:r>
    </w:p>
    <w:p w:rsidRPr="00FF772E" w:rsidR="00FF772E" w:rsidP="00FF772E" w:rsidRDefault="00FF772E" w14:paraId="12160AD2" w14:textId="77777777">
      <w:pPr>
        <w:spacing w:after="0" w:line="276" w:lineRule="auto"/>
        <w:jc w:val="both"/>
        <w:rPr>
          <w:rFonts w:ascii="Verdana" w:hAnsi="Verdana" w:eastAsia="Calibri" w:cs="Arial"/>
        </w:rPr>
      </w:pPr>
    </w:p>
    <w:p w:rsidRPr="00FF772E" w:rsidR="00FF772E" w:rsidP="00FF772E" w:rsidRDefault="00FF772E" w14:paraId="72A9C692" w14:textId="77777777">
      <w:pPr>
        <w:numPr>
          <w:ilvl w:val="0"/>
          <w:numId w:val="18"/>
        </w:numPr>
        <w:spacing w:after="0" w:line="276" w:lineRule="auto"/>
        <w:jc w:val="both"/>
        <w:rPr>
          <w:rFonts w:ascii="Verdana" w:hAnsi="Verdana" w:eastAsia="Calibri" w:cs="Arial"/>
        </w:rPr>
      </w:pPr>
      <w:r w:rsidRPr="00FF772E">
        <w:rPr>
          <w:rFonts w:ascii="Verdana" w:hAnsi="Verdana" w:eastAsia="Calibri" w:cs="Arial"/>
        </w:rPr>
        <w:lastRenderedPageBreak/>
        <w:t>ESCOBAR HERNÁNDEZ</w:t>
      </w:r>
      <w:r w:rsidRPr="00FF772E">
        <w:rPr>
          <w:rFonts w:ascii="Verdana" w:hAnsi="Verdana" w:eastAsia="Calibri" w:cs="Arial"/>
          <w:vertAlign w:val="superscript"/>
        </w:rPr>
        <w:footnoteReference w:id="2"/>
      </w:r>
      <w:r w:rsidRPr="00FF772E">
        <w:rPr>
          <w:rFonts w:ascii="Verdana" w:hAnsi="Verdana" w:eastAsia="Calibri" w:cs="Arial"/>
        </w:rPr>
        <w:t xml:space="preserve"> considera que cuando el contrato de obra se pacta a precio global, quedan incluidos todos los costos en que deba incurrir el contratista para la ejecución de la obra. Se trata de una suma pactada fija como valor del contrato, por lo que no puede ser modificada, salvo por circunstancias extrañas que justifiquen la modificación del precio inicialmente pactado. </w:t>
      </w:r>
    </w:p>
    <w:p w:rsidRPr="00FF772E" w:rsidR="00FF772E" w:rsidP="00FF772E" w:rsidRDefault="00FF772E" w14:paraId="7633B64A" w14:textId="77777777">
      <w:pPr>
        <w:spacing w:after="0" w:line="276" w:lineRule="auto"/>
        <w:jc w:val="both"/>
        <w:rPr>
          <w:rFonts w:ascii="Verdana" w:hAnsi="Verdana" w:eastAsia="Calibri" w:cs="Arial"/>
        </w:rPr>
      </w:pPr>
    </w:p>
    <w:p w:rsidRPr="00FF772E" w:rsidR="00FF772E" w:rsidP="00FF772E" w:rsidRDefault="00FF772E" w14:paraId="38E51A69" w14:textId="77777777">
      <w:pPr>
        <w:numPr>
          <w:ilvl w:val="0"/>
          <w:numId w:val="18"/>
        </w:numPr>
        <w:spacing w:after="0" w:line="276" w:lineRule="auto"/>
        <w:jc w:val="both"/>
        <w:rPr>
          <w:rFonts w:ascii="Verdana" w:hAnsi="Verdana" w:eastAsia="Calibri" w:cs="Arial"/>
        </w:rPr>
      </w:pPr>
      <w:r w:rsidRPr="00FF772E">
        <w:rPr>
          <w:rFonts w:ascii="Verdana" w:hAnsi="Verdana" w:eastAsia="Calibri" w:cs="Arial"/>
        </w:rPr>
        <w:t>Sobre el contrato de obra por precio global, el Consejo de Estado ha considerado lo siguiente:</w:t>
      </w:r>
    </w:p>
    <w:p w:rsidRPr="00FF772E" w:rsidR="00FF772E" w:rsidP="00FF772E" w:rsidRDefault="00FF772E" w14:paraId="48330CC7" w14:textId="77777777">
      <w:pPr>
        <w:spacing w:after="0" w:line="276" w:lineRule="auto"/>
        <w:ind w:left="720"/>
        <w:jc w:val="both"/>
        <w:rPr>
          <w:rFonts w:ascii="Verdana" w:hAnsi="Verdana" w:eastAsia="Calibri" w:cs="Arial"/>
        </w:rPr>
      </w:pPr>
    </w:p>
    <w:p w:rsidRPr="00FF772E" w:rsidR="00FF772E" w:rsidP="00FF772E" w:rsidRDefault="00FF772E" w14:paraId="697E17F1" w14:textId="77777777">
      <w:pPr>
        <w:spacing w:after="0" w:line="240" w:lineRule="auto"/>
        <w:ind w:left="720" w:right="709"/>
        <w:jc w:val="both"/>
        <w:rPr>
          <w:rFonts w:ascii="Verdana" w:hAnsi="Verdana" w:eastAsia="Calibri" w:cs="Arial"/>
          <w:sz w:val="21"/>
          <w:szCs w:val="21"/>
        </w:rPr>
      </w:pPr>
      <w:r w:rsidRPr="00FF772E">
        <w:rPr>
          <w:rFonts w:ascii="Verdana" w:hAnsi="Verdana" w:eastAsia="Calibri" w:cs="Arial"/>
          <w:sz w:val="21"/>
          <w:szCs w:val="21"/>
        </w:rPr>
        <w:t>“Los contratos de obra por precio global son aquellos en los que el contratista, a cambio de las prestaciones a que se compromete, obtiene como remuneración una suma fija siendo el único responsable de la vinculación de personal, de la elaboración de subcontratos y de la obtención de materiales, mientras que en el contrato a precios unitarios la forma de pago es por unidades o cantidades de obra y el valor total corresponde al que resulta de multiplicar las cantidades de obras ejecutadas por el precio de cada una de ellas comprometiéndose el contratista a realizar las obras especificadas en el contrato.</w:t>
      </w:r>
    </w:p>
    <w:p w:rsidRPr="00FF772E" w:rsidR="00FF772E" w:rsidP="00FF772E" w:rsidRDefault="00FF772E" w14:paraId="256956BD" w14:textId="77777777">
      <w:pPr>
        <w:spacing w:after="0" w:line="240" w:lineRule="auto"/>
        <w:ind w:left="720" w:right="709"/>
        <w:jc w:val="both"/>
        <w:rPr>
          <w:rFonts w:ascii="Verdana" w:hAnsi="Verdana" w:eastAsia="Calibri" w:cs="Arial"/>
          <w:sz w:val="21"/>
          <w:szCs w:val="21"/>
        </w:rPr>
      </w:pPr>
    </w:p>
    <w:p w:rsidRPr="00FF772E" w:rsidR="00FF772E" w:rsidP="00FF772E" w:rsidRDefault="00FF772E" w14:paraId="55315080" w14:textId="77777777">
      <w:pPr>
        <w:spacing w:after="0" w:line="240" w:lineRule="auto"/>
        <w:ind w:left="720" w:right="709"/>
        <w:jc w:val="both"/>
        <w:rPr>
          <w:rFonts w:ascii="Verdana" w:hAnsi="Verdana" w:eastAsia="Calibri" w:cs="Arial"/>
          <w:sz w:val="21"/>
          <w:szCs w:val="21"/>
        </w:rPr>
      </w:pPr>
      <w:r w:rsidRPr="00FF772E">
        <w:rPr>
          <w:rFonts w:ascii="Verdana" w:hAnsi="Verdana" w:eastAsia="Calibri" w:cs="Arial"/>
          <w:sz w:val="21"/>
          <w:szCs w:val="21"/>
        </w:rPr>
        <w:t>Esta distinción resulta fundamental, porque, como lo ha señalado la jurisprudencia, en el contrato a precio global se incluyen todos los costos directos e indirectos en que incurrirá el contratista para la ejecución de la obra y, en principio, no origina el reconocimiento de obras adicionales o mayores cantidades de obra no previstas, en tanto en el contrato a precios unitarios, toda cantidad mayor o adicional ordenada y autorizada por la entidad contratante debe ser reconocida, aunque, de todos modos, en uno y otro caso, el contratista tiene el derecho a reclamar en oportunidad por las falencias atribuibles a la entidad sobre imprevistos en el proceso de selección o en el contrato, o por hechos que la administración debe conocer, que desequilibran la ecuación financiera y que están por fuera del control del contratista, cuando quiera que no se hayan adoptado las medidas encaminadas a restituir el contrato a sus condiciones económicas iniciales.”</w:t>
      </w:r>
      <w:r w:rsidRPr="00FF772E">
        <w:rPr>
          <w:rFonts w:ascii="Verdana" w:hAnsi="Verdana" w:eastAsia="Calibri" w:cs="Arial"/>
          <w:sz w:val="21"/>
          <w:szCs w:val="21"/>
          <w:vertAlign w:val="superscript"/>
        </w:rPr>
        <w:footnoteReference w:id="3"/>
      </w:r>
    </w:p>
    <w:p w:rsidRPr="00FF772E" w:rsidR="00FF772E" w:rsidP="00FF772E" w:rsidRDefault="00FF772E" w14:paraId="5FEA0F0C" w14:textId="77777777">
      <w:pPr>
        <w:spacing w:after="0" w:line="240" w:lineRule="auto"/>
        <w:ind w:left="720" w:right="709"/>
        <w:jc w:val="both"/>
        <w:rPr>
          <w:rFonts w:ascii="Verdana" w:hAnsi="Verdana" w:eastAsia="Calibri" w:cs="Arial"/>
        </w:rPr>
      </w:pPr>
    </w:p>
    <w:p w:rsidRPr="00FF772E" w:rsidR="00FF772E" w:rsidP="00FF772E" w:rsidRDefault="00FF772E" w14:paraId="31502351" w14:textId="77777777">
      <w:pPr>
        <w:numPr>
          <w:ilvl w:val="0"/>
          <w:numId w:val="19"/>
        </w:numPr>
        <w:spacing w:after="0" w:line="276" w:lineRule="auto"/>
        <w:jc w:val="both"/>
        <w:rPr>
          <w:rFonts w:ascii="Verdana" w:hAnsi="Verdana" w:eastAsia="Calibri" w:cs="Arial"/>
        </w:rPr>
      </w:pPr>
      <w:r w:rsidRPr="00FF772E">
        <w:rPr>
          <w:rFonts w:ascii="Verdana" w:hAnsi="Verdana" w:eastAsia="Calibri" w:cs="Arial"/>
        </w:rPr>
        <w:t xml:space="preserve">En conclusión, en los contratos de obra por precio global, en principio, no procede el reconocimiento de obras adicionales o mayores cantidades de </w:t>
      </w:r>
      <w:r w:rsidRPr="00FF772E">
        <w:rPr>
          <w:rFonts w:ascii="Verdana" w:hAnsi="Verdana" w:eastAsia="Calibri" w:cs="Arial"/>
        </w:rPr>
        <w:lastRenderedPageBreak/>
        <w:t>obra no previstas inicialmente. Sin embargo, de acuerdo con las circunstancias particulares de cada contrato y las situaciones que puedan alterar la ecuación financiera del contrato, podrá evaluarse la pertinencia de modificar el precio global pactado.</w:t>
      </w:r>
    </w:p>
    <w:p w:rsidRPr="00FF772E" w:rsidR="00FF772E" w:rsidP="00FF772E" w:rsidRDefault="00FF772E" w14:paraId="6A6799BD" w14:textId="77777777">
      <w:pPr>
        <w:spacing w:after="0" w:line="276" w:lineRule="auto"/>
        <w:contextualSpacing/>
        <w:jc w:val="both"/>
        <w:rPr>
          <w:rFonts w:ascii="Verdana" w:hAnsi="Verdana" w:eastAsia="Calibri" w:cs="Arial"/>
        </w:rPr>
      </w:pPr>
    </w:p>
    <w:p w:rsidRPr="00FF772E" w:rsidR="00FF772E" w:rsidP="00FF772E" w:rsidRDefault="00FF772E" w14:paraId="2381D429"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FF772E">
        <w:rPr>
          <w:rFonts w:ascii="Verdana" w:hAnsi="Verdana" w:eastAsia="Century Gothic" w:cs="Century Gothic"/>
          <w:b/>
          <w:bCs/>
          <w:lang w:val="es-ES"/>
        </w:rPr>
        <w:t>Referencias normativas, jurisprudenciales y otras fuentes:</w:t>
      </w:r>
    </w:p>
    <w:p w:rsidRPr="00FF772E" w:rsidR="00FF772E" w:rsidP="00FF772E" w:rsidRDefault="00FF772E" w14:paraId="46B4DCF8" w14:textId="77777777">
      <w:pPr>
        <w:widowControl w:val="0"/>
        <w:autoSpaceDE w:val="0"/>
        <w:autoSpaceDN w:val="0"/>
        <w:spacing w:after="0" w:line="276" w:lineRule="auto"/>
        <w:jc w:val="both"/>
        <w:rPr>
          <w:rFonts w:ascii="Verdana" w:hAnsi="Verdana" w:eastAsia="Calibri"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val="04A0" w:firstRow="1" w:lastRow="0" w:firstColumn="1" w:lastColumn="0" w:noHBand="0" w:noVBand="1"/>
      </w:tblPr>
      <w:tblGrid>
        <w:gridCol w:w="8647"/>
      </w:tblGrid>
      <w:tr w:rsidRPr="00FF772E" w:rsidR="00FF772E" w:rsidTr="00563757" w14:paraId="108ABEE9" w14:textId="77777777">
        <w:trPr>
          <w:trHeight w:val="870"/>
        </w:trPr>
        <w:tc>
          <w:tcPr>
            <w:tcW w:w="8647" w:type="dxa"/>
          </w:tcPr>
          <w:p w:rsidRPr="00FF772E" w:rsidR="00FF772E" w:rsidP="00FF772E" w:rsidRDefault="00FF772E" w14:paraId="238DF927" w14:textId="77777777">
            <w:pPr>
              <w:widowControl w:val="0"/>
              <w:numPr>
                <w:ilvl w:val="0"/>
                <w:numId w:val="17"/>
              </w:numPr>
              <w:autoSpaceDE w:val="0"/>
              <w:autoSpaceDN w:val="0"/>
              <w:spacing w:after="120" w:line="276" w:lineRule="auto"/>
              <w:jc w:val="both"/>
              <w:rPr>
                <w:rFonts w:ascii="Verdana" w:hAnsi="Verdana" w:eastAsia="Calibri" w:cs="Arial"/>
              </w:rPr>
            </w:pPr>
            <w:r w:rsidRPr="00FF772E">
              <w:rPr>
                <w:rFonts w:ascii="Verdana" w:hAnsi="Verdana" w:eastAsia="Calibri" w:cs="Arial"/>
              </w:rPr>
              <w:t>Ley 80 de 1993, artículo 32.</w:t>
            </w:r>
          </w:p>
          <w:p w:rsidRPr="00FF772E" w:rsidR="00FF772E" w:rsidP="00FF772E" w:rsidRDefault="00FF772E" w14:paraId="189C0597" w14:textId="77777777">
            <w:pPr>
              <w:widowControl w:val="0"/>
              <w:numPr>
                <w:ilvl w:val="0"/>
                <w:numId w:val="17"/>
              </w:numPr>
              <w:autoSpaceDE w:val="0"/>
              <w:autoSpaceDN w:val="0"/>
              <w:spacing w:after="120" w:line="276" w:lineRule="auto"/>
              <w:jc w:val="both"/>
              <w:rPr>
                <w:rFonts w:ascii="Verdana" w:hAnsi="Verdana" w:eastAsia="Calibri" w:cs="Arial"/>
              </w:rPr>
            </w:pPr>
            <w:r w:rsidRPr="00FF772E">
              <w:rPr>
                <w:rFonts w:ascii="Verdana" w:hAnsi="Verdana" w:eastAsia="Calibri" w:cs="Arial"/>
              </w:rPr>
              <w:t>MARÍN CORTÉS, Fabián. El precio. Serie: Las cláusulas del contrato estatal. Medellín: Librería Jurídica Sánchez y Centro de Estudios de Derecho Administrativo –CEDA–, 2012.</w:t>
            </w:r>
          </w:p>
          <w:p w:rsidRPr="00FF772E" w:rsidR="00FF772E" w:rsidP="00FF772E" w:rsidRDefault="00FF772E" w14:paraId="348F4314" w14:textId="77777777">
            <w:pPr>
              <w:widowControl w:val="0"/>
              <w:numPr>
                <w:ilvl w:val="0"/>
                <w:numId w:val="17"/>
              </w:numPr>
              <w:autoSpaceDE w:val="0"/>
              <w:autoSpaceDN w:val="0"/>
              <w:spacing w:after="120" w:line="276" w:lineRule="auto"/>
              <w:jc w:val="both"/>
              <w:rPr>
                <w:rFonts w:ascii="Verdana" w:hAnsi="Verdana" w:eastAsia="Calibri" w:cs="Arial"/>
              </w:rPr>
            </w:pPr>
            <w:r w:rsidRPr="00FF772E">
              <w:rPr>
                <w:rFonts w:ascii="Verdana" w:hAnsi="Verdana" w:eastAsia="Calibri" w:cs="Arial"/>
              </w:rPr>
              <w:t xml:space="preserve">ESCOBAR HERNÁNDEZ, Álvaro B. </w:t>
            </w:r>
            <w:r w:rsidRPr="00FF772E">
              <w:rPr>
                <w:rFonts w:ascii="Verdana" w:hAnsi="Verdana" w:eastAsia="Calibri" w:cs="Arial"/>
                <w:i/>
                <w:iCs/>
              </w:rPr>
              <w:t>El contrato estatal de obra,</w:t>
            </w:r>
            <w:r w:rsidRPr="00FF772E">
              <w:rPr>
                <w:rFonts w:ascii="Verdana" w:hAnsi="Verdana" w:eastAsia="Calibri" w:cs="Arial"/>
              </w:rPr>
              <w:t xml:space="preserve"> Bogotá, Ediciones Jurídica Gustavo Ibáñez, 2000.</w:t>
            </w:r>
          </w:p>
          <w:p w:rsidRPr="00FF772E" w:rsidR="00FF772E" w:rsidP="00FF772E" w:rsidRDefault="00FF772E" w14:paraId="770D2C35" w14:textId="77777777">
            <w:pPr>
              <w:widowControl w:val="0"/>
              <w:numPr>
                <w:ilvl w:val="0"/>
                <w:numId w:val="17"/>
              </w:numPr>
              <w:autoSpaceDE w:val="0"/>
              <w:autoSpaceDN w:val="0"/>
              <w:spacing w:after="120" w:line="276" w:lineRule="auto"/>
              <w:jc w:val="both"/>
              <w:rPr>
                <w:rFonts w:ascii="Verdana" w:hAnsi="Verdana" w:eastAsia="Calibri" w:cs="Arial"/>
              </w:rPr>
            </w:pPr>
            <w:r w:rsidRPr="00FF772E">
              <w:rPr>
                <w:rFonts w:ascii="Verdana" w:hAnsi="Verdana" w:eastAsia="Calibri" w:cs="Arial"/>
              </w:rPr>
              <w:t xml:space="preserve">MATALLANA CAMACHO, Ernesto. </w:t>
            </w:r>
            <w:r w:rsidRPr="00FF772E">
              <w:rPr>
                <w:rFonts w:ascii="Verdana" w:hAnsi="Verdana" w:eastAsia="Calibri" w:cs="Arial"/>
                <w:i/>
                <w:iCs/>
              </w:rPr>
              <w:t>Manual de Contratación de la Administración Pública : Reforma de la Ley 80 de 1993,</w:t>
            </w:r>
            <w:r w:rsidRPr="00FF772E">
              <w:rPr>
                <w:rFonts w:ascii="Verdana" w:hAnsi="Verdana" w:eastAsia="Calibri" w:cs="Arial"/>
              </w:rPr>
              <w:t xml:space="preserve"> Bogotá, Universidad Externado de Colombia, 2015, 4ª ed.</w:t>
            </w:r>
          </w:p>
          <w:p w:rsidRPr="00FF772E" w:rsidR="00FF772E" w:rsidP="00FF772E" w:rsidRDefault="00FF772E" w14:paraId="4F65D434" w14:textId="77777777">
            <w:pPr>
              <w:widowControl w:val="0"/>
              <w:numPr>
                <w:ilvl w:val="0"/>
                <w:numId w:val="17"/>
              </w:numPr>
              <w:autoSpaceDE w:val="0"/>
              <w:autoSpaceDN w:val="0"/>
              <w:spacing w:after="120" w:line="276" w:lineRule="auto"/>
              <w:jc w:val="both"/>
              <w:rPr>
                <w:rFonts w:ascii="Verdana" w:hAnsi="Verdana" w:eastAsia="Calibri" w:cs="Arial"/>
              </w:rPr>
            </w:pPr>
            <w:r w:rsidRPr="00FF772E">
              <w:rPr>
                <w:rFonts w:ascii="Verdana" w:hAnsi="Verdana" w:eastAsia="Calibri" w:cs="Arial"/>
              </w:rPr>
              <w:t>Consejo de Estado, Sección Tercera, Sentencia del 31 de agosto de 2011, Rad. No. 25000-23-26-000-1997-04390-01(18080), C.P. Ruth Stella Correa Palacio.</w:t>
            </w:r>
          </w:p>
        </w:tc>
      </w:tr>
    </w:tbl>
    <w:p w:rsidRPr="00FF772E" w:rsidR="00FF772E" w:rsidP="00FF772E" w:rsidRDefault="00FF772E" w14:paraId="35CAB953" w14:textId="77777777">
      <w:pPr>
        <w:widowControl w:val="0"/>
        <w:autoSpaceDE w:val="0"/>
        <w:autoSpaceDN w:val="0"/>
        <w:spacing w:after="0" w:line="276" w:lineRule="auto"/>
        <w:jc w:val="both"/>
        <w:rPr>
          <w:rFonts w:ascii="Verdana" w:hAnsi="Verdana" w:eastAsia="Calibri" w:cs="Arial"/>
        </w:rPr>
      </w:pPr>
    </w:p>
    <w:p w:rsidRPr="00FF772E" w:rsidR="00FF772E" w:rsidP="00FF772E" w:rsidRDefault="00FF772E" w14:paraId="3D348656"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FF772E">
        <w:rPr>
          <w:rFonts w:ascii="Verdana" w:hAnsi="Verdana" w:eastAsia="Century Gothic" w:cs="Century Gothic"/>
          <w:b/>
          <w:bCs/>
          <w:lang w:val="es-ES"/>
        </w:rPr>
        <w:t>Doctrina de la Agencia Nacional de Contratación Pública:</w:t>
      </w:r>
    </w:p>
    <w:p w:rsidRPr="00FF772E" w:rsidR="00FF772E" w:rsidP="00FF772E" w:rsidRDefault="00FF772E" w14:paraId="23125B46" w14:textId="77777777">
      <w:pPr>
        <w:widowControl w:val="0"/>
        <w:autoSpaceDE w:val="0"/>
        <w:autoSpaceDN w:val="0"/>
        <w:spacing w:after="0" w:line="276" w:lineRule="auto"/>
        <w:jc w:val="both"/>
        <w:rPr>
          <w:rFonts w:ascii="Verdana" w:hAnsi="Verdana" w:eastAsia="Calibri" w:cs="Arial"/>
        </w:rPr>
      </w:pPr>
    </w:p>
    <w:p w:rsidRPr="00FF772E" w:rsidR="00FF772E" w:rsidP="00FF772E" w:rsidRDefault="00FF772E" w14:paraId="12445197" w14:textId="77777777">
      <w:pPr>
        <w:widowControl w:val="0"/>
        <w:autoSpaceDE w:val="0"/>
        <w:autoSpaceDN w:val="0"/>
        <w:spacing w:after="0" w:line="276" w:lineRule="auto"/>
        <w:jc w:val="both"/>
        <w:rPr>
          <w:rFonts w:ascii="Verdana" w:hAnsi="Verdana" w:eastAsia="Calibri" w:cs="Arial"/>
          <w:shd w:val="clear" w:color="auto" w:fill="FFFFFF"/>
          <w:lang w:val="es-ES"/>
        </w:rPr>
      </w:pPr>
      <w:r w:rsidRPr="00FF772E">
        <w:rPr>
          <w:rFonts w:ascii="Verdana" w:hAnsi="Verdana" w:eastAsia="Calibri" w:cs="Arial"/>
          <w:shd w:val="clear" w:color="auto" w:fill="FFFFFF"/>
          <w:lang w:val="es-ES"/>
        </w:rPr>
        <w:t>La Agencia Nacional de Contratación Pública ― Colombia Compra Eficiente, en los conceptos con radicados No. 4201912000007298 del 23 de octubre de 2019, 4201913000006294 del 16 de septiembre de 2019, así como en los conceptos C-062 del 25 de marzo de 2020, C-100 del 27 de marzo de 2020, C-318 del 28 de mayo de 2020, C–452 del 28 de julio de 2020, C-560 del 24 de agosto de 2020, C-628 del 23 de septiembre del 2020, C-750 del 21 de diciembre de 2020, C-073 del 16 de marzo de 2021, C-277 del 21 de junio de 2021, C-644 del 18 de noviembre de 2021, C-755 del 21 de enero de 2022, C-152 del 1 de abril de 2022, C-267 del 5 de mayo de 2022, C-432 del 13 de julio de 2022, C-630 del 29 de septiembre de 2022, C-784 del 21 de noviembre de 2022 y C-824 del 29 de noviembre de 2022, estudió asuntos relacionados con la adición de los contratos estatales. Asimismo, en los conceptos C-457 del 3 de septiembre del 2021, C-663 del 13 de octubre de 2022 y C-950 del 24 de enero de 2023, se pronunció sobre la modificación a los contratos estatales. Es</w:t>
      </w:r>
      <w:r w:rsidRPr="00FF772E">
        <w:rPr>
          <w:rFonts w:ascii="Verdana" w:hAnsi="Verdana" w:eastAsia="Calibri" w:cs="Times New Roman"/>
        </w:rPr>
        <w:t xml:space="preserve">tos y otros </w:t>
      </w:r>
      <w:r w:rsidRPr="00FF772E">
        <w:rPr>
          <w:rFonts w:ascii="Verdana" w:hAnsi="Verdana" w:eastAsia="Calibri" w:cs="Times New Roman"/>
        </w:rPr>
        <w:lastRenderedPageBreak/>
        <w:t>conceptos se encuentran disponibles para consulta en el sistema de relatoría de la Agencia, al cual se puede acceder a través del siguiente enlace:</w:t>
      </w:r>
      <w:r w:rsidRPr="00FF772E">
        <w:rPr>
          <w:rFonts w:ascii="Verdana" w:hAnsi="Verdana" w:eastAsia="Calibri" w:cs="Arial"/>
          <w:shd w:val="clear" w:color="auto" w:fill="FFFFFF"/>
          <w:lang w:val="es-ES"/>
        </w:rPr>
        <w:t xml:space="preserve"> </w:t>
      </w:r>
      <w:hyperlink w:history="1" r:id="rId11">
        <w:r w:rsidRPr="00FF772E">
          <w:rPr>
            <w:rFonts w:ascii="Verdana" w:hAnsi="Verdana" w:eastAsia="Calibri" w:cs="Arial"/>
            <w:u w:val="single"/>
            <w:shd w:val="clear" w:color="auto" w:fill="FFFFFF"/>
            <w:lang w:val="es-ES"/>
          </w:rPr>
          <w:t>https://relatoria.colombiacompra.gov.co/busqueda/conceptos</w:t>
        </w:r>
      </w:hyperlink>
      <w:r w:rsidRPr="00FF772E">
        <w:rPr>
          <w:rFonts w:ascii="Verdana" w:hAnsi="Verdana" w:eastAsia="Calibri" w:cs="Arial"/>
          <w:shd w:val="clear" w:color="auto" w:fill="FFFFFF"/>
          <w:lang w:val="es-ES"/>
        </w:rPr>
        <w:t xml:space="preserve">. </w:t>
      </w:r>
    </w:p>
    <w:p w:rsidRPr="00FF772E" w:rsidR="00FF772E" w:rsidP="00FF772E" w:rsidRDefault="00FF772E" w14:paraId="61FADA6E"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FF772E" w:rsidR="00FF772E" w:rsidP="00FF772E" w:rsidRDefault="00FF772E" w14:paraId="6F9AA039" w14:textId="77777777">
      <w:pPr>
        <w:widowControl w:val="0"/>
        <w:autoSpaceDE w:val="0"/>
        <w:autoSpaceDN w:val="0"/>
        <w:spacing w:after="0" w:line="276" w:lineRule="auto"/>
        <w:jc w:val="both"/>
        <w:rPr>
          <w:rFonts w:ascii="Verdana" w:hAnsi="Verdana" w:eastAsia="Calibri" w:cs="Arial"/>
          <w:shd w:val="clear" w:color="auto" w:fill="FFFFFF"/>
          <w:lang w:val="es-ES"/>
        </w:rPr>
      </w:pPr>
      <w:r w:rsidRPr="00FF772E">
        <w:rPr>
          <w:rFonts w:ascii="Verdana" w:hAnsi="Verdana" w:eastAsia="Calibri"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w:history="1" r:id="rId12">
        <w:r w:rsidRPr="00FF772E">
          <w:rPr>
            <w:rFonts w:ascii="Verdana" w:hAnsi="Verdana" w:eastAsia="Calibri" w:cs="Arial"/>
            <w:u w:val="single"/>
            <w:shd w:val="clear" w:color="auto" w:fill="FFFFFF"/>
            <w:lang w:val="es-ES"/>
          </w:rPr>
          <w:t>https://www.colombiacompra.gov.co/sala-de-prensa/boletin-digital</w:t>
        </w:r>
      </w:hyperlink>
      <w:r w:rsidRPr="00FF772E">
        <w:rPr>
          <w:rFonts w:ascii="Verdana" w:hAnsi="Verdana" w:eastAsia="Calibri" w:cs="Arial"/>
          <w:shd w:val="clear" w:color="auto" w:fill="FFFFFF"/>
          <w:lang w:val="es-ES"/>
        </w:rPr>
        <w:t xml:space="preserve">   </w:t>
      </w:r>
    </w:p>
    <w:p w:rsidRPr="00FF772E" w:rsidR="00FF772E" w:rsidP="00FF772E" w:rsidRDefault="00FF772E" w14:paraId="1A01AAFD" w14:textId="77777777">
      <w:pPr>
        <w:widowControl w:val="0"/>
        <w:autoSpaceDE w:val="0"/>
        <w:autoSpaceDN w:val="0"/>
        <w:spacing w:after="0" w:line="276" w:lineRule="auto"/>
        <w:jc w:val="both"/>
        <w:rPr>
          <w:rFonts w:ascii="Verdana" w:hAnsi="Verdana" w:eastAsia="Aptos" w:cs="Times New Roman"/>
          <w:kern w:val="2"/>
          <w:shd w:val="clear" w:color="auto" w:fill="FFFFFF"/>
          <w14:ligatures w14:val="standardContextual"/>
        </w:rPr>
      </w:pPr>
      <w:r w:rsidRPr="00FF772E">
        <w:rPr>
          <w:rFonts w:ascii="Verdana" w:hAnsi="Verdana" w:eastAsia="Aptos" w:cs="Times New Roman"/>
          <w:kern w:val="2"/>
          <w14:ligatures w14:val="standardContextual"/>
        </w:rPr>
        <w:br/>
      </w:r>
      <w:r w:rsidRPr="00FF772E">
        <w:rPr>
          <w:rFonts w:ascii="Verdana" w:hAnsi="Verdana" w:eastAsia="Aptos" w:cs="Times New Roman"/>
          <w:kern w:val="2"/>
          <w:shd w:val="clear" w:color="auto" w:fill="FFFFFF"/>
          <w14:ligatures w14:val="standardContextual"/>
        </w:rPr>
        <w:t xml:space="preserve">Adicionalmente, le contamos que ampliamos hasta el 19 de julio de 2024 el periodo para recibir observaciones a los borradores de las próximas versiones de los documentos tipo para la contratación de obras públicas de infraestructura de transporte en las modalidades de licitación pública, selección abreviada de menor cuantía y mínima cuantía. Por lo tanto, le invitamos a realizar sus comentarios a través del siguiente enlace: </w:t>
      </w:r>
      <w:hyperlink w:history="1" r:id="rId13">
        <w:r w:rsidRPr="00FF772E">
          <w:rPr>
            <w:rFonts w:ascii="Verdana" w:hAnsi="Verdana" w:eastAsia="Calibri" w:cs="Arial"/>
            <w:color w:val="467886"/>
            <w:u w:val="single"/>
            <w:shd w:val="clear" w:color="auto" w:fill="FFFFFF"/>
            <w:lang w:val="es-ES"/>
          </w:rPr>
          <w:t>https://www.colombiacompra.gov.co/documentos-tipo/documentos-tipo</w:t>
        </w:r>
      </w:hyperlink>
      <w:r w:rsidRPr="00FF772E">
        <w:rPr>
          <w:rFonts w:ascii="Verdana" w:hAnsi="Verdana" w:eastAsia="Calibri" w:cs="Arial"/>
          <w:shd w:val="clear" w:color="auto" w:fill="FFFFFF"/>
          <w:lang w:val="es-ES"/>
        </w:rPr>
        <w:t xml:space="preserve">. </w:t>
      </w:r>
    </w:p>
    <w:p w:rsidRPr="00FF772E" w:rsidR="00FF772E" w:rsidP="00FF772E" w:rsidRDefault="00FF772E" w14:paraId="4D095E30"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FF772E" w:rsidR="00FF772E" w:rsidP="00FF772E" w:rsidRDefault="00FF772E" w14:paraId="7B6F2CB4" w14:textId="77777777">
      <w:pPr>
        <w:spacing w:after="0" w:line="240" w:lineRule="auto"/>
        <w:jc w:val="both"/>
        <w:rPr>
          <w:rFonts w:ascii="Verdana" w:hAnsi="Verdana" w:eastAsia="Calibri" w:cs="Times New Roman"/>
        </w:rPr>
      </w:pPr>
      <w:r w:rsidRPr="00FF772E">
        <w:rPr>
          <w:rFonts w:ascii="Verdana" w:hAnsi="Verdana" w:eastAsia="Calibri" w:cs="Times New Roman"/>
        </w:rPr>
        <w:t xml:space="preserve">Por último, los invitamos a seguirnos en las redes sociales, en las cuales se difunde información institucional: </w:t>
      </w:r>
    </w:p>
    <w:p w:rsidRPr="00FF772E" w:rsidR="00FF772E" w:rsidP="00FF772E" w:rsidRDefault="00FF772E" w14:paraId="7312EA5A" w14:textId="77777777">
      <w:pPr>
        <w:spacing w:after="0" w:line="240" w:lineRule="auto"/>
        <w:jc w:val="both"/>
        <w:rPr>
          <w:rFonts w:ascii="Verdana" w:hAnsi="Verdana" w:eastAsia="Calibri" w:cs="Times New Roman"/>
        </w:rPr>
      </w:pPr>
    </w:p>
    <w:p w:rsidRPr="00FF772E" w:rsidR="00FF772E" w:rsidP="00FF772E" w:rsidRDefault="00FF772E" w14:paraId="37B56D5E" w14:textId="77777777">
      <w:pPr>
        <w:spacing w:after="0" w:line="240" w:lineRule="auto"/>
        <w:jc w:val="both"/>
        <w:rPr>
          <w:rFonts w:ascii="Verdana" w:hAnsi="Verdana" w:eastAsia="Calibri" w:cs="Times New Roman"/>
        </w:rPr>
      </w:pPr>
      <w:r w:rsidRPr="00FF772E">
        <w:rPr>
          <w:rFonts w:ascii="Verdana" w:hAnsi="Verdana" w:eastAsia="Calibri" w:cs="Times New Roman"/>
        </w:rPr>
        <w:t xml:space="preserve">Twitter: </w:t>
      </w:r>
      <w:r w:rsidRPr="00FF772E">
        <w:rPr>
          <w:rFonts w:ascii="Verdana" w:hAnsi="Verdana" w:eastAsia="Calibri" w:cs="Times New Roman"/>
          <w:u w:val="single"/>
        </w:rPr>
        <w:t>@colombiacompra</w:t>
      </w:r>
      <w:r w:rsidRPr="00FF772E">
        <w:rPr>
          <w:rFonts w:ascii="Verdana" w:hAnsi="Verdana" w:eastAsia="Calibri" w:cs="Times New Roman"/>
        </w:rPr>
        <w:t xml:space="preserve"> </w:t>
      </w:r>
    </w:p>
    <w:p w:rsidRPr="00FF772E" w:rsidR="00FF772E" w:rsidP="00FF772E" w:rsidRDefault="00FF772E" w14:paraId="46316D90" w14:textId="77777777">
      <w:pPr>
        <w:spacing w:after="0" w:line="240" w:lineRule="auto"/>
        <w:jc w:val="both"/>
        <w:rPr>
          <w:rFonts w:ascii="Verdana" w:hAnsi="Verdana" w:eastAsia="Calibri" w:cs="Times New Roman"/>
        </w:rPr>
      </w:pPr>
      <w:r w:rsidRPr="00FF772E">
        <w:rPr>
          <w:rFonts w:ascii="Verdana" w:hAnsi="Verdana" w:eastAsia="Calibri" w:cs="Times New Roman"/>
        </w:rPr>
        <w:t xml:space="preserve">Facebook: </w:t>
      </w:r>
      <w:r w:rsidRPr="00FF772E">
        <w:rPr>
          <w:rFonts w:ascii="Verdana" w:hAnsi="Verdana" w:eastAsia="Calibri" w:cs="Times New Roman"/>
          <w:u w:val="single"/>
        </w:rPr>
        <w:t>ColombiaCompraEficiente</w:t>
      </w:r>
    </w:p>
    <w:p w:rsidRPr="00FF772E" w:rsidR="00FF772E" w:rsidP="00FF772E" w:rsidRDefault="00FF772E" w14:paraId="714512EA" w14:textId="77777777">
      <w:pPr>
        <w:spacing w:after="0" w:line="240" w:lineRule="auto"/>
        <w:jc w:val="both"/>
        <w:rPr>
          <w:rFonts w:ascii="Verdana" w:hAnsi="Verdana" w:eastAsia="Calibri" w:cs="Times New Roman"/>
        </w:rPr>
      </w:pPr>
      <w:r w:rsidRPr="00FF772E">
        <w:rPr>
          <w:rFonts w:ascii="Verdana" w:hAnsi="Verdana" w:eastAsia="Calibri" w:cs="Times New Roman"/>
        </w:rPr>
        <w:t xml:space="preserve">LinkedIn: </w:t>
      </w:r>
      <w:r w:rsidRPr="00FF772E">
        <w:rPr>
          <w:rFonts w:ascii="Verdana" w:hAnsi="Verdana" w:eastAsia="Calibri" w:cs="Times New Roman"/>
          <w:u w:val="single"/>
        </w:rPr>
        <w:t>Agencia Nacional de Contratación Pública - Colombia Compra Eficiente</w:t>
      </w:r>
      <w:r w:rsidRPr="00FF772E">
        <w:rPr>
          <w:rFonts w:ascii="Verdana" w:hAnsi="Verdana" w:eastAsia="Calibri" w:cs="Times New Roman"/>
        </w:rPr>
        <w:t xml:space="preserve"> Instagram: </w:t>
      </w:r>
      <w:r w:rsidRPr="00FF772E">
        <w:rPr>
          <w:rFonts w:ascii="Verdana" w:hAnsi="Verdana" w:eastAsia="Calibri" w:cs="Times New Roman"/>
          <w:u w:val="single"/>
        </w:rPr>
        <w:t>@colombiacompraeficiente_cce</w:t>
      </w:r>
    </w:p>
    <w:p w:rsidRPr="00FF772E" w:rsidR="00FF772E" w:rsidP="00FF772E" w:rsidRDefault="00FF772E" w14:paraId="01F3808A" w14:textId="77777777">
      <w:pPr>
        <w:widowControl w:val="0"/>
        <w:autoSpaceDE w:val="0"/>
        <w:autoSpaceDN w:val="0"/>
        <w:spacing w:after="0" w:line="276" w:lineRule="auto"/>
        <w:jc w:val="both"/>
        <w:rPr>
          <w:rFonts w:ascii="Verdana" w:hAnsi="Verdana" w:eastAsia="Calibri" w:cs="Arial"/>
        </w:rPr>
      </w:pPr>
    </w:p>
    <w:p w:rsidRPr="00FF772E" w:rsidR="00FF772E" w:rsidP="00FF772E" w:rsidRDefault="00FF772E" w14:paraId="7596E667" w14:textId="77777777">
      <w:pPr>
        <w:widowControl w:val="0"/>
        <w:autoSpaceDE w:val="0"/>
        <w:autoSpaceDN w:val="0"/>
        <w:spacing w:after="0" w:line="276" w:lineRule="auto"/>
        <w:jc w:val="both"/>
        <w:rPr>
          <w:rFonts w:ascii="Verdana" w:hAnsi="Verdana" w:eastAsia="Calibri" w:cs="Arial"/>
          <w:lang w:val="es-ES_tradnl"/>
        </w:rPr>
      </w:pPr>
      <w:r w:rsidRPr="00FF772E">
        <w:rPr>
          <w:rFonts w:ascii="Verdana" w:hAnsi="Verdana" w:eastAsia="Calibri" w:cs="Arial"/>
        </w:rPr>
        <w:t xml:space="preserve">Este concepto tiene el alcance previsto en el artículo 28 del Código de Procedimiento Administrativo y de lo Contencioso Administrativo </w:t>
      </w:r>
      <w:r w:rsidRPr="00FF772E">
        <w:rPr>
          <w:rFonts w:ascii="Verdana" w:hAnsi="Verdana" w:eastAsia="Calibri" w:cs="Arial"/>
          <w:lang w:val="es-ES_tradnl"/>
        </w:rPr>
        <w:t>y las expresiones aquí utilizadas con mayúscula inicial deben ser entendidas con el significado que les otorga el artículo 2.2.1.1.1.3.1. del Decreto 1082 de 2015.</w:t>
      </w:r>
    </w:p>
    <w:p w:rsidRPr="00FF772E" w:rsidR="00FF772E" w:rsidP="00FF772E" w:rsidRDefault="00FF772E" w14:paraId="3911E712" w14:textId="77777777">
      <w:pPr>
        <w:widowControl w:val="0"/>
        <w:autoSpaceDE w:val="0"/>
        <w:autoSpaceDN w:val="0"/>
        <w:spacing w:after="0" w:line="276" w:lineRule="auto"/>
        <w:jc w:val="both"/>
        <w:rPr>
          <w:rFonts w:ascii="Verdana" w:hAnsi="Verdana" w:eastAsia="Calibri" w:cs="Arial"/>
        </w:rPr>
      </w:pPr>
    </w:p>
    <w:p w:rsidRPr="00FF772E" w:rsidR="00FF772E" w:rsidP="00FF772E" w:rsidRDefault="00FF772E" w14:paraId="7EDA6C6F" w14:textId="77777777">
      <w:pPr>
        <w:spacing w:after="0" w:line="240" w:lineRule="auto"/>
        <w:rPr>
          <w:rFonts w:ascii="Verdana" w:hAnsi="Verdana" w:eastAsia="Calibri" w:cs="Arial"/>
          <w:lang w:eastAsia="es-CO"/>
        </w:rPr>
      </w:pPr>
      <w:r w:rsidRPr="00FF772E">
        <w:rPr>
          <w:rFonts w:ascii="Verdana" w:hAnsi="Verdana" w:eastAsia="Times New Roman" w:cs="Arial"/>
          <w:lang w:eastAsia="es-CO"/>
        </w:rPr>
        <w:t>Atentamente,</w:t>
      </w:r>
      <w:r w:rsidRPr="00FF772E">
        <w:rPr>
          <w:rFonts w:ascii="Verdana" w:hAnsi="Verdana" w:eastAsia="Calibri" w:cs="Arial"/>
          <w:lang w:eastAsia="es-CO"/>
        </w:rPr>
        <w:t xml:space="preserve"> </w:t>
      </w:r>
    </w:p>
    <w:p w:rsidRPr="00FF772E" w:rsidR="00FF772E" w:rsidP="00FF772E" w:rsidRDefault="00792B87" w14:paraId="1C7EE8CB" w14:textId="243FA9B2">
      <w:pPr>
        <w:spacing w:line="276" w:lineRule="auto"/>
        <w:jc w:val="center"/>
        <w:rPr>
          <w:rFonts w:ascii="Verdana" w:hAnsi="Verdana" w:eastAsia="Calibri" w:cs="Arial"/>
          <w:lang w:val="es-ES_tradnl" w:eastAsia="es-CO"/>
        </w:rPr>
      </w:pPr>
      <w:r>
        <w:rPr>
          <w:noProof/>
          <w14:ligatures w14:val="standardContextual"/>
        </w:rPr>
        <w:drawing>
          <wp:inline distT="0" distB="0" distL="0" distR="0" wp14:anchorId="395DDC25" wp14:editId="60D3400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FF772E" w:rsidR="00FF772E" w:rsidTr="00563757" w14:paraId="37E38D77" w14:textId="77777777">
        <w:trPr>
          <w:trHeight w:val="315"/>
        </w:trPr>
        <w:tc>
          <w:tcPr>
            <w:tcW w:w="893" w:type="dxa"/>
            <w:vAlign w:val="center"/>
            <w:hideMark/>
          </w:tcPr>
          <w:p w:rsidRPr="00FF772E" w:rsidR="00FF772E" w:rsidP="00FF772E" w:rsidRDefault="00FF772E" w14:paraId="4BB580FF" w14:textId="77777777">
            <w:pPr>
              <w:rPr>
                <w:rFonts w:ascii="Verdana" w:hAnsi="Verdana" w:eastAsia="Calibri" w:cs="Arial"/>
                <w:sz w:val="16"/>
                <w:szCs w:val="16"/>
                <w:lang w:val="es-ES" w:eastAsia="es-ES"/>
              </w:rPr>
            </w:pPr>
            <w:r w:rsidRPr="00FF772E">
              <w:rPr>
                <w:rFonts w:ascii="Verdana" w:hAnsi="Verdana" w:eastAsia="Calibri" w:cs="Arial"/>
                <w:sz w:val="16"/>
                <w:szCs w:val="16"/>
                <w:lang w:val="es-ES" w:eastAsia="es-ES"/>
              </w:rPr>
              <w:lastRenderedPageBreak/>
              <w:t>Elaboró:</w:t>
            </w:r>
          </w:p>
        </w:tc>
        <w:tc>
          <w:tcPr>
            <w:tcW w:w="5628" w:type="dxa"/>
            <w:tcBorders>
              <w:top w:val="nil"/>
              <w:left w:val="nil"/>
              <w:bottom w:val="dotted" w:color="7F7F7F" w:sz="4" w:space="0"/>
              <w:right w:val="nil"/>
            </w:tcBorders>
            <w:vAlign w:val="center"/>
            <w:hideMark/>
          </w:tcPr>
          <w:p w:rsidRPr="00FF772E" w:rsidR="00FF772E" w:rsidP="00FF772E" w:rsidRDefault="00FF772E" w14:paraId="0D229AE5" w14:textId="77777777">
            <w:pPr>
              <w:rPr>
                <w:rFonts w:ascii="Verdana" w:hAnsi="Verdana" w:eastAsia="Arial" w:cs="Arial"/>
                <w:sz w:val="16"/>
                <w:szCs w:val="16"/>
              </w:rPr>
            </w:pPr>
            <w:r w:rsidRPr="00FF772E">
              <w:rPr>
                <w:rFonts w:ascii="Verdana" w:hAnsi="Verdana" w:eastAsia="Arial" w:cs="Arial"/>
                <w:sz w:val="16"/>
                <w:szCs w:val="16"/>
              </w:rPr>
              <w:t>Kevin Arlid Herrera Santa</w:t>
            </w:r>
          </w:p>
          <w:p w:rsidRPr="00FF772E" w:rsidR="00FF772E" w:rsidP="00FF772E" w:rsidRDefault="00FF772E" w14:paraId="039CF805" w14:textId="77777777">
            <w:pPr>
              <w:rPr>
                <w:rFonts w:ascii="Verdana" w:hAnsi="Verdana" w:eastAsia="Arial" w:cs="Arial"/>
                <w:sz w:val="16"/>
                <w:szCs w:val="16"/>
              </w:rPr>
            </w:pPr>
            <w:r w:rsidRPr="00FF772E">
              <w:rPr>
                <w:rFonts w:ascii="Verdana" w:hAnsi="Verdana" w:eastAsia="Arial" w:cs="Arial"/>
                <w:sz w:val="16"/>
                <w:szCs w:val="16"/>
              </w:rPr>
              <w:t>Contratista de la Subdirección de Gestión Contractual</w:t>
            </w:r>
          </w:p>
        </w:tc>
      </w:tr>
      <w:tr w:rsidRPr="00FF772E" w:rsidR="00FF772E" w:rsidTr="00563757" w14:paraId="253C99A2" w14:textId="77777777">
        <w:trPr>
          <w:trHeight w:val="330"/>
        </w:trPr>
        <w:tc>
          <w:tcPr>
            <w:tcW w:w="893" w:type="dxa"/>
            <w:vAlign w:val="center"/>
            <w:hideMark/>
          </w:tcPr>
          <w:p w:rsidRPr="00FF772E" w:rsidR="00FF772E" w:rsidP="00FF772E" w:rsidRDefault="00FF772E" w14:paraId="2FB6EA2B" w14:textId="77777777">
            <w:pPr>
              <w:rPr>
                <w:rFonts w:ascii="Verdana" w:hAnsi="Verdana" w:eastAsia="Calibri" w:cs="Arial"/>
                <w:sz w:val="16"/>
                <w:szCs w:val="16"/>
                <w:lang w:val="es-ES" w:eastAsia="es-ES"/>
              </w:rPr>
            </w:pPr>
            <w:r w:rsidRPr="00FF772E">
              <w:rPr>
                <w:rFonts w:ascii="Verdana" w:hAnsi="Verdana" w:eastAsia="Calibri" w:cs="Arial"/>
                <w:sz w:val="16"/>
                <w:szCs w:val="16"/>
                <w:lang w:val="es-ES" w:eastAsia="es-ES"/>
              </w:rPr>
              <w:t>Revisó:</w:t>
            </w:r>
          </w:p>
        </w:tc>
        <w:tc>
          <w:tcPr>
            <w:tcW w:w="5628" w:type="dxa"/>
            <w:tcBorders>
              <w:top w:val="dotted" w:color="7F7F7F" w:sz="4" w:space="0"/>
              <w:left w:val="nil"/>
              <w:bottom w:val="dotted" w:color="7F7F7F" w:sz="4" w:space="0"/>
              <w:right w:val="nil"/>
            </w:tcBorders>
            <w:vAlign w:val="center"/>
            <w:hideMark/>
          </w:tcPr>
          <w:p w:rsidRPr="00FF772E" w:rsidR="00FF772E" w:rsidP="00FF772E" w:rsidRDefault="00FF772E" w14:paraId="17424898" w14:textId="77777777">
            <w:pPr>
              <w:textAlignment w:val="baseline"/>
              <w:rPr>
                <w:rFonts w:ascii="Verdana" w:hAnsi="Verdana" w:eastAsia="Times New Roman" w:cs="Segoe UI"/>
                <w:sz w:val="16"/>
                <w:szCs w:val="16"/>
                <w:lang w:eastAsia="es-ES_tradnl"/>
              </w:rPr>
            </w:pPr>
            <w:r w:rsidRPr="00FF772E">
              <w:rPr>
                <w:rFonts w:ascii="Verdana" w:hAnsi="Verdana" w:eastAsia="Times New Roman" w:cs="Segoe UI"/>
                <w:sz w:val="16"/>
                <w:szCs w:val="16"/>
                <w:lang w:eastAsia="es-ES_tradnl"/>
              </w:rPr>
              <w:t>Juan David Cárdenas Cabeza</w:t>
            </w:r>
          </w:p>
          <w:p w:rsidRPr="00FF772E" w:rsidR="00FF772E" w:rsidP="00FF772E" w:rsidRDefault="00FF772E" w14:paraId="64E7A1F1" w14:textId="77777777">
            <w:pPr>
              <w:textAlignment w:val="baseline"/>
              <w:rPr>
                <w:rFonts w:ascii="Verdana" w:hAnsi="Verdana" w:eastAsia="Times New Roman" w:cs="Segoe UI"/>
                <w:sz w:val="16"/>
                <w:szCs w:val="16"/>
                <w:lang w:eastAsia="es-ES_tradnl"/>
              </w:rPr>
            </w:pPr>
            <w:r w:rsidRPr="00FF772E">
              <w:rPr>
                <w:rFonts w:ascii="Verdana" w:hAnsi="Verdana" w:eastAsia="Times New Roman" w:cs="Arial"/>
                <w:sz w:val="16"/>
                <w:szCs w:val="16"/>
                <w:lang w:val="es-ES" w:eastAsia="es-ES_tradnl"/>
              </w:rPr>
              <w:t>Contratista de la Subdirección de Gestión Contractual</w:t>
            </w:r>
            <w:r w:rsidRPr="00FF772E">
              <w:rPr>
                <w:rFonts w:ascii="Verdana" w:hAnsi="Verdana" w:eastAsia="Times New Roman" w:cs="Arial"/>
                <w:sz w:val="16"/>
                <w:szCs w:val="16"/>
                <w:lang w:eastAsia="es-ES_tradnl"/>
              </w:rPr>
              <w:t> </w:t>
            </w:r>
          </w:p>
        </w:tc>
      </w:tr>
      <w:tr w:rsidRPr="00FF772E" w:rsidR="00FF772E" w:rsidTr="00563757" w14:paraId="5645AEBA" w14:textId="77777777">
        <w:trPr>
          <w:trHeight w:val="300"/>
        </w:trPr>
        <w:tc>
          <w:tcPr>
            <w:tcW w:w="893" w:type="dxa"/>
            <w:vAlign w:val="center"/>
          </w:tcPr>
          <w:p w:rsidRPr="00FF772E" w:rsidR="00FF772E" w:rsidP="00FF772E" w:rsidRDefault="00FF772E" w14:paraId="20DE91BA" w14:textId="77777777">
            <w:pPr>
              <w:rPr>
                <w:rFonts w:ascii="Verdana" w:hAnsi="Verdana" w:eastAsia="Calibri" w:cs="Arial"/>
                <w:sz w:val="16"/>
                <w:szCs w:val="16"/>
                <w:lang w:val="es-ES" w:eastAsia="es-ES"/>
              </w:rPr>
            </w:pPr>
            <w:r w:rsidRPr="00FF772E">
              <w:rPr>
                <w:rFonts w:ascii="Verdana" w:hAnsi="Verdana" w:eastAsia="Calibri" w:cs="Arial"/>
                <w:sz w:val="16"/>
                <w:szCs w:val="16"/>
                <w:lang w:val="es-ES" w:eastAsia="es-ES"/>
              </w:rPr>
              <w:t>Aprobó:</w:t>
            </w:r>
          </w:p>
        </w:tc>
        <w:tc>
          <w:tcPr>
            <w:tcW w:w="5628" w:type="dxa"/>
            <w:tcBorders>
              <w:top w:val="dotted" w:color="7F7F7F" w:sz="4" w:space="0"/>
              <w:left w:val="nil"/>
              <w:bottom w:val="dotted" w:color="7F7F7F" w:sz="4" w:space="0"/>
              <w:right w:val="nil"/>
            </w:tcBorders>
            <w:vAlign w:val="center"/>
          </w:tcPr>
          <w:p w:rsidRPr="00FF772E" w:rsidR="00FF772E" w:rsidP="00FF772E" w:rsidRDefault="00FF772E" w14:paraId="1589570D" w14:textId="77777777">
            <w:pPr>
              <w:rPr>
                <w:rFonts w:ascii="Verdana" w:hAnsi="Verdana" w:eastAsia="Calibri" w:cs="Arial"/>
                <w:sz w:val="16"/>
                <w:szCs w:val="16"/>
                <w:lang w:val="pt-BR" w:eastAsia="es-ES"/>
              </w:rPr>
            </w:pPr>
            <w:r w:rsidRPr="00FF772E">
              <w:rPr>
                <w:rFonts w:ascii="Verdana" w:hAnsi="Verdana" w:eastAsia="Calibri" w:cs="Arial"/>
                <w:sz w:val="16"/>
                <w:szCs w:val="16"/>
                <w:lang w:val="pt-BR" w:eastAsia="es-ES"/>
              </w:rPr>
              <w:t>Carolina Quintero Gacharná</w:t>
            </w:r>
          </w:p>
          <w:p w:rsidRPr="00FF772E" w:rsidR="00FF772E" w:rsidP="00FF772E" w:rsidRDefault="00FF772E" w14:paraId="50DD5654" w14:textId="77777777">
            <w:pPr>
              <w:rPr>
                <w:rFonts w:ascii="Verdana" w:hAnsi="Verdana" w:eastAsia="Calibri" w:cs="Arial"/>
                <w:sz w:val="16"/>
                <w:szCs w:val="16"/>
                <w:lang w:val="pt-BR" w:eastAsia="es-ES"/>
              </w:rPr>
            </w:pPr>
            <w:r w:rsidRPr="00FF772E">
              <w:rPr>
                <w:rFonts w:ascii="Verdana" w:hAnsi="Verdana" w:eastAsia="Calibri" w:cs="Arial"/>
                <w:sz w:val="16"/>
                <w:szCs w:val="16"/>
                <w:lang w:eastAsia="es-ES"/>
              </w:rPr>
              <w:t>Subdirectora</w:t>
            </w:r>
            <w:r w:rsidRPr="00FF772E">
              <w:rPr>
                <w:rFonts w:ascii="Verdana" w:hAnsi="Verdana" w:eastAsia="Calibri" w:cs="Arial"/>
                <w:sz w:val="16"/>
                <w:szCs w:val="16"/>
                <w:lang w:val="pt-BR" w:eastAsia="es-ES"/>
              </w:rPr>
              <w:t xml:space="preserve"> de Gestión Contratual ANCP – CCE</w:t>
            </w:r>
          </w:p>
        </w:tc>
      </w:tr>
    </w:tbl>
    <w:p w:rsidRPr="00FF772E" w:rsidR="00FF772E" w:rsidP="00FF772E" w:rsidRDefault="00FF772E" w14:paraId="7F3F4C63" w14:textId="77777777">
      <w:pPr>
        <w:spacing w:line="278" w:lineRule="auto"/>
        <w:rPr>
          <w:rFonts w:ascii="Aptos" w:hAnsi="Aptos" w:eastAsia="Aptos" w:cs="Times New Roman"/>
          <w:kern w:val="2"/>
          <w:sz w:val="24"/>
          <w:szCs w:val="24"/>
          <w14:ligatures w14:val="standardContextual"/>
        </w:rPr>
      </w:pPr>
    </w:p>
    <w:bookmarkEnd w:id="0"/>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5"/>
      <w:footerReference w:type="default" r:id="rId1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2DFB" w:rsidP="004A1847" w:rsidRDefault="00172DFB" w14:paraId="6A101ABC" w14:textId="77777777">
      <w:pPr>
        <w:spacing w:after="0" w:line="240" w:lineRule="auto"/>
      </w:pPr>
      <w:r>
        <w:separator/>
      </w:r>
    </w:p>
  </w:endnote>
  <w:endnote w:type="continuationSeparator" w:id="0">
    <w:p w:rsidR="00172DFB" w:rsidP="004A1847" w:rsidRDefault="00172DFB" w14:paraId="208E1E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2DFB" w:rsidP="004A1847" w:rsidRDefault="00172DFB" w14:paraId="281F95F4" w14:textId="77777777">
      <w:pPr>
        <w:spacing w:after="0" w:line="240" w:lineRule="auto"/>
      </w:pPr>
      <w:r>
        <w:separator/>
      </w:r>
    </w:p>
  </w:footnote>
  <w:footnote w:type="continuationSeparator" w:id="0">
    <w:p w:rsidR="00172DFB" w:rsidP="004A1847" w:rsidRDefault="00172DFB" w14:paraId="4CB5F536" w14:textId="77777777">
      <w:pPr>
        <w:spacing w:after="0" w:line="240" w:lineRule="auto"/>
      </w:pPr>
      <w:r>
        <w:continuationSeparator/>
      </w:r>
    </w:p>
  </w:footnote>
  <w:footnote w:id="1">
    <w:p w:rsidRPr="005F2B68" w:rsidR="00FF772E" w:rsidP="00FF772E" w:rsidRDefault="00FF772E" w14:paraId="36F9BFE8" w14:textId="77777777">
      <w:pPr>
        <w:pStyle w:val="Textonotapie"/>
        <w:ind w:firstLine="709"/>
        <w:jc w:val="both"/>
        <w:rPr>
          <w:rFonts w:ascii="Verdana" w:hAnsi="Verdana" w:cs="Arial"/>
          <w:color w:val="000000"/>
          <w:sz w:val="18"/>
          <w:szCs w:val="18"/>
        </w:rPr>
      </w:pPr>
      <w:r w:rsidRPr="005F2B68">
        <w:rPr>
          <w:rStyle w:val="Refdenotaalpie"/>
          <w:rFonts w:ascii="Verdana" w:hAnsi="Verdana" w:cs="Arial"/>
          <w:sz w:val="18"/>
          <w:szCs w:val="18"/>
        </w:rPr>
        <w:footnoteRef/>
      </w:r>
      <w:r w:rsidRPr="005F2B68">
        <w:rPr>
          <w:rFonts w:ascii="Verdana" w:hAnsi="Verdana" w:cs="Arial"/>
          <w:sz w:val="18"/>
          <w:szCs w:val="18"/>
        </w:rPr>
        <w:t xml:space="preserve"> </w:t>
      </w:r>
      <w:r w:rsidRPr="005F2B68">
        <w:rPr>
          <w:rFonts w:ascii="Verdana" w:hAnsi="Verdana" w:cs="Arial"/>
          <w:sz w:val="18"/>
          <w:szCs w:val="18"/>
          <w:lang w:val="es-ES"/>
        </w:rPr>
        <w:t>“</w:t>
      </w:r>
      <w:r w:rsidRPr="005F2B68">
        <w:rPr>
          <w:rFonts w:ascii="Verdana" w:hAnsi="Verdana" w:cs="Arial"/>
          <w:color w:val="000000"/>
          <w:sz w:val="18"/>
          <w:szCs w:val="18"/>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rsidRPr="005F2B68" w:rsidR="00FF772E" w:rsidP="00FF772E" w:rsidRDefault="00FF772E" w14:paraId="2643F0A3" w14:textId="77777777">
      <w:pPr>
        <w:pStyle w:val="Textonotapie"/>
        <w:ind w:firstLine="709"/>
        <w:jc w:val="both"/>
        <w:rPr>
          <w:rFonts w:ascii="Verdana" w:hAnsi="Verdana" w:cs="Arial"/>
          <w:color w:val="000000"/>
          <w:sz w:val="18"/>
          <w:szCs w:val="18"/>
        </w:rPr>
      </w:pPr>
      <w:r w:rsidRPr="005F2B68">
        <w:rPr>
          <w:rFonts w:ascii="Verdana" w:hAnsi="Verdana" w:cs="Arial"/>
          <w:color w:val="000000"/>
          <w:sz w:val="18"/>
          <w:szCs w:val="18"/>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rsidRPr="005F2B68" w:rsidR="00FF772E" w:rsidP="00FF772E" w:rsidRDefault="00FF772E" w14:paraId="17737063" w14:textId="77777777">
      <w:pPr>
        <w:pStyle w:val="Textonotapie"/>
        <w:ind w:firstLine="709"/>
        <w:jc w:val="both"/>
        <w:rPr>
          <w:rFonts w:ascii="Verdana" w:hAnsi="Verdana" w:cs="Arial"/>
          <w:sz w:val="18"/>
          <w:szCs w:val="18"/>
          <w:lang w:val="es-ES"/>
        </w:rPr>
      </w:pPr>
    </w:p>
  </w:footnote>
  <w:footnote w:id="2">
    <w:p w:rsidRPr="005F2B68" w:rsidR="00FF772E" w:rsidP="00FF772E" w:rsidRDefault="00FF772E" w14:paraId="42AB5145" w14:textId="77777777">
      <w:pPr>
        <w:pStyle w:val="Textonotapie"/>
        <w:ind w:firstLine="709"/>
        <w:jc w:val="both"/>
        <w:rPr>
          <w:rFonts w:ascii="Verdana" w:hAnsi="Verdana"/>
          <w:sz w:val="18"/>
          <w:szCs w:val="18"/>
        </w:rPr>
      </w:pPr>
      <w:r w:rsidRPr="005F2B68">
        <w:rPr>
          <w:rStyle w:val="Refdenotaalpie"/>
          <w:rFonts w:ascii="Verdana" w:hAnsi="Verdana"/>
          <w:sz w:val="18"/>
          <w:szCs w:val="18"/>
        </w:rPr>
        <w:footnoteRef/>
      </w:r>
      <w:r w:rsidRPr="005F2B68">
        <w:rPr>
          <w:rFonts w:ascii="Verdana" w:hAnsi="Verdana"/>
          <w:sz w:val="18"/>
          <w:szCs w:val="18"/>
        </w:rPr>
        <w:t xml:space="preserve"> ESCOBAR HERNÁNDEZ, Álvaro B. </w:t>
      </w:r>
      <w:r w:rsidRPr="005F2B68">
        <w:rPr>
          <w:rFonts w:ascii="Verdana" w:hAnsi="Verdana"/>
          <w:i/>
          <w:iCs/>
          <w:sz w:val="18"/>
          <w:szCs w:val="18"/>
        </w:rPr>
        <w:t>El contrato estatal de obra</w:t>
      </w:r>
      <w:r w:rsidRPr="005F2B68">
        <w:rPr>
          <w:rFonts w:ascii="Verdana" w:hAnsi="Verdana"/>
          <w:sz w:val="18"/>
          <w:szCs w:val="18"/>
        </w:rPr>
        <w:t xml:space="preserve">, Bogotá, Ediciones Jurídica Gustavo Ibáñez, 2000, p. 84 a 89. Esta interpretación es </w:t>
      </w:r>
      <w:r>
        <w:rPr>
          <w:rFonts w:ascii="Verdana" w:hAnsi="Verdana"/>
          <w:sz w:val="18"/>
          <w:szCs w:val="18"/>
        </w:rPr>
        <w:t>referida</w:t>
      </w:r>
      <w:r w:rsidRPr="005F2B68">
        <w:rPr>
          <w:rFonts w:ascii="Verdana" w:hAnsi="Verdana"/>
          <w:sz w:val="18"/>
          <w:szCs w:val="18"/>
        </w:rPr>
        <w:t xml:space="preserve"> por: MATALLANA CAMACHO, Ernesto. </w:t>
      </w:r>
      <w:r w:rsidRPr="005F2B68">
        <w:rPr>
          <w:rFonts w:ascii="Verdana" w:hAnsi="Verdana"/>
          <w:i/>
          <w:iCs/>
          <w:sz w:val="18"/>
          <w:szCs w:val="18"/>
        </w:rPr>
        <w:t>Manual de Contratación de la Administración Pública : Reforma de la Ley 80 de 1993</w:t>
      </w:r>
      <w:r w:rsidRPr="005F2B68">
        <w:rPr>
          <w:rFonts w:ascii="Verdana" w:hAnsi="Verdana"/>
          <w:sz w:val="18"/>
          <w:szCs w:val="18"/>
        </w:rPr>
        <w:t xml:space="preserve">, Bogotá, Universidad Externado de Colombia, 2015, 4ª ed., p. 953. </w:t>
      </w:r>
    </w:p>
  </w:footnote>
  <w:footnote w:id="3">
    <w:p w:rsidRPr="005F2B68" w:rsidR="00FF772E" w:rsidP="00FF772E" w:rsidRDefault="00FF772E" w14:paraId="41598C99" w14:textId="77777777">
      <w:pPr>
        <w:pStyle w:val="Textonotapie"/>
        <w:ind w:firstLine="709"/>
        <w:jc w:val="both"/>
        <w:rPr>
          <w:rFonts w:ascii="Verdana" w:hAnsi="Verdana"/>
          <w:sz w:val="18"/>
          <w:szCs w:val="18"/>
        </w:rPr>
      </w:pPr>
      <w:r w:rsidRPr="005F2B68">
        <w:rPr>
          <w:rStyle w:val="Refdenotaalpie"/>
          <w:rFonts w:ascii="Verdana" w:hAnsi="Verdana"/>
          <w:sz w:val="18"/>
          <w:szCs w:val="18"/>
        </w:rPr>
        <w:footnoteRef/>
      </w:r>
      <w:r w:rsidRPr="005F2B68">
        <w:rPr>
          <w:rFonts w:ascii="Verdana" w:hAnsi="Verdana"/>
          <w:sz w:val="18"/>
          <w:szCs w:val="18"/>
        </w:rPr>
        <w:t xml:space="preserve"> Consejo de Estado. Sección Tercera. Sentencia del 31 de agosto de 2011. Rad. No. 25000-23-26-000-1997-04390-01(18080),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A74137A"/>
    <w:multiLevelType w:val="hybridMultilevel"/>
    <w:tmpl w:val="B010EF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922B4"/>
    <w:multiLevelType w:val="hybridMultilevel"/>
    <w:tmpl w:val="FC80468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295986491">
    <w:abstractNumId w:val="10"/>
  </w:num>
  <w:num w:numId="19" w16cid:durableId="114105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B4AC4"/>
    <w:rsid w:val="000D0334"/>
    <w:rsid w:val="000F6486"/>
    <w:rsid w:val="00125105"/>
    <w:rsid w:val="00127233"/>
    <w:rsid w:val="00172DFB"/>
    <w:rsid w:val="001E4177"/>
    <w:rsid w:val="001F7DC6"/>
    <w:rsid w:val="002421BB"/>
    <w:rsid w:val="0025796E"/>
    <w:rsid w:val="002707A2"/>
    <w:rsid w:val="002951A0"/>
    <w:rsid w:val="002962BC"/>
    <w:rsid w:val="002A093D"/>
    <w:rsid w:val="002A0DD0"/>
    <w:rsid w:val="002A49AC"/>
    <w:rsid w:val="002A64FD"/>
    <w:rsid w:val="002B47CE"/>
    <w:rsid w:val="002C7A84"/>
    <w:rsid w:val="002E4FD9"/>
    <w:rsid w:val="00322A85"/>
    <w:rsid w:val="00324168"/>
    <w:rsid w:val="003448F4"/>
    <w:rsid w:val="00374F5E"/>
    <w:rsid w:val="00377E3E"/>
    <w:rsid w:val="003869AB"/>
    <w:rsid w:val="003A26D1"/>
    <w:rsid w:val="003A779E"/>
    <w:rsid w:val="003D0F4D"/>
    <w:rsid w:val="003D5B0D"/>
    <w:rsid w:val="003E0499"/>
    <w:rsid w:val="003F3941"/>
    <w:rsid w:val="00406575"/>
    <w:rsid w:val="0042722E"/>
    <w:rsid w:val="0044528D"/>
    <w:rsid w:val="004A1847"/>
    <w:rsid w:val="004A305D"/>
    <w:rsid w:val="004C36D1"/>
    <w:rsid w:val="004F21C4"/>
    <w:rsid w:val="004F685F"/>
    <w:rsid w:val="00510414"/>
    <w:rsid w:val="005566E8"/>
    <w:rsid w:val="00574867"/>
    <w:rsid w:val="00575BEC"/>
    <w:rsid w:val="00591460"/>
    <w:rsid w:val="00592628"/>
    <w:rsid w:val="005C3777"/>
    <w:rsid w:val="005C5CDC"/>
    <w:rsid w:val="005D476C"/>
    <w:rsid w:val="00610812"/>
    <w:rsid w:val="006219F8"/>
    <w:rsid w:val="00650FF7"/>
    <w:rsid w:val="00654543"/>
    <w:rsid w:val="00665D70"/>
    <w:rsid w:val="00671DAC"/>
    <w:rsid w:val="006900D9"/>
    <w:rsid w:val="006A7C50"/>
    <w:rsid w:val="006D12F8"/>
    <w:rsid w:val="00706C16"/>
    <w:rsid w:val="00756841"/>
    <w:rsid w:val="007649AB"/>
    <w:rsid w:val="00771D0C"/>
    <w:rsid w:val="007833AC"/>
    <w:rsid w:val="00792B87"/>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72CD3"/>
    <w:rsid w:val="00B72FFF"/>
    <w:rsid w:val="00BA56D0"/>
    <w:rsid w:val="00BC3D36"/>
    <w:rsid w:val="00BD7F72"/>
    <w:rsid w:val="00C04FB3"/>
    <w:rsid w:val="00C330EB"/>
    <w:rsid w:val="00C754BE"/>
    <w:rsid w:val="00C76B1C"/>
    <w:rsid w:val="00CB6357"/>
    <w:rsid w:val="00CC1B26"/>
    <w:rsid w:val="00D0608F"/>
    <w:rsid w:val="00D423A2"/>
    <w:rsid w:val="00D520D8"/>
    <w:rsid w:val="00D63AC2"/>
    <w:rsid w:val="00D7383B"/>
    <w:rsid w:val="00DA231B"/>
    <w:rsid w:val="00DA23A0"/>
    <w:rsid w:val="00DC39FC"/>
    <w:rsid w:val="00DC5377"/>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EF50B4"/>
    <w:rsid w:val="00F31EDC"/>
    <w:rsid w:val="00F462B3"/>
    <w:rsid w:val="00F5664F"/>
    <w:rsid w:val="00F666C4"/>
    <w:rsid w:val="00F76AFC"/>
    <w:rsid w:val="00FA47C0"/>
    <w:rsid w:val="00FB5DD1"/>
    <w:rsid w:val="00FC2B5D"/>
    <w:rsid w:val="00FD4F1F"/>
    <w:rsid w:val="00FF1449"/>
    <w:rsid w:val="00FF772E"/>
    <w:rsid w:val="0A116B27"/>
    <w:rsid w:val="0C888D5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FF772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lombiacompra.gov.co/documentos-tipo/documentos-tip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sala-de-prensa/boletin-digita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latoria.colombiacompra.gov.co/busqueda/concepto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6E158FAF-F40A-4EF6-AF3C-48660F90BC01}"/>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6</revision>
  <lastPrinted>2023-01-10T21:18:00.0000000Z</lastPrinted>
  <dcterms:created xsi:type="dcterms:W3CDTF">2024-07-19T23:17:00.0000000Z</dcterms:created>
  <dcterms:modified xsi:type="dcterms:W3CDTF">2024-08-01T04:25:21.8284347Z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