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BBC2A" w14:textId="3910F720" w:rsidR="000B09FF" w:rsidRPr="0048630F" w:rsidRDefault="000B09FF" w:rsidP="00747B82">
      <w:pPr>
        <w:spacing w:after="0" w:line="240" w:lineRule="auto"/>
        <w:rPr>
          <w:rStyle w:val="normaltextrun"/>
          <w:rFonts w:ascii="Century Gothic" w:hAnsi="Century Gothic" w:cs="Arial"/>
          <w:color w:val="000000"/>
          <w:shd w:val="clear" w:color="auto" w:fill="FFFFFF"/>
        </w:rPr>
      </w:pPr>
      <w:bookmarkStart w:id="0" w:name="_Hlk143780582"/>
    </w:p>
    <w:p w14:paraId="60C2778E" w14:textId="78837CAC"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normaltextrun"/>
          <w:rFonts w:ascii="Century Gothic" w:hAnsi="Century Gothic" w:cs="Arial"/>
          <w:b/>
          <w:bCs/>
          <w:sz w:val="22"/>
          <w:szCs w:val="22"/>
          <w:lang w:val="es-MX"/>
        </w:rPr>
        <w:t>D</w:t>
      </w:r>
      <w:r w:rsidRPr="0048630F">
        <w:rPr>
          <w:rStyle w:val="normaltextrun"/>
          <w:rFonts w:ascii="Century Gothic" w:hAnsi="Century Gothic" w:cs="Arial"/>
          <w:b/>
          <w:bCs/>
          <w:sz w:val="22"/>
          <w:szCs w:val="22"/>
          <w:lang w:val="es-MX"/>
        </w:rPr>
        <w:t>OCUMENTOS TIPO – Formulario 1 – Presupuesto Oficial – Propuesta económica </w:t>
      </w:r>
      <w:r w:rsidRPr="0048630F">
        <w:rPr>
          <w:rStyle w:val="eop"/>
          <w:rFonts w:ascii="Century Gothic" w:hAnsi="Century Gothic" w:cs="Arial"/>
          <w:sz w:val="22"/>
          <w:szCs w:val="22"/>
        </w:rPr>
        <w:t> </w:t>
      </w:r>
    </w:p>
    <w:p w14:paraId="1F717E25" w14:textId="77777777"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eop"/>
          <w:rFonts w:ascii="Century Gothic" w:hAnsi="Century Gothic" w:cs="Arial"/>
          <w:color w:val="000000"/>
          <w:sz w:val="20"/>
          <w:szCs w:val="20"/>
        </w:rPr>
        <w:t> </w:t>
      </w:r>
    </w:p>
    <w:p w14:paraId="60011912" w14:textId="77777777"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normaltextrun"/>
          <w:rFonts w:ascii="Century Gothic" w:hAnsi="Century Gothic" w:cs="Arial"/>
          <w:color w:val="000000"/>
          <w:sz w:val="20"/>
          <w:szCs w:val="20"/>
          <w:lang w:val="es-MX"/>
        </w:rPr>
        <w:t>Los documentos tipo para los procesos de licitación pública, menor cuantía y mínima cuantía de infraestructura de transporte, contemplan el «Formulario 1 - Formulario de Presupuesto Oficial», empleado por la entidad para elaborar y presentar el presupuesto oficial, y mediante el cual el proponente estructura la oferta económica. </w:t>
      </w:r>
      <w:r w:rsidRPr="0048630F">
        <w:rPr>
          <w:rStyle w:val="eop"/>
          <w:rFonts w:ascii="Century Gothic" w:hAnsi="Century Gothic" w:cs="Arial"/>
          <w:color w:val="000000"/>
          <w:sz w:val="20"/>
          <w:szCs w:val="20"/>
        </w:rPr>
        <w:t> </w:t>
      </w:r>
    </w:p>
    <w:p w14:paraId="252BBA42" w14:textId="77777777"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eop"/>
          <w:rFonts w:ascii="Century Gothic" w:hAnsi="Century Gothic" w:cs="Arial"/>
          <w:color w:val="000000"/>
          <w:sz w:val="20"/>
          <w:szCs w:val="20"/>
        </w:rPr>
        <w:t> </w:t>
      </w:r>
    </w:p>
    <w:p w14:paraId="19952CFA" w14:textId="77777777"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normaltextrun"/>
          <w:rFonts w:ascii="Century Gothic" w:hAnsi="Century Gothic" w:cs="Arial"/>
          <w:color w:val="000000"/>
          <w:sz w:val="20"/>
          <w:szCs w:val="20"/>
          <w:lang w:val="es-MX"/>
        </w:rPr>
        <w:t xml:space="preserve">Este formulario lo prepara la entidad en la etapa de planeación y le permite definir el valor oficial estimado del proceso de contratación. Por tanto, las entidades estatales para su elaboración deben tener en cuenta diferentes </w:t>
      </w:r>
      <w:proofErr w:type="gramStart"/>
      <w:r w:rsidRPr="0048630F">
        <w:rPr>
          <w:rStyle w:val="normaltextrun"/>
          <w:rFonts w:ascii="Century Gothic" w:hAnsi="Century Gothic" w:cs="Arial"/>
          <w:color w:val="000000"/>
          <w:sz w:val="20"/>
          <w:szCs w:val="20"/>
          <w:lang w:val="es-MX"/>
        </w:rPr>
        <w:t>variables ,</w:t>
      </w:r>
      <w:proofErr w:type="gramEnd"/>
      <w:r w:rsidRPr="0048630F">
        <w:rPr>
          <w:rStyle w:val="normaltextrun"/>
          <w:rFonts w:ascii="Century Gothic" w:hAnsi="Century Gothic" w:cs="Arial"/>
          <w:color w:val="000000"/>
          <w:sz w:val="20"/>
          <w:szCs w:val="20"/>
          <w:lang w:val="es-MX"/>
        </w:rPr>
        <w:t xml:space="preserve"> como el objeto, alcance, obras a ejecutar, actividades, cantidades, particularidades de la zona de ejecución del proyecto, disponibilidad y distancia de fuentes de materiales, entre otros.</w:t>
      </w:r>
      <w:r w:rsidRPr="0048630F">
        <w:rPr>
          <w:rStyle w:val="eop"/>
          <w:rFonts w:ascii="Century Gothic" w:hAnsi="Century Gothic" w:cs="Arial"/>
          <w:color w:val="000000"/>
          <w:sz w:val="20"/>
          <w:szCs w:val="20"/>
        </w:rPr>
        <w:t> </w:t>
      </w:r>
    </w:p>
    <w:p w14:paraId="0AEB32BD" w14:textId="77777777"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eop"/>
          <w:rFonts w:ascii="Century Gothic" w:hAnsi="Century Gothic" w:cs="Arial"/>
          <w:color w:val="000000"/>
          <w:sz w:val="20"/>
          <w:szCs w:val="20"/>
        </w:rPr>
        <w:t> </w:t>
      </w:r>
    </w:p>
    <w:p w14:paraId="7C062DCF" w14:textId="77777777" w:rsidR="000B09FF" w:rsidRPr="0048630F" w:rsidRDefault="000B09FF" w:rsidP="000B09FF">
      <w:pPr>
        <w:pStyle w:val="paragraph"/>
        <w:spacing w:before="0" w:beforeAutospacing="0" w:after="0" w:afterAutospacing="0"/>
        <w:jc w:val="both"/>
        <w:textAlignment w:val="baseline"/>
        <w:rPr>
          <w:rFonts w:ascii="Century Gothic" w:hAnsi="Century Gothic" w:cs="Segoe UI"/>
          <w:sz w:val="18"/>
          <w:szCs w:val="18"/>
        </w:rPr>
      </w:pPr>
      <w:r w:rsidRPr="0048630F">
        <w:rPr>
          <w:rStyle w:val="normaltextrun"/>
          <w:rFonts w:ascii="Century Gothic" w:hAnsi="Century Gothic" w:cs="Arial"/>
          <w:color w:val="000000"/>
          <w:sz w:val="20"/>
          <w:szCs w:val="20"/>
          <w:lang w:val="es-MX"/>
        </w:rPr>
        <w:t>En los documentos tipo para los procesos de licitación pública, menor cuantía y mínima cuantía de obra de infraestructura de transporte el «Formulario 1 – Formulario de Presupuesto Oficial» tiene dos connotaciones: i) por un lado, 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r w:rsidRPr="0048630F">
        <w:rPr>
          <w:rStyle w:val="eop"/>
          <w:rFonts w:ascii="Century Gothic" w:hAnsi="Century Gothic" w:cs="Arial"/>
          <w:color w:val="000000"/>
          <w:sz w:val="20"/>
          <w:szCs w:val="20"/>
        </w:rPr>
        <w:t> </w:t>
      </w:r>
    </w:p>
    <w:p w14:paraId="5AE54A49" w14:textId="77777777" w:rsidR="000B09FF" w:rsidRPr="0048630F" w:rsidRDefault="000B09FF">
      <w:pPr>
        <w:rPr>
          <w:rStyle w:val="normaltextrun"/>
          <w:rFonts w:ascii="Century Gothic" w:hAnsi="Century Gothic" w:cs="Arial"/>
          <w:color w:val="000000"/>
          <w:shd w:val="clear" w:color="auto" w:fill="FFFFFF"/>
        </w:rPr>
      </w:pPr>
      <w:r w:rsidRPr="0048630F">
        <w:rPr>
          <w:rStyle w:val="normaltextrun"/>
          <w:rFonts w:ascii="Century Gothic" w:hAnsi="Century Gothic" w:cs="Arial"/>
          <w:color w:val="000000"/>
          <w:shd w:val="clear" w:color="auto" w:fill="FFFFFF"/>
        </w:rPr>
        <w:br w:type="page"/>
      </w:r>
    </w:p>
    <w:p w14:paraId="7FBE0D4B" w14:textId="77777777" w:rsidR="00747B82" w:rsidRPr="0048630F" w:rsidRDefault="00747B82" w:rsidP="00747B82">
      <w:pPr>
        <w:spacing w:after="0" w:line="240" w:lineRule="auto"/>
        <w:rPr>
          <w:rStyle w:val="normaltextrun"/>
          <w:rFonts w:ascii="Century Gothic" w:hAnsi="Century Gothic" w:cs="Arial"/>
          <w:color w:val="000000"/>
          <w:shd w:val="clear" w:color="auto" w:fill="FFFFFF"/>
        </w:rPr>
      </w:pPr>
    </w:p>
    <w:p w14:paraId="6DBE7271" w14:textId="77777777" w:rsidR="00747B82" w:rsidRPr="0048630F" w:rsidRDefault="00747B82" w:rsidP="00747B82">
      <w:pPr>
        <w:spacing w:after="0"/>
        <w:rPr>
          <w:rFonts w:ascii="Century Gothic" w:hAnsi="Century Gothic"/>
          <w:lang w:val="es-MX"/>
        </w:rPr>
      </w:pPr>
      <w:r w:rsidRPr="0048630F">
        <w:rPr>
          <w:rFonts w:ascii="Century Gothic" w:hAnsi="Century Gothic"/>
        </w:rPr>
        <w:t>Bogotá D.C., [Día] [</w:t>
      </w:r>
      <w:proofErr w:type="spellStart"/>
      <w:r w:rsidRPr="0048630F">
        <w:rPr>
          <w:rFonts w:ascii="Century Gothic" w:hAnsi="Century Gothic"/>
        </w:rPr>
        <w:t>Mes.NombreCapitalizado</w:t>
      </w:r>
      <w:proofErr w:type="spellEnd"/>
      <w:r w:rsidRPr="0048630F">
        <w:rPr>
          <w:rFonts w:ascii="Century Gothic" w:hAnsi="Century Gothic"/>
        </w:rPr>
        <w:t>] [Año]</w:t>
      </w:r>
    </w:p>
    <w:p w14:paraId="3E395B6D" w14:textId="77777777" w:rsidR="00747B82" w:rsidRPr="0048630F" w:rsidDel="00347DCE" w:rsidRDefault="00747B82" w:rsidP="00747B82">
      <w:pPr>
        <w:spacing w:after="0" w:line="240" w:lineRule="auto"/>
        <w:rPr>
          <w:rFonts w:ascii="Century Gothic" w:hAnsi="Century Gothic" w:cs="Arial"/>
          <w:noProof/>
        </w:rPr>
      </w:pPr>
    </w:p>
    <w:p w14:paraId="39754089" w14:textId="77777777" w:rsidR="00747B82" w:rsidRPr="0048630F" w:rsidRDefault="00747B82" w:rsidP="00747B82">
      <w:pPr>
        <w:spacing w:after="0" w:line="240" w:lineRule="auto"/>
        <w:jc w:val="right"/>
        <w:rPr>
          <w:rFonts w:ascii="Century Gothic" w:hAnsi="Century Gothic" w:cs="Arial"/>
        </w:rPr>
      </w:pPr>
    </w:p>
    <w:bookmarkEnd w:id="0"/>
    <w:p w14:paraId="62399CBD" w14:textId="77777777" w:rsidR="00747B82" w:rsidRPr="0048630F" w:rsidRDefault="00747B82" w:rsidP="00747B82">
      <w:pPr>
        <w:spacing w:after="0" w:line="276" w:lineRule="auto"/>
        <w:rPr>
          <w:rFonts w:ascii="Century Gothic" w:eastAsia="Geomanist Light" w:hAnsi="Century Gothic" w:cs="Arial"/>
          <w:lang w:val="es-MX"/>
        </w:rPr>
      </w:pPr>
      <w:r w:rsidRPr="0048630F">
        <w:rPr>
          <w:rFonts w:ascii="Century Gothic" w:hAnsi="Century Gothic" w:cs="Arial"/>
          <w:lang w:val="es-MX"/>
        </w:rPr>
        <w:t>Señor</w:t>
      </w:r>
    </w:p>
    <w:p w14:paraId="573ED7C0" w14:textId="77777777" w:rsidR="00747B82" w:rsidRPr="0048630F" w:rsidRDefault="00747B82" w:rsidP="00747B82">
      <w:pPr>
        <w:spacing w:after="0" w:line="276" w:lineRule="auto"/>
        <w:rPr>
          <w:rFonts w:ascii="Century Gothic" w:hAnsi="Century Gothic" w:cs="Arial"/>
          <w:b/>
          <w:bCs/>
          <w:lang w:val="es-MX"/>
        </w:rPr>
      </w:pPr>
      <w:r w:rsidRPr="0048630F">
        <w:rPr>
          <w:rFonts w:ascii="Century Gothic" w:hAnsi="Century Gothic" w:cs="Arial"/>
          <w:b/>
          <w:bCs/>
          <w:lang w:val="es-MX"/>
        </w:rPr>
        <w:t>Wilson Torres Rodríguez</w:t>
      </w:r>
    </w:p>
    <w:p w14:paraId="20E7B978" w14:textId="77777777" w:rsidR="00747B82" w:rsidRPr="0048630F" w:rsidRDefault="00747B82" w:rsidP="00747B82">
      <w:pPr>
        <w:spacing w:after="0" w:line="276" w:lineRule="auto"/>
        <w:rPr>
          <w:rFonts w:ascii="Century Gothic" w:hAnsi="Century Gothic" w:cs="Arial"/>
          <w:lang w:val="es-MX"/>
        </w:rPr>
      </w:pPr>
      <w:r w:rsidRPr="0048630F">
        <w:rPr>
          <w:rFonts w:ascii="Century Gothic" w:hAnsi="Century Gothic" w:cs="Arial"/>
          <w:lang w:val="es-MX"/>
        </w:rPr>
        <w:t>Cúcuta, Norte de Santander</w:t>
      </w:r>
    </w:p>
    <w:p w14:paraId="74C2E677" w14:textId="77777777" w:rsidR="00747B82" w:rsidRPr="0048630F" w:rsidRDefault="00747B82" w:rsidP="00747B82">
      <w:pPr>
        <w:spacing w:after="0" w:line="276" w:lineRule="auto"/>
        <w:rPr>
          <w:rFonts w:ascii="Century Gothic" w:hAnsi="Century Gothic" w:cs="Arial"/>
          <w:lang w:val="es-MX"/>
        </w:rPr>
      </w:pPr>
    </w:p>
    <w:p w14:paraId="74105412" w14:textId="77777777" w:rsidR="00747B82" w:rsidRPr="0048630F" w:rsidRDefault="00747B82" w:rsidP="00747B82">
      <w:pPr>
        <w:spacing w:after="0" w:line="276" w:lineRule="auto"/>
        <w:rPr>
          <w:rFonts w:ascii="Century Gothic" w:hAnsi="Century Gothic" w:cs="Arial"/>
          <w:lang w:val="es-MX"/>
        </w:rPr>
      </w:pPr>
    </w:p>
    <w:p w14:paraId="317625A9" w14:textId="77777777" w:rsidR="00747B82" w:rsidRPr="0048630F" w:rsidRDefault="00747B82" w:rsidP="00747B82">
      <w:pPr>
        <w:spacing w:after="0" w:line="276" w:lineRule="auto"/>
        <w:ind w:left="2832"/>
        <w:rPr>
          <w:rFonts w:ascii="Century Gothic" w:eastAsia="Calibri" w:hAnsi="Century Gothic" w:cs="Arial"/>
          <w:b/>
          <w:bCs/>
          <w:lang w:val="es-ES"/>
        </w:rPr>
      </w:pPr>
      <w:r w:rsidRPr="0048630F">
        <w:rPr>
          <w:rFonts w:ascii="Century Gothic" w:eastAsia="Calibri" w:hAnsi="Century Gothic" w:cs="Arial"/>
          <w:b/>
          <w:bCs/>
          <w:lang w:val="es-ES"/>
        </w:rPr>
        <w:t>Concepto</w:t>
      </w:r>
      <w:r w:rsidRPr="0048630F">
        <w:rPr>
          <w:rFonts w:ascii="Century Gothic" w:hAnsi="Century Gothic" w:cs="Arial"/>
        </w:rPr>
        <w:t xml:space="preserve"> </w:t>
      </w:r>
      <w:r w:rsidRPr="0048630F">
        <w:rPr>
          <w:rFonts w:ascii="Century Gothic" w:eastAsia="Calibri" w:hAnsi="Century Gothic" w:cs="Arial"/>
          <w:b/>
          <w:bCs/>
          <w:lang w:val="es-ES"/>
        </w:rPr>
        <w:t>C-121 del 2024</w:t>
      </w:r>
    </w:p>
    <w:p w14:paraId="1C8F8642" w14:textId="77777777" w:rsidR="00747B82" w:rsidRPr="0048630F" w:rsidRDefault="00747B82" w:rsidP="00747B82">
      <w:pPr>
        <w:spacing w:after="0" w:line="276" w:lineRule="auto"/>
        <w:jc w:val="both"/>
        <w:rPr>
          <w:rFonts w:ascii="Century Gothic" w:eastAsia="Calibri" w:hAnsi="Century Gothic"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47B82" w:rsidRPr="0048630F" w14:paraId="76B16B9A" w14:textId="77777777" w:rsidTr="00642BFF">
        <w:trPr>
          <w:jc w:val="right"/>
        </w:trPr>
        <w:tc>
          <w:tcPr>
            <w:tcW w:w="1838" w:type="dxa"/>
          </w:tcPr>
          <w:p w14:paraId="491E5EDA" w14:textId="77777777" w:rsidR="00747B82" w:rsidRPr="0048630F" w:rsidRDefault="00747B82" w:rsidP="00642BFF">
            <w:pPr>
              <w:spacing w:line="276" w:lineRule="auto"/>
              <w:jc w:val="center"/>
              <w:rPr>
                <w:rFonts w:ascii="Century Gothic" w:eastAsia="Calibri" w:hAnsi="Century Gothic" w:cs="Arial"/>
                <w:lang w:val="es-ES"/>
              </w:rPr>
            </w:pPr>
            <w:r w:rsidRPr="0048630F">
              <w:rPr>
                <w:rFonts w:ascii="Century Gothic" w:eastAsia="Calibri" w:hAnsi="Century Gothic" w:cs="Arial"/>
                <w:b/>
                <w:bCs/>
                <w:color w:val="000000" w:themeColor="text1"/>
                <w:lang w:val="es-ES"/>
              </w:rPr>
              <w:t xml:space="preserve">Temas:                                      </w:t>
            </w:r>
          </w:p>
        </w:tc>
        <w:tc>
          <w:tcPr>
            <w:tcW w:w="6237" w:type="dxa"/>
          </w:tcPr>
          <w:p w14:paraId="2D29B8F9" w14:textId="77777777" w:rsidR="00747B82" w:rsidRPr="0048630F" w:rsidRDefault="00747B82" w:rsidP="00642BFF">
            <w:pPr>
              <w:spacing w:line="276" w:lineRule="auto"/>
              <w:jc w:val="both"/>
              <w:rPr>
                <w:rFonts w:ascii="Century Gothic" w:eastAsia="Calibri" w:hAnsi="Century Gothic" w:cs="Arial"/>
              </w:rPr>
            </w:pPr>
            <w:r w:rsidRPr="0048630F">
              <w:rPr>
                <w:rFonts w:ascii="Century Gothic" w:hAnsi="Century Gothic" w:cs="Arial"/>
                <w:color w:val="000000" w:themeColor="text1"/>
                <w:lang w:val="es-ES"/>
              </w:rPr>
              <w:t xml:space="preserve">DOCUMENTOS TIPO – Infraestructura de transporte / </w:t>
            </w:r>
            <w:r w:rsidRPr="0048630F">
              <w:rPr>
                <w:rFonts w:ascii="Century Gothic" w:eastAsia="Calibri" w:hAnsi="Century Gothic" w:cs="Arial"/>
              </w:rPr>
              <w:t xml:space="preserve">DOCUMENTOS TIPO – Formulario 1 – Presupuesto Oficial – Propuesta económica </w:t>
            </w:r>
            <w:r w:rsidRPr="0048630F">
              <w:rPr>
                <w:rFonts w:ascii="Century Gothic" w:eastAsia="Calibri" w:hAnsi="Century Gothic" w:cs="Arial"/>
                <w:lang w:val="es-ES"/>
              </w:rPr>
              <w:t xml:space="preserve">/ </w:t>
            </w:r>
            <w:r w:rsidRPr="0048630F">
              <w:rPr>
                <w:rFonts w:ascii="Century Gothic" w:eastAsia="Calibri" w:hAnsi="Century Gothic" w:cs="Arial"/>
              </w:rPr>
              <w:t xml:space="preserve">CAUSAL DE RECHAZOS – Aplicación restrictiva – Subsanación – Aclaración – Distinción  </w:t>
            </w:r>
          </w:p>
          <w:p w14:paraId="34A9F1E3" w14:textId="77777777" w:rsidR="00747B82" w:rsidRPr="0048630F" w:rsidRDefault="00747B82" w:rsidP="00642BFF">
            <w:pPr>
              <w:spacing w:after="120" w:line="276" w:lineRule="auto"/>
              <w:contextualSpacing/>
              <w:jc w:val="both"/>
              <w:rPr>
                <w:rFonts w:ascii="Century Gothic" w:eastAsia="Calibri" w:hAnsi="Century Gothic" w:cs="Arial"/>
                <w:lang w:eastAsia="es-ES"/>
              </w:rPr>
            </w:pPr>
          </w:p>
        </w:tc>
      </w:tr>
      <w:tr w:rsidR="00747B82" w:rsidRPr="0048630F" w14:paraId="69FA44AC" w14:textId="77777777" w:rsidTr="00642BFF">
        <w:trPr>
          <w:trHeight w:val="88"/>
          <w:jc w:val="right"/>
        </w:trPr>
        <w:tc>
          <w:tcPr>
            <w:tcW w:w="183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79E07E" w14:textId="77777777" w:rsidR="00747B82" w:rsidRPr="0048630F" w:rsidRDefault="00747B82" w:rsidP="00642BFF">
            <w:pPr>
              <w:spacing w:line="276" w:lineRule="auto"/>
              <w:jc w:val="center"/>
              <w:rPr>
                <w:rFonts w:ascii="Century Gothic" w:eastAsia="Calibri" w:hAnsi="Century Gothic" w:cs="Arial"/>
                <w:b/>
                <w:bCs/>
                <w:lang w:val="es-ES"/>
              </w:rPr>
            </w:pPr>
            <w:r w:rsidRPr="0048630F">
              <w:rPr>
                <w:rFonts w:ascii="Century Gothic" w:eastAsia="Calibri" w:hAnsi="Century Gothic" w:cs="Arial"/>
                <w:b/>
                <w:bCs/>
                <w:color w:val="000000" w:themeColor="text1"/>
                <w:lang w:val="es-ES"/>
              </w:rPr>
              <w:t>Radicación</w:t>
            </w:r>
            <w:r w:rsidRPr="0048630F">
              <w:rPr>
                <w:rFonts w:ascii="Century Gothic" w:eastAsia="Calibri" w:hAnsi="Century Gothic" w:cs="Arial"/>
                <w:color w:val="000000" w:themeColor="text1"/>
                <w:lang w:val="es-ES"/>
              </w:rPr>
              <w:t>:</w:t>
            </w:r>
          </w:p>
        </w:tc>
        <w:tc>
          <w:tcPr>
            <w:tcW w:w="6237"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1A60AD4" w14:textId="77777777" w:rsidR="00747B82" w:rsidRPr="0048630F" w:rsidRDefault="00747B82" w:rsidP="00642BFF">
            <w:pPr>
              <w:spacing w:line="276" w:lineRule="auto"/>
              <w:jc w:val="both"/>
              <w:rPr>
                <w:rFonts w:ascii="Century Gothic" w:hAnsi="Century Gothic" w:cs="Arial"/>
                <w:color w:val="000000" w:themeColor="text1"/>
                <w:lang w:val="es-ES"/>
              </w:rPr>
            </w:pPr>
            <w:r w:rsidRPr="0048630F">
              <w:rPr>
                <w:rFonts w:ascii="Century Gothic" w:hAnsi="Century Gothic" w:cs="Arial"/>
                <w:color w:val="000000" w:themeColor="text1"/>
                <w:lang w:val="es-ES"/>
              </w:rPr>
              <w:t>Respuesta a la consulta P20240408003565</w:t>
            </w:r>
          </w:p>
        </w:tc>
      </w:tr>
    </w:tbl>
    <w:p w14:paraId="41297CA3" w14:textId="77777777" w:rsidR="00747B82" w:rsidRPr="0048630F" w:rsidRDefault="00747B82" w:rsidP="00747B82">
      <w:pPr>
        <w:spacing w:line="240" w:lineRule="auto"/>
        <w:jc w:val="both"/>
        <w:rPr>
          <w:rFonts w:ascii="Century Gothic" w:eastAsia="Calibri" w:hAnsi="Century Gothic" w:cs="Arial"/>
          <w:lang w:val="es-ES"/>
        </w:rPr>
      </w:pPr>
    </w:p>
    <w:p w14:paraId="6F9F403F" w14:textId="77777777" w:rsidR="00747B82" w:rsidRPr="0048630F" w:rsidRDefault="00747B82" w:rsidP="00747B82">
      <w:pPr>
        <w:spacing w:line="240" w:lineRule="auto"/>
        <w:jc w:val="both"/>
        <w:rPr>
          <w:rFonts w:ascii="Century Gothic" w:eastAsia="Calibri" w:hAnsi="Century Gothic" w:cs="Arial"/>
          <w:lang w:val="es-ES"/>
        </w:rPr>
      </w:pPr>
      <w:r w:rsidRPr="0048630F">
        <w:rPr>
          <w:rFonts w:ascii="Century Gothic" w:eastAsia="Calibri" w:hAnsi="Century Gothic" w:cs="Arial"/>
          <w:lang w:val="es-ES"/>
        </w:rPr>
        <w:t>Estimado señor Torres:</w:t>
      </w:r>
    </w:p>
    <w:p w14:paraId="4B709238" w14:textId="77777777" w:rsidR="00747B82" w:rsidRPr="0048630F" w:rsidRDefault="00747B82" w:rsidP="00747B82">
      <w:pPr>
        <w:spacing w:after="0" w:line="276" w:lineRule="auto"/>
        <w:jc w:val="both"/>
        <w:rPr>
          <w:rFonts w:ascii="Century Gothic" w:eastAsia="Calibri" w:hAnsi="Century Gothic" w:cs="Arial"/>
          <w:lang w:val="es-ES"/>
        </w:rPr>
      </w:pPr>
      <w:r w:rsidRPr="0048630F">
        <w:rPr>
          <w:rFonts w:ascii="Century Gothic" w:eastAsia="Calibri" w:hAnsi="Century Gothic" w:cs="Arial"/>
          <w:lang w:val="es-ES"/>
        </w:rPr>
        <w:t>En ejercicio de la competencia otorgada por el numeral 8° del artículo 11 y el numeral 5° del artículo 3 del Decreto Ley 4170 de 2011, la Agencia Nacional de Contratación Pública ― Colombia Compra Eficiente responde su consulta del 2 de enero del 2024.</w:t>
      </w:r>
    </w:p>
    <w:p w14:paraId="38A64663" w14:textId="77777777" w:rsidR="00747B82" w:rsidRPr="0048630F" w:rsidRDefault="00747B82" w:rsidP="00747B82">
      <w:pPr>
        <w:spacing w:after="0" w:line="240" w:lineRule="auto"/>
        <w:jc w:val="both"/>
        <w:rPr>
          <w:rFonts w:ascii="Century Gothic" w:eastAsia="Calibri" w:hAnsi="Century Gothic" w:cs="Arial"/>
          <w:lang w:val="es-ES"/>
        </w:rPr>
      </w:pPr>
    </w:p>
    <w:p w14:paraId="5DE707D9" w14:textId="77777777" w:rsidR="00747B82" w:rsidRPr="0048630F" w:rsidRDefault="00747B82" w:rsidP="00747B82">
      <w:pPr>
        <w:pStyle w:val="Prrafodelista"/>
        <w:numPr>
          <w:ilvl w:val="0"/>
          <w:numId w:val="17"/>
        </w:numPr>
        <w:tabs>
          <w:tab w:val="left" w:pos="142"/>
          <w:tab w:val="left" w:pos="284"/>
        </w:tabs>
        <w:spacing w:after="0" w:line="240" w:lineRule="auto"/>
        <w:ind w:left="0" w:firstLine="0"/>
        <w:jc w:val="both"/>
        <w:rPr>
          <w:rFonts w:ascii="Century Gothic" w:eastAsia="Calibri" w:hAnsi="Century Gothic" w:cs="Arial"/>
          <w:b/>
          <w:bCs/>
        </w:rPr>
      </w:pPr>
      <w:r w:rsidRPr="0048630F">
        <w:rPr>
          <w:rFonts w:ascii="Century Gothic" w:eastAsia="Calibri" w:hAnsi="Century Gothic" w:cs="Arial"/>
          <w:b/>
          <w:bCs/>
        </w:rPr>
        <w:t xml:space="preserve">Problema planteado </w:t>
      </w:r>
    </w:p>
    <w:p w14:paraId="0324FF67" w14:textId="77777777" w:rsidR="00747B82" w:rsidRPr="0048630F" w:rsidRDefault="00747B82" w:rsidP="00747B82">
      <w:pPr>
        <w:pStyle w:val="Prrafodelista"/>
        <w:tabs>
          <w:tab w:val="left" w:pos="0"/>
          <w:tab w:val="left" w:pos="142"/>
          <w:tab w:val="left" w:pos="284"/>
        </w:tabs>
        <w:spacing w:after="0" w:line="240" w:lineRule="auto"/>
        <w:ind w:left="0"/>
        <w:jc w:val="both"/>
        <w:rPr>
          <w:rFonts w:ascii="Century Gothic" w:eastAsia="Calibri" w:hAnsi="Century Gothic" w:cs="Arial"/>
          <w:b/>
          <w:lang w:val="es-ES_tradnl"/>
        </w:rPr>
      </w:pPr>
    </w:p>
    <w:p w14:paraId="3D66D7A7" w14:textId="77777777" w:rsidR="00747B82" w:rsidRPr="0048630F" w:rsidRDefault="00747B82" w:rsidP="00747B82">
      <w:pPr>
        <w:spacing w:after="0" w:line="276" w:lineRule="auto"/>
        <w:jc w:val="both"/>
        <w:rPr>
          <w:rFonts w:ascii="Century Gothic" w:eastAsia="Calibri" w:hAnsi="Century Gothic"/>
          <w:i/>
          <w:iCs/>
          <w:color w:val="000000"/>
          <w:lang w:val="es-MX"/>
        </w:rPr>
      </w:pPr>
      <w:r w:rsidRPr="0048630F">
        <w:rPr>
          <w:rFonts w:ascii="Century Gothic" w:hAnsi="Century Gothic" w:cs="Arial"/>
          <w:color w:val="000000" w:themeColor="text1"/>
          <w:lang w:val="es-ES"/>
        </w:rPr>
        <w:t xml:space="preserve">Usted formula la siguiente pregunta sobre la causal de rechazo contenida en el literal W de los Documentos Tipo para obras públicas de Infraestructura de Transporte: </w:t>
      </w:r>
      <w:r w:rsidRPr="0048630F">
        <w:rPr>
          <w:rFonts w:ascii="Century Gothic" w:hAnsi="Century Gothic" w:cs="Arial"/>
          <w:i/>
          <w:iCs/>
          <w:color w:val="000000" w:themeColor="text1"/>
          <w:lang w:val="es-ES"/>
        </w:rPr>
        <w:t>“</w:t>
      </w:r>
      <w:r w:rsidRPr="0048630F">
        <w:rPr>
          <w:rFonts w:ascii="Century Gothic" w:eastAsia="Calibri" w:hAnsi="Century Gothic" w:cs="Arial"/>
          <w:i/>
          <w:iCs/>
          <w:color w:val="000000" w:themeColor="text1"/>
          <w:lang w:val="es-MX"/>
        </w:rPr>
        <w:t>Una propuesta económica puede ser rechazada si existe incongruencias o diferencias de valor total, entre lo manifestado en el Formulario 1 o Presupuesto oficial (anexado en la propuesta sección Documentos) con lo consignado en la sección Cuestionario, el cual se digita me manera manual en el mismo y bajo que causales de rechazo seria inhabilitada la propuesta</w:t>
      </w:r>
      <w:r w:rsidRPr="0048630F">
        <w:rPr>
          <w:rFonts w:ascii="Century Gothic" w:hAnsi="Century Gothic" w:cs="Arial"/>
          <w:i/>
          <w:iCs/>
          <w:color w:val="000000" w:themeColor="text1"/>
          <w:lang w:val="es-MX"/>
        </w:rPr>
        <w:t>”.</w:t>
      </w:r>
    </w:p>
    <w:p w14:paraId="2D6BF538" w14:textId="77777777" w:rsidR="00747B82" w:rsidRPr="0048630F" w:rsidRDefault="00747B82" w:rsidP="00747B82">
      <w:pPr>
        <w:pStyle w:val="Default"/>
        <w:ind w:right="709"/>
        <w:jc w:val="both"/>
        <w:rPr>
          <w:rFonts w:ascii="Century Gothic" w:hAnsi="Century Gothic"/>
          <w:sz w:val="21"/>
          <w:szCs w:val="21"/>
          <w:lang w:val="es-ES"/>
        </w:rPr>
      </w:pPr>
    </w:p>
    <w:p w14:paraId="21AB1DC4" w14:textId="77777777" w:rsidR="00747B82" w:rsidRPr="0048630F" w:rsidRDefault="00747B82" w:rsidP="00747B82">
      <w:pPr>
        <w:pStyle w:val="Default"/>
        <w:ind w:left="709" w:right="709"/>
        <w:jc w:val="both"/>
        <w:rPr>
          <w:rFonts w:ascii="Century Gothic" w:hAnsi="Century Gothic"/>
          <w:color w:val="auto"/>
          <w:sz w:val="21"/>
          <w:szCs w:val="21"/>
          <w:lang w:val="es-ES"/>
        </w:rPr>
      </w:pPr>
    </w:p>
    <w:p w14:paraId="3CA1B96D" w14:textId="77777777" w:rsidR="00747B82" w:rsidRPr="0048630F" w:rsidRDefault="00747B82" w:rsidP="00747B82">
      <w:pPr>
        <w:pStyle w:val="Default"/>
        <w:ind w:left="709" w:right="709"/>
        <w:jc w:val="both"/>
        <w:rPr>
          <w:rFonts w:ascii="Century Gothic" w:hAnsi="Century Gothic"/>
          <w:color w:val="auto"/>
          <w:sz w:val="21"/>
          <w:szCs w:val="21"/>
          <w:lang w:val="es-ES"/>
        </w:rPr>
      </w:pPr>
    </w:p>
    <w:p w14:paraId="2353608B" w14:textId="77777777" w:rsidR="00747B82" w:rsidRPr="0048630F" w:rsidRDefault="00747B82" w:rsidP="00747B82">
      <w:pPr>
        <w:spacing w:after="0" w:line="240" w:lineRule="auto"/>
        <w:ind w:right="709"/>
        <w:jc w:val="both"/>
        <w:rPr>
          <w:rFonts w:ascii="Century Gothic" w:hAnsi="Century Gothic" w:cs="Arial"/>
          <w:sz w:val="21"/>
          <w:szCs w:val="21"/>
          <w:lang w:val="es-ES"/>
        </w:rPr>
      </w:pPr>
    </w:p>
    <w:p w14:paraId="50AB7515" w14:textId="77777777" w:rsidR="00747B82" w:rsidRPr="0048630F" w:rsidRDefault="00747B82" w:rsidP="00747B82">
      <w:pPr>
        <w:pStyle w:val="Prrafodelista"/>
        <w:numPr>
          <w:ilvl w:val="0"/>
          <w:numId w:val="17"/>
        </w:numPr>
        <w:tabs>
          <w:tab w:val="left" w:pos="284"/>
        </w:tabs>
        <w:spacing w:after="0" w:line="240" w:lineRule="auto"/>
        <w:ind w:left="360"/>
        <w:jc w:val="both"/>
        <w:rPr>
          <w:rFonts w:ascii="Century Gothic" w:eastAsia="Calibri" w:hAnsi="Century Gothic" w:cs="Arial"/>
          <w:b/>
          <w:bCs/>
        </w:rPr>
      </w:pPr>
      <w:r w:rsidRPr="0048630F">
        <w:rPr>
          <w:rFonts w:ascii="Century Gothic" w:eastAsia="Calibri" w:hAnsi="Century Gothic" w:cs="Arial"/>
          <w:b/>
          <w:bCs/>
        </w:rPr>
        <w:lastRenderedPageBreak/>
        <w:t>Consideraciones</w:t>
      </w:r>
    </w:p>
    <w:p w14:paraId="5CB7967F" w14:textId="77777777" w:rsidR="00747B82" w:rsidRPr="0048630F" w:rsidRDefault="00747B82" w:rsidP="00747B82">
      <w:pPr>
        <w:pStyle w:val="Prrafodelista"/>
        <w:tabs>
          <w:tab w:val="left" w:pos="0"/>
          <w:tab w:val="left" w:pos="284"/>
        </w:tabs>
        <w:spacing w:after="0" w:line="240" w:lineRule="auto"/>
        <w:ind w:left="0"/>
        <w:contextualSpacing w:val="0"/>
        <w:jc w:val="both"/>
        <w:rPr>
          <w:rFonts w:ascii="Century Gothic" w:eastAsia="Calibri" w:hAnsi="Century Gothic" w:cs="Arial"/>
          <w:b/>
          <w:lang w:val="es-ES_tradnl"/>
        </w:rPr>
      </w:pPr>
    </w:p>
    <w:p w14:paraId="0A15673F" w14:textId="77777777" w:rsidR="00747B82" w:rsidRPr="0048630F" w:rsidRDefault="00747B82" w:rsidP="00747B82">
      <w:pPr>
        <w:spacing w:after="120" w:line="276" w:lineRule="auto"/>
        <w:jc w:val="both"/>
        <w:rPr>
          <w:rFonts w:ascii="Century Gothic" w:hAnsi="Century Gothic" w:cs="Arial"/>
        </w:rPr>
      </w:pPr>
      <w:r w:rsidRPr="0048630F">
        <w:rPr>
          <w:rFonts w:ascii="Century Gothic" w:hAnsi="Century Gothic" w:cs="Arial"/>
        </w:rPr>
        <w:t xml:space="preserve">Para absolver la consulta planteada se abordarán los siguientes temas: i) Expedición de los documentos tipo de obra pública de infraestructura de transporte; ii) </w:t>
      </w:r>
      <w:r w:rsidRPr="0048630F">
        <w:rPr>
          <w:rFonts w:ascii="Century Gothic" w:eastAsia="Calibri" w:hAnsi="Century Gothic" w:cs="Arial"/>
          <w:color w:val="000000" w:themeColor="text1"/>
          <w:lang w:val="es-ES"/>
        </w:rPr>
        <w:t xml:space="preserve">Uso del </w:t>
      </w:r>
      <w:r w:rsidRPr="0048630F">
        <w:rPr>
          <w:rFonts w:ascii="Century Gothic" w:hAnsi="Century Gothic" w:cs="Arial"/>
          <w:color w:val="000000" w:themeColor="text1"/>
          <w:lang w:val="es-ES"/>
        </w:rPr>
        <w:t>“</w:t>
      </w:r>
      <w:r w:rsidRPr="0048630F">
        <w:rPr>
          <w:rFonts w:ascii="Century Gothic" w:eastAsia="Calibri" w:hAnsi="Century Gothic" w:cs="Arial"/>
          <w:color w:val="000000" w:themeColor="text1"/>
          <w:lang w:val="es-ES"/>
        </w:rPr>
        <w:t>Formulario 1 – Formulario de Presupuesto Oficial”;</w:t>
      </w:r>
      <w:r w:rsidRPr="0048630F">
        <w:rPr>
          <w:rFonts w:ascii="Century Gothic" w:hAnsi="Century Gothic" w:cs="Arial"/>
        </w:rPr>
        <w:t xml:space="preserve"> iii) Alcance de la regla de la subsanabilidad de las ofertas en los procesos de selección que utilizan documentos tipo; y iv) Las causales de rechazo y su carácter taxativo en los documentos tipo. </w:t>
      </w:r>
    </w:p>
    <w:p w14:paraId="72269EF2" w14:textId="77777777" w:rsidR="00747B82" w:rsidRPr="0048630F" w:rsidRDefault="00747B82" w:rsidP="00747B82">
      <w:pPr>
        <w:spacing w:after="120" w:line="276" w:lineRule="auto"/>
        <w:ind w:firstLine="709"/>
        <w:jc w:val="both"/>
        <w:rPr>
          <w:rStyle w:val="normaltextrun"/>
          <w:rFonts w:ascii="Century Gothic" w:hAnsi="Century Gothic" w:cs="Arial"/>
          <w:shd w:val="clear" w:color="auto" w:fill="FFFFFF"/>
        </w:rPr>
      </w:pPr>
      <w:r w:rsidRPr="0048630F">
        <w:rPr>
          <w:rStyle w:val="normaltextrun"/>
          <w:rFonts w:ascii="Century Gothic" w:hAnsi="Century Gothic" w:cs="Arial"/>
          <w:shd w:val="clear" w:color="auto" w:fill="FFFFFF"/>
        </w:rPr>
        <w:t>La Agencia Nacional de Contratación Pública − Colombia Compra Eficiente ha abordado el tema de los documentos tipo y las causales de rechazo, entre otros,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del 11 de diciembre de 2020, </w:t>
      </w:r>
      <w:r w:rsidRPr="0048630F">
        <w:rPr>
          <w:rStyle w:val="normaltextrun"/>
          <w:rFonts w:ascii="Century Gothic" w:hAnsi="Century Gothic" w:cs="Arial"/>
          <w:shd w:val="clear" w:color="auto" w:fill="FFFFFF"/>
          <w:lang w:val="es-ES"/>
        </w:rPr>
        <w:t>C-031 del 1 de febrero de 2021,</w:t>
      </w:r>
      <w:r w:rsidRPr="0048630F">
        <w:rPr>
          <w:rStyle w:val="normaltextrun"/>
          <w:rFonts w:ascii="Century Gothic" w:hAnsi="Century Gothic" w:cs="Arial"/>
          <w:shd w:val="clear" w:color="auto" w:fill="FFFFFF"/>
        </w:rPr>
        <w:t xml:space="preserve"> C-027 del 1 de marzo de 2021, C-064 del 8 de marzo 2021, </w:t>
      </w:r>
      <w:r w:rsidRPr="0048630F">
        <w:rPr>
          <w:rFonts w:ascii="Century Gothic" w:eastAsia="Calibri" w:hAnsi="Century Gothic" w:cs="Arial"/>
        </w:rPr>
        <w:t xml:space="preserve">C-096 del 24 de marzo de 2021, </w:t>
      </w:r>
      <w:r w:rsidRPr="0048630F">
        <w:rPr>
          <w:rStyle w:val="normaltextrun"/>
          <w:rFonts w:ascii="Century Gothic" w:hAnsi="Century Gothic" w:cs="Arial"/>
          <w:shd w:val="clear" w:color="auto" w:fill="FFFFFF"/>
        </w:rPr>
        <w:t xml:space="preserve">C-157 del 13 de abril de 2021, </w:t>
      </w:r>
      <w:r w:rsidRPr="0048630F">
        <w:rPr>
          <w:rFonts w:ascii="Century Gothic" w:eastAsia="Calibri" w:hAnsi="Century Gothic" w:cs="Arial"/>
        </w:rPr>
        <w:t xml:space="preserve">C-056 del 20 de abril de 2021, </w:t>
      </w:r>
      <w:r w:rsidRPr="0048630F">
        <w:rPr>
          <w:rStyle w:val="normaltextrun"/>
          <w:rFonts w:ascii="Century Gothic" w:hAnsi="Century Gothic" w:cs="Arial"/>
          <w:shd w:val="clear" w:color="auto" w:fill="FFFFFF"/>
        </w:rPr>
        <w:t>C-204 del 6 de mayo de 2021, C-555 del 20 de octubre de 2021, C-691 del 28 de diciembre de 2021, C-753 del 06 de febrero de 2022, C-078 del 15 de marzo de 2022, C-321 del 17 de mayo de 2022, C-113 del 22 de marzo de 2022, C-178 C-186  del 12 de abril de 2022</w:t>
      </w:r>
      <w:r w:rsidRPr="0048630F">
        <w:rPr>
          <w:rStyle w:val="Refdenotaalpie"/>
          <w:rFonts w:ascii="Century Gothic" w:hAnsi="Century Gothic" w:cs="Arial"/>
          <w:shd w:val="clear" w:color="auto" w:fill="FFFFFF"/>
        </w:rPr>
        <w:footnoteReference w:id="1"/>
      </w:r>
      <w:r w:rsidRPr="0048630F">
        <w:rPr>
          <w:rStyle w:val="normaltextrun"/>
          <w:rFonts w:ascii="Century Gothic" w:hAnsi="Century Gothic" w:cs="Arial"/>
          <w:shd w:val="clear" w:color="auto" w:fill="FFFFFF"/>
        </w:rPr>
        <w:t xml:space="preserve"> y C-444 del 30 de junio de 2022.</w:t>
      </w:r>
    </w:p>
    <w:p w14:paraId="4EAC998F" w14:textId="77777777" w:rsidR="00747B82" w:rsidRPr="0048630F" w:rsidRDefault="00747B82" w:rsidP="00747B82">
      <w:pPr>
        <w:spacing w:line="276" w:lineRule="auto"/>
        <w:ind w:firstLine="708"/>
        <w:jc w:val="both"/>
        <w:rPr>
          <w:rFonts w:ascii="Century Gothic" w:hAnsi="Century Gothic" w:cs="Arial"/>
          <w:shd w:val="clear" w:color="auto" w:fill="FFFFFF"/>
        </w:rPr>
      </w:pPr>
      <w:r w:rsidRPr="0048630F">
        <w:rPr>
          <w:rStyle w:val="normaltextrun"/>
          <w:rFonts w:ascii="Century Gothic" w:hAnsi="Century Gothic" w:cs="Arial"/>
          <w:shd w:val="clear" w:color="auto" w:fill="FFFFFF"/>
        </w:rPr>
        <w:lastRenderedPageBreak/>
        <w:t xml:space="preserve">Así mismo, </w:t>
      </w:r>
      <w:r w:rsidRPr="0048630F">
        <w:rPr>
          <w:rFonts w:ascii="Century Gothic" w:eastAsia="Calibri" w:hAnsi="Century Gothic" w:cs="Arial"/>
        </w:rPr>
        <w:t xml:space="preserve">en el concepto con radicado No. 4201912000004987 del 14 de agosto de 2019, reiterado y desarrollado en los conceptos No. 4201913000005675 del 25 de septiembre de 2019, 4201912000005852 del 25 de septiembre de 2019, 4201912000006447 del 10 de octubre de 2019, </w:t>
      </w:r>
      <w:r w:rsidRPr="0048630F">
        <w:rPr>
          <w:rFonts w:ascii="Century Gothic" w:hAnsi="Century Gothic" w:cs="Arial"/>
        </w:rPr>
        <w:t>4201912000006498 del 7 de octubre de 2019,</w:t>
      </w:r>
      <w:r w:rsidRPr="0048630F">
        <w:rPr>
          <w:rFonts w:ascii="Century Gothic" w:eastAsia="Calibri" w:hAnsi="Century Gothic" w:cs="Arial"/>
        </w:rPr>
        <w:t xml:space="preserve"> 4201912000007471 del 13 de noviembre de 2019, C – 016 de 2020 del 21 de abril de 2020, C – 037 de 2020 del 28 de enero de 2020, C – 038 de 2020 del 28 de enero de 2020, C – 093 de 2020 del 28 de febrero de 2020, C – 133 del 30 de marzo de 2020, C – 153 del 1 de abril de 2020, C – 704 del 11 de diciembre del 2020, C – 070 del 16 de marzo de 2021, C – 204 del 6 de mayo de 2021, C – 435 de 1° de septiembre de 2021 y C-640 del 12 de noviembre de 2021 se pronunció acerca del Formulario 1 – Formulario de Presupuesto Oficial de los Documentos Tipo. Finalmente, en el concepto C-549 del 31 de agosto de 2022 se pronunció sobre el alcance y entendimiento de la causal de rechazo W. </w:t>
      </w:r>
      <w:r w:rsidRPr="0048630F">
        <w:rPr>
          <w:rStyle w:val="normaltextrun"/>
          <w:rFonts w:ascii="Century Gothic" w:hAnsi="Century Gothic" w:cs="Arial"/>
          <w:shd w:val="clear" w:color="auto" w:fill="FFFFFF"/>
        </w:rPr>
        <w:t>Las tesis desarrolladas en estos conceptos se reiteran a continuación y se complementan en lo pertinente.</w:t>
      </w:r>
    </w:p>
    <w:p w14:paraId="4E8BCF4D" w14:textId="77777777" w:rsidR="00747B82" w:rsidRPr="0048630F" w:rsidRDefault="00747B82" w:rsidP="00747B82">
      <w:pPr>
        <w:spacing w:line="276" w:lineRule="auto"/>
        <w:jc w:val="both"/>
        <w:rPr>
          <w:rFonts w:ascii="Century Gothic" w:eastAsia="Calibri" w:hAnsi="Century Gothic" w:cs="Arial"/>
          <w:b/>
          <w:bCs/>
        </w:rPr>
      </w:pPr>
      <w:r w:rsidRPr="0048630F">
        <w:rPr>
          <w:rFonts w:ascii="Century Gothic" w:eastAsia="Calibri" w:hAnsi="Century Gothic" w:cs="Arial"/>
          <w:b/>
          <w:bCs/>
        </w:rPr>
        <w:t>2.1. Expedición de los documentos tipo de obra pública de infraestructura de transporte</w:t>
      </w:r>
    </w:p>
    <w:p w14:paraId="649C9A55" w14:textId="77777777" w:rsidR="00747B82" w:rsidRPr="0048630F" w:rsidRDefault="00747B82" w:rsidP="00747B82">
      <w:pPr>
        <w:spacing w:after="120" w:line="276" w:lineRule="auto"/>
        <w:jc w:val="both"/>
        <w:rPr>
          <w:rFonts w:ascii="Century Gothic" w:eastAsia="Calibri" w:hAnsi="Century Gothic" w:cs="Arial"/>
          <w:bdr w:val="none" w:sz="0" w:space="0" w:color="auto" w:frame="1"/>
          <w:lang w:eastAsia="es-CO"/>
        </w:rPr>
      </w:pPr>
      <w:r w:rsidRPr="0048630F">
        <w:rPr>
          <w:rFonts w:ascii="Century Gothic" w:eastAsia="Calibri" w:hAnsi="Century Gothic" w:cs="Arial"/>
          <w:bdr w:val="none" w:sz="0" w:space="0" w:color="auto" w:frame="1"/>
          <w:lang w:eastAsia="es-CO"/>
        </w:rPr>
        <w:t>Los pliegos tipo tiene su origen en el 2007, cuando el legislador facultó al Gobierno Nacional para adoptarlos en la compra o suministro de bienes de características técnicas uniformes</w:t>
      </w:r>
      <w:r w:rsidRPr="0048630F">
        <w:rPr>
          <w:rFonts w:ascii="Century Gothic" w:eastAsia="Calibri" w:hAnsi="Century Gothic" w:cs="Arial"/>
          <w:bdr w:val="none" w:sz="0" w:space="0" w:color="auto" w:frame="1"/>
          <w:vertAlign w:val="superscript"/>
          <w:lang w:eastAsia="es-CO"/>
        </w:rPr>
        <w:footnoteReference w:id="2"/>
      </w:r>
      <w:r w:rsidRPr="0048630F">
        <w:rPr>
          <w:rFonts w:ascii="Century Gothic" w:eastAsia="Calibri" w:hAnsi="Century Gothic" w:cs="Arial"/>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48630F">
        <w:rPr>
          <w:rFonts w:ascii="Century Gothic" w:eastAsia="Calibri" w:hAnsi="Century Gothic" w:cs="Arial"/>
          <w:bdr w:val="none" w:sz="0" w:space="0" w:color="auto" w:frame="1"/>
          <w:vertAlign w:val="superscript"/>
          <w:lang w:eastAsia="es-CO"/>
        </w:rPr>
        <w:footnoteReference w:id="3"/>
      </w:r>
      <w:r w:rsidRPr="0048630F">
        <w:rPr>
          <w:rFonts w:ascii="Century Gothic" w:eastAsia="Calibri" w:hAnsi="Century Gothic" w:cs="Arial"/>
          <w:bdr w:val="none" w:sz="0" w:space="0" w:color="auto" w:frame="1"/>
          <w:lang w:eastAsia="es-CO"/>
        </w:rPr>
        <w:t>. </w:t>
      </w:r>
    </w:p>
    <w:p w14:paraId="66D99527" w14:textId="77777777" w:rsidR="00747B82" w:rsidRPr="0048630F" w:rsidRDefault="00747B82" w:rsidP="00747B82">
      <w:pPr>
        <w:shd w:val="clear" w:color="auto" w:fill="FFFFFF" w:themeFill="background1"/>
        <w:spacing w:line="276" w:lineRule="auto"/>
        <w:ind w:firstLine="708"/>
        <w:jc w:val="both"/>
        <w:rPr>
          <w:rFonts w:ascii="Century Gothic" w:eastAsia="Calibri" w:hAnsi="Century Gothic" w:cs="Arial"/>
          <w:bdr w:val="none" w:sz="0" w:space="0" w:color="auto" w:frame="1"/>
          <w:lang w:eastAsia="es-CO"/>
        </w:rPr>
      </w:pPr>
      <w:r w:rsidRPr="0048630F">
        <w:rPr>
          <w:rFonts w:ascii="Century Gothic" w:eastAsia="Calibri" w:hAnsi="Century Gothic" w:cs="Arial"/>
          <w:bdr w:val="none" w:sz="0" w:space="0" w:color="auto" w:frame="1"/>
          <w:lang w:eastAsia="es-CO"/>
        </w:rPr>
        <w:t>La intención era agilizar y generar la mayor transparencia a los procedimientos de selección, así como evitar su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48630F">
        <w:rPr>
          <w:rFonts w:ascii="Century Gothic" w:eastAsia="Calibri" w:hAnsi="Century Gothic" w:cs="Arial"/>
          <w:bdr w:val="none" w:sz="0" w:space="0" w:color="auto" w:frame="1"/>
          <w:vertAlign w:val="superscript"/>
          <w:lang w:eastAsia="es-CO"/>
        </w:rPr>
        <w:footnoteReference w:id="4"/>
      </w:r>
      <w:r w:rsidRPr="0048630F">
        <w:rPr>
          <w:rFonts w:ascii="Century Gothic" w:eastAsia="Calibri" w:hAnsi="Century Gothic" w:cs="Arial"/>
          <w:bdr w:val="none" w:sz="0" w:space="0" w:color="auto" w:frame="1"/>
          <w:lang w:eastAsia="es-CO"/>
        </w:rPr>
        <w:t xml:space="preserve">. Sin embargo, en el texto aprobado, los pliegos </w:t>
      </w:r>
      <w:r w:rsidRPr="0048630F">
        <w:rPr>
          <w:rFonts w:ascii="Century Gothic" w:eastAsia="Calibri" w:hAnsi="Century Gothic" w:cs="Arial"/>
          <w:bdr w:val="none" w:sz="0" w:space="0" w:color="auto" w:frame="1"/>
          <w:lang w:eastAsia="es-CO"/>
        </w:rPr>
        <w:lastRenderedPageBreak/>
        <w:t>tipo se limitaron a la adquisición o suministro de bienes de características técnicas uniformes</w:t>
      </w:r>
      <w:r w:rsidRPr="0048630F">
        <w:rPr>
          <w:rFonts w:ascii="Century Gothic" w:eastAsia="Calibri" w:hAnsi="Century Gothic" w:cs="Arial"/>
          <w:bdr w:val="none" w:sz="0" w:space="0" w:color="auto" w:frame="1"/>
          <w:vertAlign w:val="superscript"/>
          <w:lang w:eastAsia="es-CO"/>
        </w:rPr>
        <w:footnoteReference w:id="5"/>
      </w:r>
      <w:r w:rsidRPr="0048630F">
        <w:rPr>
          <w:rFonts w:ascii="Century Gothic" w:eastAsia="Calibri" w:hAnsi="Century Gothic" w:cs="Arial"/>
          <w:bdr w:val="none" w:sz="0" w:space="0" w:color="auto" w:frame="1"/>
          <w:lang w:eastAsia="es-CO"/>
        </w:rPr>
        <w:t>. La competencia para adoptar documentos tipo fue ampliada con la expedición de la Ley 1882 de 2018, la cual en su artículo 4 adicionó el   parágrafo 7º del artículo 2 de la Ley 1150 de 2007</w:t>
      </w:r>
      <w:proofErr w:type="gramStart"/>
      <w:r w:rsidRPr="0048630F">
        <w:rPr>
          <w:rFonts w:ascii="Century Gothic" w:eastAsia="Calibri" w:hAnsi="Century Gothic" w:cs="Arial"/>
          <w:bdr w:val="none" w:sz="0" w:space="0" w:color="auto" w:frame="1"/>
          <w:lang w:eastAsia="es-CO"/>
        </w:rPr>
        <w:t>, ,</w:t>
      </w:r>
      <w:proofErr w:type="gramEnd"/>
      <w:r w:rsidRPr="0048630F">
        <w:rPr>
          <w:rFonts w:ascii="Century Gothic" w:eastAsia="Calibri" w:hAnsi="Century Gothic" w:cs="Arial"/>
          <w:bdr w:val="none" w:sz="0" w:space="0" w:color="auto" w:frame="1"/>
          <w:lang w:eastAsia="es-CO"/>
        </w:rPr>
        <w:t xml:space="preserve"> en los siguientes términos: </w:t>
      </w:r>
    </w:p>
    <w:p w14:paraId="443BF70C" w14:textId="77777777" w:rsidR="00747B82" w:rsidRPr="0048630F" w:rsidRDefault="00747B82" w:rsidP="00747B82">
      <w:pPr>
        <w:shd w:val="clear" w:color="auto" w:fill="FFFFFF" w:themeFill="background1"/>
        <w:spacing w:line="276" w:lineRule="auto"/>
        <w:ind w:firstLine="709"/>
        <w:jc w:val="both"/>
        <w:rPr>
          <w:rFonts w:ascii="Century Gothic" w:eastAsia="Calibri" w:hAnsi="Century Gothic" w:cs="Arial"/>
          <w:sz w:val="20"/>
          <w:szCs w:val="20"/>
          <w:bdr w:val="none" w:sz="0" w:space="0" w:color="auto" w:frame="1"/>
          <w:lang w:eastAsia="es-CO"/>
        </w:rPr>
      </w:pPr>
      <w:r w:rsidRPr="0048630F">
        <w:rPr>
          <w:rFonts w:ascii="Century Gothic" w:hAnsi="Century Gothic" w:cs="Arial"/>
          <w:color w:val="000000" w:themeColor="text1"/>
          <w:sz w:val="20"/>
          <w:szCs w:val="20"/>
          <w:lang w:val="es-ES"/>
        </w:rPr>
        <w:t>“</w:t>
      </w:r>
      <w:r w:rsidRPr="0048630F">
        <w:rPr>
          <w:rFonts w:ascii="Century Gothic" w:eastAsia="Calibri" w:hAnsi="Century Gothic" w:cs="Arial"/>
          <w:sz w:val="20"/>
          <w:szCs w:val="20"/>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8630F">
        <w:rPr>
          <w:rFonts w:ascii="Century Gothic" w:eastAsia="Calibri" w:hAnsi="Century Gothic" w:cs="Arial"/>
          <w:i/>
          <w:iCs/>
          <w:sz w:val="20"/>
          <w:szCs w:val="20"/>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8630F">
        <w:rPr>
          <w:rFonts w:ascii="Century Gothic" w:eastAsia="Calibri" w:hAnsi="Century Gothic" w:cs="Arial"/>
          <w:sz w:val="20"/>
          <w:szCs w:val="20"/>
          <w:bdr w:val="none" w:sz="0" w:space="0" w:color="auto" w:frame="1"/>
          <w:lang w:eastAsia="es-CO"/>
        </w:rPr>
        <w:t> […] </w:t>
      </w:r>
      <w:r w:rsidRPr="0048630F">
        <w:rPr>
          <w:rFonts w:ascii="Century Gothic" w:eastAsia="Calibri" w:hAnsi="Century Gothic" w:cs="Arial"/>
          <w:i/>
          <w:iCs/>
          <w:sz w:val="20"/>
          <w:szCs w:val="20"/>
          <w:bdr w:val="none" w:sz="0" w:space="0" w:color="auto" w:frame="1"/>
          <w:lang w:eastAsia="es-CO"/>
        </w:rPr>
        <w:t>teniendo en cuenta la naturaleza y cuantía de los contratos</w:t>
      </w:r>
      <w:r w:rsidRPr="0048630F">
        <w:rPr>
          <w:rFonts w:ascii="Century Gothic" w:eastAsia="Calibri" w:hAnsi="Century Gothic" w:cs="Arial"/>
          <w:sz w:val="20"/>
          <w:szCs w:val="20"/>
          <w:bdr w:val="none" w:sz="0" w:space="0" w:color="auto" w:frame="1"/>
          <w:lang w:eastAsia="es-CO"/>
        </w:rPr>
        <w:t> […]</w:t>
      </w:r>
      <w:r w:rsidRPr="0048630F">
        <w:rPr>
          <w:rFonts w:ascii="Century Gothic" w:hAnsi="Century Gothic" w:cs="Arial"/>
          <w:color w:val="000000" w:themeColor="text1"/>
          <w:sz w:val="20"/>
          <w:szCs w:val="20"/>
          <w:lang w:val="es-ES"/>
        </w:rPr>
        <w:t>”</w:t>
      </w:r>
      <w:r w:rsidRPr="0048630F">
        <w:rPr>
          <w:rFonts w:ascii="Century Gothic" w:eastAsia="Calibri" w:hAnsi="Century Gothic" w:cs="Arial"/>
          <w:sz w:val="20"/>
          <w:szCs w:val="20"/>
          <w:bdr w:val="none" w:sz="0" w:space="0" w:color="auto" w:frame="1"/>
          <w:lang w:eastAsia="es-CO"/>
        </w:rPr>
        <w:t>. (Énfasis fuera de texto) </w:t>
      </w:r>
    </w:p>
    <w:p w14:paraId="4B816731" w14:textId="77777777" w:rsidR="00747B82" w:rsidRPr="0048630F" w:rsidRDefault="00747B82" w:rsidP="00747B82">
      <w:pPr>
        <w:shd w:val="clear" w:color="auto" w:fill="FFFFFF" w:themeFill="background1"/>
        <w:spacing w:after="120" w:line="276" w:lineRule="auto"/>
        <w:ind w:left="709" w:right="709"/>
        <w:jc w:val="both"/>
        <w:rPr>
          <w:rFonts w:ascii="Century Gothic" w:eastAsia="Calibri" w:hAnsi="Century Gothic" w:cs="Arial"/>
          <w:bdr w:val="none" w:sz="0" w:space="0" w:color="auto" w:frame="1"/>
          <w:lang w:eastAsia="es-CO"/>
        </w:rPr>
      </w:pPr>
      <w:r w:rsidRPr="0048630F">
        <w:rPr>
          <w:rFonts w:ascii="Century Gothic" w:eastAsia="Calibri" w:hAnsi="Century Gothic" w:cs="Arial"/>
          <w:bdr w:val="none" w:sz="0" w:space="0" w:color="auto" w:frame="1"/>
          <w:lang w:eastAsia="es-CO"/>
        </w:rPr>
        <w:t>Posteriormente, fue expedida la Ley 2022 de 2020, la cual modificó el artículo 4 de la Ley 1882 de 2018 en relación con los siguientes aspectos: i) el sujeto encargado de adoptar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48630F">
        <w:rPr>
          <w:rFonts w:ascii="Century Gothic" w:eastAsia="Calibri" w:hAnsi="Century Gothic" w:cs="Arial"/>
          <w:bdr w:val="none" w:sz="0" w:space="0" w:color="auto" w:frame="1"/>
          <w:vertAlign w:val="superscript"/>
          <w:lang w:eastAsia="es-CO"/>
        </w:rPr>
        <w:footnoteReference w:id="6"/>
      </w:r>
      <w:r w:rsidRPr="0048630F">
        <w:rPr>
          <w:rFonts w:ascii="Century Gothic" w:eastAsia="Calibri" w:hAnsi="Century Gothic" w:cs="Arial"/>
          <w:bdr w:val="none" w:sz="0" w:space="0" w:color="auto" w:frame="1"/>
          <w:lang w:eastAsia="es-CO"/>
        </w:rPr>
        <w:t>.  </w:t>
      </w:r>
    </w:p>
    <w:p w14:paraId="3E60A8DB" w14:textId="77777777" w:rsidR="00747B82" w:rsidRPr="0048630F" w:rsidRDefault="00747B82" w:rsidP="00747B82">
      <w:pPr>
        <w:spacing w:after="120" w:line="276" w:lineRule="auto"/>
        <w:ind w:firstLine="709"/>
        <w:jc w:val="both"/>
        <w:rPr>
          <w:rFonts w:ascii="Century Gothic" w:eastAsia="Times New Roman" w:hAnsi="Century Gothic" w:cs="Arial"/>
          <w:bdr w:val="none" w:sz="0" w:space="0" w:color="auto" w:frame="1"/>
          <w:lang w:val="es-ES" w:eastAsia="es-CO"/>
        </w:rPr>
      </w:pPr>
      <w:r w:rsidRPr="0048630F">
        <w:rPr>
          <w:rFonts w:ascii="Century Gothic" w:eastAsia="Calibri" w:hAnsi="Century Gothic" w:cs="Arial"/>
          <w:bdr w:val="none" w:sz="0" w:space="0" w:color="auto" w:frame="1"/>
          <w:lang w:eastAsia="es-CO"/>
        </w:rPr>
        <w:lastRenderedPageBreak/>
        <w:t>Con fundamento en las disposiciones anteriores</w:t>
      </w:r>
      <w:r w:rsidRPr="0048630F">
        <w:rPr>
          <w:rFonts w:ascii="Century Gothic" w:eastAsia="Times New Roman" w:hAnsi="Century Gothic" w:cs="Arial"/>
          <w:bdr w:val="none" w:sz="0" w:space="0" w:color="auto" w:frame="1"/>
          <w:lang w:val="es-ES" w:eastAsia="es-CO"/>
        </w:rPr>
        <w:t>, la Agencia Nacional de Contratación Pública – Colombia Compra Eficiente expidió las Resoluciones No. 240 y 241 del 27 de noviembre 2020, mediante las cuales se adoptan los documentos tipo de licitación de obra pública de infraestructura de transporte –versión 3– y de selección abreviada de menor cuantía de obra de infraestructura de transporte –versión 2</w:t>
      </w:r>
      <w:r w:rsidRPr="0048630F">
        <w:rPr>
          <w:rFonts w:ascii="Century Gothic" w:eastAsia="Times New Roman" w:hAnsi="Century Gothic" w:cs="Arial"/>
          <w:bdr w:val="none" w:sz="0" w:space="0" w:color="auto" w:frame="1"/>
          <w:lang w:val="es-ES" w:eastAsia="es-CO"/>
        </w:rPr>
        <w:softHyphen/>
        <w:t xml:space="preserve">–. Estas versiones de los documentos tipo son obligatorias a partir del 1º de enero de 2021. No obstante, con la expedición de la Ley de Emprendimiento, estos se modificaron parcialmente mediante la Resolución No. 161 del 17 de junio de 2021 </w:t>
      </w:r>
      <w:r w:rsidRPr="0048630F">
        <w:rPr>
          <w:rFonts w:ascii="Century Gothic" w:eastAsia="Times New Roman" w:hAnsi="Century Gothic" w:cs="Arial"/>
          <w:lang w:val="es-ES" w:eastAsia="es-CO"/>
        </w:rPr>
        <w:t>“</w:t>
      </w:r>
      <w:r w:rsidRPr="0048630F">
        <w:rPr>
          <w:rFonts w:ascii="Century Gothic" w:eastAsia="Times New Roman" w:hAnsi="Century Gothic" w:cs="Arial"/>
          <w:bdr w:val="none" w:sz="0" w:space="0" w:color="auto" w:frame="1"/>
          <w:lang w:val="es-ES" w:eastAsia="es-CO"/>
        </w:rPr>
        <w:t>Por la cual se modifican los documentos tipo adoptados por la Agencia Nacional de Contratación Pública – Colombia Compra Eficiente</w:t>
      </w:r>
      <w:r w:rsidRPr="0048630F">
        <w:rPr>
          <w:rFonts w:ascii="Century Gothic" w:eastAsia="Times New Roman" w:hAnsi="Century Gothic" w:cs="Arial"/>
          <w:lang w:val="es-ES" w:eastAsia="es-CO"/>
        </w:rPr>
        <w:t>”</w:t>
      </w:r>
      <w:r w:rsidRPr="0048630F">
        <w:rPr>
          <w:rFonts w:ascii="Century Gothic" w:eastAsia="Times New Roman" w:hAnsi="Century Gothic" w:cs="Arial"/>
          <w:bdr w:val="none" w:sz="0" w:space="0" w:color="auto" w:frame="1"/>
          <w:lang w:val="es-ES" w:eastAsia="es-CO"/>
        </w:rPr>
        <w:t>, la cual rige para los procedimientos de selección cuya invitación o aviso de convocatoria se publique a partir del 28 de junio de 2021. De igual manera, se adoptaron los documentos tipo de mínima cuantía de obra pública de infraestructura de transporte mediante la Resolución 094 del 21 de mayo de 2020</w:t>
      </w:r>
      <w:r w:rsidRPr="0048630F">
        <w:rPr>
          <w:rStyle w:val="Refdenotaalpie"/>
          <w:rFonts w:ascii="Century Gothic" w:eastAsia="Calibri" w:hAnsi="Century Gothic" w:cs="Arial"/>
        </w:rPr>
        <w:footnoteReference w:id="7"/>
      </w:r>
      <w:r w:rsidRPr="0048630F">
        <w:rPr>
          <w:rFonts w:ascii="Century Gothic" w:eastAsia="Times New Roman" w:hAnsi="Century Gothic" w:cs="Arial"/>
          <w:bdr w:val="none" w:sz="0" w:space="0" w:color="auto" w:frame="1"/>
          <w:lang w:val="es-ES" w:eastAsia="es-CO"/>
        </w:rPr>
        <w:t>.</w:t>
      </w:r>
    </w:p>
    <w:p w14:paraId="1D3A9C2C" w14:textId="77777777" w:rsidR="00747B82" w:rsidRPr="0048630F" w:rsidRDefault="00747B82" w:rsidP="00747B82">
      <w:pPr>
        <w:spacing w:after="120" w:line="276" w:lineRule="auto"/>
        <w:ind w:firstLine="709"/>
        <w:jc w:val="both"/>
        <w:rPr>
          <w:rFonts w:ascii="Century Gothic" w:eastAsia="Times New Roman" w:hAnsi="Century Gothic" w:cs="Arial"/>
          <w:bdr w:val="none" w:sz="0" w:space="0" w:color="auto" w:frame="1"/>
          <w:lang w:val="es-ES" w:eastAsia="es-CO"/>
        </w:rPr>
      </w:pPr>
      <w:r w:rsidRPr="0048630F">
        <w:rPr>
          <w:rFonts w:ascii="Century Gothic" w:eastAsia="Times New Roman" w:hAnsi="Century Gothic" w:cs="Arial"/>
          <w:bdr w:val="none" w:sz="0" w:space="0" w:color="auto" w:frame="1"/>
          <w:lang w:val="es-ES" w:eastAsia="es-CO"/>
        </w:rPr>
        <w:t xml:space="preserve">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w:t>
      </w:r>
      <w:r w:rsidRPr="0048630F">
        <w:rPr>
          <w:rFonts w:ascii="Century Gothic" w:eastAsia="Times New Roman" w:hAnsi="Century Gothic" w:cs="Arial"/>
          <w:bdr w:val="none" w:sz="0" w:space="0" w:color="auto" w:frame="1"/>
          <w:lang w:val="es-ES" w:eastAsia="es-CO"/>
        </w:rPr>
        <w:lastRenderedPageBreak/>
        <w:t xml:space="preserve">contratación cuyo aviso de convocatoria se publique a partir del 2 de noviembre de 2021. </w:t>
      </w:r>
    </w:p>
    <w:p w14:paraId="6C8609D1" w14:textId="77777777" w:rsidR="00747B82" w:rsidRPr="0048630F" w:rsidRDefault="00747B82" w:rsidP="00747B82">
      <w:pPr>
        <w:spacing w:after="120" w:line="276" w:lineRule="auto"/>
        <w:ind w:firstLine="709"/>
        <w:jc w:val="both"/>
        <w:rPr>
          <w:rFonts w:ascii="Century Gothic" w:hAnsi="Century Gothic" w:cs="Arial"/>
          <w:color w:val="000000" w:themeColor="text1"/>
          <w:spacing w:val="2"/>
          <w:lang w:eastAsia="es-CO"/>
        </w:rPr>
      </w:pPr>
      <w:r w:rsidRPr="0048630F">
        <w:rPr>
          <w:rFonts w:ascii="Century Gothic" w:hAnsi="Century Gothic" w:cs="Arial"/>
          <w:color w:val="000000" w:themeColor="text1"/>
          <w:spacing w:val="2"/>
          <w:lang w:eastAsia="es-CO"/>
        </w:rPr>
        <w:t xml:space="preserve">Finalmente, teniendo en cuenta la expedición del Decreto 1860 del 24 de diciembre de 2021, que modificó el Decreto 1082 de 2015 y reglamentó los artículos 30, 31, 32, 34 y 35 de la Ley 2069 de 2020, la Agencia modificó los diferentes documentos tipo que había expedido hasta ese momento, con la finalidad de hacerlos compatibles con la nueva regulación, por lo que se expidió la Resolución 275 del 24 de junio de 2022, “Por la cual se modifican los documentos tipo adoptados por la Agencia Nacional de Contratación Pública – Colombia Compra Eficiente”. </w:t>
      </w:r>
    </w:p>
    <w:p w14:paraId="6D337BDA" w14:textId="77777777" w:rsidR="00747B82" w:rsidRPr="0048630F" w:rsidRDefault="00747B82" w:rsidP="00747B82">
      <w:pPr>
        <w:spacing w:line="276" w:lineRule="auto"/>
        <w:jc w:val="both"/>
        <w:rPr>
          <w:rFonts w:ascii="Century Gothic" w:eastAsia="Calibri" w:hAnsi="Century Gothic" w:cs="Arial"/>
          <w:b/>
          <w:bCs/>
          <w:color w:val="000000"/>
          <w:lang w:eastAsia="en-GB"/>
        </w:rPr>
      </w:pPr>
      <w:r w:rsidRPr="0048630F">
        <w:rPr>
          <w:rFonts w:ascii="Century Gothic" w:eastAsia="Calibri" w:hAnsi="Century Gothic" w:cs="Arial"/>
          <w:b/>
          <w:bCs/>
          <w:color w:val="000000" w:themeColor="text1"/>
          <w:lang w:val="es-ES"/>
        </w:rPr>
        <w:t>2.2. E</w:t>
      </w:r>
      <w:r w:rsidRPr="0048630F">
        <w:rPr>
          <w:rFonts w:ascii="Century Gothic" w:eastAsia="Calibri" w:hAnsi="Century Gothic" w:cs="Arial"/>
          <w:b/>
          <w:bCs/>
          <w:lang w:val="es-ES"/>
        </w:rPr>
        <w:t>l “Formulario 1 – Formulario de Presupuesto Oficial</w:t>
      </w:r>
      <w:r w:rsidRPr="0048630F">
        <w:rPr>
          <w:rFonts w:ascii="Century Gothic" w:eastAsia="Calibri" w:hAnsi="Century Gothic" w:cs="Arial"/>
          <w:lang w:val="es-ES" w:eastAsia="es-ES" w:bidi="es-ES"/>
        </w:rPr>
        <w:t>”</w:t>
      </w:r>
      <w:r w:rsidRPr="0048630F">
        <w:rPr>
          <w:rFonts w:ascii="Century Gothic" w:eastAsia="Calibri" w:hAnsi="Century Gothic" w:cs="Arial"/>
          <w:b/>
          <w:bCs/>
          <w:lang w:val="es-ES"/>
        </w:rPr>
        <w:t xml:space="preserve"> </w:t>
      </w:r>
    </w:p>
    <w:p w14:paraId="6B234DCF" w14:textId="77777777" w:rsidR="00747B82" w:rsidRPr="0048630F" w:rsidRDefault="00747B82" w:rsidP="00747B82">
      <w:pPr>
        <w:widowControl w:val="0"/>
        <w:autoSpaceDE w:val="0"/>
        <w:autoSpaceDN w:val="0"/>
        <w:spacing w:after="120" w:line="276" w:lineRule="auto"/>
        <w:jc w:val="both"/>
        <w:rPr>
          <w:rFonts w:ascii="Century Gothic" w:eastAsia="Arial" w:hAnsi="Century Gothic" w:cs="Arial"/>
          <w:lang w:eastAsia="es-ES" w:bidi="es-ES"/>
        </w:rPr>
      </w:pPr>
      <w:r w:rsidRPr="0048630F">
        <w:rPr>
          <w:rFonts w:ascii="Century Gothic" w:eastAsia="Arial" w:hAnsi="Century Gothic" w:cs="Arial"/>
          <w:lang w:val="es-ES" w:eastAsia="es-ES" w:bidi="es-ES"/>
        </w:rPr>
        <w:t xml:space="preserve">Los documentos tipo para los procesos de licitación pública, menor cuantía y mínima cuantía de infraestructura de transporte, </w:t>
      </w:r>
      <w:r w:rsidRPr="0048630F">
        <w:rPr>
          <w:rFonts w:ascii="Century Gothic" w:eastAsia="Calibri" w:hAnsi="Century Gothic" w:cs="Arial"/>
        </w:rPr>
        <w:t xml:space="preserve">contemplan el </w:t>
      </w:r>
      <w:r w:rsidRPr="0048630F">
        <w:rPr>
          <w:rFonts w:ascii="Century Gothic" w:eastAsia="Arial" w:hAnsi="Century Gothic" w:cs="Arial"/>
          <w:lang w:val="es-ES" w:eastAsia="es-ES" w:bidi="es-ES"/>
        </w:rPr>
        <w:t>“Formulario 1 - Formulario de Presupuesto Oficial</w:t>
      </w:r>
      <w:r w:rsidRPr="0048630F">
        <w:rPr>
          <w:rFonts w:ascii="Century Gothic" w:eastAsia="Calibri" w:hAnsi="Century Gothic" w:cs="Arial"/>
          <w:lang w:val="es-ES" w:eastAsia="es-ES" w:bidi="es-ES"/>
        </w:rPr>
        <w:t>”</w:t>
      </w:r>
      <w:r w:rsidRPr="0048630F">
        <w:rPr>
          <w:rFonts w:ascii="Century Gothic" w:eastAsia="Arial" w:hAnsi="Century Gothic" w:cs="Arial"/>
          <w:lang w:val="es-ES" w:eastAsia="es-ES" w:bidi="es-ES"/>
        </w:rPr>
        <w:t>, empleado por</w:t>
      </w:r>
      <w:r w:rsidRPr="0048630F">
        <w:rPr>
          <w:rFonts w:ascii="Century Gothic" w:eastAsia="Arial" w:hAnsi="Century Gothic" w:cs="Arial"/>
          <w:lang w:eastAsia="es-ES" w:bidi="es-ES"/>
        </w:rPr>
        <w:t xml:space="preserve"> la entidad para elaborar y presentar el presupuesto oficial, y mediante el cual el proponente estructura la oferta económica. </w:t>
      </w:r>
    </w:p>
    <w:p w14:paraId="446CE287" w14:textId="77777777" w:rsidR="00747B82" w:rsidRPr="0048630F" w:rsidRDefault="00747B82" w:rsidP="00747B82">
      <w:pPr>
        <w:widowControl w:val="0"/>
        <w:autoSpaceDE w:val="0"/>
        <w:autoSpaceDN w:val="0"/>
        <w:spacing w:before="120" w:line="276" w:lineRule="auto"/>
        <w:ind w:firstLine="709"/>
        <w:jc w:val="both"/>
        <w:rPr>
          <w:rFonts w:ascii="Century Gothic" w:eastAsia="Calibri" w:hAnsi="Century Gothic" w:cs="Arial"/>
          <w:lang w:val="es-ES"/>
        </w:rPr>
      </w:pPr>
      <w:r w:rsidRPr="0048630F">
        <w:rPr>
          <w:rFonts w:ascii="Century Gothic" w:eastAsia="Calibri" w:hAnsi="Century Gothic" w:cs="Arial"/>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48630F">
        <w:rPr>
          <w:rFonts w:ascii="Century Gothic" w:eastAsia="Calibri" w:hAnsi="Century Gothic" w:cs="Arial"/>
          <w:vertAlign w:val="superscript"/>
          <w:lang w:val="es-ES"/>
        </w:rPr>
        <w:footnoteReference w:id="8"/>
      </w:r>
      <w:r w:rsidRPr="0048630F">
        <w:rPr>
          <w:rFonts w:ascii="Century Gothic" w:eastAsia="Calibri" w:hAnsi="Century Gothic" w:cs="Arial"/>
          <w:lang w:val="es-ES"/>
        </w:rPr>
        <w:t>, como el objeto, alcance, obras a ejecutar, actividades, cantidades, particularidades de la zona de ejecución del proyecto, disponibilidad y distancia de fuentes de materiales, entre otros.</w:t>
      </w:r>
    </w:p>
    <w:p w14:paraId="203B3747" w14:textId="77777777" w:rsidR="00747B82" w:rsidRPr="0048630F" w:rsidRDefault="00747B82" w:rsidP="00747B82">
      <w:pPr>
        <w:widowControl w:val="0"/>
        <w:autoSpaceDE w:val="0"/>
        <w:autoSpaceDN w:val="0"/>
        <w:spacing w:before="120" w:after="120" w:line="276" w:lineRule="auto"/>
        <w:ind w:firstLine="709"/>
        <w:jc w:val="both"/>
        <w:rPr>
          <w:rFonts w:ascii="Century Gothic" w:eastAsia="Calibri" w:hAnsi="Century Gothic" w:cs="Arial"/>
        </w:rPr>
      </w:pPr>
      <w:r w:rsidRPr="0048630F">
        <w:rPr>
          <w:rFonts w:ascii="Century Gothic" w:eastAsia="Calibri" w:hAnsi="Century Gothic" w:cs="Arial"/>
          <w:lang w:val="es-ES"/>
        </w:rPr>
        <w:t xml:space="preserve">En los documentos tipo </w:t>
      </w:r>
      <w:r w:rsidRPr="0048630F">
        <w:rPr>
          <w:rFonts w:ascii="Century Gothic" w:eastAsia="Arial" w:hAnsi="Century Gothic" w:cs="Arial"/>
          <w:lang w:val="es-ES" w:eastAsia="es-ES" w:bidi="es-ES"/>
        </w:rPr>
        <w:t xml:space="preserve">para los procesos de licitación pública, menor cuantía y mínima cuantía de obra de infraestructura de transporte </w:t>
      </w:r>
      <w:r w:rsidRPr="0048630F">
        <w:rPr>
          <w:rFonts w:ascii="Century Gothic" w:eastAsia="Calibri" w:hAnsi="Century Gothic" w:cs="Arial"/>
          <w:lang w:val="es-ES"/>
        </w:rPr>
        <w:t xml:space="preserve">el “Formulario 1 – Formulario de Presupuesto Oficial” tiene dos connotaciones: i) por un lado, </w:t>
      </w:r>
      <w:r w:rsidRPr="0048630F">
        <w:rPr>
          <w:rFonts w:ascii="Century Gothic" w:eastAsia="Calibri" w:hAnsi="Century Gothic" w:cs="Arial"/>
        </w:rPr>
        <w:t>es el formulario sobre el cual la entidad estructura y presenta el presupuesto oficial del procedimiento de contratación; y ii) por el otro, es el formulario sobre el cual los proponentes elaboran y presentan su oferta económica. El propósito de esto es evitar la duplicidad de información y permitir que las propuestas económicas sean evaluadas con las variables, cantidades, unidades de medida y reglas consideradas por la entidad al estructurar su presupuesto oficial.</w:t>
      </w:r>
    </w:p>
    <w:p w14:paraId="1AC4574B" w14:textId="77777777" w:rsidR="00747B82" w:rsidRPr="0048630F" w:rsidRDefault="00747B82" w:rsidP="00747B82">
      <w:pPr>
        <w:widowControl w:val="0"/>
        <w:autoSpaceDE w:val="0"/>
        <w:autoSpaceDN w:val="0"/>
        <w:spacing w:after="120" w:line="276" w:lineRule="auto"/>
        <w:ind w:firstLine="709"/>
        <w:jc w:val="both"/>
        <w:rPr>
          <w:rFonts w:ascii="Century Gothic" w:eastAsia="Arial" w:hAnsi="Century Gothic" w:cs="Arial"/>
          <w:lang w:val="es-ES" w:eastAsia="es-ES" w:bidi="es-ES"/>
        </w:rPr>
      </w:pPr>
      <w:r w:rsidRPr="0048630F">
        <w:rPr>
          <w:rFonts w:ascii="Century Gothic" w:eastAsia="Arial" w:hAnsi="Century Gothic" w:cs="Arial"/>
          <w:lang w:eastAsia="es-ES" w:bidi="es-ES"/>
        </w:rPr>
        <w:t xml:space="preserve">En ese contexto, se tiene, que en </w:t>
      </w:r>
      <w:r w:rsidRPr="0048630F">
        <w:rPr>
          <w:rFonts w:ascii="Century Gothic" w:eastAsia="Arial" w:hAnsi="Century Gothic" w:cs="Arial"/>
          <w:lang w:val="es-ES" w:eastAsia="es-ES" w:bidi="es-ES"/>
        </w:rPr>
        <w:t xml:space="preserve">la primera hoja del Formulario 1, que corresponde al presupuesto oficial, la entidad debe enlistar los </w:t>
      </w:r>
      <w:r w:rsidRPr="0048630F">
        <w:rPr>
          <w:rFonts w:ascii="Century Gothic" w:eastAsia="Arial" w:hAnsi="Century Gothic" w:cs="Arial"/>
          <w:i/>
          <w:iCs/>
          <w:lang w:val="es-ES" w:eastAsia="es-ES" w:bidi="es-ES"/>
        </w:rPr>
        <w:t xml:space="preserve">ítems de pago </w:t>
      </w:r>
      <w:r w:rsidRPr="0048630F">
        <w:rPr>
          <w:rFonts w:ascii="Century Gothic" w:eastAsia="Arial" w:hAnsi="Century Gothic" w:cs="Arial"/>
          <w:lang w:val="es-ES" w:eastAsia="es-ES" w:bidi="es-ES"/>
        </w:rPr>
        <w:t xml:space="preserve">de </w:t>
      </w:r>
      <w:r w:rsidRPr="0048630F">
        <w:rPr>
          <w:rFonts w:ascii="Century Gothic" w:eastAsia="Arial" w:hAnsi="Century Gothic" w:cs="Arial"/>
          <w:lang w:val="es-ES" w:eastAsia="es-ES" w:bidi="es-ES"/>
        </w:rPr>
        <w:lastRenderedPageBreak/>
        <w:t xml:space="preserve">los bienes, obras o servicios que se requieren para la ejecución de la obra pública de infraestructura de transporte. Además, es posible establecer: i) sus especificaciones generales y particulares, ii) la descripción, iii) la unidad de medida, iv) la cantidad, v) el valor unitario y vi) el valor total de los </w:t>
      </w:r>
      <w:r w:rsidRPr="0048630F">
        <w:rPr>
          <w:rFonts w:ascii="Century Gothic" w:eastAsia="Arial" w:hAnsi="Century Gothic" w:cs="Arial"/>
          <w:i/>
          <w:iCs/>
          <w:lang w:val="es-ES" w:eastAsia="es-ES" w:bidi="es-ES"/>
        </w:rPr>
        <w:t>ítems.</w:t>
      </w:r>
    </w:p>
    <w:p w14:paraId="79558A12" w14:textId="77777777" w:rsidR="00747B82" w:rsidRPr="0048630F" w:rsidRDefault="00747B82" w:rsidP="00747B82">
      <w:pPr>
        <w:widowControl w:val="0"/>
        <w:autoSpaceDE w:val="0"/>
        <w:autoSpaceDN w:val="0"/>
        <w:spacing w:before="120" w:line="276" w:lineRule="auto"/>
        <w:ind w:firstLine="709"/>
        <w:jc w:val="both"/>
        <w:rPr>
          <w:rFonts w:ascii="Century Gothic" w:eastAsia="Arial" w:hAnsi="Century Gothic" w:cs="Arial"/>
          <w:lang w:val="es-ES" w:eastAsia="es-ES" w:bidi="es-ES"/>
        </w:rPr>
      </w:pPr>
      <w:r w:rsidRPr="0048630F">
        <w:rPr>
          <w:rFonts w:ascii="Century Gothic" w:eastAsia="Arial" w:hAnsi="Century Gothic" w:cs="Arial"/>
          <w:lang w:eastAsia="es-ES" w:bidi="es-ES"/>
        </w:rPr>
        <w:t xml:space="preserve">De otra parte, </w:t>
      </w:r>
      <w:r w:rsidRPr="0048630F">
        <w:rPr>
          <w:rFonts w:ascii="Century Gothic" w:eastAsia="Arial" w:hAnsi="Century Gothic" w:cs="Arial"/>
          <w:lang w:val="es-ES" w:eastAsia="es-ES" w:bidi="es-ES"/>
        </w:rPr>
        <w:t>en los documentos tipo para procesos de licitación pública de obras de infraestructura de transporte, el “Formulario 1</w:t>
      </w:r>
      <w:r w:rsidRPr="0048630F">
        <w:rPr>
          <w:rFonts w:ascii="Century Gothic" w:eastAsia="Calibri" w:hAnsi="Century Gothic" w:cs="Arial"/>
          <w:lang w:val="es-ES" w:eastAsia="es-ES" w:bidi="es-ES"/>
        </w:rPr>
        <w:t>” en su segunda pestaña en Excel, titulada “Formulario 1 propuesta económica”</w:t>
      </w:r>
      <w:r w:rsidRPr="0048630F">
        <w:rPr>
          <w:rFonts w:ascii="Century Gothic" w:eastAsia="Arial" w:hAnsi="Century Gothic" w:cs="Arial"/>
          <w:lang w:val="es-ES" w:eastAsia="es-ES" w:bidi="es-ES"/>
        </w:rPr>
        <w:t xml:space="preserve"> señala en la parte superior derecha: “[La entidad puede utilizar este formulario de presentación de propuesta económica de forma detallada, sin perjuicio que la entidad pueda modificarlo o establecer la presentación de la oferta económica con un formulario distinto al indicado.]”. </w:t>
      </w:r>
    </w:p>
    <w:p w14:paraId="619ECCB9" w14:textId="77777777" w:rsidR="00747B82" w:rsidRPr="0048630F" w:rsidRDefault="00747B82" w:rsidP="00747B82">
      <w:pPr>
        <w:widowControl w:val="0"/>
        <w:autoSpaceDE w:val="0"/>
        <w:autoSpaceDN w:val="0"/>
        <w:spacing w:before="120" w:line="276" w:lineRule="auto"/>
        <w:ind w:firstLine="709"/>
        <w:jc w:val="both"/>
        <w:rPr>
          <w:rFonts w:ascii="Century Gothic" w:eastAsia="Arial" w:hAnsi="Century Gothic" w:cs="Arial"/>
          <w:lang w:val="es-ES"/>
        </w:rPr>
      </w:pPr>
      <w:r w:rsidRPr="0048630F">
        <w:rPr>
          <w:rFonts w:ascii="Century Gothic" w:eastAsia="Calibri" w:hAnsi="Century Gothic" w:cs="Arial"/>
          <w:color w:val="000000" w:themeColor="text1"/>
          <w:lang w:val="es-ES"/>
        </w:rPr>
        <w:t>Igualmente, se indica que los proponentes emplearán el formulario establecido por la entidad para determinar su propuesta económica conforme al Formulario 1 - Presupuesto Oficial publicado por la Entidad. Esto</w:t>
      </w:r>
      <w:r w:rsidRPr="0048630F">
        <w:rPr>
          <w:rFonts w:ascii="Century Gothic" w:eastAsia="Calibri" w:hAnsi="Century Gothic" w:cs="Arial"/>
          <w:lang w:val="es-ES"/>
        </w:rPr>
        <w:t xml:space="preserve"> significa que las entidades pueden diseñar un formulario para que los proponentes presenten su oferta económica, sin que sea obligatorio sujetarse al formulario que los documentos tipo proponen para el efecto.</w:t>
      </w:r>
      <w:r w:rsidRPr="0048630F">
        <w:rPr>
          <w:rFonts w:ascii="Century Gothic" w:eastAsia="Arial" w:hAnsi="Century Gothic" w:cs="Arial"/>
          <w:lang w:val="es-ES"/>
        </w:rPr>
        <w:t xml:space="preserve"> En todo caso, el proponente deberá emplear el formulario que establezca la entidad. </w:t>
      </w:r>
    </w:p>
    <w:p w14:paraId="2420BC89" w14:textId="77777777" w:rsidR="00747B82" w:rsidRPr="0048630F" w:rsidRDefault="00747B82" w:rsidP="00747B82">
      <w:pPr>
        <w:widowControl w:val="0"/>
        <w:spacing w:after="0" w:line="240" w:lineRule="auto"/>
        <w:jc w:val="both"/>
        <w:rPr>
          <w:rStyle w:val="normaltextrun"/>
          <w:rFonts w:ascii="Century Gothic" w:hAnsi="Century Gothic" w:cs="Arial"/>
          <w:b/>
          <w:bCs/>
          <w:color w:val="000000"/>
          <w:shd w:val="clear" w:color="auto" w:fill="FFFFFF"/>
          <w:lang w:val="es-ES"/>
        </w:rPr>
      </w:pPr>
      <w:r w:rsidRPr="0048630F">
        <w:rPr>
          <w:rFonts w:ascii="Century Gothic" w:hAnsi="Century Gothic" w:cs="Arial"/>
          <w:b/>
          <w:bCs/>
        </w:rPr>
        <w:t xml:space="preserve">2.3. </w:t>
      </w:r>
      <w:r w:rsidRPr="0048630F">
        <w:rPr>
          <w:rStyle w:val="normaltextrun"/>
          <w:rFonts w:ascii="Century Gothic" w:hAnsi="Century Gothic" w:cs="Arial"/>
          <w:b/>
          <w:bCs/>
          <w:color w:val="000000"/>
          <w:shd w:val="clear" w:color="auto" w:fill="FFFFFF"/>
          <w:lang w:val="es-ES"/>
        </w:rPr>
        <w:t>Alcance de la regla de la subsanabilidad de las ofertas en los procesos de selección que utilizan documentos tipo</w:t>
      </w:r>
    </w:p>
    <w:p w14:paraId="16ED99C1" w14:textId="77777777" w:rsidR="00747B82" w:rsidRPr="0048630F" w:rsidRDefault="00747B82" w:rsidP="00747B82">
      <w:pPr>
        <w:spacing w:after="0" w:line="240" w:lineRule="auto"/>
        <w:jc w:val="both"/>
        <w:rPr>
          <w:rStyle w:val="normaltextrun"/>
          <w:rFonts w:ascii="Century Gothic" w:hAnsi="Century Gothic" w:cs="Arial"/>
          <w:b/>
          <w:bCs/>
          <w:color w:val="000000"/>
          <w:lang w:val="es-ES"/>
        </w:rPr>
      </w:pPr>
    </w:p>
    <w:p w14:paraId="34304D9E" w14:textId="77777777" w:rsidR="00747B82" w:rsidRPr="0048630F" w:rsidRDefault="00747B82" w:rsidP="00747B82">
      <w:pPr>
        <w:spacing w:after="120" w:line="276" w:lineRule="auto"/>
        <w:jc w:val="both"/>
        <w:rPr>
          <w:rFonts w:ascii="Century Gothic" w:eastAsia="Calibri" w:hAnsi="Century Gothic" w:cs="Arial"/>
          <w:color w:val="000000"/>
          <w:lang w:val="es-ES" w:eastAsia="es-MX"/>
        </w:rPr>
      </w:pPr>
      <w:r w:rsidRPr="0048630F">
        <w:rPr>
          <w:rFonts w:ascii="Century Gothic" w:eastAsia="Calibri" w:hAnsi="Century Gothic" w:cs="Arial"/>
          <w:color w:val="000000"/>
          <w:lang w:val="es-ES" w:eastAsia="es-MX"/>
        </w:rPr>
        <w:t xml:space="preserve">La subsanabilidad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r w:rsidRPr="0048630F">
        <w:rPr>
          <w:rFonts w:ascii="Century Gothic" w:eastAsia="Calibri" w:hAnsi="Century Gothic" w:cs="Arial"/>
          <w:color w:val="000000" w:themeColor="text1"/>
          <w:lang w:val="es-ES" w:eastAsia="es-MX"/>
        </w:rPr>
        <w:t>“</w:t>
      </w:r>
      <w:r w:rsidRPr="0048630F">
        <w:rPr>
          <w:rFonts w:ascii="Century Gothic" w:eastAsia="Calibri" w:hAnsi="Century Gothic" w:cs="Arial"/>
          <w:color w:val="000000"/>
          <w:lang w:val="es-ES" w:eastAsia="es-MX"/>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48630F">
        <w:rPr>
          <w:rFonts w:ascii="Century Gothic" w:eastAsia="Calibri" w:hAnsi="Century Gothic" w:cs="Arial"/>
          <w:color w:val="000000"/>
          <w:lang w:val="es-ES" w:eastAsia="es-MX"/>
        </w:rPr>
        <w:t>la misma</w:t>
      </w:r>
      <w:proofErr w:type="gramEnd"/>
      <w:r w:rsidRPr="0048630F">
        <w:rPr>
          <w:rFonts w:ascii="Century Gothic" w:eastAsia="Calibri" w:hAnsi="Century Gothic" w:cs="Arial"/>
          <w:color w:val="000000"/>
          <w:lang w:val="es-ES" w:eastAsia="es-MX"/>
        </w:rPr>
        <w:t>, priven a la administración de considerar una oferta por causa de tales falencias</w:t>
      </w:r>
      <w:r w:rsidRPr="0048630F">
        <w:rPr>
          <w:rFonts w:ascii="Century Gothic" w:eastAsia="Calibri" w:hAnsi="Century Gothic" w:cs="Arial"/>
          <w:color w:val="000000" w:themeColor="text1"/>
          <w:lang w:val="es-ES" w:eastAsia="es-MX"/>
        </w:rPr>
        <w:t>”</w:t>
      </w:r>
      <w:r w:rsidRPr="0048630F">
        <w:rPr>
          <w:rFonts w:ascii="Century Gothic" w:eastAsia="Calibri" w:hAnsi="Century Gothic" w:cs="Arial"/>
          <w:color w:val="000000"/>
          <w:vertAlign w:val="superscript"/>
          <w:lang w:val="es-ES" w:eastAsia="es-MX"/>
        </w:rPr>
        <w:footnoteReference w:id="9"/>
      </w:r>
      <w:r w:rsidRPr="0048630F">
        <w:rPr>
          <w:rFonts w:ascii="Century Gothic" w:eastAsia="Calibri" w:hAnsi="Century Gothic" w:cs="Arial"/>
          <w:color w:val="000000"/>
          <w:lang w:val="es-ES" w:eastAsia="es-MX"/>
        </w:rPr>
        <w:t>.</w:t>
      </w:r>
    </w:p>
    <w:p w14:paraId="3C1E6B55" w14:textId="77777777" w:rsidR="00747B82" w:rsidRPr="0048630F" w:rsidRDefault="00747B82" w:rsidP="00747B82">
      <w:pPr>
        <w:spacing w:after="120" w:line="276" w:lineRule="auto"/>
        <w:ind w:firstLine="708"/>
        <w:jc w:val="both"/>
        <w:rPr>
          <w:rFonts w:ascii="Century Gothic" w:eastAsia="Times New Roman" w:hAnsi="Century Gothic" w:cs="Arial"/>
          <w:color w:val="000000"/>
          <w:lang w:val="es-ES" w:eastAsia="es-MX"/>
        </w:rPr>
      </w:pPr>
      <w:r w:rsidRPr="0048630F">
        <w:rPr>
          <w:rFonts w:ascii="Century Gothic" w:eastAsia="Calibri" w:hAnsi="Century Gothic" w:cs="Arial"/>
          <w:color w:val="000000" w:themeColor="text1"/>
          <w:lang w:val="es-ES" w:eastAsia="es-MX"/>
        </w:rPr>
        <w:t xml:space="preserve">A raíz de lo anterior, no podrán rechazarse las propuestas por ausencia de requisitos o falta de documentos que verifiquen las condiciones habilitantes del proponente, y que, a su vez, estos no se constituyan como factores de </w:t>
      </w:r>
      <w:r w:rsidRPr="0048630F">
        <w:rPr>
          <w:rFonts w:ascii="Century Gothic" w:eastAsia="Calibri" w:hAnsi="Century Gothic" w:cs="Arial"/>
          <w:color w:val="000000" w:themeColor="text1"/>
          <w:lang w:val="es-ES" w:eastAsia="es-MX"/>
        </w:rPr>
        <w:lastRenderedPageBreak/>
        <w:t xml:space="preserve">comparación entre propuestas. </w:t>
      </w:r>
      <w:r w:rsidRPr="0048630F">
        <w:rPr>
          <w:rFonts w:ascii="Century Gothic" w:eastAsia="Times New Roman" w:hAnsi="Century Gothic" w:cs="Arial"/>
          <w:color w:val="000000" w:themeColor="text1"/>
          <w:lang w:val="es-ES" w:eastAsia="es-MX"/>
        </w:rPr>
        <w:t xml:space="preserve">Ahora bien, la posibilidad de subsanar los documentos contentivos de la oferta es un tema que ha tenido diferentes momentos o etapas en el ordenamiento jurídico colombiano. </w:t>
      </w:r>
    </w:p>
    <w:p w14:paraId="760879E9" w14:textId="77777777" w:rsidR="00747B82" w:rsidRPr="0048630F" w:rsidRDefault="00747B82" w:rsidP="00747B82">
      <w:pPr>
        <w:spacing w:before="120"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En un </w:t>
      </w:r>
      <w:r w:rsidRPr="0048630F">
        <w:rPr>
          <w:rFonts w:ascii="Century Gothic" w:eastAsia="Times New Roman" w:hAnsi="Century Gothic" w:cs="Arial"/>
          <w:i/>
          <w:iCs/>
          <w:color w:val="000000" w:themeColor="text1"/>
          <w:lang w:val="es-ES" w:eastAsia="es-MX"/>
        </w:rPr>
        <w:t>primer momento</w:t>
      </w:r>
      <w:r w:rsidRPr="0048630F">
        <w:rPr>
          <w:rFonts w:ascii="Century Gothic" w:eastAsia="Times New Roman" w:hAnsi="Century Gothic" w:cs="Arial"/>
          <w:color w:val="000000" w:themeColor="text1"/>
          <w:lang w:val="es-ES" w:eastAsia="es-MX"/>
        </w:rPr>
        <w:t xml:space="preserve">, antes de la entrada en vigor de la Constitución Política de 1991, el régimen jurídico de la subsanabilidad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3E39DE46" w14:textId="77777777" w:rsidR="00747B82" w:rsidRPr="0048630F" w:rsidRDefault="00747B82" w:rsidP="00747B82">
      <w:pPr>
        <w:spacing w:before="120" w:after="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En un </w:t>
      </w:r>
      <w:r w:rsidRPr="0048630F">
        <w:rPr>
          <w:rFonts w:ascii="Century Gothic" w:eastAsia="Times New Roman" w:hAnsi="Century Gothic" w:cs="Arial"/>
          <w:i/>
          <w:iCs/>
          <w:color w:val="000000" w:themeColor="text1"/>
          <w:lang w:val="es-ES" w:eastAsia="es-MX"/>
        </w:rPr>
        <w:t>segundo momento</w:t>
      </w:r>
      <w:r w:rsidRPr="0048630F">
        <w:rPr>
          <w:rFonts w:ascii="Century Gothic" w:eastAsia="Times New Roman" w:hAnsi="Century Gothic" w:cs="Arial"/>
          <w:color w:val="000000" w:themeColor="text1"/>
          <w:lang w:val="es-ES" w:eastAsia="es-MX"/>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4D10FC5E" w14:textId="77777777" w:rsidR="00747B82" w:rsidRPr="0048630F" w:rsidRDefault="00747B82" w:rsidP="00747B82">
      <w:pPr>
        <w:spacing w:after="120" w:line="240" w:lineRule="auto"/>
        <w:ind w:left="709" w:right="709"/>
        <w:jc w:val="both"/>
        <w:rPr>
          <w:rFonts w:ascii="Century Gothic" w:eastAsia="Times New Roman" w:hAnsi="Century Gothic" w:cs="Arial"/>
          <w:color w:val="000000"/>
          <w:sz w:val="21"/>
          <w:szCs w:val="21"/>
          <w:lang w:val="es-ES" w:eastAsia="es-MX"/>
        </w:rPr>
      </w:pPr>
    </w:p>
    <w:p w14:paraId="1FAE934B" w14:textId="77777777" w:rsidR="00747B82" w:rsidRPr="0048630F" w:rsidRDefault="00747B82" w:rsidP="00747B82">
      <w:pPr>
        <w:spacing w:after="120" w:line="240" w:lineRule="auto"/>
        <w:ind w:left="709" w:right="709"/>
        <w:jc w:val="both"/>
        <w:rPr>
          <w:rFonts w:ascii="Century Gothic" w:eastAsia="Times New Roman" w:hAnsi="Century Gothic" w:cs="Arial"/>
          <w:color w:val="000000"/>
          <w:sz w:val="21"/>
          <w:szCs w:val="21"/>
          <w:lang w:val="es-ES" w:eastAsia="es-MX"/>
        </w:rPr>
      </w:pPr>
      <w:r w:rsidRPr="0048630F">
        <w:rPr>
          <w:rFonts w:ascii="Century Gothic" w:eastAsia="Times New Roman" w:hAnsi="Century Gothic" w:cs="Arial"/>
          <w:color w:val="000000" w:themeColor="text1"/>
          <w:sz w:val="21"/>
          <w:szCs w:val="21"/>
          <w:lang w:val="es-ES" w:eastAsia="es-MX"/>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755625E" w14:textId="77777777" w:rsidR="00747B82" w:rsidRPr="0048630F" w:rsidRDefault="00747B82" w:rsidP="00747B82">
      <w:pPr>
        <w:spacing w:before="120" w:line="240" w:lineRule="auto"/>
        <w:ind w:left="709" w:right="709"/>
        <w:jc w:val="both"/>
        <w:rPr>
          <w:rFonts w:ascii="Century Gothic" w:eastAsia="Times New Roman" w:hAnsi="Century Gothic" w:cs="Arial"/>
          <w:color w:val="000000"/>
          <w:sz w:val="21"/>
          <w:szCs w:val="21"/>
          <w:lang w:val="es-ES" w:eastAsia="es-MX"/>
        </w:rPr>
      </w:pPr>
      <w:r w:rsidRPr="0048630F">
        <w:rPr>
          <w:rFonts w:ascii="Century Gothic" w:eastAsia="Times New Roman" w:hAnsi="Century Gothic" w:cs="Arial"/>
          <w:color w:val="000000" w:themeColor="text1"/>
          <w:sz w:val="21"/>
          <w:szCs w:val="21"/>
          <w:lang w:val="es-ES" w:eastAsia="es-MX"/>
        </w:rPr>
        <w:t xml:space="preserve">La ausencia de requisitos o la falta de documentos referentes a la futura contratación o al proponente, no necesarios para la comparación de propuestas, no servirá de título suficiente para el rechazo de los ofrecimientos hechos”. </w:t>
      </w:r>
    </w:p>
    <w:p w14:paraId="71AB5383" w14:textId="77777777" w:rsidR="00747B82" w:rsidRPr="0048630F" w:rsidRDefault="00747B82" w:rsidP="00747B82">
      <w:pPr>
        <w:spacing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4AFBE9A" w14:textId="77777777" w:rsidR="00747B82" w:rsidRPr="0048630F" w:rsidRDefault="00747B82" w:rsidP="00747B82">
      <w:pPr>
        <w:spacing w:before="120"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lang w:val="es-ES" w:eastAsia="es-MX"/>
        </w:rPr>
        <w:t xml:space="preserve">Esta norma debía leerse en conjunto con otras de la Ley 80 de 1993, particularmente con el artículo 30.7, que ordena a la entidad señalar un plazo </w:t>
      </w:r>
      <w:r w:rsidRPr="0048630F">
        <w:rPr>
          <w:rFonts w:ascii="Century Gothic" w:eastAsia="Times New Roman" w:hAnsi="Century Gothic" w:cs="Arial"/>
          <w:color w:val="000000"/>
          <w:lang w:val="es-ES" w:eastAsia="es-MX"/>
        </w:rPr>
        <w:lastRenderedPageBreak/>
        <w:t>razonable para evaluar las propuestas y para pedir a los proponentes, de ser necesario, que aclaren o expliquen aspectos que ofrezcan dudas y resulten indispensables para llevar a cabo la evaluación</w:t>
      </w:r>
      <w:r w:rsidRPr="0048630F">
        <w:rPr>
          <w:rFonts w:ascii="Century Gothic" w:eastAsia="Times New Roman" w:hAnsi="Century Gothic" w:cs="Arial"/>
          <w:color w:val="000000"/>
          <w:vertAlign w:val="superscript"/>
          <w:lang w:val="es-ES" w:eastAsia="es-MX"/>
        </w:rPr>
        <w:footnoteReference w:id="10"/>
      </w:r>
      <w:r w:rsidRPr="0048630F">
        <w:rPr>
          <w:rFonts w:ascii="Century Gothic" w:eastAsia="Times New Roman" w:hAnsi="Century Gothic" w:cs="Arial"/>
          <w:color w:val="000000"/>
          <w:lang w:val="es-ES" w:eastAsia="es-MX"/>
        </w:rPr>
        <w:t>; y con el artículo 30.8, que consagró el término de 5 días hábiles para que los oferentes presenten observaciones al informe de evaluación de las propuestas, sin que sea posible completar, adicionar, modificar o mejorar su oferta</w:t>
      </w:r>
      <w:r w:rsidRPr="0048630F">
        <w:rPr>
          <w:rFonts w:ascii="Century Gothic" w:eastAsia="Times New Roman" w:hAnsi="Century Gothic" w:cs="Arial"/>
          <w:color w:val="000000"/>
          <w:vertAlign w:val="superscript"/>
          <w:lang w:val="es-ES" w:eastAsia="es-MX"/>
        </w:rPr>
        <w:footnoteReference w:id="11"/>
      </w:r>
      <w:r w:rsidRPr="0048630F">
        <w:rPr>
          <w:rFonts w:ascii="Century Gothic" w:eastAsia="Times New Roman" w:hAnsi="Century Gothic" w:cs="Arial"/>
          <w:color w:val="000000"/>
          <w:lang w:val="es-ES" w:eastAsia="es-MX"/>
        </w:rPr>
        <w:t xml:space="preserve">.  </w:t>
      </w:r>
    </w:p>
    <w:p w14:paraId="752FF714" w14:textId="77777777" w:rsidR="00747B82" w:rsidRPr="0048630F" w:rsidRDefault="00747B82" w:rsidP="00747B82">
      <w:pPr>
        <w:spacing w:before="120"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4C26B200" w14:textId="77777777" w:rsidR="00747B82" w:rsidRPr="0048630F" w:rsidRDefault="00747B82" w:rsidP="00747B82">
      <w:pPr>
        <w:spacing w:after="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En un </w:t>
      </w:r>
      <w:r w:rsidRPr="0048630F">
        <w:rPr>
          <w:rFonts w:ascii="Century Gothic" w:eastAsia="Times New Roman" w:hAnsi="Century Gothic" w:cs="Arial"/>
          <w:i/>
          <w:iCs/>
          <w:color w:val="000000" w:themeColor="text1"/>
          <w:lang w:val="es-ES" w:eastAsia="es-MX"/>
        </w:rPr>
        <w:t>tercer momento</w:t>
      </w:r>
      <w:r w:rsidRPr="0048630F">
        <w:rPr>
          <w:rFonts w:ascii="Century Gothic" w:eastAsia="Times New Roman" w:hAnsi="Century Gothic" w:cs="Arial"/>
          <w:color w:val="000000" w:themeColor="text1"/>
          <w:lang w:val="es-ES" w:eastAsia="es-MX"/>
        </w:rPr>
        <w:t xml:space="preserve">, siguiendo la línea trazada por la Ley 80 de 1993, el legislador expidió la Ley 1150 de 2007, que en el parágrafo 1º del artículo 5, determinó lo siguiente: </w:t>
      </w:r>
    </w:p>
    <w:p w14:paraId="03878E09"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1"/>
          <w:szCs w:val="21"/>
          <w:lang w:val="es-ES" w:eastAsia="es-MX"/>
        </w:rPr>
      </w:pPr>
    </w:p>
    <w:p w14:paraId="02608F31"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0"/>
          <w:szCs w:val="20"/>
          <w:lang w:val="es-ES" w:eastAsia="es-MX"/>
        </w:rPr>
      </w:pPr>
      <w:r w:rsidRPr="0048630F">
        <w:rPr>
          <w:rFonts w:ascii="Century Gothic" w:eastAsia="Times New Roman" w:hAnsi="Century Gothic" w:cs="Arial"/>
          <w:color w:val="000000" w:themeColor="text1"/>
          <w:sz w:val="20"/>
          <w:szCs w:val="20"/>
          <w:lang w:val="es-ES" w:eastAsia="es-MX"/>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48630F">
        <w:rPr>
          <w:rFonts w:ascii="Century Gothic" w:eastAsia="Times New Roman" w:hAnsi="Century Gothic" w:cs="Arial"/>
          <w:b/>
          <w:bCs/>
          <w:color w:val="000000" w:themeColor="text1"/>
          <w:sz w:val="20"/>
          <w:szCs w:val="20"/>
          <w:lang w:val="es-ES" w:eastAsia="es-MX"/>
        </w:rPr>
        <w:t xml:space="preserve">, </w:t>
      </w:r>
      <w:r w:rsidRPr="0048630F">
        <w:rPr>
          <w:rFonts w:ascii="Century Gothic" w:eastAsia="Times New Roman" w:hAnsi="Century Gothic" w:cs="Arial"/>
          <w:color w:val="000000" w:themeColor="text1"/>
          <w:sz w:val="20"/>
          <w:szCs w:val="20"/>
          <w:lang w:val="es-ES" w:eastAsia="es-MX"/>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4D620CD0"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1"/>
          <w:szCs w:val="21"/>
          <w:lang w:val="es-ES" w:eastAsia="es-MX"/>
        </w:rPr>
      </w:pPr>
    </w:p>
    <w:p w14:paraId="45926261" w14:textId="77777777" w:rsidR="00747B82" w:rsidRPr="0048630F" w:rsidRDefault="00747B82" w:rsidP="00747B82">
      <w:pPr>
        <w:spacing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1BD4F36A" w14:textId="77777777" w:rsidR="00747B82" w:rsidRPr="0048630F" w:rsidRDefault="00747B82" w:rsidP="00747B82">
      <w:pPr>
        <w:spacing w:before="120"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w:t>
      </w:r>
      <w:r w:rsidRPr="0048630F">
        <w:rPr>
          <w:rFonts w:ascii="Century Gothic" w:eastAsia="Times New Roman" w:hAnsi="Century Gothic" w:cs="Arial"/>
          <w:color w:val="000000" w:themeColor="text1"/>
          <w:lang w:val="es-ES" w:eastAsia="es-MX"/>
        </w:rPr>
        <w:lastRenderedPageBreak/>
        <w:t xml:space="preserve">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538AEA9F" w14:textId="77777777" w:rsidR="00747B82" w:rsidRPr="0048630F" w:rsidRDefault="00747B82" w:rsidP="00747B82">
      <w:pPr>
        <w:spacing w:before="120" w:after="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concluyó que a partir del parágrafo 1º del artículo 5 de la Ley 1150, la definición de lo que es subsanable y lo que no lo es surge a partir del planteamiento de la pregunta sobre si el defecto asigna puntaje o no, en estos términos: </w:t>
      </w:r>
    </w:p>
    <w:p w14:paraId="1357A9AF" w14:textId="77777777" w:rsidR="00747B82" w:rsidRPr="0048630F" w:rsidRDefault="00747B82" w:rsidP="00747B82">
      <w:pPr>
        <w:spacing w:after="0" w:line="240" w:lineRule="auto"/>
        <w:ind w:firstLine="709"/>
        <w:jc w:val="both"/>
        <w:rPr>
          <w:rFonts w:ascii="Century Gothic" w:eastAsia="Times New Roman" w:hAnsi="Century Gothic" w:cs="Arial"/>
          <w:color w:val="000000"/>
          <w:lang w:val="es-ES" w:eastAsia="es-MX"/>
        </w:rPr>
      </w:pPr>
    </w:p>
    <w:p w14:paraId="251562D6"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0"/>
          <w:szCs w:val="20"/>
          <w:lang w:val="es-ES" w:eastAsia="es-MX"/>
        </w:rPr>
      </w:pPr>
      <w:r w:rsidRPr="0048630F">
        <w:rPr>
          <w:rFonts w:ascii="Century Gothic" w:eastAsia="Times New Roman" w:hAnsi="Century Gothic" w:cs="Arial"/>
          <w:color w:val="000000"/>
          <w:sz w:val="20"/>
          <w:szCs w:val="20"/>
          <w:lang w:val="es-ES" w:eastAsia="es-MX"/>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48630F">
        <w:rPr>
          <w:rFonts w:ascii="Century Gothic" w:eastAsia="Times New Roman" w:hAnsi="Century Gothic" w:cs="Arial"/>
          <w:color w:val="000000"/>
          <w:sz w:val="20"/>
          <w:szCs w:val="20"/>
          <w:vertAlign w:val="superscript"/>
          <w:lang w:val="es-ES" w:eastAsia="es-MX"/>
        </w:rPr>
        <w:footnoteReference w:id="12"/>
      </w:r>
      <w:r w:rsidRPr="0048630F">
        <w:rPr>
          <w:rFonts w:ascii="Century Gothic" w:eastAsia="Times New Roman" w:hAnsi="Century Gothic" w:cs="Arial"/>
          <w:color w:val="000000"/>
          <w:sz w:val="20"/>
          <w:szCs w:val="20"/>
          <w:lang w:val="es-ES" w:eastAsia="es-MX"/>
        </w:rPr>
        <w:t>.</w:t>
      </w:r>
    </w:p>
    <w:p w14:paraId="407D716D"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1"/>
          <w:szCs w:val="21"/>
          <w:lang w:val="es-ES" w:eastAsia="es-MX"/>
        </w:rPr>
      </w:pPr>
    </w:p>
    <w:p w14:paraId="27753997" w14:textId="77777777" w:rsidR="00747B82" w:rsidRPr="0048630F" w:rsidRDefault="00747B82" w:rsidP="00747B82">
      <w:pPr>
        <w:tabs>
          <w:tab w:val="left" w:pos="284"/>
        </w:tabs>
        <w:spacing w:after="120" w:line="276" w:lineRule="auto"/>
        <w:ind w:firstLine="709"/>
        <w:jc w:val="both"/>
        <w:rPr>
          <w:rFonts w:ascii="Century Gothic" w:eastAsia="Calibri" w:hAnsi="Century Gothic" w:cs="Arial"/>
          <w:color w:val="000000"/>
          <w:lang w:val="es-ES"/>
        </w:rPr>
      </w:pPr>
      <w:r w:rsidRPr="0048630F">
        <w:rPr>
          <w:rFonts w:ascii="Century Gothic" w:eastAsia="Calibri" w:hAnsi="Century Gothic" w:cs="Arial"/>
          <w:color w:val="000000" w:themeColor="text1"/>
          <w:lang w:val="es-ES"/>
        </w:rPr>
        <w:t xml:space="preserve">Esa interpretación fue compartida por la </w:t>
      </w:r>
      <w:r w:rsidRPr="0048630F">
        <w:rPr>
          <w:rFonts w:ascii="Century Gothic" w:eastAsia="MS Mincho" w:hAnsi="Century Gothic" w:cs="Arial"/>
          <w:color w:val="000000" w:themeColor="text1"/>
          <w:lang w:val="es-ES" w:eastAsia="es-CO"/>
        </w:rPr>
        <w:t>Agencia Nacional de Contratación Pública – Colombia Compra Eficiente</w:t>
      </w:r>
      <w:r w:rsidRPr="0048630F">
        <w:rPr>
          <w:rFonts w:ascii="Century Gothic" w:eastAsia="Calibri" w:hAnsi="Century Gothic" w:cs="Arial"/>
          <w:color w:val="000000" w:themeColor="text1"/>
          <w:lang w:val="es-ES"/>
        </w:rPr>
        <w:t xml:space="preserve">, pues en la Circular Externa Única se precisó que si durante un proceso de contratación hay proponentes que no acreditaron en sus ofertas requisitos que no afectan la asignación de puntaje o la comparación de </w:t>
      </w:r>
      <w:proofErr w:type="gramStart"/>
      <w:r w:rsidRPr="0048630F">
        <w:rPr>
          <w:rFonts w:ascii="Century Gothic" w:eastAsia="Calibri" w:hAnsi="Century Gothic" w:cs="Arial"/>
          <w:color w:val="000000" w:themeColor="text1"/>
          <w:lang w:val="es-ES"/>
        </w:rPr>
        <w:t>las mismas</w:t>
      </w:r>
      <w:proofErr w:type="gramEnd"/>
      <w:r w:rsidRPr="0048630F">
        <w:rPr>
          <w:rFonts w:ascii="Century Gothic" w:eastAsia="Calibri" w:hAnsi="Century Gothic" w:cs="Arial"/>
          <w:color w:val="000000" w:themeColor="text1"/>
          <w:lang w:val="es-ES"/>
        </w:rPr>
        <w:t>, la entidad estatal deberá indicarlo en el informe de evaluación y advertir que la correspondiente oferta no será evaluada hasta que se subsane.</w:t>
      </w:r>
    </w:p>
    <w:p w14:paraId="572F2B46" w14:textId="77777777" w:rsidR="00747B82" w:rsidRPr="0048630F" w:rsidRDefault="00747B82" w:rsidP="00747B82">
      <w:pPr>
        <w:tabs>
          <w:tab w:val="left" w:pos="284"/>
        </w:tabs>
        <w:spacing w:before="120" w:after="0" w:line="276" w:lineRule="auto"/>
        <w:ind w:firstLine="709"/>
        <w:jc w:val="both"/>
        <w:rPr>
          <w:rFonts w:ascii="Century Gothic" w:eastAsia="MS Mincho" w:hAnsi="Century Gothic" w:cs="Arial"/>
          <w:color w:val="000000"/>
          <w:lang w:val="es-ES" w:eastAsia="es-CO"/>
        </w:rPr>
      </w:pPr>
      <w:r w:rsidRPr="0048630F">
        <w:rPr>
          <w:rFonts w:ascii="Century Gothic" w:eastAsia="MS Mincho" w:hAnsi="Century Gothic" w:cs="Arial"/>
          <w:color w:val="000000" w:themeColor="text1"/>
          <w:lang w:val="es-ES" w:eastAsia="es-CO"/>
        </w:rPr>
        <w:t xml:space="preserve">En un </w:t>
      </w:r>
      <w:r w:rsidRPr="0048630F">
        <w:rPr>
          <w:rFonts w:ascii="Century Gothic" w:eastAsia="MS Mincho" w:hAnsi="Century Gothic" w:cs="Arial"/>
          <w:i/>
          <w:iCs/>
          <w:color w:val="000000" w:themeColor="text1"/>
          <w:lang w:val="es-ES" w:eastAsia="es-CO"/>
        </w:rPr>
        <w:t>cuarto momento</w:t>
      </w:r>
      <w:r w:rsidRPr="0048630F">
        <w:rPr>
          <w:rFonts w:ascii="Century Gothic" w:eastAsia="MS Mincho" w:hAnsi="Century Gothic" w:cs="Arial"/>
          <w:color w:val="000000" w:themeColor="text1"/>
          <w:lang w:val="es-ES"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479BF8F7" w14:textId="77777777" w:rsidR="00747B82" w:rsidRPr="0048630F" w:rsidRDefault="00747B82" w:rsidP="00747B82">
      <w:pPr>
        <w:tabs>
          <w:tab w:val="left" w:pos="284"/>
        </w:tabs>
        <w:spacing w:after="0" w:line="240" w:lineRule="auto"/>
        <w:ind w:firstLine="709"/>
        <w:jc w:val="both"/>
        <w:rPr>
          <w:rFonts w:ascii="Century Gothic" w:eastAsia="MS Mincho" w:hAnsi="Century Gothic" w:cs="Arial"/>
          <w:color w:val="000000"/>
          <w:lang w:val="es-ES"/>
        </w:rPr>
      </w:pPr>
    </w:p>
    <w:p w14:paraId="45AB0215" w14:textId="77777777" w:rsidR="00747B82" w:rsidRPr="0048630F" w:rsidRDefault="00747B82" w:rsidP="00747B82">
      <w:pPr>
        <w:spacing w:line="240" w:lineRule="auto"/>
        <w:ind w:left="709" w:right="709"/>
        <w:jc w:val="both"/>
        <w:rPr>
          <w:rFonts w:ascii="Century Gothic" w:eastAsia="Times New Roman" w:hAnsi="Century Gothic" w:cs="Arial"/>
          <w:color w:val="000000"/>
          <w:sz w:val="20"/>
          <w:szCs w:val="20"/>
          <w:lang w:val="es-ES" w:eastAsia="es-MX"/>
        </w:rPr>
      </w:pPr>
      <w:r w:rsidRPr="0048630F">
        <w:rPr>
          <w:rFonts w:ascii="Century Gothic" w:eastAsia="Times New Roman" w:hAnsi="Century Gothic" w:cs="Arial"/>
          <w:color w:val="000000" w:themeColor="text1"/>
          <w:sz w:val="20"/>
          <w:szCs w:val="20"/>
          <w:lang w:val="es-ES" w:eastAsia="es-MX"/>
        </w:rPr>
        <w:t xml:space="preserve">“Artículo 5°. De la selección objetiva. </w:t>
      </w:r>
    </w:p>
    <w:p w14:paraId="4C7BBE1D" w14:textId="77777777" w:rsidR="00747B82" w:rsidRPr="0048630F" w:rsidRDefault="00747B82" w:rsidP="00747B82">
      <w:pPr>
        <w:spacing w:after="120" w:line="240" w:lineRule="auto"/>
        <w:ind w:left="709" w:right="709"/>
        <w:jc w:val="both"/>
        <w:rPr>
          <w:rFonts w:ascii="Century Gothic" w:eastAsia="Times New Roman" w:hAnsi="Century Gothic" w:cs="Arial"/>
          <w:color w:val="000000"/>
          <w:sz w:val="20"/>
          <w:szCs w:val="20"/>
          <w:lang w:val="es-ES" w:eastAsia="es-MX"/>
        </w:rPr>
      </w:pPr>
      <w:r w:rsidRPr="0048630F">
        <w:rPr>
          <w:rFonts w:ascii="Century Gothic" w:eastAsia="Times New Roman" w:hAnsi="Century Gothic" w:cs="Arial"/>
          <w:color w:val="000000"/>
          <w:sz w:val="20"/>
          <w:szCs w:val="20"/>
          <w:lang w:val="es-ES" w:eastAsia="es-MX"/>
        </w:rPr>
        <w:t>[...]</w:t>
      </w:r>
    </w:p>
    <w:p w14:paraId="42393A3F"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0"/>
          <w:szCs w:val="20"/>
          <w:lang w:val="es-ES" w:eastAsia="es-MX"/>
        </w:rPr>
      </w:pPr>
      <w:r w:rsidRPr="0048630F">
        <w:rPr>
          <w:rFonts w:ascii="Century Gothic" w:eastAsia="Times New Roman" w:hAnsi="Century Gothic" w:cs="Arial"/>
          <w:color w:val="000000" w:themeColor="text1"/>
          <w:sz w:val="20"/>
          <w:szCs w:val="20"/>
          <w:lang w:val="es-ES" w:eastAsia="es-MX"/>
        </w:rPr>
        <w:lastRenderedPageBreak/>
        <w:t xml:space="preserve">Parágrafo 1º. La ausencia de requisitos o la falta de documentos referentes a la futura contratación o al proponente, no necesarios para la </w:t>
      </w:r>
      <w:bookmarkStart w:id="1" w:name="_Hlk71479674"/>
      <w:r w:rsidRPr="0048630F">
        <w:rPr>
          <w:rFonts w:ascii="Century Gothic" w:eastAsia="Times New Roman" w:hAnsi="Century Gothic" w:cs="Arial"/>
          <w:color w:val="000000" w:themeColor="text1"/>
          <w:sz w:val="20"/>
          <w:szCs w:val="20"/>
          <w:lang w:val="es-ES" w:eastAsia="es-MX"/>
        </w:rPr>
        <w:t>comparación de las propuestas</w:t>
      </w:r>
      <w:bookmarkEnd w:id="1"/>
      <w:r w:rsidRPr="0048630F">
        <w:rPr>
          <w:rFonts w:ascii="Century Gothic" w:eastAsia="Times New Roman" w:hAnsi="Century Gothic" w:cs="Arial"/>
          <w:color w:val="000000" w:themeColor="text1"/>
          <w:sz w:val="20"/>
          <w:szCs w:val="20"/>
          <w:lang w:val="es-ES" w:eastAsia="es-MX"/>
        </w:rPr>
        <w:t xml:space="preserve">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287C6951" w14:textId="77777777" w:rsidR="00747B82" w:rsidRPr="0048630F" w:rsidRDefault="00747B82" w:rsidP="00747B82">
      <w:pPr>
        <w:spacing w:after="0" w:line="240" w:lineRule="auto"/>
        <w:ind w:left="709" w:right="709"/>
        <w:jc w:val="both"/>
        <w:rPr>
          <w:rFonts w:ascii="Century Gothic" w:eastAsia="Times New Roman" w:hAnsi="Century Gothic" w:cs="Arial"/>
          <w:color w:val="000000"/>
          <w:sz w:val="21"/>
          <w:szCs w:val="21"/>
          <w:lang w:val="es-ES" w:eastAsia="es-MX"/>
        </w:rPr>
      </w:pPr>
    </w:p>
    <w:p w14:paraId="47E10784" w14:textId="77777777" w:rsidR="00747B82" w:rsidRPr="0048630F" w:rsidRDefault="00747B82" w:rsidP="00747B82">
      <w:pPr>
        <w:spacing w:after="120" w:line="276" w:lineRule="auto"/>
        <w:ind w:firstLine="709"/>
        <w:jc w:val="both"/>
        <w:rPr>
          <w:rFonts w:ascii="Century Gothic" w:eastAsia="Times New Roman" w:hAnsi="Century Gothic" w:cs="Arial"/>
          <w:color w:val="000000"/>
          <w:lang w:val="es-ES" w:eastAsia="es-MX"/>
        </w:rPr>
      </w:pPr>
      <w:r w:rsidRPr="0048630F">
        <w:rPr>
          <w:rFonts w:ascii="Century Gothic" w:eastAsia="Times New Roman" w:hAnsi="Century Gothic" w:cs="Arial"/>
          <w:color w:val="000000" w:themeColor="text1"/>
          <w:lang w:val="es-ES" w:eastAsia="es-MX"/>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p>
    <w:p w14:paraId="1EEA2A8C" w14:textId="77777777" w:rsidR="00747B82" w:rsidRPr="0048630F" w:rsidRDefault="00747B82" w:rsidP="00747B82">
      <w:pPr>
        <w:spacing w:after="120" w:line="276" w:lineRule="auto"/>
        <w:ind w:firstLine="709"/>
        <w:jc w:val="both"/>
        <w:rPr>
          <w:rFonts w:ascii="Century Gothic" w:eastAsia="Arial" w:hAnsi="Century Gothic" w:cs="Arial"/>
          <w:color w:val="000000"/>
          <w:lang w:val="es-ES" w:eastAsia="es-MX"/>
        </w:rPr>
      </w:pPr>
      <w:r w:rsidRPr="0048630F">
        <w:rPr>
          <w:rFonts w:ascii="Century Gothic" w:eastAsia="Arial" w:hAnsi="Century Gothic" w:cs="Arial"/>
          <w:color w:val="000000"/>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48630F">
        <w:rPr>
          <w:rFonts w:ascii="Century Gothic" w:eastAsia="Arial" w:hAnsi="Century Gothic" w:cs="Arial"/>
          <w:color w:val="000000"/>
          <w:vertAlign w:val="superscript"/>
          <w:lang w:val="es-ES" w:eastAsia="es-MX"/>
        </w:rPr>
        <w:footnoteReference w:id="13"/>
      </w:r>
      <w:r w:rsidRPr="0048630F">
        <w:rPr>
          <w:rFonts w:ascii="Century Gothic" w:eastAsia="Arial" w:hAnsi="Century Gothic" w:cs="Arial"/>
          <w:color w:val="000000"/>
          <w:lang w:val="es-ES" w:eastAsia="es-MX"/>
        </w:rPr>
        <w:t>.</w:t>
      </w:r>
    </w:p>
    <w:p w14:paraId="186EFD4D" w14:textId="77777777" w:rsidR="00747B82" w:rsidRPr="0048630F" w:rsidRDefault="00747B82" w:rsidP="00747B82">
      <w:pPr>
        <w:spacing w:after="120" w:line="276" w:lineRule="auto"/>
        <w:ind w:firstLine="709"/>
        <w:jc w:val="both"/>
        <w:rPr>
          <w:rFonts w:ascii="Century Gothic" w:eastAsia="Arial" w:hAnsi="Century Gothic" w:cs="Arial"/>
          <w:color w:val="000000"/>
          <w:lang w:val="es-ES" w:eastAsia="es-MX"/>
        </w:rPr>
      </w:pPr>
      <w:r w:rsidRPr="0048630F">
        <w:rPr>
          <w:rFonts w:ascii="Century Gothic" w:eastAsia="Times New Roman" w:hAnsi="Century Gothic" w:cs="Arial"/>
          <w:color w:val="000000"/>
          <w:shd w:val="clear" w:color="auto" w:fill="FFFFFF"/>
          <w:lang w:val="es-ES"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74F82E8A" w14:textId="77777777" w:rsidR="00747B82" w:rsidRPr="0048630F" w:rsidRDefault="00747B82" w:rsidP="00747B82">
      <w:pPr>
        <w:spacing w:after="120" w:line="276" w:lineRule="auto"/>
        <w:ind w:firstLine="720"/>
        <w:jc w:val="both"/>
        <w:rPr>
          <w:rFonts w:ascii="Century Gothic" w:eastAsia="Calibri" w:hAnsi="Century Gothic" w:cs="Arial"/>
          <w:color w:val="000000"/>
          <w:lang w:val="es-ES" w:eastAsia="es-MX"/>
        </w:rPr>
      </w:pPr>
      <w:r w:rsidRPr="0048630F">
        <w:rPr>
          <w:rFonts w:ascii="Century Gothic" w:eastAsia="Arial" w:hAnsi="Century Gothic" w:cs="Arial"/>
          <w:color w:val="000000" w:themeColor="text1"/>
          <w:lang w:val="es-ES" w:eastAsia="es-MX"/>
        </w:rPr>
        <w:lastRenderedPageBreak/>
        <w:t xml:space="preserve">De otro lado, el segundo cambio importante de la Ley 1882 de 2018 </w:t>
      </w:r>
      <w:r w:rsidRPr="0048630F">
        <w:rPr>
          <w:rFonts w:ascii="Century Gothic" w:eastAsia="Calibri" w:hAnsi="Century Gothic" w:cs="Arial"/>
          <w:color w:val="000000" w:themeColor="text1"/>
          <w:lang w:val="es-ES" w:eastAsia="es-MX"/>
        </w:rPr>
        <w:t xml:space="preserve">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48630F">
        <w:rPr>
          <w:rFonts w:ascii="Century Gothic" w:eastAsia="Calibri" w:hAnsi="Century Gothic" w:cs="Arial"/>
          <w:color w:val="000000" w:themeColor="text1"/>
          <w:lang w:val="es-ES" w:eastAsia="es-MX"/>
        </w:rPr>
        <w:t>la misma</w:t>
      </w:r>
      <w:proofErr w:type="gramEnd"/>
      <w:r w:rsidRPr="0048630F">
        <w:rPr>
          <w:rFonts w:ascii="Century Gothic" w:eastAsia="Calibri" w:hAnsi="Century Gothic" w:cs="Arial"/>
          <w:color w:val="000000" w:themeColor="text1"/>
          <w:lang w:val="es-ES" w:eastAsia="es-MX"/>
        </w:rPr>
        <w:t>”.</w:t>
      </w:r>
    </w:p>
    <w:p w14:paraId="701E4D7B" w14:textId="77777777" w:rsidR="00747B82" w:rsidRPr="0048630F" w:rsidRDefault="00747B82" w:rsidP="00747B82">
      <w:pPr>
        <w:spacing w:after="0" w:line="276" w:lineRule="auto"/>
        <w:ind w:firstLine="709"/>
        <w:jc w:val="both"/>
        <w:rPr>
          <w:rFonts w:ascii="Century Gothic" w:eastAsia="Times New Roman" w:hAnsi="Century Gothic" w:cs="Arial"/>
          <w:bdr w:val="none" w:sz="0" w:space="0" w:color="auto" w:frame="1"/>
          <w:lang w:val="es-ES" w:eastAsia="es-MX"/>
        </w:rPr>
      </w:pPr>
      <w:r w:rsidRPr="0048630F">
        <w:rPr>
          <w:rFonts w:ascii="Century Gothic" w:eastAsia="Arial" w:hAnsi="Century Gothic" w:cs="Arial"/>
          <w:color w:val="000000"/>
          <w:lang w:val="es-ES" w:eastAsia="es-MX"/>
        </w:rPr>
        <w:t xml:space="preserve">Finalmente, el último cambio importante de la Ley 1882 de 2018 fue la introducción de un criterio material, directamente relacionado con los aspectos subsanables: </w:t>
      </w:r>
      <w:r w:rsidRPr="0048630F">
        <w:rPr>
          <w:rFonts w:ascii="Century Gothic" w:eastAsia="Arial" w:hAnsi="Century Gothic" w:cs="Arial"/>
          <w:i/>
          <w:iCs/>
          <w:color w:val="000000"/>
          <w:lang w:val="es-ES" w:eastAsia="es-MX"/>
        </w:rPr>
        <w:t>“</w:t>
      </w:r>
      <w:r w:rsidRPr="0048630F">
        <w:rPr>
          <w:rFonts w:ascii="Century Gothic" w:eastAsia="Arial" w:hAnsi="Century Gothic" w:cs="Arial"/>
          <w:color w:val="000000"/>
          <w:lang w:val="es-ES" w:eastAsia="es-MX"/>
        </w:rPr>
        <w:t>los proponentes no podrán acreditar circunstancias ocurridas con posterioridad al cierre del proceso”</w:t>
      </w:r>
      <w:r w:rsidRPr="0048630F">
        <w:rPr>
          <w:rFonts w:ascii="Century Gothic" w:eastAsia="Arial" w:hAnsi="Century Gothic" w:cs="Arial"/>
          <w:b/>
          <w:bCs/>
          <w:color w:val="000000"/>
          <w:lang w:val="es-ES" w:eastAsia="es-MX"/>
        </w:rPr>
        <w:t>.</w:t>
      </w:r>
      <w:r w:rsidRPr="0048630F">
        <w:rPr>
          <w:rFonts w:ascii="Century Gothic" w:eastAsia="Times New Roman" w:hAnsi="Century Gothic" w:cs="Arial"/>
          <w:bdr w:val="none" w:sz="0" w:space="0" w:color="auto" w:frame="1"/>
          <w:lang w:val="es-ES"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558F5082" w14:textId="77777777" w:rsidR="00747B82" w:rsidRPr="0048630F" w:rsidRDefault="00747B82" w:rsidP="00747B82">
      <w:pPr>
        <w:spacing w:after="0" w:line="240" w:lineRule="auto"/>
        <w:ind w:firstLine="709"/>
        <w:jc w:val="both"/>
        <w:rPr>
          <w:rFonts w:ascii="Century Gothic" w:eastAsia="Times New Roman" w:hAnsi="Century Gothic" w:cs="Arial"/>
          <w:bdr w:val="none" w:sz="0" w:space="0" w:color="auto" w:frame="1"/>
          <w:lang w:val="es-ES" w:eastAsia="es-MX"/>
        </w:rPr>
      </w:pPr>
    </w:p>
    <w:p w14:paraId="7610698F" w14:textId="77777777" w:rsidR="00747B82" w:rsidRPr="0048630F" w:rsidRDefault="00747B82" w:rsidP="00747B82">
      <w:pPr>
        <w:tabs>
          <w:tab w:val="left" w:pos="426"/>
        </w:tabs>
        <w:spacing w:after="0" w:line="240" w:lineRule="auto"/>
        <w:ind w:left="709" w:right="709"/>
        <w:jc w:val="both"/>
        <w:rPr>
          <w:rFonts w:ascii="Century Gothic" w:eastAsia="Arial" w:hAnsi="Century Gothic" w:cs="Arial"/>
          <w:color w:val="000000"/>
          <w:sz w:val="20"/>
          <w:szCs w:val="20"/>
          <w:lang w:eastAsia="es-MX"/>
        </w:rPr>
      </w:pPr>
      <w:r w:rsidRPr="0048630F">
        <w:rPr>
          <w:rFonts w:ascii="Century Gothic" w:eastAsia="Arial" w:hAnsi="Century Gothic" w:cs="Arial"/>
          <w:color w:val="000000" w:themeColor="text1"/>
          <w:sz w:val="20"/>
          <w:szCs w:val="20"/>
          <w:lang w:val="es-ES" w:eastAsia="es-MX"/>
        </w:rPr>
        <w:t>“</w:t>
      </w:r>
      <w:r w:rsidRPr="0048630F">
        <w:rPr>
          <w:rFonts w:ascii="Century Gothic" w:eastAsia="Arial" w:hAnsi="Century Gothic" w:cs="Arial"/>
          <w:color w:val="000000"/>
          <w:sz w:val="20"/>
          <w:szCs w:val="20"/>
          <w:lang w:val="es-ES"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48630F">
        <w:rPr>
          <w:rFonts w:ascii="Century Gothic" w:eastAsia="Arial" w:hAnsi="Century Gothic" w:cs="Arial"/>
          <w:color w:val="000000" w:themeColor="text1"/>
          <w:sz w:val="20"/>
          <w:szCs w:val="20"/>
          <w:lang w:val="es-ES" w:eastAsia="es-MX"/>
        </w:rPr>
        <w:t>”</w:t>
      </w:r>
      <w:r w:rsidRPr="0048630F">
        <w:rPr>
          <w:rFonts w:ascii="Century Gothic" w:eastAsia="Arial" w:hAnsi="Century Gothic" w:cs="Arial"/>
          <w:color w:val="000000"/>
          <w:sz w:val="20"/>
          <w:szCs w:val="20"/>
          <w:lang w:val="es-ES" w:eastAsia="es-MX"/>
        </w:rPr>
        <w:t>.</w:t>
      </w:r>
      <w:r w:rsidRPr="0048630F">
        <w:rPr>
          <w:rFonts w:ascii="Century Gothic" w:eastAsia="Arial" w:hAnsi="Century Gothic" w:cs="Arial"/>
          <w:color w:val="000000"/>
          <w:sz w:val="20"/>
          <w:szCs w:val="20"/>
          <w:vertAlign w:val="superscript"/>
          <w:lang w:eastAsia="es-MX"/>
        </w:rPr>
        <w:footnoteReference w:id="14"/>
      </w:r>
    </w:p>
    <w:p w14:paraId="6EAE8716" w14:textId="77777777" w:rsidR="00747B82" w:rsidRPr="0048630F" w:rsidRDefault="00747B82" w:rsidP="00747B82">
      <w:pPr>
        <w:tabs>
          <w:tab w:val="left" w:pos="426"/>
        </w:tabs>
        <w:spacing w:after="0" w:line="240" w:lineRule="auto"/>
        <w:ind w:left="709" w:right="709"/>
        <w:jc w:val="both"/>
        <w:rPr>
          <w:rFonts w:ascii="Century Gothic" w:eastAsia="Arial" w:hAnsi="Century Gothic" w:cs="Arial"/>
          <w:color w:val="000000"/>
          <w:sz w:val="20"/>
          <w:szCs w:val="20"/>
          <w:lang w:val="es-ES" w:eastAsia="es-MX"/>
        </w:rPr>
      </w:pPr>
    </w:p>
    <w:p w14:paraId="388145D0" w14:textId="77777777" w:rsidR="00747B82" w:rsidRPr="0048630F" w:rsidRDefault="00747B82" w:rsidP="00747B82">
      <w:pPr>
        <w:tabs>
          <w:tab w:val="left" w:pos="426"/>
        </w:tabs>
        <w:spacing w:line="240" w:lineRule="auto"/>
        <w:ind w:left="709" w:right="709"/>
        <w:jc w:val="both"/>
        <w:rPr>
          <w:rFonts w:ascii="Century Gothic" w:eastAsia="Arial" w:hAnsi="Century Gothic" w:cs="Arial"/>
          <w:color w:val="000000"/>
          <w:lang w:val="es-ES" w:eastAsia="es-MX"/>
        </w:rPr>
      </w:pPr>
      <w:r w:rsidRPr="0048630F">
        <w:rPr>
          <w:rFonts w:ascii="Century Gothic" w:eastAsia="Arial" w:hAnsi="Century Gothic" w:cs="Arial"/>
          <w:color w:val="000000"/>
          <w:lang w:val="es-ES" w:eastAsia="es-MX"/>
        </w:rPr>
        <w:t>De igual manera, en los documentos tipo que ha adoptado la Agencia, la obligación del proponente de presentar su oferta de manera íntegra es congruente con el numeral 1.6. de los Documentos Base</w:t>
      </w:r>
      <w:r w:rsidRPr="0048630F">
        <w:rPr>
          <w:rStyle w:val="Refdenotaalpie"/>
          <w:rFonts w:ascii="Century Gothic" w:eastAsia="Arial" w:hAnsi="Century Gothic" w:cs="Arial"/>
          <w:color w:val="000000"/>
          <w:lang w:val="es-ES" w:eastAsia="es-MX"/>
        </w:rPr>
        <w:footnoteReference w:id="15"/>
      </w:r>
      <w:r w:rsidRPr="0048630F">
        <w:rPr>
          <w:rFonts w:ascii="Century Gothic" w:eastAsia="Arial" w:hAnsi="Century Gothic" w:cs="Arial"/>
          <w:color w:val="000000"/>
          <w:lang w:val="es-ES" w:eastAsia="es-MX"/>
        </w:rPr>
        <w:t>. Al respecto, los pliegos tipo contienen la siguiente regla:</w:t>
      </w:r>
    </w:p>
    <w:p w14:paraId="526008EA" w14:textId="77777777" w:rsidR="00747B82" w:rsidRPr="0048630F" w:rsidRDefault="00747B82" w:rsidP="00747B82">
      <w:pPr>
        <w:spacing w:after="120" w:line="240" w:lineRule="auto"/>
        <w:ind w:left="709" w:right="709"/>
        <w:jc w:val="both"/>
        <w:rPr>
          <w:rFonts w:ascii="Century Gothic" w:eastAsia="Arial" w:hAnsi="Century Gothic" w:cs="Arial"/>
          <w:color w:val="000000"/>
          <w:sz w:val="20"/>
          <w:szCs w:val="20"/>
          <w:lang w:val="es-ES" w:eastAsia="es-MX"/>
        </w:rPr>
      </w:pPr>
      <w:r w:rsidRPr="0048630F">
        <w:rPr>
          <w:rFonts w:ascii="Century Gothic" w:eastAsia="Arial" w:hAnsi="Century Gothic" w:cs="Arial"/>
          <w:color w:val="000000" w:themeColor="text1"/>
          <w:sz w:val="20"/>
          <w:szCs w:val="20"/>
          <w:lang w:val="es-ES" w:eastAsia="es-MX"/>
        </w:rPr>
        <w:lastRenderedPageBreak/>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4942D65E" w14:textId="77777777" w:rsidR="00747B82" w:rsidRPr="0048630F" w:rsidRDefault="00747B82" w:rsidP="00747B82">
      <w:pPr>
        <w:spacing w:line="240" w:lineRule="auto"/>
        <w:ind w:left="709" w:right="709"/>
        <w:jc w:val="both"/>
        <w:rPr>
          <w:rFonts w:ascii="Century Gothic" w:eastAsia="Arial" w:hAnsi="Century Gothic" w:cs="Arial"/>
          <w:color w:val="000000"/>
          <w:sz w:val="20"/>
          <w:szCs w:val="20"/>
          <w:lang w:val="es-ES" w:eastAsia="es-MX"/>
        </w:rPr>
      </w:pPr>
      <w:r w:rsidRPr="0048630F">
        <w:rPr>
          <w:rFonts w:ascii="Century Gothic" w:eastAsia="Arial" w:hAnsi="Century Gothic" w:cs="Arial"/>
          <w:color w:val="000000" w:themeColor="text1"/>
          <w:sz w:val="20"/>
          <w:szCs w:val="20"/>
          <w:lang w:val="es-ES"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2426BA6D" w14:textId="77777777" w:rsidR="00747B82" w:rsidRPr="0048630F" w:rsidRDefault="00747B82" w:rsidP="00747B82">
      <w:pPr>
        <w:spacing w:after="0" w:line="240" w:lineRule="auto"/>
        <w:ind w:left="709" w:right="709"/>
        <w:jc w:val="both"/>
        <w:rPr>
          <w:rFonts w:ascii="Century Gothic" w:eastAsia="Arial" w:hAnsi="Century Gothic" w:cs="Arial"/>
          <w:color w:val="000000"/>
          <w:sz w:val="20"/>
          <w:szCs w:val="20"/>
          <w:lang w:val="es-ES" w:eastAsia="es-MX"/>
        </w:rPr>
      </w:pPr>
      <w:r w:rsidRPr="0048630F">
        <w:rPr>
          <w:rFonts w:ascii="Century Gothic" w:eastAsia="Arial" w:hAnsi="Century Gothic" w:cs="Arial"/>
          <w:color w:val="000000" w:themeColor="text1"/>
          <w:sz w:val="20"/>
          <w:szCs w:val="20"/>
          <w:lang w:val="es-ES" w:eastAsia="es-MX"/>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7CCABF1C" w14:textId="77777777" w:rsidR="00747B82" w:rsidRPr="0048630F" w:rsidRDefault="00747B82" w:rsidP="00747B82">
      <w:pPr>
        <w:spacing w:after="0" w:line="240" w:lineRule="auto"/>
        <w:ind w:left="709" w:right="709"/>
        <w:jc w:val="both"/>
        <w:rPr>
          <w:rFonts w:ascii="Century Gothic" w:eastAsia="Arial" w:hAnsi="Century Gothic" w:cs="Arial"/>
          <w:color w:val="000000"/>
          <w:sz w:val="21"/>
          <w:szCs w:val="21"/>
          <w:u w:val="single"/>
          <w:lang w:val="es-ES" w:eastAsia="es-MX"/>
        </w:rPr>
      </w:pPr>
    </w:p>
    <w:p w14:paraId="09129B5F" w14:textId="77777777" w:rsidR="00747B82" w:rsidRPr="0048630F" w:rsidRDefault="00747B82" w:rsidP="00747B82">
      <w:pPr>
        <w:spacing w:after="120" w:line="276" w:lineRule="auto"/>
        <w:ind w:firstLine="709"/>
        <w:jc w:val="both"/>
        <w:rPr>
          <w:rFonts w:ascii="Century Gothic" w:eastAsia="Times New Roman" w:hAnsi="Century Gothic" w:cs="Arial"/>
          <w:color w:val="000000"/>
          <w:shd w:val="clear" w:color="auto" w:fill="FFFFFF"/>
          <w:lang w:val="es-ES" w:eastAsia="es-MX"/>
        </w:rPr>
      </w:pPr>
      <w:r w:rsidRPr="0048630F">
        <w:rPr>
          <w:rFonts w:ascii="Century Gothic" w:eastAsia="Times New Roman" w:hAnsi="Century Gothic" w:cs="Arial"/>
          <w:color w:val="000000"/>
          <w:shd w:val="clear" w:color="auto" w:fill="FFFFFF"/>
          <w:lang w:val="es-ES" w:eastAsia="es-MX"/>
        </w:rPr>
        <w:t>El texto transcrito, es concordante con el parágrafo 3 del artículo 30 de la Ley 80 de 1993</w:t>
      </w:r>
      <w:r w:rsidRPr="0048630F">
        <w:rPr>
          <w:rFonts w:ascii="Century Gothic" w:eastAsia="Arial" w:hAnsi="Century Gothic" w:cs="Arial"/>
          <w:color w:val="000000"/>
          <w:vertAlign w:val="superscript"/>
          <w:lang w:val="es-ES" w:eastAsia="es-MX"/>
        </w:rPr>
        <w:footnoteReference w:id="16"/>
      </w:r>
      <w:r w:rsidRPr="0048630F">
        <w:rPr>
          <w:rFonts w:ascii="Century Gothic" w:eastAsia="Times New Roman" w:hAnsi="Century Gothic" w:cs="Arial"/>
          <w:color w:val="000000"/>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w:t>
      </w:r>
      <w:proofErr w:type="gramStart"/>
      <w:r w:rsidRPr="0048630F">
        <w:rPr>
          <w:rFonts w:ascii="Century Gothic" w:eastAsia="Times New Roman" w:hAnsi="Century Gothic" w:cs="Arial"/>
          <w:color w:val="000000"/>
          <w:shd w:val="clear" w:color="auto" w:fill="FFFFFF"/>
          <w:lang w:val="es-ES" w:eastAsia="es-MX"/>
        </w:rPr>
        <w:t>los mismos</w:t>
      </w:r>
      <w:proofErr w:type="gramEnd"/>
      <w:r w:rsidRPr="0048630F">
        <w:rPr>
          <w:rFonts w:ascii="Century Gothic" w:eastAsia="Times New Roman" w:hAnsi="Century Gothic" w:cs="Arial"/>
          <w:color w:val="000000"/>
          <w:shd w:val="clear" w:color="auto" w:fill="FFFFFF"/>
          <w:lang w:val="es-ES" w:eastAsia="es-MX"/>
        </w:rPr>
        <w:t xml:space="preserve">, el cual debe ser publicado durante un plazo de cinco (5) días hábiles, durante el cual, les corresponde a los proponentes allegar los documentos requeridos para subsanar aquellos referidos a la acreditación de documentos no sometidos a puntaje. Dicho termino de traslado del informe de evaluación es al que se refieren el parágrafo 1 del artículo 5 de la Ley 1150 de 2007, </w:t>
      </w:r>
      <w:r w:rsidRPr="0048630F">
        <w:rPr>
          <w:rFonts w:ascii="Century Gothic" w:eastAsia="Times New Roman" w:hAnsi="Century Gothic" w:cs="Arial"/>
          <w:color w:val="000000"/>
          <w:shd w:val="clear" w:color="auto" w:fill="FFFFFF"/>
          <w:lang w:val="es-ES" w:eastAsia="es-MX"/>
        </w:rPr>
        <w:lastRenderedPageBreak/>
        <w:t xml:space="preserve">y el 3 del artículo 30 de la Ley 80 de 1993 como oportunidad para subsanar en los procesos de licitación de obra pública. </w:t>
      </w:r>
    </w:p>
    <w:p w14:paraId="29DF4B47" w14:textId="77777777" w:rsidR="00747B82" w:rsidRPr="0048630F" w:rsidRDefault="00747B82" w:rsidP="00747B82">
      <w:pPr>
        <w:spacing w:before="120" w:line="276" w:lineRule="auto"/>
        <w:ind w:firstLine="709"/>
        <w:jc w:val="both"/>
        <w:rPr>
          <w:rFonts w:ascii="Century Gothic" w:eastAsia="Times New Roman" w:hAnsi="Century Gothic" w:cs="Arial"/>
          <w:color w:val="000000"/>
          <w:shd w:val="clear" w:color="auto" w:fill="FFFFFF"/>
          <w:lang w:val="es-ES" w:eastAsia="es-MX"/>
        </w:rPr>
      </w:pPr>
      <w:r w:rsidRPr="0048630F">
        <w:rPr>
          <w:rFonts w:ascii="Century Gothic" w:eastAsia="Times New Roman" w:hAnsi="Century Gothic" w:cs="Arial"/>
          <w:color w:val="000000"/>
          <w:shd w:val="clear" w:color="auto" w:fill="FFFFFF"/>
          <w:lang w:val="es-ES" w:eastAsia="es-MX"/>
        </w:rPr>
        <w:t>De esta manera, si un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 Serán rechazadas las ofertas de aquellos proponentes que no suministren la información y la documentación solicitada por la entidad estatal hasta el plazo anteriormente señalado”.</w:t>
      </w:r>
    </w:p>
    <w:p w14:paraId="7657AC5F" w14:textId="77777777" w:rsidR="00747B82" w:rsidRPr="0048630F" w:rsidRDefault="00747B82" w:rsidP="00747B82">
      <w:pPr>
        <w:widowControl w:val="0"/>
        <w:spacing w:before="120" w:line="240" w:lineRule="auto"/>
        <w:ind w:firstLine="709"/>
        <w:jc w:val="both"/>
        <w:rPr>
          <w:rFonts w:ascii="Century Gothic" w:eastAsia="Calibri" w:hAnsi="Century Gothic" w:cs="Arial"/>
          <w:b/>
          <w:bCs/>
        </w:rPr>
      </w:pPr>
      <w:r w:rsidRPr="0048630F">
        <w:rPr>
          <w:rFonts w:ascii="Century Gothic" w:eastAsia="Calibri" w:hAnsi="Century Gothic" w:cs="Arial"/>
          <w:b/>
          <w:bCs/>
        </w:rPr>
        <w:t xml:space="preserve">2.4. Causales de rechazo y su carácter taxativo en los documentos tipo </w:t>
      </w:r>
    </w:p>
    <w:p w14:paraId="1C7CA097" w14:textId="77777777" w:rsidR="00747B82" w:rsidRPr="0048630F" w:rsidRDefault="00747B82" w:rsidP="00747B82">
      <w:pPr>
        <w:tabs>
          <w:tab w:val="left" w:pos="709"/>
        </w:tabs>
        <w:spacing w:line="276" w:lineRule="auto"/>
        <w:jc w:val="both"/>
        <w:rPr>
          <w:rFonts w:ascii="Century Gothic" w:hAnsi="Century Gothic" w:cs="Arial"/>
        </w:rPr>
      </w:pPr>
      <w:r w:rsidRPr="0048630F">
        <w:rPr>
          <w:rFonts w:ascii="Century Gothic" w:hAnsi="Century Gothic" w:cs="Arial"/>
        </w:rPr>
        <w:t>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74297FDE" w14:textId="77777777" w:rsidR="00747B82" w:rsidRPr="0048630F" w:rsidRDefault="00747B82" w:rsidP="00747B82">
      <w:pPr>
        <w:tabs>
          <w:tab w:val="left" w:pos="709"/>
        </w:tabs>
        <w:spacing w:after="0" w:line="240" w:lineRule="auto"/>
        <w:ind w:firstLine="709"/>
        <w:jc w:val="both"/>
        <w:rPr>
          <w:rFonts w:ascii="Century Gothic" w:hAnsi="Century Gothic" w:cs="Arial"/>
          <w:sz w:val="20"/>
          <w:szCs w:val="20"/>
        </w:rPr>
      </w:pPr>
      <w:r w:rsidRPr="0048630F">
        <w:rPr>
          <w:rFonts w:ascii="Century Gothic" w:hAnsi="Century Gothic" w:cs="Arial"/>
          <w:sz w:val="20"/>
          <w:szCs w:val="20"/>
        </w:rPr>
        <w:t xml:space="preserve">“Quiere con esto destacar la Sala que las causales de rechazo de las propuestas pueden ser legales y por lo mismo generan el efecto del descarte o exclusión de la oferta </w:t>
      </w:r>
      <w:proofErr w:type="spellStart"/>
      <w:r w:rsidRPr="0048630F">
        <w:rPr>
          <w:rFonts w:ascii="Century Gothic" w:hAnsi="Century Gothic" w:cs="Arial"/>
          <w:sz w:val="20"/>
          <w:szCs w:val="20"/>
        </w:rPr>
        <w:t>ope</w:t>
      </w:r>
      <w:proofErr w:type="spellEnd"/>
      <w:r w:rsidRPr="0048630F">
        <w:rPr>
          <w:rFonts w:ascii="Century Gothic" w:hAnsi="Century Gothic" w:cs="Arial"/>
          <w:sz w:val="20"/>
          <w:szCs w:val="20"/>
        </w:rPr>
        <w:t xml:space="preserve"> </w:t>
      </w:r>
      <w:proofErr w:type="spellStart"/>
      <w:r w:rsidRPr="0048630F">
        <w:rPr>
          <w:rFonts w:ascii="Century Gothic" w:hAnsi="Century Gothic" w:cs="Arial"/>
          <w:sz w:val="20"/>
          <w:szCs w:val="20"/>
        </w:rPr>
        <w:t>legis</w:t>
      </w:r>
      <w:proofErr w:type="spellEnd"/>
      <w:r w:rsidRPr="0048630F">
        <w:rPr>
          <w:rFonts w:ascii="Century Gothic" w:hAnsi="Century Gothic" w:cs="Arial"/>
          <w:sz w:val="20"/>
          <w:szCs w:val="20"/>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w:t>
      </w:r>
      <w:r w:rsidRPr="0048630F">
        <w:rPr>
          <w:rFonts w:ascii="Century Gothic" w:hAnsi="Century Gothic" w:cs="Arial"/>
          <w:sz w:val="20"/>
          <w:szCs w:val="20"/>
          <w:vertAlign w:val="superscript"/>
        </w:rPr>
        <w:footnoteReference w:id="17"/>
      </w:r>
      <w:r w:rsidRPr="0048630F">
        <w:rPr>
          <w:rFonts w:ascii="Century Gothic" w:hAnsi="Century Gothic" w:cs="Arial"/>
          <w:sz w:val="20"/>
          <w:szCs w:val="20"/>
        </w:rPr>
        <w:t>.</w:t>
      </w:r>
    </w:p>
    <w:p w14:paraId="771B5EA2" w14:textId="77777777" w:rsidR="00747B82" w:rsidRPr="0048630F" w:rsidRDefault="00747B82" w:rsidP="00747B82">
      <w:pPr>
        <w:tabs>
          <w:tab w:val="left" w:pos="709"/>
          <w:tab w:val="left" w:pos="851"/>
        </w:tabs>
        <w:spacing w:after="0" w:line="240" w:lineRule="auto"/>
        <w:jc w:val="both"/>
        <w:rPr>
          <w:rFonts w:ascii="Century Gothic" w:eastAsia="Calibri" w:hAnsi="Century Gothic" w:cs="Arial"/>
        </w:rPr>
      </w:pPr>
    </w:p>
    <w:p w14:paraId="700A57C6" w14:textId="77777777" w:rsidR="00747B82" w:rsidRPr="0048630F" w:rsidRDefault="00747B82" w:rsidP="00747B82">
      <w:pPr>
        <w:tabs>
          <w:tab w:val="left" w:pos="709"/>
          <w:tab w:val="left" w:pos="851"/>
        </w:tabs>
        <w:spacing w:after="120" w:line="276" w:lineRule="auto"/>
        <w:jc w:val="both"/>
        <w:rPr>
          <w:rFonts w:ascii="Century Gothic" w:eastAsia="Calibri" w:hAnsi="Century Gothic" w:cs="Arial"/>
        </w:rPr>
      </w:pPr>
      <w:r w:rsidRPr="0048630F">
        <w:rPr>
          <w:rFonts w:ascii="Century Gothic" w:eastAsia="Calibri" w:hAnsi="Century Gothic" w:cs="Arial"/>
          <w:szCs w:val="20"/>
        </w:rPr>
        <w:tab/>
      </w:r>
      <w:r w:rsidRPr="0048630F">
        <w:rPr>
          <w:rFonts w:ascii="Century Gothic" w:eastAsia="Calibri" w:hAnsi="Century Gothic" w:cs="Arial"/>
        </w:rPr>
        <w:t xml:space="preserve">La Agencia Nacional de Contratación Pública – Colombia Compra Eficiente – mediante los conceptos con radicados Nos. 2201913000007117 del 25 de septiembre de 2019, 2201913000009538 del 23 de diciembre de 2019 y C- 716 del 30 de octubre de 2020, entre otros, ha señalado que las causales de rechazo de las ofertas establecidas en los documentos tipo son taxativas, descartándose que la entidad introduzca nuevas, salvo las contempladas directamente en la ley. Igualmente, por la naturaleza de las causales de rechazo, su aplicación es estricta, lo que –a juicio de la Agencia Nacional de Contratación Pública– significa que su </w:t>
      </w:r>
      <w:r w:rsidRPr="0048630F">
        <w:rPr>
          <w:rFonts w:ascii="Century Gothic" w:eastAsia="Calibri" w:hAnsi="Century Gothic" w:cs="Arial"/>
        </w:rPr>
        <w:lastRenderedPageBreak/>
        <w:t>interpretación gramatical prevalece sobre una interpretación extensiva o de otra índole, mediante la cual se pretenda ampliar su alcance.</w:t>
      </w:r>
    </w:p>
    <w:p w14:paraId="57D6288F" w14:textId="77777777" w:rsidR="00747B82" w:rsidRPr="0048630F" w:rsidRDefault="00747B82" w:rsidP="00747B82">
      <w:pPr>
        <w:tabs>
          <w:tab w:val="left" w:pos="709"/>
          <w:tab w:val="left" w:pos="851"/>
        </w:tabs>
        <w:spacing w:after="120" w:line="276" w:lineRule="auto"/>
        <w:ind w:firstLine="709"/>
        <w:jc w:val="both"/>
        <w:rPr>
          <w:rFonts w:ascii="Century Gothic" w:eastAsia="Calibri" w:hAnsi="Century Gothic" w:cs="Arial"/>
          <w:color w:val="000000"/>
        </w:rPr>
      </w:pPr>
      <w:bookmarkStart w:id="2" w:name="_Hlk112162868"/>
      <w:r w:rsidRPr="0048630F">
        <w:rPr>
          <w:rFonts w:ascii="Century Gothic" w:eastAsia="Calibri" w:hAnsi="Century Gothic" w:cs="Arial"/>
        </w:rPr>
        <w:t>De acuerdo con lo anterior, al consultar el</w:t>
      </w:r>
      <w:r w:rsidRPr="0048630F">
        <w:rPr>
          <w:rFonts w:ascii="Century Gothic" w:eastAsia="Calibri" w:hAnsi="Century Gothic" w:cs="Arial"/>
          <w:color w:val="000000" w:themeColor="text1"/>
        </w:rPr>
        <w:t xml:space="preserve"> numeral 1.15</w:t>
      </w:r>
      <w:r w:rsidRPr="0048630F">
        <w:rPr>
          <w:rFonts w:ascii="Century Gothic" w:eastAsia="Calibri" w:hAnsi="Century Gothic" w:cs="Arial"/>
        </w:rPr>
        <w:t xml:space="preserve"> </w:t>
      </w:r>
      <w:r w:rsidRPr="0048630F">
        <w:rPr>
          <w:rFonts w:ascii="Century Gothic" w:eastAsia="Calibri" w:hAnsi="Century Gothic" w:cs="Arial"/>
          <w:color w:val="000000" w:themeColor="text1"/>
        </w:rPr>
        <w:t>del pliego tipo “Documento Base” de “licitación de obra pública de infraestructura de transporte – Versión 3”, que consagra el listado de las causales de rechazo aplicables a estos procedimientos de selección</w:t>
      </w:r>
      <w:bookmarkEnd w:id="2"/>
      <w:r w:rsidRPr="0048630F">
        <w:rPr>
          <w:rFonts w:ascii="Century Gothic" w:eastAsia="Calibri" w:hAnsi="Century Gothic" w:cs="Arial"/>
          <w:color w:val="000000" w:themeColor="text1"/>
        </w:rPr>
        <w:t>, se observa:</w:t>
      </w:r>
    </w:p>
    <w:p w14:paraId="4DDEE9DD" w14:textId="77777777" w:rsidR="00747B82" w:rsidRPr="0048630F" w:rsidRDefault="00747B82" w:rsidP="00747B82">
      <w:pPr>
        <w:tabs>
          <w:tab w:val="left" w:pos="709"/>
        </w:tabs>
        <w:spacing w:after="120" w:line="240" w:lineRule="auto"/>
        <w:ind w:left="709"/>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 xml:space="preserve">“Son causales de rechazo de las propuestas las siguientes </w:t>
      </w:r>
      <w:r w:rsidRPr="0048630F">
        <w:rPr>
          <w:rFonts w:ascii="Century Gothic" w:eastAsia="Calibri" w:hAnsi="Century Gothic" w:cs="Arial"/>
          <w:color w:val="000000" w:themeColor="text1"/>
          <w:sz w:val="21"/>
          <w:szCs w:val="21"/>
          <w:highlight w:val="lightGray"/>
        </w:rPr>
        <w:t>[Las entidades no podrán incluir causales de rechazo distintas a las señaladas en la presente sección]</w:t>
      </w:r>
      <w:r w:rsidRPr="0048630F">
        <w:rPr>
          <w:rFonts w:ascii="Century Gothic" w:eastAsia="Calibri" w:hAnsi="Century Gothic" w:cs="Arial"/>
          <w:color w:val="000000" w:themeColor="text1"/>
          <w:sz w:val="21"/>
          <w:szCs w:val="21"/>
        </w:rPr>
        <w:t>:</w:t>
      </w:r>
    </w:p>
    <w:p w14:paraId="7BBE9D0C"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Que el proponente o alguno de los integrantes del proponente plural esté incurso en causal de inhabilidad, incompatibilidad o prohibición previstas en la legislación para contratar.</w:t>
      </w:r>
    </w:p>
    <w:p w14:paraId="5A9BC66D" w14:textId="77777777" w:rsidR="00747B82" w:rsidRPr="0048630F" w:rsidRDefault="00747B82" w:rsidP="00747B82">
      <w:pPr>
        <w:tabs>
          <w:tab w:val="left" w:pos="709"/>
        </w:tabs>
        <w:spacing w:after="120" w:line="240" w:lineRule="auto"/>
        <w:ind w:left="709"/>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highlight w:val="lightGray"/>
        </w:rPr>
        <w:t>[Cuando en el mismo proceso de contratación se presentan oferentes en la situación descrita por los literales g) y h) del numeral 1 del artículo 8 de la Ley 80 de 1993, la entidad solo admitirá la oferta presentada primero en el tiempo]</w:t>
      </w:r>
    </w:p>
    <w:p w14:paraId="2518212F"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Cuando una misma persona natural o jurídica, o integrante de un proponente plural presente o haga parte en más de una propuesta para el presente proceso de contratación.</w:t>
      </w:r>
    </w:p>
    <w:p w14:paraId="29BDDCE5" w14:textId="77777777" w:rsidR="00747B82" w:rsidRPr="0048630F" w:rsidRDefault="00747B82" w:rsidP="00747B82">
      <w:pPr>
        <w:tabs>
          <w:tab w:val="left" w:pos="709"/>
        </w:tabs>
        <w:spacing w:after="120" w:line="240" w:lineRule="auto"/>
        <w:ind w:left="709"/>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48630F">
        <w:rPr>
          <w:rFonts w:ascii="Century Gothic" w:eastAsia="Calibri" w:hAnsi="Century Gothic" w:cs="Arial"/>
          <w:color w:val="000000" w:themeColor="text1"/>
          <w:sz w:val="21"/>
          <w:szCs w:val="21"/>
        </w:rPr>
        <w:t xml:space="preserve"> </w:t>
      </w:r>
    </w:p>
    <w:p w14:paraId="73D00857"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 xml:space="preserve">Que el proponente o alguno de los integrantes del proponente plural esté reportado en el Boletín de </w:t>
      </w:r>
      <w:proofErr w:type="gramStart"/>
      <w:r w:rsidRPr="0048630F">
        <w:rPr>
          <w:rFonts w:ascii="Century Gothic" w:eastAsia="Calibri" w:hAnsi="Century Gothic" w:cs="Arial"/>
          <w:color w:val="000000" w:themeColor="text1"/>
          <w:sz w:val="21"/>
          <w:szCs w:val="21"/>
        </w:rPr>
        <w:t>Responsables</w:t>
      </w:r>
      <w:proofErr w:type="gramEnd"/>
      <w:r w:rsidRPr="0048630F">
        <w:rPr>
          <w:rFonts w:ascii="Century Gothic" w:eastAsia="Calibri" w:hAnsi="Century Gothic" w:cs="Arial"/>
          <w:color w:val="000000" w:themeColor="text1"/>
          <w:sz w:val="21"/>
          <w:szCs w:val="21"/>
        </w:rPr>
        <w:t xml:space="preserve"> Fiscales emitido por la Contraloría General de la República.</w:t>
      </w:r>
    </w:p>
    <w:p w14:paraId="0EDCF8EE"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Que la persona jurídica proponente individual o integrante del proponente plural esté incursa en la situación descrita en el numeral 1 del artículo 38 de la Ley 1116 de 2006.</w:t>
      </w:r>
    </w:p>
    <w:p w14:paraId="4E4677BC"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i/>
          <w:iCs/>
          <w:color w:val="000000"/>
          <w:sz w:val="21"/>
          <w:szCs w:val="21"/>
          <w:u w:val="single"/>
        </w:rPr>
      </w:pPr>
      <w:r w:rsidRPr="0048630F">
        <w:rPr>
          <w:rFonts w:ascii="Century Gothic" w:eastAsia="Calibri" w:hAnsi="Century Gothic" w:cs="Arial"/>
          <w:i/>
          <w:iCs/>
          <w:color w:val="000000" w:themeColor="text1"/>
          <w:sz w:val="21"/>
          <w:szCs w:val="21"/>
          <w:u w:val="single"/>
        </w:rPr>
        <w:t>Que el proponente no aclare, subsane o aporte documentos necesarios para cumplir un requisito habilitante o aportándolos no lo haga de forma correcta, en los términos establecidos en la sección 1.6.</w:t>
      </w:r>
    </w:p>
    <w:p w14:paraId="006C46C2"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Que la inscripción en el Registro Único de Proponentes (RUP) que realice el proponente, por primera vez o cuando han cesado los efectos y debe volver a inscribirse, no esté en firme en la fecha prevista para el cierre del proceso de contratación.</w:t>
      </w:r>
    </w:p>
    <w:p w14:paraId="54E343B0"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2DA88E28"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lastRenderedPageBreak/>
        <w:t>Que el proponente aporte información inexacta sobre la cual pueda existir una posible falsedad en los términos de la sección 1.11.</w:t>
      </w:r>
    </w:p>
    <w:p w14:paraId="366263F5"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Que el proponente se encuentre inmerso en un conflicto de interés previsto en una norma de rango constitucional o legal o en la causal prevista en el numeral 1.14 del pliego de condiciones.</w:t>
      </w:r>
    </w:p>
    <w:p w14:paraId="77A17628"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highlight w:val="lightGray"/>
        </w:rPr>
        <w:t>[Incluir esta causal cuando las ofertas se presente en el SECOP I]</w:t>
      </w:r>
      <w:r w:rsidRPr="0048630F">
        <w:rPr>
          <w:rFonts w:ascii="Century Gothic" w:eastAsia="Calibri" w:hAnsi="Century Gothic" w:cs="Arial"/>
          <w:color w:val="000000" w:themeColor="text1"/>
          <w:sz w:val="21"/>
          <w:szCs w:val="21"/>
        </w:rPr>
        <w:t xml:space="preserve"> Que la propuesta económica no se aporte firmada.</w:t>
      </w:r>
    </w:p>
    <w:p w14:paraId="083ED9AA"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No entregar la Garantía de seriedad de la oferta junto con la propuesta.</w:t>
      </w:r>
    </w:p>
    <w:p w14:paraId="6E310F6B"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Que el objeto social del proponente o el de sus integrantes no le permita ejecutar el objeto del contrato.</w:t>
      </w:r>
    </w:p>
    <w:p w14:paraId="6B2972B4"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Que el valor total de la oferta o aquel revisado en la audiencia efectiva de adjudicación exceda el presupuesto oficial estimado para el proceso de contratación.</w:t>
      </w:r>
    </w:p>
    <w:p w14:paraId="302266E4"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Presentar la oferta con tachaduras o enmendaduras que no estén convalidadas en la forma indicada en la sección 2.3 del pliego de condiciones.</w:t>
      </w:r>
    </w:p>
    <w:p w14:paraId="32D20A47"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3EE10A47"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highlight w:val="lightGray"/>
        </w:rPr>
        <w:t>[Incluir solo cuando la forma de pago sea por precios unitarios]</w:t>
      </w:r>
      <w:r w:rsidRPr="0048630F">
        <w:rPr>
          <w:rFonts w:ascii="Century Gothic" w:eastAsia="Calibri" w:hAnsi="Century Gothic" w:cs="Arial"/>
          <w:color w:val="000000" w:themeColor="text1"/>
          <w:sz w:val="21"/>
          <w:szCs w:val="21"/>
        </w:rPr>
        <w:t xml:space="preserve"> </w:t>
      </w:r>
      <w:r w:rsidRPr="0048630F">
        <w:rPr>
          <w:rFonts w:ascii="Century Gothic" w:eastAsia="Calibri" w:hAnsi="Century Gothic" w:cs="Arial"/>
          <w:i/>
          <w:iCs/>
          <w:color w:val="000000" w:themeColor="text1"/>
          <w:sz w:val="21"/>
          <w:szCs w:val="21"/>
          <w:u w:val="single"/>
        </w:rPr>
        <w:t>No ofrecer el valor de un precio unitario u ofrecerlo en cero (0)</w:t>
      </w:r>
      <w:r w:rsidRPr="0048630F">
        <w:rPr>
          <w:rFonts w:ascii="Century Gothic" w:eastAsia="Calibri" w:hAnsi="Century Gothic" w:cs="Arial"/>
          <w:color w:val="000000" w:themeColor="text1"/>
          <w:sz w:val="21"/>
          <w:szCs w:val="21"/>
        </w:rPr>
        <w:t xml:space="preserve"> pesos. </w:t>
      </w:r>
    </w:p>
    <w:p w14:paraId="5A542061"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highlight w:val="lightGray"/>
        </w:rPr>
      </w:pPr>
      <w:r w:rsidRPr="0048630F">
        <w:rPr>
          <w:rFonts w:ascii="Century Gothic" w:eastAsia="Calibri" w:hAnsi="Century Gothic" w:cs="Arial"/>
          <w:color w:val="000000" w:themeColor="text1"/>
          <w:sz w:val="21"/>
          <w:szCs w:val="21"/>
          <w:highlight w:val="lightGray"/>
        </w:rPr>
        <w:t>[Incluir solo cuando la forma de pago sea por precios unitarios</w:t>
      </w:r>
      <w:r w:rsidRPr="0048630F">
        <w:rPr>
          <w:rFonts w:ascii="Century Gothic" w:eastAsia="Calibri" w:hAnsi="Century Gothic" w:cs="Arial"/>
          <w:i/>
          <w:iCs/>
          <w:color w:val="000000" w:themeColor="text1"/>
          <w:sz w:val="21"/>
          <w:szCs w:val="21"/>
          <w:highlight w:val="lightGray"/>
          <w:u w:val="single"/>
        </w:rPr>
        <w:t>]</w:t>
      </w:r>
      <w:r w:rsidRPr="0048630F">
        <w:rPr>
          <w:rFonts w:ascii="Century Gothic" w:eastAsia="Calibri" w:hAnsi="Century Gothic" w:cs="Arial"/>
          <w:i/>
          <w:iCs/>
          <w:color w:val="000000" w:themeColor="text1"/>
          <w:sz w:val="21"/>
          <w:szCs w:val="21"/>
          <w:u w:val="single"/>
        </w:rPr>
        <w:t xml:space="preserve"> Superar el valor unitario de alguno o algunos de los siguientes ítems ofrecidos con respecto al valor establecido para cada ítem del presupuesto oficial: </w:t>
      </w:r>
      <w:r w:rsidRPr="0048630F">
        <w:rPr>
          <w:rFonts w:ascii="Century Gothic" w:eastAsia="Calibri" w:hAnsi="Century Gothic" w:cs="Arial"/>
          <w:i/>
          <w:iCs/>
          <w:color w:val="000000" w:themeColor="text1"/>
          <w:sz w:val="21"/>
          <w:szCs w:val="21"/>
          <w:highlight w:val="lightGray"/>
          <w:u w:val="single"/>
        </w:rPr>
        <w:t>[La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w:t>
      </w:r>
      <w:r w:rsidRPr="0048630F">
        <w:rPr>
          <w:rFonts w:ascii="Century Gothic" w:eastAsia="Calibri" w:hAnsi="Century Gothic" w:cs="Arial"/>
          <w:color w:val="000000" w:themeColor="text1"/>
          <w:sz w:val="21"/>
          <w:szCs w:val="21"/>
          <w:highlight w:val="lightGray"/>
        </w:rPr>
        <w:t xml:space="preserve"> </w:t>
      </w:r>
    </w:p>
    <w:p w14:paraId="686B1A3A" w14:textId="77777777" w:rsidR="00747B82" w:rsidRPr="0048630F" w:rsidRDefault="00747B82" w:rsidP="00747B82">
      <w:pPr>
        <w:tabs>
          <w:tab w:val="left" w:pos="709"/>
        </w:tabs>
        <w:spacing w:after="120" w:line="240" w:lineRule="auto"/>
        <w:ind w:left="709"/>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highlight w:val="lightGray"/>
        </w:rPr>
        <w:t>Para la aplicación de esta causal la entidad debe tener en cuenta que el valor unitario establecido en el Formulario 1 – Formulario de Presupuesto Oficial incluye el valor de AIU]</w:t>
      </w:r>
      <w:r w:rsidRPr="0048630F">
        <w:rPr>
          <w:rFonts w:ascii="Century Gothic" w:eastAsia="Calibri" w:hAnsi="Century Gothic" w:cs="Arial"/>
          <w:color w:val="000000" w:themeColor="text1"/>
          <w:sz w:val="21"/>
          <w:szCs w:val="21"/>
        </w:rPr>
        <w:t xml:space="preserve"> </w:t>
      </w:r>
    </w:p>
    <w:p w14:paraId="6FDA1FF9"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highlight w:val="lightGray"/>
        </w:rPr>
      </w:pPr>
      <w:r w:rsidRPr="0048630F">
        <w:rPr>
          <w:rFonts w:ascii="Century Gothic" w:eastAsia="Calibri" w:hAnsi="Century Gothic" w:cs="Arial"/>
          <w:color w:val="000000" w:themeColor="text1"/>
          <w:sz w:val="21"/>
          <w:szCs w:val="21"/>
          <w:highlight w:val="lightGray"/>
        </w:rPr>
        <w:t>[Esta causal aplica de acuerdo con la configuración de la oferta económica por parte de la entidad]</w:t>
      </w:r>
      <w:r w:rsidRPr="0048630F">
        <w:rPr>
          <w:rFonts w:ascii="Century Gothic" w:eastAsia="Calibri" w:hAnsi="Century Gothic" w:cs="Arial"/>
          <w:color w:val="000000" w:themeColor="text1"/>
          <w:sz w:val="21"/>
          <w:szCs w:val="21"/>
        </w:rPr>
        <w:t xml:space="preserve"> No discriminar en la oferta económica el porcentaje de AIU en la forma como lo establece el Pliego de Condiciones y el Formulario 1 – Formulario de presupuesto oficial. </w:t>
      </w:r>
      <w:r w:rsidRPr="0048630F">
        <w:rPr>
          <w:rFonts w:ascii="Century Gothic" w:eastAsia="Calibri" w:hAnsi="Century Gothic" w:cs="Arial"/>
          <w:color w:val="000000" w:themeColor="text1"/>
          <w:sz w:val="21"/>
          <w:szCs w:val="21"/>
          <w:highlight w:val="lightGray"/>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1E098BCB"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sz w:val="21"/>
          <w:szCs w:val="21"/>
        </w:rPr>
        <w:lastRenderedPageBreak/>
        <w:t xml:space="preserve">Ofrecer como AIU un porcentaje cuya sumatoria sea superior al establecido por la Entidad en el </w:t>
      </w:r>
      <w:r w:rsidRPr="0048630F">
        <w:rPr>
          <w:rFonts w:ascii="Century Gothic" w:eastAsia="Calibri" w:hAnsi="Century Gothic" w:cs="Arial"/>
          <w:color w:val="000000"/>
          <w:sz w:val="21"/>
          <w:szCs w:val="21"/>
        </w:rPr>
        <w:fldChar w:fldCharType="begin"/>
      </w:r>
      <w:r w:rsidRPr="0048630F">
        <w:rPr>
          <w:rFonts w:ascii="Century Gothic" w:eastAsia="Calibri" w:hAnsi="Century Gothic" w:cs="Arial"/>
          <w:color w:val="000000"/>
          <w:sz w:val="21"/>
          <w:szCs w:val="21"/>
        </w:rPr>
        <w:instrText xml:space="preserve"> REF _Ref57725061 \h  \* MERGEFORMAT </w:instrText>
      </w:r>
      <w:r w:rsidRPr="0048630F">
        <w:rPr>
          <w:rFonts w:ascii="Century Gothic" w:eastAsia="Calibri" w:hAnsi="Century Gothic" w:cs="Arial"/>
          <w:color w:val="000000"/>
          <w:sz w:val="21"/>
          <w:szCs w:val="21"/>
        </w:rPr>
      </w:r>
      <w:r w:rsidRPr="0048630F">
        <w:rPr>
          <w:rFonts w:ascii="Century Gothic" w:eastAsia="Calibri" w:hAnsi="Century Gothic" w:cs="Arial"/>
          <w:color w:val="000000"/>
          <w:sz w:val="21"/>
          <w:szCs w:val="21"/>
        </w:rPr>
        <w:fldChar w:fldCharType="separate"/>
      </w:r>
      <w:r w:rsidRPr="0048630F">
        <w:rPr>
          <w:rFonts w:ascii="Century Gothic" w:eastAsia="Calibri" w:hAnsi="Century Gothic" w:cs="Arial"/>
          <w:color w:val="000000"/>
          <w:sz w:val="21"/>
          <w:szCs w:val="21"/>
        </w:rPr>
        <w:t>Formulario 1– Formulario de Presupuesto Oficial</w:t>
      </w:r>
      <w:r w:rsidRPr="0048630F">
        <w:rPr>
          <w:rFonts w:ascii="Century Gothic" w:eastAsia="Calibri" w:hAnsi="Century Gothic" w:cs="Arial"/>
          <w:color w:val="000000"/>
          <w:sz w:val="21"/>
          <w:szCs w:val="21"/>
        </w:rPr>
        <w:fldChar w:fldCharType="end"/>
      </w:r>
      <w:r w:rsidRPr="0048630F">
        <w:rPr>
          <w:rFonts w:ascii="Century Gothic" w:eastAsia="Calibri" w:hAnsi="Century Gothic" w:cs="Arial"/>
          <w:color w:val="000000"/>
          <w:sz w:val="21"/>
          <w:szCs w:val="21"/>
        </w:rPr>
        <w:t>.</w:t>
      </w:r>
    </w:p>
    <w:p w14:paraId="6F44B9CB"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Cuando se presente propuesta condicionada para la adjudicación del contrato.</w:t>
      </w:r>
    </w:p>
    <w:p w14:paraId="3A9892CA"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Presentar la oferta extemporáneamente.</w:t>
      </w:r>
    </w:p>
    <w:p w14:paraId="0A44148C"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No presentar oferta económica. Entregar la información de la propuesta económica en el sobre que no corresponda.</w:t>
      </w:r>
    </w:p>
    <w:p w14:paraId="70D4E512"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highlight w:val="lightGray"/>
        </w:rPr>
      </w:pPr>
      <w:r w:rsidRPr="0048630F">
        <w:rPr>
          <w:rFonts w:ascii="Century Gothic" w:eastAsia="Calibri" w:hAnsi="Century Gothic" w:cs="Arial"/>
          <w:color w:val="000000" w:themeColor="text1"/>
          <w:sz w:val="21"/>
          <w:szCs w:val="21"/>
        </w:rPr>
        <w:t xml:space="preserve">Presentar más de una oferta económica con valores distintos en el Sobre 2. </w:t>
      </w:r>
      <w:r w:rsidRPr="0048630F">
        <w:rPr>
          <w:rFonts w:ascii="Century Gothic" w:eastAsia="Calibri" w:hAnsi="Century Gothic" w:cs="Arial"/>
          <w:color w:val="000000" w:themeColor="text1"/>
          <w:sz w:val="21"/>
          <w:szCs w:val="21"/>
          <w:highlight w:val="lightGray"/>
        </w:rPr>
        <w:t>[Cuando el proceso se estructure por lotes o grupos reemplazar el texto anterior por el siguiente: Presentar más de una oferta económica con valores distintos para el mismo lote o grupo]</w:t>
      </w:r>
    </w:p>
    <w:p w14:paraId="3264D5CE"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 xml:space="preserve">Cuando se determine que el valor total de la oferta es artificialmente bajo, de acuerdo con lo establecido en la sección 4.1.3 </w:t>
      </w:r>
    </w:p>
    <w:p w14:paraId="616B19D3"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Cuando se presenten propuestas parciales y esta posibilidad no haya sido establecida en el pliego de condiciones.</w:t>
      </w:r>
    </w:p>
    <w:p w14:paraId="64CA9342" w14:textId="77777777" w:rsidR="00747B82" w:rsidRPr="0048630F" w:rsidRDefault="00747B82" w:rsidP="00747B82">
      <w:pPr>
        <w:numPr>
          <w:ilvl w:val="0"/>
          <w:numId w:val="19"/>
        </w:numPr>
        <w:tabs>
          <w:tab w:val="left" w:pos="709"/>
        </w:tabs>
        <w:spacing w:after="120" w:line="240" w:lineRule="auto"/>
        <w:ind w:left="709" w:hanging="283"/>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No informar todos los contratos que el proponente tenga en ejecución antes del cierre, necesarios para acreditar su capacidad residual conforme a la sección 3.10.</w:t>
      </w:r>
    </w:p>
    <w:p w14:paraId="4A80427D" w14:textId="77777777" w:rsidR="00747B82" w:rsidRPr="0048630F" w:rsidRDefault="00747B82" w:rsidP="00747B82">
      <w:pPr>
        <w:numPr>
          <w:ilvl w:val="0"/>
          <w:numId w:val="19"/>
        </w:numPr>
        <w:tabs>
          <w:tab w:val="left" w:pos="709"/>
        </w:tabs>
        <w:spacing w:after="120" w:line="240" w:lineRule="auto"/>
        <w:ind w:left="709" w:hanging="357"/>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Ofrecer un plazo superior al señalado por la entidad en el Anexo 1 – Anexo Técnico.</w:t>
      </w:r>
    </w:p>
    <w:p w14:paraId="35838463" w14:textId="77777777" w:rsidR="00747B82" w:rsidRPr="0048630F" w:rsidRDefault="00747B82" w:rsidP="00747B82">
      <w:pPr>
        <w:numPr>
          <w:ilvl w:val="0"/>
          <w:numId w:val="19"/>
        </w:numPr>
        <w:tabs>
          <w:tab w:val="left" w:pos="709"/>
        </w:tabs>
        <w:spacing w:after="120" w:line="240" w:lineRule="auto"/>
        <w:ind w:left="709" w:hanging="357"/>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117A8EAD" w14:textId="77777777" w:rsidR="00747B82" w:rsidRPr="0048630F" w:rsidRDefault="00747B82" w:rsidP="00747B82">
      <w:pPr>
        <w:numPr>
          <w:ilvl w:val="0"/>
          <w:numId w:val="19"/>
        </w:numPr>
        <w:tabs>
          <w:tab w:val="left" w:pos="709"/>
        </w:tabs>
        <w:spacing w:after="0" w:line="240" w:lineRule="auto"/>
        <w:ind w:left="352" w:hanging="68"/>
        <w:jc w:val="both"/>
        <w:rPr>
          <w:rFonts w:ascii="Century Gothic" w:eastAsia="Calibri" w:hAnsi="Century Gothic" w:cs="Arial"/>
          <w:color w:val="000000"/>
          <w:sz w:val="21"/>
          <w:szCs w:val="21"/>
        </w:rPr>
      </w:pPr>
      <w:r w:rsidRPr="0048630F">
        <w:rPr>
          <w:rFonts w:ascii="Century Gothic" w:eastAsia="Calibri" w:hAnsi="Century Gothic" w:cs="Arial"/>
          <w:color w:val="000000" w:themeColor="text1"/>
          <w:sz w:val="21"/>
          <w:szCs w:val="21"/>
        </w:rPr>
        <w:t xml:space="preserve">Las demás previstas en la ley”. </w:t>
      </w:r>
      <w:r w:rsidRPr="0048630F">
        <w:rPr>
          <w:rFonts w:ascii="Century Gothic" w:eastAsia="Calibri" w:hAnsi="Century Gothic" w:cs="Arial"/>
          <w:i/>
          <w:iCs/>
          <w:color w:val="000000" w:themeColor="text1"/>
          <w:sz w:val="21"/>
          <w:szCs w:val="21"/>
        </w:rPr>
        <w:t>(</w:t>
      </w:r>
      <w:r w:rsidRPr="0048630F">
        <w:rPr>
          <w:rFonts w:ascii="Century Gothic" w:eastAsia="Calibri" w:hAnsi="Century Gothic" w:cs="Arial"/>
          <w:i/>
          <w:iCs/>
          <w:color w:val="000000" w:themeColor="text1"/>
          <w:sz w:val="21"/>
          <w:szCs w:val="21"/>
          <w:u w:val="single"/>
        </w:rPr>
        <w:t>Énfasis fuera de texto</w:t>
      </w:r>
      <w:r w:rsidRPr="0048630F">
        <w:rPr>
          <w:rFonts w:ascii="Century Gothic" w:eastAsia="Calibri" w:hAnsi="Century Gothic" w:cs="Arial"/>
          <w:i/>
          <w:iCs/>
          <w:color w:val="000000" w:themeColor="text1"/>
          <w:sz w:val="21"/>
          <w:szCs w:val="21"/>
        </w:rPr>
        <w:t>)</w:t>
      </w:r>
    </w:p>
    <w:p w14:paraId="25C04BFB" w14:textId="77777777" w:rsidR="00747B82" w:rsidRPr="0048630F" w:rsidRDefault="00747B82" w:rsidP="00747B82">
      <w:pPr>
        <w:tabs>
          <w:tab w:val="left" w:pos="709"/>
        </w:tabs>
        <w:spacing w:line="276" w:lineRule="auto"/>
        <w:ind w:left="352"/>
        <w:jc w:val="both"/>
        <w:rPr>
          <w:rFonts w:ascii="Century Gothic" w:eastAsia="Calibri" w:hAnsi="Century Gothic" w:cs="Arial"/>
          <w:color w:val="000000"/>
          <w:sz w:val="21"/>
          <w:szCs w:val="21"/>
        </w:rPr>
      </w:pPr>
    </w:p>
    <w:p w14:paraId="5D2F9A73" w14:textId="77777777" w:rsidR="00747B82" w:rsidRPr="0048630F" w:rsidRDefault="00747B82" w:rsidP="00747B82">
      <w:pPr>
        <w:tabs>
          <w:tab w:val="left" w:pos="709"/>
          <w:tab w:val="left" w:pos="851"/>
        </w:tabs>
        <w:spacing w:after="120" w:line="276" w:lineRule="auto"/>
        <w:jc w:val="both"/>
        <w:rPr>
          <w:rFonts w:ascii="Century Gothic" w:eastAsia="Calibri" w:hAnsi="Century Gothic" w:cs="Arial"/>
          <w:color w:val="000000"/>
        </w:rPr>
      </w:pPr>
      <w:r w:rsidRPr="0048630F">
        <w:rPr>
          <w:rFonts w:ascii="Century Gothic" w:hAnsi="Century Gothic" w:cs="Arial"/>
        </w:rPr>
        <w:tab/>
        <w:t xml:space="preserve">De acuerdo con lo expuesto, el Formulario 1, y en general los documentos tipo contemplan la metodología de precios de unitarios como opción principal para determinar el presupuesto oficial y para establecer el precio, el Documento Base contiene causales de rechazo aplicables a procesos en los que se emplee dicho sistema de pago. Tal es el caso de las causales establecidas en los literales P y Q del numeral 1.15 Documento Base, cuyos supuestos de hecho tienen relación con circunstancias en las que el proponente al presentar su propuesta no oferta un precio unitario, o supera en algún ítem el valor límite fijado por la entidad, por lo que dichas causales solo son aplicables en procesos cuya estructuración del valor se establezca mediante el sistema de precios unitarios. Por esta razón, ambos literales solo deben incluirse “cuando la forma de pago sea por precios unitarios”, </w:t>
      </w:r>
      <w:r w:rsidRPr="0048630F">
        <w:rPr>
          <w:rFonts w:ascii="Century Gothic" w:hAnsi="Century Gothic" w:cs="Arial"/>
        </w:rPr>
        <w:lastRenderedPageBreak/>
        <w:t xml:space="preserve">y en el caso de la causal del literal Q, adicionalmente </w:t>
      </w:r>
      <w:bookmarkStart w:id="3" w:name="_Hlk57047591"/>
      <w:r w:rsidRPr="0048630F">
        <w:rPr>
          <w:rFonts w:ascii="Century Gothic" w:hAnsi="Century Gothic" w:cs="Arial"/>
        </w:rPr>
        <w:t>“cuando considere necesario establecer ítems del Presupuesto Oficial cuyo valor no pueda ser excedido por el Proponente</w:t>
      </w:r>
      <w:bookmarkEnd w:id="3"/>
      <w:r w:rsidRPr="0048630F">
        <w:rPr>
          <w:rFonts w:ascii="Century Gothic" w:hAnsi="Century Gothic" w:cs="Arial"/>
        </w:rPr>
        <w:t>”, evento en el que se deberán establecer expresamente los ítems respecto de los que aplicaría la causal.</w:t>
      </w:r>
      <w:r w:rsidRPr="0048630F">
        <w:rPr>
          <w:rFonts w:ascii="Century Gothic" w:eastAsia="Calibri" w:hAnsi="Century Gothic" w:cs="Arial"/>
          <w:color w:val="000000"/>
        </w:rPr>
        <w:tab/>
      </w:r>
    </w:p>
    <w:p w14:paraId="06450573" w14:textId="77777777" w:rsidR="00747B82" w:rsidRPr="0048630F" w:rsidRDefault="00747B82" w:rsidP="00747B82">
      <w:pPr>
        <w:tabs>
          <w:tab w:val="left" w:pos="709"/>
          <w:tab w:val="left" w:pos="851"/>
        </w:tabs>
        <w:spacing w:after="120" w:line="276" w:lineRule="auto"/>
        <w:jc w:val="both"/>
        <w:rPr>
          <w:rFonts w:ascii="Century Gothic" w:eastAsia="Calibri" w:hAnsi="Century Gothic" w:cs="Arial"/>
          <w:color w:val="000000"/>
        </w:rPr>
      </w:pPr>
      <w:r w:rsidRPr="0048630F">
        <w:rPr>
          <w:rFonts w:ascii="Century Gothic" w:eastAsia="Calibri" w:hAnsi="Century Gothic" w:cs="Arial"/>
          <w:color w:val="000000"/>
        </w:rPr>
        <w:tab/>
        <w:t>Adicionalmente, el literal E del numeral 1.15 establece una causal de rechazo establece otra causal de rechazo aplicable de manera general, en los casos en los que se presente la necesidad de subsanar, conforme a la regla establecida en el parágrafo 1 del artículo 5 de la Ley 1150 de 2007, y o de aclarar, según lo dispuesto en el numeral 7 del artículo 30 de la Ley 80 de 1993, en los términos previstos en el numeral 1.6 del D</w:t>
      </w:r>
      <w:r w:rsidRPr="0048630F">
        <w:rPr>
          <w:rFonts w:ascii="Century Gothic" w:eastAsia="Calibri" w:hAnsi="Century Gothic" w:cs="Arial"/>
          <w:color w:val="000000" w:themeColor="text1"/>
        </w:rPr>
        <w:t>ocumento base.</w:t>
      </w:r>
      <w:r w:rsidRPr="0048630F">
        <w:rPr>
          <w:rFonts w:ascii="Century Gothic" w:eastAsia="Calibri" w:hAnsi="Century Gothic" w:cs="Arial"/>
          <w:color w:val="000000"/>
        </w:rPr>
        <w:t xml:space="preserve"> Según está causal procede el rechazo de la oferta en los casos en los no se aclare, subsane o se alleguen los documentos requeridos, o cuando haciéndolo, no se ha de forma correcta de acuerdo con lo establecido en el numeral 1.6 del Documento Base. Al respecto es importante mencionar que este numeral indica que </w:t>
      </w:r>
      <w:r w:rsidRPr="0048630F">
        <w:rPr>
          <w:rFonts w:ascii="Century Gothic" w:eastAsia="Calibri" w:hAnsi="Century Gothic" w:cs="Arial"/>
          <w:i/>
          <w:iCs/>
          <w:color w:val="000000"/>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r w:rsidRPr="0048630F">
        <w:rPr>
          <w:rFonts w:ascii="Century Gothic" w:eastAsia="Calibri" w:hAnsi="Century Gothic" w:cs="Arial"/>
          <w:color w:val="000000"/>
        </w:rPr>
        <w:t xml:space="preserve">.  </w:t>
      </w:r>
    </w:p>
    <w:p w14:paraId="20EEADD3" w14:textId="77777777" w:rsidR="00747B82" w:rsidRPr="0048630F" w:rsidRDefault="00747B82" w:rsidP="00747B82">
      <w:pPr>
        <w:tabs>
          <w:tab w:val="left" w:pos="709"/>
        </w:tabs>
        <w:spacing w:before="120" w:line="276" w:lineRule="auto"/>
        <w:jc w:val="both"/>
        <w:rPr>
          <w:rFonts w:ascii="Century Gothic" w:hAnsi="Century Gothic" w:cs="Arial"/>
        </w:rPr>
      </w:pPr>
      <w:bookmarkStart w:id="4" w:name="_Hlk112162896"/>
      <w:r w:rsidRPr="0048630F">
        <w:rPr>
          <w:rFonts w:ascii="Century Gothic" w:hAnsi="Century Gothic" w:cs="Arial"/>
        </w:rPr>
        <w:t xml:space="preserve"> D</w:t>
      </w:r>
      <w:proofErr w:type="spellStart"/>
      <w:r w:rsidRPr="0048630F">
        <w:rPr>
          <w:rFonts w:ascii="Century Gothic" w:hAnsi="Century Gothic" w:cs="Arial"/>
          <w:lang w:val="es-ES"/>
        </w:rPr>
        <w:t>ebe</w:t>
      </w:r>
      <w:proofErr w:type="spellEnd"/>
      <w:r w:rsidRPr="0048630F">
        <w:rPr>
          <w:rFonts w:ascii="Century Gothic" w:hAnsi="Century Gothic" w:cs="Arial"/>
          <w:lang w:val="es-ES"/>
        </w:rPr>
        <w:t xml:space="preserve"> desatacarse que siendo la oferta económica un factor sujeto a puntaje en los procesos de licitación de obra pública adelantados con documentos tipo, conforme a lo explicado en el numeral 2.3 del presente concepto, no resultaría valido permitir la subsanación, al tratarse de elemento determinante para la comparación de ofertas. </w:t>
      </w:r>
      <w:r w:rsidRPr="0048630F">
        <w:rPr>
          <w:rFonts w:ascii="Century Gothic" w:hAnsi="Century Gothic" w:cs="Arial"/>
        </w:rPr>
        <w:t xml:space="preserve">No obstante, de acuerdo con lo previsto en el numeral 7 del artículo 30 de la Ley 80 de 1993, el contenido de las ofertas económicas si resulta </w:t>
      </w:r>
      <w:proofErr w:type="gramStart"/>
      <w:r w:rsidRPr="0048630F">
        <w:rPr>
          <w:rFonts w:ascii="Century Gothic" w:hAnsi="Century Gothic" w:cs="Arial"/>
        </w:rPr>
        <w:t>susceptible ,</w:t>
      </w:r>
      <w:proofErr w:type="gramEnd"/>
      <w:r w:rsidRPr="0048630F">
        <w:rPr>
          <w:rFonts w:ascii="Century Gothic" w:hAnsi="Century Gothic" w:cs="Arial"/>
        </w:rPr>
        <w:t xml:space="preserve"> el contenido de las ofertas económicas si o incongruencias en el contenido de la oferta económica, la Entidad Estatal debe aplicar lo dispuesto en resulta susceptible requiriendo al proponente la respectiva aclaración. de aclaraciones. En virtud de esto, antes aparentes inconsistencias o incongruencias en el contenido de la oferta económica, la Entidad Estatal debe aplicar lo dispuesto en el numeral 1.6 del documento base, requiriendo al proponente la respectiva aclaración. </w:t>
      </w:r>
    </w:p>
    <w:p w14:paraId="7F8F2F19" w14:textId="77777777" w:rsidR="00747B82" w:rsidRPr="0048630F" w:rsidRDefault="00747B82" w:rsidP="00747B82">
      <w:pPr>
        <w:tabs>
          <w:tab w:val="left" w:pos="709"/>
        </w:tabs>
        <w:spacing w:before="120" w:line="276" w:lineRule="auto"/>
        <w:jc w:val="both"/>
        <w:rPr>
          <w:rFonts w:ascii="Century Gothic" w:hAnsi="Century Gothic" w:cs="Arial"/>
        </w:rPr>
      </w:pPr>
      <w:r w:rsidRPr="0048630F">
        <w:rPr>
          <w:rFonts w:ascii="Century Gothic" w:hAnsi="Century Gothic" w:cs="Arial"/>
        </w:rPr>
        <w:tab/>
        <w:t xml:space="preserve">De cualquier modo, a partir la información que suministre el oferente, la Entidad Estatal deberá establecer si en efecto se configura alguna de las causales de rechazo mencionadas, analizando si la información adicional suministrada por el proponente realmente consiste en una aclaración. Esto por cuanto, de configurarse una subsanación o un mejoramiento de la oferta, se impone el </w:t>
      </w:r>
      <w:r w:rsidRPr="0048630F">
        <w:rPr>
          <w:rFonts w:ascii="Century Gothic" w:hAnsi="Century Gothic" w:cs="Arial"/>
        </w:rPr>
        <w:lastRenderedPageBreak/>
        <w:t xml:space="preserve">rechazo de </w:t>
      </w:r>
      <w:proofErr w:type="gramStart"/>
      <w:r w:rsidRPr="0048630F">
        <w:rPr>
          <w:rFonts w:ascii="Century Gothic" w:hAnsi="Century Gothic" w:cs="Arial"/>
        </w:rPr>
        <w:t>la misma</w:t>
      </w:r>
      <w:proofErr w:type="gramEnd"/>
      <w:r w:rsidRPr="0048630F">
        <w:rPr>
          <w:rFonts w:ascii="Century Gothic" w:hAnsi="Century Gothic" w:cs="Arial"/>
        </w:rPr>
        <w:t>, de acuerdo con lo previsto en el parágrafo 1 del artículo 5 de la Ley 80 de 1993.</w:t>
      </w:r>
    </w:p>
    <w:bookmarkEnd w:id="4"/>
    <w:p w14:paraId="330EBBCF" w14:textId="77777777" w:rsidR="00747B82" w:rsidRPr="0048630F" w:rsidRDefault="00747B82" w:rsidP="00747B82">
      <w:pPr>
        <w:pStyle w:val="Prrafodelista"/>
        <w:numPr>
          <w:ilvl w:val="0"/>
          <w:numId w:val="24"/>
        </w:numPr>
        <w:tabs>
          <w:tab w:val="left" w:pos="709"/>
        </w:tabs>
        <w:spacing w:before="120" w:after="0" w:line="276" w:lineRule="auto"/>
        <w:jc w:val="both"/>
        <w:rPr>
          <w:rFonts w:ascii="Century Gothic" w:eastAsia="Calibri" w:hAnsi="Century Gothic" w:cs="Arial"/>
          <w:b/>
          <w:bCs/>
        </w:rPr>
      </w:pPr>
      <w:r w:rsidRPr="0048630F">
        <w:rPr>
          <w:rFonts w:ascii="Century Gothic" w:eastAsia="Calibri" w:hAnsi="Century Gothic" w:cs="Arial"/>
          <w:b/>
          <w:bCs/>
        </w:rPr>
        <w:t xml:space="preserve">Respuesta. </w:t>
      </w:r>
    </w:p>
    <w:p w14:paraId="5747B310" w14:textId="77777777" w:rsidR="00747B82" w:rsidRPr="0048630F" w:rsidRDefault="00747B82" w:rsidP="00747B82">
      <w:pPr>
        <w:spacing w:line="240" w:lineRule="auto"/>
        <w:jc w:val="both"/>
        <w:rPr>
          <w:rFonts w:ascii="Century Gothic" w:eastAsia="Calibri" w:hAnsi="Century Gothic" w:cs="Arial"/>
          <w:b/>
        </w:rPr>
      </w:pPr>
    </w:p>
    <w:p w14:paraId="74AD55DC" w14:textId="77777777" w:rsidR="00747B82" w:rsidRPr="0048630F" w:rsidRDefault="00747B82" w:rsidP="00747B82">
      <w:pPr>
        <w:pStyle w:val="Textoindependiente"/>
        <w:ind w:left="709" w:right="709"/>
        <w:jc w:val="both"/>
        <w:rPr>
          <w:rFonts w:ascii="Century Gothic" w:hAnsi="Century Gothic"/>
          <w:color w:val="000000" w:themeColor="text1"/>
          <w:sz w:val="21"/>
          <w:szCs w:val="21"/>
        </w:rPr>
      </w:pPr>
      <w:r w:rsidRPr="0048630F">
        <w:rPr>
          <w:rFonts w:ascii="Century Gothic" w:hAnsi="Century Gothic"/>
          <w:color w:val="000000" w:themeColor="text1"/>
          <w:sz w:val="21"/>
          <w:szCs w:val="21"/>
        </w:rPr>
        <w:t>“Una propuesta económica puede ser rechazada si existe incongruencias o diferencias de valor total, entre lo manifestado en el Formulario 1 o Presupuesto oficial (anexado en la propuesta sección Documentos) con lo consignado en la sección Cuestionario, el cual se digita me manera manual en el mismo y bajo que causales de rechazo seria inhabilitada la propuesta.”</w:t>
      </w:r>
    </w:p>
    <w:p w14:paraId="38C3CC16" w14:textId="77777777" w:rsidR="00747B82" w:rsidRPr="0048630F" w:rsidRDefault="00747B82" w:rsidP="00747B82">
      <w:pPr>
        <w:pStyle w:val="Textoindependiente"/>
        <w:ind w:left="709" w:right="709"/>
        <w:jc w:val="both"/>
        <w:rPr>
          <w:rFonts w:ascii="Century Gothic" w:hAnsi="Century Gothic"/>
          <w:sz w:val="21"/>
          <w:szCs w:val="21"/>
        </w:rPr>
      </w:pPr>
    </w:p>
    <w:p w14:paraId="4A7948E0" w14:textId="77777777" w:rsidR="00747B82" w:rsidRPr="0048630F" w:rsidRDefault="00747B82" w:rsidP="00747B82">
      <w:pPr>
        <w:tabs>
          <w:tab w:val="left" w:pos="709"/>
        </w:tabs>
        <w:spacing w:before="120" w:line="276" w:lineRule="auto"/>
        <w:jc w:val="both"/>
        <w:rPr>
          <w:rFonts w:ascii="Century Gothic" w:hAnsi="Century Gothic" w:cs="Arial"/>
        </w:rPr>
      </w:pPr>
      <w:r w:rsidRPr="0048630F">
        <w:rPr>
          <w:rFonts w:ascii="Century Gothic" w:hAnsi="Century Gothic" w:cs="Arial"/>
        </w:rPr>
        <w:t xml:space="preserve">De acuerdo con lo expuesto, en el contexto de los documentos tipo de obra pública de infraestructura de transporte, la propuesta económica es un factor para la comparación de ofertas, por lo que no le resulta aplicable la regla de subsanabilidad establecida en el parágrafo 1 del artículo 5 de la Ley 1150 de 2007. Sin embargo, según lo establecido en el numeral 7 del artículo 30 de la Ley 80 de 1993, el contenido de la oferta económica si resulta susceptible de aclaración. En virtud de esto, antes aparentes inconsistencias o incongruencias en el contenido de la oferta económica, la Entidad Estatal debe aplicar lo dispuesto en el numeral 1.6 del documento base, requiriendo al proponente la respectiva aclaración. </w:t>
      </w:r>
    </w:p>
    <w:p w14:paraId="29ED8DE5" w14:textId="77777777" w:rsidR="00747B82" w:rsidRPr="0048630F" w:rsidRDefault="00747B82" w:rsidP="00747B82">
      <w:pPr>
        <w:tabs>
          <w:tab w:val="left" w:pos="709"/>
        </w:tabs>
        <w:spacing w:before="120" w:line="276" w:lineRule="auto"/>
        <w:jc w:val="both"/>
        <w:rPr>
          <w:rFonts w:ascii="Century Gothic" w:hAnsi="Century Gothic" w:cs="Arial"/>
        </w:rPr>
      </w:pPr>
      <w:r w:rsidRPr="0048630F">
        <w:rPr>
          <w:rFonts w:ascii="Century Gothic" w:hAnsi="Century Gothic" w:cs="Arial"/>
        </w:rPr>
        <w:tab/>
        <w:t xml:space="preserve">De cualquier modo, a partir la información que suministre el oferente, la Entidad Estatal deberá establecer si en efecto se configura alguna de las causales de rechazo previstas en el numeral 1.5 del documento tipo, analizando si la información adicional suministrada por el proponente realmente consiste en una aclaración. Esto por cuanto, de configurarse una subsanación o un mejoramiento de la oferta, se impone el rechazo de </w:t>
      </w:r>
      <w:proofErr w:type="gramStart"/>
      <w:r w:rsidRPr="0048630F">
        <w:rPr>
          <w:rFonts w:ascii="Century Gothic" w:hAnsi="Century Gothic" w:cs="Arial"/>
        </w:rPr>
        <w:t>la misma</w:t>
      </w:r>
      <w:proofErr w:type="gramEnd"/>
      <w:r w:rsidRPr="0048630F">
        <w:rPr>
          <w:rFonts w:ascii="Century Gothic" w:hAnsi="Century Gothic" w:cs="Arial"/>
        </w:rPr>
        <w:t>, de acuerdo con lo previsto en el parágrafo 1 del artículo 5 de la Ley 80 de 1993.</w:t>
      </w:r>
    </w:p>
    <w:p w14:paraId="19695FD6" w14:textId="77777777" w:rsidR="00747B82" w:rsidRPr="0048630F" w:rsidRDefault="00747B82" w:rsidP="00747B82">
      <w:pPr>
        <w:spacing w:after="120" w:line="240" w:lineRule="auto"/>
        <w:jc w:val="both"/>
        <w:rPr>
          <w:rFonts w:ascii="Century Gothic" w:eastAsia="Calibri" w:hAnsi="Century Gothic" w:cs="Arial"/>
        </w:rPr>
      </w:pPr>
      <w:r w:rsidRPr="0048630F">
        <w:rPr>
          <w:rFonts w:ascii="Century Gothic" w:eastAsia="Calibri" w:hAnsi="Century Gothic" w:cs="Arial"/>
        </w:rPr>
        <w:t>Este concepto tiene el alcance previsto en el artículo 28 del Código de Procedimiento Administrativo y de lo Contencioso Administrativo.</w:t>
      </w:r>
    </w:p>
    <w:p w14:paraId="7A8E5FD1" w14:textId="77777777" w:rsidR="00747B82" w:rsidRPr="0048630F" w:rsidRDefault="00747B82" w:rsidP="00747B82">
      <w:pPr>
        <w:spacing w:line="240" w:lineRule="auto"/>
        <w:jc w:val="both"/>
        <w:rPr>
          <w:rFonts w:ascii="Century Gothic" w:eastAsia="Calibri" w:hAnsi="Century Gothic" w:cs="Arial"/>
        </w:rPr>
      </w:pPr>
    </w:p>
    <w:p w14:paraId="42FED547" w14:textId="77777777" w:rsidR="00747B82" w:rsidRPr="0048630F" w:rsidRDefault="00747B82" w:rsidP="00747B82">
      <w:pPr>
        <w:pStyle w:val="NormalWeb"/>
        <w:spacing w:before="0" w:beforeAutospacing="0" w:after="0" w:afterAutospacing="0"/>
        <w:jc w:val="both"/>
        <w:rPr>
          <w:rFonts w:ascii="Century Gothic" w:hAnsi="Century Gothic" w:cs="Arial"/>
          <w:color w:val="000000" w:themeColor="text1"/>
          <w:sz w:val="22"/>
          <w:szCs w:val="22"/>
          <w:lang w:val="es-ES"/>
        </w:rPr>
      </w:pPr>
      <w:r w:rsidRPr="0048630F">
        <w:rPr>
          <w:rFonts w:ascii="Century Gothic" w:hAnsi="Century Gothic" w:cs="Arial"/>
          <w:color w:val="000000" w:themeColor="text1"/>
          <w:sz w:val="22"/>
          <w:szCs w:val="22"/>
          <w:lang w:val="es-ES"/>
        </w:rPr>
        <w:t>Atentamente,</w:t>
      </w:r>
    </w:p>
    <w:p w14:paraId="4548E47A" w14:textId="46D2D986" w:rsidR="00747B82" w:rsidRPr="0048630F" w:rsidRDefault="00747B82" w:rsidP="00747B82">
      <w:pPr>
        <w:spacing w:after="0" w:line="240" w:lineRule="auto"/>
        <w:jc w:val="center"/>
        <w:rPr>
          <w:rFonts w:ascii="Century Gothic" w:eastAsia="Times New Roman" w:hAnsi="Century Gothic" w:cs="Arial"/>
          <w:sz w:val="24"/>
          <w:szCs w:val="24"/>
          <w:lang w:val="es-ES" w:eastAsia="es-CO"/>
        </w:rPr>
      </w:pPr>
      <w:r w:rsidRPr="0048630F">
        <w:rPr>
          <w:rFonts w:ascii="Century Gothic" w:eastAsia="Times New Roman" w:hAnsi="Century Gothic" w:cs="Arial"/>
          <w:noProof/>
          <w:sz w:val="24"/>
          <w:szCs w:val="24"/>
          <w:lang w:val="es-ES" w:eastAsia="es-CO"/>
        </w:rPr>
        <w:lastRenderedPageBreak/>
        <w:drawing>
          <wp:inline distT="0" distB="0" distL="0" distR="0" wp14:anchorId="21EFB283" wp14:editId="208AECC6">
            <wp:extent cx="3153215" cy="1209844"/>
            <wp:effectExtent l="0" t="0" r="9525" b="9525"/>
            <wp:docPr id="15091003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0031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p>
    <w:p w14:paraId="1871F470" w14:textId="77777777" w:rsidR="00747B82" w:rsidRPr="0048630F" w:rsidRDefault="00747B82" w:rsidP="00747B82">
      <w:pPr>
        <w:spacing w:after="0" w:line="240" w:lineRule="auto"/>
        <w:jc w:val="center"/>
        <w:rPr>
          <w:rFonts w:ascii="Century Gothic" w:eastAsia="Times New Roman" w:hAnsi="Century Gothic" w:cs="Arial"/>
          <w:sz w:val="24"/>
          <w:szCs w:val="24"/>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4991"/>
      </w:tblGrid>
      <w:tr w:rsidR="00747B82" w:rsidRPr="0048630F" w14:paraId="08956BB0" w14:textId="77777777" w:rsidTr="00642BFF">
        <w:trPr>
          <w:trHeight w:val="335"/>
        </w:trPr>
        <w:tc>
          <w:tcPr>
            <w:tcW w:w="967" w:type="dxa"/>
            <w:vAlign w:val="center"/>
            <w:hideMark/>
          </w:tcPr>
          <w:p w14:paraId="66BB378A" w14:textId="77777777" w:rsidR="00747B82" w:rsidRPr="0048630F" w:rsidRDefault="00747B82" w:rsidP="00642BFF">
            <w:pPr>
              <w:rPr>
                <w:rFonts w:ascii="Century Gothic" w:eastAsia="Times New Roman" w:hAnsi="Century Gothic" w:cs="Arial"/>
                <w:sz w:val="16"/>
                <w:szCs w:val="16"/>
                <w:lang w:val="es-ES" w:eastAsia="es-ES"/>
              </w:rPr>
            </w:pPr>
            <w:r w:rsidRPr="0048630F">
              <w:rPr>
                <w:rFonts w:ascii="Century Gothic" w:eastAsia="Times New Roman" w:hAnsi="Century Gothic" w:cs="Arial"/>
                <w:sz w:val="16"/>
                <w:szCs w:val="16"/>
                <w:lang w:val="es-ES" w:eastAsia="es-ES"/>
              </w:rPr>
              <w:t>Elaboró:</w:t>
            </w:r>
          </w:p>
        </w:tc>
        <w:tc>
          <w:tcPr>
            <w:tcW w:w="4991" w:type="dxa"/>
            <w:tcBorders>
              <w:top w:val="nil"/>
              <w:left w:val="nil"/>
              <w:bottom w:val="dotted" w:sz="4" w:space="0" w:color="7F7F7F" w:themeColor="text1" w:themeTint="80"/>
              <w:right w:val="nil"/>
            </w:tcBorders>
            <w:vAlign w:val="center"/>
            <w:hideMark/>
          </w:tcPr>
          <w:p w14:paraId="374E9495" w14:textId="77777777" w:rsidR="00747B82" w:rsidRPr="0048630F" w:rsidRDefault="00747B82" w:rsidP="00642BFF">
            <w:pPr>
              <w:rPr>
                <w:rFonts w:ascii="Century Gothic" w:eastAsia="Calibri" w:hAnsi="Century Gothic" w:cs="Arial"/>
                <w:sz w:val="16"/>
                <w:szCs w:val="16"/>
                <w:lang w:val="es-ES" w:eastAsia="es-ES"/>
              </w:rPr>
            </w:pPr>
            <w:r w:rsidRPr="0048630F">
              <w:rPr>
                <w:rFonts w:ascii="Century Gothic" w:eastAsia="Calibri" w:hAnsi="Century Gothic" w:cs="Arial"/>
                <w:sz w:val="16"/>
                <w:szCs w:val="16"/>
                <w:lang w:val="es-ES" w:eastAsia="es-ES"/>
              </w:rPr>
              <w:t>Andrés Ricardo Cabarcas Thorne</w:t>
            </w:r>
          </w:p>
          <w:p w14:paraId="5CA6DDBC" w14:textId="77777777" w:rsidR="00747B82" w:rsidRPr="0048630F" w:rsidRDefault="00747B82" w:rsidP="00642BFF">
            <w:pPr>
              <w:rPr>
                <w:rFonts w:ascii="Century Gothic" w:eastAsia="Times New Roman" w:hAnsi="Century Gothic" w:cs="Arial"/>
                <w:sz w:val="16"/>
                <w:szCs w:val="16"/>
                <w:lang w:val="es-ES" w:eastAsia="es-ES"/>
              </w:rPr>
            </w:pPr>
            <w:r w:rsidRPr="0048630F">
              <w:rPr>
                <w:rFonts w:ascii="Century Gothic" w:eastAsia="Calibri" w:hAnsi="Century Gothic" w:cs="Arial"/>
                <w:sz w:val="16"/>
                <w:szCs w:val="16"/>
                <w:lang w:val="es-ES" w:eastAsia="es-ES"/>
              </w:rPr>
              <w:t xml:space="preserve">Analista T2 -02 </w:t>
            </w:r>
            <w:r w:rsidRPr="0048630F">
              <w:rPr>
                <w:rFonts w:ascii="Century Gothic" w:eastAsia="Times New Roman" w:hAnsi="Century Gothic" w:cs="Arial"/>
                <w:sz w:val="16"/>
                <w:szCs w:val="16"/>
                <w:lang w:val="es-ES" w:eastAsia="es-ES"/>
              </w:rPr>
              <w:t>de la Subdirección de Gestión Contractual</w:t>
            </w:r>
          </w:p>
        </w:tc>
      </w:tr>
      <w:tr w:rsidR="00747B82" w:rsidRPr="0048630F" w14:paraId="505186DC" w14:textId="77777777" w:rsidTr="00642BFF">
        <w:trPr>
          <w:trHeight w:val="351"/>
        </w:trPr>
        <w:tc>
          <w:tcPr>
            <w:tcW w:w="967" w:type="dxa"/>
            <w:vAlign w:val="center"/>
            <w:hideMark/>
          </w:tcPr>
          <w:p w14:paraId="6750F21D" w14:textId="77777777" w:rsidR="00747B82" w:rsidRPr="0048630F" w:rsidRDefault="00747B82" w:rsidP="00642BFF">
            <w:pPr>
              <w:rPr>
                <w:rFonts w:ascii="Century Gothic" w:eastAsia="Times New Roman" w:hAnsi="Century Gothic" w:cs="Arial"/>
                <w:sz w:val="16"/>
                <w:szCs w:val="16"/>
                <w:lang w:val="es-ES" w:eastAsia="es-ES"/>
              </w:rPr>
            </w:pPr>
            <w:r w:rsidRPr="0048630F">
              <w:rPr>
                <w:rFonts w:ascii="Century Gothic" w:eastAsia="Times New Roman" w:hAnsi="Century Gothic" w:cs="Arial"/>
                <w:sz w:val="16"/>
                <w:szCs w:val="16"/>
                <w:lang w:val="es-ES" w:eastAsia="es-ES"/>
              </w:rPr>
              <w:t>Revisó:</w:t>
            </w:r>
          </w:p>
        </w:tc>
        <w:tc>
          <w:tcPr>
            <w:tcW w:w="4991" w:type="dxa"/>
            <w:tcBorders>
              <w:top w:val="dotted" w:sz="4" w:space="0" w:color="7F7F7F" w:themeColor="text1" w:themeTint="80"/>
              <w:left w:val="nil"/>
              <w:bottom w:val="dotted" w:sz="4" w:space="0" w:color="7F7F7F" w:themeColor="text1" w:themeTint="80"/>
              <w:right w:val="nil"/>
            </w:tcBorders>
            <w:vAlign w:val="center"/>
            <w:hideMark/>
          </w:tcPr>
          <w:p w14:paraId="27651EB3" w14:textId="77777777" w:rsidR="00747B82" w:rsidRPr="0048630F" w:rsidRDefault="00747B82" w:rsidP="00642BFF">
            <w:pPr>
              <w:rPr>
                <w:rFonts w:ascii="Century Gothic" w:eastAsia="Calibri" w:hAnsi="Century Gothic" w:cs="Arial"/>
                <w:sz w:val="16"/>
                <w:szCs w:val="16"/>
                <w:lang w:val="es-ES" w:eastAsia="es-ES"/>
              </w:rPr>
            </w:pPr>
            <w:r w:rsidRPr="0048630F">
              <w:rPr>
                <w:rFonts w:ascii="Century Gothic" w:eastAsia="Calibri" w:hAnsi="Century Gothic" w:cs="Arial"/>
                <w:sz w:val="16"/>
                <w:szCs w:val="16"/>
                <w:lang w:val="es-ES" w:eastAsia="es-ES"/>
              </w:rPr>
              <w:t>Alejandro Raúl Sarmiento Cantillo</w:t>
            </w:r>
          </w:p>
          <w:p w14:paraId="6D577C89" w14:textId="77777777" w:rsidR="00747B82" w:rsidRPr="0048630F" w:rsidRDefault="00747B82" w:rsidP="00642BFF">
            <w:pPr>
              <w:rPr>
                <w:rFonts w:ascii="Century Gothic" w:eastAsia="Calibri" w:hAnsi="Century Gothic" w:cs="Arial"/>
                <w:sz w:val="16"/>
                <w:szCs w:val="16"/>
                <w:lang w:val="es-ES" w:eastAsia="es-ES"/>
              </w:rPr>
            </w:pPr>
            <w:r w:rsidRPr="0048630F">
              <w:rPr>
                <w:rFonts w:ascii="Century Gothic" w:eastAsia="Calibri" w:hAnsi="Century Gothic" w:cs="Arial"/>
                <w:sz w:val="16"/>
                <w:szCs w:val="16"/>
                <w:lang w:val="es-ES" w:eastAsia="es-ES"/>
              </w:rPr>
              <w:t>Gesto T1-</w:t>
            </w:r>
            <w:proofErr w:type="gramStart"/>
            <w:r w:rsidRPr="0048630F">
              <w:rPr>
                <w:rFonts w:ascii="Century Gothic" w:eastAsia="Calibri" w:hAnsi="Century Gothic" w:cs="Arial"/>
                <w:sz w:val="16"/>
                <w:szCs w:val="16"/>
                <w:lang w:val="es-ES" w:eastAsia="es-ES"/>
              </w:rPr>
              <w:t>15  de</w:t>
            </w:r>
            <w:proofErr w:type="gramEnd"/>
            <w:r w:rsidRPr="0048630F">
              <w:rPr>
                <w:rFonts w:ascii="Century Gothic" w:eastAsia="Calibri" w:hAnsi="Century Gothic" w:cs="Arial"/>
                <w:sz w:val="16"/>
                <w:szCs w:val="16"/>
                <w:lang w:val="es-ES" w:eastAsia="es-ES"/>
              </w:rPr>
              <w:t xml:space="preserve"> la Subdirección de Gestión Contractual</w:t>
            </w:r>
          </w:p>
        </w:tc>
      </w:tr>
      <w:tr w:rsidR="00747B82" w:rsidRPr="0048630F" w14:paraId="51241269" w14:textId="77777777" w:rsidTr="00642BFF">
        <w:trPr>
          <w:trHeight w:val="319"/>
        </w:trPr>
        <w:tc>
          <w:tcPr>
            <w:tcW w:w="967" w:type="dxa"/>
            <w:vAlign w:val="center"/>
          </w:tcPr>
          <w:p w14:paraId="62AF7FC2" w14:textId="77777777" w:rsidR="00747B82" w:rsidRPr="0048630F" w:rsidRDefault="00747B82" w:rsidP="00642BFF">
            <w:pPr>
              <w:rPr>
                <w:rFonts w:ascii="Century Gothic" w:eastAsia="Times New Roman" w:hAnsi="Century Gothic" w:cs="Arial"/>
                <w:sz w:val="16"/>
                <w:szCs w:val="16"/>
                <w:lang w:val="es-ES" w:eastAsia="es-ES"/>
              </w:rPr>
            </w:pPr>
            <w:r w:rsidRPr="0048630F">
              <w:rPr>
                <w:rFonts w:ascii="Century Gothic" w:eastAsia="Times New Roman" w:hAnsi="Century Gothic" w:cs="Arial"/>
                <w:sz w:val="16"/>
                <w:szCs w:val="16"/>
                <w:lang w:val="es-ES" w:eastAsia="es-ES"/>
              </w:rPr>
              <w:t>Aprobó:</w:t>
            </w:r>
          </w:p>
        </w:tc>
        <w:tc>
          <w:tcPr>
            <w:tcW w:w="4991" w:type="dxa"/>
            <w:tcBorders>
              <w:top w:val="dotted" w:sz="4" w:space="0" w:color="7F7F7F" w:themeColor="text1" w:themeTint="80"/>
              <w:left w:val="nil"/>
              <w:bottom w:val="dotted" w:sz="4" w:space="0" w:color="7F7F7F" w:themeColor="text1" w:themeTint="80"/>
              <w:right w:val="nil"/>
            </w:tcBorders>
            <w:vAlign w:val="center"/>
          </w:tcPr>
          <w:p w14:paraId="01C52D84" w14:textId="77777777" w:rsidR="00747B82" w:rsidRPr="0048630F" w:rsidRDefault="00747B82" w:rsidP="00642BFF">
            <w:pPr>
              <w:rPr>
                <w:rFonts w:ascii="Century Gothic" w:eastAsia="Calibri" w:hAnsi="Century Gothic" w:cs="Arial"/>
                <w:sz w:val="16"/>
                <w:szCs w:val="16"/>
                <w:lang w:val="pt-BR" w:eastAsia="es-ES"/>
              </w:rPr>
            </w:pPr>
            <w:r w:rsidRPr="0048630F">
              <w:rPr>
                <w:rFonts w:ascii="Century Gothic" w:eastAsia="Calibri" w:hAnsi="Century Gothic" w:cs="Arial"/>
                <w:sz w:val="16"/>
                <w:szCs w:val="16"/>
                <w:lang w:val="pt-BR" w:eastAsia="es-ES"/>
              </w:rPr>
              <w:t>Nohelia del Carmen Zawady Palacio</w:t>
            </w:r>
          </w:p>
          <w:p w14:paraId="046FD3FC" w14:textId="77777777" w:rsidR="00747B82" w:rsidRPr="0048630F" w:rsidRDefault="00747B82" w:rsidP="00642BFF">
            <w:pPr>
              <w:rPr>
                <w:rFonts w:ascii="Century Gothic" w:eastAsia="Calibri" w:hAnsi="Century Gothic" w:cs="Arial"/>
                <w:sz w:val="16"/>
                <w:szCs w:val="16"/>
                <w:lang w:val="pt-BR" w:eastAsia="es-ES"/>
              </w:rPr>
            </w:pPr>
            <w:r w:rsidRPr="0048630F">
              <w:rPr>
                <w:rFonts w:ascii="Century Gothic" w:eastAsia="Calibri" w:hAnsi="Century Gothic" w:cs="Arial"/>
                <w:sz w:val="16"/>
                <w:szCs w:val="16"/>
                <w:lang w:eastAsia="es-ES"/>
              </w:rPr>
              <w:t>Subdirectora</w:t>
            </w:r>
            <w:r w:rsidRPr="0048630F">
              <w:rPr>
                <w:rFonts w:ascii="Century Gothic" w:eastAsia="Calibri" w:hAnsi="Century Gothic" w:cs="Arial"/>
                <w:sz w:val="16"/>
                <w:szCs w:val="16"/>
                <w:lang w:val="pt-BR" w:eastAsia="es-ES"/>
              </w:rPr>
              <w:t xml:space="preserve"> de Gestión Contractual ANCP – CCE</w:t>
            </w:r>
          </w:p>
        </w:tc>
      </w:tr>
    </w:tbl>
    <w:p w14:paraId="6FE328E3" w14:textId="77777777" w:rsidR="00747B82" w:rsidRPr="0048630F" w:rsidRDefault="00747B82" w:rsidP="00747B82">
      <w:pPr>
        <w:spacing w:after="0" w:line="240" w:lineRule="auto"/>
        <w:ind w:right="709"/>
        <w:jc w:val="both"/>
        <w:rPr>
          <w:rFonts w:ascii="Century Gothic" w:hAnsi="Century Gothic" w:cs="Arial"/>
          <w:sz w:val="21"/>
          <w:szCs w:val="21"/>
        </w:rPr>
      </w:pPr>
    </w:p>
    <w:p w14:paraId="78A48CD0" w14:textId="77777777" w:rsidR="00747B82" w:rsidRPr="0048630F" w:rsidRDefault="00747B82" w:rsidP="00747B82">
      <w:pPr>
        <w:rPr>
          <w:rFonts w:ascii="Century Gothic" w:hAnsi="Century Gothic" w:cs="Arial"/>
        </w:rPr>
      </w:pPr>
      <w:r w:rsidRPr="0048630F">
        <w:rPr>
          <w:rFonts w:ascii="Century Gothic" w:hAnsi="Century Gothic" w:cs="Arial"/>
        </w:rPr>
        <w:t xml:space="preserve"> </w:t>
      </w:r>
    </w:p>
    <w:p w14:paraId="1CD20FDD" w14:textId="77777777" w:rsidR="004C4463" w:rsidRPr="0048630F" w:rsidRDefault="004C4463" w:rsidP="00747B82">
      <w:pPr>
        <w:rPr>
          <w:rFonts w:ascii="Century Gothic" w:hAnsi="Century Gothic"/>
        </w:rPr>
      </w:pPr>
    </w:p>
    <w:sectPr w:rsidR="004C4463" w:rsidRPr="0048630F" w:rsidSect="002E4FD9">
      <w:headerReference w:type="default" r:id="rId11"/>
      <w:footerReference w:type="default" r:id="rId12"/>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914F2" w14:textId="77777777" w:rsidR="00433FAF" w:rsidRDefault="00433FAF" w:rsidP="004A1847">
      <w:pPr>
        <w:spacing w:after="0" w:line="240" w:lineRule="auto"/>
      </w:pPr>
      <w:r>
        <w:separator/>
      </w:r>
    </w:p>
  </w:endnote>
  <w:endnote w:type="continuationSeparator" w:id="0">
    <w:p w14:paraId="331BDDB4" w14:textId="77777777" w:rsidR="00433FAF" w:rsidRDefault="00433FA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4D"/>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val="es-ES_tradnl" w:eastAsia="es-ES_tradnl"/>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s-ES_tradnl" w:eastAsia="es-ES_tradnl"/>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C22440">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C22440">
            <w:rPr>
              <w:rFonts w:ascii="Century Gothic" w:hAnsi="Century Gothic"/>
              <w:b/>
              <w:bCs/>
              <w:noProof/>
              <w:sz w:val="16"/>
              <w:szCs w:val="16"/>
            </w:rPr>
            <w:t>18</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617C" w14:textId="77777777" w:rsidR="00433FAF" w:rsidRDefault="00433FAF" w:rsidP="004A1847">
      <w:pPr>
        <w:spacing w:after="0" w:line="240" w:lineRule="auto"/>
      </w:pPr>
      <w:r>
        <w:separator/>
      </w:r>
    </w:p>
  </w:footnote>
  <w:footnote w:type="continuationSeparator" w:id="0">
    <w:p w14:paraId="08ECCEEF" w14:textId="77777777" w:rsidR="00433FAF" w:rsidRDefault="00433FAF" w:rsidP="004A1847">
      <w:pPr>
        <w:spacing w:after="0" w:line="240" w:lineRule="auto"/>
      </w:pPr>
      <w:r>
        <w:continuationSeparator/>
      </w:r>
    </w:p>
  </w:footnote>
  <w:footnote w:id="1">
    <w:p w14:paraId="291C7D1C" w14:textId="77777777" w:rsidR="00747B82" w:rsidRPr="00DB1EFA" w:rsidRDefault="00747B82" w:rsidP="00747B82">
      <w:pPr>
        <w:pStyle w:val="Textonotapie"/>
        <w:ind w:firstLine="708"/>
        <w:jc w:val="both"/>
        <w:rPr>
          <w:rFonts w:ascii="Century Gothic" w:hAnsi="Century Gothic" w:cs="Arial"/>
          <w:sz w:val="16"/>
          <w:szCs w:val="16"/>
        </w:rPr>
      </w:pPr>
      <w:r w:rsidRPr="00DB1EFA">
        <w:rPr>
          <w:rStyle w:val="Refdenotaalpie"/>
          <w:rFonts w:ascii="Century Gothic" w:hAnsi="Century Gothic"/>
          <w:sz w:val="16"/>
          <w:szCs w:val="16"/>
        </w:rPr>
        <w:footnoteRef/>
      </w:r>
      <w:r w:rsidRPr="00DB1EFA">
        <w:rPr>
          <w:rFonts w:ascii="Century Gothic" w:hAnsi="Century Gothic" w:cs="Arial"/>
          <w:sz w:val="16"/>
          <w:szCs w:val="16"/>
        </w:rPr>
        <w:t xml:space="preserve"> Estos conceptos pueden ser consultados en la relatoría de la Agencia Nacional de Contratación </w:t>
      </w:r>
      <w:proofErr w:type="spellStart"/>
      <w:r w:rsidRPr="00DB1EFA">
        <w:rPr>
          <w:rFonts w:ascii="Century Gothic" w:hAnsi="Century Gothic" w:cs="Arial"/>
          <w:sz w:val="16"/>
          <w:szCs w:val="16"/>
        </w:rPr>
        <w:t>Públilca</w:t>
      </w:r>
      <w:proofErr w:type="spellEnd"/>
      <w:r w:rsidRPr="00DB1EFA">
        <w:rPr>
          <w:rFonts w:ascii="Century Gothic" w:hAnsi="Century Gothic" w:cs="Arial"/>
          <w:sz w:val="16"/>
          <w:szCs w:val="16"/>
        </w:rPr>
        <w:t xml:space="preserve">- Colombia Compra Eficiente en el siguiente enlace: </w:t>
      </w:r>
    </w:p>
    <w:p w14:paraId="44F85C22" w14:textId="77777777" w:rsidR="00747B82" w:rsidRPr="0090523F" w:rsidRDefault="00747B82" w:rsidP="00747B82">
      <w:pPr>
        <w:pStyle w:val="Textonotapie"/>
        <w:jc w:val="both"/>
        <w:rPr>
          <w:rFonts w:ascii="Century Gothic" w:hAnsi="Century Gothic" w:cs="Arial"/>
          <w:color w:val="000000" w:themeColor="text1"/>
          <w:sz w:val="16"/>
          <w:szCs w:val="16"/>
          <w:lang w:val="es-ES"/>
        </w:rPr>
      </w:pPr>
      <w:hyperlink r:id="rId1" w:history="1">
        <w:r w:rsidRPr="0090523F">
          <w:rPr>
            <w:rStyle w:val="Hipervnculo"/>
            <w:rFonts w:ascii="Century Gothic" w:hAnsi="Century Gothic" w:cs="Arial"/>
            <w:sz w:val="16"/>
            <w:szCs w:val="16"/>
            <w:lang w:val="es-ES"/>
          </w:rPr>
          <w:t>http://relatoria.colombiacompra.gov.co/busqueda/conceptos</w:t>
        </w:r>
      </w:hyperlink>
    </w:p>
    <w:p w14:paraId="06F370B4" w14:textId="77777777" w:rsidR="00747B82" w:rsidRPr="0090523F" w:rsidRDefault="00747B82" w:rsidP="00747B82">
      <w:pPr>
        <w:pStyle w:val="Textonotapie"/>
        <w:ind w:firstLine="708"/>
        <w:jc w:val="both"/>
        <w:rPr>
          <w:rFonts w:ascii="Century Gothic" w:hAnsi="Century Gothic" w:cs="Arial"/>
          <w:sz w:val="16"/>
          <w:szCs w:val="16"/>
        </w:rPr>
      </w:pPr>
    </w:p>
  </w:footnote>
  <w:footnote w:id="2">
    <w:p w14:paraId="44374F87" w14:textId="77777777" w:rsidR="00747B82" w:rsidRPr="0090523F" w:rsidRDefault="00747B82" w:rsidP="00747B82">
      <w:pPr>
        <w:pStyle w:val="Textonotapie"/>
        <w:ind w:firstLine="709"/>
        <w:jc w:val="both"/>
        <w:rPr>
          <w:rFonts w:ascii="Century Gothic" w:eastAsia="Times New Roman" w:hAnsi="Century Gothic" w:cs="Arial"/>
          <w:sz w:val="16"/>
          <w:szCs w:val="16"/>
          <w:bdr w:val="none" w:sz="0" w:space="0" w:color="auto" w:frame="1"/>
          <w:lang w:eastAsia="es-CO"/>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w:t>
      </w:r>
      <w:r w:rsidRPr="0090523F">
        <w:rPr>
          <w:rFonts w:ascii="Century Gothic" w:eastAsia="Times New Roman" w:hAnsi="Century Gothic" w:cs="Arial"/>
          <w:sz w:val="16"/>
          <w:szCs w:val="16"/>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18F2D958" w14:textId="77777777" w:rsidR="00747B82" w:rsidRPr="0090523F" w:rsidRDefault="00747B82" w:rsidP="00747B82">
      <w:pPr>
        <w:pStyle w:val="Textonotapie"/>
        <w:ind w:firstLine="709"/>
        <w:jc w:val="both"/>
        <w:rPr>
          <w:rFonts w:ascii="Century Gothic" w:hAnsi="Century Gothic" w:cs="Arial"/>
          <w:sz w:val="16"/>
          <w:szCs w:val="16"/>
        </w:rPr>
      </w:pPr>
    </w:p>
  </w:footnote>
  <w:footnote w:id="3">
    <w:p w14:paraId="3788BCA4" w14:textId="77777777" w:rsidR="00747B82" w:rsidRPr="0090523F" w:rsidRDefault="00747B82" w:rsidP="00747B82">
      <w:pPr>
        <w:pStyle w:val="Textonotapie"/>
        <w:ind w:firstLine="709"/>
        <w:jc w:val="both"/>
        <w:rPr>
          <w:rFonts w:ascii="Century Gothic" w:eastAsia="Times New Roman" w:hAnsi="Century Gothic" w:cs="Arial"/>
          <w:sz w:val="16"/>
          <w:szCs w:val="16"/>
          <w:bdr w:val="none" w:sz="0" w:space="0" w:color="auto" w:frame="1"/>
          <w:lang w:eastAsia="es-CO"/>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w:t>
      </w:r>
      <w:r w:rsidRPr="0090523F">
        <w:rPr>
          <w:rFonts w:ascii="Century Gothic" w:eastAsia="Times New Roman" w:hAnsi="Century Gothic" w:cs="Arial"/>
          <w:sz w:val="16"/>
          <w:szCs w:val="16"/>
          <w:bdr w:val="none" w:sz="0" w:space="0" w:color="auto" w:frame="1"/>
          <w:lang w:eastAsia="es-CO"/>
        </w:rPr>
        <w:t>Diario Oficial. Gaceta del Congreso 458 de 2005.  </w:t>
      </w:r>
    </w:p>
    <w:p w14:paraId="13B9B7D9" w14:textId="77777777" w:rsidR="00747B82" w:rsidRPr="0090523F" w:rsidRDefault="00747B82" w:rsidP="00747B82">
      <w:pPr>
        <w:pStyle w:val="Textonotapie"/>
        <w:ind w:firstLine="709"/>
        <w:jc w:val="both"/>
        <w:rPr>
          <w:rFonts w:ascii="Century Gothic" w:hAnsi="Century Gothic" w:cs="Arial"/>
          <w:sz w:val="16"/>
          <w:szCs w:val="16"/>
        </w:rPr>
      </w:pPr>
    </w:p>
  </w:footnote>
  <w:footnote w:id="4">
    <w:p w14:paraId="56CEB242" w14:textId="77777777" w:rsidR="00747B82" w:rsidRPr="0090523F" w:rsidRDefault="00747B82" w:rsidP="00747B82">
      <w:pPr>
        <w:pStyle w:val="Textonotapie"/>
        <w:ind w:firstLine="709"/>
        <w:jc w:val="both"/>
        <w:rPr>
          <w:rFonts w:ascii="Century Gothic" w:hAnsi="Century Gothic" w:cs="Arial"/>
          <w:sz w:val="16"/>
          <w:szCs w:val="16"/>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Ibídem.  </w:t>
      </w:r>
    </w:p>
    <w:p w14:paraId="5299712E" w14:textId="77777777" w:rsidR="00747B82" w:rsidRPr="0090523F" w:rsidRDefault="00747B82" w:rsidP="00747B82">
      <w:pPr>
        <w:pStyle w:val="Textonotapie"/>
        <w:ind w:firstLine="709"/>
        <w:jc w:val="both"/>
        <w:rPr>
          <w:rFonts w:ascii="Century Gothic" w:hAnsi="Century Gothic" w:cs="Arial"/>
          <w:sz w:val="16"/>
          <w:szCs w:val="16"/>
        </w:rPr>
      </w:pPr>
    </w:p>
  </w:footnote>
  <w:footnote w:id="5">
    <w:p w14:paraId="6397DE6E" w14:textId="77777777" w:rsidR="00747B82" w:rsidRPr="0090523F" w:rsidRDefault="00747B82" w:rsidP="00747B82">
      <w:pPr>
        <w:shd w:val="clear" w:color="auto" w:fill="FFFFFF"/>
        <w:spacing w:after="0" w:line="240" w:lineRule="auto"/>
        <w:ind w:firstLine="709"/>
        <w:jc w:val="both"/>
        <w:textAlignment w:val="baseline"/>
        <w:rPr>
          <w:rFonts w:ascii="Century Gothic" w:hAnsi="Century Gothic" w:cs="Arial"/>
          <w:sz w:val="16"/>
          <w:szCs w:val="16"/>
          <w:bdr w:val="none" w:sz="0" w:space="0" w:color="auto" w:frame="1"/>
          <w:lang w:eastAsia="es-CO"/>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w:t>
      </w:r>
      <w:r w:rsidRPr="0090523F">
        <w:rPr>
          <w:rFonts w:ascii="Century Gothic" w:hAnsi="Century Gothic" w:cs="Arial"/>
          <w:sz w:val="16"/>
          <w:szCs w:val="16"/>
          <w:bdr w:val="none" w:sz="0" w:space="0" w:color="auto" w:frame="1"/>
          <w:lang w:eastAsia="es-CO"/>
        </w:rPr>
        <w:t>Diario Oficial. Gaceta del Congreso 416 de 2007, Informe de Conciliación Senado. </w:t>
      </w:r>
    </w:p>
  </w:footnote>
  <w:footnote w:id="6">
    <w:p w14:paraId="543D114E" w14:textId="77777777" w:rsidR="00747B82" w:rsidRPr="0090523F" w:rsidRDefault="00747B82" w:rsidP="00747B82">
      <w:pPr>
        <w:shd w:val="clear" w:color="auto" w:fill="FFFFFF"/>
        <w:spacing w:line="240" w:lineRule="auto"/>
        <w:ind w:firstLine="709"/>
        <w:jc w:val="both"/>
        <w:textAlignment w:val="baseline"/>
        <w:rPr>
          <w:rFonts w:ascii="Century Gothic" w:hAnsi="Century Gothic" w:cs="Arial"/>
          <w:sz w:val="16"/>
          <w:szCs w:val="16"/>
          <w:lang w:eastAsia="es-CO"/>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w:t>
      </w:r>
      <w:r w:rsidRPr="0090523F">
        <w:rPr>
          <w:rFonts w:ascii="Century Gothic" w:hAnsi="Century Gothic" w:cs="Arial"/>
          <w:sz w:val="16"/>
          <w:szCs w:val="16"/>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5CDB407" w14:textId="77777777" w:rsidR="00747B82" w:rsidRPr="0090523F" w:rsidRDefault="00747B82" w:rsidP="00747B82">
      <w:pPr>
        <w:shd w:val="clear" w:color="auto" w:fill="FFFFFF"/>
        <w:spacing w:line="240" w:lineRule="auto"/>
        <w:ind w:firstLine="709"/>
        <w:jc w:val="both"/>
        <w:textAlignment w:val="baseline"/>
        <w:rPr>
          <w:rFonts w:ascii="Century Gothic" w:hAnsi="Century Gothic" w:cs="Arial"/>
          <w:sz w:val="16"/>
          <w:szCs w:val="16"/>
          <w:lang w:eastAsia="es-CO"/>
        </w:rPr>
      </w:pPr>
      <w:r w:rsidRPr="0090523F">
        <w:rPr>
          <w:rFonts w:ascii="Century Gothic" w:hAnsi="Century Gothic" w:cs="Arial"/>
          <w:sz w:val="16"/>
          <w:szCs w:val="16"/>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7F805073" w14:textId="77777777" w:rsidR="00747B82" w:rsidRPr="0090523F" w:rsidRDefault="00747B82" w:rsidP="00747B82">
      <w:pPr>
        <w:shd w:val="clear" w:color="auto" w:fill="FFFFFF"/>
        <w:spacing w:line="240" w:lineRule="auto"/>
        <w:ind w:firstLine="709"/>
        <w:jc w:val="both"/>
        <w:textAlignment w:val="baseline"/>
        <w:rPr>
          <w:rFonts w:ascii="Century Gothic" w:hAnsi="Century Gothic" w:cs="Arial"/>
          <w:sz w:val="16"/>
          <w:szCs w:val="16"/>
          <w:lang w:eastAsia="es-CO"/>
        </w:rPr>
      </w:pPr>
      <w:r w:rsidRPr="0090523F">
        <w:rPr>
          <w:rFonts w:ascii="Century Gothic" w:hAnsi="Century Gothic" w:cs="Arial"/>
          <w:sz w:val="16"/>
          <w:szCs w:val="16"/>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89B38CB" w14:textId="77777777" w:rsidR="00747B82" w:rsidRPr="0090523F" w:rsidRDefault="00747B82" w:rsidP="00747B82">
      <w:pPr>
        <w:shd w:val="clear" w:color="auto" w:fill="FFFFFF"/>
        <w:spacing w:line="240" w:lineRule="auto"/>
        <w:ind w:firstLine="708"/>
        <w:jc w:val="both"/>
        <w:textAlignment w:val="baseline"/>
        <w:rPr>
          <w:rFonts w:ascii="Century Gothic" w:hAnsi="Century Gothic" w:cs="Arial"/>
          <w:sz w:val="16"/>
          <w:szCs w:val="16"/>
          <w:lang w:eastAsia="es-CO"/>
        </w:rPr>
      </w:pPr>
      <w:r w:rsidRPr="0090523F">
        <w:rPr>
          <w:rFonts w:ascii="Century Gothic" w:hAnsi="Century Gothic" w:cs="Arial"/>
          <w:sz w:val="16"/>
          <w:szCs w:val="16"/>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75DECF09" w14:textId="77777777" w:rsidR="00747B82" w:rsidRPr="0090523F" w:rsidRDefault="00747B82" w:rsidP="00747B82">
      <w:pPr>
        <w:shd w:val="clear" w:color="auto" w:fill="FFFFFF"/>
        <w:spacing w:line="240" w:lineRule="auto"/>
        <w:ind w:firstLine="709"/>
        <w:jc w:val="both"/>
        <w:textAlignment w:val="baseline"/>
        <w:rPr>
          <w:rFonts w:ascii="Century Gothic" w:hAnsi="Century Gothic" w:cs="Arial"/>
          <w:sz w:val="16"/>
          <w:szCs w:val="16"/>
          <w:lang w:eastAsia="es-CO"/>
        </w:rPr>
      </w:pPr>
      <w:r w:rsidRPr="0090523F">
        <w:rPr>
          <w:rFonts w:ascii="Century Gothic" w:hAnsi="Century Gothic" w:cs="Arial"/>
          <w:sz w:val="16"/>
          <w:szCs w:val="16"/>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7FB97FE1" w14:textId="77777777" w:rsidR="00747B82" w:rsidRPr="0090523F" w:rsidRDefault="00747B82" w:rsidP="00747B82">
      <w:pPr>
        <w:pStyle w:val="Textonotapie"/>
        <w:ind w:firstLine="709"/>
        <w:jc w:val="both"/>
        <w:rPr>
          <w:rFonts w:ascii="Century Gothic" w:hAnsi="Century Gothic" w:cs="Arial"/>
          <w:sz w:val="16"/>
          <w:szCs w:val="16"/>
        </w:rPr>
      </w:pPr>
    </w:p>
  </w:footnote>
  <w:footnote w:id="7">
    <w:p w14:paraId="0A6BE56F" w14:textId="77777777" w:rsidR="00747B82" w:rsidRPr="0090523F" w:rsidRDefault="00747B82" w:rsidP="00747B82">
      <w:pPr>
        <w:pStyle w:val="Textonotapie"/>
        <w:ind w:firstLine="708"/>
        <w:jc w:val="both"/>
        <w:rPr>
          <w:rFonts w:ascii="Century Gothic" w:hAnsi="Century Gothic" w:cs="Arial"/>
          <w:sz w:val="16"/>
          <w:szCs w:val="16"/>
          <w:lang w:val="es-ES"/>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Modificada por las Resoluciones No. 161 de 2020 y 146 de 2022. </w:t>
      </w:r>
    </w:p>
  </w:footnote>
  <w:footnote w:id="8">
    <w:p w14:paraId="684D8F31" w14:textId="77777777" w:rsidR="00747B82" w:rsidRPr="0090523F" w:rsidRDefault="00747B82" w:rsidP="00747B82">
      <w:pPr>
        <w:pStyle w:val="Textonotapie"/>
        <w:ind w:firstLine="708"/>
        <w:jc w:val="both"/>
        <w:rPr>
          <w:rFonts w:ascii="Century Gothic" w:hAnsi="Century Gothic" w:cs="Arial"/>
          <w:color w:val="000000" w:themeColor="text1"/>
          <w:sz w:val="16"/>
          <w:szCs w:val="16"/>
          <w:lang w:val="es-ES"/>
        </w:rPr>
      </w:pPr>
      <w:r w:rsidRPr="0090523F">
        <w:rPr>
          <w:rStyle w:val="Refdenotaalpie"/>
          <w:rFonts w:ascii="Century Gothic" w:hAnsi="Century Gothic"/>
          <w:color w:val="000000" w:themeColor="text1"/>
          <w:sz w:val="16"/>
          <w:szCs w:val="16"/>
        </w:rPr>
        <w:footnoteRef/>
      </w:r>
      <w:r w:rsidRPr="0090523F">
        <w:rPr>
          <w:rFonts w:ascii="Century Gothic" w:hAnsi="Century Gothic" w:cs="Arial"/>
          <w:color w:val="000000" w:themeColor="text1"/>
          <w:sz w:val="16"/>
          <w:szCs w:val="16"/>
        </w:rPr>
        <w:t xml:space="preserve"> Artículo 2.2.1.1.2.1.1 del Decreto 1082 de 2015.</w:t>
      </w:r>
    </w:p>
  </w:footnote>
  <w:footnote w:id="9">
    <w:p w14:paraId="027B29AA" w14:textId="77777777" w:rsidR="00747B82" w:rsidRPr="0090523F" w:rsidRDefault="00747B82" w:rsidP="00747B82">
      <w:pPr>
        <w:pStyle w:val="Textonotapie"/>
        <w:ind w:firstLine="708"/>
        <w:jc w:val="both"/>
        <w:rPr>
          <w:rFonts w:ascii="Century Gothic" w:hAnsi="Century Gothic" w:cs="Arial"/>
          <w:sz w:val="16"/>
          <w:szCs w:val="16"/>
          <w:lang w:val="es-ES"/>
        </w:rPr>
      </w:pPr>
      <w:r w:rsidRPr="0090523F">
        <w:rPr>
          <w:rStyle w:val="Refdenotaalpie"/>
          <w:rFonts w:ascii="Century Gothic" w:hAnsi="Century Gothic" w:cs="Arial"/>
          <w:sz w:val="16"/>
          <w:szCs w:val="16"/>
        </w:rPr>
        <w:footnoteRef/>
      </w:r>
      <w:r w:rsidRPr="0090523F">
        <w:rPr>
          <w:rFonts w:ascii="Century Gothic" w:hAnsi="Century Gothic" w:cs="Arial"/>
          <w:sz w:val="16"/>
          <w:szCs w:val="16"/>
        </w:rPr>
        <w:t xml:space="preserve"> </w:t>
      </w:r>
      <w:r w:rsidRPr="0090523F">
        <w:rPr>
          <w:rFonts w:ascii="Century Gothic" w:hAnsi="Century Gothic" w:cs="Arial"/>
          <w:sz w:val="16"/>
          <w:szCs w:val="16"/>
          <w:lang w:val="es-ES"/>
        </w:rPr>
        <w:t>Consejo de Estado. Sala de Consulta y Servicio Civil. Concepto del 20 de mayo de 2010. No. de Radicado: 11001-03-06-000-2010-00034-00(1992). C.P. Enrique José Arboleda Perdomo.</w:t>
      </w:r>
    </w:p>
  </w:footnote>
  <w:footnote w:id="10">
    <w:p w14:paraId="49FA1096" w14:textId="77777777" w:rsidR="00747B82" w:rsidRPr="0090523F" w:rsidRDefault="00747B82" w:rsidP="00747B82">
      <w:pPr>
        <w:pStyle w:val="Textonotapie"/>
        <w:ind w:firstLine="709"/>
        <w:jc w:val="both"/>
        <w:rPr>
          <w:rFonts w:ascii="Century Gothic" w:hAnsi="Century Gothic" w:cs="Arial"/>
          <w:color w:val="000000"/>
          <w:sz w:val="16"/>
          <w:szCs w:val="16"/>
        </w:rPr>
      </w:pPr>
      <w:r w:rsidRPr="0090523F">
        <w:rPr>
          <w:rStyle w:val="Refdenotaalpie"/>
          <w:rFonts w:ascii="Century Gothic" w:hAnsi="Century Gothic" w:cs="Arial"/>
          <w:color w:val="000000"/>
          <w:sz w:val="16"/>
          <w:szCs w:val="16"/>
        </w:rPr>
        <w:footnoteRef/>
      </w:r>
      <w:r w:rsidRPr="0090523F">
        <w:rPr>
          <w:rFonts w:ascii="Century Gothic" w:hAnsi="Century Gothic" w:cs="Arial"/>
          <w:color w:val="000000"/>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195B1C52" w14:textId="77777777" w:rsidR="00747B82" w:rsidRPr="0090523F" w:rsidRDefault="00747B82" w:rsidP="00747B82">
      <w:pPr>
        <w:pStyle w:val="Textonotapie"/>
        <w:ind w:firstLine="709"/>
        <w:jc w:val="both"/>
        <w:rPr>
          <w:rFonts w:ascii="Century Gothic" w:hAnsi="Century Gothic" w:cs="Arial"/>
          <w:color w:val="000000"/>
          <w:sz w:val="16"/>
          <w:szCs w:val="16"/>
        </w:rPr>
      </w:pPr>
    </w:p>
  </w:footnote>
  <w:footnote w:id="11">
    <w:p w14:paraId="575A2764" w14:textId="77777777" w:rsidR="00747B82" w:rsidRPr="0090523F" w:rsidRDefault="00747B82" w:rsidP="00747B82">
      <w:pPr>
        <w:pStyle w:val="Textonotapie"/>
        <w:ind w:firstLine="709"/>
        <w:jc w:val="both"/>
        <w:rPr>
          <w:rFonts w:ascii="Century Gothic" w:hAnsi="Century Gothic" w:cs="Arial"/>
          <w:color w:val="000000"/>
          <w:sz w:val="16"/>
          <w:szCs w:val="16"/>
        </w:rPr>
      </w:pPr>
      <w:r w:rsidRPr="0090523F">
        <w:rPr>
          <w:rStyle w:val="Refdenotaalpie"/>
          <w:rFonts w:ascii="Century Gothic" w:hAnsi="Century Gothic" w:cs="Arial"/>
          <w:color w:val="000000"/>
          <w:sz w:val="16"/>
          <w:szCs w:val="16"/>
        </w:rPr>
        <w:footnoteRef/>
      </w:r>
      <w:r w:rsidRPr="0090523F">
        <w:rPr>
          <w:rFonts w:ascii="Century Gothic" w:hAnsi="Century Gothic" w:cs="Arial"/>
          <w:color w:val="000000"/>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2">
    <w:p w14:paraId="38A60A9C" w14:textId="77777777" w:rsidR="00747B82" w:rsidRPr="0090523F" w:rsidRDefault="00747B82" w:rsidP="00747B82">
      <w:pPr>
        <w:pStyle w:val="Textonotapie"/>
        <w:ind w:firstLine="709"/>
        <w:jc w:val="both"/>
        <w:rPr>
          <w:rFonts w:ascii="Century Gothic" w:hAnsi="Century Gothic" w:cs="Arial"/>
          <w:color w:val="000000"/>
          <w:sz w:val="16"/>
          <w:szCs w:val="16"/>
        </w:rPr>
      </w:pPr>
      <w:r w:rsidRPr="0090523F">
        <w:rPr>
          <w:rStyle w:val="Refdenotaalpie"/>
          <w:rFonts w:ascii="Century Gothic" w:hAnsi="Century Gothic" w:cs="Arial"/>
          <w:color w:val="000000"/>
          <w:sz w:val="16"/>
          <w:szCs w:val="16"/>
        </w:rPr>
        <w:footnoteRef/>
      </w:r>
      <w:r w:rsidRPr="0090523F">
        <w:rPr>
          <w:rFonts w:ascii="Century Gothic" w:hAnsi="Century Gothic" w:cs="Arial"/>
          <w:color w:val="000000"/>
          <w:sz w:val="16"/>
          <w:szCs w:val="16"/>
        </w:rPr>
        <w:t xml:space="preserve"> Consejo de Estado. Sección Tercera. Subsección C. Sentencia del 26 de febrero de 2014. Expediente: 25.804. Consejero Ponente: Enrique Gil Botero.</w:t>
      </w:r>
    </w:p>
  </w:footnote>
  <w:footnote w:id="13">
    <w:p w14:paraId="54F1CFFF" w14:textId="77777777" w:rsidR="00747B82" w:rsidRPr="0090523F" w:rsidRDefault="00747B82" w:rsidP="00747B82">
      <w:pPr>
        <w:pBdr>
          <w:top w:val="nil"/>
          <w:left w:val="nil"/>
          <w:bottom w:val="nil"/>
          <w:right w:val="nil"/>
          <w:between w:val="nil"/>
        </w:pBdr>
        <w:spacing w:line="240" w:lineRule="auto"/>
        <w:ind w:firstLine="709"/>
        <w:jc w:val="both"/>
        <w:rPr>
          <w:rFonts w:ascii="Century Gothic" w:eastAsia="Arial" w:hAnsi="Century Gothic" w:cs="Arial"/>
          <w:color w:val="000000"/>
          <w:sz w:val="16"/>
          <w:szCs w:val="16"/>
        </w:rPr>
      </w:pPr>
      <w:r w:rsidRPr="0090523F">
        <w:rPr>
          <w:rFonts w:ascii="Century Gothic" w:hAnsi="Century Gothic" w:cs="Arial"/>
          <w:sz w:val="16"/>
          <w:szCs w:val="16"/>
          <w:vertAlign w:val="superscript"/>
        </w:rPr>
        <w:footnoteRef/>
      </w:r>
      <w:r w:rsidRPr="0090523F">
        <w:rPr>
          <w:rFonts w:ascii="Century Gothic" w:eastAsia="Arial" w:hAnsi="Century Gothic" w:cs="Arial"/>
          <w:color w:val="000000"/>
          <w:sz w:val="16"/>
          <w:szCs w:val="16"/>
          <w:vertAlign w:val="superscript"/>
        </w:rPr>
        <w:t xml:space="preserve"> </w:t>
      </w:r>
      <w:r w:rsidRPr="0090523F">
        <w:rPr>
          <w:rFonts w:ascii="Century Gothic" w:eastAsia="Arial" w:hAnsi="Century Gothic" w:cs="Arial"/>
          <w:color w:val="000000"/>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5BC554DC" w14:textId="77777777" w:rsidR="00747B82" w:rsidRPr="0090523F" w:rsidRDefault="00747B82" w:rsidP="00747B82">
      <w:pPr>
        <w:pBdr>
          <w:top w:val="nil"/>
          <w:left w:val="nil"/>
          <w:bottom w:val="nil"/>
          <w:right w:val="nil"/>
          <w:between w:val="nil"/>
        </w:pBdr>
        <w:spacing w:line="240" w:lineRule="auto"/>
        <w:ind w:firstLine="709"/>
        <w:jc w:val="both"/>
        <w:rPr>
          <w:rFonts w:ascii="Century Gothic" w:eastAsia="Arial" w:hAnsi="Century Gothic" w:cs="Arial"/>
          <w:color w:val="000000"/>
          <w:sz w:val="16"/>
          <w:szCs w:val="16"/>
        </w:rPr>
      </w:pPr>
    </w:p>
  </w:footnote>
  <w:footnote w:id="14">
    <w:p w14:paraId="3C5552FD" w14:textId="77777777" w:rsidR="00747B82" w:rsidRPr="0090523F" w:rsidRDefault="00747B82" w:rsidP="00747B82">
      <w:pPr>
        <w:pStyle w:val="Textonotapie"/>
        <w:ind w:firstLine="708"/>
        <w:jc w:val="both"/>
        <w:rPr>
          <w:rFonts w:ascii="Century Gothic" w:hAnsi="Century Gothic" w:cs="Arial"/>
          <w:color w:val="000000"/>
          <w:sz w:val="16"/>
          <w:szCs w:val="16"/>
          <w:lang w:val="es-ES"/>
        </w:rPr>
      </w:pPr>
      <w:r w:rsidRPr="0090523F">
        <w:rPr>
          <w:rFonts w:ascii="Century Gothic" w:eastAsia="Arial" w:hAnsi="Century Gothic" w:cs="Arial"/>
          <w:color w:val="000000"/>
          <w:sz w:val="16"/>
          <w:szCs w:val="16"/>
          <w:vertAlign w:val="superscript"/>
        </w:rPr>
        <w:footnoteRef/>
      </w:r>
      <w:r w:rsidRPr="0090523F">
        <w:rPr>
          <w:rFonts w:ascii="Century Gothic" w:eastAsia="Arial" w:hAnsi="Century Gothic" w:cs="Arial"/>
          <w:color w:val="000000"/>
          <w:sz w:val="16"/>
          <w:szCs w:val="16"/>
          <w:vertAlign w:val="superscript"/>
          <w:lang w:val="es-ES"/>
        </w:rPr>
        <w:t xml:space="preserve"> </w:t>
      </w:r>
      <w:r w:rsidRPr="0090523F">
        <w:rPr>
          <w:rFonts w:ascii="Century Gothic" w:eastAsia="Arial" w:hAnsi="Century Gothic" w:cs="Arial"/>
          <w:color w:val="000000"/>
          <w:sz w:val="16"/>
          <w:szCs w:val="16"/>
          <w:lang w:val="es-ES"/>
        </w:rPr>
        <w:t>Consejo de Estado. Sala de Consulta y Servicio Civil. Concepto del 20 de mayo de 2010. No. de Radicado: 11001-03-06-000-2010-00034-00(1992). C.P. Enrique José Arboleda Perdomo.</w:t>
      </w:r>
    </w:p>
    <w:p w14:paraId="305D904C" w14:textId="77777777" w:rsidR="00747B82" w:rsidRPr="0090523F" w:rsidRDefault="00747B82" w:rsidP="00747B82">
      <w:pPr>
        <w:pStyle w:val="Textonotapie"/>
        <w:ind w:firstLine="708"/>
        <w:jc w:val="both"/>
        <w:rPr>
          <w:rFonts w:ascii="Century Gothic" w:hAnsi="Century Gothic" w:cs="Arial"/>
          <w:color w:val="000000"/>
          <w:sz w:val="16"/>
          <w:szCs w:val="16"/>
        </w:rPr>
      </w:pPr>
    </w:p>
  </w:footnote>
  <w:footnote w:id="15">
    <w:p w14:paraId="10758C07" w14:textId="77777777" w:rsidR="00747B82" w:rsidRPr="0090523F" w:rsidRDefault="00747B82" w:rsidP="00747B82">
      <w:pPr>
        <w:pStyle w:val="Textonotapie"/>
        <w:ind w:firstLine="708"/>
        <w:jc w:val="both"/>
        <w:rPr>
          <w:rFonts w:ascii="Century Gothic" w:hAnsi="Century Gothic" w:cs="Arial"/>
          <w:sz w:val="16"/>
          <w:szCs w:val="16"/>
          <w:lang w:val="es-ES"/>
        </w:rPr>
      </w:pPr>
      <w:r w:rsidRPr="0090523F">
        <w:rPr>
          <w:rStyle w:val="Refdenotaalpie"/>
          <w:rFonts w:ascii="Century Gothic" w:hAnsi="Century Gothic" w:cs="Arial"/>
          <w:sz w:val="16"/>
          <w:szCs w:val="16"/>
        </w:rPr>
        <w:footnoteRef/>
      </w:r>
      <w:r w:rsidRPr="0090523F">
        <w:rPr>
          <w:rFonts w:ascii="Century Gothic" w:hAnsi="Century Gothic" w:cs="Arial"/>
          <w:sz w:val="16"/>
          <w:szCs w:val="16"/>
        </w:rPr>
        <w:t xml:space="preserve"> </w:t>
      </w:r>
      <w:r w:rsidRPr="0090523F">
        <w:rPr>
          <w:rFonts w:ascii="Century Gothic" w:hAnsi="Century Gothic" w:cs="Arial"/>
          <w:sz w:val="16"/>
          <w:szCs w:val="16"/>
          <w:lang w:val="es-ES"/>
        </w:rPr>
        <w:t xml:space="preserve">Se aclara que en los documentos tipo de selección abreviada de menor cuantía de infraestructura de transporte, el término del traslado del informe de evaluación no es de cinco (5) días hábiles sino de tres (3) días hábiles. Por su parte, en la invitación de los documentos tipo de mínima cuantía de infraestructura de transporte, el numeral 1.6. establece que la subsanación se puede realizar en el plazo que haya establecido la Entidad Estatal, siempre que no sea menor a un (1) día hábil. </w:t>
      </w:r>
    </w:p>
    <w:p w14:paraId="0889A8E9" w14:textId="77777777" w:rsidR="00747B82" w:rsidRPr="0090523F" w:rsidRDefault="00747B82" w:rsidP="00747B82">
      <w:pPr>
        <w:pStyle w:val="Textonotapie"/>
        <w:ind w:firstLine="708"/>
        <w:jc w:val="both"/>
        <w:rPr>
          <w:rFonts w:ascii="Century Gothic" w:hAnsi="Century Gothic" w:cs="Arial"/>
          <w:sz w:val="16"/>
          <w:szCs w:val="16"/>
          <w:lang w:val="es-ES"/>
        </w:rPr>
      </w:pPr>
    </w:p>
  </w:footnote>
  <w:footnote w:id="16">
    <w:p w14:paraId="2421A73F" w14:textId="77777777" w:rsidR="00747B82" w:rsidRPr="0090523F" w:rsidRDefault="00747B82" w:rsidP="00747B82">
      <w:pPr>
        <w:pStyle w:val="Textonotapie"/>
        <w:ind w:firstLine="708"/>
        <w:jc w:val="both"/>
        <w:rPr>
          <w:rFonts w:ascii="Century Gothic" w:hAnsi="Century Gothic" w:cs="Arial"/>
          <w:sz w:val="16"/>
          <w:szCs w:val="16"/>
        </w:rPr>
      </w:pPr>
      <w:r w:rsidRPr="0090523F">
        <w:rPr>
          <w:rStyle w:val="Refdenotaalpie"/>
          <w:rFonts w:ascii="Century Gothic" w:hAnsi="Century Gothic" w:cs="Arial"/>
          <w:sz w:val="16"/>
          <w:szCs w:val="16"/>
        </w:rPr>
        <w:footnoteRef/>
      </w:r>
      <w:r w:rsidRPr="0090523F">
        <w:rPr>
          <w:rFonts w:ascii="Century Gothic" w:hAnsi="Century Gothic" w:cs="Arial"/>
          <w:sz w:val="16"/>
          <w:szCs w:val="16"/>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3A19E2FF" w14:textId="77777777" w:rsidR="00747B82" w:rsidRPr="0090523F" w:rsidRDefault="00747B82" w:rsidP="00747B82">
      <w:pPr>
        <w:pStyle w:val="Textonotapie"/>
        <w:ind w:firstLine="708"/>
        <w:jc w:val="both"/>
        <w:rPr>
          <w:rFonts w:ascii="Century Gothic" w:hAnsi="Century Gothic" w:cs="Arial"/>
          <w:sz w:val="16"/>
          <w:szCs w:val="16"/>
        </w:rPr>
      </w:pPr>
    </w:p>
    <w:p w14:paraId="0E261294" w14:textId="77777777" w:rsidR="00747B82" w:rsidRPr="0090523F" w:rsidRDefault="00747B82" w:rsidP="00747B82">
      <w:pPr>
        <w:pStyle w:val="Textonotapie"/>
        <w:ind w:firstLine="708"/>
        <w:jc w:val="both"/>
        <w:rPr>
          <w:rFonts w:ascii="Century Gothic" w:hAnsi="Century Gothic" w:cs="Arial"/>
          <w:sz w:val="16"/>
          <w:szCs w:val="16"/>
        </w:rPr>
      </w:pPr>
      <w:r w:rsidRPr="0090523F">
        <w:rPr>
          <w:rFonts w:ascii="Century Gothic" w:hAnsi="Century Gothic" w:cs="Arial"/>
          <w:sz w:val="16"/>
          <w:szCs w:val="16"/>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14:paraId="65A3653F" w14:textId="77777777" w:rsidR="00747B82" w:rsidRPr="0090523F" w:rsidRDefault="00747B82" w:rsidP="00747B82">
      <w:pPr>
        <w:pStyle w:val="Textonotapie"/>
        <w:ind w:firstLine="708"/>
        <w:jc w:val="both"/>
        <w:rPr>
          <w:rFonts w:ascii="Century Gothic" w:hAnsi="Century Gothic" w:cs="Arial"/>
          <w:sz w:val="16"/>
          <w:szCs w:val="16"/>
          <w:lang w:val="es-ES"/>
        </w:rPr>
      </w:pPr>
    </w:p>
  </w:footnote>
  <w:footnote w:id="17">
    <w:p w14:paraId="4870058B" w14:textId="77777777" w:rsidR="00747B82" w:rsidRPr="0090523F" w:rsidRDefault="00747B82" w:rsidP="00747B82">
      <w:pPr>
        <w:pStyle w:val="Textonotapie"/>
        <w:ind w:firstLine="708"/>
        <w:jc w:val="both"/>
        <w:rPr>
          <w:rFonts w:ascii="Century Gothic" w:eastAsia="Times New Roman" w:hAnsi="Century Gothic" w:cs="Arial"/>
          <w:sz w:val="16"/>
          <w:szCs w:val="16"/>
          <w:lang w:val="es-CO" w:eastAsia="es-CO"/>
        </w:rPr>
      </w:pPr>
      <w:r w:rsidRPr="0090523F">
        <w:rPr>
          <w:rStyle w:val="Refdenotaalpie"/>
          <w:rFonts w:ascii="Century Gothic" w:hAnsi="Century Gothic"/>
          <w:sz w:val="16"/>
          <w:szCs w:val="16"/>
        </w:rPr>
        <w:footnoteRef/>
      </w:r>
      <w:r w:rsidRPr="0090523F">
        <w:rPr>
          <w:rFonts w:ascii="Century Gothic" w:hAnsi="Century Gothic" w:cs="Arial"/>
          <w:sz w:val="16"/>
          <w:szCs w:val="16"/>
        </w:rPr>
        <w:t xml:space="preserve"> </w:t>
      </w:r>
      <w:r w:rsidRPr="0090523F">
        <w:rPr>
          <w:rFonts w:ascii="Century Gothic" w:eastAsia="Times New Roman" w:hAnsi="Century Gothic" w:cs="Arial"/>
          <w:sz w:val="16"/>
          <w:szCs w:val="16"/>
          <w:lang w:val="es-CO" w:eastAsia="es-CO"/>
        </w:rPr>
        <w:t>Consejo de Estado. Sección Tercera. Sentencia del 27 de abril de 2011. Exp. 18.293. C.P. Ruth Stella Correa Palacio.</w:t>
      </w:r>
    </w:p>
    <w:p w14:paraId="0C916F4E" w14:textId="77777777" w:rsidR="00747B82" w:rsidRPr="0090523F" w:rsidRDefault="00747B82" w:rsidP="00747B82">
      <w:pPr>
        <w:pStyle w:val="Textonotapie"/>
        <w:ind w:firstLine="708"/>
        <w:jc w:val="both"/>
        <w:rPr>
          <w:rFonts w:ascii="Century Gothic" w:eastAsia="Calibri" w:hAnsi="Century Gothic"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43B6B0B6" w:rsidR="00756841" w:rsidRDefault="00961B09">
    <w:pPr>
      <w:pStyle w:val="Encabezado"/>
    </w:pPr>
    <w:r>
      <w:rPr>
        <w:noProof/>
        <w:lang w:val="es-ES_tradnl" w:eastAsia="es-ES_tradnl"/>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val="es-ES_tradnl" w:eastAsia="es-ES_tradnl"/>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s-ES_tradnl" w:eastAsia="es-ES_tradnl"/>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s-ES_tradnl" w:eastAsia="es-ES_tradnl"/>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3pt;height:14.3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22442D"/>
    <w:multiLevelType w:val="multilevel"/>
    <w:tmpl w:val="863C213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3"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644"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4921DB"/>
    <w:multiLevelType w:val="multilevel"/>
    <w:tmpl w:val="F468BAA4"/>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075DD"/>
    <w:multiLevelType w:val="hybridMultilevel"/>
    <w:tmpl w:val="EBE2CF64"/>
    <w:lvl w:ilvl="0" w:tplc="5AE47702">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21B22"/>
    <w:multiLevelType w:val="hybridMultilevel"/>
    <w:tmpl w:val="4D9A8CA4"/>
    <w:lvl w:ilvl="0" w:tplc="7996F5C0">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890530830">
    <w:abstractNumId w:val="8"/>
  </w:num>
  <w:num w:numId="2" w16cid:durableId="2059430615">
    <w:abstractNumId w:val="3"/>
  </w:num>
  <w:num w:numId="3" w16cid:durableId="1686202114">
    <w:abstractNumId w:val="6"/>
  </w:num>
  <w:num w:numId="4" w16cid:durableId="67463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01837">
    <w:abstractNumId w:val="3"/>
  </w:num>
  <w:num w:numId="6" w16cid:durableId="1942688714">
    <w:abstractNumId w:val="19"/>
  </w:num>
  <w:num w:numId="7" w16cid:durableId="1883130282">
    <w:abstractNumId w:val="7"/>
  </w:num>
  <w:num w:numId="8" w16cid:durableId="838740807">
    <w:abstractNumId w:val="17"/>
  </w:num>
  <w:num w:numId="9" w16cid:durableId="1531649055">
    <w:abstractNumId w:val="9"/>
  </w:num>
  <w:num w:numId="10" w16cid:durableId="178471433">
    <w:abstractNumId w:val="16"/>
  </w:num>
  <w:num w:numId="11" w16cid:durableId="947855241">
    <w:abstractNumId w:val="10"/>
  </w:num>
  <w:num w:numId="12" w16cid:durableId="1744527564">
    <w:abstractNumId w:val="2"/>
  </w:num>
  <w:num w:numId="13" w16cid:durableId="568273808">
    <w:abstractNumId w:val="5"/>
  </w:num>
  <w:num w:numId="14" w16cid:durableId="1174999421">
    <w:abstractNumId w:val="20"/>
  </w:num>
  <w:num w:numId="15" w16cid:durableId="1693606504">
    <w:abstractNumId w:val="15"/>
  </w:num>
  <w:num w:numId="16" w16cid:durableId="1048259276">
    <w:abstractNumId w:val="0"/>
  </w:num>
  <w:num w:numId="17" w16cid:durableId="2116485162">
    <w:abstractNumId w:val="1"/>
  </w:num>
  <w:num w:numId="18" w16cid:durableId="1845585092">
    <w:abstractNumId w:val="12"/>
  </w:num>
  <w:num w:numId="19" w16cid:durableId="1015032107">
    <w:abstractNumId w:val="11"/>
  </w:num>
  <w:num w:numId="20" w16cid:durableId="693726696">
    <w:abstractNumId w:val="13"/>
  </w:num>
  <w:num w:numId="21" w16cid:durableId="732504325">
    <w:abstractNumId w:val="21"/>
  </w:num>
  <w:num w:numId="22" w16cid:durableId="1934052071">
    <w:abstractNumId w:val="14"/>
  </w:num>
  <w:num w:numId="23" w16cid:durableId="1735932730">
    <w:abstractNumId w:val="4"/>
  </w:num>
  <w:num w:numId="24" w16cid:durableId="978147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04E30"/>
    <w:rsid w:val="000173EF"/>
    <w:rsid w:val="00055956"/>
    <w:rsid w:val="00061B2A"/>
    <w:rsid w:val="00082362"/>
    <w:rsid w:val="000868E8"/>
    <w:rsid w:val="00096F1F"/>
    <w:rsid w:val="000A683E"/>
    <w:rsid w:val="000B09FF"/>
    <w:rsid w:val="000B19B9"/>
    <w:rsid w:val="000C79BD"/>
    <w:rsid w:val="000D0334"/>
    <w:rsid w:val="000F6486"/>
    <w:rsid w:val="00114E42"/>
    <w:rsid w:val="001160F5"/>
    <w:rsid w:val="0012187A"/>
    <w:rsid w:val="00125105"/>
    <w:rsid w:val="00127233"/>
    <w:rsid w:val="00160078"/>
    <w:rsid w:val="001E4177"/>
    <w:rsid w:val="001F5E58"/>
    <w:rsid w:val="001F7DC6"/>
    <w:rsid w:val="00217A55"/>
    <w:rsid w:val="00230610"/>
    <w:rsid w:val="002421BB"/>
    <w:rsid w:val="002707A2"/>
    <w:rsid w:val="0028770A"/>
    <w:rsid w:val="002951A0"/>
    <w:rsid w:val="002962BC"/>
    <w:rsid w:val="002A093D"/>
    <w:rsid w:val="002A0DD0"/>
    <w:rsid w:val="002A49AC"/>
    <w:rsid w:val="002A64FD"/>
    <w:rsid w:val="002C7A84"/>
    <w:rsid w:val="002D292E"/>
    <w:rsid w:val="002E4FD9"/>
    <w:rsid w:val="00306211"/>
    <w:rsid w:val="003202DE"/>
    <w:rsid w:val="00322A85"/>
    <w:rsid w:val="003408C4"/>
    <w:rsid w:val="003448F4"/>
    <w:rsid w:val="00357FBF"/>
    <w:rsid w:val="00374F5E"/>
    <w:rsid w:val="00375E23"/>
    <w:rsid w:val="00377E3E"/>
    <w:rsid w:val="003A05C5"/>
    <w:rsid w:val="003A779E"/>
    <w:rsid w:val="003B1311"/>
    <w:rsid w:val="003D0F4D"/>
    <w:rsid w:val="003D5B0D"/>
    <w:rsid w:val="003E0499"/>
    <w:rsid w:val="003E1F8D"/>
    <w:rsid w:val="003F3941"/>
    <w:rsid w:val="003F4AE8"/>
    <w:rsid w:val="00406575"/>
    <w:rsid w:val="00417369"/>
    <w:rsid w:val="0042722E"/>
    <w:rsid w:val="00433FAF"/>
    <w:rsid w:val="00446E2A"/>
    <w:rsid w:val="00464900"/>
    <w:rsid w:val="00483154"/>
    <w:rsid w:val="0048630F"/>
    <w:rsid w:val="004868C7"/>
    <w:rsid w:val="00496A14"/>
    <w:rsid w:val="004A1847"/>
    <w:rsid w:val="004A305D"/>
    <w:rsid w:val="004C4463"/>
    <w:rsid w:val="004F21C4"/>
    <w:rsid w:val="004F685F"/>
    <w:rsid w:val="00521CC1"/>
    <w:rsid w:val="005324C5"/>
    <w:rsid w:val="005566E8"/>
    <w:rsid w:val="00567300"/>
    <w:rsid w:val="00574867"/>
    <w:rsid w:val="005768FD"/>
    <w:rsid w:val="00591460"/>
    <w:rsid w:val="005A0665"/>
    <w:rsid w:val="005A2340"/>
    <w:rsid w:val="005B097B"/>
    <w:rsid w:val="005C3777"/>
    <w:rsid w:val="005C5CDC"/>
    <w:rsid w:val="005D476C"/>
    <w:rsid w:val="005D657E"/>
    <w:rsid w:val="005F1A2C"/>
    <w:rsid w:val="006219F8"/>
    <w:rsid w:val="00625FE0"/>
    <w:rsid w:val="006561B6"/>
    <w:rsid w:val="00657E3A"/>
    <w:rsid w:val="0066245F"/>
    <w:rsid w:val="00665D70"/>
    <w:rsid w:val="00677662"/>
    <w:rsid w:val="006900D9"/>
    <w:rsid w:val="006B2E69"/>
    <w:rsid w:val="006C18E9"/>
    <w:rsid w:val="006D2D92"/>
    <w:rsid w:val="00706C16"/>
    <w:rsid w:val="00712DAA"/>
    <w:rsid w:val="00747B82"/>
    <w:rsid w:val="00756841"/>
    <w:rsid w:val="00761098"/>
    <w:rsid w:val="007649AB"/>
    <w:rsid w:val="00771D0C"/>
    <w:rsid w:val="007833AC"/>
    <w:rsid w:val="007845D3"/>
    <w:rsid w:val="007917D3"/>
    <w:rsid w:val="00796D1E"/>
    <w:rsid w:val="007B268C"/>
    <w:rsid w:val="007B7171"/>
    <w:rsid w:val="007C2DDB"/>
    <w:rsid w:val="007C3DC2"/>
    <w:rsid w:val="007E5497"/>
    <w:rsid w:val="0080438E"/>
    <w:rsid w:val="00806F5F"/>
    <w:rsid w:val="00807D32"/>
    <w:rsid w:val="00820278"/>
    <w:rsid w:val="008843B6"/>
    <w:rsid w:val="00891928"/>
    <w:rsid w:val="00892074"/>
    <w:rsid w:val="00893988"/>
    <w:rsid w:val="008977FD"/>
    <w:rsid w:val="008A1FAD"/>
    <w:rsid w:val="008A446D"/>
    <w:rsid w:val="008D180B"/>
    <w:rsid w:val="008F0EA7"/>
    <w:rsid w:val="008F35DC"/>
    <w:rsid w:val="008F5992"/>
    <w:rsid w:val="00902467"/>
    <w:rsid w:val="00923EEF"/>
    <w:rsid w:val="009419F9"/>
    <w:rsid w:val="0094487C"/>
    <w:rsid w:val="0095182B"/>
    <w:rsid w:val="00955FBF"/>
    <w:rsid w:val="00961B09"/>
    <w:rsid w:val="00965334"/>
    <w:rsid w:val="0097093E"/>
    <w:rsid w:val="009A6976"/>
    <w:rsid w:val="009C0D2C"/>
    <w:rsid w:val="009C71FA"/>
    <w:rsid w:val="009C72E7"/>
    <w:rsid w:val="009F3A13"/>
    <w:rsid w:val="00A122D3"/>
    <w:rsid w:val="00A17F13"/>
    <w:rsid w:val="00A20739"/>
    <w:rsid w:val="00A33C78"/>
    <w:rsid w:val="00A87F8A"/>
    <w:rsid w:val="00A900F6"/>
    <w:rsid w:val="00AB02C6"/>
    <w:rsid w:val="00AB0ADB"/>
    <w:rsid w:val="00AF51D9"/>
    <w:rsid w:val="00B451A1"/>
    <w:rsid w:val="00B50A73"/>
    <w:rsid w:val="00B72CD3"/>
    <w:rsid w:val="00B72FFF"/>
    <w:rsid w:val="00BA098D"/>
    <w:rsid w:val="00BA19B9"/>
    <w:rsid w:val="00BC3D36"/>
    <w:rsid w:val="00BD7330"/>
    <w:rsid w:val="00BD7F72"/>
    <w:rsid w:val="00BF7EC6"/>
    <w:rsid w:val="00C04FB3"/>
    <w:rsid w:val="00C22440"/>
    <w:rsid w:val="00C330EB"/>
    <w:rsid w:val="00C373EF"/>
    <w:rsid w:val="00C37A31"/>
    <w:rsid w:val="00C5158E"/>
    <w:rsid w:val="00C51F18"/>
    <w:rsid w:val="00C522F1"/>
    <w:rsid w:val="00C633A0"/>
    <w:rsid w:val="00C661AE"/>
    <w:rsid w:val="00C754BE"/>
    <w:rsid w:val="00C76B1C"/>
    <w:rsid w:val="00C814DB"/>
    <w:rsid w:val="00CB373E"/>
    <w:rsid w:val="00CB6357"/>
    <w:rsid w:val="00CC1315"/>
    <w:rsid w:val="00CC1B26"/>
    <w:rsid w:val="00CD07AB"/>
    <w:rsid w:val="00CD289F"/>
    <w:rsid w:val="00CE5A7A"/>
    <w:rsid w:val="00D14BE6"/>
    <w:rsid w:val="00D423A2"/>
    <w:rsid w:val="00D63AC2"/>
    <w:rsid w:val="00D7383B"/>
    <w:rsid w:val="00D91117"/>
    <w:rsid w:val="00DA231B"/>
    <w:rsid w:val="00DB6CC7"/>
    <w:rsid w:val="00DC145F"/>
    <w:rsid w:val="00DC3674"/>
    <w:rsid w:val="00DE2D93"/>
    <w:rsid w:val="00DF5254"/>
    <w:rsid w:val="00E060B8"/>
    <w:rsid w:val="00E14337"/>
    <w:rsid w:val="00E16408"/>
    <w:rsid w:val="00E20894"/>
    <w:rsid w:val="00E245AB"/>
    <w:rsid w:val="00E2764C"/>
    <w:rsid w:val="00E27F2E"/>
    <w:rsid w:val="00E50AFE"/>
    <w:rsid w:val="00E771DC"/>
    <w:rsid w:val="00E8772A"/>
    <w:rsid w:val="00E90F6B"/>
    <w:rsid w:val="00E92C27"/>
    <w:rsid w:val="00E97D30"/>
    <w:rsid w:val="00EA0E3D"/>
    <w:rsid w:val="00EA1DAA"/>
    <w:rsid w:val="00EA40AD"/>
    <w:rsid w:val="00EA54CE"/>
    <w:rsid w:val="00EE1AA8"/>
    <w:rsid w:val="00EF5A20"/>
    <w:rsid w:val="00F17F96"/>
    <w:rsid w:val="00F31EDC"/>
    <w:rsid w:val="00F43BA3"/>
    <w:rsid w:val="00F462B3"/>
    <w:rsid w:val="00F5664F"/>
    <w:rsid w:val="00F666C4"/>
    <w:rsid w:val="00F76AFC"/>
    <w:rsid w:val="00F94F42"/>
    <w:rsid w:val="00FA6380"/>
    <w:rsid w:val="00FB5DD1"/>
    <w:rsid w:val="00FC2B5D"/>
    <w:rsid w:val="00FF1449"/>
    <w:rsid w:val="05B82784"/>
    <w:rsid w:val="6877CB2C"/>
    <w:rsid w:val="6C5D4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2E"/>
  </w:style>
  <w:style w:type="paragraph" w:styleId="Ttulo2">
    <w:name w:val="heading 2"/>
    <w:basedOn w:val="Normal"/>
    <w:next w:val="Normal"/>
    <w:link w:val="Ttulo2Car"/>
    <w:uiPriority w:val="9"/>
    <w:unhideWhenUsed/>
    <w:qFormat/>
    <w:rsid w:val="00EF5A20"/>
    <w:pPr>
      <w:keepNext/>
      <w:keepLines/>
      <w:numPr>
        <w:ilvl w:val="1"/>
        <w:numId w:val="20"/>
      </w:numPr>
      <w:spacing w:before="40" w:after="120"/>
      <w:jc w:val="both"/>
      <w:outlineLvl w:val="1"/>
    </w:pPr>
    <w:rPr>
      <w:rFonts w:ascii="Arial" w:eastAsiaTheme="majorEastAsia" w:hAnsi="Arial" w:cstheme="majorBidi"/>
      <w:b/>
      <w:caps/>
      <w:color w:val="000000" w:themeColor="text1"/>
      <w:sz w:val="20"/>
      <w:szCs w:val="26"/>
      <w:lang w:val="es-MX"/>
    </w:rPr>
  </w:style>
  <w:style w:type="paragraph" w:styleId="Ttulo3">
    <w:name w:val="heading 3"/>
    <w:basedOn w:val="Normal"/>
    <w:next w:val="Normal"/>
    <w:link w:val="Ttulo3Car"/>
    <w:uiPriority w:val="9"/>
    <w:unhideWhenUsed/>
    <w:qFormat/>
    <w:rsid w:val="00EF5A20"/>
    <w:pPr>
      <w:keepNext/>
      <w:keepLines/>
      <w:numPr>
        <w:ilvl w:val="2"/>
        <w:numId w:val="20"/>
      </w:numPr>
      <w:spacing w:before="40" w:after="120"/>
      <w:jc w:val="both"/>
      <w:outlineLvl w:val="2"/>
    </w:pPr>
    <w:rPr>
      <w:rFonts w:ascii="Arial" w:eastAsiaTheme="majorEastAsia" w:hAnsi="Arial" w:cstheme="majorBidi"/>
      <w:b/>
      <w:caps/>
      <w:color w:val="000000" w:themeColor="text1"/>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customStyle="1" w:styleId="Mencinsinresolver1">
    <w:name w:val="Mención sin resolver1"/>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43BA3"/>
    <w:rPr>
      <w:rFonts w:ascii="Geomanist Light" w:hAnsi="Geomanist Light"/>
      <w:lang w:val="es-ES"/>
    </w:rPr>
  </w:style>
  <w:style w:type="paragraph" w:customStyle="1" w:styleId="Appelnotedebasde">
    <w:name w:val="Appel note de bas de..."/>
    <w:basedOn w:val="Normal"/>
    <w:link w:val="Refdenotaalpie"/>
    <w:uiPriority w:val="99"/>
    <w:rsid w:val="005D657E"/>
    <w:pPr>
      <w:spacing w:line="240" w:lineRule="exact"/>
    </w:pPr>
    <w:rPr>
      <w:vertAlign w:val="superscript"/>
    </w:rPr>
  </w:style>
  <w:style w:type="character" w:customStyle="1" w:styleId="superscript">
    <w:name w:val="superscript"/>
    <w:basedOn w:val="Fuentedeprrafopredeter"/>
    <w:rsid w:val="006B2E69"/>
  </w:style>
  <w:style w:type="paragraph" w:styleId="Textoindependiente">
    <w:name w:val="Body Text"/>
    <w:basedOn w:val="Normal"/>
    <w:link w:val="TextoindependienteCar"/>
    <w:uiPriority w:val="1"/>
    <w:qFormat/>
    <w:rsid w:val="006B2E69"/>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6B2E69"/>
    <w:rPr>
      <w:rFonts w:ascii="Arial" w:eastAsia="Arial" w:hAnsi="Arial" w:cs="Arial"/>
      <w:lang w:val="es-ES"/>
    </w:rPr>
  </w:style>
  <w:style w:type="character" w:styleId="Refdecomentario">
    <w:name w:val="annotation reference"/>
    <w:basedOn w:val="Fuentedeprrafopredeter"/>
    <w:uiPriority w:val="99"/>
    <w:semiHidden/>
    <w:unhideWhenUsed/>
    <w:rsid w:val="006B2E69"/>
    <w:rPr>
      <w:sz w:val="16"/>
      <w:szCs w:val="16"/>
    </w:rPr>
  </w:style>
  <w:style w:type="paragraph" w:styleId="Textocomentario">
    <w:name w:val="annotation text"/>
    <w:basedOn w:val="Normal"/>
    <w:link w:val="TextocomentarioCar"/>
    <w:uiPriority w:val="99"/>
    <w:unhideWhenUsed/>
    <w:rsid w:val="006B2E69"/>
    <w:pPr>
      <w:spacing w:line="240" w:lineRule="auto"/>
    </w:pPr>
    <w:rPr>
      <w:sz w:val="20"/>
      <w:szCs w:val="20"/>
    </w:rPr>
  </w:style>
  <w:style w:type="character" w:customStyle="1" w:styleId="TextocomentarioCar">
    <w:name w:val="Texto comentario Car"/>
    <w:basedOn w:val="Fuentedeprrafopredeter"/>
    <w:link w:val="Textocomentario"/>
    <w:uiPriority w:val="99"/>
    <w:rsid w:val="006B2E69"/>
    <w:rPr>
      <w:sz w:val="20"/>
      <w:szCs w:val="20"/>
    </w:rPr>
  </w:style>
  <w:style w:type="paragraph" w:styleId="Asuntodelcomentario">
    <w:name w:val="annotation subject"/>
    <w:basedOn w:val="Textocomentario"/>
    <w:next w:val="Textocomentario"/>
    <w:link w:val="AsuntodelcomentarioCar"/>
    <w:uiPriority w:val="99"/>
    <w:semiHidden/>
    <w:unhideWhenUsed/>
    <w:rsid w:val="006B2E69"/>
    <w:rPr>
      <w:b/>
      <w:bCs/>
    </w:rPr>
  </w:style>
  <w:style w:type="character" w:customStyle="1" w:styleId="AsuntodelcomentarioCar">
    <w:name w:val="Asunto del comentario Car"/>
    <w:basedOn w:val="TextocomentarioCar"/>
    <w:link w:val="Asuntodelcomentario"/>
    <w:uiPriority w:val="99"/>
    <w:semiHidden/>
    <w:rsid w:val="006B2E69"/>
    <w:rPr>
      <w:b/>
      <w:bCs/>
      <w:sz w:val="20"/>
      <w:szCs w:val="20"/>
    </w:rPr>
  </w:style>
  <w:style w:type="character" w:customStyle="1" w:styleId="Ttulo2Car">
    <w:name w:val="Título 2 Car"/>
    <w:basedOn w:val="Fuentedeprrafopredeter"/>
    <w:link w:val="Ttulo2"/>
    <w:uiPriority w:val="9"/>
    <w:rsid w:val="00EF5A20"/>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EF5A20"/>
    <w:rPr>
      <w:rFonts w:ascii="Arial" w:eastAsiaTheme="majorEastAsia" w:hAnsi="Arial" w:cstheme="majorBidi"/>
      <w:b/>
      <w:caps/>
      <w:color w:val="000000" w:themeColor="text1"/>
      <w:sz w:val="20"/>
      <w:szCs w:val="24"/>
    </w:rPr>
  </w:style>
  <w:style w:type="character" w:customStyle="1" w:styleId="NormalWebCar">
    <w:name w:val="Normal (Web) Car"/>
    <w:link w:val="NormalWeb"/>
    <w:uiPriority w:val="99"/>
    <w:locked/>
    <w:rsid w:val="00EF5A2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19068">
      <w:bodyDiv w:val="1"/>
      <w:marLeft w:val="0"/>
      <w:marRight w:val="0"/>
      <w:marTop w:val="0"/>
      <w:marBottom w:val="0"/>
      <w:divBdr>
        <w:top w:val="none" w:sz="0" w:space="0" w:color="auto"/>
        <w:left w:val="none" w:sz="0" w:space="0" w:color="auto"/>
        <w:bottom w:val="none" w:sz="0" w:space="0" w:color="auto"/>
        <w:right w:val="none" w:sz="0" w:space="0" w:color="auto"/>
      </w:divBdr>
      <w:divsChild>
        <w:div w:id="1627007006">
          <w:marLeft w:val="0"/>
          <w:marRight w:val="0"/>
          <w:marTop w:val="0"/>
          <w:marBottom w:val="0"/>
          <w:divBdr>
            <w:top w:val="none" w:sz="0" w:space="0" w:color="auto"/>
            <w:left w:val="none" w:sz="0" w:space="0" w:color="auto"/>
            <w:bottom w:val="none" w:sz="0" w:space="0" w:color="auto"/>
            <w:right w:val="none" w:sz="0" w:space="0" w:color="auto"/>
          </w:divBdr>
        </w:div>
      </w:divsChild>
    </w:div>
    <w:div w:id="288245613">
      <w:bodyDiv w:val="1"/>
      <w:marLeft w:val="0"/>
      <w:marRight w:val="0"/>
      <w:marTop w:val="0"/>
      <w:marBottom w:val="0"/>
      <w:divBdr>
        <w:top w:val="none" w:sz="0" w:space="0" w:color="auto"/>
        <w:left w:val="none" w:sz="0" w:space="0" w:color="auto"/>
        <w:bottom w:val="none" w:sz="0" w:space="0" w:color="auto"/>
        <w:right w:val="none" w:sz="0" w:space="0" w:color="auto"/>
      </w:divBdr>
      <w:divsChild>
        <w:div w:id="366831567">
          <w:marLeft w:val="0"/>
          <w:marRight w:val="0"/>
          <w:marTop w:val="0"/>
          <w:marBottom w:val="0"/>
          <w:divBdr>
            <w:top w:val="none" w:sz="0" w:space="0" w:color="auto"/>
            <w:left w:val="none" w:sz="0" w:space="0" w:color="auto"/>
            <w:bottom w:val="none" w:sz="0" w:space="0" w:color="auto"/>
            <w:right w:val="none" w:sz="0" w:space="0" w:color="auto"/>
          </w:divBdr>
        </w:div>
        <w:div w:id="137497711">
          <w:marLeft w:val="0"/>
          <w:marRight w:val="0"/>
          <w:marTop w:val="0"/>
          <w:marBottom w:val="0"/>
          <w:divBdr>
            <w:top w:val="none" w:sz="0" w:space="0" w:color="auto"/>
            <w:left w:val="none" w:sz="0" w:space="0" w:color="auto"/>
            <w:bottom w:val="none" w:sz="0" w:space="0" w:color="auto"/>
            <w:right w:val="none" w:sz="0" w:space="0" w:color="auto"/>
          </w:divBdr>
        </w:div>
        <w:div w:id="400910502">
          <w:marLeft w:val="0"/>
          <w:marRight w:val="0"/>
          <w:marTop w:val="0"/>
          <w:marBottom w:val="0"/>
          <w:divBdr>
            <w:top w:val="none" w:sz="0" w:space="0" w:color="auto"/>
            <w:left w:val="none" w:sz="0" w:space="0" w:color="auto"/>
            <w:bottom w:val="none" w:sz="0" w:space="0" w:color="auto"/>
            <w:right w:val="none" w:sz="0" w:space="0" w:color="auto"/>
          </w:divBdr>
        </w:div>
        <w:div w:id="1218274194">
          <w:marLeft w:val="0"/>
          <w:marRight w:val="0"/>
          <w:marTop w:val="0"/>
          <w:marBottom w:val="0"/>
          <w:divBdr>
            <w:top w:val="none" w:sz="0" w:space="0" w:color="auto"/>
            <w:left w:val="none" w:sz="0" w:space="0" w:color="auto"/>
            <w:bottom w:val="none" w:sz="0" w:space="0" w:color="auto"/>
            <w:right w:val="none" w:sz="0" w:space="0" w:color="auto"/>
          </w:divBdr>
        </w:div>
        <w:div w:id="1867519697">
          <w:marLeft w:val="0"/>
          <w:marRight w:val="0"/>
          <w:marTop w:val="0"/>
          <w:marBottom w:val="0"/>
          <w:divBdr>
            <w:top w:val="none" w:sz="0" w:space="0" w:color="auto"/>
            <w:left w:val="none" w:sz="0" w:space="0" w:color="auto"/>
            <w:bottom w:val="none" w:sz="0" w:space="0" w:color="auto"/>
            <w:right w:val="none" w:sz="0" w:space="0" w:color="auto"/>
          </w:divBdr>
        </w:div>
        <w:div w:id="1832719528">
          <w:marLeft w:val="0"/>
          <w:marRight w:val="0"/>
          <w:marTop w:val="0"/>
          <w:marBottom w:val="0"/>
          <w:divBdr>
            <w:top w:val="none" w:sz="0" w:space="0" w:color="auto"/>
            <w:left w:val="none" w:sz="0" w:space="0" w:color="auto"/>
            <w:bottom w:val="none" w:sz="0" w:space="0" w:color="auto"/>
            <w:right w:val="none" w:sz="0" w:space="0" w:color="auto"/>
          </w:divBdr>
        </w:div>
        <w:div w:id="2055494269">
          <w:marLeft w:val="0"/>
          <w:marRight w:val="0"/>
          <w:marTop w:val="0"/>
          <w:marBottom w:val="0"/>
          <w:divBdr>
            <w:top w:val="none" w:sz="0" w:space="0" w:color="auto"/>
            <w:left w:val="none" w:sz="0" w:space="0" w:color="auto"/>
            <w:bottom w:val="none" w:sz="0" w:space="0" w:color="auto"/>
            <w:right w:val="none" w:sz="0" w:space="0" w:color="auto"/>
          </w:divBdr>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423718903">
      <w:bodyDiv w:val="1"/>
      <w:marLeft w:val="0"/>
      <w:marRight w:val="0"/>
      <w:marTop w:val="0"/>
      <w:marBottom w:val="0"/>
      <w:divBdr>
        <w:top w:val="none" w:sz="0" w:space="0" w:color="auto"/>
        <w:left w:val="none" w:sz="0" w:space="0" w:color="auto"/>
        <w:bottom w:val="none" w:sz="0" w:space="0" w:color="auto"/>
        <w:right w:val="none" w:sz="0" w:space="0" w:color="auto"/>
      </w:divBdr>
      <w:divsChild>
        <w:div w:id="1897932695">
          <w:marLeft w:val="0"/>
          <w:marRight w:val="0"/>
          <w:marTop w:val="0"/>
          <w:marBottom w:val="0"/>
          <w:divBdr>
            <w:top w:val="none" w:sz="0" w:space="0" w:color="auto"/>
            <w:left w:val="none" w:sz="0" w:space="0" w:color="auto"/>
            <w:bottom w:val="none" w:sz="0" w:space="0" w:color="auto"/>
            <w:right w:val="none" w:sz="0" w:space="0" w:color="auto"/>
          </w:divBdr>
        </w:div>
      </w:divsChild>
    </w:div>
    <w:div w:id="1721587952">
      <w:bodyDiv w:val="1"/>
      <w:marLeft w:val="0"/>
      <w:marRight w:val="0"/>
      <w:marTop w:val="0"/>
      <w:marBottom w:val="0"/>
      <w:divBdr>
        <w:top w:val="none" w:sz="0" w:space="0" w:color="auto"/>
        <w:left w:val="none" w:sz="0" w:space="0" w:color="auto"/>
        <w:bottom w:val="none" w:sz="0" w:space="0" w:color="auto"/>
        <w:right w:val="none" w:sz="0" w:space="0" w:color="auto"/>
      </w:divBdr>
      <w:divsChild>
        <w:div w:id="1974868149">
          <w:marLeft w:val="0"/>
          <w:marRight w:val="0"/>
          <w:marTop w:val="0"/>
          <w:marBottom w:val="0"/>
          <w:divBdr>
            <w:top w:val="none" w:sz="0" w:space="0" w:color="auto"/>
            <w:left w:val="none" w:sz="0" w:space="0" w:color="auto"/>
            <w:bottom w:val="none" w:sz="0" w:space="0" w:color="auto"/>
            <w:right w:val="none" w:sz="0" w:space="0" w:color="auto"/>
          </w:divBdr>
        </w:div>
      </w:divsChild>
    </w:div>
    <w:div w:id="1745451076">
      <w:bodyDiv w:val="1"/>
      <w:marLeft w:val="0"/>
      <w:marRight w:val="0"/>
      <w:marTop w:val="0"/>
      <w:marBottom w:val="0"/>
      <w:divBdr>
        <w:top w:val="none" w:sz="0" w:space="0" w:color="auto"/>
        <w:left w:val="none" w:sz="0" w:space="0" w:color="auto"/>
        <w:bottom w:val="none" w:sz="0" w:space="0" w:color="auto"/>
        <w:right w:val="none" w:sz="0" w:space="0" w:color="auto"/>
      </w:divBdr>
      <w:divsChild>
        <w:div w:id="1416440287">
          <w:marLeft w:val="0"/>
          <w:marRight w:val="0"/>
          <w:marTop w:val="0"/>
          <w:marBottom w:val="0"/>
          <w:divBdr>
            <w:top w:val="none" w:sz="0" w:space="0" w:color="auto"/>
            <w:left w:val="none" w:sz="0" w:space="0" w:color="auto"/>
            <w:bottom w:val="none" w:sz="0" w:space="0" w:color="auto"/>
            <w:right w:val="none" w:sz="0" w:space="0" w:color="auto"/>
          </w:divBdr>
        </w:div>
      </w:divsChild>
    </w:div>
    <w:div w:id="1901745381">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458AE1C1-29D0-43DB-9B7D-BE6A9C56B667}"/>
</file>

<file path=docProps/app.xml><?xml version="1.0" encoding="utf-8"?>
<Properties xmlns="http://schemas.openxmlformats.org/officeDocument/2006/extended-properties" xmlns:vt="http://schemas.openxmlformats.org/officeDocument/2006/docPropsVTypes">
  <Template>Normal</Template>
  <TotalTime>40</TotalTime>
  <Pages>21</Pages>
  <Words>6992</Words>
  <Characters>38461</Characters>
  <Application>Microsoft Office Word</Application>
  <DocSecurity>0</DocSecurity>
  <Lines>320</Lines>
  <Paragraphs>90</Paragraphs>
  <ScaleCrop>false</ScaleCrop>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24</cp:revision>
  <cp:lastPrinted>2023-01-10T21:18:00Z</cp:lastPrinted>
  <dcterms:created xsi:type="dcterms:W3CDTF">2024-01-11T21:17:00Z</dcterms:created>
  <dcterms:modified xsi:type="dcterms:W3CDTF">2024-06-18T15:59:00Z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